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74" w:rsidRDefault="00916774" w:rsidP="008B1C48">
      <w:pPr>
        <w:spacing w:after="0" w:line="240" w:lineRule="auto"/>
        <w:jc w:val="center"/>
        <w:rPr>
          <w:rFonts w:ascii="Verdana" w:hAnsi="Verdana"/>
          <w:b/>
          <w:sz w:val="20"/>
          <w:szCs w:val="20"/>
          <w:lang w:val="es-CR"/>
        </w:rPr>
      </w:pPr>
    </w:p>
    <w:p w:rsidR="00916774" w:rsidRDefault="00916774" w:rsidP="008B1C48">
      <w:pPr>
        <w:spacing w:after="0" w:line="240" w:lineRule="auto"/>
        <w:jc w:val="center"/>
        <w:rPr>
          <w:rFonts w:ascii="Verdana" w:hAnsi="Verdana"/>
          <w:b/>
          <w:sz w:val="20"/>
          <w:szCs w:val="20"/>
          <w:lang w:val="es-CR"/>
        </w:rPr>
      </w:pPr>
    </w:p>
    <w:p w:rsidR="00916774" w:rsidRDefault="00916774" w:rsidP="008B1C48">
      <w:pPr>
        <w:spacing w:after="0" w:line="240" w:lineRule="auto"/>
        <w:jc w:val="center"/>
        <w:rPr>
          <w:rFonts w:ascii="Verdana" w:hAnsi="Verdana"/>
          <w:b/>
          <w:sz w:val="20"/>
          <w:szCs w:val="20"/>
          <w:lang w:val="es-CR"/>
        </w:rPr>
      </w:pPr>
    </w:p>
    <w:p w:rsidR="00916774" w:rsidRDefault="00916774" w:rsidP="008B1C48">
      <w:pPr>
        <w:spacing w:after="0" w:line="240" w:lineRule="auto"/>
        <w:jc w:val="center"/>
        <w:rPr>
          <w:rFonts w:ascii="Verdana" w:hAnsi="Verdana"/>
          <w:b/>
          <w:sz w:val="20"/>
          <w:szCs w:val="20"/>
          <w:lang w:val="es-CR"/>
        </w:rPr>
      </w:pPr>
    </w:p>
    <w:p w:rsidR="00916774" w:rsidRDefault="00916774" w:rsidP="008B1C48">
      <w:pPr>
        <w:spacing w:after="0" w:line="240" w:lineRule="auto"/>
        <w:jc w:val="center"/>
        <w:rPr>
          <w:rFonts w:ascii="Verdana" w:hAnsi="Verdana"/>
          <w:b/>
          <w:sz w:val="20"/>
          <w:szCs w:val="20"/>
          <w:lang w:val="es-CR"/>
        </w:rPr>
      </w:pPr>
    </w:p>
    <w:p w:rsidR="00916774" w:rsidRDefault="00916774" w:rsidP="008B1C48">
      <w:pPr>
        <w:spacing w:after="0" w:line="240" w:lineRule="auto"/>
        <w:jc w:val="center"/>
        <w:rPr>
          <w:rFonts w:ascii="Verdana" w:hAnsi="Verdana"/>
          <w:b/>
          <w:sz w:val="20"/>
          <w:szCs w:val="20"/>
          <w:lang w:val="es-CR"/>
        </w:rPr>
      </w:pPr>
    </w:p>
    <w:p w:rsidR="00CD6119" w:rsidRDefault="00CD6119" w:rsidP="008B1C48">
      <w:pPr>
        <w:spacing w:after="0" w:line="240" w:lineRule="auto"/>
        <w:jc w:val="center"/>
        <w:rPr>
          <w:rFonts w:ascii="Verdana" w:hAnsi="Verdana"/>
          <w:b/>
          <w:sz w:val="20"/>
          <w:szCs w:val="20"/>
          <w:lang w:val="es-CR"/>
        </w:rPr>
      </w:pPr>
    </w:p>
    <w:p w:rsidR="00916774" w:rsidRDefault="00916774" w:rsidP="008B1C48">
      <w:pPr>
        <w:spacing w:after="0" w:line="240" w:lineRule="auto"/>
        <w:jc w:val="center"/>
        <w:rPr>
          <w:rFonts w:ascii="Verdana" w:hAnsi="Verdana"/>
          <w:b/>
          <w:sz w:val="20"/>
          <w:szCs w:val="20"/>
          <w:lang w:val="es-CR"/>
        </w:rPr>
      </w:pPr>
      <w:r w:rsidRPr="00745AE4">
        <w:rPr>
          <w:rFonts w:ascii="Verdana" w:hAnsi="Verdana"/>
          <w:b/>
          <w:sz w:val="20"/>
          <w:szCs w:val="20"/>
          <w:lang w:val="es-CR"/>
        </w:rPr>
        <w:t xml:space="preserve">RESOLUCIÓN DE LA </w:t>
      </w:r>
    </w:p>
    <w:p w:rsidR="00916774" w:rsidRDefault="00916774" w:rsidP="008B1C48">
      <w:pPr>
        <w:spacing w:after="0" w:line="240" w:lineRule="auto"/>
        <w:jc w:val="center"/>
        <w:rPr>
          <w:rFonts w:ascii="Verdana" w:hAnsi="Verdana"/>
          <w:b/>
          <w:smallCaps/>
          <w:sz w:val="20"/>
          <w:lang w:val="es-CR"/>
        </w:rPr>
      </w:pPr>
      <w:r w:rsidRPr="00745AE4">
        <w:rPr>
          <w:rFonts w:ascii="Verdana" w:hAnsi="Verdana"/>
          <w:b/>
          <w:sz w:val="20"/>
          <w:szCs w:val="20"/>
          <w:lang w:val="es-CR"/>
        </w:rPr>
        <w:t>CORTE INTERAMERICANA DE DERECHOS HUMANOS</w:t>
      </w:r>
      <w:r w:rsidRPr="00123936">
        <w:rPr>
          <w:rStyle w:val="FootnoteReference"/>
          <w:rFonts w:ascii="Verdana" w:hAnsi="Verdana"/>
          <w:b/>
          <w:smallCaps/>
          <w:sz w:val="20"/>
        </w:rPr>
        <w:footnoteReference w:customMarkFollows="1" w:id="1"/>
        <w:sym w:font="Symbol" w:char="F02A"/>
      </w:r>
      <w:r w:rsidRPr="00FF7EEA">
        <w:rPr>
          <w:rStyle w:val="FootnoteReference"/>
          <w:rFonts w:ascii="Verdana" w:hAnsi="Verdana"/>
          <w:b/>
          <w:smallCaps/>
          <w:sz w:val="20"/>
          <w:lang w:val="es-CR"/>
        </w:rPr>
        <w:t xml:space="preserve"> </w:t>
      </w:r>
    </w:p>
    <w:p w:rsidR="00916774" w:rsidRPr="00745AE4" w:rsidRDefault="00916774" w:rsidP="008B1C48">
      <w:pPr>
        <w:spacing w:after="0" w:line="240" w:lineRule="auto"/>
        <w:jc w:val="center"/>
        <w:rPr>
          <w:rFonts w:ascii="Verdana" w:hAnsi="Verdana"/>
          <w:b/>
          <w:sz w:val="20"/>
          <w:szCs w:val="20"/>
          <w:lang w:val="es-CR"/>
        </w:rPr>
      </w:pPr>
    </w:p>
    <w:p w:rsidR="00916774" w:rsidRDefault="00916774" w:rsidP="008B1C48">
      <w:pPr>
        <w:spacing w:after="0" w:line="240" w:lineRule="auto"/>
        <w:jc w:val="center"/>
        <w:rPr>
          <w:rFonts w:ascii="Verdana" w:hAnsi="Verdana"/>
          <w:b/>
          <w:sz w:val="20"/>
          <w:szCs w:val="20"/>
          <w:lang w:val="es-CR"/>
        </w:rPr>
      </w:pPr>
      <w:r>
        <w:rPr>
          <w:rFonts w:ascii="Verdana" w:hAnsi="Verdana"/>
          <w:b/>
          <w:sz w:val="20"/>
          <w:szCs w:val="20"/>
          <w:lang w:val="es-CR"/>
        </w:rPr>
        <w:t xml:space="preserve">DE </w:t>
      </w:r>
      <w:r w:rsidR="000E1DB4">
        <w:rPr>
          <w:rFonts w:ascii="Verdana" w:hAnsi="Verdana"/>
          <w:b/>
          <w:sz w:val="20"/>
          <w:szCs w:val="20"/>
          <w:lang w:val="es-CR"/>
        </w:rPr>
        <w:t>22</w:t>
      </w:r>
      <w:r>
        <w:rPr>
          <w:rFonts w:ascii="Verdana" w:hAnsi="Verdana"/>
          <w:b/>
          <w:sz w:val="20"/>
          <w:szCs w:val="20"/>
          <w:lang w:val="es-CR"/>
        </w:rPr>
        <w:t xml:space="preserve"> DE </w:t>
      </w:r>
      <w:r w:rsidR="00CD6119">
        <w:rPr>
          <w:rFonts w:ascii="Verdana" w:hAnsi="Verdana"/>
          <w:b/>
          <w:sz w:val="20"/>
          <w:szCs w:val="20"/>
          <w:lang w:val="es-CR"/>
        </w:rPr>
        <w:t>NOVIEMBRE</w:t>
      </w:r>
      <w:r w:rsidRPr="00745AE4">
        <w:rPr>
          <w:rFonts w:ascii="Verdana" w:hAnsi="Verdana"/>
          <w:b/>
          <w:sz w:val="20"/>
          <w:szCs w:val="20"/>
          <w:lang w:val="es-CR"/>
        </w:rPr>
        <w:t xml:space="preserve"> DE</w:t>
      </w:r>
      <w:r>
        <w:rPr>
          <w:rFonts w:ascii="Verdana" w:hAnsi="Verdana"/>
          <w:b/>
          <w:sz w:val="20"/>
          <w:szCs w:val="20"/>
          <w:lang w:val="es-CR"/>
        </w:rPr>
        <w:t xml:space="preserve"> 2018</w:t>
      </w:r>
    </w:p>
    <w:p w:rsidR="00916774" w:rsidRPr="00745AE4" w:rsidRDefault="00916774" w:rsidP="008B1C48">
      <w:pPr>
        <w:spacing w:after="0" w:line="240" w:lineRule="auto"/>
        <w:jc w:val="center"/>
        <w:rPr>
          <w:rFonts w:ascii="Verdana" w:hAnsi="Verdana"/>
          <w:b/>
          <w:sz w:val="20"/>
          <w:szCs w:val="20"/>
          <w:lang w:val="es-CR"/>
        </w:rPr>
      </w:pPr>
    </w:p>
    <w:p w:rsidR="00916774" w:rsidRPr="009B4B9D" w:rsidRDefault="00916774" w:rsidP="008B1C48">
      <w:pPr>
        <w:spacing w:after="0" w:line="240" w:lineRule="auto"/>
        <w:jc w:val="center"/>
        <w:rPr>
          <w:rFonts w:ascii="Verdana" w:hAnsi="Verdana"/>
          <w:b/>
          <w:i/>
          <w:sz w:val="20"/>
          <w:szCs w:val="20"/>
          <w:lang w:val="es-CR"/>
        </w:rPr>
      </w:pPr>
      <w:r w:rsidRPr="009B4B9D">
        <w:rPr>
          <w:rFonts w:ascii="Verdana" w:hAnsi="Verdana"/>
          <w:b/>
          <w:i/>
          <w:sz w:val="20"/>
          <w:szCs w:val="20"/>
          <w:lang w:val="es-CR"/>
        </w:rPr>
        <w:t xml:space="preserve">CASO </w:t>
      </w:r>
      <w:r>
        <w:rPr>
          <w:rFonts w:ascii="Verdana" w:hAnsi="Verdana"/>
          <w:b/>
          <w:i/>
          <w:sz w:val="20"/>
          <w:szCs w:val="20"/>
          <w:lang w:val="es-CR"/>
        </w:rPr>
        <w:t>DUQUE</w:t>
      </w:r>
      <w:r w:rsidRPr="009B4B9D">
        <w:rPr>
          <w:rFonts w:ascii="Verdana" w:hAnsi="Verdana"/>
          <w:b/>
          <w:i/>
          <w:sz w:val="20"/>
          <w:szCs w:val="20"/>
          <w:lang w:val="es-CR"/>
        </w:rPr>
        <w:t xml:space="preserve"> VS. </w:t>
      </w:r>
      <w:r>
        <w:rPr>
          <w:rFonts w:ascii="Verdana" w:hAnsi="Verdana"/>
          <w:b/>
          <w:i/>
          <w:sz w:val="20"/>
          <w:szCs w:val="20"/>
          <w:lang w:val="es-CR"/>
        </w:rPr>
        <w:t>COLOMBIA</w:t>
      </w:r>
    </w:p>
    <w:p w:rsidR="00916774" w:rsidRPr="009B4B9D" w:rsidRDefault="00916774" w:rsidP="008B1C48">
      <w:pPr>
        <w:spacing w:after="0" w:line="240" w:lineRule="auto"/>
        <w:jc w:val="center"/>
        <w:rPr>
          <w:rFonts w:ascii="Verdana" w:hAnsi="Verdana"/>
          <w:b/>
          <w:sz w:val="20"/>
          <w:szCs w:val="20"/>
          <w:lang w:val="es-CR"/>
        </w:rPr>
      </w:pPr>
    </w:p>
    <w:p w:rsidR="00916774" w:rsidRPr="009B4B9D" w:rsidRDefault="00916774" w:rsidP="008B1C48">
      <w:pPr>
        <w:spacing w:after="0" w:line="240" w:lineRule="auto"/>
        <w:jc w:val="center"/>
        <w:rPr>
          <w:rFonts w:ascii="Verdana" w:hAnsi="Verdana"/>
          <w:b/>
          <w:sz w:val="20"/>
          <w:szCs w:val="20"/>
          <w:lang w:val="es-CR"/>
        </w:rPr>
      </w:pPr>
      <w:r w:rsidRPr="009B4B9D">
        <w:rPr>
          <w:rFonts w:ascii="Verdana" w:hAnsi="Verdana"/>
          <w:b/>
          <w:sz w:val="20"/>
          <w:szCs w:val="20"/>
          <w:lang w:val="es-CR"/>
        </w:rPr>
        <w:t>SUPERVISIÓN DE CUMPLIMIENTO DE SENTENCIA</w:t>
      </w:r>
    </w:p>
    <w:p w:rsidR="00916774" w:rsidRPr="009B4B9D" w:rsidRDefault="00916774" w:rsidP="008B1C48">
      <w:pPr>
        <w:spacing w:after="0" w:line="240" w:lineRule="auto"/>
        <w:jc w:val="both"/>
        <w:rPr>
          <w:rFonts w:ascii="Verdana" w:hAnsi="Verdana"/>
          <w:b/>
          <w:sz w:val="20"/>
          <w:szCs w:val="20"/>
          <w:lang w:val="es-CR"/>
        </w:rPr>
      </w:pPr>
    </w:p>
    <w:p w:rsidR="00916774" w:rsidRDefault="00916774" w:rsidP="008B1C48">
      <w:pPr>
        <w:spacing w:after="0" w:line="240" w:lineRule="auto"/>
        <w:jc w:val="both"/>
        <w:rPr>
          <w:rFonts w:ascii="Verdana" w:hAnsi="Verdana"/>
          <w:b/>
          <w:sz w:val="20"/>
          <w:szCs w:val="20"/>
          <w:lang w:val="es-CR"/>
        </w:rPr>
      </w:pPr>
      <w:r w:rsidRPr="009B4B9D">
        <w:rPr>
          <w:rFonts w:ascii="Verdana" w:hAnsi="Verdana"/>
          <w:b/>
          <w:sz w:val="20"/>
          <w:szCs w:val="20"/>
          <w:lang w:val="es-CR"/>
        </w:rPr>
        <w:t>VISTO:</w:t>
      </w:r>
      <w:r>
        <w:rPr>
          <w:rFonts w:ascii="Verdana" w:hAnsi="Verdana"/>
          <w:b/>
          <w:sz w:val="20"/>
          <w:szCs w:val="20"/>
          <w:lang w:val="es-CR"/>
        </w:rPr>
        <w:t xml:space="preserve"> </w:t>
      </w:r>
    </w:p>
    <w:p w:rsidR="00916774" w:rsidRDefault="00916774" w:rsidP="008B1C48">
      <w:pPr>
        <w:spacing w:after="0" w:line="240" w:lineRule="auto"/>
        <w:jc w:val="both"/>
        <w:rPr>
          <w:rFonts w:ascii="Verdana" w:hAnsi="Verdana"/>
          <w:b/>
          <w:sz w:val="20"/>
          <w:szCs w:val="20"/>
          <w:lang w:val="es-CR"/>
        </w:rPr>
      </w:pPr>
    </w:p>
    <w:p w:rsidR="00916774" w:rsidRPr="008B1C48" w:rsidRDefault="00916774" w:rsidP="008B1C48">
      <w:pPr>
        <w:pStyle w:val="ListParagraph"/>
        <w:numPr>
          <w:ilvl w:val="0"/>
          <w:numId w:val="1"/>
        </w:numPr>
        <w:spacing w:after="0" w:line="240" w:lineRule="auto"/>
        <w:ind w:left="0" w:firstLine="0"/>
        <w:contextualSpacing w:val="0"/>
        <w:jc w:val="both"/>
        <w:rPr>
          <w:rFonts w:ascii="Verdana" w:hAnsi="Verdana"/>
          <w:color w:val="000000"/>
          <w:sz w:val="20"/>
          <w:szCs w:val="20"/>
          <w:shd w:val="clear" w:color="auto" w:fill="FFFFFF"/>
          <w:lang w:val="es-CR"/>
        </w:rPr>
      </w:pPr>
      <w:r w:rsidRPr="00687698">
        <w:rPr>
          <w:rFonts w:ascii="Verdana" w:hAnsi="Verdana"/>
          <w:sz w:val="20"/>
          <w:szCs w:val="20"/>
          <w:lang w:val="es-CR"/>
        </w:rPr>
        <w:t>La Sentencia de</w:t>
      </w:r>
      <w:r w:rsidRPr="00687698">
        <w:rPr>
          <w:rFonts w:ascii="Verdana" w:hAnsi="Verdana"/>
          <w:color w:val="000000"/>
          <w:sz w:val="20"/>
          <w:lang w:val="es-MX"/>
        </w:rPr>
        <w:t xml:space="preserve"> excepciones preliminares, fondo, reparaciones y costas</w:t>
      </w:r>
      <w:r w:rsidRPr="00687698">
        <w:rPr>
          <w:rFonts w:ascii="Verdana" w:hAnsi="Verdana"/>
          <w:color w:val="000000"/>
          <w:sz w:val="20"/>
          <w:szCs w:val="20"/>
          <w:lang w:val="es-CR"/>
        </w:rPr>
        <w:t xml:space="preserve"> </w:t>
      </w:r>
      <w:r w:rsidRPr="00687698">
        <w:rPr>
          <w:rFonts w:ascii="Verdana" w:hAnsi="Verdana"/>
          <w:sz w:val="20"/>
          <w:szCs w:val="20"/>
          <w:lang w:val="es-CR"/>
        </w:rPr>
        <w:t>(en adelante “la Sentencia”) dictada por la Corte Interamericana de Derechos Humanos (en adelante “la Corte Interamericana”, “la Corte” o “el Tribunal”) el 26 de febrero de 2016</w:t>
      </w:r>
      <w:r w:rsidRPr="0076390D">
        <w:rPr>
          <w:rStyle w:val="FootnoteReference"/>
          <w:rFonts w:ascii="Verdana" w:hAnsi="Verdana"/>
          <w:sz w:val="20"/>
          <w:lang w:val="es-MX"/>
        </w:rPr>
        <w:footnoteReference w:id="2"/>
      </w:r>
      <w:r w:rsidRPr="00687698">
        <w:rPr>
          <w:rFonts w:ascii="Verdana" w:hAnsi="Verdana"/>
          <w:sz w:val="20"/>
          <w:szCs w:val="20"/>
          <w:lang w:val="es-CR"/>
        </w:rPr>
        <w:t xml:space="preserve">. La Corte declaró </w:t>
      </w:r>
      <w:r w:rsidR="00564323">
        <w:rPr>
          <w:rFonts w:ascii="Verdana" w:hAnsi="Verdana"/>
          <w:sz w:val="20"/>
          <w:szCs w:val="20"/>
          <w:lang w:val="es-CR"/>
        </w:rPr>
        <w:t>que</w:t>
      </w:r>
      <w:r w:rsidRPr="00687698">
        <w:rPr>
          <w:rFonts w:ascii="Verdana" w:hAnsi="Verdana"/>
          <w:sz w:val="20"/>
          <w:szCs w:val="20"/>
          <w:lang w:val="es-CR"/>
        </w:rPr>
        <w:t xml:space="preserve"> la República de Colombia (en adelante “el Estado” o “Colombia”) </w:t>
      </w:r>
      <w:r w:rsidR="00564323">
        <w:rPr>
          <w:rFonts w:ascii="Verdana" w:hAnsi="Verdana"/>
          <w:sz w:val="20"/>
          <w:szCs w:val="20"/>
          <w:lang w:val="es-CR"/>
        </w:rPr>
        <w:t>era internacionalmente responsable de</w:t>
      </w:r>
      <w:r w:rsidRPr="00687698">
        <w:rPr>
          <w:rFonts w:ascii="Verdana" w:hAnsi="Verdana"/>
          <w:sz w:val="20"/>
          <w:szCs w:val="20"/>
          <w:lang w:val="es-CR"/>
        </w:rPr>
        <w:t xml:space="preserve"> haber violado el derecho a la igualdad ante la ley y a la no discriminación en perjuicio de Ángel Alberto Duque, por no haberle permitido acceder en condiciones de igualdad a la pensión de sobrevivencia, luego de la defunción de su pareja, con base en el hecho de que se trataba de una pareja del mismo sexo. </w:t>
      </w:r>
      <w:r w:rsidR="00586AEE">
        <w:rPr>
          <w:rFonts w:ascii="Verdana" w:hAnsi="Verdana"/>
          <w:sz w:val="20"/>
          <w:szCs w:val="20"/>
          <w:lang w:val="es-CR"/>
        </w:rPr>
        <w:t xml:space="preserve">La normatividad vigente en el 2002 no permitía el pago de pensiones </w:t>
      </w:r>
      <w:r w:rsidR="00060C95">
        <w:rPr>
          <w:rFonts w:ascii="Verdana" w:hAnsi="Verdana"/>
          <w:sz w:val="20"/>
          <w:szCs w:val="20"/>
          <w:lang w:val="es-CR"/>
        </w:rPr>
        <w:t xml:space="preserve">de sobrevivencia </w:t>
      </w:r>
      <w:r w:rsidR="00586AEE">
        <w:rPr>
          <w:rFonts w:ascii="Verdana" w:hAnsi="Verdana"/>
          <w:sz w:val="20"/>
          <w:szCs w:val="20"/>
          <w:lang w:val="es-CR"/>
        </w:rPr>
        <w:t xml:space="preserve">a parejas del mismo sexo. </w:t>
      </w:r>
      <w:r w:rsidRPr="00687698">
        <w:rPr>
          <w:rFonts w:ascii="Verdana" w:hAnsi="Verdana"/>
          <w:sz w:val="20"/>
          <w:szCs w:val="20"/>
          <w:lang w:val="es-CR"/>
        </w:rPr>
        <w:t>La Corte estableció que su Sentencia constitu</w:t>
      </w:r>
      <w:r w:rsidR="00564323">
        <w:rPr>
          <w:rFonts w:ascii="Verdana" w:hAnsi="Verdana"/>
          <w:sz w:val="20"/>
          <w:szCs w:val="20"/>
          <w:lang w:val="es-CR"/>
        </w:rPr>
        <w:t>ía</w:t>
      </w:r>
      <w:r w:rsidRPr="00687698">
        <w:rPr>
          <w:rFonts w:ascii="Verdana" w:hAnsi="Verdana"/>
          <w:sz w:val="20"/>
          <w:szCs w:val="20"/>
          <w:lang w:val="es-CR"/>
        </w:rPr>
        <w:t xml:space="preserve"> por sí misma una forma de reparación y ordenó al Estado </w:t>
      </w:r>
      <w:r w:rsidR="00564323">
        <w:rPr>
          <w:rFonts w:ascii="Verdana" w:hAnsi="Verdana"/>
          <w:sz w:val="20"/>
          <w:szCs w:val="20"/>
          <w:lang w:val="es-CR"/>
        </w:rPr>
        <w:t xml:space="preserve">la adopción de </w:t>
      </w:r>
      <w:r w:rsidRPr="00687698">
        <w:rPr>
          <w:rFonts w:ascii="Verdana" w:hAnsi="Verdana"/>
          <w:sz w:val="20"/>
          <w:szCs w:val="20"/>
          <w:lang w:val="es-CR"/>
        </w:rPr>
        <w:t xml:space="preserve">medidas </w:t>
      </w:r>
      <w:r w:rsidR="00564323">
        <w:rPr>
          <w:rFonts w:ascii="Verdana" w:hAnsi="Verdana"/>
          <w:sz w:val="20"/>
          <w:szCs w:val="20"/>
          <w:lang w:val="es-CR"/>
        </w:rPr>
        <w:t xml:space="preserve">adicionales </w:t>
      </w:r>
      <w:r w:rsidRPr="00687698">
        <w:rPr>
          <w:rFonts w:ascii="Verdana" w:hAnsi="Verdana"/>
          <w:sz w:val="20"/>
          <w:szCs w:val="20"/>
          <w:lang w:val="es-CR"/>
        </w:rPr>
        <w:t>de reparación (</w:t>
      </w:r>
      <w:r w:rsidRPr="00687698">
        <w:rPr>
          <w:rFonts w:ascii="Verdana" w:hAnsi="Verdana"/>
          <w:i/>
          <w:sz w:val="20"/>
          <w:szCs w:val="20"/>
          <w:lang w:val="es-CR"/>
        </w:rPr>
        <w:t xml:space="preserve">infra </w:t>
      </w:r>
      <w:r w:rsidRPr="00687698">
        <w:rPr>
          <w:rFonts w:ascii="Verdana" w:hAnsi="Verdana"/>
          <w:sz w:val="20"/>
          <w:szCs w:val="20"/>
          <w:lang w:val="es-CR"/>
        </w:rPr>
        <w:t xml:space="preserve">Considerando 1). </w:t>
      </w:r>
    </w:p>
    <w:p w:rsidR="008B1C48" w:rsidRPr="00F31A83" w:rsidRDefault="008B1C48" w:rsidP="008B1C48">
      <w:pPr>
        <w:pStyle w:val="ListParagraph"/>
        <w:spacing w:after="0" w:line="240" w:lineRule="auto"/>
        <w:ind w:left="0"/>
        <w:contextualSpacing w:val="0"/>
        <w:jc w:val="both"/>
        <w:rPr>
          <w:rFonts w:ascii="Verdana" w:hAnsi="Verdana"/>
          <w:color w:val="000000"/>
          <w:sz w:val="10"/>
          <w:szCs w:val="10"/>
          <w:shd w:val="clear" w:color="auto" w:fill="FFFFFF"/>
          <w:lang w:val="es-CR"/>
        </w:rPr>
      </w:pPr>
    </w:p>
    <w:p w:rsidR="00916774" w:rsidRPr="008B1C48" w:rsidRDefault="00916774" w:rsidP="008B1C48">
      <w:pPr>
        <w:pStyle w:val="ListParagraph"/>
        <w:numPr>
          <w:ilvl w:val="0"/>
          <w:numId w:val="1"/>
        </w:numPr>
        <w:spacing w:after="0" w:line="240" w:lineRule="auto"/>
        <w:ind w:left="0" w:firstLine="0"/>
        <w:contextualSpacing w:val="0"/>
        <w:jc w:val="both"/>
        <w:rPr>
          <w:rFonts w:ascii="Verdana" w:hAnsi="Verdana"/>
          <w:color w:val="000000"/>
          <w:sz w:val="20"/>
          <w:szCs w:val="20"/>
          <w:shd w:val="clear" w:color="auto" w:fill="FFFFFF"/>
          <w:lang w:val="es-CR"/>
        </w:rPr>
      </w:pPr>
      <w:r w:rsidRPr="00FF7EEA">
        <w:rPr>
          <w:rFonts w:ascii="Verdana" w:eastAsia="Times New Roman" w:hAnsi="Verdana"/>
          <w:sz w:val="20"/>
          <w:lang w:val="es-CO"/>
        </w:rPr>
        <w:t xml:space="preserve">La </w:t>
      </w:r>
      <w:r w:rsidRPr="00FF7EEA">
        <w:rPr>
          <w:rFonts w:ascii="Verdana" w:hAnsi="Verdana"/>
          <w:sz w:val="20"/>
          <w:lang w:val="es-MX"/>
        </w:rPr>
        <w:t>Sentencia</w:t>
      </w:r>
      <w:r w:rsidRPr="00FF7EEA">
        <w:rPr>
          <w:rFonts w:ascii="Verdana" w:eastAsia="Times New Roman" w:hAnsi="Verdana"/>
          <w:sz w:val="20"/>
          <w:lang w:val="es-CO"/>
        </w:rPr>
        <w:t xml:space="preserve"> de interpretación emitida por la Corte el </w:t>
      </w:r>
      <w:r>
        <w:rPr>
          <w:rFonts w:ascii="Verdana" w:eastAsia="Times New Roman" w:hAnsi="Verdana"/>
          <w:sz w:val="20"/>
          <w:lang w:val="es-CO"/>
        </w:rPr>
        <w:t>21 de noviembre de 2016</w:t>
      </w:r>
      <w:r>
        <w:rPr>
          <w:rStyle w:val="FootnoteReference"/>
          <w:rFonts w:ascii="Verdana" w:eastAsia="Times New Roman" w:hAnsi="Verdana"/>
          <w:sz w:val="20"/>
          <w:lang w:val="es-CO"/>
        </w:rPr>
        <w:footnoteReference w:id="3"/>
      </w:r>
      <w:r w:rsidRPr="00FF7EEA">
        <w:rPr>
          <w:rFonts w:ascii="Verdana" w:eastAsia="Times New Roman" w:hAnsi="Verdana"/>
          <w:sz w:val="20"/>
          <w:lang w:val="es-CO"/>
        </w:rPr>
        <w:t xml:space="preserve">. </w:t>
      </w:r>
    </w:p>
    <w:p w:rsidR="008B1C48" w:rsidRPr="00F31A83" w:rsidRDefault="008B1C48" w:rsidP="008B1C48">
      <w:pPr>
        <w:pStyle w:val="ListParagraph"/>
        <w:spacing w:after="0" w:line="240" w:lineRule="auto"/>
        <w:ind w:left="0"/>
        <w:contextualSpacing w:val="0"/>
        <w:jc w:val="both"/>
        <w:rPr>
          <w:rFonts w:ascii="Verdana" w:hAnsi="Verdana"/>
          <w:color w:val="000000"/>
          <w:sz w:val="10"/>
          <w:szCs w:val="10"/>
          <w:shd w:val="clear" w:color="auto" w:fill="FFFFFF"/>
          <w:lang w:val="es-CR"/>
        </w:rPr>
      </w:pPr>
    </w:p>
    <w:p w:rsidR="00E56F74" w:rsidRPr="008564D4" w:rsidRDefault="00E56F74" w:rsidP="008B1C48">
      <w:pPr>
        <w:pStyle w:val="ListParagraph"/>
        <w:numPr>
          <w:ilvl w:val="0"/>
          <w:numId w:val="1"/>
        </w:numPr>
        <w:spacing w:after="0" w:line="240" w:lineRule="auto"/>
        <w:ind w:left="0" w:firstLine="0"/>
        <w:contextualSpacing w:val="0"/>
        <w:jc w:val="both"/>
        <w:rPr>
          <w:rFonts w:ascii="Verdana" w:hAnsi="Verdana"/>
          <w:b/>
          <w:color w:val="000000"/>
          <w:sz w:val="20"/>
          <w:szCs w:val="20"/>
          <w:shd w:val="clear" w:color="auto" w:fill="FFFFFF"/>
          <w:lang w:val="es-CR"/>
        </w:rPr>
      </w:pPr>
      <w:r w:rsidRPr="00342BD7">
        <w:rPr>
          <w:rFonts w:ascii="Verdana" w:hAnsi="Verdana"/>
          <w:sz w:val="20"/>
          <w:szCs w:val="20"/>
          <w:lang w:val="es-CR"/>
        </w:rPr>
        <w:t xml:space="preserve">La Resolución </w:t>
      </w:r>
      <w:r>
        <w:rPr>
          <w:rFonts w:ascii="Verdana" w:hAnsi="Verdana"/>
          <w:sz w:val="20"/>
          <w:szCs w:val="20"/>
          <w:lang w:val="es-CR"/>
        </w:rPr>
        <w:t xml:space="preserve">sobre el reintegro al Fondo de Asistencia Legal de Víctimas emitida por el Presidente de la Corte </w:t>
      </w:r>
      <w:r w:rsidRPr="00342BD7">
        <w:rPr>
          <w:rFonts w:ascii="Verdana" w:hAnsi="Verdana"/>
          <w:sz w:val="20"/>
          <w:szCs w:val="20"/>
          <w:lang w:val="es-CR"/>
        </w:rPr>
        <w:t xml:space="preserve">el </w:t>
      </w:r>
      <w:r>
        <w:rPr>
          <w:rFonts w:ascii="Verdana" w:hAnsi="Verdana"/>
          <w:sz w:val="20"/>
          <w:szCs w:val="20"/>
          <w:lang w:val="es-CR"/>
        </w:rPr>
        <w:t>7</w:t>
      </w:r>
      <w:r w:rsidRPr="00342BD7">
        <w:rPr>
          <w:rFonts w:ascii="Verdana" w:hAnsi="Verdana"/>
          <w:sz w:val="20"/>
          <w:szCs w:val="20"/>
          <w:lang w:val="es-CR"/>
        </w:rPr>
        <w:t xml:space="preserve"> de </w:t>
      </w:r>
      <w:r>
        <w:rPr>
          <w:rFonts w:ascii="Verdana" w:hAnsi="Verdana"/>
          <w:sz w:val="20"/>
          <w:szCs w:val="20"/>
          <w:lang w:val="es-CR"/>
        </w:rPr>
        <w:t>octubre</w:t>
      </w:r>
      <w:r w:rsidRPr="00342BD7">
        <w:rPr>
          <w:rFonts w:ascii="Verdana" w:hAnsi="Verdana"/>
          <w:sz w:val="20"/>
          <w:szCs w:val="20"/>
          <w:lang w:val="es-CR"/>
        </w:rPr>
        <w:t xml:space="preserve"> de </w:t>
      </w:r>
      <w:r>
        <w:rPr>
          <w:rFonts w:ascii="Verdana" w:hAnsi="Verdana"/>
          <w:sz w:val="20"/>
          <w:szCs w:val="20"/>
          <w:lang w:val="es-CR"/>
        </w:rPr>
        <w:t>2016</w:t>
      </w:r>
      <w:r w:rsidRPr="00342BD7">
        <w:rPr>
          <w:rStyle w:val="FootnoteReference"/>
          <w:rFonts w:ascii="Verdana" w:eastAsia="Times New Roman" w:hAnsi="Verdana"/>
          <w:sz w:val="20"/>
          <w:szCs w:val="20"/>
          <w:lang w:val="es-CO"/>
        </w:rPr>
        <w:footnoteReference w:id="4"/>
      </w:r>
      <w:r w:rsidRPr="00342BD7">
        <w:rPr>
          <w:rFonts w:ascii="Verdana" w:hAnsi="Verdana"/>
          <w:sz w:val="20"/>
          <w:szCs w:val="20"/>
          <w:lang w:val="es-CR"/>
        </w:rPr>
        <w:t>.</w:t>
      </w:r>
    </w:p>
    <w:p w:rsidR="008B1C48" w:rsidRPr="00F31A83" w:rsidRDefault="008B1C48" w:rsidP="008B1C48">
      <w:pPr>
        <w:pStyle w:val="ListParagraph"/>
        <w:spacing w:after="0" w:line="240" w:lineRule="auto"/>
        <w:ind w:left="0"/>
        <w:contextualSpacing w:val="0"/>
        <w:jc w:val="both"/>
        <w:rPr>
          <w:rFonts w:ascii="Verdana" w:hAnsi="Verdana"/>
          <w:color w:val="000000"/>
          <w:sz w:val="10"/>
          <w:szCs w:val="10"/>
          <w:shd w:val="clear" w:color="auto" w:fill="FFFFFF"/>
          <w:lang w:val="es-CR"/>
        </w:rPr>
      </w:pPr>
    </w:p>
    <w:p w:rsidR="00916774" w:rsidRPr="00E410FD" w:rsidRDefault="00916774" w:rsidP="008B1C48">
      <w:pPr>
        <w:pStyle w:val="ListParagraph"/>
        <w:numPr>
          <w:ilvl w:val="0"/>
          <w:numId w:val="1"/>
        </w:numPr>
        <w:spacing w:after="0" w:line="240" w:lineRule="auto"/>
        <w:ind w:left="0" w:firstLine="0"/>
        <w:contextualSpacing w:val="0"/>
        <w:jc w:val="both"/>
        <w:rPr>
          <w:rFonts w:ascii="Verdana" w:hAnsi="Verdana"/>
          <w:color w:val="000000"/>
          <w:sz w:val="20"/>
          <w:szCs w:val="20"/>
          <w:shd w:val="clear" w:color="auto" w:fill="FFFFFF"/>
          <w:lang w:val="es-CR"/>
        </w:rPr>
      </w:pPr>
      <w:r>
        <w:rPr>
          <w:rFonts w:ascii="Verdana" w:hAnsi="Verdana"/>
          <w:sz w:val="20"/>
          <w:lang w:val="es-CR"/>
        </w:rPr>
        <w:t xml:space="preserve">Los cinco informes presentados por el Estado entre enero </w:t>
      </w:r>
      <w:r w:rsidR="000F2BAA">
        <w:rPr>
          <w:rFonts w:ascii="Verdana" w:hAnsi="Verdana"/>
          <w:sz w:val="20"/>
          <w:lang w:val="es-CR"/>
        </w:rPr>
        <w:t xml:space="preserve">y </w:t>
      </w:r>
      <w:r>
        <w:rPr>
          <w:rFonts w:ascii="Verdana" w:hAnsi="Verdana"/>
          <w:sz w:val="20"/>
          <w:lang w:val="es-CR"/>
        </w:rPr>
        <w:t>octubre de 2017</w:t>
      </w:r>
      <w:r w:rsidRPr="009B4B9D">
        <w:rPr>
          <w:rStyle w:val="FootnoteReference"/>
          <w:rFonts w:ascii="Verdana" w:hAnsi="Verdana"/>
          <w:color w:val="000000"/>
          <w:sz w:val="20"/>
          <w:szCs w:val="20"/>
          <w:shd w:val="clear" w:color="auto" w:fill="FFFFFF"/>
          <w:lang w:val="es-CR"/>
        </w:rPr>
        <w:footnoteReference w:id="5"/>
      </w:r>
      <w:r>
        <w:rPr>
          <w:rFonts w:ascii="Verdana" w:hAnsi="Verdana"/>
          <w:sz w:val="20"/>
          <w:lang w:val="es-CR"/>
        </w:rPr>
        <w:t>.</w:t>
      </w:r>
    </w:p>
    <w:p w:rsidR="008B1C48" w:rsidRPr="00F31A83" w:rsidRDefault="008B1C48" w:rsidP="008B1C48">
      <w:pPr>
        <w:pStyle w:val="ListParagraph"/>
        <w:spacing w:after="0" w:line="240" w:lineRule="auto"/>
        <w:ind w:left="0"/>
        <w:contextualSpacing w:val="0"/>
        <w:jc w:val="both"/>
        <w:rPr>
          <w:rFonts w:ascii="Verdana" w:hAnsi="Verdana"/>
          <w:color w:val="000000"/>
          <w:sz w:val="10"/>
          <w:szCs w:val="10"/>
          <w:shd w:val="clear" w:color="auto" w:fill="FFFFFF"/>
          <w:lang w:val="es-CR"/>
        </w:rPr>
      </w:pPr>
    </w:p>
    <w:p w:rsidR="00916774" w:rsidRPr="009B4B9D" w:rsidRDefault="00916774" w:rsidP="008B1C48">
      <w:pPr>
        <w:pStyle w:val="ListParagraph"/>
        <w:numPr>
          <w:ilvl w:val="0"/>
          <w:numId w:val="1"/>
        </w:numPr>
        <w:spacing w:after="0" w:line="240" w:lineRule="auto"/>
        <w:ind w:left="0" w:firstLine="0"/>
        <w:contextualSpacing w:val="0"/>
        <w:jc w:val="both"/>
        <w:rPr>
          <w:rFonts w:ascii="Verdana" w:hAnsi="Verdana"/>
          <w:color w:val="000000"/>
          <w:sz w:val="20"/>
          <w:szCs w:val="20"/>
          <w:shd w:val="clear" w:color="auto" w:fill="FFFFFF"/>
          <w:lang w:val="es-CR"/>
        </w:rPr>
      </w:pPr>
      <w:r w:rsidRPr="009B4B9D">
        <w:rPr>
          <w:rFonts w:ascii="Verdana" w:hAnsi="Verdana"/>
          <w:color w:val="000000"/>
          <w:sz w:val="20"/>
          <w:szCs w:val="20"/>
          <w:shd w:val="clear" w:color="auto" w:fill="FFFFFF"/>
          <w:lang w:val="es-CR"/>
        </w:rPr>
        <w:t xml:space="preserve">Los </w:t>
      </w:r>
      <w:r>
        <w:rPr>
          <w:rFonts w:ascii="Verdana" w:hAnsi="Verdana"/>
          <w:sz w:val="20"/>
          <w:lang w:val="es-CR"/>
        </w:rPr>
        <w:t xml:space="preserve">cuatro </w:t>
      </w:r>
      <w:r w:rsidRPr="009B4B9D">
        <w:rPr>
          <w:rFonts w:ascii="Verdana" w:hAnsi="Verdana"/>
          <w:color w:val="000000"/>
          <w:sz w:val="20"/>
          <w:szCs w:val="20"/>
          <w:shd w:val="clear" w:color="auto" w:fill="FFFFFF"/>
          <w:lang w:val="es-CR"/>
        </w:rPr>
        <w:t>escritos de observaciones presentados por</w:t>
      </w:r>
      <w:r>
        <w:rPr>
          <w:rFonts w:ascii="Verdana" w:hAnsi="Verdana"/>
          <w:color w:val="000000"/>
          <w:sz w:val="20"/>
          <w:szCs w:val="20"/>
          <w:shd w:val="clear" w:color="auto" w:fill="FFFFFF"/>
          <w:lang w:val="es-CR"/>
        </w:rPr>
        <w:t xml:space="preserve"> los</w:t>
      </w:r>
      <w:r w:rsidRPr="009B4B9D">
        <w:rPr>
          <w:rFonts w:ascii="Verdana" w:hAnsi="Verdana"/>
          <w:color w:val="000000"/>
          <w:sz w:val="20"/>
          <w:szCs w:val="20"/>
          <w:shd w:val="clear" w:color="auto" w:fill="FFFFFF"/>
          <w:lang w:val="es-CR"/>
        </w:rPr>
        <w:t xml:space="preserve"> representante</w:t>
      </w:r>
      <w:r>
        <w:rPr>
          <w:rFonts w:ascii="Verdana" w:hAnsi="Verdana"/>
          <w:color w:val="000000"/>
          <w:sz w:val="20"/>
          <w:szCs w:val="20"/>
          <w:shd w:val="clear" w:color="auto" w:fill="FFFFFF"/>
          <w:lang w:val="es-CR"/>
        </w:rPr>
        <w:t>s</w:t>
      </w:r>
      <w:r w:rsidRPr="009B4B9D">
        <w:rPr>
          <w:rFonts w:ascii="Verdana" w:hAnsi="Verdana"/>
          <w:color w:val="000000"/>
          <w:sz w:val="20"/>
          <w:szCs w:val="20"/>
          <w:shd w:val="clear" w:color="auto" w:fill="FFFFFF"/>
          <w:lang w:val="es-CR"/>
        </w:rPr>
        <w:t xml:space="preserve"> de la víctima (en adelante “</w:t>
      </w:r>
      <w:r>
        <w:rPr>
          <w:rFonts w:ascii="Verdana" w:hAnsi="Verdana"/>
          <w:color w:val="000000"/>
          <w:sz w:val="20"/>
          <w:szCs w:val="20"/>
          <w:shd w:val="clear" w:color="auto" w:fill="FFFFFF"/>
          <w:lang w:val="es-CR"/>
        </w:rPr>
        <w:t>los</w:t>
      </w:r>
      <w:r w:rsidRPr="009B4B9D">
        <w:rPr>
          <w:rFonts w:ascii="Verdana" w:hAnsi="Verdana"/>
          <w:color w:val="000000"/>
          <w:sz w:val="20"/>
          <w:szCs w:val="20"/>
          <w:shd w:val="clear" w:color="auto" w:fill="FFFFFF"/>
          <w:lang w:val="es-CR"/>
        </w:rPr>
        <w:t xml:space="preserve"> representantes”)</w:t>
      </w:r>
      <w:r w:rsidRPr="009B4B9D">
        <w:rPr>
          <w:rStyle w:val="FootnoteReference"/>
          <w:rFonts w:ascii="Verdana" w:hAnsi="Verdana"/>
          <w:color w:val="000000"/>
          <w:sz w:val="20"/>
          <w:szCs w:val="20"/>
          <w:shd w:val="clear" w:color="auto" w:fill="FFFFFF"/>
          <w:lang w:val="es-CR"/>
        </w:rPr>
        <w:footnoteReference w:id="6"/>
      </w:r>
      <w:r w:rsidRPr="009B4B9D">
        <w:rPr>
          <w:rFonts w:ascii="Verdana" w:hAnsi="Verdana"/>
          <w:color w:val="000000"/>
          <w:sz w:val="20"/>
          <w:szCs w:val="20"/>
          <w:shd w:val="clear" w:color="auto" w:fill="FFFFFF"/>
          <w:lang w:val="es-CR"/>
        </w:rPr>
        <w:t xml:space="preserve"> entre </w:t>
      </w:r>
      <w:r>
        <w:rPr>
          <w:rFonts w:ascii="Verdana" w:hAnsi="Verdana"/>
          <w:sz w:val="20"/>
          <w:lang w:val="es-CR"/>
        </w:rPr>
        <w:t>marzo de 2017 y febrero de 2018</w:t>
      </w:r>
      <w:r w:rsidRPr="009B4B9D">
        <w:rPr>
          <w:rStyle w:val="FootnoteReference"/>
          <w:rFonts w:ascii="Verdana" w:hAnsi="Verdana"/>
          <w:color w:val="000000"/>
          <w:sz w:val="20"/>
          <w:szCs w:val="20"/>
          <w:shd w:val="clear" w:color="auto" w:fill="FFFFFF"/>
          <w:lang w:val="es-CR"/>
        </w:rPr>
        <w:footnoteReference w:id="7"/>
      </w:r>
      <w:r w:rsidRPr="009B4B9D">
        <w:rPr>
          <w:rFonts w:ascii="Verdana" w:hAnsi="Verdana"/>
          <w:color w:val="000000"/>
          <w:sz w:val="20"/>
          <w:szCs w:val="20"/>
          <w:shd w:val="clear" w:color="auto" w:fill="FFFFFF"/>
          <w:lang w:val="es-CR"/>
        </w:rPr>
        <w:t>.</w:t>
      </w:r>
    </w:p>
    <w:p w:rsidR="008B1C48" w:rsidRPr="00F31A83" w:rsidRDefault="008B1C48" w:rsidP="008B1C48">
      <w:pPr>
        <w:pStyle w:val="ListParagraph"/>
        <w:spacing w:after="0" w:line="240" w:lineRule="auto"/>
        <w:ind w:left="0"/>
        <w:contextualSpacing w:val="0"/>
        <w:jc w:val="both"/>
        <w:rPr>
          <w:rFonts w:ascii="Verdana" w:hAnsi="Verdana"/>
          <w:color w:val="000000"/>
          <w:sz w:val="10"/>
          <w:szCs w:val="10"/>
          <w:shd w:val="clear" w:color="auto" w:fill="FFFFFF"/>
          <w:lang w:val="es-CR"/>
        </w:rPr>
      </w:pPr>
    </w:p>
    <w:p w:rsidR="00916774" w:rsidRDefault="00916774" w:rsidP="008B1C48">
      <w:pPr>
        <w:pStyle w:val="ListParagraph"/>
        <w:numPr>
          <w:ilvl w:val="0"/>
          <w:numId w:val="1"/>
        </w:numPr>
        <w:spacing w:after="0" w:line="240" w:lineRule="auto"/>
        <w:ind w:left="0" w:firstLine="0"/>
        <w:contextualSpacing w:val="0"/>
        <w:jc w:val="both"/>
        <w:rPr>
          <w:rFonts w:ascii="Verdana" w:hAnsi="Verdana"/>
          <w:color w:val="000000"/>
          <w:sz w:val="20"/>
          <w:szCs w:val="20"/>
          <w:shd w:val="clear" w:color="auto" w:fill="FFFFFF"/>
          <w:lang w:val="es-CR"/>
        </w:rPr>
      </w:pPr>
      <w:r w:rsidRPr="009B4B9D">
        <w:rPr>
          <w:rFonts w:ascii="Verdana" w:hAnsi="Verdana"/>
          <w:color w:val="000000"/>
          <w:sz w:val="20"/>
          <w:szCs w:val="20"/>
          <w:shd w:val="clear" w:color="auto" w:fill="FFFFFF"/>
          <w:lang w:val="es-CR"/>
        </w:rPr>
        <w:t xml:space="preserve">Los </w:t>
      </w:r>
      <w:r>
        <w:rPr>
          <w:rFonts w:ascii="Verdana" w:hAnsi="Verdana"/>
          <w:color w:val="000000"/>
          <w:sz w:val="20"/>
          <w:szCs w:val="20"/>
          <w:shd w:val="clear" w:color="auto" w:fill="FFFFFF"/>
          <w:lang w:val="es-CR"/>
        </w:rPr>
        <w:t>tres</w:t>
      </w:r>
      <w:r w:rsidRPr="009B4B9D">
        <w:rPr>
          <w:rFonts w:ascii="Verdana" w:hAnsi="Verdana"/>
          <w:color w:val="000000"/>
          <w:sz w:val="20"/>
          <w:szCs w:val="20"/>
          <w:shd w:val="clear" w:color="auto" w:fill="FFFFFF"/>
          <w:lang w:val="es-CR"/>
        </w:rPr>
        <w:t xml:space="preserve"> escritos de observaciones presentados por la Comisión Interamericana de Derechos Humanos (en adelante “la Comisión Interamericana” o “la Comisión”) entre </w:t>
      </w:r>
      <w:r>
        <w:rPr>
          <w:rFonts w:ascii="Verdana" w:hAnsi="Verdana"/>
          <w:sz w:val="20"/>
          <w:lang w:val="es-CR"/>
        </w:rPr>
        <w:t>mayo de 2017 y enero de 2018</w:t>
      </w:r>
      <w:r w:rsidRPr="009B4B9D">
        <w:rPr>
          <w:rStyle w:val="FootnoteReference"/>
          <w:rFonts w:ascii="Verdana" w:hAnsi="Verdana"/>
          <w:color w:val="000000"/>
          <w:sz w:val="20"/>
          <w:szCs w:val="20"/>
          <w:shd w:val="clear" w:color="auto" w:fill="FFFFFF"/>
          <w:lang w:val="es-CR"/>
        </w:rPr>
        <w:footnoteReference w:id="8"/>
      </w:r>
      <w:r w:rsidRPr="009B4B9D">
        <w:rPr>
          <w:rFonts w:ascii="Verdana" w:hAnsi="Verdana"/>
          <w:color w:val="000000"/>
          <w:sz w:val="20"/>
          <w:szCs w:val="20"/>
          <w:shd w:val="clear" w:color="auto" w:fill="FFFFFF"/>
          <w:lang w:val="es-CR"/>
        </w:rPr>
        <w:t>.</w:t>
      </w:r>
    </w:p>
    <w:p w:rsidR="00916774" w:rsidRDefault="00916774" w:rsidP="00F31A83">
      <w:pPr>
        <w:spacing w:after="0" w:line="240" w:lineRule="auto"/>
        <w:jc w:val="both"/>
        <w:rPr>
          <w:rFonts w:ascii="Verdana" w:hAnsi="Verdana"/>
          <w:b/>
          <w:color w:val="000000"/>
          <w:sz w:val="20"/>
          <w:szCs w:val="20"/>
          <w:shd w:val="clear" w:color="auto" w:fill="FFFFFF"/>
          <w:lang w:val="es-CR"/>
        </w:rPr>
      </w:pPr>
    </w:p>
    <w:p w:rsidR="00B11E85" w:rsidRDefault="00B11E85" w:rsidP="00F31A83">
      <w:pPr>
        <w:spacing w:after="0" w:line="240" w:lineRule="auto"/>
        <w:jc w:val="both"/>
        <w:rPr>
          <w:rFonts w:ascii="Verdana" w:hAnsi="Verdana"/>
          <w:b/>
          <w:color w:val="000000"/>
          <w:sz w:val="20"/>
          <w:szCs w:val="20"/>
          <w:shd w:val="clear" w:color="auto" w:fill="FFFFFF"/>
          <w:lang w:val="es-CR"/>
        </w:rPr>
      </w:pPr>
    </w:p>
    <w:p w:rsidR="00B11E85" w:rsidRDefault="00B11E85" w:rsidP="00F31A83">
      <w:pPr>
        <w:spacing w:after="0" w:line="240" w:lineRule="auto"/>
        <w:jc w:val="both"/>
        <w:rPr>
          <w:rFonts w:ascii="Verdana" w:hAnsi="Verdana"/>
          <w:b/>
          <w:color w:val="000000"/>
          <w:sz w:val="20"/>
          <w:szCs w:val="20"/>
          <w:shd w:val="clear" w:color="auto" w:fill="FFFFFF"/>
          <w:lang w:val="es-CR"/>
        </w:rPr>
      </w:pPr>
    </w:p>
    <w:p w:rsidR="00916774" w:rsidRPr="009B4B9D" w:rsidRDefault="00916774" w:rsidP="008B1C48">
      <w:pPr>
        <w:spacing w:after="0" w:line="240" w:lineRule="auto"/>
        <w:jc w:val="both"/>
        <w:rPr>
          <w:rFonts w:ascii="Verdana" w:hAnsi="Verdana"/>
          <w:b/>
          <w:sz w:val="20"/>
          <w:lang w:val="es-MX"/>
        </w:rPr>
      </w:pPr>
      <w:r w:rsidRPr="009B4B9D">
        <w:rPr>
          <w:rFonts w:ascii="Verdana" w:hAnsi="Verdana"/>
          <w:b/>
          <w:sz w:val="20"/>
          <w:szCs w:val="20"/>
          <w:lang w:val="es-CR"/>
        </w:rPr>
        <w:t>C</w:t>
      </w:r>
      <w:r w:rsidRPr="009B4B9D">
        <w:rPr>
          <w:rFonts w:ascii="Verdana" w:hAnsi="Verdana"/>
          <w:b/>
          <w:sz w:val="20"/>
          <w:lang w:val="es-MX"/>
        </w:rPr>
        <w:t xml:space="preserve">ONSIDERANDO QUE: </w:t>
      </w:r>
    </w:p>
    <w:p w:rsidR="008B1C48" w:rsidRPr="008B1C48" w:rsidRDefault="008B1C48" w:rsidP="008B1C48">
      <w:pPr>
        <w:pStyle w:val="ListParagraph"/>
        <w:spacing w:after="0" w:line="240" w:lineRule="auto"/>
        <w:ind w:left="0"/>
        <w:contextualSpacing w:val="0"/>
        <w:jc w:val="both"/>
        <w:rPr>
          <w:rFonts w:ascii="Verdana" w:hAnsi="Verdana"/>
          <w:b/>
          <w:sz w:val="20"/>
          <w:lang w:val="es-MX"/>
        </w:rPr>
      </w:pPr>
    </w:p>
    <w:p w:rsidR="00916774" w:rsidRPr="00DD394B" w:rsidRDefault="00916774" w:rsidP="008B1C48">
      <w:pPr>
        <w:pStyle w:val="ListParagraph"/>
        <w:numPr>
          <w:ilvl w:val="0"/>
          <w:numId w:val="2"/>
        </w:numPr>
        <w:spacing w:after="0" w:line="240" w:lineRule="auto"/>
        <w:ind w:left="0" w:firstLine="0"/>
        <w:contextualSpacing w:val="0"/>
        <w:jc w:val="both"/>
        <w:rPr>
          <w:rFonts w:ascii="Verdana" w:hAnsi="Verdana"/>
          <w:b/>
          <w:sz w:val="20"/>
          <w:lang w:val="es-MX"/>
        </w:rPr>
      </w:pPr>
      <w:r w:rsidRPr="00DD394B">
        <w:rPr>
          <w:rFonts w:ascii="Verdana" w:hAnsi="Verdana"/>
          <w:sz w:val="20"/>
          <w:lang w:val="es-CR"/>
        </w:rPr>
        <w:t xml:space="preserve">En el ejercicio de </w:t>
      </w:r>
      <w:r w:rsidRPr="00DD394B">
        <w:rPr>
          <w:rFonts w:ascii="Verdana" w:hAnsi="Verdana"/>
          <w:sz w:val="20"/>
          <w:lang w:val="es-ES"/>
        </w:rPr>
        <w:t xml:space="preserve">su función jurisdiccional de </w:t>
      </w:r>
      <w:r w:rsidRPr="00DD394B">
        <w:rPr>
          <w:rFonts w:ascii="Verdana" w:hAnsi="Verdana"/>
          <w:sz w:val="20"/>
          <w:lang w:val="es-CR"/>
        </w:rPr>
        <w:t>supervisar el cumplimiento de sus decisiones</w:t>
      </w:r>
      <w:r w:rsidRPr="009B4B9D">
        <w:rPr>
          <w:rStyle w:val="FootnoteReference"/>
          <w:rFonts w:ascii="Verdana" w:hAnsi="Verdana"/>
          <w:sz w:val="20"/>
        </w:rPr>
        <w:footnoteReference w:id="9"/>
      </w:r>
      <w:r w:rsidRPr="00DD394B">
        <w:rPr>
          <w:rFonts w:ascii="Verdana" w:hAnsi="Verdana"/>
          <w:sz w:val="20"/>
          <w:lang w:val="es-CR"/>
        </w:rPr>
        <w:t xml:space="preserve">, la Corte ha venido supervisando la ejecución de la Sentencia emitida </w:t>
      </w:r>
      <w:r w:rsidRPr="00DD394B">
        <w:rPr>
          <w:rFonts w:ascii="Verdana" w:hAnsi="Verdana"/>
          <w:sz w:val="20"/>
          <w:lang w:val="es-MX"/>
        </w:rPr>
        <w:t>en el 2016 (</w:t>
      </w:r>
      <w:r w:rsidRPr="00DD394B">
        <w:rPr>
          <w:rFonts w:ascii="Verdana" w:hAnsi="Verdana"/>
          <w:i/>
          <w:sz w:val="20"/>
          <w:lang w:val="es-MX"/>
        </w:rPr>
        <w:t>supra</w:t>
      </w:r>
      <w:r w:rsidRPr="00DD394B">
        <w:rPr>
          <w:rFonts w:ascii="Verdana" w:hAnsi="Verdana"/>
          <w:sz w:val="20"/>
          <w:lang w:val="es-MX"/>
        </w:rPr>
        <w:t xml:space="preserve"> Visto 1). </w:t>
      </w:r>
      <w:r w:rsidRPr="00DD394B">
        <w:rPr>
          <w:rFonts w:ascii="Verdana" w:hAnsi="Verdana"/>
          <w:sz w:val="20"/>
          <w:szCs w:val="20"/>
          <w:lang w:val="es-CR"/>
        </w:rPr>
        <w:t xml:space="preserve">En la Sentencia la Corte dispuso </w:t>
      </w:r>
      <w:r w:rsidR="00895895">
        <w:rPr>
          <w:rFonts w:ascii="Verdana" w:hAnsi="Verdana"/>
          <w:sz w:val="20"/>
          <w:szCs w:val="20"/>
          <w:lang w:val="es-CR"/>
        </w:rPr>
        <w:t>cuatro</w:t>
      </w:r>
      <w:r w:rsidR="00DD394B" w:rsidRPr="00DD394B">
        <w:rPr>
          <w:rFonts w:ascii="Verdana" w:hAnsi="Verdana"/>
          <w:sz w:val="20"/>
          <w:szCs w:val="20"/>
          <w:lang w:val="es-CR"/>
        </w:rPr>
        <w:t xml:space="preserve"> medidas de reparación</w:t>
      </w:r>
      <w:r w:rsidR="00B40ADC">
        <w:rPr>
          <w:rFonts w:ascii="Verdana" w:hAnsi="Verdana"/>
          <w:sz w:val="20"/>
          <w:szCs w:val="20"/>
          <w:lang w:val="es-CR"/>
        </w:rPr>
        <w:t xml:space="preserve"> </w:t>
      </w:r>
      <w:r w:rsidR="00EC6E2D">
        <w:rPr>
          <w:rFonts w:ascii="Verdana" w:hAnsi="Verdana"/>
          <w:sz w:val="20"/>
          <w:lang w:val="es-MX"/>
        </w:rPr>
        <w:t>y el reintegro al Fondo de Asistencia Legal de Víctimas</w:t>
      </w:r>
      <w:r w:rsidR="00EC6E2D">
        <w:rPr>
          <w:rFonts w:ascii="Verdana" w:hAnsi="Verdana"/>
          <w:sz w:val="20"/>
          <w:szCs w:val="20"/>
          <w:lang w:val="es-CR"/>
        </w:rPr>
        <w:t xml:space="preserve"> </w:t>
      </w:r>
      <w:r w:rsidR="00B40ADC">
        <w:rPr>
          <w:rFonts w:ascii="Verdana" w:hAnsi="Verdana"/>
          <w:sz w:val="20"/>
          <w:szCs w:val="20"/>
          <w:lang w:val="es-CR"/>
        </w:rPr>
        <w:t>(</w:t>
      </w:r>
      <w:r w:rsidR="00B40ADC" w:rsidRPr="00B40ADC">
        <w:rPr>
          <w:rFonts w:ascii="Verdana" w:hAnsi="Verdana"/>
          <w:i/>
          <w:sz w:val="20"/>
          <w:szCs w:val="20"/>
          <w:lang w:val="es-CR"/>
        </w:rPr>
        <w:t>infra</w:t>
      </w:r>
      <w:r w:rsidR="00B827DF">
        <w:rPr>
          <w:rFonts w:ascii="Verdana" w:hAnsi="Verdana"/>
          <w:sz w:val="20"/>
          <w:szCs w:val="20"/>
          <w:lang w:val="es-CR"/>
        </w:rPr>
        <w:t xml:space="preserve"> Considerandos 4, 7</w:t>
      </w:r>
      <w:r w:rsidR="00B40ADC">
        <w:rPr>
          <w:rFonts w:ascii="Verdana" w:hAnsi="Verdana"/>
          <w:sz w:val="20"/>
          <w:szCs w:val="20"/>
          <w:lang w:val="es-CR"/>
        </w:rPr>
        <w:t xml:space="preserve">, </w:t>
      </w:r>
      <w:r w:rsidR="00B827DF">
        <w:rPr>
          <w:rFonts w:ascii="Verdana" w:hAnsi="Verdana"/>
          <w:sz w:val="20"/>
          <w:szCs w:val="20"/>
          <w:lang w:val="es-CR"/>
        </w:rPr>
        <w:t>18 y 2</w:t>
      </w:r>
      <w:r w:rsidR="00B11E85">
        <w:rPr>
          <w:rFonts w:ascii="Verdana" w:hAnsi="Verdana"/>
          <w:sz w:val="20"/>
          <w:szCs w:val="20"/>
          <w:lang w:val="es-CR"/>
        </w:rPr>
        <w:t>1</w:t>
      </w:r>
      <w:r w:rsidR="00B40ADC">
        <w:rPr>
          <w:rFonts w:ascii="Verdana" w:hAnsi="Verdana"/>
          <w:sz w:val="20"/>
          <w:szCs w:val="20"/>
          <w:lang w:val="es-CR"/>
        </w:rPr>
        <w:t>)</w:t>
      </w:r>
      <w:r w:rsidR="00DD394B" w:rsidRPr="00DD394B">
        <w:rPr>
          <w:rFonts w:ascii="Verdana" w:hAnsi="Verdana"/>
          <w:sz w:val="20"/>
          <w:szCs w:val="20"/>
          <w:lang w:val="es-CR"/>
        </w:rPr>
        <w:t>.</w:t>
      </w:r>
      <w:r w:rsidRPr="00DD394B">
        <w:rPr>
          <w:rFonts w:ascii="Verdana" w:hAnsi="Verdana"/>
          <w:sz w:val="20"/>
          <w:szCs w:val="20"/>
          <w:lang w:val="es-CR"/>
        </w:rPr>
        <w:t xml:space="preserve"> </w:t>
      </w:r>
    </w:p>
    <w:p w:rsidR="008B1C48" w:rsidRPr="008B1C48" w:rsidRDefault="008B1C48" w:rsidP="008B1C48">
      <w:pPr>
        <w:pStyle w:val="ListParagraph"/>
        <w:spacing w:after="0" w:line="240" w:lineRule="auto"/>
        <w:ind w:left="0"/>
        <w:contextualSpacing w:val="0"/>
        <w:jc w:val="both"/>
        <w:rPr>
          <w:rFonts w:ascii="Verdana" w:hAnsi="Verdana"/>
          <w:b/>
          <w:sz w:val="20"/>
          <w:lang w:val="es-MX"/>
        </w:rPr>
      </w:pPr>
    </w:p>
    <w:p w:rsidR="00916774" w:rsidRPr="003F5F46" w:rsidRDefault="00916774" w:rsidP="008B1C48">
      <w:pPr>
        <w:pStyle w:val="ListParagraph"/>
        <w:numPr>
          <w:ilvl w:val="0"/>
          <w:numId w:val="2"/>
        </w:numPr>
        <w:spacing w:after="0" w:line="240" w:lineRule="auto"/>
        <w:ind w:left="0" w:firstLine="0"/>
        <w:contextualSpacing w:val="0"/>
        <w:jc w:val="both"/>
        <w:rPr>
          <w:rFonts w:ascii="Verdana" w:hAnsi="Verdana"/>
          <w:b/>
          <w:sz w:val="20"/>
          <w:lang w:val="es-MX"/>
        </w:rPr>
      </w:pPr>
      <w:r w:rsidRPr="009B4B9D">
        <w:rPr>
          <w:rFonts w:ascii="Verdana" w:hAnsi="Verdana"/>
          <w:sz w:val="20"/>
          <w:szCs w:val="20"/>
          <w:lang w:val="es-CR"/>
        </w:rPr>
        <w:t>De conformidad con lo establecido en el artículo 68.1 de la Convención Americana, “[l]os Estados Partes en la Convención se comprometen a cumplir la decisión de la Corte en todo caso en que sean partes”. Esta obligación incluye el deber del Estado de informar a la Corte sobre las medidas adoptadas para cumplir cada uno de los puntos ordenados, lo cual es fundamental para evaluar el estado de cumplimiento de la Sentencia en su conjunto</w:t>
      </w:r>
      <w:r w:rsidRPr="009B4B9D">
        <w:rPr>
          <w:rStyle w:val="FootnoteReference"/>
          <w:rFonts w:ascii="Verdana" w:hAnsi="Verdana"/>
          <w:sz w:val="20"/>
          <w:szCs w:val="20"/>
        </w:rPr>
        <w:footnoteReference w:id="10"/>
      </w:r>
      <w:r w:rsidRPr="009B4B9D">
        <w:rPr>
          <w:rFonts w:ascii="Verdana" w:hAnsi="Verdana"/>
          <w:sz w:val="20"/>
          <w:szCs w:val="20"/>
          <w:lang w:val="es-CR"/>
        </w:rPr>
        <w:t>.</w:t>
      </w:r>
      <w:r>
        <w:rPr>
          <w:rFonts w:ascii="Times New Roman" w:hAnsi="Times New Roman"/>
          <w:sz w:val="24"/>
          <w:szCs w:val="24"/>
          <w:lang w:val="es-CR"/>
        </w:rPr>
        <w:t xml:space="preserve"> </w:t>
      </w:r>
      <w:r w:rsidRPr="006A08FC">
        <w:rPr>
          <w:rFonts w:ascii="Verdana" w:hAnsi="Verdana"/>
          <w:sz w:val="20"/>
          <w:szCs w:val="20"/>
          <w:lang w:val="es-CR"/>
        </w:rPr>
        <w:t>Los Estados Parte en la Convención deben garantizar el cumplimiento de las disposiciones convencionales y sus efectos propios (</w:t>
      </w:r>
      <w:proofErr w:type="spellStart"/>
      <w:r w:rsidRPr="006A08FC">
        <w:rPr>
          <w:rFonts w:ascii="Verdana" w:hAnsi="Verdana"/>
          <w:i/>
          <w:sz w:val="20"/>
          <w:szCs w:val="20"/>
          <w:lang w:val="es-CR"/>
        </w:rPr>
        <w:t>effet</w:t>
      </w:r>
      <w:proofErr w:type="spellEnd"/>
      <w:r w:rsidRPr="006A08FC">
        <w:rPr>
          <w:rFonts w:ascii="Verdana" w:hAnsi="Verdana"/>
          <w:i/>
          <w:sz w:val="20"/>
          <w:szCs w:val="20"/>
          <w:lang w:val="es-CR"/>
        </w:rPr>
        <w:t xml:space="preserve"> </w:t>
      </w:r>
      <w:proofErr w:type="spellStart"/>
      <w:r w:rsidRPr="006A08FC">
        <w:rPr>
          <w:rFonts w:ascii="Verdana" w:hAnsi="Verdana"/>
          <w:i/>
          <w:sz w:val="20"/>
          <w:szCs w:val="20"/>
          <w:lang w:val="es-CR"/>
        </w:rPr>
        <w:t>utile</w:t>
      </w:r>
      <w:proofErr w:type="spellEnd"/>
      <w:r w:rsidRPr="006A08FC">
        <w:rPr>
          <w:rFonts w:ascii="Verdana" w:hAnsi="Verdana"/>
          <w:sz w:val="20"/>
          <w:szCs w:val="20"/>
          <w:lang w:val="es-CR"/>
        </w:rPr>
        <w:t>) en el plano de sus respectivos derechos internos. Estas obligaciones deben ser interpretadas y aplicadas de manera que la garantía protegida sea verdaderamente práctica y eficaz, teniendo presente la naturaleza especial de los tratados de derechos humanos</w:t>
      </w:r>
      <w:r w:rsidRPr="009B4B9D">
        <w:rPr>
          <w:rStyle w:val="FootnoteReference"/>
          <w:rFonts w:ascii="Verdana" w:hAnsi="Verdana"/>
          <w:sz w:val="20"/>
          <w:szCs w:val="20"/>
          <w:lang w:val="es-CR"/>
        </w:rPr>
        <w:footnoteReference w:id="11"/>
      </w:r>
      <w:r w:rsidRPr="006A08FC">
        <w:rPr>
          <w:rFonts w:ascii="Verdana" w:hAnsi="Verdana"/>
          <w:sz w:val="20"/>
          <w:szCs w:val="20"/>
          <w:lang w:val="es-CR"/>
        </w:rPr>
        <w:t>.</w:t>
      </w:r>
    </w:p>
    <w:p w:rsidR="008B1C48" w:rsidRPr="008B1C48" w:rsidRDefault="008B1C48" w:rsidP="008B1C48">
      <w:pPr>
        <w:pStyle w:val="ListParagraph"/>
        <w:spacing w:after="0" w:line="240" w:lineRule="auto"/>
        <w:ind w:left="0"/>
        <w:contextualSpacing w:val="0"/>
        <w:jc w:val="both"/>
        <w:rPr>
          <w:rFonts w:ascii="Verdana" w:hAnsi="Verdana"/>
          <w:sz w:val="20"/>
          <w:szCs w:val="20"/>
          <w:lang w:val="es-CR"/>
        </w:rPr>
      </w:pPr>
    </w:p>
    <w:p w:rsidR="00916774" w:rsidRPr="00B75EAA" w:rsidRDefault="00693AD5" w:rsidP="008B1C48">
      <w:pPr>
        <w:pStyle w:val="ListParagraph"/>
        <w:numPr>
          <w:ilvl w:val="0"/>
          <w:numId w:val="3"/>
        </w:numPr>
        <w:spacing w:after="0" w:line="240" w:lineRule="auto"/>
        <w:ind w:left="0" w:hanging="11"/>
        <w:contextualSpacing w:val="0"/>
        <w:jc w:val="both"/>
        <w:rPr>
          <w:rFonts w:ascii="Verdana" w:hAnsi="Verdana"/>
          <w:sz w:val="20"/>
          <w:szCs w:val="20"/>
          <w:lang w:val="es-CR"/>
        </w:rPr>
      </w:pPr>
      <w:r>
        <w:rPr>
          <w:rFonts w:ascii="Verdana" w:hAnsi="Verdana"/>
          <w:sz w:val="20"/>
          <w:lang w:val="es-CR"/>
        </w:rPr>
        <w:t>En la presente Resolución, l</w:t>
      </w:r>
      <w:r w:rsidR="00916774" w:rsidRPr="00693AD5">
        <w:rPr>
          <w:rFonts w:ascii="Verdana" w:hAnsi="Verdana"/>
          <w:sz w:val="20"/>
          <w:lang w:val="es-MX"/>
        </w:rPr>
        <w:t>a Corte valorará la información presentada por las partes</w:t>
      </w:r>
      <w:r>
        <w:rPr>
          <w:rFonts w:ascii="Verdana" w:hAnsi="Verdana"/>
          <w:sz w:val="20"/>
          <w:lang w:val="es-MX"/>
        </w:rPr>
        <w:t xml:space="preserve">, así como las observaciones de la Comisión Interamericana, </w:t>
      </w:r>
      <w:r w:rsidR="00E50B8E">
        <w:rPr>
          <w:rFonts w:ascii="Verdana" w:hAnsi="Verdana"/>
          <w:sz w:val="20"/>
          <w:lang w:val="es-MX"/>
        </w:rPr>
        <w:t xml:space="preserve">para determinar el grado de cumplimiento por parte del Estado </w:t>
      </w:r>
      <w:r w:rsidR="00916774" w:rsidRPr="00693AD5">
        <w:rPr>
          <w:rFonts w:ascii="Verdana" w:hAnsi="Verdana"/>
          <w:sz w:val="20"/>
          <w:lang w:val="es-MX"/>
        </w:rPr>
        <w:t xml:space="preserve">de las </w:t>
      </w:r>
      <w:r w:rsidR="00DD394B" w:rsidRPr="00693AD5">
        <w:rPr>
          <w:rFonts w:ascii="Verdana" w:hAnsi="Verdana"/>
          <w:sz w:val="20"/>
          <w:lang w:val="es-MX"/>
        </w:rPr>
        <w:t xml:space="preserve">cuatro </w:t>
      </w:r>
      <w:r w:rsidR="00916774" w:rsidRPr="00693AD5">
        <w:rPr>
          <w:rFonts w:ascii="Verdana" w:hAnsi="Verdana"/>
          <w:sz w:val="20"/>
          <w:lang w:val="es-MX"/>
        </w:rPr>
        <w:t xml:space="preserve">medidas de reparación ordenadas en este caso, </w:t>
      </w:r>
      <w:r w:rsidR="00E50B8E">
        <w:rPr>
          <w:rFonts w:ascii="Verdana" w:hAnsi="Verdana"/>
          <w:sz w:val="20"/>
          <w:lang w:val="es-MX"/>
        </w:rPr>
        <w:t>así como el reintegro al Fondo de Asistencia Legal de Víctimas</w:t>
      </w:r>
      <w:r w:rsidR="00916774" w:rsidRPr="00693AD5">
        <w:rPr>
          <w:rFonts w:ascii="Verdana" w:hAnsi="Verdana"/>
          <w:sz w:val="20"/>
          <w:lang w:val="es-MX"/>
        </w:rPr>
        <w:t xml:space="preserve">. </w:t>
      </w:r>
      <w:r>
        <w:rPr>
          <w:rFonts w:ascii="Verdana" w:hAnsi="Verdana"/>
          <w:sz w:val="20"/>
          <w:lang w:val="es-MX"/>
        </w:rPr>
        <w:t>Para tal efecto, e</w:t>
      </w:r>
      <w:r w:rsidR="00916774" w:rsidRPr="00693AD5">
        <w:rPr>
          <w:rFonts w:ascii="Verdana" w:hAnsi="Verdana"/>
          <w:sz w:val="20"/>
          <w:lang w:val="es-MX"/>
        </w:rPr>
        <w:t xml:space="preserve">l Tribunal estructurará sus consideraciones en el siguiente orden: </w:t>
      </w:r>
    </w:p>
    <w:p w:rsidR="00B75EAA" w:rsidRDefault="00B75EAA" w:rsidP="00B75EAA">
      <w:pPr>
        <w:pStyle w:val="ListParagraph"/>
        <w:spacing w:after="0" w:line="240" w:lineRule="auto"/>
        <w:ind w:left="0"/>
        <w:contextualSpacing w:val="0"/>
        <w:jc w:val="both"/>
        <w:rPr>
          <w:rFonts w:ascii="Verdana" w:hAnsi="Verdana"/>
          <w:sz w:val="20"/>
          <w:szCs w:val="20"/>
          <w:lang w:val="es-CR"/>
        </w:rPr>
      </w:pPr>
    </w:p>
    <w:p w:rsidR="00AF7F9F" w:rsidRDefault="00AF7F9F" w:rsidP="00B75EAA">
      <w:pPr>
        <w:pStyle w:val="ListParagraph"/>
        <w:spacing w:after="0" w:line="240" w:lineRule="auto"/>
        <w:ind w:left="0"/>
        <w:contextualSpacing w:val="0"/>
        <w:jc w:val="both"/>
        <w:rPr>
          <w:rFonts w:ascii="Verdana" w:hAnsi="Verdana"/>
          <w:sz w:val="20"/>
          <w:szCs w:val="20"/>
          <w:lang w:val="es-CR"/>
        </w:rPr>
      </w:pPr>
    </w:p>
    <w:p w:rsidR="009841C6" w:rsidRPr="00AF7F9F" w:rsidRDefault="00916774" w:rsidP="008B1C48">
      <w:pPr>
        <w:pStyle w:val="TOC1"/>
        <w:spacing w:after="0" w:line="240" w:lineRule="auto"/>
        <w:rPr>
          <w:rFonts w:ascii="Verdana" w:eastAsiaTheme="minorEastAsia" w:hAnsi="Verdana" w:cstheme="minorBidi"/>
          <w:noProof/>
          <w:sz w:val="20"/>
          <w:szCs w:val="20"/>
          <w:lang w:val="es-CR" w:eastAsia="es-CR"/>
        </w:rPr>
      </w:pPr>
      <w:r w:rsidRPr="009841C6">
        <w:rPr>
          <w:rFonts w:ascii="Verdana" w:hAnsi="Verdana"/>
          <w:sz w:val="20"/>
          <w:szCs w:val="20"/>
          <w:lang w:val="es-CR"/>
        </w:rPr>
        <w:fldChar w:fldCharType="begin"/>
      </w:r>
      <w:r w:rsidRPr="009841C6">
        <w:rPr>
          <w:rFonts w:ascii="Verdana" w:hAnsi="Verdana"/>
          <w:sz w:val="20"/>
          <w:szCs w:val="20"/>
          <w:lang w:val="es-CR"/>
        </w:rPr>
        <w:instrText xml:space="preserve"> TOC \o "1-1" \h \z \u </w:instrText>
      </w:r>
      <w:r w:rsidRPr="009841C6">
        <w:rPr>
          <w:rFonts w:ascii="Verdana" w:hAnsi="Verdana"/>
          <w:sz w:val="20"/>
          <w:szCs w:val="20"/>
          <w:lang w:val="es-CR"/>
        </w:rPr>
        <w:fldChar w:fldCharType="separate"/>
      </w:r>
      <w:hyperlink w:anchor="_Toc513709590" w:history="1">
        <w:r w:rsidR="009841C6" w:rsidRPr="00AF7F9F">
          <w:rPr>
            <w:rStyle w:val="Hyperlink"/>
            <w:rFonts w:ascii="Verdana" w:hAnsi="Verdana"/>
            <w:i/>
            <w:noProof/>
            <w:sz w:val="20"/>
            <w:szCs w:val="20"/>
            <w:lang w:val="es-MX"/>
          </w:rPr>
          <w:t>A.</w:t>
        </w:r>
        <w:r w:rsidR="009841C6" w:rsidRPr="00AF7F9F">
          <w:rPr>
            <w:rFonts w:ascii="Verdana" w:eastAsiaTheme="minorEastAsia" w:hAnsi="Verdana" w:cstheme="minorBidi"/>
            <w:noProof/>
            <w:sz w:val="20"/>
            <w:szCs w:val="20"/>
            <w:lang w:val="es-CR" w:eastAsia="es-CR"/>
          </w:rPr>
          <w:tab/>
        </w:r>
        <w:r w:rsidR="009841C6" w:rsidRPr="00AF7F9F">
          <w:rPr>
            <w:rStyle w:val="Hyperlink"/>
            <w:rFonts w:ascii="Verdana" w:hAnsi="Verdana"/>
            <w:i/>
            <w:noProof/>
            <w:sz w:val="20"/>
            <w:szCs w:val="20"/>
            <w:lang w:val="es-MX"/>
          </w:rPr>
          <w:t xml:space="preserve">Publicación </w:t>
        </w:r>
        <w:r w:rsidR="002362FE" w:rsidRPr="00AF7F9F">
          <w:rPr>
            <w:rStyle w:val="Hyperlink"/>
            <w:rFonts w:ascii="Verdana" w:hAnsi="Verdana"/>
            <w:i/>
            <w:noProof/>
            <w:sz w:val="20"/>
            <w:szCs w:val="20"/>
            <w:lang w:val="es-MX"/>
          </w:rPr>
          <w:t xml:space="preserve">y difusión </w:t>
        </w:r>
        <w:r w:rsidR="009841C6" w:rsidRPr="00AF7F9F">
          <w:rPr>
            <w:rStyle w:val="Hyperlink"/>
            <w:rFonts w:ascii="Verdana" w:hAnsi="Verdana"/>
            <w:i/>
            <w:noProof/>
            <w:sz w:val="20"/>
            <w:szCs w:val="20"/>
            <w:lang w:val="es-MX"/>
          </w:rPr>
          <w:t>de la Sentencia</w:t>
        </w:r>
        <w:r w:rsidR="009841C6" w:rsidRPr="00AF7F9F">
          <w:rPr>
            <w:rFonts w:ascii="Verdana" w:hAnsi="Verdana"/>
            <w:noProof/>
            <w:webHidden/>
            <w:sz w:val="20"/>
            <w:szCs w:val="20"/>
          </w:rPr>
          <w:tab/>
        </w:r>
        <w:r w:rsidR="009841C6" w:rsidRPr="00AF7F9F">
          <w:rPr>
            <w:rFonts w:ascii="Verdana" w:hAnsi="Verdana"/>
            <w:noProof/>
            <w:webHidden/>
            <w:sz w:val="20"/>
            <w:szCs w:val="20"/>
          </w:rPr>
          <w:fldChar w:fldCharType="begin"/>
        </w:r>
        <w:r w:rsidR="009841C6" w:rsidRPr="00AF7F9F">
          <w:rPr>
            <w:rFonts w:ascii="Verdana" w:hAnsi="Verdana"/>
            <w:noProof/>
            <w:webHidden/>
            <w:sz w:val="20"/>
            <w:szCs w:val="20"/>
          </w:rPr>
          <w:instrText xml:space="preserve"> PAGEREF _Toc513709590 \h </w:instrText>
        </w:r>
        <w:r w:rsidR="009841C6" w:rsidRPr="00AF7F9F">
          <w:rPr>
            <w:rFonts w:ascii="Verdana" w:hAnsi="Verdana"/>
            <w:noProof/>
            <w:webHidden/>
            <w:sz w:val="20"/>
            <w:szCs w:val="20"/>
          </w:rPr>
        </w:r>
        <w:r w:rsidR="009841C6" w:rsidRPr="00AF7F9F">
          <w:rPr>
            <w:rFonts w:ascii="Verdana" w:hAnsi="Verdana"/>
            <w:noProof/>
            <w:webHidden/>
            <w:sz w:val="20"/>
            <w:szCs w:val="20"/>
          </w:rPr>
          <w:fldChar w:fldCharType="separate"/>
        </w:r>
        <w:r w:rsidR="00E51A8E">
          <w:rPr>
            <w:rFonts w:ascii="Verdana" w:hAnsi="Verdana"/>
            <w:noProof/>
            <w:webHidden/>
            <w:sz w:val="20"/>
            <w:szCs w:val="20"/>
          </w:rPr>
          <w:t>3</w:t>
        </w:r>
        <w:r w:rsidR="009841C6" w:rsidRPr="00AF7F9F">
          <w:rPr>
            <w:rFonts w:ascii="Verdana" w:hAnsi="Verdana"/>
            <w:noProof/>
            <w:webHidden/>
            <w:sz w:val="20"/>
            <w:szCs w:val="20"/>
          </w:rPr>
          <w:fldChar w:fldCharType="end"/>
        </w:r>
      </w:hyperlink>
    </w:p>
    <w:p w:rsidR="009841C6" w:rsidRPr="00AF7F9F" w:rsidRDefault="00E51A8E" w:rsidP="008B1C48">
      <w:pPr>
        <w:pStyle w:val="TOC1"/>
        <w:spacing w:after="0" w:line="240" w:lineRule="auto"/>
        <w:rPr>
          <w:rFonts w:ascii="Verdana" w:eastAsiaTheme="minorEastAsia" w:hAnsi="Verdana" w:cstheme="minorBidi"/>
          <w:noProof/>
          <w:sz w:val="20"/>
          <w:szCs w:val="20"/>
          <w:lang w:val="es-CR" w:eastAsia="es-CR"/>
        </w:rPr>
      </w:pPr>
      <w:hyperlink w:anchor="_Toc513709591" w:history="1">
        <w:r w:rsidR="009841C6" w:rsidRPr="00AF7F9F">
          <w:rPr>
            <w:rStyle w:val="Hyperlink"/>
            <w:rFonts w:ascii="Verdana" w:hAnsi="Verdana"/>
            <w:i/>
            <w:noProof/>
            <w:sz w:val="20"/>
            <w:szCs w:val="20"/>
            <w:lang w:val="es-MX"/>
          </w:rPr>
          <w:t>B.</w:t>
        </w:r>
        <w:r w:rsidR="009841C6" w:rsidRPr="00AF7F9F">
          <w:rPr>
            <w:rFonts w:ascii="Verdana" w:eastAsiaTheme="minorEastAsia" w:hAnsi="Verdana" w:cstheme="minorBidi"/>
            <w:noProof/>
            <w:sz w:val="20"/>
            <w:szCs w:val="20"/>
            <w:lang w:val="es-CR" w:eastAsia="es-CR"/>
          </w:rPr>
          <w:tab/>
        </w:r>
        <w:r w:rsidR="009841C6" w:rsidRPr="00AF7F9F">
          <w:rPr>
            <w:rStyle w:val="Hyperlink"/>
            <w:rFonts w:ascii="Verdana" w:hAnsi="Verdana"/>
            <w:i/>
            <w:noProof/>
            <w:sz w:val="20"/>
            <w:szCs w:val="20"/>
            <w:lang w:val="es-MX"/>
          </w:rPr>
          <w:t>Trámite prioritario en la solicitud de pensión del señor Duque</w:t>
        </w:r>
        <w:r w:rsidR="009841C6" w:rsidRPr="00AF7F9F">
          <w:rPr>
            <w:rFonts w:ascii="Verdana" w:hAnsi="Verdana"/>
            <w:noProof/>
            <w:webHidden/>
            <w:sz w:val="20"/>
            <w:szCs w:val="20"/>
          </w:rPr>
          <w:tab/>
        </w:r>
        <w:r w:rsidR="009841C6" w:rsidRPr="00AF7F9F">
          <w:rPr>
            <w:rFonts w:ascii="Verdana" w:hAnsi="Verdana"/>
            <w:noProof/>
            <w:webHidden/>
            <w:sz w:val="20"/>
            <w:szCs w:val="20"/>
          </w:rPr>
          <w:fldChar w:fldCharType="begin"/>
        </w:r>
        <w:r w:rsidR="009841C6" w:rsidRPr="00AF7F9F">
          <w:rPr>
            <w:rFonts w:ascii="Verdana" w:hAnsi="Verdana"/>
            <w:noProof/>
            <w:webHidden/>
            <w:sz w:val="20"/>
            <w:szCs w:val="20"/>
          </w:rPr>
          <w:instrText xml:space="preserve"> PAGEREF _Toc513709591 \h </w:instrText>
        </w:r>
        <w:r w:rsidR="009841C6" w:rsidRPr="00AF7F9F">
          <w:rPr>
            <w:rFonts w:ascii="Verdana" w:hAnsi="Verdana"/>
            <w:noProof/>
            <w:webHidden/>
            <w:sz w:val="20"/>
            <w:szCs w:val="20"/>
          </w:rPr>
        </w:r>
        <w:r w:rsidR="009841C6" w:rsidRPr="00AF7F9F">
          <w:rPr>
            <w:rFonts w:ascii="Verdana" w:hAnsi="Verdana"/>
            <w:noProof/>
            <w:webHidden/>
            <w:sz w:val="20"/>
            <w:szCs w:val="20"/>
          </w:rPr>
          <w:fldChar w:fldCharType="separate"/>
        </w:r>
        <w:r>
          <w:rPr>
            <w:rFonts w:ascii="Verdana" w:hAnsi="Verdana"/>
            <w:noProof/>
            <w:webHidden/>
            <w:sz w:val="20"/>
            <w:szCs w:val="20"/>
          </w:rPr>
          <w:t>3</w:t>
        </w:r>
        <w:r w:rsidR="009841C6" w:rsidRPr="00AF7F9F">
          <w:rPr>
            <w:rFonts w:ascii="Verdana" w:hAnsi="Verdana"/>
            <w:noProof/>
            <w:webHidden/>
            <w:sz w:val="20"/>
            <w:szCs w:val="20"/>
          </w:rPr>
          <w:fldChar w:fldCharType="end"/>
        </w:r>
      </w:hyperlink>
    </w:p>
    <w:p w:rsidR="009841C6" w:rsidRPr="00AF7F9F" w:rsidRDefault="00E51A8E" w:rsidP="008B1C48">
      <w:pPr>
        <w:pStyle w:val="TOC1"/>
        <w:spacing w:after="0" w:line="240" w:lineRule="auto"/>
        <w:rPr>
          <w:rFonts w:ascii="Verdana" w:eastAsiaTheme="minorEastAsia" w:hAnsi="Verdana" w:cstheme="minorBidi"/>
          <w:noProof/>
          <w:sz w:val="20"/>
          <w:szCs w:val="20"/>
          <w:lang w:val="es-CR" w:eastAsia="es-CR"/>
        </w:rPr>
      </w:pPr>
      <w:hyperlink w:anchor="_Toc513709592" w:history="1">
        <w:r w:rsidR="009841C6" w:rsidRPr="00AF7F9F">
          <w:rPr>
            <w:rStyle w:val="Hyperlink"/>
            <w:rFonts w:ascii="Verdana" w:hAnsi="Verdana"/>
            <w:i/>
            <w:noProof/>
            <w:sz w:val="20"/>
            <w:szCs w:val="20"/>
            <w:lang w:val="es-MX"/>
          </w:rPr>
          <w:t>C.</w:t>
        </w:r>
        <w:r w:rsidR="009841C6" w:rsidRPr="00AF7F9F">
          <w:rPr>
            <w:rFonts w:ascii="Verdana" w:eastAsiaTheme="minorEastAsia" w:hAnsi="Verdana" w:cstheme="minorBidi"/>
            <w:noProof/>
            <w:sz w:val="20"/>
            <w:szCs w:val="20"/>
            <w:lang w:val="es-CR" w:eastAsia="es-CR"/>
          </w:rPr>
          <w:tab/>
        </w:r>
        <w:r w:rsidR="009841C6" w:rsidRPr="00AF7F9F">
          <w:rPr>
            <w:rStyle w:val="Hyperlink"/>
            <w:rFonts w:ascii="Verdana" w:hAnsi="Verdana"/>
            <w:i/>
            <w:noProof/>
            <w:sz w:val="20"/>
            <w:szCs w:val="20"/>
            <w:lang w:val="es-MX"/>
          </w:rPr>
          <w:t>Pago</w:t>
        </w:r>
        <w:r w:rsidR="00E13446" w:rsidRPr="00AF7F9F">
          <w:rPr>
            <w:rStyle w:val="Hyperlink"/>
            <w:rFonts w:ascii="Verdana" w:hAnsi="Verdana"/>
            <w:i/>
            <w:noProof/>
            <w:sz w:val="20"/>
            <w:szCs w:val="20"/>
            <w:lang w:val="es-MX"/>
          </w:rPr>
          <w:t>s</w:t>
        </w:r>
        <w:r w:rsidR="00E50B8E" w:rsidRPr="00AF7F9F">
          <w:rPr>
            <w:rStyle w:val="Hyperlink"/>
            <w:rFonts w:ascii="Verdana" w:hAnsi="Verdana"/>
            <w:i/>
            <w:noProof/>
            <w:sz w:val="20"/>
            <w:szCs w:val="20"/>
            <w:lang w:val="es-MX"/>
          </w:rPr>
          <w:t xml:space="preserve"> </w:t>
        </w:r>
        <w:r w:rsidR="003F3606" w:rsidRPr="00AF7F9F">
          <w:rPr>
            <w:rStyle w:val="Hyperlink"/>
            <w:rFonts w:ascii="Verdana" w:hAnsi="Verdana"/>
            <w:i/>
            <w:noProof/>
            <w:sz w:val="20"/>
            <w:szCs w:val="20"/>
            <w:lang w:val="es-MX"/>
          </w:rPr>
          <w:t xml:space="preserve">de indemnización </w:t>
        </w:r>
        <w:r w:rsidR="00E50B8E" w:rsidRPr="00AF7F9F">
          <w:rPr>
            <w:rStyle w:val="Hyperlink"/>
            <w:rFonts w:ascii="Verdana" w:hAnsi="Verdana"/>
            <w:i/>
            <w:noProof/>
            <w:sz w:val="20"/>
            <w:szCs w:val="20"/>
            <w:lang w:val="es-MX"/>
          </w:rPr>
          <w:t>por concepto</w:t>
        </w:r>
        <w:r w:rsidR="009841C6" w:rsidRPr="00AF7F9F">
          <w:rPr>
            <w:rStyle w:val="Hyperlink"/>
            <w:rFonts w:ascii="Verdana" w:hAnsi="Verdana"/>
            <w:i/>
            <w:noProof/>
            <w:sz w:val="20"/>
            <w:szCs w:val="20"/>
            <w:lang w:val="es-MX"/>
          </w:rPr>
          <w:t xml:space="preserve"> de daño inmaterial y reintegro de costas y gastos</w:t>
        </w:r>
        <w:r w:rsidR="009841C6" w:rsidRPr="00AF7F9F">
          <w:rPr>
            <w:rFonts w:ascii="Verdana" w:hAnsi="Verdana"/>
            <w:noProof/>
            <w:webHidden/>
            <w:sz w:val="20"/>
            <w:szCs w:val="20"/>
          </w:rPr>
          <w:tab/>
        </w:r>
        <w:r w:rsidR="009841C6" w:rsidRPr="00AF7F9F">
          <w:rPr>
            <w:rFonts w:ascii="Verdana" w:hAnsi="Verdana"/>
            <w:noProof/>
            <w:webHidden/>
            <w:sz w:val="20"/>
            <w:szCs w:val="20"/>
          </w:rPr>
          <w:fldChar w:fldCharType="begin"/>
        </w:r>
        <w:r w:rsidR="009841C6" w:rsidRPr="00AF7F9F">
          <w:rPr>
            <w:rFonts w:ascii="Verdana" w:hAnsi="Verdana"/>
            <w:noProof/>
            <w:webHidden/>
            <w:sz w:val="20"/>
            <w:szCs w:val="20"/>
          </w:rPr>
          <w:instrText xml:space="preserve"> PAGEREF _Toc513709592 \h </w:instrText>
        </w:r>
        <w:r w:rsidR="009841C6" w:rsidRPr="00AF7F9F">
          <w:rPr>
            <w:rFonts w:ascii="Verdana" w:hAnsi="Verdana"/>
            <w:noProof/>
            <w:webHidden/>
            <w:sz w:val="20"/>
            <w:szCs w:val="20"/>
          </w:rPr>
        </w:r>
        <w:r w:rsidR="009841C6" w:rsidRPr="00AF7F9F">
          <w:rPr>
            <w:rFonts w:ascii="Verdana" w:hAnsi="Verdana"/>
            <w:noProof/>
            <w:webHidden/>
            <w:sz w:val="20"/>
            <w:szCs w:val="20"/>
          </w:rPr>
          <w:fldChar w:fldCharType="separate"/>
        </w:r>
        <w:r>
          <w:rPr>
            <w:rFonts w:ascii="Verdana" w:hAnsi="Verdana"/>
            <w:noProof/>
            <w:webHidden/>
            <w:sz w:val="20"/>
            <w:szCs w:val="20"/>
          </w:rPr>
          <w:t>7</w:t>
        </w:r>
        <w:r w:rsidR="009841C6" w:rsidRPr="00AF7F9F">
          <w:rPr>
            <w:rFonts w:ascii="Verdana" w:hAnsi="Verdana"/>
            <w:noProof/>
            <w:webHidden/>
            <w:sz w:val="20"/>
            <w:szCs w:val="20"/>
          </w:rPr>
          <w:fldChar w:fldCharType="end"/>
        </w:r>
      </w:hyperlink>
    </w:p>
    <w:p w:rsidR="009841C6" w:rsidRPr="009841C6" w:rsidRDefault="00E51A8E" w:rsidP="008B1C48">
      <w:pPr>
        <w:pStyle w:val="TOC1"/>
        <w:spacing w:after="0" w:line="240" w:lineRule="auto"/>
        <w:rPr>
          <w:rFonts w:ascii="Verdana" w:eastAsiaTheme="minorEastAsia" w:hAnsi="Verdana" w:cstheme="minorBidi"/>
          <w:noProof/>
          <w:sz w:val="20"/>
          <w:szCs w:val="20"/>
          <w:lang w:val="es-CR" w:eastAsia="es-CR"/>
        </w:rPr>
      </w:pPr>
      <w:hyperlink w:anchor="_Toc513709593" w:history="1">
        <w:r w:rsidR="009841C6" w:rsidRPr="00AF7F9F">
          <w:rPr>
            <w:rStyle w:val="Hyperlink"/>
            <w:rFonts w:ascii="Verdana" w:hAnsi="Verdana"/>
            <w:i/>
            <w:noProof/>
            <w:sz w:val="20"/>
            <w:szCs w:val="20"/>
            <w:lang w:val="es-MX"/>
          </w:rPr>
          <w:t>D.</w:t>
        </w:r>
        <w:r w:rsidR="009841C6" w:rsidRPr="00AF7F9F">
          <w:rPr>
            <w:rFonts w:ascii="Verdana" w:eastAsiaTheme="minorEastAsia" w:hAnsi="Verdana" w:cstheme="minorBidi"/>
            <w:noProof/>
            <w:sz w:val="20"/>
            <w:szCs w:val="20"/>
            <w:lang w:val="es-CR" w:eastAsia="es-CR"/>
          </w:rPr>
          <w:tab/>
        </w:r>
        <w:r w:rsidR="009841C6" w:rsidRPr="00AF7F9F">
          <w:rPr>
            <w:rStyle w:val="Hyperlink"/>
            <w:rFonts w:ascii="Verdana" w:hAnsi="Verdana"/>
            <w:i/>
            <w:noProof/>
            <w:sz w:val="20"/>
            <w:szCs w:val="20"/>
            <w:lang w:val="es-MX"/>
          </w:rPr>
          <w:t>Reintegro al Fondo de Asistencia Legal de Víctimas</w:t>
        </w:r>
        <w:r w:rsidR="009841C6" w:rsidRPr="00AF7F9F">
          <w:rPr>
            <w:rFonts w:ascii="Verdana" w:hAnsi="Verdana"/>
            <w:noProof/>
            <w:webHidden/>
            <w:sz w:val="20"/>
            <w:szCs w:val="20"/>
          </w:rPr>
          <w:tab/>
        </w:r>
        <w:r w:rsidR="009841C6" w:rsidRPr="00AF7F9F">
          <w:rPr>
            <w:rFonts w:ascii="Verdana" w:hAnsi="Verdana"/>
            <w:noProof/>
            <w:webHidden/>
            <w:sz w:val="20"/>
            <w:szCs w:val="20"/>
          </w:rPr>
          <w:fldChar w:fldCharType="begin"/>
        </w:r>
        <w:r w:rsidR="009841C6" w:rsidRPr="00AF7F9F">
          <w:rPr>
            <w:rFonts w:ascii="Verdana" w:hAnsi="Verdana"/>
            <w:noProof/>
            <w:webHidden/>
            <w:sz w:val="20"/>
            <w:szCs w:val="20"/>
          </w:rPr>
          <w:instrText xml:space="preserve"> PAGEREF _Toc513709593 \h </w:instrText>
        </w:r>
        <w:r w:rsidR="009841C6" w:rsidRPr="00AF7F9F">
          <w:rPr>
            <w:rFonts w:ascii="Verdana" w:hAnsi="Verdana"/>
            <w:noProof/>
            <w:webHidden/>
            <w:sz w:val="20"/>
            <w:szCs w:val="20"/>
          </w:rPr>
        </w:r>
        <w:r w:rsidR="009841C6" w:rsidRPr="00AF7F9F">
          <w:rPr>
            <w:rFonts w:ascii="Verdana" w:hAnsi="Verdana"/>
            <w:noProof/>
            <w:webHidden/>
            <w:sz w:val="20"/>
            <w:szCs w:val="20"/>
          </w:rPr>
          <w:fldChar w:fldCharType="separate"/>
        </w:r>
        <w:r>
          <w:rPr>
            <w:rFonts w:ascii="Verdana" w:hAnsi="Verdana"/>
            <w:noProof/>
            <w:webHidden/>
            <w:sz w:val="20"/>
            <w:szCs w:val="20"/>
          </w:rPr>
          <w:t>8</w:t>
        </w:r>
        <w:r w:rsidR="009841C6" w:rsidRPr="00AF7F9F">
          <w:rPr>
            <w:rFonts w:ascii="Verdana" w:hAnsi="Verdana"/>
            <w:noProof/>
            <w:webHidden/>
            <w:sz w:val="20"/>
            <w:szCs w:val="20"/>
          </w:rPr>
          <w:fldChar w:fldCharType="end"/>
        </w:r>
      </w:hyperlink>
    </w:p>
    <w:p w:rsidR="001E7FA6" w:rsidRDefault="00916774" w:rsidP="008B1C48">
      <w:pPr>
        <w:pStyle w:val="ListParagraph"/>
        <w:spacing w:after="0" w:line="240" w:lineRule="auto"/>
        <w:contextualSpacing w:val="0"/>
        <w:jc w:val="both"/>
        <w:outlineLvl w:val="0"/>
        <w:rPr>
          <w:rFonts w:ascii="Verdana" w:hAnsi="Verdana"/>
          <w:sz w:val="20"/>
          <w:szCs w:val="20"/>
          <w:lang w:val="es-CR"/>
        </w:rPr>
      </w:pPr>
      <w:r w:rsidRPr="009841C6">
        <w:rPr>
          <w:rFonts w:ascii="Verdana" w:hAnsi="Verdana"/>
          <w:sz w:val="20"/>
          <w:szCs w:val="20"/>
          <w:lang w:val="es-CR"/>
        </w:rPr>
        <w:fldChar w:fldCharType="end"/>
      </w:r>
      <w:bookmarkStart w:id="0" w:name="_Toc513709590"/>
    </w:p>
    <w:p w:rsidR="00841BAD" w:rsidRDefault="00841BAD" w:rsidP="008B1C48">
      <w:pPr>
        <w:pStyle w:val="ListParagraph"/>
        <w:spacing w:after="0" w:line="240" w:lineRule="auto"/>
        <w:contextualSpacing w:val="0"/>
        <w:jc w:val="both"/>
        <w:outlineLvl w:val="0"/>
        <w:rPr>
          <w:rFonts w:ascii="Verdana" w:hAnsi="Verdana"/>
          <w:sz w:val="20"/>
          <w:szCs w:val="20"/>
          <w:lang w:val="es-CR"/>
        </w:rPr>
      </w:pPr>
    </w:p>
    <w:p w:rsidR="00B11E85" w:rsidRDefault="00B11E85" w:rsidP="008B1C48">
      <w:pPr>
        <w:pStyle w:val="ListParagraph"/>
        <w:spacing w:after="0" w:line="240" w:lineRule="auto"/>
        <w:contextualSpacing w:val="0"/>
        <w:jc w:val="both"/>
        <w:outlineLvl w:val="0"/>
        <w:rPr>
          <w:rFonts w:ascii="Verdana" w:hAnsi="Verdana"/>
          <w:sz w:val="20"/>
          <w:szCs w:val="20"/>
          <w:lang w:val="es-CR"/>
        </w:rPr>
      </w:pPr>
    </w:p>
    <w:p w:rsidR="00D5027D" w:rsidRPr="008B1C48" w:rsidRDefault="00D5027D" w:rsidP="008B1C48">
      <w:pPr>
        <w:pStyle w:val="ListParagraph"/>
        <w:spacing w:after="0" w:line="240" w:lineRule="auto"/>
        <w:contextualSpacing w:val="0"/>
        <w:jc w:val="both"/>
        <w:outlineLvl w:val="0"/>
        <w:rPr>
          <w:rFonts w:ascii="Verdana" w:hAnsi="Verdana"/>
          <w:sz w:val="20"/>
          <w:szCs w:val="20"/>
          <w:lang w:val="es-CR"/>
        </w:rPr>
      </w:pPr>
    </w:p>
    <w:p w:rsidR="00916774" w:rsidRPr="008B1C48" w:rsidRDefault="00DD394B" w:rsidP="008B1C48">
      <w:pPr>
        <w:pStyle w:val="ListParagraph"/>
        <w:numPr>
          <w:ilvl w:val="0"/>
          <w:numId w:val="4"/>
        </w:numPr>
        <w:spacing w:after="0" w:line="240" w:lineRule="auto"/>
        <w:contextualSpacing w:val="0"/>
        <w:jc w:val="both"/>
        <w:outlineLvl w:val="0"/>
        <w:rPr>
          <w:rFonts w:ascii="Verdana" w:hAnsi="Verdana"/>
          <w:b/>
          <w:i/>
          <w:sz w:val="20"/>
          <w:szCs w:val="20"/>
          <w:lang w:val="es-MX"/>
        </w:rPr>
      </w:pPr>
      <w:r w:rsidRPr="008B1C48">
        <w:rPr>
          <w:rFonts w:ascii="Verdana" w:hAnsi="Verdana"/>
          <w:b/>
          <w:i/>
          <w:sz w:val="20"/>
          <w:szCs w:val="20"/>
          <w:lang w:val="es-MX"/>
        </w:rPr>
        <w:t xml:space="preserve">Publicación </w:t>
      </w:r>
      <w:r w:rsidR="002362FE" w:rsidRPr="008B1C48">
        <w:rPr>
          <w:rFonts w:ascii="Verdana" w:hAnsi="Verdana"/>
          <w:b/>
          <w:i/>
          <w:sz w:val="20"/>
          <w:szCs w:val="20"/>
          <w:lang w:val="es-MX"/>
        </w:rPr>
        <w:t xml:space="preserve">y difusión </w:t>
      </w:r>
      <w:r w:rsidRPr="008B1C48">
        <w:rPr>
          <w:rFonts w:ascii="Verdana" w:hAnsi="Verdana"/>
          <w:b/>
          <w:i/>
          <w:sz w:val="20"/>
          <w:szCs w:val="20"/>
          <w:lang w:val="es-MX"/>
        </w:rPr>
        <w:t>de la Sentencia</w:t>
      </w:r>
      <w:bookmarkEnd w:id="0"/>
    </w:p>
    <w:p w:rsidR="008B1C48" w:rsidRPr="008B1C48" w:rsidRDefault="008B1C48" w:rsidP="008B1C48">
      <w:pPr>
        <w:pStyle w:val="ListParagraph"/>
        <w:spacing w:after="0" w:line="240" w:lineRule="auto"/>
        <w:contextualSpacing w:val="0"/>
        <w:jc w:val="both"/>
        <w:rPr>
          <w:rFonts w:ascii="Verdana" w:hAnsi="Verdana"/>
          <w:i/>
          <w:sz w:val="20"/>
          <w:szCs w:val="20"/>
          <w:lang w:val="es-MX"/>
        </w:rPr>
      </w:pPr>
    </w:p>
    <w:p w:rsidR="00916774" w:rsidRPr="008B1C48" w:rsidRDefault="00916774" w:rsidP="008B1C48">
      <w:pPr>
        <w:pStyle w:val="ListParagraph"/>
        <w:spacing w:after="0" w:line="240" w:lineRule="auto"/>
        <w:contextualSpacing w:val="0"/>
        <w:jc w:val="both"/>
        <w:rPr>
          <w:rFonts w:ascii="Verdana" w:hAnsi="Verdana"/>
          <w:i/>
          <w:sz w:val="20"/>
          <w:szCs w:val="20"/>
          <w:lang w:val="es-MX"/>
        </w:rPr>
      </w:pPr>
      <w:r w:rsidRPr="008B1C48">
        <w:rPr>
          <w:rFonts w:ascii="Verdana" w:hAnsi="Verdana"/>
          <w:i/>
          <w:sz w:val="20"/>
          <w:szCs w:val="20"/>
          <w:lang w:val="es-MX"/>
        </w:rPr>
        <w:t>A.1. Medida</w:t>
      </w:r>
      <w:r w:rsidR="00D5027D">
        <w:rPr>
          <w:rFonts w:ascii="Verdana" w:hAnsi="Verdana"/>
          <w:i/>
          <w:sz w:val="20"/>
          <w:szCs w:val="20"/>
          <w:lang w:val="es-MX"/>
        </w:rPr>
        <w:t>s</w:t>
      </w:r>
      <w:r w:rsidRPr="008B1C48">
        <w:rPr>
          <w:rFonts w:ascii="Verdana" w:hAnsi="Verdana"/>
          <w:i/>
          <w:sz w:val="20"/>
          <w:szCs w:val="20"/>
          <w:lang w:val="es-MX"/>
        </w:rPr>
        <w:t xml:space="preserve"> ordenada</w:t>
      </w:r>
      <w:r w:rsidR="00D5027D">
        <w:rPr>
          <w:rFonts w:ascii="Verdana" w:hAnsi="Verdana"/>
          <w:i/>
          <w:sz w:val="20"/>
          <w:szCs w:val="20"/>
          <w:lang w:val="es-MX"/>
        </w:rPr>
        <w:t>s</w:t>
      </w:r>
      <w:r w:rsidRPr="008B1C48">
        <w:rPr>
          <w:rFonts w:ascii="Verdana" w:hAnsi="Verdana"/>
          <w:i/>
          <w:sz w:val="20"/>
          <w:szCs w:val="20"/>
          <w:lang w:val="es-MX"/>
        </w:rPr>
        <w:t xml:space="preserve"> por la Corte </w:t>
      </w:r>
    </w:p>
    <w:p w:rsidR="00491666" w:rsidRDefault="00491666" w:rsidP="00491666">
      <w:pPr>
        <w:pStyle w:val="ListParagraph"/>
        <w:spacing w:after="0" w:line="240" w:lineRule="auto"/>
        <w:ind w:left="0"/>
        <w:contextualSpacing w:val="0"/>
        <w:jc w:val="both"/>
        <w:rPr>
          <w:rFonts w:ascii="Verdana" w:hAnsi="Verdana"/>
          <w:sz w:val="20"/>
          <w:szCs w:val="20"/>
          <w:lang w:val="es-MX"/>
        </w:rPr>
      </w:pPr>
    </w:p>
    <w:p w:rsidR="00916774" w:rsidRPr="00A14F64" w:rsidRDefault="00916774" w:rsidP="00D41816">
      <w:pPr>
        <w:pStyle w:val="ListParagraph"/>
        <w:numPr>
          <w:ilvl w:val="0"/>
          <w:numId w:val="10"/>
        </w:numPr>
        <w:spacing w:after="0" w:line="240" w:lineRule="auto"/>
        <w:ind w:left="0" w:firstLine="0"/>
        <w:contextualSpacing w:val="0"/>
        <w:jc w:val="both"/>
        <w:rPr>
          <w:rFonts w:ascii="Verdana" w:hAnsi="Verdana"/>
          <w:sz w:val="20"/>
          <w:szCs w:val="20"/>
          <w:lang w:val="es-MX"/>
        </w:rPr>
      </w:pPr>
      <w:r w:rsidRPr="008B1C48">
        <w:rPr>
          <w:rFonts w:ascii="Verdana" w:hAnsi="Verdana"/>
          <w:sz w:val="20"/>
          <w:szCs w:val="20"/>
          <w:lang w:val="es-MX"/>
        </w:rPr>
        <w:t xml:space="preserve">En el punto </w:t>
      </w:r>
      <w:r w:rsidR="004371D0" w:rsidRPr="008B1C48">
        <w:rPr>
          <w:rFonts w:ascii="Verdana" w:hAnsi="Verdana"/>
          <w:sz w:val="20"/>
          <w:szCs w:val="20"/>
          <w:lang w:val="es-MX"/>
        </w:rPr>
        <w:t xml:space="preserve">dispositivo </w:t>
      </w:r>
      <w:r w:rsidR="009841C6" w:rsidRPr="008B1C48">
        <w:rPr>
          <w:rFonts w:ascii="Verdana" w:hAnsi="Verdana"/>
          <w:sz w:val="20"/>
          <w:szCs w:val="20"/>
          <w:lang w:val="es-MX"/>
        </w:rPr>
        <w:t>octavo y en el</w:t>
      </w:r>
      <w:r w:rsidRPr="008B1C48">
        <w:rPr>
          <w:rFonts w:ascii="Verdana" w:hAnsi="Verdana"/>
          <w:sz w:val="20"/>
          <w:szCs w:val="20"/>
          <w:lang w:val="es-MX"/>
        </w:rPr>
        <w:t xml:space="preserve"> párrafo</w:t>
      </w:r>
      <w:r w:rsidR="009841C6" w:rsidRPr="008B1C48">
        <w:rPr>
          <w:rFonts w:ascii="Verdana" w:hAnsi="Verdana"/>
          <w:sz w:val="20"/>
          <w:szCs w:val="20"/>
          <w:lang w:val="es-MX"/>
        </w:rPr>
        <w:t xml:space="preserve"> 203</w:t>
      </w:r>
      <w:r w:rsidRPr="008B1C48">
        <w:rPr>
          <w:rFonts w:ascii="Verdana" w:hAnsi="Verdana"/>
          <w:sz w:val="20"/>
          <w:szCs w:val="20"/>
          <w:lang w:val="es-MX"/>
        </w:rPr>
        <w:t xml:space="preserve"> de la Sentencia, la Corte dispuso que </w:t>
      </w:r>
      <w:r w:rsidR="009841C6" w:rsidRPr="008B1C48">
        <w:rPr>
          <w:rFonts w:ascii="Verdana" w:hAnsi="Verdana"/>
          <w:sz w:val="20"/>
          <w:szCs w:val="20"/>
          <w:lang w:val="es-MX"/>
        </w:rPr>
        <w:t>el Estado</w:t>
      </w:r>
      <w:r w:rsidR="001A50F1" w:rsidRPr="008B1C48">
        <w:rPr>
          <w:rFonts w:ascii="Verdana" w:hAnsi="Verdana"/>
          <w:sz w:val="20"/>
          <w:szCs w:val="20"/>
          <w:lang w:val="es-MX"/>
        </w:rPr>
        <w:t>, en el plazo de seis meses</w:t>
      </w:r>
      <w:r w:rsidR="009760C6" w:rsidRPr="008B1C48">
        <w:rPr>
          <w:rFonts w:ascii="Verdana" w:hAnsi="Verdana"/>
          <w:sz w:val="20"/>
          <w:szCs w:val="20"/>
          <w:lang w:val="es-MX"/>
        </w:rPr>
        <w:t>, contado</w:t>
      </w:r>
      <w:r w:rsidR="001A50F1" w:rsidRPr="008B1C48">
        <w:rPr>
          <w:rFonts w:ascii="Verdana" w:hAnsi="Verdana"/>
          <w:sz w:val="20"/>
          <w:szCs w:val="20"/>
          <w:lang w:val="es-MX"/>
        </w:rPr>
        <w:t xml:space="preserve"> a partir de la notificación de la Sentencia, </w:t>
      </w:r>
      <w:r w:rsidR="004371D0" w:rsidRPr="008B1C48">
        <w:rPr>
          <w:rFonts w:ascii="Verdana" w:hAnsi="Verdana"/>
          <w:sz w:val="20"/>
          <w:szCs w:val="20"/>
          <w:lang w:val="es-MX"/>
        </w:rPr>
        <w:t xml:space="preserve">debía </w:t>
      </w:r>
      <w:r w:rsidR="001A50F1" w:rsidRPr="008B1C48">
        <w:rPr>
          <w:rFonts w:ascii="Verdana" w:hAnsi="Verdana"/>
          <w:sz w:val="20"/>
          <w:szCs w:val="20"/>
          <w:lang w:val="es-MX"/>
        </w:rPr>
        <w:t>reali</w:t>
      </w:r>
      <w:r w:rsidR="004371D0" w:rsidRPr="008B1C48">
        <w:rPr>
          <w:rFonts w:ascii="Verdana" w:hAnsi="Verdana"/>
          <w:sz w:val="20"/>
          <w:szCs w:val="20"/>
          <w:lang w:val="es-MX"/>
        </w:rPr>
        <w:t>zar</w:t>
      </w:r>
      <w:r w:rsidR="001A50F1" w:rsidRPr="008B1C48">
        <w:rPr>
          <w:rFonts w:ascii="Verdana" w:hAnsi="Verdana"/>
          <w:sz w:val="20"/>
          <w:szCs w:val="20"/>
          <w:lang w:val="es-MX"/>
        </w:rPr>
        <w:t xml:space="preserve"> las siguientes publicaciones: i) el resumen oficial de la Sentencia en el Diario Oficial y en un diario de amplia circulación nacional de Colombia, y ii) la Sentencia</w:t>
      </w:r>
      <w:r w:rsidR="004371D0" w:rsidRPr="008B1C48">
        <w:rPr>
          <w:rFonts w:ascii="Verdana" w:hAnsi="Verdana"/>
          <w:sz w:val="20"/>
          <w:szCs w:val="20"/>
          <w:lang w:val="es-MX"/>
        </w:rPr>
        <w:t>,</w:t>
      </w:r>
      <w:r w:rsidR="001A50F1" w:rsidRPr="008B1C48">
        <w:rPr>
          <w:rFonts w:ascii="Verdana" w:hAnsi="Verdana"/>
          <w:sz w:val="20"/>
          <w:szCs w:val="20"/>
          <w:lang w:val="es-MX"/>
        </w:rPr>
        <w:t xml:space="preserve"> en </w:t>
      </w:r>
      <w:r w:rsidR="001A50F1" w:rsidRPr="00A14F64">
        <w:rPr>
          <w:rFonts w:ascii="Verdana" w:hAnsi="Verdana"/>
          <w:sz w:val="20"/>
          <w:szCs w:val="20"/>
          <w:lang w:val="es-MX"/>
        </w:rPr>
        <w:t xml:space="preserve">su integridad, disponible </w:t>
      </w:r>
      <w:r w:rsidR="009760C6" w:rsidRPr="00A14F64">
        <w:rPr>
          <w:rFonts w:ascii="Verdana" w:hAnsi="Verdana"/>
          <w:sz w:val="20"/>
          <w:szCs w:val="20"/>
          <w:lang w:val="es-MX"/>
        </w:rPr>
        <w:t xml:space="preserve">por un período de </w:t>
      </w:r>
      <w:r w:rsidR="001A50F1" w:rsidRPr="00A14F64">
        <w:rPr>
          <w:rFonts w:ascii="Verdana" w:hAnsi="Verdana"/>
          <w:sz w:val="20"/>
          <w:szCs w:val="20"/>
          <w:lang w:val="es-MX"/>
        </w:rPr>
        <w:t>al menos un año, en un sitio web oficial del Estado.</w:t>
      </w:r>
    </w:p>
    <w:p w:rsidR="00916774" w:rsidRPr="008B1C48" w:rsidRDefault="00916774" w:rsidP="008B1C48">
      <w:pPr>
        <w:pStyle w:val="ListParagraph"/>
        <w:spacing w:after="0" w:line="240" w:lineRule="auto"/>
        <w:rPr>
          <w:rFonts w:ascii="Verdana" w:hAnsi="Verdana"/>
          <w:sz w:val="20"/>
          <w:szCs w:val="20"/>
          <w:lang w:val="es-MX"/>
        </w:rPr>
      </w:pPr>
    </w:p>
    <w:p w:rsidR="00916774" w:rsidRPr="006063C0" w:rsidRDefault="00916774" w:rsidP="008B1C48">
      <w:pPr>
        <w:pStyle w:val="ListParagraph"/>
        <w:spacing w:after="0" w:line="240" w:lineRule="auto"/>
        <w:contextualSpacing w:val="0"/>
        <w:jc w:val="both"/>
        <w:rPr>
          <w:rFonts w:ascii="Verdana" w:hAnsi="Verdana"/>
          <w:i/>
          <w:sz w:val="20"/>
          <w:lang w:val="es-MX"/>
        </w:rPr>
      </w:pPr>
      <w:r w:rsidRPr="008B1C48">
        <w:rPr>
          <w:rFonts w:ascii="Verdana" w:hAnsi="Verdana"/>
          <w:i/>
          <w:sz w:val="20"/>
          <w:szCs w:val="20"/>
          <w:lang w:val="es-MX"/>
        </w:rPr>
        <w:t>A.</w:t>
      </w:r>
      <w:r w:rsidR="009760C6" w:rsidRPr="008B1C48">
        <w:rPr>
          <w:rFonts w:ascii="Verdana" w:hAnsi="Verdana"/>
          <w:i/>
          <w:sz w:val="20"/>
          <w:szCs w:val="20"/>
          <w:lang w:val="es-MX"/>
        </w:rPr>
        <w:t>2</w:t>
      </w:r>
      <w:r w:rsidRPr="008B1C48">
        <w:rPr>
          <w:rFonts w:ascii="Verdana" w:hAnsi="Verdana"/>
          <w:i/>
          <w:sz w:val="20"/>
          <w:szCs w:val="20"/>
          <w:lang w:val="es-MX"/>
        </w:rPr>
        <w:t>. Consideraciones</w:t>
      </w:r>
      <w:r w:rsidRPr="006063C0">
        <w:rPr>
          <w:rFonts w:ascii="Verdana" w:hAnsi="Verdana"/>
          <w:i/>
          <w:sz w:val="20"/>
          <w:lang w:val="es-MX"/>
        </w:rPr>
        <w:t xml:space="preserve"> de la Corte</w:t>
      </w:r>
    </w:p>
    <w:p w:rsidR="008B1C48" w:rsidRPr="008B1C48" w:rsidRDefault="008B1C48" w:rsidP="008B1C48">
      <w:pPr>
        <w:pStyle w:val="ListParagraph"/>
        <w:spacing w:after="0" w:line="240" w:lineRule="auto"/>
        <w:ind w:left="0"/>
        <w:contextualSpacing w:val="0"/>
        <w:jc w:val="both"/>
        <w:rPr>
          <w:rFonts w:ascii="Verdana" w:hAnsi="Verdana"/>
          <w:b/>
          <w:i/>
          <w:sz w:val="20"/>
          <w:szCs w:val="20"/>
          <w:lang w:val="es-MX"/>
        </w:rPr>
      </w:pPr>
    </w:p>
    <w:p w:rsidR="00916774" w:rsidRPr="00487188" w:rsidRDefault="009760C6" w:rsidP="00D41816">
      <w:pPr>
        <w:pStyle w:val="ListParagraph"/>
        <w:numPr>
          <w:ilvl w:val="0"/>
          <w:numId w:val="10"/>
        </w:numPr>
        <w:spacing w:after="0" w:line="240" w:lineRule="auto"/>
        <w:ind w:left="0" w:firstLine="0"/>
        <w:contextualSpacing w:val="0"/>
        <w:jc w:val="both"/>
        <w:rPr>
          <w:rFonts w:ascii="Verdana" w:hAnsi="Verdana"/>
          <w:b/>
          <w:i/>
          <w:sz w:val="20"/>
          <w:szCs w:val="20"/>
          <w:lang w:val="es-MX"/>
        </w:rPr>
      </w:pPr>
      <w:r>
        <w:rPr>
          <w:rFonts w:ascii="Verdana" w:hAnsi="Verdana"/>
          <w:sz w:val="20"/>
          <w:szCs w:val="20"/>
          <w:lang w:val="es-MX"/>
        </w:rPr>
        <w:t>La Corte ha constatado, c</w:t>
      </w:r>
      <w:r w:rsidR="00406635">
        <w:rPr>
          <w:rFonts w:ascii="Verdana" w:hAnsi="Verdana"/>
          <w:sz w:val="20"/>
          <w:szCs w:val="20"/>
          <w:lang w:val="es-MX"/>
        </w:rPr>
        <w:t>on base en los comprobantes aportados por el Estado</w:t>
      </w:r>
      <w:r w:rsidR="00F82258">
        <w:rPr>
          <w:rStyle w:val="FootnoteReference"/>
          <w:rFonts w:ascii="Verdana" w:hAnsi="Verdana"/>
          <w:sz w:val="20"/>
          <w:szCs w:val="20"/>
          <w:lang w:val="es-MX"/>
        </w:rPr>
        <w:footnoteReference w:id="12"/>
      </w:r>
      <w:r w:rsidR="00406635">
        <w:rPr>
          <w:rFonts w:ascii="Verdana" w:hAnsi="Verdana"/>
          <w:sz w:val="20"/>
          <w:szCs w:val="20"/>
          <w:lang w:val="es-MX"/>
        </w:rPr>
        <w:t xml:space="preserve"> y </w:t>
      </w:r>
      <w:r>
        <w:rPr>
          <w:rFonts w:ascii="Verdana" w:hAnsi="Verdana"/>
          <w:sz w:val="20"/>
          <w:szCs w:val="20"/>
          <w:lang w:val="es-MX"/>
        </w:rPr>
        <w:t xml:space="preserve">tomando en cuenta la conformidad manifestada </w:t>
      </w:r>
      <w:r w:rsidR="00406635">
        <w:rPr>
          <w:rFonts w:ascii="Verdana" w:hAnsi="Verdana"/>
          <w:sz w:val="20"/>
          <w:szCs w:val="20"/>
          <w:lang w:val="es-MX"/>
        </w:rPr>
        <w:t>por los representantes de la víctima</w:t>
      </w:r>
      <w:r w:rsidR="00CC5A39">
        <w:rPr>
          <w:rStyle w:val="FootnoteReference"/>
          <w:rFonts w:ascii="Verdana" w:hAnsi="Verdana"/>
          <w:sz w:val="20"/>
          <w:szCs w:val="20"/>
          <w:lang w:val="es-MX"/>
        </w:rPr>
        <w:footnoteReference w:id="13"/>
      </w:r>
      <w:r w:rsidR="00406635">
        <w:rPr>
          <w:rFonts w:ascii="Verdana" w:hAnsi="Verdana"/>
          <w:sz w:val="20"/>
          <w:szCs w:val="20"/>
          <w:lang w:val="es-MX"/>
        </w:rPr>
        <w:t xml:space="preserve"> y</w:t>
      </w:r>
      <w:r>
        <w:rPr>
          <w:rFonts w:ascii="Verdana" w:hAnsi="Verdana"/>
          <w:sz w:val="20"/>
          <w:szCs w:val="20"/>
          <w:lang w:val="es-MX"/>
        </w:rPr>
        <w:t xml:space="preserve"> el parecer de</w:t>
      </w:r>
      <w:r w:rsidR="00406635">
        <w:rPr>
          <w:rFonts w:ascii="Verdana" w:hAnsi="Verdana"/>
          <w:sz w:val="20"/>
          <w:szCs w:val="20"/>
          <w:lang w:val="es-MX"/>
        </w:rPr>
        <w:t xml:space="preserve"> la Comisión Interamericana</w:t>
      </w:r>
      <w:r w:rsidR="00CC5A39">
        <w:rPr>
          <w:rStyle w:val="FootnoteReference"/>
          <w:rFonts w:ascii="Verdana" w:hAnsi="Verdana"/>
          <w:sz w:val="20"/>
          <w:szCs w:val="20"/>
          <w:lang w:val="es-MX"/>
        </w:rPr>
        <w:footnoteReference w:id="14"/>
      </w:r>
      <w:r w:rsidR="00406635">
        <w:rPr>
          <w:rFonts w:ascii="Verdana" w:hAnsi="Verdana"/>
          <w:sz w:val="20"/>
          <w:szCs w:val="20"/>
          <w:lang w:val="es-MX"/>
        </w:rPr>
        <w:t>, que el Estado cumplió con la</w:t>
      </w:r>
      <w:r w:rsidR="00C233A9">
        <w:rPr>
          <w:rFonts w:ascii="Verdana" w:hAnsi="Verdana"/>
          <w:sz w:val="20"/>
          <w:szCs w:val="20"/>
          <w:lang w:val="es-MX"/>
        </w:rPr>
        <w:t xml:space="preserve"> publicación </w:t>
      </w:r>
      <w:r w:rsidR="00406635">
        <w:rPr>
          <w:rFonts w:ascii="Verdana" w:hAnsi="Verdana"/>
          <w:sz w:val="20"/>
          <w:szCs w:val="20"/>
          <w:lang w:val="es-MX"/>
        </w:rPr>
        <w:t>del resumen oficial en el Diario Oficial</w:t>
      </w:r>
      <w:r w:rsidR="00A14F64">
        <w:rPr>
          <w:rFonts w:ascii="Verdana" w:hAnsi="Verdana"/>
          <w:sz w:val="20"/>
          <w:szCs w:val="20"/>
          <w:lang w:val="es-MX"/>
        </w:rPr>
        <w:t>, dentro del plazo concedido para ello</w:t>
      </w:r>
      <w:r w:rsidR="008133D3">
        <w:rPr>
          <w:rStyle w:val="FootnoteReference"/>
          <w:rFonts w:ascii="Verdana" w:hAnsi="Verdana"/>
          <w:sz w:val="20"/>
          <w:szCs w:val="20"/>
          <w:lang w:val="es-MX"/>
        </w:rPr>
        <w:footnoteReference w:id="15"/>
      </w:r>
      <w:r w:rsidR="00A14F64">
        <w:rPr>
          <w:rFonts w:ascii="Verdana" w:hAnsi="Verdana"/>
          <w:sz w:val="20"/>
          <w:szCs w:val="20"/>
          <w:lang w:val="es-MX"/>
        </w:rPr>
        <w:t>,</w:t>
      </w:r>
      <w:r w:rsidR="00406635">
        <w:rPr>
          <w:rFonts w:ascii="Verdana" w:hAnsi="Verdana"/>
          <w:sz w:val="20"/>
          <w:szCs w:val="20"/>
          <w:lang w:val="es-MX"/>
        </w:rPr>
        <w:t xml:space="preserve"> y </w:t>
      </w:r>
      <w:r w:rsidR="00C233A9">
        <w:rPr>
          <w:rFonts w:ascii="Verdana" w:hAnsi="Verdana"/>
          <w:sz w:val="20"/>
          <w:szCs w:val="20"/>
          <w:lang w:val="es-MX"/>
        </w:rPr>
        <w:t xml:space="preserve">con la publicación del referido resumen </w:t>
      </w:r>
      <w:r w:rsidR="00406635">
        <w:rPr>
          <w:rFonts w:ascii="Verdana" w:hAnsi="Verdana"/>
          <w:sz w:val="20"/>
          <w:szCs w:val="20"/>
          <w:lang w:val="es-MX"/>
        </w:rPr>
        <w:t xml:space="preserve">en el Diario El </w:t>
      </w:r>
      <w:r w:rsidR="00487188">
        <w:rPr>
          <w:rFonts w:ascii="Verdana" w:hAnsi="Verdana"/>
          <w:sz w:val="20"/>
          <w:szCs w:val="20"/>
          <w:lang w:val="es-MX"/>
        </w:rPr>
        <w:t>Espectador</w:t>
      </w:r>
      <w:r w:rsidR="00A14F64">
        <w:rPr>
          <w:rFonts w:ascii="Verdana" w:hAnsi="Verdana"/>
          <w:sz w:val="20"/>
          <w:szCs w:val="20"/>
          <w:lang w:val="es-MX"/>
        </w:rPr>
        <w:t xml:space="preserve"> en una fecha concertada con los representantes</w:t>
      </w:r>
      <w:r w:rsidR="008133D3">
        <w:rPr>
          <w:rStyle w:val="FootnoteReference"/>
          <w:rFonts w:ascii="Verdana" w:hAnsi="Verdana"/>
          <w:sz w:val="20"/>
          <w:szCs w:val="20"/>
          <w:lang w:val="es-MX"/>
        </w:rPr>
        <w:footnoteReference w:id="16"/>
      </w:r>
      <w:r w:rsidR="00487188">
        <w:rPr>
          <w:rFonts w:ascii="Verdana" w:hAnsi="Verdana"/>
          <w:sz w:val="20"/>
          <w:szCs w:val="20"/>
          <w:lang w:val="es-MX"/>
        </w:rPr>
        <w:t>, así como con la publicación de la Sentencia en su integridad en el sitio web de la Consejería Presidencial para los Derechos Humanos</w:t>
      </w:r>
      <w:r w:rsidR="00F62375">
        <w:rPr>
          <w:rFonts w:ascii="Verdana" w:hAnsi="Verdana"/>
          <w:sz w:val="20"/>
          <w:szCs w:val="20"/>
          <w:lang w:val="es-MX"/>
        </w:rPr>
        <w:t>, la</w:t>
      </w:r>
      <w:r w:rsidR="00A14F64">
        <w:rPr>
          <w:rFonts w:ascii="Verdana" w:hAnsi="Verdana"/>
          <w:sz w:val="20"/>
          <w:szCs w:val="20"/>
          <w:lang w:val="es-MX"/>
        </w:rPr>
        <w:t xml:space="preserve"> cual ha mantenido más allá del período</w:t>
      </w:r>
      <w:r w:rsidR="00487188">
        <w:rPr>
          <w:rFonts w:ascii="Verdana" w:hAnsi="Verdana"/>
          <w:sz w:val="20"/>
          <w:szCs w:val="20"/>
          <w:lang w:val="es-MX"/>
        </w:rPr>
        <w:t xml:space="preserve"> de un año</w:t>
      </w:r>
      <w:r w:rsidR="008133D3">
        <w:rPr>
          <w:rStyle w:val="FootnoteReference"/>
          <w:rFonts w:ascii="Verdana" w:hAnsi="Verdana"/>
          <w:sz w:val="20"/>
          <w:szCs w:val="20"/>
          <w:lang w:val="es-MX"/>
        </w:rPr>
        <w:footnoteReference w:id="17"/>
      </w:r>
      <w:r w:rsidR="00487188">
        <w:rPr>
          <w:rFonts w:ascii="Verdana" w:hAnsi="Verdana"/>
          <w:sz w:val="20"/>
          <w:szCs w:val="20"/>
          <w:lang w:val="es-MX"/>
        </w:rPr>
        <w:t>.</w:t>
      </w:r>
    </w:p>
    <w:p w:rsidR="008B1C48" w:rsidRPr="008B1C48" w:rsidRDefault="008B1C48" w:rsidP="008B1C48">
      <w:pPr>
        <w:pStyle w:val="ListParagraph"/>
        <w:spacing w:after="0" w:line="240" w:lineRule="auto"/>
        <w:ind w:left="0"/>
        <w:contextualSpacing w:val="0"/>
        <w:jc w:val="both"/>
        <w:rPr>
          <w:rFonts w:ascii="Verdana" w:hAnsi="Verdana"/>
          <w:b/>
          <w:i/>
          <w:sz w:val="20"/>
          <w:szCs w:val="20"/>
          <w:lang w:val="es-MX"/>
        </w:rPr>
      </w:pPr>
    </w:p>
    <w:p w:rsidR="00406635" w:rsidRPr="00487188" w:rsidRDefault="00487188" w:rsidP="00D41816">
      <w:pPr>
        <w:pStyle w:val="ListParagraph"/>
        <w:numPr>
          <w:ilvl w:val="0"/>
          <w:numId w:val="10"/>
        </w:numPr>
        <w:spacing w:after="0" w:line="240" w:lineRule="auto"/>
        <w:ind w:left="0" w:firstLine="0"/>
        <w:contextualSpacing w:val="0"/>
        <w:jc w:val="both"/>
        <w:rPr>
          <w:rFonts w:ascii="Verdana" w:hAnsi="Verdana"/>
          <w:b/>
          <w:i/>
          <w:sz w:val="20"/>
          <w:szCs w:val="20"/>
          <w:lang w:val="es-MX"/>
        </w:rPr>
      </w:pPr>
      <w:r w:rsidRPr="00487188">
        <w:rPr>
          <w:rFonts w:ascii="Verdana" w:hAnsi="Verdana"/>
          <w:sz w:val="20"/>
          <w:szCs w:val="20"/>
          <w:lang w:val="es-MX"/>
        </w:rPr>
        <w:t xml:space="preserve">En virtud de lo anterior, </w:t>
      </w:r>
      <w:r>
        <w:rPr>
          <w:rFonts w:ascii="Verdana" w:hAnsi="Verdana"/>
          <w:sz w:val="20"/>
          <w:szCs w:val="20"/>
          <w:lang w:val="es-MX"/>
        </w:rPr>
        <w:t xml:space="preserve">la Corte declara que el Estado ha dado cumplimiento a las medidas de publicación </w:t>
      </w:r>
      <w:r w:rsidR="00CC5A39">
        <w:rPr>
          <w:rFonts w:ascii="Verdana" w:hAnsi="Verdana"/>
          <w:sz w:val="20"/>
          <w:szCs w:val="20"/>
          <w:lang w:val="es-MX"/>
        </w:rPr>
        <w:t xml:space="preserve">y difusión </w:t>
      </w:r>
      <w:r>
        <w:rPr>
          <w:rFonts w:ascii="Verdana" w:hAnsi="Verdana"/>
          <w:sz w:val="20"/>
          <w:szCs w:val="20"/>
          <w:lang w:val="es-MX"/>
        </w:rPr>
        <w:t xml:space="preserve">de la Sentencia, ordenadas en el punto </w:t>
      </w:r>
      <w:r w:rsidR="002B7261">
        <w:rPr>
          <w:rFonts w:ascii="Verdana" w:hAnsi="Verdana"/>
          <w:sz w:val="20"/>
          <w:szCs w:val="20"/>
          <w:lang w:val="es-MX"/>
        </w:rPr>
        <w:t xml:space="preserve">dispositivo </w:t>
      </w:r>
      <w:r>
        <w:rPr>
          <w:rFonts w:ascii="Verdana" w:hAnsi="Verdana"/>
          <w:sz w:val="20"/>
          <w:szCs w:val="20"/>
          <w:lang w:val="es-MX"/>
        </w:rPr>
        <w:t>octavo de la misma.</w:t>
      </w:r>
    </w:p>
    <w:p w:rsidR="00D2626E" w:rsidRDefault="00D2626E" w:rsidP="008B1C48">
      <w:pPr>
        <w:spacing w:after="0" w:line="240" w:lineRule="auto"/>
        <w:jc w:val="both"/>
        <w:rPr>
          <w:rFonts w:ascii="Verdana" w:hAnsi="Verdana"/>
          <w:b/>
          <w:i/>
          <w:sz w:val="20"/>
          <w:szCs w:val="20"/>
          <w:lang w:val="es-MX"/>
        </w:rPr>
      </w:pPr>
    </w:p>
    <w:p w:rsidR="00F3225C" w:rsidRPr="008B1C48" w:rsidRDefault="00F3225C" w:rsidP="008B1C48">
      <w:pPr>
        <w:spacing w:after="0" w:line="240" w:lineRule="auto"/>
        <w:jc w:val="both"/>
        <w:rPr>
          <w:rFonts w:ascii="Verdana" w:hAnsi="Verdana"/>
          <w:b/>
          <w:i/>
          <w:sz w:val="20"/>
          <w:szCs w:val="20"/>
          <w:lang w:val="es-MX"/>
        </w:rPr>
      </w:pPr>
    </w:p>
    <w:p w:rsidR="00916774" w:rsidRPr="008B1C48" w:rsidRDefault="009841C6" w:rsidP="008B1C48">
      <w:pPr>
        <w:pStyle w:val="ListParagraph"/>
        <w:numPr>
          <w:ilvl w:val="0"/>
          <w:numId w:val="4"/>
        </w:numPr>
        <w:spacing w:after="0" w:line="240" w:lineRule="auto"/>
        <w:contextualSpacing w:val="0"/>
        <w:jc w:val="both"/>
        <w:outlineLvl w:val="0"/>
        <w:rPr>
          <w:rFonts w:ascii="Verdana" w:hAnsi="Verdana"/>
          <w:b/>
          <w:i/>
          <w:sz w:val="20"/>
          <w:szCs w:val="20"/>
          <w:lang w:val="es-MX"/>
        </w:rPr>
      </w:pPr>
      <w:bookmarkStart w:id="1" w:name="_Toc513709591"/>
      <w:r w:rsidRPr="008B1C48">
        <w:rPr>
          <w:rFonts w:ascii="Verdana" w:hAnsi="Verdana"/>
          <w:b/>
          <w:i/>
          <w:sz w:val="20"/>
          <w:szCs w:val="20"/>
          <w:lang w:val="es-MX"/>
        </w:rPr>
        <w:t xml:space="preserve">Trámite prioritario </w:t>
      </w:r>
      <w:r w:rsidR="003F5B13">
        <w:rPr>
          <w:rFonts w:ascii="Verdana" w:hAnsi="Verdana"/>
          <w:b/>
          <w:i/>
          <w:sz w:val="20"/>
          <w:szCs w:val="20"/>
          <w:lang w:val="es-MX"/>
        </w:rPr>
        <w:t>de</w:t>
      </w:r>
      <w:r w:rsidRPr="008B1C48">
        <w:rPr>
          <w:rFonts w:ascii="Verdana" w:hAnsi="Verdana"/>
          <w:b/>
          <w:i/>
          <w:sz w:val="20"/>
          <w:szCs w:val="20"/>
          <w:lang w:val="es-MX"/>
        </w:rPr>
        <w:t xml:space="preserve"> la solicitud de pensión del señor Duque</w:t>
      </w:r>
      <w:bookmarkEnd w:id="1"/>
    </w:p>
    <w:p w:rsidR="008B1C48" w:rsidRDefault="008B1C48" w:rsidP="008B1C48">
      <w:pPr>
        <w:pStyle w:val="ListParagraph"/>
        <w:spacing w:after="0" w:line="240" w:lineRule="auto"/>
        <w:contextualSpacing w:val="0"/>
        <w:jc w:val="both"/>
        <w:rPr>
          <w:rFonts w:ascii="Verdana" w:hAnsi="Verdana"/>
          <w:i/>
          <w:sz w:val="20"/>
          <w:szCs w:val="20"/>
          <w:lang w:val="es-MX"/>
        </w:rPr>
      </w:pPr>
    </w:p>
    <w:p w:rsidR="00916774" w:rsidRPr="000121ED" w:rsidRDefault="00916774" w:rsidP="008B1C48">
      <w:pPr>
        <w:pStyle w:val="ListParagraph"/>
        <w:spacing w:after="0" w:line="240" w:lineRule="auto"/>
        <w:contextualSpacing w:val="0"/>
        <w:jc w:val="both"/>
        <w:rPr>
          <w:rFonts w:ascii="Verdana" w:hAnsi="Verdana"/>
          <w:i/>
          <w:sz w:val="20"/>
          <w:lang w:val="es-MX"/>
        </w:rPr>
      </w:pPr>
      <w:r w:rsidRPr="008B1C48">
        <w:rPr>
          <w:rFonts w:ascii="Verdana" w:hAnsi="Verdana"/>
          <w:i/>
          <w:sz w:val="20"/>
          <w:szCs w:val="20"/>
          <w:lang w:val="es-MX"/>
        </w:rPr>
        <w:t>B.1. Medida</w:t>
      </w:r>
      <w:r>
        <w:rPr>
          <w:rFonts w:ascii="Verdana" w:hAnsi="Verdana"/>
          <w:i/>
          <w:sz w:val="20"/>
          <w:lang w:val="es-MX"/>
        </w:rPr>
        <w:t xml:space="preserve"> ordenada por la Corte </w:t>
      </w:r>
    </w:p>
    <w:p w:rsidR="008B1C48" w:rsidRDefault="008B1C48" w:rsidP="008B1C48">
      <w:pPr>
        <w:pStyle w:val="ListParagraph"/>
        <w:spacing w:after="0" w:line="240" w:lineRule="auto"/>
        <w:ind w:left="0"/>
        <w:contextualSpacing w:val="0"/>
        <w:jc w:val="both"/>
        <w:rPr>
          <w:rFonts w:ascii="Verdana" w:hAnsi="Verdana"/>
          <w:sz w:val="20"/>
          <w:lang w:val="es-MX"/>
        </w:rPr>
      </w:pPr>
    </w:p>
    <w:p w:rsidR="00916774" w:rsidRDefault="00916774" w:rsidP="00D41816">
      <w:pPr>
        <w:pStyle w:val="ListParagraph"/>
        <w:numPr>
          <w:ilvl w:val="0"/>
          <w:numId w:val="10"/>
        </w:numPr>
        <w:spacing w:after="0" w:line="240" w:lineRule="auto"/>
        <w:ind w:left="0" w:firstLine="0"/>
        <w:contextualSpacing w:val="0"/>
        <w:jc w:val="both"/>
        <w:rPr>
          <w:rFonts w:ascii="Verdana" w:hAnsi="Verdana"/>
          <w:sz w:val="20"/>
          <w:lang w:val="es-MX"/>
        </w:rPr>
      </w:pPr>
      <w:r>
        <w:rPr>
          <w:rFonts w:ascii="Verdana" w:hAnsi="Verdana"/>
          <w:sz w:val="20"/>
          <w:lang w:val="es-MX"/>
        </w:rPr>
        <w:t>E</w:t>
      </w:r>
      <w:r w:rsidRPr="00BD6F58">
        <w:rPr>
          <w:rFonts w:ascii="Verdana" w:hAnsi="Verdana"/>
          <w:sz w:val="20"/>
          <w:lang w:val="es-MX"/>
        </w:rPr>
        <w:t xml:space="preserve">n el punto </w:t>
      </w:r>
      <w:r w:rsidR="002B7261">
        <w:rPr>
          <w:rFonts w:ascii="Verdana" w:hAnsi="Verdana"/>
          <w:sz w:val="20"/>
          <w:lang w:val="es-MX"/>
        </w:rPr>
        <w:t xml:space="preserve">dispositivo </w:t>
      </w:r>
      <w:r w:rsidR="00487188">
        <w:rPr>
          <w:rFonts w:ascii="Verdana" w:hAnsi="Verdana"/>
          <w:sz w:val="20"/>
          <w:lang w:val="es-MX"/>
        </w:rPr>
        <w:t>noveno</w:t>
      </w:r>
      <w:r w:rsidRPr="00BD6F58">
        <w:rPr>
          <w:rFonts w:ascii="Verdana" w:hAnsi="Verdana"/>
          <w:sz w:val="20"/>
          <w:lang w:val="es-MX"/>
        </w:rPr>
        <w:t xml:space="preserve"> y en los párrafos</w:t>
      </w:r>
      <w:r w:rsidR="00487188">
        <w:rPr>
          <w:rFonts w:ascii="Verdana" w:hAnsi="Verdana"/>
          <w:sz w:val="20"/>
          <w:lang w:val="es-MX"/>
        </w:rPr>
        <w:t xml:space="preserve"> 199 y 200</w:t>
      </w:r>
      <w:r w:rsidRPr="00BD6F58">
        <w:rPr>
          <w:rFonts w:ascii="Verdana" w:hAnsi="Verdana"/>
          <w:sz w:val="20"/>
          <w:lang w:val="es-MX"/>
        </w:rPr>
        <w:t xml:space="preserve"> de la Sentencia, la Corte dispuso que </w:t>
      </w:r>
      <w:r w:rsidR="00487188">
        <w:rPr>
          <w:rFonts w:ascii="Verdana" w:hAnsi="Verdana"/>
          <w:sz w:val="20"/>
          <w:lang w:val="es-MX"/>
        </w:rPr>
        <w:t>el Estado</w:t>
      </w:r>
      <w:r w:rsidR="00CF46D4">
        <w:rPr>
          <w:rFonts w:ascii="Verdana" w:hAnsi="Verdana"/>
          <w:sz w:val="20"/>
          <w:lang w:val="es-MX"/>
        </w:rPr>
        <w:t xml:space="preserve"> </w:t>
      </w:r>
      <w:r w:rsidR="00EC44BD">
        <w:rPr>
          <w:rFonts w:ascii="Verdana" w:hAnsi="Verdana"/>
          <w:sz w:val="20"/>
          <w:lang w:val="es-MX"/>
        </w:rPr>
        <w:t>“</w:t>
      </w:r>
      <w:r w:rsidR="00CF46D4">
        <w:rPr>
          <w:rFonts w:ascii="Verdana" w:hAnsi="Verdana"/>
          <w:sz w:val="20"/>
          <w:lang w:val="es-MX"/>
        </w:rPr>
        <w:t>debe garantizar al señor Duque, una vez que presente la solicitud de reconocimiento de la pensión de sobrevivencia, que esta será tramitada de forma prioritaria, en un plazo de tres meses</w:t>
      </w:r>
      <w:r w:rsidR="00EC44BD">
        <w:rPr>
          <w:rFonts w:ascii="Verdana" w:hAnsi="Verdana"/>
          <w:sz w:val="20"/>
          <w:lang w:val="es-MX"/>
        </w:rPr>
        <w:t>”</w:t>
      </w:r>
      <w:r w:rsidR="00CF46D4">
        <w:rPr>
          <w:rFonts w:ascii="Verdana" w:hAnsi="Verdana"/>
          <w:sz w:val="20"/>
          <w:lang w:val="es-MX"/>
        </w:rPr>
        <w:t xml:space="preserve">. Asimismo, la Corte estableció que, </w:t>
      </w:r>
      <w:r w:rsidR="00EC44BD">
        <w:rPr>
          <w:rFonts w:ascii="Verdana" w:hAnsi="Verdana"/>
          <w:sz w:val="20"/>
          <w:lang w:val="es-MX"/>
        </w:rPr>
        <w:t>“</w:t>
      </w:r>
      <w:r w:rsidR="00CF46D4">
        <w:rPr>
          <w:rFonts w:ascii="Verdana" w:hAnsi="Verdana"/>
          <w:sz w:val="20"/>
          <w:lang w:val="es-MX"/>
        </w:rPr>
        <w:t xml:space="preserve">en </w:t>
      </w:r>
      <w:r w:rsidR="00CF46D4">
        <w:rPr>
          <w:rFonts w:ascii="Verdana" w:hAnsi="Verdana"/>
          <w:sz w:val="20"/>
          <w:lang w:val="es-MX"/>
        </w:rPr>
        <w:lastRenderedPageBreak/>
        <w:t>caso de otorgársele la pensión</w:t>
      </w:r>
      <w:r w:rsidR="00EC44BD">
        <w:rPr>
          <w:rFonts w:ascii="Verdana" w:hAnsi="Verdana"/>
          <w:sz w:val="20"/>
          <w:lang w:val="es-MX"/>
        </w:rPr>
        <w:t xml:space="preserve"> […]</w:t>
      </w:r>
      <w:r w:rsidR="00CF46D4">
        <w:rPr>
          <w:rFonts w:ascii="Verdana" w:hAnsi="Verdana"/>
          <w:sz w:val="20"/>
          <w:lang w:val="es-MX"/>
        </w:rPr>
        <w:t>, la misma deberá comprender la suma equivalente a todos los pagos, incluyendo los intereses correspondientes de conformidad con la normatividad interna colombiana, que no se percibieron desde que el señor Duque presentó la solicitud de información a COLFONDOS el 3 de abril de 2002</w:t>
      </w:r>
      <w:r w:rsidR="00EC44BD">
        <w:rPr>
          <w:rFonts w:ascii="Verdana" w:hAnsi="Verdana"/>
          <w:sz w:val="20"/>
          <w:lang w:val="es-MX"/>
        </w:rPr>
        <w:t>”</w:t>
      </w:r>
      <w:r w:rsidR="00CF46D4">
        <w:rPr>
          <w:rFonts w:ascii="Verdana" w:hAnsi="Verdana"/>
          <w:sz w:val="20"/>
          <w:lang w:val="es-MX"/>
        </w:rPr>
        <w:t>.</w:t>
      </w:r>
    </w:p>
    <w:p w:rsidR="00427F4F" w:rsidRPr="008B1C48" w:rsidRDefault="00427F4F" w:rsidP="008B1C48">
      <w:pPr>
        <w:pStyle w:val="ListParagraph"/>
        <w:spacing w:after="0" w:line="240" w:lineRule="auto"/>
        <w:ind w:left="0"/>
        <w:contextualSpacing w:val="0"/>
        <w:jc w:val="both"/>
        <w:rPr>
          <w:rFonts w:ascii="Verdana" w:hAnsi="Verdana"/>
          <w:sz w:val="20"/>
          <w:szCs w:val="20"/>
          <w:lang w:val="es-MX"/>
        </w:rPr>
      </w:pPr>
    </w:p>
    <w:p w:rsidR="00916774" w:rsidRPr="006063C0" w:rsidRDefault="00916774" w:rsidP="008B1C48">
      <w:pPr>
        <w:pStyle w:val="ListParagraph"/>
        <w:spacing w:after="0" w:line="240" w:lineRule="auto"/>
        <w:contextualSpacing w:val="0"/>
        <w:jc w:val="both"/>
        <w:rPr>
          <w:rFonts w:ascii="Verdana" w:hAnsi="Verdana"/>
          <w:i/>
          <w:sz w:val="20"/>
          <w:lang w:val="es-MX"/>
        </w:rPr>
      </w:pPr>
      <w:r>
        <w:rPr>
          <w:rFonts w:ascii="Verdana" w:hAnsi="Verdana"/>
          <w:i/>
          <w:sz w:val="20"/>
          <w:lang w:val="es-MX"/>
        </w:rPr>
        <w:t>B</w:t>
      </w:r>
      <w:r w:rsidRPr="006063C0">
        <w:rPr>
          <w:rFonts w:ascii="Verdana" w:hAnsi="Verdana"/>
          <w:i/>
          <w:sz w:val="20"/>
          <w:lang w:val="es-MX"/>
        </w:rPr>
        <w:t>.</w:t>
      </w:r>
      <w:r w:rsidR="005A05CF">
        <w:rPr>
          <w:rFonts w:ascii="Verdana" w:hAnsi="Verdana"/>
          <w:i/>
          <w:sz w:val="20"/>
          <w:lang w:val="es-MX"/>
        </w:rPr>
        <w:t>2</w:t>
      </w:r>
      <w:r>
        <w:rPr>
          <w:rFonts w:ascii="Verdana" w:hAnsi="Verdana"/>
          <w:i/>
          <w:sz w:val="20"/>
          <w:lang w:val="es-MX"/>
        </w:rPr>
        <w:t>.</w:t>
      </w:r>
      <w:r w:rsidRPr="006063C0">
        <w:rPr>
          <w:rFonts w:ascii="Verdana" w:hAnsi="Verdana"/>
          <w:i/>
          <w:sz w:val="20"/>
          <w:lang w:val="es-MX"/>
        </w:rPr>
        <w:t xml:space="preserve"> Consideraciones de la Corte</w:t>
      </w:r>
    </w:p>
    <w:p w:rsidR="008B1C48" w:rsidRPr="008B1C48" w:rsidRDefault="008B1C48" w:rsidP="008B1C48">
      <w:pPr>
        <w:pStyle w:val="ListParagraph"/>
        <w:spacing w:after="0" w:line="240" w:lineRule="auto"/>
        <w:ind w:left="0"/>
        <w:contextualSpacing w:val="0"/>
        <w:jc w:val="both"/>
        <w:rPr>
          <w:rFonts w:ascii="Verdana" w:hAnsi="Verdana"/>
          <w:b/>
          <w:i/>
          <w:sz w:val="20"/>
          <w:szCs w:val="20"/>
          <w:lang w:val="es-MX"/>
        </w:rPr>
      </w:pPr>
    </w:p>
    <w:p w:rsidR="00560449" w:rsidRPr="00560449" w:rsidRDefault="00560449" w:rsidP="00D41816">
      <w:pPr>
        <w:pStyle w:val="ListParagraph"/>
        <w:numPr>
          <w:ilvl w:val="0"/>
          <w:numId w:val="10"/>
        </w:numPr>
        <w:spacing w:after="0" w:line="240" w:lineRule="auto"/>
        <w:ind w:left="0" w:firstLine="0"/>
        <w:contextualSpacing w:val="0"/>
        <w:jc w:val="both"/>
        <w:rPr>
          <w:rFonts w:ascii="Verdana" w:hAnsi="Verdana"/>
          <w:b/>
          <w:i/>
          <w:sz w:val="20"/>
          <w:szCs w:val="20"/>
          <w:lang w:val="es-MX"/>
        </w:rPr>
      </w:pPr>
      <w:r>
        <w:rPr>
          <w:rFonts w:ascii="Verdana" w:hAnsi="Verdana"/>
          <w:sz w:val="20"/>
          <w:lang w:val="es-MX"/>
        </w:rPr>
        <w:t xml:space="preserve">El Tribunal recuerda que </w:t>
      </w:r>
      <w:r w:rsidRPr="00560449">
        <w:rPr>
          <w:rFonts w:ascii="Verdana" w:hAnsi="Verdana"/>
          <w:sz w:val="20"/>
          <w:szCs w:val="20"/>
          <w:lang w:val="es-CR"/>
        </w:rPr>
        <w:t>el Estado fue encontrado responsable por la violación al derecho a la igualdad y no discriminación en perjuicio del señor Duque toda vez que no se le permitió acceder en condiciones de igualdad a la pensión de sobrevivencia establecida en la normatividad interna colombiana</w:t>
      </w:r>
      <w:r>
        <w:rPr>
          <w:rFonts w:ascii="Verdana" w:hAnsi="Verdana"/>
          <w:sz w:val="20"/>
          <w:szCs w:val="20"/>
          <w:lang w:val="es-CR"/>
        </w:rPr>
        <w:t>. En razón de lo anterior, ordenó la referida medida de restitución</w:t>
      </w:r>
      <w:r w:rsidR="0015274B">
        <w:rPr>
          <w:rFonts w:ascii="Verdana" w:hAnsi="Verdana"/>
          <w:sz w:val="20"/>
          <w:szCs w:val="20"/>
          <w:lang w:val="es-CR"/>
        </w:rPr>
        <w:t>, la cual Colombia debía cumplir una vez que el señor Duque presentara la correspondiente solicitud</w:t>
      </w:r>
      <w:r w:rsidR="00C12605">
        <w:rPr>
          <w:rFonts w:ascii="Verdana" w:hAnsi="Verdana"/>
          <w:sz w:val="20"/>
          <w:szCs w:val="20"/>
          <w:lang w:val="es-CR"/>
        </w:rPr>
        <w:t xml:space="preserve"> </w:t>
      </w:r>
      <w:r w:rsidR="0015274B">
        <w:rPr>
          <w:rFonts w:ascii="Verdana" w:hAnsi="Verdana"/>
          <w:sz w:val="20"/>
          <w:szCs w:val="20"/>
          <w:lang w:val="es-CR"/>
        </w:rPr>
        <w:t xml:space="preserve">de pensión </w:t>
      </w:r>
      <w:r w:rsidR="00C12605">
        <w:rPr>
          <w:rFonts w:ascii="Verdana" w:hAnsi="Verdana"/>
          <w:sz w:val="20"/>
          <w:szCs w:val="20"/>
          <w:lang w:val="es-CR"/>
        </w:rPr>
        <w:t>(</w:t>
      </w:r>
      <w:r w:rsidR="00C12605">
        <w:rPr>
          <w:rFonts w:ascii="Verdana" w:hAnsi="Verdana"/>
          <w:i/>
          <w:sz w:val="20"/>
          <w:szCs w:val="20"/>
          <w:lang w:val="es-CR"/>
        </w:rPr>
        <w:t xml:space="preserve">supra </w:t>
      </w:r>
      <w:r w:rsidR="00C12605">
        <w:rPr>
          <w:rFonts w:ascii="Verdana" w:hAnsi="Verdana"/>
          <w:sz w:val="20"/>
          <w:szCs w:val="20"/>
          <w:lang w:val="es-CR"/>
        </w:rPr>
        <w:t xml:space="preserve">Considerando </w:t>
      </w:r>
      <w:r w:rsidR="00BF2CC6">
        <w:rPr>
          <w:rFonts w:ascii="Verdana" w:hAnsi="Verdana"/>
          <w:sz w:val="20"/>
          <w:szCs w:val="20"/>
          <w:lang w:val="es-CR"/>
        </w:rPr>
        <w:t>7</w:t>
      </w:r>
      <w:r w:rsidR="00C12605">
        <w:rPr>
          <w:rFonts w:ascii="Verdana" w:hAnsi="Verdana"/>
          <w:sz w:val="20"/>
          <w:szCs w:val="20"/>
          <w:lang w:val="es-CR"/>
        </w:rPr>
        <w:t>)</w:t>
      </w:r>
      <w:r>
        <w:rPr>
          <w:rFonts w:ascii="Verdana" w:hAnsi="Verdana"/>
          <w:sz w:val="20"/>
          <w:szCs w:val="20"/>
          <w:lang w:val="es-CR"/>
        </w:rPr>
        <w:t xml:space="preserve">. </w:t>
      </w:r>
    </w:p>
    <w:p w:rsidR="008B1C48" w:rsidRPr="008B1C48" w:rsidRDefault="008B1C48" w:rsidP="008B1C48">
      <w:pPr>
        <w:pStyle w:val="ListParagraph"/>
        <w:spacing w:after="0" w:line="240" w:lineRule="auto"/>
        <w:ind w:left="0"/>
        <w:contextualSpacing w:val="0"/>
        <w:jc w:val="both"/>
        <w:rPr>
          <w:rFonts w:ascii="Verdana" w:hAnsi="Verdana"/>
          <w:b/>
          <w:i/>
          <w:sz w:val="20"/>
          <w:szCs w:val="20"/>
          <w:lang w:val="es-MX"/>
        </w:rPr>
      </w:pPr>
    </w:p>
    <w:p w:rsidR="004D7B5B" w:rsidRPr="00284BE2" w:rsidRDefault="00560449" w:rsidP="00D41816">
      <w:pPr>
        <w:pStyle w:val="ListParagraph"/>
        <w:numPr>
          <w:ilvl w:val="0"/>
          <w:numId w:val="10"/>
        </w:numPr>
        <w:spacing w:after="0" w:line="240" w:lineRule="auto"/>
        <w:ind w:left="0" w:firstLine="0"/>
        <w:contextualSpacing w:val="0"/>
        <w:jc w:val="both"/>
        <w:rPr>
          <w:rFonts w:ascii="Verdana" w:hAnsi="Verdana"/>
          <w:b/>
          <w:i/>
          <w:sz w:val="20"/>
          <w:szCs w:val="20"/>
          <w:lang w:val="es-MX"/>
        </w:rPr>
      </w:pPr>
      <w:r w:rsidRPr="00560449">
        <w:rPr>
          <w:rFonts w:ascii="Verdana" w:hAnsi="Verdana"/>
          <w:sz w:val="20"/>
          <w:lang w:val="es-MX"/>
        </w:rPr>
        <w:t>En primer lugar, c</w:t>
      </w:r>
      <w:r w:rsidR="00E26627" w:rsidRPr="00560449">
        <w:rPr>
          <w:rFonts w:ascii="Verdana" w:hAnsi="Verdana"/>
          <w:sz w:val="20"/>
          <w:lang w:val="es-MX"/>
        </w:rPr>
        <w:t>on base en la información aportada por e</w:t>
      </w:r>
      <w:r w:rsidR="00150828" w:rsidRPr="00560449">
        <w:rPr>
          <w:rFonts w:ascii="Verdana" w:hAnsi="Verdana"/>
          <w:sz w:val="20"/>
          <w:lang w:val="es-MX"/>
        </w:rPr>
        <w:t xml:space="preserve">l </w:t>
      </w:r>
      <w:r w:rsidR="00E26627" w:rsidRPr="00560449">
        <w:rPr>
          <w:rFonts w:ascii="Verdana" w:hAnsi="Verdana"/>
          <w:sz w:val="20"/>
          <w:lang w:val="es-MX"/>
        </w:rPr>
        <w:t xml:space="preserve">Estado y el reconocimiento </w:t>
      </w:r>
      <w:r w:rsidR="00E26627" w:rsidRPr="00CD6095">
        <w:rPr>
          <w:rFonts w:ascii="Verdana" w:hAnsi="Verdana"/>
          <w:sz w:val="20"/>
          <w:lang w:val="es-MX"/>
        </w:rPr>
        <w:t xml:space="preserve">realizado por los representantes de la víctima, el </w:t>
      </w:r>
      <w:r w:rsidR="00150828" w:rsidRPr="00CD6095">
        <w:rPr>
          <w:rFonts w:ascii="Verdana" w:hAnsi="Verdana"/>
          <w:sz w:val="20"/>
          <w:lang w:val="es-MX"/>
        </w:rPr>
        <w:t>Tribunal constata que</w:t>
      </w:r>
      <w:r w:rsidR="00E26627" w:rsidRPr="00CD6095">
        <w:rPr>
          <w:rFonts w:ascii="Verdana" w:hAnsi="Verdana"/>
          <w:sz w:val="20"/>
          <w:lang w:val="es-MX"/>
        </w:rPr>
        <w:t xml:space="preserve"> </w:t>
      </w:r>
      <w:r w:rsidR="00150828" w:rsidRPr="00386072">
        <w:rPr>
          <w:rFonts w:ascii="Verdana" w:hAnsi="Verdana"/>
          <w:sz w:val="20"/>
          <w:szCs w:val="20"/>
          <w:lang w:val="es-ES"/>
        </w:rPr>
        <w:t>el señor Duque</w:t>
      </w:r>
      <w:r w:rsidR="00150828" w:rsidRPr="00661718">
        <w:rPr>
          <w:rFonts w:ascii="Verdana" w:hAnsi="Verdana"/>
          <w:sz w:val="20"/>
          <w:szCs w:val="20"/>
          <w:lang w:val="es-ES"/>
        </w:rPr>
        <w:t xml:space="preserve"> </w:t>
      </w:r>
      <w:r w:rsidR="00661718" w:rsidRPr="00661718">
        <w:rPr>
          <w:rFonts w:ascii="Verdana" w:hAnsi="Verdana"/>
          <w:sz w:val="20"/>
          <w:szCs w:val="20"/>
          <w:lang w:val="es-CR"/>
        </w:rPr>
        <w:t>present</w:t>
      </w:r>
      <w:r w:rsidR="00224600">
        <w:rPr>
          <w:rFonts w:ascii="Verdana" w:hAnsi="Verdana"/>
          <w:sz w:val="20"/>
          <w:szCs w:val="20"/>
          <w:lang w:val="es-CR"/>
        </w:rPr>
        <w:t>ó la solicitud e</w:t>
      </w:r>
      <w:r w:rsidR="00F31A83">
        <w:rPr>
          <w:rFonts w:ascii="Verdana" w:hAnsi="Verdana"/>
          <w:sz w:val="20"/>
          <w:szCs w:val="20"/>
          <w:lang w:val="es-CR"/>
        </w:rPr>
        <w:t>l 19 de</w:t>
      </w:r>
      <w:r w:rsidR="00224600">
        <w:rPr>
          <w:rFonts w:ascii="Verdana" w:hAnsi="Verdana"/>
          <w:sz w:val="20"/>
          <w:szCs w:val="20"/>
          <w:lang w:val="es-CR"/>
        </w:rPr>
        <w:t xml:space="preserve"> </w:t>
      </w:r>
      <w:r w:rsidR="00224600" w:rsidRPr="00F31A83">
        <w:rPr>
          <w:rFonts w:ascii="Verdana" w:hAnsi="Verdana"/>
          <w:sz w:val="20"/>
          <w:szCs w:val="20"/>
          <w:lang w:val="es-CR"/>
        </w:rPr>
        <w:t>julio de 2016</w:t>
      </w:r>
      <w:r w:rsidR="00661718" w:rsidRPr="00F31A83">
        <w:rPr>
          <w:rFonts w:ascii="Verdana" w:hAnsi="Verdana"/>
          <w:sz w:val="20"/>
          <w:szCs w:val="20"/>
          <w:lang w:val="es-CR"/>
        </w:rPr>
        <w:t xml:space="preserve">, y que Colombia cumplió con resolverla </w:t>
      </w:r>
      <w:r w:rsidR="00224600" w:rsidRPr="00F31A83">
        <w:rPr>
          <w:rFonts w:ascii="Verdana" w:hAnsi="Verdana"/>
          <w:sz w:val="20"/>
          <w:szCs w:val="20"/>
          <w:lang w:val="es-CR"/>
        </w:rPr>
        <w:t xml:space="preserve">en </w:t>
      </w:r>
      <w:r w:rsidR="0086015C" w:rsidRPr="00F31A83">
        <w:rPr>
          <w:rFonts w:ascii="Verdana" w:hAnsi="Verdana"/>
          <w:sz w:val="20"/>
          <w:szCs w:val="20"/>
          <w:lang w:val="es-CR"/>
        </w:rPr>
        <w:t>dos</w:t>
      </w:r>
      <w:r w:rsidR="00661718" w:rsidRPr="00F31A83">
        <w:rPr>
          <w:rFonts w:ascii="Verdana" w:hAnsi="Verdana"/>
          <w:sz w:val="20"/>
          <w:szCs w:val="20"/>
          <w:lang w:val="es-CR"/>
        </w:rPr>
        <w:t xml:space="preserve"> meses, de forma exped</w:t>
      </w:r>
      <w:r w:rsidR="00661718">
        <w:rPr>
          <w:rFonts w:ascii="Verdana" w:hAnsi="Verdana"/>
          <w:sz w:val="20"/>
          <w:szCs w:val="20"/>
          <w:lang w:val="es-CR"/>
        </w:rPr>
        <w:t>ita, tal como fue dispuesto al ordenarse esta reparación</w:t>
      </w:r>
      <w:r w:rsidR="00A540E9">
        <w:rPr>
          <w:rStyle w:val="FootnoteReference"/>
          <w:rFonts w:ascii="Verdana" w:hAnsi="Verdana"/>
          <w:sz w:val="20"/>
          <w:szCs w:val="20"/>
          <w:lang w:val="es-CR"/>
        </w:rPr>
        <w:footnoteReference w:id="18"/>
      </w:r>
      <w:r w:rsidR="003056DF">
        <w:rPr>
          <w:rFonts w:ascii="Verdana" w:hAnsi="Verdana"/>
          <w:sz w:val="20"/>
          <w:szCs w:val="20"/>
          <w:lang w:val="es-CR"/>
        </w:rPr>
        <w:t>.</w:t>
      </w:r>
      <w:r w:rsidR="00F31A83">
        <w:rPr>
          <w:rFonts w:ascii="Verdana" w:hAnsi="Verdana"/>
          <w:sz w:val="20"/>
          <w:szCs w:val="20"/>
          <w:lang w:val="es-CR"/>
        </w:rPr>
        <w:t xml:space="preserve"> </w:t>
      </w:r>
      <w:r w:rsidR="00761B18">
        <w:rPr>
          <w:rFonts w:ascii="Verdana" w:hAnsi="Verdana"/>
          <w:sz w:val="20"/>
          <w:szCs w:val="20"/>
          <w:lang w:val="es-CR"/>
        </w:rPr>
        <w:t xml:space="preserve">A la víctima </w:t>
      </w:r>
      <w:r w:rsidR="003056DF">
        <w:rPr>
          <w:rFonts w:ascii="Verdana" w:hAnsi="Verdana"/>
          <w:sz w:val="20"/>
          <w:szCs w:val="20"/>
          <w:lang w:val="es-CR"/>
        </w:rPr>
        <w:t>l</w:t>
      </w:r>
      <w:r w:rsidR="00661718">
        <w:rPr>
          <w:rFonts w:ascii="Verdana" w:hAnsi="Verdana"/>
          <w:sz w:val="20"/>
          <w:szCs w:val="20"/>
          <w:lang w:val="es-CR"/>
        </w:rPr>
        <w:t xml:space="preserve">e fue concedida la pensión de sobrevivencia </w:t>
      </w:r>
      <w:r w:rsidR="00E26627" w:rsidRPr="00386072">
        <w:rPr>
          <w:rFonts w:ascii="Verdana" w:hAnsi="Verdana"/>
          <w:sz w:val="20"/>
          <w:szCs w:val="20"/>
          <w:lang w:val="es-ES"/>
        </w:rPr>
        <w:t>“</w:t>
      </w:r>
      <w:r w:rsidR="00150828" w:rsidRPr="003B4053">
        <w:rPr>
          <w:rFonts w:ascii="Verdana" w:hAnsi="Verdana"/>
          <w:sz w:val="20"/>
          <w:szCs w:val="20"/>
          <w:lang w:val="es-ES"/>
        </w:rPr>
        <w:t>en calidad de compañero</w:t>
      </w:r>
      <w:r w:rsidR="00761B18">
        <w:rPr>
          <w:rFonts w:ascii="Verdana" w:hAnsi="Verdana"/>
          <w:sz w:val="20"/>
          <w:szCs w:val="20"/>
          <w:lang w:val="es-ES"/>
        </w:rPr>
        <w:t>” y, s</w:t>
      </w:r>
      <w:r w:rsidR="003056DF">
        <w:rPr>
          <w:rFonts w:ascii="Verdana" w:hAnsi="Verdana"/>
          <w:sz w:val="20"/>
          <w:szCs w:val="20"/>
          <w:lang w:val="es-ES"/>
        </w:rPr>
        <w:t>egún la información aportada</w:t>
      </w:r>
      <w:r w:rsidR="00150828" w:rsidRPr="00EA0148">
        <w:rPr>
          <w:rFonts w:ascii="Verdana" w:hAnsi="Verdana"/>
          <w:sz w:val="20"/>
          <w:szCs w:val="20"/>
          <w:lang w:val="es-ES"/>
        </w:rPr>
        <w:t>, recib</w:t>
      </w:r>
      <w:r w:rsidR="003056DF">
        <w:rPr>
          <w:rFonts w:ascii="Verdana" w:hAnsi="Verdana"/>
          <w:sz w:val="20"/>
          <w:szCs w:val="20"/>
          <w:lang w:val="es-ES"/>
        </w:rPr>
        <w:t>e</w:t>
      </w:r>
      <w:r w:rsidR="00150828" w:rsidRPr="00EA0148">
        <w:rPr>
          <w:rFonts w:ascii="Verdana" w:hAnsi="Verdana"/>
          <w:sz w:val="20"/>
          <w:szCs w:val="20"/>
          <w:lang w:val="es-ES"/>
        </w:rPr>
        <w:t xml:space="preserve"> </w:t>
      </w:r>
      <w:r w:rsidR="003056DF">
        <w:rPr>
          <w:rFonts w:ascii="Verdana" w:hAnsi="Verdana"/>
          <w:sz w:val="20"/>
          <w:szCs w:val="20"/>
          <w:lang w:val="es-ES"/>
        </w:rPr>
        <w:t>“</w:t>
      </w:r>
      <w:r w:rsidR="00150828" w:rsidRPr="00EA0148">
        <w:rPr>
          <w:rFonts w:ascii="Verdana" w:hAnsi="Verdana"/>
          <w:sz w:val="20"/>
          <w:szCs w:val="20"/>
          <w:lang w:val="es-ES"/>
        </w:rPr>
        <w:t>el 100% del valor de la pensión […] por</w:t>
      </w:r>
      <w:r w:rsidR="00E26627" w:rsidRPr="009E12BE">
        <w:rPr>
          <w:rFonts w:ascii="Verdana" w:hAnsi="Verdana"/>
          <w:sz w:val="20"/>
          <w:szCs w:val="20"/>
          <w:lang w:val="es-ES"/>
        </w:rPr>
        <w:t xml:space="preserve"> [parte de]</w:t>
      </w:r>
      <w:r w:rsidR="00150828" w:rsidRPr="009E12BE">
        <w:rPr>
          <w:rFonts w:ascii="Verdana" w:hAnsi="Verdana"/>
          <w:sz w:val="20"/>
          <w:szCs w:val="20"/>
          <w:lang w:val="es-ES"/>
        </w:rPr>
        <w:t xml:space="preserve"> la Sociedad Administradora de Fondo de Pensiones y Cesantías </w:t>
      </w:r>
      <w:proofErr w:type="spellStart"/>
      <w:r w:rsidR="00150828" w:rsidRPr="009E12BE">
        <w:rPr>
          <w:rFonts w:ascii="Verdana" w:hAnsi="Verdana"/>
          <w:sz w:val="20"/>
          <w:szCs w:val="20"/>
          <w:lang w:val="es-ES"/>
        </w:rPr>
        <w:t>Colfondos</w:t>
      </w:r>
      <w:proofErr w:type="spellEnd"/>
      <w:r w:rsidR="00150828" w:rsidRPr="009E12BE">
        <w:rPr>
          <w:rFonts w:ascii="Verdana" w:hAnsi="Verdana"/>
          <w:sz w:val="20"/>
          <w:szCs w:val="20"/>
          <w:lang w:val="es-ES"/>
        </w:rPr>
        <w:t xml:space="preserve"> S.A. </w:t>
      </w:r>
      <w:r w:rsidR="00491666">
        <w:rPr>
          <w:rFonts w:ascii="Verdana" w:hAnsi="Verdana"/>
          <w:sz w:val="20"/>
          <w:szCs w:val="20"/>
          <w:lang w:val="es-ES"/>
        </w:rPr>
        <w:t xml:space="preserve">[en adelante “COLFONDOS”] </w:t>
      </w:r>
      <w:r w:rsidR="00150828" w:rsidRPr="009E12BE">
        <w:rPr>
          <w:rFonts w:ascii="Verdana" w:hAnsi="Verdana"/>
          <w:sz w:val="20"/>
          <w:szCs w:val="20"/>
          <w:lang w:val="es-ES"/>
        </w:rPr>
        <w:t>en la modalidad de [r]</w:t>
      </w:r>
      <w:proofErr w:type="spellStart"/>
      <w:r w:rsidR="00150828" w:rsidRPr="009E12BE">
        <w:rPr>
          <w:rFonts w:ascii="Verdana" w:hAnsi="Verdana"/>
          <w:sz w:val="20"/>
          <w:szCs w:val="20"/>
          <w:lang w:val="es-ES"/>
        </w:rPr>
        <w:t>etiro</w:t>
      </w:r>
      <w:proofErr w:type="spellEnd"/>
      <w:r w:rsidR="00150828" w:rsidRPr="009E12BE">
        <w:rPr>
          <w:rFonts w:ascii="Verdana" w:hAnsi="Verdana"/>
          <w:sz w:val="20"/>
          <w:szCs w:val="20"/>
          <w:lang w:val="es-ES"/>
        </w:rPr>
        <w:t xml:space="preserve"> [p]</w:t>
      </w:r>
      <w:proofErr w:type="spellStart"/>
      <w:r w:rsidR="00150828" w:rsidRPr="009E12BE">
        <w:rPr>
          <w:rFonts w:ascii="Verdana" w:hAnsi="Verdana"/>
          <w:sz w:val="20"/>
          <w:szCs w:val="20"/>
          <w:lang w:val="es-ES"/>
        </w:rPr>
        <w:t>rogramad</w:t>
      </w:r>
      <w:proofErr w:type="spellEnd"/>
      <w:r w:rsidR="00150828" w:rsidRPr="009E12BE">
        <w:rPr>
          <w:rFonts w:ascii="Verdana" w:hAnsi="Verdana"/>
          <w:sz w:val="20"/>
          <w:szCs w:val="20"/>
          <w:lang w:val="es-ES"/>
        </w:rPr>
        <w:t>[o] con 13 mesadas anuales</w:t>
      </w:r>
      <w:r w:rsidR="00150828" w:rsidRPr="00786AEC">
        <w:rPr>
          <w:rFonts w:ascii="Verdana" w:hAnsi="Verdana"/>
          <w:sz w:val="20"/>
          <w:szCs w:val="20"/>
          <w:lang w:val="es-ES"/>
        </w:rPr>
        <w:t>”</w:t>
      </w:r>
      <w:r w:rsidR="00150828" w:rsidRPr="00150828">
        <w:rPr>
          <w:rStyle w:val="FootnoteReference"/>
          <w:rFonts w:ascii="Verdana" w:hAnsi="Verdana"/>
          <w:sz w:val="20"/>
          <w:szCs w:val="20"/>
          <w:lang w:val="es-ES"/>
        </w:rPr>
        <w:footnoteReference w:id="19"/>
      </w:r>
      <w:r w:rsidR="00150828" w:rsidRPr="00560449">
        <w:rPr>
          <w:rFonts w:ascii="Verdana" w:hAnsi="Verdana"/>
          <w:sz w:val="20"/>
          <w:szCs w:val="20"/>
          <w:lang w:val="es-ES"/>
        </w:rPr>
        <w:t xml:space="preserve">. </w:t>
      </w:r>
      <w:r w:rsidR="00E26627" w:rsidRPr="00CD6095">
        <w:rPr>
          <w:rFonts w:ascii="Verdana" w:hAnsi="Verdana"/>
          <w:sz w:val="20"/>
          <w:szCs w:val="20"/>
          <w:lang w:val="es-ES"/>
        </w:rPr>
        <w:t xml:space="preserve">Asimismo, la Corte </w:t>
      </w:r>
      <w:r w:rsidR="00EB757C" w:rsidRPr="00CD6095">
        <w:rPr>
          <w:rFonts w:ascii="Verdana" w:hAnsi="Verdana"/>
          <w:sz w:val="20"/>
          <w:szCs w:val="20"/>
          <w:lang w:val="es-ES"/>
        </w:rPr>
        <w:t>nota</w:t>
      </w:r>
      <w:r w:rsidR="00E26627" w:rsidRPr="00CD6095">
        <w:rPr>
          <w:rFonts w:ascii="Verdana" w:hAnsi="Verdana"/>
          <w:sz w:val="20"/>
          <w:szCs w:val="20"/>
          <w:lang w:val="es-ES"/>
        </w:rPr>
        <w:t xml:space="preserve"> que</w:t>
      </w:r>
      <w:r w:rsidR="00150828" w:rsidRPr="00CD6095">
        <w:rPr>
          <w:rFonts w:ascii="Verdana" w:hAnsi="Verdana"/>
          <w:sz w:val="20"/>
          <w:szCs w:val="20"/>
          <w:lang w:val="es-ES"/>
        </w:rPr>
        <w:t xml:space="preserve"> </w:t>
      </w:r>
      <w:r w:rsidR="00661718">
        <w:rPr>
          <w:rFonts w:ascii="Verdana" w:hAnsi="Verdana"/>
          <w:sz w:val="20"/>
          <w:szCs w:val="20"/>
          <w:lang w:val="es-ES"/>
        </w:rPr>
        <w:t xml:space="preserve">la </w:t>
      </w:r>
      <w:r w:rsidR="001B24F1" w:rsidRPr="00386072">
        <w:rPr>
          <w:rFonts w:ascii="Verdana" w:hAnsi="Verdana"/>
          <w:sz w:val="20"/>
          <w:szCs w:val="20"/>
          <w:lang w:val="es-ES"/>
        </w:rPr>
        <w:t xml:space="preserve">pensión </w:t>
      </w:r>
      <w:r w:rsidR="001B24F1" w:rsidRPr="003B4053">
        <w:rPr>
          <w:rFonts w:ascii="Verdana" w:hAnsi="Verdana"/>
          <w:sz w:val="20"/>
          <w:szCs w:val="20"/>
          <w:lang w:val="es-ES"/>
        </w:rPr>
        <w:t>se reconoció a partir del 15 de septiembre de 2001</w:t>
      </w:r>
      <w:r w:rsidR="001B24F1" w:rsidRPr="009E12BE">
        <w:rPr>
          <w:rFonts w:ascii="Verdana" w:hAnsi="Verdana"/>
          <w:sz w:val="20"/>
          <w:szCs w:val="20"/>
          <w:lang w:val="es-ES"/>
        </w:rPr>
        <w:t xml:space="preserve"> y </w:t>
      </w:r>
      <w:r w:rsidR="00150828" w:rsidRPr="009E12BE">
        <w:rPr>
          <w:rFonts w:ascii="Verdana" w:hAnsi="Verdana"/>
          <w:sz w:val="20"/>
          <w:szCs w:val="20"/>
          <w:lang w:val="es-ES"/>
        </w:rPr>
        <w:t xml:space="preserve">el señor Duque recibió </w:t>
      </w:r>
      <w:r w:rsidR="00E26627" w:rsidRPr="009E12BE">
        <w:rPr>
          <w:rFonts w:ascii="Verdana" w:hAnsi="Verdana"/>
          <w:sz w:val="20"/>
          <w:szCs w:val="20"/>
          <w:lang w:val="es-ES"/>
        </w:rPr>
        <w:t>“u</w:t>
      </w:r>
      <w:r w:rsidR="00E26627" w:rsidRPr="00C37118">
        <w:rPr>
          <w:rFonts w:ascii="Verdana" w:hAnsi="Verdana"/>
          <w:sz w:val="20"/>
          <w:szCs w:val="20"/>
          <w:lang w:val="es-ES"/>
        </w:rPr>
        <w:t>n pago único de</w:t>
      </w:r>
      <w:r w:rsidR="00150828" w:rsidRPr="00786AEC">
        <w:rPr>
          <w:rFonts w:ascii="Verdana" w:hAnsi="Verdana"/>
          <w:sz w:val="20"/>
          <w:szCs w:val="20"/>
          <w:lang w:val="es-ES"/>
        </w:rPr>
        <w:t xml:space="preserve"> retroactivo </w:t>
      </w:r>
      <w:r w:rsidR="00E26627" w:rsidRPr="002E25D2">
        <w:rPr>
          <w:rFonts w:ascii="Verdana" w:hAnsi="Verdana"/>
          <w:sz w:val="20"/>
          <w:szCs w:val="20"/>
          <w:lang w:val="es-ES"/>
        </w:rPr>
        <w:t>de mesadas</w:t>
      </w:r>
      <w:r w:rsidR="001B24F1" w:rsidRPr="00284BE2">
        <w:rPr>
          <w:rFonts w:ascii="Verdana" w:hAnsi="Verdana"/>
          <w:sz w:val="20"/>
          <w:szCs w:val="20"/>
          <w:lang w:val="es-ES"/>
        </w:rPr>
        <w:t>”</w:t>
      </w:r>
      <w:r w:rsidR="00E26627" w:rsidRPr="00284BE2">
        <w:rPr>
          <w:rFonts w:ascii="Verdana" w:hAnsi="Verdana"/>
          <w:sz w:val="20"/>
          <w:szCs w:val="20"/>
          <w:lang w:val="es-ES"/>
        </w:rPr>
        <w:t xml:space="preserve"> comprendidas entre </w:t>
      </w:r>
      <w:r w:rsidR="001B24F1" w:rsidRPr="00284BE2">
        <w:rPr>
          <w:rFonts w:ascii="Verdana" w:hAnsi="Verdana"/>
          <w:sz w:val="20"/>
          <w:szCs w:val="20"/>
          <w:lang w:val="es-ES"/>
        </w:rPr>
        <w:t xml:space="preserve">dicha fecha y </w:t>
      </w:r>
      <w:r w:rsidR="00150828" w:rsidRPr="00284BE2">
        <w:rPr>
          <w:rFonts w:ascii="Verdana" w:hAnsi="Verdana"/>
          <w:sz w:val="20"/>
          <w:szCs w:val="20"/>
          <w:lang w:val="es-ES"/>
        </w:rPr>
        <w:t>el 30 de septiembre de 2016</w:t>
      </w:r>
      <w:r w:rsidR="00150828" w:rsidRPr="00150828">
        <w:rPr>
          <w:rStyle w:val="FootnoteReference"/>
          <w:rFonts w:ascii="Verdana" w:hAnsi="Verdana"/>
          <w:sz w:val="20"/>
          <w:szCs w:val="20"/>
          <w:lang w:val="es-ES"/>
        </w:rPr>
        <w:footnoteReference w:id="20"/>
      </w:r>
      <w:r w:rsidR="00150828" w:rsidRPr="00560449">
        <w:rPr>
          <w:rFonts w:ascii="Verdana" w:hAnsi="Verdana"/>
          <w:sz w:val="20"/>
          <w:szCs w:val="20"/>
          <w:lang w:val="es-ES"/>
        </w:rPr>
        <w:t xml:space="preserve">. </w:t>
      </w:r>
      <w:r w:rsidR="00284BE2">
        <w:rPr>
          <w:rFonts w:ascii="Verdana" w:hAnsi="Verdana"/>
          <w:sz w:val="20"/>
          <w:szCs w:val="20"/>
          <w:lang w:val="es-ES"/>
        </w:rPr>
        <w:t>El Tribunal valora positivamente el reconocimiento de la pensión de sobrevivencia y el pago retroactivo de las mesadas a la víctima.</w:t>
      </w:r>
      <w:r>
        <w:rPr>
          <w:rFonts w:ascii="Verdana" w:hAnsi="Verdana"/>
          <w:sz w:val="20"/>
          <w:szCs w:val="20"/>
          <w:lang w:val="es-ES"/>
        </w:rPr>
        <w:t xml:space="preserve"> </w:t>
      </w:r>
    </w:p>
    <w:p w:rsidR="008B1C48" w:rsidRPr="008B1C48" w:rsidRDefault="008B1C48" w:rsidP="008B1C48">
      <w:pPr>
        <w:pStyle w:val="ListParagraph"/>
        <w:spacing w:after="0" w:line="240" w:lineRule="auto"/>
        <w:ind w:left="0"/>
        <w:contextualSpacing w:val="0"/>
        <w:jc w:val="both"/>
        <w:rPr>
          <w:rFonts w:ascii="Verdana" w:hAnsi="Verdana"/>
          <w:b/>
          <w:i/>
          <w:sz w:val="20"/>
          <w:szCs w:val="20"/>
          <w:lang w:val="es-MX"/>
        </w:rPr>
      </w:pPr>
    </w:p>
    <w:p w:rsidR="00916774" w:rsidRPr="00976AD3" w:rsidRDefault="00560449" w:rsidP="00D41816">
      <w:pPr>
        <w:pStyle w:val="ListParagraph"/>
        <w:numPr>
          <w:ilvl w:val="0"/>
          <w:numId w:val="10"/>
        </w:numPr>
        <w:spacing w:after="0" w:line="240" w:lineRule="auto"/>
        <w:ind w:left="0" w:firstLine="0"/>
        <w:contextualSpacing w:val="0"/>
        <w:jc w:val="both"/>
        <w:rPr>
          <w:rFonts w:ascii="Verdana" w:hAnsi="Verdana"/>
          <w:b/>
          <w:i/>
          <w:sz w:val="20"/>
          <w:szCs w:val="20"/>
          <w:lang w:val="es-MX"/>
        </w:rPr>
      </w:pPr>
      <w:r w:rsidRPr="00560449">
        <w:rPr>
          <w:rFonts w:ascii="Verdana" w:hAnsi="Verdana"/>
          <w:sz w:val="20"/>
          <w:lang w:val="es-MX"/>
        </w:rPr>
        <w:t>No obstante</w:t>
      </w:r>
      <w:r w:rsidR="00EB757C" w:rsidRPr="00560449">
        <w:rPr>
          <w:rFonts w:ascii="Verdana" w:hAnsi="Verdana"/>
          <w:sz w:val="20"/>
          <w:szCs w:val="20"/>
          <w:lang w:val="es-ES"/>
        </w:rPr>
        <w:t xml:space="preserve"> </w:t>
      </w:r>
      <w:r w:rsidR="00EB757C" w:rsidRPr="004D7B5B">
        <w:rPr>
          <w:rFonts w:ascii="Verdana" w:hAnsi="Verdana"/>
          <w:sz w:val="20"/>
          <w:szCs w:val="20"/>
          <w:lang w:val="es-ES"/>
        </w:rPr>
        <w:t xml:space="preserve">existe una controversia </w:t>
      </w:r>
      <w:r w:rsidR="00290064">
        <w:rPr>
          <w:rFonts w:ascii="Verdana" w:hAnsi="Verdana"/>
          <w:sz w:val="20"/>
          <w:szCs w:val="20"/>
          <w:lang w:val="es-ES"/>
        </w:rPr>
        <w:t xml:space="preserve">sobre el cumplimiento total de esta reparación </w:t>
      </w:r>
      <w:r w:rsidR="00EB757C" w:rsidRPr="004D7B5B">
        <w:rPr>
          <w:rFonts w:ascii="Verdana" w:hAnsi="Verdana"/>
          <w:sz w:val="20"/>
          <w:szCs w:val="20"/>
          <w:lang w:val="es-ES"/>
        </w:rPr>
        <w:t>debido a que el Estado no reconoció el pago de intereses moratorios a favor del señor Duque</w:t>
      </w:r>
      <w:r w:rsidR="00F36953">
        <w:rPr>
          <w:rStyle w:val="FootnoteReference"/>
          <w:rFonts w:ascii="Verdana" w:hAnsi="Verdana"/>
          <w:sz w:val="20"/>
          <w:szCs w:val="20"/>
          <w:lang w:val="es-ES"/>
        </w:rPr>
        <w:footnoteReference w:id="21"/>
      </w:r>
      <w:r w:rsidR="00EB757C" w:rsidRPr="004D7B5B">
        <w:rPr>
          <w:rFonts w:ascii="Verdana" w:hAnsi="Verdana"/>
          <w:sz w:val="20"/>
          <w:szCs w:val="20"/>
          <w:lang w:val="es-ES"/>
        </w:rPr>
        <w:t xml:space="preserve">. Por lo anterior, si bien </w:t>
      </w:r>
      <w:r w:rsidR="00EB757C" w:rsidRPr="0086015C">
        <w:rPr>
          <w:rFonts w:ascii="Verdana" w:hAnsi="Verdana"/>
          <w:i/>
          <w:sz w:val="20"/>
          <w:szCs w:val="20"/>
          <w:lang w:val="es-ES"/>
        </w:rPr>
        <w:t>Colombia</w:t>
      </w:r>
      <w:r w:rsidR="00EB757C" w:rsidRPr="004D7B5B">
        <w:rPr>
          <w:rFonts w:ascii="Verdana" w:hAnsi="Verdana"/>
          <w:sz w:val="20"/>
          <w:szCs w:val="20"/>
          <w:lang w:val="es-ES"/>
        </w:rPr>
        <w:t xml:space="preserve"> solicitó en mayo de 2017 que </w:t>
      </w:r>
      <w:r w:rsidR="001C3C6C" w:rsidRPr="004D7B5B">
        <w:rPr>
          <w:rFonts w:ascii="Verdana" w:hAnsi="Verdana"/>
          <w:sz w:val="20"/>
          <w:szCs w:val="20"/>
          <w:lang w:val="es-ES"/>
        </w:rPr>
        <w:t>la Corte</w:t>
      </w:r>
      <w:r w:rsidR="00EB757C" w:rsidRPr="004D7B5B">
        <w:rPr>
          <w:rFonts w:ascii="Verdana" w:hAnsi="Verdana"/>
          <w:sz w:val="20"/>
          <w:szCs w:val="20"/>
          <w:lang w:val="es-ES"/>
        </w:rPr>
        <w:t xml:space="preserve"> declare el cumplimiento total de esta medida</w:t>
      </w:r>
      <w:r w:rsidR="00F337B5">
        <w:rPr>
          <w:rStyle w:val="FootnoteReference"/>
          <w:rFonts w:ascii="Verdana" w:hAnsi="Verdana"/>
          <w:sz w:val="20"/>
          <w:szCs w:val="20"/>
          <w:lang w:val="es-ES"/>
        </w:rPr>
        <w:footnoteReference w:id="22"/>
      </w:r>
      <w:r w:rsidR="00EB757C" w:rsidRPr="004D7B5B">
        <w:rPr>
          <w:rFonts w:ascii="Verdana" w:hAnsi="Verdana"/>
          <w:sz w:val="20"/>
          <w:szCs w:val="20"/>
          <w:lang w:val="es-ES"/>
        </w:rPr>
        <w:t>,</w:t>
      </w:r>
      <w:r w:rsidR="00F12B68">
        <w:rPr>
          <w:rFonts w:ascii="Verdana" w:hAnsi="Verdana"/>
          <w:sz w:val="20"/>
          <w:szCs w:val="20"/>
          <w:lang w:val="es-ES"/>
        </w:rPr>
        <w:t xml:space="preserve"> </w:t>
      </w:r>
      <w:r w:rsidR="00EB757C" w:rsidRPr="0086015C">
        <w:rPr>
          <w:rFonts w:ascii="Verdana" w:hAnsi="Verdana"/>
          <w:i/>
          <w:sz w:val="20"/>
          <w:szCs w:val="20"/>
          <w:lang w:val="es-ES"/>
        </w:rPr>
        <w:t>los representantes de la víctima</w:t>
      </w:r>
      <w:r w:rsidR="00EB757C" w:rsidRPr="004D7B5B">
        <w:rPr>
          <w:rFonts w:ascii="Verdana" w:hAnsi="Verdana"/>
          <w:sz w:val="20"/>
          <w:szCs w:val="20"/>
          <w:lang w:val="es-ES"/>
        </w:rPr>
        <w:t xml:space="preserve"> </w:t>
      </w:r>
      <w:r w:rsidR="00290064">
        <w:rPr>
          <w:rFonts w:ascii="Verdana" w:hAnsi="Verdana"/>
          <w:sz w:val="20"/>
          <w:szCs w:val="20"/>
          <w:lang w:val="es-ES"/>
        </w:rPr>
        <w:t xml:space="preserve">y </w:t>
      </w:r>
      <w:r w:rsidR="00290064" w:rsidRPr="0086015C">
        <w:rPr>
          <w:rFonts w:ascii="Verdana" w:hAnsi="Verdana"/>
          <w:i/>
          <w:sz w:val="20"/>
          <w:szCs w:val="20"/>
          <w:lang w:val="es-ES"/>
        </w:rPr>
        <w:t>la Comisión</w:t>
      </w:r>
      <w:r w:rsidR="00290064">
        <w:rPr>
          <w:rFonts w:ascii="Verdana" w:hAnsi="Verdana"/>
          <w:sz w:val="20"/>
          <w:szCs w:val="20"/>
          <w:lang w:val="es-ES"/>
        </w:rPr>
        <w:t xml:space="preserve"> </w:t>
      </w:r>
      <w:r w:rsidR="001C3C6C" w:rsidRPr="004D7B5B">
        <w:rPr>
          <w:rFonts w:ascii="Verdana" w:hAnsi="Verdana"/>
          <w:sz w:val="20"/>
          <w:szCs w:val="20"/>
          <w:lang w:val="es-ES"/>
        </w:rPr>
        <w:t>considera</w:t>
      </w:r>
      <w:r w:rsidR="00375531">
        <w:rPr>
          <w:rFonts w:ascii="Verdana" w:hAnsi="Verdana"/>
          <w:sz w:val="20"/>
          <w:szCs w:val="20"/>
          <w:lang w:val="es-ES"/>
        </w:rPr>
        <w:t>ro</w:t>
      </w:r>
      <w:r w:rsidR="001C3C6C" w:rsidRPr="004D7B5B">
        <w:rPr>
          <w:rFonts w:ascii="Verdana" w:hAnsi="Verdana"/>
          <w:sz w:val="20"/>
          <w:szCs w:val="20"/>
          <w:lang w:val="es-ES"/>
        </w:rPr>
        <w:t xml:space="preserve">n que </w:t>
      </w:r>
      <w:r w:rsidR="00290064">
        <w:rPr>
          <w:rFonts w:ascii="Verdana" w:hAnsi="Verdana"/>
          <w:sz w:val="20"/>
          <w:szCs w:val="20"/>
          <w:lang w:val="es-ES"/>
        </w:rPr>
        <w:t xml:space="preserve">se encuentra pendiente </w:t>
      </w:r>
      <w:r w:rsidR="001C3C6C" w:rsidRPr="00386072">
        <w:rPr>
          <w:rFonts w:ascii="Verdana" w:hAnsi="Verdana"/>
          <w:sz w:val="20"/>
          <w:szCs w:val="20"/>
          <w:lang w:val="es-ES"/>
        </w:rPr>
        <w:t>el pago de los intereses causados</w:t>
      </w:r>
      <w:r w:rsidR="00F337B5">
        <w:rPr>
          <w:rStyle w:val="FootnoteReference"/>
          <w:rFonts w:ascii="Verdana" w:hAnsi="Verdana"/>
          <w:sz w:val="20"/>
          <w:szCs w:val="20"/>
          <w:lang w:val="es-ES"/>
        </w:rPr>
        <w:footnoteReference w:id="23"/>
      </w:r>
      <w:r w:rsidR="001C3C6C" w:rsidRPr="00386072">
        <w:rPr>
          <w:rFonts w:ascii="Verdana" w:hAnsi="Verdana"/>
          <w:sz w:val="20"/>
          <w:szCs w:val="20"/>
          <w:lang w:val="es-ES"/>
        </w:rPr>
        <w:t xml:space="preserve">. </w:t>
      </w:r>
      <w:r w:rsidR="001073CB" w:rsidRPr="00E20A6E">
        <w:rPr>
          <w:rFonts w:ascii="Verdana" w:hAnsi="Verdana"/>
          <w:sz w:val="20"/>
          <w:szCs w:val="20"/>
          <w:lang w:val="es-ES"/>
        </w:rPr>
        <w:t xml:space="preserve">Asimismo, los representantes presentaron </w:t>
      </w:r>
      <w:r w:rsidR="00E20A6E" w:rsidRPr="00E20A6E">
        <w:rPr>
          <w:rFonts w:ascii="Verdana" w:hAnsi="Verdana"/>
          <w:sz w:val="20"/>
          <w:szCs w:val="20"/>
          <w:lang w:val="es-ES"/>
        </w:rPr>
        <w:t>una segunda objeción relativa al pago de una mesada anual adicional</w:t>
      </w:r>
      <w:r w:rsidR="00AF28E4">
        <w:rPr>
          <w:rFonts w:ascii="Verdana" w:hAnsi="Verdana"/>
          <w:sz w:val="20"/>
          <w:szCs w:val="20"/>
          <w:lang w:val="es-ES"/>
        </w:rPr>
        <w:t xml:space="preserve"> (</w:t>
      </w:r>
      <w:r w:rsidR="00AF28E4">
        <w:rPr>
          <w:rFonts w:ascii="Verdana" w:hAnsi="Verdana"/>
          <w:i/>
          <w:sz w:val="20"/>
          <w:szCs w:val="20"/>
          <w:lang w:val="es-ES"/>
        </w:rPr>
        <w:t xml:space="preserve">infra </w:t>
      </w:r>
      <w:r w:rsidR="00AF28E4">
        <w:rPr>
          <w:rFonts w:ascii="Verdana" w:hAnsi="Verdana"/>
          <w:sz w:val="20"/>
          <w:szCs w:val="20"/>
          <w:lang w:val="es-ES"/>
        </w:rPr>
        <w:t>Considerando 15)</w:t>
      </w:r>
      <w:r w:rsidR="00E20A6E">
        <w:rPr>
          <w:rFonts w:ascii="Verdana" w:hAnsi="Verdana"/>
          <w:sz w:val="20"/>
          <w:szCs w:val="20"/>
          <w:lang w:val="es-ES"/>
        </w:rPr>
        <w:t>.</w:t>
      </w:r>
      <w:r w:rsidR="001073CB">
        <w:rPr>
          <w:rFonts w:ascii="Verdana" w:hAnsi="Verdana"/>
          <w:sz w:val="20"/>
          <w:szCs w:val="20"/>
          <w:lang w:val="es-ES"/>
        </w:rPr>
        <w:t xml:space="preserve"> </w:t>
      </w:r>
    </w:p>
    <w:p w:rsidR="008B1C48" w:rsidRDefault="008B1C48" w:rsidP="008B1C48">
      <w:pPr>
        <w:pStyle w:val="ListParagraph"/>
        <w:spacing w:after="0" w:line="240" w:lineRule="auto"/>
        <w:ind w:left="1068"/>
        <w:contextualSpacing w:val="0"/>
        <w:jc w:val="both"/>
        <w:rPr>
          <w:rFonts w:ascii="Verdana" w:hAnsi="Verdana"/>
          <w:b/>
          <w:i/>
          <w:sz w:val="20"/>
          <w:szCs w:val="20"/>
          <w:lang w:val="es-MX"/>
        </w:rPr>
      </w:pPr>
    </w:p>
    <w:p w:rsidR="00672076" w:rsidRPr="00976AD3" w:rsidRDefault="002D7D32" w:rsidP="00213B82">
      <w:pPr>
        <w:pStyle w:val="ListParagraph"/>
        <w:numPr>
          <w:ilvl w:val="0"/>
          <w:numId w:val="10"/>
        </w:numPr>
        <w:spacing w:after="120" w:line="240" w:lineRule="auto"/>
        <w:ind w:left="0" w:firstLine="0"/>
        <w:contextualSpacing w:val="0"/>
        <w:jc w:val="both"/>
        <w:rPr>
          <w:rFonts w:ascii="Verdana" w:hAnsi="Verdana"/>
          <w:b/>
          <w:i/>
          <w:sz w:val="20"/>
          <w:szCs w:val="20"/>
          <w:lang w:val="es-MX"/>
        </w:rPr>
      </w:pPr>
      <w:r>
        <w:rPr>
          <w:rFonts w:ascii="Verdana" w:hAnsi="Verdana"/>
          <w:sz w:val="20"/>
          <w:szCs w:val="20"/>
          <w:lang w:val="es-MX"/>
        </w:rPr>
        <w:t>La Corte observa</w:t>
      </w:r>
      <w:r w:rsidR="003B4053">
        <w:rPr>
          <w:rFonts w:ascii="Verdana" w:hAnsi="Verdana"/>
          <w:sz w:val="20"/>
          <w:szCs w:val="20"/>
          <w:lang w:val="es-MX"/>
        </w:rPr>
        <w:t xml:space="preserve"> que</w:t>
      </w:r>
      <w:r>
        <w:rPr>
          <w:rFonts w:ascii="Verdana" w:hAnsi="Verdana"/>
          <w:sz w:val="20"/>
          <w:szCs w:val="20"/>
          <w:lang w:val="es-MX"/>
        </w:rPr>
        <w:t xml:space="preserve"> </w:t>
      </w:r>
      <w:r w:rsidR="00CD6095" w:rsidRPr="0086015C">
        <w:rPr>
          <w:rFonts w:ascii="Verdana" w:hAnsi="Verdana"/>
          <w:i/>
          <w:sz w:val="20"/>
          <w:szCs w:val="20"/>
          <w:lang w:val="es-MX"/>
        </w:rPr>
        <w:t>el Estado</w:t>
      </w:r>
      <w:r>
        <w:rPr>
          <w:rFonts w:ascii="Verdana" w:hAnsi="Verdana"/>
          <w:sz w:val="20"/>
          <w:szCs w:val="20"/>
          <w:lang w:val="es-MX"/>
        </w:rPr>
        <w:t xml:space="preserve"> argumentó </w:t>
      </w:r>
      <w:r w:rsidR="00CD6095">
        <w:rPr>
          <w:rFonts w:ascii="Verdana" w:hAnsi="Verdana"/>
          <w:sz w:val="20"/>
          <w:szCs w:val="20"/>
          <w:lang w:val="es-MX"/>
        </w:rPr>
        <w:t>en enero</w:t>
      </w:r>
      <w:r w:rsidR="00EA0148">
        <w:rPr>
          <w:rFonts w:ascii="Verdana" w:hAnsi="Verdana"/>
          <w:sz w:val="20"/>
          <w:szCs w:val="20"/>
          <w:lang w:val="es-MX"/>
        </w:rPr>
        <w:t xml:space="preserve"> y octubre</w:t>
      </w:r>
      <w:r w:rsidR="00CD6095">
        <w:rPr>
          <w:rFonts w:ascii="Verdana" w:hAnsi="Verdana"/>
          <w:sz w:val="20"/>
          <w:szCs w:val="20"/>
          <w:lang w:val="es-MX"/>
        </w:rPr>
        <w:t xml:space="preserve"> de 2017 </w:t>
      </w:r>
      <w:r>
        <w:rPr>
          <w:rFonts w:ascii="Verdana" w:hAnsi="Verdana"/>
          <w:sz w:val="20"/>
          <w:szCs w:val="20"/>
          <w:lang w:val="es-MX"/>
        </w:rPr>
        <w:t xml:space="preserve">que </w:t>
      </w:r>
      <w:r w:rsidR="00976AD3">
        <w:rPr>
          <w:rFonts w:ascii="Verdana" w:hAnsi="Verdana"/>
          <w:sz w:val="20"/>
          <w:szCs w:val="20"/>
          <w:lang w:val="es-MX"/>
        </w:rPr>
        <w:t>e</w:t>
      </w:r>
      <w:r w:rsidR="00CD6095">
        <w:rPr>
          <w:rFonts w:ascii="Verdana" w:hAnsi="Verdana"/>
          <w:sz w:val="20"/>
          <w:szCs w:val="20"/>
          <w:lang w:val="es-MX"/>
        </w:rPr>
        <w:t>l pago de intereses moratorios de la pensi</w:t>
      </w:r>
      <w:r w:rsidR="00976AD3">
        <w:rPr>
          <w:rFonts w:ascii="Verdana" w:hAnsi="Verdana"/>
          <w:sz w:val="20"/>
          <w:szCs w:val="20"/>
          <w:lang w:val="es-MX"/>
        </w:rPr>
        <w:t>ón de sobrevivencia del señor Duque</w:t>
      </w:r>
      <w:r w:rsidR="00AF28E4">
        <w:rPr>
          <w:rFonts w:ascii="Verdana" w:hAnsi="Verdana"/>
          <w:sz w:val="20"/>
          <w:szCs w:val="20"/>
          <w:lang w:val="es-MX"/>
        </w:rPr>
        <w:t xml:space="preserve"> no era proce</w:t>
      </w:r>
      <w:r w:rsidR="00A943B2">
        <w:rPr>
          <w:rFonts w:ascii="Verdana" w:hAnsi="Verdana"/>
          <w:sz w:val="20"/>
          <w:szCs w:val="20"/>
          <w:lang w:val="es-MX"/>
        </w:rPr>
        <w:t>d</w:t>
      </w:r>
      <w:r w:rsidR="00AF28E4">
        <w:rPr>
          <w:rFonts w:ascii="Verdana" w:hAnsi="Verdana"/>
          <w:sz w:val="20"/>
          <w:szCs w:val="20"/>
          <w:lang w:val="es-MX"/>
        </w:rPr>
        <w:t>ente</w:t>
      </w:r>
      <w:r w:rsidR="00CD6095">
        <w:rPr>
          <w:rFonts w:ascii="Verdana" w:hAnsi="Verdana"/>
          <w:sz w:val="20"/>
          <w:szCs w:val="20"/>
          <w:lang w:val="es-MX"/>
        </w:rPr>
        <w:t xml:space="preserve">, debido a que “no ha existido tardanza por parte de </w:t>
      </w:r>
      <w:r w:rsidR="00491666">
        <w:rPr>
          <w:rFonts w:ascii="Verdana" w:hAnsi="Verdana"/>
          <w:sz w:val="20"/>
          <w:szCs w:val="20"/>
          <w:lang w:val="es-MX"/>
        </w:rPr>
        <w:t>[COLFONDOS]</w:t>
      </w:r>
      <w:r w:rsidR="00CD6095">
        <w:rPr>
          <w:rFonts w:ascii="Verdana" w:hAnsi="Verdana"/>
          <w:sz w:val="20"/>
          <w:szCs w:val="20"/>
          <w:lang w:val="es-MX"/>
        </w:rPr>
        <w:t xml:space="preserve">, entre el momento en que </w:t>
      </w:r>
      <w:r w:rsidR="00976AD3">
        <w:rPr>
          <w:rFonts w:ascii="Verdana" w:hAnsi="Verdana"/>
          <w:sz w:val="20"/>
          <w:szCs w:val="20"/>
          <w:lang w:val="es-MX"/>
        </w:rPr>
        <w:t xml:space="preserve">[la víctima] </w:t>
      </w:r>
      <w:r w:rsidR="00CD6095">
        <w:rPr>
          <w:rFonts w:ascii="Verdana" w:hAnsi="Verdana"/>
          <w:sz w:val="20"/>
          <w:szCs w:val="20"/>
          <w:lang w:val="es-MX"/>
        </w:rPr>
        <w:t>realizó su solicitud con el lleno de los requisitos</w:t>
      </w:r>
      <w:r w:rsidR="00976AD3">
        <w:rPr>
          <w:rFonts w:ascii="Verdana" w:hAnsi="Verdana"/>
          <w:sz w:val="20"/>
          <w:szCs w:val="20"/>
          <w:lang w:val="es-MX"/>
        </w:rPr>
        <w:t xml:space="preserve"> </w:t>
      </w:r>
      <w:r w:rsidR="00CD6095">
        <w:rPr>
          <w:rFonts w:ascii="Verdana" w:hAnsi="Verdana"/>
          <w:sz w:val="20"/>
          <w:szCs w:val="20"/>
          <w:lang w:val="es-MX"/>
        </w:rPr>
        <w:t>[</w:t>
      </w:r>
      <w:r w:rsidR="00F31A83">
        <w:rPr>
          <w:rFonts w:ascii="Verdana" w:hAnsi="Verdana"/>
          <w:sz w:val="20"/>
          <w:szCs w:val="20"/>
          <w:lang w:val="es-MX"/>
        </w:rPr>
        <w:t xml:space="preserve">el 19 </w:t>
      </w:r>
      <w:r w:rsidR="00F31A83">
        <w:rPr>
          <w:rFonts w:ascii="Verdana" w:hAnsi="Verdana"/>
          <w:sz w:val="20"/>
          <w:szCs w:val="20"/>
          <w:lang w:val="es-MX"/>
        </w:rPr>
        <w:lastRenderedPageBreak/>
        <w:t>de</w:t>
      </w:r>
      <w:r w:rsidR="00C72567">
        <w:rPr>
          <w:rFonts w:ascii="Verdana" w:hAnsi="Verdana"/>
          <w:sz w:val="20"/>
          <w:szCs w:val="20"/>
          <w:lang w:val="es-MX"/>
        </w:rPr>
        <w:t xml:space="preserve"> </w:t>
      </w:r>
      <w:r w:rsidR="00306A7D">
        <w:rPr>
          <w:rFonts w:ascii="Verdana" w:hAnsi="Verdana"/>
          <w:sz w:val="20"/>
          <w:szCs w:val="20"/>
          <w:lang w:val="es-MX"/>
        </w:rPr>
        <w:t>julio de 2016</w:t>
      </w:r>
      <w:r w:rsidR="00CD6095">
        <w:rPr>
          <w:rFonts w:ascii="Verdana" w:hAnsi="Verdana"/>
          <w:sz w:val="20"/>
          <w:szCs w:val="20"/>
          <w:lang w:val="es-MX"/>
        </w:rPr>
        <w:t>,] al momento en el cual se hizo el reconocimiento de la pensión [e</w:t>
      </w:r>
      <w:r w:rsidR="00F31A83">
        <w:rPr>
          <w:rFonts w:ascii="Verdana" w:hAnsi="Verdana"/>
          <w:sz w:val="20"/>
          <w:szCs w:val="20"/>
          <w:lang w:val="es-MX"/>
        </w:rPr>
        <w:t xml:space="preserve">l 19 de </w:t>
      </w:r>
      <w:r w:rsidR="00C72567">
        <w:rPr>
          <w:rFonts w:ascii="Verdana" w:hAnsi="Verdana"/>
          <w:sz w:val="20"/>
          <w:szCs w:val="20"/>
          <w:lang w:val="es-MX"/>
        </w:rPr>
        <w:t>septiembre de 2016]</w:t>
      </w:r>
      <w:r w:rsidR="00CD6095">
        <w:rPr>
          <w:rFonts w:ascii="Verdana" w:hAnsi="Verdana"/>
          <w:sz w:val="20"/>
          <w:szCs w:val="20"/>
          <w:lang w:val="es-MX"/>
        </w:rPr>
        <w:t>”</w:t>
      </w:r>
      <w:r w:rsidR="00D97E3F">
        <w:rPr>
          <w:rStyle w:val="FootnoteReference"/>
          <w:rFonts w:ascii="Verdana" w:hAnsi="Verdana"/>
          <w:sz w:val="20"/>
          <w:szCs w:val="20"/>
          <w:lang w:val="es-MX"/>
        </w:rPr>
        <w:footnoteReference w:id="24"/>
      </w:r>
      <w:r w:rsidR="007D53E1">
        <w:rPr>
          <w:rFonts w:ascii="Verdana" w:hAnsi="Verdana"/>
          <w:sz w:val="20"/>
          <w:szCs w:val="20"/>
          <w:lang w:val="es-MX"/>
        </w:rPr>
        <w:t>. Por lo anterior, señaló que</w:t>
      </w:r>
      <w:r w:rsidR="00CD6095">
        <w:rPr>
          <w:rFonts w:ascii="Verdana" w:hAnsi="Verdana"/>
          <w:sz w:val="20"/>
          <w:szCs w:val="20"/>
          <w:lang w:val="es-MX"/>
        </w:rPr>
        <w:t xml:space="preserve">, “no se cumplen las condiciones que establece [la normativa interna] para que se exija </w:t>
      </w:r>
      <w:r w:rsidR="007D53E1">
        <w:rPr>
          <w:rFonts w:ascii="Verdana" w:hAnsi="Verdana"/>
          <w:sz w:val="20"/>
          <w:szCs w:val="20"/>
          <w:lang w:val="es-MX"/>
        </w:rPr>
        <w:t xml:space="preserve">[el] </w:t>
      </w:r>
      <w:r w:rsidR="00CD6095">
        <w:rPr>
          <w:rFonts w:ascii="Verdana" w:hAnsi="Verdana"/>
          <w:sz w:val="20"/>
          <w:szCs w:val="20"/>
          <w:lang w:val="es-MX"/>
        </w:rPr>
        <w:t>pago”</w:t>
      </w:r>
      <w:r w:rsidR="007D53E1">
        <w:rPr>
          <w:rFonts w:ascii="Verdana" w:hAnsi="Verdana"/>
          <w:sz w:val="20"/>
          <w:szCs w:val="20"/>
          <w:lang w:val="es-MX"/>
        </w:rPr>
        <w:t xml:space="preserve"> de los intereses moratorios</w:t>
      </w:r>
      <w:r w:rsidR="00C72567">
        <w:rPr>
          <w:rFonts w:ascii="Verdana" w:hAnsi="Verdana"/>
          <w:sz w:val="20"/>
          <w:szCs w:val="20"/>
          <w:lang w:val="es-MX"/>
        </w:rPr>
        <w:t xml:space="preserve">, que </w:t>
      </w:r>
      <w:r w:rsidR="00976AD3">
        <w:rPr>
          <w:rFonts w:ascii="Verdana" w:hAnsi="Verdana"/>
          <w:sz w:val="20"/>
          <w:szCs w:val="20"/>
          <w:lang w:val="es-MX"/>
        </w:rPr>
        <w:t>consistirían en</w:t>
      </w:r>
      <w:r w:rsidR="00C72567">
        <w:rPr>
          <w:rFonts w:ascii="Verdana" w:hAnsi="Verdana"/>
          <w:sz w:val="20"/>
          <w:szCs w:val="20"/>
          <w:lang w:val="es-MX"/>
        </w:rPr>
        <w:t xml:space="preserve"> </w:t>
      </w:r>
      <w:r w:rsidR="00976AD3">
        <w:rPr>
          <w:rFonts w:ascii="Verdana" w:hAnsi="Verdana"/>
          <w:sz w:val="20"/>
          <w:szCs w:val="20"/>
          <w:lang w:val="es-MX"/>
        </w:rPr>
        <w:t>que la operadora respectiva hubiese superado</w:t>
      </w:r>
      <w:r w:rsidR="00C72567">
        <w:rPr>
          <w:rFonts w:ascii="Verdana" w:hAnsi="Verdana"/>
          <w:sz w:val="20"/>
          <w:szCs w:val="20"/>
          <w:lang w:val="es-MX"/>
        </w:rPr>
        <w:t xml:space="preserve"> el plazo de dos meses en la resolución de la solicitud</w:t>
      </w:r>
      <w:r w:rsidR="00386072">
        <w:rPr>
          <w:rFonts w:ascii="Verdana" w:hAnsi="Verdana"/>
          <w:sz w:val="20"/>
          <w:szCs w:val="20"/>
          <w:lang w:val="es-MX"/>
        </w:rPr>
        <w:t xml:space="preserve"> de pensión</w:t>
      </w:r>
      <w:r w:rsidR="00C72567">
        <w:rPr>
          <w:rStyle w:val="FootnoteReference"/>
          <w:rFonts w:ascii="Verdana" w:hAnsi="Verdana"/>
          <w:sz w:val="20"/>
          <w:szCs w:val="20"/>
          <w:lang w:val="es-MX"/>
        </w:rPr>
        <w:footnoteReference w:id="25"/>
      </w:r>
      <w:r w:rsidR="00CD6095">
        <w:rPr>
          <w:rFonts w:ascii="Verdana" w:hAnsi="Verdana"/>
          <w:sz w:val="20"/>
          <w:szCs w:val="20"/>
          <w:lang w:val="es-MX"/>
        </w:rPr>
        <w:t>.</w:t>
      </w:r>
      <w:r w:rsidR="00386072">
        <w:rPr>
          <w:rFonts w:ascii="Verdana" w:hAnsi="Verdana"/>
          <w:sz w:val="20"/>
          <w:szCs w:val="20"/>
          <w:lang w:val="es-MX"/>
        </w:rPr>
        <w:t xml:space="preserve"> Asimismo, el Estado señaló que el hecho que se haya reconocido la existencia de un “retroactivo pensional” a favor del señor Duque desde septiembre de 2001 no implica que se deb</w:t>
      </w:r>
      <w:r w:rsidR="007D53E1">
        <w:rPr>
          <w:rFonts w:ascii="Verdana" w:hAnsi="Verdana"/>
          <w:sz w:val="20"/>
          <w:szCs w:val="20"/>
          <w:lang w:val="es-MX"/>
        </w:rPr>
        <w:t>a</w:t>
      </w:r>
      <w:r w:rsidR="00386072">
        <w:rPr>
          <w:rFonts w:ascii="Verdana" w:hAnsi="Verdana"/>
          <w:sz w:val="20"/>
          <w:szCs w:val="20"/>
          <w:lang w:val="es-MX"/>
        </w:rPr>
        <w:t xml:space="preserve">n contar intereses moratorios desde entonces, ya que la fecha de la solicitud </w:t>
      </w:r>
      <w:r w:rsidR="00255D35">
        <w:rPr>
          <w:rFonts w:ascii="Verdana" w:hAnsi="Verdana"/>
          <w:sz w:val="20"/>
          <w:szCs w:val="20"/>
          <w:lang w:val="es-MX"/>
        </w:rPr>
        <w:t>“</w:t>
      </w:r>
      <w:r w:rsidR="00386072">
        <w:rPr>
          <w:rFonts w:ascii="Verdana" w:hAnsi="Verdana"/>
          <w:sz w:val="20"/>
          <w:szCs w:val="20"/>
          <w:lang w:val="es-MX"/>
        </w:rPr>
        <w:t>formal</w:t>
      </w:r>
      <w:r w:rsidR="00255D35">
        <w:rPr>
          <w:rFonts w:ascii="Verdana" w:hAnsi="Verdana"/>
          <w:sz w:val="20"/>
          <w:szCs w:val="20"/>
          <w:lang w:val="es-MX"/>
        </w:rPr>
        <w:t>”</w:t>
      </w:r>
      <w:r w:rsidR="00386072">
        <w:rPr>
          <w:rFonts w:ascii="Verdana" w:hAnsi="Verdana"/>
          <w:sz w:val="20"/>
          <w:szCs w:val="20"/>
          <w:lang w:val="es-MX"/>
        </w:rPr>
        <w:t xml:space="preserve"> de pensión del señor Duque fue en julio de 2016</w:t>
      </w:r>
      <w:r w:rsidR="00386072">
        <w:rPr>
          <w:rStyle w:val="FootnoteReference"/>
          <w:rFonts w:ascii="Verdana" w:hAnsi="Verdana"/>
          <w:sz w:val="20"/>
          <w:szCs w:val="20"/>
          <w:lang w:val="es-MX"/>
        </w:rPr>
        <w:footnoteReference w:id="26"/>
      </w:r>
      <w:r w:rsidR="00386072">
        <w:rPr>
          <w:rFonts w:ascii="Verdana" w:hAnsi="Verdana"/>
          <w:sz w:val="20"/>
          <w:szCs w:val="20"/>
          <w:lang w:val="es-MX"/>
        </w:rPr>
        <w:t>.</w:t>
      </w:r>
      <w:r w:rsidR="00CD6095">
        <w:rPr>
          <w:rFonts w:ascii="Verdana" w:hAnsi="Verdana"/>
          <w:sz w:val="20"/>
          <w:szCs w:val="20"/>
          <w:lang w:val="es-MX"/>
        </w:rPr>
        <w:t xml:space="preserve"> </w:t>
      </w:r>
    </w:p>
    <w:p w:rsidR="008B1C48" w:rsidRPr="008B1C48" w:rsidRDefault="008B1C48" w:rsidP="00213B82">
      <w:pPr>
        <w:pStyle w:val="ListParagraph"/>
        <w:spacing w:after="120" w:line="240" w:lineRule="auto"/>
        <w:ind w:left="0"/>
        <w:contextualSpacing w:val="0"/>
        <w:jc w:val="both"/>
        <w:rPr>
          <w:rFonts w:ascii="Verdana" w:hAnsi="Verdana"/>
          <w:b/>
          <w:i/>
          <w:sz w:val="20"/>
          <w:szCs w:val="20"/>
          <w:lang w:val="es-MX"/>
        </w:rPr>
      </w:pPr>
    </w:p>
    <w:p w:rsidR="008B1C48" w:rsidRPr="00F96ABA" w:rsidRDefault="00CD6095" w:rsidP="00213B82">
      <w:pPr>
        <w:pStyle w:val="ListParagraph"/>
        <w:numPr>
          <w:ilvl w:val="0"/>
          <w:numId w:val="10"/>
        </w:numPr>
        <w:spacing w:after="120" w:line="240" w:lineRule="auto"/>
        <w:ind w:left="0" w:firstLine="0"/>
        <w:contextualSpacing w:val="0"/>
        <w:jc w:val="both"/>
        <w:rPr>
          <w:rFonts w:ascii="Verdana" w:hAnsi="Verdana"/>
          <w:b/>
          <w:i/>
          <w:sz w:val="20"/>
          <w:szCs w:val="20"/>
          <w:lang w:val="es-MX"/>
        </w:rPr>
      </w:pPr>
      <w:r>
        <w:rPr>
          <w:rFonts w:ascii="Verdana" w:hAnsi="Verdana"/>
          <w:sz w:val="20"/>
          <w:szCs w:val="20"/>
          <w:lang w:val="es-MX"/>
        </w:rPr>
        <w:t xml:space="preserve">Por su parte, </w:t>
      </w:r>
      <w:r w:rsidR="00BC211E">
        <w:rPr>
          <w:rFonts w:ascii="Verdana" w:hAnsi="Verdana"/>
          <w:sz w:val="20"/>
          <w:szCs w:val="20"/>
          <w:lang w:val="es-MX"/>
        </w:rPr>
        <w:t xml:space="preserve">tanto </w:t>
      </w:r>
      <w:r w:rsidRPr="0086015C">
        <w:rPr>
          <w:rFonts w:ascii="Verdana" w:hAnsi="Verdana"/>
          <w:i/>
          <w:sz w:val="20"/>
          <w:szCs w:val="20"/>
          <w:lang w:val="es-MX"/>
        </w:rPr>
        <w:t>los representantes de la víctima</w:t>
      </w:r>
      <w:r>
        <w:rPr>
          <w:rFonts w:ascii="Verdana" w:hAnsi="Verdana"/>
          <w:sz w:val="20"/>
          <w:szCs w:val="20"/>
          <w:lang w:val="es-MX"/>
        </w:rPr>
        <w:t xml:space="preserve"> </w:t>
      </w:r>
      <w:r w:rsidR="00BC211E">
        <w:rPr>
          <w:rFonts w:ascii="Verdana" w:hAnsi="Verdana"/>
          <w:sz w:val="20"/>
          <w:szCs w:val="20"/>
          <w:lang w:val="es-MX"/>
        </w:rPr>
        <w:t xml:space="preserve">como la Comisión Interamericana consideran que </w:t>
      </w:r>
      <w:r w:rsidR="000E79AA">
        <w:rPr>
          <w:rFonts w:ascii="Verdana" w:hAnsi="Verdana"/>
          <w:sz w:val="20"/>
          <w:szCs w:val="20"/>
          <w:lang w:val="es-MX"/>
        </w:rPr>
        <w:t>la fecha en que el señor Duque realizó la solicitud de pensión de sobrevivencia fue el 19 de marzo de 2002 cuando</w:t>
      </w:r>
      <w:r w:rsidR="00255D35">
        <w:rPr>
          <w:rFonts w:ascii="Verdana" w:hAnsi="Verdana"/>
          <w:sz w:val="20"/>
          <w:szCs w:val="20"/>
          <w:lang w:val="es-MX"/>
        </w:rPr>
        <w:t xml:space="preserve"> </w:t>
      </w:r>
      <w:r w:rsidR="000E79AA">
        <w:rPr>
          <w:rFonts w:ascii="Verdana" w:hAnsi="Verdana"/>
          <w:sz w:val="20"/>
          <w:szCs w:val="20"/>
          <w:lang w:val="es-MX"/>
        </w:rPr>
        <w:t xml:space="preserve">presentó un escrito a </w:t>
      </w:r>
      <w:r w:rsidR="00491666">
        <w:rPr>
          <w:rFonts w:ascii="Verdana" w:hAnsi="Verdana"/>
          <w:sz w:val="20"/>
          <w:szCs w:val="20"/>
          <w:lang w:val="es-MX"/>
        </w:rPr>
        <w:t>COLFONDOS</w:t>
      </w:r>
      <w:r w:rsidR="00F31A83">
        <w:rPr>
          <w:rStyle w:val="FootnoteReference"/>
          <w:rFonts w:ascii="Verdana" w:hAnsi="Verdana"/>
          <w:sz w:val="20"/>
          <w:szCs w:val="20"/>
          <w:lang w:val="es-MX"/>
        </w:rPr>
        <w:footnoteReference w:id="27"/>
      </w:r>
      <w:r w:rsidR="007B1CDD">
        <w:rPr>
          <w:rFonts w:ascii="Verdana" w:hAnsi="Verdana"/>
          <w:sz w:val="20"/>
          <w:szCs w:val="20"/>
          <w:lang w:val="es-MX"/>
        </w:rPr>
        <w:t xml:space="preserve">. </w:t>
      </w:r>
      <w:r w:rsidR="00EC55AA">
        <w:rPr>
          <w:rFonts w:ascii="Verdana" w:hAnsi="Verdana"/>
          <w:sz w:val="20"/>
          <w:szCs w:val="20"/>
          <w:lang w:val="es-MX"/>
        </w:rPr>
        <w:t>Ambos s</w:t>
      </w:r>
      <w:r w:rsidR="001462BE">
        <w:rPr>
          <w:rFonts w:ascii="Verdana" w:hAnsi="Verdana"/>
          <w:sz w:val="20"/>
          <w:szCs w:val="20"/>
          <w:lang w:val="es-MX"/>
        </w:rPr>
        <w:t xml:space="preserve">eñalaron </w:t>
      </w:r>
      <w:r w:rsidR="00EC55AA">
        <w:rPr>
          <w:rFonts w:ascii="Verdana" w:hAnsi="Verdana"/>
          <w:sz w:val="20"/>
          <w:szCs w:val="20"/>
          <w:lang w:val="es-MX"/>
        </w:rPr>
        <w:t>que</w:t>
      </w:r>
      <w:r w:rsidR="00060E45">
        <w:rPr>
          <w:rFonts w:ascii="Verdana" w:hAnsi="Verdana"/>
          <w:sz w:val="20"/>
          <w:szCs w:val="20"/>
          <w:lang w:val="es-MX"/>
        </w:rPr>
        <w:t xml:space="preserve"> </w:t>
      </w:r>
      <w:r w:rsidR="001462BE">
        <w:rPr>
          <w:rFonts w:ascii="Verdana" w:hAnsi="Verdana"/>
          <w:sz w:val="20"/>
          <w:szCs w:val="20"/>
          <w:lang w:val="es-MX"/>
        </w:rPr>
        <w:t xml:space="preserve">el Tribunal </w:t>
      </w:r>
      <w:r w:rsidR="00EC55AA">
        <w:rPr>
          <w:rFonts w:ascii="Verdana" w:hAnsi="Verdana"/>
          <w:sz w:val="20"/>
          <w:szCs w:val="20"/>
          <w:lang w:val="es-MX"/>
        </w:rPr>
        <w:t xml:space="preserve">ordenó el pago de intereses </w:t>
      </w:r>
      <w:r w:rsidR="008E681A">
        <w:rPr>
          <w:rFonts w:ascii="Verdana" w:hAnsi="Verdana"/>
          <w:sz w:val="20"/>
          <w:szCs w:val="20"/>
          <w:lang w:val="es-MX"/>
        </w:rPr>
        <w:t xml:space="preserve">en </w:t>
      </w:r>
      <w:r w:rsidR="00EC55AA">
        <w:rPr>
          <w:rFonts w:ascii="Verdana" w:hAnsi="Verdana"/>
          <w:sz w:val="20"/>
          <w:szCs w:val="20"/>
          <w:lang w:val="es-MX"/>
        </w:rPr>
        <w:t xml:space="preserve">la Sentencia, de manera que su reconocimiento </w:t>
      </w:r>
      <w:r w:rsidR="00060E45">
        <w:rPr>
          <w:rFonts w:ascii="Verdana" w:hAnsi="Verdana"/>
          <w:sz w:val="20"/>
          <w:szCs w:val="20"/>
          <w:lang w:val="es-MX"/>
        </w:rPr>
        <w:t xml:space="preserve">no </w:t>
      </w:r>
      <w:r w:rsidR="00EC55AA">
        <w:rPr>
          <w:rFonts w:ascii="Verdana" w:hAnsi="Verdana"/>
          <w:sz w:val="20"/>
          <w:szCs w:val="20"/>
          <w:lang w:val="es-MX"/>
        </w:rPr>
        <w:t>dependería de la normatividad interna, sino que esta última es aplicable para el cálculo del monto de los intereses ordenados</w:t>
      </w:r>
      <w:r w:rsidR="00EC55AA">
        <w:rPr>
          <w:rStyle w:val="FootnoteReference"/>
          <w:rFonts w:ascii="Verdana" w:hAnsi="Verdana"/>
          <w:sz w:val="20"/>
          <w:szCs w:val="20"/>
          <w:lang w:val="es-MX"/>
        </w:rPr>
        <w:footnoteReference w:id="28"/>
      </w:r>
      <w:r w:rsidR="00EC55AA">
        <w:rPr>
          <w:rFonts w:ascii="Verdana" w:hAnsi="Verdana"/>
          <w:sz w:val="20"/>
          <w:szCs w:val="20"/>
          <w:lang w:val="es-MX"/>
        </w:rPr>
        <w:t xml:space="preserve">. </w:t>
      </w:r>
    </w:p>
    <w:p w:rsidR="00F96ABA" w:rsidRPr="008B1C48" w:rsidRDefault="00F96ABA" w:rsidP="00213B82">
      <w:pPr>
        <w:pStyle w:val="ListParagraph"/>
        <w:spacing w:after="120" w:line="240" w:lineRule="auto"/>
        <w:ind w:left="0"/>
        <w:contextualSpacing w:val="0"/>
        <w:jc w:val="both"/>
        <w:rPr>
          <w:rFonts w:ascii="Verdana" w:hAnsi="Verdana"/>
          <w:b/>
          <w:i/>
          <w:sz w:val="20"/>
          <w:szCs w:val="20"/>
          <w:lang w:val="es-MX"/>
        </w:rPr>
      </w:pPr>
    </w:p>
    <w:p w:rsidR="00B75EAA" w:rsidRDefault="00363E01" w:rsidP="00213B82">
      <w:pPr>
        <w:pStyle w:val="ListParagraph"/>
        <w:numPr>
          <w:ilvl w:val="0"/>
          <w:numId w:val="10"/>
        </w:numPr>
        <w:spacing w:after="120" w:line="240" w:lineRule="auto"/>
        <w:ind w:left="0" w:firstLine="0"/>
        <w:contextualSpacing w:val="0"/>
        <w:jc w:val="both"/>
        <w:rPr>
          <w:rFonts w:ascii="Verdana" w:hAnsi="Verdana"/>
          <w:b/>
          <w:i/>
          <w:sz w:val="20"/>
          <w:szCs w:val="20"/>
          <w:lang w:val="es-MX"/>
        </w:rPr>
      </w:pPr>
      <w:r>
        <w:rPr>
          <w:rFonts w:ascii="Verdana" w:hAnsi="Verdana"/>
          <w:sz w:val="20"/>
          <w:szCs w:val="20"/>
          <w:lang w:val="es-MX"/>
        </w:rPr>
        <w:t xml:space="preserve">El Tribunal recuerda que en su Sentencia estableció que era un hecho probado que </w:t>
      </w:r>
      <w:r w:rsidRPr="00363E01">
        <w:rPr>
          <w:rFonts w:ascii="Verdana" w:hAnsi="Verdana"/>
          <w:sz w:val="20"/>
          <w:szCs w:val="20"/>
          <w:lang w:val="es-MX"/>
        </w:rPr>
        <w:t>“</w:t>
      </w:r>
      <w:r w:rsidRPr="00363E01">
        <w:rPr>
          <w:rFonts w:ascii="Verdana" w:hAnsi="Verdana"/>
          <w:sz w:val="20"/>
          <w:szCs w:val="20"/>
          <w:lang w:val="es-CR"/>
        </w:rPr>
        <w:t>el 19 de marzo de 2002, el señor Duque solicitó por medio de un escrito que se le indicaran los requisitos que debía gestionar para obtener la pensión d</w:t>
      </w:r>
      <w:r>
        <w:rPr>
          <w:rFonts w:ascii="Verdana" w:hAnsi="Verdana"/>
          <w:sz w:val="20"/>
          <w:szCs w:val="20"/>
          <w:lang w:val="es-CR"/>
        </w:rPr>
        <w:t>e sobrevivencia de su compañero”</w:t>
      </w:r>
      <w:r w:rsidR="009E12BE">
        <w:rPr>
          <w:rStyle w:val="FootnoteReference"/>
          <w:rFonts w:ascii="Verdana" w:hAnsi="Verdana"/>
          <w:sz w:val="20"/>
          <w:szCs w:val="20"/>
          <w:lang w:val="es-CR"/>
        </w:rPr>
        <w:footnoteReference w:id="29"/>
      </w:r>
      <w:r>
        <w:rPr>
          <w:rFonts w:ascii="Verdana" w:hAnsi="Verdana"/>
          <w:sz w:val="20"/>
          <w:szCs w:val="20"/>
          <w:lang w:val="es-CR"/>
        </w:rPr>
        <w:t>.</w:t>
      </w:r>
      <w:r w:rsidR="008D0716">
        <w:rPr>
          <w:rFonts w:ascii="Verdana" w:hAnsi="Verdana"/>
          <w:sz w:val="20"/>
          <w:szCs w:val="20"/>
          <w:lang w:val="es-CR"/>
        </w:rPr>
        <w:t xml:space="preserve"> Asimismo, en el fallo se hizo constar que el Secretario General de COLFONDOS indicó durante la audiencia pública del caso “que si bien</w:t>
      </w:r>
      <w:r w:rsidR="005D6BA9">
        <w:rPr>
          <w:rFonts w:ascii="Verdana" w:hAnsi="Verdana"/>
          <w:sz w:val="20"/>
          <w:szCs w:val="20"/>
          <w:lang w:val="es-CR"/>
        </w:rPr>
        <w:t xml:space="preserve"> [el escrito presentado por el señor Duque en marzo de 2002]</w:t>
      </w:r>
      <w:r w:rsidR="008D0716">
        <w:rPr>
          <w:rFonts w:ascii="Verdana" w:hAnsi="Verdana"/>
          <w:sz w:val="20"/>
          <w:szCs w:val="20"/>
          <w:lang w:val="es-CR"/>
        </w:rPr>
        <w:t xml:space="preserve"> no fue una solicitud formal en los términos de la ley, s[í] hubo una intención directa y expresa del señor […] Duque de interrumpir la prescripción de las mesadas y de reclamar su derecho”</w:t>
      </w:r>
      <w:r w:rsidR="00C37118">
        <w:rPr>
          <w:rStyle w:val="FootnoteReference"/>
          <w:rFonts w:ascii="Verdana" w:hAnsi="Verdana"/>
          <w:sz w:val="20"/>
          <w:szCs w:val="20"/>
          <w:lang w:val="es-CR"/>
        </w:rPr>
        <w:footnoteReference w:id="30"/>
      </w:r>
      <w:r w:rsidR="008D0716">
        <w:rPr>
          <w:rFonts w:ascii="Verdana" w:hAnsi="Verdana"/>
          <w:sz w:val="20"/>
          <w:szCs w:val="20"/>
          <w:lang w:val="es-CR"/>
        </w:rPr>
        <w:t xml:space="preserve">. </w:t>
      </w:r>
      <w:r w:rsidR="00C37118">
        <w:rPr>
          <w:rFonts w:ascii="Verdana" w:hAnsi="Verdana"/>
          <w:sz w:val="20"/>
          <w:szCs w:val="20"/>
          <w:lang w:val="es-CR"/>
        </w:rPr>
        <w:t>Es decir, en la Sentencia se hizo constar que el escrito presentado por el señor Duque en marzo de 2002 tenía como finalidad recibir la pensión de sobrevivencia</w:t>
      </w:r>
      <w:r w:rsidR="00A107E2">
        <w:rPr>
          <w:rFonts w:ascii="Verdana" w:hAnsi="Verdana"/>
          <w:sz w:val="20"/>
          <w:szCs w:val="20"/>
          <w:lang w:val="es-CR"/>
        </w:rPr>
        <w:t xml:space="preserve"> y si la misma no fue otorgada</w:t>
      </w:r>
      <w:r w:rsidR="00786AEC">
        <w:rPr>
          <w:rFonts w:ascii="Verdana" w:hAnsi="Verdana"/>
          <w:sz w:val="20"/>
          <w:szCs w:val="20"/>
          <w:lang w:val="es-CR"/>
        </w:rPr>
        <w:t xml:space="preserve"> </w:t>
      </w:r>
      <w:r w:rsidR="00A107E2">
        <w:rPr>
          <w:rFonts w:ascii="Verdana" w:hAnsi="Verdana"/>
          <w:sz w:val="20"/>
          <w:szCs w:val="20"/>
          <w:lang w:val="es-CR"/>
        </w:rPr>
        <w:t>se debió</w:t>
      </w:r>
      <w:r w:rsidR="00786AEC">
        <w:rPr>
          <w:rFonts w:ascii="Verdana" w:hAnsi="Verdana"/>
          <w:sz w:val="20"/>
          <w:szCs w:val="20"/>
          <w:lang w:val="es-CR"/>
        </w:rPr>
        <w:t xml:space="preserve"> a </w:t>
      </w:r>
      <w:r w:rsidR="00A107E2">
        <w:rPr>
          <w:rFonts w:ascii="Verdana" w:hAnsi="Verdana"/>
          <w:sz w:val="20"/>
          <w:szCs w:val="20"/>
          <w:lang w:val="es-CR"/>
        </w:rPr>
        <w:t xml:space="preserve">que a </w:t>
      </w:r>
      <w:r w:rsidR="00786AEC">
        <w:rPr>
          <w:rFonts w:ascii="Verdana" w:hAnsi="Verdana"/>
          <w:sz w:val="20"/>
          <w:szCs w:val="20"/>
          <w:lang w:val="es-CR"/>
        </w:rPr>
        <w:t>la víctima “no se le permitió acceder en condiciones de igualdad a la pensión de sobrevivencia”</w:t>
      </w:r>
      <w:r w:rsidR="00A107E2">
        <w:rPr>
          <w:rStyle w:val="FootnoteReference"/>
          <w:rFonts w:ascii="Verdana" w:hAnsi="Verdana"/>
          <w:sz w:val="20"/>
          <w:szCs w:val="20"/>
          <w:lang w:val="es-CR"/>
        </w:rPr>
        <w:footnoteReference w:id="31"/>
      </w:r>
      <w:r w:rsidR="00786AEC">
        <w:rPr>
          <w:rFonts w:ascii="Verdana" w:hAnsi="Verdana"/>
          <w:sz w:val="20"/>
          <w:szCs w:val="20"/>
          <w:lang w:val="es-CR"/>
        </w:rPr>
        <w:t>.</w:t>
      </w:r>
      <w:r w:rsidR="00C37118">
        <w:rPr>
          <w:rFonts w:ascii="Verdana" w:hAnsi="Verdana"/>
          <w:sz w:val="20"/>
          <w:szCs w:val="20"/>
          <w:lang w:val="es-CR"/>
        </w:rPr>
        <w:t xml:space="preserve"> </w:t>
      </w:r>
    </w:p>
    <w:p w:rsidR="00B75EAA" w:rsidRDefault="00B75EAA" w:rsidP="00213B82">
      <w:pPr>
        <w:pStyle w:val="ListParagraph"/>
        <w:spacing w:after="120" w:line="240" w:lineRule="auto"/>
        <w:ind w:left="0"/>
        <w:contextualSpacing w:val="0"/>
        <w:jc w:val="both"/>
        <w:rPr>
          <w:rFonts w:ascii="Verdana" w:hAnsi="Verdana"/>
          <w:b/>
          <w:i/>
          <w:sz w:val="20"/>
          <w:szCs w:val="20"/>
          <w:lang w:val="es-MX"/>
        </w:rPr>
      </w:pPr>
    </w:p>
    <w:p w:rsidR="002E30C1" w:rsidRPr="00B75EAA" w:rsidRDefault="00C37118" w:rsidP="00213B82">
      <w:pPr>
        <w:pStyle w:val="ListParagraph"/>
        <w:numPr>
          <w:ilvl w:val="0"/>
          <w:numId w:val="10"/>
        </w:numPr>
        <w:spacing w:after="120" w:line="240" w:lineRule="auto"/>
        <w:ind w:left="0" w:firstLine="0"/>
        <w:contextualSpacing w:val="0"/>
        <w:jc w:val="both"/>
        <w:rPr>
          <w:rFonts w:ascii="Verdana" w:hAnsi="Verdana"/>
          <w:b/>
          <w:i/>
          <w:sz w:val="20"/>
          <w:szCs w:val="20"/>
          <w:lang w:val="es-MX"/>
        </w:rPr>
      </w:pPr>
      <w:r w:rsidRPr="00B75EAA">
        <w:rPr>
          <w:rFonts w:ascii="Verdana" w:hAnsi="Verdana"/>
          <w:sz w:val="20"/>
          <w:szCs w:val="20"/>
          <w:lang w:val="es-CR"/>
        </w:rPr>
        <w:t xml:space="preserve">En razón de lo anterior, </w:t>
      </w:r>
      <w:r w:rsidR="00290064" w:rsidRPr="00B75EAA">
        <w:rPr>
          <w:rFonts w:ascii="Verdana" w:hAnsi="Verdana"/>
          <w:sz w:val="20"/>
          <w:szCs w:val="20"/>
          <w:lang w:val="es-CR"/>
        </w:rPr>
        <w:t xml:space="preserve">al ordenar la referida reparación </w:t>
      </w:r>
      <w:r w:rsidR="000420E9">
        <w:rPr>
          <w:rFonts w:ascii="Verdana" w:hAnsi="Verdana"/>
          <w:sz w:val="20"/>
          <w:szCs w:val="20"/>
          <w:lang w:val="es-CR"/>
        </w:rPr>
        <w:t xml:space="preserve">el Tribunal </w:t>
      </w:r>
      <w:r w:rsidR="0053365E" w:rsidRPr="00B75EAA">
        <w:rPr>
          <w:rFonts w:ascii="Verdana" w:hAnsi="Verdana"/>
          <w:sz w:val="20"/>
          <w:szCs w:val="20"/>
          <w:lang w:val="es-CR"/>
        </w:rPr>
        <w:t>que</w:t>
      </w:r>
      <w:r w:rsidR="00921B59">
        <w:rPr>
          <w:rFonts w:ascii="Verdana" w:hAnsi="Verdana"/>
          <w:sz w:val="20"/>
          <w:szCs w:val="20"/>
          <w:lang w:val="es-CR"/>
        </w:rPr>
        <w:t>, de otorgarse la pensión,</w:t>
      </w:r>
      <w:r w:rsidR="0053365E" w:rsidRPr="00B75EAA">
        <w:rPr>
          <w:rFonts w:ascii="Verdana" w:hAnsi="Verdana"/>
          <w:sz w:val="20"/>
          <w:szCs w:val="20"/>
          <w:lang w:val="es-CR"/>
        </w:rPr>
        <w:t xml:space="preserve"> al señor Duque le correspondía no solo el pago de las mesadas que no había percibido desde su solicitud inicial en el año 2002, sino que también le correspondía el pago de intereses sobre dichos montos. La </w:t>
      </w:r>
      <w:r w:rsidR="00A71149" w:rsidRPr="00B75EAA">
        <w:rPr>
          <w:rFonts w:ascii="Verdana" w:hAnsi="Verdana"/>
          <w:sz w:val="20"/>
          <w:szCs w:val="20"/>
          <w:lang w:val="es-CR"/>
        </w:rPr>
        <w:t>remisión dispuesta por la Corte</w:t>
      </w:r>
      <w:r w:rsidR="0053365E" w:rsidRPr="00B75EAA">
        <w:rPr>
          <w:rFonts w:ascii="Verdana" w:hAnsi="Verdana"/>
          <w:sz w:val="20"/>
          <w:szCs w:val="20"/>
          <w:lang w:val="es-CR"/>
        </w:rPr>
        <w:t xml:space="preserve"> a la normativa interna colombiana</w:t>
      </w:r>
      <w:r w:rsidR="00A71149" w:rsidRPr="00B75EAA">
        <w:rPr>
          <w:rFonts w:ascii="Verdana" w:hAnsi="Verdana"/>
          <w:sz w:val="20"/>
          <w:szCs w:val="20"/>
          <w:lang w:val="es-CR"/>
        </w:rPr>
        <w:t xml:space="preserve"> </w:t>
      </w:r>
      <w:r w:rsidR="00380FF7" w:rsidRPr="00B75EAA">
        <w:rPr>
          <w:rFonts w:ascii="Verdana" w:hAnsi="Verdana"/>
          <w:sz w:val="20"/>
          <w:szCs w:val="20"/>
          <w:lang w:val="es-CR"/>
        </w:rPr>
        <w:t xml:space="preserve">no </w:t>
      </w:r>
      <w:r w:rsidR="00A71149" w:rsidRPr="00B75EAA">
        <w:rPr>
          <w:rFonts w:ascii="Verdana" w:hAnsi="Verdana"/>
          <w:sz w:val="20"/>
          <w:szCs w:val="20"/>
          <w:lang w:val="es-CR"/>
        </w:rPr>
        <w:t>fue</w:t>
      </w:r>
      <w:r w:rsidR="00380FF7" w:rsidRPr="00B75EAA">
        <w:rPr>
          <w:rFonts w:ascii="Verdana" w:hAnsi="Verdana"/>
          <w:sz w:val="20"/>
          <w:szCs w:val="20"/>
          <w:lang w:val="es-CR"/>
        </w:rPr>
        <w:t xml:space="preserve"> </w:t>
      </w:r>
      <w:r w:rsidR="0053365E" w:rsidRPr="00B75EAA">
        <w:rPr>
          <w:rFonts w:ascii="Verdana" w:hAnsi="Verdana"/>
          <w:sz w:val="20"/>
          <w:szCs w:val="20"/>
          <w:lang w:val="es-CR"/>
        </w:rPr>
        <w:t xml:space="preserve">para </w:t>
      </w:r>
      <w:r w:rsidR="00380FF7" w:rsidRPr="00B75EAA">
        <w:rPr>
          <w:rFonts w:ascii="Verdana" w:hAnsi="Verdana"/>
          <w:sz w:val="20"/>
          <w:szCs w:val="20"/>
          <w:lang w:val="es-CR"/>
        </w:rPr>
        <w:t xml:space="preserve">que el Estado </w:t>
      </w:r>
      <w:r w:rsidR="0053365E" w:rsidRPr="00B75EAA">
        <w:rPr>
          <w:rFonts w:ascii="Verdana" w:hAnsi="Verdana"/>
          <w:sz w:val="20"/>
          <w:szCs w:val="20"/>
          <w:lang w:val="es-CR"/>
        </w:rPr>
        <w:t>determinar</w:t>
      </w:r>
      <w:r w:rsidR="00380FF7" w:rsidRPr="00B75EAA">
        <w:rPr>
          <w:rFonts w:ascii="Verdana" w:hAnsi="Verdana"/>
          <w:sz w:val="20"/>
          <w:szCs w:val="20"/>
          <w:lang w:val="es-CR"/>
        </w:rPr>
        <w:t>a</w:t>
      </w:r>
      <w:r w:rsidR="0053365E" w:rsidRPr="00B75EAA">
        <w:rPr>
          <w:rFonts w:ascii="Verdana" w:hAnsi="Verdana"/>
          <w:sz w:val="20"/>
          <w:szCs w:val="20"/>
          <w:lang w:val="es-CR"/>
        </w:rPr>
        <w:t xml:space="preserve"> si correspondía el pago de los intereses, sino para </w:t>
      </w:r>
      <w:r w:rsidR="00A71149" w:rsidRPr="00B75EAA">
        <w:rPr>
          <w:rFonts w:ascii="Verdana" w:hAnsi="Verdana"/>
          <w:sz w:val="20"/>
          <w:szCs w:val="20"/>
          <w:lang w:val="es-CR"/>
        </w:rPr>
        <w:t>establecer</w:t>
      </w:r>
      <w:r w:rsidR="0053365E" w:rsidRPr="00B75EAA">
        <w:rPr>
          <w:rFonts w:ascii="Verdana" w:hAnsi="Verdana"/>
          <w:sz w:val="20"/>
          <w:szCs w:val="20"/>
          <w:lang w:val="es-CR"/>
        </w:rPr>
        <w:t xml:space="preserve"> el monto de los mismos y proceder a su pago</w:t>
      </w:r>
      <w:r w:rsidR="002E1874">
        <w:rPr>
          <w:rFonts w:ascii="Verdana" w:hAnsi="Verdana"/>
          <w:sz w:val="20"/>
          <w:szCs w:val="20"/>
          <w:lang w:val="es-CR"/>
        </w:rPr>
        <w:t xml:space="preserve"> (</w:t>
      </w:r>
      <w:r w:rsidR="002E1874">
        <w:rPr>
          <w:rFonts w:ascii="Verdana" w:hAnsi="Verdana"/>
          <w:i/>
          <w:sz w:val="20"/>
          <w:szCs w:val="20"/>
          <w:lang w:val="es-CR"/>
        </w:rPr>
        <w:t xml:space="preserve">supra </w:t>
      </w:r>
      <w:r w:rsidR="002E1874">
        <w:rPr>
          <w:rFonts w:ascii="Verdana" w:hAnsi="Verdana"/>
          <w:sz w:val="20"/>
          <w:szCs w:val="20"/>
          <w:lang w:val="es-CR"/>
        </w:rPr>
        <w:t xml:space="preserve">Considerando </w:t>
      </w:r>
      <w:r w:rsidR="00B11E85">
        <w:rPr>
          <w:rFonts w:ascii="Verdana" w:hAnsi="Verdana"/>
          <w:sz w:val="20"/>
          <w:szCs w:val="20"/>
          <w:lang w:val="es-CR"/>
        </w:rPr>
        <w:t>7</w:t>
      </w:r>
      <w:r w:rsidR="002E1874">
        <w:rPr>
          <w:rFonts w:ascii="Verdana" w:hAnsi="Verdana"/>
          <w:sz w:val="20"/>
          <w:szCs w:val="20"/>
          <w:lang w:val="es-CR"/>
        </w:rPr>
        <w:t>)</w:t>
      </w:r>
      <w:r w:rsidR="0053365E" w:rsidRPr="00B75EAA">
        <w:rPr>
          <w:rFonts w:ascii="Verdana" w:hAnsi="Verdana"/>
          <w:sz w:val="20"/>
          <w:szCs w:val="20"/>
          <w:lang w:val="es-CR"/>
        </w:rPr>
        <w:t xml:space="preserve">. </w:t>
      </w:r>
    </w:p>
    <w:p w:rsidR="008B1C48" w:rsidRPr="008B1C48" w:rsidRDefault="008B1C48" w:rsidP="00213B82">
      <w:pPr>
        <w:pStyle w:val="ListParagraph"/>
        <w:spacing w:after="120" w:line="240" w:lineRule="auto"/>
        <w:ind w:left="0"/>
        <w:contextualSpacing w:val="0"/>
        <w:jc w:val="both"/>
        <w:rPr>
          <w:rFonts w:ascii="Verdana" w:hAnsi="Verdana"/>
          <w:sz w:val="20"/>
          <w:szCs w:val="20"/>
          <w:lang w:val="es-MX"/>
        </w:rPr>
      </w:pPr>
    </w:p>
    <w:p w:rsidR="00916774" w:rsidRPr="00F25BF3" w:rsidRDefault="00F96ABA" w:rsidP="00213B82">
      <w:pPr>
        <w:pStyle w:val="ListParagraph"/>
        <w:numPr>
          <w:ilvl w:val="0"/>
          <w:numId w:val="10"/>
        </w:numPr>
        <w:spacing w:after="120" w:line="240" w:lineRule="auto"/>
        <w:ind w:left="0" w:firstLine="0"/>
        <w:contextualSpacing w:val="0"/>
        <w:jc w:val="both"/>
        <w:rPr>
          <w:rFonts w:ascii="Verdana" w:hAnsi="Verdana"/>
          <w:sz w:val="20"/>
          <w:szCs w:val="20"/>
          <w:lang w:val="es-MX"/>
        </w:rPr>
      </w:pPr>
      <w:r>
        <w:rPr>
          <w:rFonts w:ascii="Verdana" w:hAnsi="Verdana"/>
          <w:sz w:val="20"/>
          <w:szCs w:val="20"/>
          <w:lang w:val="es-ES"/>
        </w:rPr>
        <w:t>Por otro lado, l</w:t>
      </w:r>
      <w:r w:rsidR="002D4782" w:rsidRPr="002D4782">
        <w:rPr>
          <w:rFonts w:ascii="Verdana" w:hAnsi="Verdana"/>
          <w:sz w:val="20"/>
          <w:szCs w:val="20"/>
          <w:lang w:val="es-ES"/>
        </w:rPr>
        <w:t>os representantes de la víctima indicaron</w:t>
      </w:r>
      <w:r w:rsidR="00F25BF3">
        <w:rPr>
          <w:rFonts w:ascii="Verdana" w:hAnsi="Verdana"/>
          <w:sz w:val="20"/>
          <w:szCs w:val="20"/>
          <w:lang w:val="es-ES"/>
        </w:rPr>
        <w:t xml:space="preserve"> en julio de 2017</w:t>
      </w:r>
      <w:r w:rsidR="002D4782" w:rsidRPr="002D4782">
        <w:rPr>
          <w:rFonts w:ascii="Verdana" w:hAnsi="Verdana"/>
          <w:sz w:val="20"/>
          <w:szCs w:val="20"/>
          <w:lang w:val="es-ES"/>
        </w:rPr>
        <w:t xml:space="preserve"> que </w:t>
      </w:r>
      <w:r w:rsidR="00F348D3" w:rsidRPr="002D4782">
        <w:rPr>
          <w:rFonts w:ascii="Verdana" w:hAnsi="Verdana"/>
          <w:sz w:val="20"/>
          <w:szCs w:val="20"/>
          <w:lang w:val="es-ES"/>
        </w:rPr>
        <w:t>“el reconocimiento y pago de la pensión de sobrevivientes a favor del señor Duque no se está cumpliendo a cabalidad</w:t>
      </w:r>
      <w:r w:rsidR="00F348D3">
        <w:rPr>
          <w:rFonts w:ascii="Verdana" w:hAnsi="Verdana"/>
          <w:sz w:val="20"/>
          <w:szCs w:val="20"/>
          <w:lang w:val="es-ES"/>
        </w:rPr>
        <w:t>”</w:t>
      </w:r>
      <w:r w:rsidR="00F348D3" w:rsidRPr="002D4782">
        <w:rPr>
          <w:rFonts w:ascii="Verdana" w:hAnsi="Verdana"/>
          <w:sz w:val="20"/>
          <w:szCs w:val="20"/>
          <w:lang w:val="es-ES"/>
        </w:rPr>
        <w:t>,</w:t>
      </w:r>
      <w:r w:rsidR="00F348D3">
        <w:rPr>
          <w:rFonts w:ascii="Verdana" w:hAnsi="Verdana"/>
          <w:sz w:val="20"/>
          <w:szCs w:val="20"/>
          <w:lang w:val="es-ES"/>
        </w:rPr>
        <w:t xml:space="preserve"> en tanto se le está aplicando “</w:t>
      </w:r>
      <w:r w:rsidR="00F348D3" w:rsidRPr="002D4782">
        <w:rPr>
          <w:rFonts w:ascii="Verdana" w:hAnsi="Verdana"/>
          <w:sz w:val="20"/>
          <w:szCs w:val="20"/>
          <w:lang w:val="es-ES"/>
        </w:rPr>
        <w:t>retroactivamente una norma que no estaba vigente al momento de la causa de la pensión de sobrevivientes, el 15 de septiembre de 2001</w:t>
      </w:r>
      <w:r w:rsidR="00F348D3">
        <w:rPr>
          <w:rFonts w:ascii="Verdana" w:hAnsi="Verdana"/>
          <w:sz w:val="20"/>
          <w:szCs w:val="20"/>
          <w:lang w:val="es-ES"/>
        </w:rPr>
        <w:t>” y, por tanto, no se le reconoce la “</w:t>
      </w:r>
      <w:r w:rsidR="00F348D3" w:rsidRPr="00F348D3">
        <w:rPr>
          <w:rFonts w:ascii="Verdana" w:hAnsi="Verdana"/>
          <w:sz w:val="20"/>
          <w:szCs w:val="20"/>
          <w:lang w:val="es-ES"/>
        </w:rPr>
        <w:t>mesada adicional conocida corrientemente como la mesada 14, la cual reciben todos los pensionados en el mes de junio de cada año”</w:t>
      </w:r>
      <w:r w:rsidR="00F348D3">
        <w:rPr>
          <w:rStyle w:val="FootnoteReference"/>
          <w:rFonts w:ascii="Verdana" w:hAnsi="Verdana"/>
          <w:sz w:val="20"/>
          <w:szCs w:val="20"/>
          <w:lang w:val="es-ES"/>
        </w:rPr>
        <w:footnoteReference w:id="32"/>
      </w:r>
      <w:r w:rsidR="00E3330B">
        <w:rPr>
          <w:rFonts w:ascii="Verdana" w:hAnsi="Verdana"/>
          <w:sz w:val="20"/>
          <w:szCs w:val="20"/>
          <w:lang w:val="es-ES"/>
        </w:rPr>
        <w:t xml:space="preserve">. </w:t>
      </w:r>
      <w:r w:rsidR="00944E3A">
        <w:rPr>
          <w:rFonts w:ascii="Verdana" w:hAnsi="Verdana"/>
          <w:sz w:val="20"/>
          <w:szCs w:val="20"/>
          <w:lang w:val="es-ES"/>
        </w:rPr>
        <w:t xml:space="preserve">El Estado </w:t>
      </w:r>
      <w:r w:rsidR="00944E3A" w:rsidRPr="00F25BF3">
        <w:rPr>
          <w:rFonts w:ascii="Verdana" w:hAnsi="Verdana"/>
          <w:sz w:val="20"/>
          <w:szCs w:val="20"/>
          <w:lang w:val="es-MX"/>
        </w:rPr>
        <w:t xml:space="preserve">no se refirió a </w:t>
      </w:r>
      <w:r w:rsidR="00944E3A">
        <w:rPr>
          <w:rFonts w:ascii="Verdana" w:hAnsi="Verdana"/>
          <w:sz w:val="20"/>
          <w:szCs w:val="20"/>
          <w:lang w:val="es-MX"/>
        </w:rPr>
        <w:t>esta</w:t>
      </w:r>
      <w:r w:rsidR="00944E3A" w:rsidRPr="00F25BF3">
        <w:rPr>
          <w:rFonts w:ascii="Verdana" w:hAnsi="Verdana"/>
          <w:sz w:val="20"/>
          <w:szCs w:val="20"/>
          <w:lang w:val="es-MX"/>
        </w:rPr>
        <w:t xml:space="preserve"> </w:t>
      </w:r>
      <w:r w:rsidR="00944E3A">
        <w:rPr>
          <w:rFonts w:ascii="Verdana" w:hAnsi="Verdana"/>
          <w:sz w:val="20"/>
          <w:szCs w:val="20"/>
          <w:lang w:val="es-MX"/>
        </w:rPr>
        <w:t xml:space="preserve">segunda </w:t>
      </w:r>
      <w:r w:rsidR="00944E3A" w:rsidRPr="00F25BF3">
        <w:rPr>
          <w:rFonts w:ascii="Verdana" w:hAnsi="Verdana"/>
          <w:sz w:val="20"/>
          <w:szCs w:val="20"/>
          <w:lang w:val="es-MX"/>
        </w:rPr>
        <w:t>objeción</w:t>
      </w:r>
      <w:r w:rsidR="00944E3A">
        <w:rPr>
          <w:rStyle w:val="FootnoteReference"/>
          <w:rFonts w:ascii="Verdana" w:hAnsi="Verdana"/>
          <w:sz w:val="20"/>
          <w:szCs w:val="20"/>
          <w:lang w:val="es-MX"/>
        </w:rPr>
        <w:footnoteReference w:id="33"/>
      </w:r>
      <w:r w:rsidR="00944E3A">
        <w:rPr>
          <w:rFonts w:ascii="Verdana" w:hAnsi="Verdana"/>
          <w:sz w:val="20"/>
          <w:szCs w:val="20"/>
          <w:lang w:val="es-MX"/>
        </w:rPr>
        <w:t xml:space="preserve">. </w:t>
      </w:r>
    </w:p>
    <w:p w:rsidR="008B1C48" w:rsidRDefault="008B1C48" w:rsidP="00213B82">
      <w:pPr>
        <w:pStyle w:val="ListParagraph"/>
        <w:spacing w:after="120" w:line="240" w:lineRule="auto"/>
        <w:ind w:left="0"/>
        <w:contextualSpacing w:val="0"/>
        <w:jc w:val="both"/>
        <w:rPr>
          <w:rFonts w:ascii="Verdana" w:hAnsi="Verdana"/>
          <w:sz w:val="20"/>
          <w:szCs w:val="20"/>
          <w:lang w:val="es-MX"/>
        </w:rPr>
      </w:pPr>
    </w:p>
    <w:p w:rsidR="008B1C48" w:rsidRPr="00503A24" w:rsidRDefault="00334BAF" w:rsidP="00213B82">
      <w:pPr>
        <w:pStyle w:val="ListParagraph"/>
        <w:numPr>
          <w:ilvl w:val="0"/>
          <w:numId w:val="10"/>
        </w:numPr>
        <w:spacing w:after="120" w:line="240" w:lineRule="auto"/>
        <w:ind w:left="0" w:firstLine="0"/>
        <w:contextualSpacing w:val="0"/>
        <w:jc w:val="both"/>
        <w:rPr>
          <w:rFonts w:ascii="Verdana" w:hAnsi="Verdana"/>
          <w:i/>
          <w:sz w:val="20"/>
          <w:szCs w:val="20"/>
          <w:lang w:val="es-MX"/>
        </w:rPr>
      </w:pPr>
      <w:r w:rsidRPr="00503A24">
        <w:rPr>
          <w:rFonts w:ascii="Verdana" w:hAnsi="Verdana"/>
          <w:sz w:val="20"/>
          <w:szCs w:val="20"/>
          <w:lang w:val="es-CR"/>
        </w:rPr>
        <w:t>Este Tribunal considera que el referido reclamo de los representantes relativo al pago de una “mesada adicional” (</w:t>
      </w:r>
      <w:r w:rsidRPr="00503A24">
        <w:rPr>
          <w:rFonts w:ascii="Verdana" w:hAnsi="Verdana"/>
          <w:i/>
          <w:sz w:val="20"/>
          <w:szCs w:val="20"/>
          <w:lang w:val="es-CR"/>
        </w:rPr>
        <w:t xml:space="preserve">supra </w:t>
      </w:r>
      <w:r w:rsidRPr="00503A24">
        <w:rPr>
          <w:rFonts w:ascii="Verdana" w:hAnsi="Verdana"/>
          <w:sz w:val="20"/>
          <w:szCs w:val="20"/>
          <w:lang w:val="es-CR"/>
        </w:rPr>
        <w:t xml:space="preserve">Considerando </w:t>
      </w:r>
      <w:r w:rsidR="002E1874">
        <w:rPr>
          <w:rFonts w:ascii="Verdana" w:hAnsi="Verdana"/>
          <w:sz w:val="20"/>
          <w:szCs w:val="20"/>
          <w:lang w:val="es-CR"/>
        </w:rPr>
        <w:t>15</w:t>
      </w:r>
      <w:r w:rsidRPr="00503A24">
        <w:rPr>
          <w:rFonts w:ascii="Verdana" w:hAnsi="Verdana"/>
          <w:sz w:val="20"/>
          <w:szCs w:val="20"/>
          <w:lang w:val="es-CR"/>
        </w:rPr>
        <w:t xml:space="preserve">) no </w:t>
      </w:r>
      <w:r w:rsidR="009C1E09" w:rsidRPr="00503A24">
        <w:rPr>
          <w:rFonts w:ascii="Verdana" w:hAnsi="Verdana"/>
          <w:sz w:val="20"/>
          <w:szCs w:val="20"/>
          <w:lang w:val="es-CR"/>
        </w:rPr>
        <w:t xml:space="preserve">forma parte de la supervisión </w:t>
      </w:r>
      <w:r w:rsidRPr="00503A24">
        <w:rPr>
          <w:rFonts w:ascii="Verdana" w:hAnsi="Verdana"/>
          <w:sz w:val="20"/>
          <w:szCs w:val="20"/>
          <w:lang w:val="es-CR"/>
        </w:rPr>
        <w:t xml:space="preserve">de la presente </w:t>
      </w:r>
      <w:r w:rsidR="009C1E09" w:rsidRPr="00503A24">
        <w:rPr>
          <w:rFonts w:ascii="Verdana" w:hAnsi="Verdana"/>
          <w:sz w:val="20"/>
          <w:szCs w:val="20"/>
          <w:lang w:val="es-CR"/>
        </w:rPr>
        <w:t>medida</w:t>
      </w:r>
      <w:r w:rsidRPr="00503A24">
        <w:rPr>
          <w:rFonts w:ascii="Verdana" w:hAnsi="Verdana"/>
          <w:sz w:val="20"/>
          <w:szCs w:val="20"/>
          <w:lang w:val="es-CR"/>
        </w:rPr>
        <w:t>. Lo anterior debido a que los representantes no han señalado que la denegación de la referida mesada adicional se deb</w:t>
      </w:r>
      <w:r w:rsidR="009057C0">
        <w:rPr>
          <w:rFonts w:ascii="Verdana" w:hAnsi="Verdana"/>
          <w:sz w:val="20"/>
          <w:szCs w:val="20"/>
          <w:lang w:val="es-CR"/>
        </w:rPr>
        <w:t>iera</w:t>
      </w:r>
      <w:r w:rsidRPr="00503A24">
        <w:rPr>
          <w:rFonts w:ascii="Verdana" w:hAnsi="Verdana"/>
          <w:sz w:val="20"/>
          <w:szCs w:val="20"/>
          <w:lang w:val="es-CR"/>
        </w:rPr>
        <w:t xml:space="preserve"> a</w:t>
      </w:r>
      <w:r w:rsidR="009C1E09" w:rsidRPr="00503A24">
        <w:rPr>
          <w:rFonts w:ascii="Verdana" w:hAnsi="Verdana"/>
          <w:sz w:val="20"/>
          <w:szCs w:val="20"/>
          <w:lang w:val="es-CR"/>
        </w:rPr>
        <w:t xml:space="preserve"> un</w:t>
      </w:r>
      <w:r w:rsidRPr="00503A24">
        <w:rPr>
          <w:rFonts w:ascii="Verdana" w:hAnsi="Verdana"/>
          <w:sz w:val="20"/>
          <w:szCs w:val="20"/>
          <w:lang w:val="es-CR"/>
        </w:rPr>
        <w:t xml:space="preserve"> </w:t>
      </w:r>
      <w:r w:rsidR="009C1E09" w:rsidRPr="00503A24">
        <w:rPr>
          <w:rFonts w:ascii="Verdana" w:hAnsi="Verdana"/>
          <w:sz w:val="20"/>
          <w:szCs w:val="20"/>
          <w:lang w:val="es-CR"/>
        </w:rPr>
        <w:t>trato diferente y discriminatorio (</w:t>
      </w:r>
      <w:r w:rsidR="009C1E09" w:rsidRPr="00503A24">
        <w:rPr>
          <w:rFonts w:ascii="Verdana" w:hAnsi="Verdana"/>
          <w:i/>
          <w:sz w:val="20"/>
          <w:szCs w:val="20"/>
          <w:lang w:val="es-CR"/>
        </w:rPr>
        <w:t xml:space="preserve">supra </w:t>
      </w:r>
      <w:r w:rsidR="009C1E09" w:rsidRPr="00503A24">
        <w:rPr>
          <w:rFonts w:ascii="Verdana" w:hAnsi="Verdana"/>
          <w:sz w:val="20"/>
          <w:szCs w:val="20"/>
          <w:lang w:val="es-CR"/>
        </w:rPr>
        <w:t xml:space="preserve">Considerando </w:t>
      </w:r>
      <w:r w:rsidR="002E1874">
        <w:rPr>
          <w:rFonts w:ascii="Verdana" w:hAnsi="Verdana"/>
          <w:sz w:val="20"/>
          <w:szCs w:val="20"/>
          <w:lang w:val="es-CR"/>
        </w:rPr>
        <w:t>8</w:t>
      </w:r>
      <w:r w:rsidR="009C1E09" w:rsidRPr="00503A24">
        <w:rPr>
          <w:rFonts w:ascii="Verdana" w:hAnsi="Verdana"/>
          <w:sz w:val="20"/>
          <w:szCs w:val="20"/>
          <w:lang w:val="es-CR"/>
        </w:rPr>
        <w:t xml:space="preserve">), sino que corresponde a determinaciones internas respecto de la </w:t>
      </w:r>
      <w:r w:rsidR="00EA5752" w:rsidRPr="00503A24">
        <w:rPr>
          <w:rFonts w:ascii="Verdana" w:hAnsi="Verdana"/>
          <w:sz w:val="20"/>
          <w:szCs w:val="20"/>
          <w:lang w:val="es-CR"/>
        </w:rPr>
        <w:t>manera</w:t>
      </w:r>
      <w:r w:rsidR="00AF54C9" w:rsidRPr="00503A24">
        <w:rPr>
          <w:rFonts w:ascii="Verdana" w:hAnsi="Verdana"/>
          <w:sz w:val="20"/>
          <w:szCs w:val="20"/>
          <w:lang w:val="es-CR"/>
        </w:rPr>
        <w:t xml:space="preserve"> en que se está </w:t>
      </w:r>
      <w:r w:rsidR="009C1E09" w:rsidRPr="00503A24">
        <w:rPr>
          <w:rFonts w:ascii="Verdana" w:hAnsi="Verdana"/>
          <w:sz w:val="20"/>
          <w:szCs w:val="20"/>
          <w:lang w:val="es-CR"/>
        </w:rPr>
        <w:t>aplica</w:t>
      </w:r>
      <w:r w:rsidR="00AF54C9" w:rsidRPr="00503A24">
        <w:rPr>
          <w:rFonts w:ascii="Verdana" w:hAnsi="Verdana"/>
          <w:sz w:val="20"/>
          <w:szCs w:val="20"/>
          <w:lang w:val="es-CR"/>
        </w:rPr>
        <w:t>ndo</w:t>
      </w:r>
      <w:r w:rsidR="009C1E09" w:rsidRPr="00503A24">
        <w:rPr>
          <w:rFonts w:ascii="Verdana" w:hAnsi="Verdana"/>
          <w:sz w:val="20"/>
          <w:szCs w:val="20"/>
          <w:lang w:val="es-CR"/>
        </w:rPr>
        <w:t xml:space="preserve"> una reforma </w:t>
      </w:r>
      <w:r w:rsidR="00AF54C9" w:rsidRPr="00503A24">
        <w:rPr>
          <w:rFonts w:ascii="Verdana" w:hAnsi="Verdana"/>
          <w:sz w:val="20"/>
          <w:szCs w:val="20"/>
          <w:lang w:val="es-CR"/>
        </w:rPr>
        <w:lastRenderedPageBreak/>
        <w:t>al</w:t>
      </w:r>
      <w:r w:rsidR="00AF54C9" w:rsidRPr="00503A24">
        <w:rPr>
          <w:rFonts w:ascii="Verdana" w:hAnsi="Verdana"/>
          <w:sz w:val="16"/>
          <w:szCs w:val="16"/>
          <w:lang w:val="es-CR"/>
        </w:rPr>
        <w:t xml:space="preserve"> </w:t>
      </w:r>
      <w:r w:rsidR="00AF54C9" w:rsidRPr="00503A24">
        <w:rPr>
          <w:rFonts w:ascii="Verdana" w:hAnsi="Verdana"/>
          <w:sz w:val="20"/>
          <w:szCs w:val="20"/>
          <w:lang w:val="es-CR"/>
        </w:rPr>
        <w:t>sistema general de pensiones</w:t>
      </w:r>
      <w:r w:rsidR="009C1E09" w:rsidRPr="00503A24">
        <w:rPr>
          <w:rFonts w:ascii="Verdana" w:hAnsi="Verdana"/>
          <w:sz w:val="20"/>
          <w:szCs w:val="20"/>
          <w:lang w:val="es-CR"/>
        </w:rPr>
        <w:t xml:space="preserve"> colombiano. </w:t>
      </w:r>
      <w:r w:rsidR="00114783" w:rsidRPr="00503A24">
        <w:rPr>
          <w:rFonts w:ascii="Verdana" w:hAnsi="Verdana"/>
          <w:sz w:val="20"/>
          <w:szCs w:val="20"/>
          <w:lang w:val="es-CR"/>
        </w:rPr>
        <w:t>En razón de ello, l</w:t>
      </w:r>
      <w:r w:rsidR="009C1E09" w:rsidRPr="00503A24">
        <w:rPr>
          <w:rFonts w:ascii="Verdana" w:hAnsi="Verdana"/>
          <w:sz w:val="20"/>
          <w:szCs w:val="20"/>
          <w:lang w:val="es-CR"/>
        </w:rPr>
        <w:t xml:space="preserve">a Corte considera que el análisis respecto de la procedencia o no de dicho pago </w:t>
      </w:r>
      <w:r w:rsidRPr="00503A24">
        <w:rPr>
          <w:rFonts w:ascii="Verdana" w:hAnsi="Verdana"/>
          <w:sz w:val="20"/>
          <w:szCs w:val="20"/>
          <w:lang w:val="es-CR"/>
        </w:rPr>
        <w:t>debe ser realizado por los órganos internos competentes, administrativos y, de ser nec</w:t>
      </w:r>
      <w:r w:rsidR="009C1E09" w:rsidRPr="00503A24">
        <w:rPr>
          <w:rFonts w:ascii="Verdana" w:hAnsi="Verdana"/>
          <w:sz w:val="20"/>
          <w:szCs w:val="20"/>
          <w:lang w:val="es-CR"/>
        </w:rPr>
        <w:t>esario</w:t>
      </w:r>
      <w:r w:rsidR="00481947">
        <w:rPr>
          <w:rFonts w:ascii="Verdana" w:hAnsi="Verdana"/>
          <w:sz w:val="20"/>
          <w:szCs w:val="20"/>
          <w:lang w:val="es-CR"/>
        </w:rPr>
        <w:t>,</w:t>
      </w:r>
      <w:r w:rsidR="009C1E09" w:rsidRPr="00503A24">
        <w:rPr>
          <w:rFonts w:ascii="Verdana" w:hAnsi="Verdana"/>
          <w:sz w:val="20"/>
          <w:szCs w:val="20"/>
          <w:lang w:val="es-CR"/>
        </w:rPr>
        <w:t xml:space="preserve"> judiciales</w:t>
      </w:r>
      <w:r w:rsidRPr="00503A24">
        <w:rPr>
          <w:rFonts w:ascii="Verdana" w:hAnsi="Verdana"/>
          <w:sz w:val="20"/>
          <w:szCs w:val="20"/>
          <w:lang w:val="es-CR"/>
        </w:rPr>
        <w:t xml:space="preserve">. </w:t>
      </w:r>
    </w:p>
    <w:p w:rsidR="008B1C48" w:rsidRPr="008B1C48" w:rsidRDefault="008B1C48" w:rsidP="00213B82">
      <w:pPr>
        <w:pStyle w:val="ListParagraph"/>
        <w:spacing w:after="120" w:line="240" w:lineRule="auto"/>
        <w:ind w:left="0"/>
        <w:contextualSpacing w:val="0"/>
        <w:jc w:val="both"/>
        <w:rPr>
          <w:rFonts w:ascii="Verdana" w:hAnsi="Verdana"/>
          <w:sz w:val="20"/>
          <w:szCs w:val="20"/>
          <w:lang w:val="es-MX"/>
        </w:rPr>
      </w:pPr>
    </w:p>
    <w:p w:rsidR="006C5A75" w:rsidRPr="00E20A6E" w:rsidRDefault="006C5A75" w:rsidP="00213B82">
      <w:pPr>
        <w:pStyle w:val="ListParagraph"/>
        <w:numPr>
          <w:ilvl w:val="0"/>
          <w:numId w:val="10"/>
        </w:numPr>
        <w:spacing w:after="120" w:line="240" w:lineRule="auto"/>
        <w:ind w:left="0" w:firstLine="0"/>
        <w:contextualSpacing w:val="0"/>
        <w:jc w:val="both"/>
        <w:rPr>
          <w:rFonts w:ascii="Verdana" w:hAnsi="Verdana"/>
          <w:sz w:val="20"/>
          <w:szCs w:val="20"/>
          <w:lang w:val="es-MX"/>
        </w:rPr>
      </w:pPr>
      <w:r>
        <w:rPr>
          <w:rFonts w:ascii="Verdana" w:hAnsi="Verdana"/>
          <w:sz w:val="20"/>
          <w:lang w:val="es-MX"/>
        </w:rPr>
        <w:t xml:space="preserve">Por </w:t>
      </w:r>
      <w:r w:rsidR="00503A24">
        <w:rPr>
          <w:rFonts w:ascii="Verdana" w:hAnsi="Verdana"/>
          <w:sz w:val="20"/>
          <w:lang w:val="es-MX"/>
        </w:rPr>
        <w:t xml:space="preserve">todos </w:t>
      </w:r>
      <w:r>
        <w:rPr>
          <w:rFonts w:ascii="Verdana" w:hAnsi="Verdana"/>
          <w:sz w:val="20"/>
          <w:lang w:val="es-MX"/>
        </w:rPr>
        <w:t xml:space="preserve">los motivos </w:t>
      </w:r>
      <w:r w:rsidR="00503A24">
        <w:rPr>
          <w:rFonts w:ascii="Verdana" w:hAnsi="Verdana"/>
          <w:sz w:val="20"/>
          <w:lang w:val="es-MX"/>
        </w:rPr>
        <w:t xml:space="preserve">anteriormente </w:t>
      </w:r>
      <w:r>
        <w:rPr>
          <w:rFonts w:ascii="Verdana" w:hAnsi="Verdana"/>
          <w:sz w:val="20"/>
          <w:lang w:val="es-MX"/>
        </w:rPr>
        <w:t xml:space="preserve">expuestos, </w:t>
      </w:r>
      <w:r w:rsidR="00C3071F">
        <w:rPr>
          <w:rFonts w:ascii="Verdana" w:hAnsi="Verdana"/>
          <w:sz w:val="20"/>
          <w:lang w:val="es-MX"/>
        </w:rPr>
        <w:t>el Tribunal</w:t>
      </w:r>
      <w:r>
        <w:rPr>
          <w:rFonts w:ascii="Verdana" w:hAnsi="Verdana"/>
          <w:sz w:val="20"/>
          <w:lang w:val="es-MX"/>
        </w:rPr>
        <w:t xml:space="preserve"> considera que el Estado ha dado </w:t>
      </w:r>
      <w:r w:rsidR="001876C3">
        <w:rPr>
          <w:rFonts w:ascii="Verdana" w:hAnsi="Verdana"/>
          <w:sz w:val="20"/>
          <w:lang w:val="es-MX"/>
        </w:rPr>
        <w:t xml:space="preserve">un </w:t>
      </w:r>
      <w:r>
        <w:rPr>
          <w:rFonts w:ascii="Verdana" w:hAnsi="Verdana"/>
          <w:sz w:val="20"/>
          <w:lang w:val="es-MX"/>
        </w:rPr>
        <w:t xml:space="preserve">cumplimiento </w:t>
      </w:r>
      <w:r w:rsidR="001876C3">
        <w:rPr>
          <w:rFonts w:ascii="Verdana" w:hAnsi="Verdana"/>
          <w:sz w:val="20"/>
          <w:lang w:val="es-MX"/>
        </w:rPr>
        <w:t xml:space="preserve">parcial </w:t>
      </w:r>
      <w:r>
        <w:rPr>
          <w:rFonts w:ascii="Verdana" w:hAnsi="Verdana"/>
          <w:sz w:val="20"/>
          <w:lang w:val="es-MX"/>
        </w:rPr>
        <w:t xml:space="preserve">a la medida </w:t>
      </w:r>
      <w:r w:rsidR="001876C3">
        <w:rPr>
          <w:rFonts w:ascii="Verdana" w:hAnsi="Verdana"/>
          <w:sz w:val="20"/>
          <w:lang w:val="es-MX"/>
        </w:rPr>
        <w:t xml:space="preserve">ordenada en el punto dispositivo noveno de la Sentencia en lo que respecta a </w:t>
      </w:r>
      <w:r w:rsidRPr="006C5A75">
        <w:rPr>
          <w:rFonts w:ascii="Verdana" w:hAnsi="Verdana"/>
          <w:sz w:val="20"/>
          <w:szCs w:val="20"/>
          <w:lang w:val="es-CR"/>
        </w:rPr>
        <w:t>garantizar al señor Duque el trámite prioritario de su solicitud a una pensión de sobrevivencia</w:t>
      </w:r>
      <w:r>
        <w:rPr>
          <w:rFonts w:ascii="Verdana" w:hAnsi="Verdana"/>
          <w:sz w:val="20"/>
          <w:szCs w:val="20"/>
          <w:lang w:val="es-CR"/>
        </w:rPr>
        <w:t xml:space="preserve"> y realizar</w:t>
      </w:r>
      <w:r w:rsidRPr="006C5A75">
        <w:rPr>
          <w:rFonts w:ascii="Verdana" w:hAnsi="Verdana"/>
          <w:sz w:val="20"/>
          <w:lang w:val="es-MX"/>
        </w:rPr>
        <w:t xml:space="preserve"> todos los pagos</w:t>
      </w:r>
      <w:r>
        <w:rPr>
          <w:rFonts w:ascii="Verdana" w:hAnsi="Verdana"/>
          <w:sz w:val="20"/>
          <w:lang w:val="es-MX"/>
        </w:rPr>
        <w:t xml:space="preserve"> </w:t>
      </w:r>
      <w:r w:rsidRPr="006C5A75">
        <w:rPr>
          <w:rFonts w:ascii="Verdana" w:hAnsi="Verdana"/>
          <w:sz w:val="20"/>
          <w:lang w:val="es-MX"/>
        </w:rPr>
        <w:t>que no se percibieron desde que el señor Duque presentó la</w:t>
      </w:r>
      <w:r>
        <w:rPr>
          <w:rFonts w:ascii="Verdana" w:hAnsi="Verdana"/>
          <w:sz w:val="20"/>
          <w:lang w:val="es-MX"/>
        </w:rPr>
        <w:t xml:space="preserve"> solicitud de información a COL</w:t>
      </w:r>
      <w:r w:rsidRPr="006C5A75">
        <w:rPr>
          <w:rFonts w:ascii="Verdana" w:hAnsi="Verdana"/>
          <w:sz w:val="20"/>
          <w:lang w:val="es-MX"/>
        </w:rPr>
        <w:t>FONDOS</w:t>
      </w:r>
      <w:r>
        <w:rPr>
          <w:rFonts w:ascii="Verdana" w:hAnsi="Verdana"/>
          <w:sz w:val="20"/>
          <w:lang w:val="es-MX"/>
        </w:rPr>
        <w:t xml:space="preserve"> en marzo de 2002</w:t>
      </w:r>
      <w:r>
        <w:rPr>
          <w:rFonts w:ascii="Verdana" w:hAnsi="Verdana"/>
          <w:sz w:val="20"/>
          <w:szCs w:val="20"/>
          <w:lang w:val="es-CR"/>
        </w:rPr>
        <w:t xml:space="preserve">. </w:t>
      </w:r>
      <w:r w:rsidR="001876C3">
        <w:rPr>
          <w:rFonts w:ascii="Verdana" w:hAnsi="Verdana"/>
          <w:sz w:val="20"/>
          <w:szCs w:val="20"/>
          <w:lang w:val="es-CR"/>
        </w:rPr>
        <w:t xml:space="preserve">Se encuentra pendiente de cumplimiento lo correspondiente al </w:t>
      </w:r>
      <w:r>
        <w:rPr>
          <w:rFonts w:ascii="Verdana" w:hAnsi="Verdana"/>
          <w:sz w:val="20"/>
          <w:lang w:val="es-CR"/>
        </w:rPr>
        <w:t>pago</w:t>
      </w:r>
      <w:r w:rsidR="00E20A6E">
        <w:rPr>
          <w:rFonts w:ascii="Verdana" w:hAnsi="Verdana"/>
          <w:sz w:val="20"/>
          <w:lang w:val="es-CR"/>
        </w:rPr>
        <w:t xml:space="preserve"> </w:t>
      </w:r>
      <w:r>
        <w:rPr>
          <w:rFonts w:ascii="Verdana" w:hAnsi="Verdana"/>
          <w:sz w:val="20"/>
          <w:lang w:val="es-CR"/>
        </w:rPr>
        <w:t>de los intereses</w:t>
      </w:r>
      <w:r w:rsidR="00E20A6E">
        <w:rPr>
          <w:rFonts w:ascii="Verdana" w:hAnsi="Verdana"/>
          <w:sz w:val="20"/>
          <w:lang w:val="es-CR"/>
        </w:rPr>
        <w:t>,</w:t>
      </w:r>
      <w:r>
        <w:rPr>
          <w:rFonts w:ascii="Verdana" w:hAnsi="Verdana"/>
          <w:sz w:val="20"/>
          <w:lang w:val="es-CR"/>
        </w:rPr>
        <w:t xml:space="preserve"> de conformidad con</w:t>
      </w:r>
      <w:r w:rsidR="001876C3">
        <w:rPr>
          <w:rFonts w:ascii="Verdana" w:hAnsi="Verdana"/>
          <w:sz w:val="20"/>
          <w:lang w:val="es-CR"/>
        </w:rPr>
        <w:t xml:space="preserve"> lo </w:t>
      </w:r>
      <w:r w:rsidR="00E20A6E">
        <w:rPr>
          <w:rFonts w:ascii="Verdana" w:hAnsi="Verdana"/>
          <w:sz w:val="20"/>
          <w:lang w:val="es-CR"/>
        </w:rPr>
        <w:t>ordenado en el referido punto dispositivo</w:t>
      </w:r>
      <w:r w:rsidR="001876C3">
        <w:rPr>
          <w:rFonts w:ascii="Verdana" w:hAnsi="Verdana"/>
          <w:sz w:val="20"/>
          <w:lang w:val="es-CR"/>
        </w:rPr>
        <w:t xml:space="preserve"> y lo indicado en los Considerandos </w:t>
      </w:r>
      <w:r w:rsidR="00481947">
        <w:rPr>
          <w:rFonts w:ascii="Verdana" w:hAnsi="Verdana"/>
          <w:sz w:val="20"/>
          <w:lang w:val="es-CR"/>
        </w:rPr>
        <w:t>10 a 14</w:t>
      </w:r>
      <w:r w:rsidR="001876C3">
        <w:rPr>
          <w:rFonts w:ascii="Verdana" w:hAnsi="Verdana"/>
          <w:sz w:val="20"/>
          <w:lang w:val="es-CR"/>
        </w:rPr>
        <w:t xml:space="preserve"> de la </w:t>
      </w:r>
      <w:r w:rsidR="00A953F6">
        <w:rPr>
          <w:rFonts w:ascii="Verdana" w:hAnsi="Verdana"/>
          <w:sz w:val="20"/>
          <w:lang w:val="es-CR"/>
        </w:rPr>
        <w:t>presente R</w:t>
      </w:r>
      <w:r w:rsidR="001876C3">
        <w:rPr>
          <w:rFonts w:ascii="Verdana" w:hAnsi="Verdana"/>
          <w:sz w:val="20"/>
          <w:lang w:val="es-CR"/>
        </w:rPr>
        <w:t xml:space="preserve">esolución. </w:t>
      </w:r>
    </w:p>
    <w:p w:rsidR="00FD398B" w:rsidRDefault="00FD398B" w:rsidP="00213B82">
      <w:pPr>
        <w:pStyle w:val="ListParagraph"/>
        <w:spacing w:after="120" w:line="240" w:lineRule="auto"/>
        <w:ind w:left="0"/>
        <w:contextualSpacing w:val="0"/>
        <w:jc w:val="both"/>
        <w:rPr>
          <w:rFonts w:ascii="Verdana" w:hAnsi="Verdana"/>
          <w:sz w:val="20"/>
          <w:szCs w:val="20"/>
          <w:lang w:val="es-MX"/>
        </w:rPr>
      </w:pPr>
    </w:p>
    <w:p w:rsidR="00841BAD" w:rsidRPr="008B1C48" w:rsidRDefault="00841BAD" w:rsidP="00213B82">
      <w:pPr>
        <w:pStyle w:val="ListParagraph"/>
        <w:spacing w:after="120" w:line="240" w:lineRule="auto"/>
        <w:ind w:left="0"/>
        <w:contextualSpacing w:val="0"/>
        <w:jc w:val="both"/>
        <w:rPr>
          <w:rFonts w:ascii="Verdana" w:hAnsi="Verdana"/>
          <w:sz w:val="20"/>
          <w:szCs w:val="20"/>
          <w:lang w:val="es-MX"/>
        </w:rPr>
      </w:pPr>
    </w:p>
    <w:p w:rsidR="00916774" w:rsidRDefault="00B9773A" w:rsidP="00213B82">
      <w:pPr>
        <w:pStyle w:val="ListParagraph"/>
        <w:numPr>
          <w:ilvl w:val="0"/>
          <w:numId w:val="4"/>
        </w:numPr>
        <w:spacing w:after="120" w:line="240" w:lineRule="auto"/>
        <w:contextualSpacing w:val="0"/>
        <w:jc w:val="both"/>
        <w:outlineLvl w:val="0"/>
        <w:rPr>
          <w:rFonts w:ascii="Verdana" w:hAnsi="Verdana"/>
          <w:b/>
          <w:i/>
          <w:sz w:val="20"/>
          <w:lang w:val="es-MX"/>
        </w:rPr>
      </w:pPr>
      <w:bookmarkStart w:id="2" w:name="_Toc513709592"/>
      <w:r>
        <w:rPr>
          <w:rFonts w:ascii="Verdana" w:hAnsi="Verdana"/>
          <w:b/>
          <w:i/>
          <w:sz w:val="20"/>
          <w:lang w:val="es-MX"/>
        </w:rPr>
        <w:t>Pago</w:t>
      </w:r>
      <w:r w:rsidR="008E2AFE">
        <w:rPr>
          <w:rFonts w:ascii="Verdana" w:hAnsi="Verdana"/>
          <w:b/>
          <w:i/>
          <w:sz w:val="20"/>
          <w:lang w:val="es-MX"/>
        </w:rPr>
        <w:t>s</w:t>
      </w:r>
      <w:r w:rsidR="009841C6">
        <w:rPr>
          <w:rFonts w:ascii="Verdana" w:hAnsi="Verdana"/>
          <w:b/>
          <w:i/>
          <w:sz w:val="20"/>
          <w:lang w:val="es-MX"/>
        </w:rPr>
        <w:t xml:space="preserve"> de </w:t>
      </w:r>
      <w:r w:rsidR="008E2AFE">
        <w:rPr>
          <w:rFonts w:ascii="Verdana" w:hAnsi="Verdana"/>
          <w:b/>
          <w:i/>
          <w:sz w:val="20"/>
          <w:lang w:val="es-MX"/>
        </w:rPr>
        <w:t xml:space="preserve">indemnización por concepto de </w:t>
      </w:r>
      <w:r w:rsidR="009841C6">
        <w:rPr>
          <w:rFonts w:ascii="Verdana" w:hAnsi="Verdana"/>
          <w:b/>
          <w:i/>
          <w:sz w:val="20"/>
          <w:lang w:val="es-MX"/>
        </w:rPr>
        <w:t>daño inmaterial y reintegro de costas y gastos</w:t>
      </w:r>
      <w:bookmarkEnd w:id="2"/>
    </w:p>
    <w:p w:rsidR="008B1C48" w:rsidRPr="008B1C48" w:rsidRDefault="008B1C48" w:rsidP="00213B82">
      <w:pPr>
        <w:spacing w:after="120" w:line="240" w:lineRule="auto"/>
        <w:jc w:val="both"/>
        <w:rPr>
          <w:rFonts w:ascii="Verdana" w:hAnsi="Verdana"/>
          <w:i/>
          <w:sz w:val="20"/>
          <w:lang w:val="es-MX"/>
        </w:rPr>
      </w:pPr>
    </w:p>
    <w:p w:rsidR="00916774" w:rsidRPr="000121ED" w:rsidRDefault="00916774" w:rsidP="00213B82">
      <w:pPr>
        <w:pStyle w:val="ListParagraph"/>
        <w:spacing w:after="120" w:line="240" w:lineRule="auto"/>
        <w:contextualSpacing w:val="0"/>
        <w:jc w:val="both"/>
        <w:rPr>
          <w:rFonts w:ascii="Verdana" w:hAnsi="Verdana"/>
          <w:i/>
          <w:sz w:val="20"/>
          <w:lang w:val="es-MX"/>
        </w:rPr>
      </w:pPr>
      <w:r>
        <w:rPr>
          <w:rFonts w:ascii="Verdana" w:hAnsi="Verdana"/>
          <w:i/>
          <w:sz w:val="20"/>
          <w:lang w:val="es-MX"/>
        </w:rPr>
        <w:t>C</w:t>
      </w:r>
      <w:r w:rsidRPr="000121ED">
        <w:rPr>
          <w:rFonts w:ascii="Verdana" w:hAnsi="Verdana"/>
          <w:i/>
          <w:sz w:val="20"/>
          <w:lang w:val="es-MX"/>
        </w:rPr>
        <w:t>.1. Medida</w:t>
      </w:r>
      <w:r w:rsidR="008E2AFE">
        <w:rPr>
          <w:rFonts w:ascii="Verdana" w:hAnsi="Verdana"/>
          <w:i/>
          <w:sz w:val="20"/>
          <w:lang w:val="es-MX"/>
        </w:rPr>
        <w:t>s</w:t>
      </w:r>
      <w:r w:rsidRPr="000121ED">
        <w:rPr>
          <w:rFonts w:ascii="Verdana" w:hAnsi="Verdana"/>
          <w:i/>
          <w:sz w:val="20"/>
          <w:lang w:val="es-MX"/>
        </w:rPr>
        <w:t xml:space="preserve"> ordenada</w:t>
      </w:r>
      <w:r w:rsidR="008E2AFE">
        <w:rPr>
          <w:rFonts w:ascii="Verdana" w:hAnsi="Verdana"/>
          <w:i/>
          <w:sz w:val="20"/>
          <w:lang w:val="es-MX"/>
        </w:rPr>
        <w:t>s</w:t>
      </w:r>
      <w:r w:rsidRPr="000121ED">
        <w:rPr>
          <w:rFonts w:ascii="Verdana" w:hAnsi="Verdana"/>
          <w:i/>
          <w:sz w:val="20"/>
          <w:lang w:val="es-MX"/>
        </w:rPr>
        <w:t xml:space="preserve"> por la Corte </w:t>
      </w:r>
    </w:p>
    <w:p w:rsidR="008B1C48" w:rsidRDefault="008B1C48" w:rsidP="00213B82">
      <w:pPr>
        <w:pStyle w:val="ListParagraph"/>
        <w:spacing w:after="120" w:line="240" w:lineRule="auto"/>
        <w:ind w:left="0"/>
        <w:contextualSpacing w:val="0"/>
        <w:jc w:val="both"/>
        <w:rPr>
          <w:rFonts w:ascii="Verdana" w:hAnsi="Verdana"/>
          <w:sz w:val="20"/>
          <w:lang w:val="es-MX"/>
        </w:rPr>
      </w:pPr>
    </w:p>
    <w:p w:rsidR="00916774" w:rsidRPr="006A5F96" w:rsidRDefault="00916774" w:rsidP="00213B82">
      <w:pPr>
        <w:pStyle w:val="ListParagraph"/>
        <w:numPr>
          <w:ilvl w:val="0"/>
          <w:numId w:val="10"/>
        </w:numPr>
        <w:spacing w:after="120" w:line="240" w:lineRule="auto"/>
        <w:ind w:left="0" w:firstLine="0"/>
        <w:contextualSpacing w:val="0"/>
        <w:jc w:val="both"/>
        <w:rPr>
          <w:rFonts w:ascii="Verdana" w:hAnsi="Verdana"/>
          <w:sz w:val="20"/>
          <w:lang w:val="es-MX"/>
        </w:rPr>
      </w:pPr>
      <w:r>
        <w:rPr>
          <w:rFonts w:ascii="Verdana" w:hAnsi="Verdana"/>
          <w:sz w:val="20"/>
          <w:lang w:val="es-MX"/>
        </w:rPr>
        <w:t>E</w:t>
      </w:r>
      <w:r w:rsidRPr="00BD6F58">
        <w:rPr>
          <w:rFonts w:ascii="Verdana" w:hAnsi="Verdana"/>
          <w:sz w:val="20"/>
          <w:lang w:val="es-MX"/>
        </w:rPr>
        <w:t xml:space="preserve">n el punto </w:t>
      </w:r>
      <w:r w:rsidR="002B7261">
        <w:rPr>
          <w:rFonts w:ascii="Verdana" w:hAnsi="Verdana"/>
          <w:sz w:val="20"/>
          <w:lang w:val="es-MX"/>
        </w:rPr>
        <w:t>dispositivo</w:t>
      </w:r>
      <w:r w:rsidR="002B7261" w:rsidRPr="00BD6F58">
        <w:rPr>
          <w:rFonts w:ascii="Verdana" w:hAnsi="Verdana"/>
          <w:sz w:val="20"/>
          <w:lang w:val="es-MX"/>
        </w:rPr>
        <w:t xml:space="preserve"> </w:t>
      </w:r>
      <w:r w:rsidR="00CF46D4">
        <w:rPr>
          <w:rFonts w:ascii="Verdana" w:hAnsi="Verdana"/>
          <w:sz w:val="20"/>
          <w:lang w:val="es-MX"/>
        </w:rPr>
        <w:t>décimo</w:t>
      </w:r>
      <w:r w:rsidRPr="00BD6F58">
        <w:rPr>
          <w:rFonts w:ascii="Verdana" w:hAnsi="Verdana"/>
          <w:sz w:val="20"/>
          <w:lang w:val="es-MX"/>
        </w:rPr>
        <w:t xml:space="preserve"> y en los párrafos </w:t>
      </w:r>
      <w:r w:rsidR="00CF46D4">
        <w:rPr>
          <w:rFonts w:ascii="Verdana" w:hAnsi="Verdana"/>
          <w:sz w:val="20"/>
          <w:lang w:val="es-MX"/>
        </w:rPr>
        <w:t>221 y 227</w:t>
      </w:r>
      <w:r w:rsidRPr="00BD6F58">
        <w:rPr>
          <w:rFonts w:ascii="Verdana" w:hAnsi="Verdana"/>
          <w:sz w:val="20"/>
          <w:lang w:val="es-MX"/>
        </w:rPr>
        <w:t xml:space="preserve"> de la Sentencia, la Corte </w:t>
      </w:r>
      <w:r w:rsidR="00305314">
        <w:rPr>
          <w:rFonts w:ascii="Verdana" w:hAnsi="Verdana"/>
          <w:sz w:val="20"/>
          <w:lang w:val="es-MX"/>
        </w:rPr>
        <w:t xml:space="preserve">estableció </w:t>
      </w:r>
      <w:r w:rsidRPr="00BD6F58">
        <w:rPr>
          <w:rFonts w:ascii="Verdana" w:hAnsi="Verdana"/>
          <w:sz w:val="20"/>
          <w:lang w:val="es-MX"/>
        </w:rPr>
        <w:t xml:space="preserve">que </w:t>
      </w:r>
      <w:r w:rsidR="00CF46D4">
        <w:rPr>
          <w:rFonts w:ascii="Verdana" w:hAnsi="Verdana"/>
          <w:sz w:val="20"/>
          <w:lang w:val="es-MX"/>
        </w:rPr>
        <w:t>el Estado deb</w:t>
      </w:r>
      <w:r w:rsidR="007056ED">
        <w:rPr>
          <w:rFonts w:ascii="Verdana" w:hAnsi="Verdana"/>
          <w:sz w:val="20"/>
          <w:lang w:val="es-MX"/>
        </w:rPr>
        <w:t>ía</w:t>
      </w:r>
      <w:r w:rsidR="00CF46D4">
        <w:rPr>
          <w:rFonts w:ascii="Verdana" w:hAnsi="Verdana"/>
          <w:sz w:val="20"/>
          <w:lang w:val="es-MX"/>
        </w:rPr>
        <w:t xml:space="preserve"> pagar, dentro del plazo de un año </w:t>
      </w:r>
      <w:r w:rsidR="0020320C">
        <w:rPr>
          <w:rFonts w:ascii="Verdana" w:hAnsi="Verdana"/>
          <w:sz w:val="20"/>
          <w:lang w:val="es-MX"/>
        </w:rPr>
        <w:t xml:space="preserve">contado </w:t>
      </w:r>
      <w:r w:rsidR="00CF46D4">
        <w:rPr>
          <w:rFonts w:ascii="Verdana" w:hAnsi="Verdana"/>
          <w:sz w:val="20"/>
          <w:lang w:val="es-MX"/>
        </w:rPr>
        <w:t>a partir de la notificación de la Sentencia, una indemnización equivalente a US$</w:t>
      </w:r>
      <w:r w:rsidR="00866BD8">
        <w:rPr>
          <w:rFonts w:ascii="Verdana" w:hAnsi="Verdana"/>
          <w:sz w:val="20"/>
          <w:lang w:val="es-MX"/>
        </w:rPr>
        <w:t xml:space="preserve"> </w:t>
      </w:r>
      <w:r w:rsidR="00CF46D4">
        <w:rPr>
          <w:rFonts w:ascii="Verdana" w:hAnsi="Verdana"/>
          <w:sz w:val="20"/>
          <w:lang w:val="es-MX"/>
        </w:rPr>
        <w:t>10.000 (diez mil dólares de los Estados Unidos de América) por concepto de daño inmaterial,</w:t>
      </w:r>
      <w:r w:rsidR="001E7FA6">
        <w:rPr>
          <w:rFonts w:ascii="Verdana" w:hAnsi="Verdana"/>
          <w:sz w:val="20"/>
          <w:lang w:val="es-MX"/>
        </w:rPr>
        <w:t xml:space="preserve"> así como </w:t>
      </w:r>
      <w:r w:rsidR="00866BD8">
        <w:rPr>
          <w:rFonts w:ascii="Verdana" w:hAnsi="Verdana"/>
          <w:sz w:val="20"/>
          <w:lang w:val="es-MX"/>
        </w:rPr>
        <w:t xml:space="preserve">US$ 10.000 </w:t>
      </w:r>
      <w:r w:rsidR="00776388">
        <w:rPr>
          <w:rFonts w:ascii="Verdana" w:hAnsi="Verdana"/>
          <w:sz w:val="20"/>
          <w:lang w:val="es-MX"/>
        </w:rPr>
        <w:t xml:space="preserve">(diez mil dólares de los Estados Unidos de América) </w:t>
      </w:r>
      <w:r w:rsidR="0020320C">
        <w:rPr>
          <w:rFonts w:ascii="Verdana" w:hAnsi="Verdana"/>
          <w:sz w:val="20"/>
          <w:lang w:val="es-MX"/>
        </w:rPr>
        <w:t xml:space="preserve">como reintegro </w:t>
      </w:r>
      <w:r w:rsidR="00776388">
        <w:rPr>
          <w:rFonts w:ascii="Verdana" w:hAnsi="Verdana"/>
          <w:sz w:val="20"/>
          <w:lang w:val="es-MX"/>
        </w:rPr>
        <w:t>de costas y gastos</w:t>
      </w:r>
      <w:r w:rsidR="0020320C">
        <w:rPr>
          <w:rStyle w:val="FootnoteReference"/>
          <w:rFonts w:ascii="Verdana" w:hAnsi="Verdana"/>
          <w:sz w:val="20"/>
          <w:lang w:val="es-MX"/>
        </w:rPr>
        <w:footnoteReference w:id="34"/>
      </w:r>
      <w:r w:rsidR="00776388">
        <w:rPr>
          <w:rFonts w:ascii="Verdana" w:hAnsi="Verdana"/>
          <w:sz w:val="20"/>
          <w:lang w:val="es-MX"/>
        </w:rPr>
        <w:t>.</w:t>
      </w:r>
      <w:r w:rsidR="00D061A7">
        <w:rPr>
          <w:rFonts w:ascii="Verdana" w:hAnsi="Verdana"/>
          <w:sz w:val="20"/>
          <w:lang w:val="es-MX"/>
        </w:rPr>
        <w:t xml:space="preserve"> Asimismo, en el párrafo 236 del fallo se estableció que, en caso de que el Estado incurriera en mora, deberá pagar un interés sobre la cantidad adeudada, correspondiente al interés bancario moratorio en la República de Colombia.</w:t>
      </w:r>
      <w:r w:rsidR="00776388">
        <w:rPr>
          <w:rFonts w:ascii="Verdana" w:hAnsi="Verdana"/>
          <w:sz w:val="20"/>
          <w:lang w:val="es-MX"/>
        </w:rPr>
        <w:t xml:space="preserve"> </w:t>
      </w:r>
    </w:p>
    <w:p w:rsidR="00866BD8" w:rsidRDefault="00866BD8" w:rsidP="00213B82">
      <w:pPr>
        <w:pStyle w:val="ListParagraph"/>
        <w:spacing w:after="120" w:line="240" w:lineRule="auto"/>
        <w:contextualSpacing w:val="0"/>
        <w:jc w:val="both"/>
        <w:rPr>
          <w:rFonts w:ascii="Verdana" w:hAnsi="Verdana"/>
          <w:i/>
          <w:sz w:val="20"/>
          <w:lang w:val="es-MX"/>
        </w:rPr>
      </w:pPr>
    </w:p>
    <w:p w:rsidR="00916774" w:rsidRPr="000B2601" w:rsidRDefault="00916774" w:rsidP="00213B82">
      <w:pPr>
        <w:pStyle w:val="ListParagraph"/>
        <w:spacing w:after="120" w:line="240" w:lineRule="auto"/>
        <w:contextualSpacing w:val="0"/>
        <w:jc w:val="both"/>
        <w:rPr>
          <w:rFonts w:ascii="Verdana" w:hAnsi="Verdana"/>
          <w:i/>
          <w:sz w:val="20"/>
          <w:lang w:val="es-MX"/>
        </w:rPr>
      </w:pPr>
      <w:r w:rsidRPr="000B2601">
        <w:rPr>
          <w:rFonts w:ascii="Verdana" w:hAnsi="Verdana"/>
          <w:i/>
          <w:sz w:val="20"/>
          <w:lang w:val="es-MX"/>
        </w:rPr>
        <w:t>C.</w:t>
      </w:r>
      <w:r w:rsidR="005A05CF">
        <w:rPr>
          <w:rFonts w:ascii="Verdana" w:hAnsi="Verdana"/>
          <w:i/>
          <w:sz w:val="20"/>
          <w:lang w:val="es-MX"/>
        </w:rPr>
        <w:t>2</w:t>
      </w:r>
      <w:r w:rsidRPr="000B2601">
        <w:rPr>
          <w:rFonts w:ascii="Verdana" w:hAnsi="Verdana"/>
          <w:i/>
          <w:sz w:val="20"/>
          <w:lang w:val="es-MX"/>
        </w:rPr>
        <w:t>. Consideraciones de la Corte</w:t>
      </w:r>
    </w:p>
    <w:p w:rsidR="008B1C48" w:rsidRPr="008B1C48" w:rsidRDefault="008B1C48" w:rsidP="00213B82">
      <w:pPr>
        <w:pStyle w:val="ListParagraph"/>
        <w:spacing w:after="120" w:line="240" w:lineRule="auto"/>
        <w:ind w:left="0"/>
        <w:contextualSpacing w:val="0"/>
        <w:jc w:val="both"/>
        <w:rPr>
          <w:rFonts w:ascii="Verdana" w:hAnsi="Verdana"/>
          <w:b/>
          <w:i/>
          <w:sz w:val="20"/>
          <w:szCs w:val="20"/>
          <w:lang w:val="es-MX"/>
        </w:rPr>
      </w:pPr>
    </w:p>
    <w:p w:rsidR="00916774" w:rsidRPr="004F448B" w:rsidRDefault="000B2601" w:rsidP="00213B82">
      <w:pPr>
        <w:pStyle w:val="ListParagraph"/>
        <w:numPr>
          <w:ilvl w:val="0"/>
          <w:numId w:val="10"/>
        </w:numPr>
        <w:spacing w:after="120" w:line="240" w:lineRule="auto"/>
        <w:ind w:left="0" w:firstLine="0"/>
        <w:contextualSpacing w:val="0"/>
        <w:jc w:val="both"/>
        <w:rPr>
          <w:rFonts w:ascii="Verdana" w:hAnsi="Verdana"/>
          <w:b/>
          <w:i/>
          <w:sz w:val="20"/>
          <w:szCs w:val="20"/>
          <w:lang w:val="es-MX"/>
        </w:rPr>
      </w:pPr>
      <w:r>
        <w:rPr>
          <w:rFonts w:ascii="Verdana" w:hAnsi="Verdana"/>
          <w:sz w:val="20"/>
          <w:lang w:val="es-MX"/>
        </w:rPr>
        <w:t xml:space="preserve">La Corte </w:t>
      </w:r>
      <w:r w:rsidR="00D061A7">
        <w:rPr>
          <w:rFonts w:ascii="Verdana" w:hAnsi="Verdana"/>
          <w:sz w:val="20"/>
          <w:lang w:val="es-MX"/>
        </w:rPr>
        <w:t>constata que</w:t>
      </w:r>
      <w:r w:rsidR="00AA036A">
        <w:rPr>
          <w:rFonts w:ascii="Verdana" w:hAnsi="Verdana"/>
          <w:sz w:val="20"/>
          <w:lang w:val="es-MX"/>
        </w:rPr>
        <w:t>,</w:t>
      </w:r>
      <w:r w:rsidR="00D061A7">
        <w:rPr>
          <w:rFonts w:ascii="Verdana" w:hAnsi="Verdana"/>
          <w:sz w:val="20"/>
          <w:lang w:val="es-MX"/>
        </w:rPr>
        <w:t xml:space="preserve"> a más </w:t>
      </w:r>
      <w:r w:rsidR="00AA036A">
        <w:rPr>
          <w:rFonts w:ascii="Verdana" w:hAnsi="Verdana"/>
          <w:sz w:val="20"/>
          <w:lang w:val="es-MX"/>
        </w:rPr>
        <w:t xml:space="preserve">de </w:t>
      </w:r>
      <w:r w:rsidR="00D061A7">
        <w:rPr>
          <w:rFonts w:ascii="Verdana" w:hAnsi="Verdana"/>
          <w:sz w:val="20"/>
          <w:lang w:val="es-MX"/>
        </w:rPr>
        <w:t xml:space="preserve">dos años de emitida la Sentencia, el Estado no ha realizado </w:t>
      </w:r>
      <w:r>
        <w:rPr>
          <w:rFonts w:ascii="Verdana" w:hAnsi="Verdana"/>
          <w:sz w:val="20"/>
          <w:lang w:val="es-MX"/>
        </w:rPr>
        <w:t xml:space="preserve">los pagos </w:t>
      </w:r>
      <w:r w:rsidR="00D061A7">
        <w:rPr>
          <w:rFonts w:ascii="Verdana" w:hAnsi="Verdana"/>
          <w:sz w:val="20"/>
          <w:lang w:val="es-MX"/>
        </w:rPr>
        <w:t xml:space="preserve">de la indemnización </w:t>
      </w:r>
      <w:r>
        <w:rPr>
          <w:rFonts w:ascii="Verdana" w:hAnsi="Verdana"/>
          <w:sz w:val="20"/>
          <w:lang w:val="es-MX"/>
        </w:rPr>
        <w:t>por concepto de daño inmaterial y el reintegro de costas y gastos</w:t>
      </w:r>
      <w:r w:rsidR="004F448B">
        <w:rPr>
          <w:rFonts w:ascii="Verdana" w:hAnsi="Verdana"/>
          <w:sz w:val="20"/>
          <w:lang w:val="es-MX"/>
        </w:rPr>
        <w:t xml:space="preserve">. </w:t>
      </w:r>
      <w:r w:rsidR="00AA036A" w:rsidRPr="00AA036A">
        <w:rPr>
          <w:rFonts w:ascii="Verdana" w:hAnsi="Verdana"/>
          <w:sz w:val="20"/>
          <w:szCs w:val="20"/>
          <w:lang w:val="es-MX"/>
        </w:rPr>
        <w:t>El Estado se refirió a las dificultad</w:t>
      </w:r>
      <w:r w:rsidR="00B75EAA">
        <w:rPr>
          <w:rFonts w:ascii="Verdana" w:hAnsi="Verdana"/>
          <w:sz w:val="20"/>
          <w:szCs w:val="20"/>
          <w:lang w:val="es-MX"/>
        </w:rPr>
        <w:t>e</w:t>
      </w:r>
      <w:r w:rsidR="00AA036A" w:rsidRPr="00AA036A">
        <w:rPr>
          <w:rFonts w:ascii="Verdana" w:hAnsi="Verdana"/>
          <w:sz w:val="20"/>
          <w:szCs w:val="20"/>
          <w:lang w:val="es-MX"/>
        </w:rPr>
        <w:t xml:space="preserve">s que ha tenido para el cumplimiento, manifestó que </w:t>
      </w:r>
      <w:r w:rsidR="00AA036A" w:rsidRPr="00B75EAA">
        <w:rPr>
          <w:rFonts w:ascii="Verdana" w:hAnsi="Verdana"/>
          <w:sz w:val="20"/>
          <w:szCs w:val="20"/>
          <w:lang w:val="es-ES"/>
        </w:rPr>
        <w:t>“entiende la preocupación de los representantes y la víctima” y “</w:t>
      </w:r>
      <w:proofErr w:type="spellStart"/>
      <w:r w:rsidR="00AA036A" w:rsidRPr="00B75EAA">
        <w:rPr>
          <w:rFonts w:ascii="Verdana" w:hAnsi="Verdana"/>
          <w:sz w:val="20"/>
          <w:szCs w:val="20"/>
          <w:lang w:val="es-ES"/>
        </w:rPr>
        <w:t>refrend</w:t>
      </w:r>
      <w:proofErr w:type="spellEnd"/>
      <w:r w:rsidR="00AA036A" w:rsidRPr="00B75EAA">
        <w:rPr>
          <w:rFonts w:ascii="Verdana" w:hAnsi="Verdana"/>
          <w:sz w:val="20"/>
          <w:szCs w:val="20"/>
          <w:lang w:val="es-ES"/>
        </w:rPr>
        <w:t>[</w:t>
      </w:r>
      <w:proofErr w:type="spellStart"/>
      <w:r w:rsidR="00AA036A" w:rsidRPr="00B75EAA">
        <w:rPr>
          <w:rFonts w:ascii="Verdana" w:hAnsi="Verdana"/>
          <w:sz w:val="20"/>
          <w:szCs w:val="20"/>
          <w:lang w:val="es-ES"/>
        </w:rPr>
        <w:t>ó</w:t>
      </w:r>
      <w:proofErr w:type="spellEnd"/>
      <w:r w:rsidR="00AA036A" w:rsidRPr="00B75EAA">
        <w:rPr>
          <w:rFonts w:ascii="Verdana" w:hAnsi="Verdana"/>
          <w:sz w:val="20"/>
          <w:szCs w:val="20"/>
          <w:lang w:val="es-ES"/>
        </w:rPr>
        <w:t>] su compromiso en el cumplimiento de las [</w:t>
      </w:r>
      <w:proofErr w:type="spellStart"/>
      <w:r w:rsidR="00AA036A" w:rsidRPr="00B75EAA">
        <w:rPr>
          <w:rFonts w:ascii="Verdana" w:hAnsi="Verdana"/>
          <w:sz w:val="20"/>
          <w:szCs w:val="20"/>
          <w:lang w:val="es-ES"/>
        </w:rPr>
        <w:t>ó</w:t>
      </w:r>
      <w:proofErr w:type="spellEnd"/>
      <w:r w:rsidR="00AA036A" w:rsidRPr="00B75EAA">
        <w:rPr>
          <w:rFonts w:ascii="Verdana" w:hAnsi="Verdana"/>
          <w:sz w:val="20"/>
          <w:szCs w:val="20"/>
          <w:lang w:val="es-ES"/>
        </w:rPr>
        <w:t>]</w:t>
      </w:r>
      <w:proofErr w:type="spellStart"/>
      <w:r w:rsidR="00AA036A" w:rsidRPr="00B75EAA">
        <w:rPr>
          <w:rFonts w:ascii="Verdana" w:hAnsi="Verdana"/>
          <w:sz w:val="20"/>
          <w:szCs w:val="20"/>
          <w:lang w:val="es-ES"/>
        </w:rPr>
        <w:t>rdenes</w:t>
      </w:r>
      <w:proofErr w:type="spellEnd"/>
      <w:r w:rsidR="00AA036A" w:rsidRPr="00B75EAA">
        <w:rPr>
          <w:rFonts w:ascii="Verdana" w:hAnsi="Verdana"/>
          <w:sz w:val="20"/>
          <w:szCs w:val="20"/>
          <w:lang w:val="es-ES"/>
        </w:rPr>
        <w:t xml:space="preserve"> contenidas en la Sentencia”</w:t>
      </w:r>
      <w:r w:rsidR="00AA036A">
        <w:rPr>
          <w:rStyle w:val="FootnoteReference"/>
          <w:rFonts w:ascii="Verdana" w:hAnsi="Verdana"/>
          <w:sz w:val="20"/>
          <w:lang w:val="es-MX"/>
        </w:rPr>
        <w:footnoteReference w:id="35"/>
      </w:r>
      <w:r w:rsidR="00AA036A" w:rsidRPr="00B75EAA">
        <w:rPr>
          <w:rFonts w:ascii="Verdana" w:hAnsi="Verdana"/>
          <w:sz w:val="20"/>
          <w:szCs w:val="20"/>
          <w:lang w:val="es-ES"/>
        </w:rPr>
        <w:t xml:space="preserve">. </w:t>
      </w:r>
      <w:r w:rsidR="00AA036A">
        <w:rPr>
          <w:rFonts w:ascii="Verdana" w:hAnsi="Verdana"/>
          <w:sz w:val="20"/>
          <w:lang w:val="es-MX"/>
        </w:rPr>
        <w:t>Los representantes de las víctimas se han referido a esta falta de pago y los intereses moratorios generados</w:t>
      </w:r>
      <w:r w:rsidR="00AA036A">
        <w:rPr>
          <w:rStyle w:val="FootnoteReference"/>
          <w:rFonts w:ascii="Verdana" w:hAnsi="Verdana"/>
          <w:sz w:val="20"/>
          <w:lang w:val="es-MX"/>
        </w:rPr>
        <w:footnoteReference w:id="36"/>
      </w:r>
      <w:r w:rsidR="00AA036A">
        <w:rPr>
          <w:rFonts w:ascii="Verdana" w:hAnsi="Verdana"/>
          <w:sz w:val="20"/>
          <w:lang w:val="es-MX"/>
        </w:rPr>
        <w:t>. E</w:t>
      </w:r>
      <w:r w:rsidR="00D061A7">
        <w:rPr>
          <w:rFonts w:ascii="Verdana" w:hAnsi="Verdana"/>
          <w:sz w:val="20"/>
          <w:lang w:val="es-MX"/>
        </w:rPr>
        <w:t>l Tribunal requiere</w:t>
      </w:r>
      <w:r w:rsidR="004F448B">
        <w:rPr>
          <w:rFonts w:ascii="Verdana" w:hAnsi="Verdana"/>
          <w:sz w:val="20"/>
          <w:lang w:val="es-MX"/>
        </w:rPr>
        <w:t xml:space="preserve"> que Colombia realice </w:t>
      </w:r>
      <w:r w:rsidR="004F448B">
        <w:rPr>
          <w:rFonts w:ascii="Verdana" w:hAnsi="Verdana"/>
          <w:sz w:val="20"/>
          <w:lang w:val="es-MX"/>
        </w:rPr>
        <w:lastRenderedPageBreak/>
        <w:t xml:space="preserve">dichos pagos a la </w:t>
      </w:r>
      <w:r w:rsidR="00AA036A">
        <w:rPr>
          <w:rFonts w:ascii="Verdana" w:hAnsi="Verdana"/>
          <w:sz w:val="20"/>
          <w:lang w:val="es-MX"/>
        </w:rPr>
        <w:t xml:space="preserve">mayor </w:t>
      </w:r>
      <w:r w:rsidR="004F448B">
        <w:rPr>
          <w:rFonts w:ascii="Verdana" w:hAnsi="Verdana"/>
          <w:sz w:val="20"/>
          <w:lang w:val="es-MX"/>
        </w:rPr>
        <w:t xml:space="preserve">brevedad posible, tomando en cuenta los intereses moratorios que se </w:t>
      </w:r>
      <w:r w:rsidR="00541021">
        <w:rPr>
          <w:rFonts w:ascii="Verdana" w:hAnsi="Verdana"/>
          <w:sz w:val="20"/>
          <w:lang w:val="es-MX"/>
        </w:rPr>
        <w:t xml:space="preserve">han </w:t>
      </w:r>
      <w:r w:rsidR="004F448B">
        <w:rPr>
          <w:rFonts w:ascii="Verdana" w:hAnsi="Verdana"/>
          <w:sz w:val="20"/>
          <w:lang w:val="es-MX"/>
        </w:rPr>
        <w:t xml:space="preserve">generado </w:t>
      </w:r>
      <w:r w:rsidR="00541021">
        <w:rPr>
          <w:rFonts w:ascii="Verdana" w:hAnsi="Verdana"/>
          <w:sz w:val="20"/>
          <w:lang w:val="es-MX"/>
        </w:rPr>
        <w:t>por motivo</w:t>
      </w:r>
      <w:r w:rsidR="004F448B">
        <w:rPr>
          <w:rFonts w:ascii="Verdana" w:hAnsi="Verdana"/>
          <w:sz w:val="20"/>
          <w:lang w:val="es-MX"/>
        </w:rPr>
        <w:t xml:space="preserve"> de su retraso en el cumplimiento</w:t>
      </w:r>
      <w:r w:rsidR="005265D2">
        <w:rPr>
          <w:rFonts w:ascii="Verdana" w:hAnsi="Verdana"/>
          <w:sz w:val="20"/>
          <w:lang w:val="es-MX"/>
        </w:rPr>
        <w:t xml:space="preserve"> de los mismos</w:t>
      </w:r>
      <w:r w:rsidR="004F448B">
        <w:rPr>
          <w:rFonts w:ascii="Verdana" w:hAnsi="Verdana"/>
          <w:sz w:val="20"/>
          <w:lang w:val="es-MX"/>
        </w:rPr>
        <w:t>.</w:t>
      </w:r>
    </w:p>
    <w:p w:rsidR="008B1C48" w:rsidRPr="008B1C48" w:rsidRDefault="008B1C48" w:rsidP="00213B82">
      <w:pPr>
        <w:pStyle w:val="ListParagraph"/>
        <w:spacing w:after="120" w:line="240" w:lineRule="auto"/>
        <w:ind w:left="0"/>
        <w:contextualSpacing w:val="0"/>
        <w:jc w:val="both"/>
        <w:rPr>
          <w:rFonts w:ascii="Verdana" w:hAnsi="Verdana"/>
          <w:b/>
          <w:i/>
          <w:sz w:val="20"/>
          <w:szCs w:val="20"/>
          <w:lang w:val="es-MX"/>
        </w:rPr>
      </w:pPr>
    </w:p>
    <w:p w:rsidR="004F448B" w:rsidRPr="004F448B" w:rsidRDefault="004F448B" w:rsidP="00213B82">
      <w:pPr>
        <w:pStyle w:val="ListParagraph"/>
        <w:numPr>
          <w:ilvl w:val="0"/>
          <w:numId w:val="10"/>
        </w:numPr>
        <w:spacing w:after="120" w:line="240" w:lineRule="auto"/>
        <w:ind w:left="0" w:firstLine="0"/>
        <w:contextualSpacing w:val="0"/>
        <w:jc w:val="both"/>
        <w:rPr>
          <w:rFonts w:ascii="Verdana" w:hAnsi="Verdana"/>
          <w:b/>
          <w:i/>
          <w:sz w:val="20"/>
          <w:szCs w:val="20"/>
          <w:lang w:val="es-MX"/>
        </w:rPr>
      </w:pPr>
      <w:r>
        <w:rPr>
          <w:rFonts w:ascii="Verdana" w:hAnsi="Verdana"/>
          <w:sz w:val="20"/>
          <w:lang w:val="es-MX"/>
        </w:rPr>
        <w:t>Por lo anterior, el Tribunal declara que el Estado no ha</w:t>
      </w:r>
      <w:r w:rsidR="00822370">
        <w:rPr>
          <w:rFonts w:ascii="Verdana" w:hAnsi="Verdana"/>
          <w:sz w:val="20"/>
          <w:lang w:val="es-MX"/>
        </w:rPr>
        <w:t xml:space="preserve"> dado cumplimiento a la</w:t>
      </w:r>
      <w:r w:rsidR="00541021">
        <w:rPr>
          <w:rFonts w:ascii="Verdana" w:hAnsi="Verdana"/>
          <w:sz w:val="20"/>
          <w:lang w:val="es-MX"/>
        </w:rPr>
        <w:t>s</w:t>
      </w:r>
      <w:r w:rsidR="00822370">
        <w:rPr>
          <w:rFonts w:ascii="Verdana" w:hAnsi="Verdana"/>
          <w:sz w:val="20"/>
          <w:lang w:val="es-MX"/>
        </w:rPr>
        <w:t xml:space="preserve"> medida</w:t>
      </w:r>
      <w:r w:rsidR="00541021">
        <w:rPr>
          <w:rFonts w:ascii="Verdana" w:hAnsi="Verdana"/>
          <w:sz w:val="20"/>
          <w:lang w:val="es-MX"/>
        </w:rPr>
        <w:t>s</w:t>
      </w:r>
      <w:r>
        <w:rPr>
          <w:rFonts w:ascii="Verdana" w:hAnsi="Verdana"/>
          <w:sz w:val="20"/>
          <w:lang w:val="es-MX"/>
        </w:rPr>
        <w:t xml:space="preserve"> de reparación relativa</w:t>
      </w:r>
      <w:r w:rsidR="00541021">
        <w:rPr>
          <w:rFonts w:ascii="Verdana" w:hAnsi="Verdana"/>
          <w:sz w:val="20"/>
          <w:lang w:val="es-MX"/>
        </w:rPr>
        <w:t>s</w:t>
      </w:r>
      <w:r>
        <w:rPr>
          <w:rFonts w:ascii="Verdana" w:hAnsi="Verdana"/>
          <w:sz w:val="20"/>
          <w:lang w:val="es-MX"/>
        </w:rPr>
        <w:t xml:space="preserve"> al pago de </w:t>
      </w:r>
      <w:r w:rsidR="00AB6448">
        <w:rPr>
          <w:rFonts w:ascii="Verdana" w:hAnsi="Verdana"/>
          <w:sz w:val="20"/>
          <w:lang w:val="es-MX"/>
        </w:rPr>
        <w:t>las cantidades fijadas por concepto de indemnización por daño inmaterial, así como por el</w:t>
      </w:r>
      <w:r>
        <w:rPr>
          <w:rFonts w:ascii="Verdana" w:hAnsi="Verdana"/>
          <w:sz w:val="20"/>
          <w:lang w:val="es-MX"/>
        </w:rPr>
        <w:t xml:space="preserve"> reintegro d</w:t>
      </w:r>
      <w:r w:rsidR="00822370">
        <w:rPr>
          <w:rFonts w:ascii="Verdana" w:hAnsi="Verdana"/>
          <w:sz w:val="20"/>
          <w:lang w:val="es-MX"/>
        </w:rPr>
        <w:t>e costas y gastos, ordenada</w:t>
      </w:r>
      <w:r w:rsidR="00541021">
        <w:rPr>
          <w:rFonts w:ascii="Verdana" w:hAnsi="Verdana"/>
          <w:sz w:val="20"/>
          <w:lang w:val="es-MX"/>
        </w:rPr>
        <w:t>s</w:t>
      </w:r>
      <w:r>
        <w:rPr>
          <w:rFonts w:ascii="Verdana" w:hAnsi="Verdana"/>
          <w:sz w:val="20"/>
          <w:lang w:val="es-MX"/>
        </w:rPr>
        <w:t xml:space="preserve"> en el punto </w:t>
      </w:r>
      <w:r w:rsidR="002B7261">
        <w:rPr>
          <w:rFonts w:ascii="Verdana" w:hAnsi="Verdana"/>
          <w:sz w:val="20"/>
          <w:lang w:val="es-MX"/>
        </w:rPr>
        <w:t xml:space="preserve">dispositivo </w:t>
      </w:r>
      <w:r>
        <w:rPr>
          <w:rFonts w:ascii="Verdana" w:hAnsi="Verdana"/>
          <w:sz w:val="20"/>
          <w:lang w:val="es-MX"/>
        </w:rPr>
        <w:t>décimo de la Sentencia.</w:t>
      </w:r>
    </w:p>
    <w:p w:rsidR="009841C6" w:rsidRDefault="009841C6" w:rsidP="008B1C48">
      <w:pPr>
        <w:spacing w:after="0" w:line="240" w:lineRule="auto"/>
        <w:jc w:val="both"/>
        <w:rPr>
          <w:rFonts w:ascii="Verdana" w:hAnsi="Verdana"/>
          <w:b/>
          <w:i/>
          <w:sz w:val="20"/>
          <w:szCs w:val="20"/>
          <w:lang w:val="es-MX"/>
        </w:rPr>
      </w:pPr>
    </w:p>
    <w:p w:rsidR="00841BAD" w:rsidRPr="008B1C48" w:rsidRDefault="00841BAD" w:rsidP="00213B82">
      <w:pPr>
        <w:spacing w:after="120" w:line="240" w:lineRule="auto"/>
        <w:jc w:val="both"/>
        <w:rPr>
          <w:rFonts w:ascii="Verdana" w:hAnsi="Verdana"/>
          <w:b/>
          <w:i/>
          <w:sz w:val="20"/>
          <w:szCs w:val="20"/>
          <w:lang w:val="es-MX"/>
        </w:rPr>
      </w:pPr>
    </w:p>
    <w:p w:rsidR="009841C6" w:rsidRDefault="009841C6" w:rsidP="00213B82">
      <w:pPr>
        <w:pStyle w:val="ListParagraph"/>
        <w:numPr>
          <w:ilvl w:val="0"/>
          <w:numId w:val="4"/>
        </w:numPr>
        <w:spacing w:after="120" w:line="240" w:lineRule="auto"/>
        <w:contextualSpacing w:val="0"/>
        <w:jc w:val="both"/>
        <w:outlineLvl w:val="0"/>
        <w:rPr>
          <w:rFonts w:ascii="Verdana" w:hAnsi="Verdana"/>
          <w:b/>
          <w:i/>
          <w:sz w:val="20"/>
          <w:lang w:val="es-MX"/>
        </w:rPr>
      </w:pPr>
      <w:bookmarkStart w:id="3" w:name="_Toc513709593"/>
      <w:r>
        <w:rPr>
          <w:rFonts w:ascii="Verdana" w:hAnsi="Verdana"/>
          <w:b/>
          <w:i/>
          <w:sz w:val="20"/>
          <w:lang w:val="es-MX"/>
        </w:rPr>
        <w:t>Reintegro al Fondo de Asistencia Legal de Víctimas</w:t>
      </w:r>
      <w:bookmarkEnd w:id="3"/>
    </w:p>
    <w:p w:rsidR="008B1C48" w:rsidRPr="008B1C48" w:rsidRDefault="008B1C48" w:rsidP="00213B82">
      <w:pPr>
        <w:spacing w:after="120" w:line="240" w:lineRule="auto"/>
        <w:jc w:val="both"/>
        <w:rPr>
          <w:rFonts w:ascii="Verdana" w:hAnsi="Verdana"/>
          <w:i/>
          <w:sz w:val="20"/>
          <w:lang w:val="es-MX"/>
        </w:rPr>
      </w:pPr>
    </w:p>
    <w:p w:rsidR="009841C6" w:rsidRPr="000121ED" w:rsidRDefault="009841C6" w:rsidP="00213B82">
      <w:pPr>
        <w:pStyle w:val="ListParagraph"/>
        <w:spacing w:after="120" w:line="240" w:lineRule="auto"/>
        <w:contextualSpacing w:val="0"/>
        <w:jc w:val="both"/>
        <w:rPr>
          <w:rFonts w:ascii="Verdana" w:hAnsi="Verdana"/>
          <w:i/>
          <w:sz w:val="20"/>
          <w:lang w:val="es-MX"/>
        </w:rPr>
      </w:pPr>
      <w:r>
        <w:rPr>
          <w:rFonts w:ascii="Verdana" w:hAnsi="Verdana"/>
          <w:i/>
          <w:sz w:val="20"/>
          <w:lang w:val="es-MX"/>
        </w:rPr>
        <w:t>D</w:t>
      </w:r>
      <w:r w:rsidRPr="000121ED">
        <w:rPr>
          <w:rFonts w:ascii="Verdana" w:hAnsi="Verdana"/>
          <w:i/>
          <w:sz w:val="20"/>
          <w:lang w:val="es-MX"/>
        </w:rPr>
        <w:t xml:space="preserve">.1. Medida ordenada por la Corte </w:t>
      </w:r>
    </w:p>
    <w:p w:rsidR="008B1C48" w:rsidRDefault="008B1C48" w:rsidP="00213B82">
      <w:pPr>
        <w:pStyle w:val="ListParagraph"/>
        <w:spacing w:after="120" w:line="240" w:lineRule="auto"/>
        <w:ind w:left="0"/>
        <w:contextualSpacing w:val="0"/>
        <w:jc w:val="both"/>
        <w:rPr>
          <w:rFonts w:ascii="Verdana" w:hAnsi="Verdana"/>
          <w:sz w:val="20"/>
          <w:lang w:val="es-MX"/>
        </w:rPr>
      </w:pPr>
    </w:p>
    <w:p w:rsidR="009841C6" w:rsidRDefault="009841C6" w:rsidP="00213B82">
      <w:pPr>
        <w:pStyle w:val="ListParagraph"/>
        <w:numPr>
          <w:ilvl w:val="0"/>
          <w:numId w:val="10"/>
        </w:numPr>
        <w:spacing w:after="120" w:line="240" w:lineRule="auto"/>
        <w:ind w:left="0" w:firstLine="0"/>
        <w:contextualSpacing w:val="0"/>
        <w:jc w:val="both"/>
        <w:rPr>
          <w:rFonts w:ascii="Verdana" w:hAnsi="Verdana"/>
          <w:sz w:val="20"/>
          <w:lang w:val="es-MX"/>
        </w:rPr>
      </w:pPr>
      <w:r w:rsidRPr="00776388">
        <w:rPr>
          <w:rFonts w:ascii="Verdana" w:hAnsi="Verdana"/>
          <w:sz w:val="20"/>
          <w:lang w:val="es-MX"/>
        </w:rPr>
        <w:t xml:space="preserve">En el punto </w:t>
      </w:r>
      <w:r w:rsidR="002B7261">
        <w:rPr>
          <w:rFonts w:ascii="Verdana" w:hAnsi="Verdana"/>
          <w:sz w:val="20"/>
          <w:lang w:val="es-MX"/>
        </w:rPr>
        <w:t>dispositivo</w:t>
      </w:r>
      <w:r w:rsidR="002B7261" w:rsidRPr="00776388">
        <w:rPr>
          <w:rFonts w:ascii="Verdana" w:hAnsi="Verdana"/>
          <w:sz w:val="20"/>
          <w:lang w:val="es-MX"/>
        </w:rPr>
        <w:t xml:space="preserve"> </w:t>
      </w:r>
      <w:r w:rsidR="00776388" w:rsidRPr="00776388">
        <w:rPr>
          <w:rFonts w:ascii="Verdana" w:hAnsi="Verdana"/>
          <w:sz w:val="20"/>
          <w:lang w:val="es-MX"/>
        </w:rPr>
        <w:t xml:space="preserve">décimo primero </w:t>
      </w:r>
      <w:r w:rsidRPr="00776388">
        <w:rPr>
          <w:rFonts w:ascii="Verdana" w:hAnsi="Verdana"/>
          <w:sz w:val="20"/>
          <w:lang w:val="es-MX"/>
        </w:rPr>
        <w:t xml:space="preserve">y en </w:t>
      </w:r>
      <w:r w:rsidR="00776388" w:rsidRPr="00776388">
        <w:rPr>
          <w:rFonts w:ascii="Verdana" w:hAnsi="Verdana"/>
          <w:sz w:val="20"/>
          <w:lang w:val="es-MX"/>
        </w:rPr>
        <w:t>el párrafo 230</w:t>
      </w:r>
      <w:r w:rsidRPr="00776388">
        <w:rPr>
          <w:rFonts w:ascii="Verdana" w:hAnsi="Verdana"/>
          <w:sz w:val="20"/>
          <w:lang w:val="es-MX"/>
        </w:rPr>
        <w:t xml:space="preserve"> de la Sentencia, la Corte dispuso que </w:t>
      </w:r>
      <w:r w:rsidR="00776388" w:rsidRPr="00776388">
        <w:rPr>
          <w:rFonts w:ascii="Verdana" w:hAnsi="Verdana"/>
          <w:sz w:val="20"/>
          <w:lang w:val="es-MX"/>
        </w:rPr>
        <w:t>el Estado deb</w:t>
      </w:r>
      <w:r w:rsidR="006F6EF3">
        <w:rPr>
          <w:rFonts w:ascii="Verdana" w:hAnsi="Verdana"/>
          <w:sz w:val="20"/>
          <w:lang w:val="es-MX"/>
        </w:rPr>
        <w:t>ía</w:t>
      </w:r>
      <w:r w:rsidR="00776388" w:rsidRPr="00776388">
        <w:rPr>
          <w:rFonts w:ascii="Verdana" w:hAnsi="Verdana"/>
          <w:sz w:val="20"/>
          <w:lang w:val="es-MX"/>
        </w:rPr>
        <w:t xml:space="preserve"> reintegrar, en el plazo de noventa días </w:t>
      </w:r>
      <w:r w:rsidR="006609E5">
        <w:rPr>
          <w:rFonts w:ascii="Verdana" w:hAnsi="Verdana"/>
          <w:sz w:val="20"/>
          <w:lang w:val="es-MX"/>
        </w:rPr>
        <w:t>contado</w:t>
      </w:r>
      <w:r w:rsidR="007056ED">
        <w:rPr>
          <w:rFonts w:ascii="Verdana" w:hAnsi="Verdana"/>
          <w:sz w:val="20"/>
          <w:lang w:val="es-MX"/>
        </w:rPr>
        <w:t>s</w:t>
      </w:r>
      <w:r w:rsidR="006609E5">
        <w:rPr>
          <w:rFonts w:ascii="Verdana" w:hAnsi="Verdana"/>
          <w:sz w:val="20"/>
          <w:lang w:val="es-MX"/>
        </w:rPr>
        <w:t xml:space="preserve"> </w:t>
      </w:r>
      <w:r w:rsidR="00776388" w:rsidRPr="00776388">
        <w:rPr>
          <w:rFonts w:ascii="Verdana" w:hAnsi="Verdana"/>
          <w:sz w:val="20"/>
          <w:lang w:val="es-MX"/>
        </w:rPr>
        <w:t>a partir de la notificación de la Sentencia,</w:t>
      </w:r>
      <w:r w:rsidR="006609E5">
        <w:rPr>
          <w:rFonts w:ascii="Verdana" w:hAnsi="Verdana"/>
          <w:sz w:val="20"/>
          <w:lang w:val="es-MX"/>
        </w:rPr>
        <w:t xml:space="preserve"> la suma de</w:t>
      </w:r>
      <w:r w:rsidR="00776388" w:rsidRPr="00776388">
        <w:rPr>
          <w:rFonts w:ascii="Verdana" w:hAnsi="Verdana"/>
          <w:sz w:val="20"/>
          <w:lang w:val="es-MX"/>
        </w:rPr>
        <w:t xml:space="preserve"> US$</w:t>
      </w:r>
      <w:r w:rsidR="002C64BB">
        <w:rPr>
          <w:rFonts w:ascii="Verdana" w:hAnsi="Verdana"/>
          <w:sz w:val="20"/>
          <w:lang w:val="es-MX"/>
        </w:rPr>
        <w:t xml:space="preserve"> </w:t>
      </w:r>
      <w:r w:rsidR="00776388" w:rsidRPr="00776388">
        <w:rPr>
          <w:rFonts w:ascii="Verdana" w:hAnsi="Verdana"/>
          <w:sz w:val="20"/>
          <w:lang w:val="es-MX"/>
        </w:rPr>
        <w:t>2.509,34 (dos mil quinientos nueve dólares de los Estados Unidos de América</w:t>
      </w:r>
      <w:r w:rsidR="006609E5" w:rsidRPr="006609E5">
        <w:rPr>
          <w:rFonts w:ascii="Verdana" w:hAnsi="Verdana"/>
          <w:sz w:val="20"/>
          <w:lang w:val="es-MX"/>
        </w:rPr>
        <w:t xml:space="preserve"> </w:t>
      </w:r>
      <w:r w:rsidR="006609E5">
        <w:rPr>
          <w:rFonts w:ascii="Verdana" w:hAnsi="Verdana"/>
          <w:sz w:val="20"/>
          <w:lang w:val="es-MX"/>
        </w:rPr>
        <w:t xml:space="preserve">con </w:t>
      </w:r>
      <w:r w:rsidR="006609E5" w:rsidRPr="00776388">
        <w:rPr>
          <w:rFonts w:ascii="Verdana" w:hAnsi="Verdana"/>
          <w:sz w:val="20"/>
          <w:lang w:val="es-MX"/>
        </w:rPr>
        <w:t>treinta y cuatro centavos</w:t>
      </w:r>
      <w:r w:rsidR="00776388" w:rsidRPr="00776388">
        <w:rPr>
          <w:rFonts w:ascii="Verdana" w:hAnsi="Verdana"/>
          <w:sz w:val="20"/>
          <w:lang w:val="es-MX"/>
        </w:rPr>
        <w:t>) al Fondo d</w:t>
      </w:r>
      <w:r w:rsidR="00776388">
        <w:rPr>
          <w:rFonts w:ascii="Verdana" w:hAnsi="Verdana"/>
          <w:sz w:val="20"/>
          <w:lang w:val="es-MX"/>
        </w:rPr>
        <w:t>e Asistencia Legal de Víctimas</w:t>
      </w:r>
      <w:r w:rsidR="00AE1252">
        <w:rPr>
          <w:rFonts w:ascii="Verdana" w:hAnsi="Verdana"/>
          <w:sz w:val="20"/>
          <w:lang w:val="es-MX"/>
        </w:rPr>
        <w:t xml:space="preserve"> de la Corte</w:t>
      </w:r>
      <w:r w:rsidR="00776388">
        <w:rPr>
          <w:rFonts w:ascii="Verdana" w:hAnsi="Verdana"/>
          <w:sz w:val="20"/>
          <w:lang w:val="es-MX"/>
        </w:rPr>
        <w:t>.</w:t>
      </w:r>
      <w:r w:rsidR="00776388" w:rsidRPr="00776388">
        <w:rPr>
          <w:rFonts w:ascii="Verdana" w:hAnsi="Verdana"/>
          <w:sz w:val="20"/>
          <w:lang w:val="es-MX"/>
        </w:rPr>
        <w:t xml:space="preserve"> </w:t>
      </w:r>
    </w:p>
    <w:p w:rsidR="008B1C48" w:rsidRDefault="008B1C48" w:rsidP="00213B82">
      <w:pPr>
        <w:pStyle w:val="ListParagraph"/>
        <w:spacing w:after="120" w:line="240" w:lineRule="auto"/>
        <w:ind w:left="0"/>
        <w:contextualSpacing w:val="0"/>
        <w:jc w:val="both"/>
        <w:rPr>
          <w:rFonts w:ascii="Verdana" w:hAnsi="Verdana"/>
          <w:sz w:val="20"/>
          <w:lang w:val="es-MX"/>
        </w:rPr>
      </w:pPr>
    </w:p>
    <w:p w:rsidR="00B85772" w:rsidRDefault="00B85772" w:rsidP="00213B82">
      <w:pPr>
        <w:pStyle w:val="ListParagraph"/>
        <w:numPr>
          <w:ilvl w:val="0"/>
          <w:numId w:val="10"/>
        </w:numPr>
        <w:spacing w:after="120" w:line="240" w:lineRule="auto"/>
        <w:ind w:left="0" w:firstLine="0"/>
        <w:contextualSpacing w:val="0"/>
        <w:jc w:val="both"/>
        <w:rPr>
          <w:rFonts w:ascii="Verdana" w:hAnsi="Verdana"/>
          <w:sz w:val="20"/>
          <w:lang w:val="es-MX"/>
        </w:rPr>
      </w:pPr>
      <w:r>
        <w:rPr>
          <w:rFonts w:ascii="Verdana" w:hAnsi="Verdana"/>
          <w:sz w:val="20"/>
          <w:lang w:val="es-MX"/>
        </w:rPr>
        <w:t xml:space="preserve">En la Resolución de </w:t>
      </w:r>
      <w:r w:rsidR="003227A0">
        <w:rPr>
          <w:rFonts w:ascii="Verdana" w:hAnsi="Verdana"/>
          <w:sz w:val="20"/>
          <w:lang w:val="es-MX"/>
        </w:rPr>
        <w:t xml:space="preserve">7 de octubre de 2016, </w:t>
      </w:r>
      <w:r w:rsidR="00E60D8D">
        <w:rPr>
          <w:rFonts w:ascii="Verdana" w:hAnsi="Verdana"/>
          <w:sz w:val="20"/>
          <w:lang w:val="es-MX"/>
        </w:rPr>
        <w:t>el Presidente del</w:t>
      </w:r>
      <w:r w:rsidR="003227A0">
        <w:rPr>
          <w:rFonts w:ascii="Verdana" w:hAnsi="Verdana"/>
          <w:sz w:val="20"/>
          <w:lang w:val="es-MX"/>
        </w:rPr>
        <w:t xml:space="preserve"> Tribunal declaró improcedente la solicitud </w:t>
      </w:r>
      <w:r w:rsidR="00AE1252">
        <w:rPr>
          <w:rFonts w:ascii="Verdana" w:hAnsi="Verdana"/>
          <w:sz w:val="20"/>
          <w:lang w:val="es-MX"/>
        </w:rPr>
        <w:t>realizada por el Estado</w:t>
      </w:r>
      <w:r w:rsidR="00514973">
        <w:rPr>
          <w:rStyle w:val="FootnoteReference"/>
          <w:rFonts w:ascii="Verdana" w:hAnsi="Verdana"/>
          <w:sz w:val="20"/>
          <w:lang w:val="es-MX"/>
        </w:rPr>
        <w:footnoteReference w:id="37"/>
      </w:r>
      <w:r w:rsidR="00AE1252">
        <w:rPr>
          <w:rFonts w:ascii="Verdana" w:hAnsi="Verdana"/>
          <w:sz w:val="20"/>
          <w:lang w:val="es-MX"/>
        </w:rPr>
        <w:t xml:space="preserve"> </w:t>
      </w:r>
      <w:r w:rsidR="003227A0">
        <w:rPr>
          <w:rFonts w:ascii="Verdana" w:hAnsi="Verdana"/>
          <w:sz w:val="20"/>
          <w:lang w:val="es-MX"/>
        </w:rPr>
        <w:t xml:space="preserve">de </w:t>
      </w:r>
      <w:r w:rsidR="00514973">
        <w:rPr>
          <w:rFonts w:ascii="Verdana" w:hAnsi="Verdana"/>
          <w:sz w:val="20"/>
          <w:lang w:val="es-MX"/>
        </w:rPr>
        <w:t xml:space="preserve">que se le otorgara </w:t>
      </w:r>
      <w:r w:rsidR="00AE1252">
        <w:rPr>
          <w:rFonts w:ascii="Verdana" w:hAnsi="Verdana"/>
          <w:sz w:val="20"/>
          <w:lang w:val="es-MX"/>
        </w:rPr>
        <w:t xml:space="preserve">una </w:t>
      </w:r>
      <w:r w:rsidR="003227A0">
        <w:rPr>
          <w:rFonts w:ascii="Verdana" w:hAnsi="Verdana"/>
          <w:sz w:val="20"/>
          <w:lang w:val="es-MX"/>
        </w:rPr>
        <w:t>prórroga del plazo fijado en la Sentencia para dar cumplimiento al rein</w:t>
      </w:r>
      <w:r w:rsidR="0000489D">
        <w:rPr>
          <w:rFonts w:ascii="Verdana" w:hAnsi="Verdana"/>
          <w:sz w:val="20"/>
          <w:lang w:val="es-MX"/>
        </w:rPr>
        <w:t>tegro al Fondo de Asistencia Legal de Víctimas y requirió a Colombia que, a la mayor brevedad, procediera con el reintegro de la cantidad dispuesta en la Sentencia</w:t>
      </w:r>
      <w:r w:rsidR="007056ED">
        <w:rPr>
          <w:rStyle w:val="FootnoteReference"/>
          <w:rFonts w:ascii="Verdana" w:hAnsi="Verdana"/>
          <w:sz w:val="20"/>
          <w:lang w:val="es-MX"/>
        </w:rPr>
        <w:footnoteReference w:id="38"/>
      </w:r>
      <w:r w:rsidR="0000489D">
        <w:rPr>
          <w:rFonts w:ascii="Verdana" w:hAnsi="Verdana"/>
          <w:sz w:val="20"/>
          <w:lang w:val="es-MX"/>
        </w:rPr>
        <w:t>.</w:t>
      </w:r>
    </w:p>
    <w:p w:rsidR="00841BAD" w:rsidRPr="003A51C5" w:rsidRDefault="00841BAD" w:rsidP="00213B82">
      <w:pPr>
        <w:pStyle w:val="ListParagraph"/>
        <w:spacing w:after="120" w:line="240" w:lineRule="auto"/>
        <w:ind w:left="0"/>
        <w:contextualSpacing w:val="0"/>
        <w:jc w:val="both"/>
        <w:rPr>
          <w:rFonts w:ascii="Verdana" w:hAnsi="Verdana"/>
          <w:sz w:val="20"/>
          <w:lang w:val="es-MX"/>
        </w:rPr>
      </w:pPr>
    </w:p>
    <w:p w:rsidR="009841C6" w:rsidRPr="006063C0" w:rsidRDefault="009841C6" w:rsidP="00213B82">
      <w:pPr>
        <w:pStyle w:val="ListParagraph"/>
        <w:spacing w:after="120" w:line="240" w:lineRule="auto"/>
        <w:contextualSpacing w:val="0"/>
        <w:jc w:val="both"/>
        <w:rPr>
          <w:rFonts w:ascii="Verdana" w:hAnsi="Verdana"/>
          <w:i/>
          <w:sz w:val="20"/>
          <w:lang w:val="es-MX"/>
        </w:rPr>
      </w:pPr>
      <w:r>
        <w:rPr>
          <w:rFonts w:ascii="Verdana" w:hAnsi="Verdana"/>
          <w:i/>
          <w:sz w:val="20"/>
          <w:lang w:val="es-MX"/>
        </w:rPr>
        <w:t>D</w:t>
      </w:r>
      <w:r w:rsidRPr="006063C0">
        <w:rPr>
          <w:rFonts w:ascii="Verdana" w:hAnsi="Verdana"/>
          <w:i/>
          <w:sz w:val="20"/>
          <w:lang w:val="es-MX"/>
        </w:rPr>
        <w:t>.</w:t>
      </w:r>
      <w:r w:rsidR="006F6EF3">
        <w:rPr>
          <w:rFonts w:ascii="Verdana" w:hAnsi="Verdana"/>
          <w:i/>
          <w:sz w:val="20"/>
          <w:lang w:val="es-MX"/>
        </w:rPr>
        <w:t>2</w:t>
      </w:r>
      <w:r>
        <w:rPr>
          <w:rFonts w:ascii="Verdana" w:hAnsi="Verdana"/>
          <w:i/>
          <w:sz w:val="20"/>
          <w:lang w:val="es-MX"/>
        </w:rPr>
        <w:t>.</w:t>
      </w:r>
      <w:r w:rsidRPr="006063C0">
        <w:rPr>
          <w:rFonts w:ascii="Verdana" w:hAnsi="Verdana"/>
          <w:i/>
          <w:sz w:val="20"/>
          <w:lang w:val="es-MX"/>
        </w:rPr>
        <w:t xml:space="preserve"> Consideraciones de la Corte</w:t>
      </w:r>
    </w:p>
    <w:p w:rsidR="008B1C48" w:rsidRPr="008B1C48" w:rsidRDefault="008B1C48" w:rsidP="00213B82">
      <w:pPr>
        <w:pStyle w:val="ListParagraph"/>
        <w:spacing w:after="120" w:line="240" w:lineRule="auto"/>
        <w:ind w:left="0"/>
        <w:contextualSpacing w:val="0"/>
        <w:jc w:val="both"/>
        <w:rPr>
          <w:rFonts w:ascii="Verdana" w:hAnsi="Verdana"/>
          <w:b/>
          <w:i/>
          <w:sz w:val="20"/>
          <w:szCs w:val="20"/>
          <w:lang w:val="es-MX"/>
        </w:rPr>
      </w:pPr>
    </w:p>
    <w:p w:rsidR="005202C6" w:rsidRPr="00520E1D" w:rsidRDefault="006B63CA" w:rsidP="00213B82">
      <w:pPr>
        <w:pStyle w:val="ListParagraph"/>
        <w:numPr>
          <w:ilvl w:val="0"/>
          <w:numId w:val="10"/>
        </w:numPr>
        <w:spacing w:after="120" w:line="240" w:lineRule="auto"/>
        <w:ind w:left="0" w:firstLine="0"/>
        <w:contextualSpacing w:val="0"/>
        <w:jc w:val="both"/>
        <w:rPr>
          <w:rFonts w:ascii="Verdana" w:hAnsi="Verdana"/>
          <w:b/>
          <w:i/>
          <w:sz w:val="20"/>
          <w:szCs w:val="20"/>
          <w:lang w:val="es-MX"/>
        </w:rPr>
      </w:pPr>
      <w:r w:rsidRPr="006B63CA">
        <w:rPr>
          <w:rFonts w:ascii="Verdana" w:hAnsi="Verdana"/>
          <w:sz w:val="20"/>
          <w:lang w:val="es-MX"/>
        </w:rPr>
        <w:t xml:space="preserve">La Corte observa que </w:t>
      </w:r>
      <w:r w:rsidR="006F6EF3">
        <w:rPr>
          <w:rFonts w:ascii="Verdana" w:hAnsi="Verdana"/>
          <w:sz w:val="20"/>
          <w:lang w:val="es-MX"/>
        </w:rPr>
        <w:t>desde abril de 2017</w:t>
      </w:r>
      <w:r w:rsidRPr="006B63CA">
        <w:rPr>
          <w:rFonts w:ascii="Verdana" w:hAnsi="Verdana"/>
          <w:sz w:val="20"/>
          <w:lang w:val="es-MX"/>
        </w:rPr>
        <w:t xml:space="preserve"> el Estado no presenta información relativa a</w:t>
      </w:r>
      <w:r w:rsidR="006F6EF3">
        <w:rPr>
          <w:rFonts w:ascii="Verdana" w:hAnsi="Verdana"/>
          <w:sz w:val="20"/>
          <w:lang w:val="es-MX"/>
        </w:rPr>
        <w:t xml:space="preserve">l reintegro al Fondo de Asistencia Legal de Víctimas y constata que </w:t>
      </w:r>
      <w:r w:rsidR="00D35D13">
        <w:rPr>
          <w:rFonts w:ascii="Verdana" w:hAnsi="Verdana"/>
          <w:sz w:val="20"/>
          <w:lang w:val="es-MX"/>
        </w:rPr>
        <w:t>Colombia no ha cumplido con realizar el referido reintegro</w:t>
      </w:r>
      <w:r w:rsidR="00D35D13">
        <w:rPr>
          <w:rStyle w:val="FootnoteReference"/>
          <w:rFonts w:ascii="Verdana" w:hAnsi="Verdana"/>
          <w:sz w:val="20"/>
          <w:lang w:val="es-MX"/>
        </w:rPr>
        <w:footnoteReference w:id="39"/>
      </w:r>
      <w:r w:rsidRPr="006B63CA">
        <w:rPr>
          <w:rFonts w:ascii="Verdana" w:hAnsi="Verdana"/>
          <w:sz w:val="20"/>
          <w:lang w:val="es-MX"/>
        </w:rPr>
        <w:t xml:space="preserve">. </w:t>
      </w:r>
    </w:p>
    <w:p w:rsidR="008B1C48" w:rsidRPr="008B1C48" w:rsidRDefault="008B1C48" w:rsidP="00213B82">
      <w:pPr>
        <w:pStyle w:val="ListParagraph"/>
        <w:spacing w:after="120" w:line="240" w:lineRule="auto"/>
        <w:ind w:left="0"/>
        <w:contextualSpacing w:val="0"/>
        <w:jc w:val="both"/>
        <w:rPr>
          <w:rFonts w:ascii="Verdana" w:hAnsi="Verdana"/>
          <w:b/>
          <w:i/>
          <w:sz w:val="20"/>
          <w:szCs w:val="20"/>
          <w:lang w:val="es-MX"/>
        </w:rPr>
      </w:pPr>
    </w:p>
    <w:p w:rsidR="006B63CA" w:rsidRPr="006B63CA" w:rsidRDefault="005202C6" w:rsidP="00213B82">
      <w:pPr>
        <w:pStyle w:val="ListParagraph"/>
        <w:numPr>
          <w:ilvl w:val="0"/>
          <w:numId w:val="10"/>
        </w:numPr>
        <w:spacing w:after="120" w:line="240" w:lineRule="auto"/>
        <w:ind w:left="0" w:firstLine="0"/>
        <w:contextualSpacing w:val="0"/>
        <w:jc w:val="both"/>
        <w:rPr>
          <w:rFonts w:ascii="Verdana" w:hAnsi="Verdana"/>
          <w:b/>
          <w:i/>
          <w:sz w:val="20"/>
          <w:szCs w:val="20"/>
          <w:lang w:val="es-MX"/>
        </w:rPr>
      </w:pPr>
      <w:r>
        <w:rPr>
          <w:rFonts w:ascii="Verdana" w:hAnsi="Verdana"/>
          <w:sz w:val="20"/>
          <w:lang w:val="es-MX"/>
        </w:rPr>
        <w:t>Al respecto</w:t>
      </w:r>
      <w:r w:rsidR="006B63CA" w:rsidRPr="006B63CA">
        <w:rPr>
          <w:rFonts w:ascii="Verdana" w:hAnsi="Verdana"/>
          <w:sz w:val="20"/>
          <w:lang w:val="es-MX"/>
        </w:rPr>
        <w:t xml:space="preserve">, la Corte </w:t>
      </w:r>
      <w:r w:rsidR="006B63CA" w:rsidRPr="006B63CA">
        <w:rPr>
          <w:rFonts w:ascii="Verdana" w:hAnsi="Verdana"/>
          <w:sz w:val="20"/>
          <w:szCs w:val="20"/>
          <w:lang w:val="es-CR"/>
        </w:rPr>
        <w:t xml:space="preserve">recuerda que </w:t>
      </w:r>
      <w:r>
        <w:rPr>
          <w:rFonts w:ascii="Verdana" w:hAnsi="Verdana"/>
          <w:sz w:val="20"/>
          <w:szCs w:val="20"/>
          <w:lang w:val="es-CR"/>
        </w:rPr>
        <w:t>e</w:t>
      </w:r>
      <w:r w:rsidR="006B63CA" w:rsidRPr="006B63CA">
        <w:rPr>
          <w:rFonts w:ascii="Verdana" w:hAnsi="Verdana"/>
          <w:sz w:val="20"/>
          <w:szCs w:val="20"/>
          <w:lang w:val="es-CR"/>
        </w:rPr>
        <w:t xml:space="preserve">n lo que respecta al financiamiento del Fondo de Asistencia de la Corte, </w:t>
      </w:r>
      <w:r w:rsidRPr="00520E1D">
        <w:rPr>
          <w:rFonts w:ascii="Verdana" w:hAnsi="Verdana"/>
          <w:sz w:val="20"/>
          <w:szCs w:val="20"/>
          <w:lang w:val="es-CR"/>
        </w:rPr>
        <w:t>los recursos disponibles en el mismo son limitados.</w:t>
      </w:r>
      <w:r>
        <w:rPr>
          <w:lang w:val="es-CR"/>
        </w:rPr>
        <w:t xml:space="preserve"> </w:t>
      </w:r>
      <w:r>
        <w:rPr>
          <w:rFonts w:ascii="Verdana" w:hAnsi="Verdana"/>
          <w:sz w:val="20"/>
          <w:szCs w:val="20"/>
          <w:lang w:val="es-CR"/>
        </w:rPr>
        <w:t>D</w:t>
      </w:r>
      <w:r w:rsidR="006B63CA" w:rsidRPr="006B63CA">
        <w:rPr>
          <w:rFonts w:ascii="Verdana" w:hAnsi="Verdana"/>
          <w:sz w:val="20"/>
          <w:szCs w:val="20"/>
          <w:lang w:val="es-CR"/>
        </w:rPr>
        <w:t xml:space="preserve">esde su funcionamiento a partir del 2010, </w:t>
      </w:r>
      <w:r>
        <w:rPr>
          <w:rFonts w:ascii="Verdana" w:hAnsi="Verdana"/>
          <w:sz w:val="20"/>
          <w:szCs w:val="20"/>
          <w:lang w:val="es-CR"/>
        </w:rPr>
        <w:t>é</w:t>
      </w:r>
      <w:r w:rsidR="006B63CA" w:rsidRPr="006B63CA">
        <w:rPr>
          <w:rFonts w:ascii="Verdana" w:hAnsi="Verdana"/>
          <w:sz w:val="20"/>
          <w:szCs w:val="20"/>
          <w:lang w:val="es-CR"/>
        </w:rPr>
        <w:t xml:space="preserve">ste ha dependido de los </w:t>
      </w:r>
      <w:r w:rsidR="006B63CA" w:rsidRPr="006B63CA">
        <w:rPr>
          <w:rFonts w:ascii="Verdana" w:hAnsi="Verdana" w:cs="Verdana"/>
          <w:sz w:val="20"/>
          <w:szCs w:val="20"/>
          <w:lang w:val="es-CR"/>
        </w:rPr>
        <w:t>aportes de capital voluntarios de fuentes cooperantes y del aporte de un Estado miembro de la OEA</w:t>
      </w:r>
      <w:r w:rsidR="006B63CA">
        <w:rPr>
          <w:rStyle w:val="FootnoteReference"/>
          <w:rFonts w:ascii="Verdana" w:hAnsi="Verdana" w:cs="Verdana"/>
          <w:sz w:val="20"/>
          <w:szCs w:val="20"/>
        </w:rPr>
        <w:footnoteReference w:id="40"/>
      </w:r>
      <w:r w:rsidR="006B63CA" w:rsidRPr="006B63CA">
        <w:rPr>
          <w:rFonts w:ascii="Verdana" w:hAnsi="Verdana" w:cs="Verdana"/>
          <w:sz w:val="20"/>
          <w:szCs w:val="20"/>
          <w:lang w:val="es-CR"/>
        </w:rPr>
        <w:t>, así como de los reintegros que realicen los Estados responsables</w:t>
      </w:r>
      <w:r w:rsidR="006B63CA" w:rsidRPr="006B63CA">
        <w:rPr>
          <w:rFonts w:ascii="Verdana" w:hAnsi="Verdana" w:cs="Verdana"/>
          <w:bCs/>
          <w:sz w:val="20"/>
          <w:szCs w:val="20"/>
          <w:lang w:val="es-CR"/>
        </w:rPr>
        <w:t xml:space="preserve">. </w:t>
      </w:r>
      <w:r w:rsidRPr="00520E1D">
        <w:rPr>
          <w:rFonts w:ascii="Verdana" w:hAnsi="Verdana"/>
          <w:sz w:val="20"/>
          <w:lang w:val="es-CR"/>
        </w:rPr>
        <w:t>En consecuencia, la falta de cumplimiento oportuno de los Estados del reintegro al Fondo de Asistencia Legal de la cantidad ordenada en las decisiones correspondientes afecta de forma directa su sostenibilidad y, sobre todo, el acceso a la justicia de las presuntas víctimas y, de ser el caso, víctimas ante este Tribunal.</w:t>
      </w:r>
      <w:r w:rsidRPr="00520E1D">
        <w:rPr>
          <w:sz w:val="20"/>
          <w:lang w:val="es-CR"/>
        </w:rPr>
        <w:t xml:space="preserve"> </w:t>
      </w:r>
      <w:r w:rsidR="006B63CA" w:rsidRPr="006B63CA">
        <w:rPr>
          <w:rFonts w:ascii="Verdana" w:hAnsi="Verdana" w:cs="Verdana"/>
          <w:bCs/>
          <w:sz w:val="20"/>
          <w:szCs w:val="20"/>
          <w:lang w:val="es-CR"/>
        </w:rPr>
        <w:t xml:space="preserve">Es por ello que el </w:t>
      </w:r>
      <w:r w:rsidR="006B63CA" w:rsidRPr="006B63CA">
        <w:rPr>
          <w:rFonts w:ascii="Verdana" w:hAnsi="Verdana"/>
          <w:sz w:val="20"/>
          <w:szCs w:val="20"/>
          <w:lang w:val="es-CR"/>
        </w:rPr>
        <w:t>Tribunal</w:t>
      </w:r>
      <w:r w:rsidR="006B63CA" w:rsidRPr="006B63CA">
        <w:rPr>
          <w:rFonts w:ascii="Verdana" w:hAnsi="Verdana" w:cs="Verdana"/>
          <w:bCs/>
          <w:sz w:val="20"/>
          <w:szCs w:val="20"/>
          <w:lang w:val="es-CR"/>
        </w:rPr>
        <w:t xml:space="preserve"> </w:t>
      </w:r>
      <w:r w:rsidR="006B63CA" w:rsidRPr="006B63CA">
        <w:rPr>
          <w:rFonts w:ascii="Verdana" w:hAnsi="Verdana"/>
          <w:sz w:val="20"/>
          <w:szCs w:val="20"/>
          <w:lang w:val="es-CR"/>
        </w:rPr>
        <w:t xml:space="preserve">resalta la importancia del cumplimiento de las obligaciones internacionales de Colombia respecto al reintegro de los recursos al referido Fondo de Asistencia. </w:t>
      </w:r>
    </w:p>
    <w:p w:rsidR="001E7FA6" w:rsidRPr="001E7FA6" w:rsidRDefault="001E7FA6" w:rsidP="00213B82">
      <w:pPr>
        <w:pStyle w:val="ListParagraph"/>
        <w:spacing w:after="120" w:line="240" w:lineRule="auto"/>
        <w:ind w:left="0"/>
        <w:contextualSpacing w:val="0"/>
        <w:jc w:val="both"/>
        <w:rPr>
          <w:rFonts w:ascii="Verdana" w:hAnsi="Verdana"/>
          <w:b/>
          <w:i/>
          <w:sz w:val="20"/>
          <w:szCs w:val="20"/>
          <w:lang w:val="es-MX"/>
        </w:rPr>
      </w:pPr>
    </w:p>
    <w:p w:rsidR="006B63CA" w:rsidRPr="006B63CA" w:rsidRDefault="006B63CA" w:rsidP="00213B82">
      <w:pPr>
        <w:pStyle w:val="ListParagraph"/>
        <w:numPr>
          <w:ilvl w:val="0"/>
          <w:numId w:val="10"/>
        </w:numPr>
        <w:spacing w:after="120" w:line="240" w:lineRule="auto"/>
        <w:ind w:left="0" w:firstLine="0"/>
        <w:contextualSpacing w:val="0"/>
        <w:jc w:val="both"/>
        <w:rPr>
          <w:rFonts w:ascii="Verdana" w:hAnsi="Verdana"/>
          <w:b/>
          <w:i/>
          <w:sz w:val="20"/>
          <w:szCs w:val="20"/>
          <w:lang w:val="es-MX"/>
        </w:rPr>
      </w:pPr>
      <w:r>
        <w:rPr>
          <w:rFonts w:ascii="Verdana" w:hAnsi="Verdana"/>
          <w:sz w:val="20"/>
          <w:szCs w:val="20"/>
          <w:lang w:val="es-CR"/>
        </w:rPr>
        <w:t xml:space="preserve">En virtud de lo anterior, </w:t>
      </w:r>
      <w:r w:rsidR="00822370">
        <w:rPr>
          <w:rFonts w:ascii="Verdana" w:hAnsi="Verdana"/>
          <w:sz w:val="20"/>
          <w:lang w:val="es-MX"/>
        </w:rPr>
        <w:t>la Corte declara que el Estado no ha dado cumplimiento al reintegro al Fondo de Asistencia Legal de Víctimas, ordenad</w:t>
      </w:r>
      <w:r w:rsidR="00514973">
        <w:rPr>
          <w:rFonts w:ascii="Verdana" w:hAnsi="Verdana"/>
          <w:sz w:val="20"/>
          <w:lang w:val="es-MX"/>
        </w:rPr>
        <w:t>o</w:t>
      </w:r>
      <w:r w:rsidR="00822370">
        <w:rPr>
          <w:rFonts w:ascii="Verdana" w:hAnsi="Verdana"/>
          <w:sz w:val="20"/>
          <w:lang w:val="es-MX"/>
        </w:rPr>
        <w:t xml:space="preserve"> en el punto </w:t>
      </w:r>
      <w:r w:rsidR="002B7261">
        <w:rPr>
          <w:rFonts w:ascii="Verdana" w:hAnsi="Verdana"/>
          <w:sz w:val="20"/>
          <w:lang w:val="es-MX"/>
        </w:rPr>
        <w:t xml:space="preserve">dispositivo </w:t>
      </w:r>
      <w:r w:rsidR="00822370">
        <w:rPr>
          <w:rFonts w:ascii="Verdana" w:hAnsi="Verdana"/>
          <w:sz w:val="20"/>
          <w:lang w:val="es-MX"/>
        </w:rPr>
        <w:t>décimo primero de la Sentencia</w:t>
      </w:r>
      <w:r w:rsidR="00520E1D">
        <w:rPr>
          <w:rFonts w:ascii="Verdana" w:hAnsi="Verdana"/>
          <w:sz w:val="20"/>
          <w:lang w:val="es-MX"/>
        </w:rPr>
        <w:t>. Por tanto,</w:t>
      </w:r>
      <w:r w:rsidR="00A6137F">
        <w:rPr>
          <w:rFonts w:ascii="Verdana" w:hAnsi="Verdana"/>
          <w:sz w:val="20"/>
          <w:lang w:val="es-MX"/>
        </w:rPr>
        <w:t xml:space="preserve"> </w:t>
      </w:r>
      <w:r w:rsidR="00A6137F" w:rsidRPr="00520E1D">
        <w:rPr>
          <w:rFonts w:ascii="Verdana" w:hAnsi="Verdana"/>
          <w:sz w:val="20"/>
          <w:szCs w:val="20"/>
          <w:lang w:val="es-CR"/>
        </w:rPr>
        <w:t xml:space="preserve">requiere al Estado que, en cumplimiento de sus obligaciones convencionales, proceda a la mayor brevedad con el </w:t>
      </w:r>
      <w:r w:rsidR="00520E1D">
        <w:rPr>
          <w:rFonts w:ascii="Verdana" w:hAnsi="Verdana"/>
          <w:sz w:val="20"/>
          <w:szCs w:val="20"/>
          <w:lang w:val="es-CR"/>
        </w:rPr>
        <w:t xml:space="preserve">referido </w:t>
      </w:r>
      <w:r w:rsidR="00A6137F" w:rsidRPr="00520E1D">
        <w:rPr>
          <w:rFonts w:ascii="Verdana" w:hAnsi="Verdana"/>
          <w:sz w:val="20"/>
          <w:szCs w:val="20"/>
          <w:lang w:val="es-CR"/>
        </w:rPr>
        <w:t>reintegro</w:t>
      </w:r>
      <w:r w:rsidR="00822370">
        <w:rPr>
          <w:rFonts w:ascii="Verdana" w:hAnsi="Verdana"/>
          <w:sz w:val="20"/>
          <w:lang w:val="es-MX"/>
        </w:rPr>
        <w:t>.</w:t>
      </w:r>
    </w:p>
    <w:p w:rsidR="00D2626E" w:rsidRDefault="00D2626E" w:rsidP="00213B82">
      <w:pPr>
        <w:pStyle w:val="ListParagraph"/>
        <w:spacing w:after="120" w:line="240" w:lineRule="auto"/>
        <w:ind w:left="0"/>
        <w:contextualSpacing w:val="0"/>
        <w:jc w:val="both"/>
        <w:rPr>
          <w:rFonts w:ascii="Verdana" w:hAnsi="Verdana"/>
          <w:sz w:val="20"/>
          <w:szCs w:val="20"/>
          <w:lang w:val="es-MX"/>
        </w:rPr>
      </w:pPr>
    </w:p>
    <w:p w:rsidR="00841BAD" w:rsidRPr="008B1C48" w:rsidRDefault="00841BAD" w:rsidP="00213B82">
      <w:pPr>
        <w:pStyle w:val="ListParagraph"/>
        <w:spacing w:after="120" w:line="240" w:lineRule="auto"/>
        <w:ind w:left="0"/>
        <w:contextualSpacing w:val="0"/>
        <w:jc w:val="both"/>
        <w:rPr>
          <w:rFonts w:ascii="Verdana" w:hAnsi="Verdana"/>
          <w:sz w:val="20"/>
          <w:szCs w:val="20"/>
          <w:lang w:val="es-MX"/>
        </w:rPr>
      </w:pPr>
    </w:p>
    <w:p w:rsidR="00916774" w:rsidRPr="008B1C48" w:rsidRDefault="00916774" w:rsidP="00213B82">
      <w:pPr>
        <w:tabs>
          <w:tab w:val="left" w:pos="680"/>
        </w:tabs>
        <w:spacing w:after="120" w:line="240" w:lineRule="auto"/>
        <w:jc w:val="both"/>
        <w:rPr>
          <w:rFonts w:ascii="Verdana" w:hAnsi="Verdana"/>
          <w:b/>
          <w:sz w:val="20"/>
          <w:szCs w:val="20"/>
          <w:lang w:val="es-MX"/>
        </w:rPr>
      </w:pPr>
      <w:r w:rsidRPr="008B1C48">
        <w:rPr>
          <w:rFonts w:ascii="Verdana" w:hAnsi="Verdana"/>
          <w:b/>
          <w:sz w:val="20"/>
          <w:szCs w:val="20"/>
          <w:lang w:val="es-MX"/>
        </w:rPr>
        <w:t>POR TANTO:</w:t>
      </w:r>
    </w:p>
    <w:p w:rsidR="00916774" w:rsidRPr="008B1C48" w:rsidRDefault="00916774" w:rsidP="008B1C48">
      <w:pPr>
        <w:pStyle w:val="BodyText"/>
        <w:tabs>
          <w:tab w:val="left" w:pos="360"/>
          <w:tab w:val="left" w:pos="567"/>
        </w:tabs>
        <w:spacing w:after="0" w:line="240" w:lineRule="auto"/>
        <w:rPr>
          <w:rFonts w:ascii="Verdana" w:hAnsi="Verdana"/>
          <w:b/>
          <w:sz w:val="20"/>
          <w:szCs w:val="20"/>
          <w:lang w:val="es-CR"/>
        </w:rPr>
      </w:pPr>
    </w:p>
    <w:p w:rsidR="00916774" w:rsidRPr="008B1C48" w:rsidRDefault="00916774" w:rsidP="008B1C48">
      <w:pPr>
        <w:pStyle w:val="BodyText"/>
        <w:tabs>
          <w:tab w:val="left" w:pos="360"/>
          <w:tab w:val="left" w:pos="567"/>
        </w:tabs>
        <w:spacing w:after="0" w:line="240" w:lineRule="auto"/>
        <w:rPr>
          <w:rFonts w:ascii="Verdana" w:hAnsi="Verdana"/>
          <w:b/>
          <w:sz w:val="20"/>
          <w:szCs w:val="20"/>
          <w:lang w:val="es-CR"/>
        </w:rPr>
      </w:pPr>
      <w:r w:rsidRPr="008B1C48">
        <w:rPr>
          <w:rFonts w:ascii="Verdana" w:hAnsi="Verdana"/>
          <w:b/>
          <w:sz w:val="20"/>
          <w:szCs w:val="20"/>
          <w:lang w:val="es-CR"/>
        </w:rPr>
        <w:t>LA CORTE INTERAMERICANA DE DERECHOS HUMANOS,</w:t>
      </w:r>
    </w:p>
    <w:p w:rsidR="00C93B53" w:rsidRDefault="00C93B53" w:rsidP="008B1C48">
      <w:pPr>
        <w:tabs>
          <w:tab w:val="left" w:pos="567"/>
        </w:tabs>
        <w:spacing w:after="0" w:line="240" w:lineRule="auto"/>
        <w:jc w:val="both"/>
        <w:rPr>
          <w:rFonts w:ascii="Verdana" w:hAnsi="Verdana"/>
          <w:sz w:val="20"/>
          <w:szCs w:val="20"/>
          <w:lang w:val="es-CR"/>
        </w:rPr>
      </w:pPr>
    </w:p>
    <w:p w:rsidR="00916774" w:rsidRPr="008B1C48" w:rsidRDefault="00916774" w:rsidP="00213B82">
      <w:pPr>
        <w:tabs>
          <w:tab w:val="left" w:pos="567"/>
        </w:tabs>
        <w:spacing w:after="120" w:line="240" w:lineRule="auto"/>
        <w:jc w:val="both"/>
        <w:rPr>
          <w:rFonts w:ascii="Verdana" w:hAnsi="Verdana"/>
          <w:sz w:val="20"/>
          <w:szCs w:val="20"/>
          <w:lang w:val="es-CR"/>
        </w:rPr>
      </w:pPr>
      <w:proofErr w:type="gramStart"/>
      <w:r w:rsidRPr="008B1C48">
        <w:rPr>
          <w:rFonts w:ascii="Verdana" w:hAnsi="Verdana"/>
          <w:sz w:val="20"/>
          <w:szCs w:val="20"/>
          <w:lang w:val="es-CR"/>
        </w:rPr>
        <w:t>en</w:t>
      </w:r>
      <w:proofErr w:type="gramEnd"/>
      <w:r w:rsidRPr="008B1C48">
        <w:rPr>
          <w:rFonts w:ascii="Verdana" w:hAnsi="Verdana"/>
          <w:sz w:val="20"/>
          <w:szCs w:val="20"/>
          <w:lang w:val="es-CR"/>
        </w:rPr>
        <w:t xml:space="preserve"> el ejercicio de sus atribuciones de supervisión del cumplimiento de sus decisiones, de conformidad con los artículos 33, 62.1, 62.3, 65, 67 y 68.1 de la Convención Americana sobre Derechos Humanos, 24, 25 y 30 del Estatuto, y 31.2 y 69 de su Reglamento,</w:t>
      </w:r>
    </w:p>
    <w:p w:rsidR="00916774" w:rsidRPr="008B1C48" w:rsidRDefault="00916774" w:rsidP="00213B82">
      <w:pPr>
        <w:tabs>
          <w:tab w:val="left" w:pos="567"/>
        </w:tabs>
        <w:spacing w:after="120" w:line="240" w:lineRule="auto"/>
        <w:jc w:val="both"/>
        <w:rPr>
          <w:rFonts w:ascii="Verdana" w:hAnsi="Verdana"/>
          <w:sz w:val="20"/>
          <w:szCs w:val="20"/>
          <w:lang w:val="es-CR"/>
        </w:rPr>
      </w:pPr>
    </w:p>
    <w:p w:rsidR="00916774" w:rsidRDefault="00916774" w:rsidP="00213B82">
      <w:pPr>
        <w:tabs>
          <w:tab w:val="left" w:pos="567"/>
        </w:tabs>
        <w:spacing w:after="120" w:line="240" w:lineRule="auto"/>
        <w:ind w:right="22"/>
        <w:jc w:val="both"/>
        <w:rPr>
          <w:rFonts w:ascii="Verdana" w:hAnsi="Verdana"/>
          <w:b/>
          <w:sz w:val="20"/>
          <w:lang w:val="es-CR"/>
        </w:rPr>
      </w:pPr>
      <w:r w:rsidRPr="006F0AF8">
        <w:rPr>
          <w:rFonts w:ascii="Verdana" w:hAnsi="Verdana"/>
          <w:b/>
          <w:sz w:val="20"/>
          <w:lang w:val="es-CR"/>
        </w:rPr>
        <w:t xml:space="preserve">RESUELVE: </w:t>
      </w:r>
    </w:p>
    <w:p w:rsidR="00916774" w:rsidRDefault="00916774" w:rsidP="00213B82">
      <w:pPr>
        <w:tabs>
          <w:tab w:val="left" w:pos="567"/>
        </w:tabs>
        <w:spacing w:after="120" w:line="240" w:lineRule="auto"/>
        <w:ind w:right="22"/>
        <w:jc w:val="both"/>
        <w:rPr>
          <w:rFonts w:ascii="Verdana" w:hAnsi="Verdana"/>
          <w:b/>
          <w:sz w:val="20"/>
          <w:lang w:val="es-CR"/>
        </w:rPr>
      </w:pPr>
    </w:p>
    <w:p w:rsidR="00916774" w:rsidRPr="008C489D" w:rsidRDefault="00916774" w:rsidP="00213B82">
      <w:pPr>
        <w:numPr>
          <w:ilvl w:val="0"/>
          <w:numId w:val="5"/>
        </w:numPr>
        <w:tabs>
          <w:tab w:val="left" w:pos="567"/>
        </w:tabs>
        <w:spacing w:after="120" w:line="240" w:lineRule="auto"/>
        <w:ind w:left="0" w:firstLine="0"/>
        <w:jc w:val="both"/>
        <w:rPr>
          <w:rFonts w:ascii="Verdana" w:hAnsi="Verdana"/>
          <w:i/>
          <w:sz w:val="20"/>
          <w:szCs w:val="20"/>
          <w:lang w:val="es-CR"/>
        </w:rPr>
      </w:pPr>
      <w:r>
        <w:rPr>
          <w:rFonts w:ascii="Verdana" w:hAnsi="Verdana"/>
          <w:sz w:val="20"/>
          <w:szCs w:val="20"/>
          <w:lang w:val="es-CR"/>
        </w:rPr>
        <w:t xml:space="preserve">Declarar, de conformidad con lo señalado en </w:t>
      </w:r>
      <w:r w:rsidR="00C93B53">
        <w:rPr>
          <w:rFonts w:ascii="Verdana" w:hAnsi="Verdana"/>
          <w:sz w:val="20"/>
          <w:szCs w:val="20"/>
          <w:lang w:val="es-CR"/>
        </w:rPr>
        <w:t>los Considerandos 5 y 6</w:t>
      </w:r>
      <w:r w:rsidR="00F5045E">
        <w:rPr>
          <w:rFonts w:ascii="Verdana" w:hAnsi="Verdana"/>
          <w:sz w:val="20"/>
          <w:szCs w:val="20"/>
          <w:lang w:val="es-CR"/>
        </w:rPr>
        <w:t xml:space="preserve"> </w:t>
      </w:r>
      <w:r>
        <w:rPr>
          <w:rFonts w:ascii="Verdana" w:hAnsi="Verdana"/>
          <w:sz w:val="20"/>
          <w:szCs w:val="20"/>
          <w:lang w:val="es-CR"/>
        </w:rPr>
        <w:t>de la presente Resolución, que el Estado ha dado cumplimiento total a la</w:t>
      </w:r>
      <w:r w:rsidR="00F5045E">
        <w:rPr>
          <w:rFonts w:ascii="Verdana" w:hAnsi="Verdana"/>
          <w:sz w:val="20"/>
          <w:szCs w:val="20"/>
          <w:lang w:val="es-CR"/>
        </w:rPr>
        <w:t>s</w:t>
      </w:r>
      <w:r>
        <w:rPr>
          <w:rFonts w:ascii="Verdana" w:hAnsi="Verdana"/>
          <w:sz w:val="20"/>
          <w:szCs w:val="20"/>
          <w:lang w:val="es-CR"/>
        </w:rPr>
        <w:t xml:space="preserve"> medida</w:t>
      </w:r>
      <w:r w:rsidR="00F5045E">
        <w:rPr>
          <w:rFonts w:ascii="Verdana" w:hAnsi="Verdana"/>
          <w:sz w:val="20"/>
          <w:szCs w:val="20"/>
          <w:lang w:val="es-CR"/>
        </w:rPr>
        <w:t>s</w:t>
      </w:r>
      <w:r>
        <w:rPr>
          <w:rFonts w:ascii="Verdana" w:hAnsi="Verdana"/>
          <w:sz w:val="20"/>
          <w:szCs w:val="20"/>
          <w:lang w:val="es-CR"/>
        </w:rPr>
        <w:t xml:space="preserve"> de</w:t>
      </w:r>
      <w:r w:rsidR="00F5045E">
        <w:rPr>
          <w:rFonts w:ascii="Verdana" w:hAnsi="Verdana"/>
          <w:sz w:val="20"/>
          <w:szCs w:val="20"/>
          <w:lang w:val="es-CR"/>
        </w:rPr>
        <w:t xml:space="preserve"> publicación y difusión</w:t>
      </w:r>
      <w:r w:rsidR="00047C81">
        <w:rPr>
          <w:rFonts w:ascii="Verdana" w:hAnsi="Verdana"/>
          <w:sz w:val="20"/>
          <w:szCs w:val="20"/>
          <w:lang w:val="es-CR"/>
        </w:rPr>
        <w:t xml:space="preserve"> de la Sentencia </w:t>
      </w:r>
      <w:r w:rsidRPr="008C489D">
        <w:rPr>
          <w:rFonts w:ascii="Verdana" w:hAnsi="Verdana"/>
          <w:i/>
          <w:sz w:val="20"/>
          <w:szCs w:val="20"/>
          <w:lang w:val="es-CR"/>
        </w:rPr>
        <w:t xml:space="preserve">(punto </w:t>
      </w:r>
      <w:r w:rsidR="002B7261">
        <w:rPr>
          <w:rFonts w:ascii="Verdana" w:hAnsi="Verdana"/>
          <w:i/>
          <w:sz w:val="20"/>
          <w:szCs w:val="20"/>
          <w:lang w:val="es-CR"/>
        </w:rPr>
        <w:t>dispositivo</w:t>
      </w:r>
      <w:r w:rsidR="002B7261" w:rsidRPr="008C489D">
        <w:rPr>
          <w:rFonts w:ascii="Verdana" w:hAnsi="Verdana"/>
          <w:i/>
          <w:sz w:val="20"/>
          <w:szCs w:val="20"/>
          <w:lang w:val="es-CR"/>
        </w:rPr>
        <w:t xml:space="preserve"> </w:t>
      </w:r>
      <w:r w:rsidR="00047C81" w:rsidRPr="008C489D">
        <w:rPr>
          <w:rFonts w:ascii="Verdana" w:hAnsi="Verdana"/>
          <w:i/>
          <w:sz w:val="20"/>
          <w:szCs w:val="20"/>
          <w:lang w:val="es-CR"/>
        </w:rPr>
        <w:t>octavo</w:t>
      </w:r>
      <w:r w:rsidRPr="008C489D">
        <w:rPr>
          <w:rFonts w:ascii="Verdana" w:hAnsi="Verdana"/>
          <w:i/>
          <w:sz w:val="20"/>
          <w:szCs w:val="20"/>
          <w:lang w:val="es-CR"/>
        </w:rPr>
        <w:t xml:space="preserve"> de la Sentencia</w:t>
      </w:r>
      <w:r w:rsidR="00047C81" w:rsidRPr="008C489D">
        <w:rPr>
          <w:rFonts w:ascii="Verdana" w:hAnsi="Verdana"/>
          <w:i/>
          <w:sz w:val="20"/>
          <w:szCs w:val="20"/>
          <w:lang w:val="es-CR"/>
        </w:rPr>
        <w:t>).</w:t>
      </w:r>
    </w:p>
    <w:p w:rsidR="008B1C48" w:rsidRDefault="008B1C48" w:rsidP="00213B82">
      <w:pPr>
        <w:tabs>
          <w:tab w:val="left" w:pos="567"/>
        </w:tabs>
        <w:spacing w:after="120" w:line="240" w:lineRule="auto"/>
        <w:jc w:val="both"/>
        <w:rPr>
          <w:rFonts w:ascii="Verdana" w:hAnsi="Verdana"/>
          <w:sz w:val="20"/>
          <w:szCs w:val="20"/>
          <w:lang w:val="es-CR"/>
        </w:rPr>
      </w:pPr>
    </w:p>
    <w:p w:rsidR="00916774" w:rsidRDefault="00916774" w:rsidP="00213B82">
      <w:pPr>
        <w:numPr>
          <w:ilvl w:val="0"/>
          <w:numId w:val="5"/>
        </w:numPr>
        <w:tabs>
          <w:tab w:val="left" w:pos="567"/>
        </w:tabs>
        <w:spacing w:after="120" w:line="240" w:lineRule="auto"/>
        <w:ind w:left="0" w:firstLine="0"/>
        <w:jc w:val="both"/>
        <w:rPr>
          <w:rFonts w:ascii="Verdana" w:hAnsi="Verdana"/>
          <w:sz w:val="20"/>
          <w:szCs w:val="20"/>
          <w:lang w:val="es-CR"/>
        </w:rPr>
      </w:pPr>
      <w:r>
        <w:rPr>
          <w:rFonts w:ascii="Verdana" w:hAnsi="Verdana"/>
          <w:sz w:val="20"/>
          <w:szCs w:val="20"/>
          <w:lang w:val="es-CR"/>
        </w:rPr>
        <w:t xml:space="preserve">Declarar, de conformidad con lo señalado en los Considerandos </w:t>
      </w:r>
      <w:r w:rsidR="00935C33">
        <w:rPr>
          <w:rFonts w:ascii="Verdana" w:hAnsi="Verdana"/>
          <w:sz w:val="20"/>
          <w:szCs w:val="20"/>
          <w:lang w:val="es-CR"/>
        </w:rPr>
        <w:t>8</w:t>
      </w:r>
      <w:r w:rsidR="00F5045E">
        <w:rPr>
          <w:rFonts w:ascii="Verdana" w:hAnsi="Verdana"/>
          <w:sz w:val="20"/>
          <w:szCs w:val="20"/>
          <w:lang w:val="es-CR"/>
        </w:rPr>
        <w:t xml:space="preserve"> a </w:t>
      </w:r>
      <w:r w:rsidR="00935C33">
        <w:rPr>
          <w:rFonts w:ascii="Verdana" w:hAnsi="Verdana"/>
          <w:sz w:val="20"/>
          <w:szCs w:val="20"/>
          <w:lang w:val="es-CR"/>
        </w:rPr>
        <w:t>17</w:t>
      </w:r>
      <w:r>
        <w:rPr>
          <w:rFonts w:ascii="Verdana" w:hAnsi="Verdana"/>
          <w:sz w:val="20"/>
          <w:szCs w:val="20"/>
          <w:lang w:val="es-CR"/>
        </w:rPr>
        <w:t xml:space="preserve"> de la presente Resolución, que</w:t>
      </w:r>
      <w:r w:rsidR="009D5888">
        <w:rPr>
          <w:rFonts w:ascii="Verdana" w:hAnsi="Verdana"/>
          <w:sz w:val="20"/>
          <w:szCs w:val="20"/>
          <w:lang w:val="es-CR"/>
        </w:rPr>
        <w:t xml:space="preserve"> </w:t>
      </w:r>
      <w:r w:rsidR="009D5888">
        <w:rPr>
          <w:rFonts w:ascii="Verdana" w:hAnsi="Verdana"/>
          <w:sz w:val="20"/>
          <w:lang w:val="es-MX"/>
        </w:rPr>
        <w:t xml:space="preserve">el Estado ha dado un cumplimiento parcial a la medida </w:t>
      </w:r>
      <w:r w:rsidR="00636C0A">
        <w:rPr>
          <w:rFonts w:ascii="Verdana" w:hAnsi="Verdana"/>
          <w:sz w:val="20"/>
          <w:lang w:val="es-MX"/>
        </w:rPr>
        <w:t>relativa</w:t>
      </w:r>
      <w:r w:rsidR="009D5888">
        <w:rPr>
          <w:rFonts w:ascii="Verdana" w:hAnsi="Verdana"/>
          <w:sz w:val="20"/>
          <w:lang w:val="es-MX"/>
        </w:rPr>
        <w:t xml:space="preserve"> a </w:t>
      </w:r>
      <w:r w:rsidR="009D5888" w:rsidRPr="006C5A75">
        <w:rPr>
          <w:rFonts w:ascii="Verdana" w:hAnsi="Verdana"/>
          <w:sz w:val="20"/>
          <w:szCs w:val="20"/>
          <w:lang w:val="es-CR"/>
        </w:rPr>
        <w:t>garantizar al señor Duque el trámite prioritario de su solicitud a una pensión de sobrevivencia</w:t>
      </w:r>
      <w:r w:rsidR="009D5888">
        <w:rPr>
          <w:rFonts w:ascii="Verdana" w:hAnsi="Verdana"/>
          <w:sz w:val="20"/>
          <w:szCs w:val="20"/>
          <w:lang w:val="es-CR"/>
        </w:rPr>
        <w:t xml:space="preserve"> y realizar</w:t>
      </w:r>
      <w:r w:rsidR="009D5888" w:rsidRPr="006C5A75">
        <w:rPr>
          <w:rFonts w:ascii="Verdana" w:hAnsi="Verdana"/>
          <w:sz w:val="20"/>
          <w:lang w:val="es-MX"/>
        </w:rPr>
        <w:t xml:space="preserve"> todos los pagos</w:t>
      </w:r>
      <w:r w:rsidR="009D5888">
        <w:rPr>
          <w:rFonts w:ascii="Verdana" w:hAnsi="Verdana"/>
          <w:sz w:val="20"/>
          <w:lang w:val="es-MX"/>
        </w:rPr>
        <w:t xml:space="preserve"> </w:t>
      </w:r>
      <w:r w:rsidR="009D5888" w:rsidRPr="006C5A75">
        <w:rPr>
          <w:rFonts w:ascii="Verdana" w:hAnsi="Verdana"/>
          <w:sz w:val="20"/>
          <w:lang w:val="es-MX"/>
        </w:rPr>
        <w:t xml:space="preserve">que no se percibieron desde que el señor </w:t>
      </w:r>
      <w:r w:rsidR="009D5888" w:rsidRPr="006C5A75">
        <w:rPr>
          <w:rFonts w:ascii="Verdana" w:hAnsi="Verdana"/>
          <w:sz w:val="20"/>
          <w:lang w:val="es-MX"/>
        </w:rPr>
        <w:lastRenderedPageBreak/>
        <w:t>Duque presentó la</w:t>
      </w:r>
      <w:r w:rsidR="009D5888">
        <w:rPr>
          <w:rFonts w:ascii="Verdana" w:hAnsi="Verdana"/>
          <w:sz w:val="20"/>
          <w:lang w:val="es-MX"/>
        </w:rPr>
        <w:t xml:space="preserve"> solicitud de información a COL</w:t>
      </w:r>
      <w:r w:rsidR="009D5888" w:rsidRPr="006C5A75">
        <w:rPr>
          <w:rFonts w:ascii="Verdana" w:hAnsi="Verdana"/>
          <w:sz w:val="20"/>
          <w:lang w:val="es-MX"/>
        </w:rPr>
        <w:t>FONDOS</w:t>
      </w:r>
      <w:r w:rsidR="009D5888">
        <w:rPr>
          <w:rFonts w:ascii="Verdana" w:hAnsi="Verdana"/>
          <w:sz w:val="20"/>
          <w:lang w:val="es-MX"/>
        </w:rPr>
        <w:t xml:space="preserve"> en marzo de 2002</w:t>
      </w:r>
      <w:r w:rsidR="000A1420">
        <w:rPr>
          <w:rFonts w:ascii="Verdana" w:hAnsi="Verdana"/>
          <w:sz w:val="20"/>
          <w:szCs w:val="20"/>
          <w:lang w:val="es-CR"/>
        </w:rPr>
        <w:t>, encontrándose</w:t>
      </w:r>
      <w:r w:rsidR="009D5888">
        <w:rPr>
          <w:rFonts w:ascii="Verdana" w:hAnsi="Verdana"/>
          <w:sz w:val="20"/>
          <w:szCs w:val="20"/>
          <w:lang w:val="es-CR"/>
        </w:rPr>
        <w:t xml:space="preserve"> pendiente de cumplimiento lo correspondiente al </w:t>
      </w:r>
      <w:r w:rsidR="009D5888">
        <w:rPr>
          <w:rFonts w:ascii="Verdana" w:hAnsi="Verdana"/>
          <w:sz w:val="20"/>
          <w:lang w:val="es-CR"/>
        </w:rPr>
        <w:t>pago de los intereses</w:t>
      </w:r>
      <w:r w:rsidR="00077410">
        <w:rPr>
          <w:rFonts w:ascii="Verdana" w:hAnsi="Verdana"/>
          <w:sz w:val="20"/>
          <w:lang w:val="es-CR"/>
        </w:rPr>
        <w:t xml:space="preserve"> (</w:t>
      </w:r>
      <w:r w:rsidR="00077410" w:rsidRPr="008C489D">
        <w:rPr>
          <w:rFonts w:ascii="Verdana" w:hAnsi="Verdana"/>
          <w:i/>
          <w:sz w:val="20"/>
          <w:szCs w:val="20"/>
          <w:lang w:val="es-CR"/>
        </w:rPr>
        <w:t xml:space="preserve">punto </w:t>
      </w:r>
      <w:r w:rsidR="00077410">
        <w:rPr>
          <w:rFonts w:ascii="Verdana" w:hAnsi="Verdana"/>
          <w:i/>
          <w:sz w:val="20"/>
          <w:szCs w:val="20"/>
          <w:lang w:val="es-CR"/>
        </w:rPr>
        <w:t>dispositivo</w:t>
      </w:r>
      <w:r w:rsidR="00077410" w:rsidRPr="008C489D">
        <w:rPr>
          <w:rFonts w:ascii="Verdana" w:hAnsi="Verdana"/>
          <w:i/>
          <w:sz w:val="20"/>
          <w:szCs w:val="20"/>
          <w:lang w:val="es-CR"/>
        </w:rPr>
        <w:t xml:space="preserve"> </w:t>
      </w:r>
      <w:r w:rsidR="00077410">
        <w:rPr>
          <w:rFonts w:ascii="Verdana" w:hAnsi="Verdana"/>
          <w:i/>
          <w:sz w:val="20"/>
          <w:szCs w:val="20"/>
          <w:lang w:val="es-CR"/>
        </w:rPr>
        <w:t>noveno</w:t>
      </w:r>
      <w:r w:rsidR="00077410" w:rsidRPr="008C489D">
        <w:rPr>
          <w:rFonts w:ascii="Verdana" w:hAnsi="Verdana"/>
          <w:i/>
          <w:sz w:val="20"/>
          <w:szCs w:val="20"/>
          <w:lang w:val="es-CR"/>
        </w:rPr>
        <w:t xml:space="preserve"> de la Sentencia</w:t>
      </w:r>
      <w:r w:rsidR="00077410">
        <w:rPr>
          <w:rFonts w:ascii="Verdana" w:hAnsi="Verdana"/>
          <w:sz w:val="20"/>
          <w:szCs w:val="20"/>
          <w:lang w:val="es-CR"/>
        </w:rPr>
        <w:t>)</w:t>
      </w:r>
      <w:r w:rsidR="008C489D" w:rsidRPr="00F5045E">
        <w:rPr>
          <w:rFonts w:ascii="Verdana" w:hAnsi="Verdana"/>
          <w:sz w:val="20"/>
          <w:szCs w:val="20"/>
          <w:lang w:val="es-CR"/>
        </w:rPr>
        <w:t>.</w:t>
      </w:r>
      <w:r w:rsidR="009D5888">
        <w:rPr>
          <w:rFonts w:ascii="Verdana" w:hAnsi="Verdana"/>
          <w:sz w:val="20"/>
          <w:szCs w:val="20"/>
          <w:lang w:val="es-CR"/>
        </w:rPr>
        <w:t xml:space="preserve"> </w:t>
      </w:r>
    </w:p>
    <w:p w:rsidR="008B1C48" w:rsidRDefault="008B1C48" w:rsidP="00213B82">
      <w:pPr>
        <w:tabs>
          <w:tab w:val="left" w:pos="567"/>
        </w:tabs>
        <w:spacing w:after="120" w:line="240" w:lineRule="auto"/>
        <w:jc w:val="both"/>
        <w:rPr>
          <w:rFonts w:ascii="Verdana" w:hAnsi="Verdana"/>
          <w:sz w:val="20"/>
          <w:szCs w:val="20"/>
          <w:lang w:val="es-CR"/>
        </w:rPr>
      </w:pPr>
    </w:p>
    <w:p w:rsidR="00916774" w:rsidRDefault="00916774" w:rsidP="00213B82">
      <w:pPr>
        <w:numPr>
          <w:ilvl w:val="0"/>
          <w:numId w:val="5"/>
        </w:numPr>
        <w:tabs>
          <w:tab w:val="left" w:pos="567"/>
        </w:tabs>
        <w:spacing w:after="120" w:line="240" w:lineRule="auto"/>
        <w:ind w:left="0" w:firstLine="0"/>
        <w:jc w:val="both"/>
        <w:rPr>
          <w:rFonts w:ascii="Verdana" w:hAnsi="Verdana"/>
          <w:sz w:val="20"/>
          <w:szCs w:val="20"/>
          <w:lang w:val="es-CR"/>
        </w:rPr>
      </w:pPr>
      <w:r w:rsidRPr="009F78E3">
        <w:rPr>
          <w:rFonts w:ascii="Verdana" w:hAnsi="Verdana"/>
          <w:sz w:val="20"/>
          <w:szCs w:val="20"/>
          <w:lang w:val="es-CR"/>
        </w:rPr>
        <w:t>Mantener abierto el procedimiento de supervisión de cumplimiento respecto de la</w:t>
      </w:r>
      <w:r w:rsidR="008C489D">
        <w:rPr>
          <w:rFonts w:ascii="Verdana" w:hAnsi="Verdana"/>
          <w:sz w:val="20"/>
          <w:szCs w:val="20"/>
          <w:lang w:val="es-CR"/>
        </w:rPr>
        <w:t>s</w:t>
      </w:r>
      <w:r w:rsidRPr="009F78E3">
        <w:rPr>
          <w:rFonts w:ascii="Verdana" w:hAnsi="Verdana"/>
          <w:sz w:val="20"/>
          <w:szCs w:val="20"/>
          <w:lang w:val="es-CR"/>
        </w:rPr>
        <w:t xml:space="preserve"> medida</w:t>
      </w:r>
      <w:r w:rsidR="008C489D">
        <w:rPr>
          <w:rFonts w:ascii="Verdana" w:hAnsi="Verdana"/>
          <w:sz w:val="20"/>
          <w:szCs w:val="20"/>
          <w:lang w:val="es-CR"/>
        </w:rPr>
        <w:t>s</w:t>
      </w:r>
      <w:r w:rsidRPr="009F78E3">
        <w:rPr>
          <w:rFonts w:ascii="Verdana" w:hAnsi="Verdana"/>
          <w:sz w:val="20"/>
          <w:szCs w:val="20"/>
          <w:lang w:val="es-CR"/>
        </w:rPr>
        <w:t xml:space="preserve"> </w:t>
      </w:r>
      <w:r w:rsidR="00077410">
        <w:rPr>
          <w:rFonts w:ascii="Verdana" w:hAnsi="Verdana"/>
          <w:sz w:val="20"/>
          <w:szCs w:val="20"/>
          <w:lang w:val="es-CR"/>
        </w:rPr>
        <w:t>siguientes medidas</w:t>
      </w:r>
      <w:r w:rsidRPr="009F78E3">
        <w:rPr>
          <w:rFonts w:ascii="Verdana" w:hAnsi="Verdana"/>
          <w:sz w:val="20"/>
          <w:szCs w:val="20"/>
          <w:lang w:val="es-CR"/>
        </w:rPr>
        <w:t xml:space="preserve">: </w:t>
      </w:r>
    </w:p>
    <w:p w:rsidR="008B1C48" w:rsidRDefault="008B1C48" w:rsidP="00213B82">
      <w:pPr>
        <w:tabs>
          <w:tab w:val="left" w:pos="567"/>
        </w:tabs>
        <w:spacing w:after="120" w:line="240" w:lineRule="auto"/>
        <w:ind w:left="720"/>
        <w:jc w:val="both"/>
        <w:rPr>
          <w:rFonts w:ascii="Verdana" w:hAnsi="Verdana"/>
          <w:sz w:val="20"/>
          <w:szCs w:val="20"/>
          <w:lang w:val="es-CR"/>
        </w:rPr>
      </w:pPr>
    </w:p>
    <w:p w:rsidR="00077410" w:rsidRDefault="00077410" w:rsidP="00213B82">
      <w:pPr>
        <w:numPr>
          <w:ilvl w:val="0"/>
          <w:numId w:val="8"/>
        </w:numPr>
        <w:tabs>
          <w:tab w:val="left" w:pos="567"/>
        </w:tabs>
        <w:spacing w:after="120" w:line="240" w:lineRule="auto"/>
        <w:jc w:val="both"/>
        <w:rPr>
          <w:rFonts w:ascii="Verdana" w:hAnsi="Verdana"/>
          <w:sz w:val="20"/>
          <w:szCs w:val="20"/>
          <w:lang w:val="es-CR"/>
        </w:rPr>
      </w:pPr>
      <w:r>
        <w:rPr>
          <w:rFonts w:ascii="Verdana" w:hAnsi="Verdana"/>
          <w:sz w:val="20"/>
          <w:szCs w:val="20"/>
          <w:lang w:val="es-CR"/>
        </w:rPr>
        <w:t>Pagar los intereses</w:t>
      </w:r>
      <w:r w:rsidRPr="00077410">
        <w:rPr>
          <w:rFonts w:ascii="Verdana" w:hAnsi="Verdana"/>
          <w:sz w:val="20"/>
          <w:lang w:val="es-CR"/>
        </w:rPr>
        <w:t xml:space="preserve"> </w:t>
      </w:r>
      <w:r>
        <w:rPr>
          <w:rFonts w:ascii="Verdana" w:hAnsi="Verdana"/>
          <w:sz w:val="20"/>
          <w:lang w:val="es-CR"/>
        </w:rPr>
        <w:t xml:space="preserve">correspondientes, de conformidad con la normativa interna colombiana, respecto de </w:t>
      </w:r>
      <w:r w:rsidRPr="006C5A75">
        <w:rPr>
          <w:rFonts w:ascii="Verdana" w:hAnsi="Verdana"/>
          <w:sz w:val="20"/>
          <w:lang w:val="es-MX"/>
        </w:rPr>
        <w:t>los pagos</w:t>
      </w:r>
      <w:r>
        <w:rPr>
          <w:rFonts w:ascii="Verdana" w:hAnsi="Verdana"/>
          <w:sz w:val="20"/>
          <w:lang w:val="es-MX"/>
        </w:rPr>
        <w:t xml:space="preserve"> de la pensión de sobrevivencia </w:t>
      </w:r>
      <w:r w:rsidRPr="006C5A75">
        <w:rPr>
          <w:rFonts w:ascii="Verdana" w:hAnsi="Verdana"/>
          <w:sz w:val="20"/>
          <w:lang w:val="es-MX"/>
        </w:rPr>
        <w:t>que no se percibieron desde que el señor Duque presentó la</w:t>
      </w:r>
      <w:r>
        <w:rPr>
          <w:rFonts w:ascii="Verdana" w:hAnsi="Verdana"/>
          <w:sz w:val="20"/>
          <w:lang w:val="es-MX"/>
        </w:rPr>
        <w:t xml:space="preserve"> solicitud de información a COL</w:t>
      </w:r>
      <w:r w:rsidRPr="006C5A75">
        <w:rPr>
          <w:rFonts w:ascii="Verdana" w:hAnsi="Verdana"/>
          <w:sz w:val="20"/>
          <w:lang w:val="es-MX"/>
        </w:rPr>
        <w:t>FONDOS</w:t>
      </w:r>
      <w:r>
        <w:rPr>
          <w:rFonts w:ascii="Verdana" w:hAnsi="Verdana"/>
          <w:sz w:val="20"/>
          <w:lang w:val="es-MX"/>
        </w:rPr>
        <w:t xml:space="preserve"> en marzo de 2002 (</w:t>
      </w:r>
      <w:r>
        <w:rPr>
          <w:rFonts w:ascii="Verdana" w:hAnsi="Verdana"/>
          <w:i/>
          <w:sz w:val="20"/>
          <w:lang w:val="es-MX"/>
        </w:rPr>
        <w:t xml:space="preserve">punto dispositivo </w:t>
      </w:r>
      <w:r w:rsidR="001F0207">
        <w:rPr>
          <w:rFonts w:ascii="Verdana" w:hAnsi="Verdana"/>
          <w:i/>
          <w:sz w:val="20"/>
          <w:lang w:val="es-MX"/>
        </w:rPr>
        <w:t>noveno</w:t>
      </w:r>
      <w:r>
        <w:rPr>
          <w:rFonts w:ascii="Verdana" w:hAnsi="Verdana"/>
          <w:i/>
          <w:sz w:val="20"/>
          <w:lang w:val="es-MX"/>
        </w:rPr>
        <w:t xml:space="preserve"> de la Sentencia</w:t>
      </w:r>
      <w:r>
        <w:rPr>
          <w:rFonts w:ascii="Verdana" w:hAnsi="Verdana"/>
          <w:sz w:val="20"/>
          <w:lang w:val="es-MX"/>
        </w:rPr>
        <w:t>);</w:t>
      </w:r>
    </w:p>
    <w:p w:rsidR="001F0207" w:rsidRDefault="008C489D" w:rsidP="00213B82">
      <w:pPr>
        <w:numPr>
          <w:ilvl w:val="0"/>
          <w:numId w:val="8"/>
        </w:numPr>
        <w:tabs>
          <w:tab w:val="left" w:pos="567"/>
        </w:tabs>
        <w:spacing w:after="120" w:line="240" w:lineRule="auto"/>
        <w:jc w:val="both"/>
        <w:rPr>
          <w:rFonts w:ascii="Verdana" w:hAnsi="Verdana"/>
          <w:sz w:val="20"/>
          <w:szCs w:val="20"/>
          <w:lang w:val="es-CR"/>
        </w:rPr>
      </w:pPr>
      <w:r>
        <w:rPr>
          <w:rFonts w:ascii="Verdana" w:hAnsi="Verdana"/>
          <w:sz w:val="20"/>
          <w:szCs w:val="20"/>
          <w:lang w:val="es-CR"/>
        </w:rPr>
        <w:t xml:space="preserve">Pagar las cantidades fijadas por concepto de indemnización de daño </w:t>
      </w:r>
      <w:r w:rsidR="001F0207">
        <w:rPr>
          <w:rFonts w:ascii="Verdana" w:hAnsi="Verdana"/>
          <w:sz w:val="20"/>
          <w:szCs w:val="20"/>
          <w:lang w:val="es-CR"/>
        </w:rPr>
        <w:t xml:space="preserve">inmaterial </w:t>
      </w:r>
      <w:r w:rsidR="001F0207" w:rsidRPr="008C489D">
        <w:rPr>
          <w:rFonts w:ascii="Verdana" w:hAnsi="Verdana"/>
          <w:i/>
          <w:sz w:val="20"/>
          <w:szCs w:val="20"/>
          <w:lang w:val="es-CR"/>
        </w:rPr>
        <w:t xml:space="preserve">(punto </w:t>
      </w:r>
      <w:r w:rsidR="001F0207">
        <w:rPr>
          <w:rFonts w:ascii="Verdana" w:hAnsi="Verdana"/>
          <w:i/>
          <w:sz w:val="20"/>
          <w:szCs w:val="20"/>
          <w:lang w:val="es-CR"/>
        </w:rPr>
        <w:t>dispositivo</w:t>
      </w:r>
      <w:r w:rsidR="001F0207" w:rsidRPr="008C489D">
        <w:rPr>
          <w:rFonts w:ascii="Verdana" w:hAnsi="Verdana"/>
          <w:i/>
          <w:sz w:val="20"/>
          <w:szCs w:val="20"/>
          <w:lang w:val="es-CR"/>
        </w:rPr>
        <w:t xml:space="preserve"> décimo de la Sentencia)</w:t>
      </w:r>
      <w:r w:rsidR="001F0207">
        <w:rPr>
          <w:rFonts w:ascii="Verdana" w:hAnsi="Verdana"/>
          <w:sz w:val="20"/>
          <w:szCs w:val="20"/>
          <w:lang w:val="es-CR"/>
        </w:rPr>
        <w:t>;</w:t>
      </w:r>
    </w:p>
    <w:p w:rsidR="00916774" w:rsidRDefault="001F0207" w:rsidP="00213B82">
      <w:pPr>
        <w:numPr>
          <w:ilvl w:val="0"/>
          <w:numId w:val="8"/>
        </w:numPr>
        <w:spacing w:after="120" w:line="240" w:lineRule="auto"/>
        <w:jc w:val="both"/>
        <w:rPr>
          <w:rFonts w:ascii="Verdana" w:hAnsi="Verdana"/>
          <w:sz w:val="20"/>
          <w:szCs w:val="20"/>
          <w:lang w:val="es-CR"/>
        </w:rPr>
      </w:pPr>
      <w:r>
        <w:rPr>
          <w:rFonts w:ascii="Verdana" w:hAnsi="Verdana"/>
          <w:sz w:val="20"/>
          <w:szCs w:val="20"/>
          <w:lang w:val="es-CR"/>
        </w:rPr>
        <w:t>Realizar</w:t>
      </w:r>
      <w:r w:rsidR="008C489D">
        <w:rPr>
          <w:rFonts w:ascii="Verdana" w:hAnsi="Verdana"/>
          <w:sz w:val="20"/>
          <w:szCs w:val="20"/>
          <w:lang w:val="es-CR"/>
        </w:rPr>
        <w:t xml:space="preserve"> el reintegro de costas y gastos </w:t>
      </w:r>
      <w:r w:rsidR="00916774" w:rsidRPr="008C489D">
        <w:rPr>
          <w:rFonts w:ascii="Verdana" w:hAnsi="Verdana"/>
          <w:i/>
          <w:sz w:val="20"/>
          <w:szCs w:val="20"/>
          <w:lang w:val="es-CR"/>
        </w:rPr>
        <w:t xml:space="preserve">(punto </w:t>
      </w:r>
      <w:r w:rsidR="002B7261">
        <w:rPr>
          <w:rFonts w:ascii="Verdana" w:hAnsi="Verdana"/>
          <w:i/>
          <w:sz w:val="20"/>
          <w:szCs w:val="20"/>
          <w:lang w:val="es-CR"/>
        </w:rPr>
        <w:t>dispositivo</w:t>
      </w:r>
      <w:r w:rsidR="002B7261" w:rsidRPr="008C489D">
        <w:rPr>
          <w:rFonts w:ascii="Verdana" w:hAnsi="Verdana"/>
          <w:i/>
          <w:sz w:val="20"/>
          <w:szCs w:val="20"/>
          <w:lang w:val="es-CR"/>
        </w:rPr>
        <w:t xml:space="preserve"> </w:t>
      </w:r>
      <w:r w:rsidR="008C489D" w:rsidRPr="008C489D">
        <w:rPr>
          <w:rFonts w:ascii="Verdana" w:hAnsi="Verdana"/>
          <w:i/>
          <w:sz w:val="20"/>
          <w:szCs w:val="20"/>
          <w:lang w:val="es-CR"/>
        </w:rPr>
        <w:t>décimo</w:t>
      </w:r>
      <w:r w:rsidR="00916774" w:rsidRPr="008C489D">
        <w:rPr>
          <w:rFonts w:ascii="Verdana" w:hAnsi="Verdana"/>
          <w:i/>
          <w:sz w:val="20"/>
          <w:szCs w:val="20"/>
          <w:lang w:val="es-CR"/>
        </w:rPr>
        <w:t xml:space="preserve"> de la Sentencia)</w:t>
      </w:r>
      <w:r w:rsidR="00916774" w:rsidRPr="009929D5">
        <w:rPr>
          <w:rFonts w:ascii="Verdana" w:hAnsi="Verdana"/>
          <w:sz w:val="20"/>
          <w:szCs w:val="20"/>
          <w:lang w:val="es-CR"/>
        </w:rPr>
        <w:t>, y</w:t>
      </w:r>
    </w:p>
    <w:p w:rsidR="00916774" w:rsidRPr="009929D5" w:rsidRDefault="008C489D" w:rsidP="00213B82">
      <w:pPr>
        <w:numPr>
          <w:ilvl w:val="0"/>
          <w:numId w:val="8"/>
        </w:numPr>
        <w:tabs>
          <w:tab w:val="left" w:pos="720"/>
        </w:tabs>
        <w:spacing w:after="120" w:line="240" w:lineRule="auto"/>
        <w:jc w:val="both"/>
        <w:rPr>
          <w:rFonts w:ascii="Verdana" w:hAnsi="Verdana"/>
          <w:sz w:val="20"/>
          <w:szCs w:val="20"/>
          <w:lang w:val="es-CR"/>
        </w:rPr>
      </w:pPr>
      <w:r>
        <w:rPr>
          <w:rFonts w:ascii="Verdana" w:hAnsi="Verdana"/>
          <w:sz w:val="20"/>
          <w:szCs w:val="20"/>
          <w:lang w:val="es-CR"/>
        </w:rPr>
        <w:t xml:space="preserve">Reintegrar al Fondo de Asistencia Legal de Víctimas la cantidad erogada durante la tramitación del presente caso </w:t>
      </w:r>
      <w:r w:rsidR="00916774" w:rsidRPr="008C489D">
        <w:rPr>
          <w:rFonts w:ascii="Verdana" w:hAnsi="Verdana"/>
          <w:i/>
          <w:sz w:val="20"/>
          <w:szCs w:val="20"/>
          <w:lang w:val="es-CR"/>
        </w:rPr>
        <w:t xml:space="preserve">(punto </w:t>
      </w:r>
      <w:r w:rsidR="002B7261">
        <w:rPr>
          <w:rFonts w:ascii="Verdana" w:hAnsi="Verdana"/>
          <w:i/>
          <w:sz w:val="20"/>
          <w:szCs w:val="20"/>
          <w:lang w:val="es-CR"/>
        </w:rPr>
        <w:t>dispositivo</w:t>
      </w:r>
      <w:r w:rsidR="002B7261" w:rsidRPr="008C489D">
        <w:rPr>
          <w:rFonts w:ascii="Verdana" w:hAnsi="Verdana"/>
          <w:i/>
          <w:sz w:val="20"/>
          <w:szCs w:val="20"/>
          <w:lang w:val="es-CR"/>
        </w:rPr>
        <w:t xml:space="preserve"> </w:t>
      </w:r>
      <w:r w:rsidRPr="008C489D">
        <w:rPr>
          <w:rFonts w:ascii="Verdana" w:hAnsi="Verdana"/>
          <w:i/>
          <w:sz w:val="20"/>
          <w:szCs w:val="20"/>
          <w:lang w:val="es-CR"/>
        </w:rPr>
        <w:t>décimo primero</w:t>
      </w:r>
      <w:r w:rsidR="00916774" w:rsidRPr="008C489D">
        <w:rPr>
          <w:rFonts w:ascii="Verdana" w:hAnsi="Verdana"/>
          <w:i/>
          <w:sz w:val="20"/>
          <w:szCs w:val="20"/>
          <w:lang w:val="es-CR"/>
        </w:rPr>
        <w:t xml:space="preserve"> de la Sentencia).</w:t>
      </w:r>
    </w:p>
    <w:p w:rsidR="008B1C48" w:rsidRDefault="008B1C48" w:rsidP="00213B82">
      <w:pPr>
        <w:tabs>
          <w:tab w:val="left" w:pos="567"/>
        </w:tabs>
        <w:spacing w:after="120" w:line="240" w:lineRule="auto"/>
        <w:jc w:val="both"/>
        <w:rPr>
          <w:rFonts w:ascii="Verdana" w:hAnsi="Verdana"/>
          <w:sz w:val="20"/>
          <w:szCs w:val="20"/>
          <w:lang w:val="es-CR"/>
        </w:rPr>
      </w:pPr>
    </w:p>
    <w:p w:rsidR="00E0178D" w:rsidRPr="00E0178D" w:rsidRDefault="00E0178D" w:rsidP="00213B82">
      <w:pPr>
        <w:numPr>
          <w:ilvl w:val="0"/>
          <w:numId w:val="5"/>
        </w:numPr>
        <w:tabs>
          <w:tab w:val="left" w:pos="567"/>
        </w:tabs>
        <w:spacing w:after="120" w:line="240" w:lineRule="auto"/>
        <w:ind w:left="0" w:hanging="11"/>
        <w:jc w:val="both"/>
        <w:rPr>
          <w:rFonts w:ascii="Verdana" w:hAnsi="Verdana"/>
          <w:sz w:val="20"/>
          <w:szCs w:val="20"/>
          <w:lang w:val="es-CR"/>
        </w:rPr>
      </w:pPr>
      <w:r w:rsidRPr="00C11B52">
        <w:rPr>
          <w:rFonts w:ascii="Verdana" w:hAnsi="Verdana"/>
          <w:sz w:val="20"/>
          <w:szCs w:val="20"/>
          <w:lang w:val="es-CR"/>
        </w:rPr>
        <w:t>Disponer que el Estado adopte, en definitiva y a la mayor brevedad, las medidas que sean necesarias para dar efectivo y pronto cumplimiento a los puntos pendientes de la Sentencia de excepciones preliminares, fondo, reparaciones y costas emitida en el presente caso, de acuerdo con lo considerado en la presente Resolución, y con lo estipulado en el artículo 68.1 de la Convención Americana sobre Derechos Humanos.</w:t>
      </w:r>
    </w:p>
    <w:p w:rsidR="008B1C48" w:rsidRPr="008B1C48" w:rsidRDefault="008B1C48" w:rsidP="00213B82">
      <w:pPr>
        <w:tabs>
          <w:tab w:val="left" w:pos="567"/>
        </w:tabs>
        <w:spacing w:after="120" w:line="240" w:lineRule="auto"/>
        <w:jc w:val="both"/>
        <w:rPr>
          <w:rFonts w:ascii="Verdana" w:hAnsi="Verdana"/>
          <w:sz w:val="20"/>
          <w:lang w:val="es-CR"/>
        </w:rPr>
      </w:pPr>
    </w:p>
    <w:p w:rsidR="008B1C48" w:rsidRPr="008B1C48" w:rsidRDefault="00916774" w:rsidP="00213B82">
      <w:pPr>
        <w:numPr>
          <w:ilvl w:val="0"/>
          <w:numId w:val="5"/>
        </w:numPr>
        <w:tabs>
          <w:tab w:val="left" w:pos="567"/>
        </w:tabs>
        <w:spacing w:after="120" w:line="240" w:lineRule="auto"/>
        <w:ind w:left="0" w:hanging="11"/>
        <w:jc w:val="both"/>
        <w:rPr>
          <w:rFonts w:ascii="Verdana" w:hAnsi="Verdana"/>
          <w:sz w:val="20"/>
          <w:lang w:val="es-CR"/>
        </w:rPr>
      </w:pPr>
      <w:r w:rsidRPr="009F78E3">
        <w:rPr>
          <w:rFonts w:ascii="Verdana" w:hAnsi="Verdana"/>
          <w:sz w:val="20"/>
          <w:szCs w:val="20"/>
          <w:lang w:val="es-CR"/>
        </w:rPr>
        <w:t xml:space="preserve">Disponer que el Estado presente a la Corte Interamericana de Derechos Humanos, a más tardar el </w:t>
      </w:r>
      <w:r w:rsidR="00935C33">
        <w:rPr>
          <w:rFonts w:ascii="Verdana" w:hAnsi="Verdana"/>
          <w:sz w:val="20"/>
          <w:szCs w:val="20"/>
          <w:lang w:val="es-CR"/>
        </w:rPr>
        <w:t>22</w:t>
      </w:r>
      <w:r w:rsidR="00C11B52" w:rsidRPr="009F78E3">
        <w:rPr>
          <w:rFonts w:ascii="Verdana" w:hAnsi="Verdana"/>
          <w:sz w:val="20"/>
          <w:szCs w:val="20"/>
          <w:lang w:val="es-CR"/>
        </w:rPr>
        <w:t xml:space="preserve"> </w:t>
      </w:r>
      <w:r w:rsidRPr="009F78E3">
        <w:rPr>
          <w:rFonts w:ascii="Verdana" w:hAnsi="Verdana"/>
          <w:sz w:val="20"/>
          <w:szCs w:val="20"/>
          <w:lang w:val="es-CR"/>
        </w:rPr>
        <w:t xml:space="preserve">de </w:t>
      </w:r>
      <w:r w:rsidR="00935C33">
        <w:rPr>
          <w:rFonts w:ascii="Verdana" w:hAnsi="Verdana"/>
          <w:sz w:val="20"/>
          <w:szCs w:val="20"/>
          <w:lang w:val="es-CR"/>
        </w:rPr>
        <w:t>febrero</w:t>
      </w:r>
      <w:r w:rsidR="00C11B52">
        <w:rPr>
          <w:rFonts w:ascii="Verdana" w:hAnsi="Verdana"/>
          <w:sz w:val="20"/>
          <w:szCs w:val="20"/>
          <w:lang w:val="es-CR"/>
        </w:rPr>
        <w:t xml:space="preserve"> </w:t>
      </w:r>
      <w:r>
        <w:rPr>
          <w:rFonts w:ascii="Verdana" w:hAnsi="Verdana"/>
          <w:sz w:val="20"/>
          <w:szCs w:val="20"/>
          <w:lang w:val="es-CR"/>
        </w:rPr>
        <w:t>de 201</w:t>
      </w:r>
      <w:r w:rsidR="00C11B52">
        <w:rPr>
          <w:rFonts w:ascii="Verdana" w:hAnsi="Verdana"/>
          <w:sz w:val="20"/>
          <w:szCs w:val="20"/>
          <w:lang w:val="es-CR"/>
        </w:rPr>
        <w:t>9</w:t>
      </w:r>
      <w:r w:rsidRPr="00C11B52">
        <w:rPr>
          <w:rFonts w:ascii="Verdana" w:hAnsi="Verdana"/>
          <w:sz w:val="20"/>
          <w:szCs w:val="20"/>
          <w:lang w:val="es-CR"/>
        </w:rPr>
        <w:t xml:space="preserve">, un informe sobre el cumplimiento de las reparaciones ordenadas </w:t>
      </w:r>
      <w:r w:rsidR="00C11B52">
        <w:rPr>
          <w:rFonts w:ascii="Verdana" w:hAnsi="Verdana"/>
          <w:sz w:val="20"/>
          <w:szCs w:val="20"/>
          <w:lang w:val="es-CR"/>
        </w:rPr>
        <w:t>por esta Corte que se encuentran pendientes de cumplimiento</w:t>
      </w:r>
      <w:r w:rsidRPr="00C11B52">
        <w:rPr>
          <w:rFonts w:ascii="Verdana" w:hAnsi="Verdana"/>
          <w:sz w:val="20"/>
          <w:szCs w:val="20"/>
          <w:lang w:val="es-CR"/>
        </w:rPr>
        <w:t xml:space="preserve">, de conformidad con lo indicado en los Considerandos </w:t>
      </w:r>
      <w:r w:rsidR="00935C33">
        <w:rPr>
          <w:rFonts w:ascii="Verdana" w:hAnsi="Verdana"/>
          <w:sz w:val="20"/>
          <w:szCs w:val="20"/>
          <w:lang w:val="es-CR"/>
        </w:rPr>
        <w:t>8 a 17, 19 y 20 y 23 a 25</w:t>
      </w:r>
      <w:r w:rsidR="00C11B52">
        <w:rPr>
          <w:rFonts w:ascii="Verdana" w:hAnsi="Verdana"/>
          <w:sz w:val="20"/>
          <w:szCs w:val="20"/>
          <w:lang w:val="es-CR"/>
        </w:rPr>
        <w:t xml:space="preserve"> así como con los puntos resolutivos </w:t>
      </w:r>
      <w:r w:rsidR="00935C33">
        <w:rPr>
          <w:rFonts w:ascii="Verdana" w:hAnsi="Verdana"/>
          <w:sz w:val="20"/>
          <w:szCs w:val="20"/>
          <w:lang w:val="es-CR"/>
        </w:rPr>
        <w:t>2 y 3</w:t>
      </w:r>
      <w:r w:rsidR="00C11B52">
        <w:rPr>
          <w:rFonts w:ascii="Verdana" w:hAnsi="Verdana"/>
          <w:sz w:val="20"/>
          <w:szCs w:val="20"/>
          <w:lang w:val="es-CR"/>
        </w:rPr>
        <w:t xml:space="preserve"> </w:t>
      </w:r>
      <w:r w:rsidRPr="00C11B52">
        <w:rPr>
          <w:rFonts w:ascii="Verdana" w:hAnsi="Verdana"/>
          <w:sz w:val="20"/>
          <w:szCs w:val="20"/>
          <w:lang w:val="es-CR"/>
        </w:rPr>
        <w:t xml:space="preserve">de la presente Resolución. </w:t>
      </w:r>
    </w:p>
    <w:p w:rsidR="008B1C48" w:rsidRDefault="008B1C48" w:rsidP="00213B82">
      <w:pPr>
        <w:tabs>
          <w:tab w:val="left" w:pos="567"/>
        </w:tabs>
        <w:spacing w:after="120" w:line="240" w:lineRule="auto"/>
        <w:jc w:val="both"/>
        <w:rPr>
          <w:rFonts w:ascii="Verdana" w:hAnsi="Verdana"/>
          <w:sz w:val="20"/>
          <w:lang w:val="es-CR"/>
        </w:rPr>
      </w:pPr>
    </w:p>
    <w:p w:rsidR="00CB6C7E" w:rsidRDefault="00916774" w:rsidP="00213B82">
      <w:pPr>
        <w:numPr>
          <w:ilvl w:val="0"/>
          <w:numId w:val="5"/>
        </w:numPr>
        <w:tabs>
          <w:tab w:val="left" w:pos="567"/>
        </w:tabs>
        <w:spacing w:after="120" w:line="240" w:lineRule="auto"/>
        <w:ind w:left="0" w:hanging="11"/>
        <w:jc w:val="both"/>
        <w:rPr>
          <w:rFonts w:ascii="Verdana" w:hAnsi="Verdana"/>
          <w:sz w:val="20"/>
          <w:lang w:val="es-CR"/>
        </w:rPr>
      </w:pPr>
      <w:r w:rsidRPr="00CB6C7E">
        <w:rPr>
          <w:rFonts w:ascii="Verdana" w:hAnsi="Verdana"/>
          <w:sz w:val="20"/>
          <w:lang w:val="es-CR"/>
        </w:rPr>
        <w:t>Disponer que los representantes de la víctima y la Comisión Interamericana de Derechos Humanos presenten observaciones al informe del Estado mencionado en el punto resolutivo anterior, en los plazos de cuatro y seis semanas, respectivamente, contados a partir de la recepción del informe.</w:t>
      </w:r>
    </w:p>
    <w:p w:rsidR="008B1C48" w:rsidRDefault="008B1C48" w:rsidP="00213B82">
      <w:pPr>
        <w:tabs>
          <w:tab w:val="left" w:pos="567"/>
        </w:tabs>
        <w:spacing w:after="120" w:line="240" w:lineRule="auto"/>
        <w:jc w:val="both"/>
        <w:rPr>
          <w:rFonts w:ascii="Verdana" w:hAnsi="Verdana"/>
          <w:sz w:val="20"/>
          <w:lang w:val="es-CR"/>
        </w:rPr>
      </w:pPr>
    </w:p>
    <w:p w:rsidR="009C18FA" w:rsidRDefault="00916774" w:rsidP="00213B82">
      <w:pPr>
        <w:numPr>
          <w:ilvl w:val="0"/>
          <w:numId w:val="5"/>
        </w:numPr>
        <w:tabs>
          <w:tab w:val="left" w:pos="567"/>
        </w:tabs>
        <w:spacing w:after="120" w:line="240" w:lineRule="auto"/>
        <w:ind w:left="0" w:hanging="11"/>
        <w:jc w:val="both"/>
        <w:rPr>
          <w:rFonts w:ascii="Verdana" w:hAnsi="Verdana"/>
          <w:sz w:val="20"/>
          <w:lang w:val="es-CR"/>
        </w:rPr>
      </w:pPr>
      <w:r w:rsidRPr="00CB6C7E">
        <w:rPr>
          <w:rFonts w:ascii="Verdana" w:hAnsi="Verdana"/>
          <w:sz w:val="20"/>
          <w:lang w:val="es-CR"/>
        </w:rPr>
        <w:t>Disponer que la Secretaría de la Corte notifique la presente Resolución al Estado, a los representantes de la víctima y a la Comisión Interamericana de Derechos Humanos.</w:t>
      </w:r>
    </w:p>
    <w:p w:rsidR="00674013" w:rsidRDefault="00674013" w:rsidP="00674013">
      <w:pPr>
        <w:pStyle w:val="ListParagraph"/>
        <w:rPr>
          <w:rFonts w:ascii="Verdana" w:hAnsi="Verdana"/>
          <w:sz w:val="20"/>
          <w:lang w:val="es-CR"/>
        </w:rPr>
      </w:pPr>
    </w:p>
    <w:p w:rsidR="00674013" w:rsidRDefault="00674013" w:rsidP="00674013">
      <w:pPr>
        <w:tabs>
          <w:tab w:val="left" w:pos="567"/>
        </w:tabs>
        <w:spacing w:after="120" w:line="240" w:lineRule="auto"/>
        <w:jc w:val="both"/>
        <w:rPr>
          <w:rFonts w:ascii="Verdana" w:hAnsi="Verdana"/>
          <w:sz w:val="20"/>
          <w:lang w:val="es-CR"/>
        </w:rPr>
      </w:pPr>
    </w:p>
    <w:p w:rsidR="00674013" w:rsidRDefault="00674013" w:rsidP="00674013">
      <w:pPr>
        <w:tabs>
          <w:tab w:val="left" w:pos="567"/>
        </w:tabs>
        <w:spacing w:after="120" w:line="240" w:lineRule="auto"/>
        <w:jc w:val="both"/>
        <w:rPr>
          <w:rFonts w:ascii="Verdana" w:hAnsi="Verdana"/>
          <w:sz w:val="20"/>
          <w:lang w:val="es-CR"/>
        </w:rPr>
      </w:pPr>
    </w:p>
    <w:p w:rsidR="00674013" w:rsidRPr="00674013" w:rsidRDefault="00674013" w:rsidP="00674013">
      <w:pPr>
        <w:keepNext/>
        <w:jc w:val="both"/>
        <w:outlineLvl w:val="0"/>
        <w:rPr>
          <w:rFonts w:ascii="Verdana" w:hAnsi="Verdana" w:cs="Verdana"/>
          <w:b/>
          <w:bCs/>
          <w:sz w:val="20"/>
          <w:lang w:val="es-ES"/>
        </w:rPr>
      </w:pPr>
      <w:r w:rsidRPr="00094492">
        <w:rPr>
          <w:rFonts w:ascii="Verdana" w:hAnsi="Verdana" w:cs="Courier New"/>
          <w:noProof/>
          <w:sz w:val="20"/>
          <w:lang w:val="es-AR"/>
        </w:rPr>
        <w:lastRenderedPageBreak/>
        <w:t xml:space="preserve">Corte IDH. </w:t>
      </w:r>
      <w:r w:rsidRPr="00094492">
        <w:rPr>
          <w:rFonts w:ascii="Verdana" w:hAnsi="Verdana"/>
          <w:bCs/>
          <w:i/>
          <w:sz w:val="20"/>
          <w:lang w:val="es-CR"/>
        </w:rPr>
        <w:t xml:space="preserve">Caso </w:t>
      </w:r>
      <w:r>
        <w:rPr>
          <w:rFonts w:ascii="Verdana" w:hAnsi="Verdana"/>
          <w:bCs/>
          <w:i/>
          <w:sz w:val="20"/>
          <w:lang w:val="es-CR"/>
        </w:rPr>
        <w:t>Duque</w:t>
      </w:r>
      <w:r w:rsidRPr="00094492">
        <w:rPr>
          <w:rFonts w:ascii="Verdana" w:hAnsi="Verdana"/>
          <w:bCs/>
          <w:i/>
          <w:sz w:val="20"/>
          <w:lang w:val="es-CR"/>
        </w:rPr>
        <w:t xml:space="preserve"> Vs. Colombia.</w:t>
      </w:r>
      <w:r w:rsidRPr="00094492">
        <w:rPr>
          <w:rFonts w:ascii="Verdana" w:hAnsi="Verdana"/>
          <w:sz w:val="20"/>
          <w:lang w:val="es-CR"/>
        </w:rPr>
        <w:t xml:space="preserve"> Supervisión de cumplimiento de sentencia. </w:t>
      </w:r>
      <w:r w:rsidRPr="00094492">
        <w:rPr>
          <w:rFonts w:ascii="Verdana" w:hAnsi="Verdana"/>
          <w:bCs/>
          <w:sz w:val="20"/>
          <w:lang w:val="es-CR"/>
        </w:rPr>
        <w:t>Resolución de la Corte Interamericana de Derechos Humanos de 22 de noviembre de 2018.</w:t>
      </w:r>
    </w:p>
    <w:p w:rsidR="00674013" w:rsidRDefault="00674013" w:rsidP="00674013">
      <w:pPr>
        <w:jc w:val="center"/>
        <w:rPr>
          <w:rFonts w:ascii="Verdana" w:hAnsi="Verdana"/>
          <w:sz w:val="20"/>
          <w:lang w:val="es-ES"/>
        </w:rPr>
      </w:pPr>
    </w:p>
    <w:p w:rsidR="00674013" w:rsidRDefault="00674013" w:rsidP="00674013">
      <w:pPr>
        <w:jc w:val="center"/>
        <w:rPr>
          <w:rFonts w:ascii="Verdana" w:hAnsi="Verdana"/>
          <w:sz w:val="20"/>
          <w:lang w:val="pt-BR"/>
        </w:rPr>
      </w:pPr>
      <w:r w:rsidRPr="00D0325C">
        <w:rPr>
          <w:rFonts w:ascii="Verdana" w:hAnsi="Verdana"/>
          <w:sz w:val="20"/>
          <w:lang w:val="pt-BR"/>
        </w:rPr>
        <w:t xml:space="preserve">Eduardo Ferrer Mac-Gregor Poisot </w:t>
      </w:r>
    </w:p>
    <w:p w:rsidR="00674013" w:rsidRDefault="00674013" w:rsidP="00674013">
      <w:pPr>
        <w:jc w:val="center"/>
        <w:rPr>
          <w:rFonts w:ascii="Verdana" w:hAnsi="Verdana"/>
          <w:sz w:val="20"/>
          <w:lang w:val="pt-BR"/>
        </w:rPr>
      </w:pPr>
      <w:r w:rsidRPr="00D0325C">
        <w:rPr>
          <w:rFonts w:ascii="Verdana" w:hAnsi="Verdana"/>
          <w:sz w:val="20"/>
          <w:lang w:val="pt-BR"/>
        </w:rPr>
        <w:t>Presidente</w:t>
      </w:r>
    </w:p>
    <w:p w:rsidR="00674013" w:rsidRPr="00D0325C" w:rsidRDefault="00674013" w:rsidP="00674013">
      <w:pPr>
        <w:jc w:val="both"/>
        <w:rPr>
          <w:rFonts w:ascii="Verdana" w:hAnsi="Verdana"/>
          <w:sz w:val="20"/>
          <w:lang w:val="pt-BR"/>
        </w:rPr>
      </w:pPr>
    </w:p>
    <w:p w:rsidR="00674013" w:rsidRPr="00D0325C" w:rsidRDefault="00674013" w:rsidP="00674013">
      <w:pPr>
        <w:jc w:val="center"/>
        <w:rPr>
          <w:rFonts w:ascii="Verdana" w:hAnsi="Verdana"/>
          <w:sz w:val="20"/>
          <w:lang w:val="pt-BR"/>
        </w:rPr>
      </w:pPr>
      <w:r w:rsidRPr="00D0325C">
        <w:rPr>
          <w:rFonts w:ascii="Verdana" w:hAnsi="Verdana"/>
          <w:sz w:val="20"/>
          <w:lang w:val="pt-BR"/>
        </w:rPr>
        <w:t>Eduardo Vio Grossi</w:t>
      </w:r>
      <w:r w:rsidRPr="006E102A">
        <w:rPr>
          <w:rFonts w:ascii="Verdana" w:hAnsi="Verdana"/>
          <w:sz w:val="20"/>
          <w:lang w:val="pt-BR"/>
        </w:rPr>
        <w:t xml:space="preserve"> </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w:t>
      </w:r>
      <w:r w:rsidRPr="00D0325C">
        <w:rPr>
          <w:rFonts w:ascii="Verdana" w:hAnsi="Verdana"/>
          <w:sz w:val="20"/>
          <w:lang w:val="pt-BR"/>
        </w:rPr>
        <w:t>Elizabeth Odio Benito</w:t>
      </w:r>
    </w:p>
    <w:p w:rsidR="00674013" w:rsidRPr="00D0325C" w:rsidRDefault="00674013" w:rsidP="00674013">
      <w:pPr>
        <w:jc w:val="both"/>
        <w:rPr>
          <w:rFonts w:ascii="Verdana" w:hAnsi="Verdana"/>
          <w:sz w:val="20"/>
          <w:lang w:val="pt-BR"/>
        </w:rPr>
      </w:pPr>
    </w:p>
    <w:p w:rsidR="00674013" w:rsidRPr="00D0325C" w:rsidRDefault="00674013" w:rsidP="00674013">
      <w:pPr>
        <w:jc w:val="both"/>
        <w:rPr>
          <w:rFonts w:ascii="Verdana" w:hAnsi="Verdana"/>
          <w:sz w:val="20"/>
          <w:lang w:val="pt-BR"/>
        </w:rPr>
      </w:pPr>
    </w:p>
    <w:p w:rsidR="00674013" w:rsidRPr="00D0325C" w:rsidRDefault="00674013" w:rsidP="00674013">
      <w:pPr>
        <w:jc w:val="center"/>
        <w:rPr>
          <w:rFonts w:ascii="Verdana" w:hAnsi="Verdana"/>
          <w:sz w:val="20"/>
          <w:lang w:val="pt-BR"/>
        </w:rPr>
      </w:pPr>
      <w:r w:rsidRPr="00D0325C">
        <w:rPr>
          <w:rFonts w:ascii="Verdana" w:hAnsi="Verdana"/>
          <w:sz w:val="20"/>
          <w:lang w:val="pt-BR"/>
        </w:rPr>
        <w:t>Eugenio Raúl Zaffaroni</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w:t>
      </w:r>
      <w:r w:rsidRPr="00D0325C">
        <w:rPr>
          <w:rFonts w:ascii="Verdana" w:hAnsi="Verdana"/>
          <w:sz w:val="20"/>
          <w:lang w:val="pt-BR"/>
        </w:rPr>
        <w:t>L. Patricio Pazmiño Freire</w:t>
      </w:r>
    </w:p>
    <w:p w:rsidR="00674013" w:rsidRPr="00D0325C" w:rsidRDefault="00674013" w:rsidP="00674013">
      <w:pPr>
        <w:jc w:val="both"/>
        <w:rPr>
          <w:rFonts w:ascii="Verdana" w:hAnsi="Verdana"/>
          <w:sz w:val="20"/>
          <w:lang w:val="pt-BR"/>
        </w:rPr>
      </w:pPr>
    </w:p>
    <w:p w:rsidR="00674013" w:rsidRPr="00D0325C" w:rsidRDefault="00674013" w:rsidP="00674013">
      <w:pPr>
        <w:jc w:val="both"/>
        <w:rPr>
          <w:rFonts w:ascii="Verdana" w:hAnsi="Verdana"/>
          <w:sz w:val="20"/>
          <w:lang w:val="pt-BR"/>
        </w:rPr>
      </w:pPr>
    </w:p>
    <w:p w:rsidR="00674013" w:rsidRPr="004B7A1D" w:rsidRDefault="00674013" w:rsidP="00674013">
      <w:pPr>
        <w:jc w:val="center"/>
        <w:rPr>
          <w:rFonts w:ascii="Verdana" w:hAnsi="Verdana"/>
          <w:sz w:val="20"/>
          <w:lang w:val="es-ES"/>
        </w:rPr>
      </w:pPr>
      <w:r w:rsidRPr="004B7A1D">
        <w:rPr>
          <w:rFonts w:ascii="Verdana" w:hAnsi="Verdana"/>
          <w:sz w:val="20"/>
          <w:lang w:val="es-ES"/>
        </w:rPr>
        <w:t>Pablo Saavedra Alessandri</w:t>
      </w:r>
    </w:p>
    <w:p w:rsidR="00674013" w:rsidRPr="004B7A1D" w:rsidRDefault="00674013" w:rsidP="00674013">
      <w:pPr>
        <w:jc w:val="center"/>
        <w:rPr>
          <w:rFonts w:ascii="Verdana" w:hAnsi="Verdana"/>
          <w:sz w:val="20"/>
          <w:lang w:val="es-ES"/>
        </w:rPr>
      </w:pPr>
      <w:r w:rsidRPr="004B7A1D">
        <w:rPr>
          <w:rFonts w:ascii="Verdana" w:hAnsi="Verdana"/>
          <w:sz w:val="20"/>
          <w:lang w:val="es-ES"/>
        </w:rPr>
        <w:t>Secretario</w:t>
      </w:r>
    </w:p>
    <w:p w:rsidR="00674013" w:rsidRPr="004B7A1D" w:rsidRDefault="00674013" w:rsidP="00674013">
      <w:pPr>
        <w:rPr>
          <w:rFonts w:ascii="Verdana" w:hAnsi="Verdana"/>
          <w:sz w:val="20"/>
          <w:lang w:val="es-ES"/>
        </w:rPr>
      </w:pPr>
    </w:p>
    <w:p w:rsidR="00674013" w:rsidRPr="004B7A1D" w:rsidRDefault="00674013" w:rsidP="00674013">
      <w:pPr>
        <w:pStyle w:val="FootnoteText"/>
        <w:rPr>
          <w:rFonts w:ascii="Verdana" w:hAnsi="Verdana"/>
          <w:lang w:val="es-ES"/>
        </w:rPr>
      </w:pPr>
    </w:p>
    <w:p w:rsidR="00674013" w:rsidRDefault="00674013" w:rsidP="00674013">
      <w:pPr>
        <w:jc w:val="both"/>
        <w:rPr>
          <w:rFonts w:ascii="Verdana" w:hAnsi="Verdana"/>
          <w:sz w:val="20"/>
          <w:lang w:val="es-ES"/>
        </w:rPr>
      </w:pPr>
      <w:r w:rsidRPr="004B7A1D">
        <w:rPr>
          <w:rFonts w:ascii="Verdana" w:hAnsi="Verdana"/>
          <w:sz w:val="20"/>
          <w:lang w:val="es-ES"/>
        </w:rPr>
        <w:t>Comuníquese y ejecútese,</w:t>
      </w:r>
    </w:p>
    <w:p w:rsidR="00674013" w:rsidRPr="004B7A1D" w:rsidRDefault="00674013" w:rsidP="00674013">
      <w:pPr>
        <w:jc w:val="both"/>
        <w:rPr>
          <w:rFonts w:ascii="Verdana" w:hAnsi="Verdana"/>
          <w:sz w:val="20"/>
          <w:lang w:val="es-ES"/>
        </w:rPr>
      </w:pPr>
      <w:bookmarkStart w:id="4" w:name="_GoBack"/>
      <w:bookmarkEnd w:id="4"/>
    </w:p>
    <w:p w:rsidR="00674013" w:rsidRDefault="00674013" w:rsidP="00674013">
      <w:pPr>
        <w:ind w:left="4956"/>
        <w:jc w:val="center"/>
        <w:rPr>
          <w:rFonts w:ascii="Verdana" w:hAnsi="Verdana"/>
          <w:sz w:val="20"/>
          <w:lang w:val="pt-BR"/>
        </w:rPr>
      </w:pPr>
      <w:r w:rsidRPr="00D0325C">
        <w:rPr>
          <w:rFonts w:ascii="Verdana" w:hAnsi="Verdana"/>
          <w:sz w:val="20"/>
          <w:lang w:val="pt-BR"/>
        </w:rPr>
        <w:t xml:space="preserve">Eduardo Ferrer Mac-Gregor Poisot </w:t>
      </w:r>
    </w:p>
    <w:p w:rsidR="00674013" w:rsidRPr="00674013" w:rsidRDefault="00674013" w:rsidP="00674013">
      <w:pPr>
        <w:ind w:left="4956"/>
        <w:jc w:val="center"/>
        <w:rPr>
          <w:rFonts w:ascii="Verdana" w:hAnsi="Verdana"/>
          <w:sz w:val="20"/>
          <w:lang w:val="pt-BR"/>
        </w:rPr>
      </w:pPr>
      <w:r w:rsidRPr="00D0325C">
        <w:rPr>
          <w:rFonts w:ascii="Verdana" w:hAnsi="Verdana"/>
          <w:sz w:val="20"/>
          <w:lang w:val="pt-BR"/>
        </w:rPr>
        <w:t xml:space="preserve">Presidente </w:t>
      </w:r>
    </w:p>
    <w:p w:rsidR="00674013" w:rsidRPr="004B7A1D" w:rsidRDefault="00674013" w:rsidP="00674013">
      <w:pPr>
        <w:jc w:val="both"/>
        <w:rPr>
          <w:rFonts w:ascii="Verdana" w:hAnsi="Verdana"/>
          <w:sz w:val="20"/>
          <w:lang w:val="es-ES"/>
        </w:rPr>
      </w:pPr>
    </w:p>
    <w:p w:rsidR="00674013" w:rsidRPr="004B7A1D" w:rsidRDefault="00674013" w:rsidP="00674013">
      <w:pPr>
        <w:jc w:val="both"/>
        <w:rPr>
          <w:rFonts w:ascii="Verdana" w:hAnsi="Verdana"/>
          <w:sz w:val="20"/>
          <w:lang w:val="es-ES"/>
        </w:rPr>
      </w:pPr>
    </w:p>
    <w:p w:rsidR="00674013" w:rsidRPr="004B7A1D" w:rsidRDefault="00674013" w:rsidP="00674013">
      <w:pPr>
        <w:jc w:val="both"/>
        <w:rPr>
          <w:rFonts w:ascii="Verdana" w:hAnsi="Verdana"/>
          <w:sz w:val="20"/>
          <w:lang w:val="es-ES"/>
        </w:rPr>
      </w:pPr>
      <w:r w:rsidRPr="004B7A1D">
        <w:rPr>
          <w:rFonts w:ascii="Verdana" w:hAnsi="Verdana"/>
          <w:sz w:val="20"/>
          <w:lang w:val="es-ES"/>
        </w:rPr>
        <w:t>Pablo Saavedra Alessandri</w:t>
      </w:r>
    </w:p>
    <w:p w:rsidR="00674013" w:rsidRDefault="00674013" w:rsidP="00674013">
      <w:r w:rsidRPr="004B7A1D">
        <w:rPr>
          <w:rFonts w:ascii="Verdana" w:hAnsi="Verdana"/>
          <w:sz w:val="20"/>
          <w:lang w:val="es-ES"/>
        </w:rPr>
        <w:tab/>
      </w:r>
      <w:r w:rsidRPr="004B7A1D">
        <w:rPr>
          <w:rFonts w:ascii="Verdana" w:hAnsi="Verdana"/>
          <w:sz w:val="20"/>
          <w:lang w:val="es-CR"/>
        </w:rPr>
        <w:t>Secretario</w:t>
      </w:r>
    </w:p>
    <w:p w:rsidR="00674013" w:rsidRPr="00CB6C7E" w:rsidRDefault="00674013" w:rsidP="00674013">
      <w:pPr>
        <w:tabs>
          <w:tab w:val="left" w:pos="567"/>
        </w:tabs>
        <w:spacing w:after="120" w:line="240" w:lineRule="auto"/>
        <w:jc w:val="both"/>
        <w:rPr>
          <w:rFonts w:ascii="Verdana" w:hAnsi="Verdana"/>
          <w:sz w:val="20"/>
          <w:lang w:val="es-CR"/>
        </w:rPr>
      </w:pPr>
    </w:p>
    <w:sectPr w:rsidR="00674013" w:rsidRPr="00CB6C7E" w:rsidSect="00060C95">
      <w:headerReference w:type="defaul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633" w:rsidRDefault="008F1633" w:rsidP="00916774">
      <w:pPr>
        <w:spacing w:after="0" w:line="240" w:lineRule="auto"/>
      </w:pPr>
      <w:r>
        <w:separator/>
      </w:r>
    </w:p>
  </w:endnote>
  <w:endnote w:type="continuationSeparator" w:id="0">
    <w:p w:rsidR="008F1633" w:rsidRDefault="008F1633" w:rsidP="00916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633" w:rsidRDefault="008F1633" w:rsidP="00916774">
      <w:pPr>
        <w:spacing w:after="0" w:line="240" w:lineRule="auto"/>
      </w:pPr>
      <w:r>
        <w:separator/>
      </w:r>
    </w:p>
  </w:footnote>
  <w:footnote w:type="continuationSeparator" w:id="0">
    <w:p w:rsidR="008F1633" w:rsidRDefault="008F1633" w:rsidP="00916774">
      <w:pPr>
        <w:spacing w:after="0" w:line="240" w:lineRule="auto"/>
      </w:pPr>
      <w:r>
        <w:continuationSeparator/>
      </w:r>
    </w:p>
  </w:footnote>
  <w:footnote w:id="1">
    <w:p w:rsidR="005202C6" w:rsidRPr="00325194" w:rsidRDefault="005202C6" w:rsidP="00325194">
      <w:pPr>
        <w:pStyle w:val="FootnoteText"/>
        <w:widowControl w:val="0"/>
        <w:tabs>
          <w:tab w:val="left" w:pos="426"/>
        </w:tabs>
        <w:jc w:val="both"/>
        <w:rPr>
          <w:rFonts w:ascii="Verdana" w:hAnsi="Verdana"/>
          <w:sz w:val="16"/>
          <w:szCs w:val="16"/>
          <w:lang w:val="es-CR"/>
        </w:rPr>
      </w:pPr>
      <w:r w:rsidRPr="00325194">
        <w:rPr>
          <w:rFonts w:ascii="Verdana" w:hAnsi="Verdana"/>
          <w:sz w:val="16"/>
          <w:szCs w:val="16"/>
          <w:vertAlign w:val="superscript"/>
          <w:lang w:val="es-CR"/>
        </w:rPr>
        <w:t>*</w:t>
      </w:r>
      <w:r w:rsidRPr="00325194">
        <w:rPr>
          <w:rFonts w:ascii="Verdana" w:hAnsi="Verdana"/>
          <w:sz w:val="16"/>
          <w:szCs w:val="16"/>
          <w:lang w:val="es-CR"/>
        </w:rPr>
        <w:tab/>
        <w:t xml:space="preserve">El Juez Humberto </w:t>
      </w:r>
      <w:r w:rsidR="00E81A33" w:rsidRPr="00325194">
        <w:rPr>
          <w:rFonts w:ascii="Verdana" w:hAnsi="Verdana"/>
          <w:sz w:val="16"/>
          <w:szCs w:val="16"/>
          <w:lang w:val="es-CR"/>
        </w:rPr>
        <w:t>A.</w:t>
      </w:r>
      <w:r w:rsidRPr="00325194">
        <w:rPr>
          <w:rFonts w:ascii="Verdana" w:hAnsi="Verdana"/>
          <w:sz w:val="16"/>
          <w:szCs w:val="16"/>
          <w:lang w:val="es-CR"/>
        </w:rPr>
        <w:t xml:space="preserve"> Sierra Porto, de nacionalidad colombiana, no participó en </w:t>
      </w:r>
      <w:r w:rsidR="00060C95" w:rsidRPr="00325194">
        <w:rPr>
          <w:rFonts w:ascii="Verdana" w:hAnsi="Verdana"/>
          <w:sz w:val="16"/>
          <w:szCs w:val="16"/>
          <w:lang w:val="es-CR"/>
        </w:rPr>
        <w:t xml:space="preserve">la deliberación y firma de la Sentencia del presente caso, ni en </w:t>
      </w:r>
      <w:r w:rsidRPr="00325194">
        <w:rPr>
          <w:rFonts w:ascii="Verdana" w:hAnsi="Verdana"/>
          <w:sz w:val="16"/>
          <w:szCs w:val="16"/>
          <w:lang w:val="es-CR"/>
        </w:rPr>
        <w:t>el conocimiento y deliberación de la presente Resolución, de conformidad con lo dispuesto en el artículo 19.1 del Reglamento de la Corte.</w:t>
      </w:r>
    </w:p>
  </w:footnote>
  <w:footnote w:id="2">
    <w:p w:rsidR="005202C6" w:rsidRPr="00325194" w:rsidRDefault="005202C6" w:rsidP="00325194">
      <w:pPr>
        <w:pStyle w:val="FootnoteText"/>
        <w:widowControl w:val="0"/>
        <w:tabs>
          <w:tab w:val="left" w:pos="567"/>
        </w:tabs>
        <w:jc w:val="both"/>
        <w:rPr>
          <w:rFonts w:ascii="Verdana" w:hAnsi="Verdana"/>
          <w:color w:val="000000"/>
          <w:sz w:val="16"/>
          <w:szCs w:val="16"/>
          <w:lang w:val="es-CR"/>
        </w:rPr>
      </w:pPr>
      <w:r w:rsidRPr="00325194">
        <w:rPr>
          <w:rStyle w:val="FootnoteReference"/>
          <w:rFonts w:ascii="Verdana" w:hAnsi="Verdana"/>
          <w:color w:val="000000"/>
          <w:sz w:val="16"/>
          <w:szCs w:val="16"/>
        </w:rPr>
        <w:footnoteRef/>
      </w:r>
      <w:r w:rsidRPr="00325194">
        <w:rPr>
          <w:rFonts w:ascii="Verdana" w:hAnsi="Verdana"/>
          <w:color w:val="000000"/>
          <w:sz w:val="16"/>
          <w:szCs w:val="16"/>
          <w:lang w:val="es-CR"/>
        </w:rPr>
        <w:t xml:space="preserve"> </w:t>
      </w:r>
      <w:r w:rsidRPr="00325194">
        <w:rPr>
          <w:rFonts w:ascii="Verdana" w:hAnsi="Verdana"/>
          <w:color w:val="000000"/>
          <w:sz w:val="16"/>
          <w:szCs w:val="16"/>
          <w:lang w:val="es-CR"/>
        </w:rPr>
        <w:tab/>
      </w:r>
      <w:r w:rsidRPr="00325194">
        <w:rPr>
          <w:rFonts w:ascii="Verdana" w:hAnsi="Verdana"/>
          <w:i/>
          <w:color w:val="000000"/>
          <w:sz w:val="16"/>
          <w:szCs w:val="16"/>
          <w:lang w:val="es-CR"/>
        </w:rPr>
        <w:t xml:space="preserve">Cfr. </w:t>
      </w:r>
      <w:r w:rsidRPr="00325194">
        <w:rPr>
          <w:rFonts w:ascii="Verdana" w:hAnsi="Verdana"/>
          <w:bCs/>
          <w:i/>
          <w:sz w:val="16"/>
          <w:szCs w:val="16"/>
          <w:lang w:val="es-CR"/>
        </w:rPr>
        <w:t>Caso Duque Vs. Colombia. Excepciones Preliminares, Fondo, Reparaciones y Costas</w:t>
      </w:r>
      <w:r w:rsidRPr="00325194">
        <w:rPr>
          <w:rFonts w:ascii="Verdana" w:hAnsi="Verdana"/>
          <w:bCs/>
          <w:sz w:val="16"/>
          <w:szCs w:val="16"/>
          <w:lang w:val="es-CR"/>
        </w:rPr>
        <w:t>. Sentencia de 26 de febrero de 2016. Serie C No. 310.</w:t>
      </w:r>
      <w:r w:rsidRPr="00325194">
        <w:rPr>
          <w:rFonts w:ascii="Verdana" w:hAnsi="Verdana"/>
          <w:color w:val="000000"/>
          <w:sz w:val="16"/>
          <w:szCs w:val="16"/>
          <w:lang w:val="es-CR"/>
        </w:rPr>
        <w:t xml:space="preserve"> El texto íntegro de la Sentencia se encuentra disponible en: </w:t>
      </w:r>
      <w:hyperlink r:id="rId1" w:history="1">
        <w:r w:rsidRPr="00325194">
          <w:rPr>
            <w:rStyle w:val="Hyperlink"/>
            <w:rFonts w:ascii="Verdana" w:hAnsi="Verdana"/>
            <w:sz w:val="16"/>
            <w:szCs w:val="16"/>
            <w:lang w:val="es-CR"/>
          </w:rPr>
          <w:t>http://www.corteidh.or.cr/docs/casos/articulos/seriec_310_esp.pdf</w:t>
        </w:r>
      </w:hyperlink>
      <w:r w:rsidRPr="00325194">
        <w:rPr>
          <w:rFonts w:ascii="Verdana" w:hAnsi="Verdana"/>
          <w:color w:val="000000"/>
          <w:sz w:val="16"/>
          <w:szCs w:val="16"/>
          <w:lang w:val="es-CR"/>
        </w:rPr>
        <w:t xml:space="preserve">. La Sentencia fue notificada al Estado el 15 de abril de 2016. </w:t>
      </w:r>
    </w:p>
  </w:footnote>
  <w:footnote w:id="3">
    <w:p w:rsidR="005202C6" w:rsidRPr="00325194" w:rsidRDefault="005202C6" w:rsidP="00325194">
      <w:pPr>
        <w:pStyle w:val="FootnoteText"/>
        <w:widowControl w:val="0"/>
        <w:tabs>
          <w:tab w:val="left" w:pos="426"/>
        </w:tabs>
        <w:jc w:val="both"/>
        <w:rPr>
          <w:rFonts w:ascii="Verdana" w:hAnsi="Verdana"/>
          <w:sz w:val="16"/>
          <w:szCs w:val="16"/>
          <w:lang w:val="es-CR"/>
        </w:rPr>
      </w:pPr>
      <w:r w:rsidRPr="00325194">
        <w:rPr>
          <w:rStyle w:val="FootnoteReference"/>
          <w:rFonts w:ascii="Verdana" w:hAnsi="Verdana"/>
          <w:sz w:val="16"/>
          <w:szCs w:val="16"/>
        </w:rPr>
        <w:footnoteRef/>
      </w:r>
      <w:r w:rsidRPr="00325194">
        <w:rPr>
          <w:rFonts w:ascii="Verdana" w:hAnsi="Verdana"/>
          <w:sz w:val="16"/>
          <w:szCs w:val="16"/>
          <w:lang w:val="es-CR"/>
        </w:rPr>
        <w:t xml:space="preserve"> </w:t>
      </w:r>
      <w:r w:rsidRPr="00325194">
        <w:rPr>
          <w:rFonts w:ascii="Verdana" w:hAnsi="Verdana"/>
          <w:sz w:val="16"/>
          <w:szCs w:val="16"/>
          <w:lang w:val="es-CR"/>
        </w:rPr>
        <w:tab/>
      </w:r>
      <w:r w:rsidRPr="00325194">
        <w:rPr>
          <w:rFonts w:ascii="Verdana" w:hAnsi="Verdana"/>
          <w:i/>
          <w:color w:val="000000"/>
          <w:sz w:val="16"/>
          <w:szCs w:val="16"/>
          <w:lang w:val="es-CR"/>
        </w:rPr>
        <w:t xml:space="preserve">Cfr. </w:t>
      </w:r>
      <w:r w:rsidRPr="00325194">
        <w:rPr>
          <w:rStyle w:val="Strong"/>
          <w:rFonts w:ascii="Verdana" w:hAnsi="Verdana"/>
          <w:b w:val="0"/>
          <w:i/>
          <w:color w:val="000000"/>
          <w:sz w:val="16"/>
          <w:szCs w:val="16"/>
          <w:shd w:val="clear" w:color="auto" w:fill="FFFFFF"/>
          <w:lang w:val="es-CR"/>
        </w:rPr>
        <w:t>Caso Duque Vs. Colombia. Interpretación de la Sentencia de Excepciones Preliminares, Fondo, Reparaciones y Costas</w:t>
      </w:r>
      <w:r w:rsidRPr="00325194">
        <w:rPr>
          <w:rStyle w:val="Strong"/>
          <w:rFonts w:ascii="Verdana" w:hAnsi="Verdana"/>
          <w:b w:val="0"/>
          <w:color w:val="000000"/>
          <w:sz w:val="16"/>
          <w:szCs w:val="16"/>
          <w:shd w:val="clear" w:color="auto" w:fill="FFFFFF"/>
          <w:lang w:val="es-CR"/>
        </w:rPr>
        <w:t xml:space="preserve">. Sentencia de 21 de noviembre de 2016. Serie C No. 322, </w:t>
      </w:r>
      <w:r w:rsidRPr="00325194">
        <w:rPr>
          <w:rStyle w:val="Strong"/>
          <w:rFonts w:ascii="Verdana" w:hAnsi="Verdana"/>
          <w:b w:val="0"/>
          <w:color w:val="000000"/>
          <w:sz w:val="16"/>
          <w:szCs w:val="16"/>
          <w:lang w:val="es-CR"/>
        </w:rPr>
        <w:t>disponible en:</w:t>
      </w:r>
      <w:r w:rsidRPr="00325194">
        <w:rPr>
          <w:rFonts w:ascii="Verdana" w:hAnsi="Verdana"/>
          <w:sz w:val="16"/>
          <w:szCs w:val="16"/>
          <w:lang w:val="es-CR"/>
        </w:rPr>
        <w:t xml:space="preserve"> </w:t>
      </w:r>
      <w:hyperlink r:id="rId2" w:history="1">
        <w:r w:rsidRPr="00325194">
          <w:rPr>
            <w:rStyle w:val="Hyperlink"/>
            <w:rFonts w:ascii="Verdana" w:hAnsi="Verdana"/>
            <w:sz w:val="16"/>
            <w:szCs w:val="16"/>
            <w:lang w:val="es-CR"/>
          </w:rPr>
          <w:t>http://www.corteidh.or.cr/docs/casos/articulos/seriec_322_esp.pdf</w:t>
        </w:r>
      </w:hyperlink>
      <w:r w:rsidRPr="00325194">
        <w:rPr>
          <w:rStyle w:val="Strong"/>
          <w:rFonts w:ascii="Verdana" w:hAnsi="Verdana"/>
          <w:b w:val="0"/>
          <w:color w:val="000000"/>
          <w:sz w:val="16"/>
          <w:szCs w:val="16"/>
          <w:lang w:val="es-CR"/>
        </w:rPr>
        <w:t xml:space="preserve">. </w:t>
      </w:r>
    </w:p>
  </w:footnote>
  <w:footnote w:id="4">
    <w:p w:rsidR="005202C6" w:rsidRPr="00325194" w:rsidRDefault="005202C6" w:rsidP="00325194">
      <w:pPr>
        <w:pStyle w:val="FootnoteText"/>
        <w:widowControl w:val="0"/>
        <w:tabs>
          <w:tab w:val="left" w:pos="426"/>
        </w:tabs>
        <w:jc w:val="both"/>
        <w:rPr>
          <w:rFonts w:ascii="Verdana" w:hAnsi="Verdana"/>
          <w:sz w:val="16"/>
          <w:szCs w:val="16"/>
          <w:lang w:val="es-CR"/>
        </w:rPr>
      </w:pPr>
      <w:r w:rsidRPr="00325194">
        <w:rPr>
          <w:rStyle w:val="FootnoteReference"/>
          <w:rFonts w:ascii="Verdana" w:hAnsi="Verdana"/>
          <w:sz w:val="16"/>
          <w:szCs w:val="16"/>
        </w:rPr>
        <w:footnoteRef/>
      </w:r>
      <w:r w:rsidRPr="00325194">
        <w:rPr>
          <w:rFonts w:ascii="Verdana" w:hAnsi="Verdana"/>
          <w:sz w:val="16"/>
          <w:szCs w:val="16"/>
          <w:lang w:val="es-CR"/>
        </w:rPr>
        <w:t xml:space="preserve"> </w:t>
      </w:r>
      <w:r w:rsidRPr="00325194">
        <w:rPr>
          <w:rFonts w:ascii="Verdana" w:hAnsi="Verdana"/>
          <w:sz w:val="16"/>
          <w:szCs w:val="16"/>
          <w:lang w:val="es-CR"/>
        </w:rPr>
        <w:tab/>
      </w:r>
      <w:r w:rsidRPr="00325194">
        <w:rPr>
          <w:rFonts w:ascii="Verdana" w:hAnsi="Verdana"/>
          <w:i/>
          <w:color w:val="000000"/>
          <w:sz w:val="16"/>
          <w:szCs w:val="16"/>
          <w:lang w:val="es-CR"/>
        </w:rPr>
        <w:t xml:space="preserve">Cfr. </w:t>
      </w:r>
      <w:r w:rsidRPr="00325194">
        <w:rPr>
          <w:rStyle w:val="Strong"/>
          <w:rFonts w:ascii="Verdana" w:hAnsi="Verdana"/>
          <w:b w:val="0"/>
          <w:i/>
          <w:color w:val="000000"/>
          <w:sz w:val="16"/>
          <w:szCs w:val="16"/>
          <w:shd w:val="clear" w:color="auto" w:fill="FFFFFF"/>
          <w:lang w:val="es-CR"/>
        </w:rPr>
        <w:t>Caso Duque Vs. Colombia. Fondo de Asistencia Legal de Víctimas</w:t>
      </w:r>
      <w:r w:rsidRPr="00325194">
        <w:rPr>
          <w:rStyle w:val="Strong"/>
          <w:rFonts w:ascii="Verdana" w:hAnsi="Verdana"/>
          <w:b w:val="0"/>
          <w:color w:val="000000"/>
          <w:sz w:val="16"/>
          <w:szCs w:val="16"/>
          <w:shd w:val="clear" w:color="auto" w:fill="FFFFFF"/>
          <w:lang w:val="es-CR"/>
        </w:rPr>
        <w:t>. Resolución del Presidente de la Corte Interamericana de Derechos Humanos de 7 de octubre de 2016</w:t>
      </w:r>
      <w:r w:rsidR="00106FC6" w:rsidRPr="00325194">
        <w:rPr>
          <w:rStyle w:val="Strong"/>
          <w:rFonts w:ascii="Verdana" w:hAnsi="Verdana"/>
          <w:b w:val="0"/>
          <w:color w:val="000000"/>
          <w:sz w:val="16"/>
          <w:szCs w:val="16"/>
          <w:shd w:val="clear" w:color="auto" w:fill="FFFFFF"/>
          <w:lang w:val="es-CR"/>
        </w:rPr>
        <w:t>,</w:t>
      </w:r>
      <w:r w:rsidRPr="00325194">
        <w:rPr>
          <w:rStyle w:val="Strong"/>
          <w:rFonts w:ascii="Verdana" w:hAnsi="Verdana"/>
          <w:b w:val="0"/>
          <w:color w:val="000000"/>
          <w:sz w:val="16"/>
          <w:szCs w:val="16"/>
          <w:shd w:val="clear" w:color="auto" w:fill="FFFFFF"/>
          <w:lang w:val="es-CR"/>
        </w:rPr>
        <w:t xml:space="preserve"> disponible en: </w:t>
      </w:r>
      <w:hyperlink r:id="rId3" w:history="1">
        <w:r w:rsidRPr="00325194">
          <w:rPr>
            <w:rStyle w:val="Hyperlink"/>
            <w:rFonts w:ascii="Verdana" w:hAnsi="Verdana"/>
            <w:sz w:val="16"/>
            <w:szCs w:val="16"/>
            <w:shd w:val="clear" w:color="auto" w:fill="FFFFFF"/>
            <w:lang w:val="es-CR"/>
          </w:rPr>
          <w:t>http://www.corteidh.or.cr/docs/asuntos/duque_fv_16.pdf</w:t>
        </w:r>
      </w:hyperlink>
      <w:r w:rsidRPr="00325194">
        <w:rPr>
          <w:rStyle w:val="Strong"/>
          <w:rFonts w:ascii="Verdana" w:hAnsi="Verdana"/>
          <w:b w:val="0"/>
          <w:color w:val="000000"/>
          <w:sz w:val="16"/>
          <w:szCs w:val="16"/>
          <w:shd w:val="clear" w:color="auto" w:fill="FFFFFF"/>
          <w:lang w:val="es-CR"/>
        </w:rPr>
        <w:t xml:space="preserve">. </w:t>
      </w:r>
    </w:p>
  </w:footnote>
  <w:footnote w:id="5">
    <w:p w:rsidR="005202C6" w:rsidRPr="00325194" w:rsidRDefault="005202C6" w:rsidP="00325194">
      <w:pPr>
        <w:pStyle w:val="FootnoteText"/>
        <w:widowControl w:val="0"/>
        <w:tabs>
          <w:tab w:val="left" w:pos="426"/>
        </w:tabs>
        <w:jc w:val="both"/>
        <w:rPr>
          <w:rFonts w:ascii="Verdana" w:hAnsi="Verdana"/>
          <w:color w:val="00B050"/>
          <w:sz w:val="16"/>
          <w:szCs w:val="16"/>
          <w:lang w:val="es-CR"/>
        </w:rPr>
      </w:pPr>
      <w:r w:rsidRPr="00325194">
        <w:rPr>
          <w:rStyle w:val="FootnoteReference"/>
          <w:rFonts w:ascii="Verdana" w:hAnsi="Verdana"/>
          <w:sz w:val="16"/>
          <w:szCs w:val="16"/>
        </w:rPr>
        <w:footnoteRef/>
      </w:r>
      <w:r w:rsidR="00C56E1B">
        <w:rPr>
          <w:rFonts w:ascii="Verdana" w:hAnsi="Verdana"/>
          <w:sz w:val="16"/>
          <w:szCs w:val="16"/>
          <w:lang w:val="es-CR"/>
        </w:rPr>
        <w:t xml:space="preserve"> </w:t>
      </w:r>
      <w:r w:rsidR="00C56E1B">
        <w:rPr>
          <w:rFonts w:ascii="Verdana" w:hAnsi="Verdana"/>
          <w:sz w:val="16"/>
          <w:szCs w:val="16"/>
          <w:lang w:val="es-CR"/>
        </w:rPr>
        <w:tab/>
        <w:t>Escritos de 20 de enero</w:t>
      </w:r>
      <w:r w:rsidRPr="00325194">
        <w:rPr>
          <w:rFonts w:ascii="Verdana" w:hAnsi="Verdana"/>
          <w:sz w:val="16"/>
          <w:szCs w:val="16"/>
          <w:lang w:val="es-CR"/>
        </w:rPr>
        <w:t>, 23 de febrero, 20 de abril, 31 de mayo y 10 de octubre de 2017.</w:t>
      </w:r>
    </w:p>
  </w:footnote>
  <w:footnote w:id="6">
    <w:p w:rsidR="005202C6" w:rsidRPr="00325194" w:rsidRDefault="005202C6" w:rsidP="00325194">
      <w:pPr>
        <w:pStyle w:val="FootnoteText"/>
        <w:widowControl w:val="0"/>
        <w:tabs>
          <w:tab w:val="left" w:pos="426"/>
        </w:tabs>
        <w:jc w:val="both"/>
        <w:rPr>
          <w:rFonts w:ascii="Verdana" w:hAnsi="Verdana"/>
          <w:sz w:val="16"/>
          <w:szCs w:val="16"/>
          <w:lang w:val="es-CR"/>
        </w:rPr>
      </w:pPr>
      <w:r w:rsidRPr="00325194">
        <w:rPr>
          <w:rStyle w:val="FootnoteReference"/>
          <w:rFonts w:ascii="Verdana" w:hAnsi="Verdana"/>
          <w:sz w:val="16"/>
          <w:szCs w:val="16"/>
        </w:rPr>
        <w:footnoteRef/>
      </w:r>
      <w:r w:rsidRPr="00325194">
        <w:rPr>
          <w:rFonts w:ascii="Verdana" w:hAnsi="Verdana"/>
          <w:sz w:val="16"/>
          <w:szCs w:val="16"/>
          <w:lang w:val="es-CR"/>
        </w:rPr>
        <w:t xml:space="preserve"> </w:t>
      </w:r>
      <w:r w:rsidRPr="00325194">
        <w:rPr>
          <w:rFonts w:ascii="Verdana" w:hAnsi="Verdana"/>
          <w:sz w:val="16"/>
          <w:szCs w:val="16"/>
          <w:lang w:val="es-CR"/>
        </w:rPr>
        <w:tab/>
        <w:t xml:space="preserve">La víctima del presente caso es representada por la Comisión Colombiana de Juristas y el señor Germán Rincón </w:t>
      </w:r>
      <w:proofErr w:type="spellStart"/>
      <w:r w:rsidRPr="00325194">
        <w:rPr>
          <w:rFonts w:ascii="Verdana" w:hAnsi="Verdana"/>
          <w:sz w:val="16"/>
          <w:szCs w:val="16"/>
          <w:lang w:val="es-CR"/>
        </w:rPr>
        <w:t>Perfetti</w:t>
      </w:r>
      <w:proofErr w:type="spellEnd"/>
      <w:r w:rsidRPr="00325194">
        <w:rPr>
          <w:rFonts w:ascii="Verdana" w:hAnsi="Verdana"/>
          <w:sz w:val="16"/>
          <w:szCs w:val="16"/>
          <w:lang w:val="es-CR"/>
        </w:rPr>
        <w:t>.</w:t>
      </w:r>
    </w:p>
  </w:footnote>
  <w:footnote w:id="7">
    <w:p w:rsidR="005202C6" w:rsidRPr="00325194" w:rsidRDefault="005202C6" w:rsidP="00325194">
      <w:pPr>
        <w:pStyle w:val="FootnoteText"/>
        <w:widowControl w:val="0"/>
        <w:tabs>
          <w:tab w:val="left" w:pos="426"/>
        </w:tabs>
        <w:jc w:val="both"/>
        <w:rPr>
          <w:rFonts w:ascii="Verdana" w:hAnsi="Verdana"/>
          <w:sz w:val="16"/>
          <w:szCs w:val="16"/>
          <w:lang w:val="es-CR"/>
        </w:rPr>
      </w:pPr>
      <w:r w:rsidRPr="00325194">
        <w:rPr>
          <w:rStyle w:val="FootnoteReference"/>
          <w:rFonts w:ascii="Verdana" w:hAnsi="Verdana"/>
          <w:sz w:val="16"/>
          <w:szCs w:val="16"/>
        </w:rPr>
        <w:footnoteRef/>
      </w:r>
      <w:r w:rsidR="00C56E1B">
        <w:rPr>
          <w:rFonts w:ascii="Verdana" w:hAnsi="Verdana"/>
          <w:sz w:val="16"/>
          <w:szCs w:val="16"/>
          <w:lang w:val="es-CR"/>
        </w:rPr>
        <w:t xml:space="preserve"> </w:t>
      </w:r>
      <w:r w:rsidR="00C56E1B">
        <w:rPr>
          <w:rFonts w:ascii="Verdana" w:hAnsi="Verdana"/>
          <w:sz w:val="16"/>
          <w:szCs w:val="16"/>
          <w:lang w:val="es-CR"/>
        </w:rPr>
        <w:tab/>
        <w:t>Escritos de 29 de marzo</w:t>
      </w:r>
      <w:r w:rsidRPr="00325194">
        <w:rPr>
          <w:rFonts w:ascii="Verdana" w:hAnsi="Verdana"/>
          <w:sz w:val="16"/>
          <w:szCs w:val="16"/>
          <w:lang w:val="es-CR"/>
        </w:rPr>
        <w:t xml:space="preserve">, 11 de junio y 25 de julio de 2017, </w:t>
      </w:r>
      <w:r w:rsidR="00C56E1B">
        <w:rPr>
          <w:rFonts w:ascii="Verdana" w:hAnsi="Verdana"/>
          <w:sz w:val="16"/>
          <w:szCs w:val="16"/>
          <w:lang w:val="es-CR"/>
        </w:rPr>
        <w:t>así como 26 de febrero de 2018</w:t>
      </w:r>
      <w:r w:rsidRPr="00325194">
        <w:rPr>
          <w:rFonts w:ascii="Verdana" w:hAnsi="Verdana"/>
          <w:sz w:val="16"/>
          <w:szCs w:val="16"/>
          <w:lang w:val="es-CR"/>
        </w:rPr>
        <w:t xml:space="preserve">. </w:t>
      </w:r>
    </w:p>
  </w:footnote>
  <w:footnote w:id="8">
    <w:p w:rsidR="005202C6" w:rsidRPr="00325194" w:rsidRDefault="005202C6" w:rsidP="00325194">
      <w:pPr>
        <w:pStyle w:val="FootnoteText"/>
        <w:widowControl w:val="0"/>
        <w:tabs>
          <w:tab w:val="left" w:pos="426"/>
        </w:tabs>
        <w:jc w:val="both"/>
        <w:rPr>
          <w:rFonts w:ascii="Verdana" w:hAnsi="Verdana"/>
          <w:sz w:val="16"/>
          <w:szCs w:val="16"/>
          <w:lang w:val="es-CR"/>
        </w:rPr>
      </w:pPr>
      <w:r w:rsidRPr="00325194">
        <w:rPr>
          <w:rStyle w:val="FootnoteReference"/>
          <w:rFonts w:ascii="Verdana" w:hAnsi="Verdana"/>
          <w:sz w:val="16"/>
          <w:szCs w:val="16"/>
        </w:rPr>
        <w:footnoteRef/>
      </w:r>
      <w:r w:rsidRPr="00325194">
        <w:rPr>
          <w:rFonts w:ascii="Verdana" w:hAnsi="Verdana"/>
          <w:sz w:val="16"/>
          <w:szCs w:val="16"/>
          <w:lang w:val="es-CR"/>
        </w:rPr>
        <w:t xml:space="preserve"> </w:t>
      </w:r>
      <w:r w:rsidRPr="00325194">
        <w:rPr>
          <w:rFonts w:ascii="Verdana" w:hAnsi="Verdana"/>
          <w:sz w:val="16"/>
          <w:szCs w:val="16"/>
          <w:lang w:val="es-CR"/>
        </w:rPr>
        <w:tab/>
        <w:t>Escritos de 19 de mayo y 20 de junio de 2017, así como 19 de enero de 2018.</w:t>
      </w:r>
    </w:p>
  </w:footnote>
  <w:footnote w:id="9">
    <w:p w:rsidR="005202C6" w:rsidRPr="00325194" w:rsidRDefault="005202C6" w:rsidP="00325194">
      <w:pPr>
        <w:pStyle w:val="FootnoteText"/>
        <w:widowControl w:val="0"/>
        <w:tabs>
          <w:tab w:val="left" w:pos="426"/>
        </w:tabs>
        <w:jc w:val="both"/>
        <w:rPr>
          <w:rFonts w:ascii="Verdana" w:hAnsi="Verdana"/>
          <w:sz w:val="16"/>
          <w:szCs w:val="16"/>
          <w:lang w:val="es-CR"/>
        </w:rPr>
      </w:pPr>
      <w:r w:rsidRPr="00325194">
        <w:rPr>
          <w:rStyle w:val="FootnoteReference"/>
          <w:rFonts w:ascii="Verdana" w:hAnsi="Verdana"/>
          <w:sz w:val="16"/>
          <w:szCs w:val="16"/>
        </w:rPr>
        <w:footnoteRef/>
      </w:r>
      <w:r w:rsidRPr="00325194">
        <w:rPr>
          <w:rFonts w:ascii="Verdana" w:hAnsi="Verdana"/>
          <w:sz w:val="16"/>
          <w:szCs w:val="16"/>
          <w:lang w:val="es-CR"/>
        </w:rPr>
        <w:t xml:space="preserve"> </w:t>
      </w:r>
      <w:r w:rsidRPr="00325194">
        <w:rPr>
          <w:rFonts w:ascii="Verdana" w:hAnsi="Verdana"/>
          <w:sz w:val="16"/>
          <w:szCs w:val="16"/>
          <w:lang w:val="es-CR"/>
        </w:rPr>
        <w:tab/>
        <w:t xml:space="preserve">Facultad que además </w:t>
      </w:r>
      <w:r w:rsidRPr="00325194">
        <w:rPr>
          <w:rFonts w:ascii="Verdana" w:hAnsi="Verdana"/>
          <w:sz w:val="16"/>
          <w:szCs w:val="16"/>
          <w:lang w:val="es-ES"/>
        </w:rPr>
        <w:t xml:space="preserve">se desprende de lo dispuesto en los artículos 33, 62.1, 62.3 y 65 de la Convención Americana y </w:t>
      </w:r>
      <w:r w:rsidRPr="00325194">
        <w:rPr>
          <w:rFonts w:ascii="Verdana" w:hAnsi="Verdana"/>
          <w:sz w:val="16"/>
          <w:szCs w:val="16"/>
          <w:lang w:val="es-CR"/>
        </w:rPr>
        <w:t>30 de su Estatuto y se encuentra regulada en el artículo 69 de su Reglamento.</w:t>
      </w:r>
    </w:p>
  </w:footnote>
  <w:footnote w:id="10">
    <w:p w:rsidR="005202C6" w:rsidRPr="00325194" w:rsidRDefault="005202C6" w:rsidP="00325194">
      <w:pPr>
        <w:pStyle w:val="FootnoteText"/>
        <w:widowControl w:val="0"/>
        <w:tabs>
          <w:tab w:val="left" w:pos="426"/>
        </w:tabs>
        <w:ind w:right="4"/>
        <w:jc w:val="both"/>
        <w:rPr>
          <w:rFonts w:ascii="Verdana" w:hAnsi="Verdana"/>
          <w:b/>
          <w:color w:val="000000"/>
          <w:sz w:val="16"/>
          <w:szCs w:val="16"/>
          <w:lang w:val="es-CR"/>
        </w:rPr>
      </w:pPr>
      <w:r w:rsidRPr="00325194">
        <w:rPr>
          <w:rStyle w:val="FootnoteReference"/>
          <w:rFonts w:ascii="Verdana" w:hAnsi="Verdana"/>
          <w:sz w:val="16"/>
          <w:szCs w:val="16"/>
        </w:rPr>
        <w:footnoteRef/>
      </w:r>
      <w:r w:rsidRPr="00325194">
        <w:rPr>
          <w:rFonts w:ascii="Verdana" w:hAnsi="Verdana"/>
          <w:i/>
          <w:color w:val="000000"/>
          <w:sz w:val="16"/>
          <w:szCs w:val="16"/>
          <w:lang w:val="es-AR"/>
        </w:rPr>
        <w:t xml:space="preserve"> </w:t>
      </w:r>
      <w:r w:rsidRPr="00325194">
        <w:rPr>
          <w:rFonts w:ascii="Verdana" w:hAnsi="Verdana"/>
          <w:i/>
          <w:color w:val="000000"/>
          <w:sz w:val="16"/>
          <w:szCs w:val="16"/>
          <w:lang w:val="es-AR"/>
        </w:rPr>
        <w:tab/>
        <w:t xml:space="preserve">Cfr. Caso Cinco Pensionistas Vs. Perú. </w:t>
      </w:r>
      <w:r w:rsidRPr="00325194">
        <w:rPr>
          <w:rFonts w:ascii="Verdana" w:hAnsi="Verdana"/>
          <w:i/>
          <w:sz w:val="16"/>
          <w:szCs w:val="16"/>
          <w:lang w:val="es-CR"/>
        </w:rPr>
        <w:t>Supervisión de Cumplimiento de Sentencia</w:t>
      </w:r>
      <w:r w:rsidRPr="00325194">
        <w:rPr>
          <w:rFonts w:ascii="Verdana" w:hAnsi="Verdana"/>
          <w:sz w:val="16"/>
          <w:szCs w:val="16"/>
          <w:lang w:val="es-CR"/>
        </w:rPr>
        <w:t xml:space="preserve">. </w:t>
      </w:r>
      <w:r w:rsidRPr="00325194">
        <w:rPr>
          <w:rFonts w:ascii="Verdana" w:hAnsi="Verdana"/>
          <w:color w:val="000000"/>
          <w:sz w:val="16"/>
          <w:szCs w:val="16"/>
          <w:lang w:val="es-AR"/>
        </w:rPr>
        <w:t xml:space="preserve">Resolución de la Corte </w:t>
      </w:r>
      <w:r w:rsidRPr="00325194">
        <w:rPr>
          <w:rFonts w:ascii="Verdana" w:hAnsi="Verdana"/>
          <w:sz w:val="16"/>
          <w:szCs w:val="16"/>
          <w:lang w:val="es-CR"/>
        </w:rPr>
        <w:t xml:space="preserve">Interamericana de Derechos Humanos </w:t>
      </w:r>
      <w:r w:rsidRPr="00325194">
        <w:rPr>
          <w:rFonts w:ascii="Verdana" w:hAnsi="Verdana"/>
          <w:color w:val="000000"/>
          <w:sz w:val="16"/>
          <w:szCs w:val="16"/>
          <w:lang w:val="es-AR"/>
        </w:rPr>
        <w:t xml:space="preserve">de 17 de noviembre de 2004, Considerando </w:t>
      </w:r>
      <w:r w:rsidR="00A12EBD" w:rsidRPr="00325194">
        <w:rPr>
          <w:rFonts w:ascii="Verdana" w:hAnsi="Verdana"/>
          <w:color w:val="000000"/>
          <w:sz w:val="16"/>
          <w:szCs w:val="16"/>
          <w:lang w:val="es-AR"/>
        </w:rPr>
        <w:t>5</w:t>
      </w:r>
      <w:r w:rsidRPr="00325194">
        <w:rPr>
          <w:rFonts w:ascii="Verdana" w:hAnsi="Verdana"/>
          <w:color w:val="000000"/>
          <w:sz w:val="16"/>
          <w:szCs w:val="16"/>
          <w:lang w:val="es-AR"/>
        </w:rPr>
        <w:t xml:space="preserve">, y </w:t>
      </w:r>
      <w:r w:rsidR="00B33829" w:rsidRPr="00325194">
        <w:rPr>
          <w:rFonts w:ascii="Verdana" w:hAnsi="Verdana"/>
          <w:i/>
          <w:color w:val="000000"/>
          <w:sz w:val="16"/>
          <w:szCs w:val="16"/>
          <w:lang w:val="es-AR"/>
        </w:rPr>
        <w:t>Caso Trabajadores Cesados de Petroperú y otros Vs. Perú. Supervisión de Cumplimiento de Sentencia</w:t>
      </w:r>
      <w:r w:rsidR="00B33829" w:rsidRPr="00325194">
        <w:rPr>
          <w:rFonts w:ascii="Verdana" w:hAnsi="Verdana"/>
          <w:color w:val="000000"/>
          <w:sz w:val="16"/>
          <w:szCs w:val="16"/>
          <w:lang w:val="es-AR"/>
        </w:rPr>
        <w:t xml:space="preserve">. Resolución de la Corte Interamericana de Derechos Humanos de 26 de septiembre de 2018, Considerando </w:t>
      </w:r>
      <w:r w:rsidR="00A12EBD" w:rsidRPr="00325194">
        <w:rPr>
          <w:rFonts w:ascii="Verdana" w:hAnsi="Verdana"/>
          <w:color w:val="000000"/>
          <w:sz w:val="16"/>
          <w:szCs w:val="16"/>
          <w:lang w:val="es-AR"/>
        </w:rPr>
        <w:t>2</w:t>
      </w:r>
      <w:r w:rsidR="00B33829" w:rsidRPr="00325194">
        <w:rPr>
          <w:rFonts w:ascii="Verdana" w:hAnsi="Verdana"/>
          <w:color w:val="000000"/>
          <w:sz w:val="16"/>
          <w:szCs w:val="16"/>
          <w:lang w:val="es-AR"/>
        </w:rPr>
        <w:t>.</w:t>
      </w:r>
    </w:p>
  </w:footnote>
  <w:footnote w:id="11">
    <w:p w:rsidR="005202C6" w:rsidRPr="00325194" w:rsidRDefault="005202C6" w:rsidP="00325194">
      <w:pPr>
        <w:pStyle w:val="FootnoteText"/>
        <w:widowControl w:val="0"/>
        <w:tabs>
          <w:tab w:val="left" w:pos="426"/>
        </w:tabs>
        <w:ind w:right="4"/>
        <w:jc w:val="both"/>
        <w:rPr>
          <w:rFonts w:ascii="Verdana" w:hAnsi="Verdana"/>
          <w:b/>
          <w:color w:val="000000"/>
          <w:sz w:val="16"/>
          <w:szCs w:val="16"/>
          <w:lang w:val="es-CR"/>
        </w:rPr>
      </w:pPr>
      <w:r w:rsidRPr="00325194">
        <w:rPr>
          <w:rStyle w:val="FootnoteReference"/>
          <w:rFonts w:ascii="Verdana" w:hAnsi="Verdana"/>
          <w:sz w:val="16"/>
          <w:szCs w:val="16"/>
        </w:rPr>
        <w:footnoteRef/>
      </w:r>
      <w:r w:rsidRPr="00325194">
        <w:rPr>
          <w:rFonts w:ascii="Verdana" w:hAnsi="Verdana"/>
          <w:sz w:val="16"/>
          <w:szCs w:val="16"/>
          <w:lang w:val="es-CR"/>
        </w:rPr>
        <w:t xml:space="preserve"> </w:t>
      </w:r>
      <w:r w:rsidRPr="00325194">
        <w:rPr>
          <w:rFonts w:ascii="Verdana" w:hAnsi="Verdana"/>
          <w:sz w:val="16"/>
          <w:szCs w:val="16"/>
          <w:lang w:val="es-CR"/>
        </w:rPr>
        <w:tab/>
      </w:r>
      <w:r w:rsidRPr="00325194">
        <w:rPr>
          <w:rFonts w:ascii="Verdana" w:hAnsi="Verdana"/>
          <w:i/>
          <w:sz w:val="16"/>
          <w:szCs w:val="16"/>
          <w:lang w:val="es-CR"/>
        </w:rPr>
        <w:t xml:space="preserve">Cfr. Caso </w:t>
      </w:r>
      <w:proofErr w:type="spellStart"/>
      <w:r w:rsidRPr="00325194">
        <w:rPr>
          <w:rFonts w:ascii="Verdana" w:hAnsi="Verdana"/>
          <w:i/>
          <w:sz w:val="16"/>
          <w:szCs w:val="16"/>
          <w:lang w:val="es-CR"/>
        </w:rPr>
        <w:t>Ivcher</w:t>
      </w:r>
      <w:proofErr w:type="spellEnd"/>
      <w:r w:rsidRPr="00325194">
        <w:rPr>
          <w:rFonts w:ascii="Verdana" w:hAnsi="Verdana"/>
          <w:i/>
          <w:sz w:val="16"/>
          <w:szCs w:val="16"/>
          <w:lang w:val="es-CR"/>
        </w:rPr>
        <w:t xml:space="preserve"> </w:t>
      </w:r>
      <w:proofErr w:type="spellStart"/>
      <w:r w:rsidRPr="00325194">
        <w:rPr>
          <w:rFonts w:ascii="Verdana" w:hAnsi="Verdana"/>
          <w:i/>
          <w:sz w:val="16"/>
          <w:szCs w:val="16"/>
          <w:lang w:val="es-CR"/>
        </w:rPr>
        <w:t>Bronstein</w:t>
      </w:r>
      <w:proofErr w:type="spellEnd"/>
      <w:r w:rsidRPr="00325194">
        <w:rPr>
          <w:rFonts w:ascii="Verdana" w:hAnsi="Verdana"/>
          <w:i/>
          <w:sz w:val="16"/>
          <w:szCs w:val="16"/>
          <w:lang w:val="es-CR"/>
        </w:rPr>
        <w:t xml:space="preserve"> Vs. Perú. Competencia</w:t>
      </w:r>
      <w:r w:rsidRPr="00325194">
        <w:rPr>
          <w:rFonts w:ascii="Verdana" w:hAnsi="Verdana"/>
          <w:sz w:val="16"/>
          <w:szCs w:val="16"/>
          <w:lang w:val="es-CR"/>
        </w:rPr>
        <w:t xml:space="preserve">. Sentencia de la Corte Interamericana de Derechos Humanos de 24 de septiembre de 1999. Serie C No. 54, párr. 37, y </w:t>
      </w:r>
      <w:r w:rsidR="00A12EBD" w:rsidRPr="00325194">
        <w:rPr>
          <w:rFonts w:ascii="Verdana" w:hAnsi="Verdana"/>
          <w:i/>
          <w:color w:val="000000"/>
          <w:sz w:val="16"/>
          <w:szCs w:val="16"/>
          <w:lang w:val="es-AR"/>
        </w:rPr>
        <w:t xml:space="preserve">Caso Trabajadores Cesados de Petroperú y otros Vs. Perú, supra </w:t>
      </w:r>
      <w:r w:rsidR="00A12EBD" w:rsidRPr="00325194">
        <w:rPr>
          <w:rFonts w:ascii="Verdana" w:hAnsi="Verdana"/>
          <w:color w:val="000000"/>
          <w:sz w:val="16"/>
          <w:szCs w:val="16"/>
          <w:lang w:val="es-AR"/>
        </w:rPr>
        <w:t xml:space="preserve">nota 9, Considerando 2. </w:t>
      </w:r>
    </w:p>
  </w:footnote>
  <w:footnote w:id="12">
    <w:p w:rsidR="00F82258" w:rsidRPr="00325194" w:rsidRDefault="00F82258" w:rsidP="00325194">
      <w:pPr>
        <w:pStyle w:val="FootnoteText"/>
        <w:jc w:val="both"/>
        <w:rPr>
          <w:rFonts w:ascii="Verdana" w:hAnsi="Verdana"/>
          <w:sz w:val="16"/>
          <w:szCs w:val="16"/>
          <w:lang w:val="es-CR"/>
        </w:rPr>
      </w:pPr>
      <w:r w:rsidRPr="00325194">
        <w:rPr>
          <w:rStyle w:val="FootnoteReference"/>
          <w:rFonts w:ascii="Verdana" w:hAnsi="Verdana"/>
          <w:sz w:val="16"/>
          <w:szCs w:val="16"/>
        </w:rPr>
        <w:footnoteRef/>
      </w:r>
      <w:r w:rsidRPr="00325194">
        <w:rPr>
          <w:rFonts w:ascii="Verdana" w:hAnsi="Verdana"/>
          <w:sz w:val="16"/>
          <w:szCs w:val="16"/>
          <w:lang w:val="es-CR"/>
        </w:rPr>
        <w:t xml:space="preserve"> </w:t>
      </w:r>
      <w:r w:rsidRPr="00325194">
        <w:rPr>
          <w:rFonts w:ascii="Verdana" w:hAnsi="Verdana"/>
          <w:sz w:val="16"/>
          <w:szCs w:val="16"/>
          <w:lang w:val="es-CR"/>
        </w:rPr>
        <w:tab/>
      </w:r>
      <w:r w:rsidR="009C630B" w:rsidRPr="00325194">
        <w:rPr>
          <w:rFonts w:ascii="Verdana" w:hAnsi="Verdana"/>
          <w:i/>
          <w:sz w:val="16"/>
          <w:szCs w:val="16"/>
          <w:lang w:val="es-CR"/>
        </w:rPr>
        <w:t>I</w:t>
      </w:r>
      <w:r w:rsidRPr="00325194">
        <w:rPr>
          <w:rFonts w:ascii="Verdana" w:hAnsi="Verdana"/>
          <w:i/>
          <w:sz w:val="16"/>
          <w:szCs w:val="16"/>
          <w:lang w:val="es-CR"/>
        </w:rPr>
        <w:t xml:space="preserve">nfra </w:t>
      </w:r>
      <w:r w:rsidRPr="00325194">
        <w:rPr>
          <w:rFonts w:ascii="Verdana" w:hAnsi="Verdana"/>
          <w:sz w:val="16"/>
          <w:szCs w:val="16"/>
          <w:lang w:val="es-CR"/>
        </w:rPr>
        <w:t>notas 14 a 16.</w:t>
      </w:r>
    </w:p>
  </w:footnote>
  <w:footnote w:id="13">
    <w:p w:rsidR="005202C6" w:rsidRPr="00325194" w:rsidRDefault="005202C6" w:rsidP="00325194">
      <w:pPr>
        <w:pStyle w:val="FootnoteText"/>
        <w:jc w:val="both"/>
        <w:rPr>
          <w:rFonts w:ascii="Verdana" w:hAnsi="Verdana"/>
          <w:sz w:val="16"/>
          <w:szCs w:val="16"/>
          <w:lang w:val="es-CR"/>
        </w:rPr>
      </w:pPr>
      <w:r w:rsidRPr="00325194">
        <w:rPr>
          <w:rStyle w:val="FootnoteReference"/>
          <w:rFonts w:ascii="Verdana" w:hAnsi="Verdana"/>
          <w:sz w:val="16"/>
          <w:szCs w:val="16"/>
        </w:rPr>
        <w:footnoteRef/>
      </w:r>
      <w:r w:rsidRPr="00325194">
        <w:rPr>
          <w:rFonts w:ascii="Verdana" w:hAnsi="Verdana"/>
          <w:sz w:val="16"/>
          <w:szCs w:val="16"/>
          <w:lang w:val="es-CR"/>
        </w:rPr>
        <w:t xml:space="preserve"> </w:t>
      </w:r>
      <w:r w:rsidRPr="00325194">
        <w:rPr>
          <w:rFonts w:ascii="Verdana" w:hAnsi="Verdana"/>
          <w:sz w:val="16"/>
          <w:szCs w:val="16"/>
          <w:lang w:val="es-CR"/>
        </w:rPr>
        <w:tab/>
        <w:t xml:space="preserve">En marzo de 2017, los representantes manifestaron que “efectivamente el […] Estado ha cumplido” con las publicaciones </w:t>
      </w:r>
      <w:r w:rsidR="00F62375" w:rsidRPr="00325194">
        <w:rPr>
          <w:rFonts w:ascii="Verdana" w:hAnsi="Verdana"/>
          <w:sz w:val="16"/>
          <w:szCs w:val="16"/>
          <w:lang w:val="es-CR"/>
        </w:rPr>
        <w:t>ordenadas en la Sentencia</w:t>
      </w:r>
      <w:r w:rsidRPr="00325194">
        <w:rPr>
          <w:rFonts w:ascii="Verdana" w:hAnsi="Verdana"/>
          <w:sz w:val="16"/>
          <w:szCs w:val="16"/>
          <w:lang w:val="es-CR"/>
        </w:rPr>
        <w:t>, por lo que consideraro</w:t>
      </w:r>
      <w:r w:rsidR="00F62375" w:rsidRPr="00325194">
        <w:rPr>
          <w:rFonts w:ascii="Verdana" w:hAnsi="Verdana"/>
          <w:sz w:val="16"/>
          <w:szCs w:val="16"/>
          <w:lang w:val="es-CR"/>
        </w:rPr>
        <w:t xml:space="preserve">n que la solicitud de Colombia </w:t>
      </w:r>
      <w:r w:rsidRPr="00325194">
        <w:rPr>
          <w:rFonts w:ascii="Verdana" w:hAnsi="Verdana"/>
          <w:sz w:val="16"/>
          <w:szCs w:val="16"/>
          <w:lang w:val="es-CR"/>
        </w:rPr>
        <w:t xml:space="preserve">respecto a </w:t>
      </w:r>
      <w:r w:rsidR="00F62375" w:rsidRPr="00325194">
        <w:rPr>
          <w:rFonts w:ascii="Verdana" w:hAnsi="Verdana"/>
          <w:sz w:val="16"/>
          <w:szCs w:val="16"/>
          <w:lang w:val="es-CR"/>
        </w:rPr>
        <w:t>“</w:t>
      </w:r>
      <w:r w:rsidRPr="00325194">
        <w:rPr>
          <w:rFonts w:ascii="Verdana" w:hAnsi="Verdana"/>
          <w:sz w:val="16"/>
          <w:szCs w:val="16"/>
          <w:lang w:val="es-CR"/>
        </w:rPr>
        <w:t xml:space="preserve">la declaración de cumplimiento [de esta medida] es procedente”. </w:t>
      </w:r>
      <w:r w:rsidRPr="00325194">
        <w:rPr>
          <w:rFonts w:ascii="Verdana" w:hAnsi="Verdana"/>
          <w:i/>
          <w:sz w:val="16"/>
          <w:szCs w:val="16"/>
          <w:lang w:val="es-CR"/>
        </w:rPr>
        <w:t xml:space="preserve">Cfr. </w:t>
      </w:r>
      <w:r w:rsidRPr="00325194">
        <w:rPr>
          <w:rFonts w:ascii="Verdana" w:hAnsi="Verdana"/>
          <w:sz w:val="16"/>
          <w:szCs w:val="16"/>
          <w:lang w:val="es-CR"/>
        </w:rPr>
        <w:t>Escrito de observaciones de los representantes de la víctima de 29 de marzo de 2017.</w:t>
      </w:r>
    </w:p>
  </w:footnote>
  <w:footnote w:id="14">
    <w:p w:rsidR="005202C6" w:rsidRPr="00325194" w:rsidRDefault="005202C6" w:rsidP="00325194">
      <w:pPr>
        <w:pStyle w:val="FootnoteText"/>
        <w:jc w:val="both"/>
        <w:rPr>
          <w:rFonts w:ascii="Verdana" w:hAnsi="Verdana"/>
          <w:sz w:val="16"/>
          <w:szCs w:val="16"/>
          <w:lang w:val="es-CR"/>
        </w:rPr>
      </w:pPr>
      <w:r w:rsidRPr="00325194">
        <w:rPr>
          <w:rStyle w:val="FootnoteReference"/>
          <w:rFonts w:ascii="Verdana" w:hAnsi="Verdana"/>
          <w:sz w:val="16"/>
          <w:szCs w:val="16"/>
        </w:rPr>
        <w:footnoteRef/>
      </w:r>
      <w:r w:rsidRPr="00325194">
        <w:rPr>
          <w:rFonts w:ascii="Verdana" w:hAnsi="Verdana"/>
          <w:sz w:val="16"/>
          <w:szCs w:val="16"/>
          <w:lang w:val="es-CR"/>
        </w:rPr>
        <w:t xml:space="preserve"> </w:t>
      </w:r>
      <w:r w:rsidRPr="00325194">
        <w:rPr>
          <w:rFonts w:ascii="Verdana" w:hAnsi="Verdana"/>
          <w:sz w:val="16"/>
          <w:szCs w:val="16"/>
          <w:lang w:val="es-CR"/>
        </w:rPr>
        <w:tab/>
        <w:t xml:space="preserve">La Comisión indicó que “el Estado ha dado cumplimiento a estas medidas de satisfacción”. </w:t>
      </w:r>
      <w:r w:rsidRPr="00325194">
        <w:rPr>
          <w:rFonts w:ascii="Verdana" w:hAnsi="Verdana"/>
          <w:i/>
          <w:sz w:val="16"/>
          <w:szCs w:val="16"/>
          <w:lang w:val="es-CR"/>
        </w:rPr>
        <w:t xml:space="preserve">Cfr. </w:t>
      </w:r>
      <w:r w:rsidRPr="00325194">
        <w:rPr>
          <w:rFonts w:ascii="Verdana" w:hAnsi="Verdana"/>
          <w:sz w:val="16"/>
          <w:szCs w:val="16"/>
          <w:lang w:val="es-CR"/>
        </w:rPr>
        <w:t xml:space="preserve">Escrito de observaciones de la Comisión de 19 de mayo de 2017. </w:t>
      </w:r>
    </w:p>
  </w:footnote>
  <w:footnote w:id="15">
    <w:p w:rsidR="005202C6" w:rsidRPr="00325194" w:rsidRDefault="005202C6" w:rsidP="00325194">
      <w:pPr>
        <w:pStyle w:val="FootnoteText"/>
        <w:jc w:val="both"/>
        <w:rPr>
          <w:rFonts w:ascii="Verdana" w:hAnsi="Verdana"/>
          <w:b/>
          <w:sz w:val="16"/>
          <w:szCs w:val="16"/>
          <w:lang w:val="es-CR"/>
        </w:rPr>
      </w:pPr>
      <w:r w:rsidRPr="00325194">
        <w:rPr>
          <w:rStyle w:val="FootnoteReference"/>
          <w:rFonts w:ascii="Verdana" w:hAnsi="Verdana"/>
          <w:sz w:val="16"/>
          <w:szCs w:val="16"/>
        </w:rPr>
        <w:footnoteRef/>
      </w:r>
      <w:r w:rsidRPr="00325194">
        <w:rPr>
          <w:rFonts w:ascii="Verdana" w:hAnsi="Verdana"/>
          <w:sz w:val="16"/>
          <w:szCs w:val="16"/>
          <w:lang w:val="es-CR"/>
        </w:rPr>
        <w:t xml:space="preserve"> </w:t>
      </w:r>
      <w:r w:rsidRPr="00325194">
        <w:rPr>
          <w:rFonts w:ascii="Verdana" w:hAnsi="Verdana"/>
          <w:sz w:val="16"/>
          <w:szCs w:val="16"/>
          <w:lang w:val="es-CR"/>
        </w:rPr>
        <w:tab/>
      </w:r>
      <w:r w:rsidRPr="00325194">
        <w:rPr>
          <w:rFonts w:ascii="Verdana" w:hAnsi="Verdana"/>
          <w:i/>
          <w:sz w:val="16"/>
          <w:szCs w:val="16"/>
          <w:lang w:val="es-CR"/>
        </w:rPr>
        <w:t xml:space="preserve">Cfr. </w:t>
      </w:r>
      <w:r w:rsidRPr="00325194">
        <w:rPr>
          <w:rFonts w:ascii="Verdana" w:hAnsi="Verdana"/>
          <w:sz w:val="16"/>
          <w:szCs w:val="16"/>
          <w:lang w:val="es-CR"/>
        </w:rPr>
        <w:t>Copia del Diario Oficial de la República de Colombia de 19 de mayo de 2016 que contiene la publicación del resumen oficial de la Sentencia, págs. 22 y 23 (anexo al informe estatal de 23 de febrero de 2017).</w:t>
      </w:r>
    </w:p>
  </w:footnote>
  <w:footnote w:id="16">
    <w:p w:rsidR="005202C6" w:rsidRPr="00325194" w:rsidRDefault="005202C6" w:rsidP="00325194">
      <w:pPr>
        <w:pStyle w:val="FootnoteText"/>
        <w:jc w:val="both"/>
        <w:rPr>
          <w:rFonts w:ascii="Verdana" w:hAnsi="Verdana"/>
          <w:b/>
          <w:sz w:val="16"/>
          <w:szCs w:val="16"/>
          <w:lang w:val="es-CR"/>
        </w:rPr>
      </w:pPr>
      <w:r w:rsidRPr="00325194">
        <w:rPr>
          <w:rStyle w:val="FootnoteReference"/>
          <w:rFonts w:ascii="Verdana" w:hAnsi="Verdana"/>
          <w:sz w:val="16"/>
          <w:szCs w:val="16"/>
        </w:rPr>
        <w:footnoteRef/>
      </w:r>
      <w:r w:rsidRPr="00325194">
        <w:rPr>
          <w:rFonts w:ascii="Verdana" w:hAnsi="Verdana"/>
          <w:sz w:val="16"/>
          <w:szCs w:val="16"/>
          <w:lang w:val="es-CR"/>
        </w:rPr>
        <w:t xml:space="preserve"> </w:t>
      </w:r>
      <w:r w:rsidRPr="00325194">
        <w:rPr>
          <w:rFonts w:ascii="Verdana" w:hAnsi="Verdana"/>
          <w:sz w:val="16"/>
          <w:szCs w:val="16"/>
          <w:lang w:val="es-CR"/>
        </w:rPr>
        <w:tab/>
        <w:t xml:space="preserve">El Estado detalló que “la fecha en la que se realizó esta publicación fue concertada con los representantes de las víctimas”. </w:t>
      </w:r>
      <w:r w:rsidRPr="00325194">
        <w:rPr>
          <w:rFonts w:ascii="Verdana" w:hAnsi="Verdana"/>
          <w:i/>
          <w:sz w:val="16"/>
          <w:szCs w:val="16"/>
          <w:lang w:val="es-CR"/>
        </w:rPr>
        <w:t>Cfr</w:t>
      </w:r>
      <w:r w:rsidRPr="00325194">
        <w:rPr>
          <w:rFonts w:ascii="Verdana" w:hAnsi="Verdana"/>
          <w:sz w:val="16"/>
          <w:szCs w:val="16"/>
          <w:lang w:val="es-CR"/>
        </w:rPr>
        <w:t xml:space="preserve">. Original del diario “El Espectador” de 18 de diciembre de 2016 que contiene la publicación del resumen oficial de la Sentencia, pág. 17 (anexo al informe presentado por el Estado el 20 de enero de 2017). </w:t>
      </w:r>
    </w:p>
  </w:footnote>
  <w:footnote w:id="17">
    <w:p w:rsidR="005202C6" w:rsidRPr="00325194" w:rsidRDefault="005202C6" w:rsidP="00325194">
      <w:pPr>
        <w:pStyle w:val="FootnoteText"/>
        <w:jc w:val="both"/>
        <w:rPr>
          <w:rFonts w:ascii="Verdana" w:hAnsi="Verdana"/>
          <w:b/>
          <w:sz w:val="16"/>
          <w:szCs w:val="16"/>
          <w:lang w:val="es-CR"/>
        </w:rPr>
      </w:pPr>
      <w:r w:rsidRPr="00325194">
        <w:rPr>
          <w:rStyle w:val="FootnoteReference"/>
          <w:rFonts w:ascii="Verdana" w:hAnsi="Verdana"/>
          <w:sz w:val="16"/>
          <w:szCs w:val="16"/>
        </w:rPr>
        <w:footnoteRef/>
      </w:r>
      <w:r w:rsidRPr="00325194">
        <w:rPr>
          <w:rFonts w:ascii="Verdana" w:hAnsi="Verdana"/>
          <w:sz w:val="16"/>
          <w:szCs w:val="16"/>
          <w:lang w:val="es-CR"/>
        </w:rPr>
        <w:t xml:space="preserve"> </w:t>
      </w:r>
      <w:r w:rsidRPr="00325194">
        <w:rPr>
          <w:rFonts w:ascii="Verdana" w:hAnsi="Verdana"/>
          <w:sz w:val="16"/>
          <w:szCs w:val="16"/>
          <w:lang w:val="es-CR"/>
        </w:rPr>
        <w:tab/>
        <w:t xml:space="preserve">En enero de 2017 el Estado comunicó que la Sentencia se encontraba disponible en el siguiente enlace: </w:t>
      </w:r>
      <w:hyperlink r:id="rId4" w:history="1">
        <w:r w:rsidRPr="00325194">
          <w:rPr>
            <w:rStyle w:val="Hyperlink"/>
            <w:rFonts w:ascii="Verdana" w:hAnsi="Verdana"/>
            <w:sz w:val="16"/>
            <w:szCs w:val="16"/>
            <w:lang w:val="es-CR"/>
          </w:rPr>
          <w:t>http://www.derechoshumanos.gov.co/Prensa/2016/Documents/160527-Caso-Duque-vs-Colombi-a.pdf</w:t>
        </w:r>
      </w:hyperlink>
      <w:r w:rsidRPr="00325194">
        <w:rPr>
          <w:rFonts w:ascii="Verdana" w:hAnsi="Verdana"/>
          <w:sz w:val="16"/>
          <w:szCs w:val="16"/>
          <w:lang w:val="es-CR"/>
        </w:rPr>
        <w:t xml:space="preserve">. En dicho enlace aún continúa disponible la referida publicación (última consulta el </w:t>
      </w:r>
      <w:r w:rsidR="00A540E9" w:rsidRPr="00325194">
        <w:rPr>
          <w:rFonts w:ascii="Verdana" w:hAnsi="Verdana"/>
          <w:sz w:val="16"/>
          <w:szCs w:val="16"/>
          <w:lang w:val="es-CR"/>
        </w:rPr>
        <w:t>22</w:t>
      </w:r>
      <w:r w:rsidRPr="00325194">
        <w:rPr>
          <w:rFonts w:ascii="Verdana" w:hAnsi="Verdana"/>
          <w:sz w:val="16"/>
          <w:szCs w:val="16"/>
          <w:lang w:val="es-CR"/>
        </w:rPr>
        <w:t xml:space="preserve"> de </w:t>
      </w:r>
      <w:r w:rsidR="00A540E9" w:rsidRPr="00325194">
        <w:rPr>
          <w:rFonts w:ascii="Verdana" w:hAnsi="Verdana"/>
          <w:sz w:val="16"/>
          <w:szCs w:val="16"/>
          <w:lang w:val="es-CR"/>
        </w:rPr>
        <w:t>noviembre</w:t>
      </w:r>
      <w:r w:rsidRPr="00325194">
        <w:rPr>
          <w:rFonts w:ascii="Verdana" w:hAnsi="Verdana"/>
          <w:sz w:val="16"/>
          <w:szCs w:val="16"/>
          <w:lang w:val="es-CR"/>
        </w:rPr>
        <w:t xml:space="preserve"> de 2018). </w:t>
      </w:r>
      <w:r w:rsidRPr="00325194">
        <w:rPr>
          <w:rFonts w:ascii="Verdana" w:hAnsi="Verdana"/>
          <w:i/>
          <w:sz w:val="16"/>
          <w:szCs w:val="16"/>
          <w:lang w:val="es-CR"/>
        </w:rPr>
        <w:t>Cfr.</w:t>
      </w:r>
      <w:r w:rsidRPr="00325194">
        <w:rPr>
          <w:rFonts w:ascii="Verdana" w:hAnsi="Verdana"/>
          <w:sz w:val="16"/>
          <w:szCs w:val="16"/>
          <w:lang w:val="es-CR"/>
        </w:rPr>
        <w:t xml:space="preserve"> Informe estatal de 20 de enero de 2017. </w:t>
      </w:r>
    </w:p>
    <w:p w:rsidR="005202C6" w:rsidRPr="00325194" w:rsidRDefault="005202C6" w:rsidP="00325194">
      <w:pPr>
        <w:pStyle w:val="FootnoteText"/>
        <w:jc w:val="both"/>
        <w:rPr>
          <w:rFonts w:ascii="Verdana" w:hAnsi="Verdana"/>
          <w:sz w:val="16"/>
          <w:szCs w:val="16"/>
          <w:lang w:val="es-CR"/>
        </w:rPr>
      </w:pPr>
    </w:p>
  </w:footnote>
  <w:footnote w:id="18">
    <w:p w:rsidR="00A540E9" w:rsidRPr="00325194" w:rsidRDefault="00A540E9" w:rsidP="00325194">
      <w:pPr>
        <w:pStyle w:val="FootnoteText"/>
        <w:jc w:val="both"/>
        <w:rPr>
          <w:rFonts w:ascii="Verdana" w:hAnsi="Verdana"/>
          <w:sz w:val="16"/>
          <w:szCs w:val="16"/>
          <w:lang w:val="es-CR"/>
        </w:rPr>
      </w:pPr>
      <w:r w:rsidRPr="00325194">
        <w:rPr>
          <w:rStyle w:val="FootnoteReference"/>
          <w:rFonts w:ascii="Verdana" w:hAnsi="Verdana"/>
          <w:sz w:val="16"/>
          <w:szCs w:val="16"/>
        </w:rPr>
        <w:footnoteRef/>
      </w:r>
      <w:r w:rsidRPr="00325194">
        <w:rPr>
          <w:rFonts w:ascii="Verdana" w:hAnsi="Verdana"/>
          <w:sz w:val="16"/>
          <w:szCs w:val="16"/>
          <w:lang w:val="es-CR"/>
        </w:rPr>
        <w:t xml:space="preserve"> </w:t>
      </w:r>
      <w:r w:rsidRPr="00325194">
        <w:rPr>
          <w:rFonts w:ascii="Verdana" w:hAnsi="Verdana"/>
          <w:sz w:val="16"/>
          <w:szCs w:val="16"/>
          <w:lang w:val="es-CR"/>
        </w:rPr>
        <w:tab/>
      </w:r>
      <w:r w:rsidRPr="00325194">
        <w:rPr>
          <w:rFonts w:ascii="Verdana" w:hAnsi="Verdana"/>
          <w:i/>
          <w:sz w:val="16"/>
          <w:szCs w:val="16"/>
          <w:lang w:val="es-CR"/>
        </w:rPr>
        <w:t xml:space="preserve">Cfr. </w:t>
      </w:r>
      <w:r w:rsidRPr="00325194">
        <w:rPr>
          <w:rFonts w:ascii="Verdana" w:hAnsi="Verdana"/>
          <w:sz w:val="16"/>
          <w:szCs w:val="16"/>
          <w:lang w:val="es-CR"/>
        </w:rPr>
        <w:t>Informes estatales de 20 de abril y 31 de mayo de 2017, así como escrito de observaciones de los representantes de la víctima de 11 de junio de 2017.</w:t>
      </w:r>
    </w:p>
  </w:footnote>
  <w:footnote w:id="19">
    <w:p w:rsidR="005202C6" w:rsidRPr="00325194" w:rsidRDefault="005202C6" w:rsidP="00325194">
      <w:pPr>
        <w:pStyle w:val="FootnoteText"/>
        <w:widowControl w:val="0"/>
        <w:jc w:val="both"/>
        <w:rPr>
          <w:rFonts w:ascii="Verdana" w:hAnsi="Verdana"/>
          <w:sz w:val="16"/>
          <w:szCs w:val="16"/>
          <w:lang w:val="es-ES"/>
        </w:rPr>
      </w:pPr>
      <w:r w:rsidRPr="00325194">
        <w:rPr>
          <w:rStyle w:val="FootnoteReference"/>
          <w:rFonts w:ascii="Verdana" w:hAnsi="Verdana"/>
          <w:sz w:val="16"/>
          <w:szCs w:val="16"/>
        </w:rPr>
        <w:footnoteRef/>
      </w:r>
      <w:r w:rsidRPr="00325194">
        <w:rPr>
          <w:rFonts w:ascii="Verdana" w:hAnsi="Verdana"/>
          <w:sz w:val="16"/>
          <w:szCs w:val="16"/>
          <w:lang w:val="es-CR"/>
        </w:rPr>
        <w:tab/>
      </w:r>
      <w:r w:rsidR="0019327A" w:rsidRPr="00325194">
        <w:rPr>
          <w:rFonts w:ascii="Verdana" w:hAnsi="Verdana"/>
          <w:i/>
          <w:sz w:val="16"/>
          <w:szCs w:val="16"/>
          <w:lang w:val="es-CR"/>
        </w:rPr>
        <w:t xml:space="preserve">Cfr. </w:t>
      </w:r>
      <w:r w:rsidR="0019327A" w:rsidRPr="00325194">
        <w:rPr>
          <w:rFonts w:ascii="Verdana" w:hAnsi="Verdana"/>
          <w:sz w:val="16"/>
          <w:szCs w:val="16"/>
          <w:lang w:val="es-ES"/>
        </w:rPr>
        <w:t>Oficio número VJ-09307 de 20 de enero de 2017 suscrito por</w:t>
      </w:r>
      <w:r w:rsidR="00D97E3F" w:rsidRPr="00325194">
        <w:rPr>
          <w:rFonts w:ascii="Verdana" w:hAnsi="Verdana"/>
          <w:sz w:val="16"/>
          <w:szCs w:val="16"/>
          <w:lang w:val="es-ES"/>
        </w:rPr>
        <w:t xml:space="preserve"> el</w:t>
      </w:r>
      <w:r w:rsidR="0019327A" w:rsidRPr="00325194">
        <w:rPr>
          <w:rFonts w:ascii="Verdana" w:hAnsi="Verdana"/>
          <w:sz w:val="16"/>
          <w:szCs w:val="16"/>
          <w:lang w:val="es-ES"/>
        </w:rPr>
        <w:t xml:space="preserve"> Secretario General de COLFONDOS y c</w:t>
      </w:r>
      <w:r w:rsidRPr="00325194">
        <w:rPr>
          <w:rFonts w:ascii="Verdana" w:hAnsi="Verdana"/>
          <w:sz w:val="16"/>
          <w:szCs w:val="16"/>
          <w:lang w:val="es-ES"/>
        </w:rPr>
        <w:t>ertificación No. 017 de 24 de mayo de 2017</w:t>
      </w:r>
      <w:r w:rsidR="00C12605" w:rsidRPr="00325194">
        <w:rPr>
          <w:rFonts w:ascii="Verdana" w:hAnsi="Verdana"/>
          <w:sz w:val="16"/>
          <w:szCs w:val="16"/>
          <w:lang w:val="es-ES"/>
        </w:rPr>
        <w:t xml:space="preserve"> emitida por el Coordinador de Gestión al Pensionado de COLFONDOS</w:t>
      </w:r>
      <w:r w:rsidR="0019327A" w:rsidRPr="00325194">
        <w:rPr>
          <w:rFonts w:ascii="Verdana" w:hAnsi="Verdana"/>
          <w:sz w:val="16"/>
          <w:szCs w:val="16"/>
          <w:lang w:val="es-ES"/>
        </w:rPr>
        <w:t xml:space="preserve"> </w:t>
      </w:r>
      <w:r w:rsidR="00C12605" w:rsidRPr="00325194">
        <w:rPr>
          <w:rFonts w:ascii="Verdana" w:hAnsi="Verdana"/>
          <w:sz w:val="16"/>
          <w:szCs w:val="16"/>
          <w:lang w:val="es-ES"/>
        </w:rPr>
        <w:t>(a</w:t>
      </w:r>
      <w:r w:rsidRPr="00325194">
        <w:rPr>
          <w:rFonts w:ascii="Verdana" w:hAnsi="Verdana"/>
          <w:sz w:val="16"/>
          <w:szCs w:val="16"/>
          <w:lang w:val="es-ES"/>
        </w:rPr>
        <w:t>nexo</w:t>
      </w:r>
      <w:r w:rsidR="0019327A" w:rsidRPr="00325194">
        <w:rPr>
          <w:rFonts w:ascii="Verdana" w:hAnsi="Verdana"/>
          <w:sz w:val="16"/>
          <w:szCs w:val="16"/>
          <w:lang w:val="es-ES"/>
        </w:rPr>
        <w:t>s</w:t>
      </w:r>
      <w:r w:rsidRPr="00325194">
        <w:rPr>
          <w:rFonts w:ascii="Verdana" w:hAnsi="Verdana"/>
          <w:sz w:val="16"/>
          <w:szCs w:val="16"/>
          <w:lang w:val="es-ES"/>
        </w:rPr>
        <w:t xml:space="preserve"> al informe estatal de 31 de mayo de 2017</w:t>
      </w:r>
      <w:r w:rsidR="00C12605" w:rsidRPr="00325194">
        <w:rPr>
          <w:rFonts w:ascii="Verdana" w:hAnsi="Verdana"/>
          <w:sz w:val="16"/>
          <w:szCs w:val="16"/>
          <w:lang w:val="es-ES"/>
        </w:rPr>
        <w:t>)</w:t>
      </w:r>
      <w:r w:rsidRPr="00325194">
        <w:rPr>
          <w:rFonts w:ascii="Verdana" w:hAnsi="Verdana"/>
          <w:sz w:val="16"/>
          <w:szCs w:val="16"/>
          <w:lang w:val="es-ES"/>
        </w:rPr>
        <w:t>.</w:t>
      </w:r>
      <w:r w:rsidR="00C12605" w:rsidRPr="00325194">
        <w:rPr>
          <w:rFonts w:ascii="Verdana" w:hAnsi="Verdana"/>
          <w:sz w:val="16"/>
          <w:szCs w:val="16"/>
          <w:lang w:val="es-ES"/>
        </w:rPr>
        <w:t xml:space="preserve"> </w:t>
      </w:r>
    </w:p>
  </w:footnote>
  <w:footnote w:id="20">
    <w:p w:rsidR="005202C6" w:rsidRPr="00325194" w:rsidRDefault="005202C6" w:rsidP="00325194">
      <w:pPr>
        <w:widowControl w:val="0"/>
        <w:spacing w:after="0" w:line="240" w:lineRule="auto"/>
        <w:jc w:val="both"/>
        <w:rPr>
          <w:rFonts w:ascii="Verdana" w:hAnsi="Verdana"/>
          <w:sz w:val="16"/>
          <w:szCs w:val="16"/>
          <w:lang w:val="es-ES"/>
        </w:rPr>
      </w:pPr>
      <w:r w:rsidRPr="00325194">
        <w:rPr>
          <w:rStyle w:val="FootnoteReference"/>
          <w:rFonts w:ascii="Verdana" w:hAnsi="Verdana"/>
          <w:sz w:val="16"/>
          <w:szCs w:val="16"/>
        </w:rPr>
        <w:footnoteRef/>
      </w:r>
      <w:r w:rsidRPr="00325194">
        <w:rPr>
          <w:rFonts w:ascii="Verdana" w:hAnsi="Verdana"/>
          <w:sz w:val="16"/>
          <w:szCs w:val="16"/>
          <w:lang w:val="es-CR"/>
        </w:rPr>
        <w:t xml:space="preserve"> </w:t>
      </w:r>
      <w:r w:rsidRPr="00325194">
        <w:rPr>
          <w:rFonts w:ascii="Verdana" w:hAnsi="Verdana"/>
          <w:sz w:val="16"/>
          <w:szCs w:val="16"/>
          <w:lang w:val="es-CR"/>
        </w:rPr>
        <w:tab/>
      </w:r>
      <w:r w:rsidRPr="00325194">
        <w:rPr>
          <w:rFonts w:ascii="Verdana" w:hAnsi="Verdana"/>
          <w:sz w:val="16"/>
          <w:szCs w:val="16"/>
          <w:lang w:val="es-ES"/>
        </w:rPr>
        <w:t xml:space="preserve">En </w:t>
      </w:r>
      <w:r w:rsidR="0019327A" w:rsidRPr="00325194">
        <w:rPr>
          <w:rFonts w:ascii="Verdana" w:hAnsi="Verdana"/>
          <w:sz w:val="16"/>
          <w:szCs w:val="16"/>
          <w:lang w:val="es-ES"/>
        </w:rPr>
        <w:t>la</w:t>
      </w:r>
      <w:r w:rsidRPr="00325194">
        <w:rPr>
          <w:rFonts w:ascii="Verdana" w:hAnsi="Verdana"/>
          <w:sz w:val="16"/>
          <w:szCs w:val="16"/>
          <w:lang w:val="es-ES"/>
        </w:rPr>
        <w:t xml:space="preserve"> certificación consta el pago total de </w:t>
      </w:r>
      <w:r w:rsidR="0019327A" w:rsidRPr="00325194">
        <w:rPr>
          <w:rFonts w:ascii="Verdana" w:hAnsi="Verdana"/>
          <w:sz w:val="16"/>
          <w:szCs w:val="16"/>
          <w:lang w:val="es-ES"/>
        </w:rPr>
        <w:t>“</w:t>
      </w:r>
      <w:r w:rsidRPr="00325194">
        <w:rPr>
          <w:rFonts w:ascii="Verdana" w:hAnsi="Verdana"/>
          <w:sz w:val="16"/>
          <w:szCs w:val="16"/>
          <w:lang w:val="es-ES"/>
        </w:rPr>
        <w:t>$103.558,104</w:t>
      </w:r>
      <w:r w:rsidR="0019327A" w:rsidRPr="00325194">
        <w:rPr>
          <w:rFonts w:ascii="Verdana" w:hAnsi="Verdana"/>
          <w:sz w:val="16"/>
          <w:szCs w:val="16"/>
          <w:lang w:val="es-ES"/>
        </w:rPr>
        <w:t>”</w:t>
      </w:r>
      <w:r w:rsidRPr="00325194">
        <w:rPr>
          <w:rFonts w:ascii="Verdana" w:hAnsi="Verdana"/>
          <w:sz w:val="16"/>
          <w:szCs w:val="16"/>
          <w:lang w:val="es-ES"/>
        </w:rPr>
        <w:t xml:space="preserve"> por concepto de: i) pago retroactivo;</w:t>
      </w:r>
      <w:r w:rsidR="0019327A" w:rsidRPr="00325194">
        <w:rPr>
          <w:rFonts w:ascii="Verdana" w:hAnsi="Verdana"/>
          <w:sz w:val="16"/>
          <w:szCs w:val="16"/>
          <w:lang w:val="es-ES"/>
        </w:rPr>
        <w:t xml:space="preserve"> ii) pagos adicionales, y iii) tres</w:t>
      </w:r>
      <w:r w:rsidRPr="00325194">
        <w:rPr>
          <w:rFonts w:ascii="Verdana" w:hAnsi="Verdana"/>
          <w:sz w:val="16"/>
          <w:szCs w:val="16"/>
          <w:lang w:val="es-ES"/>
        </w:rPr>
        <w:t xml:space="preserve"> mesadas. </w:t>
      </w:r>
      <w:r w:rsidR="0019327A" w:rsidRPr="00325194">
        <w:rPr>
          <w:rFonts w:ascii="Verdana" w:hAnsi="Verdana"/>
          <w:i/>
          <w:sz w:val="16"/>
          <w:szCs w:val="16"/>
          <w:lang w:val="es-CR"/>
        </w:rPr>
        <w:t xml:space="preserve">Cfr. </w:t>
      </w:r>
      <w:r w:rsidR="0019327A" w:rsidRPr="00325194">
        <w:rPr>
          <w:rFonts w:ascii="Verdana" w:hAnsi="Verdana"/>
          <w:sz w:val="16"/>
          <w:szCs w:val="16"/>
          <w:lang w:val="es-ES"/>
        </w:rPr>
        <w:t xml:space="preserve">Certificación No. 017 de 24 de mayo de 2017, </w:t>
      </w:r>
      <w:r w:rsidR="0019327A" w:rsidRPr="00325194">
        <w:rPr>
          <w:rFonts w:ascii="Verdana" w:hAnsi="Verdana"/>
          <w:i/>
          <w:sz w:val="16"/>
          <w:szCs w:val="16"/>
          <w:lang w:val="es-ES"/>
        </w:rPr>
        <w:t xml:space="preserve">supra </w:t>
      </w:r>
      <w:r w:rsidR="0019327A" w:rsidRPr="00325194">
        <w:rPr>
          <w:rFonts w:ascii="Verdana" w:hAnsi="Verdana"/>
          <w:sz w:val="16"/>
          <w:szCs w:val="16"/>
          <w:lang w:val="es-ES"/>
        </w:rPr>
        <w:t xml:space="preserve">nota </w:t>
      </w:r>
      <w:r w:rsidR="00F337B5" w:rsidRPr="00325194">
        <w:rPr>
          <w:rFonts w:ascii="Verdana" w:hAnsi="Verdana"/>
          <w:sz w:val="16"/>
          <w:szCs w:val="16"/>
          <w:lang w:val="es-ES"/>
        </w:rPr>
        <w:t>18</w:t>
      </w:r>
      <w:r w:rsidR="0019327A" w:rsidRPr="00325194">
        <w:rPr>
          <w:rFonts w:ascii="Verdana" w:hAnsi="Verdana"/>
          <w:sz w:val="16"/>
          <w:szCs w:val="16"/>
          <w:lang w:val="es-ES"/>
        </w:rPr>
        <w:t>.</w:t>
      </w:r>
    </w:p>
  </w:footnote>
  <w:footnote w:id="21">
    <w:p w:rsidR="00F36953" w:rsidRPr="00325194" w:rsidRDefault="00F36953" w:rsidP="00325194">
      <w:pPr>
        <w:pStyle w:val="FootnoteText"/>
        <w:jc w:val="both"/>
        <w:rPr>
          <w:rFonts w:ascii="Verdana" w:hAnsi="Verdana"/>
          <w:i/>
          <w:sz w:val="16"/>
          <w:szCs w:val="16"/>
          <w:lang w:val="es-CR"/>
        </w:rPr>
      </w:pPr>
      <w:r w:rsidRPr="00325194">
        <w:rPr>
          <w:rStyle w:val="FootnoteReference"/>
          <w:rFonts w:ascii="Verdana" w:hAnsi="Verdana"/>
          <w:sz w:val="16"/>
          <w:szCs w:val="16"/>
        </w:rPr>
        <w:footnoteRef/>
      </w:r>
      <w:r w:rsidRPr="00325194">
        <w:rPr>
          <w:rFonts w:ascii="Verdana" w:hAnsi="Verdana"/>
          <w:sz w:val="16"/>
          <w:szCs w:val="16"/>
          <w:lang w:val="es-CR"/>
        </w:rPr>
        <w:t xml:space="preserve"> </w:t>
      </w:r>
      <w:r w:rsidRPr="00325194">
        <w:rPr>
          <w:rFonts w:ascii="Verdana" w:hAnsi="Verdana"/>
          <w:sz w:val="16"/>
          <w:szCs w:val="16"/>
          <w:lang w:val="es-CR"/>
        </w:rPr>
        <w:tab/>
      </w:r>
      <w:r w:rsidRPr="00325194">
        <w:rPr>
          <w:rFonts w:ascii="Verdana" w:hAnsi="Verdana"/>
          <w:i/>
          <w:sz w:val="16"/>
          <w:szCs w:val="16"/>
          <w:lang w:val="es-CR"/>
        </w:rPr>
        <w:t xml:space="preserve">Cfr. </w:t>
      </w:r>
      <w:r w:rsidRPr="00325194">
        <w:rPr>
          <w:rFonts w:ascii="Verdana" w:hAnsi="Verdana"/>
          <w:sz w:val="16"/>
          <w:szCs w:val="16"/>
          <w:lang w:val="es-ES"/>
        </w:rPr>
        <w:t>Oficio número VJ-09307 de 20 de enero de 2017 suscrito por Secretario General de COLFONDOS (anexo al informe estatal de 31 de mayo de 2017)</w:t>
      </w:r>
      <w:r w:rsidR="00060937" w:rsidRPr="00325194">
        <w:rPr>
          <w:rFonts w:ascii="Verdana" w:hAnsi="Verdana"/>
          <w:sz w:val="16"/>
          <w:szCs w:val="16"/>
          <w:lang w:val="es-ES"/>
        </w:rPr>
        <w:t>, informe estatal de 10 de octubre de 2017 y escritos de observaciones de los representantes de la víctima de 11 de junio y 25 de julio de 2017, así como 26 de febrero de 2018</w:t>
      </w:r>
      <w:r w:rsidRPr="00325194">
        <w:rPr>
          <w:rFonts w:ascii="Verdana" w:hAnsi="Verdana"/>
          <w:sz w:val="16"/>
          <w:szCs w:val="16"/>
          <w:lang w:val="es-ES"/>
        </w:rPr>
        <w:t>.</w:t>
      </w:r>
    </w:p>
  </w:footnote>
  <w:footnote w:id="22">
    <w:p w:rsidR="00F337B5" w:rsidRPr="00325194" w:rsidRDefault="00F337B5" w:rsidP="00325194">
      <w:pPr>
        <w:pStyle w:val="FootnoteText"/>
        <w:jc w:val="both"/>
        <w:rPr>
          <w:rFonts w:ascii="Verdana" w:hAnsi="Verdana"/>
          <w:sz w:val="16"/>
          <w:szCs w:val="16"/>
          <w:lang w:val="es-CR"/>
        </w:rPr>
      </w:pPr>
      <w:r w:rsidRPr="00325194">
        <w:rPr>
          <w:rStyle w:val="FootnoteReference"/>
          <w:rFonts w:ascii="Verdana" w:hAnsi="Verdana"/>
          <w:sz w:val="16"/>
          <w:szCs w:val="16"/>
        </w:rPr>
        <w:footnoteRef/>
      </w:r>
      <w:r w:rsidRPr="00325194">
        <w:rPr>
          <w:rFonts w:ascii="Verdana" w:hAnsi="Verdana"/>
          <w:sz w:val="16"/>
          <w:szCs w:val="16"/>
          <w:lang w:val="es-CR"/>
        </w:rPr>
        <w:t xml:space="preserve"> </w:t>
      </w:r>
      <w:r w:rsidRPr="00325194">
        <w:rPr>
          <w:rFonts w:ascii="Verdana" w:hAnsi="Verdana"/>
          <w:sz w:val="16"/>
          <w:szCs w:val="16"/>
          <w:lang w:val="es-CR"/>
        </w:rPr>
        <w:tab/>
      </w:r>
      <w:r w:rsidRPr="00325194">
        <w:rPr>
          <w:rFonts w:ascii="Verdana" w:hAnsi="Verdana"/>
          <w:i/>
          <w:sz w:val="16"/>
          <w:szCs w:val="16"/>
          <w:lang w:val="es-CR"/>
        </w:rPr>
        <w:t xml:space="preserve">Cfr. </w:t>
      </w:r>
      <w:r w:rsidRPr="00325194">
        <w:rPr>
          <w:rFonts w:ascii="Verdana" w:hAnsi="Verdana"/>
          <w:sz w:val="16"/>
          <w:szCs w:val="16"/>
          <w:lang w:val="es-CR"/>
        </w:rPr>
        <w:t>Informe estatal de 31 de mayo de 2017.</w:t>
      </w:r>
    </w:p>
  </w:footnote>
  <w:footnote w:id="23">
    <w:p w:rsidR="00F337B5" w:rsidRPr="00325194" w:rsidRDefault="00F337B5" w:rsidP="00325194">
      <w:pPr>
        <w:pStyle w:val="FootnoteText"/>
        <w:jc w:val="both"/>
        <w:rPr>
          <w:rFonts w:ascii="Verdana" w:hAnsi="Verdana"/>
          <w:sz w:val="16"/>
          <w:szCs w:val="16"/>
          <w:lang w:val="es-CR"/>
        </w:rPr>
      </w:pPr>
      <w:r w:rsidRPr="00325194">
        <w:rPr>
          <w:rStyle w:val="FootnoteReference"/>
          <w:rFonts w:ascii="Verdana" w:hAnsi="Verdana"/>
          <w:sz w:val="16"/>
          <w:szCs w:val="16"/>
        </w:rPr>
        <w:footnoteRef/>
      </w:r>
      <w:r w:rsidRPr="00325194">
        <w:rPr>
          <w:rFonts w:ascii="Verdana" w:hAnsi="Verdana"/>
          <w:sz w:val="16"/>
          <w:szCs w:val="16"/>
          <w:lang w:val="es-CR"/>
        </w:rPr>
        <w:t xml:space="preserve"> </w:t>
      </w:r>
      <w:r w:rsidRPr="00325194">
        <w:rPr>
          <w:rFonts w:ascii="Verdana" w:hAnsi="Verdana"/>
          <w:sz w:val="16"/>
          <w:szCs w:val="16"/>
          <w:lang w:val="es-CR"/>
        </w:rPr>
        <w:tab/>
      </w:r>
      <w:r w:rsidRPr="00325194">
        <w:rPr>
          <w:rFonts w:ascii="Verdana" w:hAnsi="Verdana"/>
          <w:i/>
          <w:sz w:val="16"/>
          <w:szCs w:val="16"/>
          <w:lang w:val="es-CR"/>
        </w:rPr>
        <w:t xml:space="preserve">Cfr. </w:t>
      </w:r>
      <w:r w:rsidRPr="00325194">
        <w:rPr>
          <w:rFonts w:ascii="Verdana" w:hAnsi="Verdana"/>
          <w:sz w:val="16"/>
          <w:szCs w:val="16"/>
          <w:lang w:val="es-CR"/>
        </w:rPr>
        <w:t xml:space="preserve">Escrito de observaciones de los </w:t>
      </w:r>
      <w:r w:rsidR="00375531" w:rsidRPr="00325194">
        <w:rPr>
          <w:rFonts w:ascii="Verdana" w:hAnsi="Verdana"/>
          <w:sz w:val="16"/>
          <w:szCs w:val="16"/>
          <w:lang w:val="es-CR"/>
        </w:rPr>
        <w:t>representantes de la víctima de 11 de junio de 2017 y escrito de observaciones de la Comisión de 20 de junio de 2017.</w:t>
      </w:r>
    </w:p>
  </w:footnote>
  <w:footnote w:id="24">
    <w:p w:rsidR="00D97E3F" w:rsidRPr="00325194" w:rsidRDefault="00D97E3F" w:rsidP="00325194">
      <w:pPr>
        <w:pStyle w:val="FootnoteText"/>
        <w:jc w:val="both"/>
        <w:rPr>
          <w:rFonts w:ascii="Verdana" w:hAnsi="Verdana"/>
          <w:i/>
          <w:sz w:val="16"/>
          <w:szCs w:val="16"/>
          <w:lang w:val="es-CR"/>
        </w:rPr>
      </w:pPr>
      <w:r w:rsidRPr="00325194">
        <w:rPr>
          <w:rStyle w:val="FootnoteReference"/>
          <w:rFonts w:ascii="Verdana" w:hAnsi="Verdana"/>
          <w:sz w:val="16"/>
          <w:szCs w:val="16"/>
        </w:rPr>
        <w:footnoteRef/>
      </w:r>
      <w:r w:rsidRPr="00325194">
        <w:rPr>
          <w:rFonts w:ascii="Verdana" w:hAnsi="Verdana"/>
          <w:sz w:val="16"/>
          <w:szCs w:val="16"/>
          <w:lang w:val="es-CR"/>
        </w:rPr>
        <w:t xml:space="preserve"> </w:t>
      </w:r>
      <w:r w:rsidRPr="00325194">
        <w:rPr>
          <w:rFonts w:ascii="Verdana" w:hAnsi="Verdana"/>
          <w:sz w:val="16"/>
          <w:szCs w:val="16"/>
          <w:lang w:val="es-CR"/>
        </w:rPr>
        <w:tab/>
      </w:r>
      <w:r w:rsidRPr="00325194">
        <w:rPr>
          <w:rFonts w:ascii="Verdana" w:hAnsi="Verdana"/>
          <w:i/>
          <w:sz w:val="16"/>
          <w:szCs w:val="16"/>
          <w:lang w:val="es-CR"/>
        </w:rPr>
        <w:t xml:space="preserve">Cfr. </w:t>
      </w:r>
      <w:r w:rsidRPr="00325194">
        <w:rPr>
          <w:rFonts w:ascii="Verdana" w:hAnsi="Verdana"/>
          <w:sz w:val="16"/>
          <w:szCs w:val="16"/>
          <w:lang w:val="es-ES"/>
        </w:rPr>
        <w:t xml:space="preserve">Oficio número VJ-09307 de 20 de enero de 2017, </w:t>
      </w:r>
      <w:r w:rsidRPr="00325194">
        <w:rPr>
          <w:rFonts w:ascii="Verdana" w:hAnsi="Verdana"/>
          <w:i/>
          <w:sz w:val="16"/>
          <w:szCs w:val="16"/>
          <w:lang w:val="es-ES"/>
        </w:rPr>
        <w:t xml:space="preserve">supra </w:t>
      </w:r>
      <w:r w:rsidRPr="00325194">
        <w:rPr>
          <w:rFonts w:ascii="Verdana" w:hAnsi="Verdana"/>
          <w:sz w:val="16"/>
          <w:szCs w:val="16"/>
          <w:lang w:val="es-ES"/>
        </w:rPr>
        <w:t>nota 18.</w:t>
      </w:r>
    </w:p>
  </w:footnote>
  <w:footnote w:id="25">
    <w:p w:rsidR="005202C6" w:rsidRPr="00325194" w:rsidRDefault="005202C6" w:rsidP="00325194">
      <w:pPr>
        <w:pStyle w:val="FootnoteText"/>
        <w:jc w:val="both"/>
        <w:rPr>
          <w:rFonts w:ascii="Verdana" w:hAnsi="Verdana"/>
          <w:b/>
          <w:sz w:val="16"/>
          <w:szCs w:val="16"/>
          <w:lang w:val="es-CR"/>
        </w:rPr>
      </w:pPr>
      <w:r w:rsidRPr="00325194">
        <w:rPr>
          <w:rStyle w:val="FootnoteReference"/>
          <w:rFonts w:ascii="Verdana" w:hAnsi="Verdana"/>
          <w:sz w:val="16"/>
          <w:szCs w:val="16"/>
        </w:rPr>
        <w:footnoteRef/>
      </w:r>
      <w:r w:rsidRPr="00325194">
        <w:rPr>
          <w:rFonts w:ascii="Verdana" w:hAnsi="Verdana"/>
          <w:sz w:val="16"/>
          <w:szCs w:val="16"/>
          <w:lang w:val="es-CR"/>
        </w:rPr>
        <w:t xml:space="preserve"> </w:t>
      </w:r>
      <w:r w:rsidRPr="00325194">
        <w:rPr>
          <w:rFonts w:ascii="Verdana" w:hAnsi="Verdana"/>
          <w:sz w:val="16"/>
          <w:szCs w:val="16"/>
          <w:lang w:val="es-CR"/>
        </w:rPr>
        <w:tab/>
      </w:r>
      <w:r w:rsidRPr="00325194">
        <w:rPr>
          <w:rFonts w:ascii="Verdana" w:hAnsi="Verdana"/>
          <w:sz w:val="16"/>
          <w:szCs w:val="16"/>
          <w:lang w:val="es-MX"/>
        </w:rPr>
        <w:t xml:space="preserve">El Estado señaló que los intereses moratorios “procede[n] en el momento en el que se superó el término legal para efectuar el reconocimiento [de la pensión] o realizado el mismo, se retrasa el pago de las mesadas correspondientes”. En concreto, Colombia señaló que “el reconocimiento del derecho a la pensión de sobrevivientes por parte de la entidad de Previsión Social correspondiente, deberá efectuarse a más tardar dos (2) meses después de radicada la solicitud por el peticionario, con la correspondiente documentación que acredite su derecho”. Dado que “la solicitud formal junto con los soportes que acreditaban su derecho, fue presentada [por el señor Duque] el 19 de julio de 2016, y el pronunciamiento por parte de </w:t>
      </w:r>
      <w:proofErr w:type="spellStart"/>
      <w:r w:rsidRPr="00325194">
        <w:rPr>
          <w:rFonts w:ascii="Verdana" w:hAnsi="Verdana"/>
          <w:sz w:val="16"/>
          <w:szCs w:val="16"/>
          <w:lang w:val="es-MX"/>
        </w:rPr>
        <w:t>Colfondos</w:t>
      </w:r>
      <w:proofErr w:type="spellEnd"/>
      <w:r w:rsidRPr="00325194">
        <w:rPr>
          <w:rFonts w:ascii="Verdana" w:hAnsi="Verdana"/>
          <w:sz w:val="16"/>
          <w:szCs w:val="16"/>
          <w:lang w:val="es-MX"/>
        </w:rPr>
        <w:t xml:space="preserve"> S.A. se efectuó en el término legal establecido, el día 19 de septiembre de 2016” es que “no había lugar al reconocimiento del pago de los intereses de mora”. </w:t>
      </w:r>
      <w:r w:rsidR="00963CB5" w:rsidRPr="00325194">
        <w:rPr>
          <w:rFonts w:ascii="Verdana" w:hAnsi="Verdana"/>
          <w:i/>
          <w:sz w:val="16"/>
          <w:szCs w:val="16"/>
          <w:lang w:val="es-MX"/>
        </w:rPr>
        <w:t xml:space="preserve">Cfr. </w:t>
      </w:r>
      <w:r w:rsidR="003E6C72" w:rsidRPr="00325194">
        <w:rPr>
          <w:rFonts w:ascii="Verdana" w:hAnsi="Verdana"/>
          <w:sz w:val="16"/>
          <w:szCs w:val="16"/>
          <w:lang w:val="es-MX"/>
        </w:rPr>
        <w:t>Informe</w:t>
      </w:r>
      <w:r w:rsidR="00060E45">
        <w:rPr>
          <w:rFonts w:ascii="Verdana" w:hAnsi="Verdana"/>
          <w:sz w:val="16"/>
          <w:szCs w:val="16"/>
          <w:lang w:val="es-MX"/>
        </w:rPr>
        <w:t>s</w:t>
      </w:r>
      <w:r w:rsidR="00963CB5" w:rsidRPr="00325194">
        <w:rPr>
          <w:rFonts w:ascii="Verdana" w:hAnsi="Verdana"/>
          <w:sz w:val="16"/>
          <w:szCs w:val="16"/>
          <w:lang w:val="es-ES"/>
        </w:rPr>
        <w:t xml:space="preserve"> estatal</w:t>
      </w:r>
      <w:r w:rsidR="00060E45">
        <w:rPr>
          <w:rFonts w:ascii="Verdana" w:hAnsi="Verdana"/>
          <w:sz w:val="16"/>
          <w:szCs w:val="16"/>
          <w:lang w:val="es-ES"/>
        </w:rPr>
        <w:t>es</w:t>
      </w:r>
      <w:r w:rsidR="00963CB5" w:rsidRPr="00325194">
        <w:rPr>
          <w:rFonts w:ascii="Verdana" w:hAnsi="Verdana"/>
          <w:sz w:val="16"/>
          <w:szCs w:val="16"/>
          <w:lang w:val="es-ES"/>
        </w:rPr>
        <w:t xml:space="preserve"> de</w:t>
      </w:r>
      <w:r w:rsidR="00060E45">
        <w:rPr>
          <w:rFonts w:ascii="Verdana" w:hAnsi="Verdana"/>
          <w:sz w:val="16"/>
          <w:szCs w:val="16"/>
          <w:lang w:val="es-ES"/>
        </w:rPr>
        <w:t xml:space="preserve"> 31 de mayo y</w:t>
      </w:r>
      <w:r w:rsidR="00963CB5" w:rsidRPr="00325194">
        <w:rPr>
          <w:rFonts w:ascii="Verdana" w:hAnsi="Verdana"/>
          <w:sz w:val="16"/>
          <w:szCs w:val="16"/>
          <w:lang w:val="es-ES"/>
        </w:rPr>
        <w:t xml:space="preserve"> 10 de octubre de 2017. </w:t>
      </w:r>
    </w:p>
  </w:footnote>
  <w:footnote w:id="26">
    <w:p w:rsidR="005202C6" w:rsidRPr="00325194" w:rsidRDefault="005202C6" w:rsidP="00325194">
      <w:pPr>
        <w:pStyle w:val="FootnoteText"/>
        <w:jc w:val="both"/>
        <w:rPr>
          <w:rFonts w:ascii="Verdana" w:hAnsi="Verdana"/>
          <w:b/>
          <w:sz w:val="16"/>
          <w:szCs w:val="16"/>
          <w:lang w:val="es-CR"/>
        </w:rPr>
      </w:pPr>
      <w:r w:rsidRPr="00325194">
        <w:rPr>
          <w:rStyle w:val="FootnoteReference"/>
          <w:rFonts w:ascii="Verdana" w:hAnsi="Verdana"/>
          <w:sz w:val="16"/>
          <w:szCs w:val="16"/>
        </w:rPr>
        <w:footnoteRef/>
      </w:r>
      <w:r w:rsidRPr="00325194">
        <w:rPr>
          <w:rFonts w:ascii="Verdana" w:hAnsi="Verdana"/>
          <w:sz w:val="16"/>
          <w:szCs w:val="16"/>
          <w:lang w:val="es-CR"/>
        </w:rPr>
        <w:t xml:space="preserve"> </w:t>
      </w:r>
      <w:r w:rsidRPr="00325194">
        <w:rPr>
          <w:rFonts w:ascii="Verdana" w:hAnsi="Verdana"/>
          <w:sz w:val="16"/>
          <w:szCs w:val="16"/>
          <w:lang w:val="es-CR"/>
        </w:rPr>
        <w:tab/>
        <w:t xml:space="preserve">El Estado indicó que se debe diferenciar entre la “causación de la pensión”, la cual “ocurre desde el momento mismo en que el afiliado reúne los </w:t>
      </w:r>
      <w:proofErr w:type="gramStart"/>
      <w:r w:rsidRPr="00325194">
        <w:rPr>
          <w:rFonts w:ascii="Verdana" w:hAnsi="Verdana"/>
          <w:sz w:val="16"/>
          <w:szCs w:val="16"/>
          <w:lang w:val="es-CR"/>
        </w:rPr>
        <w:t>requisitos</w:t>
      </w:r>
      <w:r w:rsidR="00060E45">
        <w:rPr>
          <w:rFonts w:ascii="Verdana" w:hAnsi="Verdana"/>
          <w:sz w:val="16"/>
          <w:szCs w:val="16"/>
          <w:lang w:val="es-CR"/>
        </w:rPr>
        <w:t>[</w:t>
      </w:r>
      <w:proofErr w:type="gramEnd"/>
      <w:r w:rsidR="00060E45">
        <w:rPr>
          <w:rFonts w:ascii="Verdana" w:hAnsi="Verdana"/>
          <w:sz w:val="16"/>
          <w:szCs w:val="16"/>
          <w:lang w:val="es-CR"/>
        </w:rPr>
        <w:t>;]</w:t>
      </w:r>
      <w:r w:rsidRPr="00325194">
        <w:rPr>
          <w:rFonts w:ascii="Verdana" w:hAnsi="Verdana"/>
          <w:sz w:val="16"/>
          <w:szCs w:val="16"/>
          <w:lang w:val="es-CR"/>
        </w:rPr>
        <w:t xml:space="preserve"> en el caso de la pensión de sobrevivientes</w:t>
      </w:r>
      <w:r w:rsidR="00060E45">
        <w:rPr>
          <w:rFonts w:ascii="Verdana" w:hAnsi="Verdana"/>
          <w:sz w:val="16"/>
          <w:szCs w:val="16"/>
          <w:lang w:val="es-CR"/>
        </w:rPr>
        <w:t>[:]</w:t>
      </w:r>
      <w:r w:rsidRPr="00325194">
        <w:rPr>
          <w:rFonts w:ascii="Verdana" w:hAnsi="Verdana"/>
          <w:sz w:val="16"/>
          <w:szCs w:val="16"/>
          <w:lang w:val="es-CR"/>
        </w:rPr>
        <w:t xml:space="preserve"> el fallecimiento del causante, el número de semanas cotizadas requerido y la condición de pensión”, con la “solicitud de pensión”, la cual se da “una vez radicada ante la Administradora correspondiente la solicitud de pensión con todos los soportes que acrediten el derecho”. </w:t>
      </w:r>
      <w:r w:rsidR="003E6C72" w:rsidRPr="00325194">
        <w:rPr>
          <w:rFonts w:ascii="Verdana" w:hAnsi="Verdana"/>
          <w:i/>
          <w:sz w:val="16"/>
          <w:szCs w:val="16"/>
          <w:lang w:val="es-MX"/>
        </w:rPr>
        <w:t xml:space="preserve">Cfr. </w:t>
      </w:r>
      <w:r w:rsidR="003E6C72" w:rsidRPr="00325194">
        <w:rPr>
          <w:rFonts w:ascii="Verdana" w:hAnsi="Verdana"/>
          <w:sz w:val="16"/>
          <w:szCs w:val="16"/>
          <w:lang w:val="es-MX"/>
        </w:rPr>
        <w:t>Informe</w:t>
      </w:r>
      <w:r w:rsidR="003E6C72" w:rsidRPr="00325194">
        <w:rPr>
          <w:rFonts w:ascii="Verdana" w:hAnsi="Verdana"/>
          <w:sz w:val="16"/>
          <w:szCs w:val="16"/>
          <w:lang w:val="es-ES"/>
        </w:rPr>
        <w:t xml:space="preserve"> estatal de 10 de octubre de 2017. </w:t>
      </w:r>
      <w:r w:rsidR="00060E45">
        <w:rPr>
          <w:rFonts w:ascii="Verdana" w:hAnsi="Verdana"/>
          <w:sz w:val="16"/>
          <w:szCs w:val="16"/>
          <w:lang w:val="es-ES"/>
        </w:rPr>
        <w:t>Ver también informes estatales de 20 de abril y 31 de mayo de 2017.</w:t>
      </w:r>
    </w:p>
  </w:footnote>
  <w:footnote w:id="27">
    <w:p w:rsidR="00F31A83" w:rsidRPr="00325194" w:rsidRDefault="00F31A83" w:rsidP="00325194">
      <w:pPr>
        <w:pStyle w:val="FootnoteText"/>
        <w:jc w:val="both"/>
        <w:rPr>
          <w:rFonts w:ascii="Verdana" w:hAnsi="Verdana"/>
          <w:i/>
          <w:sz w:val="16"/>
          <w:szCs w:val="16"/>
          <w:lang w:val="es-CR"/>
        </w:rPr>
      </w:pPr>
      <w:r w:rsidRPr="00325194">
        <w:rPr>
          <w:rStyle w:val="FootnoteReference"/>
          <w:rFonts w:ascii="Verdana" w:hAnsi="Verdana"/>
          <w:sz w:val="16"/>
          <w:szCs w:val="16"/>
        </w:rPr>
        <w:footnoteRef/>
      </w:r>
      <w:r w:rsidRPr="00325194">
        <w:rPr>
          <w:rFonts w:ascii="Verdana" w:hAnsi="Verdana"/>
          <w:sz w:val="16"/>
          <w:szCs w:val="16"/>
          <w:lang w:val="es-CR"/>
        </w:rPr>
        <w:t xml:space="preserve"> </w:t>
      </w:r>
      <w:r w:rsidRPr="00325194">
        <w:rPr>
          <w:rFonts w:ascii="Verdana" w:hAnsi="Verdana"/>
          <w:sz w:val="16"/>
          <w:szCs w:val="16"/>
          <w:lang w:val="es-CR"/>
        </w:rPr>
        <w:tab/>
        <w:t>Los representantes señalaron que dicha solicitud “tenía una “verdadera, real e inequívoca reclamación de pensión”</w:t>
      </w:r>
      <w:r w:rsidR="00D5266E" w:rsidRPr="00325194">
        <w:rPr>
          <w:rFonts w:ascii="Verdana" w:hAnsi="Verdana"/>
          <w:sz w:val="16"/>
          <w:szCs w:val="16"/>
          <w:lang w:val="es-CR"/>
        </w:rPr>
        <w:t xml:space="preserve">. </w:t>
      </w:r>
      <w:r w:rsidR="001F0207">
        <w:rPr>
          <w:rFonts w:ascii="Verdana" w:hAnsi="Verdana"/>
          <w:sz w:val="16"/>
          <w:szCs w:val="16"/>
          <w:lang w:val="es-CR"/>
        </w:rPr>
        <w:t>También</w:t>
      </w:r>
      <w:r w:rsidR="001F0207" w:rsidRPr="00325194">
        <w:rPr>
          <w:rFonts w:ascii="Verdana" w:hAnsi="Verdana"/>
          <w:sz w:val="16"/>
          <w:szCs w:val="16"/>
          <w:lang w:val="es-CR"/>
        </w:rPr>
        <w:t xml:space="preserve"> señalaron que “las consideraciones del […] Estado pretenden reabrir el debate zanjado por la […] Corte en su [Sentencia] sobre la naturaleza y pretensión del escrito elevado por el señor Ángel Alberto Duque el 19 de marzo de 2002”. Al respecto, argumentaron que “independientemente de que la solicitud en principio no se haya diligenciado […] como lo exige la [L]</w:t>
      </w:r>
      <w:proofErr w:type="spellStart"/>
      <w:r w:rsidR="001F0207" w:rsidRPr="00325194">
        <w:rPr>
          <w:rFonts w:ascii="Verdana" w:hAnsi="Verdana"/>
          <w:sz w:val="16"/>
          <w:szCs w:val="16"/>
          <w:lang w:val="es-CR"/>
        </w:rPr>
        <w:t>ey</w:t>
      </w:r>
      <w:proofErr w:type="spellEnd"/>
      <w:r w:rsidR="001F0207" w:rsidRPr="00325194">
        <w:rPr>
          <w:rFonts w:ascii="Verdana" w:hAnsi="Verdana"/>
          <w:sz w:val="16"/>
          <w:szCs w:val="16"/>
          <w:lang w:val="es-CR"/>
        </w:rPr>
        <w:t xml:space="preserve"> 100 de 1993, sin duda alguna [dicha] solicitud […] cumplió con los requisitos mínimos que se exige en Colombia frente a un derecho de petición corriente, y no se puede alegar sobre ese escrito ambigüedad u oscuridad sobre su alcance y sentido; al contrario, de lo que sí existe certeza es que aquel escrito encaminó un propósito unívoco, dirigido a iniciar el trámite por parte del ciudadano de una solicitud con base en </w:t>
      </w:r>
      <w:r w:rsidR="001F0207">
        <w:rPr>
          <w:rFonts w:ascii="Verdana" w:hAnsi="Verdana"/>
          <w:sz w:val="16"/>
          <w:szCs w:val="16"/>
          <w:lang w:val="es-CR"/>
        </w:rPr>
        <w:t xml:space="preserve">[la] </w:t>
      </w:r>
      <w:r w:rsidR="001F0207" w:rsidRPr="00325194">
        <w:rPr>
          <w:rFonts w:ascii="Verdana" w:hAnsi="Verdana"/>
          <w:sz w:val="16"/>
          <w:szCs w:val="16"/>
          <w:lang w:val="es-CR"/>
        </w:rPr>
        <w:t xml:space="preserve">cual se lograra obtener el derecho que subjetivamente consideraba le correspondía”. </w:t>
      </w:r>
      <w:r w:rsidR="001F0207" w:rsidRPr="00325194">
        <w:rPr>
          <w:rFonts w:ascii="Verdana" w:hAnsi="Verdana"/>
          <w:i/>
          <w:sz w:val="16"/>
          <w:szCs w:val="16"/>
          <w:lang w:val="es-CR"/>
        </w:rPr>
        <w:t xml:space="preserve">Cfr. </w:t>
      </w:r>
      <w:r w:rsidR="001F0207" w:rsidRPr="00325194">
        <w:rPr>
          <w:rFonts w:ascii="Verdana" w:hAnsi="Verdana"/>
          <w:sz w:val="16"/>
          <w:szCs w:val="16"/>
          <w:lang w:val="es-CR"/>
        </w:rPr>
        <w:t>Escrito de observaciones de los representantes de la víctima de 26 de febrero de 2018.</w:t>
      </w:r>
      <w:r w:rsidR="00D5266E" w:rsidRPr="00325194">
        <w:rPr>
          <w:rFonts w:ascii="Verdana" w:hAnsi="Verdana"/>
          <w:i/>
          <w:sz w:val="16"/>
          <w:szCs w:val="16"/>
          <w:lang w:val="es-CR"/>
        </w:rPr>
        <w:t xml:space="preserve">Cfr. </w:t>
      </w:r>
      <w:r w:rsidR="00D5266E" w:rsidRPr="00325194">
        <w:rPr>
          <w:rFonts w:ascii="Verdana" w:hAnsi="Verdana"/>
          <w:sz w:val="16"/>
          <w:szCs w:val="16"/>
          <w:lang w:val="es-CR"/>
        </w:rPr>
        <w:t>Escrito de observaciones de los representantes de la víctima de 11 de junio de 2017</w:t>
      </w:r>
      <w:r w:rsidR="00060E45">
        <w:rPr>
          <w:rFonts w:ascii="Verdana" w:hAnsi="Verdana"/>
          <w:sz w:val="16"/>
          <w:szCs w:val="16"/>
          <w:lang w:val="es-CR"/>
        </w:rPr>
        <w:t xml:space="preserve"> y escrito </w:t>
      </w:r>
      <w:r w:rsidR="00060E45" w:rsidRPr="00325194">
        <w:rPr>
          <w:rFonts w:ascii="Verdana" w:hAnsi="Verdana"/>
          <w:sz w:val="16"/>
          <w:szCs w:val="16"/>
          <w:lang w:val="es-CR"/>
        </w:rPr>
        <w:t>de observaciones de</w:t>
      </w:r>
      <w:r w:rsidR="00060E45">
        <w:rPr>
          <w:rFonts w:ascii="Verdana" w:hAnsi="Verdana"/>
          <w:sz w:val="16"/>
          <w:szCs w:val="16"/>
          <w:lang w:val="es-CR"/>
        </w:rPr>
        <w:t xml:space="preserve"> la Comisión de 20 de junio de 2017</w:t>
      </w:r>
      <w:r w:rsidR="00D5266E" w:rsidRPr="00325194">
        <w:rPr>
          <w:rFonts w:ascii="Verdana" w:hAnsi="Verdana"/>
          <w:sz w:val="16"/>
          <w:szCs w:val="16"/>
          <w:lang w:val="es-CR"/>
        </w:rPr>
        <w:t>.</w:t>
      </w:r>
    </w:p>
  </w:footnote>
  <w:footnote w:id="28">
    <w:p w:rsidR="00EC55AA" w:rsidRPr="00325194" w:rsidRDefault="00EC55AA" w:rsidP="00325194">
      <w:pPr>
        <w:pStyle w:val="FootnoteText"/>
        <w:jc w:val="both"/>
        <w:rPr>
          <w:rFonts w:ascii="Verdana" w:hAnsi="Verdana"/>
          <w:sz w:val="16"/>
          <w:szCs w:val="16"/>
          <w:lang w:val="es-CR"/>
        </w:rPr>
      </w:pPr>
      <w:r w:rsidRPr="00325194">
        <w:rPr>
          <w:rStyle w:val="FootnoteReference"/>
          <w:rFonts w:ascii="Verdana" w:hAnsi="Verdana"/>
          <w:sz w:val="16"/>
          <w:szCs w:val="16"/>
        </w:rPr>
        <w:footnoteRef/>
      </w:r>
      <w:r w:rsidRPr="00325194">
        <w:rPr>
          <w:rFonts w:ascii="Verdana" w:hAnsi="Verdana"/>
          <w:sz w:val="16"/>
          <w:szCs w:val="16"/>
          <w:lang w:val="es-CR"/>
        </w:rPr>
        <w:t xml:space="preserve"> </w:t>
      </w:r>
      <w:r w:rsidRPr="00325194">
        <w:rPr>
          <w:rFonts w:ascii="Verdana" w:hAnsi="Verdana"/>
          <w:sz w:val="16"/>
          <w:szCs w:val="16"/>
          <w:lang w:val="es-CR"/>
        </w:rPr>
        <w:tab/>
        <w:t>Los representantes señalaron que “cuando se hace referencia al reconocimiento de los intereses […] de acuerdo a la normatividad interna [c]</w:t>
      </w:r>
      <w:proofErr w:type="spellStart"/>
      <w:r w:rsidRPr="00325194">
        <w:rPr>
          <w:rFonts w:ascii="Verdana" w:hAnsi="Verdana"/>
          <w:sz w:val="16"/>
          <w:szCs w:val="16"/>
          <w:lang w:val="es-CR"/>
        </w:rPr>
        <w:t>olombiana</w:t>
      </w:r>
      <w:proofErr w:type="spellEnd"/>
      <w:r w:rsidRPr="00325194">
        <w:rPr>
          <w:rFonts w:ascii="Verdana" w:hAnsi="Verdana"/>
          <w:sz w:val="16"/>
          <w:szCs w:val="16"/>
          <w:lang w:val="es-CR"/>
        </w:rPr>
        <w:t xml:space="preserve">, no significa […] que las autoridades colombianas se arrogan la facultad de decidir su </w:t>
      </w:r>
      <w:proofErr w:type="gramStart"/>
      <w:r w:rsidRPr="00325194">
        <w:rPr>
          <w:rFonts w:ascii="Verdana" w:hAnsi="Verdana"/>
          <w:sz w:val="16"/>
          <w:szCs w:val="16"/>
          <w:lang w:val="es-CR"/>
        </w:rPr>
        <w:t>procedencia[</w:t>
      </w:r>
      <w:proofErr w:type="gramEnd"/>
      <w:r w:rsidRPr="00325194">
        <w:rPr>
          <w:rFonts w:ascii="Verdana" w:hAnsi="Verdana"/>
          <w:sz w:val="16"/>
          <w:szCs w:val="16"/>
          <w:lang w:val="es-CR"/>
        </w:rPr>
        <w:t xml:space="preserve">, …] sino </w:t>
      </w:r>
      <w:proofErr w:type="spellStart"/>
      <w:r w:rsidRPr="00325194">
        <w:rPr>
          <w:rFonts w:ascii="Verdana" w:hAnsi="Verdana"/>
          <w:sz w:val="16"/>
          <w:szCs w:val="16"/>
          <w:lang w:val="es-CR"/>
        </w:rPr>
        <w:t>simpleme</w:t>
      </w:r>
      <w:proofErr w:type="spellEnd"/>
      <w:r w:rsidRPr="00325194">
        <w:rPr>
          <w:rFonts w:ascii="Verdana" w:hAnsi="Verdana"/>
          <w:sz w:val="16"/>
          <w:szCs w:val="16"/>
          <w:lang w:val="es-CR"/>
        </w:rPr>
        <w:t xml:space="preserve">[n]te indica que su liquidación y cómputo </w:t>
      </w:r>
      <w:proofErr w:type="spellStart"/>
      <w:r w:rsidRPr="00325194">
        <w:rPr>
          <w:rFonts w:ascii="Verdana" w:hAnsi="Verdana"/>
          <w:sz w:val="16"/>
          <w:szCs w:val="16"/>
          <w:lang w:val="es-CR"/>
        </w:rPr>
        <w:t>deb</w:t>
      </w:r>
      <w:proofErr w:type="spellEnd"/>
      <w:r w:rsidRPr="00325194">
        <w:rPr>
          <w:rFonts w:ascii="Verdana" w:hAnsi="Verdana"/>
          <w:sz w:val="16"/>
          <w:szCs w:val="16"/>
          <w:lang w:val="es-CR"/>
        </w:rPr>
        <w:t xml:space="preserve">[e …] hacerse conforme las reglas y parámetros establecidos en el orden legal interno” del Estado. </w:t>
      </w:r>
      <w:r w:rsidR="00F96ABA" w:rsidRPr="00325194">
        <w:rPr>
          <w:rFonts w:ascii="Verdana" w:hAnsi="Verdana"/>
          <w:i/>
          <w:sz w:val="16"/>
          <w:szCs w:val="16"/>
          <w:lang w:val="es-CR"/>
        </w:rPr>
        <w:t>Cfr.</w:t>
      </w:r>
      <w:r w:rsidR="00F96ABA" w:rsidRPr="00325194">
        <w:rPr>
          <w:rFonts w:ascii="Verdana" w:hAnsi="Verdana"/>
          <w:sz w:val="16"/>
          <w:szCs w:val="16"/>
          <w:lang w:val="es-CR"/>
        </w:rPr>
        <w:t xml:space="preserve"> Escrito de observaciones de los representantes de la víctima de 11 de junio de 2017. Asimismo, ver escritos de observaciones de los representantes de la víctima de 25 de julio de 2017 y 26 de febrero de 2018.</w:t>
      </w:r>
      <w:r w:rsidR="00F96ABA" w:rsidRPr="00325194">
        <w:rPr>
          <w:rFonts w:ascii="Verdana" w:hAnsi="Verdana"/>
          <w:sz w:val="16"/>
          <w:szCs w:val="16"/>
          <w:lang w:val="es-ES"/>
        </w:rPr>
        <w:t xml:space="preserve"> </w:t>
      </w:r>
      <w:r w:rsidRPr="00325194">
        <w:rPr>
          <w:rFonts w:ascii="Verdana" w:hAnsi="Verdana"/>
          <w:sz w:val="16"/>
          <w:szCs w:val="16"/>
          <w:lang w:val="es-CR"/>
        </w:rPr>
        <w:t xml:space="preserve">Por su parte, la Comisión señaló que la reparación en cuestión “no estaría cumplida en su totalidad hasta que el Estado no cubra el aspecto relativo al pago de los intereses respecto de las sumas dejadas de percibir”, en tanto “la Corte ordenó al Estado pagar los intereses desde la fecha de dicha petición de información del señor Duque, y únicamente dejó sujeto a aplicación de la normatividad colombiana el monto de los intereses, no la posibilidad misma de reconocerlos”. </w:t>
      </w:r>
      <w:r w:rsidR="00F96ABA" w:rsidRPr="00325194">
        <w:rPr>
          <w:rFonts w:ascii="Verdana" w:hAnsi="Verdana"/>
          <w:i/>
          <w:sz w:val="16"/>
          <w:szCs w:val="16"/>
          <w:lang w:val="es-CR"/>
        </w:rPr>
        <w:t xml:space="preserve">Cfr. </w:t>
      </w:r>
      <w:r w:rsidR="00F96ABA" w:rsidRPr="00325194">
        <w:rPr>
          <w:rFonts w:ascii="Verdana" w:hAnsi="Verdana"/>
          <w:sz w:val="16"/>
          <w:szCs w:val="16"/>
          <w:lang w:val="es-CR"/>
        </w:rPr>
        <w:t xml:space="preserve">Escrito de observaciones de la Comisión de 20 de junio de 2017. </w:t>
      </w:r>
    </w:p>
  </w:footnote>
  <w:footnote w:id="29">
    <w:p w:rsidR="005202C6" w:rsidRPr="00325194" w:rsidRDefault="005202C6" w:rsidP="00325194">
      <w:pPr>
        <w:pStyle w:val="FootnoteText"/>
        <w:jc w:val="both"/>
        <w:rPr>
          <w:rFonts w:ascii="Verdana" w:hAnsi="Verdana"/>
          <w:sz w:val="16"/>
          <w:szCs w:val="16"/>
          <w:lang w:val="es-CR"/>
        </w:rPr>
      </w:pPr>
      <w:r w:rsidRPr="00325194">
        <w:rPr>
          <w:rStyle w:val="FootnoteReference"/>
          <w:rFonts w:ascii="Verdana" w:hAnsi="Verdana"/>
          <w:sz w:val="16"/>
          <w:szCs w:val="16"/>
        </w:rPr>
        <w:footnoteRef/>
      </w:r>
      <w:r w:rsidRPr="00325194">
        <w:rPr>
          <w:rFonts w:ascii="Verdana" w:hAnsi="Verdana"/>
          <w:sz w:val="16"/>
          <w:szCs w:val="16"/>
          <w:lang w:val="es-CR"/>
        </w:rPr>
        <w:t xml:space="preserve"> </w:t>
      </w:r>
      <w:r w:rsidRPr="00325194">
        <w:rPr>
          <w:rFonts w:ascii="Verdana" w:hAnsi="Verdana"/>
          <w:sz w:val="16"/>
          <w:szCs w:val="16"/>
          <w:lang w:val="es-CR"/>
        </w:rPr>
        <w:tab/>
        <w:t xml:space="preserve">Asimismo, la Corte tuvo como hecho probado que ante la respuesta de COLFONDOS relativa a que la víctima “no ostentaba la calidad de beneficiario de conformidad con la ley aplicable”, el señor Duque interpuso una acción de tutela el 26 de abril de 2002, “solicitando que se reconociera y se pagara la sustitución de la pensión a su favor”. </w:t>
      </w:r>
      <w:r w:rsidR="001A0B42" w:rsidRPr="00325194">
        <w:rPr>
          <w:rFonts w:ascii="Verdana" w:hAnsi="Verdana"/>
          <w:i/>
          <w:color w:val="000000"/>
          <w:sz w:val="16"/>
          <w:szCs w:val="16"/>
          <w:lang w:val="es-CR"/>
        </w:rPr>
        <w:t xml:space="preserve">Cfr. </w:t>
      </w:r>
      <w:r w:rsidR="001A0B42" w:rsidRPr="00325194">
        <w:rPr>
          <w:rFonts w:ascii="Verdana" w:hAnsi="Verdana"/>
          <w:bCs/>
          <w:i/>
          <w:sz w:val="16"/>
          <w:szCs w:val="16"/>
          <w:lang w:val="es-CR"/>
        </w:rPr>
        <w:t xml:space="preserve">Caso Duque Vs. Colombia, supra </w:t>
      </w:r>
      <w:r w:rsidR="001A0B42" w:rsidRPr="00325194">
        <w:rPr>
          <w:rFonts w:ascii="Verdana" w:hAnsi="Verdana"/>
          <w:bCs/>
          <w:sz w:val="16"/>
          <w:szCs w:val="16"/>
          <w:lang w:val="es-CR"/>
        </w:rPr>
        <w:t xml:space="preserve">nota 1, </w:t>
      </w:r>
      <w:proofErr w:type="spellStart"/>
      <w:r w:rsidR="001A0B42" w:rsidRPr="00325194">
        <w:rPr>
          <w:rFonts w:ascii="Verdana" w:hAnsi="Verdana"/>
          <w:bCs/>
          <w:sz w:val="16"/>
          <w:szCs w:val="16"/>
          <w:lang w:val="es-CR"/>
        </w:rPr>
        <w:t>párrs</w:t>
      </w:r>
      <w:proofErr w:type="spellEnd"/>
      <w:r w:rsidR="001A0B42" w:rsidRPr="00325194">
        <w:rPr>
          <w:rFonts w:ascii="Verdana" w:hAnsi="Verdana"/>
          <w:bCs/>
          <w:sz w:val="16"/>
          <w:szCs w:val="16"/>
          <w:lang w:val="es-CR"/>
        </w:rPr>
        <w:t>.</w:t>
      </w:r>
      <w:r w:rsidRPr="00325194">
        <w:rPr>
          <w:rFonts w:ascii="Verdana" w:hAnsi="Verdana"/>
          <w:sz w:val="16"/>
          <w:szCs w:val="16"/>
          <w:lang w:val="es-CR"/>
        </w:rPr>
        <w:t xml:space="preserve"> 70 y 77. </w:t>
      </w:r>
    </w:p>
  </w:footnote>
  <w:footnote w:id="30">
    <w:p w:rsidR="005202C6" w:rsidRPr="00325194" w:rsidRDefault="005202C6" w:rsidP="00325194">
      <w:pPr>
        <w:pStyle w:val="FootnoteText"/>
        <w:jc w:val="both"/>
        <w:rPr>
          <w:rFonts w:ascii="Verdana" w:hAnsi="Verdana"/>
          <w:sz w:val="16"/>
          <w:szCs w:val="16"/>
          <w:lang w:val="es-CR"/>
        </w:rPr>
      </w:pPr>
      <w:r w:rsidRPr="00325194">
        <w:rPr>
          <w:rStyle w:val="FootnoteReference"/>
          <w:rFonts w:ascii="Verdana" w:hAnsi="Verdana"/>
          <w:sz w:val="16"/>
          <w:szCs w:val="16"/>
        </w:rPr>
        <w:footnoteRef/>
      </w:r>
      <w:r w:rsidRPr="00325194">
        <w:rPr>
          <w:rFonts w:ascii="Verdana" w:hAnsi="Verdana"/>
          <w:sz w:val="16"/>
          <w:szCs w:val="16"/>
          <w:lang w:val="es-CR"/>
        </w:rPr>
        <w:t xml:space="preserve"> </w:t>
      </w:r>
      <w:r w:rsidRPr="00325194">
        <w:rPr>
          <w:rFonts w:ascii="Verdana" w:hAnsi="Verdana"/>
          <w:sz w:val="16"/>
          <w:szCs w:val="16"/>
          <w:lang w:val="es-CR"/>
        </w:rPr>
        <w:tab/>
      </w:r>
      <w:r w:rsidR="001A0B42" w:rsidRPr="00325194">
        <w:rPr>
          <w:rFonts w:ascii="Verdana" w:hAnsi="Verdana"/>
          <w:i/>
          <w:color w:val="000000"/>
          <w:sz w:val="16"/>
          <w:szCs w:val="16"/>
          <w:lang w:val="es-CR"/>
        </w:rPr>
        <w:t xml:space="preserve">Cfr. </w:t>
      </w:r>
      <w:r w:rsidR="001A0B42" w:rsidRPr="00325194">
        <w:rPr>
          <w:rFonts w:ascii="Verdana" w:hAnsi="Verdana"/>
          <w:bCs/>
          <w:i/>
          <w:sz w:val="16"/>
          <w:szCs w:val="16"/>
          <w:lang w:val="es-CR"/>
        </w:rPr>
        <w:t xml:space="preserve">Caso Duque Vs. Colombia, supra </w:t>
      </w:r>
      <w:r w:rsidR="001A0B42" w:rsidRPr="00325194">
        <w:rPr>
          <w:rFonts w:ascii="Verdana" w:hAnsi="Verdana"/>
          <w:bCs/>
          <w:sz w:val="16"/>
          <w:szCs w:val="16"/>
          <w:lang w:val="es-CR"/>
        </w:rPr>
        <w:t xml:space="preserve">nota 1, </w:t>
      </w:r>
      <w:proofErr w:type="spellStart"/>
      <w:r w:rsidR="001A0B42" w:rsidRPr="00325194">
        <w:rPr>
          <w:rFonts w:ascii="Verdana" w:hAnsi="Verdana"/>
          <w:bCs/>
          <w:sz w:val="16"/>
          <w:szCs w:val="16"/>
          <w:lang w:val="es-CR"/>
        </w:rPr>
        <w:t>párrs</w:t>
      </w:r>
      <w:proofErr w:type="spellEnd"/>
      <w:r w:rsidR="001A0B42" w:rsidRPr="00325194">
        <w:rPr>
          <w:rFonts w:ascii="Verdana" w:hAnsi="Verdana"/>
          <w:bCs/>
          <w:sz w:val="16"/>
          <w:szCs w:val="16"/>
          <w:lang w:val="es-CR"/>
        </w:rPr>
        <w:t>.</w:t>
      </w:r>
      <w:r w:rsidR="001A0B42" w:rsidRPr="00325194">
        <w:rPr>
          <w:rFonts w:ascii="Verdana" w:hAnsi="Verdana"/>
          <w:sz w:val="16"/>
          <w:szCs w:val="16"/>
          <w:lang w:val="es-CR"/>
        </w:rPr>
        <w:t xml:space="preserve"> </w:t>
      </w:r>
      <w:r w:rsidRPr="00325194">
        <w:rPr>
          <w:rFonts w:ascii="Verdana" w:hAnsi="Verdana"/>
          <w:sz w:val="16"/>
          <w:szCs w:val="16"/>
          <w:lang w:val="es-CR"/>
        </w:rPr>
        <w:t>135 y 200</w:t>
      </w:r>
      <w:r w:rsidR="001A0B42" w:rsidRPr="00325194">
        <w:rPr>
          <w:rFonts w:ascii="Verdana" w:hAnsi="Verdana"/>
          <w:sz w:val="16"/>
          <w:szCs w:val="16"/>
          <w:lang w:val="es-CR"/>
        </w:rPr>
        <w:t>.</w:t>
      </w:r>
    </w:p>
  </w:footnote>
  <w:footnote w:id="31">
    <w:p w:rsidR="005202C6" w:rsidRPr="00325194" w:rsidRDefault="005202C6" w:rsidP="00325194">
      <w:pPr>
        <w:pStyle w:val="FootnoteText"/>
        <w:jc w:val="both"/>
        <w:rPr>
          <w:rFonts w:ascii="Verdana" w:hAnsi="Verdana"/>
          <w:sz w:val="16"/>
          <w:szCs w:val="16"/>
          <w:lang w:val="es-CR"/>
        </w:rPr>
      </w:pPr>
      <w:r w:rsidRPr="00325194">
        <w:rPr>
          <w:rStyle w:val="FootnoteReference"/>
          <w:rFonts w:ascii="Verdana" w:hAnsi="Verdana"/>
          <w:sz w:val="16"/>
          <w:szCs w:val="16"/>
        </w:rPr>
        <w:footnoteRef/>
      </w:r>
      <w:r w:rsidRPr="00325194">
        <w:rPr>
          <w:rFonts w:ascii="Verdana" w:hAnsi="Verdana"/>
          <w:sz w:val="16"/>
          <w:szCs w:val="16"/>
          <w:lang w:val="es-CR"/>
        </w:rPr>
        <w:t xml:space="preserve"> </w:t>
      </w:r>
      <w:r w:rsidRPr="00325194">
        <w:rPr>
          <w:rFonts w:ascii="Verdana" w:hAnsi="Verdana"/>
          <w:sz w:val="16"/>
          <w:szCs w:val="16"/>
          <w:lang w:val="es-CR"/>
        </w:rPr>
        <w:tab/>
      </w:r>
      <w:r w:rsidR="001A0B42" w:rsidRPr="00325194">
        <w:rPr>
          <w:rFonts w:ascii="Verdana" w:hAnsi="Verdana"/>
          <w:i/>
          <w:color w:val="000000"/>
          <w:sz w:val="16"/>
          <w:szCs w:val="16"/>
          <w:lang w:val="es-CR"/>
        </w:rPr>
        <w:t xml:space="preserve">Cfr. </w:t>
      </w:r>
      <w:r w:rsidR="001A0B42" w:rsidRPr="00325194">
        <w:rPr>
          <w:rFonts w:ascii="Verdana" w:hAnsi="Verdana"/>
          <w:bCs/>
          <w:i/>
          <w:sz w:val="16"/>
          <w:szCs w:val="16"/>
          <w:lang w:val="es-CR"/>
        </w:rPr>
        <w:t xml:space="preserve">Caso Duque Vs. Colombia, supra </w:t>
      </w:r>
      <w:r w:rsidR="001A0B42" w:rsidRPr="00325194">
        <w:rPr>
          <w:rFonts w:ascii="Verdana" w:hAnsi="Verdana"/>
          <w:bCs/>
          <w:sz w:val="16"/>
          <w:szCs w:val="16"/>
          <w:lang w:val="es-CR"/>
        </w:rPr>
        <w:t>nota 1, párr.</w:t>
      </w:r>
      <w:r w:rsidRPr="00325194">
        <w:rPr>
          <w:rFonts w:ascii="Verdana" w:hAnsi="Verdana"/>
          <w:sz w:val="16"/>
          <w:szCs w:val="16"/>
          <w:lang w:val="es-CR"/>
        </w:rPr>
        <w:t xml:space="preserve"> 199</w:t>
      </w:r>
      <w:r w:rsidR="001A0B42" w:rsidRPr="00325194">
        <w:rPr>
          <w:rFonts w:ascii="Verdana" w:hAnsi="Verdana"/>
          <w:sz w:val="16"/>
          <w:szCs w:val="16"/>
          <w:lang w:val="es-CR"/>
        </w:rPr>
        <w:t>.</w:t>
      </w:r>
      <w:r w:rsidR="00BA786C" w:rsidRPr="00325194">
        <w:rPr>
          <w:rFonts w:ascii="Verdana" w:hAnsi="Verdana"/>
          <w:sz w:val="16"/>
          <w:szCs w:val="16"/>
          <w:lang w:val="es-CR"/>
        </w:rPr>
        <w:t xml:space="preserve"> </w:t>
      </w:r>
    </w:p>
  </w:footnote>
  <w:footnote w:id="32">
    <w:p w:rsidR="005202C6" w:rsidRPr="00325194" w:rsidRDefault="005202C6" w:rsidP="00325194">
      <w:pPr>
        <w:pStyle w:val="FootnoteText"/>
        <w:jc w:val="both"/>
        <w:rPr>
          <w:rFonts w:ascii="Verdana" w:hAnsi="Verdana"/>
          <w:sz w:val="16"/>
          <w:szCs w:val="16"/>
          <w:lang w:val="es-CR"/>
        </w:rPr>
      </w:pPr>
      <w:r w:rsidRPr="00325194">
        <w:rPr>
          <w:rStyle w:val="FootnoteReference"/>
          <w:rFonts w:ascii="Verdana" w:hAnsi="Verdana"/>
          <w:sz w:val="16"/>
          <w:szCs w:val="16"/>
        </w:rPr>
        <w:footnoteRef/>
      </w:r>
      <w:r w:rsidRPr="00325194">
        <w:rPr>
          <w:rFonts w:ascii="Verdana" w:hAnsi="Verdana"/>
          <w:sz w:val="16"/>
          <w:szCs w:val="16"/>
          <w:lang w:val="es-CR"/>
        </w:rPr>
        <w:t xml:space="preserve"> </w:t>
      </w:r>
      <w:r w:rsidRPr="00325194">
        <w:rPr>
          <w:rFonts w:ascii="Verdana" w:hAnsi="Verdana"/>
          <w:sz w:val="16"/>
          <w:szCs w:val="16"/>
          <w:lang w:val="es-CR"/>
        </w:rPr>
        <w:tab/>
      </w:r>
      <w:r w:rsidR="00F96ABA" w:rsidRPr="00325194">
        <w:rPr>
          <w:rFonts w:ascii="Verdana" w:hAnsi="Verdana"/>
          <w:sz w:val="16"/>
          <w:szCs w:val="16"/>
          <w:lang w:val="es-CR"/>
        </w:rPr>
        <w:t xml:space="preserve">Al respecto, detallaron que si bien la </w:t>
      </w:r>
      <w:r w:rsidR="002E1874">
        <w:rPr>
          <w:rFonts w:ascii="Verdana" w:hAnsi="Verdana"/>
          <w:sz w:val="16"/>
          <w:szCs w:val="16"/>
          <w:lang w:val="es-CR"/>
        </w:rPr>
        <w:t>“</w:t>
      </w:r>
      <w:r w:rsidR="00F96ABA" w:rsidRPr="00325194">
        <w:rPr>
          <w:rFonts w:ascii="Verdana" w:hAnsi="Verdana"/>
          <w:sz w:val="16"/>
          <w:szCs w:val="16"/>
          <w:lang w:val="es-CR"/>
        </w:rPr>
        <w:t>reforma constitucional al sistema general de pensiones […] procedió a eliminar la mesada 14[</w:t>
      </w:r>
      <w:proofErr w:type="gramStart"/>
      <w:r w:rsidR="00F96ABA" w:rsidRPr="00325194">
        <w:rPr>
          <w:rFonts w:ascii="Verdana" w:hAnsi="Verdana"/>
          <w:sz w:val="16"/>
          <w:szCs w:val="16"/>
          <w:lang w:val="es-CR"/>
        </w:rPr>
        <w:t>, …</w:t>
      </w:r>
      <w:proofErr w:type="gramEnd"/>
      <w:r w:rsidR="00F96ABA" w:rsidRPr="00325194">
        <w:rPr>
          <w:rFonts w:ascii="Verdana" w:hAnsi="Verdana"/>
          <w:sz w:val="16"/>
          <w:szCs w:val="16"/>
          <w:lang w:val="es-CR"/>
        </w:rPr>
        <w:t>] dejó incólumes los derechos adquiridos y dispuso que nada afectará el reconocimiento pensional ni sus prestaciones vigentes al momento de su causación, como la mesada 14”. Señalaron que incluso se estableció que “se seguiría reconociendo esa mesada adicional a pensiones no superiores a 3 salarios mínimos, como la que disfruta el señor Duque, si se causaran antes del 31 de julio de 20</w:t>
      </w:r>
      <w:r w:rsidR="007056ED">
        <w:rPr>
          <w:rFonts w:ascii="Verdana" w:hAnsi="Verdana"/>
          <w:sz w:val="16"/>
          <w:szCs w:val="16"/>
          <w:lang w:val="es-CR"/>
        </w:rPr>
        <w:t>1</w:t>
      </w:r>
      <w:r w:rsidR="00F96ABA" w:rsidRPr="00325194">
        <w:rPr>
          <w:rFonts w:ascii="Verdana" w:hAnsi="Verdana"/>
          <w:sz w:val="16"/>
          <w:szCs w:val="16"/>
          <w:lang w:val="es-CR"/>
        </w:rPr>
        <w:t xml:space="preserve">1”. Asimismo, los representantes manifestaron que la reforma dispone “taxativamente […] la garantía sobre los derechos adquiridos al momento de la </w:t>
      </w:r>
      <w:proofErr w:type="spellStart"/>
      <w:r w:rsidR="00F96ABA" w:rsidRPr="00325194">
        <w:rPr>
          <w:rFonts w:ascii="Verdana" w:hAnsi="Verdana"/>
          <w:sz w:val="16"/>
          <w:szCs w:val="16"/>
          <w:lang w:val="es-CR"/>
        </w:rPr>
        <w:t>causación</w:t>
      </w:r>
      <w:proofErr w:type="spellEnd"/>
      <w:r w:rsidR="00F96ABA" w:rsidRPr="00325194">
        <w:rPr>
          <w:rFonts w:ascii="Verdana" w:hAnsi="Verdana"/>
          <w:sz w:val="16"/>
          <w:szCs w:val="16"/>
          <w:lang w:val="es-CR"/>
        </w:rPr>
        <w:t>, no del reconocimiento”</w:t>
      </w:r>
      <w:r w:rsidR="007056ED">
        <w:rPr>
          <w:rFonts w:ascii="Verdana" w:hAnsi="Verdana"/>
          <w:sz w:val="16"/>
          <w:szCs w:val="16"/>
          <w:lang w:val="es-CR"/>
        </w:rPr>
        <w:t>.</w:t>
      </w:r>
      <w:r w:rsidR="00F96ABA" w:rsidRPr="00325194">
        <w:rPr>
          <w:rFonts w:ascii="Verdana" w:hAnsi="Verdana"/>
          <w:sz w:val="16"/>
          <w:szCs w:val="16"/>
          <w:lang w:val="es-CR"/>
        </w:rPr>
        <w:t xml:space="preserve"> </w:t>
      </w:r>
      <w:r w:rsidR="00E51F44" w:rsidRPr="00325194">
        <w:rPr>
          <w:rFonts w:ascii="Verdana" w:hAnsi="Verdana"/>
          <w:i/>
          <w:sz w:val="16"/>
          <w:szCs w:val="16"/>
          <w:lang w:val="es-CR"/>
        </w:rPr>
        <w:t xml:space="preserve">Cfr. </w:t>
      </w:r>
      <w:r w:rsidR="00E51F44" w:rsidRPr="00325194">
        <w:rPr>
          <w:rFonts w:ascii="Verdana" w:hAnsi="Verdana"/>
          <w:sz w:val="16"/>
          <w:szCs w:val="16"/>
          <w:lang w:val="es-CR"/>
        </w:rPr>
        <w:t>Escrito de observaciones de los representantes de la víctima de 25 de julio de 2017.</w:t>
      </w:r>
    </w:p>
  </w:footnote>
  <w:footnote w:id="33">
    <w:p w:rsidR="00944E3A" w:rsidRPr="00325194" w:rsidRDefault="00944E3A" w:rsidP="00325194">
      <w:pPr>
        <w:pStyle w:val="FootnoteText"/>
        <w:jc w:val="both"/>
        <w:rPr>
          <w:rFonts w:ascii="Verdana" w:hAnsi="Verdana"/>
          <w:sz w:val="16"/>
          <w:szCs w:val="16"/>
          <w:lang w:val="es-CR"/>
        </w:rPr>
      </w:pPr>
      <w:r w:rsidRPr="00325194">
        <w:rPr>
          <w:rStyle w:val="FootnoteReference"/>
          <w:rFonts w:ascii="Verdana" w:hAnsi="Verdana"/>
          <w:sz w:val="16"/>
          <w:szCs w:val="16"/>
        </w:rPr>
        <w:footnoteRef/>
      </w:r>
      <w:r w:rsidRPr="00325194">
        <w:rPr>
          <w:rFonts w:ascii="Verdana" w:hAnsi="Verdana"/>
          <w:sz w:val="16"/>
          <w:szCs w:val="16"/>
          <w:lang w:val="es-CR"/>
        </w:rPr>
        <w:t xml:space="preserve"> </w:t>
      </w:r>
      <w:r w:rsidRPr="00325194">
        <w:rPr>
          <w:rFonts w:ascii="Verdana" w:hAnsi="Verdana"/>
          <w:sz w:val="16"/>
          <w:szCs w:val="16"/>
          <w:lang w:val="es-CR"/>
        </w:rPr>
        <w:tab/>
      </w:r>
      <w:r w:rsidRPr="00325194">
        <w:rPr>
          <w:rFonts w:ascii="Verdana" w:hAnsi="Verdana"/>
          <w:i/>
          <w:sz w:val="16"/>
          <w:szCs w:val="16"/>
          <w:lang w:val="es-CR"/>
        </w:rPr>
        <w:t xml:space="preserve">Cfr. </w:t>
      </w:r>
      <w:r w:rsidRPr="00325194">
        <w:rPr>
          <w:rFonts w:ascii="Verdana" w:hAnsi="Verdana"/>
          <w:sz w:val="16"/>
          <w:szCs w:val="16"/>
          <w:lang w:val="es-CR"/>
        </w:rPr>
        <w:t>Informe estatal de 10 de octubre de 2017.</w:t>
      </w:r>
    </w:p>
  </w:footnote>
  <w:footnote w:id="34">
    <w:p w:rsidR="005202C6" w:rsidRPr="00325194" w:rsidRDefault="005202C6" w:rsidP="00325194">
      <w:pPr>
        <w:pStyle w:val="FootnoteText"/>
        <w:jc w:val="both"/>
        <w:rPr>
          <w:rFonts w:ascii="Verdana" w:hAnsi="Verdana"/>
          <w:sz w:val="16"/>
          <w:szCs w:val="16"/>
          <w:lang w:val="es-CR"/>
        </w:rPr>
      </w:pPr>
      <w:r w:rsidRPr="00325194">
        <w:rPr>
          <w:rStyle w:val="FootnoteReference"/>
          <w:rFonts w:ascii="Verdana" w:hAnsi="Verdana"/>
          <w:sz w:val="16"/>
          <w:szCs w:val="16"/>
        </w:rPr>
        <w:footnoteRef/>
      </w:r>
      <w:r w:rsidRPr="00325194">
        <w:rPr>
          <w:rFonts w:ascii="Verdana" w:hAnsi="Verdana"/>
          <w:sz w:val="16"/>
          <w:szCs w:val="16"/>
          <w:lang w:val="es-CR"/>
        </w:rPr>
        <w:t xml:space="preserve"> </w:t>
      </w:r>
      <w:r w:rsidRPr="00325194">
        <w:rPr>
          <w:rFonts w:ascii="Verdana" w:hAnsi="Verdana"/>
          <w:sz w:val="16"/>
          <w:szCs w:val="16"/>
          <w:lang w:val="es-CR"/>
        </w:rPr>
        <w:tab/>
      </w:r>
      <w:r w:rsidRPr="00325194">
        <w:rPr>
          <w:rFonts w:ascii="Verdana" w:hAnsi="Verdana"/>
          <w:sz w:val="16"/>
          <w:szCs w:val="16"/>
          <w:lang w:val="es-MX"/>
        </w:rPr>
        <w:t>La Corte también determinó en dicho párrafo que, en el proceso de supervisión del cumplimiento de la Sentencia, podrá disponer que el Estado reembolse a la víctima o sus representantes los gastos razonables en que incurran en dicha etapa procesal.</w:t>
      </w:r>
      <w:r w:rsidR="00EB5072" w:rsidRPr="00325194">
        <w:rPr>
          <w:rFonts w:ascii="Verdana" w:hAnsi="Verdana"/>
          <w:sz w:val="16"/>
          <w:szCs w:val="16"/>
          <w:lang w:val="es-MX"/>
        </w:rPr>
        <w:t xml:space="preserve"> </w:t>
      </w:r>
      <w:r w:rsidR="00EB5072" w:rsidRPr="00325194">
        <w:rPr>
          <w:rFonts w:ascii="Verdana" w:hAnsi="Verdana"/>
          <w:i/>
          <w:color w:val="000000"/>
          <w:sz w:val="16"/>
          <w:szCs w:val="16"/>
          <w:lang w:val="es-CR"/>
        </w:rPr>
        <w:t xml:space="preserve">Cfr. </w:t>
      </w:r>
      <w:r w:rsidR="00EB5072" w:rsidRPr="00325194">
        <w:rPr>
          <w:rFonts w:ascii="Verdana" w:hAnsi="Verdana"/>
          <w:bCs/>
          <w:i/>
          <w:sz w:val="16"/>
          <w:szCs w:val="16"/>
          <w:lang w:val="es-CR"/>
        </w:rPr>
        <w:t xml:space="preserve">Caso Duque Vs. Colombia, supra </w:t>
      </w:r>
      <w:r w:rsidR="00EB5072" w:rsidRPr="00325194">
        <w:rPr>
          <w:rFonts w:ascii="Verdana" w:hAnsi="Verdana"/>
          <w:bCs/>
          <w:sz w:val="16"/>
          <w:szCs w:val="16"/>
          <w:lang w:val="es-CR"/>
        </w:rPr>
        <w:t>nota 1.</w:t>
      </w:r>
    </w:p>
  </w:footnote>
  <w:footnote w:id="35">
    <w:p w:rsidR="00AA036A" w:rsidRPr="00325194" w:rsidRDefault="00AA036A" w:rsidP="00325194">
      <w:pPr>
        <w:pStyle w:val="FootnoteText"/>
        <w:jc w:val="both"/>
        <w:rPr>
          <w:rFonts w:ascii="Verdana" w:hAnsi="Verdana"/>
          <w:sz w:val="16"/>
          <w:szCs w:val="16"/>
          <w:lang w:val="es-CR"/>
        </w:rPr>
      </w:pPr>
      <w:r w:rsidRPr="00325194">
        <w:rPr>
          <w:rStyle w:val="FootnoteReference"/>
          <w:rFonts w:ascii="Verdana" w:hAnsi="Verdana"/>
          <w:sz w:val="16"/>
          <w:szCs w:val="16"/>
        </w:rPr>
        <w:footnoteRef/>
      </w:r>
      <w:r w:rsidRPr="00325194">
        <w:rPr>
          <w:rFonts w:ascii="Verdana" w:hAnsi="Verdana"/>
          <w:sz w:val="16"/>
          <w:szCs w:val="16"/>
          <w:lang w:val="es-CR"/>
        </w:rPr>
        <w:t xml:space="preserve"> </w:t>
      </w:r>
      <w:r w:rsidRPr="00325194">
        <w:rPr>
          <w:rFonts w:ascii="Verdana" w:hAnsi="Verdana"/>
          <w:sz w:val="16"/>
          <w:szCs w:val="16"/>
          <w:lang w:val="es-CR"/>
        </w:rPr>
        <w:tab/>
      </w:r>
      <w:r w:rsidR="008D56EB" w:rsidRPr="00325194">
        <w:rPr>
          <w:rFonts w:ascii="Verdana" w:hAnsi="Verdana"/>
          <w:sz w:val="16"/>
          <w:szCs w:val="16"/>
          <w:lang w:val="es-CR"/>
        </w:rPr>
        <w:t xml:space="preserve">En </w:t>
      </w:r>
      <w:r w:rsidR="008D56EB" w:rsidRPr="00325194">
        <w:rPr>
          <w:rFonts w:ascii="Verdana" w:hAnsi="Verdana"/>
          <w:sz w:val="16"/>
          <w:szCs w:val="16"/>
          <w:lang w:val="es-ES"/>
        </w:rPr>
        <w:t xml:space="preserve">abril y octubre de 2017, el Estado se refirió a dificultades que enfrenta para el pago de dichas medidas. Principalmente, señaló que no se había determinado “en última instancia, la entidad que asumirá el trámite de los pagos ordenados en las sentencias de la Corte Interamericana”. </w:t>
      </w:r>
      <w:r w:rsidR="008D56EB" w:rsidRPr="00325194">
        <w:rPr>
          <w:rFonts w:ascii="Verdana" w:hAnsi="Verdana"/>
          <w:i/>
          <w:sz w:val="16"/>
          <w:szCs w:val="16"/>
          <w:lang w:val="es-ES"/>
        </w:rPr>
        <w:t xml:space="preserve">Cfr. </w:t>
      </w:r>
      <w:r w:rsidR="008D56EB" w:rsidRPr="00325194">
        <w:rPr>
          <w:rFonts w:ascii="Verdana" w:hAnsi="Verdana"/>
          <w:sz w:val="16"/>
          <w:szCs w:val="16"/>
          <w:lang w:val="es-ES"/>
        </w:rPr>
        <w:t xml:space="preserve">Informes estatales de 20 de abril y 10 de octubre de 2017. </w:t>
      </w:r>
    </w:p>
  </w:footnote>
  <w:footnote w:id="36">
    <w:p w:rsidR="00AA036A" w:rsidRPr="00325194" w:rsidRDefault="00AA036A" w:rsidP="00325194">
      <w:pPr>
        <w:pStyle w:val="FootnoteText"/>
        <w:jc w:val="both"/>
        <w:rPr>
          <w:rFonts w:ascii="Verdana" w:hAnsi="Verdana"/>
          <w:sz w:val="16"/>
          <w:szCs w:val="16"/>
          <w:lang w:val="es-CR"/>
        </w:rPr>
      </w:pPr>
      <w:r w:rsidRPr="00325194">
        <w:rPr>
          <w:rStyle w:val="FootnoteReference"/>
          <w:rFonts w:ascii="Verdana" w:hAnsi="Verdana"/>
          <w:sz w:val="16"/>
          <w:szCs w:val="16"/>
        </w:rPr>
        <w:footnoteRef/>
      </w:r>
      <w:r w:rsidRPr="00325194">
        <w:rPr>
          <w:rFonts w:ascii="Verdana" w:hAnsi="Verdana"/>
          <w:sz w:val="16"/>
          <w:szCs w:val="16"/>
          <w:lang w:val="es-CR"/>
        </w:rPr>
        <w:t xml:space="preserve"> </w:t>
      </w:r>
      <w:r w:rsidRPr="00325194">
        <w:rPr>
          <w:rFonts w:ascii="Verdana" w:hAnsi="Verdana"/>
          <w:sz w:val="16"/>
          <w:szCs w:val="16"/>
          <w:lang w:val="es-CR"/>
        </w:rPr>
        <w:tab/>
      </w:r>
      <w:r w:rsidR="001D7755">
        <w:rPr>
          <w:rFonts w:ascii="Verdana" w:hAnsi="Verdana"/>
          <w:sz w:val="16"/>
          <w:szCs w:val="16"/>
          <w:lang w:val="es-ES"/>
        </w:rPr>
        <w:t>En jun</w:t>
      </w:r>
      <w:r w:rsidRPr="00325194">
        <w:rPr>
          <w:rFonts w:ascii="Verdana" w:hAnsi="Verdana"/>
          <w:sz w:val="16"/>
          <w:szCs w:val="16"/>
          <w:lang w:val="es-ES"/>
        </w:rPr>
        <w:t>io de 2017 y febrero de 2018, los representantes manifestaron que “[m]</w:t>
      </w:r>
      <w:proofErr w:type="spellStart"/>
      <w:r w:rsidRPr="00325194">
        <w:rPr>
          <w:rFonts w:ascii="Verdana" w:hAnsi="Verdana"/>
          <w:sz w:val="16"/>
          <w:szCs w:val="16"/>
          <w:lang w:val="es-ES"/>
        </w:rPr>
        <w:t>ás</w:t>
      </w:r>
      <w:proofErr w:type="spellEnd"/>
      <w:r w:rsidRPr="00325194">
        <w:rPr>
          <w:rFonts w:ascii="Verdana" w:hAnsi="Verdana"/>
          <w:sz w:val="16"/>
          <w:szCs w:val="16"/>
          <w:lang w:val="es-ES"/>
        </w:rPr>
        <w:t xml:space="preserve"> allá de las explicaciones dadas [sobre] las demoras en el pago de la obligación, se constata que ya van a ser cerca de dos años luego de la notificación de la [S]</w:t>
      </w:r>
      <w:proofErr w:type="spellStart"/>
      <w:proofErr w:type="gramStart"/>
      <w:r w:rsidRPr="00325194">
        <w:rPr>
          <w:rFonts w:ascii="Verdana" w:hAnsi="Verdana"/>
          <w:sz w:val="16"/>
          <w:szCs w:val="16"/>
          <w:lang w:val="es-ES"/>
        </w:rPr>
        <w:t>entencia</w:t>
      </w:r>
      <w:proofErr w:type="spellEnd"/>
      <w:r w:rsidRPr="00325194">
        <w:rPr>
          <w:rFonts w:ascii="Verdana" w:hAnsi="Verdana"/>
          <w:sz w:val="16"/>
          <w:szCs w:val="16"/>
          <w:lang w:val="es-ES"/>
        </w:rPr>
        <w:t>[</w:t>
      </w:r>
      <w:proofErr w:type="gramEnd"/>
      <w:r w:rsidRPr="00325194">
        <w:rPr>
          <w:rFonts w:ascii="Verdana" w:hAnsi="Verdana"/>
          <w:sz w:val="16"/>
          <w:szCs w:val="16"/>
          <w:lang w:val="es-ES"/>
        </w:rPr>
        <w:t xml:space="preserve">, … por lo que] el […] Estado se encuentra en mora y por tanto </w:t>
      </w:r>
      <w:r w:rsidR="001D7755">
        <w:rPr>
          <w:rFonts w:ascii="Verdana" w:hAnsi="Verdana"/>
          <w:sz w:val="16"/>
          <w:szCs w:val="16"/>
          <w:lang w:val="es-ES"/>
        </w:rPr>
        <w:t>se generan</w:t>
      </w:r>
      <w:r w:rsidRPr="00325194">
        <w:rPr>
          <w:rFonts w:ascii="Verdana" w:hAnsi="Verdana"/>
          <w:sz w:val="16"/>
          <w:szCs w:val="16"/>
          <w:lang w:val="es-ES"/>
        </w:rPr>
        <w:t xml:space="preserve"> intereses moratorios”. </w:t>
      </w:r>
      <w:r w:rsidRPr="00325194">
        <w:rPr>
          <w:rFonts w:ascii="Verdana" w:hAnsi="Verdana"/>
          <w:i/>
          <w:sz w:val="16"/>
          <w:szCs w:val="16"/>
          <w:lang w:val="es-ES"/>
        </w:rPr>
        <w:t>Cfr.</w:t>
      </w:r>
      <w:r w:rsidRPr="00325194">
        <w:rPr>
          <w:rFonts w:ascii="Verdana" w:hAnsi="Verdana"/>
          <w:sz w:val="16"/>
          <w:szCs w:val="16"/>
          <w:lang w:val="es-CR"/>
        </w:rPr>
        <w:t xml:space="preserve"> Escritos de observaciones de los representantes de la víctima de </w:t>
      </w:r>
      <w:r w:rsidR="001D7755">
        <w:rPr>
          <w:rFonts w:ascii="Verdana" w:hAnsi="Verdana"/>
          <w:sz w:val="16"/>
          <w:szCs w:val="16"/>
          <w:lang w:val="es-CR"/>
        </w:rPr>
        <w:t>11 de junio</w:t>
      </w:r>
      <w:r w:rsidRPr="00325194">
        <w:rPr>
          <w:rFonts w:ascii="Verdana" w:hAnsi="Verdana"/>
          <w:sz w:val="16"/>
          <w:szCs w:val="16"/>
          <w:lang w:val="es-CR"/>
        </w:rPr>
        <w:t xml:space="preserve"> de 2017 y 26 de febrero de 2018.</w:t>
      </w:r>
    </w:p>
  </w:footnote>
  <w:footnote w:id="37">
    <w:p w:rsidR="00514973" w:rsidRPr="00325194" w:rsidRDefault="00514973" w:rsidP="00325194">
      <w:pPr>
        <w:pStyle w:val="FootnoteText"/>
        <w:jc w:val="both"/>
        <w:rPr>
          <w:rFonts w:ascii="Verdana" w:hAnsi="Verdana"/>
          <w:i/>
          <w:sz w:val="16"/>
          <w:szCs w:val="16"/>
          <w:lang w:val="es-CR"/>
        </w:rPr>
      </w:pPr>
      <w:r w:rsidRPr="00325194">
        <w:rPr>
          <w:rStyle w:val="FootnoteReference"/>
          <w:rFonts w:ascii="Verdana" w:hAnsi="Verdana"/>
          <w:sz w:val="16"/>
          <w:szCs w:val="16"/>
        </w:rPr>
        <w:footnoteRef/>
      </w:r>
      <w:r w:rsidRPr="00325194">
        <w:rPr>
          <w:rFonts w:ascii="Verdana" w:hAnsi="Verdana"/>
          <w:sz w:val="16"/>
          <w:szCs w:val="16"/>
          <w:lang w:val="es-CR"/>
        </w:rPr>
        <w:t xml:space="preserve"> </w:t>
      </w:r>
      <w:r w:rsidR="008D56EB" w:rsidRPr="00325194">
        <w:rPr>
          <w:rFonts w:ascii="Verdana" w:hAnsi="Verdana"/>
          <w:sz w:val="16"/>
          <w:szCs w:val="16"/>
          <w:lang w:val="es-CR"/>
        </w:rPr>
        <w:tab/>
      </w:r>
      <w:r w:rsidR="00D55B68" w:rsidRPr="00325194">
        <w:rPr>
          <w:rFonts w:ascii="Verdana" w:hAnsi="Verdana"/>
          <w:sz w:val="16"/>
          <w:szCs w:val="16"/>
          <w:lang w:val="es-CR"/>
        </w:rPr>
        <w:t>El Estado había solicitado la “comprensión de la Corte Interamericana sobre [… los motivos por los cuales aún no ha realizado el reintegro y que,] de ser posible, extender el plazo para el cumplimiento por noventa (90) días”. Colombia había</w:t>
      </w:r>
      <w:r w:rsidR="008D56EB" w:rsidRPr="00325194">
        <w:rPr>
          <w:rFonts w:ascii="Verdana" w:hAnsi="Verdana"/>
          <w:sz w:val="16"/>
          <w:szCs w:val="16"/>
          <w:lang w:val="es-CR"/>
        </w:rPr>
        <w:t xml:space="preserve"> s</w:t>
      </w:r>
      <w:r w:rsidR="00D55B68" w:rsidRPr="00325194">
        <w:rPr>
          <w:rFonts w:ascii="Verdana" w:hAnsi="Verdana"/>
          <w:sz w:val="16"/>
          <w:szCs w:val="16"/>
          <w:lang w:val="es-CR"/>
        </w:rPr>
        <w:t>eñalado</w:t>
      </w:r>
      <w:r w:rsidR="008D56EB" w:rsidRPr="00325194">
        <w:rPr>
          <w:rFonts w:ascii="Verdana" w:hAnsi="Verdana"/>
          <w:sz w:val="16"/>
          <w:szCs w:val="16"/>
          <w:lang w:val="es-CR"/>
        </w:rPr>
        <w:t xml:space="preserve"> que si bien </w:t>
      </w:r>
      <w:r w:rsidR="00D55B68" w:rsidRPr="00325194">
        <w:rPr>
          <w:rFonts w:ascii="Verdana" w:hAnsi="Verdana"/>
          <w:sz w:val="16"/>
          <w:szCs w:val="16"/>
          <w:lang w:val="es-CR"/>
        </w:rPr>
        <w:t>“</w:t>
      </w:r>
      <w:r w:rsidR="008D56EB" w:rsidRPr="00325194">
        <w:rPr>
          <w:rFonts w:ascii="Verdana" w:hAnsi="Verdana"/>
          <w:sz w:val="16"/>
          <w:szCs w:val="16"/>
          <w:lang w:val="es-CR"/>
        </w:rPr>
        <w:t>ha</w:t>
      </w:r>
      <w:r w:rsidR="00D55B68" w:rsidRPr="00325194">
        <w:rPr>
          <w:rFonts w:ascii="Verdana" w:hAnsi="Verdana"/>
          <w:sz w:val="16"/>
          <w:szCs w:val="16"/>
          <w:lang w:val="es-CR"/>
        </w:rPr>
        <w:t>[</w:t>
      </w:r>
      <w:proofErr w:type="spellStart"/>
      <w:r w:rsidR="00D55B68" w:rsidRPr="00325194">
        <w:rPr>
          <w:rFonts w:ascii="Verdana" w:hAnsi="Verdana"/>
          <w:sz w:val="16"/>
          <w:szCs w:val="16"/>
          <w:lang w:val="es-CR"/>
        </w:rPr>
        <w:t>bía</w:t>
      </w:r>
      <w:proofErr w:type="spellEnd"/>
      <w:r w:rsidR="00D55B68" w:rsidRPr="00325194">
        <w:rPr>
          <w:rFonts w:ascii="Verdana" w:hAnsi="Verdana"/>
          <w:sz w:val="16"/>
          <w:szCs w:val="16"/>
          <w:lang w:val="es-CR"/>
        </w:rPr>
        <w:t>]</w:t>
      </w:r>
      <w:r w:rsidR="008D56EB" w:rsidRPr="00325194">
        <w:rPr>
          <w:rFonts w:ascii="Verdana" w:hAnsi="Verdana"/>
          <w:sz w:val="16"/>
          <w:szCs w:val="16"/>
          <w:lang w:val="es-CR"/>
        </w:rPr>
        <w:t xml:space="preserve"> estado adelantando las gestiones necesarias para dar cumplimiento, […] el proceso de concertación con las diferentes instituciones y entidades ha tomado tiempo[,] no solo por ser la primera vez que el Estado ha sido condenado a reintegrar dinero al [</w:t>
      </w:r>
      <w:r w:rsidR="001D7755">
        <w:rPr>
          <w:rFonts w:ascii="Verdana" w:hAnsi="Verdana"/>
          <w:sz w:val="16"/>
          <w:szCs w:val="16"/>
          <w:lang w:val="es-CR"/>
        </w:rPr>
        <w:t>Fondo de Asistencia</w:t>
      </w:r>
      <w:r w:rsidR="008D56EB" w:rsidRPr="00325194">
        <w:rPr>
          <w:rFonts w:ascii="Verdana" w:hAnsi="Verdana"/>
          <w:sz w:val="16"/>
          <w:szCs w:val="16"/>
          <w:lang w:val="es-CR"/>
        </w:rPr>
        <w:t xml:space="preserve">], sino porque aunque existen los recursos dentro del presupuesto nacional para asumir pagos ordenados por instancias judiciales internacionales, es necesario que una entidad del Gobierno nacional asuma este trámite”. </w:t>
      </w:r>
      <w:r w:rsidR="008D56EB" w:rsidRPr="00325194">
        <w:rPr>
          <w:rFonts w:ascii="Verdana" w:hAnsi="Verdana"/>
          <w:i/>
          <w:sz w:val="16"/>
          <w:szCs w:val="16"/>
          <w:lang w:val="es-CR"/>
        </w:rPr>
        <w:t xml:space="preserve">Cfr. </w:t>
      </w:r>
      <w:r w:rsidR="00AF1F88" w:rsidRPr="00325194">
        <w:rPr>
          <w:rFonts w:ascii="Verdana" w:hAnsi="Verdana"/>
          <w:i/>
          <w:sz w:val="16"/>
          <w:szCs w:val="16"/>
          <w:lang w:val="es-CR"/>
        </w:rPr>
        <w:t xml:space="preserve">Caso Duque Vs. Colombia. Fondo </w:t>
      </w:r>
      <w:r w:rsidR="007056ED">
        <w:rPr>
          <w:rFonts w:ascii="Verdana" w:hAnsi="Verdana"/>
          <w:i/>
          <w:sz w:val="16"/>
          <w:szCs w:val="16"/>
          <w:lang w:val="es-CR"/>
        </w:rPr>
        <w:t xml:space="preserve">de Asistencia Legal de Víctimas, supra </w:t>
      </w:r>
      <w:r w:rsidR="007056ED">
        <w:rPr>
          <w:rFonts w:ascii="Verdana" w:hAnsi="Verdana"/>
          <w:sz w:val="16"/>
          <w:szCs w:val="16"/>
          <w:lang w:val="es-CR"/>
        </w:rPr>
        <w:t xml:space="preserve">nota 3, </w:t>
      </w:r>
      <w:r w:rsidR="00AF1F88" w:rsidRPr="00325194">
        <w:rPr>
          <w:rFonts w:ascii="Verdana" w:hAnsi="Verdana"/>
          <w:sz w:val="16"/>
          <w:szCs w:val="16"/>
          <w:lang w:val="es-CR"/>
        </w:rPr>
        <w:t>Considerando 3</w:t>
      </w:r>
      <w:r w:rsidR="00AF1F88" w:rsidRPr="00325194">
        <w:rPr>
          <w:rFonts w:ascii="Verdana" w:hAnsi="Verdana"/>
          <w:i/>
          <w:sz w:val="16"/>
          <w:szCs w:val="16"/>
          <w:lang w:val="es-CR"/>
        </w:rPr>
        <w:t>.</w:t>
      </w:r>
    </w:p>
  </w:footnote>
  <w:footnote w:id="38">
    <w:p w:rsidR="007056ED" w:rsidRPr="007056ED" w:rsidRDefault="007056ED" w:rsidP="00D249DF">
      <w:pPr>
        <w:pStyle w:val="FootnoteText"/>
        <w:jc w:val="both"/>
        <w:rPr>
          <w:lang w:val="es-CR"/>
        </w:rPr>
      </w:pPr>
      <w:r>
        <w:rPr>
          <w:rStyle w:val="FootnoteReference"/>
        </w:rPr>
        <w:footnoteRef/>
      </w:r>
      <w:r w:rsidRPr="007056ED">
        <w:rPr>
          <w:lang w:val="es-CR"/>
        </w:rPr>
        <w:t xml:space="preserve"> </w:t>
      </w:r>
      <w:r>
        <w:rPr>
          <w:lang w:val="es-CR"/>
        </w:rPr>
        <w:tab/>
      </w:r>
      <w:r w:rsidRPr="00325194">
        <w:rPr>
          <w:rFonts w:ascii="Verdana" w:hAnsi="Verdana"/>
          <w:i/>
          <w:sz w:val="16"/>
          <w:szCs w:val="16"/>
          <w:lang w:val="es-CR"/>
        </w:rPr>
        <w:t xml:space="preserve">Cfr. Caso Duque Vs. Colombia. Fondo </w:t>
      </w:r>
      <w:r>
        <w:rPr>
          <w:rFonts w:ascii="Verdana" w:hAnsi="Verdana"/>
          <w:i/>
          <w:sz w:val="16"/>
          <w:szCs w:val="16"/>
          <w:lang w:val="es-CR"/>
        </w:rPr>
        <w:t xml:space="preserve">de Asistencia Legal de Víctimas, supra </w:t>
      </w:r>
      <w:r>
        <w:rPr>
          <w:rFonts w:ascii="Verdana" w:hAnsi="Verdana"/>
          <w:sz w:val="16"/>
          <w:szCs w:val="16"/>
          <w:lang w:val="es-CR"/>
        </w:rPr>
        <w:t>nota 3, Considerando 4.</w:t>
      </w:r>
    </w:p>
  </w:footnote>
  <w:footnote w:id="39">
    <w:p w:rsidR="005202C6" w:rsidRPr="00325194" w:rsidRDefault="005202C6" w:rsidP="00325194">
      <w:pPr>
        <w:pStyle w:val="FootnoteText"/>
        <w:jc w:val="both"/>
        <w:rPr>
          <w:rFonts w:ascii="Verdana" w:hAnsi="Verdana"/>
          <w:sz w:val="16"/>
          <w:szCs w:val="16"/>
          <w:lang w:val="es-CR"/>
        </w:rPr>
      </w:pPr>
      <w:r w:rsidRPr="00325194">
        <w:rPr>
          <w:rStyle w:val="FootnoteReference"/>
          <w:rFonts w:ascii="Verdana" w:hAnsi="Verdana"/>
          <w:sz w:val="16"/>
          <w:szCs w:val="16"/>
        </w:rPr>
        <w:footnoteRef/>
      </w:r>
      <w:r w:rsidRPr="00325194">
        <w:rPr>
          <w:rFonts w:ascii="Verdana" w:hAnsi="Verdana"/>
          <w:sz w:val="16"/>
          <w:szCs w:val="16"/>
          <w:lang w:val="es-CR"/>
        </w:rPr>
        <w:t xml:space="preserve"> </w:t>
      </w:r>
      <w:r w:rsidRPr="00325194">
        <w:rPr>
          <w:rFonts w:ascii="Verdana" w:hAnsi="Verdana"/>
          <w:sz w:val="16"/>
          <w:szCs w:val="16"/>
          <w:lang w:val="es-CR"/>
        </w:rPr>
        <w:tab/>
      </w:r>
      <w:r w:rsidRPr="00325194">
        <w:rPr>
          <w:rFonts w:ascii="Verdana" w:hAnsi="Verdana"/>
          <w:sz w:val="16"/>
          <w:szCs w:val="16"/>
          <w:lang w:val="es-ES"/>
        </w:rPr>
        <w:t>En su informe de abril de 2017, el Estado señaló que “por tratarse de la primera vez que el Estado ha sido condenado a reintegrar dinero al Fondo de Asistencia Legal de Víctimas, el proceso de concertación para determinar la entidad que asumirá el trámite del pago, ha tomado tiempo”. Asimismo, señaló que “</w:t>
      </w:r>
      <w:proofErr w:type="spellStart"/>
      <w:r w:rsidRPr="00325194">
        <w:rPr>
          <w:rFonts w:ascii="Verdana" w:hAnsi="Verdana"/>
          <w:sz w:val="16"/>
          <w:szCs w:val="16"/>
          <w:lang w:val="es-ES"/>
        </w:rPr>
        <w:t>est</w:t>
      </w:r>
      <w:proofErr w:type="spellEnd"/>
      <w:r w:rsidRPr="00325194">
        <w:rPr>
          <w:rFonts w:ascii="Verdana" w:hAnsi="Verdana"/>
          <w:sz w:val="16"/>
          <w:szCs w:val="16"/>
          <w:lang w:val="es-ES"/>
        </w:rPr>
        <w:t>[á] a la espera de un concepto favorable por parte del Ministerio de Trabajo, entidad con la que ya se ha estado dialogando para que sea quien asuma el trámite de los pagos ordenados en la [S]</w:t>
      </w:r>
      <w:proofErr w:type="spellStart"/>
      <w:r w:rsidRPr="00325194">
        <w:rPr>
          <w:rFonts w:ascii="Verdana" w:hAnsi="Verdana"/>
          <w:sz w:val="16"/>
          <w:szCs w:val="16"/>
          <w:lang w:val="es-ES"/>
        </w:rPr>
        <w:t>entencia</w:t>
      </w:r>
      <w:proofErr w:type="spellEnd"/>
      <w:r w:rsidRPr="00325194">
        <w:rPr>
          <w:rFonts w:ascii="Verdana" w:hAnsi="Verdana"/>
          <w:sz w:val="16"/>
          <w:szCs w:val="16"/>
          <w:lang w:val="es-ES"/>
        </w:rPr>
        <w:t xml:space="preserve">”. </w:t>
      </w:r>
      <w:r w:rsidRPr="00325194">
        <w:rPr>
          <w:rFonts w:ascii="Verdana" w:hAnsi="Verdana"/>
          <w:b/>
          <w:sz w:val="16"/>
          <w:szCs w:val="16"/>
          <w:lang w:val="es-ES"/>
        </w:rPr>
        <w:t>[F. 264]</w:t>
      </w:r>
      <w:r w:rsidR="00C41333" w:rsidRPr="00325194">
        <w:rPr>
          <w:rFonts w:ascii="Verdana" w:hAnsi="Verdana"/>
          <w:b/>
          <w:sz w:val="16"/>
          <w:szCs w:val="16"/>
          <w:lang w:val="es-ES"/>
        </w:rPr>
        <w:t xml:space="preserve"> </w:t>
      </w:r>
      <w:r w:rsidR="00C41333" w:rsidRPr="00325194">
        <w:rPr>
          <w:rFonts w:ascii="Verdana" w:hAnsi="Verdana"/>
          <w:i/>
          <w:sz w:val="16"/>
          <w:szCs w:val="16"/>
          <w:lang w:val="es-ES"/>
        </w:rPr>
        <w:t xml:space="preserve">Cfr. </w:t>
      </w:r>
      <w:r w:rsidR="00C41333" w:rsidRPr="00325194">
        <w:rPr>
          <w:rFonts w:ascii="Verdana" w:hAnsi="Verdana"/>
          <w:sz w:val="16"/>
          <w:szCs w:val="16"/>
          <w:lang w:val="es-ES"/>
        </w:rPr>
        <w:t>Informe estatal de 20 de abril de 2017.</w:t>
      </w:r>
    </w:p>
  </w:footnote>
  <w:footnote w:id="40">
    <w:p w:rsidR="005202C6" w:rsidRPr="00325194" w:rsidRDefault="005202C6" w:rsidP="00325194">
      <w:pPr>
        <w:pStyle w:val="FootnoteText"/>
        <w:widowControl w:val="0"/>
        <w:jc w:val="both"/>
        <w:rPr>
          <w:rFonts w:ascii="Verdana" w:hAnsi="Verdana"/>
          <w:sz w:val="16"/>
          <w:szCs w:val="16"/>
          <w:lang w:val="es-CR"/>
        </w:rPr>
      </w:pPr>
      <w:r w:rsidRPr="00325194">
        <w:rPr>
          <w:rStyle w:val="FootnoteReference"/>
          <w:rFonts w:ascii="Verdana" w:hAnsi="Verdana"/>
          <w:sz w:val="16"/>
          <w:szCs w:val="16"/>
        </w:rPr>
        <w:footnoteRef/>
      </w:r>
      <w:r w:rsidRPr="00325194">
        <w:rPr>
          <w:rFonts w:ascii="Verdana" w:hAnsi="Verdana"/>
          <w:sz w:val="16"/>
          <w:szCs w:val="16"/>
          <w:lang w:val="es-CR"/>
        </w:rPr>
        <w:t xml:space="preserve"> </w:t>
      </w:r>
      <w:r w:rsidRPr="00325194">
        <w:rPr>
          <w:rFonts w:ascii="Verdana" w:hAnsi="Verdana"/>
          <w:sz w:val="16"/>
          <w:szCs w:val="16"/>
          <w:lang w:val="es-CR"/>
        </w:rPr>
        <w:tab/>
        <w:t xml:space="preserve">El Fondo de Asistencia Legal de Víctimas de la Corte Interamericana no cuenta con recursos del presupuesto ordinario de la OEA. Hasta la fecha los fondos provienen de proyectos de cooperación firmados por el Tribunal con Noruega y Dinamarca, y del aporte voluntario realizado por Colombia. Al respecto ver: Informe Anual de la Corte Interamericana de Derechos Humanos de 2017, págs. 163 a 173, disponible en: </w:t>
      </w:r>
      <w:r w:rsidR="00E51A8E">
        <w:fldChar w:fldCharType="begin"/>
      </w:r>
      <w:r w:rsidR="00E51A8E" w:rsidRPr="00674013">
        <w:rPr>
          <w:lang w:val="es-CR"/>
        </w:rPr>
        <w:instrText xml:space="preserve"> HYPERLINK "http://www.corteidh.or.cr/tablas/informe2017/espanol.pdf" </w:instrText>
      </w:r>
      <w:r w:rsidR="00E51A8E">
        <w:fldChar w:fldCharType="separate"/>
      </w:r>
      <w:r w:rsidRPr="00325194">
        <w:rPr>
          <w:rStyle w:val="Hyperlink"/>
          <w:rFonts w:ascii="Verdana" w:hAnsi="Verdana"/>
          <w:sz w:val="16"/>
          <w:szCs w:val="16"/>
          <w:lang w:val="es-CR"/>
        </w:rPr>
        <w:t>http://www.corteidh.or.cr/tablas/informe2017/espanol.pdf</w:t>
      </w:r>
      <w:r w:rsidR="00E51A8E">
        <w:rPr>
          <w:rStyle w:val="Hyperlink"/>
          <w:rFonts w:ascii="Verdana" w:hAnsi="Verdana"/>
          <w:sz w:val="16"/>
          <w:szCs w:val="16"/>
          <w:lang w:val="es-CR"/>
        </w:rPr>
        <w:fldChar w:fldCharType="end"/>
      </w:r>
      <w:r w:rsidR="009C63B2" w:rsidRPr="009C63B2">
        <w:rPr>
          <w:rStyle w:val="Hyperlink"/>
          <w:rFonts w:ascii="Verdana" w:hAnsi="Verdana"/>
          <w:color w:val="auto"/>
          <w:sz w:val="16"/>
          <w:szCs w:val="16"/>
          <w:u w:val="none"/>
          <w:lang w:val="es-CR"/>
        </w:rPr>
        <w:t>.</w:t>
      </w:r>
      <w:r w:rsidRPr="00325194">
        <w:rPr>
          <w:rFonts w:ascii="Verdana" w:hAnsi="Verdana"/>
          <w:sz w:val="16"/>
          <w:szCs w:val="16"/>
          <w:lang w:val="es-C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2C6" w:rsidRPr="00096B59" w:rsidRDefault="005202C6" w:rsidP="00CD6119">
    <w:pPr>
      <w:pStyle w:val="Header"/>
      <w:jc w:val="center"/>
      <w:rPr>
        <w:lang w:val="es-CR"/>
      </w:rPr>
    </w:pPr>
  </w:p>
  <w:p w:rsidR="005202C6" w:rsidRDefault="00E51A8E" w:rsidP="00CD6119">
    <w:pPr>
      <w:pStyle w:val="Header"/>
      <w:jc w:val="center"/>
      <w:rPr>
        <w:noProof/>
        <w:lang w:val="es-CR"/>
      </w:rPr>
    </w:pPr>
    <w:sdt>
      <w:sdtPr>
        <w:id w:val="-1727903326"/>
        <w:docPartObj>
          <w:docPartGallery w:val="Page Numbers (Top of Page)"/>
          <w:docPartUnique/>
        </w:docPartObj>
      </w:sdtPr>
      <w:sdtEndPr>
        <w:rPr>
          <w:noProof/>
        </w:rPr>
      </w:sdtEndPr>
      <w:sdtContent>
        <w:r w:rsidR="005202C6" w:rsidRPr="00CD6119">
          <w:rPr>
            <w:lang w:val="es-CR"/>
          </w:rPr>
          <w:t>-</w:t>
        </w:r>
        <w:r w:rsidR="005202C6">
          <w:fldChar w:fldCharType="begin"/>
        </w:r>
        <w:r w:rsidR="005202C6" w:rsidRPr="00CD6119">
          <w:rPr>
            <w:lang w:val="es-CR"/>
          </w:rPr>
          <w:instrText xml:space="preserve"> PAGE   \* MERGEFORMAT </w:instrText>
        </w:r>
        <w:r w:rsidR="005202C6">
          <w:fldChar w:fldCharType="separate"/>
        </w:r>
        <w:r>
          <w:rPr>
            <w:noProof/>
            <w:lang w:val="es-CR"/>
          </w:rPr>
          <w:t>2</w:t>
        </w:r>
        <w:r w:rsidR="005202C6">
          <w:rPr>
            <w:noProof/>
          </w:rPr>
          <w:fldChar w:fldCharType="end"/>
        </w:r>
      </w:sdtContent>
    </w:sdt>
    <w:r w:rsidR="005202C6" w:rsidRPr="00CD6119">
      <w:rPr>
        <w:noProof/>
        <w:lang w:val="es-CR"/>
      </w:rPr>
      <w:t>-</w:t>
    </w:r>
  </w:p>
  <w:p w:rsidR="005202C6" w:rsidRPr="00CD6119" w:rsidRDefault="005202C6" w:rsidP="00CD6119">
    <w:pPr>
      <w:pStyle w:val="Header"/>
      <w:jc w:val="center"/>
      <w:rPr>
        <w:lang w:val="es-C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078C3"/>
    <w:multiLevelType w:val="hybridMultilevel"/>
    <w:tmpl w:val="71C2A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4F1F02"/>
    <w:multiLevelType w:val="hybridMultilevel"/>
    <w:tmpl w:val="9A4E079A"/>
    <w:lvl w:ilvl="0" w:tplc="B10C97CE">
      <w:start w:val="3"/>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2DC10139"/>
    <w:multiLevelType w:val="hybridMultilevel"/>
    <w:tmpl w:val="2E2CBBFC"/>
    <w:lvl w:ilvl="0" w:tplc="923EC4FA">
      <w:start w:val="1"/>
      <w:numFmt w:val="lowerLetter"/>
      <w:lvlText w:val="%1)"/>
      <w:lvlJc w:val="left"/>
      <w:pPr>
        <w:ind w:left="1068" w:hanging="360"/>
      </w:pPr>
      <w:rPr>
        <w:rFonts w:hint="default"/>
        <w:b w:val="0"/>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
    <w:nsid w:val="393014FD"/>
    <w:multiLevelType w:val="hybridMultilevel"/>
    <w:tmpl w:val="5358EB4C"/>
    <w:lvl w:ilvl="0" w:tplc="5B600142">
      <w:start w:val="1"/>
      <w:numFmt w:val="decimal"/>
      <w:lvlText w:val="%1."/>
      <w:lvlJc w:val="left"/>
      <w:pPr>
        <w:ind w:left="720" w:hanging="360"/>
      </w:pPr>
      <w:rPr>
        <w:rFonts w:hint="default"/>
        <w:i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4AE858E9"/>
    <w:multiLevelType w:val="hybridMultilevel"/>
    <w:tmpl w:val="9B44F7C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4BBE0E90"/>
    <w:multiLevelType w:val="hybridMultilevel"/>
    <w:tmpl w:val="68A4D502"/>
    <w:lvl w:ilvl="0" w:tplc="838AAB90">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56857562"/>
    <w:multiLevelType w:val="hybridMultilevel"/>
    <w:tmpl w:val="65284814"/>
    <w:lvl w:ilvl="0" w:tplc="8BFE3276">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592C38A9"/>
    <w:multiLevelType w:val="hybridMultilevel"/>
    <w:tmpl w:val="B316E784"/>
    <w:lvl w:ilvl="0" w:tplc="140A0017">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63B023B6"/>
    <w:multiLevelType w:val="hybridMultilevel"/>
    <w:tmpl w:val="7652C500"/>
    <w:lvl w:ilvl="0" w:tplc="4D68EACA">
      <w:start w:val="6"/>
      <w:numFmt w:val="decimal"/>
      <w:lvlText w:val="%1."/>
      <w:lvlJc w:val="left"/>
      <w:pPr>
        <w:ind w:left="720" w:hanging="360"/>
      </w:pPr>
      <w:rPr>
        <w:rFonts w:hint="default"/>
        <w:b w:val="0"/>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7EA42050"/>
    <w:multiLevelType w:val="hybridMultilevel"/>
    <w:tmpl w:val="A6BE59A0"/>
    <w:lvl w:ilvl="0" w:tplc="1B88ABCA">
      <w:start w:val="4"/>
      <w:numFmt w:val="decimal"/>
      <w:lvlText w:val="%1."/>
      <w:lvlJc w:val="left"/>
      <w:pPr>
        <w:ind w:left="720" w:hanging="360"/>
      </w:pPr>
      <w:rPr>
        <w:rFonts w:hint="default"/>
        <w:b w:val="0"/>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3"/>
  </w:num>
  <w:num w:numId="6">
    <w:abstractNumId w:val="8"/>
  </w:num>
  <w:num w:numId="7">
    <w:abstractNumId w:val="4"/>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74"/>
    <w:rsid w:val="0000489D"/>
    <w:rsid w:val="000064FB"/>
    <w:rsid w:val="000420E9"/>
    <w:rsid w:val="00043280"/>
    <w:rsid w:val="00047C81"/>
    <w:rsid w:val="00060937"/>
    <w:rsid w:val="00060C95"/>
    <w:rsid w:val="00060E45"/>
    <w:rsid w:val="000667AE"/>
    <w:rsid w:val="00073A3B"/>
    <w:rsid w:val="00074421"/>
    <w:rsid w:val="00077410"/>
    <w:rsid w:val="00095387"/>
    <w:rsid w:val="00096B59"/>
    <w:rsid w:val="000A1420"/>
    <w:rsid w:val="000A24ED"/>
    <w:rsid w:val="000B2601"/>
    <w:rsid w:val="000E1DB4"/>
    <w:rsid w:val="000E79AA"/>
    <w:rsid w:val="000F2BAA"/>
    <w:rsid w:val="00106FC6"/>
    <w:rsid w:val="001073CB"/>
    <w:rsid w:val="00114783"/>
    <w:rsid w:val="00135AD5"/>
    <w:rsid w:val="001462BE"/>
    <w:rsid w:val="00150828"/>
    <w:rsid w:val="0015274B"/>
    <w:rsid w:val="001617D9"/>
    <w:rsid w:val="001876C3"/>
    <w:rsid w:val="0019327A"/>
    <w:rsid w:val="00193F70"/>
    <w:rsid w:val="001962E3"/>
    <w:rsid w:val="001A0B42"/>
    <w:rsid w:val="001A50F1"/>
    <w:rsid w:val="001B24F1"/>
    <w:rsid w:val="001C143A"/>
    <w:rsid w:val="001C3C6C"/>
    <w:rsid w:val="001D7755"/>
    <w:rsid w:val="001E7FA6"/>
    <w:rsid w:val="001F0207"/>
    <w:rsid w:val="001F27E1"/>
    <w:rsid w:val="001F7421"/>
    <w:rsid w:val="0020320C"/>
    <w:rsid w:val="00207462"/>
    <w:rsid w:val="00213B82"/>
    <w:rsid w:val="00224600"/>
    <w:rsid w:val="00227D80"/>
    <w:rsid w:val="002362FE"/>
    <w:rsid w:val="0024211F"/>
    <w:rsid w:val="00254D7C"/>
    <w:rsid w:val="00255D35"/>
    <w:rsid w:val="0028073E"/>
    <w:rsid w:val="00284BE2"/>
    <w:rsid w:val="00290064"/>
    <w:rsid w:val="002B7261"/>
    <w:rsid w:val="002C64BB"/>
    <w:rsid w:val="002D0EA1"/>
    <w:rsid w:val="002D4782"/>
    <w:rsid w:val="002D7D32"/>
    <w:rsid w:val="002E1874"/>
    <w:rsid w:val="002E25D2"/>
    <w:rsid w:val="002E30C1"/>
    <w:rsid w:val="002E4574"/>
    <w:rsid w:val="002E76A7"/>
    <w:rsid w:val="002F7513"/>
    <w:rsid w:val="0030129A"/>
    <w:rsid w:val="00305314"/>
    <w:rsid w:val="003056DF"/>
    <w:rsid w:val="00306A7D"/>
    <w:rsid w:val="003227A0"/>
    <w:rsid w:val="00325194"/>
    <w:rsid w:val="00334BAF"/>
    <w:rsid w:val="00336A0B"/>
    <w:rsid w:val="003445A7"/>
    <w:rsid w:val="00363E01"/>
    <w:rsid w:val="00375531"/>
    <w:rsid w:val="00380FF7"/>
    <w:rsid w:val="00386072"/>
    <w:rsid w:val="003A51C5"/>
    <w:rsid w:val="003B35BA"/>
    <w:rsid w:val="003B4053"/>
    <w:rsid w:val="003E6C72"/>
    <w:rsid w:val="003F3606"/>
    <w:rsid w:val="003F5B13"/>
    <w:rsid w:val="00406635"/>
    <w:rsid w:val="00406C2D"/>
    <w:rsid w:val="00424F9B"/>
    <w:rsid w:val="00427F4F"/>
    <w:rsid w:val="004371D0"/>
    <w:rsid w:val="00466CDF"/>
    <w:rsid w:val="0047484F"/>
    <w:rsid w:val="00481947"/>
    <w:rsid w:val="00487188"/>
    <w:rsid w:val="00491666"/>
    <w:rsid w:val="004B2CF2"/>
    <w:rsid w:val="004D06E8"/>
    <w:rsid w:val="004D7B5B"/>
    <w:rsid w:val="004E3A4F"/>
    <w:rsid w:val="004F448B"/>
    <w:rsid w:val="004F78D9"/>
    <w:rsid w:val="00503A24"/>
    <w:rsid w:val="00513449"/>
    <w:rsid w:val="00514973"/>
    <w:rsid w:val="005202C6"/>
    <w:rsid w:val="00520E1D"/>
    <w:rsid w:val="005265D2"/>
    <w:rsid w:val="0053365E"/>
    <w:rsid w:val="0053394F"/>
    <w:rsid w:val="00541021"/>
    <w:rsid w:val="00560449"/>
    <w:rsid w:val="00564323"/>
    <w:rsid w:val="00576A79"/>
    <w:rsid w:val="00585479"/>
    <w:rsid w:val="00586AEE"/>
    <w:rsid w:val="005A05CF"/>
    <w:rsid w:val="005D6BA9"/>
    <w:rsid w:val="005E75A7"/>
    <w:rsid w:val="00602556"/>
    <w:rsid w:val="00604C2D"/>
    <w:rsid w:val="00624391"/>
    <w:rsid w:val="00626877"/>
    <w:rsid w:val="006330BD"/>
    <w:rsid w:val="00636C0A"/>
    <w:rsid w:val="006549BF"/>
    <w:rsid w:val="006609E5"/>
    <w:rsid w:val="00661718"/>
    <w:rsid w:val="00664F5E"/>
    <w:rsid w:val="00672076"/>
    <w:rsid w:val="00674013"/>
    <w:rsid w:val="00686CD9"/>
    <w:rsid w:val="00693AD5"/>
    <w:rsid w:val="006A5F96"/>
    <w:rsid w:val="006B4651"/>
    <w:rsid w:val="006B63CA"/>
    <w:rsid w:val="006C3D79"/>
    <w:rsid w:val="006C5A75"/>
    <w:rsid w:val="006F6EF3"/>
    <w:rsid w:val="007056ED"/>
    <w:rsid w:val="0071080F"/>
    <w:rsid w:val="00761B18"/>
    <w:rsid w:val="007752CA"/>
    <w:rsid w:val="00776388"/>
    <w:rsid w:val="00786AEC"/>
    <w:rsid w:val="00794F2D"/>
    <w:rsid w:val="007B1CDD"/>
    <w:rsid w:val="007D53E1"/>
    <w:rsid w:val="007D78BF"/>
    <w:rsid w:val="008133D3"/>
    <w:rsid w:val="00822370"/>
    <w:rsid w:val="00841BAD"/>
    <w:rsid w:val="008465F8"/>
    <w:rsid w:val="0086015C"/>
    <w:rsid w:val="00866BD8"/>
    <w:rsid w:val="00895895"/>
    <w:rsid w:val="008B1C48"/>
    <w:rsid w:val="008C489D"/>
    <w:rsid w:val="008D0716"/>
    <w:rsid w:val="008D56EB"/>
    <w:rsid w:val="008E0C87"/>
    <w:rsid w:val="008E2AFE"/>
    <w:rsid w:val="008E681A"/>
    <w:rsid w:val="008F1633"/>
    <w:rsid w:val="008F51A3"/>
    <w:rsid w:val="009057C0"/>
    <w:rsid w:val="00916774"/>
    <w:rsid w:val="00920CA0"/>
    <w:rsid w:val="00921B59"/>
    <w:rsid w:val="00935C33"/>
    <w:rsid w:val="00944E3A"/>
    <w:rsid w:val="00963CB5"/>
    <w:rsid w:val="00964380"/>
    <w:rsid w:val="009760C6"/>
    <w:rsid w:val="00976AD3"/>
    <w:rsid w:val="009841C6"/>
    <w:rsid w:val="00995505"/>
    <w:rsid w:val="009C18FA"/>
    <w:rsid w:val="009C1E09"/>
    <w:rsid w:val="009C630B"/>
    <w:rsid w:val="009C63B2"/>
    <w:rsid w:val="009D21B2"/>
    <w:rsid w:val="009D5888"/>
    <w:rsid w:val="009E12BE"/>
    <w:rsid w:val="009F4E4E"/>
    <w:rsid w:val="00A107E2"/>
    <w:rsid w:val="00A12EBD"/>
    <w:rsid w:val="00A137A6"/>
    <w:rsid w:val="00A14F64"/>
    <w:rsid w:val="00A245D7"/>
    <w:rsid w:val="00A36345"/>
    <w:rsid w:val="00A540E9"/>
    <w:rsid w:val="00A6137F"/>
    <w:rsid w:val="00A71149"/>
    <w:rsid w:val="00A71A5B"/>
    <w:rsid w:val="00A90942"/>
    <w:rsid w:val="00A943B2"/>
    <w:rsid w:val="00A953F6"/>
    <w:rsid w:val="00AA036A"/>
    <w:rsid w:val="00AB6448"/>
    <w:rsid w:val="00AD1C46"/>
    <w:rsid w:val="00AE1252"/>
    <w:rsid w:val="00AE2AAD"/>
    <w:rsid w:val="00AF1F88"/>
    <w:rsid w:val="00AF28E4"/>
    <w:rsid w:val="00AF54C9"/>
    <w:rsid w:val="00AF7F9F"/>
    <w:rsid w:val="00B11E85"/>
    <w:rsid w:val="00B33829"/>
    <w:rsid w:val="00B40ADC"/>
    <w:rsid w:val="00B64318"/>
    <w:rsid w:val="00B75EAA"/>
    <w:rsid w:val="00B827DF"/>
    <w:rsid w:val="00B85772"/>
    <w:rsid w:val="00B9773A"/>
    <w:rsid w:val="00BA786C"/>
    <w:rsid w:val="00BC1982"/>
    <w:rsid w:val="00BC211E"/>
    <w:rsid w:val="00BD174C"/>
    <w:rsid w:val="00BE2FE9"/>
    <w:rsid w:val="00BE3B78"/>
    <w:rsid w:val="00BE4847"/>
    <w:rsid w:val="00BF2CC6"/>
    <w:rsid w:val="00C01D9B"/>
    <w:rsid w:val="00C0501B"/>
    <w:rsid w:val="00C11B52"/>
    <w:rsid w:val="00C12605"/>
    <w:rsid w:val="00C233A9"/>
    <w:rsid w:val="00C262AF"/>
    <w:rsid w:val="00C3071F"/>
    <w:rsid w:val="00C37118"/>
    <w:rsid w:val="00C41333"/>
    <w:rsid w:val="00C41DE9"/>
    <w:rsid w:val="00C456BE"/>
    <w:rsid w:val="00C56B9E"/>
    <w:rsid w:val="00C56E1B"/>
    <w:rsid w:val="00C6479E"/>
    <w:rsid w:val="00C72567"/>
    <w:rsid w:val="00C752AE"/>
    <w:rsid w:val="00C77A2B"/>
    <w:rsid w:val="00C93B53"/>
    <w:rsid w:val="00CA3ABB"/>
    <w:rsid w:val="00CB6C7E"/>
    <w:rsid w:val="00CC5A39"/>
    <w:rsid w:val="00CC5B9B"/>
    <w:rsid w:val="00CD6095"/>
    <w:rsid w:val="00CD6119"/>
    <w:rsid w:val="00CF46D4"/>
    <w:rsid w:val="00CF623E"/>
    <w:rsid w:val="00CF7168"/>
    <w:rsid w:val="00D061A7"/>
    <w:rsid w:val="00D1471F"/>
    <w:rsid w:val="00D249DF"/>
    <w:rsid w:val="00D2626E"/>
    <w:rsid w:val="00D35D13"/>
    <w:rsid w:val="00D41816"/>
    <w:rsid w:val="00D42F93"/>
    <w:rsid w:val="00D5027D"/>
    <w:rsid w:val="00D5266E"/>
    <w:rsid w:val="00D55B68"/>
    <w:rsid w:val="00D67615"/>
    <w:rsid w:val="00D7218F"/>
    <w:rsid w:val="00D865C5"/>
    <w:rsid w:val="00D97E3F"/>
    <w:rsid w:val="00DA0A8D"/>
    <w:rsid w:val="00DD394B"/>
    <w:rsid w:val="00DE15DB"/>
    <w:rsid w:val="00DE4501"/>
    <w:rsid w:val="00E0178D"/>
    <w:rsid w:val="00E03C5E"/>
    <w:rsid w:val="00E0646C"/>
    <w:rsid w:val="00E07C26"/>
    <w:rsid w:val="00E13446"/>
    <w:rsid w:val="00E20A6E"/>
    <w:rsid w:val="00E20C55"/>
    <w:rsid w:val="00E26627"/>
    <w:rsid w:val="00E3330B"/>
    <w:rsid w:val="00E50B8E"/>
    <w:rsid w:val="00E51A8E"/>
    <w:rsid w:val="00E51F44"/>
    <w:rsid w:val="00E52456"/>
    <w:rsid w:val="00E56F74"/>
    <w:rsid w:val="00E60D8D"/>
    <w:rsid w:val="00E64FF5"/>
    <w:rsid w:val="00E81A33"/>
    <w:rsid w:val="00E83503"/>
    <w:rsid w:val="00E879E2"/>
    <w:rsid w:val="00E97357"/>
    <w:rsid w:val="00EA0148"/>
    <w:rsid w:val="00EA5752"/>
    <w:rsid w:val="00EB5072"/>
    <w:rsid w:val="00EB757C"/>
    <w:rsid w:val="00EC44BD"/>
    <w:rsid w:val="00EC55AA"/>
    <w:rsid w:val="00EC6E2D"/>
    <w:rsid w:val="00EC7FB8"/>
    <w:rsid w:val="00EF5439"/>
    <w:rsid w:val="00EF7262"/>
    <w:rsid w:val="00F07635"/>
    <w:rsid w:val="00F12B68"/>
    <w:rsid w:val="00F141A9"/>
    <w:rsid w:val="00F155CA"/>
    <w:rsid w:val="00F25BF3"/>
    <w:rsid w:val="00F31A83"/>
    <w:rsid w:val="00F3225C"/>
    <w:rsid w:val="00F337B5"/>
    <w:rsid w:val="00F348D3"/>
    <w:rsid w:val="00F36953"/>
    <w:rsid w:val="00F45743"/>
    <w:rsid w:val="00F5045E"/>
    <w:rsid w:val="00F56D5A"/>
    <w:rsid w:val="00F62375"/>
    <w:rsid w:val="00F82258"/>
    <w:rsid w:val="00F8503C"/>
    <w:rsid w:val="00F96ABA"/>
    <w:rsid w:val="00FD398B"/>
    <w:rsid w:val="00FF548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7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nhideWhenUsed/>
    <w:qFormat/>
    <w:rsid w:val="00916774"/>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916774"/>
    <w:rPr>
      <w:rFonts w:ascii="Calibri" w:eastAsia="Calibri" w:hAnsi="Calibri" w:cs="Times New Roman"/>
      <w:sz w:val="20"/>
      <w:szCs w:val="20"/>
      <w:lang w:val="en-US"/>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unhideWhenUsed/>
    <w:qFormat/>
    <w:rsid w:val="00916774"/>
    <w:rPr>
      <w:vertAlign w:val="superscript"/>
    </w:rPr>
  </w:style>
  <w:style w:type="character" w:styleId="Hyperlink">
    <w:name w:val="Hyperlink"/>
    <w:uiPriority w:val="99"/>
    <w:unhideWhenUsed/>
    <w:rsid w:val="00916774"/>
    <w:rPr>
      <w:color w:val="0000FF"/>
      <w:u w:val="single"/>
    </w:rPr>
  </w:style>
  <w:style w:type="paragraph" w:styleId="ListParagraph">
    <w:name w:val="List Paragraph"/>
    <w:aliases w:val="Footnote,Párrafo de lista1"/>
    <w:basedOn w:val="Normal"/>
    <w:link w:val="ListParagraphChar"/>
    <w:uiPriority w:val="99"/>
    <w:qFormat/>
    <w:rsid w:val="00916774"/>
    <w:pPr>
      <w:ind w:left="720"/>
      <w:contextualSpacing/>
    </w:pPr>
  </w:style>
  <w:style w:type="character" w:customStyle="1" w:styleId="ListParagraphChar">
    <w:name w:val="List Paragraph Char"/>
    <w:aliases w:val="Footnote Char,Párrafo de lista1 Char"/>
    <w:link w:val="ListParagraph"/>
    <w:uiPriority w:val="99"/>
    <w:locked/>
    <w:rsid w:val="00916774"/>
    <w:rPr>
      <w:rFonts w:ascii="Calibri" w:eastAsia="Calibri" w:hAnsi="Calibri" w:cs="Times New Roman"/>
      <w:lang w:val="en-US"/>
    </w:rPr>
  </w:style>
  <w:style w:type="character" w:styleId="Strong">
    <w:name w:val="Strong"/>
    <w:uiPriority w:val="22"/>
    <w:qFormat/>
    <w:rsid w:val="00916774"/>
    <w:rPr>
      <w:b/>
      <w:bCs/>
    </w:rPr>
  </w:style>
  <w:style w:type="paragraph" w:styleId="TOC1">
    <w:name w:val="toc 1"/>
    <w:basedOn w:val="Normal"/>
    <w:next w:val="Normal"/>
    <w:autoRedefine/>
    <w:uiPriority w:val="39"/>
    <w:unhideWhenUsed/>
    <w:qFormat/>
    <w:rsid w:val="00916774"/>
    <w:pPr>
      <w:tabs>
        <w:tab w:val="left" w:pos="709"/>
        <w:tab w:val="left" w:pos="8505"/>
      </w:tabs>
      <w:spacing w:after="100"/>
      <w:ind w:left="284" w:right="996"/>
      <w:jc w:val="both"/>
    </w:pPr>
  </w:style>
  <w:style w:type="paragraph" w:styleId="BodyText">
    <w:name w:val="Body Text"/>
    <w:basedOn w:val="Normal"/>
    <w:link w:val="BodyTextChar"/>
    <w:uiPriority w:val="99"/>
    <w:unhideWhenUsed/>
    <w:rsid w:val="00916774"/>
    <w:pPr>
      <w:spacing w:after="120"/>
    </w:pPr>
  </w:style>
  <w:style w:type="character" w:customStyle="1" w:styleId="BodyTextChar">
    <w:name w:val="Body Text Char"/>
    <w:basedOn w:val="DefaultParagraphFont"/>
    <w:link w:val="BodyText"/>
    <w:uiPriority w:val="99"/>
    <w:rsid w:val="00916774"/>
    <w:rPr>
      <w:rFonts w:ascii="Calibri" w:eastAsia="Calibri" w:hAnsi="Calibri" w:cs="Times New Roman"/>
      <w:lang w:val="en-US"/>
    </w:rPr>
  </w:style>
  <w:style w:type="paragraph" w:styleId="Header">
    <w:name w:val="header"/>
    <w:basedOn w:val="Normal"/>
    <w:link w:val="HeaderChar"/>
    <w:uiPriority w:val="99"/>
    <w:unhideWhenUsed/>
    <w:rsid w:val="00BC1982"/>
    <w:pPr>
      <w:tabs>
        <w:tab w:val="center" w:pos="4419"/>
        <w:tab w:val="right" w:pos="8838"/>
      </w:tabs>
      <w:spacing w:after="0" w:line="240" w:lineRule="auto"/>
    </w:pPr>
  </w:style>
  <w:style w:type="character" w:customStyle="1" w:styleId="HeaderChar">
    <w:name w:val="Header Char"/>
    <w:basedOn w:val="DefaultParagraphFont"/>
    <w:link w:val="Header"/>
    <w:uiPriority w:val="99"/>
    <w:rsid w:val="00BC1982"/>
    <w:rPr>
      <w:rFonts w:ascii="Calibri" w:eastAsia="Calibri" w:hAnsi="Calibri" w:cs="Times New Roman"/>
      <w:lang w:val="en-US"/>
    </w:rPr>
  </w:style>
  <w:style w:type="paragraph" w:styleId="Footer">
    <w:name w:val="footer"/>
    <w:basedOn w:val="Normal"/>
    <w:link w:val="FooterChar"/>
    <w:uiPriority w:val="99"/>
    <w:unhideWhenUsed/>
    <w:rsid w:val="00BC1982"/>
    <w:pPr>
      <w:tabs>
        <w:tab w:val="center" w:pos="4419"/>
        <w:tab w:val="right" w:pos="8838"/>
      </w:tabs>
      <w:spacing w:after="0" w:line="240" w:lineRule="auto"/>
    </w:pPr>
  </w:style>
  <w:style w:type="character" w:customStyle="1" w:styleId="FooterChar">
    <w:name w:val="Footer Char"/>
    <w:basedOn w:val="DefaultParagraphFont"/>
    <w:link w:val="Footer"/>
    <w:uiPriority w:val="99"/>
    <w:rsid w:val="00BC1982"/>
    <w:rPr>
      <w:rFonts w:ascii="Calibri" w:eastAsia="Calibri" w:hAnsi="Calibri" w:cs="Times New Roman"/>
      <w:lang w:val="en-US"/>
    </w:rPr>
  </w:style>
  <w:style w:type="character" w:styleId="LineNumber">
    <w:name w:val="line number"/>
    <w:basedOn w:val="DefaultParagraphFont"/>
    <w:uiPriority w:val="99"/>
    <w:semiHidden/>
    <w:unhideWhenUsed/>
    <w:rsid w:val="00CD6119"/>
  </w:style>
  <w:style w:type="paragraph" w:styleId="BalloonText">
    <w:name w:val="Balloon Text"/>
    <w:basedOn w:val="Normal"/>
    <w:link w:val="BalloonTextChar"/>
    <w:uiPriority w:val="99"/>
    <w:semiHidden/>
    <w:unhideWhenUsed/>
    <w:rsid w:val="00533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94F"/>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6C3D79"/>
    <w:rPr>
      <w:sz w:val="16"/>
      <w:szCs w:val="16"/>
    </w:rPr>
  </w:style>
  <w:style w:type="paragraph" w:styleId="CommentText">
    <w:name w:val="annotation text"/>
    <w:basedOn w:val="Normal"/>
    <w:link w:val="CommentTextChar"/>
    <w:uiPriority w:val="99"/>
    <w:semiHidden/>
    <w:unhideWhenUsed/>
    <w:rsid w:val="006C3D79"/>
    <w:pPr>
      <w:spacing w:line="240" w:lineRule="auto"/>
    </w:pPr>
    <w:rPr>
      <w:sz w:val="20"/>
      <w:szCs w:val="20"/>
    </w:rPr>
  </w:style>
  <w:style w:type="character" w:customStyle="1" w:styleId="CommentTextChar">
    <w:name w:val="Comment Text Char"/>
    <w:basedOn w:val="DefaultParagraphFont"/>
    <w:link w:val="CommentText"/>
    <w:uiPriority w:val="99"/>
    <w:semiHidden/>
    <w:rsid w:val="006C3D79"/>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3D79"/>
    <w:rPr>
      <w:b/>
      <w:bCs/>
    </w:rPr>
  </w:style>
  <w:style w:type="character" w:customStyle="1" w:styleId="CommentSubjectChar">
    <w:name w:val="Comment Subject Char"/>
    <w:basedOn w:val="CommentTextChar"/>
    <w:link w:val="CommentSubject"/>
    <w:uiPriority w:val="99"/>
    <w:semiHidden/>
    <w:rsid w:val="006C3D79"/>
    <w:rPr>
      <w:rFonts w:ascii="Calibri" w:eastAsia="Calibri" w:hAnsi="Calibri" w:cs="Times New Roman"/>
      <w:b/>
      <w:bCs/>
      <w:sz w:val="20"/>
      <w:szCs w:val="20"/>
      <w:lang w:val="en-US"/>
    </w:rPr>
  </w:style>
  <w:style w:type="character" w:styleId="FollowedHyperlink">
    <w:name w:val="FollowedHyperlink"/>
    <w:basedOn w:val="DefaultParagraphFont"/>
    <w:uiPriority w:val="99"/>
    <w:semiHidden/>
    <w:unhideWhenUsed/>
    <w:rsid w:val="00A14F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7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nhideWhenUsed/>
    <w:qFormat/>
    <w:rsid w:val="00916774"/>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916774"/>
    <w:rPr>
      <w:rFonts w:ascii="Calibri" w:eastAsia="Calibri" w:hAnsi="Calibri" w:cs="Times New Roman"/>
      <w:sz w:val="20"/>
      <w:szCs w:val="20"/>
      <w:lang w:val="en-US"/>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unhideWhenUsed/>
    <w:qFormat/>
    <w:rsid w:val="00916774"/>
    <w:rPr>
      <w:vertAlign w:val="superscript"/>
    </w:rPr>
  </w:style>
  <w:style w:type="character" w:styleId="Hyperlink">
    <w:name w:val="Hyperlink"/>
    <w:uiPriority w:val="99"/>
    <w:unhideWhenUsed/>
    <w:rsid w:val="00916774"/>
    <w:rPr>
      <w:color w:val="0000FF"/>
      <w:u w:val="single"/>
    </w:rPr>
  </w:style>
  <w:style w:type="paragraph" w:styleId="ListParagraph">
    <w:name w:val="List Paragraph"/>
    <w:aliases w:val="Footnote,Párrafo de lista1"/>
    <w:basedOn w:val="Normal"/>
    <w:link w:val="ListParagraphChar"/>
    <w:uiPriority w:val="99"/>
    <w:qFormat/>
    <w:rsid w:val="00916774"/>
    <w:pPr>
      <w:ind w:left="720"/>
      <w:contextualSpacing/>
    </w:pPr>
  </w:style>
  <w:style w:type="character" w:customStyle="1" w:styleId="ListParagraphChar">
    <w:name w:val="List Paragraph Char"/>
    <w:aliases w:val="Footnote Char,Párrafo de lista1 Char"/>
    <w:link w:val="ListParagraph"/>
    <w:uiPriority w:val="99"/>
    <w:locked/>
    <w:rsid w:val="00916774"/>
    <w:rPr>
      <w:rFonts w:ascii="Calibri" w:eastAsia="Calibri" w:hAnsi="Calibri" w:cs="Times New Roman"/>
      <w:lang w:val="en-US"/>
    </w:rPr>
  </w:style>
  <w:style w:type="character" w:styleId="Strong">
    <w:name w:val="Strong"/>
    <w:uiPriority w:val="22"/>
    <w:qFormat/>
    <w:rsid w:val="00916774"/>
    <w:rPr>
      <w:b/>
      <w:bCs/>
    </w:rPr>
  </w:style>
  <w:style w:type="paragraph" w:styleId="TOC1">
    <w:name w:val="toc 1"/>
    <w:basedOn w:val="Normal"/>
    <w:next w:val="Normal"/>
    <w:autoRedefine/>
    <w:uiPriority w:val="39"/>
    <w:unhideWhenUsed/>
    <w:qFormat/>
    <w:rsid w:val="00916774"/>
    <w:pPr>
      <w:tabs>
        <w:tab w:val="left" w:pos="709"/>
        <w:tab w:val="left" w:pos="8505"/>
      </w:tabs>
      <w:spacing w:after="100"/>
      <w:ind w:left="284" w:right="996"/>
      <w:jc w:val="both"/>
    </w:pPr>
  </w:style>
  <w:style w:type="paragraph" w:styleId="BodyText">
    <w:name w:val="Body Text"/>
    <w:basedOn w:val="Normal"/>
    <w:link w:val="BodyTextChar"/>
    <w:uiPriority w:val="99"/>
    <w:unhideWhenUsed/>
    <w:rsid w:val="00916774"/>
    <w:pPr>
      <w:spacing w:after="120"/>
    </w:pPr>
  </w:style>
  <w:style w:type="character" w:customStyle="1" w:styleId="BodyTextChar">
    <w:name w:val="Body Text Char"/>
    <w:basedOn w:val="DefaultParagraphFont"/>
    <w:link w:val="BodyText"/>
    <w:uiPriority w:val="99"/>
    <w:rsid w:val="00916774"/>
    <w:rPr>
      <w:rFonts w:ascii="Calibri" w:eastAsia="Calibri" w:hAnsi="Calibri" w:cs="Times New Roman"/>
      <w:lang w:val="en-US"/>
    </w:rPr>
  </w:style>
  <w:style w:type="paragraph" w:styleId="Header">
    <w:name w:val="header"/>
    <w:basedOn w:val="Normal"/>
    <w:link w:val="HeaderChar"/>
    <w:uiPriority w:val="99"/>
    <w:unhideWhenUsed/>
    <w:rsid w:val="00BC1982"/>
    <w:pPr>
      <w:tabs>
        <w:tab w:val="center" w:pos="4419"/>
        <w:tab w:val="right" w:pos="8838"/>
      </w:tabs>
      <w:spacing w:after="0" w:line="240" w:lineRule="auto"/>
    </w:pPr>
  </w:style>
  <w:style w:type="character" w:customStyle="1" w:styleId="HeaderChar">
    <w:name w:val="Header Char"/>
    <w:basedOn w:val="DefaultParagraphFont"/>
    <w:link w:val="Header"/>
    <w:uiPriority w:val="99"/>
    <w:rsid w:val="00BC1982"/>
    <w:rPr>
      <w:rFonts w:ascii="Calibri" w:eastAsia="Calibri" w:hAnsi="Calibri" w:cs="Times New Roman"/>
      <w:lang w:val="en-US"/>
    </w:rPr>
  </w:style>
  <w:style w:type="paragraph" w:styleId="Footer">
    <w:name w:val="footer"/>
    <w:basedOn w:val="Normal"/>
    <w:link w:val="FooterChar"/>
    <w:uiPriority w:val="99"/>
    <w:unhideWhenUsed/>
    <w:rsid w:val="00BC1982"/>
    <w:pPr>
      <w:tabs>
        <w:tab w:val="center" w:pos="4419"/>
        <w:tab w:val="right" w:pos="8838"/>
      </w:tabs>
      <w:spacing w:after="0" w:line="240" w:lineRule="auto"/>
    </w:pPr>
  </w:style>
  <w:style w:type="character" w:customStyle="1" w:styleId="FooterChar">
    <w:name w:val="Footer Char"/>
    <w:basedOn w:val="DefaultParagraphFont"/>
    <w:link w:val="Footer"/>
    <w:uiPriority w:val="99"/>
    <w:rsid w:val="00BC1982"/>
    <w:rPr>
      <w:rFonts w:ascii="Calibri" w:eastAsia="Calibri" w:hAnsi="Calibri" w:cs="Times New Roman"/>
      <w:lang w:val="en-US"/>
    </w:rPr>
  </w:style>
  <w:style w:type="character" w:styleId="LineNumber">
    <w:name w:val="line number"/>
    <w:basedOn w:val="DefaultParagraphFont"/>
    <w:uiPriority w:val="99"/>
    <w:semiHidden/>
    <w:unhideWhenUsed/>
    <w:rsid w:val="00CD6119"/>
  </w:style>
  <w:style w:type="paragraph" w:styleId="BalloonText">
    <w:name w:val="Balloon Text"/>
    <w:basedOn w:val="Normal"/>
    <w:link w:val="BalloonTextChar"/>
    <w:uiPriority w:val="99"/>
    <w:semiHidden/>
    <w:unhideWhenUsed/>
    <w:rsid w:val="00533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94F"/>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6C3D79"/>
    <w:rPr>
      <w:sz w:val="16"/>
      <w:szCs w:val="16"/>
    </w:rPr>
  </w:style>
  <w:style w:type="paragraph" w:styleId="CommentText">
    <w:name w:val="annotation text"/>
    <w:basedOn w:val="Normal"/>
    <w:link w:val="CommentTextChar"/>
    <w:uiPriority w:val="99"/>
    <w:semiHidden/>
    <w:unhideWhenUsed/>
    <w:rsid w:val="006C3D79"/>
    <w:pPr>
      <w:spacing w:line="240" w:lineRule="auto"/>
    </w:pPr>
    <w:rPr>
      <w:sz w:val="20"/>
      <w:szCs w:val="20"/>
    </w:rPr>
  </w:style>
  <w:style w:type="character" w:customStyle="1" w:styleId="CommentTextChar">
    <w:name w:val="Comment Text Char"/>
    <w:basedOn w:val="DefaultParagraphFont"/>
    <w:link w:val="CommentText"/>
    <w:uiPriority w:val="99"/>
    <w:semiHidden/>
    <w:rsid w:val="006C3D79"/>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3D79"/>
    <w:rPr>
      <w:b/>
      <w:bCs/>
    </w:rPr>
  </w:style>
  <w:style w:type="character" w:customStyle="1" w:styleId="CommentSubjectChar">
    <w:name w:val="Comment Subject Char"/>
    <w:basedOn w:val="CommentTextChar"/>
    <w:link w:val="CommentSubject"/>
    <w:uiPriority w:val="99"/>
    <w:semiHidden/>
    <w:rsid w:val="006C3D79"/>
    <w:rPr>
      <w:rFonts w:ascii="Calibri" w:eastAsia="Calibri" w:hAnsi="Calibri" w:cs="Times New Roman"/>
      <w:b/>
      <w:bCs/>
      <w:sz w:val="20"/>
      <w:szCs w:val="20"/>
      <w:lang w:val="en-US"/>
    </w:rPr>
  </w:style>
  <w:style w:type="character" w:styleId="FollowedHyperlink">
    <w:name w:val="FollowedHyperlink"/>
    <w:basedOn w:val="DefaultParagraphFont"/>
    <w:uiPriority w:val="99"/>
    <w:semiHidden/>
    <w:unhideWhenUsed/>
    <w:rsid w:val="00A14F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asuntos/duque_fv_16.pdf" TargetMode="External"/><Relationship Id="rId2" Type="http://schemas.openxmlformats.org/officeDocument/2006/relationships/hyperlink" Target="http://www.corteidh.or.cr/docs/casos/articulos/seriec_322_esp.pdf" TargetMode="External"/><Relationship Id="rId1" Type="http://schemas.openxmlformats.org/officeDocument/2006/relationships/hyperlink" Target="http://www.corteidh.or.cr/docs/casos/articulos/seriec_310_esp.pdf" TargetMode="External"/><Relationship Id="rId4" Type="http://schemas.openxmlformats.org/officeDocument/2006/relationships/hyperlink" Target="http://www.derechoshumanos.gov.co/Prensa/2016/Documents/160527-Caso-Duque-vs-Colomb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82503-165E-4486-87B7-AA8F6FA3B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3259</Words>
  <Characters>17929</Characters>
  <Application>Microsoft Office Word</Application>
  <DocSecurity>0</DocSecurity>
  <Lines>149</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3</cp:revision>
  <cp:lastPrinted>2018-12-14T22:45:00Z</cp:lastPrinted>
  <dcterms:created xsi:type="dcterms:W3CDTF">2018-12-14T22:44:00Z</dcterms:created>
  <dcterms:modified xsi:type="dcterms:W3CDTF">2018-12-14T22:50:00Z</dcterms:modified>
</cp:coreProperties>
</file>