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D7" w:rsidRDefault="00D96CD7" w:rsidP="00C36140">
      <w:pPr>
        <w:spacing w:after="0" w:line="240" w:lineRule="auto"/>
        <w:jc w:val="center"/>
        <w:rPr>
          <w:rFonts w:ascii="Verdana" w:hAnsi="Verdana"/>
          <w:b/>
          <w:sz w:val="20"/>
          <w:szCs w:val="20"/>
          <w:lang w:val="es-CR"/>
        </w:rPr>
      </w:pPr>
    </w:p>
    <w:p w:rsidR="00B22EAC" w:rsidRDefault="00B22EAC" w:rsidP="00C36140">
      <w:pPr>
        <w:spacing w:after="0" w:line="240" w:lineRule="auto"/>
        <w:jc w:val="center"/>
        <w:rPr>
          <w:rFonts w:ascii="Verdana" w:hAnsi="Verdana"/>
          <w:b/>
          <w:sz w:val="20"/>
          <w:szCs w:val="20"/>
          <w:lang w:val="es-CR"/>
        </w:rPr>
      </w:pPr>
    </w:p>
    <w:p w:rsidR="00B22EAC" w:rsidRDefault="00B22EAC" w:rsidP="00C36140">
      <w:pPr>
        <w:spacing w:after="0" w:line="240" w:lineRule="auto"/>
        <w:jc w:val="center"/>
        <w:rPr>
          <w:rFonts w:ascii="Verdana" w:hAnsi="Verdana"/>
          <w:b/>
          <w:sz w:val="20"/>
          <w:szCs w:val="20"/>
          <w:lang w:val="es-CR"/>
        </w:rPr>
      </w:pPr>
    </w:p>
    <w:p w:rsidR="00B22EAC" w:rsidRDefault="00B22EAC" w:rsidP="00C36140">
      <w:pPr>
        <w:spacing w:after="0" w:line="240" w:lineRule="auto"/>
        <w:jc w:val="center"/>
        <w:rPr>
          <w:rFonts w:ascii="Verdana" w:hAnsi="Verdana"/>
          <w:b/>
          <w:sz w:val="20"/>
          <w:szCs w:val="20"/>
          <w:lang w:val="es-CR"/>
        </w:rPr>
      </w:pPr>
    </w:p>
    <w:p w:rsidR="00B22EAC" w:rsidRDefault="00B22EAC" w:rsidP="00C36140">
      <w:pPr>
        <w:spacing w:after="0" w:line="240" w:lineRule="auto"/>
        <w:jc w:val="center"/>
        <w:rPr>
          <w:rFonts w:ascii="Verdana" w:hAnsi="Verdana"/>
          <w:b/>
          <w:sz w:val="20"/>
          <w:szCs w:val="20"/>
          <w:lang w:val="es-CR"/>
        </w:rPr>
      </w:pPr>
    </w:p>
    <w:p w:rsidR="00B22EAC" w:rsidRDefault="00B22EAC" w:rsidP="00C36140">
      <w:pPr>
        <w:spacing w:after="0" w:line="240" w:lineRule="auto"/>
        <w:jc w:val="center"/>
        <w:rPr>
          <w:rFonts w:ascii="Verdana" w:hAnsi="Verdana"/>
          <w:b/>
          <w:sz w:val="20"/>
          <w:szCs w:val="20"/>
          <w:lang w:val="es-CR"/>
        </w:rPr>
      </w:pPr>
    </w:p>
    <w:p w:rsidR="00D96CD7" w:rsidRDefault="00D96CD7" w:rsidP="00C36140">
      <w:pPr>
        <w:spacing w:after="0" w:line="240" w:lineRule="auto"/>
        <w:jc w:val="center"/>
        <w:rPr>
          <w:rFonts w:ascii="Verdana" w:hAnsi="Verdana"/>
          <w:b/>
          <w:sz w:val="20"/>
          <w:szCs w:val="20"/>
          <w:lang w:val="es-CR"/>
        </w:rPr>
      </w:pPr>
    </w:p>
    <w:p w:rsidR="00C36140" w:rsidRPr="0022388E" w:rsidRDefault="00C36140" w:rsidP="00C36140">
      <w:pPr>
        <w:spacing w:after="0" w:line="240" w:lineRule="auto"/>
        <w:jc w:val="center"/>
        <w:rPr>
          <w:rFonts w:ascii="Verdana" w:hAnsi="Verdana"/>
          <w:b/>
          <w:sz w:val="20"/>
          <w:szCs w:val="20"/>
          <w:lang w:val="es-CR"/>
        </w:rPr>
      </w:pPr>
      <w:r w:rsidRPr="0022388E">
        <w:rPr>
          <w:rFonts w:ascii="Verdana" w:hAnsi="Verdana"/>
          <w:b/>
          <w:sz w:val="20"/>
          <w:szCs w:val="20"/>
          <w:lang w:val="es-CR"/>
        </w:rPr>
        <w:t xml:space="preserve">RESOLUCIÓN DE LA </w:t>
      </w:r>
    </w:p>
    <w:p w:rsidR="00C36140" w:rsidRPr="0022388E" w:rsidRDefault="00C36140" w:rsidP="00C36140">
      <w:pPr>
        <w:spacing w:after="0" w:line="240" w:lineRule="auto"/>
        <w:jc w:val="center"/>
        <w:rPr>
          <w:rFonts w:ascii="Verdana" w:hAnsi="Verdana"/>
          <w:b/>
          <w:smallCaps/>
          <w:sz w:val="20"/>
          <w:szCs w:val="20"/>
          <w:lang w:val="es-CR"/>
        </w:rPr>
      </w:pPr>
      <w:r w:rsidRPr="0022388E">
        <w:rPr>
          <w:rFonts w:ascii="Verdana" w:hAnsi="Verdana"/>
          <w:b/>
          <w:sz w:val="20"/>
          <w:szCs w:val="20"/>
          <w:lang w:val="es-CR"/>
        </w:rPr>
        <w:t>CORTE INTERAMERICANA DE DERECHOS HUMANOS</w:t>
      </w:r>
      <w:r w:rsidR="002F2B70">
        <w:rPr>
          <w:rStyle w:val="FootnoteReference"/>
          <w:rFonts w:ascii="Verdana" w:hAnsi="Verdana"/>
          <w:b/>
          <w:sz w:val="20"/>
          <w:lang w:val="es-MX"/>
        </w:rPr>
        <w:footnoteReference w:customMarkFollows="1" w:id="1"/>
        <w:t>*</w:t>
      </w:r>
      <w:r w:rsidRPr="0022388E">
        <w:rPr>
          <w:rStyle w:val="FootnoteReference"/>
          <w:rFonts w:ascii="Verdana" w:hAnsi="Verdana"/>
          <w:b/>
          <w:smallCaps/>
          <w:sz w:val="20"/>
          <w:szCs w:val="20"/>
          <w:lang w:val="es-CR"/>
        </w:rPr>
        <w:t xml:space="preserve"> </w:t>
      </w:r>
    </w:p>
    <w:p w:rsidR="00C36140" w:rsidRPr="0022388E" w:rsidRDefault="00C36140" w:rsidP="00C36140">
      <w:pPr>
        <w:spacing w:after="0" w:line="240" w:lineRule="auto"/>
        <w:jc w:val="center"/>
        <w:rPr>
          <w:rFonts w:ascii="Verdana" w:hAnsi="Verdana"/>
          <w:b/>
          <w:sz w:val="20"/>
          <w:szCs w:val="20"/>
          <w:lang w:val="es-CR"/>
        </w:rPr>
      </w:pPr>
    </w:p>
    <w:p w:rsidR="00C36140" w:rsidRPr="0022388E" w:rsidRDefault="00C36140" w:rsidP="00C36140">
      <w:pPr>
        <w:spacing w:after="0" w:line="240" w:lineRule="auto"/>
        <w:jc w:val="center"/>
        <w:rPr>
          <w:rFonts w:ascii="Verdana" w:hAnsi="Verdana"/>
          <w:b/>
          <w:sz w:val="20"/>
          <w:szCs w:val="20"/>
          <w:lang w:val="es-CR"/>
        </w:rPr>
      </w:pPr>
      <w:r w:rsidRPr="0022388E">
        <w:rPr>
          <w:rFonts w:ascii="Verdana" w:hAnsi="Verdana"/>
          <w:b/>
          <w:sz w:val="20"/>
          <w:szCs w:val="20"/>
          <w:lang w:val="es-CR"/>
        </w:rPr>
        <w:t xml:space="preserve">DE </w:t>
      </w:r>
      <w:r w:rsidR="002F2B70">
        <w:rPr>
          <w:rFonts w:ascii="Verdana" w:hAnsi="Verdana"/>
          <w:b/>
          <w:sz w:val="20"/>
          <w:szCs w:val="20"/>
          <w:lang w:val="es-CR"/>
        </w:rPr>
        <w:t>22</w:t>
      </w:r>
      <w:r w:rsidR="00D96CD7">
        <w:rPr>
          <w:rFonts w:ascii="Verdana" w:hAnsi="Verdana"/>
          <w:b/>
          <w:sz w:val="20"/>
          <w:szCs w:val="20"/>
          <w:lang w:val="es-CR"/>
        </w:rPr>
        <w:t xml:space="preserve"> </w:t>
      </w:r>
      <w:r w:rsidRPr="0022388E">
        <w:rPr>
          <w:rFonts w:ascii="Verdana" w:hAnsi="Verdana"/>
          <w:b/>
          <w:sz w:val="20"/>
          <w:szCs w:val="20"/>
          <w:lang w:val="es-CR"/>
        </w:rPr>
        <w:t>DE NOVIEMBRE DE 2018</w:t>
      </w:r>
    </w:p>
    <w:p w:rsidR="00C36140" w:rsidRPr="0022388E" w:rsidRDefault="00C36140" w:rsidP="00C36140">
      <w:pPr>
        <w:spacing w:after="0" w:line="240" w:lineRule="auto"/>
        <w:jc w:val="center"/>
        <w:rPr>
          <w:rFonts w:ascii="Verdana" w:hAnsi="Verdana"/>
          <w:b/>
          <w:sz w:val="20"/>
          <w:szCs w:val="20"/>
          <w:lang w:val="es-CR"/>
        </w:rPr>
      </w:pPr>
    </w:p>
    <w:p w:rsidR="001428B2" w:rsidRPr="0022388E" w:rsidRDefault="001428B2" w:rsidP="00C36140">
      <w:pPr>
        <w:spacing w:after="0" w:line="240" w:lineRule="auto"/>
        <w:jc w:val="center"/>
        <w:rPr>
          <w:rFonts w:ascii="Verdana" w:hAnsi="Verdana"/>
          <w:b/>
          <w:i/>
          <w:sz w:val="20"/>
          <w:szCs w:val="20"/>
          <w:lang w:val="es-CR"/>
        </w:rPr>
      </w:pPr>
      <w:r w:rsidRPr="0022388E">
        <w:rPr>
          <w:rFonts w:ascii="Verdana" w:hAnsi="Verdana"/>
          <w:b/>
          <w:i/>
          <w:sz w:val="20"/>
          <w:szCs w:val="20"/>
          <w:lang w:val="es-CR"/>
        </w:rPr>
        <w:t>CASO EL AMPARO VS. VENEZUELA</w:t>
      </w:r>
    </w:p>
    <w:p w:rsidR="001428B2" w:rsidRPr="0022388E" w:rsidRDefault="001428B2" w:rsidP="00C36140">
      <w:pPr>
        <w:spacing w:after="0" w:line="240" w:lineRule="auto"/>
        <w:jc w:val="center"/>
        <w:rPr>
          <w:rFonts w:ascii="Verdana" w:hAnsi="Verdana"/>
          <w:b/>
          <w:sz w:val="20"/>
          <w:szCs w:val="20"/>
          <w:lang w:val="es-CR"/>
        </w:rPr>
      </w:pPr>
    </w:p>
    <w:p w:rsidR="00C36140" w:rsidRPr="0022388E" w:rsidRDefault="00C36140" w:rsidP="00C36140">
      <w:pPr>
        <w:spacing w:after="0" w:line="240" w:lineRule="auto"/>
        <w:jc w:val="center"/>
        <w:rPr>
          <w:rFonts w:ascii="Verdana" w:hAnsi="Verdana"/>
          <w:b/>
          <w:sz w:val="20"/>
          <w:szCs w:val="20"/>
          <w:lang w:val="es-CR"/>
        </w:rPr>
      </w:pPr>
      <w:r w:rsidRPr="0022388E">
        <w:rPr>
          <w:rFonts w:ascii="Verdana" w:hAnsi="Verdana"/>
          <w:b/>
          <w:sz w:val="20"/>
          <w:szCs w:val="20"/>
          <w:lang w:val="es-CR"/>
        </w:rPr>
        <w:t>SUPERVISIÓN DE CUMPLIMIENTO DE SENTENCIA</w:t>
      </w:r>
    </w:p>
    <w:p w:rsidR="00C36140" w:rsidRPr="0022388E" w:rsidRDefault="00C36140" w:rsidP="00D96CD7">
      <w:pPr>
        <w:spacing w:before="120" w:after="120" w:line="240" w:lineRule="auto"/>
        <w:jc w:val="both"/>
        <w:rPr>
          <w:rFonts w:ascii="Verdana" w:hAnsi="Verdana"/>
          <w:b/>
          <w:sz w:val="20"/>
          <w:szCs w:val="20"/>
          <w:lang w:val="es-CR"/>
        </w:rPr>
      </w:pPr>
      <w:r w:rsidRPr="0022388E">
        <w:rPr>
          <w:rFonts w:ascii="Verdana" w:hAnsi="Verdana"/>
          <w:b/>
          <w:sz w:val="20"/>
          <w:szCs w:val="20"/>
          <w:lang w:val="es-CR"/>
        </w:rPr>
        <w:t xml:space="preserve">VISTO: </w:t>
      </w:r>
    </w:p>
    <w:p w:rsidR="00BF6D5C" w:rsidRPr="009B0550" w:rsidRDefault="00D96CD7" w:rsidP="00C501F3">
      <w:pPr>
        <w:pStyle w:val="ListParagraph"/>
        <w:numPr>
          <w:ilvl w:val="0"/>
          <w:numId w:val="1"/>
        </w:numPr>
        <w:spacing w:before="120" w:after="120" w:line="240" w:lineRule="auto"/>
        <w:ind w:left="0" w:firstLine="0"/>
        <w:contextualSpacing w:val="0"/>
        <w:jc w:val="both"/>
        <w:rPr>
          <w:rFonts w:ascii="Verdana" w:hAnsi="Verdana"/>
          <w:sz w:val="20"/>
          <w:szCs w:val="20"/>
          <w:lang w:val="es-CR"/>
        </w:rPr>
      </w:pPr>
      <w:r w:rsidRPr="009B0550">
        <w:rPr>
          <w:rFonts w:ascii="Verdana" w:hAnsi="Verdana"/>
          <w:sz w:val="20"/>
          <w:szCs w:val="20"/>
          <w:lang w:val="es-CR"/>
        </w:rPr>
        <w:t>Las Sentencias de fondo y de reparaciones y costas dictadas por la Corte Interamericana de Derechos Humanos (en adelante “la Corte Interamericana”, “la Corte” o “el Tribunal”) el 18 de enero de 1995</w:t>
      </w:r>
      <w:r w:rsidRPr="009B0550">
        <w:rPr>
          <w:rStyle w:val="FootnoteReference"/>
          <w:rFonts w:ascii="Verdana" w:hAnsi="Verdana"/>
          <w:sz w:val="20"/>
          <w:szCs w:val="20"/>
          <w:lang w:val="es-CR"/>
        </w:rPr>
        <w:footnoteReference w:id="2"/>
      </w:r>
      <w:r w:rsidRPr="009B0550">
        <w:rPr>
          <w:rFonts w:ascii="Verdana" w:hAnsi="Verdana"/>
          <w:sz w:val="20"/>
          <w:szCs w:val="20"/>
          <w:lang w:val="es-CR"/>
        </w:rPr>
        <w:t xml:space="preserve"> y el 14 de septiembre de 1996</w:t>
      </w:r>
      <w:r w:rsidRPr="009B0550">
        <w:rPr>
          <w:rStyle w:val="FootnoteReference"/>
          <w:rFonts w:ascii="Verdana" w:hAnsi="Verdana"/>
          <w:sz w:val="20"/>
          <w:szCs w:val="20"/>
          <w:lang w:val="es-CR"/>
        </w:rPr>
        <w:footnoteReference w:id="3"/>
      </w:r>
      <w:r w:rsidRPr="009B0550">
        <w:rPr>
          <w:rFonts w:ascii="Verdana" w:hAnsi="Verdana"/>
          <w:sz w:val="20"/>
          <w:szCs w:val="20"/>
          <w:lang w:val="es-CR"/>
        </w:rPr>
        <w:t>, respectivamente, en el presente caso.</w:t>
      </w:r>
      <w:r w:rsidR="008F68EC" w:rsidRPr="009B0550">
        <w:rPr>
          <w:rFonts w:ascii="Verdana" w:hAnsi="Verdana"/>
          <w:sz w:val="20"/>
          <w:szCs w:val="20"/>
          <w:lang w:val="es-CR"/>
        </w:rPr>
        <w:t xml:space="preserve"> </w:t>
      </w:r>
      <w:r w:rsidR="00780517">
        <w:rPr>
          <w:rFonts w:ascii="Verdana" w:hAnsi="Verdana"/>
          <w:sz w:val="20"/>
          <w:szCs w:val="20"/>
          <w:lang w:val="es-CR"/>
        </w:rPr>
        <w:t>En la Sentencia de fondo</w:t>
      </w:r>
      <w:r w:rsidR="00C501F3" w:rsidRPr="009B0550">
        <w:rPr>
          <w:rFonts w:ascii="Verdana" w:hAnsi="Verdana"/>
          <w:sz w:val="20"/>
          <w:szCs w:val="20"/>
          <w:lang w:val="es-CR"/>
        </w:rPr>
        <w:t xml:space="preserve"> l</w:t>
      </w:r>
      <w:r w:rsidR="007C33DA" w:rsidRPr="009B0550">
        <w:rPr>
          <w:rFonts w:ascii="Verdana" w:hAnsi="Verdana"/>
          <w:sz w:val="20"/>
          <w:szCs w:val="20"/>
          <w:lang w:val="es-CR"/>
        </w:rPr>
        <w:t xml:space="preserve">a Corte aceptó el reconocimiento de responsabilidad internacional de la República </w:t>
      </w:r>
      <w:r w:rsidR="00B22EAC">
        <w:rPr>
          <w:rFonts w:ascii="Verdana" w:hAnsi="Verdana"/>
          <w:sz w:val="20"/>
          <w:szCs w:val="20"/>
          <w:lang w:val="es-CR"/>
        </w:rPr>
        <w:t xml:space="preserve">Bolivariana </w:t>
      </w:r>
      <w:r w:rsidR="007C33DA" w:rsidRPr="009B0550">
        <w:rPr>
          <w:rFonts w:ascii="Verdana" w:hAnsi="Verdana"/>
          <w:sz w:val="20"/>
          <w:szCs w:val="20"/>
          <w:lang w:val="es-CR"/>
        </w:rPr>
        <w:t xml:space="preserve">de Venezuela (en adelante “el Estado” o “Venezuela”) </w:t>
      </w:r>
      <w:r w:rsidR="00B22EAC">
        <w:rPr>
          <w:rFonts w:ascii="Verdana" w:hAnsi="Verdana"/>
          <w:sz w:val="20"/>
          <w:szCs w:val="20"/>
          <w:lang w:val="es-CR"/>
        </w:rPr>
        <w:t xml:space="preserve">por </w:t>
      </w:r>
      <w:r w:rsidR="00294699" w:rsidRPr="009B0550">
        <w:rPr>
          <w:rFonts w:ascii="Verdana" w:hAnsi="Verdana"/>
          <w:sz w:val="20"/>
          <w:szCs w:val="20"/>
          <w:lang w:val="es-CR"/>
        </w:rPr>
        <w:t xml:space="preserve">la violación de </w:t>
      </w:r>
      <w:r w:rsidR="00905C3A" w:rsidRPr="009B0550">
        <w:rPr>
          <w:rFonts w:ascii="Verdana" w:hAnsi="Verdana"/>
          <w:sz w:val="20"/>
          <w:szCs w:val="20"/>
          <w:lang w:val="es-CR"/>
        </w:rPr>
        <w:t>los derechos</w:t>
      </w:r>
      <w:r w:rsidR="00B33692" w:rsidRPr="009B0550">
        <w:rPr>
          <w:rFonts w:ascii="Verdana" w:hAnsi="Verdana"/>
          <w:sz w:val="20"/>
          <w:szCs w:val="20"/>
          <w:lang w:val="es-CR"/>
        </w:rPr>
        <w:t xml:space="preserve"> a la vida,</w:t>
      </w:r>
      <w:r w:rsidR="00294699" w:rsidRPr="009B0550">
        <w:rPr>
          <w:rFonts w:ascii="Verdana" w:hAnsi="Verdana"/>
          <w:sz w:val="20"/>
          <w:szCs w:val="20"/>
          <w:lang w:val="es-CR"/>
        </w:rPr>
        <w:t xml:space="preserve"> a la</w:t>
      </w:r>
      <w:r w:rsidR="00B33692" w:rsidRPr="009B0550">
        <w:rPr>
          <w:rFonts w:ascii="Verdana" w:hAnsi="Verdana"/>
          <w:sz w:val="20"/>
          <w:szCs w:val="20"/>
          <w:lang w:val="es-CR"/>
        </w:rPr>
        <w:t xml:space="preserve"> integridad personal, </w:t>
      </w:r>
      <w:r w:rsidR="00294699" w:rsidRPr="009B0550">
        <w:rPr>
          <w:rFonts w:ascii="Verdana" w:hAnsi="Verdana"/>
          <w:sz w:val="20"/>
          <w:szCs w:val="20"/>
          <w:lang w:val="es-CR"/>
        </w:rPr>
        <w:t xml:space="preserve">a las </w:t>
      </w:r>
      <w:r w:rsidR="00B33692" w:rsidRPr="009B0550">
        <w:rPr>
          <w:rFonts w:ascii="Verdana" w:hAnsi="Verdana"/>
          <w:sz w:val="20"/>
          <w:szCs w:val="20"/>
          <w:lang w:val="es-CR"/>
        </w:rPr>
        <w:t>garantías judiciales,</w:t>
      </w:r>
      <w:r w:rsidR="00294699" w:rsidRPr="009B0550">
        <w:rPr>
          <w:rFonts w:ascii="Verdana" w:hAnsi="Verdana"/>
          <w:sz w:val="20"/>
          <w:szCs w:val="20"/>
          <w:lang w:val="es-CR"/>
        </w:rPr>
        <w:t xml:space="preserve"> a la</w:t>
      </w:r>
      <w:r w:rsidR="00B33692" w:rsidRPr="009B0550">
        <w:rPr>
          <w:rFonts w:ascii="Verdana" w:hAnsi="Verdana"/>
          <w:sz w:val="20"/>
          <w:szCs w:val="20"/>
          <w:lang w:val="es-CR"/>
        </w:rPr>
        <w:t xml:space="preserve"> igualdad ante la ley </w:t>
      </w:r>
      <w:r w:rsidR="00294699" w:rsidRPr="009B0550">
        <w:rPr>
          <w:rFonts w:ascii="Verdana" w:hAnsi="Verdana"/>
          <w:sz w:val="20"/>
          <w:szCs w:val="20"/>
          <w:lang w:val="es-CR"/>
        </w:rPr>
        <w:t xml:space="preserve">y a la </w:t>
      </w:r>
      <w:r w:rsidR="00B33692" w:rsidRPr="009B0550">
        <w:rPr>
          <w:rFonts w:ascii="Verdana" w:hAnsi="Verdana"/>
          <w:sz w:val="20"/>
          <w:szCs w:val="20"/>
          <w:lang w:val="es-CR"/>
        </w:rPr>
        <w:t xml:space="preserve">protección </w:t>
      </w:r>
      <w:r w:rsidR="007219FE" w:rsidRPr="009B0550">
        <w:rPr>
          <w:rFonts w:ascii="Verdana" w:hAnsi="Verdana"/>
          <w:sz w:val="20"/>
          <w:szCs w:val="20"/>
          <w:lang w:val="es-CR"/>
        </w:rPr>
        <w:t>judicial,</w:t>
      </w:r>
      <w:r w:rsidR="00CF0808" w:rsidRPr="009B0550">
        <w:rPr>
          <w:rFonts w:ascii="Verdana" w:hAnsi="Verdana"/>
          <w:sz w:val="20"/>
          <w:szCs w:val="20"/>
          <w:lang w:val="es-CR"/>
        </w:rPr>
        <w:t xml:space="preserve"> </w:t>
      </w:r>
      <w:r w:rsidR="00C27FCE" w:rsidRPr="009B0550">
        <w:rPr>
          <w:rFonts w:ascii="Verdana" w:hAnsi="Verdana"/>
          <w:sz w:val="20"/>
          <w:szCs w:val="20"/>
          <w:lang w:val="es-CR"/>
        </w:rPr>
        <w:t xml:space="preserve">en perjuicio de </w:t>
      </w:r>
      <w:r w:rsidR="00FC64B1" w:rsidRPr="009B0550">
        <w:rPr>
          <w:rFonts w:ascii="Verdana" w:hAnsi="Verdana"/>
          <w:sz w:val="20"/>
          <w:szCs w:val="20"/>
          <w:lang w:val="es-CR"/>
        </w:rPr>
        <w:t>14 víctimas</w:t>
      </w:r>
      <w:r w:rsidR="00294699" w:rsidRPr="009B0550">
        <w:rPr>
          <w:rFonts w:ascii="Verdana" w:hAnsi="Verdana"/>
          <w:sz w:val="20"/>
          <w:szCs w:val="20"/>
          <w:lang w:val="es-CR"/>
        </w:rPr>
        <w:t xml:space="preserve"> fallecidas</w:t>
      </w:r>
      <w:r w:rsidR="00FC64B1" w:rsidRPr="009B0550">
        <w:rPr>
          <w:rStyle w:val="FootnoteReference"/>
          <w:rFonts w:ascii="Verdana" w:hAnsi="Verdana"/>
          <w:sz w:val="20"/>
          <w:szCs w:val="20"/>
          <w:lang w:val="es-CR"/>
        </w:rPr>
        <w:footnoteReference w:id="4"/>
      </w:r>
      <w:r w:rsidR="00B22EAC">
        <w:rPr>
          <w:rFonts w:ascii="Verdana" w:hAnsi="Verdana"/>
          <w:sz w:val="20"/>
          <w:szCs w:val="20"/>
          <w:lang w:val="es-CR"/>
        </w:rPr>
        <w:t>, así como por la violación</w:t>
      </w:r>
      <w:r w:rsidR="00294699" w:rsidRPr="009B0550">
        <w:rPr>
          <w:rFonts w:ascii="Verdana" w:hAnsi="Verdana"/>
          <w:sz w:val="20"/>
          <w:szCs w:val="20"/>
          <w:lang w:val="es-CR"/>
        </w:rPr>
        <w:t xml:space="preserve"> de los derechos a la integridad personal, a </w:t>
      </w:r>
      <w:r w:rsidR="00B22EAC">
        <w:rPr>
          <w:rFonts w:ascii="Verdana" w:hAnsi="Verdana"/>
          <w:sz w:val="20"/>
          <w:szCs w:val="20"/>
          <w:lang w:val="es-CR"/>
        </w:rPr>
        <w:t xml:space="preserve">las </w:t>
      </w:r>
      <w:r w:rsidR="00294699" w:rsidRPr="009B0550">
        <w:rPr>
          <w:rFonts w:ascii="Verdana" w:hAnsi="Verdana"/>
          <w:sz w:val="20"/>
          <w:szCs w:val="20"/>
          <w:lang w:val="es-CR"/>
        </w:rPr>
        <w:t xml:space="preserve">garantías judiciales, a </w:t>
      </w:r>
      <w:r w:rsidR="00B22EAC">
        <w:rPr>
          <w:rFonts w:ascii="Verdana" w:hAnsi="Verdana"/>
          <w:sz w:val="20"/>
          <w:szCs w:val="20"/>
          <w:lang w:val="es-CR"/>
        </w:rPr>
        <w:t xml:space="preserve">la </w:t>
      </w:r>
      <w:r w:rsidR="00294699" w:rsidRPr="009B0550">
        <w:rPr>
          <w:rFonts w:ascii="Verdana" w:hAnsi="Verdana"/>
          <w:sz w:val="20"/>
          <w:szCs w:val="20"/>
          <w:lang w:val="es-CR"/>
        </w:rPr>
        <w:t xml:space="preserve">igualdad ante la ley y a </w:t>
      </w:r>
      <w:r w:rsidR="00B22EAC">
        <w:rPr>
          <w:rFonts w:ascii="Verdana" w:hAnsi="Verdana"/>
          <w:sz w:val="20"/>
          <w:szCs w:val="20"/>
          <w:lang w:val="es-CR"/>
        </w:rPr>
        <w:t xml:space="preserve">la </w:t>
      </w:r>
      <w:r w:rsidR="00294699" w:rsidRPr="009B0550">
        <w:rPr>
          <w:rFonts w:ascii="Verdana" w:hAnsi="Verdana"/>
          <w:sz w:val="20"/>
          <w:szCs w:val="20"/>
          <w:lang w:val="es-CR"/>
        </w:rPr>
        <w:t>protección judicial</w:t>
      </w:r>
      <w:r w:rsidR="00B22EAC">
        <w:rPr>
          <w:rFonts w:ascii="Verdana" w:hAnsi="Verdana"/>
          <w:sz w:val="20"/>
          <w:szCs w:val="20"/>
          <w:lang w:val="es-CR"/>
        </w:rPr>
        <w:t>,</w:t>
      </w:r>
      <w:r w:rsidR="00294699" w:rsidRPr="009B0550">
        <w:rPr>
          <w:rFonts w:ascii="Verdana" w:hAnsi="Verdana"/>
          <w:sz w:val="20"/>
          <w:szCs w:val="20"/>
          <w:lang w:val="es-CR"/>
        </w:rPr>
        <w:t xml:space="preserve"> en perjuicio de las dos víctimas sobrevivientes</w:t>
      </w:r>
      <w:r w:rsidR="00294699" w:rsidRPr="009B0550">
        <w:rPr>
          <w:rStyle w:val="FootnoteReference"/>
          <w:rFonts w:ascii="Verdana" w:hAnsi="Verdana"/>
          <w:sz w:val="20"/>
          <w:szCs w:val="20"/>
          <w:lang w:val="es-CR"/>
        </w:rPr>
        <w:footnoteReference w:id="5"/>
      </w:r>
      <w:r w:rsidR="00AF2ADA" w:rsidRPr="009B0550">
        <w:rPr>
          <w:rFonts w:ascii="Verdana" w:hAnsi="Verdana"/>
          <w:sz w:val="20"/>
          <w:szCs w:val="20"/>
          <w:lang w:val="es-CR"/>
        </w:rPr>
        <w:t>.</w:t>
      </w:r>
      <w:r w:rsidR="00DE4AB3" w:rsidRPr="009B0550">
        <w:rPr>
          <w:rFonts w:ascii="Verdana" w:hAnsi="Verdana"/>
          <w:sz w:val="20"/>
          <w:szCs w:val="20"/>
          <w:lang w:val="es-CR"/>
        </w:rPr>
        <w:t xml:space="preserve"> </w:t>
      </w:r>
      <w:r w:rsidR="00DE4AB3" w:rsidRPr="009B0550">
        <w:rPr>
          <w:rFonts w:ascii="Verdana" w:hAnsi="Verdana"/>
          <w:color w:val="000000" w:themeColor="text1"/>
          <w:sz w:val="20"/>
          <w:szCs w:val="20"/>
          <w:shd w:val="clear" w:color="auto" w:fill="FFFFFF"/>
          <w:lang w:val="es-CR"/>
        </w:rPr>
        <w:t>Dichas violaciones se declararon por los hechos que ocurrieron el 29 de octubre de 1988</w:t>
      </w:r>
      <w:r w:rsidR="00AF2ADA" w:rsidRPr="009B0550">
        <w:rPr>
          <w:rFonts w:ascii="Verdana" w:hAnsi="Verdana"/>
          <w:color w:val="000000" w:themeColor="text1"/>
          <w:sz w:val="20"/>
          <w:szCs w:val="20"/>
          <w:shd w:val="clear" w:color="auto" w:fill="FFFFFF"/>
          <w:lang w:val="es-CR"/>
        </w:rPr>
        <w:t xml:space="preserve"> cuando</w:t>
      </w:r>
      <w:r w:rsidR="00DE4AB3" w:rsidRPr="009B0550">
        <w:rPr>
          <w:rFonts w:ascii="Verdana" w:hAnsi="Verdana"/>
          <w:color w:val="000000" w:themeColor="text1"/>
          <w:sz w:val="20"/>
          <w:szCs w:val="20"/>
          <w:shd w:val="clear" w:color="auto" w:fill="FFFFFF"/>
          <w:lang w:val="es-CR"/>
        </w:rPr>
        <w:t xml:space="preserve"> dieciséis pescadores del pueblo de “El Amparo”, Venezuela, se dirigían al Canal “La Colorada” para participar en un “paseo de pesca”. Aproximadamente a las 11</w:t>
      </w:r>
      <w:r w:rsidR="00C12DB7">
        <w:rPr>
          <w:rFonts w:ascii="Verdana" w:hAnsi="Verdana"/>
          <w:color w:val="000000" w:themeColor="text1"/>
          <w:sz w:val="20"/>
          <w:szCs w:val="20"/>
          <w:shd w:val="clear" w:color="auto" w:fill="FFFFFF"/>
          <w:lang w:val="es-CR"/>
        </w:rPr>
        <w:t>:</w:t>
      </w:r>
      <w:r w:rsidR="00DE4AB3" w:rsidRPr="009B0550">
        <w:rPr>
          <w:rFonts w:ascii="Verdana" w:hAnsi="Verdana"/>
          <w:color w:val="000000" w:themeColor="text1"/>
          <w:sz w:val="20"/>
          <w:szCs w:val="20"/>
          <w:shd w:val="clear" w:color="auto" w:fill="FFFFFF"/>
          <w:lang w:val="es-CR"/>
        </w:rPr>
        <w:t xml:space="preserve">20 </w:t>
      </w:r>
      <w:r w:rsidR="00B22EAC">
        <w:rPr>
          <w:rFonts w:ascii="Verdana" w:hAnsi="Verdana"/>
          <w:color w:val="000000" w:themeColor="text1"/>
          <w:sz w:val="20"/>
          <w:szCs w:val="20"/>
          <w:shd w:val="clear" w:color="auto" w:fill="FFFFFF"/>
          <w:lang w:val="es-CR"/>
        </w:rPr>
        <w:t>horas de la mañana</w:t>
      </w:r>
      <w:r w:rsidR="00DE4AB3" w:rsidRPr="009B0550">
        <w:rPr>
          <w:rFonts w:ascii="Verdana" w:hAnsi="Verdana"/>
          <w:color w:val="000000" w:themeColor="text1"/>
          <w:sz w:val="20"/>
          <w:szCs w:val="20"/>
          <w:shd w:val="clear" w:color="auto" w:fill="FFFFFF"/>
          <w:lang w:val="es-CR"/>
        </w:rPr>
        <w:t xml:space="preserve">, cuando algunos pescadores bajaban de la embarcación, miembros militares y policiales del </w:t>
      </w:r>
      <w:r w:rsidR="00780517">
        <w:rPr>
          <w:rFonts w:ascii="Verdana" w:hAnsi="Verdana"/>
          <w:color w:val="000000" w:themeColor="text1"/>
          <w:sz w:val="20"/>
          <w:szCs w:val="20"/>
          <w:shd w:val="clear" w:color="auto" w:fill="FFFFFF"/>
          <w:lang w:val="es-CR"/>
        </w:rPr>
        <w:t>“</w:t>
      </w:r>
      <w:r w:rsidR="00DE4AB3" w:rsidRPr="009B0550">
        <w:rPr>
          <w:rFonts w:ascii="Verdana" w:hAnsi="Verdana"/>
          <w:color w:val="000000" w:themeColor="text1"/>
          <w:sz w:val="20"/>
          <w:szCs w:val="20"/>
          <w:shd w:val="clear" w:color="auto" w:fill="FFFFFF"/>
          <w:lang w:val="es-CR"/>
        </w:rPr>
        <w:t>Coman</w:t>
      </w:r>
      <w:r w:rsidR="00780517">
        <w:rPr>
          <w:rFonts w:ascii="Verdana" w:hAnsi="Verdana"/>
          <w:color w:val="000000" w:themeColor="text1"/>
          <w:sz w:val="20"/>
          <w:szCs w:val="20"/>
          <w:shd w:val="clear" w:color="auto" w:fill="FFFFFF"/>
          <w:lang w:val="es-CR"/>
        </w:rPr>
        <w:t>do Específico José Antonio Páez”</w:t>
      </w:r>
      <w:r w:rsidR="00DE4AB3" w:rsidRPr="009B0550">
        <w:rPr>
          <w:rFonts w:ascii="Verdana" w:hAnsi="Verdana"/>
          <w:color w:val="000000" w:themeColor="text1"/>
          <w:sz w:val="20"/>
          <w:szCs w:val="20"/>
          <w:shd w:val="clear" w:color="auto" w:fill="FFFFFF"/>
          <w:lang w:val="es-CR"/>
        </w:rPr>
        <w:t xml:space="preserve">, </w:t>
      </w:r>
      <w:r w:rsidR="00D85C7B" w:rsidRPr="009B0550">
        <w:rPr>
          <w:rFonts w:ascii="Verdana" w:hAnsi="Verdana"/>
          <w:color w:val="000000" w:themeColor="text1"/>
          <w:sz w:val="20"/>
          <w:szCs w:val="20"/>
          <w:shd w:val="clear" w:color="auto" w:fill="FFFFFF"/>
          <w:lang w:val="es-CR"/>
        </w:rPr>
        <w:t xml:space="preserve">en el marco de la operación militar “Anguila III”, </w:t>
      </w:r>
      <w:r w:rsidR="00DE4AB3" w:rsidRPr="009B0550">
        <w:rPr>
          <w:rFonts w:ascii="Verdana" w:hAnsi="Verdana"/>
          <w:color w:val="000000" w:themeColor="text1"/>
          <w:sz w:val="20"/>
          <w:szCs w:val="20"/>
          <w:shd w:val="clear" w:color="auto" w:fill="FFFFFF"/>
          <w:lang w:val="es-CR"/>
        </w:rPr>
        <w:t xml:space="preserve">abrieron fuego contra </w:t>
      </w:r>
      <w:r w:rsidR="00B22EAC">
        <w:rPr>
          <w:rFonts w:ascii="Verdana" w:hAnsi="Verdana"/>
          <w:color w:val="000000" w:themeColor="text1"/>
          <w:sz w:val="20"/>
          <w:szCs w:val="20"/>
          <w:shd w:val="clear" w:color="auto" w:fill="FFFFFF"/>
          <w:lang w:val="es-CR"/>
        </w:rPr>
        <w:t>dichos</w:t>
      </w:r>
      <w:r w:rsidR="00B22EAC" w:rsidRPr="009B0550">
        <w:rPr>
          <w:rFonts w:ascii="Verdana" w:hAnsi="Verdana"/>
          <w:color w:val="000000" w:themeColor="text1"/>
          <w:sz w:val="20"/>
          <w:szCs w:val="20"/>
          <w:shd w:val="clear" w:color="auto" w:fill="FFFFFF"/>
          <w:lang w:val="es-CR"/>
        </w:rPr>
        <w:t xml:space="preserve"> </w:t>
      </w:r>
      <w:r w:rsidR="00AF2ADA" w:rsidRPr="009B0550">
        <w:rPr>
          <w:rFonts w:ascii="Verdana" w:hAnsi="Verdana"/>
          <w:color w:val="000000" w:themeColor="text1"/>
          <w:sz w:val="20"/>
          <w:szCs w:val="20"/>
          <w:shd w:val="clear" w:color="auto" w:fill="FFFFFF"/>
          <w:lang w:val="es-CR"/>
        </w:rPr>
        <w:t>pescadores</w:t>
      </w:r>
      <w:r w:rsidR="00D85C7B" w:rsidRPr="009B0550">
        <w:rPr>
          <w:rFonts w:ascii="Verdana" w:hAnsi="Verdana"/>
          <w:color w:val="000000" w:themeColor="text1"/>
          <w:sz w:val="20"/>
          <w:szCs w:val="20"/>
          <w:shd w:val="clear" w:color="auto" w:fill="FFFFFF"/>
          <w:lang w:val="es-CR"/>
        </w:rPr>
        <w:t>,</w:t>
      </w:r>
      <w:r w:rsidR="00AF2ADA" w:rsidRPr="009B0550">
        <w:rPr>
          <w:rFonts w:ascii="Verdana" w:hAnsi="Verdana"/>
          <w:color w:val="000000" w:themeColor="text1"/>
          <w:sz w:val="20"/>
          <w:szCs w:val="20"/>
          <w:shd w:val="clear" w:color="auto" w:fill="FFFFFF"/>
          <w:lang w:val="es-CR"/>
        </w:rPr>
        <w:t xml:space="preserve"> </w:t>
      </w:r>
      <w:r w:rsidR="00C12DB7">
        <w:rPr>
          <w:rFonts w:ascii="Verdana" w:hAnsi="Verdana"/>
          <w:color w:val="000000" w:themeColor="text1"/>
          <w:sz w:val="20"/>
          <w:szCs w:val="20"/>
          <w:shd w:val="clear" w:color="auto" w:fill="FFFFFF"/>
          <w:lang w:val="es-CR"/>
        </w:rPr>
        <w:t>a quienes confundieron</w:t>
      </w:r>
      <w:r w:rsidR="00DE4AB3" w:rsidRPr="009B0550">
        <w:rPr>
          <w:rFonts w:ascii="Verdana" w:hAnsi="Verdana"/>
          <w:color w:val="000000" w:themeColor="text1"/>
          <w:sz w:val="20"/>
          <w:szCs w:val="20"/>
          <w:shd w:val="clear" w:color="auto" w:fill="FFFFFF"/>
          <w:lang w:val="es-CR"/>
        </w:rPr>
        <w:t xml:space="preserve"> con </w:t>
      </w:r>
      <w:r w:rsidR="00C12DB7">
        <w:rPr>
          <w:rFonts w:ascii="Verdana" w:hAnsi="Verdana"/>
          <w:color w:val="000000" w:themeColor="text1"/>
          <w:sz w:val="20"/>
          <w:szCs w:val="20"/>
          <w:shd w:val="clear" w:color="auto" w:fill="FFFFFF"/>
          <w:lang w:val="es-CR"/>
        </w:rPr>
        <w:t>“</w:t>
      </w:r>
      <w:r w:rsidR="00DE4AB3" w:rsidRPr="009B0550">
        <w:rPr>
          <w:rFonts w:ascii="Verdana" w:hAnsi="Verdana"/>
          <w:color w:val="000000" w:themeColor="text1"/>
          <w:sz w:val="20"/>
          <w:szCs w:val="20"/>
          <w:shd w:val="clear" w:color="auto" w:fill="FFFFFF"/>
          <w:lang w:val="es-CR"/>
        </w:rPr>
        <w:t>irregula</w:t>
      </w:r>
      <w:r w:rsidR="00D85C7B" w:rsidRPr="009B0550">
        <w:rPr>
          <w:rFonts w:ascii="Verdana" w:hAnsi="Verdana"/>
          <w:color w:val="000000" w:themeColor="text1"/>
          <w:sz w:val="20"/>
          <w:szCs w:val="20"/>
          <w:shd w:val="clear" w:color="auto" w:fill="FFFFFF"/>
          <w:lang w:val="es-CR"/>
        </w:rPr>
        <w:t>res colombianos guerrilleros”, matando a catorce de ello</w:t>
      </w:r>
      <w:r w:rsidR="00B22EAC">
        <w:rPr>
          <w:rFonts w:ascii="Verdana" w:hAnsi="Verdana"/>
          <w:color w:val="000000" w:themeColor="text1"/>
          <w:sz w:val="20"/>
          <w:szCs w:val="20"/>
          <w:shd w:val="clear" w:color="auto" w:fill="FFFFFF"/>
          <w:lang w:val="es-CR"/>
        </w:rPr>
        <w:t>s</w:t>
      </w:r>
      <w:r w:rsidR="00D85C7B" w:rsidRPr="009B0550">
        <w:rPr>
          <w:rFonts w:ascii="Verdana" w:hAnsi="Verdana"/>
          <w:color w:val="000000" w:themeColor="text1"/>
          <w:sz w:val="20"/>
          <w:szCs w:val="20"/>
          <w:shd w:val="clear" w:color="auto" w:fill="FFFFFF"/>
          <w:lang w:val="es-CR"/>
        </w:rPr>
        <w:t xml:space="preserve"> e hiriendo a los otros dos</w:t>
      </w:r>
      <w:r w:rsidR="00B22EAC">
        <w:rPr>
          <w:rFonts w:ascii="Verdana" w:hAnsi="Verdana"/>
          <w:color w:val="000000" w:themeColor="text1"/>
          <w:sz w:val="20"/>
          <w:szCs w:val="20"/>
          <w:shd w:val="clear" w:color="auto" w:fill="FFFFFF"/>
          <w:lang w:val="es-CR"/>
        </w:rPr>
        <w:t>, quienes pudieron escapar y sobrevivieron</w:t>
      </w:r>
      <w:r w:rsidR="00D85C7B" w:rsidRPr="009B0550">
        <w:rPr>
          <w:rFonts w:ascii="Verdana" w:hAnsi="Verdana"/>
          <w:color w:val="000000" w:themeColor="text1"/>
          <w:sz w:val="20"/>
          <w:szCs w:val="20"/>
          <w:shd w:val="clear" w:color="auto" w:fill="FFFFFF"/>
          <w:lang w:val="es-CR"/>
        </w:rPr>
        <w:t xml:space="preserve">. </w:t>
      </w:r>
      <w:r w:rsidR="00C501F3" w:rsidRPr="009B0550">
        <w:rPr>
          <w:rFonts w:ascii="Verdana" w:hAnsi="Verdana"/>
          <w:color w:val="000000" w:themeColor="text1"/>
          <w:sz w:val="20"/>
          <w:szCs w:val="20"/>
          <w:shd w:val="clear" w:color="auto" w:fill="FFFFFF"/>
          <w:lang w:val="es-CR"/>
        </w:rPr>
        <w:t>En la Sentencia de reparaciones, este Tribunal</w:t>
      </w:r>
      <w:r w:rsidR="00B6643E" w:rsidRPr="009B0550">
        <w:rPr>
          <w:rFonts w:ascii="Verdana" w:hAnsi="Verdana"/>
          <w:color w:val="000000" w:themeColor="text1"/>
          <w:sz w:val="20"/>
          <w:szCs w:val="20"/>
          <w:shd w:val="clear" w:color="auto" w:fill="FFFFFF"/>
          <w:lang w:val="es-CR"/>
        </w:rPr>
        <w:t xml:space="preserve"> ordenó </w:t>
      </w:r>
      <w:r w:rsidR="00B22EAC">
        <w:rPr>
          <w:rFonts w:ascii="Verdana" w:hAnsi="Verdana"/>
          <w:color w:val="000000" w:themeColor="text1"/>
          <w:sz w:val="20"/>
          <w:szCs w:val="20"/>
          <w:shd w:val="clear" w:color="auto" w:fill="FFFFFF"/>
          <w:lang w:val="es-CR"/>
        </w:rPr>
        <w:t xml:space="preserve">al Estado </w:t>
      </w:r>
      <w:r w:rsidR="00B6643E" w:rsidRPr="009B0550">
        <w:rPr>
          <w:rFonts w:ascii="Verdana" w:hAnsi="Verdana"/>
          <w:color w:val="000000" w:themeColor="text1"/>
          <w:sz w:val="20"/>
          <w:szCs w:val="20"/>
          <w:shd w:val="clear" w:color="auto" w:fill="FFFFFF"/>
          <w:lang w:val="es-CR"/>
        </w:rPr>
        <w:t xml:space="preserve">pagar a las víctimas sobrevivientes y </w:t>
      </w:r>
      <w:r w:rsidR="00B22EAC">
        <w:rPr>
          <w:rFonts w:ascii="Verdana" w:hAnsi="Verdana"/>
          <w:color w:val="000000" w:themeColor="text1"/>
          <w:sz w:val="20"/>
          <w:szCs w:val="20"/>
          <w:shd w:val="clear" w:color="auto" w:fill="FFFFFF"/>
          <w:lang w:val="es-CR"/>
        </w:rPr>
        <w:t xml:space="preserve">a </w:t>
      </w:r>
      <w:r w:rsidR="00B6643E" w:rsidRPr="009B0550">
        <w:rPr>
          <w:rFonts w:ascii="Verdana" w:hAnsi="Verdana"/>
          <w:color w:val="000000" w:themeColor="text1"/>
          <w:sz w:val="20"/>
          <w:szCs w:val="20"/>
          <w:shd w:val="clear" w:color="auto" w:fill="FFFFFF"/>
          <w:lang w:val="es-CR"/>
        </w:rPr>
        <w:t>los familiares de las víctimas fallecidas determinadas cantidades por concepto de indemnizaciones por daño material e inmaterial, y dispuso que Venezuela estaba obligad</w:t>
      </w:r>
      <w:r w:rsidR="00C12DB7">
        <w:rPr>
          <w:rFonts w:ascii="Verdana" w:hAnsi="Verdana"/>
          <w:color w:val="000000" w:themeColor="text1"/>
          <w:sz w:val="20"/>
          <w:szCs w:val="20"/>
          <w:shd w:val="clear" w:color="auto" w:fill="FFFFFF"/>
          <w:lang w:val="es-CR"/>
        </w:rPr>
        <w:t>a</w:t>
      </w:r>
      <w:r w:rsidR="00B6643E" w:rsidRPr="009B0550">
        <w:rPr>
          <w:rFonts w:ascii="Verdana" w:hAnsi="Verdana"/>
          <w:color w:val="000000" w:themeColor="text1"/>
          <w:sz w:val="20"/>
          <w:szCs w:val="20"/>
          <w:shd w:val="clear" w:color="auto" w:fill="FFFFFF"/>
          <w:lang w:val="es-CR"/>
        </w:rPr>
        <w:t xml:space="preserve"> a </w:t>
      </w:r>
      <w:r w:rsidR="00C12DB7">
        <w:rPr>
          <w:rFonts w:ascii="Verdana" w:hAnsi="Verdana"/>
          <w:color w:val="000000" w:themeColor="text1"/>
          <w:sz w:val="20"/>
          <w:szCs w:val="20"/>
          <w:shd w:val="clear" w:color="auto" w:fill="FFFFFF"/>
          <w:lang w:val="es-CR"/>
        </w:rPr>
        <w:t>“</w:t>
      </w:r>
      <w:r w:rsidR="00B6643E" w:rsidRPr="009B0550">
        <w:rPr>
          <w:rFonts w:ascii="Verdana" w:hAnsi="Verdana"/>
          <w:color w:val="000000" w:themeColor="text1"/>
          <w:sz w:val="20"/>
          <w:szCs w:val="20"/>
          <w:shd w:val="clear" w:color="auto" w:fill="FFFFFF"/>
          <w:lang w:val="es-CR"/>
        </w:rPr>
        <w:t>continuar l</w:t>
      </w:r>
      <w:r w:rsidR="00B6643E" w:rsidRPr="009B0550">
        <w:rPr>
          <w:rFonts w:ascii="Verdana" w:hAnsi="Verdana"/>
          <w:sz w:val="20"/>
          <w:szCs w:val="20"/>
          <w:lang w:val="es-CR"/>
        </w:rPr>
        <w:t xml:space="preserve">as investigaciones de los hechos a que se refiere este caso y sancionar a quienes resulten responsables” </w:t>
      </w:r>
      <w:r w:rsidR="00BF6D5C" w:rsidRPr="009B0550">
        <w:rPr>
          <w:rFonts w:ascii="Verdana" w:hAnsi="Verdana"/>
          <w:sz w:val="20"/>
          <w:szCs w:val="20"/>
          <w:lang w:val="es-CR"/>
        </w:rPr>
        <w:t>(</w:t>
      </w:r>
      <w:r w:rsidR="00BF6D5C" w:rsidRPr="009B0550">
        <w:rPr>
          <w:rFonts w:ascii="Verdana" w:hAnsi="Verdana"/>
          <w:i/>
          <w:sz w:val="20"/>
          <w:szCs w:val="20"/>
          <w:lang w:val="es-CR"/>
        </w:rPr>
        <w:t xml:space="preserve">infra </w:t>
      </w:r>
      <w:r w:rsidR="00BF6D5C" w:rsidRPr="009B0550">
        <w:rPr>
          <w:rFonts w:ascii="Verdana" w:hAnsi="Verdana"/>
          <w:sz w:val="20"/>
          <w:szCs w:val="20"/>
          <w:lang w:val="es-CR"/>
        </w:rPr>
        <w:t xml:space="preserve">Considerando 1). </w:t>
      </w:r>
    </w:p>
    <w:p w:rsidR="00B6643E" w:rsidRPr="009B0550" w:rsidRDefault="00B6643E" w:rsidP="00C501F3">
      <w:pPr>
        <w:pStyle w:val="ListParagraph"/>
        <w:numPr>
          <w:ilvl w:val="0"/>
          <w:numId w:val="1"/>
        </w:numPr>
        <w:spacing w:before="120" w:after="120" w:line="240" w:lineRule="auto"/>
        <w:ind w:left="0" w:firstLine="0"/>
        <w:contextualSpacing w:val="0"/>
        <w:jc w:val="both"/>
        <w:rPr>
          <w:rFonts w:ascii="Verdana" w:hAnsi="Verdana"/>
          <w:sz w:val="20"/>
          <w:szCs w:val="20"/>
          <w:lang w:val="es-CR"/>
        </w:rPr>
      </w:pPr>
      <w:r w:rsidRPr="009B0550">
        <w:rPr>
          <w:rFonts w:ascii="Verdana" w:hAnsi="Verdana"/>
          <w:sz w:val="20"/>
          <w:szCs w:val="20"/>
          <w:lang w:val="es-CR"/>
        </w:rPr>
        <w:lastRenderedPageBreak/>
        <w:t xml:space="preserve">Las </w:t>
      </w:r>
      <w:r w:rsidR="00C12DB7">
        <w:rPr>
          <w:rFonts w:ascii="Verdana" w:hAnsi="Verdana"/>
          <w:sz w:val="20"/>
          <w:szCs w:val="20"/>
          <w:lang w:val="es-CR"/>
        </w:rPr>
        <w:t>R</w:t>
      </w:r>
      <w:r w:rsidR="00C12DB7" w:rsidRPr="009B0550">
        <w:rPr>
          <w:rFonts w:ascii="Verdana" w:hAnsi="Verdana"/>
          <w:sz w:val="20"/>
          <w:szCs w:val="20"/>
          <w:lang w:val="es-CR"/>
        </w:rPr>
        <w:t xml:space="preserve">esoluciones </w:t>
      </w:r>
      <w:r w:rsidRPr="009B0550">
        <w:rPr>
          <w:rFonts w:ascii="Verdana" w:hAnsi="Verdana"/>
          <w:sz w:val="20"/>
          <w:szCs w:val="20"/>
          <w:lang w:val="es-CR"/>
        </w:rPr>
        <w:t xml:space="preserve">de supervisión de cumplimiento de </w:t>
      </w:r>
      <w:r w:rsidR="00B22EAC">
        <w:rPr>
          <w:rFonts w:ascii="Verdana" w:hAnsi="Verdana"/>
          <w:sz w:val="20"/>
          <w:szCs w:val="20"/>
          <w:lang w:val="es-CR"/>
        </w:rPr>
        <w:t>s</w:t>
      </w:r>
      <w:r w:rsidRPr="009B0550">
        <w:rPr>
          <w:rFonts w:ascii="Verdana" w:hAnsi="Verdana"/>
          <w:sz w:val="20"/>
          <w:szCs w:val="20"/>
          <w:lang w:val="es-CR"/>
        </w:rPr>
        <w:t xml:space="preserve">entencia emitidas </w:t>
      </w:r>
      <w:r w:rsidR="00B22EAC">
        <w:rPr>
          <w:rFonts w:ascii="Verdana" w:hAnsi="Verdana"/>
          <w:sz w:val="20"/>
          <w:szCs w:val="20"/>
          <w:lang w:val="es-CR"/>
        </w:rPr>
        <w:t>los días</w:t>
      </w:r>
      <w:r w:rsidR="00B22EAC" w:rsidRPr="009B0550">
        <w:rPr>
          <w:rFonts w:ascii="Verdana" w:hAnsi="Verdana"/>
          <w:sz w:val="20"/>
          <w:szCs w:val="20"/>
          <w:lang w:val="es-CR"/>
        </w:rPr>
        <w:t xml:space="preserve"> </w:t>
      </w:r>
      <w:r w:rsidRPr="009B0550">
        <w:rPr>
          <w:rFonts w:ascii="Verdana" w:hAnsi="Verdana"/>
          <w:sz w:val="20"/>
          <w:szCs w:val="20"/>
          <w:lang w:val="es-CR"/>
        </w:rPr>
        <w:t>28 de noviembre de 2002, 4 de julio de 2006, 4 de febrero de 2010, 20 de febrero de 2012 y 20 de noviembre de 2015</w:t>
      </w:r>
      <w:r w:rsidR="00780517">
        <w:rPr>
          <w:rStyle w:val="FootnoteReference"/>
          <w:rFonts w:ascii="Verdana" w:hAnsi="Verdana"/>
          <w:sz w:val="20"/>
          <w:szCs w:val="20"/>
          <w:lang w:val="es-CR"/>
        </w:rPr>
        <w:footnoteReference w:id="6"/>
      </w:r>
      <w:r w:rsidRPr="009B0550">
        <w:rPr>
          <w:rFonts w:ascii="Verdana" w:hAnsi="Verdana"/>
          <w:sz w:val="20"/>
          <w:szCs w:val="20"/>
          <w:lang w:val="es-CR"/>
        </w:rPr>
        <w:t>.</w:t>
      </w:r>
    </w:p>
    <w:p w:rsidR="00B6643E" w:rsidRPr="009B0550" w:rsidRDefault="002331D5" w:rsidP="00C501F3">
      <w:pPr>
        <w:pStyle w:val="ListParagraph"/>
        <w:numPr>
          <w:ilvl w:val="0"/>
          <w:numId w:val="1"/>
        </w:numPr>
        <w:spacing w:before="120" w:after="120" w:line="240" w:lineRule="auto"/>
        <w:ind w:left="0" w:firstLine="0"/>
        <w:contextualSpacing w:val="0"/>
        <w:jc w:val="both"/>
        <w:rPr>
          <w:rFonts w:ascii="Verdana" w:hAnsi="Verdana"/>
          <w:sz w:val="20"/>
          <w:szCs w:val="20"/>
          <w:lang w:val="es-CR"/>
        </w:rPr>
      </w:pPr>
      <w:r w:rsidRPr="009B0550">
        <w:rPr>
          <w:rFonts w:ascii="Verdana" w:hAnsi="Verdana"/>
          <w:sz w:val="20"/>
          <w:szCs w:val="20"/>
          <w:lang w:val="es-CR"/>
        </w:rPr>
        <w:t>El escrito presentado el 8 de julio de 2016 por los representantes de las víctimas de siete casos contra Venezuela</w:t>
      </w:r>
      <w:r w:rsidR="0086344A" w:rsidRPr="009B0550">
        <w:rPr>
          <w:rStyle w:val="FootnoteReference"/>
          <w:rFonts w:ascii="Verdana" w:hAnsi="Verdana"/>
          <w:sz w:val="20"/>
          <w:szCs w:val="20"/>
          <w:lang w:val="es-CR"/>
        </w:rPr>
        <w:footnoteReference w:id="7"/>
      </w:r>
      <w:r w:rsidRPr="009B0550">
        <w:rPr>
          <w:rFonts w:ascii="Verdana" w:hAnsi="Verdana"/>
          <w:sz w:val="20"/>
          <w:szCs w:val="20"/>
          <w:lang w:val="es-CR"/>
        </w:rPr>
        <w:t>, incluyendo el presente caso</w:t>
      </w:r>
      <w:r w:rsidR="0086344A">
        <w:rPr>
          <w:rStyle w:val="FootnoteReference"/>
          <w:rFonts w:ascii="Verdana" w:hAnsi="Verdana"/>
          <w:sz w:val="20"/>
          <w:szCs w:val="20"/>
          <w:lang w:val="es-CR"/>
        </w:rPr>
        <w:footnoteReference w:id="8"/>
      </w:r>
      <w:r w:rsidRPr="009B0550">
        <w:rPr>
          <w:rFonts w:ascii="Verdana" w:hAnsi="Verdana"/>
          <w:sz w:val="20"/>
          <w:szCs w:val="20"/>
          <w:lang w:val="es-CR"/>
        </w:rPr>
        <w:t>, en el cual se refirieron al incumplimiento de lo ordenado en las Sentencias de esos casos, y solicitaron “que se ordene la realización de una audiencia conjunta de supervisión de cumplimiento de [sus] sentencias”</w:t>
      </w:r>
      <w:r w:rsidRPr="009B0550">
        <w:rPr>
          <w:rStyle w:val="FootnoteReference"/>
          <w:rFonts w:ascii="Verdana" w:hAnsi="Verdana"/>
          <w:sz w:val="20"/>
          <w:szCs w:val="20"/>
          <w:lang w:val="es-CR"/>
        </w:rPr>
        <w:footnoteReference w:id="9"/>
      </w:r>
      <w:r w:rsidRPr="009B0550">
        <w:rPr>
          <w:rFonts w:ascii="Verdana" w:hAnsi="Verdana"/>
          <w:sz w:val="20"/>
          <w:szCs w:val="20"/>
          <w:lang w:val="es-CR"/>
        </w:rPr>
        <w:t>.</w:t>
      </w:r>
    </w:p>
    <w:p w:rsidR="002331D5" w:rsidRPr="009B0550" w:rsidRDefault="00F32F0F" w:rsidP="00C501F3">
      <w:pPr>
        <w:pStyle w:val="ListParagraph"/>
        <w:numPr>
          <w:ilvl w:val="0"/>
          <w:numId w:val="1"/>
        </w:numPr>
        <w:spacing w:before="120" w:after="120" w:line="240" w:lineRule="auto"/>
        <w:ind w:left="0" w:firstLine="0"/>
        <w:contextualSpacing w:val="0"/>
        <w:jc w:val="both"/>
        <w:rPr>
          <w:rFonts w:ascii="Verdana" w:hAnsi="Verdana"/>
          <w:sz w:val="20"/>
          <w:szCs w:val="20"/>
          <w:lang w:val="es-CR"/>
        </w:rPr>
      </w:pPr>
      <w:r w:rsidRPr="009B0550">
        <w:rPr>
          <w:rFonts w:ascii="Verdana" w:hAnsi="Verdana"/>
          <w:sz w:val="20"/>
          <w:szCs w:val="20"/>
          <w:lang w:val="es-CR"/>
        </w:rPr>
        <w:t>El informe presentado por el Estado el 9 de noviembre de 2017.</w:t>
      </w:r>
    </w:p>
    <w:p w:rsidR="00F32F0F" w:rsidRPr="009B0550" w:rsidRDefault="00F32F0F" w:rsidP="00C501F3">
      <w:pPr>
        <w:pStyle w:val="ListParagraph"/>
        <w:numPr>
          <w:ilvl w:val="0"/>
          <w:numId w:val="1"/>
        </w:numPr>
        <w:spacing w:before="120" w:after="120" w:line="240" w:lineRule="auto"/>
        <w:ind w:left="0" w:firstLine="0"/>
        <w:contextualSpacing w:val="0"/>
        <w:jc w:val="both"/>
        <w:rPr>
          <w:rFonts w:ascii="Verdana" w:hAnsi="Verdana"/>
          <w:sz w:val="20"/>
          <w:szCs w:val="20"/>
          <w:lang w:val="es-CR"/>
        </w:rPr>
      </w:pPr>
      <w:r w:rsidRPr="009B0550">
        <w:rPr>
          <w:rFonts w:ascii="Verdana" w:hAnsi="Verdana"/>
          <w:sz w:val="20"/>
          <w:szCs w:val="20"/>
          <w:lang w:val="es-CR"/>
        </w:rPr>
        <w:t>El escrito de observaciones presentado por la Comisión Interamericana de Derechos Humanos (en adelante “la Comisión” o “la Comisión Interamericana”) el 21 de febrero de 2018</w:t>
      </w:r>
      <w:r w:rsidRPr="009B0550">
        <w:rPr>
          <w:rStyle w:val="FootnoteReference"/>
          <w:rFonts w:ascii="Verdana" w:hAnsi="Verdana"/>
          <w:sz w:val="20"/>
          <w:szCs w:val="20"/>
          <w:lang w:val="es-CR"/>
        </w:rPr>
        <w:footnoteReference w:id="10"/>
      </w:r>
      <w:r w:rsidRPr="009B0550">
        <w:rPr>
          <w:rFonts w:ascii="Verdana" w:hAnsi="Verdana"/>
          <w:sz w:val="20"/>
          <w:szCs w:val="20"/>
          <w:lang w:val="es-CR"/>
        </w:rPr>
        <w:t>.</w:t>
      </w:r>
    </w:p>
    <w:p w:rsidR="009B0550" w:rsidRDefault="009B0550" w:rsidP="009B0550">
      <w:pPr>
        <w:spacing w:before="120" w:after="120" w:line="240" w:lineRule="auto"/>
        <w:jc w:val="both"/>
        <w:rPr>
          <w:rFonts w:ascii="Verdana" w:hAnsi="Verdana"/>
          <w:b/>
          <w:sz w:val="20"/>
          <w:szCs w:val="20"/>
          <w:lang w:val="es-CR"/>
        </w:rPr>
      </w:pPr>
    </w:p>
    <w:p w:rsidR="009B0550" w:rsidRPr="009B0550" w:rsidRDefault="009B0550" w:rsidP="009B0550">
      <w:pPr>
        <w:spacing w:before="120" w:after="120" w:line="240" w:lineRule="auto"/>
        <w:jc w:val="both"/>
        <w:rPr>
          <w:rFonts w:ascii="Verdana" w:hAnsi="Verdana"/>
          <w:b/>
          <w:sz w:val="20"/>
          <w:szCs w:val="20"/>
          <w:lang w:val="es-CR"/>
        </w:rPr>
      </w:pPr>
      <w:r w:rsidRPr="009B0550">
        <w:rPr>
          <w:rFonts w:ascii="Verdana" w:hAnsi="Verdana"/>
          <w:b/>
          <w:sz w:val="20"/>
          <w:szCs w:val="20"/>
          <w:lang w:val="es-CR"/>
        </w:rPr>
        <w:t>CONSIDERANDO QUE:</w:t>
      </w:r>
    </w:p>
    <w:p w:rsidR="009B0550" w:rsidRPr="009B0550" w:rsidRDefault="009B0550" w:rsidP="009B0550">
      <w:pPr>
        <w:numPr>
          <w:ilvl w:val="0"/>
          <w:numId w:val="3"/>
        </w:numPr>
        <w:spacing w:before="120" w:after="120" w:line="240" w:lineRule="auto"/>
        <w:ind w:left="0" w:firstLine="0"/>
        <w:jc w:val="both"/>
        <w:rPr>
          <w:rFonts w:ascii="Verdana" w:hAnsi="Verdana"/>
          <w:color w:val="00B050"/>
          <w:sz w:val="20"/>
          <w:szCs w:val="20"/>
          <w:lang w:val="es-CR"/>
        </w:rPr>
      </w:pPr>
      <w:r w:rsidRPr="009B0550">
        <w:rPr>
          <w:rFonts w:ascii="Verdana" w:hAnsi="Verdana"/>
          <w:sz w:val="20"/>
          <w:szCs w:val="20"/>
          <w:lang w:val="es-CR"/>
        </w:rPr>
        <w:t xml:space="preserve">En el ejercicio de </w:t>
      </w:r>
      <w:r w:rsidRPr="009B0550">
        <w:rPr>
          <w:rFonts w:ascii="Verdana" w:hAnsi="Verdana"/>
          <w:sz w:val="20"/>
          <w:szCs w:val="20"/>
          <w:lang w:val="es-ES"/>
        </w:rPr>
        <w:t xml:space="preserve">su función jurisdiccional de </w:t>
      </w:r>
      <w:r w:rsidRPr="009B0550">
        <w:rPr>
          <w:rFonts w:ascii="Verdana" w:hAnsi="Verdana"/>
          <w:sz w:val="20"/>
          <w:szCs w:val="20"/>
          <w:lang w:val="es-CR"/>
        </w:rPr>
        <w:t>supervisar el cumplimiento de sus decisiones</w:t>
      </w:r>
      <w:r w:rsidRPr="009B0550">
        <w:rPr>
          <w:rStyle w:val="FootnoteReference"/>
          <w:rFonts w:ascii="Verdana" w:hAnsi="Verdana"/>
          <w:sz w:val="20"/>
          <w:szCs w:val="20"/>
        </w:rPr>
        <w:footnoteReference w:id="11"/>
      </w:r>
      <w:r w:rsidRPr="009B0550">
        <w:rPr>
          <w:rFonts w:ascii="Verdana" w:hAnsi="Verdana"/>
          <w:sz w:val="20"/>
          <w:szCs w:val="20"/>
          <w:lang w:val="es-CR"/>
        </w:rPr>
        <w:t>, la Corte ha venido supervisando la ejecución de la Sentencia</w:t>
      </w:r>
      <w:r>
        <w:rPr>
          <w:rFonts w:ascii="Verdana" w:hAnsi="Verdana"/>
          <w:sz w:val="20"/>
          <w:szCs w:val="20"/>
          <w:lang w:val="es-CR"/>
        </w:rPr>
        <w:t xml:space="preserve"> de reparaciones</w:t>
      </w:r>
      <w:r w:rsidRPr="009B0550">
        <w:rPr>
          <w:rFonts w:ascii="Verdana" w:hAnsi="Verdana"/>
          <w:sz w:val="20"/>
          <w:szCs w:val="20"/>
          <w:lang w:val="es-CR"/>
        </w:rPr>
        <w:t xml:space="preserve"> emitida </w:t>
      </w:r>
      <w:r w:rsidRPr="009B0550">
        <w:rPr>
          <w:rFonts w:ascii="Verdana" w:hAnsi="Verdana"/>
          <w:sz w:val="20"/>
          <w:szCs w:val="20"/>
          <w:lang w:val="es-MX"/>
        </w:rPr>
        <w:t>en el presente caso hace</w:t>
      </w:r>
      <w:r>
        <w:rPr>
          <w:rFonts w:ascii="Verdana" w:hAnsi="Verdana"/>
          <w:sz w:val="20"/>
          <w:szCs w:val="20"/>
          <w:lang w:val="es-MX"/>
        </w:rPr>
        <w:t xml:space="preserve"> más de</w:t>
      </w:r>
      <w:r w:rsidRPr="009B0550">
        <w:rPr>
          <w:rFonts w:ascii="Verdana" w:hAnsi="Verdana"/>
          <w:sz w:val="20"/>
          <w:szCs w:val="20"/>
          <w:lang w:val="es-MX"/>
        </w:rPr>
        <w:t xml:space="preserve"> </w:t>
      </w:r>
      <w:r>
        <w:rPr>
          <w:rFonts w:ascii="Verdana" w:hAnsi="Verdana"/>
          <w:sz w:val="20"/>
          <w:szCs w:val="20"/>
          <w:lang w:val="es-MX"/>
        </w:rPr>
        <w:t>veintidós</w:t>
      </w:r>
      <w:r w:rsidRPr="009B0550">
        <w:rPr>
          <w:rFonts w:ascii="Verdana" w:hAnsi="Verdana"/>
          <w:sz w:val="20"/>
          <w:szCs w:val="20"/>
          <w:lang w:val="es-MX"/>
        </w:rPr>
        <w:t xml:space="preserve"> años (</w:t>
      </w:r>
      <w:r w:rsidRPr="009B0550">
        <w:rPr>
          <w:rFonts w:ascii="Verdana" w:hAnsi="Verdana"/>
          <w:i/>
          <w:sz w:val="20"/>
          <w:szCs w:val="20"/>
          <w:lang w:val="es-MX"/>
        </w:rPr>
        <w:t>supra</w:t>
      </w:r>
      <w:r w:rsidRPr="009B0550">
        <w:rPr>
          <w:rFonts w:ascii="Verdana" w:hAnsi="Verdana"/>
          <w:sz w:val="20"/>
          <w:szCs w:val="20"/>
          <w:lang w:val="es-MX"/>
        </w:rPr>
        <w:t xml:space="preserve"> Visto 1). </w:t>
      </w:r>
    </w:p>
    <w:p w:rsidR="009B0550" w:rsidRPr="003F330F" w:rsidRDefault="009B0550" w:rsidP="009B0550">
      <w:pPr>
        <w:numPr>
          <w:ilvl w:val="0"/>
          <w:numId w:val="3"/>
        </w:numPr>
        <w:spacing w:before="120" w:after="120" w:line="240" w:lineRule="auto"/>
        <w:ind w:left="0" w:firstLine="0"/>
        <w:jc w:val="both"/>
        <w:rPr>
          <w:rFonts w:ascii="Verdana" w:hAnsi="Verdana"/>
          <w:color w:val="00B050"/>
          <w:sz w:val="20"/>
          <w:szCs w:val="20"/>
          <w:lang w:val="es-CR"/>
        </w:rPr>
      </w:pPr>
      <w:r>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szCs w:val="20"/>
        </w:rPr>
        <w:footnoteReference w:id="12"/>
      </w:r>
      <w:r>
        <w:rPr>
          <w:rFonts w:ascii="Verdana" w:hAnsi="Verdana"/>
          <w:sz w:val="20"/>
          <w:szCs w:val="20"/>
          <w:lang w:val="es-CR"/>
        </w:rPr>
        <w:t>.</w:t>
      </w:r>
      <w:r>
        <w:rPr>
          <w:rFonts w:ascii="Times New Roman" w:hAnsi="Times New Roman"/>
          <w:sz w:val="24"/>
          <w:szCs w:val="24"/>
          <w:lang w:val="es-CR"/>
        </w:rPr>
        <w:t xml:space="preserve"> </w:t>
      </w:r>
      <w:r>
        <w:rPr>
          <w:rFonts w:ascii="Verdana" w:hAnsi="Verdana"/>
          <w:sz w:val="20"/>
          <w:szCs w:val="20"/>
          <w:lang w:val="es-CR"/>
        </w:rPr>
        <w:t>Los Estados Parte en la Convención deben garantizar el cumplimiento de las disposiciones convencionales y sus efectos propios (</w:t>
      </w:r>
      <w:r>
        <w:rPr>
          <w:rFonts w:ascii="Verdana" w:hAnsi="Verdana"/>
          <w:i/>
          <w:sz w:val="20"/>
          <w:szCs w:val="20"/>
          <w:lang w:val="es-CR"/>
        </w:rPr>
        <w:t>effet utile</w:t>
      </w:r>
      <w:r>
        <w:rPr>
          <w:rFonts w:ascii="Verdana" w:hAnsi="Verdana"/>
          <w:sz w:val="20"/>
          <w:szCs w:val="20"/>
          <w:lang w:val="es-CR"/>
        </w:rPr>
        <w:t xml:space="preserve">) en el plano de sus respectivos derechos </w:t>
      </w:r>
      <w:r>
        <w:rPr>
          <w:rFonts w:ascii="Verdana" w:hAnsi="Verdana"/>
          <w:sz w:val="20"/>
          <w:szCs w:val="20"/>
          <w:lang w:val="es-CR"/>
        </w:rPr>
        <w:lastRenderedPageBreak/>
        <w:t>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szCs w:val="20"/>
          <w:lang w:val="es-CR"/>
        </w:rPr>
        <w:footnoteReference w:id="13"/>
      </w:r>
      <w:r>
        <w:rPr>
          <w:rFonts w:ascii="Verdana" w:hAnsi="Verdana"/>
          <w:sz w:val="20"/>
          <w:szCs w:val="20"/>
          <w:lang w:val="es-CR"/>
        </w:rPr>
        <w:t>.</w:t>
      </w:r>
    </w:p>
    <w:p w:rsidR="00FD639E" w:rsidRPr="00A3638B" w:rsidRDefault="003F330F" w:rsidP="00C36140">
      <w:pPr>
        <w:numPr>
          <w:ilvl w:val="0"/>
          <w:numId w:val="3"/>
        </w:numPr>
        <w:spacing w:before="120" w:after="120" w:line="240" w:lineRule="auto"/>
        <w:ind w:left="0" w:firstLine="0"/>
        <w:jc w:val="both"/>
        <w:rPr>
          <w:rFonts w:ascii="Verdana" w:hAnsi="Verdana"/>
          <w:color w:val="00B050"/>
          <w:sz w:val="20"/>
          <w:szCs w:val="20"/>
          <w:lang w:val="es-CR"/>
        </w:rPr>
      </w:pPr>
      <w:r w:rsidRPr="003F330F">
        <w:rPr>
          <w:rFonts w:ascii="Verdana" w:hAnsi="Verdana"/>
          <w:sz w:val="20"/>
          <w:lang w:val="es-MX"/>
        </w:rPr>
        <w:t xml:space="preserve">En el presente caso el Tribunal ha emitido </w:t>
      </w:r>
      <w:r>
        <w:rPr>
          <w:rFonts w:ascii="Verdana" w:hAnsi="Verdana"/>
          <w:sz w:val="20"/>
          <w:lang w:val="es-MX"/>
        </w:rPr>
        <w:t>cinco</w:t>
      </w:r>
      <w:r w:rsidRPr="003F330F">
        <w:rPr>
          <w:rFonts w:ascii="Verdana" w:hAnsi="Verdana"/>
          <w:sz w:val="20"/>
          <w:lang w:val="es-MX"/>
        </w:rPr>
        <w:t xml:space="preserve"> resoluciones de supervisión de cumplimiento en</w:t>
      </w:r>
      <w:r w:rsidR="00A901BD">
        <w:rPr>
          <w:rFonts w:ascii="Verdana" w:hAnsi="Verdana"/>
          <w:sz w:val="20"/>
          <w:lang w:val="es-MX"/>
        </w:rPr>
        <w:t>tre el</w:t>
      </w:r>
      <w:r w:rsidRPr="003F330F">
        <w:rPr>
          <w:rFonts w:ascii="Verdana" w:hAnsi="Verdana"/>
          <w:sz w:val="20"/>
          <w:szCs w:val="20"/>
          <w:lang w:val="es-CR"/>
        </w:rPr>
        <w:t xml:space="preserve"> 2002</w:t>
      </w:r>
      <w:r w:rsidR="0086344A">
        <w:rPr>
          <w:rFonts w:ascii="Verdana" w:hAnsi="Verdana"/>
          <w:sz w:val="20"/>
          <w:szCs w:val="20"/>
          <w:lang w:val="es-CR"/>
        </w:rPr>
        <w:t xml:space="preserve"> </w:t>
      </w:r>
      <w:r>
        <w:rPr>
          <w:rFonts w:ascii="Verdana" w:hAnsi="Verdana"/>
          <w:sz w:val="20"/>
          <w:szCs w:val="20"/>
          <w:lang w:val="es-CR"/>
        </w:rPr>
        <w:t xml:space="preserve">y </w:t>
      </w:r>
      <w:r w:rsidR="00A901BD">
        <w:rPr>
          <w:rFonts w:ascii="Verdana" w:hAnsi="Verdana"/>
          <w:sz w:val="20"/>
          <w:szCs w:val="20"/>
          <w:lang w:val="es-CR"/>
        </w:rPr>
        <w:t xml:space="preserve">el </w:t>
      </w:r>
      <w:r w:rsidRPr="003F330F">
        <w:rPr>
          <w:rFonts w:ascii="Verdana" w:hAnsi="Verdana"/>
          <w:sz w:val="20"/>
          <w:szCs w:val="20"/>
          <w:lang w:val="es-CR"/>
        </w:rPr>
        <w:t>20</w:t>
      </w:r>
      <w:r>
        <w:rPr>
          <w:rFonts w:ascii="Verdana" w:hAnsi="Verdana"/>
          <w:sz w:val="20"/>
          <w:szCs w:val="20"/>
          <w:lang w:val="es-CR"/>
        </w:rPr>
        <w:t>15</w:t>
      </w:r>
      <w:r w:rsidRPr="003F330F">
        <w:rPr>
          <w:rFonts w:ascii="Verdana" w:hAnsi="Verdana"/>
          <w:sz w:val="20"/>
          <w:lang w:val="es-MX"/>
        </w:rPr>
        <w:t xml:space="preserve"> (</w:t>
      </w:r>
      <w:r w:rsidRPr="003F330F">
        <w:rPr>
          <w:rFonts w:ascii="Verdana" w:hAnsi="Verdana"/>
          <w:i/>
          <w:sz w:val="20"/>
          <w:lang w:val="es-MX"/>
        </w:rPr>
        <w:t>supra</w:t>
      </w:r>
      <w:r w:rsidRPr="003F330F">
        <w:rPr>
          <w:rFonts w:ascii="Verdana" w:hAnsi="Verdana"/>
          <w:sz w:val="20"/>
          <w:lang w:val="es-MX"/>
        </w:rPr>
        <w:t xml:space="preserve"> Visto 2). En la </w:t>
      </w:r>
      <w:r w:rsidR="0086344A">
        <w:rPr>
          <w:rFonts w:ascii="Verdana" w:hAnsi="Verdana"/>
          <w:sz w:val="20"/>
          <w:lang w:val="es-MX"/>
        </w:rPr>
        <w:t>R</w:t>
      </w:r>
      <w:r w:rsidRPr="003F330F">
        <w:rPr>
          <w:rFonts w:ascii="Verdana" w:hAnsi="Verdana"/>
          <w:sz w:val="20"/>
          <w:lang w:val="es-MX"/>
        </w:rPr>
        <w:t xml:space="preserve">esolución de </w:t>
      </w:r>
      <w:r>
        <w:rPr>
          <w:rFonts w:ascii="Verdana" w:hAnsi="Verdana"/>
          <w:sz w:val="20"/>
          <w:lang w:val="es-MX"/>
        </w:rPr>
        <w:t>julio de 2006</w:t>
      </w:r>
      <w:r w:rsidRPr="003F330F">
        <w:rPr>
          <w:rFonts w:ascii="Verdana" w:hAnsi="Verdana"/>
          <w:sz w:val="20"/>
          <w:lang w:val="es-MX"/>
        </w:rPr>
        <w:t xml:space="preserve"> se declaró que el Estado había dado cumplimiento total al pago de la</w:t>
      </w:r>
      <w:r>
        <w:rPr>
          <w:rFonts w:ascii="Verdana" w:hAnsi="Verdana"/>
          <w:sz w:val="20"/>
          <w:lang w:val="es-MX"/>
        </w:rPr>
        <w:t>s indemnizaciones</w:t>
      </w:r>
      <w:r w:rsidRPr="003F330F">
        <w:rPr>
          <w:rFonts w:ascii="Verdana" w:hAnsi="Verdana"/>
          <w:sz w:val="20"/>
          <w:lang w:val="es-MX"/>
        </w:rPr>
        <w:t xml:space="preserve"> </w:t>
      </w:r>
      <w:r>
        <w:rPr>
          <w:rFonts w:ascii="Verdana" w:hAnsi="Verdana"/>
          <w:sz w:val="20"/>
          <w:lang w:val="es-MX"/>
        </w:rPr>
        <w:t>por concepto de daño material e inmaterial</w:t>
      </w:r>
      <w:r w:rsidRPr="003F330F">
        <w:rPr>
          <w:rFonts w:ascii="Verdana" w:hAnsi="Verdana"/>
          <w:sz w:val="20"/>
          <w:lang w:val="es-MX"/>
        </w:rPr>
        <w:t>.</w:t>
      </w:r>
      <w:r>
        <w:rPr>
          <w:rFonts w:ascii="Verdana" w:hAnsi="Verdana"/>
          <w:sz w:val="20"/>
          <w:lang w:val="es-MX"/>
        </w:rPr>
        <w:t xml:space="preserve"> En todas las resoluciones se constató que estaba pendiente</w:t>
      </w:r>
      <w:r w:rsidR="00A3638B">
        <w:rPr>
          <w:rFonts w:ascii="Verdana" w:hAnsi="Verdana"/>
          <w:sz w:val="20"/>
          <w:lang w:val="es-MX"/>
        </w:rPr>
        <w:t xml:space="preserve"> de cumplimiento</w:t>
      </w:r>
      <w:r>
        <w:rPr>
          <w:rFonts w:ascii="Verdana" w:hAnsi="Verdana"/>
          <w:sz w:val="20"/>
          <w:lang w:val="es-MX"/>
        </w:rPr>
        <w:t xml:space="preserve"> la medida relativa a la obligación de investigar los hechos y, eventualmente, sancionar a los responsables.</w:t>
      </w:r>
      <w:r w:rsidR="00A3638B">
        <w:rPr>
          <w:rFonts w:ascii="Verdana" w:hAnsi="Verdana"/>
          <w:sz w:val="20"/>
          <w:lang w:val="es-MX"/>
        </w:rPr>
        <w:t xml:space="preserve"> </w:t>
      </w:r>
    </w:p>
    <w:p w:rsidR="00A3638B" w:rsidRPr="00E355D5" w:rsidRDefault="00A3638B" w:rsidP="00C36140">
      <w:pPr>
        <w:numPr>
          <w:ilvl w:val="0"/>
          <w:numId w:val="3"/>
        </w:numPr>
        <w:spacing w:before="120" w:after="120" w:line="240" w:lineRule="auto"/>
        <w:ind w:left="0" w:firstLine="0"/>
        <w:jc w:val="both"/>
        <w:rPr>
          <w:rFonts w:ascii="Verdana" w:hAnsi="Verdana"/>
          <w:color w:val="00B050"/>
          <w:sz w:val="20"/>
          <w:szCs w:val="20"/>
          <w:lang w:val="es-CR"/>
        </w:rPr>
      </w:pPr>
      <w:r w:rsidRPr="008C0C27">
        <w:rPr>
          <w:rFonts w:ascii="Verdana" w:hAnsi="Verdana"/>
          <w:sz w:val="20"/>
          <w:lang w:val="es-CR"/>
        </w:rPr>
        <w:t xml:space="preserve">Además, en la </w:t>
      </w:r>
      <w:r w:rsidR="00C12DB7">
        <w:rPr>
          <w:rFonts w:ascii="Verdana" w:hAnsi="Verdana"/>
          <w:sz w:val="20"/>
          <w:lang w:val="es-CR"/>
        </w:rPr>
        <w:t>R</w:t>
      </w:r>
      <w:r w:rsidR="00C12DB7" w:rsidRPr="008C0C27">
        <w:rPr>
          <w:rFonts w:ascii="Verdana" w:hAnsi="Verdana"/>
          <w:sz w:val="20"/>
          <w:lang w:val="es-CR"/>
        </w:rPr>
        <w:t xml:space="preserve">esolución </w:t>
      </w:r>
      <w:r w:rsidRPr="008C0C27">
        <w:rPr>
          <w:rFonts w:ascii="Verdana" w:hAnsi="Verdana"/>
          <w:sz w:val="20"/>
          <w:lang w:val="es-CR"/>
        </w:rPr>
        <w:t xml:space="preserve">de noviembre de 2015, la Corte </w:t>
      </w:r>
      <w:r w:rsidR="00D75AB2" w:rsidRPr="008C0C27">
        <w:rPr>
          <w:rFonts w:ascii="Verdana" w:hAnsi="Verdana"/>
          <w:sz w:val="20"/>
          <w:lang w:val="es-CR"/>
        </w:rPr>
        <w:t>declaró que Venezuela había incumplido con su obligación de informar sobre las medidas adoptadas para dar cumplimiento a la reparación pendiente</w:t>
      </w:r>
      <w:r w:rsidR="00D75AB2">
        <w:rPr>
          <w:rStyle w:val="FootnoteReference"/>
          <w:rFonts w:ascii="Verdana" w:hAnsi="Verdana"/>
          <w:sz w:val="20"/>
          <w:lang w:val="es-CR"/>
        </w:rPr>
        <w:footnoteReference w:id="14"/>
      </w:r>
      <w:r w:rsidR="008C0C27" w:rsidRPr="008C0C27">
        <w:rPr>
          <w:rFonts w:ascii="Verdana" w:hAnsi="Verdana"/>
          <w:sz w:val="20"/>
          <w:lang w:val="es-CR"/>
        </w:rPr>
        <w:t>, ya que</w:t>
      </w:r>
      <w:r w:rsidR="008C6BC6" w:rsidRPr="008C0C27">
        <w:rPr>
          <w:rFonts w:ascii="Verdana" w:hAnsi="Verdana"/>
          <w:sz w:val="20"/>
          <w:lang w:val="es-CR"/>
        </w:rPr>
        <w:t>, a pesar</w:t>
      </w:r>
      <w:r w:rsidR="000578A3" w:rsidRPr="008C0C27">
        <w:rPr>
          <w:rFonts w:ascii="Verdana" w:hAnsi="Verdana"/>
          <w:sz w:val="20"/>
          <w:lang w:val="es-CR"/>
        </w:rPr>
        <w:t xml:space="preserve"> </w:t>
      </w:r>
      <w:r w:rsidR="008C6BC6" w:rsidRPr="008C0C27">
        <w:rPr>
          <w:rFonts w:ascii="Verdana" w:hAnsi="Verdana"/>
          <w:sz w:val="20"/>
          <w:lang w:val="es-CR"/>
        </w:rPr>
        <w:t xml:space="preserve">de los múltiples requerimientos </w:t>
      </w:r>
      <w:r w:rsidR="008C0C27">
        <w:rPr>
          <w:rFonts w:ascii="Verdana" w:hAnsi="Verdana"/>
          <w:sz w:val="20"/>
          <w:lang w:val="es-CR"/>
        </w:rPr>
        <w:t xml:space="preserve">de información </w:t>
      </w:r>
      <w:r w:rsidR="008C6BC6" w:rsidRPr="008C0C27">
        <w:rPr>
          <w:rFonts w:ascii="Verdana" w:hAnsi="Verdana"/>
          <w:sz w:val="20"/>
          <w:lang w:val="es-CR"/>
        </w:rPr>
        <w:t xml:space="preserve">realizados por la Corte o su Presidencia, </w:t>
      </w:r>
      <w:r w:rsidR="000578A3" w:rsidRPr="008C0C27">
        <w:rPr>
          <w:rFonts w:ascii="Verdana" w:hAnsi="Verdana"/>
          <w:sz w:val="20"/>
          <w:lang w:val="es-CR"/>
        </w:rPr>
        <w:t xml:space="preserve">habían transcurrido más de cinco años desde la última vez </w:t>
      </w:r>
      <w:r w:rsidR="0086344A">
        <w:rPr>
          <w:rFonts w:ascii="Verdana" w:hAnsi="Verdana"/>
          <w:sz w:val="20"/>
          <w:lang w:val="es-CR"/>
        </w:rPr>
        <w:t xml:space="preserve">en </w:t>
      </w:r>
      <w:r w:rsidR="000578A3" w:rsidRPr="008C0C27">
        <w:rPr>
          <w:rFonts w:ascii="Verdana" w:hAnsi="Verdana"/>
          <w:sz w:val="20"/>
          <w:lang w:val="es-CR"/>
        </w:rPr>
        <w:t xml:space="preserve">que </w:t>
      </w:r>
      <w:r w:rsidR="008C0C27">
        <w:rPr>
          <w:rFonts w:ascii="Verdana" w:hAnsi="Verdana"/>
          <w:sz w:val="20"/>
          <w:lang w:val="es-CR"/>
        </w:rPr>
        <w:t>se refirió a</w:t>
      </w:r>
      <w:r w:rsidR="008C6BC6" w:rsidRPr="008C0C27">
        <w:rPr>
          <w:rFonts w:ascii="Verdana" w:hAnsi="Verdana"/>
          <w:sz w:val="20"/>
          <w:lang w:val="es-CR"/>
        </w:rPr>
        <w:t>l cumplimiento de este caso</w:t>
      </w:r>
      <w:r w:rsidR="008C6BC6">
        <w:rPr>
          <w:rStyle w:val="FootnoteReference"/>
          <w:rFonts w:ascii="Verdana" w:hAnsi="Verdana"/>
          <w:sz w:val="20"/>
          <w:lang w:val="es-CR"/>
        </w:rPr>
        <w:footnoteReference w:id="15"/>
      </w:r>
      <w:r w:rsidR="009B5F9E" w:rsidRPr="008C0C27">
        <w:rPr>
          <w:rFonts w:ascii="Verdana" w:hAnsi="Verdana"/>
          <w:sz w:val="20"/>
          <w:lang w:val="es-CR"/>
        </w:rPr>
        <w:t xml:space="preserve">. </w:t>
      </w:r>
      <w:r w:rsidR="00C12DB7">
        <w:rPr>
          <w:rFonts w:ascii="Verdana" w:hAnsi="Verdana"/>
          <w:sz w:val="20"/>
          <w:lang w:val="es-CR"/>
        </w:rPr>
        <w:t>Este Tribunal t</w:t>
      </w:r>
      <w:r w:rsidR="009B5F9E" w:rsidRPr="008C0C27">
        <w:rPr>
          <w:rFonts w:ascii="Verdana" w:hAnsi="Verdana"/>
          <w:sz w:val="20"/>
          <w:lang w:val="es-CR"/>
        </w:rPr>
        <w:t>ambi</w:t>
      </w:r>
      <w:r w:rsidR="00D75AB2" w:rsidRPr="008C0C27">
        <w:rPr>
          <w:rFonts w:ascii="Verdana" w:hAnsi="Verdana"/>
          <w:sz w:val="20"/>
          <w:lang w:val="es-CR"/>
        </w:rPr>
        <w:t>én</w:t>
      </w:r>
      <w:r w:rsidR="008C0C27">
        <w:rPr>
          <w:rFonts w:ascii="Verdana" w:hAnsi="Verdana"/>
          <w:sz w:val="20"/>
          <w:lang w:val="es-CR"/>
        </w:rPr>
        <w:t xml:space="preserve"> declaró que no contaba con información que permitiera constatar que el Estado hubiera dado cumplimiento a la medida </w:t>
      </w:r>
      <w:r w:rsidR="00A901BD">
        <w:rPr>
          <w:rFonts w:ascii="Verdana" w:hAnsi="Verdana"/>
          <w:sz w:val="20"/>
          <w:lang w:val="es-CR"/>
        </w:rPr>
        <w:t xml:space="preserve">de reparación </w:t>
      </w:r>
      <w:r w:rsidR="008C0C27">
        <w:rPr>
          <w:rFonts w:ascii="Verdana" w:hAnsi="Verdana"/>
          <w:sz w:val="20"/>
          <w:lang w:val="es-CR"/>
        </w:rPr>
        <w:t>pendiente</w:t>
      </w:r>
      <w:r w:rsidR="008C0C27">
        <w:rPr>
          <w:rStyle w:val="FootnoteReference"/>
          <w:rFonts w:ascii="Verdana" w:hAnsi="Verdana"/>
          <w:sz w:val="20"/>
          <w:lang w:val="es-CR"/>
        </w:rPr>
        <w:footnoteReference w:id="16"/>
      </w:r>
      <w:r w:rsidR="0013237B">
        <w:rPr>
          <w:rFonts w:ascii="Verdana" w:hAnsi="Verdana"/>
          <w:sz w:val="20"/>
          <w:lang w:val="es-CR"/>
        </w:rPr>
        <w:t xml:space="preserve">. Al respecto, la Corte consideró </w:t>
      </w:r>
      <w:r w:rsidR="009B5F9E" w:rsidRPr="008C0C27">
        <w:rPr>
          <w:rFonts w:ascii="Verdana" w:hAnsi="Verdana"/>
          <w:sz w:val="20"/>
          <w:lang w:val="es-CR"/>
        </w:rPr>
        <w:t>que la falta de presentación</w:t>
      </w:r>
      <w:r w:rsidR="00C12DB7">
        <w:rPr>
          <w:rFonts w:ascii="Verdana" w:hAnsi="Verdana"/>
          <w:sz w:val="20"/>
          <w:lang w:val="es-CR"/>
        </w:rPr>
        <w:t xml:space="preserve"> por parte del Estado</w:t>
      </w:r>
      <w:r w:rsidR="009B5F9E" w:rsidRPr="008C0C27">
        <w:rPr>
          <w:rFonts w:ascii="Verdana" w:hAnsi="Verdana"/>
          <w:sz w:val="20"/>
          <w:lang w:val="es-CR"/>
        </w:rPr>
        <w:t xml:space="preserve"> de los informes requeridos </w:t>
      </w:r>
      <w:r w:rsidR="00C12DB7">
        <w:rPr>
          <w:rFonts w:ascii="Verdana" w:hAnsi="Verdana"/>
          <w:sz w:val="20"/>
          <w:lang w:val="es-CR"/>
        </w:rPr>
        <w:t xml:space="preserve">le </w:t>
      </w:r>
      <w:r w:rsidR="009B5F9E" w:rsidRPr="008C0C27">
        <w:rPr>
          <w:rFonts w:ascii="Verdana" w:hAnsi="Verdana"/>
          <w:sz w:val="20"/>
          <w:lang w:val="es-CR"/>
        </w:rPr>
        <w:t>permitía concluir que la situación de incumplimiento de la obligación</w:t>
      </w:r>
      <w:r w:rsidR="000B5616" w:rsidRPr="008C0C27">
        <w:rPr>
          <w:rFonts w:ascii="Verdana" w:hAnsi="Verdana"/>
          <w:sz w:val="20"/>
          <w:lang w:val="es-CR"/>
        </w:rPr>
        <w:t xml:space="preserve"> de investigar los hechos del presente caso, evidenciada en resoluciones </w:t>
      </w:r>
      <w:r w:rsidR="00A901BD">
        <w:rPr>
          <w:rFonts w:ascii="Verdana" w:hAnsi="Verdana"/>
          <w:sz w:val="20"/>
          <w:lang w:val="es-CR"/>
        </w:rPr>
        <w:t xml:space="preserve">de supervisión </w:t>
      </w:r>
      <w:r w:rsidR="000B5616" w:rsidRPr="008C0C27">
        <w:rPr>
          <w:rFonts w:ascii="Verdana" w:hAnsi="Verdana"/>
          <w:sz w:val="20"/>
          <w:lang w:val="es-CR"/>
        </w:rPr>
        <w:t>anteriores, se mantenía</w:t>
      </w:r>
      <w:r w:rsidR="000B5616">
        <w:rPr>
          <w:rStyle w:val="FootnoteReference"/>
          <w:rFonts w:ascii="Verdana" w:hAnsi="Verdana"/>
          <w:sz w:val="20"/>
          <w:lang w:val="es-CR"/>
        </w:rPr>
        <w:footnoteReference w:id="17"/>
      </w:r>
      <w:r w:rsidR="00E355D5">
        <w:rPr>
          <w:rFonts w:ascii="Verdana" w:hAnsi="Verdana"/>
          <w:sz w:val="20"/>
          <w:lang w:val="es-CR"/>
        </w:rPr>
        <w:t xml:space="preserve"> </w:t>
      </w:r>
      <w:r w:rsidR="008C6BC6" w:rsidRPr="008C0C27">
        <w:rPr>
          <w:rFonts w:ascii="Verdana" w:hAnsi="Verdana"/>
          <w:sz w:val="20"/>
          <w:lang w:val="es-CR"/>
        </w:rPr>
        <w:t>(</w:t>
      </w:r>
      <w:r w:rsidR="008C6BC6" w:rsidRPr="008C0C27">
        <w:rPr>
          <w:rFonts w:ascii="Verdana" w:hAnsi="Verdana"/>
          <w:i/>
          <w:sz w:val="20"/>
          <w:lang w:val="es-CR"/>
        </w:rPr>
        <w:t>supra</w:t>
      </w:r>
      <w:r w:rsidR="008C6BC6" w:rsidRPr="008C0C27">
        <w:rPr>
          <w:rFonts w:ascii="Verdana" w:hAnsi="Verdana"/>
          <w:sz w:val="20"/>
          <w:lang w:val="es-CR"/>
        </w:rPr>
        <w:t xml:space="preserve"> Visto </w:t>
      </w:r>
      <w:r w:rsidR="0086344A">
        <w:rPr>
          <w:rFonts w:ascii="Verdana" w:hAnsi="Verdana"/>
          <w:sz w:val="20"/>
          <w:lang w:val="es-CR"/>
        </w:rPr>
        <w:t>2</w:t>
      </w:r>
      <w:r w:rsidR="008C6BC6" w:rsidRPr="008C0C27">
        <w:rPr>
          <w:rFonts w:ascii="Verdana" w:hAnsi="Verdana"/>
          <w:sz w:val="20"/>
          <w:lang w:val="es-CR"/>
        </w:rPr>
        <w:t xml:space="preserve">). </w:t>
      </w:r>
      <w:r w:rsidR="004C3CB3">
        <w:rPr>
          <w:rFonts w:ascii="Verdana" w:hAnsi="Verdana"/>
          <w:sz w:val="20"/>
          <w:lang w:val="es-CR"/>
        </w:rPr>
        <w:t xml:space="preserve">Con base en </w:t>
      </w:r>
      <w:r w:rsidR="007E02BA">
        <w:rPr>
          <w:rFonts w:ascii="Verdana" w:hAnsi="Verdana"/>
          <w:sz w:val="20"/>
          <w:lang w:val="es-CR"/>
        </w:rPr>
        <w:t>las</w:t>
      </w:r>
      <w:r w:rsidR="004F7A71">
        <w:rPr>
          <w:rFonts w:ascii="Verdana" w:hAnsi="Verdana"/>
          <w:sz w:val="20"/>
          <w:lang w:val="es-CR"/>
        </w:rPr>
        <w:t xml:space="preserve"> referidas</w:t>
      </w:r>
      <w:r w:rsidR="007E02BA">
        <w:rPr>
          <w:rFonts w:ascii="Verdana" w:hAnsi="Verdana"/>
          <w:sz w:val="20"/>
          <w:lang w:val="es-CR"/>
        </w:rPr>
        <w:t xml:space="preserve"> situaciones de</w:t>
      </w:r>
      <w:r w:rsidR="004C3CB3">
        <w:rPr>
          <w:rFonts w:ascii="Verdana" w:hAnsi="Verdana"/>
          <w:sz w:val="20"/>
          <w:lang w:val="es-CR"/>
        </w:rPr>
        <w:t xml:space="preserve"> </w:t>
      </w:r>
      <w:r w:rsidR="00A532EA">
        <w:rPr>
          <w:rFonts w:ascii="Verdana" w:hAnsi="Verdana"/>
          <w:sz w:val="20"/>
          <w:lang w:val="es-CR"/>
        </w:rPr>
        <w:t xml:space="preserve">incumplimiento </w:t>
      </w:r>
      <w:r w:rsidR="007E02BA">
        <w:rPr>
          <w:rFonts w:ascii="Verdana" w:hAnsi="Verdana"/>
          <w:sz w:val="20"/>
          <w:lang w:val="es-CR"/>
        </w:rPr>
        <w:t>constatadas</w:t>
      </w:r>
      <w:r w:rsidR="004C3CB3">
        <w:rPr>
          <w:rFonts w:ascii="Verdana" w:hAnsi="Verdana"/>
          <w:sz w:val="20"/>
          <w:lang w:val="es-CR"/>
        </w:rPr>
        <w:t xml:space="preserve">, </w:t>
      </w:r>
      <w:r w:rsidR="00A901BD">
        <w:rPr>
          <w:rFonts w:ascii="Verdana" w:hAnsi="Verdana"/>
          <w:sz w:val="20"/>
          <w:lang w:val="es-CR"/>
        </w:rPr>
        <w:t>est</w:t>
      </w:r>
      <w:r w:rsidR="00E355D5">
        <w:rPr>
          <w:rFonts w:ascii="Verdana" w:hAnsi="Verdana"/>
          <w:sz w:val="20"/>
          <w:lang w:val="es-CR"/>
        </w:rPr>
        <w:t>e</w:t>
      </w:r>
      <w:r w:rsidR="00A901BD">
        <w:rPr>
          <w:rFonts w:ascii="Verdana" w:hAnsi="Verdana"/>
          <w:sz w:val="20"/>
          <w:lang w:val="es-CR"/>
        </w:rPr>
        <w:t xml:space="preserve"> </w:t>
      </w:r>
      <w:r w:rsidR="00E355D5">
        <w:rPr>
          <w:rFonts w:ascii="Verdana" w:hAnsi="Verdana"/>
          <w:sz w:val="20"/>
          <w:lang w:val="es-CR"/>
        </w:rPr>
        <w:t>Tribunal</w:t>
      </w:r>
      <w:r w:rsidR="004C3CB3">
        <w:rPr>
          <w:rFonts w:ascii="Verdana" w:hAnsi="Verdana"/>
          <w:sz w:val="20"/>
          <w:lang w:val="es-CR"/>
        </w:rPr>
        <w:t xml:space="preserve"> consideró necesario dar aplicación a los artículos 65 de la Convención Americana y 30 de</w:t>
      </w:r>
      <w:r w:rsidR="00E355D5">
        <w:rPr>
          <w:rFonts w:ascii="Verdana" w:hAnsi="Verdana"/>
          <w:sz w:val="20"/>
          <w:lang w:val="es-CR"/>
        </w:rPr>
        <w:t xml:space="preserve"> su</w:t>
      </w:r>
      <w:r w:rsidR="004C3CB3">
        <w:rPr>
          <w:rFonts w:ascii="Verdana" w:hAnsi="Verdana"/>
          <w:sz w:val="20"/>
          <w:lang w:val="es-CR"/>
        </w:rPr>
        <w:t xml:space="preserve"> Estatuto</w:t>
      </w:r>
      <w:r w:rsidR="007E02BA">
        <w:rPr>
          <w:rFonts w:ascii="Verdana" w:hAnsi="Verdana"/>
          <w:sz w:val="20"/>
          <w:lang w:val="es-CR"/>
        </w:rPr>
        <w:t xml:space="preserve">, </w:t>
      </w:r>
      <w:r w:rsidR="004F7A71">
        <w:rPr>
          <w:rFonts w:ascii="Verdana" w:hAnsi="Verdana"/>
          <w:sz w:val="20"/>
          <w:lang w:val="es-CR"/>
        </w:rPr>
        <w:t xml:space="preserve">los cuales </w:t>
      </w:r>
      <w:r w:rsidR="00C12DB7">
        <w:rPr>
          <w:rFonts w:ascii="Verdana" w:hAnsi="Verdana"/>
          <w:sz w:val="20"/>
          <w:lang w:val="es-CR"/>
        </w:rPr>
        <w:t xml:space="preserve">le </w:t>
      </w:r>
      <w:r w:rsidR="004F7A71">
        <w:rPr>
          <w:rFonts w:ascii="Verdana" w:hAnsi="Verdana"/>
          <w:sz w:val="20"/>
          <w:lang w:val="es-CR"/>
        </w:rPr>
        <w:t xml:space="preserve">facultan a incluir en los informes anuales </w:t>
      </w:r>
      <w:r w:rsidR="00C12DB7">
        <w:rPr>
          <w:rFonts w:ascii="Verdana" w:hAnsi="Verdana"/>
          <w:sz w:val="20"/>
          <w:lang w:val="es-CR"/>
        </w:rPr>
        <w:t xml:space="preserve">de labores </w:t>
      </w:r>
      <w:r w:rsidR="004F7A71">
        <w:rPr>
          <w:rFonts w:ascii="Verdana" w:hAnsi="Verdana"/>
          <w:sz w:val="20"/>
          <w:lang w:val="es-CR"/>
        </w:rPr>
        <w:t>que somete a consideración de la Asamblea General de la Organización de los Estados Americanos aquellos casos en los que los Estados no hayan dado cumplimiento a sus fallos</w:t>
      </w:r>
      <w:r w:rsidR="004F7A71">
        <w:rPr>
          <w:rStyle w:val="FootnoteReference"/>
          <w:rFonts w:ascii="Verdana" w:hAnsi="Verdana"/>
          <w:sz w:val="20"/>
          <w:lang w:val="es-CR"/>
        </w:rPr>
        <w:footnoteReference w:id="18"/>
      </w:r>
      <w:r w:rsidR="004F7A71">
        <w:rPr>
          <w:rFonts w:ascii="Verdana" w:hAnsi="Verdana"/>
          <w:sz w:val="20"/>
          <w:lang w:val="es-CR"/>
        </w:rPr>
        <w:t xml:space="preserve">. De esa manera, </w:t>
      </w:r>
      <w:r w:rsidR="00E355D5">
        <w:rPr>
          <w:rFonts w:ascii="Verdana" w:hAnsi="Verdana"/>
          <w:sz w:val="20"/>
          <w:lang w:val="es-CR"/>
        </w:rPr>
        <w:t>se</w:t>
      </w:r>
      <w:r w:rsidR="004F7A71">
        <w:rPr>
          <w:rFonts w:ascii="Verdana" w:hAnsi="Verdana"/>
          <w:sz w:val="20"/>
          <w:lang w:val="es-CR"/>
        </w:rPr>
        <w:t xml:space="preserve"> dispuso que </w:t>
      </w:r>
      <w:r w:rsidR="00E355D5">
        <w:rPr>
          <w:rFonts w:ascii="Verdana" w:hAnsi="Verdana"/>
          <w:sz w:val="20"/>
          <w:lang w:val="es-CR"/>
        </w:rPr>
        <w:t xml:space="preserve">se </w:t>
      </w:r>
      <w:r w:rsidR="004F7A71">
        <w:rPr>
          <w:rFonts w:ascii="Verdana" w:hAnsi="Verdana"/>
          <w:sz w:val="20"/>
          <w:lang w:val="es-CR"/>
        </w:rPr>
        <w:t>informaría respecto de tales incumpl</w:t>
      </w:r>
      <w:r w:rsidR="00660DD2">
        <w:rPr>
          <w:rFonts w:ascii="Verdana" w:hAnsi="Verdana"/>
          <w:sz w:val="20"/>
          <w:lang w:val="es-CR"/>
        </w:rPr>
        <w:t>imientos en el Informe Anual de</w:t>
      </w:r>
      <w:r w:rsidR="004F7A71">
        <w:rPr>
          <w:rFonts w:ascii="Verdana" w:hAnsi="Verdana"/>
          <w:sz w:val="20"/>
          <w:lang w:val="es-CR"/>
        </w:rPr>
        <w:t xml:space="preserve"> labores del año 2015</w:t>
      </w:r>
      <w:r w:rsidR="004F7A71">
        <w:rPr>
          <w:rStyle w:val="FootnoteReference"/>
          <w:rFonts w:ascii="Verdana" w:hAnsi="Verdana"/>
          <w:sz w:val="20"/>
          <w:lang w:val="es-CR"/>
        </w:rPr>
        <w:footnoteReference w:id="19"/>
      </w:r>
      <w:r w:rsidR="004F7A71">
        <w:rPr>
          <w:rFonts w:ascii="Verdana" w:hAnsi="Verdana"/>
          <w:sz w:val="20"/>
          <w:lang w:val="es-CR"/>
        </w:rPr>
        <w:t xml:space="preserve">. </w:t>
      </w:r>
    </w:p>
    <w:p w:rsidR="00E355D5" w:rsidRPr="004F7A71" w:rsidRDefault="00E355D5" w:rsidP="00E355D5">
      <w:pPr>
        <w:spacing w:before="120" w:after="120" w:line="240" w:lineRule="auto"/>
        <w:jc w:val="both"/>
        <w:rPr>
          <w:rFonts w:ascii="Verdana" w:hAnsi="Verdana"/>
          <w:color w:val="00B050"/>
          <w:sz w:val="20"/>
          <w:szCs w:val="20"/>
          <w:lang w:val="es-CR"/>
        </w:rPr>
      </w:pPr>
    </w:p>
    <w:p w:rsidR="004F7A71" w:rsidRPr="00660DD2" w:rsidRDefault="004F7A71" w:rsidP="00C36140">
      <w:pPr>
        <w:numPr>
          <w:ilvl w:val="0"/>
          <w:numId w:val="3"/>
        </w:numPr>
        <w:spacing w:before="120" w:after="120" w:line="240" w:lineRule="auto"/>
        <w:ind w:left="0" w:firstLine="0"/>
        <w:jc w:val="both"/>
        <w:rPr>
          <w:rFonts w:ascii="Verdana" w:hAnsi="Verdana"/>
          <w:color w:val="00B050"/>
          <w:sz w:val="20"/>
          <w:szCs w:val="20"/>
          <w:lang w:val="es-CR"/>
        </w:rPr>
      </w:pPr>
      <w:r>
        <w:rPr>
          <w:rFonts w:ascii="Verdana" w:hAnsi="Verdana"/>
          <w:sz w:val="20"/>
          <w:lang w:val="es-CR"/>
        </w:rPr>
        <w:lastRenderedPageBreak/>
        <w:t xml:space="preserve">Asimismo, en la referida </w:t>
      </w:r>
      <w:r w:rsidR="00C12DB7">
        <w:rPr>
          <w:rFonts w:ascii="Verdana" w:hAnsi="Verdana"/>
          <w:sz w:val="20"/>
          <w:lang w:val="es-CR"/>
        </w:rPr>
        <w:t xml:space="preserve">Resolución </w:t>
      </w:r>
      <w:r w:rsidR="00A901BD">
        <w:rPr>
          <w:rFonts w:ascii="Verdana" w:hAnsi="Verdana"/>
          <w:sz w:val="20"/>
          <w:lang w:val="es-CR"/>
        </w:rPr>
        <w:t>de 2015</w:t>
      </w:r>
      <w:r>
        <w:rPr>
          <w:rFonts w:ascii="Verdana" w:hAnsi="Verdana"/>
          <w:sz w:val="20"/>
          <w:lang w:val="es-CR"/>
        </w:rPr>
        <w:t xml:space="preserve"> la Corte </w:t>
      </w:r>
      <w:r w:rsidR="00CF2EC4">
        <w:rPr>
          <w:rFonts w:ascii="Verdana" w:hAnsi="Verdana"/>
          <w:sz w:val="20"/>
          <w:lang w:val="es-CR"/>
        </w:rPr>
        <w:t>reiteró</w:t>
      </w:r>
      <w:r>
        <w:rPr>
          <w:rFonts w:ascii="Verdana" w:hAnsi="Verdana"/>
          <w:sz w:val="20"/>
          <w:lang w:val="es-CR"/>
        </w:rPr>
        <w:t xml:space="preserve"> que:</w:t>
      </w:r>
    </w:p>
    <w:p w:rsidR="00660DD2" w:rsidRDefault="00660DD2" w:rsidP="00CF2EC4">
      <w:pPr>
        <w:spacing w:before="120" w:after="120" w:line="240" w:lineRule="auto"/>
        <w:ind w:left="709" w:right="713"/>
        <w:jc w:val="both"/>
        <w:rPr>
          <w:rFonts w:ascii="Verdana" w:hAnsi="Verdana"/>
          <w:sz w:val="16"/>
          <w:szCs w:val="16"/>
          <w:lang w:val="es-CR"/>
        </w:rPr>
      </w:pPr>
      <w:r w:rsidRPr="00CF2EC4">
        <w:rPr>
          <w:rFonts w:ascii="Verdana" w:hAnsi="Verdana"/>
          <w:sz w:val="16"/>
          <w:szCs w:val="16"/>
          <w:lang w:val="es-CR"/>
        </w:rPr>
        <w:t xml:space="preserve">15. </w:t>
      </w:r>
      <w:r w:rsidR="00E355D5">
        <w:rPr>
          <w:rFonts w:ascii="Verdana" w:hAnsi="Verdana"/>
          <w:sz w:val="16"/>
          <w:szCs w:val="16"/>
          <w:lang w:val="es-CR"/>
        </w:rPr>
        <w:t>[u]</w:t>
      </w:r>
      <w:r w:rsidRPr="00CF2EC4">
        <w:rPr>
          <w:rFonts w:ascii="Verdana" w:hAnsi="Verdana"/>
          <w:sz w:val="16"/>
          <w:szCs w:val="16"/>
          <w:lang w:val="es-CR"/>
        </w:rPr>
        <w:t>na vez que ha determinado la aplicación de los referidos artículos, en casos de incumplimiento de sus Sentencias, y así lo haya informado mediante su Informe Anual para la consideración de la Asamblea General de la Organización de los Estados Americanos, la Corte continuará incluyendo dicho incumplimiento cada año al presentar su informe anual, a menos que el Estado acredite que está adoptando las medidas necesarias para cumplir con las reparaciones ordenadas en la Sentencia</w:t>
      </w:r>
      <w:r w:rsidR="00CF2EC4" w:rsidRPr="00CF2EC4">
        <w:rPr>
          <w:rFonts w:ascii="Verdana" w:hAnsi="Verdana"/>
          <w:sz w:val="16"/>
          <w:szCs w:val="16"/>
          <w:lang w:val="es-CR"/>
        </w:rPr>
        <w:t>, o que los representantes de las víctimas o la Comisión acompañen información sobre la implementación y cumplimiento de los puntos de la Sentencia que requiera ser valorada por el Tribunal.</w:t>
      </w:r>
    </w:p>
    <w:p w:rsidR="004F7A71" w:rsidRDefault="00CF2EC4" w:rsidP="00C36140">
      <w:pPr>
        <w:numPr>
          <w:ilvl w:val="0"/>
          <w:numId w:val="3"/>
        </w:numPr>
        <w:spacing w:before="120" w:after="120" w:line="240" w:lineRule="auto"/>
        <w:ind w:left="0" w:firstLine="0"/>
        <w:jc w:val="both"/>
        <w:rPr>
          <w:rFonts w:ascii="Verdana" w:hAnsi="Verdana"/>
          <w:sz w:val="20"/>
          <w:szCs w:val="20"/>
          <w:lang w:val="es-CR"/>
        </w:rPr>
      </w:pPr>
      <w:r w:rsidRPr="00574F1C">
        <w:rPr>
          <w:rFonts w:ascii="Verdana" w:hAnsi="Verdana"/>
          <w:sz w:val="20"/>
          <w:szCs w:val="20"/>
          <w:lang w:val="es-CR"/>
        </w:rPr>
        <w:t xml:space="preserve">A partir de la referida </w:t>
      </w:r>
      <w:r w:rsidR="00C12DB7">
        <w:rPr>
          <w:rFonts w:ascii="Verdana" w:hAnsi="Verdana"/>
          <w:sz w:val="20"/>
          <w:szCs w:val="20"/>
          <w:lang w:val="es-CR"/>
        </w:rPr>
        <w:t>R</w:t>
      </w:r>
      <w:r w:rsidR="00C12DB7" w:rsidRPr="00574F1C">
        <w:rPr>
          <w:rFonts w:ascii="Verdana" w:hAnsi="Verdana"/>
          <w:sz w:val="20"/>
          <w:szCs w:val="20"/>
          <w:lang w:val="es-CR"/>
        </w:rPr>
        <w:t>esolución</w:t>
      </w:r>
      <w:r w:rsidR="00A901BD">
        <w:rPr>
          <w:rFonts w:ascii="Verdana" w:hAnsi="Verdana"/>
          <w:sz w:val="20"/>
          <w:szCs w:val="20"/>
          <w:lang w:val="es-CR"/>
        </w:rPr>
        <w:t>,</w:t>
      </w:r>
      <w:r w:rsidR="00A901BD" w:rsidRPr="00574F1C">
        <w:rPr>
          <w:rFonts w:ascii="Verdana" w:hAnsi="Verdana"/>
          <w:sz w:val="20"/>
          <w:szCs w:val="20"/>
          <w:lang w:val="es-CR"/>
        </w:rPr>
        <w:t xml:space="preserve"> </w:t>
      </w:r>
      <w:r w:rsidRPr="00574F1C">
        <w:rPr>
          <w:rFonts w:ascii="Verdana" w:hAnsi="Verdana"/>
          <w:sz w:val="20"/>
          <w:szCs w:val="20"/>
          <w:lang w:val="es-CR"/>
        </w:rPr>
        <w:t xml:space="preserve">la Corte </w:t>
      </w:r>
      <w:r w:rsidR="00C12DB7">
        <w:rPr>
          <w:rFonts w:ascii="Verdana" w:hAnsi="Verdana"/>
          <w:sz w:val="20"/>
          <w:szCs w:val="20"/>
          <w:lang w:val="es-CR"/>
        </w:rPr>
        <w:t>informó a la Asamblea General sobre la aplicación del artículo 65 de la Convención Americana en el presente caso</w:t>
      </w:r>
      <w:r w:rsidR="00E355D5">
        <w:rPr>
          <w:rStyle w:val="FootnoteReference"/>
          <w:rFonts w:ascii="Verdana" w:hAnsi="Verdana"/>
          <w:sz w:val="20"/>
          <w:szCs w:val="20"/>
          <w:lang w:val="es-CR"/>
        </w:rPr>
        <w:footnoteReference w:id="20"/>
      </w:r>
      <w:r w:rsidRPr="00574F1C">
        <w:rPr>
          <w:rFonts w:ascii="Verdana" w:hAnsi="Verdana"/>
          <w:sz w:val="20"/>
          <w:szCs w:val="20"/>
          <w:lang w:val="es-CR"/>
        </w:rPr>
        <w:t xml:space="preserve">. </w:t>
      </w:r>
      <w:r w:rsidR="00F41E83" w:rsidRPr="00574F1C">
        <w:rPr>
          <w:rFonts w:ascii="Verdana" w:hAnsi="Verdana"/>
          <w:sz w:val="20"/>
          <w:szCs w:val="20"/>
          <w:lang w:val="es-CR"/>
        </w:rPr>
        <w:t xml:space="preserve">En </w:t>
      </w:r>
      <w:r w:rsidR="00C12DB7">
        <w:rPr>
          <w:rFonts w:ascii="Verdana" w:hAnsi="Verdana"/>
          <w:sz w:val="20"/>
          <w:szCs w:val="20"/>
          <w:lang w:val="es-CR"/>
        </w:rPr>
        <w:t>noviembre</w:t>
      </w:r>
      <w:r w:rsidR="00C12DB7" w:rsidRPr="00574F1C">
        <w:rPr>
          <w:rFonts w:ascii="Verdana" w:hAnsi="Verdana"/>
          <w:sz w:val="20"/>
          <w:szCs w:val="20"/>
          <w:lang w:val="es-CR"/>
        </w:rPr>
        <w:t xml:space="preserve"> </w:t>
      </w:r>
      <w:r w:rsidR="009B2854" w:rsidRPr="00574F1C">
        <w:rPr>
          <w:rFonts w:ascii="Verdana" w:hAnsi="Verdana"/>
          <w:sz w:val="20"/>
          <w:szCs w:val="20"/>
          <w:lang w:val="es-CR"/>
        </w:rPr>
        <w:t xml:space="preserve">de 2017 Venezuela presentó </w:t>
      </w:r>
      <w:r w:rsidR="005D47A1" w:rsidRPr="00574F1C">
        <w:rPr>
          <w:rFonts w:ascii="Verdana" w:hAnsi="Verdana"/>
          <w:sz w:val="20"/>
          <w:szCs w:val="20"/>
          <w:lang w:val="es-CR"/>
        </w:rPr>
        <w:t>un informe sobre el cumplimiento de la obligación de investigar</w:t>
      </w:r>
      <w:r w:rsidR="00A901BD">
        <w:rPr>
          <w:rFonts w:ascii="Verdana" w:hAnsi="Verdana"/>
          <w:sz w:val="20"/>
          <w:szCs w:val="20"/>
          <w:lang w:val="es-CR"/>
        </w:rPr>
        <w:t xml:space="preserve"> </w:t>
      </w:r>
      <w:r w:rsidR="00A901BD" w:rsidRPr="008C0C27">
        <w:rPr>
          <w:rFonts w:ascii="Verdana" w:hAnsi="Verdana"/>
          <w:sz w:val="20"/>
          <w:lang w:val="es-CR"/>
        </w:rPr>
        <w:t>los hechos del presente caso</w:t>
      </w:r>
      <w:r w:rsidR="00E355D5">
        <w:rPr>
          <w:rFonts w:ascii="Verdana" w:hAnsi="Verdana"/>
          <w:sz w:val="20"/>
          <w:lang w:val="es-CR"/>
        </w:rPr>
        <w:t xml:space="preserve"> (</w:t>
      </w:r>
      <w:r w:rsidR="00E355D5" w:rsidRPr="00E355D5">
        <w:rPr>
          <w:rFonts w:ascii="Verdana" w:hAnsi="Verdana"/>
          <w:i/>
          <w:sz w:val="20"/>
          <w:lang w:val="es-CR"/>
        </w:rPr>
        <w:t>supra</w:t>
      </w:r>
      <w:r w:rsidR="00E355D5">
        <w:rPr>
          <w:rFonts w:ascii="Verdana" w:hAnsi="Verdana"/>
          <w:sz w:val="20"/>
          <w:lang w:val="es-CR"/>
        </w:rPr>
        <w:t xml:space="preserve"> Visto 4)</w:t>
      </w:r>
      <w:r w:rsidR="005D47A1" w:rsidRPr="00574F1C">
        <w:rPr>
          <w:rFonts w:ascii="Verdana" w:hAnsi="Verdana"/>
          <w:sz w:val="20"/>
          <w:szCs w:val="20"/>
          <w:lang w:val="es-CR"/>
        </w:rPr>
        <w:t>, por lo cual corresponde a</w:t>
      </w:r>
      <w:r w:rsidR="00A901BD">
        <w:rPr>
          <w:rFonts w:ascii="Verdana" w:hAnsi="Verdana"/>
          <w:sz w:val="20"/>
          <w:szCs w:val="20"/>
          <w:lang w:val="es-CR"/>
        </w:rPr>
        <w:t>l</w:t>
      </w:r>
      <w:r w:rsidR="005D47A1" w:rsidRPr="00574F1C">
        <w:rPr>
          <w:rFonts w:ascii="Verdana" w:hAnsi="Verdana"/>
          <w:sz w:val="20"/>
          <w:szCs w:val="20"/>
          <w:lang w:val="es-CR"/>
        </w:rPr>
        <w:t xml:space="preserve"> Tribunal valorar dicha información</w:t>
      </w:r>
      <w:r w:rsidR="00A901BD">
        <w:rPr>
          <w:rFonts w:ascii="Verdana" w:hAnsi="Verdana"/>
          <w:sz w:val="20"/>
          <w:szCs w:val="20"/>
          <w:lang w:val="es-CR"/>
        </w:rPr>
        <w:t>,</w:t>
      </w:r>
      <w:r w:rsidR="005D47A1" w:rsidRPr="00574F1C">
        <w:rPr>
          <w:rFonts w:ascii="Verdana" w:hAnsi="Verdana"/>
          <w:sz w:val="20"/>
          <w:szCs w:val="20"/>
          <w:lang w:val="es-CR"/>
        </w:rPr>
        <w:t xml:space="preserve"> a fin de determinar si se acredita que el Estado está adoptando medidas para su cumplimiento. </w:t>
      </w:r>
    </w:p>
    <w:p w:rsidR="00CF2EC4" w:rsidRPr="00616ED2" w:rsidRDefault="0056682B" w:rsidP="00CF2EC4">
      <w:pPr>
        <w:numPr>
          <w:ilvl w:val="0"/>
          <w:numId w:val="3"/>
        </w:numPr>
        <w:spacing w:before="120" w:after="120" w:line="240" w:lineRule="auto"/>
        <w:ind w:left="0" w:firstLine="0"/>
        <w:jc w:val="both"/>
        <w:rPr>
          <w:rFonts w:ascii="Verdana" w:hAnsi="Verdana"/>
          <w:sz w:val="16"/>
          <w:szCs w:val="16"/>
          <w:lang w:val="es-CR"/>
        </w:rPr>
      </w:pPr>
      <w:r w:rsidRPr="0056682B">
        <w:rPr>
          <w:rFonts w:ascii="Verdana" w:hAnsi="Verdana"/>
          <w:sz w:val="20"/>
          <w:szCs w:val="20"/>
          <w:lang w:val="es-CR"/>
        </w:rPr>
        <w:t xml:space="preserve">En su informe de </w:t>
      </w:r>
      <w:r w:rsidR="00C12DB7">
        <w:rPr>
          <w:rFonts w:ascii="Verdana" w:hAnsi="Verdana"/>
          <w:sz w:val="20"/>
          <w:szCs w:val="20"/>
          <w:lang w:val="es-CR"/>
        </w:rPr>
        <w:t>noviembre</w:t>
      </w:r>
      <w:r w:rsidR="00C12DB7" w:rsidRPr="0056682B">
        <w:rPr>
          <w:rFonts w:ascii="Verdana" w:hAnsi="Verdana"/>
          <w:sz w:val="20"/>
          <w:szCs w:val="20"/>
          <w:lang w:val="es-CR"/>
        </w:rPr>
        <w:t xml:space="preserve"> </w:t>
      </w:r>
      <w:r w:rsidRPr="0056682B">
        <w:rPr>
          <w:rFonts w:ascii="Verdana" w:hAnsi="Verdana"/>
          <w:sz w:val="20"/>
          <w:szCs w:val="20"/>
          <w:lang w:val="es-CR"/>
        </w:rPr>
        <w:t>de 2017</w:t>
      </w:r>
      <w:r>
        <w:rPr>
          <w:rFonts w:ascii="Verdana" w:hAnsi="Verdana"/>
          <w:i/>
          <w:sz w:val="20"/>
          <w:szCs w:val="20"/>
          <w:lang w:val="es-CR"/>
        </w:rPr>
        <w:t xml:space="preserve"> </w:t>
      </w:r>
      <w:r w:rsidR="005D47A1" w:rsidRPr="0056682B">
        <w:rPr>
          <w:rFonts w:ascii="Verdana" w:hAnsi="Verdana"/>
          <w:i/>
          <w:sz w:val="20"/>
          <w:szCs w:val="20"/>
          <w:lang w:val="es-CR"/>
        </w:rPr>
        <w:t>Venezuela</w:t>
      </w:r>
      <w:r w:rsidR="005D47A1">
        <w:rPr>
          <w:rFonts w:ascii="Verdana" w:hAnsi="Verdana"/>
          <w:sz w:val="20"/>
          <w:szCs w:val="20"/>
          <w:lang w:val="es-CR"/>
        </w:rPr>
        <w:t xml:space="preserve"> </w:t>
      </w:r>
      <w:r>
        <w:rPr>
          <w:rFonts w:ascii="Verdana" w:hAnsi="Verdana"/>
          <w:sz w:val="20"/>
          <w:szCs w:val="20"/>
          <w:lang w:val="es-CR"/>
        </w:rPr>
        <w:t>señaló</w:t>
      </w:r>
      <w:r w:rsidR="002D1C94">
        <w:rPr>
          <w:rFonts w:ascii="Verdana" w:hAnsi="Verdana"/>
          <w:sz w:val="20"/>
          <w:szCs w:val="20"/>
          <w:lang w:val="es-CR"/>
        </w:rPr>
        <w:t>, entre otros</w:t>
      </w:r>
      <w:r w:rsidR="002D1C94">
        <w:rPr>
          <w:rStyle w:val="FootnoteReference"/>
          <w:rFonts w:ascii="Verdana" w:hAnsi="Verdana"/>
          <w:sz w:val="20"/>
          <w:szCs w:val="20"/>
          <w:lang w:val="es-CR"/>
        </w:rPr>
        <w:footnoteReference w:id="21"/>
      </w:r>
      <w:r w:rsidR="002D1C94">
        <w:rPr>
          <w:rFonts w:ascii="Verdana" w:hAnsi="Verdana"/>
          <w:sz w:val="20"/>
          <w:szCs w:val="20"/>
          <w:lang w:val="es-CR"/>
        </w:rPr>
        <w:t>,</w:t>
      </w:r>
      <w:r w:rsidR="00574F1C">
        <w:rPr>
          <w:rFonts w:ascii="Verdana" w:hAnsi="Verdana"/>
          <w:sz w:val="20"/>
          <w:szCs w:val="20"/>
          <w:lang w:val="es-CR"/>
        </w:rPr>
        <w:t xml:space="preserve"> </w:t>
      </w:r>
      <w:r w:rsidR="00D94274">
        <w:rPr>
          <w:rFonts w:ascii="Verdana" w:hAnsi="Verdana"/>
          <w:sz w:val="20"/>
          <w:szCs w:val="20"/>
          <w:lang w:val="es-CR"/>
        </w:rPr>
        <w:t>que el 28 de</w:t>
      </w:r>
      <w:r w:rsidR="00574F1C">
        <w:rPr>
          <w:rFonts w:ascii="Verdana" w:hAnsi="Verdana"/>
          <w:sz w:val="20"/>
          <w:szCs w:val="20"/>
          <w:lang w:val="es-CR"/>
        </w:rPr>
        <w:t xml:space="preserve"> </w:t>
      </w:r>
      <w:r w:rsidR="00143680">
        <w:rPr>
          <w:rFonts w:ascii="Verdana" w:hAnsi="Verdana"/>
          <w:sz w:val="20"/>
          <w:szCs w:val="20"/>
          <w:lang w:val="es-CR"/>
        </w:rPr>
        <w:t xml:space="preserve">octubre </w:t>
      </w:r>
      <w:r w:rsidR="00574F1C">
        <w:rPr>
          <w:rFonts w:ascii="Verdana" w:hAnsi="Verdana"/>
          <w:sz w:val="20"/>
          <w:szCs w:val="20"/>
          <w:lang w:val="es-CR"/>
        </w:rPr>
        <w:t>de 2016 la Sala Constitucional del Tribunal Supremo de Justicia</w:t>
      </w:r>
      <w:r w:rsidR="00D94274">
        <w:rPr>
          <w:rFonts w:ascii="Verdana" w:hAnsi="Verdana"/>
          <w:sz w:val="20"/>
          <w:szCs w:val="20"/>
          <w:lang w:val="es-CR"/>
        </w:rPr>
        <w:t xml:space="preserve"> emitió una decisión en la cual</w:t>
      </w:r>
      <w:r w:rsidR="00574F1C">
        <w:rPr>
          <w:rFonts w:ascii="Verdana" w:hAnsi="Verdana"/>
          <w:sz w:val="20"/>
          <w:szCs w:val="20"/>
          <w:lang w:val="es-CR"/>
        </w:rPr>
        <w:t xml:space="preserve"> </w:t>
      </w:r>
      <w:r w:rsidR="00143680">
        <w:rPr>
          <w:rFonts w:ascii="Verdana" w:hAnsi="Verdana"/>
          <w:sz w:val="20"/>
          <w:szCs w:val="20"/>
          <w:lang w:val="es-CR"/>
        </w:rPr>
        <w:t xml:space="preserve">resolvió una solicitud planteada por el Ministerio Público, para </w:t>
      </w:r>
      <w:r w:rsidR="00574F1C">
        <w:rPr>
          <w:rFonts w:ascii="Verdana" w:hAnsi="Verdana"/>
          <w:sz w:val="20"/>
          <w:szCs w:val="20"/>
          <w:lang w:val="es-CR"/>
        </w:rPr>
        <w:t xml:space="preserve">“la </w:t>
      </w:r>
      <w:r w:rsidR="005F327B">
        <w:rPr>
          <w:rFonts w:ascii="Verdana" w:hAnsi="Verdana"/>
          <w:sz w:val="20"/>
          <w:szCs w:val="20"/>
          <w:lang w:val="es-CR"/>
        </w:rPr>
        <w:t>[</w:t>
      </w:r>
      <w:r w:rsidR="00574F1C">
        <w:rPr>
          <w:rFonts w:ascii="Verdana" w:hAnsi="Verdana"/>
          <w:sz w:val="20"/>
          <w:szCs w:val="20"/>
          <w:lang w:val="es-CR"/>
        </w:rPr>
        <w:t>r</w:t>
      </w:r>
      <w:r w:rsidR="005F327B">
        <w:rPr>
          <w:rFonts w:ascii="Verdana" w:hAnsi="Verdana"/>
          <w:sz w:val="20"/>
          <w:szCs w:val="20"/>
          <w:lang w:val="es-CR"/>
        </w:rPr>
        <w:t>]</w:t>
      </w:r>
      <w:r w:rsidR="00574F1C">
        <w:rPr>
          <w:rFonts w:ascii="Verdana" w:hAnsi="Verdana"/>
          <w:sz w:val="20"/>
          <w:szCs w:val="20"/>
          <w:lang w:val="es-CR"/>
        </w:rPr>
        <w:t xml:space="preserve">evisión </w:t>
      </w:r>
      <w:r w:rsidR="005F327B">
        <w:rPr>
          <w:rFonts w:ascii="Verdana" w:hAnsi="Verdana"/>
          <w:sz w:val="20"/>
          <w:szCs w:val="20"/>
          <w:lang w:val="es-CR"/>
        </w:rPr>
        <w:t>[</w:t>
      </w:r>
      <w:r w:rsidR="00574F1C">
        <w:rPr>
          <w:rFonts w:ascii="Verdana" w:hAnsi="Verdana"/>
          <w:sz w:val="20"/>
          <w:szCs w:val="20"/>
          <w:lang w:val="es-CR"/>
        </w:rPr>
        <w:t>c</w:t>
      </w:r>
      <w:r w:rsidR="005F327B">
        <w:rPr>
          <w:rFonts w:ascii="Verdana" w:hAnsi="Verdana"/>
          <w:sz w:val="20"/>
          <w:szCs w:val="20"/>
          <w:lang w:val="es-CR"/>
        </w:rPr>
        <w:t>]</w:t>
      </w:r>
      <w:r w:rsidR="00574F1C">
        <w:rPr>
          <w:rFonts w:ascii="Verdana" w:hAnsi="Verdana"/>
          <w:sz w:val="20"/>
          <w:szCs w:val="20"/>
          <w:lang w:val="es-CR"/>
        </w:rPr>
        <w:t xml:space="preserve">onstitucional de la sentencia dictada el 30 de junio de 1998, por la Corte Marcial </w:t>
      </w:r>
      <w:r w:rsidR="00574F1C" w:rsidRPr="00DD188F">
        <w:rPr>
          <w:rFonts w:ascii="Verdana" w:hAnsi="Verdana"/>
          <w:i/>
          <w:sz w:val="20"/>
          <w:szCs w:val="20"/>
          <w:lang w:val="es-CR"/>
        </w:rPr>
        <w:t>Ad-Hoc</w:t>
      </w:r>
      <w:r w:rsidR="00574F1C">
        <w:rPr>
          <w:rFonts w:ascii="Verdana" w:hAnsi="Verdana"/>
          <w:sz w:val="20"/>
          <w:szCs w:val="20"/>
          <w:lang w:val="es-CR"/>
        </w:rPr>
        <w:t>, actuando como Tribunal de Reenvío</w:t>
      </w:r>
      <w:r w:rsidR="00143680">
        <w:rPr>
          <w:rFonts w:ascii="Verdana" w:hAnsi="Verdana"/>
          <w:sz w:val="20"/>
          <w:szCs w:val="20"/>
          <w:lang w:val="es-CR"/>
        </w:rPr>
        <w:t xml:space="preserve"> en lo Penal M</w:t>
      </w:r>
      <w:r w:rsidR="007D6B6A">
        <w:rPr>
          <w:rFonts w:ascii="Verdana" w:hAnsi="Verdana"/>
          <w:sz w:val="20"/>
          <w:szCs w:val="20"/>
          <w:lang w:val="es-CR"/>
        </w:rPr>
        <w:t>ilitar</w:t>
      </w:r>
      <w:r w:rsidR="005F327B">
        <w:rPr>
          <w:rFonts w:ascii="Verdana" w:hAnsi="Verdana"/>
          <w:sz w:val="20"/>
          <w:szCs w:val="20"/>
          <w:lang w:val="es-CR"/>
        </w:rPr>
        <w:t>,</w:t>
      </w:r>
      <w:r w:rsidR="007D6B6A">
        <w:rPr>
          <w:rFonts w:ascii="Verdana" w:hAnsi="Verdana"/>
          <w:sz w:val="20"/>
          <w:szCs w:val="20"/>
          <w:lang w:val="es-CR"/>
        </w:rPr>
        <w:t xml:space="preserve"> </w:t>
      </w:r>
      <w:r w:rsidR="00DD188F">
        <w:rPr>
          <w:rFonts w:ascii="Verdana" w:hAnsi="Verdana"/>
          <w:sz w:val="20"/>
          <w:szCs w:val="20"/>
          <w:lang w:val="es-CR"/>
        </w:rPr>
        <w:t xml:space="preserve">mediante la </w:t>
      </w:r>
      <w:r w:rsidR="007D6B6A">
        <w:rPr>
          <w:rFonts w:ascii="Verdana" w:hAnsi="Verdana"/>
          <w:sz w:val="20"/>
          <w:szCs w:val="20"/>
          <w:lang w:val="es-CR"/>
        </w:rPr>
        <w:t xml:space="preserve">cual </w:t>
      </w:r>
      <w:r w:rsidR="005F327B">
        <w:rPr>
          <w:rFonts w:ascii="Verdana" w:hAnsi="Verdana"/>
          <w:sz w:val="20"/>
          <w:szCs w:val="20"/>
          <w:lang w:val="es-CR"/>
        </w:rPr>
        <w:t xml:space="preserve">se </w:t>
      </w:r>
      <w:r w:rsidR="007D6B6A">
        <w:rPr>
          <w:rFonts w:ascii="Verdana" w:hAnsi="Verdana"/>
          <w:sz w:val="20"/>
          <w:szCs w:val="20"/>
          <w:lang w:val="es-CR"/>
        </w:rPr>
        <w:t>absolvió a un grupo de funcionarios militares y policiales acusados por la comisión del delito de homicidio internacional, en perjuicio de [las catorce víctimas fallecidas del presente caso], así como por la comisión del delito de homicidio internacional en grado de frustración, cometido en perjuicio de [las dos víctimas sobre</w:t>
      </w:r>
      <w:r w:rsidR="00143680">
        <w:rPr>
          <w:rFonts w:ascii="Verdana" w:hAnsi="Verdana"/>
          <w:sz w:val="20"/>
          <w:szCs w:val="20"/>
          <w:lang w:val="es-CR"/>
        </w:rPr>
        <w:t>vivientes</w:t>
      </w:r>
      <w:r w:rsidR="007D6B6A">
        <w:rPr>
          <w:rFonts w:ascii="Verdana" w:hAnsi="Verdana"/>
          <w:sz w:val="20"/>
          <w:szCs w:val="20"/>
          <w:lang w:val="es-CR"/>
        </w:rPr>
        <w:t>]</w:t>
      </w:r>
      <w:r w:rsidR="00143680">
        <w:rPr>
          <w:rFonts w:ascii="Verdana" w:hAnsi="Verdana"/>
          <w:sz w:val="20"/>
          <w:szCs w:val="20"/>
          <w:lang w:val="es-CR"/>
        </w:rPr>
        <w:t xml:space="preserve">”. </w:t>
      </w:r>
      <w:r w:rsidR="002D1C94" w:rsidRPr="00B757A9">
        <w:rPr>
          <w:rFonts w:ascii="Verdana" w:hAnsi="Verdana"/>
          <w:sz w:val="20"/>
          <w:szCs w:val="20"/>
          <w:lang w:val="es-CR"/>
        </w:rPr>
        <w:t xml:space="preserve">Indicó </w:t>
      </w:r>
      <w:r w:rsidR="00143680" w:rsidRPr="00B757A9">
        <w:rPr>
          <w:rFonts w:ascii="Verdana" w:hAnsi="Verdana"/>
          <w:sz w:val="20"/>
          <w:szCs w:val="20"/>
          <w:lang w:val="es-CR"/>
        </w:rPr>
        <w:t>que</w:t>
      </w:r>
      <w:r w:rsidR="002D1C94" w:rsidRPr="00B757A9">
        <w:rPr>
          <w:rFonts w:ascii="Verdana" w:hAnsi="Verdana"/>
          <w:sz w:val="20"/>
          <w:szCs w:val="20"/>
          <w:lang w:val="es-CR"/>
        </w:rPr>
        <w:t xml:space="preserve"> dicho</w:t>
      </w:r>
      <w:r w:rsidR="00143680" w:rsidRPr="00B757A9">
        <w:rPr>
          <w:rFonts w:ascii="Verdana" w:hAnsi="Verdana"/>
          <w:sz w:val="20"/>
          <w:szCs w:val="20"/>
          <w:lang w:val="es-CR"/>
        </w:rPr>
        <w:t xml:space="preserve"> </w:t>
      </w:r>
      <w:r w:rsidR="002D1C94" w:rsidRPr="00B757A9">
        <w:rPr>
          <w:rFonts w:ascii="Verdana" w:hAnsi="Verdana"/>
          <w:sz w:val="20"/>
          <w:szCs w:val="20"/>
          <w:lang w:val="es-CR"/>
        </w:rPr>
        <w:t>tribunal interno resolvió</w:t>
      </w:r>
      <w:r w:rsidR="005F327B">
        <w:rPr>
          <w:rFonts w:ascii="Verdana" w:hAnsi="Verdana"/>
          <w:sz w:val="20"/>
          <w:szCs w:val="20"/>
          <w:lang w:val="es-CR"/>
        </w:rPr>
        <w:t>:</w:t>
      </w:r>
      <w:r w:rsidR="002D1C94" w:rsidRPr="00B757A9">
        <w:rPr>
          <w:rFonts w:ascii="Verdana" w:hAnsi="Verdana"/>
          <w:sz w:val="20"/>
          <w:szCs w:val="20"/>
          <w:lang w:val="es-CR"/>
        </w:rPr>
        <w:t xml:space="preserve"> “ha[cer] lugar a la [referida] solicitud de revisión”, “anular la </w:t>
      </w:r>
      <w:r w:rsidR="005F327B">
        <w:rPr>
          <w:rFonts w:ascii="Verdana" w:hAnsi="Verdana"/>
          <w:sz w:val="20"/>
          <w:szCs w:val="20"/>
          <w:lang w:val="es-CR"/>
        </w:rPr>
        <w:t xml:space="preserve">[referida] </w:t>
      </w:r>
      <w:r w:rsidR="002D1C94" w:rsidRPr="00B757A9">
        <w:rPr>
          <w:rFonts w:ascii="Verdana" w:hAnsi="Verdana"/>
          <w:sz w:val="20"/>
          <w:szCs w:val="20"/>
          <w:lang w:val="es-CR"/>
        </w:rPr>
        <w:t>sentencia de 30 de junio de 1998” y “ordenar a la Corte Marcial del Circuito Judicial Penal Militar que proceda a dictar una nueva decisión sobre este asunto, siguiendo para ello las reglas de juzgamiento penal militar vigentes para la fecha en que se dictó la sentencia […]”</w:t>
      </w:r>
      <w:r w:rsidR="00C12DB7">
        <w:rPr>
          <w:rFonts w:ascii="Verdana" w:hAnsi="Verdana"/>
          <w:sz w:val="20"/>
          <w:szCs w:val="20"/>
          <w:lang w:val="es-CR"/>
        </w:rPr>
        <w:t xml:space="preserve"> de 1998</w:t>
      </w:r>
      <w:r w:rsidR="003B0841">
        <w:rPr>
          <w:rFonts w:ascii="Verdana" w:hAnsi="Verdana"/>
          <w:sz w:val="20"/>
          <w:szCs w:val="20"/>
          <w:lang w:val="es-CR"/>
        </w:rPr>
        <w:t>, para lo cual se ordenó remitir la causa a dicha corte marcial</w:t>
      </w:r>
      <w:r w:rsidR="00B757A9">
        <w:rPr>
          <w:rStyle w:val="FootnoteReference"/>
          <w:rFonts w:ascii="Verdana" w:hAnsi="Verdana"/>
          <w:sz w:val="20"/>
          <w:szCs w:val="20"/>
          <w:lang w:val="es-CR"/>
        </w:rPr>
        <w:footnoteReference w:id="22"/>
      </w:r>
      <w:r w:rsidR="002D1C94" w:rsidRPr="00B757A9">
        <w:rPr>
          <w:rFonts w:ascii="Verdana" w:hAnsi="Verdana"/>
          <w:sz w:val="20"/>
          <w:szCs w:val="20"/>
          <w:lang w:val="es-CR"/>
        </w:rPr>
        <w:t xml:space="preserve">. </w:t>
      </w:r>
      <w:r w:rsidR="00C12DB7">
        <w:rPr>
          <w:rFonts w:ascii="Verdana" w:hAnsi="Verdana"/>
          <w:sz w:val="20"/>
          <w:szCs w:val="20"/>
          <w:lang w:val="es-CR"/>
        </w:rPr>
        <w:t>Venezuela</w:t>
      </w:r>
      <w:r w:rsidR="00482075">
        <w:rPr>
          <w:rFonts w:ascii="Verdana" w:hAnsi="Verdana"/>
          <w:sz w:val="20"/>
          <w:szCs w:val="20"/>
          <w:lang w:val="es-CR"/>
        </w:rPr>
        <w:t xml:space="preserve"> </w:t>
      </w:r>
      <w:r w:rsidR="00C12DB7">
        <w:rPr>
          <w:rFonts w:ascii="Verdana" w:hAnsi="Verdana"/>
          <w:sz w:val="20"/>
          <w:szCs w:val="20"/>
          <w:lang w:val="es-CR"/>
        </w:rPr>
        <w:t>s</w:t>
      </w:r>
      <w:r w:rsidRPr="0056682B">
        <w:rPr>
          <w:rFonts w:ascii="Verdana" w:hAnsi="Verdana"/>
          <w:sz w:val="20"/>
          <w:szCs w:val="20"/>
          <w:lang w:val="es-CR"/>
        </w:rPr>
        <w:t xml:space="preserve">ostuvo </w:t>
      </w:r>
      <w:r w:rsidR="00C12DB7">
        <w:rPr>
          <w:rFonts w:ascii="Verdana" w:hAnsi="Verdana"/>
          <w:sz w:val="20"/>
          <w:szCs w:val="20"/>
          <w:lang w:val="es-CR"/>
        </w:rPr>
        <w:t xml:space="preserve">que </w:t>
      </w:r>
      <w:r w:rsidR="005F327B">
        <w:rPr>
          <w:rFonts w:ascii="Verdana" w:hAnsi="Verdana"/>
          <w:sz w:val="20"/>
          <w:szCs w:val="20"/>
          <w:lang w:val="es-CR"/>
        </w:rPr>
        <w:t xml:space="preserve">dicha decisión de la Sala Constitucional </w:t>
      </w:r>
      <w:r w:rsidR="00D94274" w:rsidRPr="0056682B">
        <w:rPr>
          <w:rFonts w:ascii="Verdana" w:hAnsi="Verdana"/>
          <w:sz w:val="20"/>
          <w:szCs w:val="20"/>
          <w:lang w:val="es-CR"/>
        </w:rPr>
        <w:t>“</w:t>
      </w:r>
      <w:r w:rsidRPr="0056682B">
        <w:rPr>
          <w:rFonts w:ascii="Verdana" w:hAnsi="Verdana"/>
          <w:sz w:val="20"/>
          <w:szCs w:val="20"/>
          <w:lang w:val="es-CR"/>
        </w:rPr>
        <w:t>constituye un importante y significativo avance en la lucha contra la impunidad de esta grave violación a los derechos humanos ocurrida en la población de El Amparo, permitiendo continuar con las investigaciones de los hechos a que se refiere este caso y sancionar a quienes resulten responsables, tal como fue establecido en la sentencia de esta Corte Interamericana</w:t>
      </w:r>
      <w:r w:rsidR="005F327B">
        <w:rPr>
          <w:rFonts w:ascii="Verdana" w:hAnsi="Verdana"/>
          <w:sz w:val="20"/>
          <w:szCs w:val="20"/>
          <w:lang w:val="es-CR"/>
        </w:rPr>
        <w:t>”</w:t>
      </w:r>
      <w:r w:rsidRPr="0056682B">
        <w:rPr>
          <w:rFonts w:ascii="Verdana" w:hAnsi="Verdana"/>
          <w:sz w:val="20"/>
          <w:szCs w:val="20"/>
          <w:lang w:val="es-CR"/>
        </w:rPr>
        <w:t>.</w:t>
      </w:r>
    </w:p>
    <w:p w:rsidR="00EA1F6B" w:rsidRPr="0056682B" w:rsidRDefault="0056682B" w:rsidP="00EA1F6B">
      <w:pPr>
        <w:numPr>
          <w:ilvl w:val="0"/>
          <w:numId w:val="3"/>
        </w:numPr>
        <w:spacing w:before="120" w:after="120" w:line="240" w:lineRule="auto"/>
        <w:ind w:left="0" w:firstLine="0"/>
        <w:jc w:val="both"/>
        <w:rPr>
          <w:rFonts w:ascii="Verdana" w:hAnsi="Verdana"/>
          <w:sz w:val="20"/>
          <w:szCs w:val="20"/>
          <w:lang w:val="es-CR"/>
        </w:rPr>
      </w:pPr>
      <w:r w:rsidRPr="0056682B">
        <w:rPr>
          <w:rFonts w:ascii="Verdana" w:hAnsi="Verdana"/>
          <w:sz w:val="20"/>
          <w:szCs w:val="20"/>
          <w:lang w:val="es-CR"/>
        </w:rPr>
        <w:t xml:space="preserve">Los </w:t>
      </w:r>
      <w:r>
        <w:rPr>
          <w:rFonts w:ascii="Verdana" w:hAnsi="Verdana"/>
          <w:i/>
          <w:sz w:val="20"/>
          <w:szCs w:val="20"/>
          <w:lang w:val="es-CR"/>
        </w:rPr>
        <w:t xml:space="preserve">representantes de las víctimas </w:t>
      </w:r>
      <w:r>
        <w:rPr>
          <w:rFonts w:ascii="Verdana" w:hAnsi="Verdana"/>
          <w:sz w:val="20"/>
          <w:szCs w:val="20"/>
          <w:lang w:val="es-CR"/>
        </w:rPr>
        <w:t xml:space="preserve">no </w:t>
      </w:r>
      <w:r w:rsidR="00C12DB7">
        <w:rPr>
          <w:rFonts w:ascii="Verdana" w:hAnsi="Verdana"/>
          <w:sz w:val="20"/>
          <w:szCs w:val="20"/>
          <w:lang w:val="es-CR"/>
        </w:rPr>
        <w:t xml:space="preserve">remitieron </w:t>
      </w:r>
      <w:r>
        <w:rPr>
          <w:rFonts w:ascii="Verdana" w:hAnsi="Verdana"/>
          <w:sz w:val="20"/>
          <w:szCs w:val="20"/>
          <w:lang w:val="es-CR"/>
        </w:rPr>
        <w:t>observaciones al referido informe del Estado</w:t>
      </w:r>
      <w:r w:rsidR="00AA1EA9">
        <w:rPr>
          <w:rFonts w:ascii="Verdana" w:hAnsi="Verdana"/>
          <w:sz w:val="20"/>
          <w:szCs w:val="20"/>
          <w:lang w:val="es-CR"/>
        </w:rPr>
        <w:t xml:space="preserve">. La </w:t>
      </w:r>
      <w:r w:rsidR="00AA1EA9" w:rsidRPr="00AA1EA9">
        <w:rPr>
          <w:rFonts w:ascii="Verdana" w:hAnsi="Verdana"/>
          <w:i/>
          <w:sz w:val="20"/>
          <w:szCs w:val="20"/>
          <w:lang w:val="es-CR"/>
        </w:rPr>
        <w:t>Comisión Interamericana</w:t>
      </w:r>
      <w:r w:rsidR="00AA1EA9">
        <w:rPr>
          <w:rFonts w:ascii="Verdana" w:hAnsi="Verdana"/>
          <w:sz w:val="20"/>
          <w:szCs w:val="20"/>
          <w:lang w:val="es-CR"/>
        </w:rPr>
        <w:t xml:space="preserve"> “consider[ó] que </w:t>
      </w:r>
      <w:r w:rsidR="006F5AFE">
        <w:rPr>
          <w:rFonts w:ascii="Verdana" w:hAnsi="Verdana"/>
          <w:sz w:val="20"/>
          <w:szCs w:val="20"/>
          <w:lang w:val="es-CR"/>
        </w:rPr>
        <w:t xml:space="preserve">el llamado realizado por el alto tribunal venezolano para que la Corte Marcial proceda a dictar una nueva decisión, luego de más de 30 años de incumplimiento de las obligaciones del Estado en materia de justicia y de la impunidad generada durante dicho tiempo, constituye un grave hecho que profundiza esta situación de impunidad y constituye igualmente una fuente de revictimización para los familiares”. Asimismo, </w:t>
      </w:r>
      <w:r w:rsidR="005F327B">
        <w:rPr>
          <w:rFonts w:ascii="Verdana" w:hAnsi="Verdana"/>
          <w:sz w:val="20"/>
          <w:szCs w:val="20"/>
          <w:lang w:val="es-CR"/>
        </w:rPr>
        <w:t xml:space="preserve">manifestó </w:t>
      </w:r>
      <w:r w:rsidR="006F5AFE">
        <w:rPr>
          <w:rFonts w:ascii="Verdana" w:hAnsi="Verdana"/>
          <w:sz w:val="20"/>
          <w:szCs w:val="20"/>
          <w:lang w:val="es-CR"/>
        </w:rPr>
        <w:t>que</w:t>
      </w:r>
      <w:r w:rsidR="00EA1F6B">
        <w:rPr>
          <w:rFonts w:ascii="Verdana" w:hAnsi="Verdana"/>
          <w:sz w:val="20"/>
          <w:szCs w:val="20"/>
          <w:lang w:val="es-CR"/>
        </w:rPr>
        <w:t xml:space="preserve"> con</w:t>
      </w:r>
      <w:r w:rsidR="006F5AFE">
        <w:rPr>
          <w:rFonts w:ascii="Verdana" w:hAnsi="Verdana"/>
          <w:sz w:val="20"/>
          <w:szCs w:val="20"/>
          <w:lang w:val="es-CR"/>
        </w:rPr>
        <w:t xml:space="preserve"> la</w:t>
      </w:r>
      <w:r w:rsidR="00AD5204">
        <w:rPr>
          <w:rFonts w:ascii="Verdana" w:hAnsi="Verdana"/>
          <w:sz w:val="20"/>
          <w:szCs w:val="20"/>
          <w:lang w:val="es-CR"/>
        </w:rPr>
        <w:t xml:space="preserve"> referida</w:t>
      </w:r>
      <w:r w:rsidR="006F5AFE">
        <w:rPr>
          <w:rFonts w:ascii="Verdana" w:hAnsi="Verdana"/>
          <w:sz w:val="20"/>
          <w:szCs w:val="20"/>
          <w:lang w:val="es-CR"/>
        </w:rPr>
        <w:t xml:space="preserve"> decisión de la Sala Constitucional</w:t>
      </w:r>
      <w:r w:rsidR="00AD5204">
        <w:rPr>
          <w:rFonts w:ascii="Verdana" w:hAnsi="Verdana"/>
          <w:sz w:val="20"/>
          <w:szCs w:val="20"/>
          <w:lang w:val="es-CR"/>
        </w:rPr>
        <w:t>,</w:t>
      </w:r>
      <w:r w:rsidR="00EA1F6B">
        <w:rPr>
          <w:rFonts w:ascii="Verdana" w:hAnsi="Verdana"/>
          <w:sz w:val="20"/>
          <w:szCs w:val="20"/>
          <w:lang w:val="es-CR"/>
        </w:rPr>
        <w:t xml:space="preserve"> que mantiene </w:t>
      </w:r>
      <w:r w:rsidR="006F5AFE">
        <w:rPr>
          <w:rFonts w:ascii="Verdana" w:hAnsi="Verdana"/>
          <w:sz w:val="20"/>
          <w:szCs w:val="20"/>
          <w:lang w:val="es-CR"/>
        </w:rPr>
        <w:t>la investigación de los hechos en la jurisdicción penal militar</w:t>
      </w:r>
      <w:r w:rsidR="00EA1F6B">
        <w:rPr>
          <w:rFonts w:ascii="Verdana" w:hAnsi="Verdana"/>
          <w:sz w:val="20"/>
          <w:szCs w:val="20"/>
          <w:lang w:val="es-CR"/>
        </w:rPr>
        <w:t>,</w:t>
      </w:r>
      <w:r w:rsidR="006F5AFE">
        <w:rPr>
          <w:rFonts w:ascii="Verdana" w:hAnsi="Verdana"/>
          <w:sz w:val="20"/>
          <w:szCs w:val="20"/>
          <w:lang w:val="es-CR"/>
        </w:rPr>
        <w:t xml:space="preserve"> </w:t>
      </w:r>
      <w:r w:rsidR="00EA1F6B">
        <w:rPr>
          <w:rFonts w:ascii="Verdana" w:hAnsi="Verdana"/>
          <w:sz w:val="20"/>
          <w:szCs w:val="20"/>
          <w:lang w:val="es-CR"/>
        </w:rPr>
        <w:t xml:space="preserve">el Estado </w:t>
      </w:r>
      <w:r w:rsidR="006F5AFE">
        <w:rPr>
          <w:rFonts w:ascii="Verdana" w:hAnsi="Verdana"/>
          <w:sz w:val="20"/>
          <w:szCs w:val="20"/>
          <w:lang w:val="es-CR"/>
        </w:rPr>
        <w:t xml:space="preserve">incurre en </w:t>
      </w:r>
      <w:r w:rsidR="006F5AFE">
        <w:rPr>
          <w:rFonts w:ascii="Verdana" w:hAnsi="Verdana"/>
          <w:sz w:val="20"/>
          <w:szCs w:val="20"/>
          <w:lang w:val="es-CR"/>
        </w:rPr>
        <w:lastRenderedPageBreak/>
        <w:t xml:space="preserve">“un grave desconocimiento de </w:t>
      </w:r>
      <w:r w:rsidR="00EA1F6B">
        <w:rPr>
          <w:rFonts w:ascii="Verdana" w:hAnsi="Verdana"/>
          <w:sz w:val="20"/>
          <w:szCs w:val="20"/>
          <w:lang w:val="es-CR"/>
        </w:rPr>
        <w:t>[sus]</w:t>
      </w:r>
      <w:r w:rsidR="006F5AFE">
        <w:rPr>
          <w:rFonts w:ascii="Verdana" w:hAnsi="Verdana"/>
          <w:sz w:val="20"/>
          <w:szCs w:val="20"/>
          <w:lang w:val="es-CR"/>
        </w:rPr>
        <w:t xml:space="preserve"> </w:t>
      </w:r>
      <w:r w:rsidR="00EA1F6B">
        <w:rPr>
          <w:rFonts w:ascii="Verdana" w:hAnsi="Verdana"/>
          <w:sz w:val="20"/>
          <w:szCs w:val="20"/>
          <w:lang w:val="es-CR"/>
        </w:rPr>
        <w:t>obligaciones internacionales</w:t>
      </w:r>
      <w:r w:rsidR="006F5AFE">
        <w:rPr>
          <w:rFonts w:ascii="Verdana" w:hAnsi="Verdana"/>
          <w:sz w:val="20"/>
          <w:szCs w:val="20"/>
          <w:lang w:val="es-CR"/>
        </w:rPr>
        <w:t>”</w:t>
      </w:r>
      <w:r w:rsidR="00EA1F6B">
        <w:rPr>
          <w:rFonts w:ascii="Verdana" w:hAnsi="Verdana"/>
          <w:sz w:val="20"/>
          <w:szCs w:val="20"/>
          <w:lang w:val="es-CR"/>
        </w:rPr>
        <w:t>,</w:t>
      </w:r>
      <w:r w:rsidR="006F5AFE">
        <w:rPr>
          <w:rFonts w:ascii="Verdana" w:hAnsi="Verdana"/>
          <w:sz w:val="20"/>
          <w:szCs w:val="20"/>
          <w:lang w:val="es-CR"/>
        </w:rPr>
        <w:t xml:space="preserve"> </w:t>
      </w:r>
      <w:r w:rsidR="00EA1F6B">
        <w:rPr>
          <w:rFonts w:ascii="Verdana" w:hAnsi="Verdana"/>
          <w:sz w:val="20"/>
          <w:szCs w:val="20"/>
          <w:lang w:val="es-CR"/>
        </w:rPr>
        <w:t xml:space="preserve">ya que “un nuevo juzgamiento por parte de [dicha] jurisdicción </w:t>
      </w:r>
      <w:r w:rsidR="005F327B">
        <w:rPr>
          <w:rFonts w:ascii="Verdana" w:hAnsi="Verdana"/>
          <w:sz w:val="20"/>
          <w:szCs w:val="20"/>
          <w:lang w:val="es-CR"/>
        </w:rPr>
        <w:t xml:space="preserve">[…] </w:t>
      </w:r>
      <w:r w:rsidR="00EA1F6B">
        <w:rPr>
          <w:rFonts w:ascii="Verdana" w:hAnsi="Verdana"/>
          <w:sz w:val="20"/>
          <w:szCs w:val="20"/>
          <w:lang w:val="es-CR"/>
        </w:rPr>
        <w:t>no s</w:t>
      </w:r>
      <w:r w:rsidR="005F327B">
        <w:rPr>
          <w:rFonts w:ascii="Verdana" w:hAnsi="Verdana"/>
          <w:sz w:val="20"/>
          <w:szCs w:val="20"/>
          <w:lang w:val="es-CR"/>
        </w:rPr>
        <w:t>o</w:t>
      </w:r>
      <w:r w:rsidR="00EA1F6B">
        <w:rPr>
          <w:rFonts w:ascii="Verdana" w:hAnsi="Verdana"/>
          <w:sz w:val="20"/>
          <w:szCs w:val="20"/>
          <w:lang w:val="es-CR"/>
        </w:rPr>
        <w:t>lo desnaturaliza las garantías judiciales, sino que, además, contribuye a perpetuar el contexto imperante de impunidad que ha caracterizado el caso concreto”.</w:t>
      </w:r>
    </w:p>
    <w:p w:rsidR="003A31E0" w:rsidRDefault="0006115D" w:rsidP="00F200B7">
      <w:pPr>
        <w:numPr>
          <w:ilvl w:val="0"/>
          <w:numId w:val="3"/>
        </w:numPr>
        <w:spacing w:before="120" w:after="120" w:line="240" w:lineRule="auto"/>
        <w:ind w:left="0" w:firstLine="0"/>
        <w:jc w:val="both"/>
        <w:rPr>
          <w:rFonts w:ascii="Verdana" w:hAnsi="Verdana"/>
          <w:sz w:val="20"/>
          <w:szCs w:val="20"/>
          <w:lang w:val="es-CR"/>
        </w:rPr>
      </w:pPr>
      <w:r w:rsidRPr="003C0A2E">
        <w:rPr>
          <w:rFonts w:ascii="Verdana" w:hAnsi="Verdana"/>
          <w:sz w:val="20"/>
          <w:szCs w:val="20"/>
          <w:lang w:val="es-CR"/>
        </w:rPr>
        <w:t>Esta Corte ha establecido de manera constante, incluyendo en casos contra Venezuela</w:t>
      </w:r>
      <w:r w:rsidRPr="003C0A2E">
        <w:rPr>
          <w:rStyle w:val="FootnoteReference"/>
          <w:rFonts w:ascii="Verdana" w:hAnsi="Verdana"/>
          <w:sz w:val="20"/>
          <w:szCs w:val="20"/>
          <w:lang w:val="es-CR"/>
        </w:rPr>
        <w:footnoteReference w:id="23"/>
      </w:r>
      <w:r w:rsidRPr="003C0A2E">
        <w:rPr>
          <w:rFonts w:ascii="Verdana" w:hAnsi="Verdana"/>
          <w:sz w:val="20"/>
          <w:szCs w:val="20"/>
          <w:lang w:val="es-CR"/>
        </w:rPr>
        <w:t xml:space="preserve">, </w:t>
      </w:r>
      <w:r w:rsidR="003C3C80" w:rsidRPr="003C0A2E">
        <w:rPr>
          <w:rFonts w:ascii="Verdana" w:hAnsi="Verdana"/>
          <w:sz w:val="20"/>
          <w:szCs w:val="20"/>
          <w:lang w:val="es-CR"/>
        </w:rPr>
        <w:t xml:space="preserve">la incompetencia de </w:t>
      </w:r>
      <w:r w:rsidRPr="003C0A2E">
        <w:rPr>
          <w:rFonts w:ascii="Verdana" w:hAnsi="Verdana"/>
          <w:sz w:val="20"/>
          <w:szCs w:val="20"/>
          <w:lang w:val="es-CR"/>
        </w:rPr>
        <w:t xml:space="preserve">la jurisdicción penal militar </w:t>
      </w:r>
      <w:r w:rsidR="003C3C80" w:rsidRPr="003C0A2E">
        <w:rPr>
          <w:rFonts w:ascii="Verdana" w:hAnsi="Verdana"/>
          <w:sz w:val="20"/>
          <w:szCs w:val="20"/>
          <w:lang w:val="es-CR"/>
        </w:rPr>
        <w:t>para investigar y juzgar violaciones a derechos humanos</w:t>
      </w:r>
      <w:r w:rsidR="00AD5204" w:rsidRPr="003C0A2E">
        <w:rPr>
          <w:rStyle w:val="FootnoteReference"/>
          <w:rFonts w:ascii="Verdana" w:hAnsi="Verdana"/>
          <w:sz w:val="20"/>
          <w:szCs w:val="20"/>
          <w:lang w:val="es-CR"/>
        </w:rPr>
        <w:footnoteReference w:id="24"/>
      </w:r>
      <w:r w:rsidRPr="003C0A2E">
        <w:rPr>
          <w:rFonts w:ascii="Verdana" w:hAnsi="Verdana"/>
          <w:sz w:val="20"/>
          <w:szCs w:val="20"/>
          <w:lang w:val="es-CR"/>
        </w:rPr>
        <w:t xml:space="preserve">. En ese sentido, </w:t>
      </w:r>
      <w:r w:rsidR="00AD5204" w:rsidRPr="003C0A2E">
        <w:rPr>
          <w:rFonts w:ascii="Verdana" w:hAnsi="Verdana"/>
          <w:sz w:val="20"/>
          <w:szCs w:val="20"/>
          <w:lang w:val="es-CR"/>
        </w:rPr>
        <w:t>la Corte reiteradamente ha afirmado que los estándares o parámetros sobre las limitaciones que debe observar la jurisdicción militar son los siguientes</w:t>
      </w:r>
      <w:r w:rsidRPr="003C0A2E">
        <w:rPr>
          <w:rFonts w:ascii="Verdana" w:hAnsi="Verdana"/>
          <w:sz w:val="20"/>
          <w:szCs w:val="20"/>
          <w:lang w:val="es-CR"/>
        </w:rPr>
        <w:t xml:space="preserve">: </w:t>
      </w:r>
      <w:r w:rsidRPr="003C0A2E">
        <w:rPr>
          <w:rFonts w:ascii="Verdana" w:hAnsi="Verdana"/>
          <w:sz w:val="20"/>
          <w:szCs w:val="20"/>
          <w:lang w:val="es-ES"/>
        </w:rPr>
        <w:t xml:space="preserve">a) </w:t>
      </w:r>
      <w:r w:rsidRPr="003C0A2E">
        <w:rPr>
          <w:rFonts w:ascii="Verdana" w:hAnsi="Verdana"/>
          <w:sz w:val="20"/>
          <w:szCs w:val="20"/>
          <w:lang w:val="es-MX"/>
        </w:rPr>
        <w:t>sólo puede juzgar a militares en servicio activo; b) sólo puede juzgar la comisión de delitos o faltas (cometidos por militares activos) que atenten, por su propia naturaleza, contra bienes jurídicos propios del orden militar, y c) no es el fuero competente para investigar y, en su caso, juzgar y sancionar a los autores de todas las violaciones de derechos humanos</w:t>
      </w:r>
      <w:r w:rsidR="003A31E0" w:rsidRPr="003C0A2E">
        <w:rPr>
          <w:rStyle w:val="FootnoteReference"/>
          <w:rFonts w:ascii="Verdana" w:hAnsi="Verdana"/>
          <w:sz w:val="20"/>
          <w:szCs w:val="20"/>
          <w:lang w:val="es-CR"/>
        </w:rPr>
        <w:footnoteReference w:id="25"/>
      </w:r>
      <w:r w:rsidRPr="003C0A2E">
        <w:rPr>
          <w:rFonts w:ascii="Verdana" w:hAnsi="Verdana"/>
          <w:sz w:val="20"/>
          <w:szCs w:val="20"/>
          <w:lang w:val="es-MX"/>
        </w:rPr>
        <w:t>.</w:t>
      </w:r>
      <w:r w:rsidRPr="00C407DE">
        <w:rPr>
          <w:rFonts w:ascii="Verdana" w:hAnsi="Verdana"/>
          <w:sz w:val="16"/>
          <w:szCs w:val="16"/>
          <w:lang w:val="es-MX"/>
        </w:rPr>
        <w:t xml:space="preserve"> </w:t>
      </w:r>
    </w:p>
    <w:p w:rsidR="009173F0" w:rsidRPr="00AD5204" w:rsidRDefault="003C3C80" w:rsidP="00F200B7">
      <w:pPr>
        <w:numPr>
          <w:ilvl w:val="0"/>
          <w:numId w:val="3"/>
        </w:numPr>
        <w:spacing w:before="120" w:after="120" w:line="240" w:lineRule="auto"/>
        <w:ind w:left="0" w:firstLine="0"/>
        <w:jc w:val="both"/>
        <w:rPr>
          <w:rFonts w:ascii="Verdana" w:hAnsi="Verdana"/>
          <w:sz w:val="20"/>
          <w:szCs w:val="20"/>
          <w:lang w:val="es-CR"/>
        </w:rPr>
      </w:pPr>
      <w:r>
        <w:rPr>
          <w:rFonts w:ascii="Verdana" w:hAnsi="Verdana"/>
          <w:sz w:val="20"/>
          <w:szCs w:val="20"/>
          <w:lang w:val="es-CR"/>
        </w:rPr>
        <w:t xml:space="preserve">Aun cuando resulta positivo que la Sala Constitucional del Tribunal Supremo de Justicia haya anulado la sentencia absolutoria de </w:t>
      </w:r>
      <w:r w:rsidRPr="00B757A9">
        <w:rPr>
          <w:rFonts w:ascii="Verdana" w:hAnsi="Verdana"/>
          <w:sz w:val="20"/>
          <w:szCs w:val="20"/>
          <w:lang w:val="es-CR"/>
        </w:rPr>
        <w:t>junio de 1998</w:t>
      </w:r>
      <w:r>
        <w:rPr>
          <w:rFonts w:ascii="Verdana" w:hAnsi="Verdana"/>
          <w:sz w:val="20"/>
          <w:szCs w:val="20"/>
          <w:lang w:val="es-CR"/>
        </w:rPr>
        <w:t xml:space="preserve"> (</w:t>
      </w:r>
      <w:r w:rsidRPr="003C0A2E">
        <w:rPr>
          <w:rFonts w:ascii="Verdana" w:hAnsi="Verdana"/>
          <w:i/>
          <w:sz w:val="20"/>
          <w:szCs w:val="20"/>
          <w:lang w:val="es-CR"/>
        </w:rPr>
        <w:t xml:space="preserve">supra </w:t>
      </w:r>
      <w:r>
        <w:rPr>
          <w:rFonts w:ascii="Verdana" w:hAnsi="Verdana"/>
          <w:sz w:val="20"/>
          <w:szCs w:val="20"/>
          <w:lang w:val="es-CR"/>
        </w:rPr>
        <w:t>Considerando 7), d</w:t>
      </w:r>
      <w:r w:rsidR="00346D24">
        <w:rPr>
          <w:rFonts w:ascii="Verdana" w:hAnsi="Verdana"/>
          <w:sz w:val="20"/>
          <w:szCs w:val="20"/>
          <w:lang w:val="es-CR"/>
        </w:rPr>
        <w:t xml:space="preserve">e </w:t>
      </w:r>
      <w:r w:rsidR="00346D24" w:rsidRPr="00CC6C18">
        <w:rPr>
          <w:rFonts w:ascii="Verdana" w:hAnsi="Verdana"/>
          <w:sz w:val="20"/>
          <w:szCs w:val="20"/>
          <w:lang w:val="es-CR"/>
        </w:rPr>
        <w:t>acuerdo con la</w:t>
      </w:r>
      <w:r w:rsidR="00346D24">
        <w:rPr>
          <w:rFonts w:ascii="Verdana" w:hAnsi="Verdana"/>
          <w:sz w:val="20"/>
          <w:szCs w:val="20"/>
          <w:lang w:val="es-CR"/>
        </w:rPr>
        <w:t xml:space="preserve"> referida</w:t>
      </w:r>
      <w:r w:rsidR="00346D24" w:rsidRPr="00CC6C18">
        <w:rPr>
          <w:rFonts w:ascii="Verdana" w:hAnsi="Verdana"/>
          <w:sz w:val="20"/>
          <w:szCs w:val="20"/>
          <w:lang w:val="es-CR"/>
        </w:rPr>
        <w:t xml:space="preserve"> jurisprudencia</w:t>
      </w:r>
      <w:r w:rsidR="00346D24">
        <w:rPr>
          <w:rFonts w:ascii="Verdana" w:hAnsi="Verdana"/>
          <w:sz w:val="20"/>
          <w:szCs w:val="20"/>
          <w:lang w:val="es-CR"/>
        </w:rPr>
        <w:t>, e</w:t>
      </w:r>
      <w:r w:rsidR="005F327B">
        <w:rPr>
          <w:rFonts w:ascii="Verdana" w:hAnsi="Verdana"/>
          <w:sz w:val="20"/>
          <w:szCs w:val="20"/>
          <w:lang w:val="es-CR"/>
        </w:rPr>
        <w:t>ste Tribunal</w:t>
      </w:r>
      <w:r w:rsidR="00F200B7">
        <w:rPr>
          <w:rFonts w:ascii="Verdana" w:hAnsi="Verdana"/>
          <w:sz w:val="20"/>
          <w:szCs w:val="20"/>
          <w:lang w:val="es-CR"/>
        </w:rPr>
        <w:t xml:space="preserve"> considera que </w:t>
      </w:r>
      <w:r>
        <w:rPr>
          <w:rFonts w:ascii="Verdana" w:hAnsi="Verdana"/>
          <w:sz w:val="20"/>
          <w:szCs w:val="20"/>
          <w:lang w:val="es-CR"/>
        </w:rPr>
        <w:t>el</w:t>
      </w:r>
      <w:r w:rsidR="00F200B7">
        <w:rPr>
          <w:rFonts w:ascii="Verdana" w:hAnsi="Verdana"/>
          <w:sz w:val="20"/>
          <w:szCs w:val="20"/>
          <w:lang w:val="es-CR"/>
        </w:rPr>
        <w:t xml:space="preserve"> </w:t>
      </w:r>
      <w:r>
        <w:rPr>
          <w:rFonts w:ascii="Verdana" w:hAnsi="Verdana"/>
          <w:sz w:val="20"/>
          <w:szCs w:val="20"/>
          <w:lang w:val="es-CR"/>
        </w:rPr>
        <w:t xml:space="preserve">proceso penal </w:t>
      </w:r>
      <w:r w:rsidR="00F200B7">
        <w:rPr>
          <w:rFonts w:ascii="Verdana" w:hAnsi="Verdana"/>
          <w:sz w:val="20"/>
          <w:szCs w:val="20"/>
          <w:lang w:val="es-CR"/>
        </w:rPr>
        <w:t>sea conocido por la jurisdicción pena</w:t>
      </w:r>
      <w:r w:rsidR="00742DBB">
        <w:rPr>
          <w:rFonts w:ascii="Verdana" w:hAnsi="Verdana"/>
          <w:sz w:val="20"/>
          <w:szCs w:val="20"/>
          <w:lang w:val="es-CR"/>
        </w:rPr>
        <w:t xml:space="preserve">l </w:t>
      </w:r>
      <w:r w:rsidR="00742DBB" w:rsidRPr="003C3C80">
        <w:rPr>
          <w:rFonts w:ascii="Verdana" w:hAnsi="Verdana"/>
          <w:sz w:val="20"/>
          <w:szCs w:val="20"/>
          <w:lang w:val="es-CR"/>
        </w:rPr>
        <w:t xml:space="preserve">militar </w:t>
      </w:r>
      <w:r w:rsidR="00013CAF" w:rsidRPr="003C0A2E">
        <w:rPr>
          <w:rFonts w:ascii="Verdana" w:hAnsi="Verdana"/>
          <w:sz w:val="20"/>
          <w:szCs w:val="20"/>
          <w:lang w:val="es-CR"/>
        </w:rPr>
        <w:t>con la normativa vigente el 1998</w:t>
      </w:r>
      <w:r w:rsidR="00FB2D8E" w:rsidRPr="003C3C80">
        <w:rPr>
          <w:rFonts w:ascii="Verdana" w:hAnsi="Verdana"/>
          <w:sz w:val="20"/>
          <w:szCs w:val="20"/>
          <w:lang w:val="es-CR"/>
        </w:rPr>
        <w:t>,</w:t>
      </w:r>
      <w:r w:rsidR="00013CAF">
        <w:rPr>
          <w:rFonts w:ascii="Verdana" w:hAnsi="Verdana"/>
          <w:sz w:val="20"/>
          <w:szCs w:val="20"/>
          <w:lang w:val="es-CR"/>
        </w:rPr>
        <w:t xml:space="preserve"> </w:t>
      </w:r>
      <w:r w:rsidR="00742DBB">
        <w:rPr>
          <w:rFonts w:ascii="Verdana" w:hAnsi="Verdana"/>
          <w:sz w:val="20"/>
          <w:szCs w:val="20"/>
          <w:lang w:val="es-CR"/>
        </w:rPr>
        <w:t>no refleja</w:t>
      </w:r>
      <w:r w:rsidR="00FB2D8E">
        <w:rPr>
          <w:rFonts w:ascii="Verdana" w:hAnsi="Verdana"/>
          <w:sz w:val="20"/>
          <w:szCs w:val="20"/>
          <w:lang w:val="es-CR"/>
        </w:rPr>
        <w:t xml:space="preserve"> </w:t>
      </w:r>
      <w:r w:rsidR="00F200B7" w:rsidRPr="00CC6C18">
        <w:rPr>
          <w:rFonts w:ascii="Verdana" w:hAnsi="Verdana"/>
          <w:sz w:val="20"/>
          <w:szCs w:val="20"/>
          <w:lang w:val="es-CR"/>
        </w:rPr>
        <w:t xml:space="preserve">un avance en el cumplimiento de la obligación internacional de investigar, juzgar y, eventualmente sancionar a los responsables de </w:t>
      </w:r>
      <w:r w:rsidR="00AD5204">
        <w:rPr>
          <w:rFonts w:ascii="Verdana" w:hAnsi="Verdana"/>
          <w:sz w:val="20"/>
          <w:szCs w:val="20"/>
          <w:lang w:val="es-CR"/>
        </w:rPr>
        <w:t>las violaciones ocurrida</w:t>
      </w:r>
      <w:r w:rsidR="00F200B7" w:rsidRPr="00CC6C18">
        <w:rPr>
          <w:rFonts w:ascii="Verdana" w:hAnsi="Verdana"/>
          <w:sz w:val="20"/>
          <w:szCs w:val="20"/>
          <w:lang w:val="es-CR"/>
        </w:rPr>
        <w:t xml:space="preserve">s a las víctimas del caso </w:t>
      </w:r>
      <w:r w:rsidR="00F200B7" w:rsidRPr="00CC6C18">
        <w:rPr>
          <w:rFonts w:ascii="Verdana" w:hAnsi="Verdana"/>
          <w:i/>
          <w:sz w:val="20"/>
          <w:szCs w:val="20"/>
          <w:lang w:val="es-CR"/>
        </w:rPr>
        <w:t>El</w:t>
      </w:r>
      <w:r w:rsidR="00742DBB" w:rsidRPr="00CC6C18">
        <w:rPr>
          <w:rFonts w:ascii="Verdana" w:hAnsi="Verdana"/>
          <w:i/>
          <w:sz w:val="20"/>
          <w:szCs w:val="20"/>
          <w:lang w:val="es-CR"/>
        </w:rPr>
        <w:t xml:space="preserve"> Amparo</w:t>
      </w:r>
      <w:r w:rsidR="00346D24">
        <w:rPr>
          <w:rFonts w:ascii="Verdana" w:hAnsi="Verdana"/>
          <w:i/>
          <w:sz w:val="20"/>
          <w:szCs w:val="20"/>
          <w:lang w:val="es-CR"/>
        </w:rPr>
        <w:t>.</w:t>
      </w:r>
      <w:r w:rsidR="00346D24">
        <w:rPr>
          <w:rFonts w:ascii="Verdana" w:hAnsi="Verdana"/>
          <w:sz w:val="20"/>
          <w:szCs w:val="20"/>
          <w:lang w:val="es-CR"/>
        </w:rPr>
        <w:t xml:space="preserve"> A</w:t>
      </w:r>
      <w:r w:rsidR="00742DBB" w:rsidRPr="00CC6C18">
        <w:rPr>
          <w:rFonts w:ascii="Verdana" w:hAnsi="Verdana"/>
          <w:sz w:val="20"/>
          <w:szCs w:val="20"/>
          <w:lang w:val="es-CR"/>
        </w:rPr>
        <w:t>l</w:t>
      </w:r>
      <w:r w:rsidR="00F200B7" w:rsidRPr="00CC6C18">
        <w:rPr>
          <w:rFonts w:ascii="Verdana" w:hAnsi="Verdana"/>
          <w:sz w:val="20"/>
          <w:szCs w:val="20"/>
          <w:lang w:val="es-CR"/>
        </w:rPr>
        <w:t xml:space="preserve"> tratarse de violaciones a derechos humanos</w:t>
      </w:r>
      <w:r w:rsidR="00346D24">
        <w:rPr>
          <w:rFonts w:ascii="Verdana" w:hAnsi="Verdana"/>
          <w:sz w:val="20"/>
          <w:szCs w:val="20"/>
          <w:lang w:val="es-CR"/>
        </w:rPr>
        <w:t xml:space="preserve">, </w:t>
      </w:r>
      <w:r w:rsidR="00F557C5">
        <w:rPr>
          <w:rFonts w:ascii="Verdana" w:hAnsi="Verdana"/>
          <w:sz w:val="20"/>
          <w:szCs w:val="20"/>
          <w:lang w:val="es-CR"/>
        </w:rPr>
        <w:t xml:space="preserve">la investigación, juzgamiento y eventual sanción de los responsables de </w:t>
      </w:r>
      <w:r w:rsidR="00346D24">
        <w:rPr>
          <w:rFonts w:ascii="Verdana" w:hAnsi="Verdana"/>
          <w:sz w:val="20"/>
          <w:szCs w:val="20"/>
          <w:lang w:val="es-CR"/>
        </w:rPr>
        <w:t>los hechos del presente caso</w:t>
      </w:r>
      <w:r w:rsidR="00F200B7" w:rsidRPr="00CC6C18">
        <w:rPr>
          <w:rFonts w:ascii="Verdana" w:hAnsi="Verdana"/>
          <w:sz w:val="20"/>
          <w:szCs w:val="20"/>
          <w:lang w:val="es-CR"/>
        </w:rPr>
        <w:t xml:space="preserve"> deben</w:t>
      </w:r>
      <w:r w:rsidR="00742DBB" w:rsidRPr="00CC6C18">
        <w:rPr>
          <w:rFonts w:ascii="Verdana" w:hAnsi="Verdana"/>
          <w:sz w:val="20"/>
          <w:szCs w:val="20"/>
          <w:lang w:val="es-CR"/>
        </w:rPr>
        <w:t xml:space="preserve"> ser </w:t>
      </w:r>
      <w:r w:rsidR="00F200B7" w:rsidRPr="00CC6C18">
        <w:rPr>
          <w:rFonts w:ascii="Verdana" w:hAnsi="Verdana"/>
          <w:sz w:val="20"/>
          <w:szCs w:val="20"/>
          <w:lang w:val="es-CR"/>
        </w:rPr>
        <w:t>objeto de la jurisdicción ordinaria</w:t>
      </w:r>
      <w:r w:rsidR="00F557C5">
        <w:rPr>
          <w:rFonts w:ascii="Verdana" w:hAnsi="Verdana"/>
          <w:sz w:val="20"/>
          <w:szCs w:val="20"/>
          <w:lang w:val="es-CR"/>
        </w:rPr>
        <w:t xml:space="preserve"> o común</w:t>
      </w:r>
      <w:r w:rsidR="00C407DE" w:rsidRPr="00CC6C18">
        <w:rPr>
          <w:rFonts w:ascii="Verdana" w:hAnsi="Verdana"/>
          <w:sz w:val="20"/>
          <w:szCs w:val="20"/>
          <w:lang w:val="es-CR"/>
        </w:rPr>
        <w:t>,</w:t>
      </w:r>
      <w:r w:rsidR="00742DBB" w:rsidRPr="00CC6C18">
        <w:rPr>
          <w:rFonts w:ascii="Verdana" w:hAnsi="Verdana"/>
          <w:sz w:val="20"/>
          <w:szCs w:val="20"/>
          <w:lang w:val="es-CR"/>
        </w:rPr>
        <w:t xml:space="preserve"> que</w:t>
      </w:r>
      <w:r w:rsidR="00C407DE" w:rsidRPr="00CC6C18">
        <w:rPr>
          <w:rFonts w:ascii="Verdana" w:hAnsi="Verdana"/>
          <w:sz w:val="20"/>
          <w:szCs w:val="20"/>
          <w:lang w:val="es-CR"/>
        </w:rPr>
        <w:t xml:space="preserve"> </w:t>
      </w:r>
      <w:r w:rsidR="00742DBB" w:rsidRPr="00CC6C18">
        <w:rPr>
          <w:rFonts w:ascii="Verdana" w:hAnsi="Verdana"/>
          <w:sz w:val="20"/>
          <w:szCs w:val="20"/>
          <w:lang w:val="es-CR"/>
        </w:rPr>
        <w:t>es el fuero competente</w:t>
      </w:r>
      <w:r w:rsidR="00E56C83" w:rsidRPr="00AD5204">
        <w:rPr>
          <w:rStyle w:val="FootnoteReference"/>
          <w:rFonts w:ascii="Verdana" w:hAnsi="Verdana"/>
          <w:sz w:val="20"/>
          <w:szCs w:val="20"/>
          <w:lang w:val="es-ES"/>
        </w:rPr>
        <w:footnoteReference w:id="26"/>
      </w:r>
      <w:r w:rsidR="00742DBB" w:rsidRPr="00AD5204">
        <w:rPr>
          <w:rFonts w:ascii="Verdana" w:hAnsi="Verdana"/>
          <w:sz w:val="20"/>
          <w:szCs w:val="20"/>
          <w:lang w:val="es-CR"/>
        </w:rPr>
        <w:t xml:space="preserve"> para garantizar </w:t>
      </w:r>
      <w:r w:rsidR="00927051" w:rsidRPr="00AD5204">
        <w:rPr>
          <w:rFonts w:ascii="Verdana" w:hAnsi="Verdana"/>
          <w:sz w:val="20"/>
          <w:szCs w:val="20"/>
          <w:lang w:val="es-ES"/>
        </w:rPr>
        <w:t>el derecho a un juez o tribunal competente como garantía al juez natural</w:t>
      </w:r>
      <w:r w:rsidR="00C407DE" w:rsidRPr="00AD5204">
        <w:rPr>
          <w:rFonts w:ascii="Verdana" w:hAnsi="Verdana"/>
          <w:sz w:val="20"/>
          <w:szCs w:val="20"/>
          <w:lang w:val="es-ES"/>
        </w:rPr>
        <w:t>, así como el derecho a un debido proceso</w:t>
      </w:r>
      <w:r w:rsidR="00FB2D8E" w:rsidRPr="00AD5204">
        <w:rPr>
          <w:rStyle w:val="FootnoteReference"/>
          <w:rFonts w:ascii="Verdana" w:hAnsi="Verdana"/>
          <w:sz w:val="20"/>
          <w:szCs w:val="20"/>
          <w:lang w:val="es-ES"/>
        </w:rPr>
        <w:footnoteReference w:id="27"/>
      </w:r>
      <w:r w:rsidR="00F200B7" w:rsidRPr="00AD5204">
        <w:rPr>
          <w:rFonts w:ascii="Verdana" w:hAnsi="Verdana"/>
          <w:sz w:val="20"/>
          <w:szCs w:val="20"/>
          <w:lang w:val="es-CR"/>
        </w:rPr>
        <w:t>.</w:t>
      </w:r>
      <w:r w:rsidR="007B34D4" w:rsidRPr="00AD5204">
        <w:rPr>
          <w:rFonts w:ascii="Verdana" w:hAnsi="Verdana"/>
          <w:sz w:val="20"/>
          <w:szCs w:val="20"/>
          <w:lang w:val="es-CR"/>
        </w:rPr>
        <w:t xml:space="preserve"> </w:t>
      </w:r>
    </w:p>
    <w:p w:rsidR="009173F0" w:rsidRDefault="009173F0" w:rsidP="009173F0">
      <w:pPr>
        <w:numPr>
          <w:ilvl w:val="0"/>
          <w:numId w:val="3"/>
        </w:numPr>
        <w:spacing w:before="120" w:after="120" w:line="240" w:lineRule="auto"/>
        <w:ind w:left="0" w:firstLine="0"/>
        <w:jc w:val="both"/>
        <w:rPr>
          <w:rFonts w:ascii="Verdana" w:hAnsi="Verdana"/>
          <w:sz w:val="20"/>
          <w:szCs w:val="20"/>
          <w:lang w:val="es-CR"/>
        </w:rPr>
      </w:pPr>
      <w:r>
        <w:rPr>
          <w:rFonts w:ascii="Verdana" w:hAnsi="Verdana"/>
          <w:sz w:val="20"/>
          <w:szCs w:val="20"/>
          <w:lang w:val="es-CR"/>
        </w:rPr>
        <w:t>L</w:t>
      </w:r>
      <w:r w:rsidRPr="003154AF">
        <w:rPr>
          <w:rFonts w:ascii="Verdana" w:hAnsi="Verdana"/>
          <w:sz w:val="20"/>
          <w:szCs w:val="20"/>
          <w:lang w:val="es-CR"/>
        </w:rPr>
        <w:t>a Corte recuerda que</w:t>
      </w:r>
      <w:r w:rsidR="003C3C80">
        <w:rPr>
          <w:rFonts w:ascii="Verdana" w:hAnsi="Verdana"/>
          <w:sz w:val="20"/>
          <w:szCs w:val="20"/>
          <w:lang w:val="es-CR"/>
        </w:rPr>
        <w:t>, en la etapa</w:t>
      </w:r>
      <w:r w:rsidRPr="003154AF">
        <w:rPr>
          <w:rFonts w:ascii="Verdana" w:hAnsi="Verdana"/>
          <w:sz w:val="20"/>
          <w:szCs w:val="20"/>
          <w:lang w:val="es-CR"/>
        </w:rPr>
        <w:t xml:space="preserve"> </w:t>
      </w:r>
      <w:r w:rsidR="003C3C80">
        <w:rPr>
          <w:rFonts w:ascii="Verdana" w:hAnsi="Verdana"/>
          <w:sz w:val="20"/>
          <w:szCs w:val="20"/>
          <w:lang w:val="es-CR"/>
        </w:rPr>
        <w:t>de</w:t>
      </w:r>
      <w:r w:rsidRPr="003154AF">
        <w:rPr>
          <w:rFonts w:ascii="Verdana" w:hAnsi="Verdana"/>
          <w:sz w:val="20"/>
          <w:szCs w:val="20"/>
          <w:lang w:val="es-CR"/>
        </w:rPr>
        <w:t xml:space="preserve"> fondo del presente caso, hace más de veintitrés años, </w:t>
      </w:r>
      <w:r w:rsidR="007B34D4">
        <w:rPr>
          <w:rFonts w:ascii="Verdana" w:hAnsi="Verdana"/>
          <w:sz w:val="20"/>
          <w:szCs w:val="20"/>
          <w:lang w:val="es-CR"/>
        </w:rPr>
        <w:t xml:space="preserve">el Estado </w:t>
      </w:r>
      <w:r w:rsidRPr="003154AF">
        <w:rPr>
          <w:rFonts w:ascii="Verdana" w:hAnsi="Verdana"/>
          <w:sz w:val="20"/>
          <w:szCs w:val="20"/>
          <w:lang w:val="es-CR"/>
        </w:rPr>
        <w:t xml:space="preserve">reconoció su responsabilidad internacional por las violaciones a los derechos humanos de las </w:t>
      </w:r>
      <w:r w:rsidR="00616ED2">
        <w:rPr>
          <w:rFonts w:ascii="Verdana" w:hAnsi="Verdana"/>
          <w:sz w:val="20"/>
          <w:szCs w:val="20"/>
          <w:lang w:val="es-CR"/>
        </w:rPr>
        <w:t>dieciséis</w:t>
      </w:r>
      <w:r w:rsidRPr="003154AF">
        <w:rPr>
          <w:rFonts w:ascii="Verdana" w:hAnsi="Verdana"/>
          <w:sz w:val="20"/>
          <w:szCs w:val="20"/>
          <w:lang w:val="es-CR"/>
        </w:rPr>
        <w:t xml:space="preserve"> víctimas</w:t>
      </w:r>
      <w:r>
        <w:rPr>
          <w:rFonts w:ascii="Verdana" w:hAnsi="Verdana"/>
          <w:sz w:val="20"/>
          <w:szCs w:val="20"/>
          <w:lang w:val="es-CR"/>
        </w:rPr>
        <w:t xml:space="preserve"> del caso </w:t>
      </w:r>
      <w:r w:rsidRPr="00FB2D8E">
        <w:rPr>
          <w:rFonts w:ascii="Verdana" w:hAnsi="Verdana"/>
          <w:i/>
          <w:sz w:val="20"/>
          <w:szCs w:val="20"/>
          <w:lang w:val="es-CR"/>
        </w:rPr>
        <w:t>El Amparo</w:t>
      </w:r>
      <w:r w:rsidRPr="003154AF">
        <w:rPr>
          <w:rFonts w:ascii="Verdana" w:hAnsi="Verdana"/>
          <w:sz w:val="20"/>
          <w:szCs w:val="20"/>
          <w:lang w:val="es-CR"/>
        </w:rPr>
        <w:t xml:space="preserve">. Tal reconocimiento estatal </w:t>
      </w:r>
      <w:r w:rsidRPr="003154AF">
        <w:rPr>
          <w:rFonts w:ascii="Verdana" w:hAnsi="Verdana"/>
          <w:sz w:val="20"/>
          <w:szCs w:val="20"/>
          <w:lang w:val="es-ES"/>
        </w:rPr>
        <w:t>deb</w:t>
      </w:r>
      <w:r>
        <w:rPr>
          <w:rFonts w:ascii="Verdana" w:hAnsi="Verdana"/>
          <w:sz w:val="20"/>
          <w:szCs w:val="20"/>
          <w:lang w:val="es-ES"/>
        </w:rPr>
        <w:t>ía</w:t>
      </w:r>
      <w:r w:rsidRPr="003154AF">
        <w:rPr>
          <w:rFonts w:ascii="Verdana" w:hAnsi="Verdana"/>
          <w:sz w:val="20"/>
          <w:szCs w:val="20"/>
          <w:lang w:val="es-ES"/>
        </w:rPr>
        <w:t xml:space="preserve"> traducirse en un pronto y efectivo cumplimiento de las órdenes que emite el Tribunal como medidas de reparación</w:t>
      </w:r>
      <w:r w:rsidR="007B34D4">
        <w:rPr>
          <w:rStyle w:val="FootnoteReference"/>
          <w:rFonts w:ascii="Verdana" w:hAnsi="Verdana"/>
          <w:sz w:val="20"/>
          <w:szCs w:val="20"/>
          <w:lang w:val="es-ES"/>
        </w:rPr>
        <w:footnoteReference w:id="28"/>
      </w:r>
      <w:r w:rsidRPr="003154AF">
        <w:rPr>
          <w:rFonts w:ascii="Verdana" w:hAnsi="Verdana"/>
          <w:sz w:val="20"/>
          <w:szCs w:val="20"/>
          <w:lang w:val="es-ES"/>
        </w:rPr>
        <w:t xml:space="preserve">. No obstante, han transcurrido más de treinta años desde que ocurrieron los hechos </w:t>
      </w:r>
      <w:r>
        <w:rPr>
          <w:rFonts w:ascii="Verdana" w:hAnsi="Verdana"/>
          <w:sz w:val="20"/>
          <w:szCs w:val="20"/>
          <w:lang w:val="es-ES"/>
        </w:rPr>
        <w:t>y las violaciones a derechos humanos continúan en impunidad</w:t>
      </w:r>
      <w:r>
        <w:rPr>
          <w:rFonts w:ascii="Verdana" w:hAnsi="Verdana"/>
          <w:sz w:val="20"/>
          <w:szCs w:val="20"/>
          <w:lang w:val="es-CR"/>
        </w:rPr>
        <w:t xml:space="preserve">, </w:t>
      </w:r>
      <w:r w:rsidRPr="003154AF">
        <w:rPr>
          <w:rFonts w:ascii="Verdana" w:hAnsi="Verdana"/>
          <w:sz w:val="20"/>
          <w:szCs w:val="16"/>
          <w:lang w:val="es-ES"/>
        </w:rPr>
        <w:t xml:space="preserve">persistiendo el incumplimiento del deber de </w:t>
      </w:r>
      <w:r>
        <w:rPr>
          <w:rFonts w:ascii="Verdana" w:hAnsi="Verdana"/>
          <w:sz w:val="20"/>
          <w:szCs w:val="16"/>
          <w:lang w:val="es-ES"/>
        </w:rPr>
        <w:t>Venezuela</w:t>
      </w:r>
      <w:r w:rsidRPr="003154AF">
        <w:rPr>
          <w:rFonts w:ascii="Verdana" w:hAnsi="Verdana"/>
          <w:sz w:val="20"/>
          <w:szCs w:val="16"/>
          <w:lang w:val="es-ES"/>
        </w:rPr>
        <w:t xml:space="preserve"> de investigar, juzgar y, eventualmente, sancionar a los responsables. Esta actuación por parte del Estado </w:t>
      </w:r>
      <w:r w:rsidRPr="003154AF">
        <w:rPr>
          <w:rFonts w:ascii="Verdana" w:hAnsi="Verdana"/>
          <w:sz w:val="20"/>
          <w:szCs w:val="20"/>
          <w:lang w:val="es-ES"/>
        </w:rPr>
        <w:t>lesiona a la</w:t>
      </w:r>
      <w:r>
        <w:rPr>
          <w:rFonts w:ascii="Verdana" w:hAnsi="Verdana"/>
          <w:sz w:val="20"/>
          <w:szCs w:val="20"/>
          <w:lang w:val="es-ES"/>
        </w:rPr>
        <w:t>s</w:t>
      </w:r>
      <w:r w:rsidRPr="003154AF">
        <w:rPr>
          <w:rFonts w:ascii="Verdana" w:hAnsi="Verdana"/>
          <w:sz w:val="20"/>
          <w:szCs w:val="20"/>
          <w:lang w:val="es-ES"/>
        </w:rPr>
        <w:t xml:space="preserve"> víctima</w:t>
      </w:r>
      <w:r>
        <w:rPr>
          <w:rFonts w:ascii="Verdana" w:hAnsi="Verdana"/>
          <w:sz w:val="20"/>
          <w:szCs w:val="20"/>
          <w:lang w:val="es-ES"/>
        </w:rPr>
        <w:t>s</w:t>
      </w:r>
      <w:r w:rsidRPr="003154AF">
        <w:rPr>
          <w:rFonts w:ascii="Verdana" w:hAnsi="Verdana"/>
          <w:sz w:val="20"/>
          <w:szCs w:val="20"/>
          <w:lang w:val="es-ES"/>
        </w:rPr>
        <w:t xml:space="preserve"> y propicia la repetición de violaciones de derechos humanos como las del presente caso</w:t>
      </w:r>
      <w:r w:rsidRPr="00303891">
        <w:rPr>
          <w:rStyle w:val="FootnoteReference"/>
          <w:rFonts w:ascii="Verdana" w:hAnsi="Verdana"/>
          <w:sz w:val="20"/>
          <w:szCs w:val="20"/>
        </w:rPr>
        <w:footnoteReference w:id="29"/>
      </w:r>
      <w:r w:rsidRPr="003154AF">
        <w:rPr>
          <w:rFonts w:ascii="Verdana" w:hAnsi="Verdana"/>
          <w:sz w:val="20"/>
          <w:szCs w:val="20"/>
          <w:lang w:val="es-ES"/>
        </w:rPr>
        <w:t>.</w:t>
      </w:r>
    </w:p>
    <w:p w:rsidR="009173F0" w:rsidRPr="009173F0" w:rsidRDefault="009173F0" w:rsidP="009173F0">
      <w:pPr>
        <w:numPr>
          <w:ilvl w:val="0"/>
          <w:numId w:val="3"/>
        </w:numPr>
        <w:spacing w:before="120" w:after="120" w:line="240" w:lineRule="auto"/>
        <w:ind w:left="0" w:firstLine="0"/>
        <w:jc w:val="both"/>
        <w:rPr>
          <w:rFonts w:ascii="Verdana" w:hAnsi="Verdana"/>
          <w:sz w:val="20"/>
          <w:szCs w:val="20"/>
          <w:lang w:val="es-CR"/>
        </w:rPr>
      </w:pPr>
      <w:r w:rsidRPr="003154AF">
        <w:rPr>
          <w:rFonts w:ascii="Verdana" w:hAnsi="Verdana"/>
          <w:sz w:val="20"/>
          <w:szCs w:val="20"/>
          <w:lang w:val="es-ES"/>
        </w:rPr>
        <w:lastRenderedPageBreak/>
        <w:t>Al respecto, la Corte reitera lo señalado en su jurisprudencia sobre el deber que tienen los Estados de evitar y combatir la impunidad por todos los medios legales disponibles, ya que ésta propicia la repetición crónica de las violaciones de derechos humanos y la total indefensión de las víctimas y de sus familiares</w:t>
      </w:r>
      <w:r w:rsidRPr="00303891">
        <w:rPr>
          <w:rStyle w:val="FootnoteReference"/>
          <w:rFonts w:ascii="Verdana" w:hAnsi="Verdana"/>
          <w:sz w:val="20"/>
          <w:szCs w:val="20"/>
        </w:rPr>
        <w:footnoteReference w:id="30"/>
      </w:r>
      <w:r w:rsidRPr="003154AF">
        <w:rPr>
          <w:rFonts w:ascii="Verdana" w:hAnsi="Verdana"/>
          <w:sz w:val="20"/>
          <w:szCs w:val="20"/>
          <w:lang w:val="es-ES"/>
        </w:rPr>
        <w:t xml:space="preserve">. </w:t>
      </w:r>
    </w:p>
    <w:p w:rsidR="001009B7" w:rsidRDefault="001009B7" w:rsidP="00F200B7">
      <w:pPr>
        <w:numPr>
          <w:ilvl w:val="0"/>
          <w:numId w:val="3"/>
        </w:numPr>
        <w:spacing w:before="120" w:after="120" w:line="240" w:lineRule="auto"/>
        <w:ind w:left="0" w:firstLine="0"/>
        <w:jc w:val="both"/>
        <w:rPr>
          <w:rFonts w:ascii="Verdana" w:hAnsi="Verdana"/>
          <w:sz w:val="20"/>
          <w:szCs w:val="20"/>
          <w:lang w:val="es-CR"/>
        </w:rPr>
      </w:pPr>
      <w:r w:rsidRPr="00F200B7">
        <w:rPr>
          <w:rFonts w:ascii="Verdana" w:hAnsi="Verdana"/>
          <w:sz w:val="20"/>
          <w:szCs w:val="20"/>
          <w:lang w:val="es-CR"/>
        </w:rPr>
        <w:t>En virtud de ello, este Tribunal considera que el presente caso se encuentra actualmente en una situación que amerita que se continúe aplicando el artículo</w:t>
      </w:r>
      <w:r w:rsidR="009173F0">
        <w:rPr>
          <w:rFonts w:ascii="Verdana" w:hAnsi="Verdana"/>
          <w:sz w:val="20"/>
          <w:szCs w:val="20"/>
          <w:lang w:val="es-CR"/>
        </w:rPr>
        <w:t xml:space="preserve"> 65 de la Convención Americana, por lo cual se incluirá el presente caso en el Informe Anual </w:t>
      </w:r>
      <w:r w:rsidR="003C3C80">
        <w:rPr>
          <w:rFonts w:ascii="Verdana" w:hAnsi="Verdana"/>
          <w:sz w:val="20"/>
          <w:szCs w:val="20"/>
          <w:lang w:val="es-CR"/>
        </w:rPr>
        <w:t xml:space="preserve">de labores del 2018 </w:t>
      </w:r>
      <w:r w:rsidR="009173F0">
        <w:rPr>
          <w:rFonts w:ascii="Verdana" w:hAnsi="Verdana"/>
          <w:sz w:val="20"/>
          <w:szCs w:val="20"/>
          <w:lang w:val="es-CR"/>
        </w:rPr>
        <w:t>que presente la Corte Interamericana a consideración de la Asamblea General de la Organización de los Estados American</w:t>
      </w:r>
      <w:r w:rsidR="003C3C80">
        <w:rPr>
          <w:rFonts w:ascii="Verdana" w:hAnsi="Verdana"/>
          <w:sz w:val="20"/>
          <w:szCs w:val="20"/>
          <w:lang w:val="es-CR"/>
        </w:rPr>
        <w:t>os</w:t>
      </w:r>
      <w:r w:rsidR="000F1BCD">
        <w:rPr>
          <w:rFonts w:ascii="Verdana" w:hAnsi="Verdana"/>
          <w:sz w:val="20"/>
          <w:szCs w:val="20"/>
          <w:lang w:val="es-CR"/>
        </w:rPr>
        <w:t>.</w:t>
      </w:r>
    </w:p>
    <w:p w:rsidR="009173F0" w:rsidRDefault="009173F0" w:rsidP="00B8057F">
      <w:pPr>
        <w:tabs>
          <w:tab w:val="left" w:pos="680"/>
        </w:tabs>
        <w:spacing w:before="120" w:after="120" w:line="240" w:lineRule="auto"/>
        <w:jc w:val="both"/>
        <w:rPr>
          <w:rFonts w:ascii="Verdana" w:hAnsi="Verdana"/>
          <w:b/>
          <w:sz w:val="20"/>
          <w:szCs w:val="20"/>
          <w:lang w:val="es-MX"/>
        </w:rPr>
      </w:pPr>
    </w:p>
    <w:p w:rsidR="00B8057F" w:rsidRDefault="00B8057F" w:rsidP="00B8057F">
      <w:pPr>
        <w:tabs>
          <w:tab w:val="left" w:pos="680"/>
        </w:tabs>
        <w:spacing w:before="120" w:after="120" w:line="240" w:lineRule="auto"/>
        <w:jc w:val="both"/>
        <w:rPr>
          <w:rFonts w:ascii="Verdana" w:hAnsi="Verdana"/>
          <w:b/>
          <w:sz w:val="20"/>
          <w:szCs w:val="20"/>
          <w:lang w:val="es-MX"/>
        </w:rPr>
      </w:pPr>
      <w:r>
        <w:rPr>
          <w:rFonts w:ascii="Verdana" w:hAnsi="Verdana"/>
          <w:b/>
          <w:sz w:val="20"/>
          <w:szCs w:val="20"/>
          <w:lang w:val="es-MX"/>
        </w:rPr>
        <w:t>POR TANTO:</w:t>
      </w:r>
    </w:p>
    <w:p w:rsidR="00B8057F" w:rsidRDefault="00B8057F" w:rsidP="00B8057F">
      <w:pPr>
        <w:pStyle w:val="BodyText"/>
        <w:tabs>
          <w:tab w:val="left" w:pos="360"/>
          <w:tab w:val="left" w:pos="567"/>
        </w:tabs>
        <w:spacing w:before="120" w:line="240" w:lineRule="auto"/>
        <w:rPr>
          <w:rFonts w:ascii="Verdana" w:hAnsi="Verdana"/>
          <w:b/>
          <w:sz w:val="20"/>
          <w:lang w:val="es-CR"/>
        </w:rPr>
      </w:pPr>
      <w:r>
        <w:rPr>
          <w:rFonts w:ascii="Verdana" w:hAnsi="Verdana"/>
          <w:b/>
          <w:sz w:val="20"/>
          <w:lang w:val="es-CR"/>
        </w:rPr>
        <w:t>LA CORTE INTERAMERICANA DE DERECHOS HUMANOS,</w:t>
      </w:r>
    </w:p>
    <w:p w:rsidR="00B8057F" w:rsidRDefault="00B8057F" w:rsidP="00B8057F">
      <w:pPr>
        <w:tabs>
          <w:tab w:val="left" w:pos="567"/>
        </w:tabs>
        <w:spacing w:before="120" w:after="120" w:line="240" w:lineRule="auto"/>
        <w:jc w:val="both"/>
        <w:rPr>
          <w:rFonts w:ascii="Verdana" w:hAnsi="Verdana"/>
          <w:sz w:val="20"/>
          <w:lang w:val="es-CR"/>
        </w:rPr>
      </w:pPr>
      <w:r>
        <w:rPr>
          <w:rFonts w:ascii="Verdana" w:hAnsi="Verdana"/>
          <w:sz w:val="20"/>
          <w:lang w:val="es-CR"/>
        </w:rPr>
        <w:t>en el ejercicio de sus atribuciones de supervisión del cumplimiento de sus decisiones, de conformidad con los artículos 33, 62.1, 62.3, 65, 67 y 68.1 de la Convención Americana sobre Derechos Humanos, 24, 25 y 30 del Estatuto, y 31.2 y 69 de su Reglamento,</w:t>
      </w:r>
    </w:p>
    <w:p w:rsidR="00616ED2" w:rsidRDefault="00616ED2" w:rsidP="00B8057F">
      <w:pPr>
        <w:tabs>
          <w:tab w:val="left" w:pos="567"/>
        </w:tabs>
        <w:spacing w:before="120" w:after="120" w:line="240" w:lineRule="auto"/>
        <w:ind w:right="22"/>
        <w:jc w:val="both"/>
        <w:rPr>
          <w:rFonts w:ascii="Verdana" w:hAnsi="Verdana"/>
          <w:b/>
          <w:sz w:val="20"/>
          <w:lang w:val="es-CR"/>
        </w:rPr>
      </w:pPr>
    </w:p>
    <w:p w:rsidR="00B8057F" w:rsidRDefault="00B8057F" w:rsidP="00B8057F">
      <w:pPr>
        <w:tabs>
          <w:tab w:val="left" w:pos="567"/>
        </w:tabs>
        <w:spacing w:before="120" w:after="120" w:line="240" w:lineRule="auto"/>
        <w:ind w:right="22"/>
        <w:jc w:val="both"/>
        <w:rPr>
          <w:rFonts w:ascii="Verdana" w:hAnsi="Verdana"/>
          <w:b/>
          <w:sz w:val="20"/>
          <w:lang w:val="es-CR"/>
        </w:rPr>
      </w:pPr>
      <w:r>
        <w:rPr>
          <w:rFonts w:ascii="Verdana" w:hAnsi="Verdana"/>
          <w:b/>
          <w:sz w:val="20"/>
          <w:lang w:val="es-CR"/>
        </w:rPr>
        <w:t xml:space="preserve">RESUELVE: </w:t>
      </w:r>
    </w:p>
    <w:p w:rsidR="00B8057F" w:rsidRPr="00616ED2" w:rsidRDefault="00B8057F" w:rsidP="009173F0">
      <w:pPr>
        <w:numPr>
          <w:ilvl w:val="0"/>
          <w:numId w:val="9"/>
        </w:numPr>
        <w:spacing w:before="120" w:after="120" w:line="240" w:lineRule="auto"/>
        <w:ind w:left="0" w:firstLine="0"/>
        <w:jc w:val="both"/>
        <w:rPr>
          <w:rFonts w:ascii="Verdana" w:hAnsi="Verdana"/>
          <w:sz w:val="20"/>
          <w:szCs w:val="20"/>
          <w:lang w:val="es-CR"/>
        </w:rPr>
      </w:pPr>
      <w:r>
        <w:rPr>
          <w:rFonts w:ascii="Verdana" w:hAnsi="Verdana"/>
          <w:sz w:val="20"/>
          <w:szCs w:val="20"/>
          <w:lang w:val="es-CR"/>
        </w:rPr>
        <w:t xml:space="preserve">Declarar, de conformidad con lo señalado en </w:t>
      </w:r>
      <w:r w:rsidR="00A76C78">
        <w:rPr>
          <w:rFonts w:ascii="Verdana" w:hAnsi="Verdana"/>
          <w:sz w:val="20"/>
          <w:szCs w:val="20"/>
          <w:lang w:val="es-CR"/>
        </w:rPr>
        <w:t xml:space="preserve">el </w:t>
      </w:r>
      <w:r>
        <w:rPr>
          <w:rFonts w:ascii="Verdana" w:hAnsi="Verdana"/>
          <w:sz w:val="20"/>
          <w:szCs w:val="20"/>
          <w:lang w:val="es-CR"/>
        </w:rPr>
        <w:t xml:space="preserve">Considerando </w:t>
      </w:r>
      <w:r w:rsidR="00A76C78">
        <w:rPr>
          <w:rFonts w:ascii="Verdana" w:hAnsi="Verdana"/>
          <w:sz w:val="20"/>
          <w:szCs w:val="20"/>
          <w:lang w:val="es-CR"/>
        </w:rPr>
        <w:t xml:space="preserve">10 </w:t>
      </w:r>
      <w:r>
        <w:rPr>
          <w:rFonts w:ascii="Verdana" w:hAnsi="Verdana"/>
          <w:sz w:val="20"/>
          <w:szCs w:val="20"/>
          <w:lang w:val="es-CR"/>
        </w:rPr>
        <w:t xml:space="preserve">de la presente Resolución, que el Estado </w:t>
      </w:r>
      <w:r w:rsidR="00C259F0">
        <w:rPr>
          <w:rFonts w:ascii="Verdana" w:hAnsi="Verdana"/>
          <w:sz w:val="20"/>
          <w:szCs w:val="20"/>
          <w:lang w:val="es-CR"/>
        </w:rPr>
        <w:t>continúa</w:t>
      </w:r>
      <w:r w:rsidR="003C3C80">
        <w:rPr>
          <w:rFonts w:ascii="Verdana" w:hAnsi="Verdana"/>
          <w:sz w:val="20"/>
          <w:szCs w:val="20"/>
          <w:lang w:val="es-CR"/>
        </w:rPr>
        <w:t xml:space="preserve"> sin dar cumplimiento a</w:t>
      </w:r>
      <w:r w:rsidRPr="00B8057F">
        <w:rPr>
          <w:rFonts w:ascii="Verdana" w:hAnsi="Verdana"/>
          <w:sz w:val="20"/>
          <w:szCs w:val="20"/>
          <w:lang w:val="es-CR"/>
        </w:rPr>
        <w:t xml:space="preserve"> la medida de reparación relativa a </w:t>
      </w:r>
      <w:r w:rsidRPr="00B8057F">
        <w:rPr>
          <w:rFonts w:ascii="Verdana" w:hAnsi="Verdana"/>
          <w:sz w:val="20"/>
          <w:szCs w:val="20"/>
          <w:lang w:val="es-ES"/>
        </w:rPr>
        <w:t xml:space="preserve">continuar las investigaciones de los hechos a que se refiere este caso y sancionar a quienes resulten responsables </w:t>
      </w:r>
      <w:r w:rsidRPr="00FB2D8E">
        <w:rPr>
          <w:rFonts w:ascii="Verdana" w:hAnsi="Verdana"/>
          <w:i/>
          <w:sz w:val="20"/>
          <w:szCs w:val="20"/>
          <w:lang w:val="es-ES"/>
        </w:rPr>
        <w:t>(punto resolutivo cuarto de la Sentencia de reparaciones y costas)</w:t>
      </w:r>
      <w:r w:rsidRPr="00B8057F">
        <w:rPr>
          <w:rFonts w:ascii="Verdana" w:hAnsi="Verdana"/>
          <w:sz w:val="20"/>
          <w:szCs w:val="20"/>
          <w:lang w:val="es-ES"/>
        </w:rPr>
        <w:t>.</w:t>
      </w:r>
    </w:p>
    <w:p w:rsidR="00C259F0" w:rsidRPr="00616ED2" w:rsidRDefault="00C259F0" w:rsidP="00C259F0">
      <w:pPr>
        <w:numPr>
          <w:ilvl w:val="0"/>
          <w:numId w:val="9"/>
        </w:numPr>
        <w:spacing w:before="120" w:after="120" w:line="240" w:lineRule="auto"/>
        <w:ind w:left="0" w:firstLine="0"/>
        <w:jc w:val="both"/>
        <w:rPr>
          <w:rFonts w:ascii="Verdana" w:hAnsi="Verdana"/>
          <w:sz w:val="20"/>
          <w:szCs w:val="20"/>
          <w:lang w:val="es-CR"/>
        </w:rPr>
      </w:pPr>
      <w:r w:rsidRPr="00B8057F">
        <w:rPr>
          <w:rFonts w:ascii="Verdana" w:hAnsi="Verdana"/>
          <w:sz w:val="20"/>
          <w:szCs w:val="20"/>
          <w:lang w:val="es-CR"/>
        </w:rPr>
        <w:t xml:space="preserve">Mantener abierto el procedimiento de supervisión de cumplimiento respecto de la medida de reparación ordenada en el punto </w:t>
      </w:r>
      <w:r>
        <w:rPr>
          <w:rFonts w:ascii="Verdana" w:hAnsi="Verdana"/>
          <w:sz w:val="20"/>
          <w:szCs w:val="20"/>
          <w:lang w:val="es-CR"/>
        </w:rPr>
        <w:t xml:space="preserve">resolutivo </w:t>
      </w:r>
      <w:r w:rsidRPr="00B8057F">
        <w:rPr>
          <w:rFonts w:ascii="Verdana" w:hAnsi="Verdana"/>
          <w:sz w:val="20"/>
          <w:szCs w:val="20"/>
          <w:lang w:val="es-CR"/>
        </w:rPr>
        <w:t>cuarto de la Sentencia</w:t>
      </w:r>
      <w:r>
        <w:rPr>
          <w:rFonts w:ascii="Verdana" w:hAnsi="Verdana"/>
          <w:sz w:val="20"/>
          <w:szCs w:val="20"/>
          <w:lang w:val="es-CR"/>
        </w:rPr>
        <w:t xml:space="preserve"> de reparaciones</w:t>
      </w:r>
      <w:r w:rsidRPr="00B8057F">
        <w:rPr>
          <w:rFonts w:ascii="Verdana" w:hAnsi="Verdana"/>
          <w:sz w:val="20"/>
          <w:szCs w:val="20"/>
          <w:lang w:val="es-CR"/>
        </w:rPr>
        <w:t xml:space="preserve">, relativa </w:t>
      </w:r>
      <w:r w:rsidRPr="00B8057F">
        <w:rPr>
          <w:rFonts w:ascii="Verdana" w:hAnsi="Verdana"/>
          <w:sz w:val="20"/>
          <w:szCs w:val="20"/>
          <w:lang w:val="es-ES"/>
        </w:rPr>
        <w:t>continuar las investigaciones de los hechos a que se refiere este caso y sancionar a quienes resulten responsables</w:t>
      </w:r>
      <w:r>
        <w:rPr>
          <w:rFonts w:ascii="Verdana" w:hAnsi="Verdana"/>
          <w:sz w:val="20"/>
          <w:szCs w:val="20"/>
          <w:lang w:val="es-ES"/>
        </w:rPr>
        <w:t>.</w:t>
      </w:r>
    </w:p>
    <w:p w:rsidR="00B8057F" w:rsidRDefault="00616ED2" w:rsidP="009173F0">
      <w:pPr>
        <w:numPr>
          <w:ilvl w:val="0"/>
          <w:numId w:val="9"/>
        </w:numPr>
        <w:spacing w:before="120" w:after="120" w:line="240" w:lineRule="auto"/>
        <w:ind w:left="0" w:firstLine="0"/>
        <w:jc w:val="both"/>
        <w:rPr>
          <w:rFonts w:ascii="Verdana" w:hAnsi="Verdana"/>
          <w:sz w:val="20"/>
          <w:szCs w:val="20"/>
          <w:lang w:val="es-CR"/>
        </w:rPr>
      </w:pPr>
      <w:r>
        <w:rPr>
          <w:rFonts w:ascii="Verdana" w:hAnsi="Verdana"/>
          <w:sz w:val="20"/>
          <w:szCs w:val="20"/>
          <w:lang w:val="es-CR"/>
        </w:rPr>
        <w:t>Disponer</w:t>
      </w:r>
      <w:r w:rsidR="00B8057F" w:rsidRPr="00B8057F">
        <w:rPr>
          <w:rFonts w:ascii="Verdana" w:hAnsi="Verdana"/>
          <w:sz w:val="20"/>
          <w:szCs w:val="20"/>
          <w:lang w:val="es-CR"/>
        </w:rPr>
        <w:t xml:space="preserve">, de conformidad con lo señalado en los Considerandos </w:t>
      </w:r>
      <w:r w:rsidR="00A76C78">
        <w:rPr>
          <w:rFonts w:ascii="Verdana" w:hAnsi="Verdana"/>
          <w:sz w:val="20"/>
          <w:szCs w:val="20"/>
          <w:lang w:val="es-CR"/>
        </w:rPr>
        <w:t>9 a 13</w:t>
      </w:r>
      <w:r w:rsidR="00A76C78" w:rsidRPr="00B8057F">
        <w:rPr>
          <w:rFonts w:ascii="Verdana" w:hAnsi="Verdana"/>
          <w:sz w:val="20"/>
          <w:szCs w:val="20"/>
          <w:lang w:val="es-CR"/>
        </w:rPr>
        <w:t xml:space="preserve"> </w:t>
      </w:r>
      <w:r w:rsidR="00B8057F" w:rsidRPr="00B8057F">
        <w:rPr>
          <w:rFonts w:ascii="Verdana" w:hAnsi="Verdana"/>
          <w:sz w:val="20"/>
          <w:szCs w:val="20"/>
          <w:lang w:val="es-CR"/>
        </w:rPr>
        <w:t>de la presente Resolución, que el presente caso se encuentra actualmente en una situación que amerita continuar aplicando el artículo 65 de la Convención Americana</w:t>
      </w:r>
      <w:r w:rsidR="00A76C78">
        <w:rPr>
          <w:rFonts w:ascii="Verdana" w:hAnsi="Verdana"/>
          <w:sz w:val="20"/>
          <w:szCs w:val="20"/>
          <w:lang w:val="es-CR"/>
        </w:rPr>
        <w:t xml:space="preserve"> sobre Derechos Humanos</w:t>
      </w:r>
      <w:r w:rsidR="00B8057F" w:rsidRPr="00B8057F">
        <w:rPr>
          <w:rFonts w:ascii="Verdana" w:hAnsi="Verdana"/>
          <w:sz w:val="20"/>
          <w:szCs w:val="20"/>
          <w:lang w:val="es-CR"/>
        </w:rPr>
        <w:t xml:space="preserve">. </w:t>
      </w:r>
    </w:p>
    <w:p w:rsidR="009173F0" w:rsidRPr="00616ED2" w:rsidRDefault="009173F0" w:rsidP="009173F0">
      <w:pPr>
        <w:numPr>
          <w:ilvl w:val="0"/>
          <w:numId w:val="9"/>
        </w:numPr>
        <w:spacing w:before="120" w:after="120" w:line="240" w:lineRule="auto"/>
        <w:ind w:left="0" w:firstLine="0"/>
        <w:jc w:val="both"/>
        <w:rPr>
          <w:rFonts w:ascii="Verdana" w:hAnsi="Verdana"/>
          <w:sz w:val="20"/>
          <w:szCs w:val="20"/>
          <w:lang w:val="es-CR"/>
        </w:rPr>
      </w:pPr>
      <w:r w:rsidRPr="00FB2D8E">
        <w:rPr>
          <w:rFonts w:ascii="Verdana" w:hAnsi="Verdana"/>
          <w:sz w:val="20"/>
          <w:szCs w:val="20"/>
          <w:lang w:val="es-ES"/>
        </w:rPr>
        <w:t xml:space="preserve">Incorporar en el Informe Anual </w:t>
      </w:r>
      <w:r w:rsidR="00C259F0">
        <w:rPr>
          <w:rFonts w:ascii="Verdana" w:hAnsi="Verdana"/>
          <w:sz w:val="20"/>
          <w:szCs w:val="20"/>
          <w:lang w:val="es-ES"/>
        </w:rPr>
        <w:t>de labores del 2018</w:t>
      </w:r>
      <w:r w:rsidRPr="00FB2D8E">
        <w:rPr>
          <w:rFonts w:ascii="Verdana" w:hAnsi="Verdana"/>
          <w:sz w:val="20"/>
          <w:szCs w:val="20"/>
          <w:lang w:val="es-ES"/>
        </w:rPr>
        <w:t xml:space="preserve">de la Corte Interamericana de Derechos Humanos lo decidido en la presente Resolución con el fin de informar a la Asamblea General de la Organización de los Estados Americanos, en aplicación del artículo 65 de la Convención Americana sobre Derechos Humanos, sobre el incumplimiento por parte del Estado de Venezuela de su deber ejecutar la reparación </w:t>
      </w:r>
      <w:r w:rsidR="00A76C78" w:rsidRPr="00FB2D8E">
        <w:rPr>
          <w:rFonts w:ascii="Verdana" w:hAnsi="Verdana"/>
          <w:sz w:val="20"/>
          <w:szCs w:val="20"/>
          <w:lang w:val="es-ES"/>
        </w:rPr>
        <w:t>ordena</w:t>
      </w:r>
      <w:r w:rsidR="00A76C78">
        <w:rPr>
          <w:rFonts w:ascii="Verdana" w:hAnsi="Verdana"/>
          <w:sz w:val="20"/>
          <w:szCs w:val="20"/>
          <w:lang w:val="es-ES"/>
        </w:rPr>
        <w:t>da</w:t>
      </w:r>
      <w:r w:rsidR="00A76C78" w:rsidRPr="00FB2D8E">
        <w:rPr>
          <w:rFonts w:ascii="Verdana" w:hAnsi="Verdana"/>
          <w:sz w:val="20"/>
          <w:szCs w:val="20"/>
          <w:lang w:val="es-ES"/>
        </w:rPr>
        <w:t xml:space="preserve"> </w:t>
      </w:r>
      <w:r w:rsidRPr="00FB2D8E">
        <w:rPr>
          <w:rFonts w:ascii="Verdana" w:hAnsi="Verdana"/>
          <w:sz w:val="20"/>
          <w:szCs w:val="20"/>
          <w:lang w:val="es-ES"/>
        </w:rPr>
        <w:t xml:space="preserve">en la Sentencia </w:t>
      </w:r>
      <w:r w:rsidR="00A76C78">
        <w:rPr>
          <w:rFonts w:ascii="Verdana" w:hAnsi="Verdana"/>
          <w:sz w:val="20"/>
          <w:szCs w:val="20"/>
          <w:lang w:val="es-ES"/>
        </w:rPr>
        <w:t xml:space="preserve">de reparaciones </w:t>
      </w:r>
      <w:r w:rsidRPr="00FB2D8E">
        <w:rPr>
          <w:rFonts w:ascii="Verdana" w:hAnsi="Verdana"/>
          <w:sz w:val="20"/>
          <w:szCs w:val="20"/>
          <w:lang w:val="es-ES"/>
        </w:rPr>
        <w:t xml:space="preserve">del caso El Amparo, </w:t>
      </w:r>
      <w:r w:rsidR="00A76C78">
        <w:rPr>
          <w:rFonts w:ascii="Verdana" w:hAnsi="Verdana"/>
          <w:sz w:val="20"/>
          <w:szCs w:val="20"/>
          <w:lang w:val="es-ES"/>
        </w:rPr>
        <w:t xml:space="preserve">en los términos </w:t>
      </w:r>
      <w:r w:rsidRPr="00FB2D8E">
        <w:rPr>
          <w:rFonts w:ascii="Verdana" w:hAnsi="Verdana"/>
          <w:sz w:val="20"/>
          <w:szCs w:val="20"/>
          <w:lang w:val="es-ES"/>
        </w:rPr>
        <w:t>señalado</w:t>
      </w:r>
      <w:r w:rsidR="00A76C78">
        <w:rPr>
          <w:rFonts w:ascii="Verdana" w:hAnsi="Verdana"/>
          <w:sz w:val="20"/>
          <w:szCs w:val="20"/>
          <w:lang w:val="es-ES"/>
        </w:rPr>
        <w:t>s</w:t>
      </w:r>
      <w:r w:rsidRPr="00FB2D8E">
        <w:rPr>
          <w:rFonts w:ascii="Verdana" w:hAnsi="Verdana"/>
          <w:sz w:val="20"/>
          <w:szCs w:val="20"/>
          <w:lang w:val="es-ES"/>
        </w:rPr>
        <w:t xml:space="preserve"> en los Considerandos </w:t>
      </w:r>
      <w:r w:rsidR="00A76C78">
        <w:rPr>
          <w:rFonts w:ascii="Verdana" w:hAnsi="Verdana"/>
          <w:sz w:val="20"/>
          <w:szCs w:val="20"/>
          <w:lang w:val="es-ES"/>
        </w:rPr>
        <w:t>5 y 13</w:t>
      </w:r>
      <w:r w:rsidR="00A76C78" w:rsidRPr="00FB2D8E">
        <w:rPr>
          <w:rFonts w:ascii="Verdana" w:hAnsi="Verdana"/>
          <w:sz w:val="20"/>
          <w:szCs w:val="20"/>
          <w:lang w:val="es-ES"/>
        </w:rPr>
        <w:t xml:space="preserve"> </w:t>
      </w:r>
      <w:r w:rsidRPr="00FB2D8E">
        <w:rPr>
          <w:rFonts w:ascii="Verdana" w:hAnsi="Verdana"/>
          <w:sz w:val="20"/>
          <w:szCs w:val="20"/>
          <w:lang w:val="es-ES"/>
        </w:rPr>
        <w:t>de la presente Resolución.</w:t>
      </w:r>
    </w:p>
    <w:p w:rsidR="003154AF" w:rsidRDefault="00B8057F" w:rsidP="003154AF">
      <w:pPr>
        <w:numPr>
          <w:ilvl w:val="0"/>
          <w:numId w:val="9"/>
        </w:numPr>
        <w:spacing w:before="120" w:after="120" w:line="240" w:lineRule="auto"/>
        <w:ind w:left="0" w:firstLine="0"/>
        <w:jc w:val="both"/>
        <w:rPr>
          <w:rFonts w:ascii="Verdana" w:hAnsi="Verdana"/>
          <w:sz w:val="20"/>
          <w:szCs w:val="20"/>
          <w:lang w:val="es-CR"/>
        </w:rPr>
      </w:pPr>
      <w:r w:rsidRPr="009173F0">
        <w:rPr>
          <w:rFonts w:ascii="Verdana" w:hAnsi="Verdana"/>
          <w:sz w:val="20"/>
          <w:szCs w:val="20"/>
          <w:lang w:val="es-CR"/>
        </w:rPr>
        <w:t>Disponer que la Secretaría de la Corte notifique la presente Resolución al Estado, a</w:t>
      </w:r>
      <w:r w:rsidR="00A76C78">
        <w:rPr>
          <w:rFonts w:ascii="Verdana" w:hAnsi="Verdana"/>
          <w:sz w:val="20"/>
          <w:szCs w:val="20"/>
          <w:lang w:val="es-CR"/>
        </w:rPr>
        <w:t xml:space="preserve"> </w:t>
      </w:r>
      <w:r w:rsidRPr="009173F0">
        <w:rPr>
          <w:rFonts w:ascii="Verdana" w:hAnsi="Verdana"/>
          <w:sz w:val="20"/>
          <w:szCs w:val="20"/>
          <w:lang w:val="es-CR"/>
        </w:rPr>
        <w:t>l</w:t>
      </w:r>
      <w:r w:rsidR="00A76C78">
        <w:rPr>
          <w:rFonts w:ascii="Verdana" w:hAnsi="Verdana"/>
          <w:sz w:val="20"/>
          <w:szCs w:val="20"/>
          <w:lang w:val="es-CR"/>
        </w:rPr>
        <w:t>os</w:t>
      </w:r>
      <w:r w:rsidRPr="009173F0">
        <w:rPr>
          <w:rFonts w:ascii="Verdana" w:hAnsi="Verdana"/>
          <w:sz w:val="20"/>
          <w:szCs w:val="20"/>
          <w:lang w:val="es-CR"/>
        </w:rPr>
        <w:t xml:space="preserve"> representante</w:t>
      </w:r>
      <w:r w:rsidR="00A76C78">
        <w:rPr>
          <w:rFonts w:ascii="Verdana" w:hAnsi="Verdana"/>
          <w:sz w:val="20"/>
          <w:szCs w:val="20"/>
          <w:lang w:val="es-CR"/>
        </w:rPr>
        <w:t>s</w:t>
      </w:r>
      <w:r w:rsidRPr="009173F0">
        <w:rPr>
          <w:rFonts w:ascii="Verdana" w:hAnsi="Verdana"/>
          <w:sz w:val="20"/>
          <w:szCs w:val="20"/>
          <w:lang w:val="es-CR"/>
        </w:rPr>
        <w:t xml:space="preserve"> de </w:t>
      </w:r>
      <w:r w:rsidR="00A76C78">
        <w:rPr>
          <w:rFonts w:ascii="Verdana" w:hAnsi="Verdana"/>
          <w:sz w:val="20"/>
          <w:szCs w:val="20"/>
          <w:lang w:val="es-CR"/>
        </w:rPr>
        <w:t>las</w:t>
      </w:r>
      <w:r w:rsidRPr="009173F0">
        <w:rPr>
          <w:rFonts w:ascii="Verdana" w:hAnsi="Verdana"/>
          <w:sz w:val="20"/>
          <w:szCs w:val="20"/>
          <w:lang w:val="es-CR"/>
        </w:rPr>
        <w:t xml:space="preserve"> víctima</w:t>
      </w:r>
      <w:r w:rsidR="00A76C78">
        <w:rPr>
          <w:rFonts w:ascii="Verdana" w:hAnsi="Verdana"/>
          <w:sz w:val="20"/>
          <w:szCs w:val="20"/>
          <w:lang w:val="es-CR"/>
        </w:rPr>
        <w:t>s</w:t>
      </w:r>
      <w:r w:rsidRPr="009173F0">
        <w:rPr>
          <w:rFonts w:ascii="Verdana" w:hAnsi="Verdana"/>
          <w:sz w:val="20"/>
          <w:szCs w:val="20"/>
          <w:lang w:val="es-CR"/>
        </w:rPr>
        <w:t xml:space="preserve"> y a la Comisión Interamericana de Derechos Humanos.</w:t>
      </w:r>
    </w:p>
    <w:p w:rsidR="00D97DDE" w:rsidRDefault="00D97DDE" w:rsidP="00D97DDE">
      <w:pPr>
        <w:spacing w:before="120" w:after="120" w:line="240" w:lineRule="auto"/>
        <w:jc w:val="both"/>
        <w:rPr>
          <w:rFonts w:ascii="Verdana" w:hAnsi="Verdana"/>
          <w:sz w:val="20"/>
          <w:szCs w:val="20"/>
          <w:lang w:val="es-CR"/>
        </w:rPr>
      </w:pPr>
    </w:p>
    <w:p w:rsidR="00D97DDE" w:rsidRDefault="00D97DDE" w:rsidP="00D97DDE">
      <w:pPr>
        <w:keepNext/>
        <w:jc w:val="both"/>
        <w:outlineLvl w:val="0"/>
        <w:rPr>
          <w:rFonts w:ascii="Verdana" w:hAnsi="Verdana" w:cs="Courier New"/>
          <w:noProof/>
          <w:sz w:val="20"/>
          <w:lang w:val="es-AR"/>
        </w:rPr>
      </w:pPr>
    </w:p>
    <w:p w:rsidR="00D97DDE" w:rsidRPr="008F69D4" w:rsidRDefault="00D97DDE" w:rsidP="00D97DDE">
      <w:pPr>
        <w:keepNext/>
        <w:jc w:val="both"/>
        <w:outlineLvl w:val="0"/>
        <w:rPr>
          <w:rFonts w:ascii="Verdana" w:hAnsi="Verdana" w:cs="Verdana"/>
          <w:b/>
          <w:bCs/>
          <w:sz w:val="20"/>
          <w:lang w:val="es-ES"/>
        </w:rPr>
      </w:pPr>
      <w:r>
        <w:rPr>
          <w:rFonts w:ascii="Verdana" w:hAnsi="Verdana" w:cs="Courier New"/>
          <w:noProof/>
          <w:sz w:val="20"/>
          <w:lang w:val="es-AR"/>
        </w:rPr>
        <w:t>Cort</w:t>
      </w:r>
      <w:r w:rsidRPr="008F69D4">
        <w:rPr>
          <w:rFonts w:ascii="Verdana" w:hAnsi="Verdana" w:cs="Courier New"/>
          <w:noProof/>
          <w:sz w:val="20"/>
          <w:lang w:val="es-AR"/>
        </w:rPr>
        <w:t xml:space="preserve">e IDH. </w:t>
      </w:r>
      <w:r>
        <w:rPr>
          <w:rFonts w:ascii="Verdana" w:hAnsi="Verdana"/>
          <w:bCs/>
          <w:i/>
          <w:sz w:val="20"/>
          <w:lang w:val="es-CR"/>
        </w:rPr>
        <w:t xml:space="preserve">Caso El Amparo Vs. Venezuela. Supervisión de Cumplimiento de Sentencia. </w:t>
      </w:r>
      <w:r w:rsidRPr="008F69D4">
        <w:rPr>
          <w:rFonts w:ascii="Verdana" w:hAnsi="Verdana"/>
          <w:sz w:val="20"/>
          <w:lang w:val="es-ES"/>
        </w:rPr>
        <w:t xml:space="preserve">Resolución de la Corte Interamericana de Derechos Humanos de </w:t>
      </w:r>
      <w:r>
        <w:rPr>
          <w:rFonts w:ascii="Verdana" w:hAnsi="Verdana"/>
          <w:sz w:val="20"/>
          <w:lang w:val="es-CR"/>
        </w:rPr>
        <w:t>22</w:t>
      </w:r>
      <w:r w:rsidRPr="008F69D4">
        <w:rPr>
          <w:rFonts w:ascii="Verdana" w:hAnsi="Verdana"/>
          <w:sz w:val="20"/>
          <w:lang w:val="es-CR"/>
        </w:rPr>
        <w:t xml:space="preserve"> de </w:t>
      </w:r>
      <w:r>
        <w:rPr>
          <w:rFonts w:ascii="Verdana" w:hAnsi="Verdana"/>
          <w:sz w:val="20"/>
          <w:lang w:val="es-CR"/>
        </w:rPr>
        <w:t>noviembre de 2018</w:t>
      </w:r>
      <w:r w:rsidRPr="008F69D4">
        <w:rPr>
          <w:rFonts w:ascii="Verdana" w:hAnsi="Verdana"/>
          <w:sz w:val="20"/>
          <w:lang w:val="es-ES"/>
        </w:rPr>
        <w:t xml:space="preserve">. </w:t>
      </w:r>
    </w:p>
    <w:p w:rsidR="00D97DDE" w:rsidRDefault="00D97DDE" w:rsidP="00D97DDE">
      <w:pPr>
        <w:rPr>
          <w:rFonts w:ascii="Verdana" w:hAnsi="Verdana"/>
          <w:sz w:val="20"/>
          <w:lang w:val="es-MX"/>
        </w:rPr>
      </w:pPr>
    </w:p>
    <w:p w:rsidR="00D97DDE" w:rsidRDefault="00D97DDE" w:rsidP="00D97DDE">
      <w:pPr>
        <w:rPr>
          <w:rFonts w:ascii="Verdana" w:hAnsi="Verdana"/>
          <w:sz w:val="20"/>
          <w:lang w:val="es-MX"/>
        </w:rPr>
      </w:pPr>
    </w:p>
    <w:p w:rsidR="00D97DDE" w:rsidRPr="00C50F23" w:rsidRDefault="00D97DDE" w:rsidP="00D97DDE">
      <w:pPr>
        <w:jc w:val="center"/>
        <w:rPr>
          <w:rFonts w:ascii="Verdana" w:hAnsi="Verdana"/>
          <w:sz w:val="20"/>
          <w:lang w:val="pt-BR"/>
        </w:rPr>
      </w:pPr>
      <w:r w:rsidRPr="00C50F23">
        <w:rPr>
          <w:rFonts w:ascii="Verdana" w:hAnsi="Verdana"/>
          <w:sz w:val="20"/>
          <w:lang w:val="pt-BR"/>
        </w:rPr>
        <w:t>Eduardo Ferrer Mac-Gregor Poisot</w:t>
      </w:r>
      <w:r w:rsidRPr="00C50F23">
        <w:rPr>
          <w:rFonts w:ascii="Verdana" w:hAnsi="Verdana"/>
          <w:sz w:val="20"/>
          <w:lang w:val="pt-BR"/>
        </w:rPr>
        <w:tab/>
      </w:r>
    </w:p>
    <w:p w:rsidR="00D97DDE" w:rsidRPr="00C50F23" w:rsidRDefault="00D97DDE" w:rsidP="00D97DDE">
      <w:pPr>
        <w:jc w:val="center"/>
        <w:rPr>
          <w:rFonts w:ascii="Verdana" w:hAnsi="Verdana"/>
          <w:sz w:val="20"/>
          <w:lang w:val="it-IT"/>
        </w:rPr>
      </w:pPr>
      <w:r w:rsidRPr="00C50F23">
        <w:rPr>
          <w:rFonts w:ascii="Verdana" w:hAnsi="Verdana"/>
          <w:sz w:val="20"/>
          <w:lang w:val="it-IT"/>
        </w:rPr>
        <w:t xml:space="preserve">Presidente </w:t>
      </w:r>
    </w:p>
    <w:p w:rsidR="00D97DDE" w:rsidRPr="00C50F23" w:rsidRDefault="00D97DDE" w:rsidP="00D97DDE">
      <w:pPr>
        <w:tabs>
          <w:tab w:val="left" w:pos="1485"/>
        </w:tabs>
        <w:jc w:val="both"/>
        <w:rPr>
          <w:rFonts w:ascii="Verdana" w:hAnsi="Verdana"/>
          <w:sz w:val="20"/>
          <w:lang w:val="it-IT"/>
        </w:rPr>
      </w:pPr>
    </w:p>
    <w:p w:rsidR="00D97DDE" w:rsidRPr="00C50F23" w:rsidRDefault="00D97DDE" w:rsidP="00D97DDE">
      <w:pPr>
        <w:jc w:val="both"/>
        <w:rPr>
          <w:rFonts w:ascii="Verdana" w:hAnsi="Verdana"/>
          <w:sz w:val="20"/>
          <w:lang w:val="it-IT"/>
        </w:rPr>
      </w:pPr>
    </w:p>
    <w:p w:rsidR="00D97DDE" w:rsidRPr="00C50F23" w:rsidRDefault="00D97DDE" w:rsidP="00D97DDE">
      <w:pPr>
        <w:jc w:val="both"/>
        <w:rPr>
          <w:rFonts w:ascii="Verdana" w:hAnsi="Verdana"/>
          <w:sz w:val="20"/>
          <w:lang w:val="it-IT"/>
        </w:rPr>
      </w:pPr>
      <w:r w:rsidRPr="00C50F23">
        <w:rPr>
          <w:rFonts w:ascii="Verdana" w:hAnsi="Verdana"/>
          <w:sz w:val="20"/>
          <w:lang w:val="it-IT"/>
        </w:rPr>
        <w:t>Eduardo Vio Grossi</w:t>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t>Elizabeth Odio Benito</w:t>
      </w:r>
    </w:p>
    <w:p w:rsidR="00D97DDE" w:rsidRPr="00C50F23" w:rsidRDefault="00D97DDE" w:rsidP="00D97DDE">
      <w:pPr>
        <w:jc w:val="both"/>
        <w:rPr>
          <w:rFonts w:ascii="Verdana" w:hAnsi="Verdana"/>
          <w:sz w:val="20"/>
          <w:lang w:val="it-IT"/>
        </w:rPr>
      </w:pPr>
    </w:p>
    <w:p w:rsidR="00D97DDE" w:rsidRPr="00C50F23" w:rsidRDefault="00D97DDE" w:rsidP="00D97DDE">
      <w:pPr>
        <w:jc w:val="both"/>
        <w:rPr>
          <w:rFonts w:ascii="Verdana" w:hAnsi="Verdana"/>
          <w:sz w:val="20"/>
          <w:lang w:val="it-IT"/>
        </w:rPr>
      </w:pPr>
    </w:p>
    <w:p w:rsidR="00D97DDE" w:rsidRPr="00C50F23" w:rsidRDefault="00D97DDE" w:rsidP="00D97DDE">
      <w:pPr>
        <w:jc w:val="both"/>
        <w:rPr>
          <w:rFonts w:ascii="Verdana" w:hAnsi="Verdana"/>
          <w:sz w:val="20"/>
          <w:lang w:val="it-IT"/>
        </w:rPr>
      </w:pPr>
      <w:r w:rsidRPr="00C50F23">
        <w:rPr>
          <w:rFonts w:ascii="Verdana" w:hAnsi="Verdana"/>
          <w:sz w:val="20"/>
          <w:lang w:val="it-IT"/>
        </w:rPr>
        <w:t>Eugenio Raúl Zaffaroni</w:t>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r>
      <w:r w:rsidRPr="00C50F23">
        <w:rPr>
          <w:rFonts w:ascii="Verdana" w:hAnsi="Verdana"/>
          <w:sz w:val="20"/>
          <w:lang w:val="it-IT"/>
        </w:rPr>
        <w:tab/>
        <w:t>L. Patricio Pazmiño Freire</w:t>
      </w:r>
    </w:p>
    <w:p w:rsidR="00D97DDE" w:rsidRPr="00C50F23" w:rsidRDefault="00D97DDE" w:rsidP="00D97DDE">
      <w:pPr>
        <w:jc w:val="both"/>
        <w:rPr>
          <w:rFonts w:ascii="Verdana" w:hAnsi="Verdana"/>
          <w:sz w:val="20"/>
          <w:lang w:val="it-IT"/>
        </w:rPr>
      </w:pPr>
    </w:p>
    <w:p w:rsidR="00D97DDE" w:rsidRPr="00C50F23" w:rsidRDefault="00D97DDE" w:rsidP="00D97DDE">
      <w:pPr>
        <w:jc w:val="both"/>
        <w:rPr>
          <w:rFonts w:ascii="Verdana" w:hAnsi="Verdana"/>
          <w:sz w:val="20"/>
          <w:lang w:val="it-IT"/>
        </w:rPr>
      </w:pPr>
    </w:p>
    <w:p w:rsidR="00D97DDE" w:rsidRPr="00C50F23" w:rsidRDefault="00D97DDE" w:rsidP="00D97DDE">
      <w:pPr>
        <w:jc w:val="both"/>
        <w:rPr>
          <w:rFonts w:ascii="Verdana" w:hAnsi="Verdana"/>
          <w:sz w:val="20"/>
          <w:lang w:val="it-IT"/>
        </w:rPr>
      </w:pPr>
    </w:p>
    <w:p w:rsidR="00D97DDE" w:rsidRPr="00C50F23" w:rsidRDefault="00D97DDE" w:rsidP="00D97DDE">
      <w:pPr>
        <w:jc w:val="center"/>
        <w:rPr>
          <w:rFonts w:ascii="Verdana" w:hAnsi="Verdana"/>
          <w:sz w:val="20"/>
          <w:lang w:val="it-IT"/>
        </w:rPr>
      </w:pPr>
      <w:r w:rsidRPr="00C50F23">
        <w:rPr>
          <w:rFonts w:ascii="Verdana" w:hAnsi="Verdana"/>
          <w:sz w:val="20"/>
          <w:lang w:val="it-IT"/>
        </w:rPr>
        <w:t>Pablo Saavedra Alessandri</w:t>
      </w:r>
    </w:p>
    <w:p w:rsidR="00D97DDE" w:rsidRPr="00223DFA" w:rsidRDefault="00D97DDE" w:rsidP="00D97DDE">
      <w:pPr>
        <w:jc w:val="center"/>
        <w:rPr>
          <w:rFonts w:ascii="Verdana" w:hAnsi="Verdana"/>
          <w:sz w:val="20"/>
          <w:lang w:val="es-ES"/>
        </w:rPr>
      </w:pPr>
      <w:r w:rsidRPr="00223DFA">
        <w:rPr>
          <w:rFonts w:ascii="Verdana" w:hAnsi="Verdana"/>
          <w:sz w:val="20"/>
          <w:lang w:val="es-ES"/>
        </w:rPr>
        <w:t>Secretario</w:t>
      </w:r>
    </w:p>
    <w:p w:rsidR="00D97DDE" w:rsidRPr="00223DFA" w:rsidRDefault="00D97DDE" w:rsidP="00D97DDE">
      <w:pPr>
        <w:jc w:val="both"/>
        <w:rPr>
          <w:rFonts w:ascii="Verdana" w:hAnsi="Verdana"/>
          <w:sz w:val="20"/>
          <w:lang w:val="es-ES"/>
        </w:rPr>
      </w:pPr>
      <w:r w:rsidRPr="00223DFA">
        <w:rPr>
          <w:rFonts w:ascii="Verdana" w:hAnsi="Verdana"/>
          <w:sz w:val="20"/>
          <w:lang w:val="es-ES"/>
        </w:rPr>
        <w:t>Comuníquese y ejecútese,</w:t>
      </w:r>
    </w:p>
    <w:p w:rsidR="00D97DDE" w:rsidRPr="00223DFA" w:rsidRDefault="00D97DDE" w:rsidP="00D97DDE">
      <w:pPr>
        <w:jc w:val="both"/>
        <w:rPr>
          <w:rFonts w:ascii="Verdana" w:hAnsi="Verdana"/>
          <w:sz w:val="20"/>
          <w:lang w:val="es-ES"/>
        </w:rPr>
      </w:pPr>
    </w:p>
    <w:p w:rsidR="00D97DDE" w:rsidRPr="00223DFA" w:rsidRDefault="00D97DDE" w:rsidP="00D97DDE">
      <w:pPr>
        <w:jc w:val="both"/>
        <w:rPr>
          <w:rFonts w:ascii="Verdana" w:hAnsi="Verdana"/>
          <w:sz w:val="20"/>
          <w:lang w:val="es-ES"/>
        </w:rPr>
      </w:pPr>
    </w:p>
    <w:p w:rsidR="00D97DDE" w:rsidRPr="00223DFA" w:rsidRDefault="00D97DDE" w:rsidP="00D97DDE">
      <w:pPr>
        <w:ind w:left="4956"/>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rsidR="00D97DDE" w:rsidRPr="00223DFA" w:rsidRDefault="00D97DDE" w:rsidP="00D97DDE">
      <w:pPr>
        <w:ind w:left="4956" w:firstLine="708"/>
        <w:rPr>
          <w:rFonts w:ascii="Verdana" w:hAnsi="Verdana"/>
          <w:sz w:val="20"/>
          <w:lang w:val="es-ES"/>
        </w:rPr>
      </w:pPr>
      <w:r w:rsidRPr="00223DFA">
        <w:rPr>
          <w:rFonts w:ascii="Verdana" w:hAnsi="Verdana"/>
          <w:sz w:val="20"/>
          <w:lang w:val="es-ES"/>
        </w:rPr>
        <w:t xml:space="preserve">        Presidente </w:t>
      </w:r>
    </w:p>
    <w:p w:rsidR="00D97DDE" w:rsidRDefault="00D97DDE" w:rsidP="00D97DDE">
      <w:pPr>
        <w:jc w:val="both"/>
        <w:rPr>
          <w:rFonts w:ascii="Verdana" w:hAnsi="Verdana"/>
          <w:sz w:val="20"/>
          <w:lang w:val="es-ES"/>
        </w:rPr>
      </w:pPr>
    </w:p>
    <w:p w:rsidR="00D97DDE" w:rsidRPr="00223DFA" w:rsidRDefault="00D97DDE" w:rsidP="00D97DDE">
      <w:pPr>
        <w:jc w:val="both"/>
        <w:rPr>
          <w:rFonts w:ascii="Verdana" w:hAnsi="Verdana"/>
          <w:sz w:val="20"/>
          <w:lang w:val="es-ES"/>
        </w:rPr>
      </w:pPr>
    </w:p>
    <w:p w:rsidR="00D97DDE" w:rsidRPr="00223DFA" w:rsidRDefault="00D97DDE" w:rsidP="00D97DDE">
      <w:pPr>
        <w:jc w:val="both"/>
        <w:rPr>
          <w:rFonts w:ascii="Verdana" w:hAnsi="Verdana"/>
          <w:sz w:val="20"/>
          <w:lang w:val="es-ES"/>
        </w:rPr>
      </w:pPr>
      <w:r w:rsidRPr="00223DFA">
        <w:rPr>
          <w:rFonts w:ascii="Verdana" w:hAnsi="Verdana"/>
          <w:sz w:val="20"/>
          <w:lang w:val="es-ES"/>
        </w:rPr>
        <w:t>Pablo Saavedra Alessandri</w:t>
      </w:r>
    </w:p>
    <w:p w:rsidR="00100591" w:rsidRPr="00D97DDE" w:rsidRDefault="00D97DDE" w:rsidP="00100591">
      <w:pPr>
        <w:rPr>
          <w:rFonts w:ascii="Verdana" w:hAnsi="Verdana"/>
          <w:sz w:val="20"/>
          <w:lang w:val="es-CR"/>
        </w:rPr>
      </w:pPr>
      <w:r w:rsidRPr="00223DFA">
        <w:rPr>
          <w:rFonts w:ascii="Verdana" w:hAnsi="Verdana"/>
          <w:sz w:val="20"/>
          <w:lang w:val="es-ES"/>
        </w:rPr>
        <w:tab/>
      </w:r>
      <w:r w:rsidRPr="00223DFA">
        <w:rPr>
          <w:rFonts w:ascii="Verdana" w:hAnsi="Verdana"/>
          <w:sz w:val="20"/>
          <w:lang w:val="es-CR"/>
        </w:rPr>
        <w:t>Secretario</w:t>
      </w:r>
      <w:bookmarkStart w:id="0" w:name="_GoBack"/>
      <w:bookmarkEnd w:id="0"/>
    </w:p>
    <w:sectPr w:rsidR="00100591" w:rsidRPr="00D97DDE" w:rsidSect="00FB2D8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CA" w:rsidRDefault="00F416CA" w:rsidP="00C36140">
      <w:pPr>
        <w:spacing w:after="0" w:line="240" w:lineRule="auto"/>
      </w:pPr>
      <w:r>
        <w:separator/>
      </w:r>
    </w:p>
  </w:endnote>
  <w:endnote w:type="continuationSeparator" w:id="0">
    <w:p w:rsidR="00F416CA" w:rsidRDefault="00F416CA" w:rsidP="00C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CA" w:rsidRDefault="00F416CA" w:rsidP="00C36140">
      <w:pPr>
        <w:spacing w:after="0" w:line="240" w:lineRule="auto"/>
      </w:pPr>
      <w:r>
        <w:separator/>
      </w:r>
    </w:p>
  </w:footnote>
  <w:footnote w:type="continuationSeparator" w:id="0">
    <w:p w:rsidR="00F416CA" w:rsidRDefault="00F416CA" w:rsidP="00C36140">
      <w:pPr>
        <w:spacing w:after="0" w:line="240" w:lineRule="auto"/>
      </w:pPr>
      <w:r>
        <w:continuationSeparator/>
      </w:r>
    </w:p>
  </w:footnote>
  <w:footnote w:id="1">
    <w:p w:rsidR="002F2B70" w:rsidRPr="00FB2D8E" w:rsidRDefault="002F2B70"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lang w:val="es-CR"/>
        </w:rPr>
        <w:t>*</w:t>
      </w:r>
      <w:r w:rsidRPr="00FB2D8E">
        <w:rPr>
          <w:rFonts w:ascii="Verdana" w:hAnsi="Verdana"/>
          <w:sz w:val="16"/>
          <w:szCs w:val="16"/>
          <w:lang w:val="es-CR"/>
        </w:rPr>
        <w:t xml:space="preserve"> </w:t>
      </w:r>
      <w:r w:rsidRPr="00FB2D8E">
        <w:rPr>
          <w:rFonts w:ascii="Verdana" w:hAnsi="Verdana"/>
          <w:sz w:val="16"/>
          <w:szCs w:val="16"/>
          <w:lang w:val="es-CR"/>
        </w:rPr>
        <w:tab/>
        <w:t>El Juez Humberto A. Sierra Porto no participó en la deliberación y firma de esta Resolución, por motivos de fuerza mayor.</w:t>
      </w:r>
    </w:p>
  </w:footnote>
  <w:footnote w:id="2">
    <w:p w:rsidR="00D96CD7" w:rsidRPr="00FB2D8E" w:rsidRDefault="00D96CD7"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r>
      <w:r w:rsidRPr="00FB2D8E">
        <w:rPr>
          <w:rFonts w:ascii="Verdana" w:hAnsi="Verdana"/>
          <w:i/>
          <w:color w:val="000000" w:themeColor="text1"/>
          <w:sz w:val="16"/>
          <w:szCs w:val="16"/>
          <w:lang w:val="es-CR"/>
        </w:rPr>
        <w:t>Cfr.</w:t>
      </w:r>
      <w:r w:rsidRPr="00FB2D8E">
        <w:rPr>
          <w:rFonts w:ascii="Verdana" w:hAnsi="Verdana"/>
          <w:bCs/>
          <w:color w:val="000000" w:themeColor="text1"/>
          <w:sz w:val="16"/>
          <w:szCs w:val="16"/>
          <w:shd w:val="clear" w:color="auto" w:fill="FFFFFF"/>
          <w:lang w:val="es-CR"/>
        </w:rPr>
        <w:t xml:space="preserve"> </w:t>
      </w:r>
      <w:r w:rsidRPr="00FB2D8E">
        <w:rPr>
          <w:rFonts w:ascii="Verdana" w:hAnsi="Verdana"/>
          <w:bCs/>
          <w:i/>
          <w:color w:val="000000" w:themeColor="text1"/>
          <w:sz w:val="16"/>
          <w:szCs w:val="16"/>
          <w:shd w:val="clear" w:color="auto" w:fill="FFFFFF"/>
          <w:lang w:val="es-CR"/>
        </w:rPr>
        <w:t>Caso El Amparo Vs. Venezuela. Fondo</w:t>
      </w:r>
      <w:r w:rsidR="00B22EAC" w:rsidRPr="00FB2D8E">
        <w:rPr>
          <w:rFonts w:ascii="Verdana" w:hAnsi="Verdana"/>
          <w:bCs/>
          <w:color w:val="000000" w:themeColor="text1"/>
          <w:sz w:val="16"/>
          <w:szCs w:val="16"/>
          <w:shd w:val="clear" w:color="auto" w:fill="FFFFFF"/>
          <w:lang w:val="es-CR"/>
        </w:rPr>
        <w:t>. Sentencia de</w:t>
      </w:r>
      <w:r w:rsidRPr="00FB2D8E">
        <w:rPr>
          <w:rFonts w:ascii="Verdana" w:hAnsi="Verdana"/>
          <w:bCs/>
          <w:i/>
          <w:color w:val="000000" w:themeColor="text1"/>
          <w:sz w:val="16"/>
          <w:szCs w:val="16"/>
          <w:shd w:val="clear" w:color="auto" w:fill="FFFFFF"/>
          <w:lang w:val="es-CR"/>
        </w:rPr>
        <w:t xml:space="preserve"> </w:t>
      </w:r>
      <w:r w:rsidRPr="00FB2D8E">
        <w:rPr>
          <w:rFonts w:ascii="Verdana" w:hAnsi="Verdana"/>
          <w:bCs/>
          <w:color w:val="000000" w:themeColor="text1"/>
          <w:sz w:val="16"/>
          <w:szCs w:val="16"/>
          <w:shd w:val="clear" w:color="auto" w:fill="FFFFFF"/>
          <w:lang w:val="es-CR"/>
        </w:rPr>
        <w:t>18 de enero de 1995.</w:t>
      </w:r>
      <w:r w:rsidRPr="00FB2D8E">
        <w:rPr>
          <w:rFonts w:ascii="Verdana" w:hAnsi="Verdana"/>
          <w:bCs/>
          <w:i/>
          <w:color w:val="000000" w:themeColor="text1"/>
          <w:sz w:val="16"/>
          <w:szCs w:val="16"/>
          <w:shd w:val="clear" w:color="auto" w:fill="FFFFFF"/>
          <w:lang w:val="es-CR"/>
        </w:rPr>
        <w:t xml:space="preserve"> </w:t>
      </w:r>
      <w:r w:rsidRPr="00FB2D8E">
        <w:rPr>
          <w:rFonts w:ascii="Verdana" w:hAnsi="Verdana"/>
          <w:bCs/>
          <w:color w:val="000000" w:themeColor="text1"/>
          <w:sz w:val="16"/>
          <w:szCs w:val="16"/>
          <w:shd w:val="clear" w:color="auto" w:fill="FFFFFF"/>
          <w:lang w:val="es-CR"/>
        </w:rPr>
        <w:t>Serie C No. 19.</w:t>
      </w:r>
      <w:r w:rsidRPr="00FB2D8E">
        <w:rPr>
          <w:rFonts w:ascii="Verdana" w:hAnsi="Verdana"/>
          <w:bCs/>
          <w:i/>
          <w:color w:val="000000" w:themeColor="text1"/>
          <w:sz w:val="16"/>
          <w:szCs w:val="16"/>
          <w:shd w:val="clear" w:color="auto" w:fill="FFFFFF"/>
          <w:lang w:val="es-CR"/>
        </w:rPr>
        <w:t xml:space="preserve"> </w:t>
      </w:r>
      <w:r w:rsidRPr="00FB2D8E">
        <w:rPr>
          <w:rFonts w:ascii="Verdana" w:hAnsi="Verdana"/>
          <w:color w:val="000000" w:themeColor="text1"/>
          <w:sz w:val="16"/>
          <w:szCs w:val="16"/>
          <w:lang w:val="es-CR"/>
        </w:rPr>
        <w:t xml:space="preserve">El texto íntegro de la Sentencia se encuentra disponible en: </w:t>
      </w:r>
      <w:hyperlink r:id="rId1" w:history="1">
        <w:r w:rsidRPr="00FB2D8E">
          <w:rPr>
            <w:rStyle w:val="Hyperlink"/>
            <w:rFonts w:ascii="Verdana" w:hAnsi="Verdana"/>
            <w:sz w:val="16"/>
            <w:szCs w:val="16"/>
            <w:lang w:val="es-EC"/>
          </w:rPr>
          <w:t>http://www.corteidh.or.cr/docs/casos/articulos/seriec_19_esp.pdf</w:t>
        </w:r>
      </w:hyperlink>
      <w:r w:rsidRPr="00FB2D8E">
        <w:rPr>
          <w:rFonts w:ascii="Verdana" w:hAnsi="Verdana"/>
          <w:color w:val="000000" w:themeColor="text1"/>
          <w:sz w:val="16"/>
          <w:szCs w:val="16"/>
          <w:lang w:val="es-EC"/>
        </w:rPr>
        <w:t xml:space="preserve">. </w:t>
      </w:r>
    </w:p>
  </w:footnote>
  <w:footnote w:id="3">
    <w:p w:rsidR="00D96CD7" w:rsidRPr="00FB2D8E" w:rsidRDefault="00D96CD7" w:rsidP="00FB2D8E">
      <w:pPr>
        <w:pStyle w:val="FootnoteText"/>
        <w:tabs>
          <w:tab w:val="left" w:pos="426"/>
        </w:tabs>
        <w:jc w:val="both"/>
        <w:rPr>
          <w:rFonts w:ascii="Verdana" w:hAnsi="Verdana"/>
          <w:color w:val="000000" w:themeColor="text1"/>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r>
      <w:r w:rsidRPr="00FB2D8E">
        <w:rPr>
          <w:rFonts w:ascii="Verdana" w:hAnsi="Verdana"/>
          <w:i/>
          <w:color w:val="000000" w:themeColor="text1"/>
          <w:sz w:val="16"/>
          <w:szCs w:val="16"/>
          <w:lang w:val="es-CR"/>
        </w:rPr>
        <w:t>Cfr.</w:t>
      </w:r>
      <w:r w:rsidRPr="00FB2D8E">
        <w:rPr>
          <w:rFonts w:ascii="Verdana" w:hAnsi="Verdana"/>
          <w:bCs/>
          <w:color w:val="000000" w:themeColor="text1"/>
          <w:sz w:val="16"/>
          <w:szCs w:val="16"/>
          <w:shd w:val="clear" w:color="auto" w:fill="FFFFFF"/>
          <w:lang w:val="es-CR"/>
        </w:rPr>
        <w:t xml:space="preserve"> </w:t>
      </w:r>
      <w:r w:rsidRPr="00FB2D8E">
        <w:rPr>
          <w:rFonts w:ascii="Verdana" w:hAnsi="Verdana"/>
          <w:bCs/>
          <w:i/>
          <w:color w:val="000000" w:themeColor="text1"/>
          <w:sz w:val="16"/>
          <w:szCs w:val="16"/>
          <w:shd w:val="clear" w:color="auto" w:fill="FFFFFF"/>
          <w:lang w:val="es-CR"/>
        </w:rPr>
        <w:t>Caso El Amparo Vs. Venezuela. Reparaciones y Costas</w:t>
      </w:r>
      <w:r w:rsidR="00B22EAC" w:rsidRPr="00FB2D8E">
        <w:rPr>
          <w:rFonts w:ascii="Verdana" w:hAnsi="Verdana"/>
          <w:bCs/>
          <w:color w:val="000000" w:themeColor="text1"/>
          <w:sz w:val="16"/>
          <w:szCs w:val="16"/>
          <w:shd w:val="clear" w:color="auto" w:fill="FFFFFF"/>
          <w:lang w:val="es-CR"/>
        </w:rPr>
        <w:t>.</w:t>
      </w:r>
      <w:r w:rsidRPr="00FB2D8E">
        <w:rPr>
          <w:rFonts w:ascii="Verdana" w:hAnsi="Verdana"/>
          <w:bCs/>
          <w:color w:val="000000" w:themeColor="text1"/>
          <w:sz w:val="16"/>
          <w:szCs w:val="16"/>
          <w:shd w:val="clear" w:color="auto" w:fill="FFFFFF"/>
          <w:lang w:val="es-CR"/>
        </w:rPr>
        <w:t xml:space="preserve"> </w:t>
      </w:r>
      <w:r w:rsidR="00B22EAC" w:rsidRPr="00FB2D8E">
        <w:rPr>
          <w:rFonts w:ascii="Verdana" w:hAnsi="Verdana"/>
          <w:bCs/>
          <w:color w:val="000000" w:themeColor="text1"/>
          <w:sz w:val="16"/>
          <w:szCs w:val="16"/>
          <w:shd w:val="clear" w:color="auto" w:fill="FFFFFF"/>
          <w:lang w:val="es-CR"/>
        </w:rPr>
        <w:t xml:space="preserve">Sentencia de </w:t>
      </w:r>
      <w:r w:rsidRPr="00FB2D8E">
        <w:rPr>
          <w:rFonts w:ascii="Verdana" w:hAnsi="Verdana"/>
          <w:bCs/>
          <w:color w:val="000000" w:themeColor="text1"/>
          <w:sz w:val="16"/>
          <w:szCs w:val="16"/>
          <w:shd w:val="clear" w:color="auto" w:fill="FFFFFF"/>
          <w:lang w:val="es-CR"/>
        </w:rPr>
        <w:t>14 de septiembre de 1996</w:t>
      </w:r>
      <w:r w:rsidRPr="00FB2D8E">
        <w:rPr>
          <w:rFonts w:ascii="Verdana" w:hAnsi="Verdana"/>
          <w:bCs/>
          <w:i/>
          <w:color w:val="000000" w:themeColor="text1"/>
          <w:sz w:val="16"/>
          <w:szCs w:val="16"/>
          <w:shd w:val="clear" w:color="auto" w:fill="FFFFFF"/>
          <w:lang w:val="es-CR"/>
        </w:rPr>
        <w:t xml:space="preserve">. Serie C No. 28. </w:t>
      </w:r>
      <w:r w:rsidRPr="00FB2D8E">
        <w:rPr>
          <w:rFonts w:ascii="Verdana" w:hAnsi="Verdana"/>
          <w:color w:val="000000" w:themeColor="text1"/>
          <w:sz w:val="16"/>
          <w:szCs w:val="16"/>
          <w:lang w:val="es-CR"/>
        </w:rPr>
        <w:t xml:space="preserve">El texto íntegro de la Sentencia se encuentra disponible en: </w:t>
      </w:r>
      <w:hyperlink r:id="rId2" w:history="1">
        <w:r w:rsidRPr="00FB2D8E">
          <w:rPr>
            <w:rStyle w:val="Hyperlink"/>
            <w:rFonts w:ascii="Verdana" w:hAnsi="Verdana"/>
            <w:sz w:val="16"/>
            <w:szCs w:val="16"/>
            <w:lang w:val="es-CR"/>
          </w:rPr>
          <w:t>http://www.corteidh.or.cr/docs/casos/articulos/seriec_46_esp.pdf</w:t>
        </w:r>
      </w:hyperlink>
      <w:r w:rsidR="00294699" w:rsidRPr="00FB2D8E">
        <w:rPr>
          <w:rFonts w:ascii="Verdana" w:hAnsi="Verdana"/>
          <w:color w:val="000000" w:themeColor="text1"/>
          <w:sz w:val="16"/>
          <w:szCs w:val="16"/>
          <w:lang w:val="es-CR"/>
        </w:rPr>
        <w:t>.</w:t>
      </w:r>
    </w:p>
  </w:footnote>
  <w:footnote w:id="4">
    <w:p w:rsidR="00FC64B1" w:rsidRPr="00FB2D8E" w:rsidRDefault="00FC64B1" w:rsidP="00FB2D8E">
      <w:pPr>
        <w:pStyle w:val="FootnoteText"/>
        <w:tabs>
          <w:tab w:val="left" w:pos="426"/>
        </w:tabs>
        <w:jc w:val="both"/>
        <w:rPr>
          <w:rFonts w:ascii="Verdana" w:hAnsi="Verdana"/>
          <w:sz w:val="16"/>
          <w:szCs w:val="16"/>
          <w:lang w:val="es-EC"/>
        </w:rPr>
      </w:pPr>
      <w:r w:rsidRPr="00FB2D8E">
        <w:rPr>
          <w:rStyle w:val="FootnoteReference"/>
          <w:rFonts w:ascii="Verdana" w:hAnsi="Verdana"/>
          <w:sz w:val="16"/>
          <w:szCs w:val="16"/>
        </w:rPr>
        <w:footnoteRef/>
      </w:r>
      <w:r w:rsidRPr="00FB2D8E">
        <w:rPr>
          <w:rFonts w:ascii="Verdana" w:hAnsi="Verdana"/>
          <w:sz w:val="16"/>
          <w:szCs w:val="16"/>
          <w:lang w:val="es-EC"/>
        </w:rPr>
        <w:t xml:space="preserve"> </w:t>
      </w:r>
      <w:r w:rsidR="00C27FCE" w:rsidRPr="00FB2D8E">
        <w:rPr>
          <w:rFonts w:ascii="Verdana" w:hAnsi="Verdana"/>
          <w:sz w:val="16"/>
          <w:szCs w:val="16"/>
          <w:lang w:val="es-EC"/>
        </w:rPr>
        <w:tab/>
      </w:r>
      <w:r w:rsidRPr="00FB2D8E">
        <w:rPr>
          <w:rFonts w:ascii="Verdana" w:hAnsi="Verdana"/>
          <w:sz w:val="16"/>
          <w:szCs w:val="16"/>
          <w:lang w:val="es-EC"/>
        </w:rPr>
        <w:t>José R. Araujo, Luis A. Berrío</w:t>
      </w:r>
      <w:r w:rsidR="00B22EAC" w:rsidRPr="00FB2D8E">
        <w:rPr>
          <w:rFonts w:ascii="Verdana" w:hAnsi="Verdana"/>
          <w:sz w:val="16"/>
          <w:szCs w:val="16"/>
          <w:lang w:val="es-EC"/>
        </w:rPr>
        <w:t>s</w:t>
      </w:r>
      <w:r w:rsidRPr="00FB2D8E">
        <w:rPr>
          <w:rFonts w:ascii="Verdana" w:hAnsi="Verdana"/>
          <w:sz w:val="16"/>
          <w:szCs w:val="16"/>
          <w:lang w:val="es-EC"/>
        </w:rPr>
        <w:t>, Moisés A. Blanco, Julio P. Ceballos, Antonio Eregua, Rafael M. Moreno, José Indalecio Guerrero, Arín O. Maldonado, Justo Mercado, Pedro Mosquera, José Puerta, Marino Torrealba, José Torrealba y Marino Rivas</w:t>
      </w:r>
      <w:r w:rsidR="00AF2ADA" w:rsidRPr="00FB2D8E">
        <w:rPr>
          <w:rFonts w:ascii="Verdana" w:hAnsi="Verdana"/>
          <w:sz w:val="16"/>
          <w:szCs w:val="16"/>
          <w:lang w:val="es-EC"/>
        </w:rPr>
        <w:t>.</w:t>
      </w:r>
    </w:p>
  </w:footnote>
  <w:footnote w:id="5">
    <w:p w:rsidR="00294699" w:rsidRPr="00FB2D8E" w:rsidRDefault="00294699"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t>Wo</w:t>
      </w:r>
      <w:r w:rsidR="00B22EAC" w:rsidRPr="00FB2D8E">
        <w:rPr>
          <w:rFonts w:ascii="Verdana" w:hAnsi="Verdana"/>
          <w:sz w:val="16"/>
          <w:szCs w:val="16"/>
          <w:lang w:val="es-CR"/>
        </w:rPr>
        <w:t>l</w:t>
      </w:r>
      <w:r w:rsidRPr="00FB2D8E">
        <w:rPr>
          <w:rFonts w:ascii="Verdana" w:hAnsi="Verdana"/>
          <w:sz w:val="16"/>
          <w:szCs w:val="16"/>
          <w:lang w:val="es-CR"/>
        </w:rPr>
        <w:t>lmer Gregorio Pinilla y José Augusto Arias.</w:t>
      </w:r>
    </w:p>
  </w:footnote>
  <w:footnote w:id="6">
    <w:p w:rsidR="00780517" w:rsidRPr="0086344A" w:rsidRDefault="00780517" w:rsidP="0086344A">
      <w:pPr>
        <w:pStyle w:val="FootnoteText"/>
        <w:tabs>
          <w:tab w:val="left" w:pos="426"/>
        </w:tabs>
        <w:jc w:val="both"/>
        <w:rPr>
          <w:rFonts w:ascii="Verdana" w:hAnsi="Verdana"/>
          <w:sz w:val="16"/>
          <w:szCs w:val="16"/>
          <w:lang w:val="es-CR"/>
        </w:rPr>
      </w:pPr>
      <w:r w:rsidRPr="0086344A">
        <w:rPr>
          <w:rStyle w:val="FootnoteReference"/>
          <w:rFonts w:ascii="Verdana" w:hAnsi="Verdana"/>
          <w:sz w:val="16"/>
          <w:szCs w:val="16"/>
        </w:rPr>
        <w:footnoteRef/>
      </w:r>
      <w:r w:rsidRPr="0086344A">
        <w:rPr>
          <w:rFonts w:ascii="Verdana" w:hAnsi="Verdana"/>
          <w:sz w:val="16"/>
          <w:szCs w:val="16"/>
          <w:lang w:val="es-CR"/>
        </w:rPr>
        <w:t xml:space="preserve"> </w:t>
      </w:r>
      <w:r w:rsidRPr="0086344A">
        <w:rPr>
          <w:rFonts w:ascii="Verdana" w:hAnsi="Verdana"/>
          <w:sz w:val="16"/>
          <w:szCs w:val="16"/>
          <w:lang w:val="es-CR"/>
        </w:rPr>
        <w:tab/>
      </w:r>
      <w:r w:rsidRPr="0086344A">
        <w:rPr>
          <w:rFonts w:ascii="Verdana" w:hAnsi="Verdana"/>
          <w:i/>
          <w:sz w:val="16"/>
          <w:szCs w:val="16"/>
          <w:lang w:val="es-CR"/>
        </w:rPr>
        <w:t xml:space="preserve">Cfr. </w:t>
      </w:r>
      <w:r w:rsidRPr="0086344A">
        <w:rPr>
          <w:rStyle w:val="Strong"/>
          <w:rFonts w:ascii="Verdana" w:hAnsi="Verdana"/>
          <w:b w:val="0"/>
          <w:i/>
          <w:color w:val="000000"/>
          <w:sz w:val="16"/>
          <w:szCs w:val="16"/>
          <w:shd w:val="clear" w:color="auto" w:fill="FFFFFF"/>
          <w:lang w:val="es-CR"/>
        </w:rPr>
        <w:t xml:space="preserve">Caso El Amparo Vs. Venezuela. Supervisión de Cumplimiento de Sentencia. </w:t>
      </w:r>
      <w:r w:rsidRPr="0086344A">
        <w:rPr>
          <w:rStyle w:val="Strong"/>
          <w:rFonts w:ascii="Verdana" w:hAnsi="Verdana"/>
          <w:b w:val="0"/>
          <w:color w:val="000000"/>
          <w:sz w:val="16"/>
          <w:szCs w:val="16"/>
          <w:shd w:val="clear" w:color="auto" w:fill="FFFFFF"/>
          <w:lang w:val="es-CR"/>
        </w:rPr>
        <w:t xml:space="preserve">Resolución de la Corte Interamericana de Derechos Humanos de 28 de noviembre de 2002; </w:t>
      </w:r>
      <w:r w:rsidRPr="0086344A">
        <w:rPr>
          <w:rStyle w:val="Strong"/>
          <w:rFonts w:ascii="Verdana" w:hAnsi="Verdana"/>
          <w:b w:val="0"/>
          <w:i/>
          <w:color w:val="000000"/>
          <w:sz w:val="16"/>
          <w:szCs w:val="16"/>
          <w:shd w:val="clear" w:color="auto" w:fill="FFFFFF"/>
          <w:lang w:val="es-CR"/>
        </w:rPr>
        <w:t>Caso El Amparo Vs. Venezuela. Supervisión de Cumplimiento de Sentencia.</w:t>
      </w:r>
      <w:r w:rsidRPr="0086344A">
        <w:rPr>
          <w:rStyle w:val="Strong"/>
          <w:rFonts w:ascii="Verdana" w:hAnsi="Verdana"/>
          <w:b w:val="0"/>
          <w:color w:val="000000"/>
          <w:sz w:val="16"/>
          <w:szCs w:val="16"/>
          <w:shd w:val="clear" w:color="auto" w:fill="FFFFFF"/>
          <w:lang w:val="es-CR"/>
        </w:rPr>
        <w:t xml:space="preserve"> Resolución de la Corte Interamericana de Derechos Humanos de 4 de julio de 2006; </w:t>
      </w:r>
      <w:r w:rsidRPr="0086344A">
        <w:rPr>
          <w:rStyle w:val="Strong"/>
          <w:rFonts w:ascii="Verdana" w:hAnsi="Verdana"/>
          <w:b w:val="0"/>
          <w:i/>
          <w:color w:val="000000"/>
          <w:sz w:val="16"/>
          <w:szCs w:val="16"/>
          <w:shd w:val="clear" w:color="auto" w:fill="FFFFFF"/>
          <w:lang w:val="es-CR"/>
        </w:rPr>
        <w:t xml:space="preserve">Caso El Amparo Vs. Venezuela. Supervisión de Cumplimiento de Sentencia. </w:t>
      </w:r>
      <w:r w:rsidRPr="0086344A">
        <w:rPr>
          <w:rStyle w:val="Strong"/>
          <w:rFonts w:ascii="Verdana" w:hAnsi="Verdana"/>
          <w:b w:val="0"/>
          <w:color w:val="000000"/>
          <w:sz w:val="16"/>
          <w:szCs w:val="16"/>
          <w:shd w:val="clear" w:color="auto" w:fill="FFFFFF"/>
          <w:lang w:val="es-CR"/>
        </w:rPr>
        <w:t xml:space="preserve">Resolución de la Corte Interamericana de Derechos Humanos de 4 de febrero de 2010; </w:t>
      </w:r>
      <w:r w:rsidRPr="0086344A">
        <w:rPr>
          <w:rStyle w:val="Strong"/>
          <w:rFonts w:ascii="Verdana" w:hAnsi="Verdana"/>
          <w:b w:val="0"/>
          <w:i/>
          <w:color w:val="000000"/>
          <w:sz w:val="16"/>
          <w:szCs w:val="16"/>
          <w:shd w:val="clear" w:color="auto" w:fill="FFFFFF"/>
          <w:lang w:val="es-CR"/>
        </w:rPr>
        <w:t xml:space="preserve">Caso El Amparo Vs. Venezuela. Supervisión de Cumplimiento de Sentencia. </w:t>
      </w:r>
      <w:r w:rsidRPr="0086344A">
        <w:rPr>
          <w:rStyle w:val="Strong"/>
          <w:rFonts w:ascii="Verdana" w:hAnsi="Verdana"/>
          <w:b w:val="0"/>
          <w:color w:val="000000"/>
          <w:sz w:val="16"/>
          <w:szCs w:val="16"/>
          <w:shd w:val="clear" w:color="auto" w:fill="FFFFFF"/>
          <w:lang w:val="es-CR"/>
        </w:rPr>
        <w:t xml:space="preserve">Resolución de la Corte Interamericana de Derechos Humanos de 20 de febrero de 2012, y </w:t>
      </w:r>
      <w:r w:rsidRPr="0086344A">
        <w:rPr>
          <w:rStyle w:val="Strong"/>
          <w:rFonts w:ascii="Verdana" w:hAnsi="Verdana"/>
          <w:b w:val="0"/>
          <w:i/>
          <w:color w:val="000000"/>
          <w:sz w:val="16"/>
          <w:szCs w:val="16"/>
          <w:shd w:val="clear" w:color="auto" w:fill="FFFFFF"/>
          <w:lang w:val="es-CR"/>
        </w:rPr>
        <w:t>Casos El Amparo, Blanco Romero y otros, Montero Aranguren y otros, Barreto Leiva y Usón Ramírez Vs. Venezuela. Supervisión de Cumplimiento de Sentencia.</w:t>
      </w:r>
      <w:r w:rsidRPr="0086344A">
        <w:rPr>
          <w:rStyle w:val="Strong"/>
          <w:rFonts w:ascii="Verdana" w:hAnsi="Verdana"/>
          <w:b w:val="0"/>
          <w:color w:val="000000"/>
          <w:sz w:val="16"/>
          <w:szCs w:val="16"/>
          <w:shd w:val="clear" w:color="auto" w:fill="FFFFFF"/>
          <w:lang w:val="es-CR"/>
        </w:rPr>
        <w:t xml:space="preserve"> Resolución de la Corte Interamericana de Derechos Humanos de 20 de noviembre de 2015.</w:t>
      </w:r>
      <w:r w:rsidR="0086344A" w:rsidRPr="0086344A">
        <w:rPr>
          <w:rStyle w:val="Strong"/>
          <w:rFonts w:ascii="Verdana" w:hAnsi="Verdana"/>
          <w:b w:val="0"/>
          <w:color w:val="000000"/>
          <w:sz w:val="16"/>
          <w:szCs w:val="16"/>
          <w:shd w:val="clear" w:color="auto" w:fill="FFFFFF"/>
          <w:lang w:val="es-CR"/>
        </w:rPr>
        <w:t xml:space="preserve"> Disponibles en: </w:t>
      </w:r>
      <w:hyperlink r:id="rId3" w:history="1">
        <w:r w:rsidR="0086344A" w:rsidRPr="0086344A">
          <w:rPr>
            <w:rStyle w:val="Hyperlink"/>
            <w:rFonts w:ascii="Verdana" w:hAnsi="Verdana"/>
            <w:sz w:val="16"/>
            <w:szCs w:val="16"/>
            <w:shd w:val="clear" w:color="auto" w:fill="FFFFFF"/>
            <w:lang w:val="es-CR"/>
          </w:rPr>
          <w:t>http://www.corteidh.or.cr/cf/Jurisprudencia2/busqueda_supervision_cumplimiento.cfm?lang=es</w:t>
        </w:r>
      </w:hyperlink>
      <w:r w:rsidR="0086344A" w:rsidRPr="0086344A">
        <w:rPr>
          <w:rStyle w:val="Strong"/>
          <w:rFonts w:ascii="Verdana" w:hAnsi="Verdana"/>
          <w:color w:val="000000"/>
          <w:sz w:val="16"/>
          <w:szCs w:val="16"/>
          <w:shd w:val="clear" w:color="auto" w:fill="FFFFFF"/>
          <w:lang w:val="es-CR"/>
        </w:rPr>
        <w:t xml:space="preserve"> </w:t>
      </w:r>
    </w:p>
  </w:footnote>
  <w:footnote w:id="7">
    <w:p w:rsidR="0086344A" w:rsidRPr="0086344A" w:rsidRDefault="0086344A" w:rsidP="0086344A">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t xml:space="preserve">El escrito fue presentado conjuntamente por el Centro por la Justicia y el Derecho Internacional (CEJIL), el Comité de Familiares de las Víctimas de los sucesos ocurridos entre el 27 de febrero y los primeros días de marzo de 1989 (COFAVIC), Vicaría Episcopal de Derechos Humanos de Caracas, la Comisión de Derechos Humanos de Justicia y Paz del Estado Aragua y el Programa Venezolano de Educación-Acción en Derechos Humanos (PROVEA), </w:t>
      </w:r>
      <w:r w:rsidRPr="0086344A">
        <w:rPr>
          <w:rFonts w:ascii="Verdana" w:hAnsi="Verdana"/>
          <w:sz w:val="16"/>
          <w:szCs w:val="16"/>
          <w:lang w:val="es-CR"/>
        </w:rPr>
        <w:t>en relación con el incumplimiento de los siguientes siete casos contra Venezuela: (i) caso El Amparo; (ii) caso del Caracazo; (iii) caso Blanco Romero y otros; (iv) caso Montero Aranguren y otros; (v) caso Familia Barrios; (vi) caso Hermanos Landaeta Mejías y otros, y (vii) caso Uzcátegui y otros.</w:t>
      </w:r>
    </w:p>
  </w:footnote>
  <w:footnote w:id="8">
    <w:p w:rsidR="0086344A" w:rsidRPr="0086344A" w:rsidRDefault="0086344A" w:rsidP="0086344A">
      <w:pPr>
        <w:pStyle w:val="FootnoteText"/>
        <w:tabs>
          <w:tab w:val="left" w:pos="426"/>
        </w:tabs>
        <w:rPr>
          <w:lang w:val="es-CR"/>
        </w:rPr>
      </w:pPr>
      <w:r w:rsidRPr="0086344A">
        <w:rPr>
          <w:rStyle w:val="FootnoteReference"/>
          <w:rFonts w:ascii="Verdana" w:hAnsi="Verdana"/>
          <w:sz w:val="16"/>
          <w:szCs w:val="16"/>
        </w:rPr>
        <w:footnoteRef/>
      </w:r>
      <w:r w:rsidRPr="0086344A">
        <w:rPr>
          <w:rFonts w:ascii="Verdana" w:hAnsi="Verdana"/>
          <w:sz w:val="16"/>
          <w:szCs w:val="16"/>
          <w:lang w:val="es-CR"/>
        </w:rPr>
        <w:t xml:space="preserve"> </w:t>
      </w:r>
      <w:r w:rsidRPr="0086344A">
        <w:rPr>
          <w:rFonts w:ascii="Verdana" w:hAnsi="Verdana"/>
          <w:sz w:val="16"/>
          <w:szCs w:val="16"/>
          <w:lang w:val="es-CR"/>
        </w:rPr>
        <w:tab/>
        <w:t>Los representantes del presente caso son CEJIL y PROVEA.</w:t>
      </w:r>
    </w:p>
  </w:footnote>
  <w:footnote w:id="9">
    <w:p w:rsidR="002331D5" w:rsidRPr="00FB2D8E" w:rsidRDefault="002331D5"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t xml:space="preserve">Mediante nota de la Secretaría de </w:t>
      </w:r>
      <w:r w:rsidR="00A25E1A" w:rsidRPr="00FB2D8E">
        <w:rPr>
          <w:rFonts w:ascii="Verdana" w:hAnsi="Verdana"/>
          <w:sz w:val="16"/>
          <w:szCs w:val="16"/>
          <w:lang w:val="es-CR"/>
        </w:rPr>
        <w:t xml:space="preserve">la Corte de </w:t>
      </w:r>
      <w:r w:rsidRPr="00FB2D8E">
        <w:rPr>
          <w:rFonts w:ascii="Verdana" w:hAnsi="Verdana"/>
          <w:sz w:val="16"/>
          <w:szCs w:val="16"/>
          <w:lang w:val="es-CR"/>
        </w:rPr>
        <w:t xml:space="preserve">21 de diciembre de 2016 se comunicó </w:t>
      </w:r>
      <w:r w:rsidR="0086344A">
        <w:rPr>
          <w:rFonts w:ascii="Verdana" w:hAnsi="Verdana"/>
          <w:sz w:val="16"/>
          <w:szCs w:val="16"/>
          <w:lang w:val="es-CR"/>
        </w:rPr>
        <w:t xml:space="preserve">a las partes y la Comisión Interamericana </w:t>
      </w:r>
      <w:r w:rsidRPr="00FB2D8E">
        <w:rPr>
          <w:rFonts w:ascii="Verdana" w:hAnsi="Verdana"/>
          <w:sz w:val="16"/>
          <w:szCs w:val="16"/>
          <w:lang w:val="es-CR"/>
        </w:rPr>
        <w:t xml:space="preserve">que dicha solicitud fue puesta en conocimiento del Pleno de la Corte, el cual decidió que “no e[ra] pertinente en ese momento atender dicha solicitud, sin perjuicio de que en el futuro la </w:t>
      </w:r>
      <w:r w:rsidR="0086344A">
        <w:rPr>
          <w:rFonts w:ascii="Verdana" w:hAnsi="Verdana"/>
          <w:sz w:val="16"/>
          <w:szCs w:val="16"/>
          <w:lang w:val="es-CR"/>
        </w:rPr>
        <w:t>[audiencia]</w:t>
      </w:r>
      <w:r w:rsidRPr="00FB2D8E">
        <w:rPr>
          <w:rFonts w:ascii="Verdana" w:hAnsi="Verdana"/>
          <w:sz w:val="16"/>
          <w:szCs w:val="16"/>
          <w:lang w:val="es-CR"/>
        </w:rPr>
        <w:t xml:space="preserve"> sea convocada”.</w:t>
      </w:r>
    </w:p>
  </w:footnote>
  <w:footnote w:id="10">
    <w:p w:rsidR="00F32F0F" w:rsidRPr="00FB2D8E" w:rsidRDefault="00F32F0F"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t xml:space="preserve">Además de sus observaciones al informe estatal de </w:t>
      </w:r>
      <w:r w:rsidR="00C12DB7">
        <w:rPr>
          <w:rFonts w:ascii="Verdana" w:hAnsi="Verdana"/>
          <w:sz w:val="16"/>
          <w:szCs w:val="16"/>
          <w:lang w:val="es-CR"/>
        </w:rPr>
        <w:t>noviembre</w:t>
      </w:r>
      <w:r w:rsidR="00C12DB7" w:rsidRPr="00FB2D8E">
        <w:rPr>
          <w:rFonts w:ascii="Verdana" w:hAnsi="Verdana"/>
          <w:sz w:val="16"/>
          <w:szCs w:val="16"/>
          <w:lang w:val="es-CR"/>
        </w:rPr>
        <w:t xml:space="preserve"> </w:t>
      </w:r>
      <w:r w:rsidRPr="00FB2D8E">
        <w:rPr>
          <w:rFonts w:ascii="Verdana" w:hAnsi="Verdana"/>
          <w:sz w:val="16"/>
          <w:szCs w:val="16"/>
          <w:lang w:val="es-CR"/>
        </w:rPr>
        <w:t>de 2017</w:t>
      </w:r>
      <w:r w:rsidR="0086344A">
        <w:rPr>
          <w:rFonts w:ascii="Verdana" w:hAnsi="Verdana"/>
          <w:sz w:val="16"/>
          <w:szCs w:val="16"/>
          <w:lang w:val="es-CR"/>
        </w:rPr>
        <w:t xml:space="preserve"> (</w:t>
      </w:r>
      <w:r w:rsidR="0086344A" w:rsidRPr="0086344A">
        <w:rPr>
          <w:rFonts w:ascii="Verdana" w:hAnsi="Verdana"/>
          <w:i/>
          <w:sz w:val="16"/>
          <w:szCs w:val="16"/>
          <w:lang w:val="es-CR"/>
        </w:rPr>
        <w:t>supra</w:t>
      </w:r>
      <w:r w:rsidR="0086344A">
        <w:rPr>
          <w:rFonts w:ascii="Verdana" w:hAnsi="Verdana"/>
          <w:sz w:val="16"/>
          <w:szCs w:val="16"/>
          <w:lang w:val="es-CR"/>
        </w:rPr>
        <w:t xml:space="preserve"> Visto 4)</w:t>
      </w:r>
      <w:r w:rsidRPr="00FB2D8E">
        <w:rPr>
          <w:rFonts w:ascii="Verdana" w:hAnsi="Verdana"/>
          <w:sz w:val="16"/>
          <w:szCs w:val="16"/>
          <w:lang w:val="es-CR"/>
        </w:rPr>
        <w:t>, solicitó que se convoque a una audiencia. Mediante nota de la Secretaría de</w:t>
      </w:r>
      <w:r w:rsidR="00A25E1A" w:rsidRPr="00FB2D8E">
        <w:rPr>
          <w:rFonts w:ascii="Verdana" w:hAnsi="Verdana"/>
          <w:sz w:val="16"/>
          <w:szCs w:val="16"/>
          <w:lang w:val="es-CR"/>
        </w:rPr>
        <w:t xml:space="preserve"> la Corte de</w:t>
      </w:r>
      <w:r w:rsidRPr="00FB2D8E">
        <w:rPr>
          <w:rFonts w:ascii="Verdana" w:hAnsi="Verdana"/>
          <w:sz w:val="16"/>
          <w:szCs w:val="16"/>
          <w:lang w:val="es-CR"/>
        </w:rPr>
        <w:t xml:space="preserve"> 28 de febrero de 2018 se comunicó que dicha solicitud había sido puesta en conocimiento del Presidente de la Corte para los efectos pertinentes.</w:t>
      </w:r>
    </w:p>
  </w:footnote>
  <w:footnote w:id="11">
    <w:p w:rsidR="009B0550" w:rsidRPr="00FB2D8E" w:rsidRDefault="009B0550"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t xml:space="preserve">Facultad que además </w:t>
      </w:r>
      <w:r w:rsidRPr="00FB2D8E">
        <w:rPr>
          <w:rFonts w:ascii="Verdana" w:hAnsi="Verdana"/>
          <w:sz w:val="16"/>
          <w:szCs w:val="16"/>
          <w:lang w:val="es-ES"/>
        </w:rPr>
        <w:t xml:space="preserve">se desprende de lo dispuesto en los artículos 33, 62.1, 62.3 y 65 de la Convención Americana y </w:t>
      </w:r>
      <w:r w:rsidRPr="00FB2D8E">
        <w:rPr>
          <w:rFonts w:ascii="Verdana" w:hAnsi="Verdana"/>
          <w:sz w:val="16"/>
          <w:szCs w:val="16"/>
          <w:lang w:val="es-CR"/>
        </w:rPr>
        <w:t>30 de su Estatuto y se encuentra regulada en el artículo 69 de su Reglamento.</w:t>
      </w:r>
    </w:p>
  </w:footnote>
  <w:footnote w:id="12">
    <w:p w:rsidR="009B0550" w:rsidRPr="00FB2D8E" w:rsidRDefault="009B0550" w:rsidP="00FB2D8E">
      <w:pPr>
        <w:pStyle w:val="FootnoteText"/>
        <w:tabs>
          <w:tab w:val="left" w:pos="426"/>
        </w:tabs>
        <w:ind w:right="4"/>
        <w:jc w:val="both"/>
        <w:rPr>
          <w:rFonts w:ascii="Verdana" w:hAnsi="Verdana"/>
          <w:color w:val="000000"/>
          <w:sz w:val="16"/>
          <w:szCs w:val="16"/>
          <w:lang w:val="es-CR"/>
        </w:rPr>
      </w:pPr>
      <w:r w:rsidRPr="00FB2D8E">
        <w:rPr>
          <w:rStyle w:val="FootnoteReference"/>
          <w:rFonts w:ascii="Verdana" w:hAnsi="Verdana"/>
          <w:sz w:val="16"/>
          <w:szCs w:val="16"/>
        </w:rPr>
        <w:footnoteRef/>
      </w:r>
      <w:r w:rsidRPr="00FB2D8E">
        <w:rPr>
          <w:rFonts w:ascii="Verdana" w:hAnsi="Verdana"/>
          <w:i/>
          <w:color w:val="000000"/>
          <w:sz w:val="16"/>
          <w:szCs w:val="16"/>
          <w:lang w:val="es-AR"/>
        </w:rPr>
        <w:t xml:space="preserve"> </w:t>
      </w:r>
      <w:r w:rsidRPr="00FB2D8E">
        <w:rPr>
          <w:rFonts w:ascii="Verdana" w:hAnsi="Verdana"/>
          <w:i/>
          <w:color w:val="000000"/>
          <w:sz w:val="16"/>
          <w:szCs w:val="16"/>
          <w:lang w:val="es-AR"/>
        </w:rPr>
        <w:tab/>
        <w:t xml:space="preserve">Cfr. Caso Cinco Pensionistas Vs. Perú. Supervisión de Cumplimiento de Sentencia. </w:t>
      </w:r>
      <w:r w:rsidRPr="00FB2D8E">
        <w:rPr>
          <w:rFonts w:ascii="Verdana" w:hAnsi="Verdana"/>
          <w:color w:val="000000"/>
          <w:sz w:val="16"/>
          <w:szCs w:val="16"/>
          <w:lang w:val="es-AR"/>
        </w:rPr>
        <w:t xml:space="preserve">Resolución de la Corte Interamericana de Derechos Humanos de 17 de noviembre de 2004, Considerando </w:t>
      </w:r>
      <w:r w:rsidR="00E355D5">
        <w:rPr>
          <w:rFonts w:ascii="Verdana" w:hAnsi="Verdana"/>
          <w:color w:val="000000"/>
          <w:sz w:val="16"/>
          <w:szCs w:val="16"/>
          <w:lang w:val="es-AR"/>
        </w:rPr>
        <w:t>5</w:t>
      </w:r>
      <w:r w:rsidRPr="00FB2D8E">
        <w:rPr>
          <w:rFonts w:ascii="Verdana" w:hAnsi="Verdana"/>
          <w:color w:val="000000"/>
          <w:sz w:val="16"/>
          <w:szCs w:val="16"/>
          <w:lang w:val="es-AR"/>
        </w:rPr>
        <w:t xml:space="preserve">, y </w:t>
      </w:r>
      <w:r w:rsidRPr="00FB2D8E">
        <w:rPr>
          <w:rFonts w:ascii="Verdana" w:hAnsi="Verdana"/>
          <w:bCs/>
          <w:i/>
          <w:color w:val="000000"/>
          <w:sz w:val="16"/>
          <w:szCs w:val="16"/>
          <w:lang w:val="es-CR"/>
        </w:rPr>
        <w:t xml:space="preserve">Caso </w:t>
      </w:r>
      <w:r w:rsidR="00D47432" w:rsidRPr="00FB2D8E">
        <w:rPr>
          <w:rFonts w:ascii="Verdana" w:hAnsi="Verdana"/>
          <w:bCs/>
          <w:i/>
          <w:color w:val="000000"/>
          <w:sz w:val="16"/>
          <w:szCs w:val="16"/>
          <w:lang w:val="es-CR"/>
        </w:rPr>
        <w:t>del Pueblo de Saramaka</w:t>
      </w:r>
      <w:r w:rsidRPr="00FB2D8E">
        <w:rPr>
          <w:rFonts w:ascii="Verdana" w:hAnsi="Verdana"/>
          <w:bCs/>
          <w:i/>
          <w:color w:val="000000"/>
          <w:sz w:val="16"/>
          <w:szCs w:val="16"/>
          <w:lang w:val="es-CR"/>
        </w:rPr>
        <w:t xml:space="preserve"> Vs. </w:t>
      </w:r>
      <w:r w:rsidR="00D47432" w:rsidRPr="00FB2D8E">
        <w:rPr>
          <w:rFonts w:ascii="Verdana" w:hAnsi="Verdana"/>
          <w:bCs/>
          <w:i/>
          <w:color w:val="000000"/>
          <w:sz w:val="16"/>
          <w:szCs w:val="16"/>
          <w:lang w:val="es-CR"/>
        </w:rPr>
        <w:t>Surinam</w:t>
      </w:r>
      <w:r w:rsidRPr="00FB2D8E">
        <w:rPr>
          <w:rFonts w:ascii="Verdana" w:hAnsi="Verdana"/>
          <w:bCs/>
          <w:color w:val="000000"/>
          <w:sz w:val="16"/>
          <w:szCs w:val="16"/>
          <w:lang w:val="es-CR"/>
        </w:rPr>
        <w:t xml:space="preserve">. </w:t>
      </w:r>
      <w:r w:rsidRPr="0086344A">
        <w:rPr>
          <w:rFonts w:ascii="Verdana" w:hAnsi="Verdana"/>
          <w:bCs/>
          <w:i/>
          <w:color w:val="000000"/>
          <w:sz w:val="16"/>
          <w:szCs w:val="16"/>
          <w:lang w:val="es-CR"/>
        </w:rPr>
        <w:t xml:space="preserve">Supervisión de Cumplimiento de Sentencia. </w:t>
      </w:r>
      <w:r w:rsidRPr="00FB2D8E">
        <w:rPr>
          <w:rFonts w:ascii="Verdana" w:hAnsi="Verdana"/>
          <w:bCs/>
          <w:color w:val="000000"/>
          <w:sz w:val="16"/>
          <w:szCs w:val="16"/>
          <w:lang w:val="es-CR"/>
        </w:rPr>
        <w:t xml:space="preserve">Resolución de la Corte Interamericana de Derechos Humanos de </w:t>
      </w:r>
      <w:r w:rsidR="00D47432" w:rsidRPr="00FB2D8E">
        <w:rPr>
          <w:rFonts w:ascii="Verdana" w:hAnsi="Verdana"/>
          <w:bCs/>
          <w:color w:val="000000"/>
          <w:sz w:val="16"/>
          <w:szCs w:val="16"/>
          <w:lang w:val="es-CR"/>
        </w:rPr>
        <w:t xml:space="preserve">26 </w:t>
      </w:r>
      <w:r w:rsidRPr="00FB2D8E">
        <w:rPr>
          <w:rFonts w:ascii="Verdana" w:hAnsi="Verdana"/>
          <w:bCs/>
          <w:color w:val="000000"/>
          <w:sz w:val="16"/>
          <w:szCs w:val="16"/>
          <w:lang w:val="es-CR"/>
        </w:rPr>
        <w:t xml:space="preserve">de </w:t>
      </w:r>
      <w:r w:rsidR="00D47432" w:rsidRPr="00FB2D8E">
        <w:rPr>
          <w:rFonts w:ascii="Verdana" w:hAnsi="Verdana"/>
          <w:bCs/>
          <w:color w:val="000000"/>
          <w:sz w:val="16"/>
          <w:szCs w:val="16"/>
          <w:lang w:val="es-CR"/>
        </w:rPr>
        <w:t xml:space="preserve">septiembre </w:t>
      </w:r>
      <w:r w:rsidRPr="00FB2D8E">
        <w:rPr>
          <w:rFonts w:ascii="Verdana" w:hAnsi="Verdana"/>
          <w:bCs/>
          <w:color w:val="000000"/>
          <w:sz w:val="16"/>
          <w:szCs w:val="16"/>
          <w:lang w:val="es-CR"/>
        </w:rPr>
        <w:t xml:space="preserve">de 2018, Considerando </w:t>
      </w:r>
      <w:r w:rsidR="00E355D5">
        <w:rPr>
          <w:rFonts w:ascii="Verdana" w:hAnsi="Verdana"/>
          <w:bCs/>
          <w:color w:val="000000"/>
          <w:sz w:val="16"/>
          <w:szCs w:val="16"/>
          <w:lang w:val="es-CR"/>
        </w:rPr>
        <w:t>2</w:t>
      </w:r>
      <w:r w:rsidRPr="00FB2D8E">
        <w:rPr>
          <w:rStyle w:val="Strong"/>
          <w:rFonts w:ascii="Verdana" w:hAnsi="Verdana"/>
          <w:b w:val="0"/>
          <w:color w:val="000000"/>
          <w:sz w:val="16"/>
          <w:szCs w:val="16"/>
          <w:shd w:val="clear" w:color="auto" w:fill="FFFFFF"/>
          <w:lang w:val="es-CR"/>
        </w:rPr>
        <w:t>.</w:t>
      </w:r>
    </w:p>
  </w:footnote>
  <w:footnote w:id="13">
    <w:p w:rsidR="009B0550" w:rsidRPr="00FB2D8E" w:rsidRDefault="009B0550" w:rsidP="00FB2D8E">
      <w:pPr>
        <w:pStyle w:val="FootnoteText"/>
        <w:tabs>
          <w:tab w:val="left" w:pos="426"/>
        </w:tabs>
        <w:ind w:right="4"/>
        <w:jc w:val="both"/>
        <w:rPr>
          <w:rFonts w:ascii="Verdana" w:hAnsi="Verdana"/>
          <w:b/>
          <w:color w:val="000000"/>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Pr="00FB2D8E">
        <w:rPr>
          <w:rFonts w:ascii="Verdana" w:hAnsi="Verdana"/>
          <w:sz w:val="16"/>
          <w:szCs w:val="16"/>
          <w:lang w:val="es-CR"/>
        </w:rPr>
        <w:tab/>
      </w:r>
      <w:r w:rsidRPr="00FB2D8E">
        <w:rPr>
          <w:rFonts w:ascii="Verdana" w:hAnsi="Verdana"/>
          <w:i/>
          <w:sz w:val="16"/>
          <w:szCs w:val="16"/>
          <w:lang w:val="es-CR"/>
        </w:rPr>
        <w:t>Cfr. Caso Ivcher Bronstein Vs. Perú. Competencia</w:t>
      </w:r>
      <w:r w:rsidRPr="00FB2D8E">
        <w:rPr>
          <w:rFonts w:ascii="Verdana" w:hAnsi="Verdana"/>
          <w:sz w:val="16"/>
          <w:szCs w:val="16"/>
          <w:lang w:val="es-CR"/>
        </w:rPr>
        <w:t xml:space="preserve">. Sentencia de la Corte Interamericana de Derechos Humanos de 24 de septiembre de 1999. Serie C No. 54, párr. 37, y </w:t>
      </w:r>
      <w:r w:rsidRPr="00FB2D8E">
        <w:rPr>
          <w:rFonts w:ascii="Verdana" w:hAnsi="Verdana"/>
          <w:bCs/>
          <w:i/>
          <w:color w:val="000000"/>
          <w:sz w:val="16"/>
          <w:szCs w:val="16"/>
          <w:lang w:val="es-CR"/>
        </w:rPr>
        <w:t xml:space="preserve">Caso </w:t>
      </w:r>
      <w:r w:rsidR="00D47432" w:rsidRPr="00FB2D8E">
        <w:rPr>
          <w:rFonts w:ascii="Verdana" w:hAnsi="Verdana"/>
          <w:bCs/>
          <w:i/>
          <w:color w:val="000000"/>
          <w:sz w:val="16"/>
          <w:szCs w:val="16"/>
          <w:lang w:val="es-CR"/>
        </w:rPr>
        <w:t>del Pueblo de Saramaka</w:t>
      </w:r>
      <w:r w:rsidRPr="00FB2D8E">
        <w:rPr>
          <w:rFonts w:ascii="Verdana" w:hAnsi="Verdana"/>
          <w:bCs/>
          <w:i/>
          <w:color w:val="000000"/>
          <w:sz w:val="16"/>
          <w:szCs w:val="16"/>
          <w:lang w:val="es-CR"/>
        </w:rPr>
        <w:t xml:space="preserve"> Vs. </w:t>
      </w:r>
      <w:r w:rsidR="00D47432" w:rsidRPr="00FB2D8E">
        <w:rPr>
          <w:rFonts w:ascii="Verdana" w:hAnsi="Verdana"/>
          <w:bCs/>
          <w:i/>
          <w:color w:val="000000"/>
          <w:sz w:val="16"/>
          <w:szCs w:val="16"/>
          <w:lang w:val="es-CR"/>
        </w:rPr>
        <w:t>Surinam</w:t>
      </w:r>
      <w:r w:rsidRPr="00FB2D8E">
        <w:rPr>
          <w:rFonts w:ascii="Verdana" w:hAnsi="Verdana"/>
          <w:bCs/>
          <w:color w:val="000000"/>
          <w:sz w:val="16"/>
          <w:szCs w:val="16"/>
          <w:lang w:val="es-CR"/>
        </w:rPr>
        <w:t xml:space="preserve">, </w:t>
      </w:r>
      <w:r w:rsidRPr="00FB2D8E">
        <w:rPr>
          <w:rFonts w:ascii="Verdana" w:hAnsi="Verdana"/>
          <w:bCs/>
          <w:i/>
          <w:color w:val="000000"/>
          <w:sz w:val="16"/>
          <w:szCs w:val="16"/>
          <w:lang w:val="es-CR"/>
        </w:rPr>
        <w:t xml:space="preserve">supra </w:t>
      </w:r>
      <w:r w:rsidRPr="00FB2D8E">
        <w:rPr>
          <w:rFonts w:ascii="Verdana" w:hAnsi="Verdana"/>
          <w:bCs/>
          <w:color w:val="000000"/>
          <w:sz w:val="16"/>
          <w:szCs w:val="16"/>
          <w:lang w:val="es-CR"/>
        </w:rPr>
        <w:t xml:space="preserve">nota </w:t>
      </w:r>
      <w:r w:rsidR="0086344A">
        <w:rPr>
          <w:rFonts w:ascii="Verdana" w:hAnsi="Verdana"/>
          <w:bCs/>
          <w:color w:val="000000"/>
          <w:sz w:val="16"/>
          <w:szCs w:val="16"/>
          <w:lang w:val="es-CR"/>
        </w:rPr>
        <w:t>11</w:t>
      </w:r>
      <w:r w:rsidRPr="00FB2D8E">
        <w:rPr>
          <w:rFonts w:ascii="Verdana" w:hAnsi="Verdana"/>
          <w:bCs/>
          <w:color w:val="000000"/>
          <w:sz w:val="16"/>
          <w:szCs w:val="16"/>
          <w:lang w:val="es-CR"/>
        </w:rPr>
        <w:t xml:space="preserve">, Considerando </w:t>
      </w:r>
      <w:r w:rsidR="00E355D5">
        <w:rPr>
          <w:rFonts w:ascii="Verdana" w:hAnsi="Verdana"/>
          <w:bCs/>
          <w:color w:val="000000"/>
          <w:sz w:val="16"/>
          <w:szCs w:val="16"/>
          <w:lang w:val="es-CR"/>
        </w:rPr>
        <w:t>2</w:t>
      </w:r>
      <w:r w:rsidRPr="00FB2D8E">
        <w:rPr>
          <w:rFonts w:ascii="Verdana" w:hAnsi="Verdana"/>
          <w:bCs/>
          <w:color w:val="000000"/>
          <w:sz w:val="16"/>
          <w:szCs w:val="16"/>
          <w:lang w:val="es-CR"/>
        </w:rPr>
        <w:t>.</w:t>
      </w:r>
    </w:p>
  </w:footnote>
  <w:footnote w:id="14">
    <w:p w:rsidR="00D75AB2" w:rsidRPr="00FB2D8E" w:rsidRDefault="00D75AB2"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00A901BD" w:rsidRPr="00FB2D8E">
        <w:rPr>
          <w:rFonts w:ascii="Verdana" w:hAnsi="Verdana"/>
          <w:i/>
          <w:sz w:val="16"/>
          <w:szCs w:val="16"/>
          <w:lang w:val="es-ES"/>
        </w:rPr>
        <w:t>Cfr</w:t>
      </w:r>
      <w:r w:rsidR="00A901BD" w:rsidRPr="00FB2D8E">
        <w:rPr>
          <w:rFonts w:ascii="Verdana" w:hAnsi="Verdana"/>
          <w:sz w:val="16"/>
          <w:szCs w:val="16"/>
          <w:lang w:val="es-ES"/>
        </w:rPr>
        <w:t xml:space="preserve">. </w:t>
      </w:r>
      <w:r w:rsidR="00A901BD" w:rsidRPr="00FB2D8E">
        <w:rPr>
          <w:rStyle w:val="Strong"/>
          <w:rFonts w:ascii="Verdana" w:hAnsi="Verdana"/>
          <w:b w:val="0"/>
          <w:i/>
          <w:color w:val="000000"/>
          <w:sz w:val="16"/>
          <w:szCs w:val="16"/>
          <w:shd w:val="clear" w:color="auto" w:fill="FFFFFF"/>
          <w:lang w:val="es-CR"/>
        </w:rPr>
        <w:t>Casos El Amparo, Blanco Romero y otros, Montero Aranguren y otros, Barreto Leiva y Usón Ramírez Vs. Venezuela</w:t>
      </w:r>
      <w:r w:rsidR="00E355D5">
        <w:rPr>
          <w:rStyle w:val="Strong"/>
          <w:rFonts w:ascii="Verdana" w:hAnsi="Verdana"/>
          <w:b w:val="0"/>
          <w:i/>
          <w:color w:val="000000"/>
          <w:sz w:val="16"/>
          <w:szCs w:val="16"/>
          <w:shd w:val="clear" w:color="auto" w:fill="FFFFFF"/>
          <w:lang w:val="es-CR"/>
        </w:rPr>
        <w:t xml:space="preserve">, supra </w:t>
      </w:r>
      <w:r w:rsidR="00E355D5" w:rsidRPr="00E355D5">
        <w:rPr>
          <w:rStyle w:val="Strong"/>
          <w:rFonts w:ascii="Verdana" w:hAnsi="Verdana"/>
          <w:b w:val="0"/>
          <w:color w:val="000000"/>
          <w:sz w:val="16"/>
          <w:szCs w:val="16"/>
          <w:shd w:val="clear" w:color="auto" w:fill="FFFFFF"/>
          <w:lang w:val="es-CR"/>
        </w:rPr>
        <w:t>nota 5,</w:t>
      </w:r>
      <w:r w:rsidR="00E355D5">
        <w:rPr>
          <w:rStyle w:val="Strong"/>
          <w:rFonts w:ascii="Verdana" w:hAnsi="Verdana"/>
          <w:b w:val="0"/>
          <w:i/>
          <w:color w:val="000000"/>
          <w:sz w:val="16"/>
          <w:szCs w:val="16"/>
          <w:shd w:val="clear" w:color="auto" w:fill="FFFFFF"/>
          <w:lang w:val="es-CR"/>
        </w:rPr>
        <w:t xml:space="preserve"> </w:t>
      </w:r>
      <w:r w:rsidRPr="00FB2D8E">
        <w:rPr>
          <w:rFonts w:ascii="Verdana" w:hAnsi="Verdana"/>
          <w:sz w:val="16"/>
          <w:szCs w:val="16"/>
          <w:lang w:val="es-ES"/>
        </w:rPr>
        <w:t>punto declarativo 1.</w:t>
      </w:r>
    </w:p>
  </w:footnote>
  <w:footnote w:id="15">
    <w:p w:rsidR="008C6BC6" w:rsidRPr="00FB2D8E" w:rsidRDefault="008C6BC6"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00A901BD" w:rsidRPr="00FB2D8E">
        <w:rPr>
          <w:rFonts w:ascii="Verdana" w:hAnsi="Verdana"/>
          <w:i/>
          <w:sz w:val="16"/>
          <w:szCs w:val="16"/>
          <w:lang w:val="es-ES"/>
        </w:rPr>
        <w:t xml:space="preserve">Cfr. </w:t>
      </w:r>
      <w:r w:rsidR="00A901BD" w:rsidRPr="00FB2D8E">
        <w:rPr>
          <w:rFonts w:ascii="Verdana" w:hAnsi="Verdana"/>
          <w:sz w:val="16"/>
          <w:szCs w:val="16"/>
          <w:lang w:val="es-ES"/>
        </w:rPr>
        <w:t xml:space="preserve">Casos </w:t>
      </w:r>
      <w:r w:rsidR="00A901BD" w:rsidRPr="00FB2D8E">
        <w:rPr>
          <w:rStyle w:val="Strong"/>
          <w:rFonts w:ascii="Verdana" w:hAnsi="Verdana"/>
          <w:b w:val="0"/>
          <w:i/>
          <w:color w:val="000000"/>
          <w:sz w:val="16"/>
          <w:szCs w:val="16"/>
          <w:shd w:val="clear" w:color="auto" w:fill="FFFFFF"/>
          <w:lang w:val="es-CR"/>
        </w:rPr>
        <w:t xml:space="preserve">El Amparo, Blanco Romero y otros, Montero Aranguren y otros, Barreto Leiva y Usón Ramírez, </w:t>
      </w:r>
      <w:r w:rsidR="00E355D5">
        <w:rPr>
          <w:rStyle w:val="Strong"/>
          <w:rFonts w:ascii="Verdana" w:hAnsi="Verdana"/>
          <w:b w:val="0"/>
          <w:i/>
          <w:color w:val="000000"/>
          <w:sz w:val="16"/>
          <w:szCs w:val="16"/>
          <w:shd w:val="clear" w:color="auto" w:fill="FFFFFF"/>
          <w:lang w:val="es-CR"/>
        </w:rPr>
        <w:t xml:space="preserve">supra </w:t>
      </w:r>
      <w:r w:rsidR="00E355D5">
        <w:rPr>
          <w:rStyle w:val="Strong"/>
          <w:rFonts w:ascii="Verdana" w:hAnsi="Verdana"/>
          <w:b w:val="0"/>
          <w:color w:val="000000"/>
          <w:sz w:val="16"/>
          <w:szCs w:val="16"/>
          <w:shd w:val="clear" w:color="auto" w:fill="FFFFFF"/>
          <w:lang w:val="es-CR"/>
        </w:rPr>
        <w:t>nota 5</w:t>
      </w:r>
      <w:r w:rsidRPr="00FB2D8E">
        <w:rPr>
          <w:rFonts w:ascii="Verdana" w:hAnsi="Verdana"/>
          <w:sz w:val="16"/>
          <w:szCs w:val="16"/>
          <w:lang w:val="es-ES"/>
        </w:rPr>
        <w:t>, Vistos 2 y 3</w:t>
      </w:r>
      <w:r w:rsidR="00A901BD" w:rsidRPr="00FB2D8E">
        <w:rPr>
          <w:rFonts w:ascii="Verdana" w:hAnsi="Verdana"/>
          <w:sz w:val="16"/>
          <w:szCs w:val="16"/>
          <w:lang w:val="es-ES"/>
        </w:rPr>
        <w:t xml:space="preserve"> y</w:t>
      </w:r>
      <w:r w:rsidRPr="00FB2D8E">
        <w:rPr>
          <w:rFonts w:ascii="Verdana" w:hAnsi="Verdana"/>
          <w:sz w:val="16"/>
          <w:szCs w:val="16"/>
          <w:lang w:val="es-ES"/>
        </w:rPr>
        <w:t xml:space="preserve"> Considerandos 2 y 4. </w:t>
      </w:r>
    </w:p>
  </w:footnote>
  <w:footnote w:id="16">
    <w:p w:rsidR="008C0C27" w:rsidRPr="00FB2D8E" w:rsidRDefault="008C0C27"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00A901BD" w:rsidRPr="00FB2D8E">
        <w:rPr>
          <w:rFonts w:ascii="Verdana" w:hAnsi="Verdana"/>
          <w:i/>
          <w:sz w:val="16"/>
          <w:szCs w:val="16"/>
          <w:lang w:val="es-ES"/>
        </w:rPr>
        <w:t xml:space="preserve">Cfr. </w:t>
      </w:r>
      <w:r w:rsidR="00A901BD" w:rsidRPr="00FB2D8E">
        <w:rPr>
          <w:rFonts w:ascii="Verdana" w:hAnsi="Verdana"/>
          <w:sz w:val="16"/>
          <w:szCs w:val="16"/>
          <w:lang w:val="es-ES"/>
        </w:rPr>
        <w:t xml:space="preserve">Casos </w:t>
      </w:r>
      <w:r w:rsidR="00A901BD" w:rsidRPr="00FB2D8E">
        <w:rPr>
          <w:rStyle w:val="Strong"/>
          <w:rFonts w:ascii="Verdana" w:hAnsi="Verdana"/>
          <w:b w:val="0"/>
          <w:i/>
          <w:color w:val="000000"/>
          <w:sz w:val="16"/>
          <w:szCs w:val="16"/>
          <w:shd w:val="clear" w:color="auto" w:fill="FFFFFF"/>
          <w:lang w:val="es-CR"/>
        </w:rPr>
        <w:t xml:space="preserve">El Amparo, Blanco Romero y otros, Montero Aranguren y otros, Barreto Leiva y Usón Ramírez, </w:t>
      </w:r>
      <w:r w:rsidR="00E355D5">
        <w:rPr>
          <w:rStyle w:val="Strong"/>
          <w:rFonts w:ascii="Verdana" w:hAnsi="Verdana"/>
          <w:b w:val="0"/>
          <w:i/>
          <w:color w:val="000000"/>
          <w:sz w:val="16"/>
          <w:szCs w:val="16"/>
          <w:shd w:val="clear" w:color="auto" w:fill="FFFFFF"/>
          <w:lang w:val="es-CR"/>
        </w:rPr>
        <w:t xml:space="preserve">supra </w:t>
      </w:r>
      <w:r w:rsidR="00E355D5" w:rsidRPr="00E355D5">
        <w:rPr>
          <w:rStyle w:val="Strong"/>
          <w:rFonts w:ascii="Verdana" w:hAnsi="Verdana"/>
          <w:b w:val="0"/>
          <w:color w:val="000000"/>
          <w:sz w:val="16"/>
          <w:szCs w:val="16"/>
          <w:shd w:val="clear" w:color="auto" w:fill="FFFFFF"/>
          <w:lang w:val="es-CR"/>
        </w:rPr>
        <w:t>nota 5,</w:t>
      </w:r>
      <w:r w:rsidR="00E355D5">
        <w:rPr>
          <w:rStyle w:val="Strong"/>
          <w:rFonts w:ascii="Verdana" w:hAnsi="Verdana"/>
          <w:b w:val="0"/>
          <w:i/>
          <w:color w:val="000000"/>
          <w:sz w:val="16"/>
          <w:szCs w:val="16"/>
          <w:shd w:val="clear" w:color="auto" w:fill="FFFFFF"/>
          <w:lang w:val="es-CR"/>
        </w:rPr>
        <w:t xml:space="preserve"> </w:t>
      </w:r>
      <w:r w:rsidRPr="00FB2D8E">
        <w:rPr>
          <w:rFonts w:ascii="Verdana" w:hAnsi="Verdana"/>
          <w:sz w:val="16"/>
          <w:szCs w:val="16"/>
          <w:lang w:val="es-ES"/>
        </w:rPr>
        <w:t xml:space="preserve">punto declarativo 2. </w:t>
      </w:r>
    </w:p>
  </w:footnote>
  <w:footnote w:id="17">
    <w:p w:rsidR="000B5616" w:rsidRPr="00FB2D8E" w:rsidRDefault="000B5616"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00A901BD" w:rsidRPr="00FB2D8E">
        <w:rPr>
          <w:rFonts w:ascii="Verdana" w:hAnsi="Verdana"/>
          <w:sz w:val="16"/>
          <w:szCs w:val="16"/>
          <w:lang w:val="es-ES"/>
        </w:rPr>
        <w:t>L</w:t>
      </w:r>
      <w:r w:rsidRPr="00FB2D8E">
        <w:rPr>
          <w:rFonts w:ascii="Verdana" w:hAnsi="Verdana"/>
          <w:sz w:val="16"/>
          <w:szCs w:val="16"/>
          <w:lang w:val="es-ES"/>
        </w:rPr>
        <w:t xml:space="preserve">a Corte </w:t>
      </w:r>
      <w:r w:rsidR="00A901BD" w:rsidRPr="00FB2D8E">
        <w:rPr>
          <w:rFonts w:ascii="Verdana" w:hAnsi="Verdana"/>
          <w:sz w:val="16"/>
          <w:szCs w:val="16"/>
          <w:lang w:val="es-ES"/>
        </w:rPr>
        <w:t xml:space="preserve">también </w:t>
      </w:r>
      <w:r w:rsidRPr="00FB2D8E">
        <w:rPr>
          <w:rFonts w:ascii="Verdana" w:hAnsi="Verdana"/>
          <w:sz w:val="16"/>
          <w:szCs w:val="16"/>
          <w:lang w:val="es-ES"/>
        </w:rPr>
        <w:t xml:space="preserve">tomó en cuenta que tampoco se habían recibido escritos de los representantes de las víctimas o de la Comisión que permitieran conocer si el Estado </w:t>
      </w:r>
      <w:r w:rsidR="00A901BD" w:rsidRPr="00FB2D8E">
        <w:rPr>
          <w:rFonts w:ascii="Verdana" w:hAnsi="Verdana"/>
          <w:sz w:val="16"/>
          <w:szCs w:val="16"/>
          <w:lang w:val="es-ES"/>
        </w:rPr>
        <w:t xml:space="preserve">había </w:t>
      </w:r>
      <w:r w:rsidRPr="00FB2D8E">
        <w:rPr>
          <w:rFonts w:ascii="Verdana" w:hAnsi="Verdana"/>
          <w:sz w:val="16"/>
          <w:szCs w:val="16"/>
          <w:lang w:val="es-ES"/>
        </w:rPr>
        <w:t xml:space="preserve">cumplido con la medida pendiente de cumplimiento en el presente caso. </w:t>
      </w:r>
      <w:r w:rsidR="00A901BD" w:rsidRPr="00FB2D8E">
        <w:rPr>
          <w:rFonts w:ascii="Verdana" w:hAnsi="Verdana"/>
          <w:i/>
          <w:sz w:val="16"/>
          <w:szCs w:val="16"/>
          <w:lang w:val="es-ES"/>
        </w:rPr>
        <w:t xml:space="preserve">Cfr. </w:t>
      </w:r>
      <w:r w:rsidR="00A901BD" w:rsidRPr="00FB2D8E">
        <w:rPr>
          <w:rFonts w:ascii="Verdana" w:hAnsi="Verdana"/>
          <w:sz w:val="16"/>
          <w:szCs w:val="16"/>
          <w:lang w:val="es-ES"/>
        </w:rPr>
        <w:t xml:space="preserve">Casos </w:t>
      </w:r>
      <w:r w:rsidR="00A901BD" w:rsidRPr="00FB2D8E">
        <w:rPr>
          <w:rStyle w:val="Strong"/>
          <w:rFonts w:ascii="Verdana" w:hAnsi="Verdana"/>
          <w:b w:val="0"/>
          <w:i/>
          <w:color w:val="000000"/>
          <w:sz w:val="16"/>
          <w:szCs w:val="16"/>
          <w:shd w:val="clear" w:color="auto" w:fill="FFFFFF"/>
          <w:lang w:val="es-CR"/>
        </w:rPr>
        <w:t xml:space="preserve">El Amparo, Blanco Romero y otros, Montero Aranguren y otros, Barreto Leiva y Usón Ramírez, </w:t>
      </w:r>
      <w:r w:rsidR="00E355D5">
        <w:rPr>
          <w:rStyle w:val="Strong"/>
          <w:rFonts w:ascii="Verdana" w:hAnsi="Verdana"/>
          <w:b w:val="0"/>
          <w:i/>
          <w:color w:val="000000"/>
          <w:sz w:val="16"/>
          <w:szCs w:val="16"/>
          <w:shd w:val="clear" w:color="auto" w:fill="FFFFFF"/>
          <w:lang w:val="es-CR"/>
        </w:rPr>
        <w:t xml:space="preserve">supra </w:t>
      </w:r>
      <w:r w:rsidR="00E355D5">
        <w:rPr>
          <w:rStyle w:val="Strong"/>
          <w:rFonts w:ascii="Verdana" w:hAnsi="Verdana"/>
          <w:b w:val="0"/>
          <w:color w:val="000000"/>
          <w:sz w:val="16"/>
          <w:szCs w:val="16"/>
          <w:shd w:val="clear" w:color="auto" w:fill="FFFFFF"/>
          <w:lang w:val="es-CR"/>
        </w:rPr>
        <w:t>nota 5</w:t>
      </w:r>
      <w:r w:rsidRPr="00FB2D8E">
        <w:rPr>
          <w:rFonts w:ascii="Verdana" w:hAnsi="Verdana"/>
          <w:sz w:val="16"/>
          <w:szCs w:val="16"/>
          <w:lang w:val="es-ES"/>
        </w:rPr>
        <w:t xml:space="preserve">, Considerandos 2 y 9. </w:t>
      </w:r>
    </w:p>
  </w:footnote>
  <w:footnote w:id="18">
    <w:p w:rsidR="004F7A71" w:rsidRPr="00FB2D8E" w:rsidRDefault="004F7A71"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t xml:space="preserve">El artículo 65 de la Convención Americana consagra que en el informe anual que sobre su labor somete la Corte a la consideración de la Asamblea General de la Organización, “[d]e manera especial y con las recomendaciones pertinentes, señalará los casos en que un Estado no haya dado cumplimiento a sus fallos”. Igualmente, el artículo 30 del Estatuto de la Corte Interamericana prescribe que en el referido informe de su labor “[s]eñalará los casos en que un Estado no haya dado cumplimiento a sus fallos”. Como puede apreciarse de dichas normas, los Estados Parte de la Convención Americana han dispuesto un sistema de garantía colectiva, de manera que es de interés de todos y cada uno de esos Estados mantener el sistema de protección de los derechos humanos que ellos mismos han creado y evitar que la justicia interamericana se torne ilusoria al quedar al arbitrio de las decisiones internas de un Estado. La Corte ha emitido resoluciones en las cuales decidió dar aplicación a lo dispuesto en el referido artículo 65 y, así, informar a la Asamblea General de la OEA sobre el incumplimiento de las reparaciones ordenadas en las Sentencias de varios casos, y solicitarle que, conforme a su labor de proteger el efecto útil de la Convención Americana, inste a los correspondientes Estados a cumplir. </w:t>
      </w:r>
      <w:r w:rsidR="005F327B" w:rsidRPr="00FB2D8E">
        <w:rPr>
          <w:rFonts w:ascii="Verdana" w:hAnsi="Verdana"/>
          <w:i/>
          <w:sz w:val="16"/>
          <w:szCs w:val="16"/>
          <w:lang w:val="es-ES"/>
        </w:rPr>
        <w:t xml:space="preserve">Cfr. </w:t>
      </w:r>
      <w:r w:rsidR="005F327B" w:rsidRPr="00FB2D8E">
        <w:rPr>
          <w:rFonts w:ascii="Verdana" w:hAnsi="Verdana"/>
          <w:sz w:val="16"/>
          <w:szCs w:val="16"/>
          <w:lang w:val="es-ES"/>
        </w:rPr>
        <w:t xml:space="preserve">Casos </w:t>
      </w:r>
      <w:r w:rsidR="005F327B" w:rsidRPr="00FB2D8E">
        <w:rPr>
          <w:rStyle w:val="Strong"/>
          <w:rFonts w:ascii="Verdana" w:hAnsi="Verdana"/>
          <w:b w:val="0"/>
          <w:i/>
          <w:color w:val="000000"/>
          <w:sz w:val="16"/>
          <w:szCs w:val="16"/>
          <w:shd w:val="clear" w:color="auto" w:fill="FFFFFF"/>
          <w:lang w:val="es-CR"/>
        </w:rPr>
        <w:t xml:space="preserve">El Amparo, Blanco Romero y otros, Montero Aranguren y otros, Barreto Leiva y Usón Ramírez, </w:t>
      </w:r>
      <w:r w:rsidR="00E355D5">
        <w:rPr>
          <w:rStyle w:val="Strong"/>
          <w:rFonts w:ascii="Verdana" w:hAnsi="Verdana"/>
          <w:b w:val="0"/>
          <w:i/>
          <w:color w:val="000000"/>
          <w:sz w:val="16"/>
          <w:szCs w:val="16"/>
          <w:shd w:val="clear" w:color="auto" w:fill="FFFFFF"/>
          <w:lang w:val="es-CR"/>
        </w:rPr>
        <w:t xml:space="preserve">supra </w:t>
      </w:r>
      <w:r w:rsidR="00E355D5">
        <w:rPr>
          <w:rStyle w:val="Strong"/>
          <w:rFonts w:ascii="Verdana" w:hAnsi="Verdana"/>
          <w:b w:val="0"/>
          <w:color w:val="000000"/>
          <w:sz w:val="16"/>
          <w:szCs w:val="16"/>
          <w:shd w:val="clear" w:color="auto" w:fill="FFFFFF"/>
          <w:lang w:val="es-CR"/>
        </w:rPr>
        <w:t>nota 5</w:t>
      </w:r>
      <w:r w:rsidRPr="00FB2D8E">
        <w:rPr>
          <w:rFonts w:ascii="Verdana" w:hAnsi="Verdana"/>
          <w:sz w:val="16"/>
          <w:szCs w:val="16"/>
          <w:lang w:val="es-CR"/>
        </w:rPr>
        <w:t>, Considerandos 13 y 14.</w:t>
      </w:r>
    </w:p>
  </w:footnote>
  <w:footnote w:id="19">
    <w:p w:rsidR="004F7A71" w:rsidRPr="00FB2D8E" w:rsidRDefault="004F7A71"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00A901BD" w:rsidRPr="00FB2D8E">
        <w:rPr>
          <w:rFonts w:ascii="Verdana" w:hAnsi="Verdana"/>
          <w:i/>
          <w:sz w:val="16"/>
          <w:szCs w:val="16"/>
          <w:lang w:val="es-ES"/>
        </w:rPr>
        <w:t xml:space="preserve">Cfr. </w:t>
      </w:r>
      <w:r w:rsidR="00A901BD" w:rsidRPr="00FB2D8E">
        <w:rPr>
          <w:rFonts w:ascii="Verdana" w:hAnsi="Verdana"/>
          <w:sz w:val="16"/>
          <w:szCs w:val="16"/>
          <w:lang w:val="es-ES"/>
        </w:rPr>
        <w:t xml:space="preserve">Casos </w:t>
      </w:r>
      <w:r w:rsidR="00A901BD" w:rsidRPr="00FB2D8E">
        <w:rPr>
          <w:rStyle w:val="Strong"/>
          <w:rFonts w:ascii="Verdana" w:hAnsi="Verdana"/>
          <w:b w:val="0"/>
          <w:i/>
          <w:color w:val="000000"/>
          <w:sz w:val="16"/>
          <w:szCs w:val="16"/>
          <w:shd w:val="clear" w:color="auto" w:fill="FFFFFF"/>
          <w:lang w:val="es-CR"/>
        </w:rPr>
        <w:t xml:space="preserve">El Amparo, Blanco Romero y otros, Montero Aranguren y otros, Barreto Leiva y Usón Ramírez, </w:t>
      </w:r>
      <w:r w:rsidR="00E355D5">
        <w:rPr>
          <w:rStyle w:val="Strong"/>
          <w:rFonts w:ascii="Verdana" w:hAnsi="Verdana"/>
          <w:b w:val="0"/>
          <w:i/>
          <w:color w:val="000000"/>
          <w:sz w:val="16"/>
          <w:szCs w:val="16"/>
          <w:shd w:val="clear" w:color="auto" w:fill="FFFFFF"/>
          <w:lang w:val="es-CR"/>
        </w:rPr>
        <w:t xml:space="preserve">supra </w:t>
      </w:r>
      <w:r w:rsidR="00E355D5">
        <w:rPr>
          <w:rStyle w:val="Strong"/>
          <w:rFonts w:ascii="Verdana" w:hAnsi="Verdana"/>
          <w:b w:val="0"/>
          <w:color w:val="000000"/>
          <w:sz w:val="16"/>
          <w:szCs w:val="16"/>
          <w:shd w:val="clear" w:color="auto" w:fill="FFFFFF"/>
          <w:lang w:val="es-CR"/>
        </w:rPr>
        <w:t>nota 5</w:t>
      </w:r>
      <w:r w:rsidRPr="00FB2D8E">
        <w:rPr>
          <w:rFonts w:ascii="Verdana" w:hAnsi="Verdana"/>
          <w:sz w:val="16"/>
          <w:szCs w:val="16"/>
          <w:lang w:val="es-ES"/>
        </w:rPr>
        <w:t xml:space="preserve">, punto resolutivo </w:t>
      </w:r>
      <w:r w:rsidR="00E355D5">
        <w:rPr>
          <w:rFonts w:ascii="Verdana" w:hAnsi="Verdana"/>
          <w:sz w:val="16"/>
          <w:szCs w:val="16"/>
          <w:lang w:val="es-ES"/>
        </w:rPr>
        <w:t>5</w:t>
      </w:r>
      <w:r w:rsidR="00A901BD" w:rsidRPr="00FB2D8E">
        <w:rPr>
          <w:rFonts w:ascii="Verdana" w:hAnsi="Verdana"/>
          <w:sz w:val="16"/>
          <w:szCs w:val="16"/>
          <w:lang w:val="es-ES"/>
        </w:rPr>
        <w:t xml:space="preserve"> y </w:t>
      </w:r>
      <w:r w:rsidRPr="00FB2D8E">
        <w:rPr>
          <w:rFonts w:ascii="Verdana" w:hAnsi="Verdana"/>
          <w:sz w:val="16"/>
          <w:szCs w:val="16"/>
          <w:lang w:val="es-ES"/>
        </w:rPr>
        <w:t xml:space="preserve">Considerandos 13 a 15. </w:t>
      </w:r>
    </w:p>
  </w:footnote>
  <w:footnote w:id="20">
    <w:p w:rsidR="00E355D5" w:rsidRPr="00E355D5" w:rsidRDefault="00E355D5" w:rsidP="00E355D5">
      <w:pPr>
        <w:pStyle w:val="FootnoteText"/>
        <w:tabs>
          <w:tab w:val="left" w:pos="426"/>
        </w:tabs>
        <w:jc w:val="both"/>
        <w:rPr>
          <w:rFonts w:ascii="Verdana" w:hAnsi="Verdana"/>
          <w:sz w:val="16"/>
          <w:szCs w:val="16"/>
          <w:lang w:val="es-ES"/>
        </w:rPr>
      </w:pPr>
      <w:r w:rsidRPr="00E355D5">
        <w:rPr>
          <w:rStyle w:val="FootnoteReference"/>
          <w:rFonts w:ascii="Verdana" w:hAnsi="Verdana"/>
          <w:sz w:val="16"/>
          <w:szCs w:val="16"/>
        </w:rPr>
        <w:footnoteRef/>
      </w:r>
      <w:r w:rsidRPr="00E355D5">
        <w:rPr>
          <w:rFonts w:ascii="Verdana" w:hAnsi="Verdana"/>
          <w:sz w:val="16"/>
          <w:szCs w:val="16"/>
          <w:lang w:val="es-CR"/>
        </w:rPr>
        <w:t xml:space="preserve"> </w:t>
      </w:r>
      <w:r w:rsidRPr="00E355D5">
        <w:rPr>
          <w:rFonts w:ascii="Verdana" w:hAnsi="Verdana"/>
          <w:sz w:val="16"/>
          <w:szCs w:val="16"/>
          <w:lang w:val="es-CR"/>
        </w:rPr>
        <w:tab/>
      </w:r>
      <w:r w:rsidRPr="00E355D5">
        <w:rPr>
          <w:rFonts w:ascii="Verdana" w:hAnsi="Verdana"/>
          <w:i/>
          <w:sz w:val="16"/>
          <w:szCs w:val="16"/>
          <w:lang w:val="es-CR"/>
        </w:rPr>
        <w:t>Cfr.</w:t>
      </w:r>
      <w:r w:rsidRPr="00E355D5">
        <w:rPr>
          <w:rFonts w:ascii="Verdana" w:hAnsi="Verdana"/>
          <w:sz w:val="16"/>
          <w:szCs w:val="16"/>
          <w:lang w:val="es-CR"/>
        </w:rPr>
        <w:t xml:space="preserve"> Inform</w:t>
      </w:r>
      <w:r>
        <w:rPr>
          <w:rFonts w:ascii="Verdana" w:hAnsi="Verdana"/>
          <w:sz w:val="16"/>
          <w:szCs w:val="16"/>
          <w:lang w:val="es-CR"/>
        </w:rPr>
        <w:t>e</w:t>
      </w:r>
      <w:r w:rsidRPr="00E355D5">
        <w:rPr>
          <w:rFonts w:ascii="Verdana" w:hAnsi="Verdana"/>
          <w:sz w:val="16"/>
          <w:szCs w:val="16"/>
          <w:lang w:val="es-CR"/>
        </w:rPr>
        <w:t xml:space="preserve"> Anual de la Corte Interamericana de Derechos Humanos de 2015, pág. 83, disponible en:  </w:t>
      </w:r>
      <w:hyperlink r:id="rId4" w:history="1">
        <w:r w:rsidRPr="00E355D5">
          <w:rPr>
            <w:rStyle w:val="Hyperlink"/>
            <w:rFonts w:ascii="Verdana" w:hAnsi="Verdana"/>
            <w:sz w:val="16"/>
            <w:szCs w:val="16"/>
            <w:lang w:val="es-CR"/>
          </w:rPr>
          <w:t>http://www.corteidh.or.cr/sitios/informes/docs/SPA/spa_2015.pdf</w:t>
        </w:r>
      </w:hyperlink>
      <w:r w:rsidRPr="00E355D5">
        <w:rPr>
          <w:rFonts w:ascii="Verdana" w:hAnsi="Verdana"/>
          <w:sz w:val="16"/>
          <w:szCs w:val="16"/>
          <w:lang w:val="es-CR"/>
        </w:rPr>
        <w:t xml:space="preserve">, e </w:t>
      </w:r>
      <w:r w:rsidRPr="00E355D5">
        <w:rPr>
          <w:rFonts w:ascii="Verdana" w:hAnsi="Verdana"/>
          <w:sz w:val="16"/>
          <w:szCs w:val="16"/>
          <w:lang w:val="es-ES"/>
        </w:rPr>
        <w:t xml:space="preserve">Informe Anual de la Corte Interamericana de Derechos Humanos de 2016, págs. 102 y 103, disponible en: </w:t>
      </w:r>
      <w:hyperlink r:id="rId5" w:history="1">
        <w:r w:rsidRPr="00E355D5">
          <w:rPr>
            <w:rStyle w:val="Hyperlink"/>
            <w:rFonts w:ascii="Verdana" w:hAnsi="Verdana"/>
            <w:sz w:val="16"/>
            <w:szCs w:val="16"/>
            <w:lang w:val="es-ES"/>
          </w:rPr>
          <w:t>http://www.corteidh.or.cr/sitios/informes/docs/SPA/spa_2016.pdf</w:t>
        </w:r>
      </w:hyperlink>
      <w:r w:rsidRPr="00E355D5">
        <w:rPr>
          <w:rFonts w:ascii="Verdana" w:hAnsi="Verdana"/>
          <w:sz w:val="16"/>
          <w:szCs w:val="16"/>
          <w:lang w:val="es-ES"/>
        </w:rPr>
        <w:t xml:space="preserve">. </w:t>
      </w:r>
    </w:p>
  </w:footnote>
  <w:footnote w:id="21">
    <w:p w:rsidR="002D1C94" w:rsidRPr="00AD5204" w:rsidRDefault="002D1C94" w:rsidP="00FB2D8E">
      <w:pPr>
        <w:pStyle w:val="FootnoteText"/>
        <w:tabs>
          <w:tab w:val="left" w:pos="426"/>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00DA0A44" w:rsidRPr="00FB2D8E">
        <w:rPr>
          <w:rFonts w:ascii="Verdana" w:hAnsi="Verdana"/>
          <w:sz w:val="16"/>
          <w:szCs w:val="16"/>
          <w:lang w:val="es-ES"/>
        </w:rPr>
        <w:tab/>
        <w:t xml:space="preserve">También </w:t>
      </w:r>
      <w:r w:rsidR="00AA1EA9" w:rsidRPr="00FB2D8E">
        <w:rPr>
          <w:rFonts w:ascii="Verdana" w:hAnsi="Verdana"/>
          <w:sz w:val="16"/>
          <w:szCs w:val="16"/>
          <w:lang w:val="es-ES"/>
        </w:rPr>
        <w:t xml:space="preserve">indicó que “los hechos del presente caso fueron igualmente investigados </w:t>
      </w:r>
      <w:r w:rsidR="00AD5204">
        <w:rPr>
          <w:rFonts w:ascii="Verdana" w:hAnsi="Verdana"/>
          <w:sz w:val="16"/>
          <w:szCs w:val="16"/>
          <w:lang w:val="es-ES"/>
        </w:rPr>
        <w:t>[por]</w:t>
      </w:r>
      <w:r w:rsidR="00AA1EA9" w:rsidRPr="00FB2D8E">
        <w:rPr>
          <w:rFonts w:ascii="Verdana" w:hAnsi="Verdana"/>
          <w:sz w:val="16"/>
          <w:szCs w:val="16"/>
          <w:lang w:val="es-ES"/>
        </w:rPr>
        <w:t xml:space="preserve"> la Comisión por la Justicia y la Verdad, la cual [en su informe final] declaró la responsabilidad de diversas personas por los hechos ocurridos en la población de El Amparo en 1998”</w:t>
      </w:r>
      <w:r w:rsidR="00AD5204">
        <w:rPr>
          <w:rFonts w:ascii="Verdana" w:hAnsi="Verdana"/>
          <w:sz w:val="16"/>
          <w:szCs w:val="16"/>
          <w:lang w:val="es-ES"/>
        </w:rPr>
        <w:t>. Además, explicó</w:t>
      </w:r>
      <w:r w:rsidR="00AA1EA9" w:rsidRPr="00FB2D8E">
        <w:rPr>
          <w:rFonts w:ascii="Verdana" w:hAnsi="Verdana"/>
          <w:sz w:val="16"/>
          <w:szCs w:val="16"/>
          <w:lang w:val="es-ES"/>
        </w:rPr>
        <w:t xml:space="preserve"> que en noviembre de 2011 se aprobó la “Ley para Sancionar los Crímenes, Desapariciones, Torturas y otras Violaciones de los Derechos Humanos por razones </w:t>
      </w:r>
      <w:r w:rsidR="00AA1EA9" w:rsidRPr="00AD5204">
        <w:rPr>
          <w:rFonts w:ascii="Verdana" w:hAnsi="Verdana"/>
          <w:sz w:val="16"/>
          <w:szCs w:val="16"/>
          <w:lang w:val="es-ES"/>
        </w:rPr>
        <w:t xml:space="preserve">políticas en el período 1958-1998”. </w:t>
      </w:r>
    </w:p>
  </w:footnote>
  <w:footnote w:id="22">
    <w:p w:rsidR="00B757A9" w:rsidRPr="00FB2D8E" w:rsidRDefault="00B757A9" w:rsidP="00FB2D8E">
      <w:pPr>
        <w:pStyle w:val="FootnoteText"/>
        <w:tabs>
          <w:tab w:val="left" w:pos="426"/>
        </w:tabs>
        <w:jc w:val="both"/>
        <w:rPr>
          <w:rFonts w:ascii="Verdana" w:hAnsi="Verdana"/>
          <w:sz w:val="16"/>
          <w:szCs w:val="16"/>
          <w:lang w:val="es-ES"/>
        </w:rPr>
      </w:pPr>
      <w:r w:rsidRPr="00AD5204">
        <w:rPr>
          <w:rStyle w:val="FootnoteReference"/>
          <w:rFonts w:ascii="Verdana" w:hAnsi="Verdana"/>
          <w:sz w:val="16"/>
          <w:szCs w:val="16"/>
        </w:rPr>
        <w:footnoteRef/>
      </w:r>
      <w:r w:rsidRPr="00AD5204">
        <w:rPr>
          <w:rFonts w:ascii="Verdana" w:hAnsi="Verdana"/>
          <w:sz w:val="16"/>
          <w:szCs w:val="16"/>
          <w:lang w:val="es-ES"/>
        </w:rPr>
        <w:t xml:space="preserve"> </w:t>
      </w:r>
      <w:r w:rsidRPr="00AD5204">
        <w:rPr>
          <w:rFonts w:ascii="Verdana" w:hAnsi="Verdana"/>
          <w:sz w:val="16"/>
          <w:szCs w:val="16"/>
          <w:lang w:val="es-ES"/>
        </w:rPr>
        <w:tab/>
        <w:t>Explicó que para tal decisión</w:t>
      </w:r>
      <w:r w:rsidR="003B0841" w:rsidRPr="00AD5204">
        <w:rPr>
          <w:rFonts w:ascii="Verdana" w:hAnsi="Verdana"/>
          <w:sz w:val="16"/>
          <w:szCs w:val="16"/>
          <w:lang w:val="es-ES"/>
        </w:rPr>
        <w:t xml:space="preserve"> la Sala Constitucional </w:t>
      </w:r>
      <w:r w:rsidR="00AD5204" w:rsidRPr="00AD5204">
        <w:rPr>
          <w:rFonts w:ascii="Verdana" w:hAnsi="Verdana"/>
          <w:sz w:val="16"/>
          <w:szCs w:val="16"/>
          <w:lang w:val="es-CR"/>
        </w:rPr>
        <w:t xml:space="preserve">del Tribunal Supremo de Justicia </w:t>
      </w:r>
      <w:r w:rsidR="003B0841" w:rsidRPr="00AD5204">
        <w:rPr>
          <w:rFonts w:ascii="Verdana" w:hAnsi="Verdana"/>
          <w:sz w:val="16"/>
          <w:szCs w:val="16"/>
          <w:lang w:val="es-ES"/>
        </w:rPr>
        <w:t>“</w:t>
      </w:r>
      <w:r w:rsidR="003B0841" w:rsidRPr="00AD5204">
        <w:rPr>
          <w:rFonts w:ascii="Verdana" w:hAnsi="Verdana"/>
          <w:i/>
          <w:sz w:val="16"/>
          <w:szCs w:val="16"/>
          <w:lang w:val="es-ES"/>
        </w:rPr>
        <w:t>inter alia</w:t>
      </w:r>
      <w:r w:rsidR="003B0841" w:rsidRPr="00AD5204">
        <w:rPr>
          <w:rFonts w:ascii="Verdana" w:hAnsi="Verdana"/>
          <w:sz w:val="16"/>
          <w:szCs w:val="16"/>
          <w:lang w:val="es-ES"/>
        </w:rPr>
        <w:t xml:space="preserve"> determinó la ocurrencia de irregularidades en la investigación penal llevada a cabo, alejando la posibilidad de conocer la verdad de lo realmente acontecido en esta causa”.</w:t>
      </w:r>
      <w:r w:rsidR="003B0841" w:rsidRPr="00FB2D8E">
        <w:rPr>
          <w:rFonts w:ascii="Verdana" w:hAnsi="Verdana"/>
          <w:sz w:val="16"/>
          <w:szCs w:val="16"/>
          <w:lang w:val="es-ES"/>
        </w:rPr>
        <w:t xml:space="preserve"> </w:t>
      </w:r>
    </w:p>
  </w:footnote>
  <w:footnote w:id="23">
    <w:p w:rsidR="0006115D" w:rsidRPr="00FB2D8E" w:rsidRDefault="0006115D" w:rsidP="00AD5204">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001A5AE0" w:rsidRPr="00FB2D8E">
        <w:rPr>
          <w:rFonts w:ascii="Verdana" w:hAnsi="Verdana"/>
          <w:sz w:val="16"/>
          <w:szCs w:val="16"/>
          <w:lang w:val="es-CR"/>
        </w:rPr>
        <w:tab/>
      </w:r>
      <w:r w:rsidR="001A5AE0" w:rsidRPr="00FB2D8E">
        <w:rPr>
          <w:rFonts w:ascii="Verdana" w:hAnsi="Verdana"/>
          <w:i/>
          <w:sz w:val="16"/>
          <w:szCs w:val="16"/>
          <w:lang w:val="es-CR"/>
        </w:rPr>
        <w:t xml:space="preserve">Cfr. </w:t>
      </w:r>
      <w:r w:rsidR="001A5AE0" w:rsidRPr="00FB2D8E">
        <w:rPr>
          <w:rStyle w:val="Strong"/>
          <w:rFonts w:ascii="Verdana" w:hAnsi="Verdana"/>
          <w:b w:val="0"/>
          <w:i/>
          <w:color w:val="000000"/>
          <w:sz w:val="16"/>
          <w:szCs w:val="16"/>
          <w:shd w:val="clear" w:color="auto" w:fill="FFFFFF"/>
          <w:lang w:val="es-CR"/>
        </w:rPr>
        <w:t xml:space="preserve">Caso Usón Ramírez Vs. Venezuela. Excepción Preliminar, Fondo, Reparaciones y Costas. </w:t>
      </w:r>
      <w:r w:rsidR="001A5AE0" w:rsidRPr="00FB2D8E">
        <w:rPr>
          <w:rStyle w:val="Strong"/>
          <w:rFonts w:ascii="Verdana" w:hAnsi="Verdana"/>
          <w:b w:val="0"/>
          <w:color w:val="000000"/>
          <w:sz w:val="16"/>
          <w:szCs w:val="16"/>
          <w:shd w:val="clear" w:color="auto" w:fill="FFFFFF"/>
          <w:lang w:val="es-CR"/>
        </w:rPr>
        <w:t>Sentencia de 20 de noviembre de</w:t>
      </w:r>
      <w:r w:rsidR="00F557C5" w:rsidRPr="00FB2D8E">
        <w:rPr>
          <w:rStyle w:val="Strong"/>
          <w:rFonts w:ascii="Verdana" w:hAnsi="Verdana"/>
          <w:b w:val="0"/>
          <w:color w:val="000000"/>
          <w:sz w:val="16"/>
          <w:szCs w:val="16"/>
          <w:shd w:val="clear" w:color="auto" w:fill="FFFFFF"/>
          <w:lang w:val="es-CR"/>
        </w:rPr>
        <w:t xml:space="preserve"> 2009. Serie C No. 207, párrs. </w:t>
      </w:r>
      <w:r w:rsidR="001A5AE0" w:rsidRPr="00FB2D8E">
        <w:rPr>
          <w:rStyle w:val="Strong"/>
          <w:rFonts w:ascii="Verdana" w:hAnsi="Verdana"/>
          <w:b w:val="0"/>
          <w:color w:val="000000"/>
          <w:sz w:val="16"/>
          <w:szCs w:val="16"/>
          <w:shd w:val="clear" w:color="auto" w:fill="FFFFFF"/>
          <w:lang w:val="es-CR"/>
        </w:rPr>
        <w:t xml:space="preserve">108 a 111 y </w:t>
      </w:r>
      <w:r w:rsidR="001A5AE0" w:rsidRPr="00FB2D8E">
        <w:rPr>
          <w:rStyle w:val="Strong"/>
          <w:rFonts w:ascii="Verdana" w:hAnsi="Verdana"/>
          <w:b w:val="0"/>
          <w:i/>
          <w:color w:val="000000"/>
          <w:sz w:val="16"/>
          <w:szCs w:val="16"/>
          <w:shd w:val="clear" w:color="auto" w:fill="FFFFFF"/>
          <w:lang w:val="es-CR"/>
        </w:rPr>
        <w:t>Caso Ortiz Hernández y otros Vs. Venezuela. Fondo, Reparaciones y Costas.</w:t>
      </w:r>
      <w:r w:rsidR="001A5AE0" w:rsidRPr="00FB2D8E">
        <w:rPr>
          <w:rStyle w:val="Strong"/>
          <w:rFonts w:ascii="Verdana" w:hAnsi="Verdana"/>
          <w:b w:val="0"/>
          <w:color w:val="000000"/>
          <w:sz w:val="16"/>
          <w:szCs w:val="16"/>
          <w:shd w:val="clear" w:color="auto" w:fill="FFFFFF"/>
          <w:lang w:val="es-CR"/>
        </w:rPr>
        <w:t xml:space="preserve"> Sentencia de 22 de agosto de 2017. Serie C No. 338, párrs. 148 y 149.</w:t>
      </w:r>
    </w:p>
  </w:footnote>
  <w:footnote w:id="24">
    <w:p w:rsidR="00AD5204" w:rsidRPr="00482075" w:rsidRDefault="00AD5204" w:rsidP="00AD5204">
      <w:pPr>
        <w:pStyle w:val="FootnoteText"/>
        <w:tabs>
          <w:tab w:val="left" w:pos="426"/>
        </w:tabs>
        <w:jc w:val="both"/>
        <w:rPr>
          <w:rFonts w:ascii="Verdana" w:hAnsi="Verdana"/>
          <w:sz w:val="16"/>
          <w:szCs w:val="16"/>
          <w:lang w:val="es-CR"/>
        </w:rPr>
      </w:pPr>
      <w:r w:rsidRPr="00AD5204">
        <w:rPr>
          <w:rStyle w:val="FootnoteReference"/>
          <w:rFonts w:ascii="Verdana" w:hAnsi="Verdana"/>
          <w:sz w:val="16"/>
          <w:szCs w:val="16"/>
        </w:rPr>
        <w:footnoteRef/>
      </w:r>
      <w:r w:rsidRPr="00AD5204">
        <w:rPr>
          <w:rFonts w:ascii="Verdana" w:hAnsi="Verdana"/>
          <w:sz w:val="16"/>
          <w:szCs w:val="16"/>
          <w:lang w:val="es-CR"/>
        </w:rPr>
        <w:t xml:space="preserve"> </w:t>
      </w:r>
      <w:r w:rsidRPr="00AD5204">
        <w:rPr>
          <w:rFonts w:ascii="Verdana" w:hAnsi="Verdana"/>
          <w:sz w:val="16"/>
          <w:szCs w:val="16"/>
          <w:lang w:val="es-CR"/>
        </w:rPr>
        <w:tab/>
      </w:r>
      <w:r w:rsidRPr="00AD5204">
        <w:rPr>
          <w:rFonts w:ascii="Verdana" w:hAnsi="Verdana"/>
          <w:i/>
          <w:sz w:val="16"/>
          <w:szCs w:val="16"/>
          <w:lang w:val="es-CR"/>
        </w:rPr>
        <w:t>Cfr.</w:t>
      </w:r>
      <w:r w:rsidRPr="00AD5204">
        <w:rPr>
          <w:rFonts w:ascii="Verdana" w:hAnsi="Verdana"/>
          <w:sz w:val="16"/>
          <w:szCs w:val="16"/>
          <w:lang w:val="es-CR"/>
        </w:rPr>
        <w:t xml:space="preserve"> </w:t>
      </w:r>
      <w:r w:rsidRPr="00AD5204">
        <w:rPr>
          <w:rFonts w:ascii="Verdana" w:hAnsi="Verdana"/>
          <w:i/>
          <w:sz w:val="16"/>
          <w:szCs w:val="16"/>
          <w:lang w:val="es-CR"/>
        </w:rPr>
        <w:t>Caso Durand y Ugarte Vs. Perú. Fondo.</w:t>
      </w:r>
      <w:r w:rsidRPr="00AD5204">
        <w:rPr>
          <w:rFonts w:ascii="Verdana" w:hAnsi="Verdana"/>
          <w:sz w:val="16"/>
          <w:szCs w:val="16"/>
          <w:lang w:val="es-CR"/>
        </w:rPr>
        <w:t xml:space="preserve"> Sentencia de 16 de agosto de 2000. Serie C No. 68, párr. 117, y </w:t>
      </w:r>
      <w:r w:rsidRPr="00AD5204">
        <w:rPr>
          <w:rStyle w:val="Strong"/>
          <w:rFonts w:ascii="Verdana" w:hAnsi="Verdana"/>
          <w:b w:val="0"/>
          <w:i/>
          <w:color w:val="000000"/>
          <w:sz w:val="16"/>
          <w:szCs w:val="16"/>
          <w:shd w:val="clear" w:color="auto" w:fill="FFFFFF"/>
          <w:lang w:val="es-CR"/>
        </w:rPr>
        <w:t>Caso Herzog y otros Vs. Brasil. Excepciones Preliminares, Fondo, Reparaciones y Costas.</w:t>
      </w:r>
      <w:r w:rsidRPr="00AD5204">
        <w:rPr>
          <w:rStyle w:val="Strong"/>
          <w:rFonts w:ascii="Verdana" w:hAnsi="Verdana"/>
          <w:b w:val="0"/>
          <w:color w:val="000000"/>
          <w:sz w:val="16"/>
          <w:szCs w:val="16"/>
          <w:shd w:val="clear" w:color="auto" w:fill="FFFFFF"/>
          <w:lang w:val="es-CR"/>
        </w:rPr>
        <w:t xml:space="preserve"> Sentencia de 15 de marzo de </w:t>
      </w:r>
      <w:r w:rsidRPr="00482075">
        <w:rPr>
          <w:rStyle w:val="Strong"/>
          <w:rFonts w:ascii="Verdana" w:hAnsi="Verdana"/>
          <w:b w:val="0"/>
          <w:color w:val="000000"/>
          <w:sz w:val="16"/>
          <w:szCs w:val="16"/>
          <w:shd w:val="clear" w:color="auto" w:fill="FFFFFF"/>
          <w:lang w:val="es-CR"/>
        </w:rPr>
        <w:t>2018. Serie C No. 353, párr. 247.</w:t>
      </w:r>
    </w:p>
  </w:footnote>
  <w:footnote w:id="25">
    <w:p w:rsidR="003A31E0" w:rsidRPr="003C0A2E" w:rsidRDefault="003A31E0" w:rsidP="00FB2D8E">
      <w:pPr>
        <w:pStyle w:val="FootnoteText"/>
        <w:tabs>
          <w:tab w:val="left" w:pos="426"/>
        </w:tabs>
        <w:jc w:val="both"/>
        <w:rPr>
          <w:rFonts w:ascii="Verdana" w:hAnsi="Verdana"/>
          <w:sz w:val="16"/>
          <w:szCs w:val="16"/>
          <w:lang w:val="es-CR"/>
        </w:rPr>
      </w:pPr>
      <w:r w:rsidRPr="00482075">
        <w:rPr>
          <w:rStyle w:val="FootnoteReference"/>
          <w:rFonts w:ascii="Verdana" w:hAnsi="Verdana"/>
          <w:sz w:val="16"/>
          <w:szCs w:val="16"/>
        </w:rPr>
        <w:footnoteRef/>
      </w:r>
      <w:r w:rsidRPr="00482075">
        <w:rPr>
          <w:rFonts w:ascii="Verdana" w:hAnsi="Verdana"/>
          <w:sz w:val="16"/>
          <w:szCs w:val="16"/>
          <w:lang w:val="es-ES"/>
        </w:rPr>
        <w:t xml:space="preserve"> </w:t>
      </w:r>
      <w:r w:rsidRPr="00482075">
        <w:rPr>
          <w:rFonts w:ascii="Verdana" w:hAnsi="Verdana"/>
          <w:sz w:val="16"/>
          <w:szCs w:val="16"/>
          <w:lang w:val="es-ES"/>
        </w:rPr>
        <w:tab/>
      </w:r>
      <w:r w:rsidRPr="00482075">
        <w:rPr>
          <w:rFonts w:ascii="Verdana" w:hAnsi="Verdana"/>
          <w:i/>
          <w:sz w:val="16"/>
          <w:szCs w:val="16"/>
          <w:lang w:val="es-MX"/>
        </w:rPr>
        <w:t xml:space="preserve">Cfr. </w:t>
      </w:r>
      <w:r w:rsidR="00684826" w:rsidRPr="00482075">
        <w:rPr>
          <w:rFonts w:ascii="Verdana" w:hAnsi="Verdana"/>
          <w:i/>
          <w:sz w:val="16"/>
          <w:szCs w:val="16"/>
          <w:lang w:val="es-CR"/>
        </w:rPr>
        <w:t>Caso Castillo Petruzzi y otros Vs. Perú. Fondo, Reparaciones y Costas.</w:t>
      </w:r>
      <w:r w:rsidR="00684826" w:rsidRPr="00482075">
        <w:rPr>
          <w:rFonts w:ascii="Verdana" w:hAnsi="Verdana"/>
          <w:sz w:val="16"/>
          <w:szCs w:val="16"/>
          <w:lang w:val="es-CR"/>
        </w:rPr>
        <w:t xml:space="preserve"> Sentencia de 30 de mayo de 1999. Serie C No. 52, párr. 128; </w:t>
      </w:r>
      <w:r w:rsidR="00CA3D23" w:rsidRPr="00482075">
        <w:rPr>
          <w:rFonts w:ascii="Verdana" w:hAnsi="Verdana"/>
          <w:i/>
          <w:sz w:val="16"/>
          <w:szCs w:val="16"/>
          <w:lang w:val="es-CR"/>
        </w:rPr>
        <w:t>Caso La Cantuta Vs. Perú. Fondo, Reparaciones y Costas.</w:t>
      </w:r>
      <w:r w:rsidR="00CA3D23" w:rsidRPr="00482075">
        <w:rPr>
          <w:rFonts w:ascii="Verdana" w:hAnsi="Verdana"/>
          <w:sz w:val="16"/>
          <w:szCs w:val="16"/>
          <w:lang w:val="es-CR"/>
        </w:rPr>
        <w:t xml:space="preserve"> Sentencia de 29 de noviembre de 2006. Serie C No. 162, párr. 142 y </w:t>
      </w:r>
      <w:r w:rsidR="00CA3D23" w:rsidRPr="00482075">
        <w:rPr>
          <w:rStyle w:val="Strong"/>
          <w:rFonts w:ascii="Verdana" w:hAnsi="Verdana"/>
          <w:b w:val="0"/>
          <w:i/>
          <w:color w:val="000000"/>
          <w:sz w:val="16"/>
          <w:szCs w:val="16"/>
          <w:shd w:val="clear" w:color="auto" w:fill="FFFFFF"/>
          <w:lang w:val="es-CR"/>
        </w:rPr>
        <w:t xml:space="preserve">Caso Ortiz Hernández y otros Vs. Venezuela, supra </w:t>
      </w:r>
      <w:r w:rsidR="00CA3D23" w:rsidRPr="00482075">
        <w:rPr>
          <w:rStyle w:val="Strong"/>
          <w:rFonts w:ascii="Verdana" w:hAnsi="Verdana"/>
          <w:b w:val="0"/>
          <w:color w:val="000000"/>
          <w:sz w:val="16"/>
          <w:szCs w:val="16"/>
          <w:shd w:val="clear" w:color="auto" w:fill="FFFFFF"/>
          <w:lang w:val="es-CR"/>
        </w:rPr>
        <w:t xml:space="preserve">nota 22, párrs. 148 y 149. Asimismo, Cfr. </w:t>
      </w:r>
      <w:r w:rsidRPr="00482075">
        <w:rPr>
          <w:rFonts w:ascii="Verdana" w:hAnsi="Verdana"/>
          <w:bCs/>
          <w:i/>
          <w:sz w:val="16"/>
          <w:szCs w:val="16"/>
          <w:lang w:val="es-ES"/>
        </w:rPr>
        <w:t>Casos Radilla Pacheco, Fernández Ortega y otros, y Rosendo Cantú y otra Vs. México. Supervisión de Cumplimiento de Sentencia.</w:t>
      </w:r>
      <w:r w:rsidRPr="00482075">
        <w:rPr>
          <w:rFonts w:ascii="Verdana" w:hAnsi="Verdana"/>
          <w:bCs/>
          <w:sz w:val="16"/>
          <w:szCs w:val="16"/>
          <w:lang w:val="es-ES"/>
        </w:rPr>
        <w:t xml:space="preserve"> Resolución de la Corte Interamericana de Derechos Humanos de 17 de abril de 2015, Considerando 13, y </w:t>
      </w:r>
      <w:r w:rsidRPr="00482075">
        <w:rPr>
          <w:rFonts w:ascii="Verdana" w:hAnsi="Verdana"/>
          <w:bCs/>
          <w:i/>
          <w:sz w:val="16"/>
          <w:szCs w:val="16"/>
          <w:lang w:val="es-ES"/>
        </w:rPr>
        <w:t>Caso Palamara Iribarne Vs. Chile. Supervisión de Cumplimiento de Sentencia.</w:t>
      </w:r>
      <w:r w:rsidRPr="00482075">
        <w:rPr>
          <w:rFonts w:ascii="Verdana" w:hAnsi="Verdana"/>
          <w:bCs/>
          <w:sz w:val="16"/>
          <w:szCs w:val="16"/>
          <w:lang w:val="es-ES"/>
        </w:rPr>
        <w:t xml:space="preserve"> Resolución de la Corte Interamericana de Derechos Humanos de 1 de septiembre de 2016, Considerando 27.</w:t>
      </w:r>
      <w:r w:rsidR="00AD5204" w:rsidRPr="00CA3D23">
        <w:rPr>
          <w:rFonts w:ascii="Verdana" w:hAnsi="Verdana"/>
          <w:bCs/>
          <w:sz w:val="16"/>
          <w:szCs w:val="16"/>
          <w:lang w:val="es-ES"/>
        </w:rPr>
        <w:t xml:space="preserve"> </w:t>
      </w:r>
    </w:p>
  </w:footnote>
  <w:footnote w:id="26">
    <w:p w:rsidR="00E56C83" w:rsidRPr="00FB2D8E" w:rsidRDefault="00E56C83" w:rsidP="00FB2D8E">
      <w:pPr>
        <w:pStyle w:val="FootnoteText"/>
        <w:tabs>
          <w:tab w:val="left" w:pos="426"/>
        </w:tabs>
        <w:jc w:val="both"/>
        <w:rPr>
          <w:rFonts w:ascii="Verdana" w:hAnsi="Verdana"/>
          <w:b/>
          <w:sz w:val="16"/>
          <w:szCs w:val="16"/>
          <w:lang w:val="es-ES"/>
        </w:rPr>
      </w:pPr>
      <w:r w:rsidRPr="00AD5204">
        <w:rPr>
          <w:rStyle w:val="FootnoteReference"/>
          <w:rFonts w:ascii="Verdana" w:hAnsi="Verdana"/>
          <w:sz w:val="16"/>
          <w:szCs w:val="16"/>
        </w:rPr>
        <w:footnoteRef/>
      </w:r>
      <w:r w:rsidRPr="00AD5204">
        <w:rPr>
          <w:rFonts w:ascii="Verdana" w:hAnsi="Verdana"/>
          <w:sz w:val="16"/>
          <w:szCs w:val="16"/>
          <w:lang w:val="es-ES"/>
        </w:rPr>
        <w:t xml:space="preserve"> </w:t>
      </w:r>
      <w:r w:rsidRPr="00AD5204">
        <w:rPr>
          <w:rFonts w:ascii="Verdana" w:hAnsi="Verdana"/>
          <w:sz w:val="16"/>
          <w:szCs w:val="16"/>
          <w:lang w:val="es-ES"/>
        </w:rPr>
        <w:tab/>
      </w:r>
      <w:r w:rsidRPr="00AD5204">
        <w:rPr>
          <w:rStyle w:val="Strong"/>
          <w:rFonts w:ascii="Verdana" w:hAnsi="Verdana"/>
          <w:b w:val="0"/>
          <w:i/>
          <w:color w:val="000000"/>
          <w:sz w:val="16"/>
          <w:szCs w:val="16"/>
          <w:shd w:val="clear" w:color="auto" w:fill="FFFFFF"/>
          <w:lang w:val="es-ES"/>
        </w:rPr>
        <w:t>Cfr.</w:t>
      </w:r>
      <w:r w:rsidRPr="00AD5204">
        <w:rPr>
          <w:rStyle w:val="Strong"/>
          <w:rFonts w:ascii="Verdana" w:hAnsi="Verdana"/>
          <w:b w:val="0"/>
          <w:color w:val="000000"/>
          <w:sz w:val="16"/>
          <w:szCs w:val="16"/>
          <w:shd w:val="clear" w:color="auto" w:fill="FFFFFF"/>
          <w:lang w:val="es-ES"/>
        </w:rPr>
        <w:t xml:space="preserve"> </w:t>
      </w:r>
      <w:r w:rsidR="00F557C5" w:rsidRPr="00AD5204">
        <w:rPr>
          <w:rFonts w:ascii="Verdana" w:hAnsi="Verdana"/>
          <w:i/>
          <w:sz w:val="16"/>
          <w:szCs w:val="16"/>
          <w:lang w:val="es-CR"/>
        </w:rPr>
        <w:t>Caso de la Masacre de La Rochela Vs. Colombia. Fondo, Reparaciones y Costas.</w:t>
      </w:r>
      <w:r w:rsidR="00F557C5" w:rsidRPr="00AD5204">
        <w:rPr>
          <w:rFonts w:ascii="Verdana" w:hAnsi="Verdana"/>
          <w:sz w:val="16"/>
          <w:szCs w:val="16"/>
          <w:lang w:val="es-CR"/>
        </w:rPr>
        <w:t xml:space="preserve"> Sentencia de 11 de mayo de 2007. Serie C No. 163, párr. 200, y </w:t>
      </w:r>
      <w:r w:rsidR="00AD5204" w:rsidRPr="00AD5204">
        <w:rPr>
          <w:rStyle w:val="Strong"/>
          <w:rFonts w:ascii="Verdana" w:hAnsi="Verdana"/>
          <w:b w:val="0"/>
          <w:i/>
          <w:color w:val="000000"/>
          <w:sz w:val="16"/>
          <w:szCs w:val="16"/>
          <w:shd w:val="clear" w:color="auto" w:fill="FFFFFF"/>
          <w:lang w:val="es-CR"/>
        </w:rPr>
        <w:t xml:space="preserve">Caso Herzog y otros Vs. Brasil, supra </w:t>
      </w:r>
      <w:r w:rsidR="00AD5204" w:rsidRPr="00AD5204">
        <w:rPr>
          <w:rStyle w:val="Strong"/>
          <w:rFonts w:ascii="Verdana" w:hAnsi="Verdana"/>
          <w:b w:val="0"/>
          <w:color w:val="000000"/>
          <w:sz w:val="16"/>
          <w:szCs w:val="16"/>
          <w:shd w:val="clear" w:color="auto" w:fill="FFFFFF"/>
          <w:lang w:val="es-CR"/>
        </w:rPr>
        <w:t>nota 23,</w:t>
      </w:r>
      <w:r w:rsidR="00AD5204" w:rsidRPr="00AD5204">
        <w:rPr>
          <w:rStyle w:val="Strong"/>
          <w:rFonts w:ascii="Verdana" w:hAnsi="Verdana"/>
          <w:b w:val="0"/>
          <w:i/>
          <w:color w:val="000000"/>
          <w:sz w:val="16"/>
          <w:szCs w:val="16"/>
          <w:shd w:val="clear" w:color="auto" w:fill="FFFFFF"/>
          <w:lang w:val="es-CR"/>
        </w:rPr>
        <w:t xml:space="preserve"> </w:t>
      </w:r>
      <w:r w:rsidR="00F557C5" w:rsidRPr="00AD5204">
        <w:rPr>
          <w:rStyle w:val="Strong"/>
          <w:rFonts w:ascii="Verdana" w:hAnsi="Verdana"/>
          <w:b w:val="0"/>
          <w:color w:val="000000"/>
          <w:sz w:val="16"/>
          <w:szCs w:val="16"/>
          <w:shd w:val="clear" w:color="auto" w:fill="FFFFFF"/>
          <w:lang w:val="es-CR"/>
        </w:rPr>
        <w:t>párr. 247.</w:t>
      </w:r>
    </w:p>
  </w:footnote>
  <w:footnote w:id="27">
    <w:p w:rsidR="00FB2D8E" w:rsidRPr="00FB2D8E" w:rsidRDefault="00FB2D8E" w:rsidP="00FB2D8E">
      <w:pPr>
        <w:pStyle w:val="FootnoteText"/>
        <w:tabs>
          <w:tab w:val="left" w:pos="426"/>
        </w:tabs>
        <w:jc w:val="both"/>
        <w:rPr>
          <w:rFonts w:ascii="Verdana" w:hAnsi="Verdana"/>
          <w:sz w:val="16"/>
          <w:szCs w:val="16"/>
          <w:lang w:val="es-CR"/>
        </w:rPr>
      </w:pPr>
      <w:r w:rsidRPr="00AD5204">
        <w:rPr>
          <w:rStyle w:val="FootnoteReference"/>
          <w:rFonts w:ascii="Verdana" w:hAnsi="Verdana"/>
          <w:sz w:val="16"/>
          <w:szCs w:val="16"/>
        </w:rPr>
        <w:footnoteRef/>
      </w:r>
      <w:r w:rsidRPr="00AD5204">
        <w:rPr>
          <w:rFonts w:ascii="Verdana" w:hAnsi="Verdana"/>
          <w:sz w:val="16"/>
          <w:szCs w:val="16"/>
          <w:lang w:val="es-CR"/>
        </w:rPr>
        <w:t xml:space="preserve"> </w:t>
      </w:r>
      <w:r w:rsidRPr="00AD5204">
        <w:rPr>
          <w:rFonts w:ascii="Verdana" w:hAnsi="Verdana"/>
          <w:sz w:val="16"/>
          <w:szCs w:val="16"/>
          <w:lang w:val="es-CR"/>
        </w:rPr>
        <w:tab/>
      </w:r>
      <w:r w:rsidRPr="00AD5204">
        <w:rPr>
          <w:rStyle w:val="Strong"/>
          <w:rFonts w:ascii="Verdana" w:hAnsi="Verdana"/>
          <w:b w:val="0"/>
          <w:i/>
          <w:color w:val="000000"/>
          <w:sz w:val="16"/>
          <w:szCs w:val="16"/>
          <w:shd w:val="clear" w:color="auto" w:fill="FFFFFF"/>
          <w:lang w:val="es-ES"/>
        </w:rPr>
        <w:t>Cfr.</w:t>
      </w:r>
      <w:r w:rsidRPr="00AD5204">
        <w:rPr>
          <w:rStyle w:val="Strong"/>
          <w:rFonts w:ascii="Verdana" w:hAnsi="Verdana"/>
          <w:b w:val="0"/>
          <w:color w:val="000000"/>
          <w:sz w:val="16"/>
          <w:szCs w:val="16"/>
          <w:shd w:val="clear" w:color="auto" w:fill="FFFFFF"/>
          <w:lang w:val="es-ES"/>
        </w:rPr>
        <w:t xml:space="preserve"> </w:t>
      </w:r>
      <w:r w:rsidRPr="00AD5204">
        <w:rPr>
          <w:rFonts w:ascii="Verdana" w:hAnsi="Verdana"/>
          <w:i/>
          <w:sz w:val="16"/>
          <w:szCs w:val="16"/>
          <w:lang w:val="es-ES"/>
        </w:rPr>
        <w:t xml:space="preserve">Caso </w:t>
      </w:r>
      <w:r w:rsidRPr="00AD5204">
        <w:rPr>
          <w:rStyle w:val="Strong"/>
          <w:rFonts w:ascii="Verdana" w:hAnsi="Verdana"/>
          <w:b w:val="0"/>
          <w:i/>
          <w:color w:val="000000"/>
          <w:sz w:val="16"/>
          <w:szCs w:val="16"/>
          <w:shd w:val="clear" w:color="auto" w:fill="FFFFFF"/>
          <w:lang w:val="es-CR"/>
        </w:rPr>
        <w:t>Castillo</w:t>
      </w:r>
      <w:r w:rsidRPr="00FB2D8E">
        <w:rPr>
          <w:rStyle w:val="Strong"/>
          <w:rFonts w:ascii="Verdana" w:hAnsi="Verdana"/>
          <w:b w:val="0"/>
          <w:i/>
          <w:color w:val="000000"/>
          <w:sz w:val="16"/>
          <w:szCs w:val="16"/>
          <w:shd w:val="clear" w:color="auto" w:fill="FFFFFF"/>
          <w:lang w:val="es-CR"/>
        </w:rPr>
        <w:t xml:space="preserve"> Petruzzi y otros Vs. Perú</w:t>
      </w:r>
      <w:r w:rsidR="00482075">
        <w:rPr>
          <w:rStyle w:val="Strong"/>
          <w:rFonts w:ascii="Verdana" w:hAnsi="Verdana"/>
          <w:b w:val="0"/>
          <w:i/>
          <w:color w:val="000000"/>
          <w:sz w:val="16"/>
          <w:szCs w:val="16"/>
          <w:shd w:val="clear" w:color="auto" w:fill="FFFFFF"/>
          <w:lang w:val="es-CR"/>
        </w:rPr>
        <w:t>, supra nota 24</w:t>
      </w:r>
      <w:r w:rsidRPr="00FB2D8E">
        <w:rPr>
          <w:rStyle w:val="Strong"/>
          <w:rFonts w:ascii="Verdana" w:hAnsi="Verdana"/>
          <w:b w:val="0"/>
          <w:color w:val="000000"/>
          <w:sz w:val="16"/>
          <w:szCs w:val="16"/>
          <w:shd w:val="clear" w:color="auto" w:fill="FFFFFF"/>
          <w:lang w:val="es-CR"/>
        </w:rPr>
        <w:t xml:space="preserve">, y </w:t>
      </w:r>
      <w:r w:rsidRPr="00FB2D8E">
        <w:rPr>
          <w:rStyle w:val="Strong"/>
          <w:rFonts w:ascii="Verdana" w:hAnsi="Verdana"/>
          <w:b w:val="0"/>
          <w:i/>
          <w:color w:val="000000"/>
          <w:sz w:val="16"/>
          <w:szCs w:val="16"/>
          <w:shd w:val="clear" w:color="auto" w:fill="FFFFFF"/>
          <w:lang w:val="es-CR"/>
        </w:rPr>
        <w:t>Caso Radilla Pacheco Vs. México. Excepciones Preliminares, Fondo, Reparaciones y Costas.</w:t>
      </w:r>
      <w:r w:rsidRPr="00FB2D8E">
        <w:rPr>
          <w:rStyle w:val="Strong"/>
          <w:rFonts w:ascii="Verdana" w:hAnsi="Verdana"/>
          <w:b w:val="0"/>
          <w:color w:val="000000"/>
          <w:sz w:val="16"/>
          <w:szCs w:val="16"/>
          <w:shd w:val="clear" w:color="auto" w:fill="FFFFFF"/>
          <w:lang w:val="es-CR"/>
        </w:rPr>
        <w:t xml:space="preserve"> Sentencia de 23 de noviembre de 2009. </w:t>
      </w:r>
      <w:r w:rsidRPr="003C0A2E">
        <w:rPr>
          <w:rStyle w:val="Strong"/>
          <w:rFonts w:ascii="Verdana" w:hAnsi="Verdana"/>
          <w:b w:val="0"/>
          <w:color w:val="000000"/>
          <w:sz w:val="16"/>
          <w:szCs w:val="16"/>
          <w:shd w:val="clear" w:color="auto" w:fill="FFFFFF"/>
          <w:lang w:val="es-CR"/>
        </w:rPr>
        <w:t>Serie C No. 209, párr. 273.</w:t>
      </w:r>
    </w:p>
  </w:footnote>
  <w:footnote w:id="28">
    <w:p w:rsidR="007B34D4" w:rsidRPr="00FB2D8E" w:rsidRDefault="007B34D4" w:rsidP="00FB2D8E">
      <w:pPr>
        <w:pStyle w:val="FootnoteText"/>
        <w:tabs>
          <w:tab w:val="left" w:pos="426"/>
        </w:tabs>
        <w:jc w:val="both"/>
        <w:rPr>
          <w:rFonts w:ascii="Verdana" w:hAnsi="Verdana"/>
          <w:sz w:val="16"/>
          <w:szCs w:val="16"/>
          <w:lang w:val="es-CR"/>
        </w:rPr>
      </w:pPr>
      <w:r w:rsidRPr="00FB2D8E">
        <w:rPr>
          <w:rStyle w:val="FootnoteReference"/>
          <w:rFonts w:ascii="Verdana" w:hAnsi="Verdana"/>
          <w:sz w:val="16"/>
          <w:szCs w:val="16"/>
        </w:rPr>
        <w:footnoteRef/>
      </w:r>
      <w:r w:rsidRPr="00FB2D8E">
        <w:rPr>
          <w:rFonts w:ascii="Verdana" w:hAnsi="Verdana"/>
          <w:sz w:val="16"/>
          <w:szCs w:val="16"/>
          <w:lang w:val="es-CR"/>
        </w:rPr>
        <w:t xml:space="preserve"> </w:t>
      </w:r>
      <w:r w:rsidR="00FD7BE1" w:rsidRPr="00FB2D8E">
        <w:rPr>
          <w:rFonts w:ascii="Verdana" w:hAnsi="Verdana"/>
          <w:sz w:val="16"/>
          <w:szCs w:val="16"/>
          <w:lang w:val="es-CR"/>
        </w:rPr>
        <w:tab/>
      </w:r>
      <w:r w:rsidR="00013CAF" w:rsidRPr="00FB2D8E">
        <w:rPr>
          <w:rFonts w:ascii="Verdana" w:hAnsi="Verdana"/>
          <w:i/>
          <w:sz w:val="16"/>
          <w:szCs w:val="16"/>
          <w:lang w:val="es-CR"/>
        </w:rPr>
        <w:t xml:space="preserve">Cfr. </w:t>
      </w:r>
      <w:r w:rsidR="00013CAF" w:rsidRPr="00FB2D8E">
        <w:rPr>
          <w:rStyle w:val="Strong"/>
          <w:rFonts w:ascii="Verdana" w:hAnsi="Verdana"/>
          <w:b w:val="0"/>
          <w:i/>
          <w:color w:val="000000"/>
          <w:sz w:val="16"/>
          <w:szCs w:val="16"/>
          <w:shd w:val="clear" w:color="auto" w:fill="FFFFFF"/>
          <w:lang w:val="es-CR"/>
        </w:rPr>
        <w:t>Caso El Amparo Vs. Venezuela</w:t>
      </w:r>
      <w:r w:rsidR="00616ED2">
        <w:rPr>
          <w:rStyle w:val="Strong"/>
          <w:rFonts w:ascii="Verdana" w:hAnsi="Verdana"/>
          <w:b w:val="0"/>
          <w:i/>
          <w:color w:val="000000"/>
          <w:sz w:val="16"/>
          <w:szCs w:val="16"/>
          <w:shd w:val="clear" w:color="auto" w:fill="FFFFFF"/>
          <w:lang w:val="es-CR"/>
        </w:rPr>
        <w:t>, supra nota 5</w:t>
      </w:r>
      <w:r w:rsidR="00013CAF" w:rsidRPr="00FB2D8E">
        <w:rPr>
          <w:rStyle w:val="Strong"/>
          <w:rFonts w:ascii="Verdana" w:hAnsi="Verdana"/>
          <w:b w:val="0"/>
          <w:color w:val="000000"/>
          <w:sz w:val="16"/>
          <w:szCs w:val="16"/>
          <w:shd w:val="clear" w:color="auto" w:fill="FFFFFF"/>
          <w:lang w:val="es-CR"/>
        </w:rPr>
        <w:t xml:space="preserve">, Considerando 14. </w:t>
      </w:r>
    </w:p>
  </w:footnote>
  <w:footnote w:id="29">
    <w:p w:rsidR="009173F0" w:rsidRPr="00FB2D8E" w:rsidRDefault="009173F0" w:rsidP="00FB2D8E">
      <w:pPr>
        <w:pStyle w:val="FootnoteText"/>
        <w:tabs>
          <w:tab w:val="left" w:pos="426"/>
          <w:tab w:val="left" w:pos="709"/>
        </w:tabs>
        <w:jc w:val="both"/>
        <w:rPr>
          <w:rFonts w:ascii="Verdana" w:hAnsi="Verdana"/>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Pr="00FB2D8E">
        <w:rPr>
          <w:rStyle w:val="Strong"/>
          <w:rFonts w:ascii="Verdana" w:hAnsi="Verdana"/>
          <w:b w:val="0"/>
          <w:i/>
          <w:color w:val="000000"/>
          <w:sz w:val="16"/>
          <w:szCs w:val="16"/>
          <w:shd w:val="clear" w:color="auto" w:fill="FFFFFF"/>
          <w:lang w:val="es-ES"/>
        </w:rPr>
        <w:t xml:space="preserve">Cfr. </w:t>
      </w:r>
      <w:r w:rsidR="00491CC0" w:rsidRPr="00FB2D8E">
        <w:rPr>
          <w:rFonts w:ascii="Verdana" w:hAnsi="Verdana"/>
          <w:i/>
          <w:sz w:val="16"/>
          <w:szCs w:val="16"/>
          <w:lang w:val="es-CR"/>
        </w:rPr>
        <w:t>Caso Tibi Vs. Ecuador. Excepciones Preliminares, Fondo, Reparaciones y Costas.</w:t>
      </w:r>
      <w:r w:rsidR="00491CC0" w:rsidRPr="00FB2D8E">
        <w:rPr>
          <w:rFonts w:ascii="Verdana" w:hAnsi="Verdana"/>
          <w:sz w:val="16"/>
          <w:szCs w:val="16"/>
          <w:lang w:val="es-CR"/>
        </w:rPr>
        <w:t xml:space="preserve"> Sentencia de 7 de septiembre de 2004. Serie C No. 114 </w:t>
      </w:r>
      <w:r w:rsidRPr="00FB2D8E">
        <w:rPr>
          <w:rStyle w:val="Strong"/>
          <w:rFonts w:ascii="Verdana" w:hAnsi="Verdana"/>
          <w:b w:val="0"/>
          <w:color w:val="000000"/>
          <w:sz w:val="16"/>
          <w:szCs w:val="16"/>
          <w:shd w:val="clear" w:color="auto" w:fill="FFFFFF"/>
          <w:lang w:val="es-ES"/>
        </w:rPr>
        <w:t>párr. 255</w:t>
      </w:r>
      <w:r w:rsidR="00491CC0" w:rsidRPr="00FB2D8E">
        <w:rPr>
          <w:rStyle w:val="Strong"/>
          <w:rFonts w:ascii="Verdana" w:hAnsi="Verdana"/>
          <w:b w:val="0"/>
          <w:color w:val="000000"/>
          <w:sz w:val="16"/>
          <w:szCs w:val="16"/>
          <w:shd w:val="clear" w:color="auto" w:fill="FFFFFF"/>
          <w:lang w:val="es-ES"/>
        </w:rPr>
        <w:t xml:space="preserve">, y </w:t>
      </w:r>
      <w:r w:rsidR="00491CC0" w:rsidRPr="00FB2D8E">
        <w:rPr>
          <w:rStyle w:val="Strong"/>
          <w:rFonts w:ascii="Verdana" w:hAnsi="Verdana"/>
          <w:b w:val="0"/>
          <w:i/>
          <w:color w:val="000000"/>
          <w:sz w:val="16"/>
          <w:szCs w:val="16"/>
          <w:shd w:val="clear" w:color="auto" w:fill="FFFFFF"/>
          <w:lang w:val="es-CR"/>
        </w:rPr>
        <w:t xml:space="preserve">Caso Tibi Vs. Ecuador. Supervisión de Cumplimiento de Sentencia. </w:t>
      </w:r>
      <w:r w:rsidR="00491CC0" w:rsidRPr="00FB2D8E">
        <w:rPr>
          <w:rStyle w:val="Strong"/>
          <w:rFonts w:ascii="Verdana" w:hAnsi="Verdana"/>
          <w:b w:val="0"/>
          <w:color w:val="000000"/>
          <w:sz w:val="16"/>
          <w:szCs w:val="16"/>
          <w:shd w:val="clear" w:color="auto" w:fill="FFFFFF"/>
          <w:lang w:val="es-CR"/>
        </w:rPr>
        <w:t>Resolución de la Corte Interamericana de Derechos Humanos 22 de noviembre de 2016, Considerando 12</w:t>
      </w:r>
      <w:r w:rsidRPr="00FB2D8E">
        <w:rPr>
          <w:rStyle w:val="Strong"/>
          <w:rFonts w:ascii="Verdana" w:hAnsi="Verdana"/>
          <w:b w:val="0"/>
          <w:color w:val="000000"/>
          <w:sz w:val="16"/>
          <w:szCs w:val="16"/>
          <w:shd w:val="clear" w:color="auto" w:fill="FFFFFF"/>
          <w:lang w:val="es-ES"/>
        </w:rPr>
        <w:t>.</w:t>
      </w:r>
    </w:p>
  </w:footnote>
  <w:footnote w:id="30">
    <w:p w:rsidR="009173F0" w:rsidRPr="00FB2D8E" w:rsidRDefault="009173F0" w:rsidP="00FB2D8E">
      <w:pPr>
        <w:pStyle w:val="FootnoteText"/>
        <w:tabs>
          <w:tab w:val="left" w:pos="426"/>
        </w:tabs>
        <w:jc w:val="both"/>
        <w:rPr>
          <w:rFonts w:ascii="Verdana" w:hAnsi="Verdana"/>
          <w:color w:val="00B050"/>
          <w:sz w:val="16"/>
          <w:szCs w:val="16"/>
          <w:lang w:val="es-ES"/>
        </w:rPr>
      </w:pPr>
      <w:r w:rsidRPr="00FB2D8E">
        <w:rPr>
          <w:rStyle w:val="FootnoteReference"/>
          <w:rFonts w:ascii="Verdana" w:hAnsi="Verdana"/>
          <w:sz w:val="16"/>
          <w:szCs w:val="16"/>
        </w:rPr>
        <w:footnoteRef/>
      </w:r>
      <w:r w:rsidRPr="00FB2D8E">
        <w:rPr>
          <w:rFonts w:ascii="Verdana" w:hAnsi="Verdana"/>
          <w:sz w:val="16"/>
          <w:szCs w:val="16"/>
          <w:lang w:val="es-ES"/>
        </w:rPr>
        <w:t xml:space="preserve"> </w:t>
      </w:r>
      <w:r w:rsidRPr="00FB2D8E">
        <w:rPr>
          <w:rFonts w:ascii="Verdana" w:hAnsi="Verdana"/>
          <w:sz w:val="16"/>
          <w:szCs w:val="16"/>
          <w:lang w:val="es-ES"/>
        </w:rPr>
        <w:tab/>
      </w:r>
      <w:r w:rsidRPr="00FB2D8E">
        <w:rPr>
          <w:rFonts w:ascii="Verdana" w:hAnsi="Verdana"/>
          <w:i/>
          <w:sz w:val="16"/>
          <w:szCs w:val="16"/>
          <w:lang w:val="es-ES"/>
        </w:rPr>
        <w:t>Cfr</w:t>
      </w:r>
      <w:r w:rsidRPr="00616ED2">
        <w:rPr>
          <w:rFonts w:ascii="Verdana" w:hAnsi="Verdana"/>
          <w:i/>
          <w:sz w:val="16"/>
          <w:szCs w:val="16"/>
          <w:lang w:val="es-ES"/>
        </w:rPr>
        <w:t>.</w:t>
      </w:r>
      <w:r w:rsidRPr="00FB2D8E">
        <w:rPr>
          <w:rFonts w:ascii="Verdana" w:hAnsi="Verdana"/>
          <w:sz w:val="16"/>
          <w:szCs w:val="16"/>
          <w:lang w:val="es-ES"/>
        </w:rPr>
        <w:t xml:space="preserve"> </w:t>
      </w:r>
      <w:r w:rsidRPr="00FB2D8E">
        <w:rPr>
          <w:rStyle w:val="Strong"/>
          <w:rFonts w:ascii="Verdana" w:hAnsi="Verdana"/>
          <w:b w:val="0"/>
          <w:i/>
          <w:color w:val="000000"/>
          <w:sz w:val="16"/>
          <w:szCs w:val="16"/>
          <w:shd w:val="clear" w:color="auto" w:fill="FFFFFF"/>
          <w:lang w:val="es-ES"/>
        </w:rPr>
        <w:t>Caso de la “Panel Blanca” (Paniagua Morales y otros) Vs. Guatemala. Fondo.</w:t>
      </w:r>
      <w:r w:rsidRPr="00FB2D8E">
        <w:rPr>
          <w:rStyle w:val="Strong"/>
          <w:rFonts w:ascii="Verdana" w:hAnsi="Verdana"/>
          <w:b w:val="0"/>
          <w:color w:val="000000"/>
          <w:sz w:val="16"/>
          <w:szCs w:val="16"/>
          <w:shd w:val="clear" w:color="auto" w:fill="FFFFFF"/>
          <w:lang w:val="es-ES"/>
        </w:rPr>
        <w:t xml:space="preserve"> Sentencia de 8 de marzo de 1998. Serie C No. 37, párr. 173, y </w:t>
      </w:r>
      <w:r w:rsidR="00491CC0" w:rsidRPr="00FB2D8E">
        <w:rPr>
          <w:rStyle w:val="Strong"/>
          <w:rFonts w:ascii="Verdana" w:hAnsi="Verdana"/>
          <w:b w:val="0"/>
          <w:i/>
          <w:color w:val="000000"/>
          <w:sz w:val="16"/>
          <w:szCs w:val="16"/>
          <w:shd w:val="clear" w:color="auto" w:fill="FFFFFF"/>
          <w:lang w:val="es-CR"/>
        </w:rPr>
        <w:t>Caso Tibi Vs. Ecuador</w:t>
      </w:r>
      <w:r w:rsidR="00616ED2">
        <w:rPr>
          <w:rStyle w:val="Strong"/>
          <w:rFonts w:ascii="Verdana" w:hAnsi="Verdana"/>
          <w:b w:val="0"/>
          <w:i/>
          <w:color w:val="000000"/>
          <w:sz w:val="16"/>
          <w:szCs w:val="16"/>
          <w:shd w:val="clear" w:color="auto" w:fill="FFFFFF"/>
          <w:lang w:val="es-CR"/>
        </w:rPr>
        <w:t>,</w:t>
      </w:r>
      <w:r w:rsidR="00491CC0" w:rsidRPr="00FB2D8E">
        <w:rPr>
          <w:rStyle w:val="Strong"/>
          <w:rFonts w:ascii="Verdana" w:hAnsi="Verdana"/>
          <w:b w:val="0"/>
          <w:i/>
          <w:color w:val="000000"/>
          <w:sz w:val="16"/>
          <w:szCs w:val="16"/>
          <w:shd w:val="clear" w:color="auto" w:fill="FFFFFF"/>
          <w:lang w:val="es-CR"/>
        </w:rPr>
        <w:t xml:space="preserve"> supra nota 2</w:t>
      </w:r>
      <w:r w:rsidR="00616ED2">
        <w:rPr>
          <w:rStyle w:val="Strong"/>
          <w:rFonts w:ascii="Verdana" w:hAnsi="Verdana"/>
          <w:b w:val="0"/>
          <w:i/>
          <w:color w:val="000000"/>
          <w:sz w:val="16"/>
          <w:szCs w:val="16"/>
          <w:shd w:val="clear" w:color="auto" w:fill="FFFFFF"/>
          <w:lang w:val="es-CR"/>
        </w:rPr>
        <w:t>9</w:t>
      </w:r>
      <w:r w:rsidR="00491CC0" w:rsidRPr="00FB2D8E">
        <w:rPr>
          <w:rStyle w:val="Strong"/>
          <w:rFonts w:ascii="Verdana" w:hAnsi="Verdana"/>
          <w:b w:val="0"/>
          <w:i/>
          <w:color w:val="000000"/>
          <w:sz w:val="16"/>
          <w:szCs w:val="16"/>
          <w:shd w:val="clear" w:color="auto" w:fill="FFFFFF"/>
          <w:lang w:val="es-CR"/>
        </w:rPr>
        <w:t xml:space="preserve">, </w:t>
      </w:r>
      <w:r w:rsidR="00491CC0" w:rsidRPr="00FB2D8E">
        <w:rPr>
          <w:rStyle w:val="Strong"/>
          <w:rFonts w:ascii="Verdana" w:hAnsi="Verdana"/>
          <w:b w:val="0"/>
          <w:color w:val="000000"/>
          <w:sz w:val="16"/>
          <w:szCs w:val="16"/>
          <w:shd w:val="clear" w:color="auto" w:fill="FFFFFF"/>
          <w:lang w:val="es-CR"/>
        </w:rPr>
        <w:t>Considerando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26081"/>
      <w:docPartObj>
        <w:docPartGallery w:val="Page Numbers (Top of Page)"/>
        <w:docPartUnique/>
      </w:docPartObj>
    </w:sdtPr>
    <w:sdtEndPr>
      <w:rPr>
        <w:rFonts w:ascii="Verdana" w:hAnsi="Verdana"/>
        <w:sz w:val="20"/>
        <w:szCs w:val="20"/>
      </w:rPr>
    </w:sdtEndPr>
    <w:sdtContent>
      <w:p w:rsidR="00945954" w:rsidRPr="00945954" w:rsidRDefault="00945954">
        <w:pPr>
          <w:pStyle w:val="Header"/>
          <w:jc w:val="center"/>
          <w:rPr>
            <w:rFonts w:ascii="Verdana" w:hAnsi="Verdana"/>
            <w:sz w:val="20"/>
            <w:szCs w:val="20"/>
          </w:rPr>
        </w:pPr>
        <w:r w:rsidRPr="00945954">
          <w:rPr>
            <w:rFonts w:ascii="Verdana" w:hAnsi="Verdana"/>
            <w:sz w:val="20"/>
            <w:szCs w:val="20"/>
          </w:rPr>
          <w:t>-</w:t>
        </w:r>
        <w:r w:rsidRPr="00945954">
          <w:rPr>
            <w:rFonts w:ascii="Verdana" w:hAnsi="Verdana"/>
            <w:sz w:val="20"/>
            <w:szCs w:val="20"/>
          </w:rPr>
          <w:fldChar w:fldCharType="begin"/>
        </w:r>
        <w:r w:rsidRPr="00945954">
          <w:rPr>
            <w:rFonts w:ascii="Verdana" w:hAnsi="Verdana"/>
            <w:sz w:val="20"/>
            <w:szCs w:val="20"/>
          </w:rPr>
          <w:instrText>PAGE   \* MERGEFORMAT</w:instrText>
        </w:r>
        <w:r w:rsidRPr="00945954">
          <w:rPr>
            <w:rFonts w:ascii="Verdana" w:hAnsi="Verdana"/>
            <w:sz w:val="20"/>
            <w:szCs w:val="20"/>
          </w:rPr>
          <w:fldChar w:fldCharType="separate"/>
        </w:r>
        <w:r w:rsidR="00D97DDE" w:rsidRPr="00D97DDE">
          <w:rPr>
            <w:rFonts w:ascii="Verdana" w:hAnsi="Verdana"/>
            <w:noProof/>
            <w:sz w:val="20"/>
            <w:szCs w:val="20"/>
            <w:lang w:val="es-ES"/>
          </w:rPr>
          <w:t>2</w:t>
        </w:r>
        <w:r w:rsidRPr="00945954">
          <w:rPr>
            <w:rFonts w:ascii="Verdana" w:hAnsi="Verdana"/>
            <w:sz w:val="20"/>
            <w:szCs w:val="20"/>
          </w:rPr>
          <w:fldChar w:fldCharType="end"/>
        </w:r>
        <w:r w:rsidRPr="00945954">
          <w:rPr>
            <w:rFonts w:ascii="Verdana" w:hAnsi="Verdana"/>
            <w:sz w:val="20"/>
            <w:szCs w:val="20"/>
          </w:rPr>
          <w:t>-</w:t>
        </w:r>
      </w:p>
    </w:sdtContent>
  </w:sdt>
  <w:p w:rsidR="002A0BBC" w:rsidRPr="004C504B" w:rsidRDefault="00D97DDE" w:rsidP="004C504B">
    <w:pPr>
      <w:pStyle w:val="Header"/>
      <w:jc w:val="right"/>
      <w:rPr>
        <w:rFonts w:ascii="Verdana" w:hAnsi="Verdana"/>
        <w:b/>
        <w:i/>
        <w:sz w:val="16"/>
        <w:szCs w:val="16"/>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3F3"/>
    <w:multiLevelType w:val="hybridMultilevel"/>
    <w:tmpl w:val="C908EF38"/>
    <w:lvl w:ilvl="0" w:tplc="D8803A0A">
      <w:start w:val="1"/>
      <w:numFmt w:val="decimal"/>
      <w:lvlText w:val="%1."/>
      <w:lvlJc w:val="left"/>
      <w:pPr>
        <w:ind w:left="720" w:hanging="360"/>
      </w:pPr>
      <w:rPr>
        <w:rFonts w:ascii="Verdana" w:hAnsi="Verdana" w:hint="default"/>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33BA30F1"/>
    <w:multiLevelType w:val="hybridMultilevel"/>
    <w:tmpl w:val="941A50E0"/>
    <w:lvl w:ilvl="0" w:tplc="990027E8">
      <w:start w:val="1"/>
      <w:numFmt w:val="decimal"/>
      <w:lvlText w:val="%1."/>
      <w:lvlJc w:val="left"/>
      <w:pPr>
        <w:ind w:left="720" w:hanging="360"/>
      </w:pPr>
      <w:rPr>
        <w:rFonts w:eastAsia="Time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A62BE5"/>
    <w:multiLevelType w:val="hybridMultilevel"/>
    <w:tmpl w:val="63C02CBC"/>
    <w:lvl w:ilvl="0" w:tplc="91A63B20">
      <w:start w:val="1"/>
      <w:numFmt w:val="decimal"/>
      <w:lvlText w:val="%1."/>
      <w:lvlJc w:val="left"/>
      <w:pPr>
        <w:ind w:left="720" w:hanging="360"/>
      </w:pPr>
      <w:rPr>
        <w:rFonts w:cs="Times New Roman"/>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3E7312D3"/>
    <w:multiLevelType w:val="hybridMultilevel"/>
    <w:tmpl w:val="8BE424FA"/>
    <w:lvl w:ilvl="0" w:tplc="924E469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C1C037F"/>
    <w:multiLevelType w:val="hybridMultilevel"/>
    <w:tmpl w:val="90B85926"/>
    <w:lvl w:ilvl="0" w:tplc="8192513E">
      <w:start w:val="1"/>
      <w:numFmt w:val="lowerLetter"/>
      <w:lvlText w:val="%1)"/>
      <w:lvlJc w:val="left"/>
      <w:pPr>
        <w:ind w:left="720" w:hanging="360"/>
      </w:pPr>
      <w:rPr>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F4F2CB0"/>
    <w:multiLevelType w:val="hybridMultilevel"/>
    <w:tmpl w:val="63C02CBC"/>
    <w:lvl w:ilvl="0" w:tplc="91A63B20">
      <w:start w:val="1"/>
      <w:numFmt w:val="decimal"/>
      <w:lvlText w:val="%1."/>
      <w:lvlJc w:val="left"/>
      <w:pPr>
        <w:ind w:left="720" w:hanging="360"/>
      </w:pPr>
      <w:rPr>
        <w:rFonts w:cs="Times New Roman"/>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B9B6D07"/>
    <w:multiLevelType w:val="hybridMultilevel"/>
    <w:tmpl w:val="8A427BF6"/>
    <w:lvl w:ilvl="0" w:tplc="07BC2452">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40"/>
    <w:rsid w:val="00013CAF"/>
    <w:rsid w:val="0002142D"/>
    <w:rsid w:val="00023613"/>
    <w:rsid w:val="00035CEE"/>
    <w:rsid w:val="00045021"/>
    <w:rsid w:val="0004661A"/>
    <w:rsid w:val="000578A3"/>
    <w:rsid w:val="0006115D"/>
    <w:rsid w:val="00072F6B"/>
    <w:rsid w:val="00092592"/>
    <w:rsid w:val="000B5616"/>
    <w:rsid w:val="000F1BCD"/>
    <w:rsid w:val="00100591"/>
    <w:rsid w:val="001009B7"/>
    <w:rsid w:val="0013237B"/>
    <w:rsid w:val="001428B2"/>
    <w:rsid w:val="00143680"/>
    <w:rsid w:val="00154A1C"/>
    <w:rsid w:val="001A5AE0"/>
    <w:rsid w:val="001B280D"/>
    <w:rsid w:val="001B2825"/>
    <w:rsid w:val="001C0C3E"/>
    <w:rsid w:val="001E23D3"/>
    <w:rsid w:val="0021705C"/>
    <w:rsid w:val="0022388E"/>
    <w:rsid w:val="002331D5"/>
    <w:rsid w:val="00294699"/>
    <w:rsid w:val="002D1C94"/>
    <w:rsid w:val="002F2B70"/>
    <w:rsid w:val="002F486E"/>
    <w:rsid w:val="003132C4"/>
    <w:rsid w:val="003154AF"/>
    <w:rsid w:val="00346D24"/>
    <w:rsid w:val="00351F03"/>
    <w:rsid w:val="00361DAA"/>
    <w:rsid w:val="00382E45"/>
    <w:rsid w:val="003912C5"/>
    <w:rsid w:val="003A31E0"/>
    <w:rsid w:val="003B0841"/>
    <w:rsid w:val="003C0A2E"/>
    <w:rsid w:val="003C3C80"/>
    <w:rsid w:val="003E41E4"/>
    <w:rsid w:val="003F16A9"/>
    <w:rsid w:val="003F330F"/>
    <w:rsid w:val="00407928"/>
    <w:rsid w:val="00467DAE"/>
    <w:rsid w:val="004763AE"/>
    <w:rsid w:val="00482075"/>
    <w:rsid w:val="00491CC0"/>
    <w:rsid w:val="004C3CB3"/>
    <w:rsid w:val="004C5E6E"/>
    <w:rsid w:val="004F3D57"/>
    <w:rsid w:val="004F7A71"/>
    <w:rsid w:val="0054048F"/>
    <w:rsid w:val="0056682B"/>
    <w:rsid w:val="00573D3D"/>
    <w:rsid w:val="00574F1C"/>
    <w:rsid w:val="00576445"/>
    <w:rsid w:val="005D47A1"/>
    <w:rsid w:val="005F327B"/>
    <w:rsid w:val="005F7013"/>
    <w:rsid w:val="00616ED2"/>
    <w:rsid w:val="00644275"/>
    <w:rsid w:val="00660DD2"/>
    <w:rsid w:val="00684826"/>
    <w:rsid w:val="006A0DEB"/>
    <w:rsid w:val="006F3CBD"/>
    <w:rsid w:val="006F5AFE"/>
    <w:rsid w:val="00715BE6"/>
    <w:rsid w:val="007219FE"/>
    <w:rsid w:val="00742DBB"/>
    <w:rsid w:val="00780517"/>
    <w:rsid w:val="00784BF1"/>
    <w:rsid w:val="00785AB3"/>
    <w:rsid w:val="007927F8"/>
    <w:rsid w:val="007B34D4"/>
    <w:rsid w:val="007C2C58"/>
    <w:rsid w:val="007C33DA"/>
    <w:rsid w:val="007D6B6A"/>
    <w:rsid w:val="007E02BA"/>
    <w:rsid w:val="00805844"/>
    <w:rsid w:val="0086344A"/>
    <w:rsid w:val="00864ECC"/>
    <w:rsid w:val="0086611B"/>
    <w:rsid w:val="008A62EC"/>
    <w:rsid w:val="008C0C27"/>
    <w:rsid w:val="008C6BC6"/>
    <w:rsid w:val="008D3BD0"/>
    <w:rsid w:val="008F68EC"/>
    <w:rsid w:val="00905C3A"/>
    <w:rsid w:val="009173F0"/>
    <w:rsid w:val="00927051"/>
    <w:rsid w:val="0094325A"/>
    <w:rsid w:val="00945954"/>
    <w:rsid w:val="009B0550"/>
    <w:rsid w:val="009B2854"/>
    <w:rsid w:val="009B5D81"/>
    <w:rsid w:val="009B5F9E"/>
    <w:rsid w:val="00A25E1A"/>
    <w:rsid w:val="00A3638B"/>
    <w:rsid w:val="00A374AA"/>
    <w:rsid w:val="00A532EA"/>
    <w:rsid w:val="00A53FC1"/>
    <w:rsid w:val="00A76C78"/>
    <w:rsid w:val="00A901BD"/>
    <w:rsid w:val="00A9129E"/>
    <w:rsid w:val="00A95DB8"/>
    <w:rsid w:val="00AA1EA9"/>
    <w:rsid w:val="00AC0C09"/>
    <w:rsid w:val="00AD5204"/>
    <w:rsid w:val="00AF2ADA"/>
    <w:rsid w:val="00B22EAC"/>
    <w:rsid w:val="00B33692"/>
    <w:rsid w:val="00B6643E"/>
    <w:rsid w:val="00B757A9"/>
    <w:rsid w:val="00B8057F"/>
    <w:rsid w:val="00BF6D5C"/>
    <w:rsid w:val="00C12DB7"/>
    <w:rsid w:val="00C14EC6"/>
    <w:rsid w:val="00C14F75"/>
    <w:rsid w:val="00C23EF2"/>
    <w:rsid w:val="00C259F0"/>
    <w:rsid w:val="00C27FCE"/>
    <w:rsid w:val="00C36140"/>
    <w:rsid w:val="00C407DE"/>
    <w:rsid w:val="00C501F3"/>
    <w:rsid w:val="00CA211D"/>
    <w:rsid w:val="00CA3D23"/>
    <w:rsid w:val="00CC0A61"/>
    <w:rsid w:val="00CC6C18"/>
    <w:rsid w:val="00CD0F93"/>
    <w:rsid w:val="00CF0808"/>
    <w:rsid w:val="00CF2EC4"/>
    <w:rsid w:val="00D05966"/>
    <w:rsid w:val="00D17BE4"/>
    <w:rsid w:val="00D47432"/>
    <w:rsid w:val="00D6497B"/>
    <w:rsid w:val="00D75AB2"/>
    <w:rsid w:val="00D83883"/>
    <w:rsid w:val="00D85C7B"/>
    <w:rsid w:val="00D94274"/>
    <w:rsid w:val="00D96CD7"/>
    <w:rsid w:val="00D97DDE"/>
    <w:rsid w:val="00DA0A44"/>
    <w:rsid w:val="00DB030B"/>
    <w:rsid w:val="00DD188F"/>
    <w:rsid w:val="00DD58E3"/>
    <w:rsid w:val="00DE4AB3"/>
    <w:rsid w:val="00E2180A"/>
    <w:rsid w:val="00E355D5"/>
    <w:rsid w:val="00E56C83"/>
    <w:rsid w:val="00E71287"/>
    <w:rsid w:val="00E72A1D"/>
    <w:rsid w:val="00E73A26"/>
    <w:rsid w:val="00E839C1"/>
    <w:rsid w:val="00EA1F6B"/>
    <w:rsid w:val="00EB4BEA"/>
    <w:rsid w:val="00ED5D25"/>
    <w:rsid w:val="00ED5E50"/>
    <w:rsid w:val="00EF5606"/>
    <w:rsid w:val="00F00D83"/>
    <w:rsid w:val="00F200B7"/>
    <w:rsid w:val="00F32F0F"/>
    <w:rsid w:val="00F36599"/>
    <w:rsid w:val="00F37F27"/>
    <w:rsid w:val="00F416CA"/>
    <w:rsid w:val="00F41E83"/>
    <w:rsid w:val="00F557C5"/>
    <w:rsid w:val="00F915D2"/>
    <w:rsid w:val="00F95E34"/>
    <w:rsid w:val="00FB2D8E"/>
    <w:rsid w:val="00FC64B1"/>
    <w:rsid w:val="00FD639E"/>
    <w:rsid w:val="00FD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C3614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C36140"/>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C36140"/>
    <w:rPr>
      <w:vertAlign w:val="superscript"/>
    </w:rPr>
  </w:style>
  <w:style w:type="character" w:styleId="Hyperlink">
    <w:name w:val="Hyperlink"/>
    <w:uiPriority w:val="99"/>
    <w:unhideWhenUsed/>
    <w:rsid w:val="00C36140"/>
    <w:rPr>
      <w:color w:val="0000FF"/>
      <w:u w:val="single"/>
    </w:rPr>
  </w:style>
  <w:style w:type="character" w:customStyle="1" w:styleId="ColorfulList-Accent1Char">
    <w:name w:val="Colorful List - Accent 1 Char"/>
    <w:aliases w:val="Footnote Char,Párrafo de lista1 Char"/>
    <w:link w:val="ColorfulList-Accent1"/>
    <w:uiPriority w:val="99"/>
    <w:locked/>
    <w:rsid w:val="00C36140"/>
  </w:style>
  <w:style w:type="paragraph" w:styleId="Header">
    <w:name w:val="header"/>
    <w:basedOn w:val="Normal"/>
    <w:link w:val="HeaderChar"/>
    <w:uiPriority w:val="99"/>
    <w:unhideWhenUsed/>
    <w:rsid w:val="00C3614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6140"/>
    <w:rPr>
      <w:rFonts w:ascii="Calibri" w:eastAsia="Calibri" w:hAnsi="Calibri" w:cs="Times New Roman"/>
    </w:rPr>
  </w:style>
  <w:style w:type="paragraph" w:styleId="Footer">
    <w:name w:val="footer"/>
    <w:basedOn w:val="Normal"/>
    <w:link w:val="FooterChar"/>
    <w:uiPriority w:val="99"/>
    <w:unhideWhenUsed/>
    <w:rsid w:val="00C361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6140"/>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36140"/>
    <w:pPr>
      <w:spacing w:after="0" w:line="240" w:lineRule="auto"/>
      <w:jc w:val="both"/>
    </w:pPr>
    <w:rPr>
      <w:rFonts w:asciiTheme="minorHAnsi" w:eastAsiaTheme="minorHAnsi" w:hAnsiTheme="minorHAnsi" w:cstheme="minorBidi"/>
      <w:vertAlign w:val="superscript"/>
    </w:rPr>
  </w:style>
  <w:style w:type="table" w:styleId="ColorfulList-Accent1">
    <w:name w:val="Colorful List Accent 1"/>
    <w:basedOn w:val="TableNormal"/>
    <w:link w:val="ColorfulList-Accent1Char"/>
    <w:uiPriority w:val="99"/>
    <w:rsid w:val="00C36140"/>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9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D7"/>
    <w:rPr>
      <w:rFonts w:ascii="Tahoma" w:eastAsia="Calibri" w:hAnsi="Tahoma" w:cs="Tahoma"/>
      <w:sz w:val="16"/>
      <w:szCs w:val="16"/>
    </w:rPr>
  </w:style>
  <w:style w:type="character" w:styleId="LineNumber">
    <w:name w:val="line number"/>
    <w:basedOn w:val="DefaultParagraphFont"/>
    <w:uiPriority w:val="99"/>
    <w:semiHidden/>
    <w:unhideWhenUsed/>
    <w:rsid w:val="00D96CD7"/>
  </w:style>
  <w:style w:type="paragraph" w:styleId="ListParagraph">
    <w:name w:val="List Paragraph"/>
    <w:aliases w:val="Footnote,Párrafo de lista1"/>
    <w:basedOn w:val="Normal"/>
    <w:link w:val="ListParagraphChar"/>
    <w:uiPriority w:val="34"/>
    <w:qFormat/>
    <w:rsid w:val="00D96CD7"/>
    <w:pPr>
      <w:ind w:left="720"/>
      <w:contextualSpacing/>
    </w:pPr>
  </w:style>
  <w:style w:type="character" w:styleId="Strong">
    <w:name w:val="Strong"/>
    <w:basedOn w:val="DefaultParagraphFont"/>
    <w:uiPriority w:val="22"/>
    <w:qFormat/>
    <w:rsid w:val="009B0550"/>
    <w:rPr>
      <w:b/>
      <w:bCs/>
    </w:rPr>
  </w:style>
  <w:style w:type="character" w:customStyle="1" w:styleId="ListParagraphChar">
    <w:name w:val="List Paragraph Char"/>
    <w:aliases w:val="Footnote Char1,Párrafo de lista1 Char1"/>
    <w:link w:val="ListParagraph"/>
    <w:uiPriority w:val="34"/>
    <w:locked/>
    <w:rsid w:val="00742DBB"/>
    <w:rPr>
      <w:rFonts w:ascii="Calibri" w:eastAsia="Calibri" w:hAnsi="Calibri" w:cs="Times New Roman"/>
    </w:rPr>
  </w:style>
  <w:style w:type="paragraph" w:styleId="BodyText">
    <w:name w:val="Body Text"/>
    <w:basedOn w:val="Normal"/>
    <w:link w:val="BodyTextChar"/>
    <w:uiPriority w:val="99"/>
    <w:semiHidden/>
    <w:unhideWhenUsed/>
    <w:rsid w:val="00B8057F"/>
    <w:pPr>
      <w:spacing w:after="120"/>
    </w:pPr>
  </w:style>
  <w:style w:type="character" w:customStyle="1" w:styleId="BodyTextChar">
    <w:name w:val="Body Text Char"/>
    <w:basedOn w:val="DefaultParagraphFont"/>
    <w:link w:val="BodyText"/>
    <w:uiPriority w:val="99"/>
    <w:semiHidden/>
    <w:rsid w:val="00B805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unhideWhenUsed/>
    <w:qFormat/>
    <w:rsid w:val="00C3614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C36140"/>
    <w:rPr>
      <w:rFonts w:ascii="Calibri" w:eastAsia="Calibri" w:hAnsi="Calibri" w:cs="Times New Roman"/>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C36140"/>
    <w:rPr>
      <w:vertAlign w:val="superscript"/>
    </w:rPr>
  </w:style>
  <w:style w:type="character" w:styleId="Hyperlink">
    <w:name w:val="Hyperlink"/>
    <w:uiPriority w:val="99"/>
    <w:unhideWhenUsed/>
    <w:rsid w:val="00C36140"/>
    <w:rPr>
      <w:color w:val="0000FF"/>
      <w:u w:val="single"/>
    </w:rPr>
  </w:style>
  <w:style w:type="character" w:customStyle="1" w:styleId="ColorfulList-Accent1Char">
    <w:name w:val="Colorful List - Accent 1 Char"/>
    <w:aliases w:val="Footnote Char,Párrafo de lista1 Char"/>
    <w:link w:val="ColorfulList-Accent1"/>
    <w:uiPriority w:val="99"/>
    <w:locked/>
    <w:rsid w:val="00C36140"/>
  </w:style>
  <w:style w:type="paragraph" w:styleId="Header">
    <w:name w:val="header"/>
    <w:basedOn w:val="Normal"/>
    <w:link w:val="HeaderChar"/>
    <w:uiPriority w:val="99"/>
    <w:unhideWhenUsed/>
    <w:rsid w:val="00C3614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6140"/>
    <w:rPr>
      <w:rFonts w:ascii="Calibri" w:eastAsia="Calibri" w:hAnsi="Calibri" w:cs="Times New Roman"/>
    </w:rPr>
  </w:style>
  <w:style w:type="paragraph" w:styleId="Footer">
    <w:name w:val="footer"/>
    <w:basedOn w:val="Normal"/>
    <w:link w:val="FooterChar"/>
    <w:uiPriority w:val="99"/>
    <w:unhideWhenUsed/>
    <w:rsid w:val="00C3614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6140"/>
    <w:rPr>
      <w:rFonts w:ascii="Calibri" w:eastAsia="Calibri" w:hAnsi="Calibri" w:cs="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36140"/>
    <w:pPr>
      <w:spacing w:after="0" w:line="240" w:lineRule="auto"/>
      <w:jc w:val="both"/>
    </w:pPr>
    <w:rPr>
      <w:rFonts w:asciiTheme="minorHAnsi" w:eastAsiaTheme="minorHAnsi" w:hAnsiTheme="minorHAnsi" w:cstheme="minorBidi"/>
      <w:vertAlign w:val="superscript"/>
    </w:rPr>
  </w:style>
  <w:style w:type="table" w:styleId="ColorfulList-Accent1">
    <w:name w:val="Colorful List Accent 1"/>
    <w:basedOn w:val="TableNormal"/>
    <w:link w:val="ColorfulList-Accent1Char"/>
    <w:uiPriority w:val="99"/>
    <w:rsid w:val="00C36140"/>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9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D7"/>
    <w:rPr>
      <w:rFonts w:ascii="Tahoma" w:eastAsia="Calibri" w:hAnsi="Tahoma" w:cs="Tahoma"/>
      <w:sz w:val="16"/>
      <w:szCs w:val="16"/>
    </w:rPr>
  </w:style>
  <w:style w:type="character" w:styleId="LineNumber">
    <w:name w:val="line number"/>
    <w:basedOn w:val="DefaultParagraphFont"/>
    <w:uiPriority w:val="99"/>
    <w:semiHidden/>
    <w:unhideWhenUsed/>
    <w:rsid w:val="00D96CD7"/>
  </w:style>
  <w:style w:type="paragraph" w:styleId="ListParagraph">
    <w:name w:val="List Paragraph"/>
    <w:aliases w:val="Footnote,Párrafo de lista1"/>
    <w:basedOn w:val="Normal"/>
    <w:link w:val="ListParagraphChar"/>
    <w:uiPriority w:val="34"/>
    <w:qFormat/>
    <w:rsid w:val="00D96CD7"/>
    <w:pPr>
      <w:ind w:left="720"/>
      <w:contextualSpacing/>
    </w:pPr>
  </w:style>
  <w:style w:type="character" w:styleId="Strong">
    <w:name w:val="Strong"/>
    <w:basedOn w:val="DefaultParagraphFont"/>
    <w:uiPriority w:val="22"/>
    <w:qFormat/>
    <w:rsid w:val="009B0550"/>
    <w:rPr>
      <w:b/>
      <w:bCs/>
    </w:rPr>
  </w:style>
  <w:style w:type="character" w:customStyle="1" w:styleId="ListParagraphChar">
    <w:name w:val="List Paragraph Char"/>
    <w:aliases w:val="Footnote Char1,Párrafo de lista1 Char1"/>
    <w:link w:val="ListParagraph"/>
    <w:uiPriority w:val="34"/>
    <w:locked/>
    <w:rsid w:val="00742DBB"/>
    <w:rPr>
      <w:rFonts w:ascii="Calibri" w:eastAsia="Calibri" w:hAnsi="Calibri" w:cs="Times New Roman"/>
    </w:rPr>
  </w:style>
  <w:style w:type="paragraph" w:styleId="BodyText">
    <w:name w:val="Body Text"/>
    <w:basedOn w:val="Normal"/>
    <w:link w:val="BodyTextChar"/>
    <w:uiPriority w:val="99"/>
    <w:semiHidden/>
    <w:unhideWhenUsed/>
    <w:rsid w:val="00B8057F"/>
    <w:pPr>
      <w:spacing w:after="120"/>
    </w:pPr>
  </w:style>
  <w:style w:type="character" w:customStyle="1" w:styleId="BodyTextChar">
    <w:name w:val="Body Text Char"/>
    <w:basedOn w:val="DefaultParagraphFont"/>
    <w:link w:val="BodyText"/>
    <w:uiPriority w:val="99"/>
    <w:semiHidden/>
    <w:rsid w:val="00B805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013">
      <w:bodyDiv w:val="1"/>
      <w:marLeft w:val="0"/>
      <w:marRight w:val="0"/>
      <w:marTop w:val="0"/>
      <w:marBottom w:val="0"/>
      <w:divBdr>
        <w:top w:val="none" w:sz="0" w:space="0" w:color="auto"/>
        <w:left w:val="none" w:sz="0" w:space="0" w:color="auto"/>
        <w:bottom w:val="none" w:sz="0" w:space="0" w:color="auto"/>
        <w:right w:val="none" w:sz="0" w:space="0" w:color="auto"/>
      </w:divBdr>
    </w:div>
    <w:div w:id="112600695">
      <w:bodyDiv w:val="1"/>
      <w:marLeft w:val="0"/>
      <w:marRight w:val="0"/>
      <w:marTop w:val="0"/>
      <w:marBottom w:val="0"/>
      <w:divBdr>
        <w:top w:val="none" w:sz="0" w:space="0" w:color="auto"/>
        <w:left w:val="none" w:sz="0" w:space="0" w:color="auto"/>
        <w:bottom w:val="none" w:sz="0" w:space="0" w:color="auto"/>
        <w:right w:val="none" w:sz="0" w:space="0" w:color="auto"/>
      </w:divBdr>
    </w:div>
    <w:div w:id="217211691">
      <w:bodyDiv w:val="1"/>
      <w:marLeft w:val="0"/>
      <w:marRight w:val="0"/>
      <w:marTop w:val="0"/>
      <w:marBottom w:val="0"/>
      <w:divBdr>
        <w:top w:val="none" w:sz="0" w:space="0" w:color="auto"/>
        <w:left w:val="none" w:sz="0" w:space="0" w:color="auto"/>
        <w:bottom w:val="none" w:sz="0" w:space="0" w:color="auto"/>
        <w:right w:val="none" w:sz="0" w:space="0" w:color="auto"/>
      </w:divBdr>
    </w:div>
    <w:div w:id="682827617">
      <w:bodyDiv w:val="1"/>
      <w:marLeft w:val="0"/>
      <w:marRight w:val="0"/>
      <w:marTop w:val="0"/>
      <w:marBottom w:val="0"/>
      <w:divBdr>
        <w:top w:val="none" w:sz="0" w:space="0" w:color="auto"/>
        <w:left w:val="none" w:sz="0" w:space="0" w:color="auto"/>
        <w:bottom w:val="none" w:sz="0" w:space="0" w:color="auto"/>
        <w:right w:val="none" w:sz="0" w:space="0" w:color="auto"/>
      </w:divBdr>
    </w:div>
    <w:div w:id="1308362074">
      <w:bodyDiv w:val="1"/>
      <w:marLeft w:val="0"/>
      <w:marRight w:val="0"/>
      <w:marTop w:val="0"/>
      <w:marBottom w:val="0"/>
      <w:divBdr>
        <w:top w:val="none" w:sz="0" w:space="0" w:color="auto"/>
        <w:left w:val="none" w:sz="0" w:space="0" w:color="auto"/>
        <w:bottom w:val="none" w:sz="0" w:space="0" w:color="auto"/>
        <w:right w:val="none" w:sz="0" w:space="0" w:color="auto"/>
      </w:divBdr>
    </w:div>
    <w:div w:id="1471635603">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cf/Jurisprudencia2/busqueda_supervision_cumplimiento.cfm?lang=es" TargetMode="External"/><Relationship Id="rId2" Type="http://schemas.openxmlformats.org/officeDocument/2006/relationships/hyperlink" Target="http://www.corteidh.or.cr/docs/casos/articulos/seriec_46_esp.pdf" TargetMode="External"/><Relationship Id="rId1" Type="http://schemas.openxmlformats.org/officeDocument/2006/relationships/hyperlink" Target="http://www.corteidh.or.cr/docs/casos/articulos/seriec_19_esp.pdf" TargetMode="External"/><Relationship Id="rId5" Type="http://schemas.openxmlformats.org/officeDocument/2006/relationships/hyperlink" Target="http://www.corteidh.or.cr/sitios/informes/docs/SPA/spa_2016.pdf" TargetMode="External"/><Relationship Id="rId4" Type="http://schemas.openxmlformats.org/officeDocument/2006/relationships/hyperlink" Target="http://www.corteidh.or.cr/sitios/informes/docs/SPA/spa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C6D3-38B3-4F4F-8F43-98A5D598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2369</Words>
  <Characters>13035</Characters>
  <Application>Microsoft Office Word</Application>
  <DocSecurity>4</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2018-12-11T15:00:00Z</cp:lastPrinted>
  <dcterms:created xsi:type="dcterms:W3CDTF">2018-12-11T15:07:00Z</dcterms:created>
  <dcterms:modified xsi:type="dcterms:W3CDTF">2018-12-11T15:07:00Z</dcterms:modified>
</cp:coreProperties>
</file>