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34" w:rsidRDefault="00050234" w:rsidP="00B14F91">
      <w:pPr>
        <w:autoSpaceDE w:val="0"/>
        <w:autoSpaceDN w:val="0"/>
        <w:adjustRightInd w:val="0"/>
        <w:spacing w:after="0" w:line="240" w:lineRule="auto"/>
        <w:rPr>
          <w:rFonts w:ascii="Verdana" w:hAnsi="Verdana" w:cs="Verdana"/>
          <w:b/>
          <w:bCs/>
          <w:sz w:val="20"/>
          <w:szCs w:val="20"/>
          <w:lang w:val="es-ES"/>
        </w:rPr>
      </w:pPr>
    </w:p>
    <w:p w:rsidR="004D24B2" w:rsidRDefault="004D24B2" w:rsidP="00B14F91">
      <w:pPr>
        <w:autoSpaceDE w:val="0"/>
        <w:autoSpaceDN w:val="0"/>
        <w:adjustRightInd w:val="0"/>
        <w:spacing w:after="0" w:line="240" w:lineRule="auto"/>
        <w:rPr>
          <w:rFonts w:ascii="Verdana" w:hAnsi="Verdana" w:cs="Verdana"/>
          <w:b/>
          <w:bCs/>
          <w:sz w:val="20"/>
          <w:szCs w:val="20"/>
          <w:lang w:val="es-ES"/>
        </w:rPr>
      </w:pPr>
    </w:p>
    <w:p w:rsidR="004D24B2" w:rsidRDefault="004D24B2" w:rsidP="00B14F91">
      <w:pPr>
        <w:autoSpaceDE w:val="0"/>
        <w:autoSpaceDN w:val="0"/>
        <w:adjustRightInd w:val="0"/>
        <w:spacing w:after="0" w:line="240" w:lineRule="auto"/>
        <w:rPr>
          <w:rFonts w:ascii="Verdana" w:hAnsi="Verdana" w:cs="Verdana"/>
          <w:b/>
          <w:bCs/>
          <w:sz w:val="20"/>
          <w:szCs w:val="20"/>
          <w:lang w:val="es-ES"/>
        </w:rPr>
      </w:pPr>
    </w:p>
    <w:p w:rsidR="004D24B2" w:rsidRDefault="004D24B2" w:rsidP="00B14F91">
      <w:pPr>
        <w:autoSpaceDE w:val="0"/>
        <w:autoSpaceDN w:val="0"/>
        <w:adjustRightInd w:val="0"/>
        <w:spacing w:after="0" w:line="240" w:lineRule="auto"/>
        <w:rPr>
          <w:rFonts w:ascii="Verdana" w:hAnsi="Verdana" w:cs="Verdana"/>
          <w:b/>
          <w:bCs/>
          <w:sz w:val="20"/>
          <w:szCs w:val="20"/>
          <w:lang w:val="es-ES"/>
        </w:rPr>
      </w:pPr>
    </w:p>
    <w:p w:rsidR="004D24B2" w:rsidRDefault="004D24B2" w:rsidP="00B14F91">
      <w:pPr>
        <w:autoSpaceDE w:val="0"/>
        <w:autoSpaceDN w:val="0"/>
        <w:adjustRightInd w:val="0"/>
        <w:spacing w:after="0" w:line="240" w:lineRule="auto"/>
        <w:rPr>
          <w:rFonts w:ascii="Verdana" w:hAnsi="Verdana" w:cs="Verdana"/>
          <w:b/>
          <w:bCs/>
          <w:sz w:val="20"/>
          <w:szCs w:val="20"/>
          <w:lang w:val="es-ES"/>
        </w:rPr>
      </w:pPr>
    </w:p>
    <w:p w:rsidR="004D24B2" w:rsidRDefault="004D24B2" w:rsidP="00B14F91">
      <w:pPr>
        <w:autoSpaceDE w:val="0"/>
        <w:autoSpaceDN w:val="0"/>
        <w:adjustRightInd w:val="0"/>
        <w:spacing w:after="0" w:line="240" w:lineRule="auto"/>
        <w:rPr>
          <w:rFonts w:ascii="Verdana" w:hAnsi="Verdana" w:cs="Verdana"/>
          <w:b/>
          <w:bCs/>
          <w:sz w:val="20"/>
          <w:szCs w:val="20"/>
          <w:lang w:val="es-ES"/>
        </w:rPr>
      </w:pPr>
    </w:p>
    <w:p w:rsidR="004D24B2" w:rsidRPr="00EC475D" w:rsidRDefault="004D24B2" w:rsidP="00B14F91">
      <w:pPr>
        <w:autoSpaceDE w:val="0"/>
        <w:autoSpaceDN w:val="0"/>
        <w:adjustRightInd w:val="0"/>
        <w:spacing w:after="0" w:line="240" w:lineRule="auto"/>
        <w:rPr>
          <w:rFonts w:ascii="Verdana" w:hAnsi="Verdana" w:cs="Verdana"/>
          <w:b/>
          <w:bCs/>
          <w:sz w:val="20"/>
          <w:szCs w:val="20"/>
          <w:lang w:val="es-ES"/>
        </w:rPr>
      </w:pPr>
    </w:p>
    <w:p w:rsidR="004D1D83" w:rsidRPr="00EC475D" w:rsidRDefault="004D1D83" w:rsidP="00B14F91">
      <w:pPr>
        <w:autoSpaceDE w:val="0"/>
        <w:autoSpaceDN w:val="0"/>
        <w:adjustRightInd w:val="0"/>
        <w:spacing w:after="0" w:line="240" w:lineRule="auto"/>
        <w:jc w:val="center"/>
        <w:rPr>
          <w:rFonts w:ascii="Verdana" w:hAnsi="Verdana" w:cs="Verdana"/>
          <w:b/>
          <w:bCs/>
          <w:sz w:val="20"/>
          <w:szCs w:val="20"/>
          <w:lang w:val="es-ES"/>
        </w:rPr>
      </w:pPr>
      <w:r w:rsidRPr="00EC475D">
        <w:rPr>
          <w:rFonts w:ascii="Verdana" w:hAnsi="Verdana" w:cs="Verdana"/>
          <w:b/>
          <w:bCs/>
          <w:sz w:val="20"/>
          <w:szCs w:val="20"/>
          <w:lang w:val="es-ES"/>
        </w:rPr>
        <w:t>RESOLUCIÓN DE LA</w:t>
      </w:r>
    </w:p>
    <w:p w:rsidR="004D1D83" w:rsidRPr="00EC475D" w:rsidRDefault="004D1D83" w:rsidP="00B14F91">
      <w:pPr>
        <w:spacing w:after="0" w:line="240" w:lineRule="auto"/>
        <w:jc w:val="center"/>
        <w:rPr>
          <w:rFonts w:ascii="Times New Roman" w:hAnsi="Times New Roman"/>
          <w:sz w:val="24"/>
          <w:szCs w:val="24"/>
        </w:rPr>
      </w:pPr>
      <w:r w:rsidRPr="00EC475D">
        <w:rPr>
          <w:rFonts w:ascii="Verdana" w:hAnsi="Verdana" w:cs="Verdana"/>
          <w:b/>
          <w:bCs/>
          <w:sz w:val="20"/>
          <w:szCs w:val="20"/>
          <w:lang w:val="es-ES"/>
        </w:rPr>
        <w:t>CORTE INTERAMERICANA DE DERECHOS HUMANOS</w:t>
      </w:r>
      <w:r w:rsidR="00635B8A" w:rsidRPr="00EC475D">
        <w:rPr>
          <w:rFonts w:ascii="Verdana" w:hAnsi="Verdana"/>
          <w:b/>
          <w:smallCaps/>
          <w:sz w:val="20"/>
        </w:rPr>
        <w:t>*</w:t>
      </w:r>
    </w:p>
    <w:p w:rsidR="004D1D83" w:rsidRPr="00EC475D" w:rsidRDefault="004D1D83" w:rsidP="00B14F91">
      <w:pPr>
        <w:autoSpaceDE w:val="0"/>
        <w:autoSpaceDN w:val="0"/>
        <w:adjustRightInd w:val="0"/>
        <w:spacing w:after="0" w:line="240" w:lineRule="auto"/>
        <w:jc w:val="center"/>
        <w:rPr>
          <w:rFonts w:ascii="Verdana" w:hAnsi="Verdana" w:cs="Verdana"/>
          <w:b/>
          <w:bCs/>
          <w:sz w:val="20"/>
          <w:szCs w:val="20"/>
          <w:lang w:val="es-ES"/>
        </w:rPr>
      </w:pPr>
    </w:p>
    <w:p w:rsidR="004D1D83" w:rsidRPr="00EC475D" w:rsidRDefault="00E1066F" w:rsidP="00B14F91">
      <w:pPr>
        <w:spacing w:after="0" w:line="240" w:lineRule="auto"/>
        <w:jc w:val="center"/>
        <w:rPr>
          <w:rFonts w:ascii="Verdana" w:eastAsia="Calibri" w:hAnsi="Verdana" w:cs="Times New Roman"/>
          <w:b/>
          <w:smallCaps/>
          <w:sz w:val="20"/>
          <w:szCs w:val="20"/>
          <w:lang w:val="es-ES"/>
        </w:rPr>
      </w:pPr>
      <w:r w:rsidRPr="00EC475D">
        <w:rPr>
          <w:rFonts w:ascii="Verdana" w:eastAsia="Calibri" w:hAnsi="Verdana" w:cs="Times New Roman"/>
          <w:b/>
          <w:smallCaps/>
          <w:sz w:val="20"/>
          <w:szCs w:val="20"/>
          <w:lang w:val="es-ES"/>
        </w:rPr>
        <w:t xml:space="preserve">DE </w:t>
      </w:r>
      <w:r w:rsidR="00054D39">
        <w:rPr>
          <w:rFonts w:ascii="Verdana" w:eastAsia="Calibri" w:hAnsi="Verdana" w:cs="Times New Roman"/>
          <w:b/>
          <w:smallCaps/>
          <w:sz w:val="20"/>
          <w:szCs w:val="20"/>
          <w:lang w:val="es-ES"/>
        </w:rPr>
        <w:t>22</w:t>
      </w:r>
      <w:r w:rsidR="00054D39" w:rsidRPr="00EC475D">
        <w:rPr>
          <w:rFonts w:ascii="Verdana" w:eastAsia="Calibri" w:hAnsi="Verdana" w:cs="Times New Roman"/>
          <w:b/>
          <w:smallCaps/>
          <w:sz w:val="20"/>
          <w:szCs w:val="20"/>
          <w:lang w:val="es-ES"/>
        </w:rPr>
        <w:t xml:space="preserve"> </w:t>
      </w:r>
      <w:r w:rsidRPr="00EC475D">
        <w:rPr>
          <w:rFonts w:ascii="Verdana" w:eastAsia="Calibri" w:hAnsi="Verdana" w:cs="Times New Roman"/>
          <w:b/>
          <w:smallCaps/>
          <w:sz w:val="20"/>
          <w:szCs w:val="20"/>
          <w:lang w:val="es-ES"/>
        </w:rPr>
        <w:t>DE NOVIEMBRE</w:t>
      </w:r>
      <w:r w:rsidR="004D1D83" w:rsidRPr="00EC475D">
        <w:rPr>
          <w:rFonts w:ascii="Verdana" w:eastAsia="Calibri" w:hAnsi="Verdana" w:cs="Times New Roman"/>
          <w:b/>
          <w:smallCaps/>
          <w:sz w:val="20"/>
          <w:szCs w:val="20"/>
          <w:lang w:val="es-ES"/>
        </w:rPr>
        <w:t xml:space="preserve"> DE 2016</w:t>
      </w:r>
    </w:p>
    <w:p w:rsidR="004D1D83" w:rsidRPr="00EC475D" w:rsidRDefault="004D1D83" w:rsidP="00B14F91">
      <w:pPr>
        <w:autoSpaceDE w:val="0"/>
        <w:autoSpaceDN w:val="0"/>
        <w:adjustRightInd w:val="0"/>
        <w:spacing w:after="0" w:line="240" w:lineRule="auto"/>
        <w:jc w:val="center"/>
        <w:rPr>
          <w:rFonts w:ascii="Verdana" w:hAnsi="Verdana" w:cs="Verdana"/>
          <w:b/>
          <w:bCs/>
          <w:sz w:val="20"/>
          <w:szCs w:val="20"/>
          <w:lang w:val="es-ES"/>
        </w:rPr>
      </w:pPr>
    </w:p>
    <w:p w:rsidR="004D1D83" w:rsidRPr="00EC475D" w:rsidRDefault="004D1D83" w:rsidP="00B14F91">
      <w:pPr>
        <w:autoSpaceDE w:val="0"/>
        <w:autoSpaceDN w:val="0"/>
        <w:adjustRightInd w:val="0"/>
        <w:spacing w:after="0" w:line="240" w:lineRule="auto"/>
        <w:jc w:val="center"/>
        <w:rPr>
          <w:rFonts w:ascii="Verdana" w:hAnsi="Verdana" w:cs="Verdana"/>
          <w:b/>
          <w:bCs/>
          <w:sz w:val="20"/>
          <w:szCs w:val="20"/>
          <w:lang w:val="es-ES"/>
        </w:rPr>
      </w:pPr>
      <w:r w:rsidRPr="00EC475D">
        <w:rPr>
          <w:rFonts w:ascii="Verdana" w:hAnsi="Verdana" w:cs="Verdana"/>
          <w:b/>
          <w:bCs/>
          <w:sz w:val="20"/>
          <w:szCs w:val="20"/>
          <w:lang w:val="es-ES"/>
        </w:rPr>
        <w:t xml:space="preserve">CASO ESCUÉ ZAPATA VS. COLOMBIA </w:t>
      </w:r>
    </w:p>
    <w:p w:rsidR="004D1D83" w:rsidRPr="00EC475D" w:rsidRDefault="004D1D83" w:rsidP="00B14F91">
      <w:pPr>
        <w:spacing w:after="0" w:line="240" w:lineRule="auto"/>
        <w:jc w:val="center"/>
        <w:rPr>
          <w:rFonts w:ascii="Verdana" w:hAnsi="Verdana" w:cs="Verdana"/>
          <w:b/>
          <w:bCs/>
          <w:sz w:val="20"/>
          <w:szCs w:val="20"/>
          <w:lang w:val="es-ES"/>
        </w:rPr>
      </w:pPr>
    </w:p>
    <w:p w:rsidR="004D1D83" w:rsidRPr="00EC475D" w:rsidRDefault="004D1D83" w:rsidP="00B14F91">
      <w:pPr>
        <w:spacing w:after="0" w:line="240" w:lineRule="auto"/>
        <w:jc w:val="center"/>
        <w:rPr>
          <w:rFonts w:ascii="Verdana" w:hAnsi="Verdana" w:cs="Verdana"/>
          <w:b/>
          <w:bCs/>
          <w:sz w:val="20"/>
          <w:szCs w:val="20"/>
          <w:lang w:val="es-ES"/>
        </w:rPr>
      </w:pPr>
      <w:r w:rsidRPr="00EC475D">
        <w:rPr>
          <w:rFonts w:ascii="Verdana" w:hAnsi="Verdana" w:cs="Verdana"/>
          <w:b/>
          <w:bCs/>
          <w:sz w:val="20"/>
          <w:szCs w:val="20"/>
          <w:lang w:val="es-ES"/>
        </w:rPr>
        <w:t>SUPERVISIÓN DE CUMPLIMIENTO DE SENTENCIA</w:t>
      </w:r>
    </w:p>
    <w:p w:rsidR="004D1D83" w:rsidRPr="00EC475D" w:rsidRDefault="004D1D83" w:rsidP="00B14F91">
      <w:pPr>
        <w:autoSpaceDE w:val="0"/>
        <w:autoSpaceDN w:val="0"/>
        <w:adjustRightInd w:val="0"/>
        <w:spacing w:after="0" w:line="240" w:lineRule="auto"/>
        <w:rPr>
          <w:rFonts w:ascii="Verdana" w:hAnsi="Verdana" w:cs="Verdana"/>
          <w:b/>
          <w:bCs/>
          <w:sz w:val="20"/>
          <w:szCs w:val="20"/>
          <w:lang w:val="es-ES"/>
        </w:rPr>
      </w:pPr>
      <w:r w:rsidRPr="00EC475D">
        <w:rPr>
          <w:rFonts w:ascii="Verdana" w:hAnsi="Verdana" w:cs="Verdana"/>
          <w:b/>
          <w:bCs/>
          <w:sz w:val="20"/>
          <w:szCs w:val="20"/>
          <w:lang w:val="es-ES"/>
        </w:rPr>
        <w:t xml:space="preserve">VISTO: </w:t>
      </w:r>
    </w:p>
    <w:p w:rsidR="003866D8" w:rsidRPr="00EC475D" w:rsidRDefault="003866D8" w:rsidP="00B14F91">
      <w:pPr>
        <w:autoSpaceDE w:val="0"/>
        <w:autoSpaceDN w:val="0"/>
        <w:adjustRightInd w:val="0"/>
        <w:spacing w:after="0" w:line="240" w:lineRule="auto"/>
        <w:rPr>
          <w:rFonts w:ascii="Verdana" w:hAnsi="Verdana" w:cs="Verdana"/>
          <w:b/>
          <w:bCs/>
          <w:sz w:val="20"/>
          <w:szCs w:val="20"/>
          <w:lang w:val="es-ES"/>
        </w:rPr>
      </w:pPr>
    </w:p>
    <w:p w:rsidR="004D1D83" w:rsidRPr="00EC475D" w:rsidRDefault="004D1D83" w:rsidP="00B14F91">
      <w:pPr>
        <w:pStyle w:val="FootnoteText"/>
        <w:numPr>
          <w:ilvl w:val="0"/>
          <w:numId w:val="3"/>
        </w:numPr>
        <w:ind w:left="0" w:firstLine="0"/>
        <w:jc w:val="both"/>
        <w:rPr>
          <w:rFonts w:ascii="Verdana" w:hAnsi="Verdana"/>
          <w:sz w:val="16"/>
          <w:szCs w:val="16"/>
        </w:rPr>
      </w:pPr>
      <w:r w:rsidRPr="00EC475D">
        <w:rPr>
          <w:rFonts w:ascii="Verdana" w:hAnsi="Verdana"/>
          <w:sz w:val="20"/>
          <w:lang w:val="es-ES"/>
        </w:rPr>
        <w:t>La</w:t>
      </w:r>
      <w:r w:rsidRPr="00EC475D">
        <w:rPr>
          <w:rFonts w:ascii="Verdana" w:hAnsi="Verdana"/>
          <w:i/>
          <w:sz w:val="20"/>
          <w:lang w:val="es-ES"/>
        </w:rPr>
        <w:t xml:space="preserve"> </w:t>
      </w:r>
      <w:r w:rsidRPr="00EC475D">
        <w:rPr>
          <w:rFonts w:ascii="Verdana" w:hAnsi="Verdana"/>
          <w:sz w:val="20"/>
          <w:lang w:val="es-ES"/>
        </w:rPr>
        <w:t>Sentencia de fondo, reparaciones y costas (en adelante “la Sentencia”) dictada por la Corte Interamericana de Derechos Humanos (en adelante “la Corte”, “la Corte Interamericana” o “el Tribunal”) el 4 de julio de 2007</w:t>
      </w:r>
      <w:r w:rsidRPr="00EC475D">
        <w:rPr>
          <w:rStyle w:val="FootnoteReference"/>
          <w:rFonts w:ascii="Verdana" w:hAnsi="Verdana"/>
          <w:sz w:val="20"/>
          <w:lang w:val="es-ES"/>
        </w:rPr>
        <w:footnoteReference w:id="1"/>
      </w:r>
      <w:r w:rsidRPr="00EC475D">
        <w:rPr>
          <w:rFonts w:ascii="Verdana" w:hAnsi="Verdana"/>
          <w:sz w:val="20"/>
          <w:lang w:val="es-ES"/>
        </w:rPr>
        <w:t xml:space="preserve">. </w:t>
      </w:r>
      <w:r w:rsidR="001B760B" w:rsidRPr="00EC475D">
        <w:rPr>
          <w:rFonts w:ascii="Verdana" w:hAnsi="Verdana" w:cs="Arial"/>
          <w:sz w:val="20"/>
        </w:rPr>
        <w:t>Tomando en cuenta el reconocimiento parcial de responsabilidad</w:t>
      </w:r>
      <w:r w:rsidR="001B760B" w:rsidRPr="00EC475D">
        <w:rPr>
          <w:rStyle w:val="FootnoteReference"/>
          <w:rFonts w:ascii="Verdana" w:hAnsi="Verdana" w:cs="Arial"/>
          <w:sz w:val="20"/>
        </w:rPr>
        <w:footnoteReference w:id="2"/>
      </w:r>
      <w:r w:rsidR="001B760B" w:rsidRPr="00EC475D">
        <w:rPr>
          <w:rFonts w:ascii="Verdana" w:hAnsi="Verdana" w:cs="Arial"/>
          <w:sz w:val="20"/>
        </w:rPr>
        <w:t xml:space="preserve"> efectuado por la República de Colombia (en adelante “el Estado” o “Colombia”), la Corte determinó que el Estado era internacionalmente responsable por </w:t>
      </w:r>
      <w:r w:rsidR="002505C5" w:rsidRPr="00EC475D">
        <w:rPr>
          <w:rFonts w:ascii="Verdana" w:hAnsi="Verdana" w:cs="Arial"/>
          <w:sz w:val="20"/>
        </w:rPr>
        <w:t xml:space="preserve">la </w:t>
      </w:r>
      <w:r w:rsidR="00550E71" w:rsidRPr="00EC475D">
        <w:rPr>
          <w:rFonts w:ascii="Verdana" w:hAnsi="Verdana" w:cs="Arial"/>
          <w:sz w:val="20"/>
        </w:rPr>
        <w:t xml:space="preserve">privación arbitraria de la libertad, lesiones y privación de la vida </w:t>
      </w:r>
      <w:r w:rsidR="002505C5" w:rsidRPr="00EC475D">
        <w:rPr>
          <w:rFonts w:ascii="Verdana" w:hAnsi="Verdana" w:cs="Arial"/>
          <w:sz w:val="20"/>
        </w:rPr>
        <w:t xml:space="preserve">del señor </w:t>
      </w:r>
      <w:r w:rsidR="002505C5" w:rsidRPr="00EC475D">
        <w:rPr>
          <w:rFonts w:ascii="Verdana" w:hAnsi="Verdana"/>
          <w:sz w:val="20"/>
          <w:lang w:val="es-ES"/>
        </w:rPr>
        <w:t xml:space="preserve">Germán </w:t>
      </w:r>
      <w:proofErr w:type="spellStart"/>
      <w:r w:rsidR="002505C5" w:rsidRPr="00EC475D">
        <w:rPr>
          <w:rFonts w:ascii="Verdana" w:hAnsi="Verdana"/>
          <w:sz w:val="20"/>
          <w:lang w:val="es-ES"/>
        </w:rPr>
        <w:t>Escué</w:t>
      </w:r>
      <w:proofErr w:type="spellEnd"/>
      <w:r w:rsidR="002505C5" w:rsidRPr="00EC475D">
        <w:rPr>
          <w:rFonts w:ascii="Verdana" w:hAnsi="Verdana"/>
          <w:sz w:val="20"/>
          <w:lang w:val="es-ES"/>
        </w:rPr>
        <w:t xml:space="preserve"> Zapata</w:t>
      </w:r>
      <w:r w:rsidR="002505C5" w:rsidRPr="00EC475D">
        <w:rPr>
          <w:rFonts w:ascii="Verdana" w:hAnsi="Verdana" w:cs="Arial"/>
          <w:sz w:val="20"/>
        </w:rPr>
        <w:t xml:space="preserve"> </w:t>
      </w:r>
      <w:r w:rsidR="004B1E0F" w:rsidRPr="00EC475D">
        <w:rPr>
          <w:rFonts w:ascii="Verdana" w:hAnsi="Verdana" w:cs="Arial"/>
          <w:sz w:val="20"/>
        </w:rPr>
        <w:t xml:space="preserve">perpetrada </w:t>
      </w:r>
      <w:r w:rsidR="00550E71" w:rsidRPr="00EC475D">
        <w:rPr>
          <w:rFonts w:ascii="Verdana" w:hAnsi="Verdana" w:cs="Arial"/>
          <w:sz w:val="20"/>
        </w:rPr>
        <w:t xml:space="preserve">por militares </w:t>
      </w:r>
      <w:r w:rsidR="002505C5" w:rsidRPr="00EC475D">
        <w:rPr>
          <w:rFonts w:ascii="Verdana" w:hAnsi="Verdana" w:cs="Arial"/>
          <w:sz w:val="20"/>
        </w:rPr>
        <w:t xml:space="preserve">el </w:t>
      </w:r>
      <w:r w:rsidRPr="00EC475D">
        <w:rPr>
          <w:rFonts w:ascii="Verdana" w:hAnsi="Verdana"/>
          <w:sz w:val="20"/>
          <w:lang w:val="es-ES"/>
        </w:rPr>
        <w:t>1 de febrero de 1988</w:t>
      </w:r>
      <w:r w:rsidR="002505C5" w:rsidRPr="00EC475D">
        <w:rPr>
          <w:rFonts w:ascii="Verdana" w:hAnsi="Verdana"/>
          <w:sz w:val="20"/>
          <w:lang w:val="es-ES"/>
        </w:rPr>
        <w:t xml:space="preserve">. </w:t>
      </w:r>
      <w:r w:rsidR="004B1E0F" w:rsidRPr="00EC475D">
        <w:rPr>
          <w:rFonts w:ascii="Verdana" w:hAnsi="Verdana"/>
          <w:sz w:val="20"/>
          <w:lang w:val="es-ES"/>
        </w:rPr>
        <w:t xml:space="preserve">A partir </w:t>
      </w:r>
      <w:r w:rsidRPr="00EC475D">
        <w:rPr>
          <w:rFonts w:ascii="Verdana" w:hAnsi="Verdana"/>
          <w:sz w:val="20"/>
          <w:lang w:val="es-ES"/>
        </w:rPr>
        <w:t>de información recibida por un informante indígena</w:t>
      </w:r>
      <w:r w:rsidR="002505C5" w:rsidRPr="00EC475D">
        <w:rPr>
          <w:rFonts w:ascii="Verdana" w:hAnsi="Verdana"/>
          <w:sz w:val="20"/>
          <w:lang w:val="es-ES"/>
        </w:rPr>
        <w:t xml:space="preserve"> en el sentido de que</w:t>
      </w:r>
      <w:r w:rsidR="004B1E0F" w:rsidRPr="00EC475D">
        <w:rPr>
          <w:rFonts w:ascii="Verdana" w:hAnsi="Verdana"/>
          <w:sz w:val="20"/>
          <w:lang w:val="es-ES"/>
        </w:rPr>
        <w:t xml:space="preserve"> en el domicilio del señor </w:t>
      </w:r>
      <w:proofErr w:type="spellStart"/>
      <w:r w:rsidR="004B1E0F" w:rsidRPr="00EC475D">
        <w:rPr>
          <w:rFonts w:ascii="Verdana" w:hAnsi="Verdana"/>
          <w:sz w:val="20"/>
          <w:lang w:val="es-ES"/>
        </w:rPr>
        <w:t>Escué</w:t>
      </w:r>
      <w:proofErr w:type="spellEnd"/>
      <w:r w:rsidR="002505C5" w:rsidRPr="00EC475D">
        <w:rPr>
          <w:rFonts w:ascii="Verdana" w:hAnsi="Verdana"/>
          <w:sz w:val="20"/>
          <w:lang w:val="es-ES"/>
        </w:rPr>
        <w:t xml:space="preserve"> Zapata se encontraban armas</w:t>
      </w:r>
      <w:r w:rsidRPr="00EC475D">
        <w:rPr>
          <w:rFonts w:ascii="Verdana" w:hAnsi="Verdana"/>
          <w:sz w:val="20"/>
          <w:lang w:val="es-ES"/>
        </w:rPr>
        <w:t xml:space="preserve">, militares </w:t>
      </w:r>
      <w:r w:rsidR="00D5285B" w:rsidRPr="00EC475D">
        <w:rPr>
          <w:rFonts w:ascii="Verdana" w:hAnsi="Verdana"/>
          <w:sz w:val="20"/>
          <w:lang w:val="es-ES"/>
        </w:rPr>
        <w:t xml:space="preserve">de una Sección </w:t>
      </w:r>
      <w:r w:rsidRPr="00EC475D">
        <w:rPr>
          <w:rFonts w:ascii="Verdana" w:hAnsi="Verdana"/>
          <w:sz w:val="20"/>
          <w:lang w:val="es-ES"/>
        </w:rPr>
        <w:t xml:space="preserve">del Ejército Nacional de Colombia </w:t>
      </w:r>
      <w:r w:rsidR="00D5285B" w:rsidRPr="00EC475D">
        <w:rPr>
          <w:rFonts w:ascii="Verdana" w:hAnsi="Verdana"/>
          <w:sz w:val="20"/>
          <w:lang w:val="es-ES"/>
        </w:rPr>
        <w:t>en Loma Redonda</w:t>
      </w:r>
      <w:r w:rsidR="004020E5" w:rsidRPr="00EC475D">
        <w:rPr>
          <w:rFonts w:ascii="Verdana" w:eastAsiaTheme="minorHAnsi" w:hAnsi="Verdana" w:cs="Verdana"/>
          <w:sz w:val="20"/>
          <w:lang w:eastAsia="en-US"/>
        </w:rPr>
        <w:t>, departamento del Cauca</w:t>
      </w:r>
      <w:r w:rsidR="004020E5" w:rsidRPr="00EC475D">
        <w:rPr>
          <w:rFonts w:ascii="Verdana" w:eastAsiaTheme="minorHAnsi" w:hAnsi="Verdana" w:cs="Verdana"/>
          <w:sz w:val="19"/>
          <w:szCs w:val="19"/>
          <w:lang w:eastAsia="en-US"/>
        </w:rPr>
        <w:t>,</w:t>
      </w:r>
      <w:r w:rsidR="00D5285B" w:rsidRPr="00EC475D">
        <w:rPr>
          <w:rFonts w:ascii="Verdana" w:hAnsi="Verdana"/>
          <w:sz w:val="20"/>
          <w:lang w:val="es-ES"/>
        </w:rPr>
        <w:t xml:space="preserve"> </w:t>
      </w:r>
      <w:r w:rsidRPr="00EC475D">
        <w:rPr>
          <w:rFonts w:ascii="Verdana" w:hAnsi="Verdana"/>
          <w:sz w:val="20"/>
          <w:lang w:val="es-ES"/>
        </w:rPr>
        <w:t xml:space="preserve">entraron a la vivienda de </w:t>
      </w:r>
      <w:r w:rsidR="002505C5" w:rsidRPr="00EC475D">
        <w:rPr>
          <w:rFonts w:ascii="Verdana" w:hAnsi="Verdana"/>
          <w:sz w:val="20"/>
          <w:lang w:val="es-ES"/>
        </w:rPr>
        <w:t>aquel</w:t>
      </w:r>
      <w:r w:rsidR="00326C2C" w:rsidRPr="00EC475D">
        <w:rPr>
          <w:rFonts w:ascii="Verdana" w:hAnsi="Verdana"/>
          <w:sz w:val="20"/>
          <w:lang w:val="es-ES"/>
        </w:rPr>
        <w:t>,</w:t>
      </w:r>
      <w:r w:rsidR="00641F0C" w:rsidRPr="00EC475D">
        <w:rPr>
          <w:rFonts w:ascii="Verdana" w:hAnsi="Verdana"/>
          <w:sz w:val="20"/>
          <w:lang w:val="es-ES"/>
        </w:rPr>
        <w:t xml:space="preserve"> </w:t>
      </w:r>
      <w:r w:rsidR="00326C2C" w:rsidRPr="00EC475D">
        <w:rPr>
          <w:rFonts w:ascii="Verdana" w:hAnsi="Verdana"/>
          <w:sz w:val="20"/>
          <w:lang w:val="es-ES"/>
        </w:rPr>
        <w:t xml:space="preserve">en la cual </w:t>
      </w:r>
      <w:r w:rsidR="006750DF" w:rsidRPr="00EC475D">
        <w:rPr>
          <w:rFonts w:ascii="Verdana" w:hAnsi="Verdana"/>
          <w:sz w:val="20"/>
          <w:lang w:val="es-ES"/>
        </w:rPr>
        <w:t xml:space="preserve">también se encontraban </w:t>
      </w:r>
      <w:r w:rsidR="0042460D" w:rsidRPr="00EC475D">
        <w:rPr>
          <w:rFonts w:ascii="Verdana" w:hAnsi="Verdana"/>
          <w:sz w:val="20"/>
          <w:lang w:val="es-ES"/>
        </w:rPr>
        <w:t>su madre, esposa, hija y hermano</w:t>
      </w:r>
      <w:r w:rsidR="00326C2C" w:rsidRPr="00EC475D">
        <w:rPr>
          <w:rFonts w:ascii="Verdana" w:hAnsi="Verdana"/>
          <w:sz w:val="20"/>
          <w:lang w:val="es-ES"/>
        </w:rPr>
        <w:t>.</w:t>
      </w:r>
      <w:r w:rsidR="008A2DB7" w:rsidRPr="00EC475D">
        <w:rPr>
          <w:rFonts w:ascii="Verdana" w:hAnsi="Verdana"/>
          <w:b/>
          <w:sz w:val="20"/>
          <w:lang w:val="es-ES"/>
        </w:rPr>
        <w:t xml:space="preserve"> </w:t>
      </w:r>
      <w:r w:rsidR="004B1E0F" w:rsidRPr="00EC475D">
        <w:rPr>
          <w:rFonts w:ascii="Verdana" w:hAnsi="Verdana"/>
          <w:sz w:val="20"/>
          <w:lang w:val="es-ES"/>
        </w:rPr>
        <w:t xml:space="preserve">Los militares </w:t>
      </w:r>
      <w:r w:rsidRPr="00EC475D">
        <w:rPr>
          <w:rFonts w:ascii="Verdana" w:hAnsi="Verdana"/>
          <w:sz w:val="20"/>
          <w:lang w:val="es-ES"/>
        </w:rPr>
        <w:t>registrar</w:t>
      </w:r>
      <w:r w:rsidR="004B1E0F" w:rsidRPr="00EC475D">
        <w:rPr>
          <w:rFonts w:ascii="Verdana" w:hAnsi="Verdana"/>
          <w:sz w:val="20"/>
          <w:lang w:val="es-ES"/>
        </w:rPr>
        <w:t>on</w:t>
      </w:r>
      <w:r w:rsidRPr="00EC475D">
        <w:rPr>
          <w:rFonts w:ascii="Verdana" w:hAnsi="Verdana"/>
          <w:sz w:val="20"/>
          <w:lang w:val="es-ES"/>
        </w:rPr>
        <w:t xml:space="preserve"> la </w:t>
      </w:r>
      <w:r w:rsidR="00641F0C" w:rsidRPr="00EC475D">
        <w:rPr>
          <w:rFonts w:ascii="Verdana" w:hAnsi="Verdana"/>
          <w:sz w:val="20"/>
          <w:lang w:val="es-ES"/>
        </w:rPr>
        <w:t xml:space="preserve">vivienda </w:t>
      </w:r>
      <w:r w:rsidRPr="00EC475D">
        <w:rPr>
          <w:rFonts w:ascii="Verdana" w:hAnsi="Verdana"/>
          <w:sz w:val="20"/>
          <w:lang w:val="es-ES"/>
        </w:rPr>
        <w:t xml:space="preserve">y preguntaron </w:t>
      </w:r>
      <w:r w:rsidR="00326C2C" w:rsidRPr="00EC475D">
        <w:rPr>
          <w:rFonts w:ascii="Verdana" w:hAnsi="Verdana"/>
          <w:sz w:val="20"/>
          <w:lang w:val="es-ES"/>
        </w:rPr>
        <w:t xml:space="preserve">al señor </w:t>
      </w:r>
      <w:proofErr w:type="spellStart"/>
      <w:r w:rsidR="00326C2C" w:rsidRPr="00EC475D">
        <w:rPr>
          <w:rFonts w:ascii="Verdana" w:hAnsi="Verdana"/>
          <w:sz w:val="20"/>
          <w:lang w:val="es-ES"/>
        </w:rPr>
        <w:t>Escué</w:t>
      </w:r>
      <w:proofErr w:type="spellEnd"/>
      <w:r w:rsidR="00326C2C" w:rsidRPr="00EC475D">
        <w:rPr>
          <w:rFonts w:ascii="Verdana" w:hAnsi="Verdana"/>
          <w:sz w:val="20"/>
          <w:lang w:val="es-ES"/>
        </w:rPr>
        <w:t xml:space="preserve"> Zapata </w:t>
      </w:r>
      <w:r w:rsidRPr="00EC475D">
        <w:rPr>
          <w:rFonts w:ascii="Verdana" w:hAnsi="Verdana"/>
          <w:sz w:val="20"/>
          <w:lang w:val="es-ES"/>
        </w:rPr>
        <w:t xml:space="preserve">por la existencia de armas, </w:t>
      </w:r>
      <w:r w:rsidR="00326C2C" w:rsidRPr="00EC475D">
        <w:rPr>
          <w:rFonts w:ascii="Verdana" w:hAnsi="Verdana"/>
          <w:sz w:val="20"/>
          <w:lang w:val="es-ES"/>
        </w:rPr>
        <w:t xml:space="preserve">al mismo tiempo que </w:t>
      </w:r>
      <w:r w:rsidRPr="00EC475D">
        <w:rPr>
          <w:rFonts w:ascii="Verdana" w:hAnsi="Verdana"/>
          <w:sz w:val="20"/>
          <w:lang w:val="es-ES"/>
        </w:rPr>
        <w:t>lo calificaban de guerrillero y lo golpeaban.</w:t>
      </w:r>
      <w:r w:rsidRPr="00EC475D">
        <w:rPr>
          <w:rFonts w:ascii="Verdana" w:hAnsi="Verdana"/>
          <w:b/>
          <w:sz w:val="20"/>
          <w:lang w:val="es-ES"/>
        </w:rPr>
        <w:t xml:space="preserve"> </w:t>
      </w:r>
      <w:r w:rsidR="004020E5" w:rsidRPr="00EC475D">
        <w:rPr>
          <w:rFonts w:ascii="Verdana" w:hAnsi="Verdana"/>
          <w:sz w:val="20"/>
          <w:lang w:val="es-ES"/>
        </w:rPr>
        <w:t xml:space="preserve">Según los hechos aceptados </w:t>
      </w:r>
      <w:r w:rsidR="00685E54" w:rsidRPr="00EC475D">
        <w:rPr>
          <w:rFonts w:ascii="Verdana" w:hAnsi="Verdana"/>
          <w:sz w:val="20"/>
          <w:lang w:val="es-ES"/>
        </w:rPr>
        <w:t>por el Estado</w:t>
      </w:r>
      <w:r w:rsidRPr="00EC475D">
        <w:rPr>
          <w:rFonts w:ascii="Verdana" w:hAnsi="Verdana"/>
          <w:sz w:val="20"/>
          <w:lang w:val="es-ES"/>
        </w:rPr>
        <w:t xml:space="preserve">, </w:t>
      </w:r>
      <w:r w:rsidR="00685E54" w:rsidRPr="00EC475D">
        <w:rPr>
          <w:rFonts w:ascii="Verdana" w:hAnsi="Verdana"/>
          <w:sz w:val="20"/>
          <w:lang w:val="es-ES"/>
        </w:rPr>
        <w:t xml:space="preserve">al señor </w:t>
      </w:r>
      <w:proofErr w:type="spellStart"/>
      <w:r w:rsidR="003B0F4D" w:rsidRPr="00EC475D">
        <w:rPr>
          <w:rFonts w:ascii="Verdana" w:hAnsi="Verdana"/>
          <w:sz w:val="20"/>
          <w:lang w:val="es-ES"/>
        </w:rPr>
        <w:t>Escué</w:t>
      </w:r>
      <w:proofErr w:type="spellEnd"/>
      <w:r w:rsidR="003B0F4D" w:rsidRPr="00EC475D">
        <w:rPr>
          <w:rFonts w:ascii="Verdana" w:hAnsi="Verdana"/>
          <w:sz w:val="20"/>
          <w:lang w:val="es-ES"/>
        </w:rPr>
        <w:t xml:space="preserve"> Zapata </w:t>
      </w:r>
      <w:r w:rsidRPr="00EC475D">
        <w:rPr>
          <w:rFonts w:ascii="Verdana" w:hAnsi="Verdana"/>
          <w:sz w:val="20"/>
          <w:lang w:val="es-ES"/>
        </w:rPr>
        <w:t>lo sustrajeron de su domicilio y, después de caminar por aproximadamente veinte minutos</w:t>
      </w:r>
      <w:r w:rsidR="002505C5" w:rsidRPr="00EC475D">
        <w:rPr>
          <w:rFonts w:ascii="Verdana" w:hAnsi="Verdana"/>
          <w:sz w:val="20"/>
          <w:lang w:val="es-ES"/>
        </w:rPr>
        <w:t xml:space="preserve"> hacia la montaña</w:t>
      </w:r>
      <w:r w:rsidRPr="00EC475D">
        <w:rPr>
          <w:rFonts w:ascii="Verdana" w:hAnsi="Verdana"/>
          <w:sz w:val="20"/>
          <w:lang w:val="es-ES"/>
        </w:rPr>
        <w:t xml:space="preserve">, el cabo </w:t>
      </w:r>
      <w:r w:rsidR="00641F0C" w:rsidRPr="00EC475D">
        <w:rPr>
          <w:rFonts w:ascii="Verdana" w:hAnsi="Verdana"/>
          <w:sz w:val="20"/>
          <w:lang w:val="es-ES"/>
        </w:rPr>
        <w:t xml:space="preserve">que comandaba </w:t>
      </w:r>
      <w:r w:rsidRPr="00EC475D">
        <w:rPr>
          <w:rFonts w:ascii="Verdana" w:hAnsi="Verdana"/>
          <w:sz w:val="20"/>
          <w:lang w:val="es-ES"/>
        </w:rPr>
        <w:t xml:space="preserve">la Sección del Ejercito Nacional </w:t>
      </w:r>
      <w:r w:rsidR="00641F0C" w:rsidRPr="00EC475D">
        <w:rPr>
          <w:rFonts w:ascii="Verdana" w:hAnsi="Verdana"/>
          <w:sz w:val="20"/>
          <w:lang w:val="es-ES"/>
        </w:rPr>
        <w:t>que estaba realizando el operativo</w:t>
      </w:r>
      <w:r w:rsidRPr="00EC475D">
        <w:rPr>
          <w:rFonts w:ascii="Verdana" w:hAnsi="Verdana"/>
          <w:sz w:val="20"/>
          <w:lang w:val="es-ES"/>
        </w:rPr>
        <w:t xml:space="preserve">, </w:t>
      </w:r>
      <w:r w:rsidR="003B0F4D" w:rsidRPr="00EC475D">
        <w:rPr>
          <w:rFonts w:ascii="Verdana" w:hAnsi="Verdana"/>
          <w:sz w:val="20"/>
          <w:lang w:val="es-ES"/>
        </w:rPr>
        <w:t xml:space="preserve">lo </w:t>
      </w:r>
      <w:r w:rsidRPr="00EC475D">
        <w:rPr>
          <w:rFonts w:ascii="Verdana" w:hAnsi="Verdana"/>
          <w:sz w:val="20"/>
          <w:lang w:val="es-ES"/>
        </w:rPr>
        <w:t>golpeó y</w:t>
      </w:r>
      <w:r w:rsidR="00641F0C" w:rsidRPr="00EC475D">
        <w:rPr>
          <w:rFonts w:ascii="Verdana" w:hAnsi="Verdana"/>
          <w:sz w:val="20"/>
          <w:lang w:val="es-ES"/>
        </w:rPr>
        <w:t xml:space="preserve"> le disparó varias veces, causándole la muerte.</w:t>
      </w:r>
      <w:r w:rsidRPr="00EC475D">
        <w:rPr>
          <w:rFonts w:ascii="Verdana" w:hAnsi="Verdana"/>
          <w:sz w:val="20"/>
          <w:lang w:val="es-ES"/>
        </w:rPr>
        <w:t xml:space="preserve"> </w:t>
      </w:r>
      <w:r w:rsidR="00550E71" w:rsidRPr="00EC475D">
        <w:rPr>
          <w:rFonts w:ascii="Verdana" w:hAnsi="Verdana" w:cs="Arial"/>
          <w:sz w:val="20"/>
        </w:rPr>
        <w:t>L</w:t>
      </w:r>
      <w:r w:rsidRPr="00EC475D">
        <w:rPr>
          <w:rFonts w:ascii="Verdana" w:hAnsi="Verdana" w:cs="Arial"/>
          <w:sz w:val="20"/>
        </w:rPr>
        <w:t xml:space="preserve">a Corte </w:t>
      </w:r>
      <w:r w:rsidR="00BD2CCE" w:rsidRPr="00EC475D">
        <w:rPr>
          <w:rFonts w:ascii="Verdana" w:hAnsi="Verdana" w:cs="Arial"/>
          <w:sz w:val="20"/>
        </w:rPr>
        <w:t xml:space="preserve">también </w:t>
      </w:r>
      <w:r w:rsidRPr="00EC475D">
        <w:rPr>
          <w:rFonts w:ascii="Verdana" w:hAnsi="Verdana" w:cs="Arial"/>
          <w:sz w:val="20"/>
        </w:rPr>
        <w:t xml:space="preserve">determinó que el Estado </w:t>
      </w:r>
      <w:r w:rsidR="00BD2CCE" w:rsidRPr="00EC475D">
        <w:rPr>
          <w:rFonts w:ascii="Verdana" w:hAnsi="Verdana" w:cs="Arial"/>
          <w:sz w:val="20"/>
        </w:rPr>
        <w:t xml:space="preserve">había incurrido en </w:t>
      </w:r>
      <w:r w:rsidRPr="00EC475D">
        <w:rPr>
          <w:rFonts w:ascii="Verdana" w:hAnsi="Verdana" w:cs="Arial"/>
          <w:sz w:val="20"/>
        </w:rPr>
        <w:t>injerencias arbitrarias y abusivas en su domicilio y la falta del deber de llevar a cabo una investigación seria, completa y efectiva sobre los hechos del presente caso.</w:t>
      </w:r>
      <w:r w:rsidRPr="00EC475D">
        <w:rPr>
          <w:rFonts w:ascii="Verdana" w:hAnsi="Verdana" w:cs="Arial"/>
          <w:b/>
          <w:sz w:val="20"/>
        </w:rPr>
        <w:t xml:space="preserve"> </w:t>
      </w:r>
      <w:r w:rsidRPr="00EC475D">
        <w:rPr>
          <w:rFonts w:ascii="Verdana" w:hAnsi="Verdana" w:cs="Arial"/>
          <w:sz w:val="20"/>
        </w:rPr>
        <w:t xml:space="preserve">Adicionalmente, la Corte consideró que el Estado violó, en perjuicio de los familiares </w:t>
      </w:r>
      <w:r w:rsidRPr="00EC475D">
        <w:rPr>
          <w:rFonts w:ascii="Verdana" w:hAnsi="Verdana" w:cs="Arial"/>
          <w:sz w:val="20"/>
        </w:rPr>
        <w:lastRenderedPageBreak/>
        <w:t xml:space="preserve">del señor </w:t>
      </w:r>
      <w:proofErr w:type="spellStart"/>
      <w:r w:rsidRPr="00EC475D">
        <w:rPr>
          <w:rFonts w:ascii="Verdana" w:hAnsi="Verdana" w:cs="Arial"/>
          <w:sz w:val="20"/>
        </w:rPr>
        <w:t>Escué</w:t>
      </w:r>
      <w:proofErr w:type="spellEnd"/>
      <w:r w:rsidRPr="00EC475D">
        <w:rPr>
          <w:rFonts w:ascii="Verdana" w:hAnsi="Verdana" w:cs="Arial"/>
          <w:sz w:val="20"/>
        </w:rPr>
        <w:t xml:space="preserve"> Zapata</w:t>
      </w:r>
      <w:r w:rsidRPr="00EC475D">
        <w:rPr>
          <w:rStyle w:val="FootnoteReference"/>
          <w:rFonts w:ascii="Verdana" w:hAnsi="Verdana" w:cs="Arial"/>
          <w:sz w:val="20"/>
        </w:rPr>
        <w:footnoteReference w:id="3"/>
      </w:r>
      <w:r w:rsidRPr="00EC475D">
        <w:rPr>
          <w:rFonts w:ascii="Verdana" w:hAnsi="Verdana" w:cs="Arial"/>
          <w:sz w:val="20"/>
        </w:rPr>
        <w:t>, el derecho a la integridad personal, a la inviolabilidad del domicilio y a las garantías judiciales y protección judicial.</w:t>
      </w:r>
      <w:r w:rsidRPr="00EC475D">
        <w:rPr>
          <w:rFonts w:ascii="Verdana" w:hAnsi="Verdana" w:cs="Arial"/>
          <w:b/>
          <w:sz w:val="20"/>
        </w:rPr>
        <w:t xml:space="preserve"> </w:t>
      </w:r>
      <w:r w:rsidRPr="00EC475D">
        <w:rPr>
          <w:rFonts w:ascii="Verdana" w:hAnsi="Verdana" w:cs="Arial"/>
          <w:sz w:val="20"/>
        </w:rPr>
        <w:t>La Corte estableció que su Sentencia constituye por</w:t>
      </w:r>
      <w:r w:rsidRPr="00EC475D">
        <w:rPr>
          <w:rFonts w:ascii="Verdana" w:hAnsi="Verdana" w:cs="Arial"/>
          <w:i/>
          <w:sz w:val="20"/>
        </w:rPr>
        <w:t xml:space="preserve"> </w:t>
      </w:r>
      <w:r w:rsidRPr="00EC475D">
        <w:rPr>
          <w:rFonts w:ascii="Verdana" w:hAnsi="Verdana" w:cs="Arial"/>
          <w:sz w:val="20"/>
        </w:rPr>
        <w:t>sí misma una forma de reparación y, adicionalmente, ordenó al Estado determinadas medidas de reparación (</w:t>
      </w:r>
      <w:r w:rsidRPr="00EC475D">
        <w:rPr>
          <w:rFonts w:ascii="Verdana" w:hAnsi="Verdana" w:cs="Arial"/>
          <w:i/>
          <w:sz w:val="20"/>
        </w:rPr>
        <w:t>infra</w:t>
      </w:r>
      <w:r w:rsidRPr="00EC475D">
        <w:rPr>
          <w:rFonts w:ascii="Verdana" w:hAnsi="Verdana" w:cs="Arial"/>
          <w:sz w:val="20"/>
        </w:rPr>
        <w:t xml:space="preserve"> Considerando 1).</w:t>
      </w:r>
    </w:p>
    <w:p w:rsidR="004D1D83" w:rsidRPr="00EC475D" w:rsidRDefault="004D1D83" w:rsidP="00B14F91">
      <w:pPr>
        <w:pStyle w:val="FootnoteText"/>
        <w:jc w:val="both"/>
        <w:rPr>
          <w:rFonts w:ascii="Verdana" w:hAnsi="Verdana"/>
          <w:sz w:val="16"/>
          <w:szCs w:val="16"/>
        </w:rPr>
      </w:pPr>
    </w:p>
    <w:p w:rsidR="004D1D83" w:rsidRPr="00EC475D" w:rsidRDefault="004D1D83" w:rsidP="00B14F91">
      <w:pPr>
        <w:pStyle w:val="FootnoteText"/>
        <w:numPr>
          <w:ilvl w:val="0"/>
          <w:numId w:val="3"/>
        </w:numPr>
        <w:ind w:left="0" w:firstLine="0"/>
        <w:jc w:val="both"/>
        <w:rPr>
          <w:rFonts w:ascii="Verdana" w:hAnsi="Verdana"/>
          <w:sz w:val="16"/>
          <w:szCs w:val="16"/>
        </w:rPr>
      </w:pPr>
      <w:r w:rsidRPr="00EC475D">
        <w:rPr>
          <w:rFonts w:ascii="Verdana" w:hAnsi="Verdana"/>
          <w:sz w:val="20"/>
          <w:lang w:val="es-MX"/>
        </w:rPr>
        <w:t>La Sentencia de Interpretación de la Sentencia de fondo, reparaciones y costas dictada por la Corte el 5 de mayo de 2008.</w:t>
      </w:r>
    </w:p>
    <w:p w:rsidR="00A15806" w:rsidRPr="00EC475D" w:rsidRDefault="00A15806" w:rsidP="00B14F91">
      <w:pPr>
        <w:pStyle w:val="FootnoteText"/>
        <w:jc w:val="both"/>
        <w:rPr>
          <w:rFonts w:ascii="Verdana" w:hAnsi="Verdana"/>
          <w:sz w:val="16"/>
          <w:szCs w:val="16"/>
        </w:rPr>
      </w:pPr>
    </w:p>
    <w:p w:rsidR="004D1D83" w:rsidRPr="00EC475D" w:rsidRDefault="004D1D83" w:rsidP="00B14F91">
      <w:pPr>
        <w:pStyle w:val="FootnoteText"/>
        <w:numPr>
          <w:ilvl w:val="0"/>
          <w:numId w:val="3"/>
        </w:numPr>
        <w:ind w:left="0" w:firstLine="0"/>
        <w:jc w:val="both"/>
        <w:rPr>
          <w:rFonts w:ascii="Verdana" w:hAnsi="Verdana"/>
          <w:sz w:val="20"/>
          <w:lang w:val="es-ES"/>
        </w:rPr>
      </w:pPr>
      <w:r w:rsidRPr="00EC475D">
        <w:rPr>
          <w:rFonts w:ascii="Verdana" w:hAnsi="Verdana"/>
          <w:sz w:val="20"/>
        </w:rPr>
        <w:t>Las Resoluciones de supervisión de cumplimiento de sentencia de 18 de mayo de 2010</w:t>
      </w:r>
      <w:r w:rsidRPr="00EC475D">
        <w:rPr>
          <w:rStyle w:val="FootnoteReference"/>
          <w:rFonts w:ascii="Verdana" w:hAnsi="Verdana"/>
          <w:sz w:val="20"/>
        </w:rPr>
        <w:footnoteReference w:id="4"/>
      </w:r>
      <w:r w:rsidRPr="00EC475D">
        <w:rPr>
          <w:rFonts w:ascii="Verdana" w:hAnsi="Verdana"/>
          <w:sz w:val="20"/>
        </w:rPr>
        <w:t xml:space="preserve"> y 21 de febrero de 2011</w:t>
      </w:r>
      <w:r w:rsidRPr="00EC475D">
        <w:rPr>
          <w:rStyle w:val="FootnoteReference"/>
          <w:rFonts w:ascii="Verdana" w:hAnsi="Verdana"/>
          <w:sz w:val="20"/>
        </w:rPr>
        <w:footnoteReference w:id="5"/>
      </w:r>
      <w:r w:rsidRPr="00EC475D">
        <w:rPr>
          <w:rFonts w:ascii="Verdana" w:hAnsi="Verdana"/>
          <w:sz w:val="20"/>
        </w:rPr>
        <w:t>.</w:t>
      </w:r>
    </w:p>
    <w:p w:rsidR="004D1D83" w:rsidRPr="00EC475D" w:rsidRDefault="004D1D83" w:rsidP="00B14F91">
      <w:pPr>
        <w:pStyle w:val="FootnoteText"/>
        <w:jc w:val="both"/>
        <w:rPr>
          <w:rFonts w:ascii="Verdana" w:hAnsi="Verdana"/>
          <w:sz w:val="20"/>
          <w:lang w:val="es-ES"/>
        </w:rPr>
      </w:pPr>
    </w:p>
    <w:p w:rsidR="004D1D83" w:rsidRPr="00EC475D" w:rsidRDefault="004D1D83" w:rsidP="00B14F91">
      <w:pPr>
        <w:pStyle w:val="FootnoteText"/>
        <w:numPr>
          <w:ilvl w:val="0"/>
          <w:numId w:val="3"/>
        </w:numPr>
        <w:ind w:left="0" w:firstLine="0"/>
        <w:jc w:val="both"/>
        <w:rPr>
          <w:rFonts w:ascii="Verdana" w:hAnsi="Verdana"/>
          <w:sz w:val="20"/>
          <w:lang w:val="es-ES"/>
        </w:rPr>
      </w:pPr>
      <w:r w:rsidRPr="00EC475D">
        <w:rPr>
          <w:rFonts w:ascii="Verdana" w:hAnsi="Verdana"/>
          <w:sz w:val="20"/>
        </w:rPr>
        <w:t xml:space="preserve">Los </w:t>
      </w:r>
      <w:r w:rsidR="000714FD">
        <w:rPr>
          <w:rFonts w:ascii="Verdana" w:hAnsi="Verdana"/>
          <w:sz w:val="20"/>
          <w:lang w:val="es-ES"/>
        </w:rPr>
        <w:t>diez</w:t>
      </w:r>
      <w:r w:rsidR="000714FD" w:rsidRPr="00EC475D">
        <w:rPr>
          <w:rFonts w:ascii="Verdana" w:hAnsi="Verdana"/>
          <w:sz w:val="20"/>
          <w:lang w:val="es-ES"/>
        </w:rPr>
        <w:t xml:space="preserve"> </w:t>
      </w:r>
      <w:r w:rsidRPr="00EC475D">
        <w:rPr>
          <w:rFonts w:ascii="Verdana" w:hAnsi="Verdana"/>
          <w:sz w:val="20"/>
          <w:lang w:val="es-ES"/>
        </w:rPr>
        <w:t>informes presentados por el Estado entre marzo de 2011 y octubre de 2016</w:t>
      </w:r>
      <w:r w:rsidRPr="00EC475D">
        <w:rPr>
          <w:rStyle w:val="FootnoteReference"/>
          <w:rFonts w:ascii="Verdana" w:hAnsi="Verdana"/>
          <w:sz w:val="20"/>
          <w:lang w:val="es-ES"/>
        </w:rPr>
        <w:footnoteReference w:id="6"/>
      </w:r>
      <w:r w:rsidRPr="00EC475D">
        <w:rPr>
          <w:rFonts w:ascii="Verdana" w:hAnsi="Verdana"/>
          <w:sz w:val="20"/>
          <w:lang w:val="es-ES"/>
        </w:rPr>
        <w:t>.</w:t>
      </w:r>
    </w:p>
    <w:p w:rsidR="004D1D83" w:rsidRPr="00EC475D" w:rsidRDefault="004D1D83" w:rsidP="00B14F91">
      <w:pPr>
        <w:pStyle w:val="FootnoteText"/>
        <w:jc w:val="both"/>
        <w:rPr>
          <w:rFonts w:ascii="Verdana" w:hAnsi="Verdana"/>
          <w:sz w:val="20"/>
          <w:lang w:val="es-ES"/>
        </w:rPr>
      </w:pPr>
    </w:p>
    <w:p w:rsidR="004D1D83" w:rsidRPr="00EC475D" w:rsidRDefault="004D1D83" w:rsidP="00B14F91">
      <w:pPr>
        <w:pStyle w:val="FootnoteText"/>
        <w:numPr>
          <w:ilvl w:val="0"/>
          <w:numId w:val="3"/>
        </w:numPr>
        <w:ind w:left="0" w:firstLine="0"/>
        <w:jc w:val="both"/>
        <w:rPr>
          <w:rFonts w:ascii="Verdana" w:hAnsi="Verdana"/>
          <w:sz w:val="20"/>
          <w:lang w:val="es-ES"/>
        </w:rPr>
      </w:pPr>
      <w:r w:rsidRPr="00EC475D">
        <w:rPr>
          <w:rFonts w:ascii="Verdana" w:hAnsi="Verdana" w:cs="Arial"/>
          <w:sz w:val="20"/>
          <w:lang w:val="es-ES"/>
        </w:rPr>
        <w:t>Los cuatro escritos de observaciones presentados por los representantes de las víctimas (en adelante “los representantes”)</w:t>
      </w:r>
      <w:r w:rsidRPr="00EC475D">
        <w:rPr>
          <w:rStyle w:val="FootnoteReference"/>
          <w:rFonts w:ascii="Verdana" w:hAnsi="Verdana" w:cs="Arial"/>
          <w:sz w:val="20"/>
          <w:lang w:val="es-ES"/>
        </w:rPr>
        <w:footnoteReference w:id="7"/>
      </w:r>
      <w:r w:rsidRPr="00EC475D">
        <w:rPr>
          <w:rFonts w:ascii="Verdana" w:hAnsi="Verdana" w:cs="Arial"/>
          <w:sz w:val="20"/>
          <w:lang w:val="es-ES"/>
        </w:rPr>
        <w:t xml:space="preserve"> entre julio de 2011 y junio de 2016</w:t>
      </w:r>
      <w:r w:rsidRPr="00EC475D">
        <w:rPr>
          <w:rStyle w:val="FootnoteReference"/>
          <w:rFonts w:ascii="Verdana" w:hAnsi="Verdana" w:cs="Arial"/>
          <w:sz w:val="20"/>
          <w:lang w:val="es-ES"/>
        </w:rPr>
        <w:footnoteReference w:id="8"/>
      </w:r>
      <w:r w:rsidRPr="00EC475D">
        <w:rPr>
          <w:rFonts w:ascii="Verdana" w:hAnsi="Verdana" w:cs="Arial"/>
          <w:sz w:val="20"/>
          <w:lang w:val="es-ES"/>
        </w:rPr>
        <w:t>.</w:t>
      </w:r>
    </w:p>
    <w:p w:rsidR="004D1D83" w:rsidRPr="00EC475D" w:rsidRDefault="004D1D83" w:rsidP="00B14F91">
      <w:pPr>
        <w:pStyle w:val="FootnoteText"/>
        <w:jc w:val="both"/>
        <w:rPr>
          <w:rFonts w:ascii="Verdana" w:hAnsi="Verdana"/>
          <w:sz w:val="20"/>
          <w:lang w:val="es-ES"/>
        </w:rPr>
      </w:pPr>
    </w:p>
    <w:p w:rsidR="004D1D83" w:rsidRPr="00EC475D" w:rsidRDefault="004D1D83" w:rsidP="00B14F91">
      <w:pPr>
        <w:pStyle w:val="FootnoteText"/>
        <w:numPr>
          <w:ilvl w:val="0"/>
          <w:numId w:val="3"/>
        </w:numPr>
        <w:ind w:left="0" w:firstLine="0"/>
        <w:jc w:val="both"/>
        <w:rPr>
          <w:rFonts w:ascii="Verdana" w:hAnsi="Verdana"/>
          <w:sz w:val="20"/>
          <w:lang w:val="es-ES"/>
        </w:rPr>
      </w:pPr>
      <w:r w:rsidRPr="00EC475D">
        <w:rPr>
          <w:rFonts w:ascii="Verdana" w:hAnsi="Verdana" w:cs="Arial"/>
          <w:sz w:val="20"/>
          <w:lang w:val="es-ES"/>
        </w:rPr>
        <w:t>Los siete escritos de observaciones presentados por la Comisión Interamericana de Derechos Humanos (en adelante “la Comisión Interamericana” o “la Comisión”) entre abril de 2011 y junio de 2016</w:t>
      </w:r>
      <w:r w:rsidRPr="00EC475D">
        <w:rPr>
          <w:rStyle w:val="FootnoteReference"/>
          <w:rFonts w:ascii="Verdana" w:hAnsi="Verdana" w:cs="Arial"/>
          <w:sz w:val="20"/>
          <w:lang w:val="es-ES"/>
        </w:rPr>
        <w:footnoteReference w:id="9"/>
      </w:r>
      <w:r w:rsidRPr="00EC475D">
        <w:rPr>
          <w:rFonts w:ascii="Verdana" w:hAnsi="Verdana" w:cs="Arial"/>
          <w:sz w:val="20"/>
          <w:lang w:val="es-ES"/>
        </w:rPr>
        <w:t>.</w:t>
      </w:r>
    </w:p>
    <w:p w:rsidR="004D1D83" w:rsidRPr="00EC475D" w:rsidRDefault="004D1D83" w:rsidP="00B14F91">
      <w:pPr>
        <w:pStyle w:val="FootnoteText"/>
        <w:jc w:val="both"/>
        <w:rPr>
          <w:rFonts w:ascii="Verdana" w:hAnsi="Verdana"/>
          <w:sz w:val="20"/>
          <w:lang w:val="es-ES"/>
        </w:rPr>
      </w:pPr>
    </w:p>
    <w:p w:rsidR="004D1D83" w:rsidRPr="00EC475D" w:rsidRDefault="004D1D83" w:rsidP="00B14F91">
      <w:pPr>
        <w:spacing w:after="0" w:line="240" w:lineRule="auto"/>
        <w:rPr>
          <w:rFonts w:ascii="Verdana" w:hAnsi="Verdana"/>
          <w:b/>
          <w:sz w:val="20"/>
          <w:szCs w:val="20"/>
        </w:rPr>
      </w:pPr>
      <w:r w:rsidRPr="00EC475D">
        <w:rPr>
          <w:rFonts w:ascii="Verdana" w:hAnsi="Verdana"/>
          <w:b/>
          <w:sz w:val="20"/>
          <w:szCs w:val="20"/>
        </w:rPr>
        <w:t>CONSIDERANDO QUE:</w:t>
      </w:r>
    </w:p>
    <w:p w:rsidR="00225592" w:rsidRPr="00EC475D" w:rsidRDefault="00225592" w:rsidP="00B14F91">
      <w:pPr>
        <w:spacing w:after="0" w:line="240" w:lineRule="auto"/>
        <w:rPr>
          <w:rFonts w:ascii="Verdana" w:hAnsi="Verdana"/>
          <w:b/>
          <w:sz w:val="20"/>
          <w:szCs w:val="20"/>
        </w:rPr>
      </w:pPr>
    </w:p>
    <w:p w:rsidR="00193712" w:rsidRPr="00EC475D" w:rsidRDefault="004D1D83" w:rsidP="00B14F91">
      <w:pPr>
        <w:numPr>
          <w:ilvl w:val="0"/>
          <w:numId w:val="1"/>
        </w:numPr>
        <w:tabs>
          <w:tab w:val="left" w:pos="709"/>
        </w:tabs>
        <w:spacing w:after="0" w:line="240" w:lineRule="auto"/>
        <w:ind w:left="0" w:firstLine="0"/>
        <w:jc w:val="both"/>
        <w:rPr>
          <w:rFonts w:ascii="Verdana" w:hAnsi="Verdana"/>
          <w:noProof/>
          <w:sz w:val="20"/>
          <w:szCs w:val="20"/>
        </w:rPr>
      </w:pPr>
      <w:r w:rsidRPr="00EC475D">
        <w:rPr>
          <w:rFonts w:ascii="Verdana" w:hAnsi="Verdana"/>
          <w:sz w:val="20"/>
          <w:szCs w:val="20"/>
          <w:lang w:val="es-ES"/>
        </w:rPr>
        <w:t xml:space="preserve">En </w:t>
      </w:r>
      <w:r w:rsidRPr="00EC475D">
        <w:rPr>
          <w:rFonts w:ascii="Verdana" w:hAnsi="Verdana"/>
          <w:sz w:val="20"/>
          <w:lang w:val="es-ES"/>
        </w:rPr>
        <w:t>el ejercicio de su función jurisdiccional de supervisar el cumplimiento de sus decisiones</w:t>
      </w:r>
      <w:r w:rsidRPr="00EC475D">
        <w:rPr>
          <w:rStyle w:val="FootnoteReference"/>
          <w:rFonts w:ascii="Verdana" w:hAnsi="Verdana"/>
          <w:sz w:val="20"/>
        </w:rPr>
        <w:footnoteReference w:id="10"/>
      </w:r>
      <w:r w:rsidRPr="00EC475D">
        <w:rPr>
          <w:rFonts w:ascii="Verdana" w:hAnsi="Verdana"/>
          <w:sz w:val="20"/>
          <w:lang w:val="es-ES"/>
        </w:rPr>
        <w:t xml:space="preserve">, la Corte ha venido supervisando la ejecución de la Sentencia emitida </w:t>
      </w:r>
      <w:r w:rsidRPr="00EC475D">
        <w:rPr>
          <w:rFonts w:ascii="Verdana" w:hAnsi="Verdana"/>
          <w:sz w:val="20"/>
          <w:lang w:val="es-MX"/>
        </w:rPr>
        <w:t xml:space="preserve">en el presente caso </w:t>
      </w:r>
      <w:r w:rsidR="009D1511" w:rsidRPr="00EC475D">
        <w:rPr>
          <w:rFonts w:ascii="Verdana" w:hAnsi="Verdana"/>
          <w:sz w:val="20"/>
          <w:lang w:val="es-MX"/>
        </w:rPr>
        <w:t xml:space="preserve">hace nueve años </w:t>
      </w:r>
      <w:r w:rsidRPr="00EC475D">
        <w:rPr>
          <w:rFonts w:ascii="Verdana" w:hAnsi="Verdana"/>
          <w:sz w:val="20"/>
          <w:lang w:val="es-MX"/>
        </w:rPr>
        <w:t>(</w:t>
      </w:r>
      <w:r w:rsidRPr="00EC475D">
        <w:rPr>
          <w:rFonts w:ascii="Verdana" w:hAnsi="Verdana"/>
          <w:i/>
          <w:sz w:val="20"/>
          <w:lang w:val="es-MX"/>
        </w:rPr>
        <w:t>supra</w:t>
      </w:r>
      <w:r w:rsidRPr="00EC475D">
        <w:rPr>
          <w:rFonts w:ascii="Verdana" w:hAnsi="Verdana"/>
          <w:sz w:val="20"/>
          <w:lang w:val="es-MX"/>
        </w:rPr>
        <w:t xml:space="preserve"> Visto 1). El Tribunal ha emitido dos resoluciones de s</w:t>
      </w:r>
      <w:r w:rsidR="00706F59" w:rsidRPr="00EC475D">
        <w:rPr>
          <w:rFonts w:ascii="Verdana" w:hAnsi="Verdana"/>
          <w:sz w:val="20"/>
          <w:lang w:val="es-MX"/>
        </w:rPr>
        <w:t>upervisión de cumplimiento en</w:t>
      </w:r>
      <w:r w:rsidRPr="00EC475D">
        <w:rPr>
          <w:rFonts w:ascii="Verdana" w:hAnsi="Verdana"/>
          <w:sz w:val="20"/>
          <w:lang w:val="es-MX"/>
        </w:rPr>
        <w:t xml:space="preserve"> los años 2010 y 2011 </w:t>
      </w:r>
      <w:r w:rsidRPr="00EC475D">
        <w:rPr>
          <w:rFonts w:ascii="Verdana" w:hAnsi="Verdana"/>
          <w:sz w:val="20"/>
          <w:lang w:val="es-ES"/>
        </w:rPr>
        <w:t>(</w:t>
      </w:r>
      <w:r w:rsidRPr="00EC475D">
        <w:rPr>
          <w:rFonts w:ascii="Verdana" w:hAnsi="Verdana"/>
          <w:i/>
          <w:sz w:val="20"/>
          <w:lang w:val="es-ES"/>
        </w:rPr>
        <w:t>supra</w:t>
      </w:r>
      <w:r w:rsidRPr="00EC475D">
        <w:rPr>
          <w:rFonts w:ascii="Verdana" w:hAnsi="Verdana"/>
          <w:sz w:val="20"/>
          <w:lang w:val="es-ES"/>
        </w:rPr>
        <w:t xml:space="preserve"> Visto </w:t>
      </w:r>
      <w:r w:rsidR="008A2DB7" w:rsidRPr="00EC475D">
        <w:rPr>
          <w:rFonts w:ascii="Verdana" w:hAnsi="Verdana"/>
          <w:sz w:val="20"/>
          <w:lang w:val="es-ES"/>
        </w:rPr>
        <w:t>3</w:t>
      </w:r>
      <w:r w:rsidRPr="00EC475D">
        <w:rPr>
          <w:rFonts w:ascii="Verdana" w:hAnsi="Verdana"/>
          <w:sz w:val="20"/>
          <w:lang w:val="es-ES"/>
        </w:rPr>
        <w:t>), mediante las cuales</w:t>
      </w:r>
      <w:r w:rsidR="00706F59" w:rsidRPr="00EC475D">
        <w:rPr>
          <w:rFonts w:ascii="Verdana" w:hAnsi="Verdana"/>
          <w:sz w:val="20"/>
          <w:lang w:val="es-ES"/>
        </w:rPr>
        <w:t xml:space="preserve"> declaró</w:t>
      </w:r>
      <w:r w:rsidRPr="00EC475D">
        <w:rPr>
          <w:rFonts w:ascii="Verdana" w:hAnsi="Verdana"/>
          <w:sz w:val="20"/>
          <w:lang w:val="es-ES"/>
        </w:rPr>
        <w:t xml:space="preserve"> que el Estado ha dado cumplimiento </w:t>
      </w:r>
      <w:r w:rsidR="00B0176D" w:rsidRPr="00EC475D">
        <w:rPr>
          <w:rFonts w:ascii="Verdana" w:hAnsi="Verdana"/>
          <w:sz w:val="20"/>
          <w:lang w:val="es-ES"/>
        </w:rPr>
        <w:t>a cinco</w:t>
      </w:r>
      <w:r w:rsidRPr="00EC475D">
        <w:rPr>
          <w:rFonts w:ascii="Verdana" w:hAnsi="Verdana"/>
          <w:sz w:val="20"/>
          <w:lang w:val="es-ES"/>
        </w:rPr>
        <w:t xml:space="preserve"> medidas de reparación</w:t>
      </w:r>
      <w:r w:rsidR="00EE0BDF" w:rsidRPr="00EC475D">
        <w:rPr>
          <w:rStyle w:val="FootnoteReference"/>
          <w:rFonts w:ascii="Verdana" w:hAnsi="Verdana"/>
          <w:sz w:val="20"/>
          <w:lang w:val="es-ES"/>
        </w:rPr>
        <w:footnoteReference w:id="11"/>
      </w:r>
      <w:r w:rsidRPr="00EC475D">
        <w:rPr>
          <w:rFonts w:ascii="Verdana" w:hAnsi="Verdana"/>
          <w:sz w:val="20"/>
          <w:lang w:val="es-ES"/>
        </w:rPr>
        <w:t>, quedando pendientes de cumplimiento dos medidas</w:t>
      </w:r>
      <w:r w:rsidR="00193712" w:rsidRPr="00EC475D">
        <w:rPr>
          <w:rFonts w:ascii="Verdana" w:hAnsi="Verdana"/>
          <w:sz w:val="20"/>
          <w:lang w:val="es-ES"/>
        </w:rPr>
        <w:t>, a saber:</w:t>
      </w:r>
    </w:p>
    <w:p w:rsidR="00E35CEF" w:rsidRPr="00EC475D" w:rsidRDefault="00E35CEF" w:rsidP="00B14F91">
      <w:pPr>
        <w:tabs>
          <w:tab w:val="left" w:pos="709"/>
        </w:tabs>
        <w:spacing w:after="0" w:line="240" w:lineRule="auto"/>
        <w:jc w:val="both"/>
        <w:rPr>
          <w:rFonts w:ascii="Verdana" w:hAnsi="Verdana"/>
          <w:noProof/>
          <w:sz w:val="20"/>
          <w:szCs w:val="20"/>
        </w:rPr>
      </w:pPr>
    </w:p>
    <w:p w:rsidR="004D1D83" w:rsidRPr="00EC475D" w:rsidRDefault="00193712" w:rsidP="00B14F91">
      <w:pPr>
        <w:pStyle w:val="ListParagraph"/>
        <w:numPr>
          <w:ilvl w:val="0"/>
          <w:numId w:val="9"/>
        </w:numPr>
        <w:tabs>
          <w:tab w:val="left" w:pos="709"/>
        </w:tabs>
        <w:spacing w:after="0" w:line="240" w:lineRule="auto"/>
        <w:jc w:val="both"/>
        <w:rPr>
          <w:rFonts w:ascii="Verdana" w:hAnsi="Verdana"/>
          <w:noProof/>
          <w:sz w:val="20"/>
          <w:szCs w:val="20"/>
        </w:rPr>
      </w:pPr>
      <w:r w:rsidRPr="00EC475D">
        <w:rPr>
          <w:rFonts w:ascii="Verdana" w:hAnsi="Verdana"/>
          <w:sz w:val="20"/>
          <w:szCs w:val="20"/>
          <w:lang w:val="es-ES"/>
        </w:rPr>
        <w:t>conducir eficazmente los procesos penales que se encuentren en trámite y los que se llegaren a abrir para determinar las correspondientes responsabilidades por los hechos de</w:t>
      </w:r>
      <w:r w:rsidR="000714FD">
        <w:rPr>
          <w:rFonts w:ascii="Verdana" w:hAnsi="Verdana"/>
          <w:sz w:val="20"/>
          <w:szCs w:val="20"/>
          <w:lang w:val="es-ES"/>
        </w:rPr>
        <w:t>l</w:t>
      </w:r>
      <w:r w:rsidRPr="00EC475D">
        <w:rPr>
          <w:rFonts w:ascii="Verdana" w:hAnsi="Verdana"/>
          <w:sz w:val="20"/>
          <w:szCs w:val="20"/>
          <w:lang w:val="es-ES"/>
        </w:rPr>
        <w:t xml:space="preserve"> caso y las consecuencias que la ley pr</w:t>
      </w:r>
      <w:r w:rsidR="000714FD">
        <w:rPr>
          <w:rFonts w:ascii="Verdana" w:hAnsi="Verdana"/>
          <w:sz w:val="20"/>
          <w:szCs w:val="20"/>
          <w:lang w:val="es-ES"/>
        </w:rPr>
        <w:t>e</w:t>
      </w:r>
      <w:r w:rsidRPr="00EC475D">
        <w:rPr>
          <w:rFonts w:ascii="Verdana" w:hAnsi="Verdana"/>
          <w:sz w:val="20"/>
          <w:szCs w:val="20"/>
          <w:lang w:val="es-ES"/>
        </w:rPr>
        <w:t>vea (</w:t>
      </w:r>
      <w:r w:rsidRPr="00EC475D">
        <w:rPr>
          <w:rFonts w:ascii="Verdana" w:hAnsi="Verdana"/>
          <w:i/>
          <w:sz w:val="20"/>
          <w:szCs w:val="20"/>
          <w:lang w:val="es-ES"/>
        </w:rPr>
        <w:t xml:space="preserve">punto resolutivo </w:t>
      </w:r>
      <w:r w:rsidR="008A2DB7" w:rsidRPr="00EC475D">
        <w:rPr>
          <w:rFonts w:ascii="Verdana" w:hAnsi="Verdana"/>
          <w:i/>
          <w:sz w:val="20"/>
          <w:szCs w:val="20"/>
          <w:lang w:val="es-ES"/>
        </w:rPr>
        <w:t>noveno</w:t>
      </w:r>
      <w:r w:rsidRPr="00EC475D">
        <w:rPr>
          <w:rFonts w:ascii="Verdana" w:hAnsi="Verdana"/>
          <w:i/>
          <w:sz w:val="20"/>
          <w:szCs w:val="20"/>
          <w:lang w:val="es-ES"/>
        </w:rPr>
        <w:t xml:space="preserve"> de la Sentencia</w:t>
      </w:r>
      <w:r w:rsidRPr="00EC475D">
        <w:rPr>
          <w:rFonts w:ascii="Verdana" w:hAnsi="Verdana"/>
          <w:sz w:val="20"/>
          <w:szCs w:val="20"/>
          <w:lang w:val="es-ES"/>
        </w:rPr>
        <w:t>), y</w:t>
      </w:r>
    </w:p>
    <w:p w:rsidR="00193712" w:rsidRPr="00EC475D" w:rsidRDefault="00193712" w:rsidP="00B14F91">
      <w:pPr>
        <w:pStyle w:val="ListParagraph"/>
        <w:numPr>
          <w:ilvl w:val="0"/>
          <w:numId w:val="9"/>
        </w:numPr>
        <w:tabs>
          <w:tab w:val="left" w:pos="709"/>
        </w:tabs>
        <w:spacing w:after="0" w:line="240" w:lineRule="auto"/>
        <w:jc w:val="both"/>
        <w:rPr>
          <w:rFonts w:ascii="Verdana" w:hAnsi="Verdana"/>
          <w:noProof/>
          <w:sz w:val="20"/>
          <w:szCs w:val="20"/>
        </w:rPr>
      </w:pPr>
      <w:r w:rsidRPr="00EC475D">
        <w:rPr>
          <w:rFonts w:ascii="Verdana" w:hAnsi="Verdana"/>
          <w:noProof/>
          <w:sz w:val="20"/>
          <w:szCs w:val="20"/>
        </w:rPr>
        <w:t>proveer, sin cargo alguno, el tratamiento especializado de carácter médico, psiquiátrico y psicológico adecuado que requieran a las señoras Etelvina Zapata Escué, Myriam Zapata Escué, Bertha Escué Coicue y Francya Doli Escué Zapata, y a los señores Mario Pasu, Aldemar Escué Zapata, Yonson Escué Zapata, Ayénder Escué Zapata, Omar Zapata y Albeiro Pasu, en los términos establecidos en la Sentencia (</w:t>
      </w:r>
      <w:r w:rsidRPr="00EC475D">
        <w:rPr>
          <w:rFonts w:ascii="Verdana" w:hAnsi="Verdana"/>
          <w:i/>
          <w:noProof/>
          <w:sz w:val="20"/>
          <w:szCs w:val="20"/>
        </w:rPr>
        <w:t xml:space="preserve">punto resolutivo </w:t>
      </w:r>
      <w:r w:rsidR="008A2DB7" w:rsidRPr="00EC475D">
        <w:rPr>
          <w:rFonts w:ascii="Verdana" w:hAnsi="Verdana"/>
          <w:i/>
          <w:noProof/>
          <w:sz w:val="20"/>
          <w:szCs w:val="20"/>
        </w:rPr>
        <w:t>décimo segundo</w:t>
      </w:r>
      <w:r w:rsidRPr="00EC475D">
        <w:rPr>
          <w:rFonts w:ascii="Verdana" w:hAnsi="Verdana"/>
          <w:i/>
          <w:noProof/>
          <w:sz w:val="20"/>
          <w:szCs w:val="20"/>
        </w:rPr>
        <w:t xml:space="preserve"> de la Sentencia</w:t>
      </w:r>
      <w:r w:rsidRPr="00EC475D">
        <w:rPr>
          <w:rFonts w:ascii="Verdana" w:hAnsi="Verdana"/>
          <w:noProof/>
          <w:sz w:val="20"/>
          <w:szCs w:val="20"/>
        </w:rPr>
        <w:t>).</w:t>
      </w:r>
    </w:p>
    <w:p w:rsidR="00AF5CFC" w:rsidRPr="00EC475D" w:rsidRDefault="00AF5CFC" w:rsidP="00B14F91">
      <w:pPr>
        <w:tabs>
          <w:tab w:val="left" w:pos="709"/>
        </w:tabs>
        <w:spacing w:after="0" w:line="240" w:lineRule="auto"/>
        <w:jc w:val="both"/>
        <w:rPr>
          <w:rFonts w:ascii="Verdana" w:hAnsi="Verdana"/>
          <w:noProof/>
          <w:sz w:val="20"/>
          <w:szCs w:val="20"/>
        </w:rPr>
      </w:pPr>
    </w:p>
    <w:p w:rsidR="004D1D83" w:rsidRPr="00EC475D" w:rsidRDefault="004D1D83" w:rsidP="00B14F91">
      <w:pPr>
        <w:numPr>
          <w:ilvl w:val="0"/>
          <w:numId w:val="1"/>
        </w:numPr>
        <w:tabs>
          <w:tab w:val="left" w:pos="709"/>
        </w:tabs>
        <w:spacing w:after="0" w:line="240" w:lineRule="auto"/>
        <w:ind w:left="0" w:firstLine="0"/>
        <w:jc w:val="both"/>
        <w:rPr>
          <w:rFonts w:ascii="Verdana" w:hAnsi="Verdana"/>
          <w:noProof/>
          <w:sz w:val="20"/>
          <w:szCs w:val="20"/>
        </w:rPr>
      </w:pPr>
      <w:r w:rsidRPr="00EC475D">
        <w:rPr>
          <w:rFonts w:ascii="Verdana" w:hAnsi="Verdana"/>
          <w:sz w:val="20"/>
          <w:szCs w:val="20"/>
        </w:rPr>
        <w:t xml:space="preserve">De conformidad con </w:t>
      </w:r>
      <w:r w:rsidRPr="00EC475D">
        <w:rPr>
          <w:rFonts w:ascii="Verdana" w:hAnsi="Verdana"/>
          <w:sz w:val="20"/>
          <w:szCs w:val="20"/>
          <w:lang w:val="es-ES"/>
        </w:rPr>
        <w:t>lo establecido en el artículo</w:t>
      </w:r>
      <w:r w:rsidRPr="00EC475D">
        <w:rPr>
          <w:rFonts w:ascii="Verdana" w:hAnsi="Verdana"/>
          <w:sz w:val="20"/>
          <w:szCs w:val="20"/>
        </w:rPr>
        <w:t xml:space="preserve"> </w:t>
      </w:r>
      <w:r w:rsidRPr="00EC475D">
        <w:rPr>
          <w:rFonts w:ascii="Verdana" w:hAnsi="Verdana"/>
          <w:color w:val="000000"/>
          <w:sz w:val="20"/>
          <w:szCs w:val="20"/>
          <w:lang w:val="es-CO"/>
        </w:rPr>
        <w:t xml:space="preserve">68.1 de la Convención Americana, “[l]os Estados Partes en la Convención se comprometen a cumplir la decisión de la </w:t>
      </w:r>
      <w:r w:rsidRPr="00EC475D">
        <w:rPr>
          <w:rFonts w:ascii="Verdana" w:hAnsi="Verdana"/>
          <w:color w:val="000000"/>
          <w:sz w:val="20"/>
          <w:szCs w:val="20"/>
          <w:lang w:val="es-MX"/>
        </w:rPr>
        <w:t>Corte en todo caso en que sean parte</w:t>
      </w:r>
      <w:r w:rsidRPr="00EC475D">
        <w:rPr>
          <w:rFonts w:ascii="Verdana" w:hAnsi="Verdana"/>
          <w:i/>
          <w:color w:val="000000"/>
          <w:sz w:val="20"/>
          <w:szCs w:val="20"/>
          <w:lang w:val="es-MX"/>
        </w:rPr>
        <w:t>s”</w:t>
      </w:r>
      <w:r w:rsidRPr="00EC475D">
        <w:rPr>
          <w:rFonts w:ascii="Verdana" w:hAnsi="Verdana" w:cs="Verdana"/>
          <w:i/>
          <w:sz w:val="20"/>
          <w:szCs w:val="20"/>
          <w:lang w:val="es-MX"/>
        </w:rPr>
        <w:t>.</w:t>
      </w:r>
      <w:r w:rsidRPr="00EC475D">
        <w:rPr>
          <w:rFonts w:ascii="Verdana" w:hAnsi="Verdana" w:cs="Verdana"/>
          <w:sz w:val="20"/>
          <w:szCs w:val="20"/>
          <w:lang w:val="es-MX"/>
        </w:rPr>
        <w:t xml:space="preserve"> </w:t>
      </w:r>
      <w:r w:rsidRPr="00EC475D">
        <w:rPr>
          <w:rFonts w:ascii="Verdana" w:hAnsi="Verdana"/>
          <w:sz w:val="20"/>
          <w:szCs w:val="20"/>
          <w:lang w:val="es-MX"/>
        </w:rPr>
        <w:t>Esta obligación incluye el deber del Estado de informar a la Corte sobre las medidas adoptadas</w:t>
      </w:r>
      <w:r w:rsidRPr="00EC475D">
        <w:rPr>
          <w:rFonts w:ascii="Verdana" w:hAnsi="Verdana"/>
          <w:sz w:val="20"/>
          <w:szCs w:val="20"/>
        </w:rPr>
        <w:t xml:space="preserve"> para cumplir cada uno de los puntos ordenados por ésta, lo cual es funda</w:t>
      </w:r>
      <w:r w:rsidRPr="00EC475D">
        <w:rPr>
          <w:rFonts w:ascii="Verdana" w:hAnsi="Verdana"/>
          <w:sz w:val="20"/>
          <w:szCs w:val="20"/>
          <w:lang w:val="es-MX"/>
        </w:rPr>
        <w:t>mental para evaluar</w:t>
      </w:r>
      <w:r w:rsidRPr="00EC475D">
        <w:rPr>
          <w:rFonts w:ascii="Verdana" w:hAnsi="Verdana"/>
          <w:sz w:val="20"/>
          <w:szCs w:val="20"/>
        </w:rPr>
        <w:t xml:space="preserve"> el estado de cumplimiento de la Sentencia en su conjunto.</w:t>
      </w:r>
      <w:r w:rsidR="00AF5CFC" w:rsidRPr="00EC475D">
        <w:rPr>
          <w:rFonts w:ascii="Verdana" w:hAnsi="Verdana" w:cs="Verdana"/>
          <w:sz w:val="20"/>
          <w:szCs w:val="20"/>
          <w:lang w:val="es-ES"/>
        </w:rPr>
        <w:t xml:space="preserve"> </w:t>
      </w:r>
      <w:r w:rsidRPr="00EC475D">
        <w:rPr>
          <w:rFonts w:ascii="Verdana" w:hAnsi="Verdana" w:cs="Verdana"/>
          <w:sz w:val="20"/>
          <w:szCs w:val="20"/>
          <w:lang w:val="es-ES"/>
        </w:rPr>
        <w:t>Los Estados Parte en la Convención deben garantizar el cumplimiento de las disposiciones convencionales y sus efectos propios (</w:t>
      </w:r>
      <w:proofErr w:type="spellStart"/>
      <w:r w:rsidRPr="00EC475D">
        <w:rPr>
          <w:rFonts w:ascii="Verdana" w:hAnsi="Verdana" w:cs="Verdana-Italic"/>
          <w:i/>
          <w:iCs/>
          <w:sz w:val="20"/>
          <w:szCs w:val="20"/>
          <w:lang w:val="es-ES"/>
        </w:rPr>
        <w:t>effet</w:t>
      </w:r>
      <w:proofErr w:type="spellEnd"/>
      <w:r w:rsidRPr="00EC475D">
        <w:rPr>
          <w:rFonts w:ascii="Verdana" w:hAnsi="Verdana" w:cs="Verdana-Italic"/>
          <w:i/>
          <w:iCs/>
          <w:sz w:val="20"/>
          <w:szCs w:val="20"/>
          <w:lang w:val="es-ES"/>
        </w:rPr>
        <w:t xml:space="preserve"> </w:t>
      </w:r>
      <w:proofErr w:type="spellStart"/>
      <w:r w:rsidRPr="00EC475D">
        <w:rPr>
          <w:rFonts w:ascii="Verdana" w:hAnsi="Verdana" w:cs="Verdana-Italic"/>
          <w:i/>
          <w:iCs/>
          <w:sz w:val="20"/>
          <w:szCs w:val="20"/>
          <w:lang w:val="es-ES"/>
        </w:rPr>
        <w:t>utile</w:t>
      </w:r>
      <w:proofErr w:type="spellEnd"/>
      <w:r w:rsidRPr="00EC475D">
        <w:rPr>
          <w:rFonts w:ascii="Verdana" w:hAnsi="Verdana" w:cs="Verdana"/>
          <w:sz w:val="20"/>
          <w:szCs w:val="20"/>
          <w:lang w:val="es-ES"/>
        </w:rPr>
        <w:t>) en el plano de sus respectivos derechos internos. Estas obligaciones deben ser interpretadas y aplicadas de manera que la garantía protegida sea verdaderamente práctica y eficaz, teniendo presente la naturaleza especial de los tratados de derechos humanos</w:t>
      </w:r>
      <w:r w:rsidRPr="00EC475D">
        <w:rPr>
          <w:rStyle w:val="FootnoteReference"/>
          <w:rFonts w:ascii="Verdana" w:hAnsi="Verdana" w:cs="Verdana"/>
          <w:sz w:val="20"/>
          <w:szCs w:val="20"/>
        </w:rPr>
        <w:footnoteReference w:id="12"/>
      </w:r>
      <w:r w:rsidRPr="00EC475D">
        <w:rPr>
          <w:rFonts w:ascii="Verdana" w:hAnsi="Verdana" w:cs="Verdana"/>
          <w:sz w:val="20"/>
          <w:szCs w:val="20"/>
          <w:lang w:val="es-ES"/>
        </w:rPr>
        <w:t>.</w:t>
      </w:r>
    </w:p>
    <w:p w:rsidR="004D1D83" w:rsidRPr="00EC475D" w:rsidRDefault="004D1D83" w:rsidP="00B14F91">
      <w:pPr>
        <w:tabs>
          <w:tab w:val="left" w:pos="709"/>
        </w:tabs>
        <w:spacing w:after="0" w:line="240" w:lineRule="auto"/>
        <w:jc w:val="both"/>
        <w:rPr>
          <w:rFonts w:ascii="Verdana" w:hAnsi="Verdana"/>
          <w:noProof/>
          <w:sz w:val="20"/>
          <w:szCs w:val="20"/>
        </w:rPr>
      </w:pPr>
    </w:p>
    <w:p w:rsidR="005B49C6" w:rsidRPr="00EC475D" w:rsidRDefault="004D1D83" w:rsidP="00B14F91">
      <w:pPr>
        <w:numPr>
          <w:ilvl w:val="0"/>
          <w:numId w:val="1"/>
        </w:numPr>
        <w:tabs>
          <w:tab w:val="left" w:pos="709"/>
        </w:tabs>
        <w:spacing w:after="0" w:line="240" w:lineRule="auto"/>
        <w:ind w:left="0" w:firstLine="0"/>
        <w:jc w:val="both"/>
        <w:rPr>
          <w:rFonts w:ascii="Verdana" w:hAnsi="Verdana"/>
          <w:noProof/>
          <w:sz w:val="20"/>
          <w:szCs w:val="20"/>
        </w:rPr>
      </w:pPr>
      <w:r w:rsidRPr="00EC475D">
        <w:rPr>
          <w:rFonts w:ascii="Verdana" w:hAnsi="Verdana"/>
          <w:sz w:val="20"/>
        </w:rPr>
        <w:t xml:space="preserve">En la presente Resolución, este Tribunal </w:t>
      </w:r>
      <w:r w:rsidR="000135E1" w:rsidRPr="00EC475D">
        <w:rPr>
          <w:rFonts w:ascii="Verdana" w:hAnsi="Verdana"/>
          <w:sz w:val="20"/>
        </w:rPr>
        <w:t xml:space="preserve">valorará </w:t>
      </w:r>
      <w:r w:rsidR="00CE117B">
        <w:rPr>
          <w:rFonts w:ascii="Verdana" w:hAnsi="Verdana"/>
          <w:sz w:val="20"/>
        </w:rPr>
        <w:t xml:space="preserve">únicamente </w:t>
      </w:r>
      <w:r w:rsidR="000135E1" w:rsidRPr="00EC475D">
        <w:rPr>
          <w:rFonts w:ascii="Verdana" w:hAnsi="Verdana"/>
          <w:sz w:val="20"/>
        </w:rPr>
        <w:t xml:space="preserve">el cumplimiento de </w:t>
      </w:r>
      <w:r w:rsidR="0069072B" w:rsidRPr="00EC475D">
        <w:rPr>
          <w:rFonts w:ascii="Verdana" w:hAnsi="Verdana"/>
          <w:sz w:val="20"/>
          <w:lang w:val="es-ES"/>
        </w:rPr>
        <w:t>la obligación de investigar, juzgar y, en su caso, sancionar</w:t>
      </w:r>
      <w:r w:rsidR="009D17EA">
        <w:rPr>
          <w:rFonts w:ascii="Verdana" w:hAnsi="Verdana"/>
          <w:sz w:val="20"/>
        </w:rPr>
        <w:t xml:space="preserve">. En cuanto a </w:t>
      </w:r>
      <w:r w:rsidRPr="00EC475D">
        <w:rPr>
          <w:rFonts w:ascii="Verdana" w:hAnsi="Verdana"/>
          <w:sz w:val="20"/>
          <w:szCs w:val="20"/>
          <w:lang w:val="es-ES"/>
        </w:rPr>
        <w:t>la medida relativa a brindar tratamiento médico y psicológico (</w:t>
      </w:r>
      <w:r w:rsidRPr="00EC475D">
        <w:rPr>
          <w:rFonts w:ascii="Verdana" w:hAnsi="Verdana"/>
          <w:i/>
          <w:sz w:val="20"/>
          <w:szCs w:val="20"/>
          <w:lang w:val="es-ES"/>
        </w:rPr>
        <w:t xml:space="preserve">supra </w:t>
      </w:r>
      <w:r w:rsidRPr="00EC475D">
        <w:rPr>
          <w:rFonts w:ascii="Verdana" w:hAnsi="Verdana"/>
          <w:sz w:val="20"/>
          <w:szCs w:val="20"/>
          <w:lang w:val="es-ES"/>
        </w:rPr>
        <w:t xml:space="preserve">Considerando 1), </w:t>
      </w:r>
      <w:r w:rsidR="009D17EA">
        <w:rPr>
          <w:rFonts w:ascii="Verdana" w:hAnsi="Verdana"/>
          <w:sz w:val="20"/>
          <w:szCs w:val="20"/>
          <w:lang w:val="es-ES"/>
        </w:rPr>
        <w:t xml:space="preserve">la Corte está realizando una </w:t>
      </w:r>
      <w:r w:rsidRPr="00EC475D">
        <w:rPr>
          <w:rFonts w:ascii="Verdana" w:hAnsi="Verdana"/>
          <w:sz w:val="20"/>
          <w:szCs w:val="20"/>
          <w:lang w:val="es-ES"/>
        </w:rPr>
        <w:t xml:space="preserve">supervisión conjunta de esta medida en </w:t>
      </w:r>
      <w:r w:rsidR="008550CE" w:rsidRPr="00EC475D">
        <w:rPr>
          <w:rFonts w:ascii="Verdana" w:hAnsi="Verdana"/>
          <w:sz w:val="20"/>
          <w:szCs w:val="20"/>
          <w:lang w:val="es-ES"/>
        </w:rPr>
        <w:t xml:space="preserve">varios </w:t>
      </w:r>
      <w:r w:rsidRPr="00EC475D">
        <w:rPr>
          <w:rFonts w:ascii="Verdana" w:hAnsi="Verdana"/>
          <w:sz w:val="20"/>
          <w:szCs w:val="20"/>
          <w:lang w:val="es-ES"/>
        </w:rPr>
        <w:t>casos colombianos</w:t>
      </w:r>
      <w:r w:rsidR="009D17EA">
        <w:rPr>
          <w:rFonts w:ascii="Verdana" w:hAnsi="Verdana"/>
          <w:sz w:val="20"/>
          <w:szCs w:val="20"/>
          <w:lang w:val="es-ES"/>
        </w:rPr>
        <w:t>, por lo que en una posterior resolución valorará las acciones que ha realizado el Estado y las observaciones efectuadas por los representantes de las víctimas y la Comisión.</w:t>
      </w:r>
    </w:p>
    <w:p w:rsidR="00A817D6" w:rsidRPr="00EC475D" w:rsidRDefault="00A817D6" w:rsidP="00B14F91">
      <w:pPr>
        <w:tabs>
          <w:tab w:val="left" w:pos="709"/>
        </w:tabs>
        <w:spacing w:after="0" w:line="240" w:lineRule="auto"/>
        <w:jc w:val="both"/>
        <w:rPr>
          <w:rFonts w:ascii="Verdana" w:hAnsi="Verdana"/>
          <w:b/>
          <w:i/>
          <w:noProof/>
          <w:sz w:val="20"/>
          <w:szCs w:val="20"/>
        </w:rPr>
      </w:pPr>
    </w:p>
    <w:p w:rsidR="004D1D83" w:rsidRPr="00EC475D" w:rsidRDefault="004D1D83" w:rsidP="00B14F91">
      <w:pPr>
        <w:pStyle w:val="ListParagraph"/>
        <w:numPr>
          <w:ilvl w:val="0"/>
          <w:numId w:val="15"/>
        </w:numPr>
        <w:tabs>
          <w:tab w:val="left" w:pos="709"/>
        </w:tabs>
        <w:spacing w:after="0" w:line="240" w:lineRule="auto"/>
        <w:jc w:val="both"/>
        <w:rPr>
          <w:rFonts w:ascii="Verdana" w:hAnsi="Verdana"/>
          <w:b/>
          <w:i/>
          <w:noProof/>
          <w:sz w:val="20"/>
          <w:szCs w:val="20"/>
        </w:rPr>
      </w:pPr>
      <w:r w:rsidRPr="00EC475D">
        <w:rPr>
          <w:rFonts w:ascii="Verdana" w:hAnsi="Verdana"/>
          <w:b/>
          <w:i/>
          <w:noProof/>
          <w:sz w:val="20"/>
          <w:szCs w:val="20"/>
        </w:rPr>
        <w:t>Medida ordenada por la Corte</w:t>
      </w:r>
      <w:r w:rsidR="00BF4122" w:rsidRPr="00EC475D">
        <w:rPr>
          <w:rFonts w:ascii="Verdana" w:hAnsi="Verdana"/>
          <w:b/>
          <w:i/>
          <w:noProof/>
          <w:sz w:val="20"/>
          <w:szCs w:val="20"/>
        </w:rPr>
        <w:t xml:space="preserve"> y supervisión realizada en </w:t>
      </w:r>
      <w:r w:rsidR="00C42051" w:rsidRPr="00EC475D">
        <w:rPr>
          <w:rFonts w:ascii="Verdana" w:hAnsi="Verdana"/>
          <w:b/>
          <w:i/>
          <w:noProof/>
          <w:sz w:val="20"/>
          <w:szCs w:val="20"/>
        </w:rPr>
        <w:t>la</w:t>
      </w:r>
      <w:r w:rsidR="00E610BE" w:rsidRPr="00EC475D">
        <w:rPr>
          <w:rFonts w:ascii="Verdana" w:hAnsi="Verdana"/>
          <w:b/>
          <w:i/>
          <w:noProof/>
          <w:sz w:val="20"/>
          <w:szCs w:val="20"/>
        </w:rPr>
        <w:t>s</w:t>
      </w:r>
      <w:r w:rsidR="00C42051" w:rsidRPr="00EC475D">
        <w:rPr>
          <w:rFonts w:ascii="Verdana" w:hAnsi="Verdana"/>
          <w:b/>
          <w:i/>
          <w:noProof/>
          <w:sz w:val="20"/>
          <w:szCs w:val="20"/>
        </w:rPr>
        <w:t xml:space="preserve"> resoluci</w:t>
      </w:r>
      <w:r w:rsidR="00E610BE" w:rsidRPr="00EC475D">
        <w:rPr>
          <w:rFonts w:ascii="Verdana" w:hAnsi="Verdana"/>
          <w:b/>
          <w:i/>
          <w:noProof/>
          <w:sz w:val="20"/>
          <w:szCs w:val="20"/>
        </w:rPr>
        <w:t>o</w:t>
      </w:r>
      <w:r w:rsidR="00C42051" w:rsidRPr="00EC475D">
        <w:rPr>
          <w:rFonts w:ascii="Verdana" w:hAnsi="Verdana"/>
          <w:b/>
          <w:i/>
          <w:noProof/>
          <w:sz w:val="20"/>
          <w:szCs w:val="20"/>
        </w:rPr>
        <w:t>n</w:t>
      </w:r>
      <w:r w:rsidR="00E610BE" w:rsidRPr="00EC475D">
        <w:rPr>
          <w:rFonts w:ascii="Verdana" w:hAnsi="Verdana"/>
          <w:b/>
          <w:i/>
          <w:noProof/>
          <w:sz w:val="20"/>
          <w:szCs w:val="20"/>
        </w:rPr>
        <w:t>es</w:t>
      </w:r>
      <w:r w:rsidR="00BF4122" w:rsidRPr="00EC475D">
        <w:rPr>
          <w:rFonts w:ascii="Verdana" w:hAnsi="Verdana"/>
          <w:b/>
          <w:i/>
          <w:noProof/>
          <w:sz w:val="20"/>
          <w:szCs w:val="20"/>
        </w:rPr>
        <w:t xml:space="preserve"> anterio</w:t>
      </w:r>
      <w:r w:rsidR="00C42051" w:rsidRPr="00EC475D">
        <w:rPr>
          <w:rFonts w:ascii="Verdana" w:hAnsi="Verdana"/>
          <w:b/>
          <w:i/>
          <w:noProof/>
          <w:sz w:val="20"/>
          <w:szCs w:val="20"/>
        </w:rPr>
        <w:t>r</w:t>
      </w:r>
      <w:r w:rsidR="00E610BE" w:rsidRPr="00EC475D">
        <w:rPr>
          <w:rFonts w:ascii="Verdana" w:hAnsi="Verdana"/>
          <w:b/>
          <w:i/>
          <w:noProof/>
          <w:sz w:val="20"/>
          <w:szCs w:val="20"/>
        </w:rPr>
        <w:t>es</w:t>
      </w:r>
    </w:p>
    <w:p w:rsidR="00BF4122" w:rsidRPr="00EC475D" w:rsidRDefault="00BF4122" w:rsidP="00B14F91">
      <w:pPr>
        <w:tabs>
          <w:tab w:val="left" w:pos="709"/>
        </w:tabs>
        <w:spacing w:after="0" w:line="240" w:lineRule="auto"/>
        <w:jc w:val="both"/>
        <w:rPr>
          <w:rFonts w:ascii="Verdana" w:hAnsi="Verdana"/>
          <w:b/>
          <w:i/>
          <w:noProof/>
          <w:sz w:val="20"/>
          <w:szCs w:val="20"/>
        </w:rPr>
      </w:pPr>
    </w:p>
    <w:p w:rsidR="00736B2F" w:rsidRPr="00EC475D" w:rsidRDefault="004D1D83" w:rsidP="00B14F91">
      <w:pPr>
        <w:numPr>
          <w:ilvl w:val="0"/>
          <w:numId w:val="1"/>
        </w:numPr>
        <w:tabs>
          <w:tab w:val="left" w:pos="709"/>
        </w:tabs>
        <w:spacing w:after="0" w:line="240" w:lineRule="auto"/>
        <w:ind w:left="0" w:firstLine="0"/>
        <w:jc w:val="both"/>
        <w:rPr>
          <w:rFonts w:ascii="Verdana" w:hAnsi="Verdana"/>
          <w:noProof/>
          <w:sz w:val="20"/>
          <w:szCs w:val="20"/>
        </w:rPr>
      </w:pPr>
      <w:r w:rsidRPr="00EC475D">
        <w:rPr>
          <w:rFonts w:ascii="Verdana" w:hAnsi="Verdana"/>
          <w:sz w:val="20"/>
          <w:szCs w:val="20"/>
        </w:rPr>
        <w:t>E</w:t>
      </w:r>
      <w:r w:rsidRPr="00EC475D">
        <w:rPr>
          <w:rFonts w:ascii="Verdana" w:hAnsi="Verdana"/>
          <w:sz w:val="20"/>
          <w:szCs w:val="20"/>
          <w:lang w:val="es-ES"/>
        </w:rPr>
        <w:t xml:space="preserve">n el punto resolutivo </w:t>
      </w:r>
      <w:r w:rsidR="000874FE" w:rsidRPr="00EC475D">
        <w:rPr>
          <w:rFonts w:ascii="Verdana" w:hAnsi="Verdana"/>
          <w:sz w:val="20"/>
          <w:szCs w:val="20"/>
          <w:lang w:val="es-ES"/>
        </w:rPr>
        <w:t xml:space="preserve">noveno </w:t>
      </w:r>
      <w:r w:rsidRPr="00EC475D">
        <w:rPr>
          <w:rFonts w:ascii="Verdana" w:hAnsi="Verdana"/>
          <w:sz w:val="20"/>
          <w:szCs w:val="20"/>
          <w:lang w:val="es-ES"/>
        </w:rPr>
        <w:t>y en el párrafo 166 de la Sentencia, la Corte ordenó que el Estado debía: “[…] conducir eficazmente los procesos penales que se encuentran en trámite y los que se llegaren a abrir para determinar las correspondientes responsabilidades por los hechos de este caso y aplicar las cons</w:t>
      </w:r>
      <w:r w:rsidR="009143D2" w:rsidRPr="00EC475D">
        <w:rPr>
          <w:rFonts w:ascii="Verdana" w:hAnsi="Verdana"/>
          <w:sz w:val="20"/>
          <w:szCs w:val="20"/>
          <w:lang w:val="es-ES"/>
        </w:rPr>
        <w:t>ecuencias que la ley prevea</w:t>
      </w:r>
      <w:r w:rsidRPr="00EC475D">
        <w:rPr>
          <w:rFonts w:ascii="Verdana" w:hAnsi="Verdana"/>
          <w:sz w:val="20"/>
          <w:szCs w:val="20"/>
          <w:lang w:val="es-ES"/>
        </w:rPr>
        <w:t>”</w:t>
      </w:r>
      <w:r w:rsidR="009143D2" w:rsidRPr="00EC475D">
        <w:rPr>
          <w:rFonts w:ascii="Verdana" w:hAnsi="Verdana"/>
          <w:sz w:val="20"/>
          <w:szCs w:val="20"/>
          <w:lang w:val="es-ES"/>
        </w:rPr>
        <w:t>.</w:t>
      </w:r>
      <w:r w:rsidR="00635B8A" w:rsidRPr="00EC475D">
        <w:rPr>
          <w:rFonts w:ascii="Verdana" w:hAnsi="Verdana"/>
          <w:sz w:val="20"/>
          <w:szCs w:val="20"/>
          <w:lang w:val="es-ES"/>
        </w:rPr>
        <w:t xml:space="preserve"> </w:t>
      </w:r>
      <w:r w:rsidR="00384AB0" w:rsidRPr="00EC475D">
        <w:rPr>
          <w:rFonts w:ascii="Verdana" w:hAnsi="Verdana"/>
          <w:sz w:val="20"/>
          <w:szCs w:val="20"/>
          <w:lang w:val="es-ES"/>
        </w:rPr>
        <w:t xml:space="preserve">Además, dispuso que Colombia, “a través de sus instituciones competentes, debe agotar las líneas de investigación respecto a la ejecución del señor </w:t>
      </w:r>
      <w:proofErr w:type="spellStart"/>
      <w:r w:rsidR="00384AB0" w:rsidRPr="00EC475D">
        <w:rPr>
          <w:rFonts w:ascii="Verdana" w:hAnsi="Verdana"/>
          <w:sz w:val="20"/>
          <w:szCs w:val="20"/>
          <w:lang w:val="es-ES"/>
        </w:rPr>
        <w:t>Escué</w:t>
      </w:r>
      <w:proofErr w:type="spellEnd"/>
      <w:r w:rsidR="00384AB0" w:rsidRPr="00EC475D">
        <w:rPr>
          <w:rFonts w:ascii="Verdana" w:hAnsi="Verdana"/>
          <w:sz w:val="20"/>
          <w:szCs w:val="20"/>
          <w:lang w:val="es-ES"/>
        </w:rPr>
        <w:t xml:space="preserve"> Zapata […], para establecer la verdad de los hechos”. </w:t>
      </w:r>
    </w:p>
    <w:p w:rsidR="00736B2F" w:rsidRPr="00EC475D" w:rsidRDefault="00736B2F" w:rsidP="00B14F91">
      <w:pPr>
        <w:tabs>
          <w:tab w:val="left" w:pos="709"/>
        </w:tabs>
        <w:spacing w:after="0" w:line="240" w:lineRule="auto"/>
        <w:jc w:val="both"/>
        <w:rPr>
          <w:rFonts w:ascii="Verdana" w:hAnsi="Verdana"/>
          <w:noProof/>
          <w:sz w:val="20"/>
          <w:szCs w:val="20"/>
        </w:rPr>
      </w:pPr>
    </w:p>
    <w:p w:rsidR="00171865" w:rsidRPr="00EC475D" w:rsidRDefault="003D66ED" w:rsidP="00B14F91">
      <w:pPr>
        <w:numPr>
          <w:ilvl w:val="0"/>
          <w:numId w:val="1"/>
        </w:numPr>
        <w:tabs>
          <w:tab w:val="left" w:pos="709"/>
        </w:tabs>
        <w:spacing w:after="0" w:line="240" w:lineRule="auto"/>
        <w:ind w:left="0" w:firstLine="0"/>
        <w:jc w:val="both"/>
        <w:rPr>
          <w:rFonts w:ascii="Verdana" w:hAnsi="Verdana"/>
          <w:noProof/>
          <w:sz w:val="20"/>
          <w:szCs w:val="20"/>
        </w:rPr>
      </w:pPr>
      <w:r w:rsidRPr="00EC475D">
        <w:rPr>
          <w:rFonts w:ascii="Verdana" w:hAnsi="Verdana"/>
          <w:sz w:val="20"/>
          <w:szCs w:val="20"/>
          <w:lang w:val="es-ES"/>
        </w:rPr>
        <w:t xml:space="preserve">En la Sentencia, la Corte reconoció que el Estado había </w:t>
      </w:r>
      <w:r w:rsidR="002231C6" w:rsidRPr="00EC475D">
        <w:rPr>
          <w:rFonts w:ascii="Verdana" w:hAnsi="Verdana"/>
          <w:sz w:val="20"/>
          <w:szCs w:val="20"/>
          <w:lang w:val="es-ES"/>
        </w:rPr>
        <w:t>“</w:t>
      </w:r>
      <w:r w:rsidRPr="00EC475D">
        <w:rPr>
          <w:rFonts w:ascii="Verdana" w:hAnsi="Verdana"/>
          <w:sz w:val="20"/>
          <w:szCs w:val="20"/>
          <w:lang w:val="es-ES"/>
        </w:rPr>
        <w:t>procedido a realizar varias diligencias con el fin de investigar los hechos y dar con los responsables</w:t>
      </w:r>
      <w:r w:rsidR="002231C6" w:rsidRPr="00EC475D">
        <w:rPr>
          <w:rFonts w:ascii="Verdana" w:hAnsi="Verdana"/>
          <w:sz w:val="20"/>
          <w:szCs w:val="20"/>
          <w:lang w:val="es-ES"/>
        </w:rPr>
        <w:t xml:space="preserve"> […] logra</w:t>
      </w:r>
      <w:r w:rsidR="00F324EA">
        <w:rPr>
          <w:rFonts w:ascii="Verdana" w:hAnsi="Verdana"/>
          <w:sz w:val="20"/>
          <w:szCs w:val="20"/>
          <w:lang w:val="es-ES"/>
        </w:rPr>
        <w:t>[</w:t>
      </w:r>
      <w:r w:rsidR="002231C6" w:rsidRPr="00EC475D">
        <w:rPr>
          <w:rFonts w:ascii="Verdana" w:hAnsi="Verdana"/>
          <w:sz w:val="20"/>
          <w:szCs w:val="20"/>
          <w:lang w:val="es-ES"/>
        </w:rPr>
        <w:t>n</w:t>
      </w:r>
      <w:r w:rsidR="00F324EA">
        <w:rPr>
          <w:rFonts w:ascii="Verdana" w:hAnsi="Verdana"/>
          <w:sz w:val="20"/>
          <w:szCs w:val="20"/>
          <w:lang w:val="es-ES"/>
        </w:rPr>
        <w:t>]</w:t>
      </w:r>
      <w:r w:rsidR="002231C6" w:rsidRPr="00EC475D">
        <w:rPr>
          <w:rFonts w:ascii="Verdana" w:hAnsi="Verdana"/>
          <w:sz w:val="20"/>
          <w:szCs w:val="20"/>
          <w:lang w:val="es-ES"/>
        </w:rPr>
        <w:t>do la individualización, captura, privación de libertad y acusación de algunos presuntos responsables”</w:t>
      </w:r>
      <w:r w:rsidRPr="00EC475D">
        <w:rPr>
          <w:rFonts w:ascii="Verdana" w:hAnsi="Verdana"/>
          <w:sz w:val="20"/>
          <w:szCs w:val="20"/>
          <w:lang w:val="es-ES"/>
        </w:rPr>
        <w:t xml:space="preserve">. No obstante, </w:t>
      </w:r>
      <w:r w:rsidR="00384AB0" w:rsidRPr="00EC475D">
        <w:rPr>
          <w:rFonts w:ascii="Verdana" w:hAnsi="Verdana"/>
          <w:sz w:val="20"/>
          <w:szCs w:val="20"/>
          <w:lang w:val="es-ES"/>
        </w:rPr>
        <w:t>el Tribunal señaló que “</w:t>
      </w:r>
      <w:r w:rsidR="00384AB0" w:rsidRPr="00EC475D">
        <w:rPr>
          <w:rFonts w:ascii="Verdana" w:hAnsi="Verdana"/>
          <w:sz w:val="20"/>
          <w:szCs w:val="20"/>
        </w:rPr>
        <w:t>el Estado limitó sus investigaciones al homicidio de la víctima</w:t>
      </w:r>
      <w:r w:rsidR="00736B2F" w:rsidRPr="00EC475D">
        <w:rPr>
          <w:rFonts w:ascii="Verdana" w:hAnsi="Verdana"/>
          <w:sz w:val="20"/>
          <w:szCs w:val="20"/>
        </w:rPr>
        <w:t>”</w:t>
      </w:r>
      <w:r w:rsidR="00384AB0" w:rsidRPr="00EC475D">
        <w:rPr>
          <w:rFonts w:ascii="Verdana" w:hAnsi="Verdana"/>
          <w:sz w:val="20"/>
          <w:szCs w:val="20"/>
        </w:rPr>
        <w:t xml:space="preserve">, quedando sin </w:t>
      </w:r>
      <w:r w:rsidR="00736B2F" w:rsidRPr="00EC475D">
        <w:rPr>
          <w:rFonts w:ascii="Verdana" w:hAnsi="Verdana"/>
          <w:sz w:val="20"/>
          <w:szCs w:val="20"/>
        </w:rPr>
        <w:t xml:space="preserve">investigarse </w:t>
      </w:r>
      <w:r w:rsidR="00384AB0" w:rsidRPr="00EC475D">
        <w:rPr>
          <w:rFonts w:ascii="Verdana" w:hAnsi="Verdana"/>
          <w:sz w:val="20"/>
          <w:szCs w:val="20"/>
        </w:rPr>
        <w:t>otr</w:t>
      </w:r>
      <w:r w:rsidR="002C7579" w:rsidRPr="00EC475D">
        <w:rPr>
          <w:rFonts w:ascii="Verdana" w:hAnsi="Verdana"/>
          <w:sz w:val="20"/>
          <w:szCs w:val="20"/>
        </w:rPr>
        <w:t>as violaciones declaradas en la Sentencia</w:t>
      </w:r>
      <w:r w:rsidR="00384AB0" w:rsidRPr="00EC475D">
        <w:rPr>
          <w:rFonts w:ascii="Verdana" w:hAnsi="Verdana"/>
          <w:sz w:val="20"/>
          <w:szCs w:val="20"/>
        </w:rPr>
        <w:t xml:space="preserve">, </w:t>
      </w:r>
      <w:r w:rsidR="00736B2F" w:rsidRPr="00EC475D">
        <w:rPr>
          <w:rFonts w:ascii="Verdana" w:hAnsi="Verdana"/>
          <w:sz w:val="20"/>
          <w:szCs w:val="20"/>
        </w:rPr>
        <w:t>“</w:t>
      </w:r>
      <w:r w:rsidR="00384AB0" w:rsidRPr="00EC475D">
        <w:rPr>
          <w:rFonts w:ascii="Verdana" w:hAnsi="Verdana"/>
          <w:sz w:val="20"/>
          <w:szCs w:val="20"/>
        </w:rPr>
        <w:t xml:space="preserve">tales como la detención ilegal del señor </w:t>
      </w:r>
      <w:proofErr w:type="spellStart"/>
      <w:r w:rsidR="00384AB0" w:rsidRPr="00EC475D">
        <w:rPr>
          <w:rFonts w:ascii="Verdana" w:hAnsi="Verdana"/>
          <w:sz w:val="20"/>
          <w:szCs w:val="20"/>
        </w:rPr>
        <w:t>Escué</w:t>
      </w:r>
      <w:proofErr w:type="spellEnd"/>
      <w:r w:rsidR="00384AB0" w:rsidRPr="00EC475D">
        <w:rPr>
          <w:rFonts w:ascii="Verdana" w:hAnsi="Verdana"/>
          <w:sz w:val="20"/>
          <w:szCs w:val="20"/>
        </w:rPr>
        <w:t xml:space="preserve"> Zapata, las lesiones corporales que sufrió, el allanamiento ilegal en su domicilio, la colaboración de los ex soldados, hoy </w:t>
      </w:r>
      <w:r w:rsidR="00384AB0" w:rsidRPr="00EC475D">
        <w:rPr>
          <w:rFonts w:ascii="Verdana" w:hAnsi="Verdana"/>
          <w:sz w:val="20"/>
          <w:szCs w:val="20"/>
        </w:rPr>
        <w:lastRenderedPageBreak/>
        <w:t>civiles, en el encubrimiento de los hechos, y la supuesta participación de indígenas y/o terratenientes en el delito”.</w:t>
      </w:r>
      <w:r w:rsidR="009143D2" w:rsidRPr="00EC475D">
        <w:rPr>
          <w:rFonts w:ascii="Verdana" w:hAnsi="Verdana"/>
          <w:sz w:val="20"/>
          <w:szCs w:val="20"/>
        </w:rPr>
        <w:t xml:space="preserve"> </w:t>
      </w:r>
      <w:r w:rsidR="00171865" w:rsidRPr="00EC475D">
        <w:rPr>
          <w:rFonts w:ascii="Verdana" w:hAnsi="Verdana"/>
          <w:sz w:val="20"/>
          <w:szCs w:val="20"/>
        </w:rPr>
        <w:t>Por tanto, la Corte consideró que, sin perjuicio de los avances referidos, “los procesos y procedimientos internos no [constituyeron] recursos efectivos para garantizar el acceso a la justicia, la investigación y sanción de los responsables y la reparación integral de las consecuencias de las violaciones”</w:t>
      </w:r>
      <w:r w:rsidR="00AA3002" w:rsidRPr="00EC475D">
        <w:rPr>
          <w:rStyle w:val="FootnoteReference"/>
          <w:rFonts w:ascii="Verdana" w:hAnsi="Verdana"/>
          <w:sz w:val="20"/>
          <w:szCs w:val="20"/>
        </w:rPr>
        <w:footnoteReference w:id="13"/>
      </w:r>
      <w:r w:rsidR="00171865" w:rsidRPr="00EC475D">
        <w:rPr>
          <w:rFonts w:ascii="Verdana" w:hAnsi="Verdana"/>
          <w:sz w:val="20"/>
          <w:szCs w:val="20"/>
        </w:rPr>
        <w:t xml:space="preserve">. </w:t>
      </w:r>
    </w:p>
    <w:p w:rsidR="00171865" w:rsidRPr="00EC475D" w:rsidRDefault="00171865" w:rsidP="00B14F91">
      <w:pPr>
        <w:pStyle w:val="ListParagraph"/>
        <w:spacing w:after="0" w:line="240" w:lineRule="auto"/>
        <w:rPr>
          <w:rFonts w:ascii="Verdana" w:hAnsi="Verdana"/>
          <w:sz w:val="20"/>
          <w:szCs w:val="20"/>
        </w:rPr>
      </w:pPr>
    </w:p>
    <w:p w:rsidR="004D1D83" w:rsidRPr="00EC475D" w:rsidRDefault="00CE1E52" w:rsidP="00B14F91">
      <w:pPr>
        <w:numPr>
          <w:ilvl w:val="0"/>
          <w:numId w:val="1"/>
        </w:numPr>
        <w:tabs>
          <w:tab w:val="left" w:pos="709"/>
        </w:tabs>
        <w:spacing w:after="0" w:line="240" w:lineRule="auto"/>
        <w:ind w:left="0" w:firstLine="0"/>
        <w:jc w:val="both"/>
        <w:rPr>
          <w:rFonts w:ascii="Verdana" w:hAnsi="Verdana"/>
          <w:noProof/>
          <w:sz w:val="20"/>
          <w:szCs w:val="20"/>
        </w:rPr>
      </w:pPr>
      <w:r w:rsidRPr="00EC475D">
        <w:rPr>
          <w:rFonts w:ascii="Verdana" w:hAnsi="Verdana"/>
          <w:sz w:val="20"/>
          <w:szCs w:val="20"/>
        </w:rPr>
        <w:t xml:space="preserve">Asimismo, la Corte ordenó que </w:t>
      </w:r>
      <w:r w:rsidRPr="00EC475D">
        <w:rPr>
          <w:rFonts w:ascii="Verdana" w:hAnsi="Verdana"/>
          <w:sz w:val="20"/>
          <w:szCs w:val="20"/>
          <w:lang w:val="es-ES"/>
        </w:rPr>
        <w:t xml:space="preserve">los familiares de la víctima debían tener pleno acceso y capacidad de actuar en todas las etapas e instancias de dichas investigaciones y procesos y </w:t>
      </w:r>
      <w:r w:rsidR="008872B0" w:rsidRPr="00EC475D">
        <w:rPr>
          <w:rFonts w:ascii="Verdana" w:hAnsi="Verdana"/>
          <w:sz w:val="20"/>
          <w:szCs w:val="20"/>
          <w:lang w:val="es-ES"/>
        </w:rPr>
        <w:t xml:space="preserve">que </w:t>
      </w:r>
      <w:r w:rsidRPr="00EC475D">
        <w:rPr>
          <w:rFonts w:ascii="Verdana" w:hAnsi="Verdana"/>
          <w:sz w:val="20"/>
          <w:szCs w:val="20"/>
          <w:lang w:val="es-ES"/>
        </w:rPr>
        <w:t xml:space="preserve">los resultados de estos procesos </w:t>
      </w:r>
      <w:r w:rsidR="00F668E2" w:rsidRPr="00EC475D">
        <w:rPr>
          <w:rFonts w:ascii="Verdana" w:hAnsi="Verdana"/>
          <w:sz w:val="20"/>
          <w:szCs w:val="20"/>
          <w:lang w:val="es-ES"/>
        </w:rPr>
        <w:t>debían</w:t>
      </w:r>
      <w:r w:rsidRPr="00EC475D">
        <w:rPr>
          <w:rFonts w:ascii="Verdana" w:hAnsi="Verdana"/>
          <w:sz w:val="20"/>
          <w:szCs w:val="20"/>
          <w:lang w:val="es-ES"/>
        </w:rPr>
        <w:t xml:space="preserve"> ser públicamente divulgados por el Estado, </w:t>
      </w:r>
      <w:r w:rsidR="008872B0" w:rsidRPr="00EC475D">
        <w:rPr>
          <w:rFonts w:ascii="Verdana" w:hAnsi="Verdana"/>
          <w:sz w:val="20"/>
          <w:szCs w:val="20"/>
          <w:lang w:val="es-ES"/>
        </w:rPr>
        <w:t>“</w:t>
      </w:r>
      <w:r w:rsidRPr="00EC475D">
        <w:rPr>
          <w:rFonts w:ascii="Verdana" w:hAnsi="Verdana"/>
          <w:sz w:val="20"/>
          <w:szCs w:val="20"/>
          <w:lang w:val="es-ES"/>
        </w:rPr>
        <w:t xml:space="preserve">de manera que la sociedad colombiana, y en especial la Comunidad Indígena </w:t>
      </w:r>
      <w:proofErr w:type="spellStart"/>
      <w:r w:rsidRPr="00EC475D">
        <w:rPr>
          <w:rFonts w:ascii="Verdana" w:hAnsi="Verdana"/>
          <w:sz w:val="20"/>
          <w:szCs w:val="20"/>
          <w:lang w:val="es-ES"/>
        </w:rPr>
        <w:t>Paez</w:t>
      </w:r>
      <w:proofErr w:type="spellEnd"/>
      <w:r w:rsidRPr="00EC475D">
        <w:rPr>
          <w:rFonts w:ascii="Verdana" w:hAnsi="Verdana"/>
          <w:sz w:val="20"/>
          <w:szCs w:val="20"/>
          <w:lang w:val="es-ES"/>
        </w:rPr>
        <w:t xml:space="preserve">, </w:t>
      </w:r>
      <w:r w:rsidR="00F668E2" w:rsidRPr="00EC475D">
        <w:rPr>
          <w:rFonts w:ascii="Verdana" w:hAnsi="Verdana"/>
          <w:sz w:val="20"/>
          <w:szCs w:val="20"/>
          <w:lang w:val="es-ES"/>
        </w:rPr>
        <w:t>pu</w:t>
      </w:r>
      <w:r w:rsidR="009735A2">
        <w:rPr>
          <w:rFonts w:ascii="Verdana" w:hAnsi="Verdana"/>
          <w:sz w:val="20"/>
          <w:szCs w:val="20"/>
          <w:lang w:val="es-ES"/>
        </w:rPr>
        <w:t>eda</w:t>
      </w:r>
      <w:r w:rsidRPr="00EC475D">
        <w:rPr>
          <w:rFonts w:ascii="Verdana" w:hAnsi="Verdana"/>
          <w:sz w:val="20"/>
          <w:szCs w:val="20"/>
          <w:lang w:val="es-ES"/>
        </w:rPr>
        <w:t xml:space="preserve"> conocer lo realmente ocurrido en el presente caso”</w:t>
      </w:r>
      <w:r w:rsidRPr="00EC475D">
        <w:rPr>
          <w:rStyle w:val="FootnoteReference"/>
          <w:rFonts w:ascii="Verdana" w:hAnsi="Verdana"/>
          <w:sz w:val="20"/>
          <w:szCs w:val="20"/>
          <w:lang w:val="es-ES"/>
        </w:rPr>
        <w:footnoteReference w:id="14"/>
      </w:r>
      <w:r w:rsidR="00F668E2" w:rsidRPr="00EC475D">
        <w:rPr>
          <w:rFonts w:ascii="Verdana" w:hAnsi="Verdana"/>
          <w:sz w:val="20"/>
          <w:szCs w:val="20"/>
          <w:lang w:val="es-ES"/>
        </w:rPr>
        <w:t>.</w:t>
      </w:r>
    </w:p>
    <w:p w:rsidR="00973938" w:rsidRPr="00EC475D" w:rsidRDefault="00973938" w:rsidP="00B14F91">
      <w:pPr>
        <w:tabs>
          <w:tab w:val="left" w:pos="709"/>
        </w:tabs>
        <w:spacing w:after="0" w:line="240" w:lineRule="auto"/>
        <w:jc w:val="both"/>
        <w:rPr>
          <w:rFonts w:ascii="Verdana" w:hAnsi="Verdana"/>
          <w:noProof/>
          <w:sz w:val="20"/>
          <w:szCs w:val="20"/>
        </w:rPr>
      </w:pPr>
    </w:p>
    <w:p w:rsidR="004D1D83" w:rsidRPr="00C87165" w:rsidRDefault="00A54567" w:rsidP="00B14F91">
      <w:pPr>
        <w:numPr>
          <w:ilvl w:val="0"/>
          <w:numId w:val="1"/>
        </w:numPr>
        <w:tabs>
          <w:tab w:val="left" w:pos="709"/>
        </w:tabs>
        <w:spacing w:after="0" w:line="240" w:lineRule="auto"/>
        <w:ind w:left="0" w:firstLine="0"/>
        <w:jc w:val="both"/>
        <w:rPr>
          <w:rFonts w:ascii="Verdana" w:hAnsi="Verdana"/>
          <w:noProof/>
          <w:sz w:val="20"/>
          <w:szCs w:val="20"/>
        </w:rPr>
      </w:pPr>
      <w:r w:rsidRPr="00C87165">
        <w:rPr>
          <w:rFonts w:ascii="Verdana" w:hAnsi="Verdana"/>
          <w:sz w:val="20"/>
          <w:szCs w:val="20"/>
        </w:rPr>
        <w:t>En las Resoluciones de supervisión de cumplimiento del presente caso (</w:t>
      </w:r>
      <w:r w:rsidRPr="00C87165">
        <w:rPr>
          <w:rFonts w:ascii="Verdana" w:hAnsi="Verdana"/>
          <w:i/>
          <w:sz w:val="20"/>
          <w:szCs w:val="20"/>
        </w:rPr>
        <w:t xml:space="preserve">supra </w:t>
      </w:r>
      <w:r w:rsidRPr="00C87165">
        <w:rPr>
          <w:rFonts w:ascii="Verdana" w:hAnsi="Verdana"/>
          <w:sz w:val="20"/>
          <w:szCs w:val="20"/>
        </w:rPr>
        <w:t xml:space="preserve">Visto 3), la Corte </w:t>
      </w:r>
      <w:r w:rsidR="005D45DD" w:rsidRPr="00C87165">
        <w:rPr>
          <w:rFonts w:ascii="Verdana" w:hAnsi="Verdana"/>
          <w:sz w:val="20"/>
          <w:szCs w:val="20"/>
        </w:rPr>
        <w:t xml:space="preserve">hizo constar, con base en lo informado por las partes, que el Estado </w:t>
      </w:r>
      <w:r w:rsidR="00D36077" w:rsidRPr="00C87165">
        <w:rPr>
          <w:rFonts w:ascii="Verdana" w:hAnsi="Verdana"/>
          <w:sz w:val="20"/>
          <w:szCs w:val="20"/>
        </w:rPr>
        <w:t xml:space="preserve">efectuó </w:t>
      </w:r>
      <w:r w:rsidRPr="00C87165">
        <w:rPr>
          <w:rFonts w:ascii="Verdana" w:hAnsi="Verdana"/>
          <w:sz w:val="20"/>
          <w:szCs w:val="20"/>
        </w:rPr>
        <w:t xml:space="preserve">“avances significativos” </w:t>
      </w:r>
      <w:r w:rsidR="00B1122C" w:rsidRPr="00C87165">
        <w:rPr>
          <w:rFonts w:ascii="Verdana" w:hAnsi="Verdana"/>
          <w:sz w:val="20"/>
          <w:szCs w:val="20"/>
        </w:rPr>
        <w:t xml:space="preserve">en </w:t>
      </w:r>
      <w:r w:rsidRPr="00C87165">
        <w:rPr>
          <w:rFonts w:ascii="Verdana" w:hAnsi="Verdana"/>
          <w:sz w:val="20"/>
          <w:szCs w:val="20"/>
        </w:rPr>
        <w:t>el cumplimiento de esta medida de reparación.</w:t>
      </w:r>
      <w:r w:rsidR="00B02F21" w:rsidRPr="00C87165">
        <w:rPr>
          <w:rFonts w:ascii="Verdana" w:hAnsi="Verdana"/>
          <w:sz w:val="20"/>
          <w:szCs w:val="20"/>
        </w:rPr>
        <w:t xml:space="preserve"> </w:t>
      </w:r>
      <w:r w:rsidR="004759E6" w:rsidRPr="00C87165">
        <w:rPr>
          <w:rFonts w:ascii="Verdana" w:hAnsi="Verdana"/>
          <w:sz w:val="20"/>
          <w:szCs w:val="20"/>
        </w:rPr>
        <w:t xml:space="preserve">Colombia informó que existían dos procesos penales: a) </w:t>
      </w:r>
      <w:r w:rsidR="00FD3455" w:rsidRPr="00C87165">
        <w:rPr>
          <w:rFonts w:ascii="Verdana" w:hAnsi="Verdana"/>
          <w:sz w:val="20"/>
          <w:szCs w:val="20"/>
        </w:rPr>
        <w:t xml:space="preserve">uno mediante el cual se había condenado en primera instancia a tres miembros de la fuerza pública por el homicidio del señor </w:t>
      </w:r>
      <w:proofErr w:type="spellStart"/>
      <w:r w:rsidR="00FD3455" w:rsidRPr="00C87165">
        <w:rPr>
          <w:rFonts w:ascii="Verdana" w:hAnsi="Verdana"/>
          <w:sz w:val="20"/>
          <w:szCs w:val="20"/>
        </w:rPr>
        <w:t>Escué</w:t>
      </w:r>
      <w:proofErr w:type="spellEnd"/>
      <w:r w:rsidR="00FD3455" w:rsidRPr="00C87165">
        <w:rPr>
          <w:rFonts w:ascii="Verdana" w:hAnsi="Verdana"/>
          <w:sz w:val="20"/>
          <w:szCs w:val="20"/>
        </w:rPr>
        <w:t xml:space="preserve"> Zapata; dos de dichos procesados se encontraban recluidos en la cárcel, mientras que al tercero se le había revocado la condena </w:t>
      </w:r>
      <w:r w:rsidR="00A85332">
        <w:rPr>
          <w:rFonts w:ascii="Verdana" w:hAnsi="Verdana"/>
          <w:sz w:val="20"/>
          <w:szCs w:val="20"/>
        </w:rPr>
        <w:t xml:space="preserve">por homicidio </w:t>
      </w:r>
      <w:r w:rsidR="00FD3455" w:rsidRPr="00C87165">
        <w:rPr>
          <w:rFonts w:ascii="Verdana" w:hAnsi="Verdana"/>
          <w:sz w:val="20"/>
          <w:szCs w:val="20"/>
        </w:rPr>
        <w:t>después de haber apelado la sentencia inicial</w:t>
      </w:r>
      <w:r w:rsidR="000807D4" w:rsidRPr="00C87165">
        <w:rPr>
          <w:rFonts w:ascii="Verdana" w:hAnsi="Verdana"/>
          <w:sz w:val="20"/>
          <w:szCs w:val="20"/>
        </w:rPr>
        <w:t xml:space="preserve">. Al momento de emisión de la Resolución de 2011, dicho proceso se </w:t>
      </w:r>
      <w:r w:rsidR="00B50149" w:rsidRPr="00C87165">
        <w:rPr>
          <w:rFonts w:ascii="Verdana" w:hAnsi="Verdana"/>
          <w:sz w:val="20"/>
          <w:szCs w:val="20"/>
        </w:rPr>
        <w:t>encontraba en etapa de casación,</w:t>
      </w:r>
      <w:r w:rsidR="000807D4" w:rsidRPr="00C87165">
        <w:rPr>
          <w:rFonts w:ascii="Verdana" w:hAnsi="Verdana"/>
          <w:sz w:val="20"/>
          <w:szCs w:val="20"/>
        </w:rPr>
        <w:t xml:space="preserve"> </w:t>
      </w:r>
      <w:r w:rsidR="00FD3455" w:rsidRPr="00C87165">
        <w:rPr>
          <w:rFonts w:ascii="Verdana" w:hAnsi="Verdana"/>
          <w:sz w:val="20"/>
          <w:szCs w:val="20"/>
        </w:rPr>
        <w:t>y b) otro</w:t>
      </w:r>
      <w:r w:rsidR="004759E6" w:rsidRPr="00C87165">
        <w:rPr>
          <w:rFonts w:ascii="Verdana" w:hAnsi="Verdana"/>
          <w:sz w:val="20"/>
          <w:szCs w:val="20"/>
        </w:rPr>
        <w:t xml:space="preserve"> adelantado “a instancia</w:t>
      </w:r>
      <w:r w:rsidR="00A85332">
        <w:rPr>
          <w:rFonts w:ascii="Verdana" w:hAnsi="Verdana"/>
          <w:sz w:val="20"/>
          <w:szCs w:val="20"/>
        </w:rPr>
        <w:t xml:space="preserve"> […]</w:t>
      </w:r>
      <w:r w:rsidR="004759E6" w:rsidRPr="00C87165">
        <w:rPr>
          <w:rFonts w:ascii="Verdana" w:hAnsi="Verdana"/>
          <w:sz w:val="20"/>
          <w:szCs w:val="20"/>
        </w:rPr>
        <w:t xml:space="preserve"> de la Fiscalía General de la Nación”, el cual para febrero de 2011 se encontraba en “etapa </w:t>
      </w:r>
      <w:r w:rsidR="00A85332">
        <w:rPr>
          <w:rFonts w:ascii="Verdana" w:hAnsi="Verdana"/>
          <w:sz w:val="20"/>
          <w:szCs w:val="20"/>
        </w:rPr>
        <w:t>previa</w:t>
      </w:r>
      <w:r w:rsidR="004759E6" w:rsidRPr="00C87165">
        <w:rPr>
          <w:rFonts w:ascii="Verdana" w:hAnsi="Verdana"/>
          <w:sz w:val="20"/>
          <w:szCs w:val="20"/>
        </w:rPr>
        <w:t>” y tenía como objetivo analizar la existencia de “otros responsables y otras posibles conductas punibles que no [hubiesen] sido objeto de investigación”</w:t>
      </w:r>
      <w:r w:rsidR="00C25B9F" w:rsidRPr="00C87165">
        <w:rPr>
          <w:rFonts w:ascii="Verdana" w:hAnsi="Verdana"/>
          <w:sz w:val="20"/>
          <w:szCs w:val="20"/>
        </w:rPr>
        <w:t>.</w:t>
      </w:r>
      <w:r w:rsidR="004759E6" w:rsidRPr="00C87165">
        <w:rPr>
          <w:rFonts w:ascii="Verdana" w:hAnsi="Verdana"/>
          <w:sz w:val="20"/>
          <w:szCs w:val="20"/>
        </w:rPr>
        <w:t xml:space="preserve"> </w:t>
      </w:r>
    </w:p>
    <w:p w:rsidR="004D1D83" w:rsidRPr="00EC475D" w:rsidRDefault="004D1D83" w:rsidP="00B14F91">
      <w:pPr>
        <w:tabs>
          <w:tab w:val="left" w:pos="709"/>
        </w:tabs>
        <w:spacing w:after="0" w:line="240" w:lineRule="auto"/>
        <w:jc w:val="both"/>
        <w:rPr>
          <w:rFonts w:ascii="Verdana" w:hAnsi="Verdana"/>
          <w:b/>
          <w:sz w:val="20"/>
          <w:szCs w:val="20"/>
          <w:lang w:val="es-ES"/>
        </w:rPr>
      </w:pPr>
    </w:p>
    <w:p w:rsidR="00B83DF8" w:rsidRPr="00EC475D" w:rsidRDefault="004D1D83" w:rsidP="00B14F91">
      <w:pPr>
        <w:pStyle w:val="ListParagraph"/>
        <w:numPr>
          <w:ilvl w:val="0"/>
          <w:numId w:val="15"/>
        </w:numPr>
        <w:spacing w:after="0" w:line="240" w:lineRule="auto"/>
        <w:jc w:val="both"/>
        <w:rPr>
          <w:rFonts w:ascii="Verdana" w:hAnsi="Verdana"/>
          <w:b/>
          <w:i/>
          <w:sz w:val="20"/>
          <w:szCs w:val="20"/>
          <w:lang w:val="es-ES"/>
        </w:rPr>
      </w:pPr>
      <w:r w:rsidRPr="00EC475D">
        <w:rPr>
          <w:rFonts w:ascii="Verdana" w:hAnsi="Verdana"/>
          <w:b/>
          <w:i/>
          <w:sz w:val="20"/>
          <w:szCs w:val="20"/>
          <w:lang w:val="es-ES"/>
        </w:rPr>
        <w:t>Consideraciones de la Corte</w:t>
      </w:r>
    </w:p>
    <w:p w:rsidR="00973938" w:rsidRPr="00EC475D" w:rsidRDefault="00973938" w:rsidP="00B14F91">
      <w:pPr>
        <w:pStyle w:val="ListParagraph"/>
        <w:spacing w:after="0" w:line="240" w:lineRule="auto"/>
        <w:jc w:val="both"/>
        <w:rPr>
          <w:rFonts w:ascii="Verdana" w:eastAsia="Times New Roman" w:hAnsi="Verdana" w:cs="Verdana"/>
          <w:b/>
          <w:sz w:val="20"/>
          <w:szCs w:val="20"/>
          <w:lang w:val="es-PE" w:bidi="en-US"/>
        </w:rPr>
      </w:pPr>
    </w:p>
    <w:p w:rsidR="00B83DF8" w:rsidRPr="00EC475D" w:rsidRDefault="003E25CA" w:rsidP="00B14F91">
      <w:pPr>
        <w:spacing w:after="0" w:line="240" w:lineRule="auto"/>
        <w:jc w:val="both"/>
        <w:rPr>
          <w:rFonts w:ascii="Verdana" w:eastAsia="Times New Roman" w:hAnsi="Verdana" w:cs="Verdana"/>
          <w:sz w:val="20"/>
          <w:szCs w:val="20"/>
          <w:lang w:val="es-PE" w:bidi="en-US"/>
        </w:rPr>
      </w:pPr>
      <w:r w:rsidRPr="00EC475D">
        <w:rPr>
          <w:rFonts w:ascii="Verdana" w:eastAsia="Times New Roman" w:hAnsi="Verdana" w:cs="Verdana"/>
          <w:sz w:val="20"/>
          <w:szCs w:val="20"/>
          <w:lang w:val="es-PE" w:bidi="en-US"/>
        </w:rPr>
        <w:t>8</w:t>
      </w:r>
      <w:r w:rsidR="00B83DF8" w:rsidRPr="00EC475D">
        <w:rPr>
          <w:rFonts w:ascii="Verdana" w:eastAsia="Times New Roman" w:hAnsi="Verdana" w:cs="Verdana"/>
          <w:sz w:val="20"/>
          <w:szCs w:val="20"/>
          <w:lang w:val="es-PE" w:bidi="en-US"/>
        </w:rPr>
        <w:t>.</w:t>
      </w:r>
      <w:r w:rsidR="00B83DF8" w:rsidRPr="00EC475D">
        <w:rPr>
          <w:rFonts w:ascii="Verdana" w:eastAsia="Times New Roman" w:hAnsi="Verdana" w:cs="Verdana"/>
          <w:sz w:val="20"/>
          <w:szCs w:val="20"/>
          <w:lang w:val="es-PE" w:bidi="en-US"/>
        </w:rPr>
        <w:tab/>
        <w:t>El Tribunal reitera que la obligación de investigar violaciones de derechos humanos se encuentra dentro de las medidas positivas que deben adoptar los Estados para garantizar los derechos reconocidos en la Convención</w:t>
      </w:r>
      <w:r w:rsidR="00B83DF8" w:rsidRPr="00EC475D">
        <w:rPr>
          <w:rStyle w:val="FootnoteReference"/>
          <w:rFonts w:ascii="Verdana" w:eastAsia="Times New Roman" w:hAnsi="Verdana" w:cs="Verdana"/>
          <w:sz w:val="20"/>
          <w:szCs w:val="20"/>
          <w:lang w:val="es-PE" w:bidi="en-US"/>
        </w:rPr>
        <w:footnoteReference w:id="15"/>
      </w:r>
      <w:r w:rsidR="00B83DF8" w:rsidRPr="00EC475D">
        <w:rPr>
          <w:rFonts w:ascii="Verdana" w:eastAsia="Times New Roman" w:hAnsi="Verdana" w:cs="Verdana"/>
          <w:sz w:val="20"/>
          <w:szCs w:val="20"/>
          <w:lang w:val="es-PE" w:bidi="en-US"/>
        </w:rPr>
        <w:t>. Si bien el deber de investigar es una obligación de medio y no de resultado, debe ser asumida por el Estado como un deber jurídico propio y no como una simple formalidad condenada de antemano a ser infructuosa, o como una mera gestión de intereses particulares, que dependa de la iniciativa procesal de las víctimas, de sus familiares o de la aportación privada de elementos probatorios</w:t>
      </w:r>
      <w:r w:rsidR="00B83DF8" w:rsidRPr="00EC475D">
        <w:rPr>
          <w:rStyle w:val="FootnoteReference"/>
          <w:rFonts w:ascii="Verdana" w:eastAsia="Times New Roman" w:hAnsi="Verdana" w:cs="Verdana"/>
          <w:sz w:val="20"/>
          <w:szCs w:val="20"/>
          <w:lang w:val="es-PE" w:bidi="en-US"/>
        </w:rPr>
        <w:footnoteReference w:id="16"/>
      </w:r>
      <w:r w:rsidR="00B83DF8" w:rsidRPr="00EC475D">
        <w:rPr>
          <w:rFonts w:ascii="Verdana" w:eastAsia="Times New Roman" w:hAnsi="Verdana" w:cs="Verdana"/>
          <w:sz w:val="20"/>
          <w:szCs w:val="20"/>
          <w:lang w:val="es-PE" w:bidi="en-US"/>
        </w:rPr>
        <w:t>.</w:t>
      </w:r>
    </w:p>
    <w:p w:rsidR="004D1D83" w:rsidRPr="00EC475D" w:rsidRDefault="004D1D83" w:rsidP="00B14F91">
      <w:pPr>
        <w:spacing w:after="0" w:line="240" w:lineRule="auto"/>
        <w:jc w:val="both"/>
        <w:rPr>
          <w:rFonts w:ascii="Verdana" w:hAnsi="Verdana" w:cs="Arial"/>
          <w:sz w:val="20"/>
        </w:rPr>
      </w:pPr>
    </w:p>
    <w:p w:rsidR="004D16B7" w:rsidRPr="00EC475D" w:rsidRDefault="003E25CA" w:rsidP="00B14F91">
      <w:pPr>
        <w:spacing w:after="0" w:line="240" w:lineRule="auto"/>
        <w:jc w:val="both"/>
        <w:rPr>
          <w:rFonts w:ascii="Verdana" w:hAnsi="Verdana" w:cs="Verdana"/>
          <w:spacing w:val="-2"/>
          <w:sz w:val="20"/>
          <w:lang w:val="es-ES"/>
        </w:rPr>
      </w:pPr>
      <w:r w:rsidRPr="00EC475D">
        <w:rPr>
          <w:rFonts w:ascii="Verdana" w:hAnsi="Verdana" w:cs="Arial"/>
          <w:sz w:val="20"/>
        </w:rPr>
        <w:t>9</w:t>
      </w:r>
      <w:r w:rsidR="004D1D83" w:rsidRPr="00EC475D">
        <w:rPr>
          <w:rFonts w:ascii="Verdana" w:hAnsi="Verdana" w:cs="Arial"/>
          <w:sz w:val="20"/>
        </w:rPr>
        <w:t>.</w:t>
      </w:r>
      <w:r w:rsidR="004D1D83" w:rsidRPr="00EC475D">
        <w:rPr>
          <w:rFonts w:ascii="Verdana" w:hAnsi="Verdana" w:cs="Arial"/>
          <w:sz w:val="20"/>
        </w:rPr>
        <w:tab/>
      </w:r>
      <w:r w:rsidR="004926D7" w:rsidRPr="00EC475D">
        <w:rPr>
          <w:rFonts w:ascii="Verdana" w:hAnsi="Verdana" w:cs="Arial"/>
          <w:sz w:val="20"/>
          <w:lang w:val="es-ES"/>
        </w:rPr>
        <w:t>Con base en lo informado por el Estado</w:t>
      </w:r>
      <w:r w:rsidR="00B00396" w:rsidRPr="00EC475D">
        <w:rPr>
          <w:rStyle w:val="FootnoteReference"/>
          <w:rFonts w:ascii="Verdana" w:hAnsi="Verdana" w:cs="Arial"/>
          <w:sz w:val="20"/>
          <w:lang w:val="es-ES"/>
        </w:rPr>
        <w:footnoteReference w:id="17"/>
      </w:r>
      <w:r w:rsidR="004926D7" w:rsidRPr="00EC475D">
        <w:rPr>
          <w:rFonts w:ascii="Verdana" w:hAnsi="Verdana" w:cs="Arial"/>
          <w:sz w:val="20"/>
          <w:lang w:val="es-ES"/>
        </w:rPr>
        <w:t>, así como en lo manifestado por los representantes</w:t>
      </w:r>
      <w:r w:rsidR="00B00396" w:rsidRPr="00EC475D">
        <w:rPr>
          <w:rStyle w:val="FootnoteReference"/>
          <w:rFonts w:ascii="Verdana" w:hAnsi="Verdana" w:cs="Arial"/>
          <w:sz w:val="20"/>
          <w:lang w:val="es-ES"/>
        </w:rPr>
        <w:footnoteReference w:id="18"/>
      </w:r>
      <w:r w:rsidR="004926D7" w:rsidRPr="00EC475D">
        <w:rPr>
          <w:rFonts w:ascii="Verdana" w:hAnsi="Verdana" w:cs="Arial"/>
          <w:sz w:val="20"/>
          <w:lang w:val="es-ES"/>
        </w:rPr>
        <w:t xml:space="preserve"> y la Comisión</w:t>
      </w:r>
      <w:r w:rsidR="00B00396" w:rsidRPr="00EC475D">
        <w:rPr>
          <w:rStyle w:val="FootnoteReference"/>
          <w:rFonts w:ascii="Verdana" w:hAnsi="Verdana" w:cs="Arial"/>
          <w:sz w:val="20"/>
          <w:lang w:val="es-ES"/>
        </w:rPr>
        <w:footnoteReference w:id="19"/>
      </w:r>
      <w:r w:rsidR="004926D7" w:rsidRPr="00EC475D">
        <w:rPr>
          <w:rFonts w:ascii="Verdana" w:hAnsi="Verdana" w:cs="Arial"/>
          <w:sz w:val="20"/>
          <w:lang w:val="es-ES"/>
        </w:rPr>
        <w:t xml:space="preserve">, la Corte constata </w:t>
      </w:r>
      <w:r w:rsidR="00B00396" w:rsidRPr="00EC475D">
        <w:rPr>
          <w:rFonts w:ascii="Verdana" w:hAnsi="Verdana" w:cs="Verdana"/>
          <w:spacing w:val="-2"/>
          <w:sz w:val="20"/>
          <w:lang w:val="es-ES"/>
        </w:rPr>
        <w:t xml:space="preserve">que </w:t>
      </w:r>
      <w:r w:rsidR="00EC56A3" w:rsidRPr="00EC475D">
        <w:rPr>
          <w:rFonts w:ascii="Verdana" w:hAnsi="Verdana" w:cs="Verdana"/>
          <w:spacing w:val="-2"/>
          <w:sz w:val="20"/>
          <w:lang w:val="es-ES"/>
        </w:rPr>
        <w:t xml:space="preserve">el Estado llevó a cabo dos diferentes </w:t>
      </w:r>
      <w:r w:rsidR="00EC56A3" w:rsidRPr="00EC475D">
        <w:rPr>
          <w:rFonts w:ascii="Verdana" w:hAnsi="Verdana" w:cs="Verdana"/>
          <w:spacing w:val="-2"/>
          <w:sz w:val="20"/>
          <w:lang w:val="es-ES"/>
        </w:rPr>
        <w:lastRenderedPageBreak/>
        <w:t>procesos penales para investigar los distintos hechos violatorios de los derechos humanos constatados en la Sentencia. Ambos culminaron con sentencias firmes</w:t>
      </w:r>
      <w:r w:rsidR="0032735C" w:rsidRPr="00EC475D">
        <w:rPr>
          <w:rFonts w:ascii="Verdana" w:hAnsi="Verdana" w:cs="Verdana"/>
          <w:spacing w:val="-2"/>
          <w:sz w:val="20"/>
          <w:lang w:val="es-ES"/>
        </w:rPr>
        <w:t>,</w:t>
      </w:r>
      <w:r w:rsidR="00EC56A3" w:rsidRPr="00EC475D">
        <w:rPr>
          <w:rFonts w:ascii="Verdana" w:hAnsi="Verdana" w:cs="Verdana"/>
          <w:spacing w:val="-2"/>
          <w:sz w:val="20"/>
          <w:lang w:val="es-ES"/>
        </w:rPr>
        <w:t xml:space="preserve"> en las que se determinó la responsabilidad </w:t>
      </w:r>
      <w:r w:rsidR="0032735C" w:rsidRPr="00EC475D">
        <w:rPr>
          <w:rFonts w:ascii="Verdana" w:hAnsi="Verdana" w:cs="Verdana"/>
          <w:spacing w:val="-2"/>
          <w:sz w:val="20"/>
          <w:lang w:val="es-ES"/>
        </w:rPr>
        <w:t xml:space="preserve">penal </w:t>
      </w:r>
      <w:r w:rsidR="00EC56A3" w:rsidRPr="00EC475D">
        <w:rPr>
          <w:rFonts w:ascii="Verdana" w:hAnsi="Verdana" w:cs="Verdana"/>
          <w:spacing w:val="-2"/>
          <w:sz w:val="20"/>
          <w:lang w:val="es-ES"/>
        </w:rPr>
        <w:t xml:space="preserve">de dos cabos tanto por el delito de homicidio como por el delito de </w:t>
      </w:r>
      <w:r w:rsidR="0032735C" w:rsidRPr="00EC475D">
        <w:rPr>
          <w:rFonts w:ascii="Verdana" w:hAnsi="Verdana" w:cs="Verdana"/>
          <w:spacing w:val="-2"/>
          <w:sz w:val="20"/>
          <w:lang w:val="es-ES"/>
        </w:rPr>
        <w:t>tortura, así como la responsabilidad penal de otros cinco soldados por el delito de tortura y de un teniente por el delito de falso testimonio</w:t>
      </w:r>
      <w:r w:rsidR="00D630ED">
        <w:rPr>
          <w:rFonts w:ascii="Verdana" w:hAnsi="Verdana" w:cs="Verdana"/>
          <w:spacing w:val="-2"/>
          <w:sz w:val="20"/>
          <w:lang w:val="es-ES"/>
        </w:rPr>
        <w:t xml:space="preserve"> (</w:t>
      </w:r>
      <w:r w:rsidR="00D630ED">
        <w:rPr>
          <w:rFonts w:ascii="Verdana" w:hAnsi="Verdana" w:cs="Verdana"/>
          <w:i/>
          <w:spacing w:val="-2"/>
          <w:sz w:val="20"/>
          <w:lang w:val="es-ES"/>
        </w:rPr>
        <w:t xml:space="preserve">infra </w:t>
      </w:r>
      <w:r w:rsidR="00C16E64">
        <w:rPr>
          <w:rFonts w:ascii="Verdana" w:hAnsi="Verdana" w:cs="Verdana"/>
          <w:spacing w:val="-2"/>
          <w:sz w:val="20"/>
          <w:lang w:val="es-ES"/>
        </w:rPr>
        <w:t>Considerando 13</w:t>
      </w:r>
      <w:r w:rsidR="00D630ED">
        <w:rPr>
          <w:rFonts w:ascii="Verdana" w:hAnsi="Verdana" w:cs="Verdana"/>
          <w:spacing w:val="-2"/>
          <w:sz w:val="20"/>
          <w:lang w:val="es-ES"/>
        </w:rPr>
        <w:t>)</w:t>
      </w:r>
      <w:r w:rsidR="0032735C" w:rsidRPr="00EC475D">
        <w:rPr>
          <w:rFonts w:ascii="Verdana" w:hAnsi="Verdana" w:cs="Verdana"/>
          <w:spacing w:val="-2"/>
          <w:sz w:val="20"/>
          <w:lang w:val="es-ES"/>
        </w:rPr>
        <w:t xml:space="preserve">. Las decisiones judiciales también determinaron la prescripción de otro delito y la absolutoria de algunos imputados. </w:t>
      </w:r>
      <w:r w:rsidR="004D16B7" w:rsidRPr="00EC475D">
        <w:rPr>
          <w:rFonts w:ascii="Verdana" w:hAnsi="Verdana" w:cs="Verdana"/>
          <w:spacing w:val="-2"/>
          <w:sz w:val="20"/>
          <w:lang w:val="es-ES"/>
        </w:rPr>
        <w:t>Actualmente no se encuentra ninguna investigación en trámite y el Estado ha solicitado a la Corte que declare cumplida la obligación de investigar.</w:t>
      </w:r>
      <w:r w:rsidR="00AF4D90" w:rsidRPr="00EC475D">
        <w:rPr>
          <w:rFonts w:ascii="Verdana" w:hAnsi="Verdana" w:cs="Verdana"/>
          <w:spacing w:val="-2"/>
          <w:sz w:val="20"/>
          <w:lang w:val="es-ES"/>
        </w:rPr>
        <w:t xml:space="preserve"> Si bien los representantes</w:t>
      </w:r>
      <w:r w:rsidR="00AE2B79" w:rsidRPr="00EC475D">
        <w:rPr>
          <w:rStyle w:val="FootnoteReference"/>
          <w:rFonts w:ascii="Verdana" w:hAnsi="Verdana" w:cs="Verdana"/>
          <w:spacing w:val="-2"/>
          <w:sz w:val="20"/>
          <w:lang w:val="es-ES"/>
        </w:rPr>
        <w:footnoteReference w:id="20"/>
      </w:r>
      <w:r w:rsidR="00AF4D90" w:rsidRPr="00EC475D">
        <w:rPr>
          <w:rFonts w:ascii="Verdana" w:hAnsi="Verdana" w:cs="Verdana"/>
          <w:spacing w:val="-2"/>
          <w:sz w:val="20"/>
          <w:lang w:val="es-ES"/>
        </w:rPr>
        <w:t xml:space="preserve"> y la Comisión</w:t>
      </w:r>
      <w:r w:rsidR="00AE2B79" w:rsidRPr="00EC475D">
        <w:rPr>
          <w:rStyle w:val="FootnoteReference"/>
          <w:rFonts w:ascii="Verdana" w:hAnsi="Verdana" w:cs="Verdana"/>
          <w:spacing w:val="-2"/>
          <w:sz w:val="20"/>
          <w:lang w:val="es-ES"/>
        </w:rPr>
        <w:footnoteReference w:id="21"/>
      </w:r>
      <w:r w:rsidR="00AF4D90" w:rsidRPr="00EC475D">
        <w:rPr>
          <w:rFonts w:ascii="Verdana" w:hAnsi="Verdana" w:cs="Verdana"/>
          <w:spacing w:val="-2"/>
          <w:sz w:val="20"/>
          <w:lang w:val="es-ES"/>
        </w:rPr>
        <w:t xml:space="preserve"> reconocieron los avances realizados por el Estado, presentaron una objeción por considerar que el Estado debía informar sobre la existencia de investigaciones tendientes a identificar las </w:t>
      </w:r>
      <w:r w:rsidR="00D630ED">
        <w:rPr>
          <w:rFonts w:ascii="Verdana" w:hAnsi="Verdana" w:cs="Verdana"/>
          <w:spacing w:val="-2"/>
          <w:sz w:val="20"/>
          <w:lang w:val="es-ES"/>
        </w:rPr>
        <w:t xml:space="preserve">posibles </w:t>
      </w:r>
      <w:r w:rsidR="00AF4D90" w:rsidRPr="00EC475D">
        <w:rPr>
          <w:rFonts w:ascii="Verdana" w:hAnsi="Verdana" w:cs="Verdana"/>
          <w:spacing w:val="-2"/>
          <w:sz w:val="20"/>
          <w:lang w:val="es-ES"/>
        </w:rPr>
        <w:t>autorías intelectuales de los hechos</w:t>
      </w:r>
      <w:r w:rsidR="00D44FEC" w:rsidRPr="00EC475D">
        <w:rPr>
          <w:rFonts w:ascii="Verdana" w:hAnsi="Verdana" w:cs="Verdana"/>
          <w:spacing w:val="-2"/>
          <w:sz w:val="20"/>
          <w:lang w:val="es-ES"/>
        </w:rPr>
        <w:t xml:space="preserve"> (</w:t>
      </w:r>
      <w:r w:rsidR="00D44FEC" w:rsidRPr="00EC475D">
        <w:rPr>
          <w:rFonts w:ascii="Verdana" w:hAnsi="Verdana" w:cs="Verdana"/>
          <w:i/>
          <w:spacing w:val="-2"/>
          <w:sz w:val="20"/>
          <w:lang w:val="es-ES"/>
        </w:rPr>
        <w:t xml:space="preserve">infra </w:t>
      </w:r>
      <w:r w:rsidR="00D44FEC" w:rsidRPr="00EC475D">
        <w:rPr>
          <w:rFonts w:ascii="Verdana" w:hAnsi="Verdana" w:cs="Verdana"/>
          <w:spacing w:val="-2"/>
          <w:sz w:val="20"/>
          <w:lang w:val="es-ES"/>
        </w:rPr>
        <w:t xml:space="preserve">Considerando </w:t>
      </w:r>
      <w:r w:rsidR="00F16FC5" w:rsidRPr="00EC475D">
        <w:rPr>
          <w:rFonts w:ascii="Verdana" w:hAnsi="Verdana" w:cs="Verdana"/>
          <w:spacing w:val="-2"/>
          <w:sz w:val="20"/>
          <w:lang w:val="es-ES"/>
        </w:rPr>
        <w:t>12</w:t>
      </w:r>
      <w:r w:rsidR="00D44FEC" w:rsidRPr="00EC475D">
        <w:rPr>
          <w:rFonts w:ascii="Verdana" w:hAnsi="Verdana" w:cs="Verdana"/>
          <w:spacing w:val="-2"/>
          <w:sz w:val="20"/>
          <w:lang w:val="es-ES"/>
        </w:rPr>
        <w:t>)</w:t>
      </w:r>
      <w:r w:rsidR="00AE2B79" w:rsidRPr="00EC475D">
        <w:rPr>
          <w:rStyle w:val="FootnoteReference"/>
          <w:rFonts w:ascii="Verdana" w:hAnsi="Verdana" w:cs="Verdana"/>
          <w:spacing w:val="-2"/>
          <w:sz w:val="20"/>
          <w:lang w:val="es-ES"/>
        </w:rPr>
        <w:footnoteReference w:id="22"/>
      </w:r>
      <w:r w:rsidR="00AF4D90" w:rsidRPr="00EC475D">
        <w:rPr>
          <w:rFonts w:ascii="Verdana" w:hAnsi="Verdana" w:cs="Verdana"/>
          <w:spacing w:val="-2"/>
          <w:sz w:val="20"/>
          <w:lang w:val="es-ES"/>
        </w:rPr>
        <w:t>. Con base en dicha objeción, solicitaron al Tribunal mantener abierta la supervisión</w:t>
      </w:r>
      <w:r w:rsidR="00197B2A" w:rsidRPr="00EC475D">
        <w:rPr>
          <w:rFonts w:ascii="Verdana" w:hAnsi="Verdana" w:cs="Verdana"/>
          <w:spacing w:val="-2"/>
          <w:sz w:val="20"/>
          <w:lang w:val="es-ES"/>
        </w:rPr>
        <w:t xml:space="preserve"> de la obligación de investigar</w:t>
      </w:r>
      <w:r w:rsidR="00AF4D90" w:rsidRPr="00EC475D">
        <w:rPr>
          <w:rFonts w:ascii="Verdana" w:hAnsi="Verdana" w:cs="Verdana"/>
          <w:spacing w:val="-2"/>
          <w:sz w:val="20"/>
          <w:lang w:val="es-ES"/>
        </w:rPr>
        <w:t>.</w:t>
      </w:r>
    </w:p>
    <w:p w:rsidR="004D16B7" w:rsidRPr="00EC475D" w:rsidRDefault="004D16B7" w:rsidP="00B14F91">
      <w:pPr>
        <w:spacing w:after="0" w:line="240" w:lineRule="auto"/>
        <w:jc w:val="both"/>
        <w:rPr>
          <w:rFonts w:ascii="Verdana" w:hAnsi="Verdana" w:cs="Verdana"/>
          <w:spacing w:val="-2"/>
          <w:sz w:val="20"/>
          <w:lang w:val="es-ES"/>
        </w:rPr>
      </w:pPr>
    </w:p>
    <w:p w:rsidR="004D1D83" w:rsidRPr="00EC475D" w:rsidRDefault="003E25CA" w:rsidP="00B14F91">
      <w:pPr>
        <w:spacing w:after="0" w:line="240" w:lineRule="auto"/>
        <w:jc w:val="both"/>
        <w:rPr>
          <w:rFonts w:ascii="Verdana" w:hAnsi="Verdana"/>
          <w:sz w:val="20"/>
        </w:rPr>
      </w:pPr>
      <w:r w:rsidRPr="00EC475D">
        <w:rPr>
          <w:rFonts w:ascii="Verdana" w:hAnsi="Verdana" w:cs="Verdana"/>
          <w:spacing w:val="-2"/>
          <w:sz w:val="20"/>
          <w:lang w:val="es-ES"/>
        </w:rPr>
        <w:t>10</w:t>
      </w:r>
      <w:r w:rsidR="00E16BA7" w:rsidRPr="00EC475D">
        <w:rPr>
          <w:rFonts w:ascii="Verdana" w:hAnsi="Verdana" w:cs="Verdana"/>
          <w:spacing w:val="-2"/>
          <w:sz w:val="20"/>
          <w:lang w:val="es-ES"/>
        </w:rPr>
        <w:t>.</w:t>
      </w:r>
      <w:r w:rsidR="00E16BA7" w:rsidRPr="00EC475D">
        <w:rPr>
          <w:rFonts w:ascii="Verdana" w:hAnsi="Verdana" w:cs="Verdana"/>
          <w:spacing w:val="-2"/>
          <w:sz w:val="20"/>
          <w:lang w:val="es-ES"/>
        </w:rPr>
        <w:tab/>
      </w:r>
      <w:r w:rsidR="006D356F" w:rsidRPr="00EC475D">
        <w:rPr>
          <w:rFonts w:ascii="Verdana" w:hAnsi="Verdana" w:cs="Verdana"/>
          <w:spacing w:val="-2"/>
          <w:sz w:val="20"/>
          <w:lang w:val="es-ES"/>
        </w:rPr>
        <w:t>A continuación, la Corte detallará</w:t>
      </w:r>
      <w:r w:rsidR="00AC3F4A" w:rsidRPr="00EC475D">
        <w:rPr>
          <w:rFonts w:ascii="Verdana" w:hAnsi="Verdana" w:cs="Verdana"/>
          <w:spacing w:val="-2"/>
          <w:sz w:val="20"/>
          <w:lang w:val="es-ES"/>
        </w:rPr>
        <w:t xml:space="preserve"> </w:t>
      </w:r>
      <w:r w:rsidR="006D356F" w:rsidRPr="00EC475D">
        <w:rPr>
          <w:rFonts w:ascii="Verdana" w:hAnsi="Verdana" w:cs="Verdana"/>
          <w:spacing w:val="-2"/>
          <w:sz w:val="20"/>
          <w:lang w:val="es-ES"/>
        </w:rPr>
        <w:t>las decisiones que produjeron los</w:t>
      </w:r>
      <w:r w:rsidR="0032735C" w:rsidRPr="00EC475D">
        <w:rPr>
          <w:rFonts w:ascii="Verdana" w:hAnsi="Verdana" w:cs="Verdana"/>
          <w:spacing w:val="-2"/>
          <w:sz w:val="20"/>
          <w:lang w:val="es-ES"/>
        </w:rPr>
        <w:t xml:space="preserve"> </w:t>
      </w:r>
      <w:r w:rsidR="006D356F" w:rsidRPr="00EC475D">
        <w:rPr>
          <w:rFonts w:ascii="Verdana" w:hAnsi="Verdana" w:cs="Verdana"/>
          <w:spacing w:val="-2"/>
          <w:sz w:val="20"/>
          <w:lang w:val="es-ES"/>
        </w:rPr>
        <w:t xml:space="preserve">referidos </w:t>
      </w:r>
      <w:r w:rsidR="0032735C" w:rsidRPr="00EC475D">
        <w:rPr>
          <w:rFonts w:ascii="Verdana" w:hAnsi="Verdana" w:cs="Verdana"/>
          <w:spacing w:val="-2"/>
          <w:sz w:val="20"/>
          <w:lang w:val="es-ES"/>
        </w:rPr>
        <w:t>procesos</w:t>
      </w:r>
      <w:r w:rsidR="006D356F" w:rsidRPr="00EC475D">
        <w:rPr>
          <w:rFonts w:ascii="Verdana" w:hAnsi="Verdana" w:cs="Verdana"/>
          <w:spacing w:val="-2"/>
          <w:sz w:val="20"/>
          <w:lang w:val="es-ES"/>
        </w:rPr>
        <w:t xml:space="preserve"> penales (</w:t>
      </w:r>
      <w:r w:rsidR="006D356F" w:rsidRPr="00EC475D">
        <w:rPr>
          <w:rFonts w:ascii="Verdana" w:hAnsi="Verdana" w:cs="Verdana"/>
          <w:i/>
          <w:spacing w:val="-2"/>
          <w:sz w:val="20"/>
          <w:lang w:val="es-ES"/>
        </w:rPr>
        <w:t xml:space="preserve">supra </w:t>
      </w:r>
      <w:r w:rsidR="006D356F" w:rsidRPr="00EC475D">
        <w:rPr>
          <w:rFonts w:ascii="Verdana" w:hAnsi="Verdana" w:cs="Verdana"/>
          <w:spacing w:val="-2"/>
          <w:sz w:val="20"/>
          <w:lang w:val="es-ES"/>
        </w:rPr>
        <w:t xml:space="preserve">Considerando </w:t>
      </w:r>
      <w:r w:rsidR="00D97E46" w:rsidRPr="00EC475D">
        <w:rPr>
          <w:rFonts w:ascii="Verdana" w:hAnsi="Verdana" w:cs="Verdana"/>
          <w:spacing w:val="-2"/>
          <w:sz w:val="20"/>
          <w:lang w:val="es-ES"/>
        </w:rPr>
        <w:t>9</w:t>
      </w:r>
      <w:r w:rsidR="006D356F" w:rsidRPr="00EC475D">
        <w:rPr>
          <w:rFonts w:ascii="Verdana" w:hAnsi="Verdana" w:cs="Verdana"/>
          <w:spacing w:val="-2"/>
          <w:sz w:val="20"/>
          <w:lang w:val="es-ES"/>
        </w:rPr>
        <w:t xml:space="preserve">) y posteriormente </w:t>
      </w:r>
      <w:r w:rsidR="006D356F" w:rsidRPr="00EC475D">
        <w:rPr>
          <w:rFonts w:ascii="Verdana" w:hAnsi="Verdana"/>
          <w:sz w:val="20"/>
        </w:rPr>
        <w:t xml:space="preserve">valorará el cumplimiento de </w:t>
      </w:r>
      <w:r w:rsidR="006D356F" w:rsidRPr="00EC475D">
        <w:rPr>
          <w:rFonts w:ascii="Verdana" w:hAnsi="Verdana"/>
          <w:sz w:val="20"/>
          <w:lang w:val="es-ES"/>
        </w:rPr>
        <w:t>la obligación de investigar, juzgar y, en su caso, sancionar</w:t>
      </w:r>
      <w:r w:rsidR="00AC3F4A" w:rsidRPr="00EC475D">
        <w:rPr>
          <w:rFonts w:ascii="Verdana" w:hAnsi="Verdana"/>
          <w:sz w:val="20"/>
          <w:lang w:val="es-ES"/>
        </w:rPr>
        <w:t>, tomando particularmente en cuenta la objeción realizada por los representantes y la Comisión</w:t>
      </w:r>
      <w:r w:rsidR="00F16FC5" w:rsidRPr="00EC475D">
        <w:rPr>
          <w:rFonts w:ascii="Verdana" w:hAnsi="Verdana"/>
          <w:sz w:val="20"/>
          <w:lang w:val="es-ES"/>
        </w:rPr>
        <w:t xml:space="preserve"> (</w:t>
      </w:r>
      <w:r w:rsidR="00F16FC5" w:rsidRPr="00EC475D">
        <w:rPr>
          <w:rFonts w:ascii="Verdana" w:hAnsi="Verdana"/>
          <w:i/>
          <w:sz w:val="20"/>
          <w:lang w:val="es-ES"/>
        </w:rPr>
        <w:t xml:space="preserve">infra </w:t>
      </w:r>
      <w:r w:rsidR="00F16FC5" w:rsidRPr="00EC475D">
        <w:rPr>
          <w:rFonts w:ascii="Verdana" w:hAnsi="Verdana"/>
          <w:sz w:val="20"/>
          <w:lang w:val="es-ES"/>
        </w:rPr>
        <w:t>Considerando 12)</w:t>
      </w:r>
      <w:r w:rsidR="004D1D83" w:rsidRPr="00EC475D">
        <w:rPr>
          <w:rFonts w:ascii="Verdana" w:hAnsi="Verdana" w:cs="Verdana"/>
          <w:spacing w:val="-2"/>
          <w:sz w:val="20"/>
          <w:lang w:val="es-ES"/>
        </w:rPr>
        <w:t>:</w:t>
      </w:r>
    </w:p>
    <w:p w:rsidR="004D1D83" w:rsidRPr="00EC475D" w:rsidRDefault="004D1D83" w:rsidP="00B14F91">
      <w:pPr>
        <w:spacing w:after="0" w:line="240" w:lineRule="auto"/>
        <w:jc w:val="both"/>
        <w:rPr>
          <w:rFonts w:ascii="Verdana" w:hAnsi="Verdana"/>
          <w:sz w:val="20"/>
        </w:rPr>
      </w:pPr>
    </w:p>
    <w:p w:rsidR="004D1D83" w:rsidRPr="00EC475D" w:rsidRDefault="004D1D83" w:rsidP="00B14F91">
      <w:pPr>
        <w:pStyle w:val="ListParagraph"/>
        <w:numPr>
          <w:ilvl w:val="0"/>
          <w:numId w:val="11"/>
        </w:numPr>
        <w:spacing w:after="0" w:line="240" w:lineRule="auto"/>
        <w:jc w:val="both"/>
        <w:rPr>
          <w:rFonts w:ascii="Verdana" w:hAnsi="Verdana"/>
          <w:sz w:val="20"/>
        </w:rPr>
      </w:pPr>
      <w:r w:rsidRPr="00EC475D">
        <w:rPr>
          <w:rFonts w:ascii="Verdana" w:hAnsi="Verdana"/>
          <w:sz w:val="20"/>
        </w:rPr>
        <w:t xml:space="preserve">Respecto </w:t>
      </w:r>
      <w:r w:rsidR="0001219C" w:rsidRPr="00EC475D">
        <w:rPr>
          <w:rFonts w:ascii="Verdana" w:hAnsi="Verdana"/>
          <w:sz w:val="20"/>
        </w:rPr>
        <w:t>al p</w:t>
      </w:r>
      <w:r w:rsidR="004926D7" w:rsidRPr="00EC475D">
        <w:rPr>
          <w:rFonts w:ascii="Verdana" w:hAnsi="Verdana"/>
          <w:sz w:val="20"/>
        </w:rPr>
        <w:t xml:space="preserve">roceso para investigar </w:t>
      </w:r>
      <w:r w:rsidR="0026666A" w:rsidRPr="00EC475D">
        <w:rPr>
          <w:rFonts w:ascii="Verdana" w:hAnsi="Verdana"/>
          <w:sz w:val="20"/>
        </w:rPr>
        <w:t xml:space="preserve">la privación de la vida </w:t>
      </w:r>
      <w:r w:rsidRPr="00EC475D">
        <w:rPr>
          <w:rFonts w:ascii="Verdana" w:hAnsi="Verdana"/>
          <w:sz w:val="20"/>
        </w:rPr>
        <w:t xml:space="preserve">del señor </w:t>
      </w:r>
      <w:proofErr w:type="spellStart"/>
      <w:r w:rsidRPr="00EC475D">
        <w:rPr>
          <w:rFonts w:ascii="Verdana" w:hAnsi="Verdana"/>
          <w:sz w:val="20"/>
        </w:rPr>
        <w:t>Escué</w:t>
      </w:r>
      <w:proofErr w:type="spellEnd"/>
      <w:r w:rsidRPr="00EC475D">
        <w:rPr>
          <w:rFonts w:ascii="Verdana" w:hAnsi="Verdana"/>
          <w:sz w:val="20"/>
        </w:rPr>
        <w:t xml:space="preserve"> Zapata</w:t>
      </w:r>
      <w:r w:rsidR="00C77BB4" w:rsidRPr="00EC475D">
        <w:rPr>
          <w:rFonts w:ascii="Verdana" w:hAnsi="Verdana"/>
          <w:sz w:val="20"/>
        </w:rPr>
        <w:t xml:space="preserve"> iniciado en el año 2002 </w:t>
      </w:r>
      <w:r w:rsidRPr="00EC475D">
        <w:rPr>
          <w:rFonts w:ascii="Verdana" w:hAnsi="Verdana"/>
          <w:sz w:val="20"/>
        </w:rPr>
        <w:t>(proceso 2003-00124):</w:t>
      </w:r>
    </w:p>
    <w:p w:rsidR="004D1D83" w:rsidRPr="00EC475D" w:rsidRDefault="004D1D83" w:rsidP="00B14F91">
      <w:pPr>
        <w:pStyle w:val="ListParagraph"/>
        <w:numPr>
          <w:ilvl w:val="0"/>
          <w:numId w:val="12"/>
        </w:numPr>
        <w:spacing w:after="0" w:line="240" w:lineRule="auto"/>
        <w:jc w:val="both"/>
        <w:rPr>
          <w:rFonts w:ascii="Verdana" w:hAnsi="Verdana" w:cs="Arial"/>
          <w:sz w:val="20"/>
          <w:szCs w:val="20"/>
        </w:rPr>
      </w:pPr>
      <w:r w:rsidRPr="00EC475D">
        <w:rPr>
          <w:rFonts w:ascii="Verdana" w:hAnsi="Verdana"/>
          <w:sz w:val="20"/>
          <w:szCs w:val="20"/>
        </w:rPr>
        <w:t>E</w:t>
      </w:r>
      <w:r w:rsidRPr="00EC475D">
        <w:rPr>
          <w:rFonts w:ascii="Verdana" w:hAnsi="Verdana"/>
          <w:sz w:val="20"/>
          <w:szCs w:val="20"/>
          <w:lang w:val="es-ES"/>
        </w:rPr>
        <w:t>l Juzgado Segundo Penal de</w:t>
      </w:r>
      <w:r w:rsidR="00193C5D">
        <w:rPr>
          <w:rFonts w:ascii="Verdana" w:hAnsi="Verdana"/>
          <w:sz w:val="20"/>
          <w:szCs w:val="20"/>
          <w:lang w:val="es-ES"/>
        </w:rPr>
        <w:t>l</w:t>
      </w:r>
      <w:r w:rsidRPr="00EC475D">
        <w:rPr>
          <w:rFonts w:ascii="Verdana" w:hAnsi="Verdana"/>
          <w:sz w:val="20"/>
          <w:szCs w:val="20"/>
          <w:lang w:val="es-ES"/>
        </w:rPr>
        <w:t xml:space="preserve"> Circuito de Santander de Quilichao dictó sentencia el 9 de ju</w:t>
      </w:r>
      <w:r w:rsidR="004912E2" w:rsidRPr="00EC475D">
        <w:rPr>
          <w:rFonts w:ascii="Verdana" w:hAnsi="Verdana"/>
          <w:sz w:val="20"/>
          <w:szCs w:val="20"/>
          <w:lang w:val="es-ES"/>
        </w:rPr>
        <w:t>l</w:t>
      </w:r>
      <w:r w:rsidRPr="00EC475D">
        <w:rPr>
          <w:rFonts w:ascii="Verdana" w:hAnsi="Verdana"/>
          <w:sz w:val="20"/>
          <w:szCs w:val="20"/>
          <w:lang w:val="es-ES"/>
        </w:rPr>
        <w:t>io de 2008</w:t>
      </w:r>
      <w:r w:rsidR="008A34D3" w:rsidRPr="00EC475D">
        <w:rPr>
          <w:rFonts w:ascii="Verdana" w:hAnsi="Verdana"/>
          <w:sz w:val="20"/>
          <w:szCs w:val="20"/>
          <w:lang w:val="es-ES"/>
        </w:rPr>
        <w:t xml:space="preserve">, en la cual </w:t>
      </w:r>
      <w:r w:rsidR="00C413EE" w:rsidRPr="00EC475D">
        <w:rPr>
          <w:rFonts w:ascii="Verdana" w:hAnsi="Verdana"/>
          <w:sz w:val="20"/>
          <w:szCs w:val="20"/>
          <w:lang w:val="es-ES"/>
        </w:rPr>
        <w:t>conden</w:t>
      </w:r>
      <w:r w:rsidR="008A34D3" w:rsidRPr="00EC475D">
        <w:rPr>
          <w:rFonts w:ascii="Verdana" w:hAnsi="Verdana"/>
          <w:sz w:val="20"/>
          <w:szCs w:val="20"/>
          <w:lang w:val="es-ES"/>
        </w:rPr>
        <w:t>ó</w:t>
      </w:r>
      <w:r w:rsidR="00C413EE" w:rsidRPr="00EC475D">
        <w:rPr>
          <w:rFonts w:ascii="Verdana" w:hAnsi="Verdana"/>
          <w:sz w:val="20"/>
          <w:szCs w:val="20"/>
          <w:lang w:val="es-ES"/>
        </w:rPr>
        <w:t xml:space="preserve"> </w:t>
      </w:r>
      <w:r w:rsidR="008A34D3" w:rsidRPr="00EC475D">
        <w:rPr>
          <w:rFonts w:ascii="Verdana" w:hAnsi="Verdana"/>
          <w:sz w:val="20"/>
          <w:szCs w:val="20"/>
          <w:lang w:val="es-ES"/>
        </w:rPr>
        <w:t xml:space="preserve">a los cabos Roberto Camacho Riaño </w:t>
      </w:r>
      <w:r w:rsidR="0095508E" w:rsidRPr="00EC475D">
        <w:rPr>
          <w:rFonts w:ascii="Verdana" w:hAnsi="Verdana"/>
          <w:sz w:val="20"/>
          <w:szCs w:val="20"/>
          <w:lang w:val="es-ES"/>
        </w:rPr>
        <w:t xml:space="preserve">y </w:t>
      </w:r>
      <w:proofErr w:type="spellStart"/>
      <w:r w:rsidR="0095508E" w:rsidRPr="00EC475D">
        <w:rPr>
          <w:rFonts w:ascii="Verdana" w:hAnsi="Verdana"/>
          <w:sz w:val="20"/>
          <w:szCs w:val="20"/>
          <w:lang w:val="es-ES"/>
        </w:rPr>
        <w:t>Evert</w:t>
      </w:r>
      <w:proofErr w:type="spellEnd"/>
      <w:r w:rsidR="0095508E" w:rsidRPr="00EC475D">
        <w:rPr>
          <w:rFonts w:ascii="Verdana" w:hAnsi="Verdana"/>
          <w:sz w:val="20"/>
          <w:szCs w:val="20"/>
          <w:lang w:val="es-ES"/>
        </w:rPr>
        <w:t xml:space="preserve"> Ospina Martínez </w:t>
      </w:r>
      <w:r w:rsidR="008A34D3" w:rsidRPr="00EC475D">
        <w:rPr>
          <w:rFonts w:ascii="Verdana" w:hAnsi="Verdana"/>
          <w:sz w:val="20"/>
          <w:szCs w:val="20"/>
          <w:lang w:val="es-ES"/>
        </w:rPr>
        <w:t xml:space="preserve">y al teniente Jorge Alberto Navarro Denia </w:t>
      </w:r>
      <w:r w:rsidR="00C413EE" w:rsidRPr="00EC475D">
        <w:rPr>
          <w:rFonts w:ascii="Verdana" w:hAnsi="Verdana"/>
          <w:sz w:val="20"/>
          <w:szCs w:val="20"/>
          <w:lang w:val="es-ES"/>
        </w:rPr>
        <w:t xml:space="preserve">como “autores penalmente responsable[s] de un delito de </w:t>
      </w:r>
      <w:r w:rsidR="003D39D7" w:rsidRPr="00EC475D">
        <w:rPr>
          <w:rFonts w:ascii="Verdana" w:hAnsi="Verdana"/>
          <w:sz w:val="20"/>
          <w:szCs w:val="20"/>
          <w:lang w:val="es-ES"/>
        </w:rPr>
        <w:t>[h]</w:t>
      </w:r>
      <w:proofErr w:type="spellStart"/>
      <w:r w:rsidR="00C413EE" w:rsidRPr="00EC475D">
        <w:rPr>
          <w:rFonts w:ascii="Verdana" w:hAnsi="Verdana"/>
          <w:sz w:val="20"/>
          <w:szCs w:val="20"/>
          <w:lang w:val="es-ES"/>
        </w:rPr>
        <w:t>omicidio</w:t>
      </w:r>
      <w:proofErr w:type="spellEnd"/>
      <w:r w:rsidR="00C413EE" w:rsidRPr="00EC475D">
        <w:rPr>
          <w:rFonts w:ascii="Verdana" w:hAnsi="Verdana"/>
          <w:sz w:val="20"/>
          <w:szCs w:val="20"/>
          <w:lang w:val="es-ES"/>
        </w:rPr>
        <w:t xml:space="preserve"> </w:t>
      </w:r>
      <w:r w:rsidR="003D39D7" w:rsidRPr="00EC475D">
        <w:rPr>
          <w:rFonts w:ascii="Verdana" w:hAnsi="Verdana"/>
          <w:sz w:val="20"/>
          <w:szCs w:val="20"/>
          <w:lang w:val="es-ES"/>
        </w:rPr>
        <w:t>[a]</w:t>
      </w:r>
      <w:r w:rsidR="00C413EE" w:rsidRPr="00EC475D">
        <w:rPr>
          <w:rFonts w:ascii="Verdana" w:hAnsi="Verdana"/>
          <w:sz w:val="20"/>
          <w:szCs w:val="20"/>
          <w:lang w:val="es-ES"/>
        </w:rPr>
        <w:t>gravado”</w:t>
      </w:r>
      <w:r w:rsidR="008A34D3" w:rsidRPr="00EC475D">
        <w:rPr>
          <w:rFonts w:ascii="Verdana" w:hAnsi="Verdana"/>
          <w:sz w:val="20"/>
          <w:szCs w:val="20"/>
          <w:lang w:val="es-ES"/>
        </w:rPr>
        <w:t xml:space="preserve"> en perjuicio del señor Germán </w:t>
      </w:r>
      <w:proofErr w:type="spellStart"/>
      <w:r w:rsidR="008A34D3" w:rsidRPr="00EC475D">
        <w:rPr>
          <w:rFonts w:ascii="Verdana" w:hAnsi="Verdana"/>
          <w:sz w:val="20"/>
          <w:szCs w:val="20"/>
          <w:lang w:val="es-ES"/>
        </w:rPr>
        <w:t>Escué</w:t>
      </w:r>
      <w:proofErr w:type="spellEnd"/>
      <w:r w:rsidR="008A34D3" w:rsidRPr="00EC475D">
        <w:rPr>
          <w:rFonts w:ascii="Verdana" w:hAnsi="Verdana"/>
          <w:sz w:val="20"/>
          <w:szCs w:val="20"/>
          <w:lang w:val="es-ES"/>
        </w:rPr>
        <w:t xml:space="preserve"> Zapata</w:t>
      </w:r>
      <w:r w:rsidR="00467C92" w:rsidRPr="00EC475D">
        <w:rPr>
          <w:rFonts w:ascii="Verdana" w:hAnsi="Verdana"/>
          <w:sz w:val="20"/>
          <w:szCs w:val="20"/>
          <w:lang w:val="es-ES"/>
        </w:rPr>
        <w:t>.</w:t>
      </w:r>
      <w:r w:rsidR="008A34D3" w:rsidRPr="00EC475D">
        <w:rPr>
          <w:rFonts w:ascii="Verdana" w:hAnsi="Verdana"/>
          <w:sz w:val="20"/>
          <w:szCs w:val="20"/>
          <w:lang w:val="es-ES"/>
        </w:rPr>
        <w:t xml:space="preserve"> </w:t>
      </w:r>
      <w:r w:rsidR="00467C92" w:rsidRPr="006138B3">
        <w:rPr>
          <w:rFonts w:ascii="Verdana" w:hAnsi="Verdana"/>
          <w:sz w:val="20"/>
          <w:szCs w:val="20"/>
          <w:lang w:val="es-ES"/>
        </w:rPr>
        <w:t xml:space="preserve">Se les impuso la pena </w:t>
      </w:r>
      <w:r w:rsidR="00CF5473" w:rsidRPr="006138B3">
        <w:rPr>
          <w:rFonts w:ascii="Verdana" w:hAnsi="Verdana"/>
          <w:sz w:val="20"/>
          <w:szCs w:val="20"/>
          <w:lang w:val="es-ES"/>
        </w:rPr>
        <w:t>privativa de</w:t>
      </w:r>
      <w:r w:rsidR="00896E7E" w:rsidRPr="006138B3">
        <w:rPr>
          <w:rFonts w:ascii="Verdana" w:hAnsi="Verdana"/>
          <w:sz w:val="20"/>
          <w:szCs w:val="20"/>
          <w:lang w:val="es-ES"/>
        </w:rPr>
        <w:t xml:space="preserve"> </w:t>
      </w:r>
      <w:r w:rsidR="00CF5473" w:rsidRPr="006138B3">
        <w:rPr>
          <w:rFonts w:ascii="Verdana" w:hAnsi="Verdana"/>
          <w:sz w:val="20"/>
          <w:szCs w:val="20"/>
          <w:lang w:val="es-ES"/>
        </w:rPr>
        <w:t>libertad de 18 años</w:t>
      </w:r>
      <w:r w:rsidR="00CF5473" w:rsidRPr="00EC475D">
        <w:rPr>
          <w:rFonts w:ascii="Verdana" w:hAnsi="Verdana"/>
          <w:sz w:val="20"/>
          <w:szCs w:val="20"/>
          <w:lang w:val="es-ES"/>
        </w:rPr>
        <w:t xml:space="preserve"> </w:t>
      </w:r>
      <w:r w:rsidR="00467C92" w:rsidRPr="00EC475D">
        <w:rPr>
          <w:rFonts w:ascii="Verdana" w:hAnsi="Verdana"/>
          <w:sz w:val="20"/>
          <w:szCs w:val="20"/>
          <w:lang w:val="es-ES"/>
        </w:rPr>
        <w:t xml:space="preserve">y la de </w:t>
      </w:r>
      <w:r w:rsidR="00826390" w:rsidRPr="00EC475D">
        <w:rPr>
          <w:rFonts w:ascii="Verdana" w:hAnsi="Verdana"/>
          <w:sz w:val="20"/>
          <w:szCs w:val="20"/>
          <w:lang w:val="es-ES"/>
        </w:rPr>
        <w:t>inhabilit</w:t>
      </w:r>
      <w:r w:rsidR="00467C92" w:rsidRPr="00EC475D">
        <w:rPr>
          <w:rFonts w:ascii="Verdana" w:hAnsi="Verdana"/>
          <w:sz w:val="20"/>
          <w:szCs w:val="20"/>
          <w:lang w:val="es-ES"/>
        </w:rPr>
        <w:t>ación</w:t>
      </w:r>
      <w:r w:rsidR="00826390" w:rsidRPr="00EC475D">
        <w:rPr>
          <w:rFonts w:ascii="Verdana" w:hAnsi="Verdana"/>
          <w:sz w:val="20"/>
          <w:szCs w:val="20"/>
          <w:lang w:val="es-ES"/>
        </w:rPr>
        <w:t xml:space="preserve"> en “funciones públicas por un tiempo igual a la de la pena</w:t>
      </w:r>
      <w:r w:rsidR="006138B3">
        <w:rPr>
          <w:rFonts w:ascii="Verdana" w:hAnsi="Verdana"/>
          <w:sz w:val="20"/>
          <w:szCs w:val="20"/>
          <w:lang w:val="es-ES"/>
        </w:rPr>
        <w:t xml:space="preserve"> [principal]</w:t>
      </w:r>
      <w:r w:rsidR="00467C92" w:rsidRPr="00EC475D">
        <w:rPr>
          <w:rFonts w:ascii="Verdana" w:hAnsi="Verdana"/>
          <w:sz w:val="20"/>
          <w:szCs w:val="20"/>
          <w:lang w:val="es-ES"/>
        </w:rPr>
        <w:t>”</w:t>
      </w:r>
      <w:r w:rsidR="003D39D7" w:rsidRPr="00EC475D">
        <w:rPr>
          <w:rFonts w:ascii="Verdana" w:hAnsi="Verdana"/>
          <w:sz w:val="20"/>
          <w:szCs w:val="20"/>
          <w:lang w:val="es-ES"/>
        </w:rPr>
        <w:t>. Adicionalmente,</w:t>
      </w:r>
      <w:r w:rsidR="00C413EE" w:rsidRPr="00EC475D">
        <w:rPr>
          <w:rFonts w:ascii="Verdana" w:hAnsi="Verdana"/>
          <w:sz w:val="20"/>
          <w:szCs w:val="20"/>
          <w:lang w:val="es-ES"/>
        </w:rPr>
        <w:t xml:space="preserve"> </w:t>
      </w:r>
      <w:r w:rsidR="0095508E" w:rsidRPr="00EC475D">
        <w:rPr>
          <w:rFonts w:ascii="Verdana" w:hAnsi="Verdana"/>
          <w:sz w:val="20"/>
          <w:szCs w:val="20"/>
          <w:lang w:val="es-ES"/>
        </w:rPr>
        <w:t xml:space="preserve">los señores Ospina Martínez y Navarro Denia </w:t>
      </w:r>
      <w:r w:rsidR="003D39D7" w:rsidRPr="00EC475D">
        <w:rPr>
          <w:rFonts w:ascii="Verdana" w:hAnsi="Verdana"/>
          <w:sz w:val="20"/>
          <w:szCs w:val="20"/>
          <w:lang w:val="es-ES"/>
        </w:rPr>
        <w:lastRenderedPageBreak/>
        <w:t xml:space="preserve">fueron condenados </w:t>
      </w:r>
      <w:r w:rsidR="00C413EE" w:rsidRPr="00EC475D">
        <w:rPr>
          <w:rFonts w:ascii="Verdana" w:hAnsi="Verdana"/>
          <w:sz w:val="20"/>
          <w:szCs w:val="20"/>
          <w:lang w:val="es-ES"/>
        </w:rPr>
        <w:t xml:space="preserve">“en concurso material con un delito </w:t>
      </w:r>
      <w:proofErr w:type="gramStart"/>
      <w:r w:rsidR="00C413EE" w:rsidRPr="00EC475D">
        <w:rPr>
          <w:rFonts w:ascii="Verdana" w:hAnsi="Verdana"/>
          <w:sz w:val="20"/>
          <w:szCs w:val="20"/>
          <w:lang w:val="es-ES"/>
        </w:rPr>
        <w:t>d[</w:t>
      </w:r>
      <w:proofErr w:type="gramEnd"/>
      <w:r w:rsidR="00C413EE" w:rsidRPr="00EC475D">
        <w:rPr>
          <w:rFonts w:ascii="Verdana" w:hAnsi="Verdana"/>
          <w:sz w:val="20"/>
          <w:szCs w:val="20"/>
          <w:lang w:val="es-ES"/>
        </w:rPr>
        <w:t>e</w:t>
      </w:r>
      <w:r w:rsidR="003D39D7" w:rsidRPr="00EC475D">
        <w:rPr>
          <w:rFonts w:ascii="Verdana" w:hAnsi="Verdana"/>
          <w:sz w:val="20"/>
          <w:szCs w:val="20"/>
          <w:lang w:val="es-ES"/>
        </w:rPr>
        <w:t xml:space="preserve"> f</w:t>
      </w:r>
      <w:r w:rsidR="00C413EE" w:rsidRPr="00EC475D">
        <w:rPr>
          <w:rFonts w:ascii="Verdana" w:hAnsi="Verdana"/>
          <w:sz w:val="20"/>
          <w:szCs w:val="20"/>
          <w:lang w:val="es-ES"/>
        </w:rPr>
        <w:t>]</w:t>
      </w:r>
      <w:proofErr w:type="spellStart"/>
      <w:r w:rsidR="00C413EE" w:rsidRPr="00EC475D">
        <w:rPr>
          <w:rFonts w:ascii="Verdana" w:hAnsi="Verdana"/>
          <w:sz w:val="20"/>
          <w:szCs w:val="20"/>
          <w:lang w:val="es-ES"/>
        </w:rPr>
        <w:t>also</w:t>
      </w:r>
      <w:proofErr w:type="spellEnd"/>
      <w:r w:rsidR="00C413EE" w:rsidRPr="00EC475D">
        <w:rPr>
          <w:rFonts w:ascii="Verdana" w:hAnsi="Verdana"/>
          <w:sz w:val="20"/>
          <w:szCs w:val="20"/>
          <w:lang w:val="es-ES"/>
        </w:rPr>
        <w:t xml:space="preserve"> </w:t>
      </w:r>
      <w:r w:rsidR="003D39D7" w:rsidRPr="00EC475D">
        <w:rPr>
          <w:rFonts w:ascii="Verdana" w:hAnsi="Verdana"/>
          <w:sz w:val="20"/>
          <w:szCs w:val="20"/>
          <w:lang w:val="es-ES"/>
        </w:rPr>
        <w:t>[t]</w:t>
      </w:r>
      <w:proofErr w:type="spellStart"/>
      <w:r w:rsidR="00C413EE" w:rsidRPr="00EC475D">
        <w:rPr>
          <w:rFonts w:ascii="Verdana" w:hAnsi="Verdana"/>
          <w:sz w:val="20"/>
          <w:szCs w:val="20"/>
          <w:lang w:val="es-ES"/>
        </w:rPr>
        <w:t>estimonio</w:t>
      </w:r>
      <w:proofErr w:type="spellEnd"/>
      <w:r w:rsidR="00C413EE" w:rsidRPr="00EC475D">
        <w:rPr>
          <w:rFonts w:ascii="Verdana" w:hAnsi="Verdana"/>
          <w:sz w:val="20"/>
          <w:szCs w:val="20"/>
          <w:lang w:val="es-ES"/>
        </w:rPr>
        <w:t>”</w:t>
      </w:r>
      <w:r w:rsidR="00CF5473" w:rsidRPr="00EC475D">
        <w:rPr>
          <w:rFonts w:ascii="Verdana" w:hAnsi="Verdana"/>
          <w:sz w:val="20"/>
          <w:szCs w:val="20"/>
          <w:lang w:val="es-ES"/>
        </w:rPr>
        <w:t>, imponiéndoseles la misma pena privativa de libertad de 18 años</w:t>
      </w:r>
      <w:r w:rsidR="00C413EE" w:rsidRPr="00EC475D">
        <w:rPr>
          <w:rFonts w:ascii="Verdana" w:hAnsi="Verdana"/>
          <w:sz w:val="20"/>
          <w:szCs w:val="20"/>
          <w:lang w:val="es-ES"/>
        </w:rPr>
        <w:t>.</w:t>
      </w:r>
      <w:r w:rsidR="00635B8A" w:rsidRPr="00EC475D">
        <w:rPr>
          <w:rFonts w:ascii="Verdana" w:hAnsi="Verdana"/>
          <w:sz w:val="20"/>
          <w:szCs w:val="20"/>
          <w:lang w:val="es-ES"/>
        </w:rPr>
        <w:t xml:space="preserve"> </w:t>
      </w:r>
      <w:r w:rsidRPr="00EC475D">
        <w:rPr>
          <w:rFonts w:ascii="Verdana" w:hAnsi="Verdana"/>
          <w:sz w:val="20"/>
          <w:szCs w:val="20"/>
          <w:lang w:val="es-ES"/>
        </w:rPr>
        <w:t>Dicha sentencia fue apelada por</w:t>
      </w:r>
      <w:r w:rsidR="00467C92" w:rsidRPr="00EC475D">
        <w:rPr>
          <w:rFonts w:ascii="Verdana" w:hAnsi="Verdana"/>
          <w:sz w:val="20"/>
          <w:szCs w:val="20"/>
          <w:lang w:val="es-ES"/>
        </w:rPr>
        <w:t xml:space="preserve"> los condenados</w:t>
      </w:r>
      <w:r w:rsidR="00911355" w:rsidRPr="00EC475D">
        <w:rPr>
          <w:rStyle w:val="FootnoteReference"/>
          <w:rFonts w:ascii="Verdana" w:hAnsi="Verdana"/>
          <w:sz w:val="20"/>
          <w:szCs w:val="20"/>
          <w:lang w:val="es-ES"/>
        </w:rPr>
        <w:footnoteReference w:id="23"/>
      </w:r>
      <w:r w:rsidRPr="00EC475D">
        <w:rPr>
          <w:rFonts w:ascii="Verdana" w:hAnsi="Verdana"/>
          <w:sz w:val="20"/>
          <w:szCs w:val="20"/>
          <w:lang w:val="es-ES"/>
        </w:rPr>
        <w:t>.</w:t>
      </w:r>
    </w:p>
    <w:p w:rsidR="004D1D83" w:rsidRPr="003C7180" w:rsidRDefault="004D1D83" w:rsidP="00DF799C">
      <w:pPr>
        <w:pStyle w:val="ListParagraph"/>
        <w:numPr>
          <w:ilvl w:val="0"/>
          <w:numId w:val="12"/>
        </w:numPr>
        <w:spacing w:after="0" w:line="240" w:lineRule="auto"/>
        <w:jc w:val="both"/>
        <w:rPr>
          <w:rFonts w:ascii="Verdana" w:hAnsi="Verdana" w:cs="Arial"/>
          <w:sz w:val="20"/>
          <w:szCs w:val="20"/>
        </w:rPr>
      </w:pPr>
      <w:r w:rsidRPr="00DF799C">
        <w:rPr>
          <w:rFonts w:ascii="Verdana" w:hAnsi="Verdana"/>
          <w:sz w:val="20"/>
          <w:szCs w:val="20"/>
          <w:lang w:val="es-ES"/>
        </w:rPr>
        <w:t xml:space="preserve">Mediante sentencia dictada el 11 de junio de 2010, la Sala de Decisión Penal del Tribunal Superior del Distrito Judicial </w:t>
      </w:r>
      <w:r w:rsidR="00826390" w:rsidRPr="00446D37">
        <w:rPr>
          <w:rFonts w:ascii="Verdana" w:hAnsi="Verdana"/>
          <w:sz w:val="20"/>
          <w:szCs w:val="20"/>
          <w:lang w:val="es-ES"/>
        </w:rPr>
        <w:t xml:space="preserve">de Popayán </w:t>
      </w:r>
      <w:r w:rsidRPr="00446D37">
        <w:rPr>
          <w:rFonts w:ascii="Verdana" w:hAnsi="Verdana"/>
          <w:sz w:val="20"/>
          <w:szCs w:val="20"/>
          <w:lang w:val="es-ES"/>
        </w:rPr>
        <w:t>resolvió confirmar la sentencia condenatoria de los cabos Roberto Camacho</w:t>
      </w:r>
      <w:r w:rsidR="00941968" w:rsidRPr="00446D37">
        <w:rPr>
          <w:rFonts w:ascii="Verdana" w:hAnsi="Verdana"/>
          <w:sz w:val="20"/>
          <w:szCs w:val="20"/>
          <w:lang w:val="es-ES"/>
        </w:rPr>
        <w:t xml:space="preserve"> Riaño</w:t>
      </w:r>
      <w:r w:rsidRPr="00EE62DE">
        <w:rPr>
          <w:rFonts w:ascii="Verdana" w:hAnsi="Verdana"/>
          <w:sz w:val="20"/>
          <w:szCs w:val="20"/>
          <w:lang w:val="es-ES"/>
        </w:rPr>
        <w:t xml:space="preserve"> y </w:t>
      </w:r>
      <w:proofErr w:type="spellStart"/>
      <w:r w:rsidRPr="00EE62DE">
        <w:rPr>
          <w:rFonts w:ascii="Verdana" w:hAnsi="Verdana"/>
          <w:sz w:val="20"/>
          <w:szCs w:val="20"/>
          <w:lang w:val="es-ES"/>
        </w:rPr>
        <w:t>Evert</w:t>
      </w:r>
      <w:proofErr w:type="spellEnd"/>
      <w:r w:rsidRPr="00EE62DE">
        <w:rPr>
          <w:rFonts w:ascii="Verdana" w:hAnsi="Verdana"/>
          <w:sz w:val="20"/>
          <w:szCs w:val="20"/>
          <w:lang w:val="es-ES"/>
        </w:rPr>
        <w:t xml:space="preserve"> Ospina </w:t>
      </w:r>
      <w:r w:rsidR="00941968" w:rsidRPr="00C246E9">
        <w:rPr>
          <w:rFonts w:ascii="Verdana" w:hAnsi="Verdana"/>
          <w:sz w:val="20"/>
          <w:szCs w:val="20"/>
          <w:lang w:val="es-ES"/>
        </w:rPr>
        <w:t>Martínez</w:t>
      </w:r>
      <w:r w:rsidR="00C16E64" w:rsidRPr="00C246E9">
        <w:rPr>
          <w:rFonts w:ascii="Verdana" w:hAnsi="Verdana"/>
          <w:sz w:val="20"/>
          <w:szCs w:val="20"/>
          <w:lang w:val="es-ES"/>
        </w:rPr>
        <w:t xml:space="preserve"> por el “homicidio agravado</w:t>
      </w:r>
      <w:r w:rsidR="00C16E64" w:rsidRPr="006B43C7">
        <w:rPr>
          <w:rFonts w:ascii="Verdana" w:hAnsi="Verdana"/>
          <w:sz w:val="20"/>
          <w:szCs w:val="20"/>
          <w:lang w:val="es-ES"/>
        </w:rPr>
        <w:t xml:space="preserve">” cometido en perjuicio del señor </w:t>
      </w:r>
      <w:proofErr w:type="spellStart"/>
      <w:r w:rsidR="00C16E64" w:rsidRPr="006B43C7">
        <w:rPr>
          <w:rFonts w:ascii="Verdana" w:hAnsi="Verdana"/>
          <w:sz w:val="20"/>
          <w:szCs w:val="20"/>
          <w:lang w:val="es-ES"/>
        </w:rPr>
        <w:t>Escu</w:t>
      </w:r>
      <w:r w:rsidR="00C16E64" w:rsidRPr="00DD4AC4">
        <w:rPr>
          <w:rFonts w:ascii="Verdana" w:hAnsi="Verdana"/>
          <w:sz w:val="20"/>
          <w:szCs w:val="20"/>
          <w:lang w:val="es-ES"/>
        </w:rPr>
        <w:t>é</w:t>
      </w:r>
      <w:proofErr w:type="spellEnd"/>
      <w:r w:rsidR="00C16E64" w:rsidRPr="00DD4AC4">
        <w:rPr>
          <w:rFonts w:ascii="Verdana" w:hAnsi="Verdana"/>
          <w:sz w:val="20"/>
          <w:szCs w:val="20"/>
          <w:lang w:val="es-ES"/>
        </w:rPr>
        <w:t xml:space="preserve"> Zapata</w:t>
      </w:r>
      <w:r w:rsidR="00941968" w:rsidRPr="00DD4AC4">
        <w:rPr>
          <w:rFonts w:ascii="Verdana" w:hAnsi="Verdana"/>
          <w:sz w:val="20"/>
          <w:szCs w:val="20"/>
          <w:lang w:val="es-ES"/>
        </w:rPr>
        <w:t>,</w:t>
      </w:r>
      <w:r w:rsidRPr="00DD4AC4">
        <w:rPr>
          <w:rFonts w:ascii="Verdana" w:hAnsi="Verdana"/>
          <w:sz w:val="20"/>
          <w:szCs w:val="20"/>
          <w:lang w:val="es-ES"/>
        </w:rPr>
        <w:t xml:space="preserve"> </w:t>
      </w:r>
      <w:r w:rsidR="0016056C">
        <w:rPr>
          <w:rFonts w:ascii="Verdana" w:hAnsi="Verdana"/>
          <w:sz w:val="20"/>
          <w:szCs w:val="20"/>
          <w:lang w:val="es-ES"/>
        </w:rPr>
        <w:t xml:space="preserve">pero anuló la condena impuesta al señor Ospina Martínez por el delito de falso testimonio, por lo que </w:t>
      </w:r>
      <w:r w:rsidRPr="00DD4AC4">
        <w:rPr>
          <w:rFonts w:ascii="Verdana" w:hAnsi="Verdana"/>
          <w:sz w:val="20"/>
          <w:szCs w:val="20"/>
          <w:lang w:val="es-ES"/>
        </w:rPr>
        <w:t>modific</w:t>
      </w:r>
      <w:r w:rsidR="0016056C">
        <w:rPr>
          <w:rFonts w:ascii="Verdana" w:hAnsi="Verdana"/>
          <w:sz w:val="20"/>
          <w:szCs w:val="20"/>
          <w:lang w:val="es-ES"/>
        </w:rPr>
        <w:t>ó su</w:t>
      </w:r>
      <w:r w:rsidRPr="00DD4AC4">
        <w:rPr>
          <w:rFonts w:ascii="Verdana" w:hAnsi="Verdana"/>
          <w:sz w:val="20"/>
          <w:szCs w:val="20"/>
          <w:lang w:val="es-ES"/>
        </w:rPr>
        <w:t xml:space="preserve"> </w:t>
      </w:r>
      <w:r w:rsidR="00941968" w:rsidRPr="00DD4AC4">
        <w:rPr>
          <w:rFonts w:ascii="Verdana" w:hAnsi="Verdana"/>
          <w:sz w:val="20"/>
          <w:szCs w:val="20"/>
          <w:lang w:val="es-ES"/>
        </w:rPr>
        <w:t>pena “de 18 […] a 16 años de prisión”</w:t>
      </w:r>
      <w:r w:rsidR="002270BE" w:rsidRPr="00EC475D">
        <w:rPr>
          <w:rStyle w:val="FootnoteReference"/>
          <w:rFonts w:ascii="Verdana" w:hAnsi="Verdana"/>
          <w:sz w:val="20"/>
          <w:szCs w:val="20"/>
          <w:lang w:val="es-ES"/>
        </w:rPr>
        <w:footnoteReference w:id="24"/>
      </w:r>
      <w:r w:rsidRPr="00DF799C">
        <w:rPr>
          <w:rFonts w:ascii="Verdana" w:hAnsi="Verdana"/>
          <w:sz w:val="20"/>
          <w:szCs w:val="20"/>
          <w:lang w:val="es-ES"/>
        </w:rPr>
        <w:t xml:space="preserve">. </w:t>
      </w:r>
      <w:r w:rsidRPr="00446D37">
        <w:rPr>
          <w:rFonts w:ascii="Verdana" w:hAnsi="Verdana"/>
          <w:sz w:val="20"/>
          <w:szCs w:val="20"/>
          <w:lang w:val="es-ES"/>
        </w:rPr>
        <w:t>Asimismo, revocó</w:t>
      </w:r>
      <w:r w:rsidR="00826DE7" w:rsidRPr="00446D37">
        <w:rPr>
          <w:rFonts w:ascii="Verdana" w:hAnsi="Verdana"/>
          <w:sz w:val="20"/>
          <w:szCs w:val="20"/>
          <w:lang w:val="es-ES"/>
        </w:rPr>
        <w:t xml:space="preserve"> la condena dictada contra el </w:t>
      </w:r>
      <w:r w:rsidR="006A1664" w:rsidRPr="00446D37">
        <w:rPr>
          <w:rFonts w:ascii="Verdana" w:hAnsi="Verdana"/>
          <w:sz w:val="20"/>
          <w:szCs w:val="20"/>
          <w:lang w:val="es-ES"/>
        </w:rPr>
        <w:t xml:space="preserve">teniente Jorge Alberto Navarro </w:t>
      </w:r>
      <w:proofErr w:type="spellStart"/>
      <w:r w:rsidR="006A1664" w:rsidRPr="00446D37">
        <w:rPr>
          <w:rFonts w:ascii="Verdana" w:hAnsi="Verdana"/>
          <w:sz w:val="20"/>
          <w:szCs w:val="20"/>
          <w:lang w:val="es-ES"/>
        </w:rPr>
        <w:t>Devia</w:t>
      </w:r>
      <w:proofErr w:type="spellEnd"/>
      <w:r w:rsidR="006A1664" w:rsidRPr="00EE62DE" w:rsidDel="006A1664">
        <w:rPr>
          <w:rFonts w:ascii="Verdana" w:hAnsi="Verdana"/>
          <w:sz w:val="20"/>
          <w:szCs w:val="20"/>
          <w:lang w:val="es-ES"/>
        </w:rPr>
        <w:t xml:space="preserve"> </w:t>
      </w:r>
      <w:r w:rsidR="006A1664" w:rsidRPr="00C246E9">
        <w:rPr>
          <w:rFonts w:ascii="Verdana" w:hAnsi="Verdana"/>
          <w:sz w:val="20"/>
          <w:szCs w:val="20"/>
          <w:lang w:val="es-ES"/>
        </w:rPr>
        <w:t xml:space="preserve">como </w:t>
      </w:r>
      <w:r w:rsidRPr="00C246E9">
        <w:rPr>
          <w:rFonts w:ascii="Verdana" w:hAnsi="Verdana"/>
          <w:sz w:val="20"/>
          <w:szCs w:val="20"/>
          <w:lang w:val="es-ES"/>
        </w:rPr>
        <w:t xml:space="preserve">coautor del homicidio agravado </w:t>
      </w:r>
      <w:r w:rsidR="00941968" w:rsidRPr="00C246E9">
        <w:rPr>
          <w:rFonts w:ascii="Verdana" w:hAnsi="Verdana"/>
          <w:sz w:val="20"/>
          <w:szCs w:val="20"/>
          <w:lang w:val="es-ES"/>
        </w:rPr>
        <w:t>(</w:t>
      </w:r>
      <w:r w:rsidR="00941968" w:rsidRPr="00C246E9">
        <w:rPr>
          <w:rFonts w:ascii="Verdana" w:hAnsi="Verdana"/>
          <w:i/>
          <w:sz w:val="20"/>
          <w:szCs w:val="20"/>
          <w:lang w:val="es-ES"/>
        </w:rPr>
        <w:t xml:space="preserve">infra </w:t>
      </w:r>
      <w:r w:rsidR="00DD6D66" w:rsidRPr="00C246E9">
        <w:rPr>
          <w:rFonts w:ascii="Verdana" w:hAnsi="Verdana"/>
          <w:sz w:val="20"/>
          <w:szCs w:val="20"/>
          <w:lang w:val="es-ES"/>
        </w:rPr>
        <w:t>Considerando 14</w:t>
      </w:r>
      <w:r w:rsidR="00941968" w:rsidRPr="00C246E9">
        <w:rPr>
          <w:rFonts w:ascii="Verdana" w:hAnsi="Verdana"/>
          <w:sz w:val="20"/>
          <w:szCs w:val="20"/>
          <w:lang w:val="es-ES"/>
        </w:rPr>
        <w:t>)</w:t>
      </w:r>
      <w:r w:rsidRPr="006B43C7">
        <w:rPr>
          <w:rFonts w:ascii="Verdana" w:hAnsi="Verdana"/>
          <w:sz w:val="20"/>
          <w:szCs w:val="20"/>
          <w:lang w:val="es-ES"/>
        </w:rPr>
        <w:t xml:space="preserve"> y confirmó su condena por falso testimonio</w:t>
      </w:r>
      <w:r w:rsidR="00941968" w:rsidRPr="00DD4AC4">
        <w:rPr>
          <w:rFonts w:ascii="Verdana" w:hAnsi="Verdana"/>
          <w:sz w:val="20"/>
          <w:szCs w:val="20"/>
          <w:lang w:val="es-ES"/>
        </w:rPr>
        <w:t xml:space="preserve"> con la pena de “4 años de prisión”</w:t>
      </w:r>
      <w:r w:rsidR="00C83311" w:rsidRPr="00DD4AC4">
        <w:rPr>
          <w:rFonts w:ascii="Verdana" w:hAnsi="Verdana"/>
          <w:sz w:val="20"/>
          <w:szCs w:val="20"/>
          <w:lang w:val="es-ES"/>
        </w:rPr>
        <w:t xml:space="preserve"> (</w:t>
      </w:r>
      <w:r w:rsidR="00C83311" w:rsidRPr="00DD4AC4">
        <w:rPr>
          <w:rFonts w:ascii="Verdana" w:hAnsi="Verdana"/>
          <w:i/>
          <w:sz w:val="20"/>
          <w:szCs w:val="20"/>
          <w:lang w:val="es-ES"/>
        </w:rPr>
        <w:t xml:space="preserve">infra </w:t>
      </w:r>
      <w:r w:rsidR="00C83311" w:rsidRPr="00DD4AC4">
        <w:rPr>
          <w:rFonts w:ascii="Verdana" w:hAnsi="Verdana"/>
          <w:sz w:val="20"/>
          <w:szCs w:val="20"/>
          <w:lang w:val="es-ES"/>
        </w:rPr>
        <w:t>Considerando 13)</w:t>
      </w:r>
      <w:r w:rsidR="00DD6D66" w:rsidRPr="00EC475D">
        <w:rPr>
          <w:rStyle w:val="FootnoteReference"/>
          <w:rFonts w:ascii="Verdana" w:hAnsi="Verdana"/>
          <w:sz w:val="20"/>
          <w:szCs w:val="20"/>
          <w:lang w:val="es-ES"/>
        </w:rPr>
        <w:footnoteReference w:id="25"/>
      </w:r>
      <w:r w:rsidR="00CF5473" w:rsidRPr="00DF799C">
        <w:rPr>
          <w:rFonts w:ascii="Verdana" w:hAnsi="Verdana"/>
          <w:sz w:val="20"/>
          <w:szCs w:val="20"/>
          <w:lang w:val="es-ES"/>
        </w:rPr>
        <w:t>. Dicho teniente fue quien estuvo a cargo del pelotón que realizó el operativo (</w:t>
      </w:r>
      <w:r w:rsidR="00CF5473" w:rsidRPr="00446D37">
        <w:rPr>
          <w:rFonts w:ascii="Verdana" w:hAnsi="Verdana"/>
          <w:i/>
          <w:sz w:val="20"/>
          <w:szCs w:val="20"/>
          <w:lang w:val="es-ES"/>
        </w:rPr>
        <w:t xml:space="preserve">supra </w:t>
      </w:r>
      <w:r w:rsidR="00CF5473" w:rsidRPr="00446D37">
        <w:rPr>
          <w:rFonts w:ascii="Verdana" w:hAnsi="Verdana"/>
          <w:sz w:val="20"/>
          <w:szCs w:val="20"/>
          <w:lang w:val="es-ES"/>
        </w:rPr>
        <w:t>Visto 1)</w:t>
      </w:r>
      <w:r w:rsidR="00F05626" w:rsidRPr="00446D37">
        <w:rPr>
          <w:rFonts w:ascii="Verdana" w:hAnsi="Verdana"/>
          <w:sz w:val="20"/>
          <w:szCs w:val="20"/>
          <w:lang w:val="es-ES"/>
        </w:rPr>
        <w:t xml:space="preserve"> y fue absuelto “porque la prueba acopiada lo muestra únicamente ordenando el operativo para decomisar las armas y capturar a los responsables, [pero] no lo revela insinuando o concretando la ejecución de persona alguna</w:t>
      </w:r>
      <w:r w:rsidR="003C7180">
        <w:rPr>
          <w:rFonts w:ascii="Verdana" w:hAnsi="Verdana"/>
          <w:sz w:val="20"/>
          <w:szCs w:val="20"/>
          <w:lang w:val="es-ES"/>
        </w:rPr>
        <w:t xml:space="preserve"> […]</w:t>
      </w:r>
      <w:r w:rsidR="00EC2504" w:rsidRPr="003C7180">
        <w:rPr>
          <w:rFonts w:ascii="Verdana" w:hAnsi="Verdana"/>
          <w:sz w:val="20"/>
          <w:szCs w:val="20"/>
          <w:lang w:val="es-ES"/>
        </w:rPr>
        <w:t>”</w:t>
      </w:r>
      <w:r w:rsidR="00EC2504" w:rsidRPr="00EC475D">
        <w:rPr>
          <w:rStyle w:val="FootnoteReference"/>
          <w:rFonts w:ascii="Verdana" w:hAnsi="Verdana"/>
          <w:sz w:val="20"/>
          <w:szCs w:val="20"/>
          <w:lang w:val="es-ES"/>
        </w:rPr>
        <w:footnoteReference w:id="26"/>
      </w:r>
      <w:r w:rsidRPr="00DF799C">
        <w:rPr>
          <w:rFonts w:ascii="Verdana" w:hAnsi="Verdana"/>
          <w:sz w:val="20"/>
          <w:szCs w:val="20"/>
          <w:lang w:val="es-ES"/>
        </w:rPr>
        <w:t xml:space="preserve">. </w:t>
      </w:r>
    </w:p>
    <w:p w:rsidR="00AC607C" w:rsidRPr="00EC475D" w:rsidRDefault="00F32FBA" w:rsidP="00B14F91">
      <w:pPr>
        <w:pStyle w:val="ListParagraph"/>
        <w:numPr>
          <w:ilvl w:val="0"/>
          <w:numId w:val="12"/>
        </w:numPr>
        <w:spacing w:after="0" w:line="240" w:lineRule="auto"/>
        <w:jc w:val="both"/>
        <w:rPr>
          <w:rFonts w:ascii="Verdana" w:hAnsi="Verdana" w:cs="Arial"/>
          <w:sz w:val="20"/>
          <w:szCs w:val="20"/>
        </w:rPr>
      </w:pPr>
      <w:r w:rsidRPr="00EC475D">
        <w:rPr>
          <w:rFonts w:ascii="Verdana" w:hAnsi="Verdana"/>
          <w:sz w:val="20"/>
          <w:szCs w:val="20"/>
        </w:rPr>
        <w:t>Contra dicha sentencia, los defensores del cabo Camacho y del teniente Navarro, así como el apoderado de la parte civil,</w:t>
      </w:r>
      <w:r w:rsidR="00AC607C" w:rsidRPr="00EC475D">
        <w:rPr>
          <w:rFonts w:ascii="Verdana" w:hAnsi="Verdana"/>
          <w:sz w:val="20"/>
          <w:szCs w:val="20"/>
        </w:rPr>
        <w:t xml:space="preserve"> interpus</w:t>
      </w:r>
      <w:r w:rsidRPr="00EC475D">
        <w:rPr>
          <w:rFonts w:ascii="Verdana" w:hAnsi="Verdana"/>
          <w:sz w:val="20"/>
          <w:szCs w:val="20"/>
        </w:rPr>
        <w:t>ieron</w:t>
      </w:r>
      <w:r w:rsidR="00AC607C" w:rsidRPr="00EC475D">
        <w:rPr>
          <w:rFonts w:ascii="Verdana" w:hAnsi="Verdana"/>
          <w:sz w:val="20"/>
          <w:szCs w:val="20"/>
        </w:rPr>
        <w:t xml:space="preserve"> un recurso de casación</w:t>
      </w:r>
      <w:r w:rsidRPr="00EC475D">
        <w:rPr>
          <w:rFonts w:ascii="Verdana" w:hAnsi="Verdana"/>
          <w:sz w:val="20"/>
          <w:szCs w:val="20"/>
        </w:rPr>
        <w:t>. No obstante, una vez que venció el término para presentar dicha impugnación, el abogado de la parte civil y el defensor del cabo Camacho “no sustentaron el recurso”. Adicionalmente, el defensor del teniente Navarro “desistió del recurso”. En razón de ello, la impugnación fue declarada desierta</w:t>
      </w:r>
      <w:r w:rsidR="00AC607C" w:rsidRPr="00EC475D">
        <w:rPr>
          <w:rFonts w:ascii="Verdana" w:hAnsi="Verdana"/>
          <w:sz w:val="20"/>
          <w:szCs w:val="20"/>
        </w:rPr>
        <w:t xml:space="preserve"> e</w:t>
      </w:r>
      <w:r w:rsidR="00F808A8" w:rsidRPr="00EC475D">
        <w:rPr>
          <w:rFonts w:ascii="Verdana" w:hAnsi="Verdana"/>
          <w:sz w:val="20"/>
          <w:szCs w:val="20"/>
        </w:rPr>
        <w:t xml:space="preserve">l 29 de noviembre de 2010, quedando </w:t>
      </w:r>
      <w:r w:rsidR="00AC607C" w:rsidRPr="00EC475D">
        <w:rPr>
          <w:rFonts w:ascii="Verdana" w:hAnsi="Verdana"/>
          <w:sz w:val="20"/>
          <w:szCs w:val="20"/>
        </w:rPr>
        <w:t xml:space="preserve">firme </w:t>
      </w:r>
      <w:r w:rsidR="00F808A8" w:rsidRPr="00EC475D">
        <w:rPr>
          <w:rFonts w:ascii="Verdana" w:hAnsi="Verdana"/>
          <w:sz w:val="20"/>
          <w:szCs w:val="20"/>
        </w:rPr>
        <w:t>la sentencia de 11 de junio de 2010</w:t>
      </w:r>
      <w:r w:rsidR="00C31C81" w:rsidRPr="00EC475D">
        <w:rPr>
          <w:rStyle w:val="FootnoteReference"/>
          <w:rFonts w:ascii="Verdana" w:hAnsi="Verdana"/>
          <w:sz w:val="20"/>
          <w:szCs w:val="20"/>
        </w:rPr>
        <w:footnoteReference w:id="27"/>
      </w:r>
      <w:r w:rsidR="00F808A8" w:rsidRPr="00EC475D">
        <w:rPr>
          <w:rFonts w:ascii="Verdana" w:hAnsi="Verdana"/>
          <w:sz w:val="20"/>
          <w:szCs w:val="20"/>
        </w:rPr>
        <w:t xml:space="preserve">. </w:t>
      </w:r>
    </w:p>
    <w:p w:rsidR="004D1D83" w:rsidRPr="00EC475D" w:rsidRDefault="00554351" w:rsidP="00B14F91">
      <w:pPr>
        <w:pStyle w:val="ListParagraph"/>
        <w:numPr>
          <w:ilvl w:val="0"/>
          <w:numId w:val="12"/>
        </w:numPr>
        <w:spacing w:after="0" w:line="240" w:lineRule="auto"/>
        <w:jc w:val="both"/>
        <w:rPr>
          <w:rFonts w:ascii="Verdana" w:hAnsi="Verdana" w:cs="Arial"/>
          <w:sz w:val="20"/>
          <w:szCs w:val="20"/>
        </w:rPr>
      </w:pPr>
      <w:r w:rsidRPr="00EC475D">
        <w:rPr>
          <w:rFonts w:ascii="Verdana" w:hAnsi="Verdana"/>
          <w:sz w:val="20"/>
          <w:szCs w:val="20"/>
          <w:lang w:val="es-ES"/>
        </w:rPr>
        <w:t>E</w:t>
      </w:r>
      <w:r w:rsidR="00F808A8" w:rsidRPr="00EC475D">
        <w:rPr>
          <w:rFonts w:ascii="Verdana" w:hAnsi="Verdana"/>
          <w:sz w:val="20"/>
          <w:szCs w:val="20"/>
          <w:lang w:val="es-ES"/>
        </w:rPr>
        <w:t xml:space="preserve">l Estado indicó que </w:t>
      </w:r>
      <w:r w:rsidR="004D1D83" w:rsidRPr="00EC475D">
        <w:rPr>
          <w:rFonts w:ascii="Verdana" w:hAnsi="Verdana"/>
          <w:sz w:val="20"/>
          <w:szCs w:val="20"/>
          <w:lang w:val="es-ES"/>
        </w:rPr>
        <w:t xml:space="preserve">los dos cabos condenados se encuentran </w:t>
      </w:r>
      <w:r w:rsidR="00AC607C" w:rsidRPr="00EC475D">
        <w:rPr>
          <w:rFonts w:ascii="Verdana" w:hAnsi="Verdana"/>
          <w:sz w:val="20"/>
          <w:szCs w:val="20"/>
          <w:lang w:val="es-ES"/>
        </w:rPr>
        <w:t>cumpliendo la pena privativa de libertad</w:t>
      </w:r>
      <w:r w:rsidR="00F808A8" w:rsidRPr="00EC475D">
        <w:rPr>
          <w:rFonts w:ascii="Verdana" w:hAnsi="Verdana"/>
          <w:sz w:val="20"/>
          <w:szCs w:val="20"/>
          <w:lang w:val="es-ES"/>
        </w:rPr>
        <w:t>, información que no fue controvertida por los representantes</w:t>
      </w:r>
      <w:r w:rsidR="00F808A8" w:rsidRPr="00EC475D">
        <w:rPr>
          <w:rStyle w:val="FootnoteReference"/>
          <w:rFonts w:ascii="Verdana" w:hAnsi="Verdana"/>
          <w:sz w:val="20"/>
          <w:szCs w:val="20"/>
          <w:lang w:val="es-ES"/>
        </w:rPr>
        <w:footnoteReference w:id="28"/>
      </w:r>
      <w:r w:rsidR="004D1D83" w:rsidRPr="00EC475D">
        <w:rPr>
          <w:rFonts w:ascii="Verdana" w:hAnsi="Verdana"/>
          <w:sz w:val="20"/>
          <w:szCs w:val="20"/>
          <w:lang w:val="es-ES"/>
        </w:rPr>
        <w:t>.</w:t>
      </w:r>
    </w:p>
    <w:p w:rsidR="00973938" w:rsidRPr="00EC475D" w:rsidRDefault="00973938" w:rsidP="00B14F91">
      <w:pPr>
        <w:pStyle w:val="ListParagraph"/>
        <w:spacing w:after="0" w:line="240" w:lineRule="auto"/>
        <w:ind w:left="1080"/>
        <w:jc w:val="both"/>
        <w:rPr>
          <w:rFonts w:ascii="Verdana" w:hAnsi="Verdana" w:cs="Arial"/>
          <w:sz w:val="20"/>
          <w:szCs w:val="20"/>
        </w:rPr>
      </w:pPr>
    </w:p>
    <w:p w:rsidR="004D1D83" w:rsidRPr="00EC475D" w:rsidRDefault="004D1D83" w:rsidP="00B14F91">
      <w:pPr>
        <w:pStyle w:val="ListParagraph"/>
        <w:numPr>
          <w:ilvl w:val="0"/>
          <w:numId w:val="11"/>
        </w:numPr>
        <w:spacing w:after="0" w:line="240" w:lineRule="auto"/>
        <w:jc w:val="both"/>
        <w:rPr>
          <w:rFonts w:ascii="Verdana" w:hAnsi="Verdana" w:cs="Arial"/>
          <w:sz w:val="20"/>
          <w:szCs w:val="20"/>
        </w:rPr>
      </w:pPr>
      <w:r w:rsidRPr="00EC475D">
        <w:rPr>
          <w:rFonts w:ascii="Verdana" w:hAnsi="Verdana" w:cs="Arial"/>
          <w:sz w:val="20"/>
          <w:szCs w:val="20"/>
        </w:rPr>
        <w:t>Respecto a</w:t>
      </w:r>
      <w:r w:rsidR="0016056C">
        <w:rPr>
          <w:rFonts w:ascii="Verdana" w:hAnsi="Verdana" w:cs="Arial"/>
          <w:sz w:val="20"/>
          <w:szCs w:val="20"/>
        </w:rPr>
        <w:t xml:space="preserve">l proceso para </w:t>
      </w:r>
      <w:r w:rsidR="00BA70F8" w:rsidRPr="00EC475D">
        <w:rPr>
          <w:rFonts w:ascii="Verdana" w:hAnsi="Verdana" w:cs="Arial"/>
          <w:sz w:val="20"/>
          <w:szCs w:val="20"/>
        </w:rPr>
        <w:t>investiga</w:t>
      </w:r>
      <w:r w:rsidR="0016056C">
        <w:rPr>
          <w:rFonts w:ascii="Verdana" w:hAnsi="Verdana" w:cs="Arial"/>
          <w:sz w:val="20"/>
          <w:szCs w:val="20"/>
        </w:rPr>
        <w:t>r</w:t>
      </w:r>
      <w:r w:rsidR="00B50149" w:rsidRPr="00EC475D">
        <w:rPr>
          <w:rFonts w:ascii="Verdana" w:hAnsi="Verdana" w:cs="Arial"/>
          <w:sz w:val="20"/>
          <w:szCs w:val="20"/>
        </w:rPr>
        <w:t xml:space="preserve"> </w:t>
      </w:r>
      <w:r w:rsidR="00603A3F" w:rsidRPr="00EC475D">
        <w:rPr>
          <w:rFonts w:ascii="Verdana" w:hAnsi="Verdana" w:cs="Arial"/>
          <w:sz w:val="20"/>
          <w:szCs w:val="20"/>
        </w:rPr>
        <w:t xml:space="preserve">los distintos hechos violatorios cometidos en perjuicio </w:t>
      </w:r>
      <w:r w:rsidRPr="00EC475D">
        <w:rPr>
          <w:rFonts w:ascii="Verdana" w:hAnsi="Verdana" w:cs="Arial"/>
          <w:sz w:val="20"/>
          <w:szCs w:val="20"/>
        </w:rPr>
        <w:t xml:space="preserve">del señor </w:t>
      </w:r>
      <w:proofErr w:type="spellStart"/>
      <w:r w:rsidRPr="00EC475D">
        <w:rPr>
          <w:rFonts w:ascii="Verdana" w:hAnsi="Verdana" w:cs="Arial"/>
          <w:sz w:val="20"/>
          <w:szCs w:val="20"/>
        </w:rPr>
        <w:t>Escué</w:t>
      </w:r>
      <w:proofErr w:type="spellEnd"/>
      <w:r w:rsidRPr="00EC475D">
        <w:rPr>
          <w:rFonts w:ascii="Verdana" w:hAnsi="Verdana" w:cs="Arial"/>
          <w:sz w:val="20"/>
          <w:szCs w:val="20"/>
        </w:rPr>
        <w:t xml:space="preserve"> Zapata</w:t>
      </w:r>
      <w:r w:rsidR="0016056C">
        <w:rPr>
          <w:rFonts w:ascii="Verdana" w:hAnsi="Verdana" w:cs="Arial"/>
          <w:sz w:val="20"/>
          <w:szCs w:val="20"/>
        </w:rPr>
        <w:t xml:space="preserve"> iniciado</w:t>
      </w:r>
      <w:r w:rsidR="00B50149" w:rsidRPr="00EC475D">
        <w:rPr>
          <w:rFonts w:ascii="Verdana" w:hAnsi="Verdana" w:cs="Arial"/>
          <w:sz w:val="20"/>
          <w:szCs w:val="20"/>
        </w:rPr>
        <w:t xml:space="preserve"> en el año 2008</w:t>
      </w:r>
      <w:r w:rsidRPr="00EC475D">
        <w:rPr>
          <w:rFonts w:ascii="Verdana" w:hAnsi="Verdana" w:cs="Arial"/>
          <w:sz w:val="20"/>
          <w:szCs w:val="20"/>
        </w:rPr>
        <w:t xml:space="preserve"> (</w:t>
      </w:r>
      <w:r w:rsidR="007C4A4A" w:rsidRPr="00EC475D">
        <w:rPr>
          <w:rFonts w:ascii="Verdana" w:hAnsi="Verdana" w:cs="Arial"/>
          <w:sz w:val="20"/>
          <w:szCs w:val="20"/>
        </w:rPr>
        <w:t>i</w:t>
      </w:r>
      <w:r w:rsidRPr="00EC475D">
        <w:rPr>
          <w:rFonts w:ascii="Verdana" w:hAnsi="Verdana" w:cs="Arial"/>
          <w:sz w:val="20"/>
          <w:szCs w:val="20"/>
        </w:rPr>
        <w:t xml:space="preserve">nvestigación </w:t>
      </w:r>
      <w:r w:rsidR="003C7180">
        <w:rPr>
          <w:rFonts w:ascii="Verdana" w:hAnsi="Verdana" w:cs="Arial"/>
          <w:sz w:val="20"/>
          <w:szCs w:val="20"/>
        </w:rPr>
        <w:t>p</w:t>
      </w:r>
      <w:r w:rsidRPr="00EC475D">
        <w:rPr>
          <w:rFonts w:ascii="Verdana" w:hAnsi="Verdana" w:cs="Arial"/>
          <w:sz w:val="20"/>
          <w:szCs w:val="20"/>
        </w:rPr>
        <w:t xml:space="preserve">enal </w:t>
      </w:r>
      <w:r w:rsidR="00AC26F8" w:rsidRPr="00EC475D">
        <w:rPr>
          <w:rFonts w:ascii="Verdana" w:hAnsi="Verdana" w:cs="Arial"/>
          <w:sz w:val="20"/>
          <w:szCs w:val="20"/>
        </w:rPr>
        <w:t>número</w:t>
      </w:r>
      <w:r w:rsidRPr="00EC475D">
        <w:rPr>
          <w:rFonts w:ascii="Verdana" w:hAnsi="Verdana" w:cs="Arial"/>
          <w:sz w:val="20"/>
          <w:szCs w:val="20"/>
        </w:rPr>
        <w:t xml:space="preserve"> 1479):</w:t>
      </w:r>
    </w:p>
    <w:p w:rsidR="00047E28" w:rsidRPr="00EC475D" w:rsidRDefault="00047E28" w:rsidP="00B14F91">
      <w:pPr>
        <w:pStyle w:val="ListParagraph"/>
        <w:numPr>
          <w:ilvl w:val="0"/>
          <w:numId w:val="13"/>
        </w:numPr>
        <w:spacing w:after="0" w:line="240" w:lineRule="auto"/>
        <w:jc w:val="both"/>
        <w:rPr>
          <w:rFonts w:ascii="Verdana" w:hAnsi="Verdana" w:cs="Arial"/>
          <w:sz w:val="20"/>
          <w:szCs w:val="20"/>
        </w:rPr>
      </w:pPr>
      <w:r w:rsidRPr="00EC475D">
        <w:rPr>
          <w:rFonts w:ascii="Verdana" w:hAnsi="Verdana" w:cs="Arial"/>
          <w:sz w:val="20"/>
          <w:szCs w:val="20"/>
        </w:rPr>
        <w:t>La investigación penal relativa al sumario número 1479 se centró en los delitos relativos a homicidio agravado, tortura, secuestro extorsivo, hurto ca</w:t>
      </w:r>
      <w:r w:rsidR="005944C8" w:rsidRPr="00EC475D">
        <w:rPr>
          <w:rFonts w:ascii="Verdana" w:hAnsi="Verdana" w:cs="Arial"/>
          <w:sz w:val="20"/>
          <w:szCs w:val="20"/>
        </w:rPr>
        <w:t>lificado y agravado y daño en bi</w:t>
      </w:r>
      <w:r w:rsidRPr="00EC475D">
        <w:rPr>
          <w:rFonts w:ascii="Verdana" w:hAnsi="Verdana" w:cs="Arial"/>
          <w:sz w:val="20"/>
          <w:szCs w:val="20"/>
        </w:rPr>
        <w:t>en ajeno</w:t>
      </w:r>
      <w:r w:rsidR="00CD45F9" w:rsidRPr="00EC475D">
        <w:rPr>
          <w:rStyle w:val="FootnoteReference"/>
          <w:rFonts w:ascii="Verdana" w:hAnsi="Verdana" w:cs="Arial"/>
          <w:sz w:val="20"/>
          <w:szCs w:val="20"/>
        </w:rPr>
        <w:footnoteReference w:id="29"/>
      </w:r>
      <w:r w:rsidRPr="00EC475D">
        <w:rPr>
          <w:rFonts w:ascii="Verdana" w:hAnsi="Verdana" w:cs="Arial"/>
          <w:sz w:val="20"/>
          <w:szCs w:val="20"/>
        </w:rPr>
        <w:t>.</w:t>
      </w:r>
    </w:p>
    <w:p w:rsidR="004D1D83" w:rsidRPr="00EC475D" w:rsidRDefault="004D1D83" w:rsidP="00B14F91">
      <w:pPr>
        <w:pStyle w:val="ListParagraph"/>
        <w:numPr>
          <w:ilvl w:val="0"/>
          <w:numId w:val="13"/>
        </w:numPr>
        <w:spacing w:after="0" w:line="240" w:lineRule="auto"/>
        <w:jc w:val="both"/>
        <w:rPr>
          <w:rFonts w:ascii="Verdana" w:hAnsi="Verdana" w:cs="Arial"/>
          <w:sz w:val="20"/>
          <w:szCs w:val="20"/>
        </w:rPr>
      </w:pPr>
      <w:r w:rsidRPr="00EC475D">
        <w:rPr>
          <w:rFonts w:ascii="Verdana" w:hAnsi="Verdana" w:cs="Arial"/>
          <w:sz w:val="20"/>
          <w:szCs w:val="20"/>
        </w:rPr>
        <w:t>Mediante</w:t>
      </w:r>
      <w:r w:rsidRPr="00EC475D">
        <w:rPr>
          <w:rFonts w:ascii="Verdana" w:hAnsi="Verdana"/>
          <w:sz w:val="20"/>
          <w:szCs w:val="20"/>
          <w:lang w:val="es-ES"/>
        </w:rPr>
        <w:t xml:space="preserve"> </w:t>
      </w:r>
      <w:r w:rsidR="00E1452A" w:rsidRPr="00EC475D">
        <w:rPr>
          <w:rFonts w:ascii="Verdana" w:hAnsi="Verdana"/>
          <w:sz w:val="20"/>
          <w:szCs w:val="20"/>
          <w:lang w:val="es-ES"/>
        </w:rPr>
        <w:t xml:space="preserve">decisión </w:t>
      </w:r>
      <w:r w:rsidRPr="00EC475D">
        <w:rPr>
          <w:rFonts w:ascii="Verdana" w:hAnsi="Verdana"/>
          <w:sz w:val="20"/>
          <w:szCs w:val="20"/>
          <w:lang w:val="es-ES"/>
        </w:rPr>
        <w:t xml:space="preserve">emitida el 5 de abril de 2010, la Fiscalía Veintiuna Especializada de la Unidad Nacional de Derechos Humanos y Derecho Internacional Humanitario </w:t>
      </w:r>
      <w:r w:rsidR="00047E28" w:rsidRPr="00EC475D">
        <w:rPr>
          <w:rFonts w:ascii="Verdana" w:hAnsi="Verdana"/>
          <w:sz w:val="20"/>
          <w:szCs w:val="20"/>
          <w:lang w:val="es-ES"/>
        </w:rPr>
        <w:t xml:space="preserve">de la Fiscalía General de la Nación, </w:t>
      </w:r>
      <w:r w:rsidR="00C711F4" w:rsidRPr="00EC475D">
        <w:rPr>
          <w:rFonts w:ascii="Verdana" w:hAnsi="Verdana"/>
          <w:sz w:val="20"/>
          <w:szCs w:val="20"/>
          <w:lang w:val="es-ES"/>
        </w:rPr>
        <w:t xml:space="preserve">resolvió </w:t>
      </w:r>
      <w:r w:rsidRPr="00EC475D">
        <w:rPr>
          <w:rFonts w:ascii="Verdana" w:hAnsi="Verdana"/>
          <w:sz w:val="20"/>
          <w:szCs w:val="20"/>
          <w:lang w:val="es-ES"/>
        </w:rPr>
        <w:t xml:space="preserve">lo siguiente: </w:t>
      </w:r>
      <w:r w:rsidR="00354C86" w:rsidRPr="00EC475D">
        <w:rPr>
          <w:rFonts w:ascii="Verdana" w:hAnsi="Verdana"/>
          <w:sz w:val="20"/>
          <w:szCs w:val="20"/>
          <w:lang w:val="es-ES"/>
        </w:rPr>
        <w:t>a</w:t>
      </w:r>
      <w:r w:rsidRPr="00EC475D">
        <w:rPr>
          <w:rFonts w:ascii="Verdana" w:hAnsi="Verdana"/>
          <w:sz w:val="20"/>
          <w:szCs w:val="20"/>
          <w:lang w:val="es-ES"/>
        </w:rPr>
        <w:t xml:space="preserve">) </w:t>
      </w:r>
      <w:r w:rsidR="00C711F4" w:rsidRPr="00EC475D">
        <w:rPr>
          <w:rFonts w:ascii="Verdana" w:hAnsi="Verdana"/>
          <w:sz w:val="20"/>
          <w:szCs w:val="20"/>
          <w:lang w:val="es-ES"/>
        </w:rPr>
        <w:t xml:space="preserve">emitir resolución de </w:t>
      </w:r>
      <w:r w:rsidRPr="00EC475D">
        <w:rPr>
          <w:rFonts w:ascii="Verdana" w:hAnsi="Verdana"/>
          <w:sz w:val="20"/>
          <w:szCs w:val="20"/>
          <w:lang w:val="es-ES"/>
        </w:rPr>
        <w:t xml:space="preserve">acusación contra </w:t>
      </w:r>
      <w:r w:rsidR="00400742" w:rsidRPr="00EC475D">
        <w:rPr>
          <w:rFonts w:ascii="Verdana" w:hAnsi="Verdana"/>
          <w:sz w:val="20"/>
          <w:szCs w:val="20"/>
          <w:lang w:val="es-ES"/>
        </w:rPr>
        <w:t>los entonces soldado</w:t>
      </w:r>
      <w:r w:rsidR="00400742" w:rsidRPr="00BD11CD">
        <w:rPr>
          <w:rFonts w:ascii="Verdana" w:hAnsi="Verdana"/>
          <w:sz w:val="20"/>
          <w:szCs w:val="20"/>
          <w:lang w:val="es-ES"/>
        </w:rPr>
        <w:t xml:space="preserve">s </w:t>
      </w:r>
      <w:r w:rsidRPr="00BD11CD">
        <w:rPr>
          <w:rFonts w:ascii="Verdana" w:hAnsi="Verdana"/>
          <w:sz w:val="20"/>
          <w:szCs w:val="20"/>
          <w:lang w:val="es-ES"/>
        </w:rPr>
        <w:t>Oscar Iván Arias Herrera, Francisco Javier Bedoya Aguirre, Marco Tulio Cañas Torres, Jo</w:t>
      </w:r>
      <w:r w:rsidR="003C7180">
        <w:rPr>
          <w:rFonts w:ascii="Verdana" w:hAnsi="Verdana"/>
          <w:sz w:val="20"/>
          <w:szCs w:val="20"/>
          <w:lang w:val="es-ES"/>
        </w:rPr>
        <w:t>h</w:t>
      </w:r>
      <w:r w:rsidRPr="00BD11CD">
        <w:rPr>
          <w:rFonts w:ascii="Verdana" w:hAnsi="Verdana"/>
          <w:sz w:val="20"/>
          <w:szCs w:val="20"/>
          <w:lang w:val="es-ES"/>
        </w:rPr>
        <w:t>n Abadía Du</w:t>
      </w:r>
      <w:r w:rsidR="00400742" w:rsidRPr="00BD11CD">
        <w:rPr>
          <w:rFonts w:ascii="Verdana" w:hAnsi="Verdana"/>
          <w:sz w:val="20"/>
          <w:szCs w:val="20"/>
          <w:lang w:val="es-ES"/>
        </w:rPr>
        <w:t xml:space="preserve">que, Rubén Darío </w:t>
      </w:r>
      <w:proofErr w:type="spellStart"/>
      <w:r w:rsidR="00400742" w:rsidRPr="00BD11CD">
        <w:rPr>
          <w:rFonts w:ascii="Verdana" w:hAnsi="Verdana"/>
          <w:sz w:val="20"/>
          <w:szCs w:val="20"/>
          <w:lang w:val="es-ES"/>
        </w:rPr>
        <w:t>Aricapa</w:t>
      </w:r>
      <w:proofErr w:type="spellEnd"/>
      <w:r w:rsidR="00400742" w:rsidRPr="00BD11CD">
        <w:rPr>
          <w:rFonts w:ascii="Verdana" w:hAnsi="Verdana"/>
          <w:sz w:val="20"/>
          <w:szCs w:val="20"/>
          <w:lang w:val="es-ES"/>
        </w:rPr>
        <w:t xml:space="preserve"> y </w:t>
      </w:r>
      <w:r w:rsidR="00E1452A" w:rsidRPr="00BD11CD">
        <w:rPr>
          <w:rFonts w:ascii="Verdana" w:hAnsi="Verdana"/>
          <w:sz w:val="20"/>
          <w:szCs w:val="20"/>
          <w:lang w:val="es-ES"/>
        </w:rPr>
        <w:t xml:space="preserve">los </w:t>
      </w:r>
      <w:r w:rsidR="00400742" w:rsidRPr="00BD11CD">
        <w:rPr>
          <w:rFonts w:ascii="Verdana" w:hAnsi="Verdana"/>
          <w:sz w:val="20"/>
          <w:szCs w:val="20"/>
          <w:lang w:val="es-ES"/>
        </w:rPr>
        <w:t>cabos</w:t>
      </w:r>
      <w:r w:rsidRPr="00BD11CD">
        <w:rPr>
          <w:rFonts w:ascii="Verdana" w:hAnsi="Verdana"/>
          <w:sz w:val="20"/>
          <w:szCs w:val="20"/>
          <w:lang w:val="es-ES"/>
        </w:rPr>
        <w:t xml:space="preserve"> Roberto Camacho Riaño y </w:t>
      </w:r>
      <w:proofErr w:type="spellStart"/>
      <w:r w:rsidRPr="00BD11CD">
        <w:rPr>
          <w:rFonts w:ascii="Verdana" w:hAnsi="Verdana"/>
          <w:sz w:val="20"/>
          <w:szCs w:val="20"/>
          <w:lang w:val="es-ES"/>
        </w:rPr>
        <w:t>Ever</w:t>
      </w:r>
      <w:r w:rsidR="003E420D">
        <w:rPr>
          <w:rFonts w:ascii="Verdana" w:hAnsi="Verdana"/>
          <w:sz w:val="20"/>
          <w:szCs w:val="20"/>
          <w:lang w:val="es-ES"/>
        </w:rPr>
        <w:t>t</w:t>
      </w:r>
      <w:proofErr w:type="spellEnd"/>
      <w:r w:rsidRPr="00BD11CD">
        <w:rPr>
          <w:rFonts w:ascii="Verdana" w:hAnsi="Verdana"/>
          <w:sz w:val="20"/>
          <w:szCs w:val="20"/>
          <w:lang w:val="es-ES"/>
        </w:rPr>
        <w:t xml:space="preserve"> Ospina Martínez</w:t>
      </w:r>
      <w:r w:rsidRPr="00EC475D">
        <w:rPr>
          <w:rFonts w:ascii="Verdana" w:hAnsi="Verdana"/>
          <w:sz w:val="20"/>
          <w:szCs w:val="20"/>
          <w:lang w:val="es-ES"/>
        </w:rPr>
        <w:t xml:space="preserve"> como </w:t>
      </w:r>
      <w:r w:rsidR="00C711F4" w:rsidRPr="00EC475D">
        <w:rPr>
          <w:rFonts w:ascii="Verdana" w:hAnsi="Verdana"/>
          <w:sz w:val="20"/>
          <w:szCs w:val="20"/>
          <w:lang w:val="es-ES"/>
        </w:rPr>
        <w:t>“</w:t>
      </w:r>
      <w:r w:rsidRPr="00EC475D">
        <w:rPr>
          <w:rFonts w:ascii="Verdana" w:hAnsi="Verdana"/>
          <w:sz w:val="20"/>
          <w:szCs w:val="20"/>
          <w:lang w:val="es-ES"/>
        </w:rPr>
        <w:t xml:space="preserve">posibles </w:t>
      </w:r>
      <w:r w:rsidR="00BD11CD">
        <w:rPr>
          <w:rFonts w:ascii="Verdana" w:hAnsi="Verdana"/>
          <w:sz w:val="20"/>
          <w:szCs w:val="20"/>
          <w:lang w:val="es-ES"/>
        </w:rPr>
        <w:t>[</w:t>
      </w:r>
      <w:r w:rsidRPr="00EC475D">
        <w:rPr>
          <w:rFonts w:ascii="Verdana" w:hAnsi="Verdana"/>
          <w:sz w:val="20"/>
          <w:szCs w:val="20"/>
          <w:lang w:val="es-ES"/>
        </w:rPr>
        <w:t>c</w:t>
      </w:r>
      <w:r w:rsidR="00BD11CD">
        <w:rPr>
          <w:rFonts w:ascii="Verdana" w:hAnsi="Verdana"/>
          <w:sz w:val="20"/>
          <w:szCs w:val="20"/>
          <w:lang w:val="es-ES"/>
        </w:rPr>
        <w:t>]</w:t>
      </w:r>
      <w:proofErr w:type="spellStart"/>
      <w:r w:rsidRPr="00EC475D">
        <w:rPr>
          <w:rFonts w:ascii="Verdana" w:hAnsi="Verdana"/>
          <w:sz w:val="20"/>
          <w:szCs w:val="20"/>
          <w:lang w:val="es-ES"/>
        </w:rPr>
        <w:t>oautores</w:t>
      </w:r>
      <w:proofErr w:type="spellEnd"/>
      <w:r w:rsidRPr="00EC475D">
        <w:rPr>
          <w:rFonts w:ascii="Verdana" w:hAnsi="Verdana"/>
          <w:sz w:val="20"/>
          <w:szCs w:val="20"/>
          <w:lang w:val="es-ES"/>
        </w:rPr>
        <w:t xml:space="preserve"> </w:t>
      </w:r>
      <w:r w:rsidR="00C711F4" w:rsidRPr="00EC475D">
        <w:rPr>
          <w:rFonts w:ascii="Verdana" w:hAnsi="Verdana"/>
          <w:sz w:val="20"/>
          <w:szCs w:val="20"/>
          <w:lang w:val="es-ES"/>
        </w:rPr>
        <w:t xml:space="preserve">[…] </w:t>
      </w:r>
      <w:r w:rsidRPr="00EC475D">
        <w:rPr>
          <w:rFonts w:ascii="Verdana" w:hAnsi="Verdana"/>
          <w:sz w:val="20"/>
          <w:szCs w:val="20"/>
          <w:lang w:val="es-ES"/>
        </w:rPr>
        <w:t>de l</w:t>
      </w:r>
      <w:r w:rsidR="00C711F4" w:rsidRPr="00EC475D">
        <w:rPr>
          <w:rFonts w:ascii="Verdana" w:hAnsi="Verdana"/>
          <w:sz w:val="20"/>
          <w:szCs w:val="20"/>
          <w:lang w:val="es-ES"/>
        </w:rPr>
        <w:t>as presuntas conductas punibles</w:t>
      </w:r>
      <w:r w:rsidRPr="00EC475D">
        <w:rPr>
          <w:rFonts w:ascii="Verdana" w:hAnsi="Verdana"/>
          <w:sz w:val="20"/>
          <w:szCs w:val="20"/>
          <w:lang w:val="es-ES"/>
        </w:rPr>
        <w:t xml:space="preserve"> de </w:t>
      </w:r>
      <w:r w:rsidR="00C711F4" w:rsidRPr="00EC475D">
        <w:rPr>
          <w:rFonts w:ascii="Verdana" w:hAnsi="Verdana"/>
          <w:sz w:val="20"/>
          <w:szCs w:val="20"/>
          <w:lang w:val="es-ES"/>
        </w:rPr>
        <w:t>[</w:t>
      </w:r>
      <w:r w:rsidRPr="00EC475D">
        <w:rPr>
          <w:rFonts w:ascii="Verdana" w:hAnsi="Verdana"/>
          <w:sz w:val="20"/>
          <w:szCs w:val="20"/>
          <w:lang w:val="es-ES"/>
        </w:rPr>
        <w:t>s</w:t>
      </w:r>
      <w:r w:rsidR="00C711F4" w:rsidRPr="00EC475D">
        <w:rPr>
          <w:rFonts w:ascii="Verdana" w:hAnsi="Verdana"/>
          <w:sz w:val="20"/>
          <w:szCs w:val="20"/>
          <w:lang w:val="es-ES"/>
        </w:rPr>
        <w:t>]</w:t>
      </w:r>
      <w:proofErr w:type="spellStart"/>
      <w:r w:rsidRPr="00EC475D">
        <w:rPr>
          <w:rFonts w:ascii="Verdana" w:hAnsi="Verdana"/>
          <w:sz w:val="20"/>
          <w:szCs w:val="20"/>
          <w:lang w:val="es-ES"/>
        </w:rPr>
        <w:t>ecuestro</w:t>
      </w:r>
      <w:proofErr w:type="spellEnd"/>
      <w:r w:rsidRPr="00EC475D">
        <w:rPr>
          <w:rFonts w:ascii="Verdana" w:hAnsi="Verdana"/>
          <w:sz w:val="20"/>
          <w:szCs w:val="20"/>
          <w:lang w:val="es-ES"/>
        </w:rPr>
        <w:t xml:space="preserve"> </w:t>
      </w:r>
      <w:r w:rsidR="00C711F4" w:rsidRPr="00EC475D">
        <w:rPr>
          <w:rFonts w:ascii="Verdana" w:hAnsi="Verdana"/>
          <w:sz w:val="20"/>
          <w:szCs w:val="20"/>
          <w:lang w:val="es-ES"/>
        </w:rPr>
        <w:t>[</w:t>
      </w:r>
      <w:r w:rsidRPr="00EC475D">
        <w:rPr>
          <w:rFonts w:ascii="Verdana" w:hAnsi="Verdana"/>
          <w:sz w:val="20"/>
          <w:szCs w:val="20"/>
          <w:lang w:val="es-ES"/>
        </w:rPr>
        <w:t>e</w:t>
      </w:r>
      <w:r w:rsidR="00C711F4" w:rsidRPr="00EC475D">
        <w:rPr>
          <w:rFonts w:ascii="Verdana" w:hAnsi="Verdana"/>
          <w:sz w:val="20"/>
          <w:szCs w:val="20"/>
          <w:lang w:val="es-ES"/>
        </w:rPr>
        <w:t>]</w:t>
      </w:r>
      <w:proofErr w:type="spellStart"/>
      <w:r w:rsidRPr="00EC475D">
        <w:rPr>
          <w:rFonts w:ascii="Verdana" w:hAnsi="Verdana"/>
          <w:sz w:val="20"/>
          <w:szCs w:val="20"/>
          <w:lang w:val="es-ES"/>
        </w:rPr>
        <w:t>xtorsivo</w:t>
      </w:r>
      <w:proofErr w:type="spellEnd"/>
      <w:r w:rsidRPr="00EC475D">
        <w:rPr>
          <w:rFonts w:ascii="Verdana" w:hAnsi="Verdana"/>
          <w:sz w:val="20"/>
          <w:szCs w:val="20"/>
          <w:lang w:val="es-ES"/>
        </w:rPr>
        <w:t xml:space="preserve"> </w:t>
      </w:r>
      <w:r w:rsidR="00C711F4" w:rsidRPr="00EC475D">
        <w:rPr>
          <w:rFonts w:ascii="Verdana" w:hAnsi="Verdana"/>
          <w:sz w:val="20"/>
          <w:szCs w:val="20"/>
          <w:lang w:val="es-ES"/>
        </w:rPr>
        <w:t>[</w:t>
      </w:r>
      <w:r w:rsidRPr="00EC475D">
        <w:rPr>
          <w:rFonts w:ascii="Verdana" w:hAnsi="Verdana"/>
          <w:sz w:val="20"/>
          <w:szCs w:val="20"/>
          <w:lang w:val="es-ES"/>
        </w:rPr>
        <w:t>a</w:t>
      </w:r>
      <w:r w:rsidR="00C711F4" w:rsidRPr="00EC475D">
        <w:rPr>
          <w:rFonts w:ascii="Verdana" w:hAnsi="Verdana"/>
          <w:sz w:val="20"/>
          <w:szCs w:val="20"/>
          <w:lang w:val="es-ES"/>
        </w:rPr>
        <w:t>]</w:t>
      </w:r>
      <w:r w:rsidRPr="00EC475D">
        <w:rPr>
          <w:rFonts w:ascii="Verdana" w:hAnsi="Verdana"/>
          <w:sz w:val="20"/>
          <w:szCs w:val="20"/>
          <w:lang w:val="es-ES"/>
        </w:rPr>
        <w:t xml:space="preserve">gravado </w:t>
      </w:r>
      <w:r w:rsidR="00C711F4" w:rsidRPr="00EC475D">
        <w:rPr>
          <w:rFonts w:ascii="Verdana" w:hAnsi="Verdana"/>
          <w:sz w:val="20"/>
          <w:szCs w:val="20"/>
          <w:lang w:val="es-ES"/>
        </w:rPr>
        <w:t xml:space="preserve">[…] </w:t>
      </w:r>
      <w:r w:rsidRPr="00EC475D">
        <w:rPr>
          <w:rFonts w:ascii="Verdana" w:hAnsi="Verdana"/>
          <w:sz w:val="20"/>
          <w:szCs w:val="20"/>
          <w:lang w:val="es-ES"/>
        </w:rPr>
        <w:t xml:space="preserve">y </w:t>
      </w:r>
      <w:r w:rsidR="00C711F4" w:rsidRPr="00EC475D">
        <w:rPr>
          <w:rFonts w:ascii="Verdana" w:hAnsi="Verdana"/>
          <w:sz w:val="20"/>
          <w:szCs w:val="20"/>
          <w:lang w:val="es-ES"/>
        </w:rPr>
        <w:t>[</w:t>
      </w:r>
      <w:r w:rsidRPr="00EC475D">
        <w:rPr>
          <w:rFonts w:ascii="Verdana" w:hAnsi="Verdana"/>
          <w:sz w:val="20"/>
          <w:szCs w:val="20"/>
          <w:lang w:val="es-ES"/>
        </w:rPr>
        <w:t>t</w:t>
      </w:r>
      <w:r w:rsidR="00C711F4" w:rsidRPr="00EC475D">
        <w:rPr>
          <w:rFonts w:ascii="Verdana" w:hAnsi="Verdana"/>
          <w:sz w:val="20"/>
          <w:szCs w:val="20"/>
          <w:lang w:val="es-ES"/>
        </w:rPr>
        <w:t>]</w:t>
      </w:r>
      <w:proofErr w:type="spellStart"/>
      <w:r w:rsidRPr="00EC475D">
        <w:rPr>
          <w:rFonts w:ascii="Verdana" w:hAnsi="Verdana"/>
          <w:sz w:val="20"/>
          <w:szCs w:val="20"/>
          <w:lang w:val="es-ES"/>
        </w:rPr>
        <w:t>ortura</w:t>
      </w:r>
      <w:proofErr w:type="spellEnd"/>
      <w:r w:rsidR="00F53DDB" w:rsidRPr="00EC475D">
        <w:rPr>
          <w:rFonts w:ascii="Verdana" w:hAnsi="Verdana"/>
          <w:sz w:val="20"/>
          <w:szCs w:val="20"/>
          <w:lang w:val="es-ES"/>
        </w:rPr>
        <w:t>”</w:t>
      </w:r>
      <w:r w:rsidRPr="00EC475D">
        <w:rPr>
          <w:rFonts w:ascii="Verdana" w:hAnsi="Verdana"/>
          <w:sz w:val="20"/>
          <w:szCs w:val="20"/>
          <w:lang w:val="es-ES"/>
        </w:rPr>
        <w:t xml:space="preserve">; </w:t>
      </w:r>
      <w:r w:rsidR="00F53DDB" w:rsidRPr="00EC475D">
        <w:rPr>
          <w:rFonts w:ascii="Verdana" w:hAnsi="Verdana"/>
          <w:sz w:val="20"/>
          <w:szCs w:val="20"/>
          <w:lang w:val="es-ES"/>
        </w:rPr>
        <w:t>b</w:t>
      </w:r>
      <w:r w:rsidRPr="00EC475D">
        <w:rPr>
          <w:rFonts w:ascii="Verdana" w:hAnsi="Verdana"/>
          <w:sz w:val="20"/>
          <w:szCs w:val="20"/>
          <w:lang w:val="es-ES"/>
        </w:rPr>
        <w:t xml:space="preserve">) </w:t>
      </w:r>
      <w:proofErr w:type="spellStart"/>
      <w:r w:rsidRPr="00EC475D">
        <w:rPr>
          <w:rFonts w:ascii="Verdana" w:hAnsi="Verdana"/>
          <w:sz w:val="20"/>
          <w:szCs w:val="20"/>
          <w:lang w:val="es-ES"/>
        </w:rPr>
        <w:t>preclu</w:t>
      </w:r>
      <w:r w:rsidR="00F53DDB" w:rsidRPr="00EC475D">
        <w:rPr>
          <w:rFonts w:ascii="Verdana" w:hAnsi="Verdana"/>
          <w:sz w:val="20"/>
          <w:szCs w:val="20"/>
          <w:lang w:val="es-ES"/>
        </w:rPr>
        <w:t>ir</w:t>
      </w:r>
      <w:proofErr w:type="spellEnd"/>
      <w:r w:rsidR="00F53DDB" w:rsidRPr="00EC475D">
        <w:rPr>
          <w:rFonts w:ascii="Verdana" w:hAnsi="Verdana"/>
          <w:sz w:val="20"/>
          <w:szCs w:val="20"/>
          <w:lang w:val="es-ES"/>
        </w:rPr>
        <w:t xml:space="preserve"> la investigación</w:t>
      </w:r>
      <w:r w:rsidRPr="00EC475D">
        <w:rPr>
          <w:rFonts w:ascii="Verdana" w:hAnsi="Verdana"/>
          <w:sz w:val="20"/>
          <w:szCs w:val="20"/>
          <w:lang w:val="es-ES"/>
        </w:rPr>
        <w:t xml:space="preserve"> a favor de </w:t>
      </w:r>
      <w:r w:rsidR="00C95D7A" w:rsidRPr="00EC475D">
        <w:rPr>
          <w:rFonts w:ascii="Verdana" w:hAnsi="Verdana"/>
          <w:sz w:val="20"/>
          <w:szCs w:val="20"/>
          <w:lang w:val="es-ES"/>
        </w:rPr>
        <w:t xml:space="preserve">cinco personas que eran soldados al momentos de los </w:t>
      </w:r>
      <w:r w:rsidR="00C95D7A" w:rsidRPr="00EC475D">
        <w:rPr>
          <w:rFonts w:ascii="Verdana" w:hAnsi="Verdana"/>
          <w:sz w:val="20"/>
          <w:szCs w:val="20"/>
          <w:lang w:val="es-ES"/>
        </w:rPr>
        <w:lastRenderedPageBreak/>
        <w:t xml:space="preserve">hechos </w:t>
      </w:r>
      <w:r w:rsidRPr="00EC475D">
        <w:rPr>
          <w:rFonts w:ascii="Verdana" w:hAnsi="Verdana"/>
          <w:sz w:val="20"/>
          <w:szCs w:val="20"/>
          <w:lang w:val="es-ES"/>
        </w:rPr>
        <w:t xml:space="preserve">por </w:t>
      </w:r>
      <w:r w:rsidR="00F53DDB" w:rsidRPr="00EC475D">
        <w:rPr>
          <w:rFonts w:ascii="Verdana" w:hAnsi="Verdana"/>
          <w:sz w:val="20"/>
          <w:szCs w:val="20"/>
          <w:lang w:val="es-ES"/>
        </w:rPr>
        <w:t>“</w:t>
      </w:r>
      <w:r w:rsidRPr="00EC475D">
        <w:rPr>
          <w:rFonts w:ascii="Verdana" w:hAnsi="Verdana"/>
          <w:sz w:val="20"/>
          <w:szCs w:val="20"/>
          <w:lang w:val="es-ES"/>
        </w:rPr>
        <w:t>la comisión de</w:t>
      </w:r>
      <w:r w:rsidR="00F53DDB" w:rsidRPr="00EC475D">
        <w:rPr>
          <w:rFonts w:ascii="Verdana" w:hAnsi="Verdana"/>
          <w:sz w:val="20"/>
          <w:szCs w:val="20"/>
          <w:lang w:val="es-ES"/>
        </w:rPr>
        <w:t xml:space="preserve"> </w:t>
      </w:r>
      <w:r w:rsidRPr="00EC475D">
        <w:rPr>
          <w:rFonts w:ascii="Verdana" w:hAnsi="Verdana"/>
          <w:sz w:val="20"/>
          <w:szCs w:val="20"/>
          <w:lang w:val="es-ES"/>
        </w:rPr>
        <w:t>l</w:t>
      </w:r>
      <w:r w:rsidR="00F53DDB" w:rsidRPr="00EC475D">
        <w:rPr>
          <w:rFonts w:ascii="Verdana" w:hAnsi="Verdana"/>
          <w:sz w:val="20"/>
          <w:szCs w:val="20"/>
          <w:lang w:val="es-ES"/>
        </w:rPr>
        <w:t>a presunta conducta</w:t>
      </w:r>
      <w:r w:rsidRPr="00EC475D">
        <w:rPr>
          <w:rFonts w:ascii="Verdana" w:hAnsi="Verdana"/>
          <w:sz w:val="20"/>
          <w:szCs w:val="20"/>
          <w:lang w:val="es-ES"/>
        </w:rPr>
        <w:t xml:space="preserve"> de </w:t>
      </w:r>
      <w:r w:rsidR="00F53DDB" w:rsidRPr="00EC475D">
        <w:rPr>
          <w:rFonts w:ascii="Verdana" w:hAnsi="Verdana"/>
          <w:sz w:val="20"/>
          <w:szCs w:val="20"/>
          <w:lang w:val="es-ES"/>
        </w:rPr>
        <w:t>[</w:t>
      </w:r>
      <w:r w:rsidRPr="00EC475D">
        <w:rPr>
          <w:rFonts w:ascii="Verdana" w:hAnsi="Verdana"/>
          <w:sz w:val="20"/>
          <w:szCs w:val="20"/>
          <w:lang w:val="es-ES"/>
        </w:rPr>
        <w:t>h</w:t>
      </w:r>
      <w:r w:rsidR="00F53DDB" w:rsidRPr="00EC475D">
        <w:rPr>
          <w:rFonts w:ascii="Verdana" w:hAnsi="Verdana"/>
          <w:sz w:val="20"/>
          <w:szCs w:val="20"/>
          <w:lang w:val="es-ES"/>
        </w:rPr>
        <w:t>]</w:t>
      </w:r>
      <w:proofErr w:type="spellStart"/>
      <w:r w:rsidRPr="00EC475D">
        <w:rPr>
          <w:rFonts w:ascii="Verdana" w:hAnsi="Verdana"/>
          <w:sz w:val="20"/>
          <w:szCs w:val="20"/>
          <w:lang w:val="es-ES"/>
        </w:rPr>
        <w:t>omicidio</w:t>
      </w:r>
      <w:proofErr w:type="spellEnd"/>
      <w:r w:rsidRPr="00EC475D">
        <w:rPr>
          <w:rFonts w:ascii="Verdana" w:hAnsi="Verdana"/>
          <w:sz w:val="20"/>
          <w:szCs w:val="20"/>
          <w:lang w:val="es-ES"/>
        </w:rPr>
        <w:t xml:space="preserve"> </w:t>
      </w:r>
      <w:r w:rsidR="00F53DDB" w:rsidRPr="00EC475D">
        <w:rPr>
          <w:rFonts w:ascii="Verdana" w:hAnsi="Verdana"/>
          <w:sz w:val="20"/>
          <w:szCs w:val="20"/>
          <w:lang w:val="es-ES"/>
        </w:rPr>
        <w:t>[</w:t>
      </w:r>
      <w:r w:rsidRPr="00EC475D">
        <w:rPr>
          <w:rFonts w:ascii="Verdana" w:hAnsi="Verdana"/>
          <w:sz w:val="20"/>
          <w:szCs w:val="20"/>
          <w:lang w:val="es-ES"/>
        </w:rPr>
        <w:t>a</w:t>
      </w:r>
      <w:r w:rsidR="00F53DDB" w:rsidRPr="00EC475D">
        <w:rPr>
          <w:rFonts w:ascii="Verdana" w:hAnsi="Verdana"/>
          <w:sz w:val="20"/>
          <w:szCs w:val="20"/>
          <w:lang w:val="es-ES"/>
        </w:rPr>
        <w:t>]</w:t>
      </w:r>
      <w:r w:rsidRPr="00EC475D">
        <w:rPr>
          <w:rFonts w:ascii="Verdana" w:hAnsi="Verdana"/>
          <w:sz w:val="20"/>
          <w:szCs w:val="20"/>
          <w:lang w:val="es-ES"/>
        </w:rPr>
        <w:t>gravado</w:t>
      </w:r>
      <w:r w:rsidR="00E1452A" w:rsidRPr="00EC475D">
        <w:rPr>
          <w:rFonts w:ascii="Verdana" w:hAnsi="Verdana"/>
          <w:sz w:val="20"/>
          <w:szCs w:val="20"/>
          <w:lang w:val="es-ES"/>
        </w:rPr>
        <w:t>”</w:t>
      </w:r>
      <w:r w:rsidRPr="00EC475D">
        <w:rPr>
          <w:rFonts w:ascii="Verdana" w:hAnsi="Verdana"/>
          <w:sz w:val="20"/>
          <w:szCs w:val="20"/>
          <w:lang w:val="es-ES"/>
        </w:rPr>
        <w:t xml:space="preserve">; </w:t>
      </w:r>
      <w:r w:rsidR="00F53DDB" w:rsidRPr="00EC475D">
        <w:rPr>
          <w:rFonts w:ascii="Verdana" w:hAnsi="Verdana"/>
          <w:sz w:val="20"/>
          <w:szCs w:val="20"/>
          <w:lang w:val="es-ES"/>
        </w:rPr>
        <w:t>c</w:t>
      </w:r>
      <w:r w:rsidRPr="00EC475D">
        <w:rPr>
          <w:rFonts w:ascii="Verdana" w:hAnsi="Verdana"/>
          <w:sz w:val="20"/>
          <w:szCs w:val="20"/>
          <w:lang w:val="es-ES"/>
        </w:rPr>
        <w:t xml:space="preserve">) </w:t>
      </w:r>
      <w:proofErr w:type="spellStart"/>
      <w:r w:rsidRPr="00EC475D">
        <w:rPr>
          <w:rFonts w:ascii="Verdana" w:hAnsi="Verdana"/>
          <w:sz w:val="20"/>
          <w:szCs w:val="20"/>
          <w:lang w:val="es-ES"/>
        </w:rPr>
        <w:t>preclu</w:t>
      </w:r>
      <w:r w:rsidR="00F53DDB" w:rsidRPr="00EC475D">
        <w:rPr>
          <w:rFonts w:ascii="Verdana" w:hAnsi="Verdana"/>
          <w:sz w:val="20"/>
          <w:szCs w:val="20"/>
          <w:lang w:val="es-ES"/>
        </w:rPr>
        <w:t>ir</w:t>
      </w:r>
      <w:proofErr w:type="spellEnd"/>
      <w:r w:rsidR="00F53DDB" w:rsidRPr="00EC475D">
        <w:rPr>
          <w:rFonts w:ascii="Verdana" w:hAnsi="Verdana"/>
          <w:sz w:val="20"/>
          <w:szCs w:val="20"/>
          <w:lang w:val="es-ES"/>
        </w:rPr>
        <w:t xml:space="preserve"> la investigación </w:t>
      </w:r>
      <w:r w:rsidRPr="00EC475D">
        <w:rPr>
          <w:rFonts w:ascii="Verdana" w:hAnsi="Verdana"/>
          <w:sz w:val="20"/>
          <w:szCs w:val="20"/>
          <w:lang w:val="es-ES"/>
        </w:rPr>
        <w:t xml:space="preserve">a favor de </w:t>
      </w:r>
      <w:r w:rsidR="00C95D7A" w:rsidRPr="00EC475D">
        <w:rPr>
          <w:rFonts w:ascii="Verdana" w:hAnsi="Verdana"/>
          <w:sz w:val="20"/>
          <w:szCs w:val="20"/>
          <w:lang w:val="es-ES"/>
        </w:rPr>
        <w:t xml:space="preserve">cinco personas que eran soldados al momentos de los hechos </w:t>
      </w:r>
      <w:r w:rsidRPr="00EC475D">
        <w:rPr>
          <w:rFonts w:ascii="Verdana" w:hAnsi="Verdana"/>
          <w:sz w:val="20"/>
          <w:szCs w:val="20"/>
          <w:lang w:val="es-ES"/>
        </w:rPr>
        <w:t xml:space="preserve">por </w:t>
      </w:r>
      <w:r w:rsidR="00F53DDB" w:rsidRPr="00EC475D">
        <w:rPr>
          <w:rFonts w:ascii="Verdana" w:hAnsi="Verdana"/>
          <w:sz w:val="20"/>
          <w:szCs w:val="20"/>
          <w:lang w:val="es-ES"/>
        </w:rPr>
        <w:t>“</w:t>
      </w:r>
      <w:r w:rsidRPr="00EC475D">
        <w:rPr>
          <w:rFonts w:ascii="Verdana" w:hAnsi="Verdana"/>
          <w:sz w:val="20"/>
          <w:szCs w:val="20"/>
          <w:lang w:val="es-ES"/>
        </w:rPr>
        <w:t>la presunta comisión de l</w:t>
      </w:r>
      <w:r w:rsidR="00F53DDB" w:rsidRPr="00EC475D">
        <w:rPr>
          <w:rFonts w:ascii="Verdana" w:hAnsi="Verdana"/>
          <w:sz w:val="20"/>
          <w:szCs w:val="20"/>
          <w:lang w:val="es-ES"/>
        </w:rPr>
        <w:t>as conductas delictivas […] de [s]</w:t>
      </w:r>
      <w:proofErr w:type="spellStart"/>
      <w:r w:rsidR="00F53DDB" w:rsidRPr="00EC475D">
        <w:rPr>
          <w:rFonts w:ascii="Verdana" w:hAnsi="Verdana"/>
          <w:sz w:val="20"/>
          <w:szCs w:val="20"/>
          <w:lang w:val="es-ES"/>
        </w:rPr>
        <w:t>ecuestro</w:t>
      </w:r>
      <w:proofErr w:type="spellEnd"/>
      <w:r w:rsidR="00F53DDB" w:rsidRPr="00EC475D">
        <w:rPr>
          <w:rFonts w:ascii="Verdana" w:hAnsi="Verdana"/>
          <w:sz w:val="20"/>
          <w:szCs w:val="20"/>
          <w:lang w:val="es-ES"/>
        </w:rPr>
        <w:t xml:space="preserve"> extorsivo agravado, [t]</w:t>
      </w:r>
      <w:proofErr w:type="spellStart"/>
      <w:r w:rsidR="00F53DDB" w:rsidRPr="00EC475D">
        <w:rPr>
          <w:rFonts w:ascii="Verdana" w:hAnsi="Verdana"/>
          <w:sz w:val="20"/>
          <w:szCs w:val="20"/>
          <w:lang w:val="es-ES"/>
        </w:rPr>
        <w:t>ortura</w:t>
      </w:r>
      <w:proofErr w:type="spellEnd"/>
      <w:r w:rsidR="00F53DDB" w:rsidRPr="00EC475D">
        <w:rPr>
          <w:rFonts w:ascii="Verdana" w:hAnsi="Verdana"/>
          <w:sz w:val="20"/>
          <w:szCs w:val="20"/>
          <w:lang w:val="es-ES"/>
        </w:rPr>
        <w:t xml:space="preserve"> y [h]</w:t>
      </w:r>
      <w:proofErr w:type="spellStart"/>
      <w:r w:rsidR="00F53DDB" w:rsidRPr="00EC475D">
        <w:rPr>
          <w:rFonts w:ascii="Verdana" w:hAnsi="Verdana"/>
          <w:sz w:val="20"/>
          <w:szCs w:val="20"/>
          <w:lang w:val="es-ES"/>
        </w:rPr>
        <w:t>omicidio</w:t>
      </w:r>
      <w:proofErr w:type="spellEnd"/>
      <w:r w:rsidR="00F53DDB" w:rsidRPr="00EC475D">
        <w:rPr>
          <w:rFonts w:ascii="Verdana" w:hAnsi="Verdana"/>
          <w:sz w:val="20"/>
          <w:szCs w:val="20"/>
          <w:lang w:val="es-ES"/>
        </w:rPr>
        <w:t xml:space="preserve"> [a]gravado”</w:t>
      </w:r>
      <w:r w:rsidRPr="00EC475D">
        <w:rPr>
          <w:rFonts w:ascii="Verdana" w:hAnsi="Verdana"/>
          <w:sz w:val="20"/>
          <w:szCs w:val="20"/>
          <w:lang w:val="es-ES"/>
        </w:rPr>
        <w:t xml:space="preserve">, y </w:t>
      </w:r>
      <w:r w:rsidR="00F53DDB" w:rsidRPr="00EC475D">
        <w:rPr>
          <w:rFonts w:ascii="Verdana" w:hAnsi="Verdana"/>
          <w:sz w:val="20"/>
          <w:szCs w:val="20"/>
          <w:lang w:val="es-ES"/>
        </w:rPr>
        <w:t>d</w:t>
      </w:r>
      <w:r w:rsidRPr="00EC475D">
        <w:rPr>
          <w:rFonts w:ascii="Verdana" w:hAnsi="Verdana"/>
          <w:sz w:val="20"/>
          <w:szCs w:val="20"/>
          <w:lang w:val="es-ES"/>
        </w:rPr>
        <w:t xml:space="preserve">) </w:t>
      </w:r>
      <w:r w:rsidR="00F53DDB" w:rsidRPr="00EC475D">
        <w:rPr>
          <w:rFonts w:ascii="Verdana" w:hAnsi="Verdana"/>
          <w:sz w:val="20"/>
          <w:szCs w:val="20"/>
          <w:lang w:val="es-ES"/>
        </w:rPr>
        <w:t xml:space="preserve">declarar la </w:t>
      </w:r>
      <w:r w:rsidRPr="00EC475D">
        <w:rPr>
          <w:rFonts w:ascii="Verdana" w:hAnsi="Verdana"/>
          <w:sz w:val="20"/>
          <w:szCs w:val="20"/>
          <w:lang w:val="es-ES"/>
        </w:rPr>
        <w:t xml:space="preserve">prescripción de la acción penal por los </w:t>
      </w:r>
      <w:r w:rsidR="00F53DDB" w:rsidRPr="00EC475D">
        <w:rPr>
          <w:rFonts w:ascii="Verdana" w:hAnsi="Verdana"/>
          <w:sz w:val="20"/>
          <w:szCs w:val="20"/>
          <w:lang w:val="es-ES"/>
        </w:rPr>
        <w:t xml:space="preserve">presuntos </w:t>
      </w:r>
      <w:r w:rsidRPr="00EC475D">
        <w:rPr>
          <w:rFonts w:ascii="Verdana" w:hAnsi="Verdana"/>
          <w:sz w:val="20"/>
          <w:szCs w:val="20"/>
          <w:lang w:val="es-ES"/>
        </w:rPr>
        <w:t xml:space="preserve">delitos de </w:t>
      </w:r>
      <w:r w:rsidR="00F53DDB" w:rsidRPr="00EC475D">
        <w:rPr>
          <w:rFonts w:ascii="Verdana" w:hAnsi="Verdana"/>
          <w:sz w:val="20"/>
          <w:szCs w:val="20"/>
          <w:lang w:val="es-ES"/>
        </w:rPr>
        <w:t>“[</w:t>
      </w:r>
      <w:r w:rsidRPr="00EC475D">
        <w:rPr>
          <w:rFonts w:ascii="Verdana" w:hAnsi="Verdana"/>
          <w:sz w:val="20"/>
          <w:szCs w:val="20"/>
          <w:lang w:val="es-ES"/>
        </w:rPr>
        <w:t>h</w:t>
      </w:r>
      <w:r w:rsidR="00F53DDB" w:rsidRPr="00EC475D">
        <w:rPr>
          <w:rFonts w:ascii="Verdana" w:hAnsi="Verdana"/>
          <w:sz w:val="20"/>
          <w:szCs w:val="20"/>
          <w:lang w:val="es-ES"/>
        </w:rPr>
        <w:t>]</w:t>
      </w:r>
      <w:proofErr w:type="spellStart"/>
      <w:r w:rsidRPr="00EC475D">
        <w:rPr>
          <w:rFonts w:ascii="Verdana" w:hAnsi="Verdana"/>
          <w:sz w:val="20"/>
          <w:szCs w:val="20"/>
          <w:lang w:val="es-ES"/>
        </w:rPr>
        <w:t>urto</w:t>
      </w:r>
      <w:proofErr w:type="spellEnd"/>
      <w:r w:rsidRPr="00EC475D">
        <w:rPr>
          <w:rFonts w:ascii="Verdana" w:hAnsi="Verdana"/>
          <w:sz w:val="20"/>
          <w:szCs w:val="20"/>
          <w:lang w:val="es-ES"/>
        </w:rPr>
        <w:t xml:space="preserve"> </w:t>
      </w:r>
      <w:r w:rsidR="00F53DDB" w:rsidRPr="00EC475D">
        <w:rPr>
          <w:rFonts w:ascii="Verdana" w:hAnsi="Verdana"/>
          <w:sz w:val="20"/>
          <w:szCs w:val="20"/>
          <w:lang w:val="es-ES"/>
        </w:rPr>
        <w:t>[</w:t>
      </w:r>
      <w:r w:rsidRPr="00EC475D">
        <w:rPr>
          <w:rFonts w:ascii="Verdana" w:hAnsi="Verdana"/>
          <w:sz w:val="20"/>
          <w:szCs w:val="20"/>
          <w:lang w:val="es-ES"/>
        </w:rPr>
        <w:t>c</w:t>
      </w:r>
      <w:r w:rsidR="00F53DDB" w:rsidRPr="00EC475D">
        <w:rPr>
          <w:rFonts w:ascii="Verdana" w:hAnsi="Verdana"/>
          <w:sz w:val="20"/>
          <w:szCs w:val="20"/>
          <w:lang w:val="es-ES"/>
        </w:rPr>
        <w:t>]</w:t>
      </w:r>
      <w:proofErr w:type="spellStart"/>
      <w:r w:rsidRPr="00EC475D">
        <w:rPr>
          <w:rFonts w:ascii="Verdana" w:hAnsi="Verdana"/>
          <w:sz w:val="20"/>
          <w:szCs w:val="20"/>
          <w:lang w:val="es-ES"/>
        </w:rPr>
        <w:t>alificado</w:t>
      </w:r>
      <w:proofErr w:type="spellEnd"/>
      <w:r w:rsidRPr="00EC475D">
        <w:rPr>
          <w:rFonts w:ascii="Verdana" w:hAnsi="Verdana"/>
          <w:sz w:val="20"/>
          <w:szCs w:val="20"/>
          <w:lang w:val="es-ES"/>
        </w:rPr>
        <w:t xml:space="preserve"> y </w:t>
      </w:r>
      <w:r w:rsidR="00F53DDB" w:rsidRPr="00EC475D">
        <w:rPr>
          <w:rFonts w:ascii="Verdana" w:hAnsi="Verdana"/>
          <w:sz w:val="20"/>
          <w:szCs w:val="20"/>
          <w:lang w:val="es-ES"/>
        </w:rPr>
        <w:t>[</w:t>
      </w:r>
      <w:r w:rsidRPr="00EC475D">
        <w:rPr>
          <w:rFonts w:ascii="Verdana" w:hAnsi="Verdana"/>
          <w:sz w:val="20"/>
          <w:szCs w:val="20"/>
          <w:lang w:val="es-ES"/>
        </w:rPr>
        <w:t>a</w:t>
      </w:r>
      <w:r w:rsidR="00F53DDB" w:rsidRPr="00EC475D">
        <w:rPr>
          <w:rFonts w:ascii="Verdana" w:hAnsi="Verdana"/>
          <w:sz w:val="20"/>
          <w:szCs w:val="20"/>
          <w:lang w:val="es-ES"/>
        </w:rPr>
        <w:t>]</w:t>
      </w:r>
      <w:r w:rsidRPr="00EC475D">
        <w:rPr>
          <w:rFonts w:ascii="Verdana" w:hAnsi="Verdana"/>
          <w:sz w:val="20"/>
          <w:szCs w:val="20"/>
          <w:lang w:val="es-ES"/>
        </w:rPr>
        <w:t xml:space="preserve">gravado y </w:t>
      </w:r>
      <w:r w:rsidR="00F53DDB" w:rsidRPr="00EC475D">
        <w:rPr>
          <w:rFonts w:ascii="Verdana" w:hAnsi="Verdana"/>
          <w:sz w:val="20"/>
          <w:szCs w:val="20"/>
          <w:lang w:val="es-ES"/>
        </w:rPr>
        <w:t>[</w:t>
      </w:r>
      <w:r w:rsidRPr="00EC475D">
        <w:rPr>
          <w:rFonts w:ascii="Verdana" w:hAnsi="Verdana"/>
          <w:sz w:val="20"/>
          <w:szCs w:val="20"/>
          <w:lang w:val="es-ES"/>
        </w:rPr>
        <w:t>d</w:t>
      </w:r>
      <w:r w:rsidR="00F53DDB" w:rsidRPr="00EC475D">
        <w:rPr>
          <w:rFonts w:ascii="Verdana" w:hAnsi="Verdana"/>
          <w:sz w:val="20"/>
          <w:szCs w:val="20"/>
          <w:lang w:val="es-ES"/>
        </w:rPr>
        <w:t>]</w:t>
      </w:r>
      <w:r w:rsidRPr="00EC475D">
        <w:rPr>
          <w:rFonts w:ascii="Verdana" w:hAnsi="Verdana"/>
          <w:sz w:val="20"/>
          <w:szCs w:val="20"/>
          <w:lang w:val="es-ES"/>
        </w:rPr>
        <w:t xml:space="preserve">año en </w:t>
      </w:r>
      <w:r w:rsidR="00F53DDB" w:rsidRPr="00EC475D">
        <w:rPr>
          <w:rFonts w:ascii="Verdana" w:hAnsi="Verdana"/>
          <w:sz w:val="20"/>
          <w:szCs w:val="20"/>
          <w:lang w:val="es-ES"/>
        </w:rPr>
        <w:t>[</w:t>
      </w:r>
      <w:r w:rsidRPr="00EC475D">
        <w:rPr>
          <w:rFonts w:ascii="Verdana" w:hAnsi="Verdana"/>
          <w:sz w:val="20"/>
          <w:szCs w:val="20"/>
          <w:lang w:val="es-ES"/>
        </w:rPr>
        <w:t>b</w:t>
      </w:r>
      <w:r w:rsidR="00F53DDB" w:rsidRPr="00EC475D">
        <w:rPr>
          <w:rFonts w:ascii="Verdana" w:hAnsi="Verdana"/>
          <w:sz w:val="20"/>
          <w:szCs w:val="20"/>
          <w:lang w:val="es-ES"/>
        </w:rPr>
        <w:t>]</w:t>
      </w:r>
      <w:proofErr w:type="spellStart"/>
      <w:r w:rsidRPr="00EC475D">
        <w:rPr>
          <w:rFonts w:ascii="Verdana" w:hAnsi="Verdana"/>
          <w:sz w:val="20"/>
          <w:szCs w:val="20"/>
          <w:lang w:val="es-ES"/>
        </w:rPr>
        <w:t>ien</w:t>
      </w:r>
      <w:proofErr w:type="spellEnd"/>
      <w:r w:rsidRPr="00EC475D">
        <w:rPr>
          <w:rFonts w:ascii="Verdana" w:hAnsi="Verdana"/>
          <w:sz w:val="20"/>
          <w:szCs w:val="20"/>
          <w:lang w:val="es-ES"/>
        </w:rPr>
        <w:t xml:space="preserve"> </w:t>
      </w:r>
      <w:r w:rsidR="00F53DDB" w:rsidRPr="00EC475D">
        <w:rPr>
          <w:rFonts w:ascii="Verdana" w:hAnsi="Verdana"/>
          <w:sz w:val="20"/>
          <w:szCs w:val="20"/>
          <w:lang w:val="es-ES"/>
        </w:rPr>
        <w:t>[</w:t>
      </w:r>
      <w:r w:rsidRPr="00EC475D">
        <w:rPr>
          <w:rFonts w:ascii="Verdana" w:hAnsi="Verdana"/>
          <w:sz w:val="20"/>
          <w:szCs w:val="20"/>
          <w:lang w:val="es-ES"/>
        </w:rPr>
        <w:t>a</w:t>
      </w:r>
      <w:r w:rsidR="00F53DDB" w:rsidRPr="00EC475D">
        <w:rPr>
          <w:rFonts w:ascii="Verdana" w:hAnsi="Verdana"/>
          <w:sz w:val="20"/>
          <w:szCs w:val="20"/>
          <w:lang w:val="es-ES"/>
        </w:rPr>
        <w:t>]</w:t>
      </w:r>
      <w:proofErr w:type="spellStart"/>
      <w:r w:rsidRPr="00EC475D">
        <w:rPr>
          <w:rFonts w:ascii="Verdana" w:hAnsi="Verdana"/>
          <w:sz w:val="20"/>
          <w:szCs w:val="20"/>
          <w:lang w:val="es-ES"/>
        </w:rPr>
        <w:t>jen</w:t>
      </w:r>
      <w:r w:rsidR="00F53DDB" w:rsidRPr="00EC475D">
        <w:rPr>
          <w:rFonts w:ascii="Verdana" w:hAnsi="Verdana"/>
          <w:sz w:val="20"/>
          <w:szCs w:val="20"/>
          <w:lang w:val="es-ES"/>
        </w:rPr>
        <w:t>o</w:t>
      </w:r>
      <w:proofErr w:type="spellEnd"/>
      <w:r w:rsidRPr="00EC475D">
        <w:rPr>
          <w:rFonts w:ascii="Verdana" w:hAnsi="Verdana"/>
          <w:sz w:val="20"/>
          <w:szCs w:val="20"/>
          <w:lang w:val="es-ES"/>
        </w:rPr>
        <w:t xml:space="preserve"> </w:t>
      </w:r>
      <w:r w:rsidR="00F53DDB" w:rsidRPr="00EC475D">
        <w:rPr>
          <w:rFonts w:ascii="Verdana" w:hAnsi="Verdana"/>
          <w:sz w:val="20"/>
          <w:szCs w:val="20"/>
          <w:lang w:val="es-ES"/>
        </w:rPr>
        <w:t>[</w:t>
      </w:r>
      <w:r w:rsidRPr="00EC475D">
        <w:rPr>
          <w:rFonts w:ascii="Verdana" w:hAnsi="Verdana"/>
          <w:sz w:val="20"/>
          <w:szCs w:val="20"/>
          <w:lang w:val="es-ES"/>
        </w:rPr>
        <w:t>a</w:t>
      </w:r>
      <w:r w:rsidR="00F53DDB" w:rsidRPr="00EC475D">
        <w:rPr>
          <w:rFonts w:ascii="Verdana" w:hAnsi="Verdana"/>
          <w:sz w:val="20"/>
          <w:szCs w:val="20"/>
          <w:lang w:val="es-ES"/>
        </w:rPr>
        <w:t>]</w:t>
      </w:r>
      <w:r w:rsidRPr="00EC475D">
        <w:rPr>
          <w:rFonts w:ascii="Verdana" w:hAnsi="Verdana"/>
          <w:sz w:val="20"/>
          <w:szCs w:val="20"/>
          <w:lang w:val="es-ES"/>
        </w:rPr>
        <w:t>gravado</w:t>
      </w:r>
      <w:r w:rsidR="006E7764" w:rsidRPr="00EC475D">
        <w:rPr>
          <w:rFonts w:ascii="Verdana" w:hAnsi="Verdana"/>
          <w:sz w:val="20"/>
          <w:szCs w:val="20"/>
          <w:lang w:val="es-ES"/>
        </w:rPr>
        <w:t>”</w:t>
      </w:r>
      <w:r w:rsidR="008E3475" w:rsidRPr="00EC475D">
        <w:rPr>
          <w:rStyle w:val="FootnoteReference"/>
          <w:rFonts w:ascii="Verdana" w:hAnsi="Verdana"/>
          <w:sz w:val="20"/>
          <w:szCs w:val="20"/>
          <w:lang w:val="es-ES"/>
        </w:rPr>
        <w:footnoteReference w:id="30"/>
      </w:r>
      <w:r w:rsidRPr="00EC475D">
        <w:rPr>
          <w:rFonts w:ascii="Verdana" w:hAnsi="Verdana"/>
          <w:sz w:val="20"/>
          <w:szCs w:val="20"/>
          <w:lang w:val="es-ES"/>
        </w:rPr>
        <w:t>.</w:t>
      </w:r>
    </w:p>
    <w:p w:rsidR="004D1D83" w:rsidRPr="00EC475D" w:rsidRDefault="00CC3D72" w:rsidP="00B14F91">
      <w:pPr>
        <w:pStyle w:val="ListParagraph"/>
        <w:numPr>
          <w:ilvl w:val="0"/>
          <w:numId w:val="13"/>
        </w:numPr>
        <w:spacing w:after="0" w:line="240" w:lineRule="auto"/>
        <w:jc w:val="both"/>
        <w:rPr>
          <w:rFonts w:ascii="Verdana" w:hAnsi="Verdana" w:cs="Arial"/>
          <w:sz w:val="20"/>
          <w:szCs w:val="20"/>
        </w:rPr>
      </w:pPr>
      <w:r w:rsidRPr="00EC475D">
        <w:rPr>
          <w:rFonts w:ascii="Verdana" w:hAnsi="Verdana"/>
          <w:sz w:val="20"/>
          <w:szCs w:val="20"/>
        </w:rPr>
        <w:t>E</w:t>
      </w:r>
      <w:r w:rsidR="00B44A56" w:rsidRPr="00EC475D">
        <w:rPr>
          <w:rFonts w:ascii="Verdana" w:hAnsi="Verdana"/>
          <w:sz w:val="20"/>
          <w:szCs w:val="20"/>
        </w:rPr>
        <w:t xml:space="preserve">l </w:t>
      </w:r>
      <w:r w:rsidR="004D1D83" w:rsidRPr="00EC475D">
        <w:rPr>
          <w:rFonts w:ascii="Verdana" w:hAnsi="Verdana"/>
          <w:sz w:val="20"/>
          <w:szCs w:val="20"/>
        </w:rPr>
        <w:t xml:space="preserve">30 de agosto de 2010, la Fiscalía Veintiuna Especializada de la Unidad Nacional de Derechos Humanos y Derecho Internacional Humanitario </w:t>
      </w:r>
      <w:r w:rsidR="00B44A56" w:rsidRPr="00EC475D">
        <w:rPr>
          <w:rFonts w:ascii="Verdana" w:hAnsi="Verdana"/>
          <w:sz w:val="20"/>
          <w:szCs w:val="20"/>
          <w:lang w:val="es-ES"/>
        </w:rPr>
        <w:t>de l</w:t>
      </w:r>
      <w:r w:rsidR="00CE6339">
        <w:rPr>
          <w:rFonts w:ascii="Verdana" w:hAnsi="Verdana"/>
          <w:sz w:val="20"/>
          <w:szCs w:val="20"/>
          <w:lang w:val="es-ES"/>
        </w:rPr>
        <w:t>a Fiscalía General de la Nación</w:t>
      </w:r>
      <w:r w:rsidR="00B44A56" w:rsidRPr="00EC475D">
        <w:rPr>
          <w:rFonts w:ascii="Verdana" w:hAnsi="Verdana"/>
          <w:sz w:val="20"/>
          <w:szCs w:val="20"/>
        </w:rPr>
        <w:t xml:space="preserve"> </w:t>
      </w:r>
      <w:r w:rsidR="004D1D83" w:rsidRPr="00EC475D">
        <w:rPr>
          <w:rFonts w:ascii="Verdana" w:hAnsi="Verdana"/>
          <w:sz w:val="20"/>
          <w:szCs w:val="20"/>
        </w:rPr>
        <w:t xml:space="preserve">emitió </w:t>
      </w:r>
      <w:r w:rsidR="00B44A56" w:rsidRPr="00EC475D">
        <w:rPr>
          <w:rFonts w:ascii="Verdana" w:hAnsi="Verdana"/>
          <w:sz w:val="20"/>
          <w:szCs w:val="20"/>
        </w:rPr>
        <w:t>“</w:t>
      </w:r>
      <w:r w:rsidR="004D1D83" w:rsidRPr="00EC475D">
        <w:rPr>
          <w:rFonts w:ascii="Verdana" w:hAnsi="Verdana"/>
          <w:sz w:val="20"/>
          <w:szCs w:val="20"/>
          <w:lang w:val="es-ES"/>
        </w:rPr>
        <w:t xml:space="preserve">resolución de </w:t>
      </w:r>
      <w:r w:rsidR="00B44A56" w:rsidRPr="00EC475D">
        <w:rPr>
          <w:rFonts w:ascii="Verdana" w:hAnsi="Verdana"/>
          <w:sz w:val="20"/>
          <w:szCs w:val="20"/>
          <w:lang w:val="es-ES"/>
        </w:rPr>
        <w:t>[</w:t>
      </w:r>
      <w:r w:rsidR="004D1D83" w:rsidRPr="00EC475D">
        <w:rPr>
          <w:rFonts w:ascii="Verdana" w:hAnsi="Verdana"/>
          <w:sz w:val="20"/>
          <w:szCs w:val="20"/>
          <w:lang w:val="es-ES"/>
        </w:rPr>
        <w:t>acusación</w:t>
      </w:r>
      <w:r w:rsidR="00B44A56" w:rsidRPr="00EC475D">
        <w:rPr>
          <w:rFonts w:ascii="Verdana" w:hAnsi="Verdana"/>
          <w:sz w:val="20"/>
          <w:szCs w:val="20"/>
          <w:lang w:val="es-ES"/>
        </w:rPr>
        <w:t>]</w:t>
      </w:r>
      <w:r w:rsidR="004D1D83" w:rsidRPr="00EC475D">
        <w:rPr>
          <w:rFonts w:ascii="Verdana" w:hAnsi="Verdana"/>
          <w:sz w:val="20"/>
          <w:szCs w:val="20"/>
          <w:lang w:val="es-ES"/>
        </w:rPr>
        <w:t xml:space="preserve"> en contra de</w:t>
      </w:r>
      <w:r w:rsidR="00C95D7A" w:rsidRPr="00EC475D">
        <w:rPr>
          <w:rFonts w:ascii="Verdana" w:hAnsi="Verdana"/>
          <w:sz w:val="20"/>
          <w:szCs w:val="20"/>
          <w:lang w:val="es-ES"/>
        </w:rPr>
        <w:t xml:space="preserve">[l miembro de la comunidad, identificado </w:t>
      </w:r>
      <w:r w:rsidR="004D05EB">
        <w:rPr>
          <w:rFonts w:ascii="Verdana" w:hAnsi="Verdana"/>
          <w:sz w:val="20"/>
          <w:szCs w:val="20"/>
          <w:lang w:val="es-ES"/>
        </w:rPr>
        <w:t xml:space="preserve">en la Sentencia </w:t>
      </w:r>
      <w:r w:rsidR="00C95D7A" w:rsidRPr="00EC475D">
        <w:rPr>
          <w:rFonts w:ascii="Verdana" w:hAnsi="Verdana"/>
          <w:sz w:val="20"/>
          <w:szCs w:val="20"/>
          <w:lang w:val="es-ES"/>
        </w:rPr>
        <w:t>como informante]</w:t>
      </w:r>
      <w:r w:rsidR="00B44A56" w:rsidRPr="00EC475D">
        <w:rPr>
          <w:rFonts w:ascii="Verdana" w:hAnsi="Verdana"/>
          <w:sz w:val="20"/>
          <w:szCs w:val="20"/>
          <w:lang w:val="es-ES"/>
        </w:rPr>
        <w:t>,</w:t>
      </w:r>
      <w:r w:rsidR="004D1D83" w:rsidRPr="00EC475D">
        <w:rPr>
          <w:rFonts w:ascii="Verdana" w:hAnsi="Verdana"/>
          <w:sz w:val="20"/>
          <w:szCs w:val="20"/>
          <w:lang w:val="es-ES"/>
        </w:rPr>
        <w:t xml:space="preserve"> como posible </w:t>
      </w:r>
      <w:r w:rsidR="00B44A56" w:rsidRPr="00EC475D">
        <w:rPr>
          <w:rFonts w:ascii="Verdana" w:hAnsi="Verdana"/>
          <w:sz w:val="20"/>
          <w:szCs w:val="20"/>
          <w:lang w:val="es-ES"/>
        </w:rPr>
        <w:t>[</w:t>
      </w:r>
      <w:r w:rsidR="004D1D83" w:rsidRPr="00EC475D">
        <w:rPr>
          <w:rFonts w:ascii="Verdana" w:hAnsi="Verdana"/>
          <w:sz w:val="20"/>
          <w:szCs w:val="20"/>
          <w:lang w:val="es-ES"/>
        </w:rPr>
        <w:t>c</w:t>
      </w:r>
      <w:r w:rsidR="00B44A56" w:rsidRPr="00EC475D">
        <w:rPr>
          <w:rFonts w:ascii="Verdana" w:hAnsi="Verdana"/>
          <w:sz w:val="20"/>
          <w:szCs w:val="20"/>
          <w:lang w:val="es-ES"/>
        </w:rPr>
        <w:t>]</w:t>
      </w:r>
      <w:proofErr w:type="spellStart"/>
      <w:r w:rsidR="004D1D83" w:rsidRPr="00EC475D">
        <w:rPr>
          <w:rFonts w:ascii="Verdana" w:hAnsi="Verdana"/>
          <w:sz w:val="20"/>
          <w:szCs w:val="20"/>
          <w:lang w:val="es-ES"/>
        </w:rPr>
        <w:t>oautor</w:t>
      </w:r>
      <w:proofErr w:type="spellEnd"/>
      <w:r w:rsidR="00B44A56" w:rsidRPr="00EC475D">
        <w:rPr>
          <w:rFonts w:ascii="Verdana" w:hAnsi="Verdana"/>
          <w:sz w:val="20"/>
          <w:szCs w:val="20"/>
          <w:lang w:val="es-ES"/>
        </w:rPr>
        <w:t xml:space="preserve"> […]</w:t>
      </w:r>
      <w:r w:rsidR="004D1D83" w:rsidRPr="00EC475D">
        <w:rPr>
          <w:rFonts w:ascii="Verdana" w:hAnsi="Verdana"/>
          <w:sz w:val="20"/>
          <w:szCs w:val="20"/>
          <w:lang w:val="es-ES"/>
        </w:rPr>
        <w:t xml:space="preserve"> de </w:t>
      </w:r>
      <w:r w:rsidR="00B44A56" w:rsidRPr="00EC475D">
        <w:rPr>
          <w:rFonts w:ascii="Verdana" w:hAnsi="Verdana"/>
          <w:sz w:val="20"/>
          <w:szCs w:val="20"/>
          <w:lang w:val="es-ES"/>
        </w:rPr>
        <w:t>[…]</w:t>
      </w:r>
      <w:r w:rsidR="004D1D83" w:rsidRPr="00EC475D">
        <w:rPr>
          <w:rFonts w:ascii="Verdana" w:hAnsi="Verdana"/>
          <w:sz w:val="20"/>
          <w:szCs w:val="20"/>
          <w:lang w:val="es-ES"/>
        </w:rPr>
        <w:t xml:space="preserve"> </w:t>
      </w:r>
      <w:r w:rsidR="00B44A56" w:rsidRPr="00EC475D">
        <w:rPr>
          <w:rFonts w:ascii="Verdana" w:hAnsi="Verdana"/>
          <w:sz w:val="20"/>
          <w:szCs w:val="20"/>
          <w:lang w:val="es-ES"/>
        </w:rPr>
        <w:t>[</w:t>
      </w:r>
      <w:r w:rsidR="004D1D83" w:rsidRPr="00EC475D">
        <w:rPr>
          <w:rFonts w:ascii="Verdana" w:hAnsi="Verdana"/>
          <w:sz w:val="20"/>
          <w:szCs w:val="20"/>
          <w:lang w:val="es-ES"/>
        </w:rPr>
        <w:t>h</w:t>
      </w:r>
      <w:r w:rsidR="00B44A56" w:rsidRPr="00EC475D">
        <w:rPr>
          <w:rFonts w:ascii="Verdana" w:hAnsi="Verdana"/>
          <w:sz w:val="20"/>
          <w:szCs w:val="20"/>
          <w:lang w:val="es-ES"/>
        </w:rPr>
        <w:t>]</w:t>
      </w:r>
      <w:proofErr w:type="spellStart"/>
      <w:r w:rsidR="004D1D83" w:rsidRPr="00EC475D">
        <w:rPr>
          <w:rFonts w:ascii="Verdana" w:hAnsi="Verdana"/>
          <w:sz w:val="20"/>
          <w:szCs w:val="20"/>
          <w:lang w:val="es-ES"/>
        </w:rPr>
        <w:t>omicidio</w:t>
      </w:r>
      <w:proofErr w:type="spellEnd"/>
      <w:r w:rsidR="004D1D83" w:rsidRPr="00EC475D">
        <w:rPr>
          <w:rFonts w:ascii="Verdana" w:hAnsi="Verdana"/>
          <w:sz w:val="20"/>
          <w:szCs w:val="20"/>
          <w:lang w:val="es-ES"/>
        </w:rPr>
        <w:t xml:space="preserve"> </w:t>
      </w:r>
      <w:r w:rsidR="00B44A56" w:rsidRPr="00EC475D">
        <w:rPr>
          <w:rFonts w:ascii="Verdana" w:hAnsi="Verdana"/>
          <w:sz w:val="20"/>
          <w:szCs w:val="20"/>
          <w:lang w:val="es-ES"/>
        </w:rPr>
        <w:t>[</w:t>
      </w:r>
      <w:r w:rsidR="004D1D83" w:rsidRPr="00EC475D">
        <w:rPr>
          <w:rFonts w:ascii="Verdana" w:hAnsi="Verdana"/>
          <w:sz w:val="20"/>
          <w:szCs w:val="20"/>
          <w:lang w:val="es-ES"/>
        </w:rPr>
        <w:t>a</w:t>
      </w:r>
      <w:r w:rsidR="00B44A56" w:rsidRPr="00EC475D">
        <w:rPr>
          <w:rFonts w:ascii="Verdana" w:hAnsi="Verdana"/>
          <w:sz w:val="20"/>
          <w:szCs w:val="20"/>
          <w:lang w:val="es-ES"/>
        </w:rPr>
        <w:t>]</w:t>
      </w:r>
      <w:r w:rsidR="004D1D83" w:rsidRPr="00EC475D">
        <w:rPr>
          <w:rFonts w:ascii="Verdana" w:hAnsi="Verdana"/>
          <w:sz w:val="20"/>
          <w:szCs w:val="20"/>
          <w:lang w:val="es-ES"/>
        </w:rPr>
        <w:t>gravado</w:t>
      </w:r>
      <w:r w:rsidR="00B44A56" w:rsidRPr="00EC475D">
        <w:rPr>
          <w:rFonts w:ascii="Verdana" w:hAnsi="Verdana"/>
          <w:sz w:val="20"/>
          <w:szCs w:val="20"/>
          <w:lang w:val="es-ES"/>
        </w:rPr>
        <w:t xml:space="preserve"> […]</w:t>
      </w:r>
      <w:r w:rsidR="004D1D83" w:rsidRPr="00EC475D">
        <w:rPr>
          <w:rFonts w:ascii="Verdana" w:hAnsi="Verdana"/>
          <w:sz w:val="20"/>
          <w:szCs w:val="20"/>
          <w:lang w:val="es-ES"/>
        </w:rPr>
        <w:t xml:space="preserve">, </w:t>
      </w:r>
      <w:r w:rsidR="00B44A56" w:rsidRPr="00EC475D">
        <w:rPr>
          <w:rFonts w:ascii="Verdana" w:hAnsi="Verdana"/>
          <w:sz w:val="20"/>
          <w:szCs w:val="20"/>
          <w:lang w:val="es-ES"/>
        </w:rPr>
        <w:t>[</w:t>
      </w:r>
      <w:r w:rsidR="004D1D83" w:rsidRPr="00EC475D">
        <w:rPr>
          <w:rFonts w:ascii="Verdana" w:hAnsi="Verdana"/>
          <w:sz w:val="20"/>
          <w:szCs w:val="20"/>
          <w:lang w:val="es-ES"/>
        </w:rPr>
        <w:t>s</w:t>
      </w:r>
      <w:r w:rsidR="00B44A56" w:rsidRPr="00EC475D">
        <w:rPr>
          <w:rFonts w:ascii="Verdana" w:hAnsi="Verdana"/>
          <w:sz w:val="20"/>
          <w:szCs w:val="20"/>
          <w:lang w:val="es-ES"/>
        </w:rPr>
        <w:t>]</w:t>
      </w:r>
      <w:proofErr w:type="spellStart"/>
      <w:r w:rsidR="004D1D83" w:rsidRPr="00EC475D">
        <w:rPr>
          <w:rFonts w:ascii="Verdana" w:hAnsi="Verdana"/>
          <w:sz w:val="20"/>
          <w:szCs w:val="20"/>
          <w:lang w:val="es-ES"/>
        </w:rPr>
        <w:t>ecuestro</w:t>
      </w:r>
      <w:proofErr w:type="spellEnd"/>
      <w:r w:rsidR="004D1D83" w:rsidRPr="00EC475D">
        <w:rPr>
          <w:rFonts w:ascii="Verdana" w:hAnsi="Verdana"/>
          <w:sz w:val="20"/>
          <w:szCs w:val="20"/>
          <w:lang w:val="es-ES"/>
        </w:rPr>
        <w:t xml:space="preserve"> </w:t>
      </w:r>
      <w:r w:rsidR="00B44A56" w:rsidRPr="00EC475D">
        <w:rPr>
          <w:rFonts w:ascii="Verdana" w:hAnsi="Verdana"/>
          <w:sz w:val="20"/>
          <w:szCs w:val="20"/>
          <w:lang w:val="es-ES"/>
        </w:rPr>
        <w:t>[</w:t>
      </w:r>
      <w:r w:rsidR="004D1D83" w:rsidRPr="00EC475D">
        <w:rPr>
          <w:rFonts w:ascii="Verdana" w:hAnsi="Verdana"/>
          <w:sz w:val="20"/>
          <w:szCs w:val="20"/>
          <w:lang w:val="es-ES"/>
        </w:rPr>
        <w:t>e</w:t>
      </w:r>
      <w:r w:rsidR="00B44A56" w:rsidRPr="00EC475D">
        <w:rPr>
          <w:rFonts w:ascii="Verdana" w:hAnsi="Verdana"/>
          <w:sz w:val="20"/>
          <w:szCs w:val="20"/>
          <w:lang w:val="es-ES"/>
        </w:rPr>
        <w:t>]</w:t>
      </w:r>
      <w:proofErr w:type="spellStart"/>
      <w:r w:rsidR="004D1D83" w:rsidRPr="00EC475D">
        <w:rPr>
          <w:rFonts w:ascii="Verdana" w:hAnsi="Verdana"/>
          <w:sz w:val="20"/>
          <w:szCs w:val="20"/>
          <w:lang w:val="es-ES"/>
        </w:rPr>
        <w:t>xtorsivo</w:t>
      </w:r>
      <w:proofErr w:type="spellEnd"/>
      <w:r w:rsidR="004D1D83" w:rsidRPr="00EC475D">
        <w:rPr>
          <w:rFonts w:ascii="Verdana" w:hAnsi="Verdana"/>
          <w:sz w:val="20"/>
          <w:szCs w:val="20"/>
          <w:lang w:val="es-ES"/>
        </w:rPr>
        <w:t xml:space="preserve"> </w:t>
      </w:r>
      <w:r w:rsidR="00B44A56" w:rsidRPr="00EC475D">
        <w:rPr>
          <w:rFonts w:ascii="Verdana" w:hAnsi="Verdana"/>
          <w:sz w:val="20"/>
          <w:szCs w:val="20"/>
          <w:lang w:val="es-ES"/>
        </w:rPr>
        <w:t>[</w:t>
      </w:r>
      <w:r w:rsidR="004D1D83" w:rsidRPr="00EC475D">
        <w:rPr>
          <w:rFonts w:ascii="Verdana" w:hAnsi="Verdana"/>
          <w:sz w:val="20"/>
          <w:szCs w:val="20"/>
          <w:lang w:val="es-ES"/>
        </w:rPr>
        <w:t>a</w:t>
      </w:r>
      <w:r w:rsidR="00B44A56" w:rsidRPr="00EC475D">
        <w:rPr>
          <w:rFonts w:ascii="Verdana" w:hAnsi="Verdana"/>
          <w:sz w:val="20"/>
          <w:szCs w:val="20"/>
          <w:lang w:val="es-ES"/>
        </w:rPr>
        <w:t>]</w:t>
      </w:r>
      <w:r w:rsidR="004D1D83" w:rsidRPr="00EC475D">
        <w:rPr>
          <w:rFonts w:ascii="Verdana" w:hAnsi="Verdana"/>
          <w:sz w:val="20"/>
          <w:szCs w:val="20"/>
          <w:lang w:val="es-ES"/>
        </w:rPr>
        <w:t>gravado</w:t>
      </w:r>
      <w:r w:rsidR="00B44A56" w:rsidRPr="00EC475D">
        <w:rPr>
          <w:rFonts w:ascii="Verdana" w:hAnsi="Verdana"/>
          <w:sz w:val="20"/>
          <w:szCs w:val="20"/>
          <w:lang w:val="es-ES"/>
        </w:rPr>
        <w:t xml:space="preserve"> […]</w:t>
      </w:r>
      <w:r w:rsidR="004D1D83" w:rsidRPr="00EC475D">
        <w:rPr>
          <w:rFonts w:ascii="Verdana" w:hAnsi="Verdana"/>
          <w:sz w:val="20"/>
          <w:szCs w:val="20"/>
          <w:lang w:val="es-ES"/>
        </w:rPr>
        <w:t xml:space="preserve"> y </w:t>
      </w:r>
      <w:r w:rsidR="004D05EB">
        <w:rPr>
          <w:rFonts w:ascii="Verdana" w:hAnsi="Verdana"/>
          <w:sz w:val="20"/>
          <w:szCs w:val="20"/>
          <w:lang w:val="es-ES"/>
        </w:rPr>
        <w:t>[</w:t>
      </w:r>
      <w:r w:rsidR="004D1D83" w:rsidRPr="00EC475D">
        <w:rPr>
          <w:rFonts w:ascii="Verdana" w:hAnsi="Verdana"/>
          <w:sz w:val="20"/>
          <w:szCs w:val="20"/>
          <w:lang w:val="es-ES"/>
        </w:rPr>
        <w:t>t</w:t>
      </w:r>
      <w:r w:rsidR="004D05EB">
        <w:rPr>
          <w:rFonts w:ascii="Verdana" w:hAnsi="Verdana"/>
          <w:sz w:val="20"/>
          <w:szCs w:val="20"/>
          <w:lang w:val="es-ES"/>
        </w:rPr>
        <w:t>]</w:t>
      </w:r>
      <w:proofErr w:type="spellStart"/>
      <w:r w:rsidR="004D1D83" w:rsidRPr="00EC475D">
        <w:rPr>
          <w:rFonts w:ascii="Verdana" w:hAnsi="Verdana"/>
          <w:sz w:val="20"/>
          <w:szCs w:val="20"/>
          <w:lang w:val="es-ES"/>
        </w:rPr>
        <w:t>ortura</w:t>
      </w:r>
      <w:proofErr w:type="spellEnd"/>
      <w:r w:rsidR="00B44A56" w:rsidRPr="00EC475D">
        <w:rPr>
          <w:rFonts w:ascii="Verdana" w:hAnsi="Verdana"/>
          <w:sz w:val="20"/>
          <w:szCs w:val="20"/>
          <w:lang w:val="es-ES"/>
        </w:rPr>
        <w:t>”</w:t>
      </w:r>
      <w:r w:rsidR="00F801D4" w:rsidRPr="00EC475D">
        <w:rPr>
          <w:rFonts w:ascii="Verdana" w:hAnsi="Verdana"/>
          <w:sz w:val="20"/>
          <w:szCs w:val="20"/>
          <w:lang w:val="es-ES"/>
        </w:rPr>
        <w:t xml:space="preserve"> y declaró la “prescripción de [los presunto</w:t>
      </w:r>
      <w:r w:rsidR="001B3FBC" w:rsidRPr="00EC475D">
        <w:rPr>
          <w:rFonts w:ascii="Verdana" w:hAnsi="Verdana"/>
          <w:sz w:val="20"/>
          <w:szCs w:val="20"/>
          <w:lang w:val="es-ES"/>
        </w:rPr>
        <w:t>s</w:t>
      </w:r>
      <w:r w:rsidR="00F801D4" w:rsidRPr="00EC475D">
        <w:rPr>
          <w:rFonts w:ascii="Verdana" w:hAnsi="Verdana"/>
          <w:sz w:val="20"/>
          <w:szCs w:val="20"/>
          <w:lang w:val="es-ES"/>
        </w:rPr>
        <w:t xml:space="preserve"> delitos de h]</w:t>
      </w:r>
      <w:proofErr w:type="spellStart"/>
      <w:r w:rsidR="00F801D4" w:rsidRPr="00EC475D">
        <w:rPr>
          <w:rFonts w:ascii="Verdana" w:hAnsi="Verdana"/>
          <w:sz w:val="20"/>
          <w:szCs w:val="20"/>
          <w:lang w:val="es-ES"/>
        </w:rPr>
        <w:t>urto</w:t>
      </w:r>
      <w:proofErr w:type="spellEnd"/>
      <w:r w:rsidR="00F801D4" w:rsidRPr="00EC475D">
        <w:rPr>
          <w:rFonts w:ascii="Verdana" w:hAnsi="Verdana"/>
          <w:sz w:val="20"/>
          <w:szCs w:val="20"/>
          <w:lang w:val="es-ES"/>
        </w:rPr>
        <w:t xml:space="preserve"> [c]</w:t>
      </w:r>
      <w:proofErr w:type="spellStart"/>
      <w:r w:rsidR="00F801D4" w:rsidRPr="00EC475D">
        <w:rPr>
          <w:rFonts w:ascii="Verdana" w:hAnsi="Verdana"/>
          <w:sz w:val="20"/>
          <w:szCs w:val="20"/>
          <w:lang w:val="es-ES"/>
        </w:rPr>
        <w:t>alificado</w:t>
      </w:r>
      <w:proofErr w:type="spellEnd"/>
      <w:r w:rsidR="00F801D4" w:rsidRPr="00EC475D">
        <w:rPr>
          <w:rFonts w:ascii="Verdana" w:hAnsi="Verdana"/>
          <w:sz w:val="20"/>
          <w:szCs w:val="20"/>
          <w:lang w:val="es-ES"/>
        </w:rPr>
        <w:t xml:space="preserve"> y [a]gravado y [d]año en [b]</w:t>
      </w:r>
      <w:proofErr w:type="spellStart"/>
      <w:r w:rsidR="00F801D4" w:rsidRPr="00EC475D">
        <w:rPr>
          <w:rFonts w:ascii="Verdana" w:hAnsi="Verdana"/>
          <w:sz w:val="20"/>
          <w:szCs w:val="20"/>
          <w:lang w:val="es-ES"/>
        </w:rPr>
        <w:t>ien</w:t>
      </w:r>
      <w:proofErr w:type="spellEnd"/>
      <w:r w:rsidR="00F801D4" w:rsidRPr="00EC475D">
        <w:rPr>
          <w:rFonts w:ascii="Verdana" w:hAnsi="Verdana"/>
          <w:sz w:val="20"/>
          <w:szCs w:val="20"/>
          <w:lang w:val="es-ES"/>
        </w:rPr>
        <w:t xml:space="preserve"> [a]</w:t>
      </w:r>
      <w:proofErr w:type="spellStart"/>
      <w:r w:rsidR="00F801D4" w:rsidRPr="00EC475D">
        <w:rPr>
          <w:rFonts w:ascii="Verdana" w:hAnsi="Verdana"/>
          <w:sz w:val="20"/>
          <w:szCs w:val="20"/>
          <w:lang w:val="es-ES"/>
        </w:rPr>
        <w:t>jeno</w:t>
      </w:r>
      <w:proofErr w:type="spellEnd"/>
      <w:r w:rsidR="00F801D4" w:rsidRPr="00EC475D">
        <w:rPr>
          <w:rFonts w:ascii="Verdana" w:hAnsi="Verdana"/>
          <w:sz w:val="20"/>
          <w:szCs w:val="20"/>
          <w:lang w:val="es-ES"/>
        </w:rPr>
        <w:t xml:space="preserve"> [a]gravado</w:t>
      </w:r>
      <w:r w:rsidR="000212CD" w:rsidRPr="00EC475D">
        <w:rPr>
          <w:rFonts w:ascii="Verdana" w:hAnsi="Verdana"/>
          <w:sz w:val="20"/>
          <w:szCs w:val="20"/>
          <w:lang w:val="es-ES"/>
        </w:rPr>
        <w:t>”</w:t>
      </w:r>
      <w:r w:rsidR="000212CD" w:rsidRPr="00EC475D">
        <w:rPr>
          <w:rStyle w:val="FootnoteReference"/>
          <w:rFonts w:ascii="Verdana" w:hAnsi="Verdana"/>
          <w:sz w:val="20"/>
          <w:szCs w:val="20"/>
          <w:lang w:val="es-ES"/>
        </w:rPr>
        <w:footnoteReference w:id="31"/>
      </w:r>
      <w:r w:rsidR="004D1D83" w:rsidRPr="00EC475D">
        <w:rPr>
          <w:rFonts w:ascii="Verdana" w:hAnsi="Verdana"/>
          <w:sz w:val="20"/>
          <w:szCs w:val="20"/>
          <w:lang w:val="es-ES"/>
        </w:rPr>
        <w:t>.</w:t>
      </w:r>
    </w:p>
    <w:p w:rsidR="004D1D83" w:rsidRPr="00EC475D" w:rsidRDefault="00CE5739" w:rsidP="00B14F91">
      <w:pPr>
        <w:pStyle w:val="ListParagraph"/>
        <w:numPr>
          <w:ilvl w:val="0"/>
          <w:numId w:val="13"/>
        </w:numPr>
        <w:spacing w:after="0" w:line="240" w:lineRule="auto"/>
        <w:jc w:val="both"/>
        <w:rPr>
          <w:rFonts w:ascii="Verdana" w:hAnsi="Verdana" w:cs="Arial"/>
          <w:sz w:val="20"/>
          <w:szCs w:val="20"/>
        </w:rPr>
      </w:pPr>
      <w:r w:rsidRPr="00EC475D">
        <w:rPr>
          <w:rFonts w:ascii="Verdana" w:hAnsi="Verdana"/>
          <w:sz w:val="20"/>
          <w:szCs w:val="20"/>
        </w:rPr>
        <w:t>M</w:t>
      </w:r>
      <w:r w:rsidR="004D1D83" w:rsidRPr="00EC475D">
        <w:rPr>
          <w:rFonts w:ascii="Verdana" w:hAnsi="Verdana"/>
          <w:sz w:val="20"/>
          <w:szCs w:val="20"/>
        </w:rPr>
        <w:t xml:space="preserve">ediante </w:t>
      </w:r>
      <w:r w:rsidR="009F3C16">
        <w:rPr>
          <w:rFonts w:ascii="Verdana" w:hAnsi="Verdana"/>
          <w:sz w:val="20"/>
          <w:szCs w:val="20"/>
          <w:lang w:val="es-ES"/>
        </w:rPr>
        <w:t>s</w:t>
      </w:r>
      <w:r w:rsidR="004D1D83" w:rsidRPr="00EC475D">
        <w:rPr>
          <w:rFonts w:ascii="Verdana" w:hAnsi="Verdana"/>
          <w:sz w:val="20"/>
          <w:szCs w:val="20"/>
          <w:lang w:val="es-ES"/>
        </w:rPr>
        <w:t>entencia emitida el 26 de abril de 2012 por el Juzgado Primero Penal del Circuito Especializado</w:t>
      </w:r>
      <w:r w:rsidR="00E4049A" w:rsidRPr="00EC475D">
        <w:rPr>
          <w:rFonts w:ascii="Verdana" w:hAnsi="Verdana"/>
          <w:sz w:val="20"/>
          <w:szCs w:val="20"/>
          <w:lang w:val="es-ES"/>
        </w:rPr>
        <w:t xml:space="preserve"> de Popayán</w:t>
      </w:r>
      <w:r w:rsidRPr="00EC475D">
        <w:rPr>
          <w:rFonts w:ascii="Verdana" w:hAnsi="Verdana"/>
          <w:sz w:val="20"/>
          <w:szCs w:val="20"/>
          <w:lang w:val="es-ES"/>
        </w:rPr>
        <w:t>,</w:t>
      </w:r>
      <w:r w:rsidR="004D1D83" w:rsidRPr="00EC475D">
        <w:rPr>
          <w:rFonts w:ascii="Verdana" w:hAnsi="Verdana"/>
          <w:sz w:val="20"/>
          <w:szCs w:val="20"/>
          <w:lang w:val="es-ES"/>
        </w:rPr>
        <w:t xml:space="preserve"> se absolvió a los </w:t>
      </w:r>
      <w:r w:rsidR="00C83F22" w:rsidRPr="00EC475D">
        <w:rPr>
          <w:rFonts w:ascii="Verdana" w:hAnsi="Verdana"/>
          <w:sz w:val="20"/>
          <w:szCs w:val="20"/>
          <w:lang w:val="es-ES"/>
        </w:rPr>
        <w:t xml:space="preserve">cinco </w:t>
      </w:r>
      <w:r w:rsidR="004D1D83" w:rsidRPr="00EC475D">
        <w:rPr>
          <w:rFonts w:ascii="Verdana" w:hAnsi="Verdana"/>
          <w:sz w:val="20"/>
          <w:szCs w:val="20"/>
          <w:lang w:val="es-ES"/>
        </w:rPr>
        <w:t xml:space="preserve">soldados regulares </w:t>
      </w:r>
      <w:r w:rsidR="0047569A" w:rsidRPr="009F3C16">
        <w:rPr>
          <w:rFonts w:ascii="Verdana" w:hAnsi="Verdana"/>
          <w:sz w:val="20"/>
          <w:szCs w:val="20"/>
          <w:lang w:val="es-ES"/>
        </w:rPr>
        <w:t>(</w:t>
      </w:r>
      <w:r w:rsidR="004D1D83" w:rsidRPr="009F3C16">
        <w:rPr>
          <w:rFonts w:ascii="Verdana" w:hAnsi="Verdana"/>
          <w:sz w:val="20"/>
          <w:szCs w:val="20"/>
          <w:lang w:val="es-ES"/>
        </w:rPr>
        <w:t>Oscar Iván Arias Herrera, John Abadía Duque, Francisco Javier Bedoya</w:t>
      </w:r>
      <w:r w:rsidR="009F3C16" w:rsidRPr="009F3C16">
        <w:rPr>
          <w:rFonts w:ascii="Verdana" w:hAnsi="Verdana"/>
          <w:sz w:val="20"/>
          <w:szCs w:val="20"/>
          <w:lang w:val="es-ES"/>
        </w:rPr>
        <w:t xml:space="preserve"> Aguirre</w:t>
      </w:r>
      <w:r w:rsidR="004D1D83" w:rsidRPr="009F3C16">
        <w:rPr>
          <w:rFonts w:ascii="Verdana" w:hAnsi="Verdana"/>
          <w:sz w:val="20"/>
          <w:szCs w:val="20"/>
          <w:lang w:val="es-ES"/>
        </w:rPr>
        <w:t xml:space="preserve">, Rubén Darío </w:t>
      </w:r>
      <w:proofErr w:type="spellStart"/>
      <w:r w:rsidR="004D1D83" w:rsidRPr="009F3C16">
        <w:rPr>
          <w:rFonts w:ascii="Verdana" w:hAnsi="Verdana"/>
          <w:sz w:val="20"/>
          <w:szCs w:val="20"/>
          <w:lang w:val="es-ES"/>
        </w:rPr>
        <w:t>Aricapa</w:t>
      </w:r>
      <w:proofErr w:type="spellEnd"/>
      <w:r w:rsidR="004D1D83" w:rsidRPr="009F3C16">
        <w:rPr>
          <w:rFonts w:ascii="Verdana" w:hAnsi="Verdana"/>
          <w:sz w:val="20"/>
          <w:szCs w:val="20"/>
          <w:lang w:val="es-ES"/>
        </w:rPr>
        <w:t xml:space="preserve"> García</w:t>
      </w:r>
      <w:r w:rsidRPr="009F3C16">
        <w:rPr>
          <w:rFonts w:ascii="Verdana" w:hAnsi="Verdana"/>
          <w:sz w:val="20"/>
          <w:szCs w:val="20"/>
          <w:lang w:val="es-ES"/>
        </w:rPr>
        <w:t xml:space="preserve"> y Marco Tulio Cañas Torres</w:t>
      </w:r>
      <w:r w:rsidR="004D1D83" w:rsidRPr="009F3C16">
        <w:rPr>
          <w:rFonts w:ascii="Verdana" w:hAnsi="Verdana"/>
          <w:sz w:val="20"/>
          <w:szCs w:val="20"/>
          <w:lang w:val="es-ES"/>
        </w:rPr>
        <w:t xml:space="preserve">, </w:t>
      </w:r>
      <w:r w:rsidR="00C83F22" w:rsidRPr="009F3C16">
        <w:rPr>
          <w:rFonts w:ascii="Verdana" w:hAnsi="Verdana"/>
          <w:sz w:val="20"/>
          <w:szCs w:val="20"/>
          <w:lang w:val="es-ES"/>
        </w:rPr>
        <w:t xml:space="preserve">y </w:t>
      </w:r>
      <w:r w:rsidR="004D1D83" w:rsidRPr="009F3C16">
        <w:rPr>
          <w:rFonts w:ascii="Verdana" w:hAnsi="Verdana"/>
          <w:sz w:val="20"/>
          <w:szCs w:val="20"/>
          <w:lang w:val="es-ES"/>
        </w:rPr>
        <w:t xml:space="preserve">a los </w:t>
      </w:r>
      <w:r w:rsidR="00C83F22" w:rsidRPr="009F3C16">
        <w:rPr>
          <w:rFonts w:ascii="Verdana" w:hAnsi="Verdana"/>
          <w:sz w:val="20"/>
          <w:szCs w:val="20"/>
          <w:lang w:val="es-ES"/>
        </w:rPr>
        <w:t xml:space="preserve">dos </w:t>
      </w:r>
      <w:r w:rsidR="004D1D83" w:rsidRPr="009F3C16">
        <w:rPr>
          <w:rFonts w:ascii="Verdana" w:hAnsi="Verdana"/>
          <w:sz w:val="20"/>
          <w:szCs w:val="20"/>
          <w:lang w:val="es-ES"/>
        </w:rPr>
        <w:t xml:space="preserve">cabos segundos </w:t>
      </w:r>
      <w:r w:rsidR="0047569A" w:rsidRPr="009F3C16">
        <w:rPr>
          <w:rFonts w:ascii="Verdana" w:hAnsi="Verdana"/>
          <w:sz w:val="20"/>
          <w:szCs w:val="20"/>
          <w:lang w:val="es-ES"/>
        </w:rPr>
        <w:t>(</w:t>
      </w:r>
      <w:proofErr w:type="spellStart"/>
      <w:r w:rsidR="004D1D83" w:rsidRPr="009F3C16">
        <w:rPr>
          <w:rFonts w:ascii="Verdana" w:hAnsi="Verdana"/>
          <w:sz w:val="20"/>
          <w:szCs w:val="20"/>
          <w:lang w:val="es-ES"/>
        </w:rPr>
        <w:t>Ever</w:t>
      </w:r>
      <w:r w:rsidR="006E5345">
        <w:rPr>
          <w:rFonts w:ascii="Verdana" w:hAnsi="Verdana"/>
          <w:sz w:val="20"/>
          <w:szCs w:val="20"/>
          <w:lang w:val="es-ES"/>
        </w:rPr>
        <w:t>t</w:t>
      </w:r>
      <w:proofErr w:type="spellEnd"/>
      <w:r w:rsidR="004D1D83" w:rsidRPr="009F3C16">
        <w:rPr>
          <w:rFonts w:ascii="Verdana" w:hAnsi="Verdana"/>
          <w:sz w:val="20"/>
          <w:szCs w:val="20"/>
          <w:lang w:val="es-ES"/>
        </w:rPr>
        <w:t xml:space="preserve"> Ospina Martínez y Roberto Camacho Riaño</w:t>
      </w:r>
      <w:r w:rsidR="0047569A" w:rsidRPr="009F3C16">
        <w:rPr>
          <w:rFonts w:ascii="Verdana" w:hAnsi="Verdana"/>
          <w:sz w:val="20"/>
          <w:szCs w:val="20"/>
          <w:lang w:val="es-ES"/>
        </w:rPr>
        <w:t>)</w:t>
      </w:r>
      <w:r w:rsidR="004D1D83" w:rsidRPr="00EC475D">
        <w:rPr>
          <w:rFonts w:ascii="Verdana" w:hAnsi="Verdana"/>
          <w:sz w:val="20"/>
          <w:szCs w:val="20"/>
          <w:lang w:val="es-ES"/>
        </w:rPr>
        <w:t xml:space="preserve"> de los </w:t>
      </w:r>
      <w:r w:rsidR="00684990" w:rsidRPr="00EC475D">
        <w:rPr>
          <w:rFonts w:ascii="Verdana" w:hAnsi="Verdana"/>
          <w:sz w:val="20"/>
          <w:szCs w:val="20"/>
          <w:lang w:val="es-ES"/>
        </w:rPr>
        <w:t>“</w:t>
      </w:r>
      <w:r w:rsidR="004D1D83" w:rsidRPr="00EC475D">
        <w:rPr>
          <w:rFonts w:ascii="Verdana" w:hAnsi="Verdana"/>
          <w:sz w:val="20"/>
          <w:szCs w:val="20"/>
          <w:lang w:val="es-ES"/>
        </w:rPr>
        <w:t xml:space="preserve">delitos de </w:t>
      </w:r>
      <w:r w:rsidR="00F06FE7">
        <w:rPr>
          <w:rFonts w:ascii="Verdana" w:hAnsi="Verdana"/>
          <w:sz w:val="20"/>
          <w:szCs w:val="20"/>
          <w:lang w:val="es-ES"/>
        </w:rPr>
        <w:t>[</w:t>
      </w:r>
      <w:r w:rsidR="004D1D83" w:rsidRPr="00EC475D">
        <w:rPr>
          <w:rFonts w:ascii="Verdana" w:hAnsi="Verdana"/>
          <w:sz w:val="20"/>
          <w:szCs w:val="20"/>
          <w:lang w:val="es-ES"/>
        </w:rPr>
        <w:t>secuestro extorsivo agravado y tortura</w:t>
      </w:r>
      <w:r w:rsidR="00F06FE7">
        <w:rPr>
          <w:rFonts w:ascii="Verdana" w:hAnsi="Verdana"/>
          <w:sz w:val="20"/>
          <w:szCs w:val="20"/>
          <w:lang w:val="es-ES"/>
        </w:rPr>
        <w:t>]</w:t>
      </w:r>
      <w:r w:rsidR="00684990" w:rsidRPr="00EC475D">
        <w:rPr>
          <w:rFonts w:ascii="Verdana" w:hAnsi="Verdana"/>
          <w:sz w:val="20"/>
          <w:szCs w:val="20"/>
          <w:lang w:val="es-ES"/>
        </w:rPr>
        <w:t>”,</w:t>
      </w:r>
      <w:r w:rsidR="004D1D83" w:rsidRPr="00EC475D">
        <w:rPr>
          <w:rFonts w:ascii="Verdana" w:hAnsi="Verdana"/>
          <w:sz w:val="20"/>
          <w:szCs w:val="20"/>
          <w:lang w:val="es-ES"/>
        </w:rPr>
        <w:t xml:space="preserve"> </w:t>
      </w:r>
      <w:r w:rsidR="00684990" w:rsidRPr="00EC475D">
        <w:rPr>
          <w:rFonts w:ascii="Verdana" w:hAnsi="Verdana"/>
          <w:sz w:val="20"/>
          <w:szCs w:val="20"/>
          <w:lang w:val="es-ES"/>
        </w:rPr>
        <w:t>así como</w:t>
      </w:r>
      <w:r w:rsidR="004D1D83" w:rsidRPr="00EC475D">
        <w:rPr>
          <w:rFonts w:ascii="Verdana" w:hAnsi="Verdana"/>
          <w:sz w:val="20"/>
          <w:szCs w:val="20"/>
          <w:lang w:val="es-ES"/>
        </w:rPr>
        <w:t xml:space="preserve"> al </w:t>
      </w:r>
      <w:r w:rsidR="008F7234" w:rsidRPr="00EC475D">
        <w:rPr>
          <w:rFonts w:ascii="Verdana" w:hAnsi="Verdana"/>
          <w:sz w:val="20"/>
          <w:szCs w:val="20"/>
          <w:lang w:val="es-ES"/>
        </w:rPr>
        <w:t xml:space="preserve">miembro de la comunidad, identificado </w:t>
      </w:r>
      <w:r w:rsidR="004D05EB">
        <w:rPr>
          <w:rFonts w:ascii="Verdana" w:hAnsi="Verdana"/>
          <w:sz w:val="20"/>
          <w:szCs w:val="20"/>
          <w:lang w:val="es-ES"/>
        </w:rPr>
        <w:t xml:space="preserve">en la Sentencia </w:t>
      </w:r>
      <w:r w:rsidR="008F7234" w:rsidRPr="00EC475D">
        <w:rPr>
          <w:rFonts w:ascii="Verdana" w:hAnsi="Verdana"/>
          <w:sz w:val="20"/>
          <w:szCs w:val="20"/>
          <w:lang w:val="es-ES"/>
        </w:rPr>
        <w:t>como informante</w:t>
      </w:r>
      <w:r w:rsidR="0022760C" w:rsidRPr="00EC475D">
        <w:rPr>
          <w:rStyle w:val="FootnoteReference"/>
          <w:rFonts w:ascii="Verdana" w:hAnsi="Verdana"/>
          <w:sz w:val="20"/>
          <w:szCs w:val="20"/>
          <w:lang w:val="es-ES"/>
        </w:rPr>
        <w:footnoteReference w:id="32"/>
      </w:r>
      <w:r w:rsidR="008F7234" w:rsidRPr="00EC475D">
        <w:rPr>
          <w:rFonts w:ascii="Verdana" w:hAnsi="Verdana"/>
          <w:sz w:val="20"/>
          <w:szCs w:val="20"/>
          <w:lang w:val="es-ES"/>
        </w:rPr>
        <w:t xml:space="preserve">, </w:t>
      </w:r>
      <w:r w:rsidR="004D1D83" w:rsidRPr="00EC475D">
        <w:rPr>
          <w:rFonts w:ascii="Verdana" w:hAnsi="Verdana"/>
          <w:sz w:val="20"/>
          <w:szCs w:val="20"/>
          <w:lang w:val="es-ES"/>
        </w:rPr>
        <w:t xml:space="preserve">por los </w:t>
      </w:r>
      <w:r w:rsidR="00684990" w:rsidRPr="00EC475D">
        <w:rPr>
          <w:rFonts w:ascii="Verdana" w:hAnsi="Verdana"/>
          <w:sz w:val="20"/>
          <w:szCs w:val="20"/>
          <w:lang w:val="es-ES"/>
        </w:rPr>
        <w:t>“</w:t>
      </w:r>
      <w:r w:rsidR="004D1D83" w:rsidRPr="00EC475D">
        <w:rPr>
          <w:rFonts w:ascii="Verdana" w:hAnsi="Verdana"/>
          <w:sz w:val="20"/>
          <w:szCs w:val="20"/>
          <w:lang w:val="es-ES"/>
        </w:rPr>
        <w:t xml:space="preserve">delitos de </w:t>
      </w:r>
      <w:r w:rsidR="00F06FE7">
        <w:rPr>
          <w:rFonts w:ascii="Verdana" w:hAnsi="Verdana"/>
          <w:sz w:val="20"/>
          <w:szCs w:val="20"/>
          <w:lang w:val="es-ES"/>
        </w:rPr>
        <w:t>[</w:t>
      </w:r>
      <w:r w:rsidR="004D1D83" w:rsidRPr="00EC475D">
        <w:rPr>
          <w:rFonts w:ascii="Verdana" w:hAnsi="Verdana"/>
          <w:sz w:val="20"/>
          <w:szCs w:val="20"/>
          <w:lang w:val="es-ES"/>
        </w:rPr>
        <w:t>homicidio agravado, secuestro extorsivo agravado y tortura</w:t>
      </w:r>
      <w:r w:rsidR="009F3C16">
        <w:rPr>
          <w:rFonts w:ascii="Verdana" w:hAnsi="Verdana"/>
          <w:sz w:val="20"/>
          <w:szCs w:val="20"/>
          <w:lang w:val="es-ES"/>
        </w:rPr>
        <w:t>]</w:t>
      </w:r>
      <w:r w:rsidR="00684990" w:rsidRPr="00EC475D">
        <w:rPr>
          <w:rFonts w:ascii="Verdana" w:hAnsi="Verdana"/>
          <w:sz w:val="20"/>
          <w:szCs w:val="20"/>
          <w:lang w:val="es-ES"/>
        </w:rPr>
        <w:t>”</w:t>
      </w:r>
      <w:r w:rsidR="00F87EC1" w:rsidRPr="00EC475D">
        <w:rPr>
          <w:rStyle w:val="FootnoteReference"/>
          <w:rFonts w:ascii="Verdana" w:hAnsi="Verdana"/>
          <w:sz w:val="20"/>
          <w:szCs w:val="20"/>
          <w:lang w:val="es-ES"/>
        </w:rPr>
        <w:footnoteReference w:id="33"/>
      </w:r>
      <w:r w:rsidR="004D1D83" w:rsidRPr="00EC475D">
        <w:rPr>
          <w:rFonts w:ascii="Verdana" w:hAnsi="Verdana"/>
          <w:sz w:val="20"/>
          <w:szCs w:val="20"/>
          <w:lang w:val="es-ES"/>
        </w:rPr>
        <w:t>. Esta sentencia fue apelada por la Fiscalía Veintiuna Especializada</w:t>
      </w:r>
      <w:r w:rsidR="00F87EC1" w:rsidRPr="00EC475D">
        <w:rPr>
          <w:rStyle w:val="FootnoteReference"/>
          <w:rFonts w:ascii="Verdana" w:hAnsi="Verdana"/>
          <w:sz w:val="20"/>
          <w:szCs w:val="20"/>
          <w:lang w:val="es-ES"/>
        </w:rPr>
        <w:footnoteReference w:id="34"/>
      </w:r>
      <w:r w:rsidR="004D1D83" w:rsidRPr="00EC475D">
        <w:rPr>
          <w:rFonts w:ascii="Verdana" w:hAnsi="Verdana"/>
          <w:sz w:val="20"/>
          <w:szCs w:val="20"/>
          <w:lang w:val="es-ES"/>
        </w:rPr>
        <w:t>.</w:t>
      </w:r>
    </w:p>
    <w:p w:rsidR="004D1D83" w:rsidRPr="00EC475D" w:rsidRDefault="004D1D83" w:rsidP="00B14F91">
      <w:pPr>
        <w:pStyle w:val="ListParagraph"/>
        <w:numPr>
          <w:ilvl w:val="0"/>
          <w:numId w:val="13"/>
        </w:numPr>
        <w:spacing w:after="0" w:line="240" w:lineRule="auto"/>
        <w:jc w:val="both"/>
        <w:rPr>
          <w:rFonts w:ascii="Verdana" w:hAnsi="Verdana" w:cs="Arial"/>
          <w:sz w:val="20"/>
          <w:szCs w:val="20"/>
        </w:rPr>
      </w:pPr>
      <w:r w:rsidRPr="00EC475D">
        <w:rPr>
          <w:rFonts w:ascii="Verdana" w:hAnsi="Verdana" w:cs="Arial"/>
          <w:sz w:val="20"/>
          <w:szCs w:val="20"/>
        </w:rPr>
        <w:t xml:space="preserve">Mediante </w:t>
      </w:r>
      <w:r w:rsidRPr="00EC475D">
        <w:rPr>
          <w:rFonts w:ascii="Verdana" w:hAnsi="Verdana"/>
          <w:sz w:val="20"/>
          <w:szCs w:val="20"/>
          <w:lang w:val="es-ES"/>
        </w:rPr>
        <w:t xml:space="preserve">sentencia emitida el 5 de mayo de 2014, la Sala </w:t>
      </w:r>
      <w:r w:rsidR="004637DE" w:rsidRPr="00EC475D">
        <w:rPr>
          <w:rFonts w:ascii="Verdana" w:hAnsi="Verdana"/>
          <w:sz w:val="20"/>
          <w:szCs w:val="20"/>
          <w:lang w:val="es-ES"/>
        </w:rPr>
        <w:t xml:space="preserve">de Decisión </w:t>
      </w:r>
      <w:r w:rsidRPr="00EC475D">
        <w:rPr>
          <w:rFonts w:ascii="Verdana" w:hAnsi="Verdana"/>
          <w:sz w:val="20"/>
          <w:szCs w:val="20"/>
          <w:lang w:val="es-ES"/>
        </w:rPr>
        <w:t>Penal del Tribunal Superior de</w:t>
      </w:r>
      <w:r w:rsidR="000F0BC6">
        <w:rPr>
          <w:rFonts w:ascii="Verdana" w:hAnsi="Verdana"/>
          <w:sz w:val="20"/>
          <w:szCs w:val="20"/>
          <w:lang w:val="es-ES"/>
        </w:rPr>
        <w:t>l Distrito Judicial de</w:t>
      </w:r>
      <w:r w:rsidRPr="00EC475D">
        <w:rPr>
          <w:rFonts w:ascii="Verdana" w:hAnsi="Verdana"/>
          <w:sz w:val="20"/>
          <w:szCs w:val="20"/>
          <w:lang w:val="es-ES"/>
        </w:rPr>
        <w:t xml:space="preserve"> Popayán confirmó la sentencia de primera instancia de 26 de abril de 2012</w:t>
      </w:r>
      <w:r w:rsidR="00AB309C" w:rsidRPr="00EC475D">
        <w:rPr>
          <w:rStyle w:val="FootnoteReference"/>
          <w:rFonts w:ascii="Verdana" w:hAnsi="Verdana"/>
          <w:sz w:val="20"/>
          <w:szCs w:val="20"/>
          <w:lang w:val="es-ES"/>
        </w:rPr>
        <w:footnoteReference w:id="35"/>
      </w:r>
      <w:r w:rsidRPr="00EC475D">
        <w:rPr>
          <w:rFonts w:ascii="Verdana" w:hAnsi="Verdana"/>
          <w:sz w:val="20"/>
          <w:szCs w:val="20"/>
          <w:lang w:val="es-ES"/>
        </w:rPr>
        <w:t>. En contra de dich</w:t>
      </w:r>
      <w:r w:rsidR="004637DE" w:rsidRPr="00EC475D">
        <w:rPr>
          <w:rFonts w:ascii="Verdana" w:hAnsi="Verdana"/>
          <w:sz w:val="20"/>
          <w:szCs w:val="20"/>
          <w:lang w:val="es-ES"/>
        </w:rPr>
        <w:t>o</w:t>
      </w:r>
      <w:r w:rsidRPr="00EC475D">
        <w:rPr>
          <w:rFonts w:ascii="Verdana" w:hAnsi="Verdana"/>
          <w:sz w:val="20"/>
          <w:szCs w:val="20"/>
          <w:lang w:val="es-ES"/>
        </w:rPr>
        <w:t xml:space="preserve"> </w:t>
      </w:r>
      <w:r w:rsidR="004637DE" w:rsidRPr="00EC475D">
        <w:rPr>
          <w:rFonts w:ascii="Verdana" w:hAnsi="Verdana"/>
          <w:sz w:val="20"/>
          <w:szCs w:val="20"/>
          <w:lang w:val="es-ES"/>
        </w:rPr>
        <w:t>fallo</w:t>
      </w:r>
      <w:r w:rsidRPr="00EC475D">
        <w:rPr>
          <w:rFonts w:ascii="Verdana" w:hAnsi="Verdana"/>
          <w:sz w:val="20"/>
          <w:szCs w:val="20"/>
          <w:lang w:val="es-ES"/>
        </w:rPr>
        <w:t xml:space="preserve">, </w:t>
      </w:r>
      <w:r w:rsidR="004637DE" w:rsidRPr="00EC475D">
        <w:rPr>
          <w:rFonts w:ascii="Verdana" w:hAnsi="Verdana"/>
          <w:sz w:val="20"/>
          <w:szCs w:val="20"/>
          <w:lang w:val="es-ES"/>
        </w:rPr>
        <w:t>los representantes de las víctimas (en calidad de</w:t>
      </w:r>
      <w:r w:rsidRPr="00EC475D">
        <w:rPr>
          <w:rFonts w:ascii="Verdana" w:hAnsi="Verdana"/>
          <w:sz w:val="20"/>
          <w:szCs w:val="20"/>
          <w:lang w:val="es-ES"/>
        </w:rPr>
        <w:t xml:space="preserve"> apoderado de la parte civil</w:t>
      </w:r>
      <w:r w:rsidR="004637DE" w:rsidRPr="00EC475D">
        <w:rPr>
          <w:rFonts w:ascii="Verdana" w:hAnsi="Verdana"/>
          <w:sz w:val="20"/>
          <w:szCs w:val="20"/>
          <w:lang w:val="es-ES"/>
        </w:rPr>
        <w:t>)</w:t>
      </w:r>
      <w:r w:rsidRPr="00EC475D">
        <w:rPr>
          <w:rFonts w:ascii="Verdana" w:hAnsi="Verdana"/>
          <w:sz w:val="20"/>
          <w:szCs w:val="20"/>
          <w:lang w:val="es-ES"/>
        </w:rPr>
        <w:t xml:space="preserve"> </w:t>
      </w:r>
      <w:r w:rsidR="0047569A" w:rsidRPr="00EC475D">
        <w:rPr>
          <w:rFonts w:ascii="Verdana" w:hAnsi="Verdana"/>
          <w:sz w:val="20"/>
          <w:szCs w:val="20"/>
          <w:lang w:val="es-ES"/>
        </w:rPr>
        <w:t xml:space="preserve">interpusieron </w:t>
      </w:r>
      <w:r w:rsidR="004637DE" w:rsidRPr="00EC475D">
        <w:rPr>
          <w:rFonts w:ascii="Verdana" w:hAnsi="Verdana"/>
          <w:sz w:val="20"/>
          <w:szCs w:val="20"/>
          <w:lang w:val="es-ES"/>
        </w:rPr>
        <w:t>un “</w:t>
      </w:r>
      <w:r w:rsidRPr="00EC475D">
        <w:rPr>
          <w:rFonts w:ascii="Verdana" w:hAnsi="Verdana"/>
          <w:sz w:val="20"/>
          <w:szCs w:val="20"/>
          <w:lang w:val="es-ES"/>
        </w:rPr>
        <w:t>recurso extraordinario de casación</w:t>
      </w:r>
      <w:r w:rsidR="004637DE" w:rsidRPr="00EC475D">
        <w:rPr>
          <w:rFonts w:ascii="Verdana" w:hAnsi="Verdana"/>
          <w:sz w:val="20"/>
          <w:szCs w:val="20"/>
          <w:lang w:val="es-ES"/>
        </w:rPr>
        <w:t>”</w:t>
      </w:r>
      <w:r w:rsidRPr="00EC475D">
        <w:rPr>
          <w:rFonts w:ascii="Verdana" w:hAnsi="Verdana"/>
          <w:sz w:val="20"/>
          <w:szCs w:val="20"/>
          <w:lang w:val="es-ES"/>
        </w:rPr>
        <w:t xml:space="preserve"> ante la Corte Suprema de Justicia</w:t>
      </w:r>
      <w:r w:rsidR="009D79E0" w:rsidRPr="00EC475D">
        <w:rPr>
          <w:rFonts w:ascii="Verdana" w:hAnsi="Verdana"/>
          <w:sz w:val="20"/>
          <w:szCs w:val="20"/>
          <w:lang w:val="es-ES"/>
        </w:rPr>
        <w:t xml:space="preserve"> para “revocar las absoluciones por los delitos de tortura y secuestro</w:t>
      </w:r>
      <w:r w:rsidR="00513878" w:rsidRPr="00EC475D">
        <w:rPr>
          <w:rFonts w:ascii="Verdana" w:hAnsi="Verdana"/>
          <w:sz w:val="20"/>
          <w:szCs w:val="20"/>
          <w:lang w:val="es-ES"/>
        </w:rPr>
        <w:t xml:space="preserve"> a favor de los militares acusados</w:t>
      </w:r>
      <w:r w:rsidR="009D79E0" w:rsidRPr="00EC475D">
        <w:rPr>
          <w:rFonts w:ascii="Verdana" w:hAnsi="Verdana"/>
          <w:sz w:val="20"/>
          <w:szCs w:val="20"/>
          <w:lang w:val="es-ES"/>
        </w:rPr>
        <w:t>”</w:t>
      </w:r>
      <w:r w:rsidR="006D5D2E" w:rsidRPr="00EC475D">
        <w:rPr>
          <w:rStyle w:val="FootnoteReference"/>
          <w:rFonts w:ascii="Verdana" w:hAnsi="Verdana"/>
          <w:sz w:val="20"/>
          <w:szCs w:val="20"/>
          <w:lang w:val="es-ES"/>
        </w:rPr>
        <w:footnoteReference w:id="36"/>
      </w:r>
      <w:r w:rsidRPr="00EC475D">
        <w:rPr>
          <w:rFonts w:ascii="Verdana" w:hAnsi="Verdana"/>
          <w:sz w:val="20"/>
          <w:szCs w:val="20"/>
          <w:lang w:val="es-ES"/>
        </w:rPr>
        <w:t xml:space="preserve">. </w:t>
      </w:r>
    </w:p>
    <w:p w:rsidR="004D1D83" w:rsidRPr="00EC475D" w:rsidRDefault="004D1D83" w:rsidP="00B14F91">
      <w:pPr>
        <w:pStyle w:val="ListParagraph"/>
        <w:numPr>
          <w:ilvl w:val="0"/>
          <w:numId w:val="13"/>
        </w:numPr>
        <w:spacing w:after="0" w:line="240" w:lineRule="auto"/>
        <w:jc w:val="both"/>
        <w:rPr>
          <w:rFonts w:ascii="Verdana" w:hAnsi="Verdana"/>
          <w:sz w:val="20"/>
          <w:szCs w:val="20"/>
          <w:lang w:val="es-ES"/>
        </w:rPr>
      </w:pPr>
      <w:r w:rsidRPr="00EC475D">
        <w:rPr>
          <w:rFonts w:ascii="Verdana" w:hAnsi="Verdana"/>
          <w:sz w:val="20"/>
          <w:szCs w:val="20"/>
          <w:lang w:val="es-ES"/>
        </w:rPr>
        <w:t>Mediante sentencia de 15 de julio de 2015</w:t>
      </w:r>
      <w:r w:rsidR="009D79E0" w:rsidRPr="00EC475D">
        <w:rPr>
          <w:rFonts w:ascii="Verdana" w:hAnsi="Verdana"/>
          <w:sz w:val="20"/>
          <w:szCs w:val="20"/>
          <w:lang w:val="es-ES"/>
        </w:rPr>
        <w:t>,</w:t>
      </w:r>
      <w:r w:rsidRPr="00EC475D">
        <w:rPr>
          <w:rFonts w:ascii="Verdana" w:hAnsi="Verdana"/>
          <w:sz w:val="20"/>
          <w:szCs w:val="20"/>
          <w:lang w:val="es-ES"/>
        </w:rPr>
        <w:t xml:space="preserve"> la Sala de Casación Penal de la Corte Suprema </w:t>
      </w:r>
      <w:r w:rsidR="009D79E0" w:rsidRPr="00EC475D">
        <w:rPr>
          <w:rFonts w:ascii="Verdana" w:hAnsi="Verdana"/>
          <w:sz w:val="20"/>
          <w:szCs w:val="20"/>
          <w:lang w:val="es-ES"/>
        </w:rPr>
        <w:t xml:space="preserve">de Justicia </w:t>
      </w:r>
      <w:r w:rsidRPr="00EC475D">
        <w:rPr>
          <w:rFonts w:ascii="Verdana" w:hAnsi="Verdana"/>
          <w:sz w:val="20"/>
          <w:szCs w:val="20"/>
          <w:lang w:val="es-ES"/>
        </w:rPr>
        <w:t>resolvió el recurso extraordinario de casación</w:t>
      </w:r>
      <w:r w:rsidR="00513878" w:rsidRPr="00EC475D">
        <w:rPr>
          <w:rFonts w:ascii="Verdana" w:hAnsi="Verdana"/>
          <w:sz w:val="20"/>
          <w:szCs w:val="20"/>
          <w:lang w:val="es-ES"/>
        </w:rPr>
        <w:t xml:space="preserve"> y ordenó</w:t>
      </w:r>
      <w:r w:rsidRPr="00EC475D">
        <w:rPr>
          <w:rFonts w:ascii="Verdana" w:hAnsi="Verdana"/>
          <w:sz w:val="20"/>
          <w:szCs w:val="20"/>
          <w:lang w:val="es-ES"/>
        </w:rPr>
        <w:t xml:space="preserve">: </w:t>
      </w:r>
      <w:r w:rsidR="00513878" w:rsidRPr="00EC475D">
        <w:rPr>
          <w:rFonts w:ascii="Verdana" w:hAnsi="Verdana"/>
          <w:sz w:val="20"/>
          <w:szCs w:val="20"/>
          <w:lang w:val="es-ES"/>
        </w:rPr>
        <w:t>a</w:t>
      </w:r>
      <w:r w:rsidRPr="00EC475D">
        <w:rPr>
          <w:rFonts w:ascii="Verdana" w:hAnsi="Verdana"/>
          <w:sz w:val="20"/>
          <w:szCs w:val="20"/>
          <w:lang w:val="es-ES"/>
        </w:rPr>
        <w:t>) cas</w:t>
      </w:r>
      <w:r w:rsidR="00513878" w:rsidRPr="00EC475D">
        <w:rPr>
          <w:rFonts w:ascii="Verdana" w:hAnsi="Verdana"/>
          <w:sz w:val="20"/>
          <w:szCs w:val="20"/>
          <w:lang w:val="es-ES"/>
        </w:rPr>
        <w:t>ar</w:t>
      </w:r>
      <w:r w:rsidRPr="00EC475D">
        <w:rPr>
          <w:rFonts w:ascii="Verdana" w:hAnsi="Verdana"/>
          <w:sz w:val="20"/>
          <w:szCs w:val="20"/>
          <w:lang w:val="es-ES"/>
        </w:rPr>
        <w:t xml:space="preserve"> parcialmente la sentencia de 5 de mayo de 2014 para condenar a los </w:t>
      </w:r>
      <w:r w:rsidR="003F27B8" w:rsidRPr="00EC475D">
        <w:rPr>
          <w:rFonts w:ascii="Verdana" w:hAnsi="Verdana"/>
          <w:sz w:val="20"/>
          <w:szCs w:val="20"/>
          <w:lang w:val="es-ES"/>
        </w:rPr>
        <w:t xml:space="preserve">referidos cinco </w:t>
      </w:r>
      <w:r w:rsidRPr="00EC475D">
        <w:rPr>
          <w:rFonts w:ascii="Verdana" w:hAnsi="Verdana"/>
          <w:sz w:val="20"/>
          <w:szCs w:val="20"/>
          <w:lang w:val="es-ES"/>
        </w:rPr>
        <w:t>soldados regulares y a los cabos segundos</w:t>
      </w:r>
      <w:r w:rsidR="003F27B8" w:rsidRPr="00EC475D">
        <w:rPr>
          <w:rFonts w:ascii="Verdana" w:hAnsi="Verdana"/>
          <w:sz w:val="20"/>
          <w:szCs w:val="20"/>
          <w:lang w:val="es-ES"/>
        </w:rPr>
        <w:t xml:space="preserve"> (</w:t>
      </w:r>
      <w:r w:rsidR="003F27B8" w:rsidRPr="00EC475D">
        <w:rPr>
          <w:rFonts w:ascii="Verdana" w:hAnsi="Verdana"/>
          <w:i/>
          <w:sz w:val="20"/>
          <w:szCs w:val="20"/>
          <w:lang w:val="es-ES"/>
        </w:rPr>
        <w:t>supra</w:t>
      </w:r>
      <w:r w:rsidR="003F27B8" w:rsidRPr="00EC475D">
        <w:rPr>
          <w:rFonts w:ascii="Verdana" w:hAnsi="Verdana"/>
          <w:sz w:val="20"/>
          <w:szCs w:val="20"/>
          <w:lang w:val="es-ES"/>
        </w:rPr>
        <w:t xml:space="preserve"> iv)</w:t>
      </w:r>
      <w:r w:rsidRPr="00EC475D">
        <w:rPr>
          <w:rFonts w:ascii="Verdana" w:hAnsi="Verdana"/>
          <w:sz w:val="20"/>
          <w:szCs w:val="20"/>
          <w:lang w:val="es-ES"/>
        </w:rPr>
        <w:t xml:space="preserve">, </w:t>
      </w:r>
      <w:r w:rsidR="003F27B8" w:rsidRPr="00EC475D">
        <w:rPr>
          <w:rFonts w:ascii="Verdana" w:hAnsi="Verdana"/>
          <w:sz w:val="20"/>
          <w:szCs w:val="20"/>
          <w:lang w:val="es-ES"/>
        </w:rPr>
        <w:t>“</w:t>
      </w:r>
      <w:r w:rsidRPr="00EC475D">
        <w:rPr>
          <w:rFonts w:ascii="Verdana" w:hAnsi="Verdana"/>
          <w:sz w:val="20"/>
          <w:szCs w:val="20"/>
          <w:lang w:val="es-ES"/>
        </w:rPr>
        <w:t>a título de coautores del delito de tortura</w:t>
      </w:r>
      <w:r w:rsidR="00513878" w:rsidRPr="00EC475D">
        <w:rPr>
          <w:rFonts w:ascii="Verdana" w:hAnsi="Verdana"/>
          <w:sz w:val="20"/>
          <w:szCs w:val="20"/>
          <w:lang w:val="es-ES"/>
        </w:rPr>
        <w:t>”</w:t>
      </w:r>
      <w:r w:rsidR="00787559" w:rsidRPr="00EC475D">
        <w:rPr>
          <w:rFonts w:ascii="Verdana" w:hAnsi="Verdana"/>
          <w:sz w:val="20"/>
          <w:szCs w:val="20"/>
          <w:lang w:val="es-ES"/>
        </w:rPr>
        <w:t xml:space="preserve"> e </w:t>
      </w:r>
      <w:r w:rsidRPr="00EC475D">
        <w:rPr>
          <w:rFonts w:ascii="Verdana" w:hAnsi="Verdana"/>
          <w:sz w:val="20"/>
          <w:szCs w:val="20"/>
          <w:lang w:val="es-ES"/>
        </w:rPr>
        <w:t>imp</w:t>
      </w:r>
      <w:r w:rsidR="00787559" w:rsidRPr="00EC475D">
        <w:rPr>
          <w:rFonts w:ascii="Verdana" w:hAnsi="Verdana"/>
          <w:sz w:val="20"/>
          <w:szCs w:val="20"/>
          <w:lang w:val="es-ES"/>
        </w:rPr>
        <w:t>onerles</w:t>
      </w:r>
      <w:r w:rsidRPr="00EC475D">
        <w:rPr>
          <w:rFonts w:ascii="Verdana" w:hAnsi="Verdana"/>
          <w:sz w:val="20"/>
          <w:szCs w:val="20"/>
          <w:lang w:val="es-ES"/>
        </w:rPr>
        <w:t xml:space="preserve"> </w:t>
      </w:r>
      <w:r w:rsidR="00787559" w:rsidRPr="00EC475D">
        <w:rPr>
          <w:rFonts w:ascii="Verdana" w:hAnsi="Verdana"/>
          <w:sz w:val="20"/>
          <w:szCs w:val="20"/>
          <w:lang w:val="es-ES"/>
        </w:rPr>
        <w:t>“</w:t>
      </w:r>
      <w:r w:rsidRPr="00EC475D">
        <w:rPr>
          <w:rFonts w:ascii="Verdana" w:hAnsi="Verdana"/>
          <w:sz w:val="20"/>
          <w:szCs w:val="20"/>
          <w:lang w:val="es-ES"/>
        </w:rPr>
        <w:t xml:space="preserve">la pena </w:t>
      </w:r>
      <w:r w:rsidR="00787559" w:rsidRPr="00EC475D">
        <w:rPr>
          <w:rFonts w:ascii="Verdana" w:hAnsi="Verdana"/>
          <w:sz w:val="20"/>
          <w:szCs w:val="20"/>
          <w:lang w:val="es-ES"/>
        </w:rPr>
        <w:t xml:space="preserve">principal </w:t>
      </w:r>
      <w:r w:rsidRPr="00EC475D">
        <w:rPr>
          <w:rFonts w:ascii="Verdana" w:hAnsi="Verdana"/>
          <w:sz w:val="20"/>
          <w:szCs w:val="20"/>
          <w:lang w:val="es-ES"/>
        </w:rPr>
        <w:t xml:space="preserve">de </w:t>
      </w:r>
      <w:r w:rsidR="00787559" w:rsidRPr="00EC475D">
        <w:rPr>
          <w:rFonts w:ascii="Verdana" w:hAnsi="Verdana"/>
          <w:sz w:val="20"/>
          <w:szCs w:val="20"/>
          <w:lang w:val="es-ES"/>
        </w:rPr>
        <w:t>[18]</w:t>
      </w:r>
      <w:r w:rsidRPr="00EC475D">
        <w:rPr>
          <w:rFonts w:ascii="Verdana" w:hAnsi="Verdana"/>
          <w:sz w:val="20"/>
          <w:szCs w:val="20"/>
          <w:lang w:val="es-ES"/>
        </w:rPr>
        <w:t xml:space="preserve"> meses de prisión e inhabilitación para el ejercicio de derechos y funciones públicas por el mismo término</w:t>
      </w:r>
      <w:r w:rsidR="00787559" w:rsidRPr="00EC475D">
        <w:rPr>
          <w:rFonts w:ascii="Verdana" w:hAnsi="Verdana"/>
          <w:sz w:val="20"/>
          <w:szCs w:val="20"/>
          <w:lang w:val="es-ES"/>
        </w:rPr>
        <w:t>”</w:t>
      </w:r>
      <w:r w:rsidRPr="00EC475D">
        <w:rPr>
          <w:rFonts w:ascii="Verdana" w:hAnsi="Verdana"/>
          <w:sz w:val="20"/>
          <w:szCs w:val="20"/>
          <w:lang w:val="es-ES"/>
        </w:rPr>
        <w:t xml:space="preserve">; </w:t>
      </w:r>
      <w:r w:rsidR="00787559" w:rsidRPr="00EC475D">
        <w:rPr>
          <w:rFonts w:ascii="Verdana" w:hAnsi="Verdana"/>
          <w:sz w:val="20"/>
          <w:szCs w:val="20"/>
          <w:lang w:val="es-ES"/>
        </w:rPr>
        <w:t>b</w:t>
      </w:r>
      <w:r w:rsidRPr="00EC475D">
        <w:rPr>
          <w:rFonts w:ascii="Verdana" w:hAnsi="Verdana"/>
          <w:sz w:val="20"/>
          <w:szCs w:val="20"/>
          <w:lang w:val="es-ES"/>
        </w:rPr>
        <w:t xml:space="preserve">) </w:t>
      </w:r>
      <w:r w:rsidR="00787559" w:rsidRPr="00EC475D">
        <w:rPr>
          <w:rFonts w:ascii="Verdana" w:hAnsi="Verdana"/>
          <w:sz w:val="20"/>
          <w:szCs w:val="20"/>
          <w:lang w:val="es-ES"/>
        </w:rPr>
        <w:t xml:space="preserve">negar </w:t>
      </w:r>
      <w:r w:rsidRPr="00EC475D">
        <w:rPr>
          <w:rFonts w:ascii="Verdana" w:hAnsi="Verdana"/>
          <w:sz w:val="20"/>
          <w:szCs w:val="20"/>
          <w:lang w:val="es-ES"/>
        </w:rPr>
        <w:t xml:space="preserve">a </w:t>
      </w:r>
      <w:proofErr w:type="spellStart"/>
      <w:r w:rsidRPr="00EC475D">
        <w:rPr>
          <w:rFonts w:ascii="Verdana" w:hAnsi="Verdana"/>
          <w:sz w:val="20"/>
          <w:szCs w:val="20"/>
          <w:lang w:val="es-ES"/>
        </w:rPr>
        <w:t>Ever</w:t>
      </w:r>
      <w:r w:rsidR="00CE6339">
        <w:rPr>
          <w:rFonts w:ascii="Verdana" w:hAnsi="Verdana"/>
          <w:sz w:val="20"/>
          <w:szCs w:val="20"/>
          <w:lang w:val="es-ES"/>
        </w:rPr>
        <w:t>t</w:t>
      </w:r>
      <w:proofErr w:type="spellEnd"/>
      <w:r w:rsidRPr="00EC475D">
        <w:rPr>
          <w:rFonts w:ascii="Verdana" w:hAnsi="Verdana"/>
          <w:sz w:val="20"/>
          <w:szCs w:val="20"/>
          <w:lang w:val="es-ES"/>
        </w:rPr>
        <w:t xml:space="preserve"> Ospina Martínez y Roberto Camacho Riaño la </w:t>
      </w:r>
      <w:r w:rsidR="00787559" w:rsidRPr="00EC475D">
        <w:rPr>
          <w:rFonts w:ascii="Verdana" w:hAnsi="Verdana"/>
          <w:sz w:val="20"/>
          <w:szCs w:val="20"/>
          <w:lang w:val="es-ES"/>
        </w:rPr>
        <w:t>“</w:t>
      </w:r>
      <w:r w:rsidRPr="00EC475D">
        <w:rPr>
          <w:rFonts w:ascii="Verdana" w:hAnsi="Verdana"/>
          <w:sz w:val="20"/>
          <w:szCs w:val="20"/>
          <w:lang w:val="es-ES"/>
        </w:rPr>
        <w:t>suspensión condicional de la ejecución de la pena y la prisión domiciliaria</w:t>
      </w:r>
      <w:r w:rsidR="00787559" w:rsidRPr="00EC475D">
        <w:rPr>
          <w:rFonts w:ascii="Verdana" w:hAnsi="Verdana"/>
          <w:sz w:val="20"/>
          <w:szCs w:val="20"/>
          <w:lang w:val="es-ES"/>
        </w:rPr>
        <w:t>”, y c</w:t>
      </w:r>
      <w:r w:rsidRPr="00EC475D">
        <w:rPr>
          <w:rFonts w:ascii="Verdana" w:hAnsi="Verdana"/>
          <w:sz w:val="20"/>
          <w:szCs w:val="20"/>
          <w:lang w:val="es-ES"/>
        </w:rPr>
        <w:t>) conced</w:t>
      </w:r>
      <w:r w:rsidR="00787559" w:rsidRPr="00EC475D">
        <w:rPr>
          <w:rFonts w:ascii="Verdana" w:hAnsi="Verdana"/>
          <w:sz w:val="20"/>
          <w:szCs w:val="20"/>
          <w:lang w:val="es-ES"/>
        </w:rPr>
        <w:t>er</w:t>
      </w:r>
      <w:r w:rsidRPr="00EC475D">
        <w:rPr>
          <w:rFonts w:ascii="Verdana" w:hAnsi="Verdana"/>
          <w:sz w:val="20"/>
          <w:szCs w:val="20"/>
          <w:lang w:val="es-ES"/>
        </w:rPr>
        <w:t xml:space="preserve"> a Oscar Iván Arias Herrera, J</w:t>
      </w:r>
      <w:r w:rsidR="00865BBC" w:rsidRPr="00EC475D">
        <w:rPr>
          <w:rFonts w:ascii="Verdana" w:hAnsi="Verdana"/>
          <w:sz w:val="20"/>
          <w:szCs w:val="20"/>
          <w:lang w:val="es-ES"/>
        </w:rPr>
        <w:t>o</w:t>
      </w:r>
      <w:r w:rsidRPr="00EC475D">
        <w:rPr>
          <w:rFonts w:ascii="Verdana" w:hAnsi="Verdana"/>
          <w:sz w:val="20"/>
          <w:szCs w:val="20"/>
          <w:lang w:val="es-ES"/>
        </w:rPr>
        <w:t>hn Abadía Duque, Francisco Javier Bedoya Aguirre, Marco Tulio Cañas Torres</w:t>
      </w:r>
      <w:r w:rsidR="00787559" w:rsidRPr="00EC475D">
        <w:rPr>
          <w:rFonts w:ascii="Verdana" w:hAnsi="Verdana"/>
          <w:sz w:val="20"/>
          <w:szCs w:val="20"/>
          <w:lang w:val="es-ES"/>
        </w:rPr>
        <w:t xml:space="preserve"> y</w:t>
      </w:r>
      <w:r w:rsidRPr="00EC475D">
        <w:rPr>
          <w:rFonts w:ascii="Verdana" w:hAnsi="Verdana"/>
          <w:sz w:val="20"/>
          <w:szCs w:val="20"/>
          <w:lang w:val="es-ES"/>
        </w:rPr>
        <w:t xml:space="preserve"> Rubén Darío </w:t>
      </w:r>
      <w:proofErr w:type="spellStart"/>
      <w:r w:rsidRPr="00EC475D">
        <w:rPr>
          <w:rFonts w:ascii="Verdana" w:hAnsi="Verdana"/>
          <w:sz w:val="20"/>
          <w:szCs w:val="20"/>
          <w:lang w:val="es-ES"/>
        </w:rPr>
        <w:t>Aricapa</w:t>
      </w:r>
      <w:proofErr w:type="spellEnd"/>
      <w:r w:rsidRPr="00EC475D">
        <w:rPr>
          <w:rFonts w:ascii="Verdana" w:hAnsi="Verdana"/>
          <w:sz w:val="20"/>
          <w:szCs w:val="20"/>
          <w:lang w:val="es-ES"/>
        </w:rPr>
        <w:t xml:space="preserve"> García </w:t>
      </w:r>
      <w:r w:rsidR="00666F2F">
        <w:rPr>
          <w:rFonts w:ascii="Verdana" w:hAnsi="Verdana"/>
          <w:sz w:val="20"/>
          <w:szCs w:val="20"/>
          <w:lang w:val="es-ES"/>
        </w:rPr>
        <w:t>“</w:t>
      </w:r>
      <w:r w:rsidRPr="00EC475D">
        <w:rPr>
          <w:rFonts w:ascii="Verdana" w:hAnsi="Verdana"/>
          <w:sz w:val="20"/>
          <w:szCs w:val="20"/>
          <w:lang w:val="es-ES"/>
        </w:rPr>
        <w:t xml:space="preserve">la </w:t>
      </w:r>
      <w:r w:rsidRPr="00EC475D">
        <w:rPr>
          <w:rFonts w:ascii="Verdana" w:hAnsi="Verdana"/>
          <w:sz w:val="20"/>
          <w:szCs w:val="20"/>
          <w:lang w:val="es-ES"/>
        </w:rPr>
        <w:lastRenderedPageBreak/>
        <w:t>libertad definitiva por pena cumplida</w:t>
      </w:r>
      <w:r w:rsidR="00787559" w:rsidRPr="00EC475D">
        <w:rPr>
          <w:rFonts w:ascii="Verdana" w:hAnsi="Verdana"/>
          <w:sz w:val="20"/>
          <w:szCs w:val="20"/>
          <w:lang w:val="es-ES"/>
        </w:rPr>
        <w:t>”.</w:t>
      </w:r>
      <w:r w:rsidRPr="00EC475D">
        <w:rPr>
          <w:rFonts w:ascii="Verdana" w:hAnsi="Verdana"/>
          <w:sz w:val="20"/>
          <w:szCs w:val="20"/>
          <w:lang w:val="es-ES"/>
        </w:rPr>
        <w:t xml:space="preserve"> </w:t>
      </w:r>
      <w:r w:rsidR="00787559" w:rsidRPr="00EC475D">
        <w:rPr>
          <w:rFonts w:ascii="Verdana" w:hAnsi="Verdana"/>
          <w:sz w:val="20"/>
          <w:szCs w:val="20"/>
          <w:lang w:val="es-ES"/>
        </w:rPr>
        <w:t>E</w:t>
      </w:r>
      <w:r w:rsidRPr="00EC475D">
        <w:rPr>
          <w:rFonts w:ascii="Verdana" w:hAnsi="Verdana"/>
          <w:sz w:val="20"/>
          <w:szCs w:val="20"/>
          <w:lang w:val="es-ES"/>
        </w:rPr>
        <w:t xml:space="preserve">n lo demás, dejó </w:t>
      </w:r>
      <w:r w:rsidR="00DF32D1" w:rsidRPr="00EC475D">
        <w:rPr>
          <w:rFonts w:ascii="Verdana" w:hAnsi="Verdana"/>
          <w:sz w:val="20"/>
          <w:szCs w:val="20"/>
          <w:lang w:val="es-ES"/>
        </w:rPr>
        <w:t>“</w:t>
      </w:r>
      <w:r w:rsidRPr="00EC475D">
        <w:rPr>
          <w:rFonts w:ascii="Verdana" w:hAnsi="Verdana"/>
          <w:sz w:val="20"/>
          <w:szCs w:val="20"/>
          <w:lang w:val="es-ES"/>
        </w:rPr>
        <w:t>incólume</w:t>
      </w:r>
      <w:r w:rsidR="00DF32D1" w:rsidRPr="00EC475D">
        <w:rPr>
          <w:rFonts w:ascii="Verdana" w:hAnsi="Verdana"/>
          <w:sz w:val="20"/>
          <w:szCs w:val="20"/>
          <w:lang w:val="es-ES"/>
        </w:rPr>
        <w:t>”</w:t>
      </w:r>
      <w:r w:rsidRPr="00EC475D">
        <w:rPr>
          <w:rFonts w:ascii="Verdana" w:hAnsi="Verdana"/>
          <w:sz w:val="20"/>
          <w:szCs w:val="20"/>
          <w:lang w:val="es-ES"/>
        </w:rPr>
        <w:t xml:space="preserve"> la sentencia de 5 de mayo de 2014</w:t>
      </w:r>
      <w:r w:rsidR="006D5D2E" w:rsidRPr="00EC475D">
        <w:rPr>
          <w:rStyle w:val="FootnoteReference"/>
          <w:rFonts w:ascii="Verdana" w:hAnsi="Verdana"/>
          <w:sz w:val="20"/>
          <w:szCs w:val="20"/>
          <w:lang w:val="es-ES"/>
        </w:rPr>
        <w:footnoteReference w:id="37"/>
      </w:r>
      <w:r w:rsidRPr="00EC475D">
        <w:rPr>
          <w:rFonts w:ascii="Verdana" w:hAnsi="Verdana"/>
          <w:sz w:val="20"/>
          <w:szCs w:val="20"/>
          <w:lang w:val="es-ES"/>
        </w:rPr>
        <w:t>.</w:t>
      </w:r>
    </w:p>
    <w:p w:rsidR="001500CE" w:rsidRPr="00EC475D" w:rsidRDefault="001500CE" w:rsidP="00B14F91">
      <w:pPr>
        <w:pStyle w:val="ListParagraph"/>
        <w:spacing w:after="0" w:line="240" w:lineRule="auto"/>
        <w:jc w:val="both"/>
        <w:rPr>
          <w:rFonts w:ascii="Verdana" w:hAnsi="Verdana" w:cs="Arial"/>
          <w:sz w:val="20"/>
        </w:rPr>
      </w:pPr>
    </w:p>
    <w:p w:rsidR="00467819" w:rsidRPr="00EC475D" w:rsidRDefault="00577222" w:rsidP="00B14F91">
      <w:pPr>
        <w:spacing w:after="0" w:line="240" w:lineRule="auto"/>
        <w:jc w:val="both"/>
        <w:rPr>
          <w:rFonts w:ascii="Verdana" w:hAnsi="Verdana"/>
          <w:sz w:val="20"/>
          <w:szCs w:val="20"/>
        </w:rPr>
      </w:pPr>
      <w:r w:rsidRPr="00EC475D">
        <w:rPr>
          <w:rFonts w:ascii="Verdana" w:hAnsi="Verdana"/>
          <w:sz w:val="20"/>
          <w:szCs w:val="20"/>
        </w:rPr>
        <w:t>1</w:t>
      </w:r>
      <w:r w:rsidR="00973938" w:rsidRPr="00EC475D">
        <w:rPr>
          <w:rFonts w:ascii="Verdana" w:hAnsi="Verdana"/>
          <w:sz w:val="20"/>
          <w:szCs w:val="20"/>
        </w:rPr>
        <w:t>1</w:t>
      </w:r>
      <w:r w:rsidRPr="00EC475D">
        <w:rPr>
          <w:rFonts w:ascii="Verdana" w:hAnsi="Verdana"/>
          <w:sz w:val="20"/>
          <w:szCs w:val="20"/>
        </w:rPr>
        <w:t>.</w:t>
      </w:r>
      <w:r w:rsidRPr="00EC475D">
        <w:rPr>
          <w:rFonts w:ascii="Verdana" w:hAnsi="Verdana"/>
          <w:sz w:val="20"/>
          <w:szCs w:val="20"/>
        </w:rPr>
        <w:tab/>
      </w:r>
      <w:r w:rsidR="00467819" w:rsidRPr="00EC475D">
        <w:rPr>
          <w:rFonts w:ascii="Verdana" w:hAnsi="Verdana"/>
          <w:sz w:val="20"/>
          <w:szCs w:val="20"/>
        </w:rPr>
        <w:t>En síntesis, la Corte constata que el Estado llevó a cabo dos diferentes procesos penales que avanzaron hasta la emisión de decisiones judiciales definitivas por las cuales se realizaron determinaciones de responsabilidad penal por los hechos violatorios perpetrados contra la víctima de este caso, de manera que:</w:t>
      </w:r>
    </w:p>
    <w:p w:rsidR="00B0088E" w:rsidRPr="00EC475D" w:rsidRDefault="00B0088E" w:rsidP="00B14F91">
      <w:pPr>
        <w:spacing w:after="0" w:line="240" w:lineRule="auto"/>
        <w:jc w:val="both"/>
        <w:rPr>
          <w:rFonts w:ascii="Verdana" w:hAnsi="Verdana"/>
          <w:sz w:val="20"/>
          <w:szCs w:val="20"/>
        </w:rPr>
      </w:pPr>
    </w:p>
    <w:p w:rsidR="00467819" w:rsidRPr="00EC475D" w:rsidRDefault="00467819" w:rsidP="00B14F91">
      <w:pPr>
        <w:pStyle w:val="ListParagraph"/>
        <w:numPr>
          <w:ilvl w:val="1"/>
          <w:numId w:val="18"/>
        </w:numPr>
        <w:spacing w:after="0" w:line="240" w:lineRule="auto"/>
        <w:jc w:val="both"/>
        <w:rPr>
          <w:rFonts w:ascii="Verdana" w:hAnsi="Verdana"/>
          <w:sz w:val="20"/>
          <w:szCs w:val="20"/>
          <w:lang w:val="es-ES"/>
        </w:rPr>
      </w:pPr>
      <w:r w:rsidRPr="00EC475D">
        <w:rPr>
          <w:rFonts w:ascii="Verdana" w:hAnsi="Verdana"/>
          <w:sz w:val="20"/>
          <w:szCs w:val="20"/>
        </w:rPr>
        <w:t xml:space="preserve">se </w:t>
      </w:r>
      <w:r w:rsidR="00A93546" w:rsidRPr="00EC475D">
        <w:rPr>
          <w:rFonts w:ascii="Verdana" w:hAnsi="Verdana"/>
          <w:sz w:val="20"/>
          <w:lang w:val="es-ES"/>
        </w:rPr>
        <w:t xml:space="preserve">condenó a </w:t>
      </w:r>
      <w:r w:rsidR="00A93546" w:rsidRPr="00EC475D">
        <w:rPr>
          <w:rFonts w:ascii="Verdana" w:hAnsi="Verdana"/>
          <w:sz w:val="20"/>
          <w:szCs w:val="20"/>
          <w:lang w:val="es-ES"/>
        </w:rPr>
        <w:t>dos cabos segundos</w:t>
      </w:r>
      <w:r w:rsidR="00A93546" w:rsidRPr="00EC475D">
        <w:rPr>
          <w:rStyle w:val="FootnoteReference"/>
          <w:rFonts w:ascii="Verdana" w:hAnsi="Verdana"/>
          <w:sz w:val="20"/>
          <w:szCs w:val="20"/>
          <w:lang w:val="es-ES"/>
        </w:rPr>
        <w:footnoteReference w:id="38"/>
      </w:r>
      <w:r w:rsidR="00A93546" w:rsidRPr="00EC475D">
        <w:rPr>
          <w:rFonts w:ascii="Verdana" w:hAnsi="Verdana"/>
          <w:sz w:val="20"/>
          <w:szCs w:val="20"/>
          <w:lang w:val="es-ES"/>
        </w:rPr>
        <w:t xml:space="preserve"> por el homicidio agravado del señor Germán </w:t>
      </w:r>
      <w:proofErr w:type="spellStart"/>
      <w:r w:rsidR="00A93546" w:rsidRPr="00EC475D">
        <w:rPr>
          <w:rFonts w:ascii="Verdana" w:hAnsi="Verdana"/>
          <w:sz w:val="20"/>
          <w:szCs w:val="20"/>
          <w:lang w:val="es-ES"/>
        </w:rPr>
        <w:t>Escué</w:t>
      </w:r>
      <w:proofErr w:type="spellEnd"/>
      <w:r w:rsidR="00A93546" w:rsidRPr="00EC475D">
        <w:rPr>
          <w:rFonts w:ascii="Verdana" w:hAnsi="Verdana"/>
          <w:sz w:val="20"/>
          <w:szCs w:val="20"/>
          <w:lang w:val="es-ES"/>
        </w:rPr>
        <w:t xml:space="preserve"> Zapata</w:t>
      </w:r>
      <w:r w:rsidR="00A93546" w:rsidRPr="00EC475D">
        <w:rPr>
          <w:rStyle w:val="FootnoteReference"/>
          <w:rFonts w:ascii="Verdana" w:hAnsi="Verdana"/>
          <w:sz w:val="20"/>
          <w:szCs w:val="20"/>
          <w:lang w:val="es-ES"/>
        </w:rPr>
        <w:footnoteReference w:id="39"/>
      </w:r>
      <w:r w:rsidR="004A72D8" w:rsidRPr="00EC475D">
        <w:rPr>
          <w:rFonts w:ascii="Verdana" w:hAnsi="Verdana"/>
          <w:sz w:val="20"/>
          <w:szCs w:val="20"/>
          <w:lang w:val="es-ES"/>
        </w:rPr>
        <w:t>;</w:t>
      </w:r>
      <w:r w:rsidR="00CD17B1" w:rsidRPr="00EC475D">
        <w:rPr>
          <w:rFonts w:ascii="Verdana" w:hAnsi="Verdana"/>
          <w:sz w:val="20"/>
          <w:szCs w:val="20"/>
          <w:lang w:val="es-ES"/>
        </w:rPr>
        <w:t xml:space="preserve"> </w:t>
      </w:r>
    </w:p>
    <w:p w:rsidR="00467819" w:rsidRPr="00EC475D" w:rsidRDefault="00467819" w:rsidP="00B14F91">
      <w:pPr>
        <w:pStyle w:val="ListParagraph"/>
        <w:numPr>
          <w:ilvl w:val="1"/>
          <w:numId w:val="18"/>
        </w:numPr>
        <w:spacing w:after="0" w:line="240" w:lineRule="auto"/>
        <w:jc w:val="both"/>
        <w:rPr>
          <w:rFonts w:ascii="Verdana" w:hAnsi="Verdana"/>
          <w:sz w:val="20"/>
          <w:szCs w:val="20"/>
          <w:lang w:val="es-ES"/>
        </w:rPr>
      </w:pPr>
      <w:r w:rsidRPr="00EC475D">
        <w:rPr>
          <w:rFonts w:ascii="Verdana" w:hAnsi="Verdana"/>
          <w:sz w:val="20"/>
          <w:szCs w:val="20"/>
          <w:lang w:val="es-ES"/>
        </w:rPr>
        <w:t>se condenó</w:t>
      </w:r>
      <w:r w:rsidR="00CD17B1" w:rsidRPr="00EC475D">
        <w:rPr>
          <w:rFonts w:ascii="Verdana" w:hAnsi="Verdana"/>
          <w:sz w:val="20"/>
          <w:szCs w:val="20"/>
          <w:lang w:val="es-ES"/>
        </w:rPr>
        <w:t xml:space="preserve"> a un teniente por el delito de falso testimonio</w:t>
      </w:r>
      <w:r w:rsidR="00680821" w:rsidRPr="00EC475D">
        <w:rPr>
          <w:rStyle w:val="FootnoteReference"/>
          <w:rFonts w:ascii="Verdana" w:hAnsi="Verdana"/>
          <w:sz w:val="20"/>
          <w:szCs w:val="20"/>
          <w:lang w:val="es-ES"/>
        </w:rPr>
        <w:footnoteReference w:id="40"/>
      </w:r>
      <w:r w:rsidR="00CD17B1" w:rsidRPr="00EC475D">
        <w:rPr>
          <w:rFonts w:ascii="Verdana" w:hAnsi="Verdana"/>
          <w:sz w:val="20"/>
          <w:szCs w:val="20"/>
          <w:lang w:val="es-ES"/>
        </w:rPr>
        <w:t xml:space="preserve">, </w:t>
      </w:r>
      <w:r w:rsidR="00BD4F3C" w:rsidRPr="00EC475D">
        <w:rPr>
          <w:rFonts w:ascii="Verdana" w:hAnsi="Verdana"/>
          <w:sz w:val="20"/>
          <w:szCs w:val="20"/>
          <w:lang w:val="es-ES"/>
        </w:rPr>
        <w:t>y</w:t>
      </w:r>
    </w:p>
    <w:p w:rsidR="00467819" w:rsidRPr="00EC475D" w:rsidRDefault="00A93546" w:rsidP="00B14F91">
      <w:pPr>
        <w:pStyle w:val="ListParagraph"/>
        <w:numPr>
          <w:ilvl w:val="1"/>
          <w:numId w:val="18"/>
        </w:numPr>
        <w:spacing w:after="0" w:line="240" w:lineRule="auto"/>
        <w:jc w:val="both"/>
        <w:rPr>
          <w:rFonts w:ascii="Verdana" w:hAnsi="Verdana"/>
          <w:sz w:val="20"/>
          <w:szCs w:val="20"/>
          <w:lang w:val="es-ES"/>
        </w:rPr>
      </w:pPr>
      <w:r w:rsidRPr="00EC475D">
        <w:rPr>
          <w:rFonts w:ascii="Verdana" w:hAnsi="Verdana"/>
          <w:sz w:val="20"/>
          <w:szCs w:val="20"/>
          <w:lang w:val="es-ES"/>
        </w:rPr>
        <w:t xml:space="preserve">se condenó a </w:t>
      </w:r>
      <w:r w:rsidR="00CD17B1" w:rsidRPr="00EC475D">
        <w:rPr>
          <w:rFonts w:ascii="Verdana" w:hAnsi="Verdana"/>
          <w:sz w:val="20"/>
          <w:szCs w:val="20"/>
          <w:lang w:val="es-ES"/>
        </w:rPr>
        <w:t>cinco</w:t>
      </w:r>
      <w:r w:rsidRPr="00EC475D">
        <w:rPr>
          <w:rFonts w:ascii="Verdana" w:hAnsi="Verdana"/>
          <w:sz w:val="20"/>
          <w:szCs w:val="20"/>
          <w:lang w:val="es-ES"/>
        </w:rPr>
        <w:t xml:space="preserve"> soldados regulares</w:t>
      </w:r>
      <w:r w:rsidRPr="00EC475D">
        <w:rPr>
          <w:rStyle w:val="FootnoteReference"/>
          <w:rFonts w:ascii="Verdana" w:hAnsi="Verdana"/>
          <w:sz w:val="20"/>
          <w:szCs w:val="20"/>
          <w:lang w:val="es-ES"/>
        </w:rPr>
        <w:footnoteReference w:id="41"/>
      </w:r>
      <w:r w:rsidRPr="00EC475D">
        <w:rPr>
          <w:rFonts w:ascii="Verdana" w:hAnsi="Verdana"/>
          <w:sz w:val="20"/>
          <w:szCs w:val="20"/>
          <w:lang w:val="es-ES"/>
        </w:rPr>
        <w:t xml:space="preserve"> y a dos cabos segundos</w:t>
      </w:r>
      <w:r w:rsidRPr="00EC475D">
        <w:rPr>
          <w:rStyle w:val="FootnoteReference"/>
          <w:rFonts w:ascii="Verdana" w:hAnsi="Verdana"/>
          <w:sz w:val="20"/>
          <w:szCs w:val="20"/>
          <w:lang w:val="es-ES"/>
        </w:rPr>
        <w:footnoteReference w:id="42"/>
      </w:r>
      <w:r w:rsidRPr="00EC475D">
        <w:rPr>
          <w:rFonts w:ascii="Verdana" w:hAnsi="Verdana"/>
          <w:sz w:val="20"/>
          <w:szCs w:val="20"/>
          <w:lang w:val="es-ES"/>
        </w:rPr>
        <w:t xml:space="preserve"> a título de coautores del delito de tortura (</w:t>
      </w:r>
      <w:r w:rsidRPr="00EC475D">
        <w:rPr>
          <w:rFonts w:ascii="Verdana" w:hAnsi="Verdana"/>
          <w:i/>
          <w:sz w:val="20"/>
          <w:szCs w:val="20"/>
          <w:lang w:val="es-ES"/>
        </w:rPr>
        <w:t xml:space="preserve">supra </w:t>
      </w:r>
      <w:r w:rsidRPr="00EC475D">
        <w:rPr>
          <w:rFonts w:ascii="Verdana" w:hAnsi="Verdana"/>
          <w:sz w:val="20"/>
          <w:szCs w:val="20"/>
          <w:lang w:val="es-ES"/>
        </w:rPr>
        <w:t>Considerando 1</w:t>
      </w:r>
      <w:r w:rsidR="00B57CA6" w:rsidRPr="00EC475D">
        <w:rPr>
          <w:rFonts w:ascii="Verdana" w:hAnsi="Verdana"/>
          <w:sz w:val="20"/>
          <w:szCs w:val="20"/>
          <w:lang w:val="es-ES"/>
        </w:rPr>
        <w:t>0</w:t>
      </w:r>
      <w:r w:rsidRPr="00EC475D">
        <w:rPr>
          <w:rFonts w:ascii="Verdana" w:hAnsi="Verdana"/>
          <w:sz w:val="20"/>
          <w:szCs w:val="20"/>
          <w:lang w:val="es-ES"/>
        </w:rPr>
        <w:t xml:space="preserve">). </w:t>
      </w:r>
    </w:p>
    <w:p w:rsidR="00467819" w:rsidRPr="00EC475D" w:rsidRDefault="00467819" w:rsidP="00B14F91">
      <w:pPr>
        <w:spacing w:after="0" w:line="240" w:lineRule="auto"/>
        <w:ind w:left="720"/>
        <w:jc w:val="both"/>
        <w:rPr>
          <w:rFonts w:ascii="Verdana" w:hAnsi="Verdana"/>
          <w:sz w:val="20"/>
          <w:szCs w:val="20"/>
          <w:lang w:val="es-ES"/>
        </w:rPr>
      </w:pPr>
    </w:p>
    <w:p w:rsidR="004E5365" w:rsidRDefault="003E25CA" w:rsidP="00B14F91">
      <w:pPr>
        <w:spacing w:after="0" w:line="240" w:lineRule="auto"/>
        <w:jc w:val="both"/>
        <w:rPr>
          <w:rFonts w:ascii="Verdana" w:hAnsi="Verdana" w:cs="Arial"/>
          <w:sz w:val="20"/>
        </w:rPr>
      </w:pPr>
      <w:r w:rsidRPr="00EC475D">
        <w:rPr>
          <w:rFonts w:ascii="Verdana" w:hAnsi="Verdana"/>
          <w:sz w:val="20"/>
          <w:szCs w:val="20"/>
          <w:lang w:val="es-ES"/>
        </w:rPr>
        <w:t>12.</w:t>
      </w:r>
      <w:r w:rsidRPr="00EC475D">
        <w:rPr>
          <w:rFonts w:ascii="Verdana" w:hAnsi="Verdana"/>
          <w:sz w:val="20"/>
          <w:szCs w:val="20"/>
          <w:lang w:val="es-ES"/>
        </w:rPr>
        <w:tab/>
      </w:r>
      <w:r w:rsidR="008D0477" w:rsidRPr="00EC475D">
        <w:rPr>
          <w:rFonts w:ascii="Verdana" w:hAnsi="Verdana"/>
          <w:sz w:val="20"/>
        </w:rPr>
        <w:t xml:space="preserve">Si bien los representantes y la Comisión reconocen los avances realizados por el Estado en la obligación de investigar, consideran que la </w:t>
      </w:r>
      <w:r w:rsidR="007C7602">
        <w:rPr>
          <w:rFonts w:ascii="Verdana" w:hAnsi="Verdana"/>
          <w:sz w:val="20"/>
        </w:rPr>
        <w:t>misma</w:t>
      </w:r>
      <w:r w:rsidR="008D0477" w:rsidRPr="00EC475D">
        <w:rPr>
          <w:rFonts w:ascii="Verdana" w:hAnsi="Verdana"/>
          <w:sz w:val="20"/>
        </w:rPr>
        <w:t xml:space="preserve"> no puede </w:t>
      </w:r>
      <w:r w:rsidR="007C7602">
        <w:rPr>
          <w:rFonts w:ascii="Verdana" w:hAnsi="Verdana"/>
          <w:sz w:val="20"/>
        </w:rPr>
        <w:t>declararse como</w:t>
      </w:r>
      <w:r w:rsidR="008D0477" w:rsidRPr="00EC475D">
        <w:rPr>
          <w:rFonts w:ascii="Verdana" w:hAnsi="Verdana"/>
          <w:sz w:val="20"/>
        </w:rPr>
        <w:t xml:space="preserve"> cumplida porque el Estado debe informar sobre la existencia de investigaciones tendientes a identificar a los autores intelectuales del homicidio del señor </w:t>
      </w:r>
      <w:proofErr w:type="spellStart"/>
      <w:r w:rsidR="008D0477" w:rsidRPr="00EC475D">
        <w:rPr>
          <w:rFonts w:ascii="Verdana" w:hAnsi="Verdana"/>
          <w:sz w:val="20"/>
        </w:rPr>
        <w:t>Escué</w:t>
      </w:r>
      <w:proofErr w:type="spellEnd"/>
      <w:r w:rsidR="008D0477" w:rsidRPr="00EC475D">
        <w:rPr>
          <w:rFonts w:ascii="Verdana" w:hAnsi="Verdana"/>
          <w:sz w:val="20"/>
        </w:rPr>
        <w:t xml:space="preserve"> Zapata (</w:t>
      </w:r>
      <w:r w:rsidR="008D0477" w:rsidRPr="00EC475D">
        <w:rPr>
          <w:rFonts w:ascii="Verdana" w:hAnsi="Verdana"/>
          <w:i/>
          <w:sz w:val="20"/>
        </w:rPr>
        <w:t xml:space="preserve">supra </w:t>
      </w:r>
      <w:r w:rsidR="008D0477" w:rsidRPr="00EC475D">
        <w:rPr>
          <w:rFonts w:ascii="Verdana" w:hAnsi="Verdana"/>
          <w:sz w:val="20"/>
        </w:rPr>
        <w:t xml:space="preserve">Considerando </w:t>
      </w:r>
      <w:r w:rsidR="004D32E5" w:rsidRPr="00EC475D">
        <w:rPr>
          <w:rFonts w:ascii="Verdana" w:hAnsi="Verdana"/>
          <w:sz w:val="20"/>
        </w:rPr>
        <w:t>9</w:t>
      </w:r>
      <w:r w:rsidR="008D0477" w:rsidRPr="00EC475D">
        <w:rPr>
          <w:rFonts w:ascii="Verdana" w:hAnsi="Verdana"/>
          <w:sz w:val="20"/>
        </w:rPr>
        <w:t xml:space="preserve">). Al respecto, la Corte constata que la absolución del teniente Navarro </w:t>
      </w:r>
      <w:proofErr w:type="spellStart"/>
      <w:r w:rsidR="008D0477" w:rsidRPr="00EC475D">
        <w:rPr>
          <w:rFonts w:ascii="Verdana" w:hAnsi="Verdana"/>
          <w:sz w:val="20"/>
        </w:rPr>
        <w:t>Devia</w:t>
      </w:r>
      <w:proofErr w:type="spellEnd"/>
      <w:r w:rsidR="002B7262">
        <w:rPr>
          <w:rFonts w:ascii="Verdana" w:hAnsi="Verdana"/>
          <w:sz w:val="20"/>
        </w:rPr>
        <w:t>, quien al momento de los hechos comandaba el pelotón que realizó el operativo que resultó en la ejecución de</w:t>
      </w:r>
      <w:r w:rsidR="00225C67">
        <w:rPr>
          <w:rFonts w:ascii="Verdana" w:hAnsi="Verdana"/>
          <w:sz w:val="20"/>
        </w:rPr>
        <w:t xml:space="preserve"> </w:t>
      </w:r>
      <w:r w:rsidR="002B7262">
        <w:rPr>
          <w:rFonts w:ascii="Verdana" w:hAnsi="Verdana"/>
          <w:sz w:val="20"/>
        </w:rPr>
        <w:t>l</w:t>
      </w:r>
      <w:r w:rsidR="00225C67">
        <w:rPr>
          <w:rFonts w:ascii="Verdana" w:hAnsi="Verdana"/>
          <w:sz w:val="20"/>
        </w:rPr>
        <w:t>a víctima del caso</w:t>
      </w:r>
      <w:r w:rsidR="002B7262">
        <w:rPr>
          <w:rFonts w:ascii="Verdana" w:hAnsi="Verdana"/>
          <w:sz w:val="20"/>
        </w:rPr>
        <w:t>,</w:t>
      </w:r>
      <w:r w:rsidR="008D0477" w:rsidRPr="00EC475D">
        <w:rPr>
          <w:rFonts w:ascii="Verdana" w:hAnsi="Verdana"/>
          <w:sz w:val="20"/>
        </w:rPr>
        <w:t xml:space="preserve"> </w:t>
      </w:r>
      <w:r w:rsidR="008D0477" w:rsidRPr="00EC475D">
        <w:rPr>
          <w:rFonts w:ascii="Verdana" w:hAnsi="Verdana"/>
          <w:sz w:val="20"/>
          <w:szCs w:val="20"/>
        </w:rPr>
        <w:t>quedó firme en virtud de que no fue recurrida por las partes</w:t>
      </w:r>
      <w:r w:rsidR="008D0477" w:rsidRPr="00EC475D">
        <w:rPr>
          <w:rFonts w:ascii="Verdana" w:hAnsi="Verdana"/>
          <w:sz w:val="20"/>
        </w:rPr>
        <w:t xml:space="preserve">. </w:t>
      </w:r>
      <w:r w:rsidR="0022760C" w:rsidRPr="00EC475D">
        <w:rPr>
          <w:rFonts w:ascii="Verdana" w:hAnsi="Verdana"/>
          <w:sz w:val="20"/>
        </w:rPr>
        <w:t xml:space="preserve">Igualmente, el </w:t>
      </w:r>
      <w:r w:rsidR="0022760C" w:rsidRPr="00EC475D">
        <w:rPr>
          <w:rFonts w:ascii="Verdana" w:hAnsi="Verdana"/>
          <w:sz w:val="20"/>
          <w:szCs w:val="20"/>
        </w:rPr>
        <w:t>miembro de la comunidad que actuó como informante fue absuelto en primera instancia (</w:t>
      </w:r>
      <w:r w:rsidR="0022760C" w:rsidRPr="00EC475D">
        <w:rPr>
          <w:rFonts w:ascii="Verdana" w:hAnsi="Verdana"/>
          <w:i/>
          <w:sz w:val="20"/>
          <w:szCs w:val="20"/>
        </w:rPr>
        <w:t xml:space="preserve">supra </w:t>
      </w:r>
      <w:r w:rsidR="0022760C" w:rsidRPr="00EC475D">
        <w:rPr>
          <w:rFonts w:ascii="Verdana" w:hAnsi="Verdana"/>
          <w:sz w:val="20"/>
          <w:szCs w:val="20"/>
        </w:rPr>
        <w:t xml:space="preserve">Considerando </w:t>
      </w:r>
      <w:r w:rsidR="004D32E5" w:rsidRPr="00EC475D">
        <w:rPr>
          <w:rFonts w:ascii="Verdana" w:hAnsi="Verdana"/>
          <w:sz w:val="20"/>
          <w:szCs w:val="20"/>
        </w:rPr>
        <w:t>10</w:t>
      </w:r>
      <w:r w:rsidR="0022760C" w:rsidRPr="00EC475D">
        <w:rPr>
          <w:rFonts w:ascii="Verdana" w:hAnsi="Verdana"/>
          <w:sz w:val="20"/>
          <w:szCs w:val="20"/>
        </w:rPr>
        <w:t xml:space="preserve">), decisión que posteriormente fue confirmada en casación. En relación con ambas absolutorias, </w:t>
      </w:r>
      <w:r w:rsidR="00F06F19" w:rsidRPr="00EC475D">
        <w:rPr>
          <w:rFonts w:ascii="Verdana" w:hAnsi="Verdana"/>
          <w:sz w:val="20"/>
        </w:rPr>
        <w:t xml:space="preserve">ni los representantes ni la Comisión presentaron alegato </w:t>
      </w:r>
      <w:r w:rsidR="0022760C" w:rsidRPr="00EC475D">
        <w:rPr>
          <w:rFonts w:ascii="Verdana" w:hAnsi="Verdana"/>
          <w:sz w:val="20"/>
        </w:rPr>
        <w:t xml:space="preserve">alguno </w:t>
      </w:r>
      <w:r w:rsidR="00F06F19" w:rsidRPr="00EC475D">
        <w:rPr>
          <w:rFonts w:ascii="Verdana" w:hAnsi="Verdana"/>
          <w:sz w:val="20"/>
        </w:rPr>
        <w:t xml:space="preserve">respecto de </w:t>
      </w:r>
      <w:r w:rsidR="00544286" w:rsidRPr="00EC475D">
        <w:rPr>
          <w:rFonts w:ascii="Verdana" w:hAnsi="Verdana"/>
          <w:sz w:val="20"/>
        </w:rPr>
        <w:t>que el Estado incurriera en alg</w:t>
      </w:r>
      <w:r w:rsidR="00F06F19" w:rsidRPr="00EC475D">
        <w:rPr>
          <w:rFonts w:ascii="Verdana" w:hAnsi="Verdana"/>
          <w:sz w:val="20"/>
        </w:rPr>
        <w:t xml:space="preserve">una falta de debida diligencia en </w:t>
      </w:r>
      <w:r w:rsidR="00F00901">
        <w:rPr>
          <w:rFonts w:ascii="Verdana" w:hAnsi="Verdana"/>
          <w:sz w:val="20"/>
        </w:rPr>
        <w:t>los procesos que culminaron en la</w:t>
      </w:r>
      <w:r w:rsidR="00F06F19" w:rsidRPr="00EC475D">
        <w:rPr>
          <w:rFonts w:ascii="Verdana" w:hAnsi="Verdana"/>
          <w:sz w:val="20"/>
        </w:rPr>
        <w:t xml:space="preserve"> emisión de </w:t>
      </w:r>
      <w:r w:rsidR="0022760C" w:rsidRPr="00EC475D">
        <w:rPr>
          <w:rFonts w:ascii="Verdana" w:hAnsi="Verdana"/>
          <w:sz w:val="20"/>
        </w:rPr>
        <w:t xml:space="preserve">las respectivas </w:t>
      </w:r>
      <w:r w:rsidR="002305C9" w:rsidRPr="00EC475D">
        <w:rPr>
          <w:rFonts w:ascii="Verdana" w:hAnsi="Verdana"/>
          <w:sz w:val="20"/>
        </w:rPr>
        <w:t>decisi</w:t>
      </w:r>
      <w:r w:rsidR="0022760C" w:rsidRPr="00EC475D">
        <w:rPr>
          <w:rFonts w:ascii="Verdana" w:hAnsi="Verdana"/>
          <w:sz w:val="20"/>
        </w:rPr>
        <w:t>o</w:t>
      </w:r>
      <w:r w:rsidR="002305C9" w:rsidRPr="00EC475D">
        <w:rPr>
          <w:rFonts w:ascii="Verdana" w:hAnsi="Verdana"/>
          <w:sz w:val="20"/>
        </w:rPr>
        <w:t>n</w:t>
      </w:r>
      <w:r w:rsidR="0022760C" w:rsidRPr="00EC475D">
        <w:rPr>
          <w:rFonts w:ascii="Verdana" w:hAnsi="Verdana"/>
          <w:sz w:val="20"/>
        </w:rPr>
        <w:t>es</w:t>
      </w:r>
      <w:r w:rsidR="00A97151" w:rsidRPr="00EC475D">
        <w:rPr>
          <w:rFonts w:ascii="Verdana" w:hAnsi="Verdana"/>
          <w:sz w:val="20"/>
        </w:rPr>
        <w:t xml:space="preserve"> judiciales</w:t>
      </w:r>
      <w:r w:rsidR="00F06F19" w:rsidRPr="00EC475D">
        <w:rPr>
          <w:rFonts w:ascii="Verdana" w:hAnsi="Verdana"/>
          <w:sz w:val="20"/>
        </w:rPr>
        <w:t xml:space="preserve">. </w:t>
      </w:r>
      <w:r w:rsidR="00033150" w:rsidRPr="00EC475D">
        <w:rPr>
          <w:rFonts w:ascii="Verdana" w:hAnsi="Verdana"/>
          <w:sz w:val="20"/>
        </w:rPr>
        <w:t>Adicionalmente, el Tribunal considera que</w:t>
      </w:r>
      <w:r w:rsidR="007C7602">
        <w:rPr>
          <w:rFonts w:ascii="Verdana" w:hAnsi="Verdana"/>
          <w:sz w:val="20"/>
        </w:rPr>
        <w:t>,</w:t>
      </w:r>
      <w:r w:rsidR="00033150" w:rsidRPr="00EC475D">
        <w:rPr>
          <w:rFonts w:ascii="Verdana" w:hAnsi="Verdana"/>
          <w:sz w:val="20"/>
        </w:rPr>
        <w:t xml:space="preserve"> de acuerdo </w:t>
      </w:r>
      <w:r w:rsidR="000F0BC6">
        <w:rPr>
          <w:rFonts w:ascii="Verdana" w:hAnsi="Verdana"/>
          <w:sz w:val="20"/>
        </w:rPr>
        <w:t>con</w:t>
      </w:r>
      <w:r w:rsidR="000F0BC6" w:rsidRPr="00EC475D">
        <w:rPr>
          <w:rFonts w:ascii="Verdana" w:hAnsi="Verdana"/>
          <w:sz w:val="20"/>
        </w:rPr>
        <w:t xml:space="preserve"> </w:t>
      </w:r>
      <w:r w:rsidR="00033150" w:rsidRPr="00EC475D">
        <w:rPr>
          <w:rFonts w:ascii="Verdana" w:hAnsi="Verdana"/>
          <w:sz w:val="20"/>
        </w:rPr>
        <w:t>los hechos que quedaron probados en la Sentencia (</w:t>
      </w:r>
      <w:r w:rsidR="00033150" w:rsidRPr="00EC475D">
        <w:rPr>
          <w:rFonts w:ascii="Verdana" w:hAnsi="Verdana"/>
          <w:i/>
          <w:sz w:val="20"/>
        </w:rPr>
        <w:t xml:space="preserve">supra </w:t>
      </w:r>
      <w:r w:rsidR="00033150" w:rsidRPr="00EC475D">
        <w:rPr>
          <w:rFonts w:ascii="Verdana" w:hAnsi="Verdana"/>
          <w:sz w:val="20"/>
        </w:rPr>
        <w:t>Visto 1), no resulta irrazonable que de las dos investigaciones ya realizadas por el Estado</w:t>
      </w:r>
      <w:r w:rsidR="00121454" w:rsidRPr="00EC475D">
        <w:rPr>
          <w:rFonts w:ascii="Verdana" w:hAnsi="Verdana"/>
          <w:sz w:val="20"/>
        </w:rPr>
        <w:t xml:space="preserve"> no se desprendieran elementos </w:t>
      </w:r>
      <w:r w:rsidR="00033150" w:rsidRPr="00EC475D">
        <w:rPr>
          <w:rFonts w:ascii="Verdana" w:hAnsi="Verdana"/>
          <w:sz w:val="20"/>
        </w:rPr>
        <w:t xml:space="preserve">para imputar a persona </w:t>
      </w:r>
      <w:r w:rsidR="006525CB" w:rsidRPr="00EC475D">
        <w:rPr>
          <w:rFonts w:ascii="Verdana" w:hAnsi="Verdana"/>
          <w:sz w:val="20"/>
        </w:rPr>
        <w:t xml:space="preserve">alguna </w:t>
      </w:r>
      <w:r w:rsidR="00033150" w:rsidRPr="00EC475D">
        <w:rPr>
          <w:rFonts w:ascii="Verdana" w:hAnsi="Verdana"/>
          <w:sz w:val="20"/>
        </w:rPr>
        <w:t>por una autoría intelectual</w:t>
      </w:r>
      <w:r w:rsidR="006525CB" w:rsidRPr="00EC475D">
        <w:rPr>
          <w:rFonts w:ascii="Verdana" w:hAnsi="Verdana"/>
          <w:sz w:val="20"/>
        </w:rPr>
        <w:t xml:space="preserve">. Además, la Corte observa que </w:t>
      </w:r>
      <w:r w:rsidR="006525CB" w:rsidRPr="00EC475D">
        <w:rPr>
          <w:rFonts w:ascii="Verdana" w:hAnsi="Verdana"/>
          <w:sz w:val="20"/>
          <w:lang w:val="es-ES"/>
        </w:rPr>
        <w:t>las actuaciones realizadas por el Estado evidencian que Colombia investigó a catorce personas por los delitos anteriormente referidos (</w:t>
      </w:r>
      <w:r w:rsidR="006525CB" w:rsidRPr="00EC475D">
        <w:rPr>
          <w:rFonts w:ascii="Verdana" w:hAnsi="Verdana"/>
          <w:i/>
          <w:sz w:val="20"/>
          <w:lang w:val="es-ES"/>
        </w:rPr>
        <w:t xml:space="preserve">supra </w:t>
      </w:r>
      <w:r w:rsidR="006525CB" w:rsidRPr="00EC475D">
        <w:rPr>
          <w:rFonts w:ascii="Verdana" w:hAnsi="Verdana"/>
          <w:sz w:val="20"/>
          <w:lang w:val="es-ES"/>
        </w:rPr>
        <w:t xml:space="preserve">Considerando </w:t>
      </w:r>
      <w:r w:rsidR="004D32E5" w:rsidRPr="00EC475D">
        <w:rPr>
          <w:rFonts w:ascii="Verdana" w:hAnsi="Verdana"/>
          <w:sz w:val="20"/>
          <w:lang w:val="es-ES"/>
        </w:rPr>
        <w:t>10</w:t>
      </w:r>
      <w:r w:rsidR="006525CB" w:rsidRPr="00EC475D">
        <w:rPr>
          <w:rFonts w:ascii="Verdana" w:hAnsi="Verdana"/>
          <w:sz w:val="20"/>
          <w:lang w:val="es-ES"/>
        </w:rPr>
        <w:t>), entre quienes se encontraban el teniente al mando del pelotón que ordenó la operación, el cabo que comandaba la sección que la ejecutó, el cabo y los soldados que participaron en dicha operación y la persona de la comunidad indígena que actuó como informante.</w:t>
      </w:r>
      <w:r w:rsidR="004E4000" w:rsidRPr="00EC475D">
        <w:rPr>
          <w:rFonts w:ascii="Verdana" w:hAnsi="Verdana"/>
          <w:sz w:val="20"/>
          <w:lang w:val="es-ES"/>
        </w:rPr>
        <w:t xml:space="preserve"> </w:t>
      </w:r>
      <w:r w:rsidR="00944219" w:rsidRPr="00EC475D">
        <w:rPr>
          <w:rFonts w:ascii="Verdana" w:hAnsi="Verdana"/>
          <w:sz w:val="20"/>
          <w:lang w:val="es-ES"/>
        </w:rPr>
        <w:t xml:space="preserve">Es decir, los procesos buscaron investigar a todas las personas que pudieran tener relación con los hechos del caso. </w:t>
      </w:r>
      <w:r w:rsidR="004E4000" w:rsidRPr="00EC475D">
        <w:rPr>
          <w:rFonts w:ascii="Verdana" w:hAnsi="Verdana"/>
          <w:sz w:val="20"/>
          <w:lang w:val="es-ES"/>
        </w:rPr>
        <w:t xml:space="preserve">En este sentido, el Estado señaló </w:t>
      </w:r>
      <w:r w:rsidR="004E4000" w:rsidRPr="00EC475D">
        <w:rPr>
          <w:rFonts w:ascii="Verdana" w:hAnsi="Verdana"/>
          <w:sz w:val="20"/>
          <w:szCs w:val="20"/>
        </w:rPr>
        <w:t xml:space="preserve">en su informe de octubre de 2016 que, “a partir del momento en que la Fiscalía General de la Nación tuvo conocimiento del caso, se pusieron en marcha todas las actuaciones investigativas y procesales que permitieran esclarecer las circunstancias en que se </w:t>
      </w:r>
      <w:proofErr w:type="spellStart"/>
      <w:r w:rsidR="004E4000" w:rsidRPr="00EC475D">
        <w:rPr>
          <w:rFonts w:ascii="Verdana" w:hAnsi="Verdana"/>
          <w:sz w:val="20"/>
          <w:szCs w:val="20"/>
        </w:rPr>
        <w:t>perpet</w:t>
      </w:r>
      <w:proofErr w:type="spellEnd"/>
      <w:r w:rsidR="000F0BC6">
        <w:rPr>
          <w:rFonts w:ascii="Verdana" w:hAnsi="Verdana"/>
          <w:sz w:val="20"/>
          <w:szCs w:val="20"/>
        </w:rPr>
        <w:t>[r]</w:t>
      </w:r>
      <w:r w:rsidR="004E4000" w:rsidRPr="00EC475D">
        <w:rPr>
          <w:rFonts w:ascii="Verdana" w:hAnsi="Verdana"/>
          <w:sz w:val="20"/>
          <w:szCs w:val="20"/>
        </w:rPr>
        <w:t xml:space="preserve">aron los </w:t>
      </w:r>
      <w:proofErr w:type="gramStart"/>
      <w:r w:rsidR="004E4000" w:rsidRPr="00EC475D">
        <w:rPr>
          <w:rFonts w:ascii="Verdana" w:hAnsi="Verdana"/>
          <w:sz w:val="20"/>
          <w:szCs w:val="20"/>
        </w:rPr>
        <w:t>hechos[</w:t>
      </w:r>
      <w:proofErr w:type="gramEnd"/>
      <w:r w:rsidR="004E4000" w:rsidRPr="00EC475D">
        <w:rPr>
          <w:rFonts w:ascii="Verdana" w:hAnsi="Verdana"/>
          <w:sz w:val="20"/>
          <w:szCs w:val="20"/>
        </w:rPr>
        <w:t xml:space="preserve">, actuando] de manera objetiva, exhaustiva e integral […]”. </w:t>
      </w:r>
      <w:r w:rsidR="00283320" w:rsidRPr="00EC475D">
        <w:rPr>
          <w:rFonts w:ascii="Verdana" w:hAnsi="Verdana"/>
          <w:sz w:val="20"/>
          <w:szCs w:val="20"/>
        </w:rPr>
        <w:t xml:space="preserve">Por todo lo anterior, </w:t>
      </w:r>
      <w:r w:rsidR="00283320" w:rsidRPr="00EC475D">
        <w:rPr>
          <w:rFonts w:ascii="Verdana" w:hAnsi="Verdana"/>
          <w:sz w:val="20"/>
          <w:lang w:val="es-ES"/>
        </w:rPr>
        <w:t xml:space="preserve">esta Corte estima que </w:t>
      </w:r>
      <w:r w:rsidR="00283320" w:rsidRPr="00EC475D">
        <w:rPr>
          <w:rFonts w:ascii="Verdana" w:hAnsi="Verdana"/>
          <w:sz w:val="20"/>
          <w:szCs w:val="20"/>
        </w:rPr>
        <w:t xml:space="preserve">la referida objeción de los representantes y de la Comisión </w:t>
      </w:r>
      <w:r w:rsidR="00283320" w:rsidRPr="00EC475D">
        <w:rPr>
          <w:rFonts w:ascii="Verdana" w:hAnsi="Verdana"/>
          <w:sz w:val="20"/>
        </w:rPr>
        <w:t>ha quedado superada en razón de las investigaciones y sentencias firmes acreditadas por el Estado</w:t>
      </w:r>
      <w:r w:rsidR="0066748B" w:rsidRPr="00EC475D">
        <w:rPr>
          <w:rFonts w:ascii="Verdana" w:hAnsi="Verdana" w:cs="Arial"/>
          <w:sz w:val="20"/>
        </w:rPr>
        <w:t xml:space="preserve">, el cual </w:t>
      </w:r>
      <w:r w:rsidR="004E5365">
        <w:rPr>
          <w:rFonts w:ascii="Verdana" w:hAnsi="Verdana" w:cs="Arial"/>
          <w:sz w:val="20"/>
        </w:rPr>
        <w:t>mostró tener</w:t>
      </w:r>
      <w:r w:rsidR="0066748B" w:rsidRPr="00EC475D">
        <w:rPr>
          <w:rFonts w:ascii="Verdana" w:hAnsi="Verdana" w:cs="Arial"/>
          <w:sz w:val="20"/>
        </w:rPr>
        <w:t xml:space="preserve"> la debida diligencia </w:t>
      </w:r>
      <w:r w:rsidR="004E5365">
        <w:rPr>
          <w:rFonts w:ascii="Verdana" w:hAnsi="Verdana" w:cs="Arial"/>
          <w:sz w:val="20"/>
        </w:rPr>
        <w:t>en los procesos que culminaron en dichas decisiones judiciales.</w:t>
      </w:r>
    </w:p>
    <w:p w:rsidR="004E5365" w:rsidRDefault="004E5365" w:rsidP="00B14F91">
      <w:pPr>
        <w:spacing w:after="0" w:line="240" w:lineRule="auto"/>
        <w:jc w:val="both"/>
        <w:rPr>
          <w:rFonts w:ascii="Verdana" w:hAnsi="Verdana" w:cs="Arial"/>
          <w:sz w:val="20"/>
        </w:rPr>
      </w:pPr>
    </w:p>
    <w:p w:rsidR="003667B6" w:rsidRPr="00DD4AC4" w:rsidRDefault="004E5365" w:rsidP="00DD4AC4">
      <w:pPr>
        <w:pStyle w:val="ListParagraph"/>
        <w:spacing w:after="0" w:line="240" w:lineRule="auto"/>
        <w:ind w:left="0"/>
        <w:jc w:val="both"/>
        <w:rPr>
          <w:rFonts w:eastAsia="Times New Roman" w:cs="Verdana"/>
          <w:lang w:val="es-PE" w:bidi="en-US"/>
        </w:rPr>
      </w:pPr>
      <w:r>
        <w:rPr>
          <w:rFonts w:ascii="Verdana" w:hAnsi="Verdana" w:cs="Arial"/>
          <w:sz w:val="20"/>
        </w:rPr>
        <w:lastRenderedPageBreak/>
        <w:t>1</w:t>
      </w:r>
      <w:r w:rsidR="006C01B6">
        <w:rPr>
          <w:rFonts w:ascii="Verdana" w:hAnsi="Verdana" w:cs="Arial"/>
          <w:sz w:val="20"/>
        </w:rPr>
        <w:t>3.</w:t>
      </w:r>
      <w:r w:rsidR="006C01B6">
        <w:rPr>
          <w:rFonts w:ascii="Verdana" w:hAnsi="Verdana" w:cs="Arial"/>
          <w:sz w:val="20"/>
        </w:rPr>
        <w:tab/>
        <w:t xml:space="preserve">Los representantes y la Comisión no </w:t>
      </w:r>
      <w:r w:rsidR="00E338E0">
        <w:rPr>
          <w:rFonts w:ascii="Verdana" w:hAnsi="Verdana" w:cs="Arial"/>
          <w:sz w:val="20"/>
        </w:rPr>
        <w:t>presentaron</w:t>
      </w:r>
      <w:r w:rsidR="006C01B6">
        <w:rPr>
          <w:rFonts w:ascii="Verdana" w:hAnsi="Verdana" w:cs="Arial"/>
          <w:sz w:val="20"/>
        </w:rPr>
        <w:t xml:space="preserve"> ninguna otra objeción respecto a que el Estado hubiera omitido investigar otros hechos violatorios declarados en la Sentencia</w:t>
      </w:r>
      <w:r w:rsidR="00CE6339">
        <w:rPr>
          <w:rFonts w:ascii="Verdana" w:hAnsi="Verdana" w:cs="Arial"/>
          <w:sz w:val="20"/>
        </w:rPr>
        <w:t xml:space="preserve">, aparte de la muerte </w:t>
      </w:r>
      <w:r w:rsidR="00D7638A">
        <w:rPr>
          <w:rFonts w:ascii="Verdana" w:hAnsi="Verdana" w:cs="Arial"/>
          <w:sz w:val="20"/>
        </w:rPr>
        <w:t>y tortura al señor</w:t>
      </w:r>
      <w:r w:rsidR="00CE6339">
        <w:rPr>
          <w:rFonts w:ascii="Verdana" w:hAnsi="Verdana" w:cs="Arial"/>
          <w:sz w:val="20"/>
        </w:rPr>
        <w:t xml:space="preserve"> </w:t>
      </w:r>
      <w:proofErr w:type="spellStart"/>
      <w:r w:rsidR="00CE6339">
        <w:rPr>
          <w:rFonts w:ascii="Verdana" w:hAnsi="Verdana" w:cs="Arial"/>
          <w:sz w:val="20"/>
        </w:rPr>
        <w:t>Escué</w:t>
      </w:r>
      <w:proofErr w:type="spellEnd"/>
      <w:r w:rsidR="00CE6339">
        <w:rPr>
          <w:rFonts w:ascii="Verdana" w:hAnsi="Verdana" w:cs="Arial"/>
          <w:sz w:val="20"/>
        </w:rPr>
        <w:t xml:space="preserve"> Zapata</w:t>
      </w:r>
      <w:r w:rsidR="006C01B6">
        <w:rPr>
          <w:rFonts w:ascii="Verdana" w:hAnsi="Verdana" w:cs="Arial"/>
          <w:sz w:val="20"/>
        </w:rPr>
        <w:t xml:space="preserve">. Su objeción fue en relación </w:t>
      </w:r>
      <w:r w:rsidR="007C7602">
        <w:rPr>
          <w:rFonts w:ascii="Verdana" w:hAnsi="Verdana" w:cs="Arial"/>
          <w:sz w:val="20"/>
        </w:rPr>
        <w:t>con</w:t>
      </w:r>
      <w:r w:rsidR="00D7638A">
        <w:rPr>
          <w:rFonts w:ascii="Verdana" w:hAnsi="Verdana" w:cs="Arial"/>
          <w:sz w:val="20"/>
        </w:rPr>
        <w:t xml:space="preserve"> la autoría intelectual de</w:t>
      </w:r>
      <w:r w:rsidR="0081024D">
        <w:rPr>
          <w:rFonts w:ascii="Verdana" w:hAnsi="Verdana" w:cs="Arial"/>
          <w:sz w:val="20"/>
        </w:rPr>
        <w:t xml:space="preserve">l referido </w:t>
      </w:r>
      <w:r w:rsidR="006C01B6">
        <w:rPr>
          <w:rFonts w:ascii="Verdana" w:hAnsi="Verdana" w:cs="Arial"/>
          <w:sz w:val="20"/>
        </w:rPr>
        <w:t>homicidio (</w:t>
      </w:r>
      <w:r w:rsidR="006C01B6">
        <w:rPr>
          <w:rFonts w:ascii="Verdana" w:hAnsi="Verdana" w:cs="Arial"/>
          <w:i/>
          <w:sz w:val="20"/>
        </w:rPr>
        <w:t xml:space="preserve">supra </w:t>
      </w:r>
      <w:r w:rsidR="006C01B6">
        <w:rPr>
          <w:rFonts w:ascii="Verdana" w:hAnsi="Verdana" w:cs="Arial"/>
          <w:sz w:val="20"/>
        </w:rPr>
        <w:t xml:space="preserve">Considerando 12). </w:t>
      </w:r>
      <w:r w:rsidR="00CE6339">
        <w:rPr>
          <w:rFonts w:ascii="Verdana" w:hAnsi="Verdana" w:cs="Arial"/>
          <w:sz w:val="20"/>
        </w:rPr>
        <w:t>La</w:t>
      </w:r>
      <w:r w:rsidR="006C01B6">
        <w:rPr>
          <w:rFonts w:ascii="Verdana" w:hAnsi="Verdana" w:cs="Arial"/>
          <w:sz w:val="20"/>
        </w:rPr>
        <w:t xml:space="preserve"> Corte ha constatado que a</w:t>
      </w:r>
      <w:r w:rsidR="00B72ED1">
        <w:rPr>
          <w:rFonts w:ascii="Verdana" w:hAnsi="Verdana" w:cs="Arial"/>
          <w:sz w:val="20"/>
        </w:rPr>
        <w:t>u</w:t>
      </w:r>
      <w:r w:rsidR="006C01B6">
        <w:rPr>
          <w:rFonts w:ascii="Verdana" w:hAnsi="Verdana" w:cs="Arial"/>
          <w:sz w:val="20"/>
        </w:rPr>
        <w:t xml:space="preserve">n cuando no hubo condena </w:t>
      </w:r>
      <w:r w:rsidR="007C7602">
        <w:rPr>
          <w:rFonts w:ascii="Verdana" w:hAnsi="Verdana" w:cs="Arial"/>
          <w:sz w:val="20"/>
        </w:rPr>
        <w:t xml:space="preserve">alguna </w:t>
      </w:r>
      <w:r w:rsidR="006C01B6">
        <w:rPr>
          <w:rFonts w:ascii="Verdana" w:hAnsi="Verdana" w:cs="Arial"/>
          <w:sz w:val="20"/>
        </w:rPr>
        <w:t>por los hechos relacionados con la detención y el allanamiento a</w:t>
      </w:r>
      <w:r w:rsidR="000F0BC6">
        <w:rPr>
          <w:rFonts w:ascii="Verdana" w:hAnsi="Verdana" w:cs="Arial"/>
          <w:sz w:val="20"/>
        </w:rPr>
        <w:t>l</w:t>
      </w:r>
      <w:r w:rsidR="006C01B6">
        <w:rPr>
          <w:rFonts w:ascii="Verdana" w:hAnsi="Verdana" w:cs="Arial"/>
          <w:sz w:val="20"/>
        </w:rPr>
        <w:t xml:space="preserve"> domicilio</w:t>
      </w:r>
      <w:r w:rsidR="000F0BC6">
        <w:rPr>
          <w:rFonts w:ascii="Verdana" w:hAnsi="Verdana" w:cs="Arial"/>
          <w:sz w:val="20"/>
        </w:rPr>
        <w:t xml:space="preserve"> del señor </w:t>
      </w:r>
      <w:proofErr w:type="spellStart"/>
      <w:r w:rsidR="000F0BC6">
        <w:rPr>
          <w:rFonts w:ascii="Verdana" w:hAnsi="Verdana" w:cs="Arial"/>
          <w:sz w:val="20"/>
        </w:rPr>
        <w:t>Escué</w:t>
      </w:r>
      <w:proofErr w:type="spellEnd"/>
      <w:r w:rsidR="000F0BC6">
        <w:rPr>
          <w:rFonts w:ascii="Verdana" w:hAnsi="Verdana" w:cs="Arial"/>
          <w:sz w:val="20"/>
        </w:rPr>
        <w:t xml:space="preserve"> Zapata</w:t>
      </w:r>
      <w:r w:rsidR="006C01B6">
        <w:rPr>
          <w:rFonts w:ascii="Verdana" w:hAnsi="Verdana" w:cs="Arial"/>
          <w:sz w:val="20"/>
        </w:rPr>
        <w:t xml:space="preserve"> referidos en la Sentencia</w:t>
      </w:r>
      <w:r w:rsidR="00B72ED1">
        <w:rPr>
          <w:rFonts w:ascii="Verdana" w:hAnsi="Verdana" w:cs="Arial"/>
          <w:sz w:val="20"/>
        </w:rPr>
        <w:t xml:space="preserve"> (</w:t>
      </w:r>
      <w:r w:rsidR="00B72ED1">
        <w:rPr>
          <w:rFonts w:ascii="Verdana" w:hAnsi="Verdana" w:cs="Arial"/>
          <w:i/>
          <w:sz w:val="20"/>
        </w:rPr>
        <w:t xml:space="preserve">supra </w:t>
      </w:r>
      <w:r w:rsidR="00B72ED1">
        <w:rPr>
          <w:rFonts w:ascii="Verdana" w:hAnsi="Verdana" w:cs="Arial"/>
          <w:sz w:val="20"/>
        </w:rPr>
        <w:t>Considerando 5)</w:t>
      </w:r>
      <w:r w:rsidR="006C01B6">
        <w:rPr>
          <w:rFonts w:ascii="Verdana" w:hAnsi="Verdana" w:cs="Arial"/>
          <w:sz w:val="20"/>
        </w:rPr>
        <w:t xml:space="preserve">, tales hechos sí fueron investigados y objeto de una decisión judicial </w:t>
      </w:r>
      <w:r w:rsidR="00B72ED1">
        <w:rPr>
          <w:rFonts w:ascii="Verdana" w:hAnsi="Verdana" w:cs="Arial"/>
          <w:sz w:val="20"/>
        </w:rPr>
        <w:t xml:space="preserve">que se pronunció respecto de dichas conductas. </w:t>
      </w:r>
      <w:r w:rsidR="00B72ED1" w:rsidRPr="00B72ED1">
        <w:rPr>
          <w:rFonts w:ascii="Verdana" w:hAnsi="Verdana" w:cs="Arial"/>
          <w:sz w:val="20"/>
          <w:szCs w:val="20"/>
        </w:rPr>
        <w:t>E</w:t>
      </w:r>
      <w:r w:rsidR="006C01B6" w:rsidRPr="00B72ED1">
        <w:rPr>
          <w:rFonts w:ascii="Verdana" w:hAnsi="Verdana"/>
          <w:sz w:val="20"/>
          <w:szCs w:val="20"/>
          <w:lang w:val="es-ES"/>
        </w:rPr>
        <w:t>n la sentencia de 15 de julio de 2015 dictada por la Sala de Casación Penal de la Corte Suprema (</w:t>
      </w:r>
      <w:r w:rsidR="006C01B6" w:rsidRPr="00B72ED1">
        <w:rPr>
          <w:rFonts w:ascii="Verdana" w:hAnsi="Verdana"/>
          <w:i/>
          <w:sz w:val="20"/>
          <w:szCs w:val="20"/>
          <w:lang w:val="es-ES"/>
        </w:rPr>
        <w:t xml:space="preserve">supra </w:t>
      </w:r>
      <w:r w:rsidR="006C01B6" w:rsidRPr="00B72ED1">
        <w:rPr>
          <w:rFonts w:ascii="Verdana" w:hAnsi="Verdana"/>
          <w:sz w:val="20"/>
          <w:szCs w:val="20"/>
          <w:lang w:val="es-ES"/>
        </w:rPr>
        <w:t xml:space="preserve">Considerando 10), después de un estudio de fondo respecto al cargo de secuestro extorsivo agravado, la autoridad de mérito determinó que la materialización de dicho delito no se encontró lo suficientemente acreditada en tanto consideró que no se coartó la libertad del señor </w:t>
      </w:r>
      <w:proofErr w:type="spellStart"/>
      <w:r w:rsidR="006C01B6" w:rsidRPr="00B72ED1">
        <w:rPr>
          <w:rFonts w:ascii="Verdana" w:hAnsi="Verdana"/>
          <w:sz w:val="20"/>
          <w:szCs w:val="20"/>
          <w:lang w:val="es-ES"/>
        </w:rPr>
        <w:t>Escué</w:t>
      </w:r>
      <w:proofErr w:type="spellEnd"/>
      <w:r w:rsidR="006C01B6" w:rsidRPr="00B72ED1">
        <w:rPr>
          <w:rFonts w:ascii="Verdana" w:hAnsi="Verdana"/>
          <w:sz w:val="20"/>
          <w:szCs w:val="20"/>
          <w:lang w:val="es-ES"/>
        </w:rPr>
        <w:t xml:space="preserve"> Zapata ya que, al momento de los hechos, los militares “estaban autorizados para allanar y registrar, sin orden judicial, los inmuebles cuando tuvieran sospecha de que se </w:t>
      </w:r>
      <w:proofErr w:type="spellStart"/>
      <w:r w:rsidR="006C01B6" w:rsidRPr="00B72ED1">
        <w:rPr>
          <w:rFonts w:ascii="Verdana" w:hAnsi="Verdana"/>
          <w:sz w:val="20"/>
          <w:szCs w:val="20"/>
          <w:lang w:val="es-ES"/>
        </w:rPr>
        <w:t>guard</w:t>
      </w:r>
      <w:proofErr w:type="spellEnd"/>
      <w:r w:rsidR="00DD71BA">
        <w:rPr>
          <w:rFonts w:ascii="Verdana" w:hAnsi="Verdana"/>
          <w:sz w:val="20"/>
          <w:szCs w:val="20"/>
          <w:lang w:val="es-ES"/>
        </w:rPr>
        <w:t>[</w:t>
      </w:r>
      <w:proofErr w:type="spellStart"/>
      <w:r w:rsidR="006C01B6" w:rsidRPr="00B72ED1">
        <w:rPr>
          <w:rFonts w:ascii="Verdana" w:hAnsi="Verdana"/>
          <w:sz w:val="20"/>
          <w:szCs w:val="20"/>
          <w:lang w:val="es-ES"/>
        </w:rPr>
        <w:t>aban</w:t>
      </w:r>
      <w:proofErr w:type="spellEnd"/>
      <w:r w:rsidR="00DD71BA">
        <w:rPr>
          <w:rFonts w:ascii="Verdana" w:hAnsi="Verdana"/>
          <w:sz w:val="20"/>
          <w:szCs w:val="20"/>
          <w:lang w:val="es-ES"/>
        </w:rPr>
        <w:t>]</w:t>
      </w:r>
      <w:r w:rsidR="006C01B6" w:rsidRPr="00B72ED1">
        <w:rPr>
          <w:rFonts w:ascii="Verdana" w:hAnsi="Verdana"/>
          <w:sz w:val="20"/>
          <w:szCs w:val="20"/>
          <w:lang w:val="es-ES"/>
        </w:rPr>
        <w:t xml:space="preserve"> ilegalmente municiones, armas de fuego o explosivos, así como para detener, bajo la hipótesis de flagrancia, a los presuntos responsables”</w:t>
      </w:r>
      <w:r w:rsidR="00EE62DE">
        <w:rPr>
          <w:rStyle w:val="FootnoteReference"/>
          <w:rFonts w:ascii="Verdana" w:hAnsi="Verdana"/>
          <w:sz w:val="20"/>
          <w:szCs w:val="20"/>
          <w:lang w:val="es-ES"/>
        </w:rPr>
        <w:footnoteReference w:id="43"/>
      </w:r>
      <w:r w:rsidR="006C01B6" w:rsidRPr="00B72ED1">
        <w:rPr>
          <w:rFonts w:ascii="Verdana" w:hAnsi="Verdana"/>
          <w:sz w:val="20"/>
          <w:szCs w:val="20"/>
          <w:lang w:val="es-ES"/>
        </w:rPr>
        <w:t xml:space="preserve">. </w:t>
      </w:r>
      <w:r w:rsidR="006C01B6" w:rsidRPr="00B72ED1">
        <w:rPr>
          <w:rFonts w:ascii="Verdana" w:hAnsi="Verdana" w:cs="Arial"/>
          <w:sz w:val="20"/>
          <w:szCs w:val="20"/>
        </w:rPr>
        <w:t xml:space="preserve">Adicionalmente, esta Corte constata que </w:t>
      </w:r>
      <w:r w:rsidR="006C01B6" w:rsidRPr="00B72ED1">
        <w:rPr>
          <w:rFonts w:ascii="Verdana" w:hAnsi="Verdana" w:cs="Arial"/>
          <w:sz w:val="20"/>
          <w:szCs w:val="20"/>
          <w:lang w:val="es-ES"/>
        </w:rPr>
        <w:t xml:space="preserve">el Estado inició una investigación respecto a la violación al derecho a la protección de la honra y la dignidad por la injerencia arbitraria y abusiva de los militares en el domicilio del señor </w:t>
      </w:r>
      <w:proofErr w:type="spellStart"/>
      <w:r w:rsidR="006C01B6" w:rsidRPr="00B72ED1">
        <w:rPr>
          <w:rFonts w:ascii="Verdana" w:hAnsi="Verdana" w:cs="Arial"/>
          <w:sz w:val="20"/>
          <w:szCs w:val="20"/>
          <w:lang w:val="es-ES"/>
        </w:rPr>
        <w:t>Escué</w:t>
      </w:r>
      <w:proofErr w:type="spellEnd"/>
      <w:r w:rsidR="006C01B6" w:rsidRPr="00B72ED1">
        <w:rPr>
          <w:rFonts w:ascii="Verdana" w:hAnsi="Verdana" w:cs="Arial"/>
          <w:sz w:val="20"/>
          <w:szCs w:val="20"/>
          <w:lang w:val="es-ES"/>
        </w:rPr>
        <w:t xml:space="preserve"> Zapata, específicamente a través de los delitos de hurto calificado y agravado y daños en bien ajeno agravado.</w:t>
      </w:r>
      <w:r w:rsidR="00CE6339">
        <w:rPr>
          <w:rFonts w:ascii="Verdana" w:hAnsi="Verdana" w:cs="Arial"/>
          <w:sz w:val="20"/>
          <w:szCs w:val="20"/>
          <w:lang w:val="es-ES"/>
        </w:rPr>
        <w:t xml:space="preserve"> M</w:t>
      </w:r>
      <w:r w:rsidR="006C01B6" w:rsidRPr="00B72ED1">
        <w:rPr>
          <w:rFonts w:ascii="Verdana" w:hAnsi="Verdana" w:cs="Arial"/>
          <w:sz w:val="20"/>
          <w:szCs w:val="20"/>
          <w:lang w:val="es-ES"/>
        </w:rPr>
        <w:t xml:space="preserve">ediante resolución de 5 de abril de 2010, la </w:t>
      </w:r>
      <w:r w:rsidR="006C01B6" w:rsidRPr="00B72ED1">
        <w:rPr>
          <w:rFonts w:ascii="Verdana" w:hAnsi="Verdana"/>
          <w:sz w:val="20"/>
          <w:szCs w:val="20"/>
          <w:lang w:val="es-ES"/>
        </w:rPr>
        <w:t>Fiscalía Veintiuna Especializada de la Unidad Nacional de Derechos Humanos y Derecho Internacional Humanitario</w:t>
      </w:r>
      <w:r w:rsidR="006C01B6" w:rsidRPr="00B72ED1">
        <w:rPr>
          <w:rFonts w:ascii="Verdana" w:hAnsi="Verdana" w:cs="Arial"/>
          <w:sz w:val="20"/>
          <w:szCs w:val="20"/>
          <w:lang w:val="es-ES"/>
        </w:rPr>
        <w:t xml:space="preserve"> declaró la prescripción de la acción penal respecto a dichos delitos</w:t>
      </w:r>
      <w:r w:rsidR="00C246E9">
        <w:rPr>
          <w:rStyle w:val="FootnoteReference"/>
          <w:rFonts w:ascii="Verdana" w:hAnsi="Verdana" w:cs="Arial"/>
          <w:sz w:val="20"/>
          <w:szCs w:val="20"/>
          <w:lang w:val="es-ES"/>
        </w:rPr>
        <w:footnoteReference w:id="44"/>
      </w:r>
      <w:r w:rsidR="006C01B6" w:rsidRPr="00B72ED1">
        <w:rPr>
          <w:rFonts w:ascii="Verdana" w:hAnsi="Verdana" w:cs="Arial"/>
          <w:sz w:val="20"/>
          <w:szCs w:val="20"/>
          <w:lang w:val="es-ES"/>
        </w:rPr>
        <w:t xml:space="preserve">. </w:t>
      </w:r>
      <w:r w:rsidR="00EE62DE" w:rsidRPr="00DD4AC4">
        <w:rPr>
          <w:rFonts w:ascii="Verdana" w:eastAsia="Calibri" w:hAnsi="Verdana" w:cs="Verdana"/>
          <w:sz w:val="20"/>
          <w:szCs w:val="20"/>
          <w:lang w:val="es-MX" w:eastAsia="es-MX"/>
        </w:rPr>
        <w:t>Al respecto</w:t>
      </w:r>
      <w:r w:rsidR="00446D37" w:rsidRPr="00DD4AC4">
        <w:rPr>
          <w:rFonts w:ascii="Verdana" w:eastAsia="Calibri" w:hAnsi="Verdana" w:cs="Verdana"/>
          <w:sz w:val="20"/>
          <w:szCs w:val="20"/>
          <w:lang w:val="es-MX" w:eastAsia="es-MX"/>
        </w:rPr>
        <w:t>, de acuerdo con la jurisprudencia constante y uniforme del Tribunal, en ciertas circunstancias el Derecho Internacional considera inadmisible e inaplicable la prescripción, a fin de mantener vigente en el tiempo el poder punitivo del Estado sobre conductas cuya gravedad hace necesaria su represión para evitar que vuelvan a ser cometidas</w:t>
      </w:r>
      <w:r w:rsidR="00446D37" w:rsidRPr="00DD4AC4">
        <w:rPr>
          <w:rStyle w:val="FootnoteReference"/>
          <w:rFonts w:ascii="Verdana" w:eastAsia="Calibri" w:hAnsi="Verdana" w:cs="Verdana"/>
          <w:bCs/>
          <w:sz w:val="20"/>
          <w:szCs w:val="20"/>
          <w:lang w:val="es-MX" w:eastAsia="es-MX"/>
        </w:rPr>
        <w:footnoteReference w:id="45"/>
      </w:r>
      <w:r w:rsidR="00446D37" w:rsidRPr="00DD4AC4">
        <w:rPr>
          <w:rFonts w:ascii="Verdana" w:eastAsia="Calibri" w:hAnsi="Verdana" w:cs="Verdana"/>
          <w:bCs/>
          <w:sz w:val="20"/>
          <w:szCs w:val="20"/>
          <w:lang w:val="es-MX" w:eastAsia="es-MX"/>
        </w:rPr>
        <w:t xml:space="preserve">. </w:t>
      </w:r>
      <w:r w:rsidR="00446D37" w:rsidRPr="00DD4AC4">
        <w:rPr>
          <w:rFonts w:ascii="Verdana" w:eastAsia="Times New Roman" w:hAnsi="Verdana" w:cs="Verdana"/>
          <w:sz w:val="20"/>
          <w:szCs w:val="20"/>
          <w:lang w:val="es-CL" w:bidi="en-US"/>
        </w:rPr>
        <w:t>Sobre</w:t>
      </w:r>
      <w:r w:rsidR="00446D37" w:rsidRPr="00DD4AC4">
        <w:rPr>
          <w:rFonts w:ascii="Verdana" w:eastAsia="Times New Roman" w:hAnsi="Verdana" w:cs="Verdana"/>
          <w:sz w:val="20"/>
          <w:szCs w:val="20"/>
          <w:lang w:val="es-PE" w:bidi="en-US"/>
        </w:rPr>
        <w:t xml:space="preserve"> este punto, resulta pertinente advertir lo señalado reiteradamente por la Corte en el sentido de que toda violación a los derechos humanos supone una cierta gravedad por su propia naturaleza, porque implica el incumplimiento de determinados deberes de respeto y garantía de los derechos y libertades a cargo del Estado a favor de las personas. Sin embargo, ello no debe confundirse con lo que el Tribunal a lo largo de su jurisprudencia ha considerado como “graves violaciones a los derechos humanos”, las cuales tienen una connotación y consecuencias propias. Asimismo, este Tribunal ha indicado que resulta incorrecto pretender que en todo caso sometido a la Corte, por tratarse de </w:t>
      </w:r>
      <w:r w:rsidR="00446D37" w:rsidRPr="00DD4AC4">
        <w:rPr>
          <w:rFonts w:ascii="Verdana" w:eastAsia="Times New Roman" w:hAnsi="Verdana" w:cs="Verdana"/>
          <w:sz w:val="20"/>
          <w:szCs w:val="20"/>
          <w:lang w:val="es-PE" w:bidi="en-US"/>
        </w:rPr>
        <w:lastRenderedPageBreak/>
        <w:t>violaciones de derechos humanos, no procedería aplicar la prescripción</w:t>
      </w:r>
      <w:r w:rsidR="00446D37" w:rsidRPr="00DD4AC4">
        <w:rPr>
          <w:rStyle w:val="FootnoteReference"/>
          <w:rFonts w:ascii="Verdana" w:eastAsia="Times New Roman" w:hAnsi="Verdana" w:cs="Verdana"/>
          <w:sz w:val="20"/>
          <w:szCs w:val="20"/>
          <w:lang w:val="es-PE" w:bidi="en-US"/>
        </w:rPr>
        <w:footnoteReference w:id="46"/>
      </w:r>
      <w:r w:rsidR="00446D37" w:rsidRPr="00DD4AC4">
        <w:rPr>
          <w:rFonts w:ascii="Verdana" w:eastAsia="Times New Roman" w:hAnsi="Verdana" w:cs="Verdana"/>
          <w:sz w:val="20"/>
          <w:szCs w:val="20"/>
          <w:lang w:val="es-PE" w:bidi="en-US"/>
        </w:rPr>
        <w:t>.</w:t>
      </w:r>
      <w:r w:rsidR="00C246E9">
        <w:rPr>
          <w:rFonts w:eastAsia="Times New Roman" w:cs="Verdana"/>
          <w:lang w:val="es-PE" w:bidi="en-US"/>
        </w:rPr>
        <w:t xml:space="preserve"> </w:t>
      </w:r>
      <w:r w:rsidR="00CE6339">
        <w:rPr>
          <w:rFonts w:ascii="Verdana" w:hAnsi="Verdana" w:cs="Arial"/>
          <w:sz w:val="20"/>
          <w:szCs w:val="20"/>
          <w:lang w:bidi="en-US"/>
        </w:rPr>
        <w:t>Por otra parte</w:t>
      </w:r>
      <w:r w:rsidR="0085046D">
        <w:rPr>
          <w:rFonts w:ascii="Verdana" w:hAnsi="Verdana" w:cs="Arial"/>
          <w:sz w:val="20"/>
          <w:szCs w:val="20"/>
          <w:lang w:bidi="en-US"/>
        </w:rPr>
        <w:t>, respecto del “encubrimiento” de los hechos por parte de militares</w:t>
      </w:r>
      <w:r w:rsidR="0085046D">
        <w:rPr>
          <w:rStyle w:val="FootnoteReference"/>
          <w:rFonts w:ascii="Verdana" w:hAnsi="Verdana" w:cs="Arial"/>
          <w:sz w:val="20"/>
          <w:szCs w:val="20"/>
          <w:lang w:bidi="en-US"/>
        </w:rPr>
        <w:footnoteReference w:id="47"/>
      </w:r>
      <w:r w:rsidR="0085046D">
        <w:rPr>
          <w:rFonts w:ascii="Verdana" w:hAnsi="Verdana" w:cs="Arial"/>
          <w:sz w:val="20"/>
          <w:szCs w:val="20"/>
          <w:lang w:bidi="en-US"/>
        </w:rPr>
        <w:t>,</w:t>
      </w:r>
      <w:r w:rsidR="0085046D" w:rsidRPr="0085046D">
        <w:rPr>
          <w:rFonts w:ascii="Verdana" w:hAnsi="Verdana" w:cs="Arial"/>
          <w:sz w:val="20"/>
          <w:szCs w:val="20"/>
          <w:lang w:bidi="en-US"/>
        </w:rPr>
        <w:t xml:space="preserve"> </w:t>
      </w:r>
      <w:r w:rsidR="006F0D89">
        <w:rPr>
          <w:rFonts w:ascii="Verdana" w:hAnsi="Verdana" w:cs="Arial"/>
          <w:sz w:val="20"/>
          <w:szCs w:val="20"/>
          <w:lang w:bidi="en-US"/>
        </w:rPr>
        <w:t xml:space="preserve">el Tribunal constató que </w:t>
      </w:r>
      <w:r w:rsidR="00F2494F" w:rsidRPr="0085046D">
        <w:rPr>
          <w:rFonts w:ascii="Verdana" w:hAnsi="Verdana" w:cs="Arial"/>
          <w:sz w:val="20"/>
          <w:szCs w:val="20"/>
          <w:lang w:bidi="en-US"/>
        </w:rPr>
        <w:t>en su sentencia de 9 de julio de 2008</w:t>
      </w:r>
      <w:r w:rsidR="00F2494F">
        <w:rPr>
          <w:rFonts w:ascii="Verdana" w:hAnsi="Verdana" w:cs="Arial"/>
          <w:sz w:val="20"/>
          <w:szCs w:val="20"/>
          <w:lang w:bidi="en-US"/>
        </w:rPr>
        <w:t xml:space="preserve">, </w:t>
      </w:r>
      <w:r w:rsidR="006F0D89">
        <w:rPr>
          <w:rFonts w:ascii="Verdana" w:hAnsi="Verdana" w:cs="Arial"/>
          <w:sz w:val="20"/>
          <w:szCs w:val="20"/>
          <w:lang w:bidi="en-US"/>
        </w:rPr>
        <w:t>e</w:t>
      </w:r>
      <w:r w:rsidR="0085046D" w:rsidRPr="0085046D">
        <w:rPr>
          <w:rFonts w:ascii="Verdana" w:hAnsi="Verdana" w:cs="Arial"/>
          <w:sz w:val="20"/>
          <w:szCs w:val="20"/>
          <w:lang w:bidi="en-US"/>
        </w:rPr>
        <w:t>l Juzgado Segundo Penal del Cir</w:t>
      </w:r>
      <w:r w:rsidR="00F2494F">
        <w:rPr>
          <w:rFonts w:ascii="Verdana" w:hAnsi="Verdana" w:cs="Arial"/>
          <w:sz w:val="20"/>
          <w:szCs w:val="20"/>
          <w:lang w:bidi="en-US"/>
        </w:rPr>
        <w:t>cuito de Santander de Quilichao</w:t>
      </w:r>
      <w:r w:rsidR="0085046D" w:rsidRPr="0085046D">
        <w:rPr>
          <w:rFonts w:ascii="Verdana" w:hAnsi="Verdana" w:cs="Arial"/>
          <w:sz w:val="20"/>
          <w:szCs w:val="20"/>
          <w:lang w:bidi="en-US"/>
        </w:rPr>
        <w:t xml:space="preserve"> co</w:t>
      </w:r>
      <w:r w:rsidR="006F0D89">
        <w:rPr>
          <w:rFonts w:ascii="Verdana" w:hAnsi="Verdana" w:cs="Arial"/>
          <w:sz w:val="20"/>
          <w:szCs w:val="20"/>
          <w:lang w:bidi="en-US"/>
        </w:rPr>
        <w:t xml:space="preserve">ndenó al teniente Navarro Denia y a un cabo </w:t>
      </w:r>
      <w:r w:rsidR="000F0BC6">
        <w:rPr>
          <w:rFonts w:ascii="Verdana" w:hAnsi="Verdana" w:cs="Arial"/>
          <w:sz w:val="20"/>
          <w:szCs w:val="20"/>
          <w:lang w:bidi="en-US"/>
        </w:rPr>
        <w:t>por</w:t>
      </w:r>
      <w:r w:rsidR="000F0BC6" w:rsidRPr="0085046D">
        <w:rPr>
          <w:rFonts w:ascii="Verdana" w:hAnsi="Verdana" w:cs="Arial"/>
          <w:sz w:val="20"/>
          <w:szCs w:val="20"/>
          <w:lang w:bidi="en-US"/>
        </w:rPr>
        <w:t xml:space="preserve"> </w:t>
      </w:r>
      <w:r w:rsidR="0085046D" w:rsidRPr="0085046D">
        <w:rPr>
          <w:rFonts w:ascii="Verdana" w:hAnsi="Verdana" w:cs="Arial"/>
          <w:sz w:val="20"/>
          <w:szCs w:val="20"/>
          <w:lang w:bidi="en-US"/>
        </w:rPr>
        <w:t xml:space="preserve">considerar demostrado que </w:t>
      </w:r>
      <w:r w:rsidR="006F0D89">
        <w:rPr>
          <w:rFonts w:ascii="Verdana" w:hAnsi="Verdana" w:cs="Arial"/>
          <w:sz w:val="20"/>
          <w:szCs w:val="20"/>
          <w:lang w:bidi="en-US"/>
        </w:rPr>
        <w:t>este último</w:t>
      </w:r>
      <w:r w:rsidR="0085046D" w:rsidRPr="0085046D">
        <w:rPr>
          <w:rFonts w:ascii="Verdana" w:hAnsi="Verdana" w:cs="Arial"/>
          <w:sz w:val="20"/>
          <w:szCs w:val="20"/>
          <w:lang w:bidi="en-US"/>
        </w:rPr>
        <w:t xml:space="preserve"> brindó falso testimonio durante la investigación </w:t>
      </w:r>
      <w:r w:rsidR="000F0BC6">
        <w:rPr>
          <w:rFonts w:ascii="Verdana" w:hAnsi="Verdana" w:cs="Arial"/>
          <w:sz w:val="20"/>
          <w:szCs w:val="20"/>
          <w:lang w:bidi="en-US"/>
        </w:rPr>
        <w:t xml:space="preserve">penal interna, cuando </w:t>
      </w:r>
      <w:r w:rsidR="0085046D" w:rsidRPr="0085046D">
        <w:rPr>
          <w:rFonts w:ascii="Verdana" w:hAnsi="Verdana" w:cs="Arial"/>
          <w:sz w:val="20"/>
          <w:szCs w:val="20"/>
          <w:lang w:bidi="en-US"/>
        </w:rPr>
        <w:t>aleg</w:t>
      </w:r>
      <w:r w:rsidR="000F0BC6">
        <w:rPr>
          <w:rFonts w:ascii="Verdana" w:hAnsi="Verdana" w:cs="Arial"/>
          <w:sz w:val="20"/>
          <w:szCs w:val="20"/>
          <w:lang w:bidi="en-US"/>
        </w:rPr>
        <w:t>ó</w:t>
      </w:r>
      <w:r w:rsidR="0085046D" w:rsidRPr="0085046D">
        <w:rPr>
          <w:rFonts w:ascii="Verdana" w:hAnsi="Verdana" w:cs="Arial"/>
          <w:sz w:val="20"/>
          <w:szCs w:val="20"/>
          <w:lang w:bidi="en-US"/>
        </w:rPr>
        <w:t xml:space="preserve"> que el señor </w:t>
      </w:r>
      <w:proofErr w:type="spellStart"/>
      <w:r w:rsidR="0085046D" w:rsidRPr="0085046D">
        <w:rPr>
          <w:rFonts w:ascii="Verdana" w:hAnsi="Verdana" w:cs="Arial"/>
          <w:sz w:val="20"/>
          <w:szCs w:val="20"/>
          <w:lang w:bidi="en-US"/>
        </w:rPr>
        <w:t>Escué</w:t>
      </w:r>
      <w:proofErr w:type="spellEnd"/>
      <w:r w:rsidR="0085046D" w:rsidRPr="0085046D">
        <w:rPr>
          <w:rFonts w:ascii="Verdana" w:hAnsi="Verdana" w:cs="Arial"/>
          <w:sz w:val="20"/>
          <w:szCs w:val="20"/>
          <w:lang w:bidi="en-US"/>
        </w:rPr>
        <w:t xml:space="preserve"> había muerto en un fuego cruzado, tal como </w:t>
      </w:r>
      <w:r w:rsidR="006F0D89">
        <w:rPr>
          <w:rFonts w:ascii="Verdana" w:hAnsi="Verdana" w:cs="Arial"/>
          <w:sz w:val="20"/>
          <w:szCs w:val="20"/>
          <w:lang w:bidi="en-US"/>
        </w:rPr>
        <w:t xml:space="preserve">le </w:t>
      </w:r>
      <w:r w:rsidR="0085046D" w:rsidRPr="0085046D">
        <w:rPr>
          <w:rFonts w:ascii="Verdana" w:hAnsi="Verdana" w:cs="Arial"/>
          <w:sz w:val="20"/>
          <w:szCs w:val="20"/>
          <w:lang w:bidi="en-US"/>
        </w:rPr>
        <w:t>fue instruido por el teniente Navarro</w:t>
      </w:r>
      <w:r w:rsidR="006F0D89">
        <w:rPr>
          <w:rStyle w:val="FootnoteReference"/>
          <w:rFonts w:ascii="Verdana" w:hAnsi="Verdana" w:cs="Arial"/>
          <w:sz w:val="20"/>
          <w:szCs w:val="20"/>
          <w:lang w:bidi="en-US"/>
        </w:rPr>
        <w:footnoteReference w:id="48"/>
      </w:r>
      <w:r w:rsidR="0085046D" w:rsidRPr="0085046D">
        <w:rPr>
          <w:rFonts w:ascii="Verdana" w:hAnsi="Verdana" w:cs="Arial"/>
          <w:sz w:val="20"/>
          <w:szCs w:val="20"/>
          <w:lang w:bidi="en-US"/>
        </w:rPr>
        <w:t xml:space="preserve">. </w:t>
      </w:r>
      <w:r w:rsidR="006F0D89">
        <w:rPr>
          <w:rFonts w:ascii="Verdana" w:hAnsi="Verdana" w:cs="Arial"/>
          <w:sz w:val="20"/>
          <w:szCs w:val="20"/>
          <w:lang w:bidi="en-US"/>
        </w:rPr>
        <w:t>Posteriormente, mediante</w:t>
      </w:r>
      <w:r w:rsidR="006F0D89" w:rsidRPr="0085046D">
        <w:rPr>
          <w:rFonts w:ascii="Verdana" w:hAnsi="Verdana"/>
          <w:sz w:val="16"/>
          <w:szCs w:val="16"/>
        </w:rPr>
        <w:t xml:space="preserve"> </w:t>
      </w:r>
      <w:r w:rsidR="006F0D89" w:rsidRPr="006F0D89">
        <w:rPr>
          <w:rFonts w:ascii="Verdana" w:hAnsi="Verdana"/>
          <w:sz w:val="20"/>
          <w:szCs w:val="16"/>
        </w:rPr>
        <w:t>sentencia de 11 de junio de 2010</w:t>
      </w:r>
      <w:r w:rsidR="00CE6339">
        <w:rPr>
          <w:rFonts w:ascii="Verdana" w:hAnsi="Verdana"/>
          <w:sz w:val="20"/>
          <w:szCs w:val="16"/>
        </w:rPr>
        <w:t>,</w:t>
      </w:r>
      <w:r w:rsidR="006F0D89" w:rsidRPr="006F0D89">
        <w:rPr>
          <w:rFonts w:ascii="Verdana" w:hAnsi="Verdana"/>
          <w:sz w:val="20"/>
          <w:szCs w:val="16"/>
        </w:rPr>
        <w:t xml:space="preserve"> la Sala de Decisión Penal del Tribunal Superior del Dist</w:t>
      </w:r>
      <w:r w:rsidR="00CE6339">
        <w:rPr>
          <w:rFonts w:ascii="Verdana" w:hAnsi="Verdana"/>
          <w:sz w:val="20"/>
          <w:szCs w:val="16"/>
        </w:rPr>
        <w:t>rito Judicial de Popayán</w:t>
      </w:r>
      <w:r w:rsidR="006F0D89" w:rsidRPr="006F0D89">
        <w:rPr>
          <w:rFonts w:ascii="Verdana" w:hAnsi="Verdana"/>
          <w:sz w:val="20"/>
          <w:szCs w:val="16"/>
        </w:rPr>
        <w:t xml:space="preserve"> confirmó la condena contra el teniente Navarro y absolvió al referido cabo del delito de falso testimonio</w:t>
      </w:r>
      <w:r w:rsidR="006F0D89" w:rsidRPr="006F0D89">
        <w:rPr>
          <w:rStyle w:val="FootnoteReference"/>
          <w:rFonts w:ascii="Verdana" w:hAnsi="Verdana"/>
          <w:sz w:val="20"/>
          <w:szCs w:val="16"/>
        </w:rPr>
        <w:footnoteReference w:id="49"/>
      </w:r>
      <w:r w:rsidR="006F0D89" w:rsidRPr="006F0D89">
        <w:rPr>
          <w:rFonts w:ascii="Verdana" w:hAnsi="Verdana"/>
          <w:sz w:val="20"/>
          <w:szCs w:val="16"/>
        </w:rPr>
        <w:t>.</w:t>
      </w:r>
      <w:r w:rsidR="006F0D89">
        <w:rPr>
          <w:rFonts w:ascii="Verdana" w:hAnsi="Verdana"/>
          <w:sz w:val="16"/>
          <w:szCs w:val="16"/>
        </w:rPr>
        <w:t xml:space="preserve"> </w:t>
      </w:r>
      <w:r w:rsidR="00B72ED1">
        <w:rPr>
          <w:rFonts w:ascii="Verdana" w:hAnsi="Verdana" w:cs="Arial"/>
          <w:sz w:val="20"/>
          <w:szCs w:val="20"/>
          <w:lang w:bidi="en-US"/>
        </w:rPr>
        <w:t xml:space="preserve">En razón de lo anterior, la Corte considera que todos los hechos declarados violatorios en la Sentencia fueron investigados por el Estado. </w:t>
      </w:r>
    </w:p>
    <w:p w:rsidR="006525CB" w:rsidRPr="00EC475D" w:rsidRDefault="006525CB" w:rsidP="00B14F91">
      <w:pPr>
        <w:spacing w:after="0" w:line="240" w:lineRule="auto"/>
        <w:jc w:val="both"/>
        <w:rPr>
          <w:rFonts w:ascii="Verdana" w:hAnsi="Verdana"/>
          <w:sz w:val="20"/>
        </w:rPr>
      </w:pPr>
    </w:p>
    <w:p w:rsidR="0056684E" w:rsidRPr="00EC475D" w:rsidRDefault="004E4000" w:rsidP="00B14F91">
      <w:pPr>
        <w:spacing w:after="0" w:line="240" w:lineRule="auto"/>
        <w:jc w:val="both"/>
        <w:rPr>
          <w:rFonts w:ascii="Verdana" w:hAnsi="Verdana"/>
          <w:sz w:val="20"/>
          <w:lang w:val="es-ES"/>
        </w:rPr>
      </w:pPr>
      <w:r w:rsidRPr="00EC475D">
        <w:rPr>
          <w:rFonts w:ascii="Verdana" w:hAnsi="Verdana"/>
          <w:sz w:val="20"/>
        </w:rPr>
        <w:t>1</w:t>
      </w:r>
      <w:r w:rsidR="00F00901">
        <w:rPr>
          <w:rFonts w:ascii="Verdana" w:hAnsi="Verdana"/>
          <w:sz w:val="20"/>
        </w:rPr>
        <w:t>4</w:t>
      </w:r>
      <w:r w:rsidR="002728F6">
        <w:rPr>
          <w:rFonts w:ascii="Verdana" w:hAnsi="Verdana"/>
          <w:sz w:val="20"/>
        </w:rPr>
        <w:t>.</w:t>
      </w:r>
      <w:r w:rsidR="00893AF5" w:rsidRPr="00EC475D">
        <w:rPr>
          <w:rFonts w:ascii="Verdana" w:hAnsi="Verdana"/>
          <w:sz w:val="20"/>
        </w:rPr>
        <w:tab/>
        <w:t xml:space="preserve">Durante el transcurso de la etapa de supervisión del presente caso, los representantes hicieron alusión a otros aspectos relacionados con los hechos sobre los cuales manifestaron su </w:t>
      </w:r>
      <w:r w:rsidR="0056684E" w:rsidRPr="00EC475D">
        <w:rPr>
          <w:rFonts w:ascii="Verdana" w:hAnsi="Verdana"/>
          <w:sz w:val="20"/>
        </w:rPr>
        <w:t>in</w:t>
      </w:r>
      <w:r w:rsidR="00893AF5" w:rsidRPr="00EC475D">
        <w:rPr>
          <w:rFonts w:ascii="Verdana" w:hAnsi="Verdana"/>
          <w:sz w:val="20"/>
        </w:rPr>
        <w:t xml:space="preserve">conformidad respecto de la actuación del Estado. Si bien </w:t>
      </w:r>
      <w:r w:rsidR="0056684E" w:rsidRPr="00EC475D">
        <w:rPr>
          <w:rFonts w:ascii="Verdana" w:hAnsi="Verdana"/>
          <w:sz w:val="20"/>
        </w:rPr>
        <w:t>dichos alegatos no fueron presentados como</w:t>
      </w:r>
      <w:r w:rsidR="00893AF5" w:rsidRPr="00EC475D">
        <w:rPr>
          <w:rFonts w:ascii="Verdana" w:hAnsi="Verdana"/>
          <w:sz w:val="20"/>
        </w:rPr>
        <w:t xml:space="preserve"> objeciones para no declarar el cumplimiento de la obligación de investigar, la Corte se referirá </w:t>
      </w:r>
      <w:r w:rsidR="0056684E" w:rsidRPr="00EC475D">
        <w:rPr>
          <w:rFonts w:ascii="Verdana" w:hAnsi="Verdana"/>
          <w:sz w:val="20"/>
        </w:rPr>
        <w:t>a lo señalado por los representantes</w:t>
      </w:r>
      <w:r w:rsidR="00893AF5" w:rsidRPr="00EC475D">
        <w:rPr>
          <w:rFonts w:ascii="Verdana" w:hAnsi="Verdana"/>
          <w:sz w:val="20"/>
        </w:rPr>
        <w:t xml:space="preserve"> </w:t>
      </w:r>
      <w:r w:rsidR="0056684E" w:rsidRPr="00EC475D">
        <w:rPr>
          <w:rFonts w:ascii="Verdana" w:hAnsi="Verdana"/>
          <w:sz w:val="20"/>
          <w:lang w:val="es-ES"/>
        </w:rPr>
        <w:t xml:space="preserve">relativo a que </w:t>
      </w:r>
      <w:r w:rsidR="000F0BC6">
        <w:rPr>
          <w:rFonts w:ascii="Verdana" w:hAnsi="Verdana"/>
          <w:sz w:val="20"/>
          <w:lang w:val="es-ES"/>
        </w:rPr>
        <w:t xml:space="preserve">consideraron que </w:t>
      </w:r>
      <w:r w:rsidR="0056684E" w:rsidRPr="00EC475D">
        <w:rPr>
          <w:rFonts w:ascii="Verdana" w:hAnsi="Verdana"/>
          <w:sz w:val="20"/>
          <w:lang w:val="es-ES"/>
        </w:rPr>
        <w:t xml:space="preserve">la sentencia </w:t>
      </w:r>
      <w:r w:rsidR="0056684E" w:rsidRPr="00EC475D">
        <w:rPr>
          <w:rFonts w:ascii="Verdana" w:hAnsi="Verdana"/>
          <w:sz w:val="20"/>
        </w:rPr>
        <w:t xml:space="preserve">de 15 de julio de 2015 emitida por la </w:t>
      </w:r>
      <w:r w:rsidR="003103D3">
        <w:rPr>
          <w:rFonts w:ascii="Verdana" w:hAnsi="Verdana"/>
          <w:sz w:val="20"/>
        </w:rPr>
        <w:t xml:space="preserve">Sala de Casación Penal de la </w:t>
      </w:r>
      <w:r w:rsidR="0056684E" w:rsidRPr="00EC475D">
        <w:rPr>
          <w:rFonts w:ascii="Verdana" w:hAnsi="Verdana"/>
          <w:sz w:val="20"/>
        </w:rPr>
        <w:t xml:space="preserve">Corte Suprema </w:t>
      </w:r>
      <w:r w:rsidR="000F0BC6">
        <w:rPr>
          <w:rFonts w:ascii="Verdana" w:hAnsi="Verdana"/>
          <w:sz w:val="20"/>
        </w:rPr>
        <w:t xml:space="preserve">de Justicia </w:t>
      </w:r>
      <w:r w:rsidR="0056684E" w:rsidRPr="00EC475D">
        <w:rPr>
          <w:rFonts w:ascii="Verdana" w:hAnsi="Verdana"/>
          <w:sz w:val="20"/>
        </w:rPr>
        <w:t>(</w:t>
      </w:r>
      <w:r w:rsidR="0056684E" w:rsidRPr="00EC475D">
        <w:rPr>
          <w:rFonts w:ascii="Verdana" w:hAnsi="Verdana"/>
          <w:i/>
          <w:sz w:val="20"/>
        </w:rPr>
        <w:t xml:space="preserve">supra </w:t>
      </w:r>
      <w:r w:rsidR="0056684E" w:rsidRPr="00EC475D">
        <w:rPr>
          <w:rFonts w:ascii="Verdana" w:hAnsi="Verdana"/>
          <w:sz w:val="20"/>
        </w:rPr>
        <w:t xml:space="preserve">Considerando </w:t>
      </w:r>
      <w:r w:rsidR="008C1181" w:rsidRPr="00EC475D">
        <w:rPr>
          <w:rFonts w:ascii="Verdana" w:hAnsi="Verdana"/>
          <w:sz w:val="20"/>
        </w:rPr>
        <w:t>10</w:t>
      </w:r>
      <w:r w:rsidR="001A5D50">
        <w:rPr>
          <w:rFonts w:ascii="Verdana" w:hAnsi="Verdana"/>
          <w:sz w:val="20"/>
        </w:rPr>
        <w:t>.b.vi</w:t>
      </w:r>
      <w:r w:rsidR="0056684E" w:rsidRPr="00EC475D">
        <w:rPr>
          <w:rFonts w:ascii="Verdana" w:hAnsi="Verdana"/>
          <w:sz w:val="20"/>
        </w:rPr>
        <w:t>) fue “</w:t>
      </w:r>
      <w:proofErr w:type="spellStart"/>
      <w:r w:rsidR="0056684E" w:rsidRPr="00EC475D">
        <w:rPr>
          <w:rFonts w:ascii="Verdana" w:hAnsi="Verdana"/>
          <w:sz w:val="20"/>
        </w:rPr>
        <w:t>revictimizante</w:t>
      </w:r>
      <w:proofErr w:type="spellEnd"/>
      <w:r w:rsidR="0056684E" w:rsidRPr="00EC475D">
        <w:rPr>
          <w:rFonts w:ascii="Verdana" w:hAnsi="Verdana"/>
          <w:sz w:val="20"/>
        </w:rPr>
        <w:t xml:space="preserve"> para la memoria de Germán </w:t>
      </w:r>
      <w:proofErr w:type="spellStart"/>
      <w:r w:rsidR="0056684E" w:rsidRPr="00EC475D">
        <w:rPr>
          <w:rFonts w:ascii="Verdana" w:hAnsi="Verdana"/>
          <w:sz w:val="20"/>
        </w:rPr>
        <w:t>Escué</w:t>
      </w:r>
      <w:proofErr w:type="spellEnd"/>
      <w:r w:rsidR="0056684E" w:rsidRPr="00EC475D">
        <w:rPr>
          <w:rFonts w:ascii="Verdana" w:hAnsi="Verdana"/>
          <w:sz w:val="20"/>
        </w:rPr>
        <w:t xml:space="preserve"> y su familia”, en virtud de que “avaló algunas posiciones esgrimidas por los jueces de instancia en las cuales se señaló que [el señor] </w:t>
      </w:r>
      <w:proofErr w:type="spellStart"/>
      <w:r w:rsidR="0056684E" w:rsidRPr="00EC475D">
        <w:rPr>
          <w:rFonts w:ascii="Verdana" w:hAnsi="Verdana"/>
          <w:sz w:val="20"/>
        </w:rPr>
        <w:t>Escué</w:t>
      </w:r>
      <w:proofErr w:type="spellEnd"/>
      <w:r w:rsidR="0056684E" w:rsidRPr="00EC475D">
        <w:rPr>
          <w:rFonts w:ascii="Verdana" w:hAnsi="Verdana"/>
          <w:sz w:val="20"/>
        </w:rPr>
        <w:t xml:space="preserve"> Zapata pertenecía a un </w:t>
      </w:r>
      <w:r w:rsidR="001A5D50">
        <w:rPr>
          <w:rFonts w:ascii="Verdana" w:hAnsi="Verdana"/>
          <w:sz w:val="20"/>
        </w:rPr>
        <w:t>grupo guerrillero”</w:t>
      </w:r>
      <w:r w:rsidR="001A5D50">
        <w:rPr>
          <w:rStyle w:val="FootnoteReference"/>
          <w:rFonts w:ascii="Verdana" w:hAnsi="Verdana"/>
          <w:sz w:val="20"/>
        </w:rPr>
        <w:footnoteReference w:id="50"/>
      </w:r>
      <w:r w:rsidR="0056684E" w:rsidRPr="00EC475D">
        <w:rPr>
          <w:rFonts w:ascii="Verdana" w:hAnsi="Verdana"/>
          <w:sz w:val="20"/>
        </w:rPr>
        <w:t xml:space="preserve">. </w:t>
      </w:r>
      <w:r w:rsidR="0056684E" w:rsidRPr="0072229A">
        <w:rPr>
          <w:rFonts w:ascii="Verdana" w:hAnsi="Verdana"/>
          <w:sz w:val="20"/>
          <w:lang w:val="es-ES"/>
        </w:rPr>
        <w:t xml:space="preserve">La Corte reconoce la importancia particular que el esclarecimiento de los hechos a través de investigaciones penales representa para la familia del señor </w:t>
      </w:r>
      <w:proofErr w:type="spellStart"/>
      <w:r w:rsidR="0056684E" w:rsidRPr="0072229A">
        <w:rPr>
          <w:rFonts w:ascii="Verdana" w:hAnsi="Verdana"/>
          <w:sz w:val="20"/>
          <w:lang w:val="es-ES"/>
        </w:rPr>
        <w:t>Escué</w:t>
      </w:r>
      <w:proofErr w:type="spellEnd"/>
      <w:r w:rsidR="0056684E" w:rsidRPr="0072229A">
        <w:rPr>
          <w:rFonts w:ascii="Verdana" w:hAnsi="Verdana"/>
          <w:sz w:val="20"/>
          <w:lang w:val="es-ES"/>
        </w:rPr>
        <w:t xml:space="preserve"> Zapata. Sin </w:t>
      </w:r>
      <w:r w:rsidR="003103D3">
        <w:rPr>
          <w:rFonts w:ascii="Verdana" w:hAnsi="Verdana"/>
          <w:sz w:val="20"/>
          <w:lang w:val="es-ES"/>
        </w:rPr>
        <w:t>embargo</w:t>
      </w:r>
      <w:r w:rsidR="0056684E" w:rsidRPr="0072229A">
        <w:rPr>
          <w:rFonts w:ascii="Verdana" w:hAnsi="Verdana"/>
          <w:sz w:val="20"/>
          <w:lang w:val="es-ES"/>
        </w:rPr>
        <w:t xml:space="preserve">, la Corte </w:t>
      </w:r>
      <w:r w:rsidR="003103D3">
        <w:rPr>
          <w:rFonts w:ascii="Verdana" w:hAnsi="Verdana"/>
          <w:sz w:val="20"/>
        </w:rPr>
        <w:t>considera</w:t>
      </w:r>
      <w:r w:rsidR="00E32012" w:rsidRPr="0072229A">
        <w:rPr>
          <w:rFonts w:ascii="Verdana" w:hAnsi="Verdana"/>
          <w:sz w:val="20"/>
        </w:rPr>
        <w:t xml:space="preserve"> que </w:t>
      </w:r>
      <w:r w:rsidR="0056684E" w:rsidRPr="0072229A">
        <w:rPr>
          <w:rFonts w:ascii="Verdana" w:hAnsi="Verdana"/>
          <w:sz w:val="20"/>
        </w:rPr>
        <w:t xml:space="preserve">en el referido fallo no se afirma que el señor </w:t>
      </w:r>
      <w:proofErr w:type="spellStart"/>
      <w:r w:rsidR="0056684E" w:rsidRPr="0072229A">
        <w:rPr>
          <w:rFonts w:ascii="Verdana" w:hAnsi="Verdana"/>
          <w:sz w:val="20"/>
        </w:rPr>
        <w:t>Escué</w:t>
      </w:r>
      <w:proofErr w:type="spellEnd"/>
      <w:r w:rsidR="0056684E" w:rsidRPr="0072229A">
        <w:rPr>
          <w:rFonts w:ascii="Verdana" w:hAnsi="Verdana"/>
          <w:sz w:val="20"/>
        </w:rPr>
        <w:t xml:space="preserve"> fuese un guerrillero. El mencionado tribunal interno hace referencia </w:t>
      </w:r>
      <w:r w:rsidR="00E32012" w:rsidRPr="0072229A">
        <w:rPr>
          <w:rFonts w:ascii="Verdana" w:hAnsi="Verdana"/>
          <w:sz w:val="20"/>
        </w:rPr>
        <w:t>en dicha sentencia</w:t>
      </w:r>
      <w:r w:rsidR="0056684E" w:rsidRPr="0072229A">
        <w:rPr>
          <w:rFonts w:ascii="Verdana" w:hAnsi="Verdana"/>
          <w:sz w:val="20"/>
        </w:rPr>
        <w:t xml:space="preserve"> a las acusaciones que tanto el informante como los militares formularon en contra del señor </w:t>
      </w:r>
      <w:proofErr w:type="spellStart"/>
      <w:r w:rsidR="0056684E" w:rsidRPr="0072229A">
        <w:rPr>
          <w:rFonts w:ascii="Verdana" w:hAnsi="Verdana"/>
          <w:sz w:val="20"/>
        </w:rPr>
        <w:t>Escué</w:t>
      </w:r>
      <w:proofErr w:type="spellEnd"/>
      <w:r w:rsidR="0056684E" w:rsidRPr="0072229A">
        <w:rPr>
          <w:rFonts w:ascii="Verdana" w:hAnsi="Verdana"/>
          <w:sz w:val="20"/>
        </w:rPr>
        <w:t xml:space="preserve"> Zapata, indicando que estas no fueron comprobadas y argumentando la relación de dichas acusaciones con los hechos del caso</w:t>
      </w:r>
      <w:r w:rsidR="0056684E" w:rsidRPr="0072229A">
        <w:rPr>
          <w:rStyle w:val="FootnoteReference"/>
          <w:rFonts w:ascii="Verdana" w:hAnsi="Verdana"/>
          <w:sz w:val="20"/>
        </w:rPr>
        <w:footnoteReference w:id="51"/>
      </w:r>
      <w:r w:rsidR="0056684E" w:rsidRPr="0072229A">
        <w:rPr>
          <w:rFonts w:ascii="Verdana" w:hAnsi="Verdana"/>
          <w:sz w:val="20"/>
        </w:rPr>
        <w:t>.</w:t>
      </w:r>
      <w:r w:rsidR="0056684E" w:rsidRPr="00EC475D">
        <w:rPr>
          <w:rFonts w:ascii="Verdana" w:hAnsi="Verdana"/>
          <w:sz w:val="20"/>
        </w:rPr>
        <w:t xml:space="preserve"> </w:t>
      </w:r>
    </w:p>
    <w:p w:rsidR="0080573F" w:rsidRPr="00EC475D" w:rsidRDefault="00577222" w:rsidP="00B14F91">
      <w:pPr>
        <w:spacing w:after="0" w:line="240" w:lineRule="auto"/>
        <w:jc w:val="both"/>
        <w:rPr>
          <w:rFonts w:ascii="Verdana" w:hAnsi="Verdana" w:cs="Arial"/>
          <w:sz w:val="20"/>
        </w:rPr>
      </w:pPr>
      <w:r w:rsidRPr="0072229A">
        <w:rPr>
          <w:rFonts w:ascii="Verdana" w:hAnsi="Verdana" w:cs="Arial"/>
          <w:sz w:val="20"/>
        </w:rPr>
        <w:lastRenderedPageBreak/>
        <w:t>1</w:t>
      </w:r>
      <w:r w:rsidR="00DB7A68" w:rsidRPr="0072229A">
        <w:rPr>
          <w:rFonts w:ascii="Verdana" w:hAnsi="Verdana" w:cs="Arial"/>
          <w:sz w:val="20"/>
        </w:rPr>
        <w:t>5</w:t>
      </w:r>
      <w:r w:rsidRPr="0072229A">
        <w:rPr>
          <w:rFonts w:ascii="Verdana" w:hAnsi="Verdana" w:cs="Arial"/>
          <w:sz w:val="20"/>
        </w:rPr>
        <w:t>.</w:t>
      </w:r>
      <w:r w:rsidRPr="0072229A">
        <w:rPr>
          <w:rFonts w:ascii="Verdana" w:hAnsi="Verdana" w:cs="Arial"/>
          <w:sz w:val="20"/>
        </w:rPr>
        <w:tab/>
      </w:r>
      <w:r w:rsidR="009F2031" w:rsidRPr="0072229A">
        <w:rPr>
          <w:rFonts w:ascii="Verdana" w:hAnsi="Verdana" w:cs="Arial"/>
          <w:sz w:val="20"/>
        </w:rPr>
        <w:t>Respecto al deber del Estado de asegurar que los familiares de la víctima tengan pleno acceso y capacidad de actuar en todas las etapas e instancias de las investigaciones (</w:t>
      </w:r>
      <w:r w:rsidR="009F2031" w:rsidRPr="0072229A">
        <w:rPr>
          <w:rFonts w:ascii="Verdana" w:hAnsi="Verdana" w:cs="Arial"/>
          <w:i/>
          <w:sz w:val="20"/>
        </w:rPr>
        <w:t xml:space="preserve">supra </w:t>
      </w:r>
      <w:r w:rsidR="009F2031" w:rsidRPr="0072229A">
        <w:rPr>
          <w:rFonts w:ascii="Verdana" w:hAnsi="Verdana" w:cs="Arial"/>
          <w:sz w:val="20"/>
        </w:rPr>
        <w:t>Conside</w:t>
      </w:r>
      <w:r w:rsidR="00C11A60" w:rsidRPr="0072229A">
        <w:rPr>
          <w:rFonts w:ascii="Verdana" w:hAnsi="Verdana" w:cs="Arial"/>
          <w:sz w:val="20"/>
        </w:rPr>
        <w:t>rando 6</w:t>
      </w:r>
      <w:r w:rsidR="009F2031" w:rsidRPr="0072229A">
        <w:rPr>
          <w:rFonts w:ascii="Verdana" w:hAnsi="Verdana" w:cs="Arial"/>
          <w:sz w:val="20"/>
        </w:rPr>
        <w:t xml:space="preserve">), la Corte observa que los representantes de las víctimas no </w:t>
      </w:r>
      <w:r w:rsidR="003C2012">
        <w:rPr>
          <w:rFonts w:ascii="Verdana" w:hAnsi="Verdana" w:cs="Arial"/>
          <w:sz w:val="20"/>
        </w:rPr>
        <w:t>alegaron</w:t>
      </w:r>
      <w:r w:rsidR="003C2012" w:rsidRPr="0072229A">
        <w:rPr>
          <w:rFonts w:ascii="Verdana" w:hAnsi="Verdana" w:cs="Arial"/>
          <w:sz w:val="20"/>
        </w:rPr>
        <w:t xml:space="preserve"> </w:t>
      </w:r>
      <w:r w:rsidR="009F2031" w:rsidRPr="0072229A">
        <w:rPr>
          <w:rFonts w:ascii="Verdana" w:hAnsi="Verdana" w:cs="Arial"/>
          <w:sz w:val="20"/>
        </w:rPr>
        <w:t xml:space="preserve">discrepancias en este sentido. Más bien, el Tribunal constata que las partes </w:t>
      </w:r>
      <w:r w:rsidR="00452F17" w:rsidRPr="0072229A">
        <w:rPr>
          <w:rFonts w:ascii="Verdana" w:hAnsi="Verdana" w:cs="Arial"/>
          <w:sz w:val="20"/>
        </w:rPr>
        <w:t>presentaron los recursos que consideraron pertinentes</w:t>
      </w:r>
      <w:r w:rsidR="003C2012">
        <w:rPr>
          <w:rFonts w:ascii="Verdana" w:hAnsi="Verdana" w:cs="Arial"/>
          <w:sz w:val="20"/>
        </w:rPr>
        <w:t xml:space="preserve"> en los procesos penales internos</w:t>
      </w:r>
      <w:r w:rsidR="009F2031" w:rsidRPr="0072229A">
        <w:rPr>
          <w:rFonts w:ascii="Verdana" w:hAnsi="Verdana" w:cs="Arial"/>
          <w:sz w:val="20"/>
        </w:rPr>
        <w:t xml:space="preserve"> (</w:t>
      </w:r>
      <w:r w:rsidR="009F2031" w:rsidRPr="0072229A">
        <w:rPr>
          <w:rFonts w:ascii="Verdana" w:hAnsi="Verdana" w:cs="Arial"/>
          <w:i/>
          <w:sz w:val="20"/>
        </w:rPr>
        <w:t xml:space="preserve">supra </w:t>
      </w:r>
      <w:r w:rsidR="009F2031" w:rsidRPr="0072229A">
        <w:rPr>
          <w:rFonts w:ascii="Verdana" w:hAnsi="Verdana" w:cs="Arial"/>
          <w:sz w:val="20"/>
        </w:rPr>
        <w:t xml:space="preserve">Considerando </w:t>
      </w:r>
      <w:r w:rsidR="00C11A60" w:rsidRPr="0072229A">
        <w:rPr>
          <w:rFonts w:ascii="Verdana" w:hAnsi="Verdana" w:cs="Arial"/>
          <w:sz w:val="20"/>
        </w:rPr>
        <w:t>10</w:t>
      </w:r>
      <w:r w:rsidR="009F2031" w:rsidRPr="0072229A">
        <w:rPr>
          <w:rFonts w:ascii="Verdana" w:hAnsi="Verdana" w:cs="Arial"/>
          <w:sz w:val="20"/>
        </w:rPr>
        <w:t>).</w:t>
      </w:r>
    </w:p>
    <w:p w:rsidR="0080573F" w:rsidRPr="00EC475D" w:rsidRDefault="0080573F" w:rsidP="00B14F91">
      <w:pPr>
        <w:spacing w:after="0" w:line="240" w:lineRule="auto"/>
        <w:jc w:val="both"/>
        <w:rPr>
          <w:rFonts w:ascii="Verdana" w:hAnsi="Verdana" w:cs="Arial"/>
          <w:sz w:val="20"/>
        </w:rPr>
      </w:pPr>
    </w:p>
    <w:p w:rsidR="00AA20BD" w:rsidRPr="00EC475D" w:rsidRDefault="00D97E46" w:rsidP="00B14F91">
      <w:pPr>
        <w:spacing w:after="0" w:line="240" w:lineRule="auto"/>
        <w:jc w:val="both"/>
        <w:rPr>
          <w:rFonts w:ascii="Verdana" w:hAnsi="Verdana" w:cs="Arial"/>
          <w:sz w:val="20"/>
          <w:szCs w:val="20"/>
        </w:rPr>
      </w:pPr>
      <w:r w:rsidRPr="0072229A">
        <w:rPr>
          <w:rFonts w:ascii="Verdana" w:hAnsi="Verdana" w:cs="Arial"/>
          <w:sz w:val="20"/>
        </w:rPr>
        <w:t>1</w:t>
      </w:r>
      <w:r w:rsidR="00DB7A68" w:rsidRPr="0072229A">
        <w:rPr>
          <w:rFonts w:ascii="Verdana" w:hAnsi="Verdana" w:cs="Arial"/>
          <w:sz w:val="20"/>
        </w:rPr>
        <w:t>6</w:t>
      </w:r>
      <w:r w:rsidR="00AA20BD" w:rsidRPr="0072229A">
        <w:rPr>
          <w:rFonts w:ascii="Verdana" w:hAnsi="Verdana" w:cs="Arial"/>
          <w:sz w:val="20"/>
        </w:rPr>
        <w:t>.</w:t>
      </w:r>
      <w:r w:rsidR="00AA20BD" w:rsidRPr="0072229A">
        <w:rPr>
          <w:rFonts w:ascii="Verdana" w:hAnsi="Verdana" w:cs="Arial"/>
          <w:sz w:val="20"/>
        </w:rPr>
        <w:tab/>
      </w:r>
      <w:r w:rsidR="008064F4" w:rsidRPr="0072229A">
        <w:rPr>
          <w:rFonts w:ascii="Verdana" w:hAnsi="Verdana"/>
          <w:sz w:val="20"/>
          <w:szCs w:val="20"/>
        </w:rPr>
        <w:t xml:space="preserve">Aun cuando el Estado no presentó información sobre </w:t>
      </w:r>
      <w:r w:rsidR="008064F4" w:rsidRPr="0072229A">
        <w:rPr>
          <w:rFonts w:ascii="Verdana" w:hAnsi="Verdana" w:cs="Arial"/>
          <w:sz w:val="20"/>
          <w:szCs w:val="20"/>
        </w:rPr>
        <w:t>la divulgación pública de los resultados de los procesos internos (</w:t>
      </w:r>
      <w:r w:rsidR="008064F4" w:rsidRPr="0072229A">
        <w:rPr>
          <w:rFonts w:ascii="Verdana" w:hAnsi="Verdana" w:cs="Arial"/>
          <w:i/>
          <w:sz w:val="20"/>
          <w:szCs w:val="20"/>
        </w:rPr>
        <w:t xml:space="preserve">supra </w:t>
      </w:r>
      <w:r w:rsidR="008064F4" w:rsidRPr="0072229A">
        <w:rPr>
          <w:rFonts w:ascii="Verdana" w:hAnsi="Verdana" w:cs="Arial"/>
          <w:sz w:val="20"/>
          <w:szCs w:val="20"/>
        </w:rPr>
        <w:t xml:space="preserve">Considerando </w:t>
      </w:r>
      <w:r w:rsidR="00C11A60" w:rsidRPr="0072229A">
        <w:rPr>
          <w:rFonts w:ascii="Verdana" w:hAnsi="Verdana" w:cs="Arial"/>
          <w:sz w:val="20"/>
          <w:szCs w:val="20"/>
        </w:rPr>
        <w:t>6</w:t>
      </w:r>
      <w:r w:rsidR="008064F4" w:rsidRPr="0072229A">
        <w:rPr>
          <w:rFonts w:ascii="Verdana" w:hAnsi="Verdana" w:cs="Arial"/>
          <w:sz w:val="20"/>
          <w:szCs w:val="20"/>
        </w:rPr>
        <w:t>)</w:t>
      </w:r>
      <w:r w:rsidR="007C7602" w:rsidRPr="0072229A">
        <w:rPr>
          <w:rFonts w:ascii="Verdana" w:hAnsi="Verdana" w:cs="Arial"/>
          <w:sz w:val="20"/>
          <w:szCs w:val="20"/>
        </w:rPr>
        <w:t>,</w:t>
      </w:r>
      <w:r w:rsidR="003C2012">
        <w:rPr>
          <w:rFonts w:ascii="Verdana" w:hAnsi="Verdana" w:cs="Arial"/>
          <w:sz w:val="20"/>
          <w:szCs w:val="20"/>
        </w:rPr>
        <w:t xml:space="preserve"> </w:t>
      </w:r>
      <w:r w:rsidR="00CE6339">
        <w:rPr>
          <w:rFonts w:ascii="Verdana" w:hAnsi="Verdana" w:cs="Arial"/>
          <w:sz w:val="20"/>
          <w:szCs w:val="20"/>
        </w:rPr>
        <w:t xml:space="preserve">debido a que </w:t>
      </w:r>
      <w:r w:rsidR="008064F4" w:rsidRPr="0072229A">
        <w:rPr>
          <w:rFonts w:ascii="Verdana" w:hAnsi="Verdana"/>
          <w:sz w:val="20"/>
          <w:szCs w:val="20"/>
        </w:rPr>
        <w:t xml:space="preserve">los representantes ni la Comisión hicieron referencia alguna a observaciones u objeciones en lo que respecta a su cumplimiento, la Corte no considera que en el presente caso tal falta de información amerite mantener abierta la </w:t>
      </w:r>
      <w:r w:rsidR="00452F17" w:rsidRPr="0072229A">
        <w:rPr>
          <w:rFonts w:ascii="Verdana" w:hAnsi="Verdana"/>
          <w:sz w:val="20"/>
          <w:szCs w:val="20"/>
        </w:rPr>
        <w:t>supervisión</w:t>
      </w:r>
      <w:r w:rsidR="008064F4" w:rsidRPr="0072229A">
        <w:rPr>
          <w:rFonts w:ascii="Verdana" w:hAnsi="Verdana"/>
          <w:sz w:val="20"/>
          <w:szCs w:val="20"/>
        </w:rPr>
        <w:t xml:space="preserve"> del </w:t>
      </w:r>
      <w:r w:rsidR="00452F17" w:rsidRPr="0072229A">
        <w:rPr>
          <w:rFonts w:ascii="Verdana" w:hAnsi="Verdana"/>
          <w:sz w:val="20"/>
          <w:szCs w:val="20"/>
        </w:rPr>
        <w:t>cumplimiento</w:t>
      </w:r>
      <w:r w:rsidR="008064F4" w:rsidRPr="0072229A">
        <w:rPr>
          <w:rFonts w:ascii="Verdana" w:hAnsi="Verdana"/>
          <w:sz w:val="20"/>
          <w:szCs w:val="20"/>
        </w:rPr>
        <w:t xml:space="preserve"> de la obligación de investigar por este Tribunal. Ello no obsta a que las partes pudieren acordar alguna acción al respecto, lo cual no será supervisado por esta Corte.</w:t>
      </w:r>
      <w:r w:rsidR="008064F4" w:rsidRPr="00EC475D">
        <w:t xml:space="preserve"> </w:t>
      </w:r>
    </w:p>
    <w:p w:rsidR="00AA20BD" w:rsidRPr="00EC475D" w:rsidRDefault="00AA20BD" w:rsidP="00B14F91">
      <w:pPr>
        <w:spacing w:after="0" w:line="240" w:lineRule="auto"/>
        <w:jc w:val="both"/>
        <w:rPr>
          <w:rFonts w:ascii="Verdana" w:hAnsi="Verdana" w:cs="Arial"/>
          <w:sz w:val="20"/>
        </w:rPr>
      </w:pPr>
    </w:p>
    <w:p w:rsidR="00AA20BD" w:rsidRPr="00EC475D" w:rsidRDefault="00D97E46" w:rsidP="00B14F91">
      <w:pPr>
        <w:spacing w:after="0" w:line="240" w:lineRule="auto"/>
        <w:jc w:val="both"/>
        <w:rPr>
          <w:rFonts w:ascii="Verdana" w:hAnsi="Verdana"/>
          <w:sz w:val="20"/>
          <w:szCs w:val="20"/>
          <w:lang w:val="es-ES"/>
        </w:rPr>
      </w:pPr>
      <w:r w:rsidRPr="0072229A">
        <w:rPr>
          <w:rFonts w:ascii="Verdana" w:hAnsi="Verdana" w:cs="Arial"/>
          <w:sz w:val="20"/>
        </w:rPr>
        <w:t>1</w:t>
      </w:r>
      <w:r w:rsidR="00DB7A68" w:rsidRPr="0072229A">
        <w:rPr>
          <w:rFonts w:ascii="Verdana" w:hAnsi="Verdana" w:cs="Arial"/>
          <w:sz w:val="20"/>
        </w:rPr>
        <w:t>7</w:t>
      </w:r>
      <w:r w:rsidR="00AA20BD" w:rsidRPr="0072229A">
        <w:rPr>
          <w:rFonts w:ascii="Verdana" w:hAnsi="Verdana" w:cs="Arial"/>
          <w:sz w:val="20"/>
        </w:rPr>
        <w:t>.</w:t>
      </w:r>
      <w:r w:rsidR="00AA20BD" w:rsidRPr="0072229A">
        <w:rPr>
          <w:rFonts w:ascii="Verdana" w:hAnsi="Verdana" w:cs="Arial"/>
          <w:sz w:val="20"/>
        </w:rPr>
        <w:tab/>
      </w:r>
      <w:r w:rsidR="009266B4" w:rsidRPr="0072229A">
        <w:rPr>
          <w:rFonts w:ascii="Verdana" w:hAnsi="Verdana" w:cs="Arial"/>
          <w:sz w:val="20"/>
        </w:rPr>
        <w:t>Por tanto</w:t>
      </w:r>
      <w:r w:rsidR="00AA20BD" w:rsidRPr="0072229A">
        <w:rPr>
          <w:rFonts w:ascii="Verdana" w:hAnsi="Verdana" w:cs="Arial"/>
          <w:sz w:val="20"/>
        </w:rPr>
        <w:t xml:space="preserve">, </w:t>
      </w:r>
      <w:r w:rsidR="00AA20BD" w:rsidRPr="0072229A">
        <w:rPr>
          <w:rFonts w:ascii="Verdana" w:hAnsi="Verdana"/>
          <w:sz w:val="20"/>
        </w:rPr>
        <w:t xml:space="preserve">la Corte </w:t>
      </w:r>
      <w:r w:rsidR="009266B4" w:rsidRPr="0072229A">
        <w:rPr>
          <w:rFonts w:ascii="Verdana" w:hAnsi="Verdana"/>
          <w:sz w:val="20"/>
        </w:rPr>
        <w:t>considera</w:t>
      </w:r>
      <w:r w:rsidR="00AA20BD" w:rsidRPr="0072229A">
        <w:rPr>
          <w:rFonts w:ascii="Verdana" w:hAnsi="Verdana"/>
          <w:sz w:val="20"/>
        </w:rPr>
        <w:t xml:space="preserve"> que Colombia </w:t>
      </w:r>
      <w:r w:rsidR="00AA20BD" w:rsidRPr="0072229A">
        <w:rPr>
          <w:rFonts w:ascii="Verdana" w:hAnsi="Verdana"/>
          <w:sz w:val="20"/>
          <w:szCs w:val="20"/>
          <w:lang w:val="es-ES"/>
        </w:rPr>
        <w:t xml:space="preserve">ha dado cumplimiento a </w:t>
      </w:r>
      <w:r w:rsidR="00BA17EF" w:rsidRPr="0072229A">
        <w:rPr>
          <w:rFonts w:ascii="Verdana" w:hAnsi="Verdana"/>
          <w:sz w:val="20"/>
          <w:szCs w:val="20"/>
          <w:lang w:val="es-ES"/>
        </w:rPr>
        <w:t xml:space="preserve">la obligación de </w:t>
      </w:r>
      <w:r w:rsidR="007F17C5" w:rsidRPr="0072229A">
        <w:rPr>
          <w:rFonts w:ascii="Verdana" w:hAnsi="Verdana"/>
          <w:sz w:val="20"/>
        </w:rPr>
        <w:t>conducir eficazmente los procesos penales que se encuentran en trámite y los que se llegaren a abrir para determinar las correspondientes responsabilidades por los hechos de este caso</w:t>
      </w:r>
      <w:r w:rsidR="003C2012">
        <w:rPr>
          <w:rFonts w:ascii="Verdana" w:hAnsi="Verdana"/>
          <w:sz w:val="20"/>
        </w:rPr>
        <w:t xml:space="preserve"> y aplicar las consecuencias que la ley prevea,</w:t>
      </w:r>
      <w:r w:rsidR="007F17C5" w:rsidRPr="0072229A">
        <w:rPr>
          <w:rFonts w:ascii="Verdana" w:hAnsi="Verdana"/>
          <w:sz w:val="20"/>
          <w:szCs w:val="20"/>
          <w:lang w:val="es-ES"/>
        </w:rPr>
        <w:t xml:space="preserve"> </w:t>
      </w:r>
      <w:r w:rsidR="00AA20BD" w:rsidRPr="0072229A">
        <w:rPr>
          <w:rFonts w:ascii="Verdana" w:hAnsi="Verdana"/>
          <w:sz w:val="20"/>
          <w:szCs w:val="20"/>
          <w:lang w:val="es-ES"/>
        </w:rPr>
        <w:t>ordenada en el punto resolutivo noveno y en el párrafo 166 de la Sentencia.</w:t>
      </w:r>
      <w:r w:rsidR="00AA20BD" w:rsidRPr="00EC475D" w:rsidDel="00613D55">
        <w:rPr>
          <w:rFonts w:ascii="Verdana" w:hAnsi="Verdana"/>
          <w:sz w:val="20"/>
          <w:szCs w:val="20"/>
          <w:lang w:val="es-ES"/>
        </w:rPr>
        <w:t xml:space="preserve"> </w:t>
      </w:r>
    </w:p>
    <w:p w:rsidR="00D50F8D" w:rsidRDefault="00D50F8D" w:rsidP="00B14F91">
      <w:pPr>
        <w:spacing w:after="0" w:line="240" w:lineRule="auto"/>
        <w:jc w:val="both"/>
        <w:rPr>
          <w:rFonts w:ascii="Verdana" w:hAnsi="Verdana"/>
          <w:sz w:val="20"/>
          <w:szCs w:val="20"/>
          <w:lang w:val="es-ES"/>
        </w:rPr>
      </w:pPr>
    </w:p>
    <w:p w:rsidR="00973938" w:rsidRPr="004D24B2" w:rsidRDefault="004D1D83" w:rsidP="00113892">
      <w:pPr>
        <w:autoSpaceDE w:val="0"/>
        <w:autoSpaceDN w:val="0"/>
        <w:adjustRightInd w:val="0"/>
        <w:spacing w:after="120" w:line="240" w:lineRule="auto"/>
        <w:jc w:val="both"/>
        <w:rPr>
          <w:rFonts w:ascii="Verdana" w:hAnsi="Verdana"/>
          <w:b/>
          <w:sz w:val="20"/>
          <w:szCs w:val="20"/>
        </w:rPr>
      </w:pPr>
      <w:r w:rsidRPr="0072229A">
        <w:rPr>
          <w:rFonts w:ascii="Verdana" w:hAnsi="Verdana"/>
          <w:b/>
          <w:sz w:val="20"/>
          <w:szCs w:val="20"/>
        </w:rPr>
        <w:t xml:space="preserve">POR TANTO: </w:t>
      </w:r>
    </w:p>
    <w:p w:rsidR="00973938" w:rsidRPr="00113892" w:rsidRDefault="004D1D83" w:rsidP="00113892">
      <w:pPr>
        <w:autoSpaceDE w:val="0"/>
        <w:autoSpaceDN w:val="0"/>
        <w:adjustRightInd w:val="0"/>
        <w:spacing w:after="120" w:line="240" w:lineRule="auto"/>
        <w:jc w:val="both"/>
        <w:rPr>
          <w:rFonts w:ascii="Verdana" w:hAnsi="Verdana"/>
          <w:sz w:val="20"/>
          <w:szCs w:val="20"/>
        </w:rPr>
      </w:pPr>
      <w:r w:rsidRPr="0072229A">
        <w:rPr>
          <w:rFonts w:ascii="Verdana" w:hAnsi="Verdana"/>
          <w:b/>
          <w:sz w:val="20"/>
          <w:szCs w:val="20"/>
        </w:rPr>
        <w:t>LA CORTE INTERAMERICANA DE DERECHOS HUMANOS,</w:t>
      </w:r>
      <w:r w:rsidRPr="0072229A">
        <w:rPr>
          <w:rFonts w:ascii="Verdana" w:hAnsi="Verdana"/>
          <w:sz w:val="20"/>
          <w:szCs w:val="20"/>
        </w:rPr>
        <w:t xml:space="preserve"> </w:t>
      </w:r>
    </w:p>
    <w:p w:rsidR="004D1D83" w:rsidRPr="00EC475D" w:rsidRDefault="004D1D83" w:rsidP="00B14F91">
      <w:pPr>
        <w:tabs>
          <w:tab w:val="left" w:pos="567"/>
        </w:tabs>
        <w:spacing w:after="0" w:line="240" w:lineRule="auto"/>
        <w:jc w:val="both"/>
        <w:rPr>
          <w:rFonts w:ascii="Verdana" w:hAnsi="Verdana"/>
          <w:sz w:val="20"/>
        </w:rPr>
      </w:pPr>
      <w:proofErr w:type="gramStart"/>
      <w:r w:rsidRPr="0072229A">
        <w:rPr>
          <w:rFonts w:ascii="Verdana" w:hAnsi="Verdana"/>
          <w:sz w:val="20"/>
        </w:rPr>
        <w:t>en</w:t>
      </w:r>
      <w:proofErr w:type="gramEnd"/>
      <w:r w:rsidRPr="0072229A">
        <w:rPr>
          <w:rFonts w:ascii="Verdana" w:hAnsi="Verdana"/>
          <w:sz w:val="20"/>
        </w:rPr>
        <w:t xml:space="preserve"> el ejercicio de sus atribuciones de supervisión del cumplimiento de sus decisiones, de conformidad con los artículos 33, 62.1, 62.3, 65, 67 y 68.1 de la Convención Americana sobre Derechos Humanos, 24, 25 y 30 del Estatuto, y 31.2 y 69 de su Reglamento</w:t>
      </w:r>
      <w:r w:rsidRPr="00EC475D">
        <w:rPr>
          <w:rFonts w:ascii="Verdana" w:hAnsi="Verdana"/>
          <w:sz w:val="20"/>
        </w:rPr>
        <w:t>,</w:t>
      </w:r>
    </w:p>
    <w:p w:rsidR="00973938" w:rsidRDefault="00973938" w:rsidP="00B14F91">
      <w:pPr>
        <w:autoSpaceDE w:val="0"/>
        <w:autoSpaceDN w:val="0"/>
        <w:adjustRightInd w:val="0"/>
        <w:spacing w:after="0" w:line="240" w:lineRule="auto"/>
        <w:jc w:val="both"/>
        <w:rPr>
          <w:rFonts w:ascii="Verdana" w:hAnsi="Verdana"/>
          <w:sz w:val="20"/>
          <w:szCs w:val="20"/>
        </w:rPr>
      </w:pPr>
    </w:p>
    <w:p w:rsidR="004D1D83" w:rsidRPr="0072229A" w:rsidRDefault="004D1D83" w:rsidP="00B14F91">
      <w:pPr>
        <w:autoSpaceDE w:val="0"/>
        <w:autoSpaceDN w:val="0"/>
        <w:adjustRightInd w:val="0"/>
        <w:spacing w:after="0" w:line="240" w:lineRule="auto"/>
        <w:jc w:val="both"/>
        <w:rPr>
          <w:rFonts w:ascii="Verdana" w:hAnsi="Verdana"/>
          <w:b/>
          <w:sz w:val="20"/>
          <w:szCs w:val="20"/>
        </w:rPr>
      </w:pPr>
      <w:r w:rsidRPr="0072229A">
        <w:rPr>
          <w:rFonts w:ascii="Verdana" w:hAnsi="Verdana"/>
          <w:b/>
          <w:sz w:val="20"/>
          <w:szCs w:val="20"/>
        </w:rPr>
        <w:t>RESUELVE:</w:t>
      </w:r>
    </w:p>
    <w:p w:rsidR="007F17C5" w:rsidRPr="0072229A" w:rsidRDefault="007F17C5" w:rsidP="00B14F91">
      <w:pPr>
        <w:pStyle w:val="ListParagraph"/>
        <w:spacing w:after="0" w:line="240" w:lineRule="auto"/>
        <w:ind w:left="0"/>
        <w:jc w:val="both"/>
        <w:rPr>
          <w:rFonts w:ascii="Verdana" w:hAnsi="Verdana"/>
          <w:sz w:val="20"/>
        </w:rPr>
      </w:pPr>
    </w:p>
    <w:p w:rsidR="00DB239F" w:rsidRPr="0072229A" w:rsidRDefault="00DB239F" w:rsidP="00B14F91">
      <w:pPr>
        <w:pStyle w:val="ListParagraph"/>
        <w:numPr>
          <w:ilvl w:val="0"/>
          <w:numId w:val="7"/>
        </w:numPr>
        <w:spacing w:after="0" w:line="240" w:lineRule="auto"/>
        <w:ind w:left="0" w:firstLine="0"/>
        <w:jc w:val="both"/>
        <w:rPr>
          <w:rFonts w:ascii="Verdana" w:hAnsi="Verdana"/>
          <w:sz w:val="20"/>
        </w:rPr>
      </w:pPr>
      <w:r w:rsidRPr="0072229A">
        <w:rPr>
          <w:rFonts w:ascii="Verdana" w:hAnsi="Verdana"/>
          <w:sz w:val="20"/>
        </w:rPr>
        <w:t xml:space="preserve">Declarar, de conformidad con lo señalado en los Considerandos </w:t>
      </w:r>
      <w:r w:rsidR="00233A23" w:rsidRPr="0072229A">
        <w:rPr>
          <w:rFonts w:ascii="Verdana" w:hAnsi="Verdana"/>
          <w:sz w:val="20"/>
        </w:rPr>
        <w:t>8</w:t>
      </w:r>
      <w:r w:rsidRPr="0072229A">
        <w:rPr>
          <w:rFonts w:ascii="Verdana" w:hAnsi="Verdana"/>
          <w:sz w:val="20"/>
        </w:rPr>
        <w:t xml:space="preserve"> a </w:t>
      </w:r>
      <w:r w:rsidR="00DB7A68" w:rsidRPr="0072229A">
        <w:rPr>
          <w:rFonts w:ascii="Verdana" w:hAnsi="Verdana"/>
          <w:sz w:val="20"/>
        </w:rPr>
        <w:t>17</w:t>
      </w:r>
      <w:r w:rsidRPr="0072229A">
        <w:rPr>
          <w:rFonts w:ascii="Verdana" w:hAnsi="Verdana"/>
          <w:sz w:val="20"/>
        </w:rPr>
        <w:t xml:space="preserve"> de la presente Resolución, que el Estado ha dado cumplimiento total a la reparación relativa a conducir eficazmente los procesos penales que se encuentran en trámite y los que se llegaren a abrir para determinar las correspondientes responsabilidades por los hechos de este caso</w:t>
      </w:r>
      <w:r w:rsidR="006316BA">
        <w:rPr>
          <w:rFonts w:ascii="Verdana" w:hAnsi="Verdana"/>
          <w:sz w:val="20"/>
        </w:rPr>
        <w:t xml:space="preserve"> y aplicar las consecuencias que la ley prevea</w:t>
      </w:r>
      <w:r w:rsidRPr="0072229A">
        <w:rPr>
          <w:rFonts w:ascii="Verdana" w:hAnsi="Verdana"/>
          <w:sz w:val="20"/>
        </w:rPr>
        <w:t xml:space="preserve">, dispuesta en el punto resolutivo noveno de la Sentencia. </w:t>
      </w:r>
    </w:p>
    <w:p w:rsidR="00DB239F" w:rsidRPr="00EC475D" w:rsidRDefault="00DB239F" w:rsidP="00B14F91">
      <w:pPr>
        <w:pStyle w:val="ListParagraph"/>
        <w:spacing w:after="0" w:line="240" w:lineRule="auto"/>
        <w:ind w:left="0"/>
        <w:jc w:val="both"/>
        <w:rPr>
          <w:rFonts w:ascii="Verdana" w:hAnsi="Verdana"/>
          <w:sz w:val="20"/>
        </w:rPr>
      </w:pPr>
    </w:p>
    <w:p w:rsidR="00DB239F" w:rsidRPr="003E420D" w:rsidRDefault="00DB239F" w:rsidP="00B14F91">
      <w:pPr>
        <w:pStyle w:val="ListParagraph"/>
        <w:numPr>
          <w:ilvl w:val="0"/>
          <w:numId w:val="7"/>
        </w:numPr>
        <w:spacing w:after="0" w:line="240" w:lineRule="auto"/>
        <w:ind w:left="0" w:firstLine="0"/>
        <w:jc w:val="both"/>
        <w:rPr>
          <w:rFonts w:ascii="Verdana" w:hAnsi="Verdana"/>
          <w:sz w:val="20"/>
          <w:szCs w:val="20"/>
        </w:rPr>
      </w:pPr>
      <w:r w:rsidRPr="00EC475D">
        <w:rPr>
          <w:rFonts w:ascii="Verdana" w:hAnsi="Verdana"/>
          <w:sz w:val="20"/>
          <w:szCs w:val="20"/>
        </w:rPr>
        <w:t xml:space="preserve">Mantener abierto el procedimiento de supervisión conjunta de cumplimiento respecto de la medida de reparación </w:t>
      </w:r>
      <w:r w:rsidR="00F40A20" w:rsidRPr="003E420D">
        <w:rPr>
          <w:rFonts w:ascii="Verdana" w:hAnsi="Verdana"/>
          <w:sz w:val="20"/>
          <w:szCs w:val="20"/>
        </w:rPr>
        <w:t xml:space="preserve">relativa a </w:t>
      </w:r>
      <w:r w:rsidR="0019603F" w:rsidRPr="003E420D">
        <w:rPr>
          <w:rFonts w:ascii="Verdana" w:hAnsi="Verdana"/>
          <w:sz w:val="20"/>
          <w:szCs w:val="20"/>
        </w:rPr>
        <w:t xml:space="preserve">proveer, sin cargo alguno, el tratamiento especializado de carácter médico, psiquiátrico y psicológico adecuado que requieran las señoras Etelvina Zapata </w:t>
      </w:r>
      <w:proofErr w:type="spellStart"/>
      <w:r w:rsidR="0019603F" w:rsidRPr="003E420D">
        <w:rPr>
          <w:rFonts w:ascii="Verdana" w:hAnsi="Verdana"/>
          <w:sz w:val="20"/>
          <w:szCs w:val="20"/>
        </w:rPr>
        <w:t>Escué</w:t>
      </w:r>
      <w:proofErr w:type="spellEnd"/>
      <w:r w:rsidR="0019603F" w:rsidRPr="003E420D">
        <w:rPr>
          <w:rFonts w:ascii="Verdana" w:hAnsi="Verdana"/>
          <w:sz w:val="20"/>
          <w:szCs w:val="20"/>
        </w:rPr>
        <w:t xml:space="preserve">, Myriam Zapata </w:t>
      </w:r>
      <w:proofErr w:type="spellStart"/>
      <w:r w:rsidR="0019603F" w:rsidRPr="003E420D">
        <w:rPr>
          <w:rFonts w:ascii="Verdana" w:hAnsi="Verdana"/>
          <w:sz w:val="20"/>
          <w:szCs w:val="20"/>
        </w:rPr>
        <w:t>Escué</w:t>
      </w:r>
      <w:proofErr w:type="spellEnd"/>
      <w:r w:rsidR="0019603F" w:rsidRPr="003E420D">
        <w:rPr>
          <w:rFonts w:ascii="Verdana" w:hAnsi="Verdana"/>
          <w:sz w:val="20"/>
          <w:szCs w:val="20"/>
        </w:rPr>
        <w:t xml:space="preserve">, Bertha </w:t>
      </w:r>
      <w:proofErr w:type="spellStart"/>
      <w:r w:rsidR="0019603F" w:rsidRPr="003E420D">
        <w:rPr>
          <w:rFonts w:ascii="Verdana" w:hAnsi="Verdana"/>
          <w:sz w:val="20"/>
          <w:szCs w:val="20"/>
        </w:rPr>
        <w:t>Escué</w:t>
      </w:r>
      <w:proofErr w:type="spellEnd"/>
      <w:r w:rsidR="0019603F" w:rsidRPr="003E420D">
        <w:rPr>
          <w:rFonts w:ascii="Verdana" w:hAnsi="Verdana"/>
          <w:sz w:val="20"/>
          <w:szCs w:val="20"/>
        </w:rPr>
        <w:t xml:space="preserve"> </w:t>
      </w:r>
      <w:proofErr w:type="spellStart"/>
      <w:r w:rsidR="0019603F" w:rsidRPr="003E420D">
        <w:rPr>
          <w:rFonts w:ascii="Verdana" w:hAnsi="Verdana"/>
          <w:sz w:val="20"/>
          <w:szCs w:val="20"/>
        </w:rPr>
        <w:t>Coicue</w:t>
      </w:r>
      <w:proofErr w:type="spellEnd"/>
      <w:r w:rsidR="0019603F" w:rsidRPr="003E420D">
        <w:rPr>
          <w:rFonts w:ascii="Verdana" w:hAnsi="Verdana"/>
          <w:sz w:val="20"/>
          <w:szCs w:val="20"/>
        </w:rPr>
        <w:t xml:space="preserve"> y </w:t>
      </w:r>
      <w:proofErr w:type="spellStart"/>
      <w:r w:rsidR="0019603F" w:rsidRPr="003E420D">
        <w:rPr>
          <w:rFonts w:ascii="Verdana" w:hAnsi="Verdana"/>
          <w:sz w:val="20"/>
          <w:szCs w:val="20"/>
        </w:rPr>
        <w:t>Francya</w:t>
      </w:r>
      <w:proofErr w:type="spellEnd"/>
      <w:r w:rsidR="0019603F" w:rsidRPr="003E420D">
        <w:rPr>
          <w:rFonts w:ascii="Verdana" w:hAnsi="Verdana"/>
          <w:sz w:val="20"/>
          <w:szCs w:val="20"/>
        </w:rPr>
        <w:t xml:space="preserve"> </w:t>
      </w:r>
      <w:proofErr w:type="spellStart"/>
      <w:r w:rsidR="0019603F" w:rsidRPr="003E420D">
        <w:rPr>
          <w:rFonts w:ascii="Verdana" w:hAnsi="Verdana"/>
          <w:sz w:val="20"/>
          <w:szCs w:val="20"/>
        </w:rPr>
        <w:t>Doli</w:t>
      </w:r>
      <w:proofErr w:type="spellEnd"/>
      <w:r w:rsidR="0019603F" w:rsidRPr="003E420D">
        <w:rPr>
          <w:rFonts w:ascii="Verdana" w:hAnsi="Verdana"/>
          <w:sz w:val="20"/>
          <w:szCs w:val="20"/>
        </w:rPr>
        <w:t xml:space="preserve"> </w:t>
      </w:r>
      <w:proofErr w:type="spellStart"/>
      <w:r w:rsidR="0019603F" w:rsidRPr="003E420D">
        <w:rPr>
          <w:rFonts w:ascii="Verdana" w:hAnsi="Verdana"/>
          <w:sz w:val="20"/>
          <w:szCs w:val="20"/>
        </w:rPr>
        <w:t>Escué</w:t>
      </w:r>
      <w:proofErr w:type="spellEnd"/>
      <w:r w:rsidR="0019603F" w:rsidRPr="003E420D">
        <w:rPr>
          <w:rFonts w:ascii="Verdana" w:hAnsi="Verdana"/>
          <w:sz w:val="20"/>
          <w:szCs w:val="20"/>
        </w:rPr>
        <w:t xml:space="preserve"> Zapata, y los señores Mario </w:t>
      </w:r>
      <w:proofErr w:type="spellStart"/>
      <w:r w:rsidR="0019603F" w:rsidRPr="003E420D">
        <w:rPr>
          <w:rFonts w:ascii="Verdana" w:hAnsi="Verdana"/>
          <w:sz w:val="20"/>
          <w:szCs w:val="20"/>
        </w:rPr>
        <w:t>Pasu</w:t>
      </w:r>
      <w:proofErr w:type="spellEnd"/>
      <w:r w:rsidR="0019603F" w:rsidRPr="003E420D">
        <w:rPr>
          <w:rFonts w:ascii="Verdana" w:hAnsi="Verdana"/>
          <w:sz w:val="20"/>
          <w:szCs w:val="20"/>
        </w:rPr>
        <w:t xml:space="preserve">, </w:t>
      </w:r>
      <w:proofErr w:type="spellStart"/>
      <w:r w:rsidR="0019603F" w:rsidRPr="003E420D">
        <w:rPr>
          <w:rFonts w:ascii="Verdana" w:hAnsi="Verdana"/>
          <w:sz w:val="20"/>
          <w:szCs w:val="20"/>
        </w:rPr>
        <w:t>Aldemar</w:t>
      </w:r>
      <w:proofErr w:type="spellEnd"/>
      <w:r w:rsidR="0019603F" w:rsidRPr="003E420D">
        <w:rPr>
          <w:rFonts w:ascii="Verdana" w:hAnsi="Verdana"/>
          <w:sz w:val="20"/>
          <w:szCs w:val="20"/>
        </w:rPr>
        <w:t xml:space="preserve"> </w:t>
      </w:r>
      <w:proofErr w:type="spellStart"/>
      <w:r w:rsidR="0019603F" w:rsidRPr="003E420D">
        <w:rPr>
          <w:rFonts w:ascii="Verdana" w:hAnsi="Verdana"/>
          <w:sz w:val="20"/>
          <w:szCs w:val="20"/>
        </w:rPr>
        <w:t>Escué</w:t>
      </w:r>
      <w:proofErr w:type="spellEnd"/>
      <w:r w:rsidR="0019603F" w:rsidRPr="003E420D">
        <w:rPr>
          <w:rFonts w:ascii="Verdana" w:hAnsi="Verdana"/>
          <w:sz w:val="20"/>
          <w:szCs w:val="20"/>
        </w:rPr>
        <w:t xml:space="preserve"> Zapata, </w:t>
      </w:r>
      <w:proofErr w:type="spellStart"/>
      <w:r w:rsidR="0019603F" w:rsidRPr="003E420D">
        <w:rPr>
          <w:rFonts w:ascii="Verdana" w:hAnsi="Verdana"/>
          <w:sz w:val="20"/>
          <w:szCs w:val="20"/>
        </w:rPr>
        <w:t>Yonson</w:t>
      </w:r>
      <w:proofErr w:type="spellEnd"/>
      <w:r w:rsidR="0019603F" w:rsidRPr="003E420D">
        <w:rPr>
          <w:rFonts w:ascii="Verdana" w:hAnsi="Verdana"/>
          <w:sz w:val="20"/>
          <w:szCs w:val="20"/>
        </w:rPr>
        <w:t xml:space="preserve"> </w:t>
      </w:r>
      <w:proofErr w:type="spellStart"/>
      <w:r w:rsidR="0019603F" w:rsidRPr="003E420D">
        <w:rPr>
          <w:rFonts w:ascii="Verdana" w:hAnsi="Verdana"/>
          <w:sz w:val="20"/>
          <w:szCs w:val="20"/>
        </w:rPr>
        <w:t>Escué</w:t>
      </w:r>
      <w:proofErr w:type="spellEnd"/>
      <w:r w:rsidR="0019603F" w:rsidRPr="003E420D">
        <w:rPr>
          <w:rFonts w:ascii="Verdana" w:hAnsi="Verdana"/>
          <w:sz w:val="20"/>
          <w:szCs w:val="20"/>
        </w:rPr>
        <w:t xml:space="preserve"> Zapata, </w:t>
      </w:r>
      <w:proofErr w:type="spellStart"/>
      <w:r w:rsidR="0019603F" w:rsidRPr="003E420D">
        <w:rPr>
          <w:rFonts w:ascii="Verdana" w:hAnsi="Verdana"/>
          <w:sz w:val="20"/>
          <w:szCs w:val="20"/>
        </w:rPr>
        <w:t>Ayénder</w:t>
      </w:r>
      <w:proofErr w:type="spellEnd"/>
      <w:r w:rsidR="0019603F" w:rsidRPr="003E420D">
        <w:rPr>
          <w:rFonts w:ascii="Verdana" w:hAnsi="Verdana"/>
          <w:sz w:val="20"/>
          <w:szCs w:val="20"/>
        </w:rPr>
        <w:t xml:space="preserve"> </w:t>
      </w:r>
      <w:proofErr w:type="spellStart"/>
      <w:r w:rsidR="0019603F" w:rsidRPr="003E420D">
        <w:rPr>
          <w:rFonts w:ascii="Verdana" w:hAnsi="Verdana"/>
          <w:sz w:val="20"/>
          <w:szCs w:val="20"/>
        </w:rPr>
        <w:t>Escué</w:t>
      </w:r>
      <w:proofErr w:type="spellEnd"/>
      <w:r w:rsidR="0019603F" w:rsidRPr="003E420D">
        <w:rPr>
          <w:rFonts w:ascii="Verdana" w:hAnsi="Verdana"/>
          <w:sz w:val="20"/>
          <w:szCs w:val="20"/>
        </w:rPr>
        <w:t xml:space="preserve"> Zapata, Omar Zapata y Albeiro </w:t>
      </w:r>
      <w:proofErr w:type="spellStart"/>
      <w:r w:rsidR="0019603F" w:rsidRPr="003E420D">
        <w:rPr>
          <w:rFonts w:ascii="Verdana" w:hAnsi="Verdana"/>
          <w:sz w:val="20"/>
          <w:szCs w:val="20"/>
        </w:rPr>
        <w:t>Pasu</w:t>
      </w:r>
      <w:proofErr w:type="spellEnd"/>
      <w:r w:rsidR="0019603F" w:rsidRPr="003E420D">
        <w:rPr>
          <w:rFonts w:ascii="Verdana" w:hAnsi="Verdana"/>
          <w:sz w:val="20"/>
          <w:szCs w:val="20"/>
        </w:rPr>
        <w:t xml:space="preserve"> (</w:t>
      </w:r>
      <w:r w:rsidR="0019603F" w:rsidRPr="003E420D">
        <w:rPr>
          <w:rFonts w:ascii="Verdana" w:hAnsi="Verdana"/>
          <w:i/>
          <w:sz w:val="20"/>
          <w:szCs w:val="20"/>
        </w:rPr>
        <w:t>punto resolutivo décimo segundo de la Sentencia</w:t>
      </w:r>
      <w:r w:rsidR="0019603F" w:rsidRPr="003E420D">
        <w:rPr>
          <w:rFonts w:ascii="Verdana" w:hAnsi="Verdana"/>
          <w:sz w:val="20"/>
          <w:szCs w:val="20"/>
        </w:rPr>
        <w:t xml:space="preserve">). </w:t>
      </w:r>
      <w:r w:rsidR="00F40A20" w:rsidRPr="003E420D">
        <w:rPr>
          <w:rFonts w:ascii="Verdana" w:hAnsi="Verdana"/>
          <w:sz w:val="20"/>
          <w:szCs w:val="20"/>
        </w:rPr>
        <w:t xml:space="preserve">En una posterior Resolución </w:t>
      </w:r>
      <w:r w:rsidR="0019603F" w:rsidRPr="003E420D">
        <w:rPr>
          <w:rFonts w:ascii="Verdana" w:hAnsi="Verdana"/>
          <w:sz w:val="20"/>
          <w:szCs w:val="20"/>
        </w:rPr>
        <w:t xml:space="preserve">el Tribunal valorará las acciones </w:t>
      </w:r>
      <w:r w:rsidR="00F40A20" w:rsidRPr="003E420D">
        <w:rPr>
          <w:rFonts w:ascii="Verdana" w:hAnsi="Verdana"/>
          <w:sz w:val="20"/>
          <w:szCs w:val="20"/>
        </w:rPr>
        <w:t xml:space="preserve">que ha realizado </w:t>
      </w:r>
      <w:r w:rsidR="0019603F" w:rsidRPr="003E420D">
        <w:rPr>
          <w:rFonts w:ascii="Verdana" w:hAnsi="Verdana"/>
          <w:sz w:val="20"/>
          <w:szCs w:val="20"/>
        </w:rPr>
        <w:t xml:space="preserve">el Estado y las observaciones </w:t>
      </w:r>
      <w:r w:rsidR="00CE6339">
        <w:rPr>
          <w:rFonts w:ascii="Verdana" w:hAnsi="Verdana"/>
          <w:sz w:val="20"/>
          <w:szCs w:val="20"/>
        </w:rPr>
        <w:t>efectuadas</w:t>
      </w:r>
      <w:r w:rsidR="006316BA" w:rsidRPr="003E420D">
        <w:rPr>
          <w:rFonts w:ascii="Verdana" w:hAnsi="Verdana"/>
          <w:sz w:val="20"/>
          <w:szCs w:val="20"/>
        </w:rPr>
        <w:t xml:space="preserve"> por </w:t>
      </w:r>
      <w:r w:rsidR="0019603F" w:rsidRPr="003E420D">
        <w:rPr>
          <w:rFonts w:ascii="Verdana" w:hAnsi="Verdana"/>
          <w:sz w:val="20"/>
          <w:szCs w:val="20"/>
        </w:rPr>
        <w:t>los representantes de las víctimas y la Comisión Interamericana</w:t>
      </w:r>
      <w:r w:rsidR="00B33051">
        <w:rPr>
          <w:rFonts w:ascii="Verdana" w:hAnsi="Verdana"/>
          <w:sz w:val="20"/>
          <w:szCs w:val="20"/>
        </w:rPr>
        <w:t xml:space="preserve"> de Derechos Humanos, de conf</w:t>
      </w:r>
      <w:bookmarkStart w:id="0" w:name="_GoBack"/>
      <w:bookmarkEnd w:id="0"/>
      <w:r w:rsidR="00F40A20" w:rsidRPr="003E420D">
        <w:rPr>
          <w:rFonts w:ascii="Verdana" w:hAnsi="Verdana"/>
          <w:sz w:val="20"/>
          <w:szCs w:val="20"/>
        </w:rPr>
        <w:t>ormidad con lo señalado en el Considerando 3 de la presente Resolución</w:t>
      </w:r>
      <w:r w:rsidR="0019603F" w:rsidRPr="003E420D">
        <w:rPr>
          <w:rFonts w:ascii="Verdana" w:hAnsi="Verdana"/>
          <w:sz w:val="20"/>
          <w:szCs w:val="20"/>
        </w:rPr>
        <w:t>.</w:t>
      </w:r>
    </w:p>
    <w:p w:rsidR="00DB239F" w:rsidRPr="00EC475D" w:rsidRDefault="00DB239F" w:rsidP="00B14F91">
      <w:pPr>
        <w:pStyle w:val="ListParagraph"/>
        <w:spacing w:after="0" w:line="240" w:lineRule="auto"/>
        <w:ind w:left="0"/>
        <w:jc w:val="both"/>
        <w:rPr>
          <w:rFonts w:ascii="Verdana" w:hAnsi="Verdana"/>
          <w:sz w:val="20"/>
          <w:szCs w:val="20"/>
        </w:rPr>
      </w:pPr>
    </w:p>
    <w:p w:rsidR="00B33051" w:rsidRDefault="00DB239F" w:rsidP="00090934">
      <w:pPr>
        <w:pStyle w:val="ListParagraph"/>
        <w:numPr>
          <w:ilvl w:val="0"/>
          <w:numId w:val="7"/>
        </w:numPr>
        <w:spacing w:after="0" w:line="240" w:lineRule="auto"/>
        <w:ind w:left="0" w:firstLine="0"/>
        <w:jc w:val="both"/>
        <w:rPr>
          <w:rFonts w:ascii="Verdana" w:hAnsi="Verdana"/>
          <w:sz w:val="20"/>
        </w:rPr>
      </w:pPr>
      <w:r w:rsidRPr="00090934">
        <w:rPr>
          <w:rFonts w:ascii="Verdana" w:hAnsi="Verdana"/>
          <w:sz w:val="20"/>
        </w:rPr>
        <w:t>Requerir a la Secretaría de la Corte que notifique la presente Resolución al Estado de Colombia, a los representantes de las víctimas y a la Comisión Interamericana.</w:t>
      </w:r>
    </w:p>
    <w:p w:rsidR="00B33051" w:rsidRPr="009318AC" w:rsidRDefault="00B33051" w:rsidP="00B33051">
      <w:pPr>
        <w:keepNext/>
        <w:jc w:val="both"/>
        <w:outlineLvl w:val="0"/>
        <w:rPr>
          <w:rFonts w:ascii="Verdana" w:hAnsi="Verdana" w:cs="Verdana"/>
          <w:b/>
          <w:bCs/>
          <w:sz w:val="20"/>
          <w:lang w:val="es-ES"/>
        </w:rPr>
      </w:pPr>
      <w:r>
        <w:rPr>
          <w:rFonts w:ascii="Verdana" w:hAnsi="Verdana"/>
          <w:sz w:val="20"/>
        </w:rPr>
        <w:br w:type="page"/>
      </w:r>
      <w:r>
        <w:rPr>
          <w:rFonts w:ascii="Verdana" w:hAnsi="Verdana"/>
          <w:sz w:val="20"/>
          <w:lang w:val="es-ES"/>
        </w:rPr>
        <w:lastRenderedPageBreak/>
        <w:t>Resolución</w:t>
      </w:r>
      <w:r w:rsidRPr="008C6E98">
        <w:rPr>
          <w:rFonts w:ascii="Verdana" w:hAnsi="Verdana"/>
          <w:sz w:val="20"/>
          <w:lang w:val="es-ES"/>
        </w:rPr>
        <w:t xml:space="preserve"> de la Corte Interamericana de Derechos Humanos</w:t>
      </w:r>
      <w:r>
        <w:rPr>
          <w:rFonts w:ascii="Verdana" w:hAnsi="Verdana"/>
          <w:sz w:val="20"/>
          <w:lang w:val="es-ES"/>
        </w:rPr>
        <w:t xml:space="preserve">. </w:t>
      </w:r>
      <w:r w:rsidRPr="007D1BBD">
        <w:rPr>
          <w:rFonts w:ascii="Verdana" w:hAnsi="Verdana"/>
          <w:sz w:val="20"/>
          <w:lang w:val="es-ES"/>
        </w:rPr>
        <w:t xml:space="preserve">Caso </w:t>
      </w:r>
      <w:proofErr w:type="spellStart"/>
      <w:r>
        <w:rPr>
          <w:rFonts w:ascii="Verdana" w:hAnsi="Verdana"/>
          <w:sz w:val="20"/>
          <w:lang w:val="es-ES"/>
        </w:rPr>
        <w:t>Escué</w:t>
      </w:r>
      <w:proofErr w:type="spellEnd"/>
      <w:r>
        <w:rPr>
          <w:rFonts w:ascii="Verdana" w:hAnsi="Verdana"/>
          <w:sz w:val="20"/>
          <w:lang w:val="es-ES"/>
        </w:rPr>
        <w:t xml:space="preserve"> Zapata</w:t>
      </w:r>
      <w:r w:rsidRPr="007D1BBD">
        <w:rPr>
          <w:rFonts w:ascii="Verdana" w:hAnsi="Verdana"/>
          <w:sz w:val="20"/>
          <w:lang w:val="es-ES"/>
        </w:rPr>
        <w:t xml:space="preserve"> Vs. Colombia</w:t>
      </w:r>
      <w:r w:rsidRPr="009318AC">
        <w:rPr>
          <w:rFonts w:ascii="Verdana" w:hAnsi="Verdana"/>
          <w:sz w:val="20"/>
          <w:lang w:val="es-ES"/>
        </w:rPr>
        <w:t>.</w:t>
      </w:r>
      <w:r>
        <w:rPr>
          <w:rFonts w:ascii="Verdana" w:hAnsi="Verdana" w:cs="Arial"/>
          <w:i/>
          <w:sz w:val="20"/>
        </w:rPr>
        <w:t xml:space="preserve"> </w:t>
      </w:r>
      <w:r>
        <w:rPr>
          <w:rFonts w:ascii="Verdana" w:hAnsi="Verdana"/>
          <w:sz w:val="20"/>
        </w:rPr>
        <w:t>Supervisión de cumplimiento de sentencia.</w:t>
      </w:r>
    </w:p>
    <w:p w:rsidR="00B33051" w:rsidRDefault="00B33051" w:rsidP="00B33051">
      <w:pPr>
        <w:jc w:val="center"/>
        <w:rPr>
          <w:rFonts w:ascii="Verdana" w:hAnsi="Verdana"/>
          <w:sz w:val="20"/>
          <w:lang w:val="es-ES"/>
        </w:rPr>
      </w:pPr>
    </w:p>
    <w:p w:rsidR="00B33051" w:rsidRDefault="00B33051" w:rsidP="00B33051">
      <w:pPr>
        <w:jc w:val="center"/>
        <w:rPr>
          <w:rFonts w:ascii="Verdana" w:hAnsi="Verdana"/>
          <w:sz w:val="20"/>
          <w:lang w:val="es-ES"/>
        </w:rPr>
      </w:pPr>
    </w:p>
    <w:p w:rsidR="00B33051" w:rsidRDefault="00B33051" w:rsidP="00B33051">
      <w:pPr>
        <w:jc w:val="center"/>
        <w:rPr>
          <w:rFonts w:ascii="Verdana" w:hAnsi="Verdana"/>
          <w:sz w:val="20"/>
          <w:lang w:val="es-ES"/>
        </w:rPr>
      </w:pPr>
    </w:p>
    <w:p w:rsidR="00B33051" w:rsidRDefault="00B33051" w:rsidP="00B33051">
      <w:pPr>
        <w:jc w:val="center"/>
        <w:rPr>
          <w:rFonts w:ascii="Verdana" w:hAnsi="Verdana"/>
          <w:sz w:val="20"/>
          <w:lang w:val="es-ES"/>
        </w:rPr>
      </w:pPr>
    </w:p>
    <w:p w:rsidR="00B33051" w:rsidRDefault="00B33051" w:rsidP="00B33051">
      <w:pPr>
        <w:jc w:val="center"/>
        <w:rPr>
          <w:rFonts w:ascii="Verdana" w:hAnsi="Verdana"/>
          <w:sz w:val="20"/>
          <w:lang w:val="es-ES"/>
        </w:rPr>
      </w:pPr>
    </w:p>
    <w:p w:rsidR="00B33051" w:rsidRDefault="00B33051" w:rsidP="00B33051">
      <w:pPr>
        <w:jc w:val="center"/>
        <w:rPr>
          <w:rFonts w:ascii="Verdana" w:hAnsi="Verdana"/>
          <w:sz w:val="20"/>
          <w:lang w:val="es-ES"/>
        </w:rPr>
      </w:pPr>
    </w:p>
    <w:p w:rsidR="00B33051" w:rsidRPr="004B7A1D" w:rsidRDefault="00B33051" w:rsidP="00B33051">
      <w:pPr>
        <w:jc w:val="center"/>
        <w:rPr>
          <w:rFonts w:ascii="Verdana" w:hAnsi="Verdana"/>
          <w:sz w:val="20"/>
          <w:lang w:val="es-ES"/>
        </w:rPr>
      </w:pPr>
      <w:r>
        <w:rPr>
          <w:rFonts w:ascii="Verdana" w:hAnsi="Verdana"/>
          <w:sz w:val="20"/>
          <w:lang w:val="es-ES"/>
        </w:rPr>
        <w:t>Roberto F. Caldas</w:t>
      </w:r>
    </w:p>
    <w:p w:rsidR="00B33051" w:rsidRPr="004B7A1D" w:rsidRDefault="00B33051" w:rsidP="00B33051">
      <w:pPr>
        <w:jc w:val="center"/>
        <w:rPr>
          <w:rFonts w:ascii="Verdana" w:hAnsi="Verdana"/>
          <w:sz w:val="20"/>
          <w:lang w:val="es-ES"/>
        </w:rPr>
      </w:pPr>
      <w:r w:rsidRPr="004B7A1D">
        <w:rPr>
          <w:rFonts w:ascii="Verdana" w:hAnsi="Verdana"/>
          <w:sz w:val="20"/>
          <w:lang w:val="es-ES"/>
        </w:rPr>
        <w:t xml:space="preserve">Presidente </w:t>
      </w: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Pr>
          <w:rFonts w:ascii="Verdana" w:hAnsi="Verdana"/>
          <w:sz w:val="20"/>
          <w:lang w:val="es-ES"/>
        </w:rPr>
        <w:t xml:space="preserve">       Eduardo Vio Grossi</w:t>
      </w: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Default="00B33051" w:rsidP="00B33051">
      <w:pPr>
        <w:jc w:val="both"/>
        <w:rPr>
          <w:rFonts w:ascii="Verdana" w:hAnsi="Verdana"/>
          <w:sz w:val="20"/>
          <w:lang w:val="es-ES"/>
        </w:rPr>
      </w:pPr>
      <w:r>
        <w:rPr>
          <w:rFonts w:ascii="Verdana" w:hAnsi="Verdana"/>
          <w:sz w:val="20"/>
          <w:lang w:val="es-ES"/>
        </w:rPr>
        <w:t>Elizabeth Odio Benito</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Eugenio Raúl </w:t>
      </w:r>
      <w:proofErr w:type="spellStart"/>
      <w:r>
        <w:rPr>
          <w:rFonts w:ascii="Verdana" w:hAnsi="Verdana"/>
          <w:sz w:val="20"/>
          <w:lang w:val="es-ES"/>
        </w:rPr>
        <w:t>Zaffaroni</w:t>
      </w:r>
      <w:proofErr w:type="spellEnd"/>
    </w:p>
    <w:p w:rsidR="00B33051" w:rsidRDefault="00B33051" w:rsidP="00B33051">
      <w:pPr>
        <w:jc w:val="both"/>
        <w:rPr>
          <w:rFonts w:ascii="Verdana" w:hAnsi="Verdana"/>
          <w:sz w:val="20"/>
          <w:lang w:val="es-ES"/>
        </w:rPr>
      </w:pPr>
    </w:p>
    <w:p w:rsidR="00B33051" w:rsidRDefault="00B33051" w:rsidP="00B33051">
      <w:pPr>
        <w:jc w:val="both"/>
        <w:rPr>
          <w:rFonts w:ascii="Verdana" w:hAnsi="Verdana"/>
          <w:sz w:val="20"/>
          <w:lang w:val="es-ES"/>
        </w:rPr>
      </w:pPr>
    </w:p>
    <w:p w:rsidR="00B33051" w:rsidRDefault="00B33051" w:rsidP="00B33051">
      <w:pPr>
        <w:jc w:val="both"/>
        <w:rPr>
          <w:rFonts w:ascii="Verdana" w:hAnsi="Verdana"/>
          <w:sz w:val="20"/>
          <w:lang w:val="es-ES"/>
        </w:rPr>
      </w:pPr>
    </w:p>
    <w:p w:rsidR="00B33051" w:rsidRDefault="00B33051" w:rsidP="00B33051">
      <w:pPr>
        <w:jc w:val="both"/>
        <w:rPr>
          <w:rFonts w:ascii="Verdana" w:hAnsi="Verdana"/>
          <w:sz w:val="20"/>
          <w:lang w:val="es-ES"/>
        </w:rPr>
      </w:pPr>
    </w:p>
    <w:p w:rsidR="00B33051" w:rsidRDefault="00B33051" w:rsidP="00B33051">
      <w:pPr>
        <w:jc w:val="both"/>
        <w:rPr>
          <w:rFonts w:ascii="Verdana" w:hAnsi="Verdana"/>
          <w:sz w:val="20"/>
          <w:lang w:val="es-ES"/>
        </w:rPr>
      </w:pPr>
    </w:p>
    <w:p w:rsidR="00B33051" w:rsidRPr="004B7A1D" w:rsidRDefault="00B33051" w:rsidP="00B33051">
      <w:pPr>
        <w:jc w:val="center"/>
        <w:rPr>
          <w:rFonts w:ascii="Verdana" w:hAnsi="Verdana"/>
          <w:sz w:val="20"/>
          <w:lang w:val="es-ES"/>
        </w:rPr>
      </w:pPr>
      <w:r>
        <w:rPr>
          <w:rFonts w:ascii="Verdana" w:hAnsi="Verdana"/>
          <w:sz w:val="20"/>
          <w:lang w:val="es-ES"/>
        </w:rPr>
        <w:lastRenderedPageBreak/>
        <w:t>L. Patricio Pazmiño Freire</w:t>
      </w: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rPr>
      </w:pPr>
    </w:p>
    <w:p w:rsidR="00B33051" w:rsidRPr="004B7A1D" w:rsidRDefault="00B33051" w:rsidP="00B33051">
      <w:pPr>
        <w:jc w:val="both"/>
        <w:rPr>
          <w:rFonts w:ascii="Verdana" w:hAnsi="Verdana"/>
          <w:sz w:val="20"/>
          <w:lang w:val="es-ES"/>
        </w:rPr>
      </w:pPr>
    </w:p>
    <w:p w:rsidR="00B33051" w:rsidRPr="004B7A1D" w:rsidRDefault="00B33051" w:rsidP="00B33051">
      <w:pPr>
        <w:jc w:val="center"/>
        <w:rPr>
          <w:rFonts w:ascii="Verdana" w:hAnsi="Verdana"/>
          <w:sz w:val="20"/>
          <w:lang w:val="es-ES"/>
        </w:rPr>
      </w:pPr>
      <w:r w:rsidRPr="004B7A1D">
        <w:rPr>
          <w:rFonts w:ascii="Verdana" w:hAnsi="Verdana"/>
          <w:sz w:val="20"/>
          <w:lang w:val="es-ES"/>
        </w:rPr>
        <w:t>Pablo Saavedra Alessandri</w:t>
      </w:r>
    </w:p>
    <w:p w:rsidR="00B33051" w:rsidRPr="004B7A1D" w:rsidRDefault="00B33051" w:rsidP="00B33051">
      <w:pPr>
        <w:jc w:val="center"/>
        <w:rPr>
          <w:rFonts w:ascii="Verdana" w:hAnsi="Verdana"/>
          <w:sz w:val="20"/>
          <w:lang w:val="es-ES"/>
        </w:rPr>
      </w:pPr>
      <w:r w:rsidRPr="004B7A1D">
        <w:rPr>
          <w:rFonts w:ascii="Verdana" w:hAnsi="Verdana"/>
          <w:sz w:val="20"/>
          <w:lang w:val="es-ES"/>
        </w:rPr>
        <w:t>Secretario</w:t>
      </w:r>
    </w:p>
    <w:p w:rsidR="00B33051" w:rsidRPr="004B7A1D" w:rsidRDefault="00B33051" w:rsidP="00B33051">
      <w:pPr>
        <w:rPr>
          <w:rFonts w:ascii="Verdana" w:hAnsi="Verdana"/>
          <w:sz w:val="20"/>
          <w:lang w:val="es-ES"/>
        </w:rPr>
      </w:pPr>
    </w:p>
    <w:p w:rsidR="00B33051" w:rsidRPr="004B7A1D" w:rsidRDefault="00B33051" w:rsidP="00B33051">
      <w:pPr>
        <w:pStyle w:val="FootnoteText"/>
        <w:rPr>
          <w:rFonts w:ascii="Verdana" w:hAnsi="Verdana"/>
          <w:lang w:val="es-ES"/>
        </w:rPr>
      </w:pPr>
    </w:p>
    <w:p w:rsidR="00B33051" w:rsidRPr="004B7A1D" w:rsidRDefault="00B33051" w:rsidP="00B33051">
      <w:pPr>
        <w:jc w:val="both"/>
        <w:rPr>
          <w:rFonts w:ascii="Verdana" w:hAnsi="Verdana"/>
          <w:sz w:val="20"/>
          <w:lang w:val="es-ES"/>
        </w:rPr>
      </w:pPr>
      <w:r w:rsidRPr="004B7A1D">
        <w:rPr>
          <w:rFonts w:ascii="Verdana" w:hAnsi="Verdana"/>
          <w:sz w:val="20"/>
          <w:lang w:val="es-ES"/>
        </w:rPr>
        <w:t>Comuníquese y ejecútese,</w:t>
      </w: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ind w:left="4956" w:firstLine="708"/>
        <w:jc w:val="center"/>
        <w:rPr>
          <w:rFonts w:ascii="Verdana" w:hAnsi="Verdana"/>
          <w:sz w:val="20"/>
          <w:lang w:val="es-ES"/>
        </w:rPr>
      </w:pPr>
      <w:r>
        <w:rPr>
          <w:rFonts w:ascii="Verdana" w:hAnsi="Verdana"/>
          <w:sz w:val="20"/>
          <w:lang w:val="es-ES"/>
        </w:rPr>
        <w:t>Roberto F. Caldas</w:t>
      </w:r>
    </w:p>
    <w:p w:rsidR="00B33051" w:rsidRPr="004B7A1D" w:rsidRDefault="00B33051" w:rsidP="00B33051">
      <w:pPr>
        <w:ind w:left="4956" w:firstLine="708"/>
        <w:jc w:val="center"/>
        <w:rPr>
          <w:rFonts w:ascii="Verdana" w:hAnsi="Verdana"/>
          <w:sz w:val="20"/>
          <w:lang w:val="es-ES"/>
        </w:rPr>
      </w:pPr>
      <w:r w:rsidRPr="004B7A1D">
        <w:rPr>
          <w:rFonts w:ascii="Verdana" w:hAnsi="Verdana"/>
          <w:sz w:val="20"/>
          <w:lang w:val="es-ES"/>
        </w:rPr>
        <w:t xml:space="preserve">Presidente </w:t>
      </w: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p>
    <w:p w:rsidR="00B33051" w:rsidRPr="004B7A1D" w:rsidRDefault="00B33051" w:rsidP="00B33051">
      <w:pPr>
        <w:jc w:val="both"/>
        <w:rPr>
          <w:rFonts w:ascii="Verdana" w:hAnsi="Verdana"/>
          <w:sz w:val="20"/>
          <w:lang w:val="es-ES"/>
        </w:rPr>
      </w:pPr>
      <w:r w:rsidRPr="004B7A1D">
        <w:rPr>
          <w:rFonts w:ascii="Verdana" w:hAnsi="Verdana"/>
          <w:sz w:val="20"/>
          <w:lang w:val="es-ES"/>
        </w:rPr>
        <w:t>Pablo Saavedra Alessandri</w:t>
      </w:r>
    </w:p>
    <w:p w:rsidR="00B33051" w:rsidRPr="004B7A1D" w:rsidRDefault="00B33051" w:rsidP="00B33051">
      <w:pPr>
        <w:rPr>
          <w:rFonts w:ascii="Verdana" w:hAnsi="Verdana"/>
          <w:sz w:val="20"/>
        </w:rPr>
      </w:pPr>
      <w:r w:rsidRPr="004B7A1D">
        <w:rPr>
          <w:rFonts w:ascii="Verdana" w:hAnsi="Verdana"/>
          <w:sz w:val="20"/>
          <w:lang w:val="es-ES"/>
        </w:rPr>
        <w:tab/>
      </w:r>
      <w:r w:rsidRPr="004B7A1D">
        <w:rPr>
          <w:rFonts w:ascii="Verdana" w:hAnsi="Verdana"/>
          <w:sz w:val="20"/>
        </w:rPr>
        <w:t>Secretario</w:t>
      </w:r>
    </w:p>
    <w:p w:rsidR="00B33051" w:rsidRDefault="00B33051" w:rsidP="00B33051"/>
    <w:p w:rsidR="00090934" w:rsidRPr="00090934" w:rsidRDefault="00090934" w:rsidP="00B33051">
      <w:pPr>
        <w:rPr>
          <w:rFonts w:ascii="Verdana" w:hAnsi="Verdana"/>
          <w:sz w:val="20"/>
        </w:rPr>
      </w:pPr>
    </w:p>
    <w:sectPr w:rsidR="00090934" w:rsidRPr="00090934" w:rsidSect="000511C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AE" w:rsidRDefault="00C164AE" w:rsidP="004D1D83">
      <w:pPr>
        <w:spacing w:after="0" w:line="240" w:lineRule="auto"/>
      </w:pPr>
      <w:r>
        <w:separator/>
      </w:r>
    </w:p>
  </w:endnote>
  <w:endnote w:type="continuationSeparator" w:id="0">
    <w:p w:rsidR="00C164AE" w:rsidRDefault="00C164AE" w:rsidP="004D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Italic">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34" w:rsidRDefault="00090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F8" w:rsidRDefault="00BA70F8" w:rsidP="007D77E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34" w:rsidRDefault="00090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AE" w:rsidRDefault="00C164AE" w:rsidP="004D1D83">
      <w:pPr>
        <w:spacing w:after="0" w:line="240" w:lineRule="auto"/>
      </w:pPr>
      <w:r>
        <w:separator/>
      </w:r>
    </w:p>
  </w:footnote>
  <w:footnote w:type="continuationSeparator" w:id="0">
    <w:p w:rsidR="00C164AE" w:rsidRDefault="00C164AE" w:rsidP="004D1D83">
      <w:pPr>
        <w:spacing w:after="0" w:line="240" w:lineRule="auto"/>
      </w:pPr>
      <w:r>
        <w:continuationSeparator/>
      </w:r>
    </w:p>
  </w:footnote>
  <w:footnote w:id="1">
    <w:p w:rsidR="00BA70F8" w:rsidRPr="005C7D72" w:rsidRDefault="00BA70F8" w:rsidP="00C246E9">
      <w:pPr>
        <w:pStyle w:val="FootnoteText"/>
        <w:jc w:val="both"/>
        <w:rPr>
          <w:rFonts w:ascii="Verdana" w:hAnsi="Verdana"/>
          <w:sz w:val="16"/>
          <w:szCs w:val="16"/>
        </w:rPr>
      </w:pPr>
      <w:r w:rsidRPr="006B43C7">
        <w:rPr>
          <w:rFonts w:ascii="Verdana" w:hAnsi="Verdana"/>
          <w:sz w:val="16"/>
          <w:szCs w:val="16"/>
        </w:rPr>
        <w:t>*</w:t>
      </w:r>
      <w:r w:rsidRPr="006B43C7">
        <w:rPr>
          <w:rFonts w:ascii="Verdana" w:hAnsi="Verdana"/>
          <w:sz w:val="16"/>
          <w:szCs w:val="16"/>
        </w:rPr>
        <w:tab/>
        <w:t xml:space="preserve">El Juez Humberto Antonio Sierra Porto, de nacionalidad colombiana, no participó en el conocimiento </w:t>
      </w:r>
      <w:r w:rsidRPr="005C7D72">
        <w:rPr>
          <w:rFonts w:ascii="Verdana" w:hAnsi="Verdana"/>
          <w:sz w:val="16"/>
          <w:szCs w:val="16"/>
        </w:rPr>
        <w:t>y deliberación de la presente Resolución, de conformidad con lo dispuesto en el artículo 19.1 del Reglamento de la Corte.</w:t>
      </w:r>
    </w:p>
    <w:p w:rsidR="00BA70F8" w:rsidRPr="00DD4AC4" w:rsidRDefault="00BA70F8" w:rsidP="00C246E9">
      <w:pPr>
        <w:pStyle w:val="FootnoteText"/>
        <w:jc w:val="both"/>
        <w:rPr>
          <w:rFonts w:ascii="Verdana" w:hAnsi="Verdana"/>
          <w:b/>
          <w:bCs/>
          <w:color w:val="000000"/>
          <w:sz w:val="16"/>
          <w:szCs w:val="16"/>
          <w:shd w:val="clear" w:color="auto" w:fill="FFFFFF"/>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5C7D72">
        <w:rPr>
          <w:rFonts w:ascii="Verdana" w:hAnsi="Verdana"/>
          <w:i/>
          <w:sz w:val="16"/>
          <w:szCs w:val="16"/>
        </w:rPr>
        <w:t>Cfr.</w:t>
      </w:r>
      <w:r w:rsidRPr="005C7D72">
        <w:rPr>
          <w:rFonts w:ascii="Verdana" w:hAnsi="Verdana"/>
          <w:sz w:val="16"/>
          <w:szCs w:val="16"/>
        </w:rPr>
        <w:t xml:space="preserve"> </w:t>
      </w:r>
      <w:r w:rsidRPr="005C7D72">
        <w:rPr>
          <w:rFonts w:ascii="Verdana" w:hAnsi="Verdana"/>
          <w:i/>
          <w:sz w:val="16"/>
          <w:szCs w:val="16"/>
        </w:rPr>
        <w:t xml:space="preserve">Caso </w:t>
      </w:r>
      <w:proofErr w:type="spellStart"/>
      <w:r w:rsidRPr="005C7D72">
        <w:rPr>
          <w:rFonts w:ascii="Verdana" w:hAnsi="Verdana"/>
          <w:i/>
          <w:sz w:val="16"/>
          <w:szCs w:val="16"/>
        </w:rPr>
        <w:t>Escué</w:t>
      </w:r>
      <w:proofErr w:type="spellEnd"/>
      <w:r w:rsidRPr="005C7D72">
        <w:rPr>
          <w:rFonts w:ascii="Verdana" w:hAnsi="Verdana"/>
          <w:i/>
          <w:sz w:val="16"/>
          <w:szCs w:val="16"/>
        </w:rPr>
        <w:t xml:space="preserve"> Zapata Vs. Colombia. Fondo, Reparaciones y Costas. </w:t>
      </w:r>
      <w:r w:rsidRPr="00F3399E">
        <w:rPr>
          <w:rFonts w:ascii="Verdana" w:hAnsi="Verdana"/>
          <w:sz w:val="16"/>
          <w:szCs w:val="16"/>
        </w:rPr>
        <w:t>Sentencia de 4 de julio de 2007. Serie C No. 165</w:t>
      </w:r>
      <w:r w:rsidRPr="005C7D72">
        <w:rPr>
          <w:rFonts w:ascii="Verdana" w:hAnsi="Verdana"/>
          <w:i/>
          <w:sz w:val="16"/>
          <w:szCs w:val="16"/>
        </w:rPr>
        <w:t>.</w:t>
      </w:r>
      <w:r w:rsidRPr="005C7D72">
        <w:rPr>
          <w:rStyle w:val="Strong"/>
          <w:rFonts w:ascii="Verdana" w:hAnsi="Verdana"/>
          <w:b w:val="0"/>
          <w:color w:val="000000"/>
          <w:sz w:val="16"/>
          <w:szCs w:val="16"/>
          <w:shd w:val="clear" w:color="auto" w:fill="FFFFFF"/>
        </w:rPr>
        <w:t xml:space="preserve"> El texto íntegro se encuentra disponible en</w:t>
      </w:r>
      <w:r w:rsidRPr="005C7D72">
        <w:rPr>
          <w:rStyle w:val="Strong"/>
          <w:rFonts w:ascii="Verdana" w:hAnsi="Verdana"/>
          <w:color w:val="000000"/>
          <w:sz w:val="16"/>
          <w:szCs w:val="16"/>
          <w:shd w:val="clear" w:color="auto" w:fill="FFFFFF"/>
        </w:rPr>
        <w:t xml:space="preserve">: </w:t>
      </w:r>
      <w:hyperlink r:id="rId1" w:history="1">
        <w:r w:rsidRPr="00DD4AC4">
          <w:rPr>
            <w:rStyle w:val="Hyperlink"/>
            <w:rFonts w:ascii="Verdana" w:hAnsi="Verdana"/>
            <w:sz w:val="16"/>
            <w:szCs w:val="16"/>
            <w:shd w:val="clear" w:color="auto" w:fill="FFFFFF"/>
          </w:rPr>
          <w:t>http://www.corteidh.or.cr/docs/casos/articulos/seriec_165_esp.pdf</w:t>
        </w:r>
      </w:hyperlink>
      <w:r w:rsidRPr="006B43C7">
        <w:rPr>
          <w:rStyle w:val="Hyperlink"/>
          <w:rFonts w:ascii="Verdana" w:hAnsi="Verdana"/>
          <w:sz w:val="16"/>
          <w:szCs w:val="16"/>
          <w:shd w:val="clear" w:color="auto" w:fill="FFFFFF"/>
        </w:rPr>
        <w:t xml:space="preserve">. </w:t>
      </w:r>
      <w:r w:rsidRPr="00DD4AC4">
        <w:rPr>
          <w:rFonts w:ascii="Verdana" w:hAnsi="Verdana"/>
          <w:sz w:val="16"/>
          <w:szCs w:val="16"/>
        </w:rPr>
        <w:t xml:space="preserve">La Sentencia fue notificada el 3 de agosto de 2007. </w:t>
      </w:r>
    </w:p>
  </w:footnote>
  <w:footnote w:id="2">
    <w:p w:rsidR="00BA70F8" w:rsidRPr="00DD4AC4" w:rsidRDefault="00BA70F8" w:rsidP="00C246E9">
      <w:pPr>
        <w:pStyle w:val="FootnoteText"/>
        <w:jc w:val="both"/>
        <w:rPr>
          <w:rFonts w:ascii="Verdana" w:hAnsi="Verdana"/>
          <w:i/>
          <w:sz w:val="16"/>
          <w:szCs w:val="16"/>
          <w:lang w:val="es-CR"/>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t xml:space="preserve">La Corte aceptó el reconocimiento parcial de responsabilidad realizado por el Estado </w:t>
      </w:r>
      <w:r w:rsidR="001A430F" w:rsidRPr="00DD4AC4">
        <w:rPr>
          <w:rFonts w:ascii="Verdana" w:hAnsi="Verdana"/>
          <w:sz w:val="16"/>
          <w:szCs w:val="16"/>
        </w:rPr>
        <w:t xml:space="preserve">“por la violación a los derechos a las Garantías Judiciales (artículo 8.1) y a la Protección Judicial (artículo 25.1), respecto del señor </w:t>
      </w:r>
      <w:proofErr w:type="spellStart"/>
      <w:r w:rsidR="001A430F" w:rsidRPr="00DD4AC4">
        <w:rPr>
          <w:rFonts w:ascii="Verdana" w:hAnsi="Verdana"/>
          <w:sz w:val="16"/>
          <w:szCs w:val="16"/>
        </w:rPr>
        <w:t>Escué</w:t>
      </w:r>
      <w:proofErr w:type="spellEnd"/>
      <w:r w:rsidR="001A430F" w:rsidRPr="00DD4AC4">
        <w:rPr>
          <w:rFonts w:ascii="Verdana" w:hAnsi="Verdana"/>
          <w:sz w:val="16"/>
          <w:szCs w:val="16"/>
        </w:rPr>
        <w:t xml:space="preserve"> Zapata y sus familiares, por cuanto ya había transcurrido un tiempo excesivo desde el momento de la muerte del señor </w:t>
      </w:r>
      <w:proofErr w:type="spellStart"/>
      <w:r w:rsidR="001A430F" w:rsidRPr="00DD4AC4">
        <w:rPr>
          <w:rFonts w:ascii="Verdana" w:hAnsi="Verdana"/>
          <w:sz w:val="16"/>
          <w:szCs w:val="16"/>
        </w:rPr>
        <w:t>Escué</w:t>
      </w:r>
      <w:proofErr w:type="spellEnd"/>
      <w:r w:rsidR="001A430F" w:rsidRPr="00DD4AC4">
        <w:rPr>
          <w:rFonts w:ascii="Verdana" w:hAnsi="Verdana"/>
          <w:sz w:val="16"/>
          <w:szCs w:val="16"/>
        </w:rPr>
        <w:t xml:space="preserve"> [Zapata] sin que se hubiera resuelto […] el caso</w:t>
      </w:r>
      <w:r w:rsidR="00F3399E">
        <w:rPr>
          <w:rFonts w:ascii="Verdana" w:hAnsi="Verdana"/>
          <w:sz w:val="16"/>
          <w:szCs w:val="16"/>
        </w:rPr>
        <w:t>”</w:t>
      </w:r>
      <w:r w:rsidR="001A430F" w:rsidRPr="00DD4AC4">
        <w:rPr>
          <w:rFonts w:ascii="Verdana" w:hAnsi="Verdana"/>
          <w:sz w:val="16"/>
          <w:szCs w:val="16"/>
        </w:rPr>
        <w:t xml:space="preserve">. Asimismo, el Estado hizo un “reconocimiento de responsabilidad internacional […] respecto de la violación de los [derechos consagrados en los] artículos 4.1, 5 y 7[,] en relación con el artículo 1.1, todos de la Convención, respecto del señor Germán </w:t>
      </w:r>
      <w:proofErr w:type="spellStart"/>
      <w:r w:rsidR="001A430F" w:rsidRPr="00DD4AC4">
        <w:rPr>
          <w:rFonts w:ascii="Verdana" w:hAnsi="Verdana"/>
          <w:sz w:val="16"/>
          <w:szCs w:val="16"/>
        </w:rPr>
        <w:t>Escué</w:t>
      </w:r>
      <w:proofErr w:type="spellEnd"/>
      <w:r w:rsidR="001A430F" w:rsidRPr="00DD4AC4">
        <w:rPr>
          <w:rFonts w:ascii="Verdana" w:hAnsi="Verdana"/>
          <w:sz w:val="16"/>
          <w:szCs w:val="16"/>
        </w:rPr>
        <w:t xml:space="preserve"> Zapata y del artículo 5, en conexidad con el artículo 1.1, del mismo instrumento internacional, respecto de sus familiares”. </w:t>
      </w:r>
      <w:r w:rsidR="001A430F" w:rsidRPr="00DD4AC4">
        <w:rPr>
          <w:rFonts w:ascii="Verdana" w:hAnsi="Verdana"/>
          <w:i/>
          <w:sz w:val="16"/>
          <w:szCs w:val="16"/>
        </w:rPr>
        <w:t xml:space="preserve">Cfr. </w:t>
      </w:r>
      <w:r w:rsidR="00015D62" w:rsidRPr="00DD4AC4">
        <w:rPr>
          <w:rFonts w:ascii="Verdana" w:hAnsi="Verdana"/>
          <w:i/>
          <w:sz w:val="16"/>
          <w:szCs w:val="16"/>
        </w:rPr>
        <w:t xml:space="preserve">Caso </w:t>
      </w:r>
      <w:proofErr w:type="spellStart"/>
      <w:r w:rsidR="00015D62" w:rsidRPr="00DD4AC4">
        <w:rPr>
          <w:rFonts w:ascii="Verdana" w:hAnsi="Verdana"/>
          <w:i/>
          <w:sz w:val="16"/>
          <w:szCs w:val="16"/>
        </w:rPr>
        <w:t>Escué</w:t>
      </w:r>
      <w:proofErr w:type="spellEnd"/>
      <w:r w:rsidR="00015D62" w:rsidRPr="00DD4AC4">
        <w:rPr>
          <w:rFonts w:ascii="Verdana" w:hAnsi="Verdana"/>
          <w:i/>
          <w:sz w:val="16"/>
          <w:szCs w:val="16"/>
        </w:rPr>
        <w:t xml:space="preserve"> Zapata Vs. Colombia, supra </w:t>
      </w:r>
      <w:r w:rsidR="00015D62" w:rsidRPr="00DD4AC4">
        <w:rPr>
          <w:rFonts w:ascii="Verdana" w:hAnsi="Verdana"/>
          <w:sz w:val="16"/>
          <w:szCs w:val="16"/>
        </w:rPr>
        <w:t>nota 1, párr. 11.</w:t>
      </w:r>
    </w:p>
  </w:footnote>
  <w:footnote w:id="3">
    <w:p w:rsidR="00BA70F8" w:rsidRPr="00DD4AC4" w:rsidRDefault="00BA70F8" w:rsidP="00C246E9">
      <w:pPr>
        <w:pStyle w:val="FootnoteText"/>
        <w:tabs>
          <w:tab w:val="left" w:pos="567"/>
        </w:tabs>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ab/>
        <w:t>Los familiares de</w:t>
      </w:r>
      <w:r w:rsidRPr="00DD4AC4">
        <w:rPr>
          <w:rFonts w:ascii="Verdana" w:hAnsi="Verdana"/>
          <w:sz w:val="16"/>
          <w:szCs w:val="16"/>
        </w:rPr>
        <w:t xml:space="preserve">l señor Germán </w:t>
      </w:r>
      <w:proofErr w:type="spellStart"/>
      <w:r w:rsidRPr="00DD4AC4">
        <w:rPr>
          <w:rFonts w:ascii="Verdana" w:hAnsi="Verdana"/>
          <w:sz w:val="16"/>
          <w:szCs w:val="16"/>
        </w:rPr>
        <w:t>Escué</w:t>
      </w:r>
      <w:proofErr w:type="spellEnd"/>
      <w:r w:rsidRPr="00DD4AC4">
        <w:rPr>
          <w:rFonts w:ascii="Verdana" w:hAnsi="Verdana"/>
          <w:sz w:val="16"/>
          <w:szCs w:val="16"/>
        </w:rPr>
        <w:t xml:space="preserve"> Zapata declarados víctimas en la Sentencia son Etelvina Zapata, Myriam Zapata </w:t>
      </w:r>
      <w:proofErr w:type="spellStart"/>
      <w:r w:rsidRPr="00DD4AC4">
        <w:rPr>
          <w:rFonts w:ascii="Verdana" w:hAnsi="Verdana"/>
          <w:sz w:val="16"/>
          <w:szCs w:val="16"/>
        </w:rPr>
        <w:t>Escué</w:t>
      </w:r>
      <w:proofErr w:type="spellEnd"/>
      <w:r w:rsidRPr="00DD4AC4">
        <w:rPr>
          <w:rFonts w:ascii="Verdana" w:hAnsi="Verdana"/>
          <w:sz w:val="16"/>
          <w:szCs w:val="16"/>
        </w:rPr>
        <w:t xml:space="preserve">, Bertha </w:t>
      </w:r>
      <w:proofErr w:type="spellStart"/>
      <w:r w:rsidRPr="00DD4AC4">
        <w:rPr>
          <w:rFonts w:ascii="Verdana" w:hAnsi="Verdana"/>
          <w:sz w:val="16"/>
          <w:szCs w:val="16"/>
        </w:rPr>
        <w:t>Escué</w:t>
      </w:r>
      <w:proofErr w:type="spellEnd"/>
      <w:r w:rsidRPr="00DD4AC4">
        <w:rPr>
          <w:rFonts w:ascii="Verdana" w:hAnsi="Verdana"/>
          <w:sz w:val="16"/>
          <w:szCs w:val="16"/>
        </w:rPr>
        <w:t xml:space="preserve"> </w:t>
      </w:r>
      <w:proofErr w:type="spellStart"/>
      <w:r w:rsidRPr="00DD4AC4">
        <w:rPr>
          <w:rFonts w:ascii="Verdana" w:hAnsi="Verdana"/>
          <w:sz w:val="16"/>
          <w:szCs w:val="16"/>
        </w:rPr>
        <w:t>Coicue</w:t>
      </w:r>
      <w:proofErr w:type="spellEnd"/>
      <w:r w:rsidR="00D60AF5" w:rsidRPr="00DD4AC4">
        <w:rPr>
          <w:rFonts w:ascii="Verdana" w:hAnsi="Verdana"/>
          <w:sz w:val="16"/>
          <w:szCs w:val="16"/>
        </w:rPr>
        <w:t>,</w:t>
      </w:r>
      <w:r w:rsidRPr="00DD4AC4">
        <w:rPr>
          <w:rFonts w:ascii="Verdana" w:hAnsi="Verdana"/>
          <w:sz w:val="16"/>
          <w:szCs w:val="16"/>
        </w:rPr>
        <w:t xml:space="preserve"> </w:t>
      </w:r>
      <w:proofErr w:type="spellStart"/>
      <w:r w:rsidRPr="00DD4AC4">
        <w:rPr>
          <w:rFonts w:ascii="Verdana" w:hAnsi="Verdana"/>
          <w:sz w:val="16"/>
          <w:szCs w:val="16"/>
        </w:rPr>
        <w:t>Francya</w:t>
      </w:r>
      <w:proofErr w:type="spellEnd"/>
      <w:r w:rsidRPr="00DD4AC4">
        <w:rPr>
          <w:rFonts w:ascii="Verdana" w:hAnsi="Verdana"/>
          <w:sz w:val="16"/>
          <w:szCs w:val="16"/>
        </w:rPr>
        <w:t xml:space="preserve"> </w:t>
      </w:r>
      <w:proofErr w:type="spellStart"/>
      <w:r w:rsidRPr="00DD4AC4">
        <w:rPr>
          <w:rFonts w:ascii="Verdana" w:hAnsi="Verdana"/>
          <w:sz w:val="16"/>
          <w:szCs w:val="16"/>
        </w:rPr>
        <w:t>Doli</w:t>
      </w:r>
      <w:proofErr w:type="spellEnd"/>
      <w:r w:rsidRPr="00DD4AC4">
        <w:rPr>
          <w:rFonts w:ascii="Verdana" w:hAnsi="Verdana"/>
          <w:sz w:val="16"/>
          <w:szCs w:val="16"/>
        </w:rPr>
        <w:t xml:space="preserve"> </w:t>
      </w:r>
      <w:proofErr w:type="spellStart"/>
      <w:r w:rsidRPr="00DD4AC4">
        <w:rPr>
          <w:rFonts w:ascii="Verdana" w:hAnsi="Verdana"/>
          <w:sz w:val="16"/>
          <w:szCs w:val="16"/>
        </w:rPr>
        <w:t>Escué</w:t>
      </w:r>
      <w:proofErr w:type="spellEnd"/>
      <w:r w:rsidRPr="00DD4AC4">
        <w:rPr>
          <w:rFonts w:ascii="Verdana" w:hAnsi="Verdana"/>
          <w:sz w:val="16"/>
          <w:szCs w:val="16"/>
        </w:rPr>
        <w:t xml:space="preserve"> Zapata, Mario </w:t>
      </w:r>
      <w:proofErr w:type="spellStart"/>
      <w:r w:rsidRPr="00DD4AC4">
        <w:rPr>
          <w:rFonts w:ascii="Verdana" w:hAnsi="Verdana"/>
          <w:sz w:val="16"/>
          <w:szCs w:val="16"/>
        </w:rPr>
        <w:t>Pasu</w:t>
      </w:r>
      <w:proofErr w:type="spellEnd"/>
      <w:r w:rsidRPr="00DD4AC4">
        <w:rPr>
          <w:rFonts w:ascii="Verdana" w:hAnsi="Verdana"/>
          <w:sz w:val="16"/>
          <w:szCs w:val="16"/>
        </w:rPr>
        <w:t xml:space="preserve">, </w:t>
      </w:r>
      <w:proofErr w:type="spellStart"/>
      <w:r w:rsidRPr="00DD4AC4">
        <w:rPr>
          <w:rFonts w:ascii="Verdana" w:hAnsi="Verdana"/>
          <w:sz w:val="16"/>
          <w:szCs w:val="16"/>
        </w:rPr>
        <w:t>Aldemar</w:t>
      </w:r>
      <w:proofErr w:type="spellEnd"/>
      <w:r w:rsidRPr="00DD4AC4">
        <w:rPr>
          <w:rFonts w:ascii="Verdana" w:hAnsi="Verdana"/>
          <w:sz w:val="16"/>
          <w:szCs w:val="16"/>
        </w:rPr>
        <w:t xml:space="preserve"> </w:t>
      </w:r>
      <w:proofErr w:type="spellStart"/>
      <w:r w:rsidRPr="00DD4AC4">
        <w:rPr>
          <w:rFonts w:ascii="Verdana" w:hAnsi="Verdana"/>
          <w:sz w:val="16"/>
          <w:szCs w:val="16"/>
        </w:rPr>
        <w:t>Escué</w:t>
      </w:r>
      <w:proofErr w:type="spellEnd"/>
      <w:r w:rsidRPr="00DD4AC4">
        <w:rPr>
          <w:rFonts w:ascii="Verdana" w:hAnsi="Verdana"/>
          <w:sz w:val="16"/>
          <w:szCs w:val="16"/>
        </w:rPr>
        <w:t xml:space="preserve"> Zapata, </w:t>
      </w:r>
      <w:proofErr w:type="spellStart"/>
      <w:r w:rsidRPr="00DD4AC4">
        <w:rPr>
          <w:rFonts w:ascii="Verdana" w:hAnsi="Verdana"/>
          <w:sz w:val="16"/>
          <w:szCs w:val="16"/>
        </w:rPr>
        <w:t>Yonson</w:t>
      </w:r>
      <w:proofErr w:type="spellEnd"/>
      <w:r w:rsidRPr="00DD4AC4">
        <w:rPr>
          <w:rFonts w:ascii="Verdana" w:hAnsi="Verdana"/>
          <w:sz w:val="16"/>
          <w:szCs w:val="16"/>
        </w:rPr>
        <w:t xml:space="preserve"> </w:t>
      </w:r>
      <w:proofErr w:type="spellStart"/>
      <w:r w:rsidRPr="00DD4AC4">
        <w:rPr>
          <w:rFonts w:ascii="Verdana" w:hAnsi="Verdana"/>
          <w:sz w:val="16"/>
          <w:szCs w:val="16"/>
        </w:rPr>
        <w:t>Escué</w:t>
      </w:r>
      <w:proofErr w:type="spellEnd"/>
      <w:r w:rsidRPr="00DD4AC4">
        <w:rPr>
          <w:rFonts w:ascii="Verdana" w:hAnsi="Verdana"/>
          <w:sz w:val="16"/>
          <w:szCs w:val="16"/>
        </w:rPr>
        <w:t xml:space="preserve"> Zapata, </w:t>
      </w:r>
      <w:proofErr w:type="spellStart"/>
      <w:r w:rsidRPr="00DD4AC4">
        <w:rPr>
          <w:rFonts w:ascii="Verdana" w:hAnsi="Verdana"/>
          <w:sz w:val="16"/>
          <w:szCs w:val="16"/>
        </w:rPr>
        <w:t>Ayénder</w:t>
      </w:r>
      <w:proofErr w:type="spellEnd"/>
      <w:r w:rsidRPr="00DD4AC4">
        <w:rPr>
          <w:rFonts w:ascii="Verdana" w:hAnsi="Verdana"/>
          <w:sz w:val="16"/>
          <w:szCs w:val="16"/>
        </w:rPr>
        <w:t xml:space="preserve"> </w:t>
      </w:r>
      <w:proofErr w:type="spellStart"/>
      <w:r w:rsidRPr="00DD4AC4">
        <w:rPr>
          <w:rFonts w:ascii="Verdana" w:hAnsi="Verdana"/>
          <w:sz w:val="16"/>
          <w:szCs w:val="16"/>
        </w:rPr>
        <w:t>Escué</w:t>
      </w:r>
      <w:proofErr w:type="spellEnd"/>
      <w:r w:rsidRPr="00DD4AC4">
        <w:rPr>
          <w:rFonts w:ascii="Verdana" w:hAnsi="Verdana"/>
          <w:sz w:val="16"/>
          <w:szCs w:val="16"/>
        </w:rPr>
        <w:t xml:space="preserve"> Zapata, Omar </w:t>
      </w:r>
      <w:proofErr w:type="spellStart"/>
      <w:r w:rsidR="000714FD" w:rsidRPr="00DD4AC4">
        <w:rPr>
          <w:rFonts w:ascii="Verdana" w:hAnsi="Verdana"/>
          <w:sz w:val="16"/>
          <w:szCs w:val="16"/>
        </w:rPr>
        <w:t>Escué</w:t>
      </w:r>
      <w:proofErr w:type="spellEnd"/>
      <w:r w:rsidR="000714FD" w:rsidRPr="00DD4AC4">
        <w:rPr>
          <w:rFonts w:ascii="Verdana" w:hAnsi="Verdana"/>
          <w:sz w:val="16"/>
          <w:szCs w:val="16"/>
        </w:rPr>
        <w:t xml:space="preserve"> </w:t>
      </w:r>
      <w:r w:rsidRPr="00DD4AC4">
        <w:rPr>
          <w:rFonts w:ascii="Verdana" w:hAnsi="Verdana"/>
          <w:sz w:val="16"/>
          <w:szCs w:val="16"/>
        </w:rPr>
        <w:t xml:space="preserve">Zapata y </w:t>
      </w:r>
      <w:r w:rsidR="000714FD" w:rsidRPr="00DD4AC4">
        <w:rPr>
          <w:rFonts w:ascii="Verdana" w:hAnsi="Verdana"/>
          <w:sz w:val="16"/>
          <w:szCs w:val="16"/>
        </w:rPr>
        <w:t xml:space="preserve">Julio </w:t>
      </w:r>
      <w:r w:rsidRPr="00DD4AC4">
        <w:rPr>
          <w:rFonts w:ascii="Verdana" w:hAnsi="Verdana"/>
          <w:sz w:val="16"/>
          <w:szCs w:val="16"/>
        </w:rPr>
        <w:t xml:space="preserve">Albeiro </w:t>
      </w:r>
      <w:proofErr w:type="spellStart"/>
      <w:r w:rsidRPr="00DD4AC4">
        <w:rPr>
          <w:rFonts w:ascii="Verdana" w:hAnsi="Verdana"/>
          <w:sz w:val="16"/>
          <w:szCs w:val="16"/>
        </w:rPr>
        <w:t>Pasu</w:t>
      </w:r>
      <w:proofErr w:type="spellEnd"/>
      <w:r w:rsidR="000714FD" w:rsidRPr="00DD4AC4">
        <w:rPr>
          <w:rFonts w:ascii="Verdana" w:hAnsi="Verdana"/>
          <w:sz w:val="16"/>
          <w:szCs w:val="16"/>
        </w:rPr>
        <w:t xml:space="preserve"> Zapata</w:t>
      </w:r>
      <w:r w:rsidRPr="00DD4AC4">
        <w:rPr>
          <w:rFonts w:ascii="Verdana" w:hAnsi="Verdana"/>
          <w:sz w:val="16"/>
          <w:szCs w:val="16"/>
        </w:rPr>
        <w:t xml:space="preserve">. </w:t>
      </w:r>
    </w:p>
  </w:footnote>
  <w:footnote w:id="4">
    <w:p w:rsidR="00BA70F8" w:rsidRPr="00DD4AC4" w:rsidRDefault="00BA70F8" w:rsidP="00C246E9">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Cfr.</w:t>
      </w:r>
      <w:r w:rsidRPr="00DD4AC4">
        <w:rPr>
          <w:rFonts w:ascii="Verdana" w:hAnsi="Verdana"/>
          <w:sz w:val="16"/>
          <w:szCs w:val="16"/>
        </w:rPr>
        <w:t xml:space="preserve"> </w:t>
      </w:r>
      <w:r w:rsidRPr="00DD4AC4">
        <w:rPr>
          <w:rStyle w:val="Strong"/>
          <w:rFonts w:ascii="Verdana" w:hAnsi="Verdana"/>
          <w:b w:val="0"/>
          <w:i/>
          <w:sz w:val="16"/>
          <w:szCs w:val="16"/>
        </w:rPr>
        <w:t xml:space="preserve">Caso </w:t>
      </w:r>
      <w:proofErr w:type="spellStart"/>
      <w:r w:rsidRPr="00DD4AC4">
        <w:rPr>
          <w:rStyle w:val="Strong"/>
          <w:rFonts w:ascii="Verdana" w:hAnsi="Verdana"/>
          <w:b w:val="0"/>
          <w:i/>
          <w:sz w:val="16"/>
          <w:szCs w:val="16"/>
        </w:rPr>
        <w:t>Escué</w:t>
      </w:r>
      <w:proofErr w:type="spellEnd"/>
      <w:r w:rsidRPr="00DD4AC4">
        <w:rPr>
          <w:rStyle w:val="Strong"/>
          <w:rFonts w:ascii="Verdana" w:hAnsi="Verdana"/>
          <w:b w:val="0"/>
          <w:i/>
          <w:sz w:val="16"/>
          <w:szCs w:val="16"/>
        </w:rPr>
        <w:t xml:space="preserve"> Zapata Vs. Colombia. Supervisión de Cumplimiento de Sentencia</w:t>
      </w:r>
      <w:r w:rsidRPr="00DD4AC4">
        <w:rPr>
          <w:rStyle w:val="Strong"/>
          <w:rFonts w:ascii="Verdana" w:hAnsi="Verdana"/>
          <w:b w:val="0"/>
          <w:sz w:val="16"/>
          <w:szCs w:val="16"/>
        </w:rPr>
        <w:t>. Resolución de la Corte Interamericana de Derechos Humanos de 18 de mayo de 2010.</w:t>
      </w:r>
      <w:r w:rsidRPr="00DD4AC4">
        <w:rPr>
          <w:rFonts w:ascii="Verdana" w:hAnsi="Verdana"/>
          <w:b/>
          <w:sz w:val="16"/>
          <w:szCs w:val="16"/>
        </w:rPr>
        <w:t xml:space="preserve"> </w:t>
      </w:r>
      <w:r w:rsidRPr="00DD4AC4">
        <w:rPr>
          <w:rFonts w:ascii="Verdana" w:hAnsi="Verdana"/>
          <w:sz w:val="16"/>
          <w:szCs w:val="16"/>
        </w:rPr>
        <w:t xml:space="preserve">El texto íntegro de la Resolución está disponible en </w:t>
      </w:r>
      <w:hyperlink r:id="rId2" w:history="1">
        <w:r w:rsidRPr="00DD4AC4">
          <w:rPr>
            <w:rStyle w:val="Hyperlink"/>
            <w:rFonts w:ascii="Verdana" w:hAnsi="Verdana"/>
            <w:sz w:val="16"/>
            <w:szCs w:val="16"/>
          </w:rPr>
          <w:t>http://www.corteidh.or.cr/docs/supervisiones/escue_18_05_10.pdf</w:t>
        </w:r>
      </w:hyperlink>
      <w:r w:rsidRPr="006B43C7">
        <w:rPr>
          <w:rStyle w:val="Hyperlink"/>
          <w:rFonts w:ascii="Verdana" w:hAnsi="Verdana"/>
          <w:sz w:val="16"/>
          <w:szCs w:val="16"/>
        </w:rPr>
        <w:t>.</w:t>
      </w:r>
    </w:p>
  </w:footnote>
  <w:footnote w:id="5">
    <w:p w:rsidR="00BA70F8" w:rsidRPr="00DD4AC4" w:rsidRDefault="00BA70F8" w:rsidP="006B43C7">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Cfr.</w:t>
      </w:r>
      <w:r w:rsidRPr="00DD4AC4">
        <w:rPr>
          <w:rFonts w:ascii="Verdana" w:hAnsi="Verdana"/>
          <w:sz w:val="16"/>
          <w:szCs w:val="16"/>
        </w:rPr>
        <w:t xml:space="preserve"> </w:t>
      </w:r>
      <w:r w:rsidRPr="00DD4AC4">
        <w:rPr>
          <w:rStyle w:val="Strong"/>
          <w:rFonts w:ascii="Verdana" w:hAnsi="Verdana"/>
          <w:b w:val="0"/>
          <w:i/>
          <w:sz w:val="16"/>
          <w:szCs w:val="16"/>
        </w:rPr>
        <w:t xml:space="preserve">Caso </w:t>
      </w:r>
      <w:proofErr w:type="spellStart"/>
      <w:r w:rsidRPr="00DD4AC4">
        <w:rPr>
          <w:rStyle w:val="Strong"/>
          <w:rFonts w:ascii="Verdana" w:hAnsi="Verdana"/>
          <w:b w:val="0"/>
          <w:i/>
          <w:sz w:val="16"/>
          <w:szCs w:val="16"/>
        </w:rPr>
        <w:t>Escué</w:t>
      </w:r>
      <w:proofErr w:type="spellEnd"/>
      <w:r w:rsidRPr="00DD4AC4">
        <w:rPr>
          <w:rStyle w:val="Strong"/>
          <w:rFonts w:ascii="Verdana" w:hAnsi="Verdana"/>
          <w:b w:val="0"/>
          <w:i/>
          <w:sz w:val="16"/>
          <w:szCs w:val="16"/>
        </w:rPr>
        <w:t xml:space="preserve"> Zapata Vs. Colombia. Supervisión de Cumplimiento de Sentencia</w:t>
      </w:r>
      <w:r w:rsidRPr="00DD4AC4">
        <w:rPr>
          <w:rStyle w:val="Strong"/>
          <w:rFonts w:ascii="Verdana" w:hAnsi="Verdana"/>
          <w:b w:val="0"/>
          <w:sz w:val="16"/>
          <w:szCs w:val="16"/>
        </w:rPr>
        <w:t>. Resolución de la Corte Interamericana de Derechos Humanos 21 de febrero de 2011.</w:t>
      </w:r>
      <w:r w:rsidRPr="00DD4AC4">
        <w:rPr>
          <w:rFonts w:ascii="Verdana" w:hAnsi="Verdana"/>
          <w:sz w:val="16"/>
          <w:szCs w:val="16"/>
        </w:rPr>
        <w:t xml:space="preserve"> El texto íntegro de la resolución está disponible en </w:t>
      </w:r>
      <w:hyperlink r:id="rId3" w:history="1">
        <w:r w:rsidRPr="00DD4AC4">
          <w:rPr>
            <w:rStyle w:val="Hyperlink"/>
            <w:rFonts w:ascii="Verdana" w:hAnsi="Verdana"/>
            <w:sz w:val="16"/>
            <w:szCs w:val="16"/>
          </w:rPr>
          <w:t>http://www.corteidh.or.cr/docs/supervisiones/escue_21_02_11.pdf</w:t>
        </w:r>
      </w:hyperlink>
      <w:r w:rsidRPr="006B43C7">
        <w:rPr>
          <w:rStyle w:val="Hyperlink"/>
          <w:rFonts w:ascii="Verdana" w:hAnsi="Verdana"/>
          <w:sz w:val="16"/>
          <w:szCs w:val="16"/>
        </w:rPr>
        <w:t>.</w:t>
      </w:r>
    </w:p>
  </w:footnote>
  <w:footnote w:id="6">
    <w:p w:rsidR="00BA70F8" w:rsidRPr="00DD4AC4" w:rsidRDefault="00BA70F8" w:rsidP="006B43C7">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sz w:val="16"/>
          <w:szCs w:val="16"/>
        </w:rPr>
        <w:t xml:space="preserve">Escritos </w:t>
      </w:r>
      <w:r w:rsidRPr="00DD4AC4">
        <w:rPr>
          <w:rFonts w:ascii="Verdana" w:hAnsi="Verdana"/>
          <w:sz w:val="16"/>
          <w:szCs w:val="16"/>
          <w:lang w:val="es-CR"/>
        </w:rPr>
        <w:t>de 11 de marzo de 2011, 8 de junio de 2011</w:t>
      </w:r>
      <w:r w:rsidRPr="00DD4AC4">
        <w:rPr>
          <w:rFonts w:ascii="Verdana" w:hAnsi="Verdana"/>
          <w:b/>
          <w:sz w:val="16"/>
          <w:szCs w:val="16"/>
          <w:lang w:val="es-CR"/>
        </w:rPr>
        <w:t>,</w:t>
      </w:r>
      <w:r w:rsidRPr="00DD4AC4">
        <w:rPr>
          <w:rFonts w:ascii="Verdana" w:hAnsi="Verdana"/>
          <w:sz w:val="16"/>
          <w:szCs w:val="16"/>
          <w:lang w:val="es-CR"/>
        </w:rPr>
        <w:t xml:space="preserve"> 6 de marzo de 2013, 11 de diciembre de 2013, 19 de octubre de 2015, 4 de abril de 2016, </w:t>
      </w:r>
      <w:r w:rsidR="000714FD" w:rsidRPr="00DD4AC4">
        <w:rPr>
          <w:rFonts w:ascii="Verdana" w:hAnsi="Verdana"/>
          <w:sz w:val="16"/>
          <w:szCs w:val="16"/>
          <w:lang w:val="es-CR"/>
        </w:rPr>
        <w:t xml:space="preserve">20 de mayo de 2016, </w:t>
      </w:r>
      <w:r w:rsidRPr="00DD4AC4">
        <w:rPr>
          <w:rFonts w:ascii="Verdana" w:hAnsi="Verdana"/>
          <w:sz w:val="16"/>
          <w:szCs w:val="16"/>
          <w:lang w:val="es-CR"/>
        </w:rPr>
        <w:t>2 de septiembre de 2016,</w:t>
      </w:r>
      <w:r w:rsidRPr="00DD4AC4">
        <w:rPr>
          <w:rFonts w:ascii="Verdana" w:hAnsi="Verdana"/>
          <w:b/>
          <w:sz w:val="16"/>
          <w:szCs w:val="16"/>
          <w:lang w:val="es-CR"/>
        </w:rPr>
        <w:t xml:space="preserve"> </w:t>
      </w:r>
      <w:r w:rsidRPr="00DD4AC4">
        <w:rPr>
          <w:rFonts w:ascii="Verdana" w:hAnsi="Verdana"/>
          <w:sz w:val="16"/>
          <w:szCs w:val="16"/>
          <w:lang w:val="es-CR"/>
        </w:rPr>
        <w:t>12 de septiembre de 2016, y 14 de octubre de 2016.</w:t>
      </w:r>
    </w:p>
  </w:footnote>
  <w:footnote w:id="7">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sz w:val="16"/>
          <w:szCs w:val="16"/>
        </w:rPr>
        <w:t xml:space="preserve">La organización no gubernamental Colectivo de Abogados </w:t>
      </w:r>
      <w:r w:rsidR="00536A67" w:rsidRPr="00DD4AC4">
        <w:rPr>
          <w:rFonts w:ascii="Verdana" w:hAnsi="Verdana"/>
          <w:sz w:val="16"/>
          <w:szCs w:val="16"/>
        </w:rPr>
        <w:t>“</w:t>
      </w:r>
      <w:r w:rsidRPr="00DD4AC4">
        <w:rPr>
          <w:rFonts w:ascii="Verdana" w:hAnsi="Verdana"/>
          <w:sz w:val="16"/>
          <w:szCs w:val="16"/>
        </w:rPr>
        <w:t>José Alvear Restrepo</w:t>
      </w:r>
      <w:r w:rsidR="00536A67" w:rsidRPr="00DD4AC4">
        <w:rPr>
          <w:rFonts w:ascii="Verdana" w:hAnsi="Verdana"/>
          <w:sz w:val="16"/>
          <w:szCs w:val="16"/>
        </w:rPr>
        <w:t>”</w:t>
      </w:r>
      <w:r w:rsidRPr="00DD4AC4">
        <w:rPr>
          <w:rFonts w:ascii="Verdana" w:hAnsi="Verdana"/>
          <w:sz w:val="16"/>
          <w:szCs w:val="16"/>
        </w:rPr>
        <w:t xml:space="preserve"> (“CCAJAR”) ha representado a las víctimas en la presente etapa de supervisión de cumplimiento de sentencia.</w:t>
      </w:r>
    </w:p>
  </w:footnote>
  <w:footnote w:id="8">
    <w:p w:rsidR="00BA70F8" w:rsidRPr="00DD4AC4" w:rsidRDefault="00BA70F8" w:rsidP="00DD4AC4">
      <w:pPr>
        <w:pStyle w:val="FootnoteText"/>
        <w:jc w:val="both"/>
        <w:rPr>
          <w:rFonts w:ascii="Verdana" w:hAnsi="Verdana"/>
          <w:b/>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t>Escritos de 1 de julio de 2011</w:t>
      </w:r>
      <w:r w:rsidRPr="00DD4AC4">
        <w:rPr>
          <w:rFonts w:ascii="Verdana" w:hAnsi="Verdana"/>
          <w:sz w:val="16"/>
          <w:szCs w:val="16"/>
        </w:rPr>
        <w:t>, 29 de julio de 2013, 27 de enero de 2016</w:t>
      </w:r>
      <w:r w:rsidRPr="00DD4AC4">
        <w:rPr>
          <w:rFonts w:ascii="Verdana" w:hAnsi="Verdana"/>
          <w:b/>
          <w:sz w:val="16"/>
          <w:szCs w:val="16"/>
        </w:rPr>
        <w:t xml:space="preserve"> </w:t>
      </w:r>
      <w:r w:rsidRPr="00DD4AC4">
        <w:rPr>
          <w:rFonts w:ascii="Verdana" w:hAnsi="Verdana"/>
          <w:sz w:val="16"/>
          <w:szCs w:val="16"/>
        </w:rPr>
        <w:t>y 20 de junio de 2016</w:t>
      </w:r>
      <w:r w:rsidR="00144214" w:rsidRPr="00DD4AC4">
        <w:rPr>
          <w:rFonts w:ascii="Verdana" w:hAnsi="Verdana"/>
          <w:sz w:val="16"/>
          <w:szCs w:val="16"/>
        </w:rPr>
        <w:t>.</w:t>
      </w:r>
    </w:p>
  </w:footnote>
  <w:footnote w:id="9">
    <w:p w:rsidR="00BA70F8" w:rsidRPr="006B43C7"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t xml:space="preserve">Escritos de 14 de abril de </w:t>
      </w:r>
      <w:r w:rsidRPr="00FD3942">
        <w:rPr>
          <w:rFonts w:ascii="Verdana" w:hAnsi="Verdana"/>
          <w:sz w:val="16"/>
          <w:szCs w:val="16"/>
        </w:rPr>
        <w:t xml:space="preserve">2011, 21 de octubre de 2011, 3 de mayo de 2013, 14 de agosto de 2013, 6 de marzo de 2014, 8 de diciembre de 2015 </w:t>
      </w:r>
      <w:r w:rsidRPr="00DD4AC4">
        <w:rPr>
          <w:rFonts w:ascii="Verdana" w:hAnsi="Verdana"/>
          <w:sz w:val="16"/>
          <w:szCs w:val="16"/>
        </w:rPr>
        <w:t>y 7 de junio de 2016.</w:t>
      </w:r>
    </w:p>
  </w:footnote>
  <w:footnote w:id="10">
    <w:p w:rsidR="00BA70F8" w:rsidRPr="00DD4AC4" w:rsidRDefault="00BA70F8" w:rsidP="00DD4AC4">
      <w:pPr>
        <w:pStyle w:val="FootnoteText"/>
        <w:jc w:val="both"/>
        <w:rPr>
          <w:rFonts w:ascii="Verdana" w:hAnsi="Verdana"/>
          <w:sz w:val="16"/>
          <w:szCs w:val="16"/>
          <w:lang w:val="es-CR"/>
        </w:rPr>
      </w:pPr>
      <w:r w:rsidRPr="006B43C7">
        <w:rPr>
          <w:rStyle w:val="FootnoteReference"/>
          <w:rFonts w:ascii="Verdana" w:hAnsi="Verdana"/>
          <w:sz w:val="16"/>
          <w:szCs w:val="16"/>
        </w:rPr>
        <w:footnoteRef/>
      </w:r>
      <w:r w:rsidRPr="006B43C7">
        <w:rPr>
          <w:rFonts w:ascii="Verdana" w:hAnsi="Verdana"/>
          <w:sz w:val="16"/>
          <w:szCs w:val="16"/>
          <w:lang w:val="es-CR"/>
        </w:rPr>
        <w:t xml:space="preserve"> </w:t>
      </w:r>
      <w:r w:rsidRPr="006B43C7">
        <w:rPr>
          <w:rFonts w:ascii="Verdana" w:hAnsi="Verdana"/>
          <w:sz w:val="16"/>
          <w:szCs w:val="16"/>
          <w:lang w:val="es-CR"/>
        </w:rPr>
        <w:tab/>
        <w:t xml:space="preserve">Facultad que además </w:t>
      </w:r>
      <w:r w:rsidRPr="00DD4AC4">
        <w:rPr>
          <w:rFonts w:ascii="Verdana" w:hAnsi="Verdana"/>
          <w:sz w:val="16"/>
          <w:szCs w:val="16"/>
          <w:lang w:val="es-ES"/>
        </w:rPr>
        <w:t xml:space="preserve">se desprende de lo dispuesto en los artículos 33, 62.1, 62.3 y 65 de la Convención Americana y </w:t>
      </w:r>
      <w:r w:rsidRPr="00DD4AC4">
        <w:rPr>
          <w:rFonts w:ascii="Verdana" w:hAnsi="Verdana"/>
          <w:sz w:val="16"/>
          <w:szCs w:val="16"/>
          <w:lang w:val="es-CR"/>
        </w:rPr>
        <w:t>30 de su Estatuto y se encuentra regulada en el artículo 69 de su Reglamento.</w:t>
      </w:r>
    </w:p>
  </w:footnote>
  <w:footnote w:id="11">
    <w:p w:rsidR="00BA70F8" w:rsidRPr="00DD4AC4" w:rsidRDefault="00BA70F8" w:rsidP="00DD4AC4">
      <w:pPr>
        <w:pStyle w:val="FootnoteText"/>
        <w:jc w:val="both"/>
        <w:rPr>
          <w:rFonts w:ascii="Verdana" w:hAnsi="Verdana"/>
          <w:sz w:val="16"/>
          <w:szCs w:val="16"/>
          <w:lang w:val="es-CR"/>
        </w:rPr>
      </w:pPr>
      <w:r w:rsidRPr="006B43C7">
        <w:rPr>
          <w:rStyle w:val="FootnoteReference"/>
          <w:rFonts w:ascii="Verdana" w:hAnsi="Verdana"/>
          <w:sz w:val="16"/>
          <w:szCs w:val="16"/>
        </w:rPr>
        <w:footnoteRef/>
      </w:r>
      <w:r w:rsidRPr="006B43C7">
        <w:rPr>
          <w:rFonts w:ascii="Verdana" w:hAnsi="Verdana"/>
          <w:sz w:val="16"/>
          <w:szCs w:val="16"/>
        </w:rPr>
        <w:t xml:space="preserve"> </w:t>
      </w:r>
      <w:r w:rsidRPr="00DD4AC4">
        <w:rPr>
          <w:rFonts w:ascii="Verdana" w:hAnsi="Verdana"/>
          <w:sz w:val="16"/>
          <w:szCs w:val="16"/>
          <w:lang w:val="es-CR"/>
        </w:rPr>
        <w:tab/>
      </w:r>
      <w:r w:rsidRPr="00DD4AC4">
        <w:rPr>
          <w:rFonts w:ascii="Verdana" w:hAnsi="Verdana"/>
          <w:noProof/>
          <w:sz w:val="16"/>
          <w:szCs w:val="16"/>
        </w:rPr>
        <w:t xml:space="preserve">Mediante Resolución de 18 de mayo de 2010, la Corte declaró que el Estado </w:t>
      </w:r>
      <w:r w:rsidR="000714FD" w:rsidRPr="00DD4AC4">
        <w:rPr>
          <w:rFonts w:ascii="Verdana" w:hAnsi="Verdana"/>
          <w:noProof/>
          <w:sz w:val="16"/>
          <w:szCs w:val="16"/>
        </w:rPr>
        <w:t>dio</w:t>
      </w:r>
      <w:r w:rsidRPr="00DD4AC4">
        <w:rPr>
          <w:rFonts w:ascii="Verdana" w:hAnsi="Verdana"/>
          <w:noProof/>
          <w:sz w:val="16"/>
          <w:szCs w:val="16"/>
        </w:rPr>
        <w:t xml:space="preserve"> cumplimiento a las siguientes medidas de reparación: </w:t>
      </w:r>
      <w:r w:rsidRPr="00DD4AC4">
        <w:rPr>
          <w:rFonts w:ascii="Verdana" w:hAnsi="Verdana"/>
          <w:sz w:val="16"/>
          <w:szCs w:val="16"/>
          <w:lang w:val="es-MX"/>
        </w:rPr>
        <w:t>i) pagar las cantidades establecidas en la Sentencia por concepto de daño material, daño inmaterial y reintegro de costas y gastos (</w:t>
      </w:r>
      <w:r w:rsidRPr="00DD4AC4">
        <w:rPr>
          <w:rFonts w:ascii="Verdana" w:hAnsi="Verdana"/>
          <w:i/>
          <w:sz w:val="16"/>
          <w:szCs w:val="16"/>
          <w:lang w:val="es-MX"/>
        </w:rPr>
        <w:t>punto resolutivo octavo de la Sentencia</w:t>
      </w:r>
      <w:r w:rsidRPr="00DD4AC4">
        <w:rPr>
          <w:rFonts w:ascii="Verdana" w:hAnsi="Verdana"/>
          <w:sz w:val="16"/>
          <w:szCs w:val="16"/>
          <w:lang w:val="es-MX"/>
        </w:rPr>
        <w:t xml:space="preserve">); ii) </w:t>
      </w:r>
      <w:r w:rsidRPr="00DD4AC4">
        <w:rPr>
          <w:rFonts w:ascii="Verdana" w:hAnsi="Verdana"/>
          <w:sz w:val="16"/>
          <w:szCs w:val="16"/>
          <w:lang w:val="es-ES"/>
        </w:rPr>
        <w:t xml:space="preserve">creación de un fondo que lleve el nombre de “Germán </w:t>
      </w:r>
      <w:proofErr w:type="spellStart"/>
      <w:r w:rsidRPr="00DD4AC4">
        <w:rPr>
          <w:rFonts w:ascii="Verdana" w:hAnsi="Verdana"/>
          <w:sz w:val="16"/>
          <w:szCs w:val="16"/>
          <w:lang w:val="es-ES"/>
        </w:rPr>
        <w:t>Escué</w:t>
      </w:r>
      <w:proofErr w:type="spellEnd"/>
      <w:r w:rsidRPr="00DD4AC4">
        <w:rPr>
          <w:rFonts w:ascii="Verdana" w:hAnsi="Verdana"/>
          <w:sz w:val="16"/>
          <w:szCs w:val="16"/>
          <w:lang w:val="es-ES"/>
        </w:rPr>
        <w:t xml:space="preserve"> Zapata” para que la Comunidad lo invierta en obras o servicios de interés colectivo en su beneficio (</w:t>
      </w:r>
      <w:r w:rsidRPr="00DD4AC4">
        <w:rPr>
          <w:rFonts w:ascii="Verdana" w:hAnsi="Verdana"/>
          <w:i/>
          <w:sz w:val="16"/>
          <w:szCs w:val="16"/>
          <w:lang w:val="es-ES"/>
        </w:rPr>
        <w:t>punto resolutivo décimo de la Sentencia</w:t>
      </w:r>
      <w:r w:rsidRPr="00DD4AC4">
        <w:rPr>
          <w:rFonts w:ascii="Verdana" w:hAnsi="Verdana"/>
          <w:sz w:val="16"/>
          <w:szCs w:val="16"/>
          <w:lang w:val="es-ES"/>
        </w:rPr>
        <w:t>), y iii) realizar un acto público de reconocimiento de responsabilidad internacional del Estado (</w:t>
      </w:r>
      <w:r w:rsidRPr="00DD4AC4">
        <w:rPr>
          <w:rFonts w:ascii="Verdana" w:hAnsi="Verdana"/>
          <w:i/>
          <w:sz w:val="16"/>
          <w:szCs w:val="16"/>
          <w:lang w:val="es-ES"/>
        </w:rPr>
        <w:t>punto resolutivo decimocuarto de la Sentencia</w:t>
      </w:r>
      <w:r w:rsidRPr="00DD4AC4">
        <w:rPr>
          <w:rFonts w:ascii="Verdana" w:hAnsi="Verdana"/>
          <w:sz w:val="16"/>
          <w:szCs w:val="16"/>
          <w:lang w:val="es-ES"/>
        </w:rPr>
        <w:t>)</w:t>
      </w:r>
      <w:r w:rsidRPr="00DD4AC4">
        <w:rPr>
          <w:rFonts w:ascii="Verdana" w:hAnsi="Verdana"/>
          <w:sz w:val="16"/>
          <w:szCs w:val="16"/>
          <w:lang w:val="es-CR"/>
        </w:rPr>
        <w:t>. A su vez, mediante</w:t>
      </w:r>
      <w:r w:rsidRPr="00DD4AC4">
        <w:rPr>
          <w:rFonts w:ascii="Verdana" w:hAnsi="Verdana"/>
          <w:sz w:val="16"/>
          <w:szCs w:val="16"/>
        </w:rPr>
        <w:t xml:space="preserve"> Resolución de 21 de febrero de 2011, la Corte declaró que el Estado </w:t>
      </w:r>
      <w:r w:rsidR="000714FD" w:rsidRPr="00DD4AC4">
        <w:rPr>
          <w:rFonts w:ascii="Verdana" w:hAnsi="Verdana"/>
          <w:sz w:val="16"/>
          <w:szCs w:val="16"/>
        </w:rPr>
        <w:t>dio</w:t>
      </w:r>
      <w:r w:rsidRPr="00DD4AC4">
        <w:rPr>
          <w:rFonts w:ascii="Verdana" w:hAnsi="Verdana"/>
          <w:sz w:val="16"/>
          <w:szCs w:val="16"/>
        </w:rPr>
        <w:t xml:space="preserve"> cumplimiento a las siguientes medidas de reparación: i) </w:t>
      </w:r>
      <w:r w:rsidRPr="00DD4AC4">
        <w:rPr>
          <w:rFonts w:ascii="Verdana" w:hAnsi="Verdana"/>
          <w:sz w:val="16"/>
          <w:szCs w:val="16"/>
          <w:lang w:val="es-ES"/>
        </w:rPr>
        <w:t xml:space="preserve">otorgar a Myriam Zapata </w:t>
      </w:r>
      <w:proofErr w:type="spellStart"/>
      <w:r w:rsidRPr="00DD4AC4">
        <w:rPr>
          <w:rFonts w:ascii="Verdana" w:hAnsi="Verdana"/>
          <w:sz w:val="16"/>
          <w:szCs w:val="16"/>
          <w:lang w:val="es-ES"/>
        </w:rPr>
        <w:t>Escué</w:t>
      </w:r>
      <w:proofErr w:type="spellEnd"/>
      <w:r w:rsidRPr="00DD4AC4">
        <w:rPr>
          <w:rFonts w:ascii="Verdana" w:hAnsi="Verdana"/>
          <w:sz w:val="16"/>
          <w:szCs w:val="16"/>
          <w:lang w:val="es-ES"/>
        </w:rPr>
        <w:t xml:space="preserve"> una beca para realizar estudios universitarios (</w:t>
      </w:r>
      <w:r w:rsidRPr="00DD4AC4">
        <w:rPr>
          <w:rFonts w:ascii="Verdana" w:hAnsi="Verdana"/>
          <w:i/>
          <w:sz w:val="16"/>
          <w:szCs w:val="16"/>
          <w:lang w:val="es-ES"/>
        </w:rPr>
        <w:t>punto resolutivo undécimo de la Sentencia</w:t>
      </w:r>
      <w:r w:rsidRPr="00DD4AC4">
        <w:rPr>
          <w:rFonts w:ascii="Verdana" w:hAnsi="Verdana"/>
          <w:sz w:val="16"/>
          <w:szCs w:val="16"/>
          <w:lang w:val="es-ES"/>
        </w:rPr>
        <w:t>), y ii) realizar las publicaciones señaladas en la Sentencia</w:t>
      </w:r>
      <w:r w:rsidR="00984B2E" w:rsidRPr="00DD4AC4">
        <w:rPr>
          <w:rFonts w:ascii="Verdana" w:hAnsi="Verdana"/>
          <w:sz w:val="16"/>
          <w:szCs w:val="16"/>
          <w:lang w:val="es-ES"/>
        </w:rPr>
        <w:t xml:space="preserve"> en el Diario Oficial</w:t>
      </w:r>
      <w:r w:rsidRPr="00DD4AC4">
        <w:rPr>
          <w:rFonts w:ascii="Verdana" w:hAnsi="Verdana"/>
          <w:sz w:val="16"/>
          <w:szCs w:val="16"/>
          <w:lang w:val="es-ES"/>
        </w:rPr>
        <w:t xml:space="preserve"> (</w:t>
      </w:r>
      <w:r w:rsidRPr="00DD4AC4">
        <w:rPr>
          <w:rFonts w:ascii="Verdana" w:hAnsi="Verdana"/>
          <w:i/>
          <w:sz w:val="16"/>
          <w:szCs w:val="16"/>
          <w:lang w:val="es-ES"/>
        </w:rPr>
        <w:t>punto resolutivo décimo tercero de la Sentencia</w:t>
      </w:r>
      <w:r w:rsidRPr="00DD4AC4">
        <w:rPr>
          <w:rFonts w:ascii="Verdana" w:hAnsi="Verdana"/>
          <w:sz w:val="16"/>
          <w:szCs w:val="16"/>
          <w:lang w:val="es-ES"/>
        </w:rPr>
        <w:t>).</w:t>
      </w:r>
    </w:p>
  </w:footnote>
  <w:footnote w:id="12">
    <w:p w:rsidR="00BA70F8" w:rsidRPr="00DD4AC4" w:rsidRDefault="00BA70F8" w:rsidP="00DD4AC4">
      <w:pPr>
        <w:autoSpaceDE w:val="0"/>
        <w:autoSpaceDN w:val="0"/>
        <w:adjustRightInd w:val="0"/>
        <w:spacing w:after="0" w:line="240" w:lineRule="auto"/>
        <w:ind w:right="-96"/>
        <w:jc w:val="both"/>
        <w:rPr>
          <w:rFonts w:ascii="Verdana" w:hAnsi="Verdana"/>
          <w:b/>
          <w:sz w:val="16"/>
          <w:szCs w:val="16"/>
          <w:lang w:val="es-AR"/>
        </w:rPr>
      </w:pPr>
      <w:r w:rsidRPr="006B43C7">
        <w:rPr>
          <w:rStyle w:val="FootnoteReference"/>
          <w:rFonts w:ascii="Verdana" w:hAnsi="Verdana"/>
          <w:sz w:val="16"/>
          <w:szCs w:val="16"/>
        </w:rPr>
        <w:footnoteRef/>
      </w:r>
      <w:r w:rsidRPr="006B43C7">
        <w:rPr>
          <w:rFonts w:ascii="Verdana" w:hAnsi="Verdana"/>
          <w:sz w:val="16"/>
          <w:szCs w:val="16"/>
          <w:lang w:val="de-DE"/>
        </w:rPr>
        <w:t xml:space="preserve"> </w:t>
      </w:r>
      <w:r w:rsidRPr="006B43C7">
        <w:rPr>
          <w:rFonts w:ascii="Verdana" w:hAnsi="Verdana"/>
          <w:sz w:val="16"/>
          <w:szCs w:val="16"/>
          <w:lang w:val="de-DE"/>
        </w:rPr>
        <w:tab/>
      </w:r>
      <w:r w:rsidRPr="00DD4AC4">
        <w:rPr>
          <w:rFonts w:ascii="Verdana" w:hAnsi="Verdana"/>
          <w:i/>
          <w:noProof/>
          <w:sz w:val="16"/>
          <w:szCs w:val="16"/>
          <w:lang w:val="de-DE"/>
        </w:rPr>
        <w:t xml:space="preserve">Cfr. Caso Ivcher Bronstein Vs. </w:t>
      </w:r>
      <w:r w:rsidRPr="00DD4AC4">
        <w:rPr>
          <w:rFonts w:ascii="Verdana" w:hAnsi="Verdana"/>
          <w:i/>
          <w:noProof/>
          <w:sz w:val="16"/>
          <w:szCs w:val="16"/>
          <w:lang w:val="es-ES"/>
        </w:rPr>
        <w:t>Perú. Competencia.</w:t>
      </w:r>
      <w:r w:rsidRPr="00DD4AC4">
        <w:rPr>
          <w:rFonts w:ascii="Verdana" w:hAnsi="Verdana"/>
          <w:noProof/>
          <w:sz w:val="16"/>
          <w:szCs w:val="16"/>
          <w:lang w:val="es-ES"/>
        </w:rPr>
        <w:t xml:space="preserve"> Sentencia de de la Corte Interamericana de Derechos Humanos de 24 de septiembre de 1999.</w:t>
      </w:r>
      <w:r w:rsidRPr="00DD4AC4">
        <w:rPr>
          <w:rFonts w:ascii="Verdana" w:hAnsi="Verdana"/>
          <w:sz w:val="16"/>
          <w:szCs w:val="16"/>
          <w:lang w:val="es-ES"/>
        </w:rPr>
        <w:t xml:space="preserve"> </w:t>
      </w:r>
      <w:r w:rsidRPr="00DD4AC4">
        <w:rPr>
          <w:rFonts w:ascii="Verdana" w:hAnsi="Verdana"/>
          <w:noProof/>
          <w:sz w:val="16"/>
          <w:szCs w:val="16"/>
          <w:lang w:val="es-ES"/>
        </w:rPr>
        <w:t xml:space="preserve">Serie C No. 54, párr. 37, </w:t>
      </w:r>
      <w:r w:rsidRPr="00DD4AC4">
        <w:rPr>
          <w:rFonts w:ascii="Verdana" w:hAnsi="Verdana"/>
          <w:bCs/>
          <w:sz w:val="16"/>
          <w:szCs w:val="16"/>
          <w:lang w:bidi="en-US"/>
        </w:rPr>
        <w:t xml:space="preserve">y </w:t>
      </w:r>
      <w:r w:rsidR="00536A67" w:rsidRPr="00DD4AC4">
        <w:rPr>
          <w:rStyle w:val="Strong"/>
          <w:rFonts w:ascii="Verdana" w:hAnsi="Verdana"/>
          <w:b w:val="0"/>
          <w:i/>
          <w:sz w:val="16"/>
          <w:szCs w:val="16"/>
        </w:rPr>
        <w:t xml:space="preserve">Caso de las Comunidades Afrodescendientes desplazadas de la Cuenca del Río Cacarica (Operación </w:t>
      </w:r>
      <w:proofErr w:type="spellStart"/>
      <w:r w:rsidR="00536A67" w:rsidRPr="00DD4AC4">
        <w:rPr>
          <w:rStyle w:val="Strong"/>
          <w:rFonts w:ascii="Verdana" w:hAnsi="Verdana"/>
          <w:b w:val="0"/>
          <w:i/>
          <w:sz w:val="16"/>
          <w:szCs w:val="16"/>
        </w:rPr>
        <w:t>Genésis</w:t>
      </w:r>
      <w:proofErr w:type="spellEnd"/>
      <w:r w:rsidR="00536A67" w:rsidRPr="00DD4AC4">
        <w:rPr>
          <w:rStyle w:val="Strong"/>
          <w:rFonts w:ascii="Verdana" w:hAnsi="Verdana"/>
          <w:b w:val="0"/>
          <w:i/>
          <w:sz w:val="16"/>
          <w:szCs w:val="16"/>
        </w:rPr>
        <w:t xml:space="preserve">) Vs. Colombia. Supervisión de Cumplimiento de Sentencia. </w:t>
      </w:r>
      <w:r w:rsidR="00536A67" w:rsidRPr="00DD4AC4">
        <w:rPr>
          <w:rStyle w:val="Strong"/>
          <w:rFonts w:ascii="Verdana" w:hAnsi="Verdana"/>
          <w:b w:val="0"/>
          <w:sz w:val="16"/>
          <w:szCs w:val="16"/>
        </w:rPr>
        <w:t>Resolución de la Corte Interamericana de Derechos Humanos de 20 de octubre de 2016</w:t>
      </w:r>
      <w:r w:rsidRPr="00DD4AC4">
        <w:rPr>
          <w:rStyle w:val="Strong"/>
          <w:rFonts w:ascii="Verdana" w:hAnsi="Verdana"/>
          <w:b w:val="0"/>
          <w:sz w:val="16"/>
          <w:szCs w:val="16"/>
          <w:shd w:val="clear" w:color="auto" w:fill="FFFFFF"/>
        </w:rPr>
        <w:t xml:space="preserve">, </w:t>
      </w:r>
      <w:r w:rsidRPr="00DD4AC4">
        <w:rPr>
          <w:rFonts w:ascii="Verdana" w:hAnsi="Verdana"/>
          <w:bCs/>
          <w:sz w:val="16"/>
          <w:szCs w:val="16"/>
          <w:lang w:val="es-AR"/>
        </w:rPr>
        <w:t>Considerando segundo.</w:t>
      </w:r>
    </w:p>
  </w:footnote>
  <w:footnote w:id="13">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Cfr.</w:t>
      </w:r>
      <w:r w:rsidRPr="00DD4AC4">
        <w:rPr>
          <w:rFonts w:ascii="Verdana" w:hAnsi="Verdana"/>
          <w:sz w:val="16"/>
          <w:szCs w:val="16"/>
        </w:rPr>
        <w:t xml:space="preserve"> </w:t>
      </w:r>
      <w:r w:rsidRPr="00DD4AC4">
        <w:rPr>
          <w:rFonts w:ascii="Verdana" w:hAnsi="Verdana"/>
          <w:i/>
          <w:sz w:val="16"/>
          <w:szCs w:val="16"/>
        </w:rPr>
        <w:t xml:space="preserve">Caso </w:t>
      </w:r>
      <w:proofErr w:type="spellStart"/>
      <w:r w:rsidRPr="00DD4AC4">
        <w:rPr>
          <w:rFonts w:ascii="Verdana" w:hAnsi="Verdana"/>
          <w:i/>
          <w:sz w:val="16"/>
          <w:szCs w:val="16"/>
        </w:rPr>
        <w:t>Escué</w:t>
      </w:r>
      <w:proofErr w:type="spellEnd"/>
      <w:r w:rsidRPr="00DD4AC4">
        <w:rPr>
          <w:rFonts w:ascii="Verdana" w:hAnsi="Verdana"/>
          <w:i/>
          <w:sz w:val="16"/>
          <w:szCs w:val="16"/>
        </w:rPr>
        <w:t xml:space="preserve"> Zapata Vs. Colombia, supra </w:t>
      </w:r>
      <w:r w:rsidRPr="00DD4AC4">
        <w:rPr>
          <w:rFonts w:ascii="Verdana" w:hAnsi="Verdana"/>
          <w:sz w:val="16"/>
          <w:szCs w:val="16"/>
        </w:rPr>
        <w:t xml:space="preserve">nota 1, </w:t>
      </w:r>
      <w:proofErr w:type="spellStart"/>
      <w:r w:rsidRPr="00DD4AC4">
        <w:rPr>
          <w:rFonts w:ascii="Verdana" w:hAnsi="Verdana"/>
          <w:sz w:val="16"/>
          <w:szCs w:val="16"/>
        </w:rPr>
        <w:t>párrs</w:t>
      </w:r>
      <w:proofErr w:type="spellEnd"/>
      <w:r w:rsidRPr="00DD4AC4">
        <w:rPr>
          <w:rFonts w:ascii="Verdana" w:hAnsi="Verdana"/>
          <w:sz w:val="16"/>
          <w:szCs w:val="16"/>
        </w:rPr>
        <w:t>. 109 a 111.</w:t>
      </w:r>
    </w:p>
  </w:footnote>
  <w:footnote w:id="14">
    <w:p w:rsidR="00BA70F8" w:rsidRPr="00DD4AC4" w:rsidRDefault="00BA70F8" w:rsidP="00DD4AC4">
      <w:pPr>
        <w:pStyle w:val="FootnoteText"/>
        <w:jc w:val="both"/>
        <w:rPr>
          <w:rFonts w:ascii="Verdana" w:hAnsi="Verdana"/>
          <w:sz w:val="16"/>
          <w:szCs w:val="16"/>
          <w:lang w:val="es-ES"/>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sz w:val="16"/>
          <w:szCs w:val="16"/>
          <w:lang w:val="es-ES"/>
        </w:rPr>
        <w:t xml:space="preserve">En la </w:t>
      </w:r>
      <w:r w:rsidR="000C5EE5" w:rsidRPr="00DD4AC4">
        <w:rPr>
          <w:rFonts w:ascii="Verdana" w:hAnsi="Verdana"/>
          <w:sz w:val="16"/>
          <w:szCs w:val="16"/>
          <w:lang w:val="es-ES"/>
        </w:rPr>
        <w:t>S</w:t>
      </w:r>
      <w:r w:rsidRPr="00DD4AC4">
        <w:rPr>
          <w:rFonts w:ascii="Verdana" w:hAnsi="Verdana"/>
          <w:sz w:val="16"/>
          <w:szCs w:val="16"/>
          <w:lang w:val="es-ES"/>
        </w:rPr>
        <w:t xml:space="preserve">entencia de interpretación de 5 de mayo de 2008, a petición del Estado, la Corte aclaró que </w:t>
      </w:r>
      <w:r w:rsidR="000C5EE5" w:rsidRPr="00DD4AC4">
        <w:rPr>
          <w:rFonts w:ascii="Verdana" w:hAnsi="Verdana"/>
          <w:sz w:val="16"/>
          <w:szCs w:val="16"/>
          <w:lang w:val="es-ES"/>
        </w:rPr>
        <w:t>“</w:t>
      </w:r>
      <w:r w:rsidRPr="00DD4AC4">
        <w:rPr>
          <w:rFonts w:ascii="Verdana" w:hAnsi="Verdana"/>
          <w:sz w:val="16"/>
          <w:szCs w:val="16"/>
          <w:lang w:val="es-ES"/>
        </w:rPr>
        <w:t xml:space="preserve">la expresión </w:t>
      </w:r>
      <w:r w:rsidR="000C5EE5" w:rsidRPr="00DD4AC4">
        <w:rPr>
          <w:rFonts w:ascii="Verdana" w:hAnsi="Verdana"/>
          <w:sz w:val="16"/>
          <w:szCs w:val="16"/>
          <w:lang w:val="es-ES"/>
        </w:rPr>
        <w:t>’</w:t>
      </w:r>
      <w:r w:rsidRPr="00DD4AC4">
        <w:rPr>
          <w:rFonts w:ascii="Verdana" w:hAnsi="Verdana"/>
          <w:sz w:val="16"/>
          <w:szCs w:val="16"/>
          <w:lang w:val="es-ES"/>
        </w:rPr>
        <w:t xml:space="preserve">resultados de </w:t>
      </w:r>
      <w:r w:rsidR="000C5EE5" w:rsidRPr="00DD4AC4">
        <w:rPr>
          <w:rFonts w:ascii="Verdana" w:hAnsi="Verdana"/>
          <w:sz w:val="16"/>
          <w:szCs w:val="16"/>
          <w:lang w:val="es-ES"/>
        </w:rPr>
        <w:t>[</w:t>
      </w:r>
      <w:r w:rsidRPr="00DD4AC4">
        <w:rPr>
          <w:rFonts w:ascii="Verdana" w:hAnsi="Verdana"/>
          <w:sz w:val="16"/>
          <w:szCs w:val="16"/>
          <w:lang w:val="es-ES"/>
        </w:rPr>
        <w:t>los</w:t>
      </w:r>
      <w:r w:rsidR="000C5EE5" w:rsidRPr="00DD4AC4">
        <w:rPr>
          <w:rFonts w:ascii="Verdana" w:hAnsi="Verdana"/>
          <w:sz w:val="16"/>
          <w:szCs w:val="16"/>
          <w:lang w:val="es-ES"/>
        </w:rPr>
        <w:t>]</w:t>
      </w:r>
      <w:r w:rsidRPr="00DD4AC4">
        <w:rPr>
          <w:rFonts w:ascii="Verdana" w:hAnsi="Verdana"/>
          <w:sz w:val="16"/>
          <w:szCs w:val="16"/>
          <w:lang w:val="es-ES"/>
        </w:rPr>
        <w:t xml:space="preserve"> procesos penales</w:t>
      </w:r>
      <w:r w:rsidR="000C5EE5" w:rsidRPr="00DD4AC4">
        <w:rPr>
          <w:rFonts w:ascii="Verdana" w:hAnsi="Verdana"/>
          <w:sz w:val="16"/>
          <w:szCs w:val="16"/>
          <w:lang w:val="es-ES"/>
        </w:rPr>
        <w:t>’</w:t>
      </w:r>
      <w:r w:rsidRPr="00DD4AC4">
        <w:rPr>
          <w:rFonts w:ascii="Verdana" w:hAnsi="Verdana"/>
          <w:sz w:val="16"/>
          <w:szCs w:val="16"/>
          <w:lang w:val="es-ES"/>
        </w:rPr>
        <w:t xml:space="preserve"> utilizada en dicha medida de reparación “</w:t>
      </w:r>
      <w:proofErr w:type="spellStart"/>
      <w:proofErr w:type="gramStart"/>
      <w:r w:rsidRPr="00DD4AC4">
        <w:rPr>
          <w:rFonts w:ascii="Verdana" w:hAnsi="Verdana"/>
          <w:sz w:val="16"/>
          <w:szCs w:val="16"/>
          <w:lang w:val="es-ES"/>
        </w:rPr>
        <w:t>hac</w:t>
      </w:r>
      <w:proofErr w:type="spellEnd"/>
      <w:r w:rsidRPr="00DD4AC4">
        <w:rPr>
          <w:rFonts w:ascii="Verdana" w:hAnsi="Verdana"/>
          <w:sz w:val="16"/>
          <w:szCs w:val="16"/>
          <w:lang w:val="es-ES"/>
        </w:rPr>
        <w:t>[</w:t>
      </w:r>
      <w:proofErr w:type="spellStart"/>
      <w:proofErr w:type="gramEnd"/>
      <w:r w:rsidRPr="00DD4AC4">
        <w:rPr>
          <w:rFonts w:ascii="Verdana" w:hAnsi="Verdana"/>
          <w:sz w:val="16"/>
          <w:szCs w:val="16"/>
          <w:lang w:val="es-ES"/>
        </w:rPr>
        <w:t>ía</w:t>
      </w:r>
      <w:proofErr w:type="spellEnd"/>
      <w:r w:rsidRPr="00DD4AC4">
        <w:rPr>
          <w:rFonts w:ascii="Verdana" w:hAnsi="Verdana"/>
          <w:sz w:val="16"/>
          <w:szCs w:val="16"/>
          <w:lang w:val="es-ES"/>
        </w:rPr>
        <w:t xml:space="preserve">] alusión a las decisiones judiciales penales de carácter firme que generan la finalización del proceso y resuelven la controversia principal, sean estas de carácter absolutorio o condenatorio”. Asimismo especificó que dichos “resultados </w:t>
      </w:r>
      <w:proofErr w:type="gramStart"/>
      <w:r w:rsidRPr="00DD4AC4">
        <w:rPr>
          <w:rFonts w:ascii="Verdana" w:hAnsi="Verdana"/>
          <w:sz w:val="16"/>
          <w:szCs w:val="16"/>
          <w:lang w:val="es-ES"/>
        </w:rPr>
        <w:t>debe[</w:t>
      </w:r>
      <w:proofErr w:type="gramEnd"/>
      <w:r w:rsidRPr="00DD4AC4">
        <w:rPr>
          <w:rFonts w:ascii="Verdana" w:hAnsi="Verdana"/>
          <w:sz w:val="16"/>
          <w:szCs w:val="16"/>
          <w:lang w:val="es-ES"/>
        </w:rPr>
        <w:t xml:space="preserve">ría]n ser divulgados, de tal forma que la sociedad colombiana y la Comunidad </w:t>
      </w:r>
      <w:proofErr w:type="spellStart"/>
      <w:r w:rsidRPr="00DD4AC4">
        <w:rPr>
          <w:rFonts w:ascii="Verdana" w:hAnsi="Verdana"/>
          <w:sz w:val="16"/>
          <w:szCs w:val="16"/>
          <w:lang w:val="es-ES"/>
        </w:rPr>
        <w:t>Paez</w:t>
      </w:r>
      <w:proofErr w:type="spellEnd"/>
      <w:r w:rsidRPr="00DD4AC4">
        <w:rPr>
          <w:rFonts w:ascii="Verdana" w:hAnsi="Verdana"/>
          <w:sz w:val="16"/>
          <w:szCs w:val="16"/>
          <w:lang w:val="es-ES"/>
        </w:rPr>
        <w:t xml:space="preserve"> </w:t>
      </w:r>
      <w:proofErr w:type="spellStart"/>
      <w:r w:rsidRPr="00DD4AC4">
        <w:rPr>
          <w:rFonts w:ascii="Verdana" w:hAnsi="Verdana"/>
          <w:sz w:val="16"/>
          <w:szCs w:val="16"/>
          <w:lang w:val="es-ES"/>
        </w:rPr>
        <w:t>pu</w:t>
      </w:r>
      <w:proofErr w:type="spellEnd"/>
      <w:r w:rsidR="000C5EE5" w:rsidRPr="00DD4AC4">
        <w:rPr>
          <w:rFonts w:ascii="Verdana" w:hAnsi="Verdana"/>
          <w:sz w:val="16"/>
          <w:szCs w:val="16"/>
          <w:lang w:val="es-ES"/>
        </w:rPr>
        <w:t>[</w:t>
      </w:r>
      <w:proofErr w:type="spellStart"/>
      <w:r w:rsidRPr="00DD4AC4">
        <w:rPr>
          <w:rFonts w:ascii="Verdana" w:hAnsi="Verdana"/>
          <w:sz w:val="16"/>
          <w:szCs w:val="16"/>
          <w:lang w:val="es-ES"/>
        </w:rPr>
        <w:t>dier</w:t>
      </w:r>
      <w:proofErr w:type="spellEnd"/>
      <w:r w:rsidRPr="00DD4AC4">
        <w:rPr>
          <w:rFonts w:ascii="Verdana" w:hAnsi="Verdana"/>
          <w:sz w:val="16"/>
          <w:szCs w:val="16"/>
          <w:lang w:val="es-ES"/>
        </w:rPr>
        <w:t>]</w:t>
      </w:r>
      <w:proofErr w:type="spellStart"/>
      <w:r w:rsidRPr="00DD4AC4">
        <w:rPr>
          <w:rFonts w:ascii="Verdana" w:hAnsi="Verdana"/>
          <w:sz w:val="16"/>
          <w:szCs w:val="16"/>
          <w:lang w:val="es-ES"/>
        </w:rPr>
        <w:t>an</w:t>
      </w:r>
      <w:proofErr w:type="spellEnd"/>
      <w:r w:rsidRPr="00DD4AC4">
        <w:rPr>
          <w:rFonts w:ascii="Verdana" w:hAnsi="Verdana"/>
          <w:sz w:val="16"/>
          <w:szCs w:val="16"/>
          <w:lang w:val="es-ES"/>
        </w:rPr>
        <w:t xml:space="preserve"> conocer los hechos examinados y, en su caso, los responsables”. </w:t>
      </w:r>
      <w:r w:rsidRPr="00DD4AC4">
        <w:rPr>
          <w:rFonts w:ascii="Verdana" w:hAnsi="Verdana"/>
          <w:i/>
          <w:sz w:val="16"/>
          <w:szCs w:val="16"/>
          <w:lang w:val="es-MX"/>
        </w:rPr>
        <w:t>Cfr.</w:t>
      </w:r>
      <w:r w:rsidRPr="00DD4AC4">
        <w:rPr>
          <w:rFonts w:ascii="Verdana" w:hAnsi="Verdana"/>
          <w:sz w:val="16"/>
          <w:szCs w:val="16"/>
          <w:lang w:val="es-MX"/>
        </w:rPr>
        <w:t xml:space="preserve"> </w:t>
      </w:r>
      <w:r w:rsidR="00C11A60" w:rsidRPr="00DD4AC4">
        <w:rPr>
          <w:rStyle w:val="Strong"/>
          <w:rFonts w:ascii="Verdana" w:hAnsi="Verdana"/>
          <w:b w:val="0"/>
          <w:i/>
          <w:sz w:val="16"/>
          <w:szCs w:val="16"/>
        </w:rPr>
        <w:t xml:space="preserve">Caso </w:t>
      </w:r>
      <w:proofErr w:type="spellStart"/>
      <w:r w:rsidR="00C11A60" w:rsidRPr="00DD4AC4">
        <w:rPr>
          <w:rStyle w:val="Strong"/>
          <w:rFonts w:ascii="Verdana" w:hAnsi="Verdana"/>
          <w:b w:val="0"/>
          <w:i/>
          <w:sz w:val="16"/>
          <w:szCs w:val="16"/>
        </w:rPr>
        <w:t>Escué</w:t>
      </w:r>
      <w:proofErr w:type="spellEnd"/>
      <w:r w:rsidR="00C11A60" w:rsidRPr="00DD4AC4">
        <w:rPr>
          <w:rStyle w:val="Strong"/>
          <w:rFonts w:ascii="Verdana" w:hAnsi="Verdana"/>
          <w:b w:val="0"/>
          <w:i/>
          <w:sz w:val="16"/>
          <w:szCs w:val="16"/>
        </w:rPr>
        <w:t xml:space="preserve"> Zapata Vs. Colombia. Interpretación de la Sentencia de Fondo, Reparaciones y Costas. </w:t>
      </w:r>
      <w:r w:rsidR="00C11A60" w:rsidRPr="00DD4AC4">
        <w:rPr>
          <w:rStyle w:val="Strong"/>
          <w:rFonts w:ascii="Verdana" w:hAnsi="Verdana"/>
          <w:b w:val="0"/>
          <w:sz w:val="16"/>
          <w:szCs w:val="16"/>
        </w:rPr>
        <w:t>Sentencia de 5 de mayo de 2008. Serie C No. 178</w:t>
      </w:r>
      <w:r w:rsidRPr="00DD4AC4">
        <w:rPr>
          <w:rStyle w:val="Strong"/>
          <w:rFonts w:ascii="Verdana" w:hAnsi="Verdana"/>
          <w:b w:val="0"/>
          <w:sz w:val="16"/>
          <w:szCs w:val="16"/>
        </w:rPr>
        <w:t>, párr. 15.</w:t>
      </w:r>
    </w:p>
  </w:footnote>
  <w:footnote w:id="15">
    <w:p w:rsidR="00BA70F8" w:rsidRPr="00DD4AC4" w:rsidRDefault="00BA70F8" w:rsidP="00DD4AC4">
      <w:pPr>
        <w:pStyle w:val="FootnoteText"/>
        <w:jc w:val="both"/>
        <w:rPr>
          <w:rFonts w:ascii="Verdana" w:hAnsi="Verdana"/>
          <w:bCs/>
          <w:sz w:val="16"/>
          <w:szCs w:val="16"/>
          <w:lang w:val="es-ES"/>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bCs/>
          <w:i/>
          <w:iCs/>
          <w:sz w:val="16"/>
          <w:szCs w:val="16"/>
          <w:lang w:val="es-ES"/>
        </w:rPr>
        <w:t>Cfr.</w:t>
      </w:r>
      <w:r w:rsidR="0010556D" w:rsidRPr="00DD4AC4">
        <w:rPr>
          <w:rFonts w:ascii="Verdana" w:hAnsi="Verdana"/>
          <w:bCs/>
          <w:i/>
          <w:iCs/>
          <w:sz w:val="16"/>
          <w:szCs w:val="16"/>
          <w:lang w:val="es-ES"/>
        </w:rPr>
        <w:t xml:space="preserve"> </w:t>
      </w:r>
      <w:r w:rsidRPr="00DD4AC4">
        <w:rPr>
          <w:rFonts w:ascii="Verdana" w:hAnsi="Verdana"/>
          <w:bCs/>
          <w:i/>
          <w:iCs/>
          <w:sz w:val="16"/>
          <w:szCs w:val="16"/>
          <w:lang w:val="es-ES"/>
        </w:rPr>
        <w:t xml:space="preserve">Caso Velásquez Rodríguez Vs. Honduras. Fondo. </w:t>
      </w:r>
      <w:r w:rsidRPr="00DD4AC4">
        <w:rPr>
          <w:rFonts w:ascii="Verdana" w:hAnsi="Verdana"/>
          <w:bCs/>
          <w:sz w:val="16"/>
          <w:szCs w:val="16"/>
          <w:lang w:val="es-ES"/>
        </w:rPr>
        <w:t>Sentencia de 29 de julio de 1988. Serie C No</w:t>
      </w:r>
      <w:r w:rsidR="00D500F2" w:rsidRPr="00DD4AC4">
        <w:rPr>
          <w:rFonts w:ascii="Verdana" w:hAnsi="Verdana"/>
          <w:bCs/>
          <w:sz w:val="16"/>
          <w:szCs w:val="16"/>
          <w:lang w:val="es-ES"/>
        </w:rPr>
        <w:t>.</w:t>
      </w:r>
      <w:r w:rsidRPr="00DD4AC4">
        <w:rPr>
          <w:rFonts w:ascii="Verdana" w:hAnsi="Verdana"/>
          <w:bCs/>
          <w:sz w:val="16"/>
          <w:szCs w:val="16"/>
          <w:lang w:val="es-ES"/>
        </w:rPr>
        <w:t xml:space="preserve"> 4, párr</w:t>
      </w:r>
      <w:r w:rsidR="0010556D" w:rsidRPr="00DD4AC4">
        <w:rPr>
          <w:rFonts w:ascii="Verdana" w:hAnsi="Verdana"/>
          <w:bCs/>
          <w:sz w:val="16"/>
          <w:szCs w:val="16"/>
          <w:lang w:val="es-ES"/>
        </w:rPr>
        <w:t>.</w:t>
      </w:r>
      <w:r w:rsidRPr="00DD4AC4">
        <w:rPr>
          <w:rFonts w:ascii="Verdana" w:hAnsi="Verdana"/>
          <w:bCs/>
          <w:sz w:val="16"/>
          <w:szCs w:val="16"/>
          <w:lang w:val="es-ES"/>
        </w:rPr>
        <w:t xml:space="preserve"> 166</w:t>
      </w:r>
      <w:r w:rsidR="00ED7A8B">
        <w:rPr>
          <w:rFonts w:ascii="Verdana" w:hAnsi="Verdana"/>
          <w:bCs/>
          <w:sz w:val="16"/>
          <w:szCs w:val="16"/>
          <w:lang w:val="es-ES"/>
        </w:rPr>
        <w:t>,</w:t>
      </w:r>
      <w:r w:rsidRPr="00DD4AC4">
        <w:rPr>
          <w:rFonts w:ascii="Verdana" w:hAnsi="Verdana"/>
          <w:bCs/>
          <w:sz w:val="16"/>
          <w:szCs w:val="16"/>
          <w:lang w:val="es-ES"/>
        </w:rPr>
        <w:t xml:space="preserve"> y </w:t>
      </w:r>
      <w:r w:rsidR="00A67FB5" w:rsidRPr="00DD4AC4">
        <w:rPr>
          <w:rFonts w:ascii="Verdana" w:hAnsi="Verdana"/>
          <w:bCs/>
          <w:i/>
          <w:iCs/>
          <w:sz w:val="16"/>
          <w:szCs w:val="16"/>
          <w:lang w:val="es-ES"/>
        </w:rPr>
        <w:t>Caso Tenorio Roca y otros Vs. Perú</w:t>
      </w:r>
      <w:r w:rsidR="00ED7A8B">
        <w:rPr>
          <w:rFonts w:ascii="Verdana" w:hAnsi="Verdana"/>
          <w:bCs/>
          <w:i/>
          <w:iCs/>
          <w:sz w:val="16"/>
          <w:szCs w:val="16"/>
          <w:lang w:val="es-ES"/>
        </w:rPr>
        <w:t>.</w:t>
      </w:r>
      <w:r w:rsidR="00A67FB5" w:rsidRPr="00DD4AC4">
        <w:rPr>
          <w:rFonts w:ascii="Verdana" w:hAnsi="Verdana"/>
          <w:bCs/>
          <w:i/>
          <w:iCs/>
          <w:sz w:val="16"/>
          <w:szCs w:val="16"/>
          <w:lang w:val="es-ES"/>
        </w:rPr>
        <w:t xml:space="preserve"> Excepciones Preliminares, Fondo, Reparaciones y Costas. </w:t>
      </w:r>
      <w:r w:rsidR="00A67FB5" w:rsidRPr="00DD4AC4">
        <w:rPr>
          <w:rFonts w:ascii="Verdana" w:hAnsi="Verdana"/>
          <w:bCs/>
          <w:iCs/>
          <w:sz w:val="16"/>
          <w:szCs w:val="16"/>
          <w:lang w:val="es-ES"/>
        </w:rPr>
        <w:t>Sentencia de 22 de junio de 2016. Serie C No. 314, párr. 167.</w:t>
      </w:r>
      <w:r w:rsidR="00A67FB5" w:rsidRPr="006B43C7">
        <w:rPr>
          <w:rFonts w:ascii="Verdana" w:hAnsi="Verdana"/>
          <w:bCs/>
          <w:i/>
          <w:iCs/>
          <w:sz w:val="16"/>
          <w:szCs w:val="16"/>
          <w:lang w:val="es-ES"/>
        </w:rPr>
        <w:t xml:space="preserve"> </w:t>
      </w:r>
    </w:p>
  </w:footnote>
  <w:footnote w:id="16">
    <w:p w:rsidR="00BA70F8" w:rsidRPr="00DD4AC4" w:rsidRDefault="00BA70F8" w:rsidP="00DD4AC4">
      <w:pPr>
        <w:autoSpaceDE w:val="0"/>
        <w:autoSpaceDN w:val="0"/>
        <w:adjustRightInd w:val="0"/>
        <w:spacing w:after="0" w:line="240" w:lineRule="auto"/>
        <w:jc w:val="both"/>
        <w:rPr>
          <w:rFonts w:ascii="Verdana" w:eastAsiaTheme="minorHAnsi" w:hAnsi="Verdana" w:cs="Arial"/>
          <w:bCs/>
          <w:sz w:val="16"/>
          <w:szCs w:val="16"/>
          <w:lang w:val="es-ES"/>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002E5698" w:rsidRPr="00DD4AC4">
        <w:rPr>
          <w:rFonts w:ascii="Verdana" w:eastAsiaTheme="minorHAnsi" w:hAnsi="Verdana" w:cs="Arial"/>
          <w:bCs/>
          <w:i/>
          <w:iCs/>
          <w:sz w:val="16"/>
          <w:szCs w:val="16"/>
          <w:lang w:val="es-ES"/>
        </w:rPr>
        <w:t>Cfr. Caso Velásquez Rodríguez Vs Honduras</w:t>
      </w:r>
      <w:r w:rsidR="00ED7A8B">
        <w:rPr>
          <w:rFonts w:ascii="Verdana" w:eastAsiaTheme="minorHAnsi" w:hAnsi="Verdana" w:cs="Arial"/>
          <w:bCs/>
          <w:i/>
          <w:iCs/>
          <w:sz w:val="16"/>
          <w:szCs w:val="16"/>
          <w:lang w:val="es-ES"/>
        </w:rPr>
        <w:t xml:space="preserve">, supra </w:t>
      </w:r>
      <w:r w:rsidR="00ED7A8B">
        <w:rPr>
          <w:rFonts w:ascii="Verdana" w:eastAsiaTheme="minorHAnsi" w:hAnsi="Verdana" w:cs="Arial"/>
          <w:bCs/>
          <w:iCs/>
          <w:sz w:val="16"/>
          <w:szCs w:val="16"/>
          <w:lang w:val="es-ES"/>
        </w:rPr>
        <w:t>nota 15,</w:t>
      </w:r>
      <w:r w:rsidR="002E5698" w:rsidRPr="00DD4AC4">
        <w:rPr>
          <w:rFonts w:ascii="Verdana" w:eastAsiaTheme="minorHAnsi" w:hAnsi="Verdana" w:cs="Arial"/>
          <w:bCs/>
          <w:sz w:val="16"/>
          <w:szCs w:val="16"/>
          <w:lang w:val="es-ES"/>
        </w:rPr>
        <w:t xml:space="preserve"> párr. 177, y</w:t>
      </w:r>
      <w:r w:rsidR="002E5698" w:rsidRPr="00DD4AC4">
        <w:rPr>
          <w:rFonts w:ascii="Verdana" w:hAnsi="Verdana"/>
          <w:bCs/>
          <w:sz w:val="16"/>
          <w:szCs w:val="16"/>
          <w:lang w:val="es-ES"/>
        </w:rPr>
        <w:t xml:space="preserve"> </w:t>
      </w:r>
      <w:r w:rsidR="002E5698" w:rsidRPr="00DD4AC4">
        <w:rPr>
          <w:rFonts w:ascii="Verdana" w:hAnsi="Verdana"/>
          <w:bCs/>
          <w:i/>
          <w:iCs/>
          <w:sz w:val="16"/>
          <w:szCs w:val="16"/>
          <w:lang w:val="es-ES"/>
        </w:rPr>
        <w:t>Cas</w:t>
      </w:r>
      <w:r w:rsidR="00ED7A8B">
        <w:rPr>
          <w:rFonts w:ascii="Verdana" w:hAnsi="Verdana"/>
          <w:bCs/>
          <w:i/>
          <w:iCs/>
          <w:sz w:val="16"/>
          <w:szCs w:val="16"/>
          <w:lang w:val="es-ES"/>
        </w:rPr>
        <w:t xml:space="preserve">o Tenorio Roca y otros Vs. Perú, </w:t>
      </w:r>
      <w:r w:rsidR="00ED7A8B">
        <w:rPr>
          <w:rFonts w:ascii="Verdana" w:eastAsiaTheme="minorHAnsi" w:hAnsi="Verdana" w:cs="Arial"/>
          <w:bCs/>
          <w:i/>
          <w:iCs/>
          <w:sz w:val="16"/>
          <w:szCs w:val="16"/>
          <w:lang w:val="es-ES"/>
        </w:rPr>
        <w:t xml:space="preserve">supra </w:t>
      </w:r>
      <w:r w:rsidR="00ED7A8B">
        <w:rPr>
          <w:rFonts w:ascii="Verdana" w:eastAsiaTheme="minorHAnsi" w:hAnsi="Verdana" w:cs="Arial"/>
          <w:bCs/>
          <w:iCs/>
          <w:sz w:val="16"/>
          <w:szCs w:val="16"/>
          <w:lang w:val="es-ES"/>
        </w:rPr>
        <w:t>nota 15,</w:t>
      </w:r>
      <w:r w:rsidR="00ED7A8B" w:rsidRPr="00DD4AC4">
        <w:rPr>
          <w:rFonts w:ascii="Verdana" w:eastAsiaTheme="minorHAnsi" w:hAnsi="Verdana" w:cs="Arial"/>
          <w:bCs/>
          <w:sz w:val="16"/>
          <w:szCs w:val="16"/>
          <w:lang w:val="es-ES"/>
        </w:rPr>
        <w:t xml:space="preserve"> </w:t>
      </w:r>
      <w:r w:rsidR="002E5698" w:rsidRPr="00ED7A8B">
        <w:rPr>
          <w:rFonts w:ascii="Verdana" w:hAnsi="Verdana"/>
          <w:bCs/>
          <w:iCs/>
          <w:sz w:val="16"/>
          <w:szCs w:val="16"/>
          <w:lang w:val="es-ES"/>
        </w:rPr>
        <w:t>párr.</w:t>
      </w:r>
      <w:r w:rsidR="002E5698" w:rsidRPr="00C31A3F">
        <w:rPr>
          <w:rFonts w:ascii="Verdana" w:hAnsi="Verdana"/>
          <w:bCs/>
          <w:iCs/>
          <w:sz w:val="16"/>
          <w:szCs w:val="16"/>
          <w:lang w:val="es-ES"/>
        </w:rPr>
        <w:t xml:space="preserve"> 176</w:t>
      </w:r>
      <w:r w:rsidR="002E5698" w:rsidRPr="00DD4AC4">
        <w:rPr>
          <w:rFonts w:ascii="Verdana" w:eastAsiaTheme="minorHAnsi" w:hAnsi="Verdana"/>
          <w:bCs/>
          <w:sz w:val="16"/>
          <w:szCs w:val="16"/>
          <w:lang w:val="es-ES"/>
        </w:rPr>
        <w:t xml:space="preserve">. Asimismo, </w:t>
      </w:r>
      <w:r w:rsidR="0016056C">
        <w:rPr>
          <w:rFonts w:ascii="Verdana" w:hAnsi="Verdana"/>
          <w:i/>
          <w:sz w:val="16"/>
          <w:szCs w:val="16"/>
          <w:lang w:val="es-ES"/>
        </w:rPr>
        <w:t>Caso Cinco Pensionistas V</w:t>
      </w:r>
      <w:r w:rsidR="002E5698" w:rsidRPr="00DD4AC4">
        <w:rPr>
          <w:rFonts w:ascii="Verdana" w:hAnsi="Verdana"/>
          <w:i/>
          <w:sz w:val="16"/>
          <w:szCs w:val="16"/>
          <w:lang w:val="es-ES"/>
        </w:rPr>
        <w:t xml:space="preserve">s. Perú. Supervisión de Cumplimiento de Sentencia. </w:t>
      </w:r>
      <w:r w:rsidR="002E5698" w:rsidRPr="00DD4AC4">
        <w:rPr>
          <w:rFonts w:ascii="Verdana" w:hAnsi="Verdana"/>
          <w:sz w:val="16"/>
          <w:szCs w:val="16"/>
          <w:lang w:val="es-ES"/>
        </w:rPr>
        <w:t xml:space="preserve">Resolución de la Corte Interamericana de Derechos Humanos de </w:t>
      </w:r>
      <w:r w:rsidR="002E5698" w:rsidRPr="006B43C7">
        <w:rPr>
          <w:rFonts w:ascii="Verdana" w:hAnsi="Verdana"/>
          <w:sz w:val="16"/>
          <w:szCs w:val="16"/>
          <w:lang w:val="es-ES"/>
        </w:rPr>
        <w:t>20 de octubre de 2016</w:t>
      </w:r>
      <w:r w:rsidR="002E5698" w:rsidRPr="00DD4AC4">
        <w:rPr>
          <w:rFonts w:ascii="Verdana" w:hAnsi="Verdana"/>
          <w:sz w:val="16"/>
          <w:szCs w:val="16"/>
          <w:lang w:val="es-ES"/>
        </w:rPr>
        <w:t xml:space="preserve">, Considerando </w:t>
      </w:r>
      <w:r w:rsidR="002E5698" w:rsidRPr="006B43C7">
        <w:rPr>
          <w:rFonts w:ascii="Verdana" w:hAnsi="Verdana"/>
          <w:sz w:val="16"/>
          <w:szCs w:val="16"/>
          <w:lang w:val="es-ES"/>
        </w:rPr>
        <w:t>83</w:t>
      </w:r>
      <w:r w:rsidR="007F31B1" w:rsidRPr="00DD4AC4">
        <w:rPr>
          <w:rFonts w:ascii="Verdana" w:hAnsi="Verdana"/>
          <w:sz w:val="16"/>
          <w:szCs w:val="16"/>
          <w:lang w:val="es-ES"/>
        </w:rPr>
        <w:t>.</w:t>
      </w:r>
    </w:p>
  </w:footnote>
  <w:footnote w:id="17">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Cfr</w:t>
      </w:r>
      <w:r w:rsidRPr="00DD4AC4">
        <w:rPr>
          <w:rFonts w:ascii="Verdana" w:hAnsi="Verdana"/>
          <w:sz w:val="16"/>
          <w:szCs w:val="16"/>
        </w:rPr>
        <w:t>. Informe estatal de 6 de marzo de 2013; informe estatal de 11 de diciembre de 2013; sentencia de 15 de julio de 2015 emitida por la Sala de Casación Penal de la Corte Suprema de Justicia (anex</w:t>
      </w:r>
      <w:r w:rsidR="0016056C">
        <w:rPr>
          <w:rFonts w:ascii="Verdana" w:hAnsi="Verdana"/>
          <w:sz w:val="16"/>
          <w:szCs w:val="16"/>
        </w:rPr>
        <w:t>o</w:t>
      </w:r>
      <w:r w:rsidRPr="00DD4AC4">
        <w:rPr>
          <w:rFonts w:ascii="Verdana" w:hAnsi="Verdana"/>
          <w:sz w:val="16"/>
          <w:szCs w:val="16"/>
        </w:rPr>
        <w:t xml:space="preserve"> al informe estatal de 19 de octubre de 2015); informe estatal de 4 de abril de 2016; resolución de </w:t>
      </w:r>
      <w:r w:rsidR="004A782A" w:rsidRPr="00DD4AC4">
        <w:rPr>
          <w:rFonts w:ascii="Verdana" w:hAnsi="Verdana"/>
          <w:sz w:val="16"/>
          <w:szCs w:val="16"/>
        </w:rPr>
        <w:t xml:space="preserve">calificación de sumario </w:t>
      </w:r>
      <w:r w:rsidRPr="00DD4AC4">
        <w:rPr>
          <w:rFonts w:ascii="Verdana" w:hAnsi="Verdana"/>
          <w:sz w:val="16"/>
          <w:szCs w:val="16"/>
        </w:rPr>
        <w:t xml:space="preserve">de 30 de agosto de 2010 emitida por la Fiscalía Veintiuna Especializada de la Unidad </w:t>
      </w:r>
      <w:r w:rsidR="004A782A" w:rsidRPr="00DD4AC4">
        <w:rPr>
          <w:rFonts w:ascii="Verdana" w:hAnsi="Verdana"/>
          <w:sz w:val="16"/>
          <w:szCs w:val="16"/>
        </w:rPr>
        <w:t xml:space="preserve">Nacional </w:t>
      </w:r>
      <w:r w:rsidRPr="00DD4AC4">
        <w:rPr>
          <w:rFonts w:ascii="Verdana" w:hAnsi="Verdana"/>
          <w:sz w:val="16"/>
          <w:szCs w:val="16"/>
        </w:rPr>
        <w:t>de Derechos Humanos y Derecho Internacional Humanitario de la Fisc</w:t>
      </w:r>
      <w:r w:rsidR="0016056C">
        <w:rPr>
          <w:rFonts w:ascii="Verdana" w:hAnsi="Verdana"/>
          <w:sz w:val="16"/>
          <w:szCs w:val="16"/>
        </w:rPr>
        <w:t>alía General de la Nación (anexo</w:t>
      </w:r>
      <w:r w:rsidRPr="00DD4AC4">
        <w:rPr>
          <w:rFonts w:ascii="Verdana" w:hAnsi="Verdana"/>
          <w:sz w:val="16"/>
          <w:szCs w:val="16"/>
        </w:rPr>
        <w:t xml:space="preserve"> al informe estatal de 2 de septiembre de 2016); sentencia de 9 de julio de 2008 emitida por el Juzgado Segundo Penal del </w:t>
      </w:r>
      <w:r w:rsidR="0016056C">
        <w:rPr>
          <w:rFonts w:ascii="Verdana" w:hAnsi="Verdana"/>
          <w:sz w:val="16"/>
          <w:szCs w:val="16"/>
        </w:rPr>
        <w:t>Circuito Santander de Quilichao;</w:t>
      </w:r>
      <w:r w:rsidRPr="00DD4AC4">
        <w:rPr>
          <w:rFonts w:ascii="Verdana" w:hAnsi="Verdana"/>
          <w:sz w:val="16"/>
          <w:szCs w:val="16"/>
        </w:rPr>
        <w:t xml:space="preserve"> sentencia de 11 de junio de 2010 emitida por </w:t>
      </w:r>
      <w:r w:rsidR="004A782A" w:rsidRPr="00DD4AC4">
        <w:rPr>
          <w:rFonts w:ascii="Verdana" w:hAnsi="Verdana"/>
          <w:sz w:val="16"/>
          <w:szCs w:val="16"/>
        </w:rPr>
        <w:t>la Sala de Decisión Penal d</w:t>
      </w:r>
      <w:r w:rsidRPr="00DD4AC4">
        <w:rPr>
          <w:rFonts w:ascii="Verdana" w:hAnsi="Verdana"/>
          <w:sz w:val="16"/>
          <w:szCs w:val="16"/>
        </w:rPr>
        <w:t>el Tribunal Superior del Distri</w:t>
      </w:r>
      <w:r w:rsidR="0016056C">
        <w:rPr>
          <w:rFonts w:ascii="Verdana" w:hAnsi="Verdana"/>
          <w:sz w:val="16"/>
          <w:szCs w:val="16"/>
        </w:rPr>
        <w:t>to Judicial de Popayán;</w:t>
      </w:r>
      <w:r w:rsidRPr="00DD4AC4">
        <w:rPr>
          <w:rFonts w:ascii="Verdana" w:hAnsi="Verdana"/>
          <w:sz w:val="16"/>
          <w:szCs w:val="16"/>
        </w:rPr>
        <w:t xml:space="preserve"> resolución de 5 de abril de 2010 emitida por la Fiscalía Veintiuna Especializada de la Unidad </w:t>
      </w:r>
      <w:r w:rsidR="004A782A" w:rsidRPr="00DD4AC4">
        <w:rPr>
          <w:rFonts w:ascii="Verdana" w:hAnsi="Verdana"/>
          <w:sz w:val="16"/>
          <w:szCs w:val="16"/>
        </w:rPr>
        <w:t xml:space="preserve">Nacional </w:t>
      </w:r>
      <w:r w:rsidRPr="00DD4AC4">
        <w:rPr>
          <w:rFonts w:ascii="Verdana" w:hAnsi="Verdana"/>
          <w:sz w:val="16"/>
          <w:szCs w:val="16"/>
        </w:rPr>
        <w:t>de Derechos Humanos y Derecho Internacional Humanitario de la Fiscalía General de la Nación</w:t>
      </w:r>
      <w:r w:rsidR="0016056C">
        <w:rPr>
          <w:rFonts w:ascii="Verdana" w:hAnsi="Verdana"/>
          <w:sz w:val="16"/>
          <w:szCs w:val="16"/>
        </w:rPr>
        <w:t>;</w:t>
      </w:r>
      <w:r w:rsidRPr="00DD4AC4">
        <w:rPr>
          <w:rFonts w:ascii="Verdana" w:hAnsi="Verdana"/>
          <w:sz w:val="16"/>
          <w:szCs w:val="16"/>
        </w:rPr>
        <w:t xml:space="preserve"> sentencia de 26 de abril de 2012 emitida por el Juzgado Primero Penal del Circuito Especializado</w:t>
      </w:r>
      <w:r w:rsidR="004A782A" w:rsidRPr="00DD4AC4">
        <w:rPr>
          <w:rFonts w:ascii="Verdana" w:hAnsi="Verdana"/>
          <w:sz w:val="16"/>
          <w:szCs w:val="16"/>
        </w:rPr>
        <w:t xml:space="preserve"> de Popayán</w:t>
      </w:r>
      <w:r w:rsidRPr="00DD4AC4">
        <w:rPr>
          <w:rFonts w:ascii="Verdana" w:hAnsi="Verdana"/>
          <w:sz w:val="16"/>
          <w:szCs w:val="16"/>
        </w:rPr>
        <w:t xml:space="preserve"> y sentencia de 5 de mayo de 2014 emitida por la Sala de Decisión Penal del Tribunal Superior del Dis</w:t>
      </w:r>
      <w:r w:rsidR="0016056C">
        <w:rPr>
          <w:rFonts w:ascii="Verdana" w:hAnsi="Verdana"/>
          <w:sz w:val="16"/>
          <w:szCs w:val="16"/>
        </w:rPr>
        <w:t>trito Judicial de Popayán (anexo</w:t>
      </w:r>
      <w:r w:rsidRPr="00DD4AC4">
        <w:rPr>
          <w:rFonts w:ascii="Verdana" w:hAnsi="Verdana"/>
          <w:sz w:val="16"/>
          <w:szCs w:val="16"/>
        </w:rPr>
        <w:t>s al informe estatal de 12 de septiembre de 2016), e informe estatal de 14 de octubre de 2016.</w:t>
      </w:r>
    </w:p>
  </w:footnote>
  <w:footnote w:id="18">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 xml:space="preserve">Cfr. </w:t>
      </w:r>
      <w:r w:rsidRPr="00DD4AC4">
        <w:rPr>
          <w:rFonts w:ascii="Verdana" w:hAnsi="Verdana"/>
          <w:sz w:val="16"/>
          <w:szCs w:val="16"/>
        </w:rPr>
        <w:t>Escritos de observaciones de los representantes de las víctimas de 1 de julio de 2011, 29 de julio de 2013, 27 de enero y 20 de junio de 2016.</w:t>
      </w:r>
    </w:p>
  </w:footnote>
  <w:footnote w:id="19">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 xml:space="preserve">Cfr. </w:t>
      </w:r>
      <w:r w:rsidRPr="00DD4AC4">
        <w:rPr>
          <w:rFonts w:ascii="Verdana" w:hAnsi="Verdana"/>
          <w:sz w:val="16"/>
          <w:szCs w:val="16"/>
        </w:rPr>
        <w:t xml:space="preserve">Escritos de observaciones de la Comisión Interamericana de 14 de abril </w:t>
      </w:r>
      <w:r w:rsidR="004173B3" w:rsidRPr="00DD4AC4">
        <w:rPr>
          <w:rFonts w:ascii="Verdana" w:hAnsi="Verdana"/>
          <w:sz w:val="16"/>
          <w:szCs w:val="16"/>
        </w:rPr>
        <w:t xml:space="preserve">y 21 de octubre </w:t>
      </w:r>
      <w:r w:rsidRPr="00DD4AC4">
        <w:rPr>
          <w:rFonts w:ascii="Verdana" w:hAnsi="Verdana"/>
          <w:sz w:val="16"/>
          <w:szCs w:val="16"/>
        </w:rPr>
        <w:t>de 2011</w:t>
      </w:r>
      <w:r w:rsidR="004173B3" w:rsidRPr="00DD4AC4">
        <w:rPr>
          <w:rFonts w:ascii="Verdana" w:hAnsi="Verdana"/>
          <w:sz w:val="16"/>
          <w:szCs w:val="16"/>
        </w:rPr>
        <w:t>;</w:t>
      </w:r>
      <w:r w:rsidRPr="00DD4AC4">
        <w:rPr>
          <w:rFonts w:ascii="Verdana" w:hAnsi="Verdana"/>
          <w:sz w:val="16"/>
          <w:szCs w:val="16"/>
        </w:rPr>
        <w:t xml:space="preserve"> 3 de mayo y 14 de agosto de 2013</w:t>
      </w:r>
      <w:r w:rsidR="004173B3" w:rsidRPr="00DD4AC4">
        <w:rPr>
          <w:rFonts w:ascii="Verdana" w:hAnsi="Verdana"/>
          <w:sz w:val="16"/>
          <w:szCs w:val="16"/>
        </w:rPr>
        <w:t>;</w:t>
      </w:r>
      <w:r w:rsidRPr="00DD4AC4">
        <w:rPr>
          <w:rFonts w:ascii="Verdana" w:hAnsi="Verdana"/>
          <w:sz w:val="16"/>
          <w:szCs w:val="16"/>
        </w:rPr>
        <w:t xml:space="preserve"> 6 de marzo de 2014</w:t>
      </w:r>
      <w:r w:rsidR="004173B3" w:rsidRPr="00DD4AC4">
        <w:rPr>
          <w:rFonts w:ascii="Verdana" w:hAnsi="Verdana"/>
          <w:sz w:val="16"/>
          <w:szCs w:val="16"/>
        </w:rPr>
        <w:t>;</w:t>
      </w:r>
      <w:r w:rsidRPr="00DD4AC4">
        <w:rPr>
          <w:rFonts w:ascii="Verdana" w:hAnsi="Verdana"/>
          <w:sz w:val="16"/>
          <w:szCs w:val="16"/>
        </w:rPr>
        <w:t xml:space="preserve"> 8 de diciembre de 2015 y 7 de junio de 2016.</w:t>
      </w:r>
    </w:p>
  </w:footnote>
  <w:footnote w:id="20">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sz w:val="16"/>
          <w:szCs w:val="16"/>
        </w:rPr>
        <w:t xml:space="preserve">Los representantes expresaron en julio de 2011 que la condena de dos cabos por el homicidio del señor Germán </w:t>
      </w:r>
      <w:proofErr w:type="spellStart"/>
      <w:r w:rsidRPr="00DD4AC4">
        <w:rPr>
          <w:rFonts w:ascii="Verdana" w:hAnsi="Verdana"/>
          <w:sz w:val="16"/>
          <w:szCs w:val="16"/>
        </w:rPr>
        <w:t>Escué</w:t>
      </w:r>
      <w:proofErr w:type="spellEnd"/>
      <w:r w:rsidRPr="00DD4AC4">
        <w:rPr>
          <w:rFonts w:ascii="Verdana" w:hAnsi="Verdana"/>
          <w:sz w:val="16"/>
          <w:szCs w:val="16"/>
        </w:rPr>
        <w:t xml:space="preserve"> Zapata era un “</w:t>
      </w:r>
      <w:proofErr w:type="spellStart"/>
      <w:r w:rsidRPr="00DD4AC4">
        <w:rPr>
          <w:rFonts w:ascii="Verdana" w:hAnsi="Verdana"/>
          <w:sz w:val="16"/>
          <w:szCs w:val="16"/>
        </w:rPr>
        <w:t>avanc</w:t>
      </w:r>
      <w:proofErr w:type="spellEnd"/>
      <w:r w:rsidRPr="00DD4AC4">
        <w:rPr>
          <w:rFonts w:ascii="Verdana" w:hAnsi="Verdana"/>
          <w:sz w:val="16"/>
          <w:szCs w:val="16"/>
        </w:rPr>
        <w:t xml:space="preserve">[e] </w:t>
      </w:r>
      <w:proofErr w:type="spellStart"/>
      <w:r w:rsidRPr="00DD4AC4">
        <w:rPr>
          <w:rFonts w:ascii="Verdana" w:hAnsi="Verdana"/>
          <w:sz w:val="16"/>
          <w:szCs w:val="16"/>
        </w:rPr>
        <w:t>significativ</w:t>
      </w:r>
      <w:proofErr w:type="spellEnd"/>
      <w:r w:rsidRPr="00DD4AC4">
        <w:rPr>
          <w:rFonts w:ascii="Verdana" w:hAnsi="Verdana"/>
          <w:sz w:val="16"/>
          <w:szCs w:val="16"/>
        </w:rPr>
        <w:t>[o]”. No obstante, consideraron que la absolución del “único autor intelectual investigado por el homicidio” mediante sentencia de 11 de junio de 2010 del Tribunal Superior de Popayán impidió “res[</w:t>
      </w:r>
      <w:proofErr w:type="spellStart"/>
      <w:r w:rsidRPr="00DD4AC4">
        <w:rPr>
          <w:rFonts w:ascii="Verdana" w:hAnsi="Verdana"/>
          <w:sz w:val="16"/>
          <w:szCs w:val="16"/>
        </w:rPr>
        <w:t>olver</w:t>
      </w:r>
      <w:proofErr w:type="spellEnd"/>
      <w:r w:rsidRPr="00DD4AC4">
        <w:rPr>
          <w:rFonts w:ascii="Verdana" w:hAnsi="Verdana"/>
          <w:sz w:val="16"/>
          <w:szCs w:val="16"/>
        </w:rPr>
        <w:t>] las dudas que existen en torno a quién ordenó el homicidio […</w:t>
      </w:r>
      <w:r w:rsidR="00207220" w:rsidRPr="00DD4AC4">
        <w:rPr>
          <w:rFonts w:ascii="Verdana" w:hAnsi="Verdana"/>
          <w:sz w:val="16"/>
          <w:szCs w:val="16"/>
        </w:rPr>
        <w:t xml:space="preserve"> y </w:t>
      </w:r>
      <w:r w:rsidRPr="00DD4AC4">
        <w:rPr>
          <w:rFonts w:ascii="Verdana" w:hAnsi="Verdana"/>
          <w:sz w:val="16"/>
          <w:szCs w:val="16"/>
        </w:rPr>
        <w:t>] cuál era el móvil del mismo”.</w:t>
      </w:r>
      <w:r w:rsidRPr="00DD4AC4">
        <w:rPr>
          <w:rFonts w:ascii="Verdana" w:hAnsi="Verdana"/>
          <w:b/>
          <w:sz w:val="16"/>
          <w:szCs w:val="16"/>
        </w:rPr>
        <w:t xml:space="preserve"> </w:t>
      </w:r>
      <w:r w:rsidRPr="00DD4AC4">
        <w:rPr>
          <w:rFonts w:ascii="Verdana" w:hAnsi="Verdana"/>
          <w:sz w:val="16"/>
          <w:szCs w:val="16"/>
        </w:rPr>
        <w:t>En junio de 2016, los representantes indicaron que el Estado “</w:t>
      </w:r>
      <w:proofErr w:type="gramStart"/>
      <w:r w:rsidRPr="00DD4AC4">
        <w:rPr>
          <w:rFonts w:ascii="Verdana" w:hAnsi="Verdana"/>
          <w:sz w:val="16"/>
          <w:szCs w:val="16"/>
        </w:rPr>
        <w:t>ha[</w:t>
      </w:r>
      <w:proofErr w:type="spellStart"/>
      <w:proofErr w:type="gramEnd"/>
      <w:r w:rsidRPr="00DD4AC4">
        <w:rPr>
          <w:rFonts w:ascii="Verdana" w:hAnsi="Verdana"/>
          <w:sz w:val="16"/>
          <w:szCs w:val="16"/>
        </w:rPr>
        <w:t>bía</w:t>
      </w:r>
      <w:proofErr w:type="spellEnd"/>
      <w:r w:rsidRPr="00DD4AC4">
        <w:rPr>
          <w:rFonts w:ascii="Verdana" w:hAnsi="Verdana"/>
          <w:sz w:val="16"/>
          <w:szCs w:val="16"/>
        </w:rPr>
        <w:t xml:space="preserve">] avanzado en el cumplimiento de la obligación de investigar” en razón de “la condena de siete miembros de las Fuerzas Armadas [como coautores del delito de tortura] y la caracterización de las violaciones a la integridad [del señor] </w:t>
      </w:r>
      <w:proofErr w:type="spellStart"/>
      <w:r w:rsidRPr="00DD4AC4">
        <w:rPr>
          <w:rFonts w:ascii="Verdana" w:hAnsi="Verdana"/>
          <w:sz w:val="16"/>
          <w:szCs w:val="16"/>
        </w:rPr>
        <w:t>Escué</w:t>
      </w:r>
      <w:proofErr w:type="spellEnd"/>
      <w:r w:rsidRPr="00DD4AC4">
        <w:rPr>
          <w:rFonts w:ascii="Verdana" w:hAnsi="Verdana"/>
          <w:sz w:val="16"/>
          <w:szCs w:val="16"/>
        </w:rPr>
        <w:t xml:space="preserve"> Zapata como delitos de lesa humanidad”</w:t>
      </w:r>
      <w:r w:rsidR="002305C9" w:rsidRPr="00DD4AC4">
        <w:rPr>
          <w:rFonts w:ascii="Verdana" w:hAnsi="Verdana"/>
          <w:sz w:val="16"/>
          <w:szCs w:val="16"/>
        </w:rPr>
        <w:t>, pero mantuvieron su objeción relativa a la investigación de las posibles autorías intelectuales</w:t>
      </w:r>
      <w:r w:rsidRPr="00DD4AC4">
        <w:rPr>
          <w:rFonts w:ascii="Verdana" w:hAnsi="Verdana"/>
          <w:sz w:val="16"/>
          <w:szCs w:val="16"/>
        </w:rPr>
        <w:t xml:space="preserve">. </w:t>
      </w:r>
      <w:r w:rsidR="00C41676" w:rsidRPr="00DD4AC4">
        <w:rPr>
          <w:rFonts w:ascii="Verdana" w:hAnsi="Verdana"/>
          <w:i/>
          <w:sz w:val="16"/>
          <w:szCs w:val="16"/>
        </w:rPr>
        <w:t>Cfr.</w:t>
      </w:r>
      <w:r w:rsidR="00C41676" w:rsidRPr="00DD4AC4">
        <w:rPr>
          <w:rFonts w:ascii="Verdana" w:hAnsi="Verdana"/>
          <w:sz w:val="16"/>
          <w:szCs w:val="16"/>
        </w:rPr>
        <w:t xml:space="preserve"> Escritos de observaciones de los representantes de las víctimas de 1 de julio de 2011, 29 de julio de 2013, 27 de enero y 20 de junio de 2016.</w:t>
      </w:r>
    </w:p>
  </w:footnote>
  <w:footnote w:id="21">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t>En sus observaciones de junio de 2016 la Comisión “valor[</w:t>
      </w:r>
      <w:proofErr w:type="spellStart"/>
      <w:r w:rsidRPr="006B43C7">
        <w:rPr>
          <w:rFonts w:ascii="Verdana" w:hAnsi="Verdana"/>
          <w:sz w:val="16"/>
          <w:szCs w:val="16"/>
        </w:rPr>
        <w:t>ó</w:t>
      </w:r>
      <w:proofErr w:type="spellEnd"/>
      <w:r w:rsidRPr="006B43C7">
        <w:rPr>
          <w:rFonts w:ascii="Verdana" w:hAnsi="Verdana"/>
          <w:sz w:val="16"/>
          <w:szCs w:val="16"/>
        </w:rPr>
        <w:t>]</w:t>
      </w:r>
      <w:r w:rsidR="0016056C">
        <w:rPr>
          <w:rFonts w:ascii="Verdana" w:hAnsi="Verdana"/>
          <w:sz w:val="16"/>
          <w:szCs w:val="16"/>
        </w:rPr>
        <w:t xml:space="preserve"> </w:t>
      </w:r>
      <w:r w:rsidRPr="006B43C7">
        <w:rPr>
          <w:rFonts w:ascii="Verdana" w:hAnsi="Verdana"/>
          <w:sz w:val="16"/>
          <w:szCs w:val="16"/>
        </w:rPr>
        <w:t xml:space="preserve">los esfuerzos realizados por el Estado para avanzar en el cumplimiento de esta reparación” y reiteró sus observaciones realizadas en agosto de 2013 y diciembre </w:t>
      </w:r>
      <w:r w:rsidRPr="00DD4AC4">
        <w:rPr>
          <w:rFonts w:ascii="Verdana" w:hAnsi="Verdana"/>
          <w:sz w:val="16"/>
          <w:szCs w:val="16"/>
        </w:rPr>
        <w:t xml:space="preserve">de 2015 en el sentido de que el Estado debía aportar información específica sobre la existencia de iniciativas investigativas distintas a las conocidas dentro del proceso de supervisión de cumplimiento, </w:t>
      </w:r>
      <w:r w:rsidR="006138B3" w:rsidRPr="00DD4AC4">
        <w:rPr>
          <w:rFonts w:ascii="Verdana" w:hAnsi="Verdana"/>
          <w:sz w:val="16"/>
          <w:szCs w:val="16"/>
        </w:rPr>
        <w:t>“</w:t>
      </w:r>
      <w:r w:rsidRPr="00DD4AC4">
        <w:rPr>
          <w:rFonts w:ascii="Verdana" w:hAnsi="Verdana"/>
          <w:sz w:val="16"/>
          <w:szCs w:val="16"/>
        </w:rPr>
        <w:t>dirigidas a profundizar sobre posibles autorías intelectuales”.</w:t>
      </w:r>
      <w:r w:rsidRPr="00DD4AC4">
        <w:rPr>
          <w:rFonts w:ascii="Verdana" w:hAnsi="Verdana"/>
          <w:b/>
          <w:sz w:val="16"/>
          <w:szCs w:val="16"/>
        </w:rPr>
        <w:t xml:space="preserve"> </w:t>
      </w:r>
      <w:r w:rsidR="00C41676" w:rsidRPr="00DD4AC4">
        <w:rPr>
          <w:rFonts w:ascii="Verdana" w:hAnsi="Verdana"/>
          <w:i/>
          <w:sz w:val="16"/>
          <w:szCs w:val="16"/>
        </w:rPr>
        <w:t xml:space="preserve">Cfr. </w:t>
      </w:r>
      <w:r w:rsidR="00C41676" w:rsidRPr="00DD4AC4">
        <w:rPr>
          <w:rFonts w:ascii="Verdana" w:hAnsi="Verdana"/>
          <w:sz w:val="16"/>
          <w:szCs w:val="16"/>
        </w:rPr>
        <w:t>Escritos de observaciones de la Comisión Interamericana de 3 de mayo y 14 de agosto de 2013, 8 de diciembre de 2015 y 7 de junio de 2016.</w:t>
      </w:r>
    </w:p>
  </w:footnote>
  <w:footnote w:id="22">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009B6392" w:rsidRPr="00DD4AC4">
        <w:rPr>
          <w:rFonts w:ascii="Verdana" w:hAnsi="Verdana"/>
          <w:i/>
          <w:sz w:val="16"/>
          <w:szCs w:val="16"/>
        </w:rPr>
        <w:t xml:space="preserve">Cfr. </w:t>
      </w:r>
      <w:r w:rsidR="009B6392" w:rsidRPr="00DD4AC4">
        <w:rPr>
          <w:rFonts w:ascii="Verdana" w:hAnsi="Verdana"/>
          <w:sz w:val="16"/>
          <w:szCs w:val="16"/>
        </w:rPr>
        <w:t>Escrito de observaciones de la Comisión Interamericana de 7 de junio de 2016 y escrito de observaciones de los representantes 20 de junio de 2016.</w:t>
      </w:r>
    </w:p>
  </w:footnote>
  <w:footnote w:id="23">
    <w:p w:rsidR="00BA70F8" w:rsidRPr="00DD4AC4" w:rsidRDefault="00BA70F8" w:rsidP="00DD4AC4">
      <w:pPr>
        <w:pStyle w:val="FootnoteText"/>
        <w:jc w:val="both"/>
        <w:rPr>
          <w:rFonts w:ascii="Verdana" w:hAnsi="Verdana"/>
          <w:i/>
          <w:sz w:val="16"/>
          <w:szCs w:val="16"/>
          <w:lang w:val="es-CR"/>
        </w:rPr>
      </w:pPr>
      <w:r w:rsidRPr="006B43C7">
        <w:rPr>
          <w:rStyle w:val="FootnoteReference"/>
          <w:rFonts w:ascii="Verdana" w:hAnsi="Verdana"/>
          <w:sz w:val="16"/>
          <w:szCs w:val="16"/>
        </w:rPr>
        <w:footnoteRef/>
      </w:r>
      <w:r w:rsidRPr="006B43C7">
        <w:rPr>
          <w:rFonts w:ascii="Verdana" w:hAnsi="Verdana"/>
          <w:sz w:val="16"/>
          <w:szCs w:val="16"/>
        </w:rPr>
        <w:t xml:space="preserve"> </w:t>
      </w:r>
      <w:r w:rsidRPr="00DD4AC4">
        <w:rPr>
          <w:rFonts w:ascii="Verdana" w:hAnsi="Verdana"/>
          <w:sz w:val="16"/>
          <w:szCs w:val="16"/>
          <w:lang w:val="es-CR"/>
        </w:rPr>
        <w:tab/>
      </w:r>
      <w:r w:rsidRPr="00DD4AC4">
        <w:rPr>
          <w:rFonts w:ascii="Verdana" w:hAnsi="Verdana"/>
          <w:i/>
          <w:sz w:val="16"/>
          <w:szCs w:val="16"/>
          <w:lang w:val="es-CR"/>
        </w:rPr>
        <w:t xml:space="preserve">Cfr. </w:t>
      </w:r>
      <w:r w:rsidRPr="00DD4AC4">
        <w:rPr>
          <w:rFonts w:ascii="Verdana" w:hAnsi="Verdana"/>
          <w:sz w:val="16"/>
          <w:szCs w:val="16"/>
          <w:lang w:val="es-CR"/>
        </w:rPr>
        <w:t xml:space="preserve">Informe estatal de 8 de junio de 2011, informe estatal de 6 de marzo de 2013 y </w:t>
      </w:r>
      <w:r w:rsidR="003C7180" w:rsidRPr="00DD4AC4">
        <w:rPr>
          <w:rFonts w:ascii="Verdana" w:hAnsi="Verdana"/>
          <w:sz w:val="16"/>
          <w:szCs w:val="16"/>
        </w:rPr>
        <w:t>s</w:t>
      </w:r>
      <w:r w:rsidRPr="00DD4AC4">
        <w:rPr>
          <w:rFonts w:ascii="Verdana" w:hAnsi="Verdana"/>
          <w:sz w:val="16"/>
          <w:szCs w:val="16"/>
        </w:rPr>
        <w:t>entencia de 9 de julio de 2008 emitida por el Juzgado Segundo Penal del Circuito</w:t>
      </w:r>
      <w:r w:rsidR="003C7180" w:rsidRPr="00DD4AC4">
        <w:rPr>
          <w:rFonts w:ascii="Verdana" w:hAnsi="Verdana"/>
          <w:sz w:val="16"/>
          <w:szCs w:val="16"/>
        </w:rPr>
        <w:t xml:space="preserve"> de</w:t>
      </w:r>
      <w:r w:rsidR="0016056C">
        <w:rPr>
          <w:rFonts w:ascii="Verdana" w:hAnsi="Verdana"/>
          <w:sz w:val="16"/>
          <w:szCs w:val="16"/>
        </w:rPr>
        <w:t xml:space="preserve"> Santander de Quilichao (anexo</w:t>
      </w:r>
      <w:r w:rsidRPr="00DD4AC4">
        <w:rPr>
          <w:rFonts w:ascii="Verdana" w:hAnsi="Verdana"/>
          <w:sz w:val="16"/>
          <w:szCs w:val="16"/>
        </w:rPr>
        <w:t xml:space="preserve"> al informe estatal de 12 de septiembre de 2016).</w:t>
      </w:r>
    </w:p>
  </w:footnote>
  <w:footnote w:id="24">
    <w:p w:rsidR="002270BE" w:rsidRPr="00DD4AC4" w:rsidRDefault="002270BE"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00E446A9" w:rsidRPr="00DD4AC4">
        <w:rPr>
          <w:rFonts w:ascii="Verdana" w:hAnsi="Verdana"/>
          <w:i/>
          <w:sz w:val="16"/>
          <w:szCs w:val="16"/>
        </w:rPr>
        <w:t xml:space="preserve">Cfr. </w:t>
      </w:r>
      <w:r w:rsidR="00E446A9" w:rsidRPr="00DD4AC4">
        <w:rPr>
          <w:rFonts w:ascii="Verdana" w:hAnsi="Verdana"/>
          <w:sz w:val="16"/>
          <w:szCs w:val="16"/>
        </w:rPr>
        <w:t xml:space="preserve">Sentencia de 11 de junio de 2010, </w:t>
      </w:r>
      <w:r w:rsidR="00E446A9" w:rsidRPr="00DD4AC4">
        <w:rPr>
          <w:rFonts w:ascii="Verdana" w:hAnsi="Verdana"/>
          <w:i/>
          <w:sz w:val="16"/>
          <w:szCs w:val="16"/>
        </w:rPr>
        <w:t xml:space="preserve">supra </w:t>
      </w:r>
      <w:r w:rsidR="00E446A9" w:rsidRPr="00DD4AC4">
        <w:rPr>
          <w:rFonts w:ascii="Verdana" w:hAnsi="Verdana"/>
          <w:sz w:val="16"/>
          <w:szCs w:val="16"/>
        </w:rPr>
        <w:t>nota 17.</w:t>
      </w:r>
    </w:p>
  </w:footnote>
  <w:footnote w:id="25">
    <w:p w:rsidR="00BA70F8" w:rsidRPr="00DD4AC4" w:rsidRDefault="00BA70F8" w:rsidP="00DD4AC4">
      <w:pPr>
        <w:pStyle w:val="FootnoteText"/>
        <w:jc w:val="both"/>
        <w:rPr>
          <w:rFonts w:ascii="Verdana" w:hAnsi="Verdana"/>
          <w:sz w:val="16"/>
          <w:szCs w:val="16"/>
          <w:lang w:val="es-CR"/>
        </w:rPr>
      </w:pPr>
      <w:r w:rsidRPr="006B43C7">
        <w:rPr>
          <w:rStyle w:val="FootnoteReference"/>
          <w:rFonts w:ascii="Verdana" w:hAnsi="Verdana"/>
          <w:sz w:val="16"/>
          <w:szCs w:val="16"/>
        </w:rPr>
        <w:footnoteRef/>
      </w:r>
      <w:r w:rsidRPr="006B43C7">
        <w:rPr>
          <w:rFonts w:ascii="Verdana" w:hAnsi="Verdana"/>
          <w:sz w:val="16"/>
          <w:szCs w:val="16"/>
        </w:rPr>
        <w:t xml:space="preserve"> </w:t>
      </w:r>
      <w:r w:rsidRPr="00DD4AC4">
        <w:rPr>
          <w:rFonts w:ascii="Verdana" w:hAnsi="Verdana"/>
          <w:sz w:val="16"/>
          <w:szCs w:val="16"/>
          <w:lang w:val="es-CR"/>
        </w:rPr>
        <w:tab/>
      </w:r>
      <w:r w:rsidRPr="00DD4AC4">
        <w:rPr>
          <w:rFonts w:ascii="Verdana" w:hAnsi="Verdana"/>
          <w:i/>
          <w:sz w:val="16"/>
          <w:szCs w:val="16"/>
          <w:lang w:val="es-CR"/>
        </w:rPr>
        <w:t xml:space="preserve">Cfr. </w:t>
      </w:r>
      <w:r w:rsidRPr="00DD4AC4">
        <w:rPr>
          <w:rFonts w:ascii="Verdana" w:hAnsi="Verdana"/>
          <w:sz w:val="16"/>
          <w:szCs w:val="16"/>
          <w:lang w:val="es-CR"/>
        </w:rPr>
        <w:t xml:space="preserve">Informe estatal de 8 de junio de 2011, informe estatal de 6 de marzo de 2013 y </w:t>
      </w:r>
      <w:r w:rsidRPr="00DD4AC4">
        <w:rPr>
          <w:rFonts w:ascii="Verdana" w:hAnsi="Verdana"/>
          <w:sz w:val="16"/>
          <w:szCs w:val="16"/>
        </w:rPr>
        <w:t xml:space="preserve">sentencia de 11 de junio de 2010, </w:t>
      </w:r>
      <w:r w:rsidRPr="00DD4AC4">
        <w:rPr>
          <w:rFonts w:ascii="Verdana" w:hAnsi="Verdana"/>
          <w:i/>
          <w:sz w:val="16"/>
          <w:szCs w:val="16"/>
        </w:rPr>
        <w:t xml:space="preserve">supra </w:t>
      </w:r>
      <w:r w:rsidRPr="00DD4AC4">
        <w:rPr>
          <w:rFonts w:ascii="Verdana" w:hAnsi="Verdana"/>
          <w:sz w:val="16"/>
          <w:szCs w:val="16"/>
        </w:rPr>
        <w:t xml:space="preserve">nota </w:t>
      </w:r>
      <w:r w:rsidR="001C090F" w:rsidRPr="00DD4AC4">
        <w:rPr>
          <w:rFonts w:ascii="Verdana" w:hAnsi="Verdana"/>
          <w:sz w:val="16"/>
          <w:szCs w:val="16"/>
        </w:rPr>
        <w:t>17</w:t>
      </w:r>
      <w:r w:rsidRPr="00DD4AC4">
        <w:rPr>
          <w:rFonts w:ascii="Verdana" w:hAnsi="Verdana"/>
          <w:sz w:val="16"/>
          <w:szCs w:val="16"/>
        </w:rPr>
        <w:t>.</w:t>
      </w:r>
    </w:p>
  </w:footnote>
  <w:footnote w:id="26">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00E446A9" w:rsidRPr="00DD4AC4">
        <w:rPr>
          <w:rFonts w:ascii="Verdana" w:hAnsi="Verdana"/>
          <w:i/>
          <w:sz w:val="16"/>
          <w:szCs w:val="16"/>
        </w:rPr>
        <w:t xml:space="preserve">Cfr. </w:t>
      </w:r>
      <w:r w:rsidR="00E446A9" w:rsidRPr="00DD4AC4">
        <w:rPr>
          <w:rFonts w:ascii="Verdana" w:hAnsi="Verdana"/>
          <w:sz w:val="16"/>
          <w:szCs w:val="16"/>
        </w:rPr>
        <w:t xml:space="preserve">Sentencia de 11 de junio de 2010, </w:t>
      </w:r>
      <w:r w:rsidR="00E446A9" w:rsidRPr="00DD4AC4">
        <w:rPr>
          <w:rFonts w:ascii="Verdana" w:hAnsi="Verdana"/>
          <w:i/>
          <w:sz w:val="16"/>
          <w:szCs w:val="16"/>
        </w:rPr>
        <w:t xml:space="preserve">supra </w:t>
      </w:r>
      <w:r w:rsidR="00E446A9" w:rsidRPr="00DD4AC4">
        <w:rPr>
          <w:rFonts w:ascii="Verdana" w:hAnsi="Verdana"/>
          <w:sz w:val="16"/>
          <w:szCs w:val="16"/>
        </w:rPr>
        <w:t>nota 17.</w:t>
      </w:r>
    </w:p>
  </w:footnote>
  <w:footnote w:id="27">
    <w:p w:rsidR="00C31C81" w:rsidRPr="00DD4AC4" w:rsidRDefault="00C31C81"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008A476E" w:rsidRPr="00DD4AC4">
        <w:rPr>
          <w:rFonts w:ascii="Verdana" w:hAnsi="Verdana"/>
          <w:i/>
          <w:sz w:val="16"/>
          <w:szCs w:val="16"/>
        </w:rPr>
        <w:t xml:space="preserve">Cfr. </w:t>
      </w:r>
      <w:r w:rsidR="003C7180" w:rsidRPr="00DD4AC4">
        <w:rPr>
          <w:rFonts w:ascii="Verdana" w:hAnsi="Verdana"/>
          <w:sz w:val="16"/>
          <w:szCs w:val="16"/>
        </w:rPr>
        <w:t>Informes estatales de 8 de junio de 2011 y 6 de marzo de 2013</w:t>
      </w:r>
      <w:r w:rsidR="008A476E" w:rsidRPr="00DD4AC4">
        <w:rPr>
          <w:rFonts w:ascii="Verdana" w:hAnsi="Verdana"/>
          <w:sz w:val="16"/>
          <w:szCs w:val="16"/>
        </w:rPr>
        <w:t xml:space="preserve">. </w:t>
      </w:r>
    </w:p>
  </w:footnote>
  <w:footnote w:id="28">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lang w:val="es-CR"/>
        </w:rPr>
        <w:t xml:space="preserve">Cfr. </w:t>
      </w:r>
      <w:r w:rsidRPr="00DD4AC4">
        <w:rPr>
          <w:rFonts w:ascii="Verdana" w:hAnsi="Verdana"/>
          <w:sz w:val="16"/>
          <w:szCs w:val="16"/>
          <w:lang w:val="es-CR"/>
        </w:rPr>
        <w:t>Informe estatal de 8 de junio de 2011, informe estatal de 6 de marzo de 2013</w:t>
      </w:r>
      <w:r w:rsidRPr="00DD4AC4">
        <w:rPr>
          <w:rFonts w:ascii="Verdana" w:hAnsi="Verdana"/>
          <w:sz w:val="16"/>
          <w:szCs w:val="16"/>
        </w:rPr>
        <w:t xml:space="preserve"> y escrito de observaciones de los representantes de las víctimas de 29 de julio de 2013.</w:t>
      </w:r>
    </w:p>
  </w:footnote>
  <w:footnote w:id="29">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 xml:space="preserve">Cfr. </w:t>
      </w:r>
      <w:r w:rsidRPr="00DD4AC4">
        <w:rPr>
          <w:rFonts w:ascii="Verdana" w:hAnsi="Verdana"/>
          <w:sz w:val="16"/>
          <w:szCs w:val="16"/>
        </w:rPr>
        <w:t>Resolución de 5 de abril de 2010</w:t>
      </w:r>
      <w:r w:rsidR="00CE6339">
        <w:rPr>
          <w:rFonts w:ascii="Verdana" w:hAnsi="Verdana"/>
          <w:sz w:val="16"/>
          <w:szCs w:val="16"/>
        </w:rPr>
        <w:t>,</w:t>
      </w:r>
      <w:r w:rsidRPr="00DD4AC4">
        <w:rPr>
          <w:rFonts w:ascii="Verdana" w:hAnsi="Verdana"/>
          <w:sz w:val="16"/>
          <w:szCs w:val="16"/>
        </w:rPr>
        <w:t xml:space="preserve"> </w:t>
      </w:r>
      <w:r w:rsidRPr="00DD4AC4">
        <w:rPr>
          <w:rFonts w:ascii="Verdana" w:hAnsi="Verdana"/>
          <w:i/>
          <w:sz w:val="16"/>
          <w:szCs w:val="16"/>
        </w:rPr>
        <w:t xml:space="preserve">supra </w:t>
      </w:r>
      <w:r w:rsidRPr="00DD4AC4">
        <w:rPr>
          <w:rFonts w:ascii="Verdana" w:hAnsi="Verdana"/>
          <w:sz w:val="16"/>
          <w:szCs w:val="16"/>
        </w:rPr>
        <w:t xml:space="preserve">nota </w:t>
      </w:r>
      <w:r w:rsidR="001C090F" w:rsidRPr="00DD4AC4">
        <w:rPr>
          <w:rFonts w:ascii="Verdana" w:hAnsi="Verdana"/>
          <w:sz w:val="16"/>
          <w:szCs w:val="16"/>
        </w:rPr>
        <w:t>17</w:t>
      </w:r>
      <w:r w:rsidRPr="00DD4AC4">
        <w:rPr>
          <w:rFonts w:ascii="Verdana" w:hAnsi="Verdana"/>
          <w:sz w:val="16"/>
          <w:szCs w:val="16"/>
        </w:rPr>
        <w:t>.</w:t>
      </w:r>
    </w:p>
  </w:footnote>
  <w:footnote w:id="30">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 xml:space="preserve">Cfr. </w:t>
      </w:r>
      <w:r w:rsidRPr="00DD4AC4">
        <w:rPr>
          <w:rFonts w:ascii="Verdana" w:hAnsi="Verdana"/>
          <w:sz w:val="16"/>
          <w:szCs w:val="16"/>
        </w:rPr>
        <w:t xml:space="preserve">Resolución de 5 de abril de 2010, </w:t>
      </w:r>
      <w:r w:rsidRPr="00DD4AC4">
        <w:rPr>
          <w:rFonts w:ascii="Verdana" w:hAnsi="Verdana"/>
          <w:i/>
          <w:sz w:val="16"/>
          <w:szCs w:val="16"/>
        </w:rPr>
        <w:t xml:space="preserve">supra </w:t>
      </w:r>
      <w:r w:rsidRPr="00DD4AC4">
        <w:rPr>
          <w:rFonts w:ascii="Verdana" w:hAnsi="Verdana"/>
          <w:sz w:val="16"/>
          <w:szCs w:val="16"/>
        </w:rPr>
        <w:t xml:space="preserve">nota </w:t>
      </w:r>
      <w:r w:rsidR="001C090F" w:rsidRPr="00DD4AC4">
        <w:rPr>
          <w:rFonts w:ascii="Verdana" w:hAnsi="Verdana"/>
          <w:sz w:val="16"/>
          <w:szCs w:val="16"/>
        </w:rPr>
        <w:t>17</w:t>
      </w:r>
      <w:r w:rsidRPr="00DD4AC4">
        <w:rPr>
          <w:rFonts w:ascii="Verdana" w:hAnsi="Verdana"/>
          <w:sz w:val="16"/>
          <w:szCs w:val="16"/>
        </w:rPr>
        <w:t xml:space="preserve">; informe estatal de 6 de marzo de 2013 e informe estatal de 19 de octubre de 2015. </w:t>
      </w:r>
    </w:p>
  </w:footnote>
  <w:footnote w:id="31">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 xml:space="preserve">Cfr. </w:t>
      </w:r>
      <w:r w:rsidRPr="00DD4AC4">
        <w:rPr>
          <w:rFonts w:ascii="Verdana" w:hAnsi="Verdana"/>
          <w:sz w:val="16"/>
          <w:szCs w:val="16"/>
        </w:rPr>
        <w:t xml:space="preserve">Resolución de acusación de 30 de agosto de 2010, </w:t>
      </w:r>
      <w:r w:rsidRPr="00DD4AC4">
        <w:rPr>
          <w:rFonts w:ascii="Verdana" w:hAnsi="Verdana"/>
          <w:i/>
          <w:sz w:val="16"/>
          <w:szCs w:val="16"/>
        </w:rPr>
        <w:t xml:space="preserve">supra </w:t>
      </w:r>
      <w:r w:rsidRPr="00DD4AC4">
        <w:rPr>
          <w:rFonts w:ascii="Verdana" w:hAnsi="Verdana"/>
          <w:sz w:val="16"/>
          <w:szCs w:val="16"/>
        </w:rPr>
        <w:t xml:space="preserve">nota </w:t>
      </w:r>
      <w:r w:rsidR="001C090F" w:rsidRPr="00DD4AC4">
        <w:rPr>
          <w:rFonts w:ascii="Verdana" w:hAnsi="Verdana"/>
          <w:sz w:val="16"/>
          <w:szCs w:val="16"/>
        </w:rPr>
        <w:t>17</w:t>
      </w:r>
      <w:r w:rsidRPr="00DD4AC4">
        <w:rPr>
          <w:rFonts w:ascii="Verdana" w:hAnsi="Verdana"/>
          <w:sz w:val="16"/>
          <w:szCs w:val="16"/>
        </w:rPr>
        <w:t>; informe estatal de 19 de octubre de 2015 e informe estatal de 2 de septiembre de 2016.</w:t>
      </w:r>
    </w:p>
  </w:footnote>
  <w:footnote w:id="32">
    <w:p w:rsidR="0022760C" w:rsidRPr="00DD4AC4" w:rsidRDefault="0022760C"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00706930" w:rsidRPr="00DD4AC4">
        <w:rPr>
          <w:rFonts w:ascii="Verdana" w:hAnsi="Verdana"/>
          <w:sz w:val="16"/>
          <w:szCs w:val="16"/>
          <w:lang w:val="es-MX"/>
        </w:rPr>
        <w:t>De la sentencia de 26 de abril de 2012 (</w:t>
      </w:r>
      <w:r w:rsidR="00706930" w:rsidRPr="00DD4AC4">
        <w:rPr>
          <w:rFonts w:ascii="Verdana" w:hAnsi="Verdana"/>
          <w:i/>
          <w:sz w:val="16"/>
          <w:szCs w:val="16"/>
          <w:lang w:val="es-MX"/>
        </w:rPr>
        <w:t xml:space="preserve">supra </w:t>
      </w:r>
      <w:r w:rsidR="00706930" w:rsidRPr="00DD4AC4">
        <w:rPr>
          <w:rFonts w:ascii="Verdana" w:hAnsi="Verdana"/>
          <w:sz w:val="16"/>
          <w:szCs w:val="16"/>
          <w:lang w:val="es-MX"/>
        </w:rPr>
        <w:t xml:space="preserve">nota </w:t>
      </w:r>
      <w:r w:rsidR="001C090F" w:rsidRPr="00DD4AC4">
        <w:rPr>
          <w:rFonts w:ascii="Verdana" w:hAnsi="Verdana"/>
          <w:sz w:val="16"/>
          <w:szCs w:val="16"/>
          <w:lang w:val="es-MX"/>
        </w:rPr>
        <w:t>17</w:t>
      </w:r>
      <w:r w:rsidR="00706930" w:rsidRPr="00DD4AC4">
        <w:rPr>
          <w:rFonts w:ascii="Verdana" w:hAnsi="Verdana"/>
          <w:sz w:val="16"/>
          <w:szCs w:val="16"/>
          <w:lang w:val="es-MX"/>
        </w:rPr>
        <w:t xml:space="preserve">) se desprende que no existían pruebas suficientes que acreditaran la culpabilidad de dicha persona, que actuó como informante y cuya </w:t>
      </w:r>
      <w:r w:rsidR="00706930" w:rsidRPr="00DD4AC4">
        <w:rPr>
          <w:rFonts w:ascii="Verdana" w:hAnsi="Verdana"/>
          <w:sz w:val="16"/>
          <w:szCs w:val="16"/>
          <w:lang w:val="es-ES"/>
        </w:rPr>
        <w:t xml:space="preserve">familia supuestamente tendría un conflicto de tierras con la familia del señor </w:t>
      </w:r>
      <w:proofErr w:type="spellStart"/>
      <w:r w:rsidR="00706930" w:rsidRPr="00DD4AC4">
        <w:rPr>
          <w:rFonts w:ascii="Verdana" w:hAnsi="Verdana"/>
          <w:sz w:val="16"/>
          <w:szCs w:val="16"/>
          <w:lang w:val="es-ES"/>
        </w:rPr>
        <w:t>Escué</w:t>
      </w:r>
      <w:proofErr w:type="spellEnd"/>
      <w:r w:rsidR="00706930" w:rsidRPr="00DD4AC4">
        <w:rPr>
          <w:rFonts w:ascii="Verdana" w:hAnsi="Verdana"/>
          <w:sz w:val="16"/>
          <w:szCs w:val="16"/>
          <w:lang w:val="es-ES"/>
        </w:rPr>
        <w:t xml:space="preserve"> Zapata</w:t>
      </w:r>
      <w:r w:rsidR="00706930" w:rsidRPr="00DD4AC4">
        <w:rPr>
          <w:rFonts w:ascii="Verdana" w:hAnsi="Verdana"/>
          <w:sz w:val="16"/>
          <w:szCs w:val="16"/>
          <w:lang w:val="es-MX"/>
        </w:rPr>
        <w:t>. Por el contrario, se señaló que “[l]o único que se tiene</w:t>
      </w:r>
      <w:r w:rsidR="00AC72F8" w:rsidRPr="00DD4AC4">
        <w:rPr>
          <w:rFonts w:ascii="Verdana" w:hAnsi="Verdana"/>
          <w:sz w:val="16"/>
          <w:szCs w:val="16"/>
          <w:lang w:val="es-MX"/>
        </w:rPr>
        <w:t xml:space="preserve"> por</w:t>
      </w:r>
      <w:r w:rsidR="00706930" w:rsidRPr="00DD4AC4">
        <w:rPr>
          <w:rFonts w:ascii="Verdana" w:hAnsi="Verdana"/>
          <w:sz w:val="16"/>
          <w:szCs w:val="16"/>
          <w:lang w:val="es-MX"/>
        </w:rPr>
        <w:t xml:space="preserve"> probado, es la grave enemistad y los conflictos existentes entre el […] padre del occiso y el procesado</w:t>
      </w:r>
      <w:r w:rsidR="00AC72F8" w:rsidRPr="00DD4AC4">
        <w:rPr>
          <w:rFonts w:ascii="Verdana" w:hAnsi="Verdana"/>
          <w:sz w:val="16"/>
          <w:szCs w:val="16"/>
          <w:lang w:val="es-MX"/>
        </w:rPr>
        <w:t xml:space="preserve"> […]</w:t>
      </w:r>
      <w:r w:rsidR="00706930" w:rsidRPr="00DD4AC4">
        <w:rPr>
          <w:rFonts w:ascii="Verdana" w:hAnsi="Verdana"/>
          <w:sz w:val="16"/>
          <w:szCs w:val="16"/>
          <w:lang w:val="es-MX"/>
        </w:rPr>
        <w:t>, lo cual podría constituir un indicio de móvil para haber participado en el asesinato de uno de los hijos de aquel, pero, dicho indicio carece de la gravedad suficiente como para derivar una sentencia condenatoria”, lo cual fue confirmado en segunda instancia media sentencia de 5 de mayo de 2014 (</w:t>
      </w:r>
      <w:r w:rsidR="00706930" w:rsidRPr="00DD4AC4">
        <w:rPr>
          <w:rFonts w:ascii="Verdana" w:hAnsi="Verdana"/>
          <w:i/>
          <w:sz w:val="16"/>
          <w:szCs w:val="16"/>
          <w:lang w:val="es-MX"/>
        </w:rPr>
        <w:t xml:space="preserve">supra </w:t>
      </w:r>
      <w:r w:rsidR="00706930" w:rsidRPr="00DD4AC4">
        <w:rPr>
          <w:rFonts w:ascii="Verdana" w:hAnsi="Verdana"/>
          <w:sz w:val="16"/>
          <w:szCs w:val="16"/>
          <w:lang w:val="es-MX"/>
        </w:rPr>
        <w:t xml:space="preserve">nota </w:t>
      </w:r>
      <w:r w:rsidR="001C090F" w:rsidRPr="00DD4AC4">
        <w:rPr>
          <w:rFonts w:ascii="Verdana" w:hAnsi="Verdana"/>
          <w:sz w:val="16"/>
          <w:szCs w:val="16"/>
          <w:lang w:val="es-MX"/>
        </w:rPr>
        <w:t>17</w:t>
      </w:r>
      <w:r w:rsidR="00706930" w:rsidRPr="00DD4AC4">
        <w:rPr>
          <w:rFonts w:ascii="Verdana" w:hAnsi="Verdana"/>
          <w:sz w:val="16"/>
          <w:szCs w:val="16"/>
          <w:lang w:val="es-MX"/>
        </w:rPr>
        <w:t xml:space="preserve">). </w:t>
      </w:r>
      <w:r w:rsidR="00706930" w:rsidRPr="00DD4AC4">
        <w:rPr>
          <w:rFonts w:ascii="Verdana" w:hAnsi="Verdana"/>
          <w:i/>
          <w:sz w:val="16"/>
          <w:szCs w:val="16"/>
        </w:rPr>
        <w:t>Cfr.</w:t>
      </w:r>
      <w:r w:rsidR="00706930" w:rsidRPr="00DD4AC4">
        <w:rPr>
          <w:rFonts w:ascii="Verdana" w:hAnsi="Verdana"/>
          <w:sz w:val="16"/>
          <w:szCs w:val="16"/>
        </w:rPr>
        <w:t xml:space="preserve"> </w:t>
      </w:r>
      <w:r w:rsidR="00706930" w:rsidRPr="00DD4AC4">
        <w:rPr>
          <w:rFonts w:ascii="Verdana" w:hAnsi="Verdana"/>
          <w:i/>
          <w:sz w:val="16"/>
          <w:szCs w:val="16"/>
        </w:rPr>
        <w:t xml:space="preserve">Caso </w:t>
      </w:r>
      <w:proofErr w:type="spellStart"/>
      <w:r w:rsidR="00706930" w:rsidRPr="00DD4AC4">
        <w:rPr>
          <w:rFonts w:ascii="Verdana" w:hAnsi="Verdana"/>
          <w:i/>
          <w:sz w:val="16"/>
          <w:szCs w:val="16"/>
        </w:rPr>
        <w:t>Escué</w:t>
      </w:r>
      <w:proofErr w:type="spellEnd"/>
      <w:r w:rsidR="00706930" w:rsidRPr="00DD4AC4">
        <w:rPr>
          <w:rFonts w:ascii="Verdana" w:hAnsi="Verdana"/>
          <w:i/>
          <w:sz w:val="16"/>
          <w:szCs w:val="16"/>
        </w:rPr>
        <w:t xml:space="preserve"> Zapata Vs. Colombia, supra </w:t>
      </w:r>
      <w:r w:rsidR="00706930" w:rsidRPr="00DD4AC4">
        <w:rPr>
          <w:rFonts w:ascii="Verdana" w:hAnsi="Verdana"/>
          <w:sz w:val="16"/>
          <w:szCs w:val="16"/>
        </w:rPr>
        <w:t xml:space="preserve">nota 1, </w:t>
      </w:r>
      <w:proofErr w:type="spellStart"/>
      <w:r w:rsidR="00706930" w:rsidRPr="00DD4AC4">
        <w:rPr>
          <w:rFonts w:ascii="Verdana" w:hAnsi="Verdana"/>
          <w:sz w:val="16"/>
          <w:szCs w:val="16"/>
        </w:rPr>
        <w:t>párrs</w:t>
      </w:r>
      <w:proofErr w:type="spellEnd"/>
      <w:r w:rsidR="00706930" w:rsidRPr="00DD4AC4">
        <w:rPr>
          <w:rFonts w:ascii="Verdana" w:hAnsi="Verdana"/>
          <w:sz w:val="16"/>
          <w:szCs w:val="16"/>
        </w:rPr>
        <w:t>. 34, 35, 36, 39, 59 y 109.</w:t>
      </w:r>
      <w:r w:rsidR="00706930" w:rsidRPr="00DD4AC4">
        <w:rPr>
          <w:rFonts w:ascii="Verdana" w:hAnsi="Verdana"/>
          <w:sz w:val="16"/>
          <w:szCs w:val="16"/>
          <w:lang w:val="es-MX"/>
        </w:rPr>
        <w:t xml:space="preserve"> </w:t>
      </w:r>
    </w:p>
  </w:footnote>
  <w:footnote w:id="33">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 xml:space="preserve">Cfr. </w:t>
      </w:r>
      <w:r w:rsidRPr="00DD4AC4">
        <w:rPr>
          <w:rFonts w:ascii="Verdana" w:hAnsi="Verdana"/>
          <w:sz w:val="16"/>
          <w:szCs w:val="16"/>
        </w:rPr>
        <w:t xml:space="preserve">Sentencia de 26 de abril de 2012, </w:t>
      </w:r>
      <w:r w:rsidRPr="00DD4AC4">
        <w:rPr>
          <w:rFonts w:ascii="Verdana" w:hAnsi="Verdana"/>
          <w:i/>
          <w:sz w:val="16"/>
          <w:szCs w:val="16"/>
        </w:rPr>
        <w:t xml:space="preserve">supra </w:t>
      </w:r>
      <w:r w:rsidRPr="00DD4AC4">
        <w:rPr>
          <w:rFonts w:ascii="Verdana" w:hAnsi="Verdana"/>
          <w:sz w:val="16"/>
          <w:szCs w:val="16"/>
        </w:rPr>
        <w:t xml:space="preserve">nota </w:t>
      </w:r>
      <w:r w:rsidR="001C090F" w:rsidRPr="00DD4AC4">
        <w:rPr>
          <w:rFonts w:ascii="Verdana" w:hAnsi="Verdana"/>
          <w:sz w:val="16"/>
          <w:szCs w:val="16"/>
        </w:rPr>
        <w:t>17</w:t>
      </w:r>
      <w:r w:rsidRPr="00DD4AC4">
        <w:rPr>
          <w:rFonts w:ascii="Verdana" w:hAnsi="Verdana"/>
          <w:sz w:val="16"/>
          <w:szCs w:val="16"/>
        </w:rPr>
        <w:t xml:space="preserve">. </w:t>
      </w:r>
    </w:p>
  </w:footnote>
  <w:footnote w:id="34">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 xml:space="preserve">Cfr. </w:t>
      </w:r>
      <w:r w:rsidRPr="00DD4AC4">
        <w:rPr>
          <w:rFonts w:ascii="Verdana" w:hAnsi="Verdana"/>
          <w:sz w:val="16"/>
          <w:szCs w:val="16"/>
        </w:rPr>
        <w:t xml:space="preserve">Informe estatal de 19 de octubre de 2015. </w:t>
      </w:r>
    </w:p>
  </w:footnote>
  <w:footnote w:id="35">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 xml:space="preserve">Cfr. </w:t>
      </w:r>
      <w:r w:rsidRPr="00DD4AC4">
        <w:rPr>
          <w:rFonts w:ascii="Verdana" w:hAnsi="Verdana"/>
          <w:sz w:val="16"/>
          <w:szCs w:val="16"/>
        </w:rPr>
        <w:t xml:space="preserve">Sentencia de 5 de mayo de 2014, </w:t>
      </w:r>
      <w:r w:rsidRPr="00DD4AC4">
        <w:rPr>
          <w:rFonts w:ascii="Verdana" w:hAnsi="Verdana"/>
          <w:i/>
          <w:sz w:val="16"/>
          <w:szCs w:val="16"/>
        </w:rPr>
        <w:t xml:space="preserve">supra </w:t>
      </w:r>
      <w:r w:rsidRPr="00DD4AC4">
        <w:rPr>
          <w:rFonts w:ascii="Verdana" w:hAnsi="Verdana"/>
          <w:sz w:val="16"/>
          <w:szCs w:val="16"/>
        </w:rPr>
        <w:t xml:space="preserve">nota </w:t>
      </w:r>
      <w:r w:rsidR="001C090F" w:rsidRPr="00DD4AC4">
        <w:rPr>
          <w:rFonts w:ascii="Verdana" w:hAnsi="Verdana"/>
          <w:sz w:val="16"/>
          <w:szCs w:val="16"/>
        </w:rPr>
        <w:t>17</w:t>
      </w:r>
      <w:r w:rsidRPr="00DD4AC4">
        <w:rPr>
          <w:rFonts w:ascii="Verdana" w:hAnsi="Verdana"/>
          <w:sz w:val="16"/>
          <w:szCs w:val="16"/>
        </w:rPr>
        <w:t>.</w:t>
      </w:r>
    </w:p>
  </w:footnote>
  <w:footnote w:id="36">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 xml:space="preserve">Cfr. </w:t>
      </w:r>
      <w:r w:rsidRPr="00DD4AC4">
        <w:rPr>
          <w:rFonts w:ascii="Verdana" w:hAnsi="Verdana"/>
          <w:sz w:val="16"/>
          <w:szCs w:val="16"/>
        </w:rPr>
        <w:t>Informe estatal de 19 de octubre de 2015.</w:t>
      </w:r>
    </w:p>
  </w:footnote>
  <w:footnote w:id="37">
    <w:p w:rsidR="00BA70F8" w:rsidRPr="00DD4AC4" w:rsidRDefault="00BA70F8" w:rsidP="00DD4AC4">
      <w:pPr>
        <w:pStyle w:val="FootnoteText"/>
        <w:jc w:val="both"/>
        <w:rPr>
          <w:rFonts w:ascii="Verdana" w:hAnsi="Verdana"/>
          <w:i/>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i/>
          <w:sz w:val="16"/>
          <w:szCs w:val="16"/>
        </w:rPr>
        <w:t xml:space="preserve">Cfr. </w:t>
      </w:r>
      <w:r w:rsidRPr="00DD4AC4">
        <w:rPr>
          <w:rFonts w:ascii="Verdana" w:hAnsi="Verdana"/>
          <w:sz w:val="16"/>
          <w:szCs w:val="16"/>
        </w:rPr>
        <w:t xml:space="preserve">Sentencia de 15 de julio de 2015, </w:t>
      </w:r>
      <w:r w:rsidRPr="00DD4AC4">
        <w:rPr>
          <w:rFonts w:ascii="Verdana" w:hAnsi="Verdana"/>
          <w:i/>
          <w:sz w:val="16"/>
          <w:szCs w:val="16"/>
        </w:rPr>
        <w:t xml:space="preserve">supra </w:t>
      </w:r>
      <w:r w:rsidRPr="00DD4AC4">
        <w:rPr>
          <w:rFonts w:ascii="Verdana" w:hAnsi="Verdana"/>
          <w:sz w:val="16"/>
          <w:szCs w:val="16"/>
        </w:rPr>
        <w:t xml:space="preserve">nota </w:t>
      </w:r>
      <w:r w:rsidR="001C090F" w:rsidRPr="00DD4AC4">
        <w:rPr>
          <w:rFonts w:ascii="Verdana" w:hAnsi="Verdana"/>
          <w:sz w:val="16"/>
          <w:szCs w:val="16"/>
        </w:rPr>
        <w:t>17</w:t>
      </w:r>
      <w:r w:rsidRPr="00DD4AC4">
        <w:rPr>
          <w:rFonts w:ascii="Verdana" w:hAnsi="Verdana"/>
          <w:sz w:val="16"/>
          <w:szCs w:val="16"/>
        </w:rPr>
        <w:t>.</w:t>
      </w:r>
    </w:p>
  </w:footnote>
  <w:footnote w:id="38">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sz w:val="16"/>
          <w:szCs w:val="16"/>
          <w:lang w:val="es-ES"/>
        </w:rPr>
        <w:t xml:space="preserve">Roberto Camacho Riaño y </w:t>
      </w:r>
      <w:proofErr w:type="spellStart"/>
      <w:r w:rsidRPr="00DD4AC4">
        <w:rPr>
          <w:rFonts w:ascii="Verdana" w:hAnsi="Verdana"/>
          <w:sz w:val="16"/>
          <w:szCs w:val="16"/>
          <w:lang w:val="es-ES"/>
        </w:rPr>
        <w:t>Ever</w:t>
      </w:r>
      <w:r w:rsidR="006E5345">
        <w:rPr>
          <w:rFonts w:ascii="Verdana" w:hAnsi="Verdana"/>
          <w:sz w:val="16"/>
          <w:szCs w:val="16"/>
          <w:lang w:val="es-ES"/>
        </w:rPr>
        <w:t>t</w:t>
      </w:r>
      <w:proofErr w:type="spellEnd"/>
      <w:r w:rsidRPr="00DD4AC4">
        <w:rPr>
          <w:rFonts w:ascii="Verdana" w:hAnsi="Verdana"/>
          <w:sz w:val="16"/>
          <w:szCs w:val="16"/>
          <w:lang w:val="es-ES"/>
        </w:rPr>
        <w:t xml:space="preserve"> Ospina Martínez</w:t>
      </w:r>
      <w:r w:rsidR="007C7602" w:rsidRPr="00DD4AC4">
        <w:rPr>
          <w:rFonts w:ascii="Verdana" w:hAnsi="Verdana"/>
          <w:sz w:val="16"/>
          <w:szCs w:val="16"/>
          <w:lang w:val="es-ES"/>
        </w:rPr>
        <w:t>.</w:t>
      </w:r>
    </w:p>
  </w:footnote>
  <w:footnote w:id="39">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sz w:val="16"/>
          <w:szCs w:val="16"/>
          <w:lang w:val="es-ES"/>
        </w:rPr>
        <w:t>La pena impuesta fue de 18 y 16 años de prisión, respectivamente, y los responsables se encuentran cumpliendo dichas condenas.</w:t>
      </w:r>
    </w:p>
  </w:footnote>
  <w:footnote w:id="40">
    <w:p w:rsidR="00680821" w:rsidRPr="00DD4AC4" w:rsidRDefault="00680821"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00AC5870" w:rsidRPr="00DD4AC4">
        <w:rPr>
          <w:rFonts w:ascii="Verdana" w:hAnsi="Verdana"/>
          <w:sz w:val="16"/>
          <w:szCs w:val="16"/>
        </w:rPr>
        <w:t xml:space="preserve">Jorge Alberto Navarro </w:t>
      </w:r>
      <w:proofErr w:type="spellStart"/>
      <w:r w:rsidR="00AC5870" w:rsidRPr="00DD4AC4">
        <w:rPr>
          <w:rFonts w:ascii="Verdana" w:hAnsi="Verdana"/>
          <w:sz w:val="16"/>
          <w:szCs w:val="16"/>
        </w:rPr>
        <w:t>Devia</w:t>
      </w:r>
      <w:proofErr w:type="spellEnd"/>
      <w:r w:rsidR="00AC5870" w:rsidRPr="00DD4AC4">
        <w:rPr>
          <w:rFonts w:ascii="Verdana" w:hAnsi="Verdana"/>
          <w:sz w:val="16"/>
          <w:szCs w:val="16"/>
        </w:rPr>
        <w:t>.</w:t>
      </w:r>
    </w:p>
  </w:footnote>
  <w:footnote w:id="41">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sz w:val="16"/>
          <w:szCs w:val="16"/>
          <w:lang w:val="es-ES"/>
        </w:rPr>
        <w:t>Oscar Iván Arias Herrera, Jo</w:t>
      </w:r>
      <w:r w:rsidR="00144214">
        <w:rPr>
          <w:rFonts w:ascii="Verdana" w:hAnsi="Verdana"/>
          <w:sz w:val="16"/>
          <w:szCs w:val="16"/>
          <w:lang w:val="es-ES"/>
        </w:rPr>
        <w:t>h</w:t>
      </w:r>
      <w:r w:rsidRPr="00DD4AC4">
        <w:rPr>
          <w:rFonts w:ascii="Verdana" w:hAnsi="Verdana"/>
          <w:sz w:val="16"/>
          <w:szCs w:val="16"/>
          <w:lang w:val="es-ES"/>
        </w:rPr>
        <w:t xml:space="preserve">n Abadía Duque, Francisco Javier Bedoya Aguirre, Marco Tulio Cañas Torres y Rubén Darío </w:t>
      </w:r>
      <w:proofErr w:type="spellStart"/>
      <w:r w:rsidRPr="00DD4AC4">
        <w:rPr>
          <w:rFonts w:ascii="Verdana" w:hAnsi="Verdana"/>
          <w:sz w:val="16"/>
          <w:szCs w:val="16"/>
          <w:lang w:val="es-ES"/>
        </w:rPr>
        <w:t>Aricapa</w:t>
      </w:r>
      <w:proofErr w:type="spellEnd"/>
      <w:r w:rsidRPr="00DD4AC4">
        <w:rPr>
          <w:rFonts w:ascii="Verdana" w:hAnsi="Verdana"/>
          <w:sz w:val="16"/>
          <w:szCs w:val="16"/>
          <w:lang w:val="es-ES"/>
        </w:rPr>
        <w:t xml:space="preserve"> García.</w:t>
      </w:r>
    </w:p>
  </w:footnote>
  <w:footnote w:id="42">
    <w:p w:rsidR="00BA70F8" w:rsidRPr="00DD4AC4" w:rsidRDefault="00BA70F8" w:rsidP="00DD4AC4">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sz w:val="16"/>
          <w:szCs w:val="16"/>
          <w:lang w:val="es-ES"/>
        </w:rPr>
        <w:t xml:space="preserve">Roberto Camacho Riaño y </w:t>
      </w:r>
      <w:proofErr w:type="spellStart"/>
      <w:r w:rsidRPr="00DD4AC4">
        <w:rPr>
          <w:rFonts w:ascii="Verdana" w:hAnsi="Verdana"/>
          <w:sz w:val="16"/>
          <w:szCs w:val="16"/>
          <w:lang w:val="es-ES"/>
        </w:rPr>
        <w:t>Ever</w:t>
      </w:r>
      <w:r w:rsidR="006E5345">
        <w:rPr>
          <w:rFonts w:ascii="Verdana" w:hAnsi="Verdana"/>
          <w:sz w:val="16"/>
          <w:szCs w:val="16"/>
          <w:lang w:val="es-ES"/>
        </w:rPr>
        <w:t>t</w:t>
      </w:r>
      <w:proofErr w:type="spellEnd"/>
      <w:r w:rsidRPr="00DD4AC4">
        <w:rPr>
          <w:rFonts w:ascii="Verdana" w:hAnsi="Verdana"/>
          <w:sz w:val="16"/>
          <w:szCs w:val="16"/>
          <w:lang w:val="es-ES"/>
        </w:rPr>
        <w:t xml:space="preserve"> Ospina Martínez</w:t>
      </w:r>
      <w:r w:rsidR="007C7602" w:rsidRPr="00DD4AC4">
        <w:rPr>
          <w:rFonts w:ascii="Verdana" w:hAnsi="Verdana"/>
          <w:sz w:val="16"/>
          <w:szCs w:val="16"/>
          <w:lang w:val="es-ES"/>
        </w:rPr>
        <w:t>.</w:t>
      </w:r>
    </w:p>
  </w:footnote>
  <w:footnote w:id="43">
    <w:p w:rsidR="00EE62DE" w:rsidRPr="00DD4AC4" w:rsidRDefault="00EE62DE" w:rsidP="00DD4AC4">
      <w:pPr>
        <w:pStyle w:val="FootnoteText"/>
        <w:jc w:val="both"/>
        <w:rPr>
          <w:rFonts w:ascii="Verdana" w:hAnsi="Verdana"/>
          <w:sz w:val="16"/>
          <w:szCs w:val="16"/>
        </w:rPr>
      </w:pPr>
      <w:r w:rsidRPr="00DD4AC4">
        <w:rPr>
          <w:rStyle w:val="FootnoteReference"/>
          <w:rFonts w:ascii="Verdana" w:hAnsi="Verdana"/>
          <w:sz w:val="16"/>
          <w:szCs w:val="16"/>
        </w:rPr>
        <w:footnoteRef/>
      </w:r>
      <w:r w:rsidRPr="00DD4AC4">
        <w:rPr>
          <w:rFonts w:ascii="Verdana" w:hAnsi="Verdana"/>
          <w:sz w:val="16"/>
          <w:szCs w:val="16"/>
        </w:rPr>
        <w:t xml:space="preserve"> </w:t>
      </w:r>
      <w:r w:rsidRPr="00DD4AC4">
        <w:rPr>
          <w:rFonts w:ascii="Verdana" w:hAnsi="Verdana"/>
          <w:sz w:val="16"/>
          <w:szCs w:val="16"/>
        </w:rPr>
        <w:tab/>
      </w:r>
      <w:r w:rsidRPr="006B43C7">
        <w:rPr>
          <w:rFonts w:ascii="Verdana" w:hAnsi="Verdana"/>
          <w:i/>
          <w:sz w:val="16"/>
          <w:szCs w:val="16"/>
        </w:rPr>
        <w:t xml:space="preserve">Cfr. </w:t>
      </w:r>
      <w:r w:rsidRPr="00DD4AC4">
        <w:rPr>
          <w:rFonts w:ascii="Verdana" w:hAnsi="Verdana"/>
          <w:sz w:val="16"/>
          <w:szCs w:val="16"/>
        </w:rPr>
        <w:t xml:space="preserve">Sentencia de 15 de julio de 2015, </w:t>
      </w:r>
      <w:r w:rsidRPr="00DD4AC4">
        <w:rPr>
          <w:rFonts w:ascii="Verdana" w:hAnsi="Verdana"/>
          <w:i/>
          <w:sz w:val="16"/>
          <w:szCs w:val="16"/>
        </w:rPr>
        <w:t xml:space="preserve">supra </w:t>
      </w:r>
      <w:r w:rsidRPr="00DD4AC4">
        <w:rPr>
          <w:rFonts w:ascii="Verdana" w:hAnsi="Verdana"/>
          <w:sz w:val="16"/>
          <w:szCs w:val="16"/>
        </w:rPr>
        <w:t>nota 17.</w:t>
      </w:r>
    </w:p>
  </w:footnote>
  <w:footnote w:id="44">
    <w:p w:rsidR="00C246E9" w:rsidRPr="00DD4AC4" w:rsidRDefault="00C246E9">
      <w:pPr>
        <w:pStyle w:val="FootnoteText"/>
        <w:rPr>
          <w:rFonts w:ascii="Verdana" w:hAnsi="Verdana"/>
          <w:sz w:val="16"/>
          <w:szCs w:val="16"/>
        </w:rPr>
      </w:pPr>
      <w:r w:rsidRPr="00DD4AC4">
        <w:rPr>
          <w:rStyle w:val="FootnoteReference"/>
          <w:rFonts w:ascii="Verdana" w:hAnsi="Verdana"/>
          <w:sz w:val="16"/>
          <w:szCs w:val="16"/>
        </w:rPr>
        <w:footnoteRef/>
      </w:r>
      <w:r w:rsidRPr="00DD4AC4">
        <w:rPr>
          <w:rFonts w:ascii="Verdana" w:hAnsi="Verdana"/>
          <w:sz w:val="16"/>
          <w:szCs w:val="16"/>
        </w:rPr>
        <w:t xml:space="preserve"> </w:t>
      </w:r>
      <w:r w:rsidRPr="00DD4AC4">
        <w:rPr>
          <w:rFonts w:ascii="Verdana" w:hAnsi="Verdana"/>
          <w:sz w:val="16"/>
          <w:szCs w:val="16"/>
        </w:rPr>
        <w:tab/>
      </w:r>
      <w:r w:rsidRPr="006B43C7">
        <w:rPr>
          <w:rFonts w:ascii="Verdana" w:hAnsi="Verdana"/>
          <w:i/>
          <w:sz w:val="16"/>
          <w:szCs w:val="16"/>
        </w:rPr>
        <w:t xml:space="preserve">Cfr. </w:t>
      </w:r>
      <w:r w:rsidRPr="00DD4AC4">
        <w:rPr>
          <w:rFonts w:ascii="Verdana" w:hAnsi="Verdana"/>
          <w:sz w:val="16"/>
          <w:szCs w:val="16"/>
        </w:rPr>
        <w:t xml:space="preserve">Resolución de 5 de abril de 2010 </w:t>
      </w:r>
      <w:r w:rsidRPr="00DD4AC4">
        <w:rPr>
          <w:rFonts w:ascii="Verdana" w:hAnsi="Verdana"/>
          <w:i/>
          <w:sz w:val="16"/>
          <w:szCs w:val="16"/>
        </w:rPr>
        <w:t xml:space="preserve">supra </w:t>
      </w:r>
      <w:r w:rsidRPr="00DD4AC4">
        <w:rPr>
          <w:rFonts w:ascii="Verdana" w:hAnsi="Verdana"/>
          <w:sz w:val="16"/>
          <w:szCs w:val="16"/>
        </w:rPr>
        <w:t>nota 17.</w:t>
      </w:r>
    </w:p>
  </w:footnote>
  <w:footnote w:id="45">
    <w:p w:rsidR="00446D37" w:rsidRPr="00DD4AC4" w:rsidRDefault="00446D37" w:rsidP="00DD4AC4">
      <w:pPr>
        <w:autoSpaceDE w:val="0"/>
        <w:autoSpaceDN w:val="0"/>
        <w:adjustRightInd w:val="0"/>
        <w:spacing w:after="0" w:line="240" w:lineRule="auto"/>
        <w:jc w:val="both"/>
        <w:rPr>
          <w:rFonts w:ascii="Verdana" w:eastAsia="Times" w:hAnsi="Verdana" w:cs="Times New Roman"/>
          <w:sz w:val="16"/>
          <w:szCs w:val="16"/>
          <w:lang w:val="es-ES"/>
        </w:rPr>
      </w:pPr>
      <w:r w:rsidRPr="00DD4AC4">
        <w:rPr>
          <w:rStyle w:val="FootnoteReference"/>
          <w:rFonts w:ascii="Verdana" w:hAnsi="Verdana"/>
          <w:sz w:val="16"/>
          <w:szCs w:val="16"/>
        </w:rPr>
        <w:footnoteRef/>
      </w:r>
      <w:r w:rsidRPr="00DD4AC4">
        <w:rPr>
          <w:rFonts w:ascii="Verdana" w:hAnsi="Verdana"/>
          <w:sz w:val="16"/>
          <w:szCs w:val="16"/>
        </w:rPr>
        <w:t xml:space="preserve"> </w:t>
      </w:r>
      <w:r w:rsidRPr="00DD4AC4">
        <w:rPr>
          <w:rFonts w:ascii="Verdana" w:hAnsi="Verdana"/>
          <w:sz w:val="16"/>
          <w:szCs w:val="16"/>
        </w:rPr>
        <w:tab/>
      </w:r>
      <w:r w:rsidRPr="00DD4AC4">
        <w:rPr>
          <w:rStyle w:val="FootnoteTextChar"/>
          <w:rFonts w:ascii="Verdana" w:hAnsi="Verdana"/>
          <w:i/>
          <w:sz w:val="16"/>
          <w:szCs w:val="16"/>
          <w:lang w:val="es-ES"/>
        </w:rPr>
        <w:t>Cfr</w:t>
      </w:r>
      <w:r w:rsidRPr="00DD4AC4">
        <w:rPr>
          <w:rStyle w:val="FootnoteTextChar"/>
          <w:rFonts w:ascii="Verdana" w:hAnsi="Verdana"/>
          <w:sz w:val="16"/>
          <w:szCs w:val="16"/>
          <w:lang w:val="es-ES"/>
        </w:rPr>
        <w:t>.</w:t>
      </w:r>
      <w:r w:rsidRPr="00DD4AC4">
        <w:rPr>
          <w:rFonts w:ascii="Verdana" w:hAnsi="Verdana"/>
          <w:i/>
          <w:iCs/>
          <w:sz w:val="16"/>
          <w:szCs w:val="16"/>
          <w:lang w:val="es-ES"/>
        </w:rPr>
        <w:t xml:space="preserve"> Entre otros, </w:t>
      </w:r>
      <w:r w:rsidRPr="00DD4AC4">
        <w:rPr>
          <w:rStyle w:val="FootnoteTextChar"/>
          <w:rFonts w:ascii="Verdana" w:hAnsi="Verdana"/>
          <w:i/>
          <w:sz w:val="16"/>
          <w:szCs w:val="16"/>
        </w:rPr>
        <w:t>Caso Barrios Altos Vs. Perú. Fondo.</w:t>
      </w:r>
      <w:r w:rsidRPr="00DD4AC4">
        <w:rPr>
          <w:rStyle w:val="FootnoteTextChar"/>
          <w:rFonts w:ascii="Verdana" w:hAnsi="Verdana"/>
          <w:sz w:val="16"/>
          <w:szCs w:val="16"/>
        </w:rPr>
        <w:t xml:space="preserve"> Sentencia de 14 de marzo de 2001. Serie C No. 75, párr. 41; </w:t>
      </w:r>
      <w:r w:rsidRPr="00DD4AC4">
        <w:rPr>
          <w:rStyle w:val="FootnoteTextChar"/>
          <w:rFonts w:ascii="Verdana" w:hAnsi="Verdana"/>
          <w:i/>
          <w:sz w:val="16"/>
          <w:szCs w:val="16"/>
          <w:lang w:val="es-ES"/>
        </w:rPr>
        <w:t>Caso Barrios Altos Vs. Perú. Interpretación de la Sentencia de Fondo</w:t>
      </w:r>
      <w:r w:rsidRPr="00DD4AC4">
        <w:rPr>
          <w:rStyle w:val="FootnoteTextChar"/>
          <w:rFonts w:ascii="Verdana" w:hAnsi="Verdana"/>
          <w:sz w:val="16"/>
          <w:szCs w:val="16"/>
          <w:lang w:val="es-ES"/>
        </w:rPr>
        <w:t>. Sentencia de 3 de septiembre de 2001. Serie C No. 83, párr. 15</w:t>
      </w:r>
      <w:r w:rsidRPr="00DD4AC4">
        <w:rPr>
          <w:rStyle w:val="FootnoteTextChar"/>
          <w:rFonts w:ascii="Verdana" w:hAnsi="Verdana"/>
          <w:sz w:val="16"/>
          <w:szCs w:val="16"/>
        </w:rPr>
        <w:t xml:space="preserve">; </w:t>
      </w:r>
      <w:r w:rsidRPr="00DD4AC4">
        <w:rPr>
          <w:rStyle w:val="FootnoteTextChar"/>
          <w:rFonts w:ascii="Verdana" w:hAnsi="Verdana"/>
          <w:i/>
          <w:sz w:val="16"/>
          <w:szCs w:val="16"/>
          <w:lang w:val="es-ES"/>
        </w:rPr>
        <w:t xml:space="preserve">Caso Trujillo </w:t>
      </w:r>
      <w:proofErr w:type="spellStart"/>
      <w:r w:rsidRPr="00DD4AC4">
        <w:rPr>
          <w:rStyle w:val="FootnoteTextChar"/>
          <w:rFonts w:ascii="Verdana" w:hAnsi="Verdana"/>
          <w:i/>
          <w:sz w:val="16"/>
          <w:szCs w:val="16"/>
          <w:lang w:val="es-ES"/>
        </w:rPr>
        <w:t>Oroza</w:t>
      </w:r>
      <w:proofErr w:type="spellEnd"/>
      <w:r w:rsidRPr="00DD4AC4">
        <w:rPr>
          <w:rStyle w:val="FootnoteTextChar"/>
          <w:rFonts w:ascii="Verdana" w:hAnsi="Verdana"/>
          <w:i/>
          <w:sz w:val="16"/>
          <w:szCs w:val="16"/>
          <w:lang w:val="es-ES"/>
        </w:rPr>
        <w:t xml:space="preserve"> Vs. Bolivia. Reparaciones y Costas</w:t>
      </w:r>
      <w:r w:rsidRPr="00DD4AC4">
        <w:rPr>
          <w:rStyle w:val="FootnoteTextChar"/>
          <w:rFonts w:ascii="Verdana" w:hAnsi="Verdana"/>
          <w:sz w:val="16"/>
          <w:szCs w:val="16"/>
          <w:lang w:val="es-ES"/>
        </w:rPr>
        <w:t xml:space="preserve">. Sentencia de 27 de febrero de 2002. </w:t>
      </w:r>
      <w:r w:rsidRPr="00DD4AC4">
        <w:rPr>
          <w:rStyle w:val="FootnoteTextChar"/>
          <w:rFonts w:ascii="Verdana" w:hAnsi="Verdana"/>
          <w:sz w:val="16"/>
          <w:szCs w:val="16"/>
        </w:rPr>
        <w:t>Serie C No. 92</w:t>
      </w:r>
      <w:r w:rsidRPr="00DD4AC4">
        <w:rPr>
          <w:rStyle w:val="FootnoteTextChar"/>
          <w:rFonts w:ascii="Verdana" w:hAnsi="Verdana"/>
          <w:sz w:val="16"/>
          <w:szCs w:val="16"/>
          <w:lang w:val="es-ES"/>
        </w:rPr>
        <w:t xml:space="preserve">, párr. 106; </w:t>
      </w:r>
      <w:r w:rsidRPr="00DD4AC4">
        <w:rPr>
          <w:rStyle w:val="FootnoteTextChar"/>
          <w:rFonts w:ascii="Verdana" w:hAnsi="Verdana"/>
          <w:i/>
          <w:sz w:val="16"/>
          <w:szCs w:val="16"/>
          <w:lang w:val="es-ES"/>
        </w:rPr>
        <w:t>Caso Del Caracazo Vs. Venezuela. Reparaciones y Costas</w:t>
      </w:r>
      <w:r w:rsidRPr="00DD4AC4">
        <w:rPr>
          <w:rStyle w:val="FootnoteTextChar"/>
          <w:rFonts w:ascii="Verdana" w:hAnsi="Verdana"/>
          <w:sz w:val="16"/>
          <w:szCs w:val="16"/>
          <w:lang w:val="es-ES"/>
        </w:rPr>
        <w:t xml:space="preserve">. Sentencia de 29 de agosto de 2002. </w:t>
      </w:r>
      <w:r w:rsidRPr="00DD4AC4">
        <w:rPr>
          <w:rStyle w:val="FootnoteTextChar"/>
          <w:rFonts w:ascii="Verdana" w:hAnsi="Verdana"/>
          <w:sz w:val="16"/>
          <w:szCs w:val="16"/>
        </w:rPr>
        <w:t>Serie C No. 95</w:t>
      </w:r>
      <w:r w:rsidRPr="00DD4AC4">
        <w:rPr>
          <w:rStyle w:val="FootnoteTextChar"/>
          <w:rFonts w:ascii="Verdana" w:hAnsi="Verdana"/>
          <w:sz w:val="16"/>
          <w:szCs w:val="16"/>
          <w:lang w:val="es-ES"/>
        </w:rPr>
        <w:t>, párr. 119</w:t>
      </w:r>
      <w:r w:rsidRPr="00DD4AC4">
        <w:rPr>
          <w:rStyle w:val="FootnoteTextChar"/>
          <w:rFonts w:ascii="Verdana" w:hAnsi="Verdana"/>
          <w:i/>
          <w:sz w:val="16"/>
          <w:szCs w:val="16"/>
          <w:lang w:val="es-ES"/>
        </w:rPr>
        <w:t xml:space="preserve">; Caso </w:t>
      </w:r>
      <w:proofErr w:type="spellStart"/>
      <w:r w:rsidRPr="00DD4AC4">
        <w:rPr>
          <w:rStyle w:val="FootnoteTextChar"/>
          <w:rFonts w:ascii="Verdana" w:hAnsi="Verdana"/>
          <w:i/>
          <w:sz w:val="16"/>
          <w:szCs w:val="16"/>
          <w:lang w:val="es-ES"/>
        </w:rPr>
        <w:t>Bulacio</w:t>
      </w:r>
      <w:proofErr w:type="spellEnd"/>
      <w:r w:rsidRPr="00DD4AC4">
        <w:rPr>
          <w:rStyle w:val="FootnoteTextChar"/>
          <w:rFonts w:ascii="Verdana" w:hAnsi="Verdana"/>
          <w:i/>
          <w:sz w:val="16"/>
          <w:szCs w:val="16"/>
          <w:lang w:val="es-ES"/>
        </w:rPr>
        <w:t xml:space="preserve"> Vs. Argentina. Fondo, Reparaciones y Costas</w:t>
      </w:r>
      <w:r w:rsidRPr="00DD4AC4">
        <w:rPr>
          <w:rStyle w:val="FootnoteTextChar"/>
          <w:rFonts w:ascii="Verdana" w:hAnsi="Verdana"/>
          <w:sz w:val="16"/>
          <w:szCs w:val="16"/>
          <w:lang w:val="es-ES"/>
        </w:rPr>
        <w:t xml:space="preserve">. Sentencia de 18 de Septiembre de 2003. </w:t>
      </w:r>
      <w:r w:rsidRPr="00DD4AC4">
        <w:rPr>
          <w:rStyle w:val="FootnoteTextChar"/>
          <w:rFonts w:ascii="Verdana" w:hAnsi="Verdana"/>
          <w:sz w:val="16"/>
          <w:szCs w:val="16"/>
        </w:rPr>
        <w:t xml:space="preserve">Serie C No. 100, </w:t>
      </w:r>
      <w:r w:rsidRPr="00DD4AC4">
        <w:rPr>
          <w:rStyle w:val="FootnoteTextChar"/>
          <w:rFonts w:ascii="Verdana" w:hAnsi="Verdana"/>
          <w:sz w:val="16"/>
          <w:szCs w:val="16"/>
          <w:lang w:val="es-ES"/>
        </w:rPr>
        <w:t xml:space="preserve">párr. </w:t>
      </w:r>
      <w:r w:rsidRPr="00DD4AC4">
        <w:rPr>
          <w:rStyle w:val="FootnoteTextChar"/>
          <w:rFonts w:ascii="Verdana" w:hAnsi="Verdana"/>
          <w:sz w:val="16"/>
          <w:szCs w:val="16"/>
        </w:rPr>
        <w:t xml:space="preserve">116; </w:t>
      </w:r>
      <w:r w:rsidRPr="00DD4AC4">
        <w:rPr>
          <w:rStyle w:val="FootnoteTextChar"/>
          <w:rFonts w:ascii="Verdana" w:hAnsi="Verdana"/>
          <w:i/>
          <w:sz w:val="16"/>
          <w:szCs w:val="16"/>
          <w:lang w:val="es-ES"/>
        </w:rPr>
        <w:t xml:space="preserve">Caso Myrna </w:t>
      </w:r>
      <w:proofErr w:type="spellStart"/>
      <w:r w:rsidRPr="00DD4AC4">
        <w:rPr>
          <w:rStyle w:val="FootnoteTextChar"/>
          <w:rFonts w:ascii="Verdana" w:hAnsi="Verdana"/>
          <w:i/>
          <w:sz w:val="16"/>
          <w:szCs w:val="16"/>
          <w:lang w:val="es-ES"/>
        </w:rPr>
        <w:t>Mack</w:t>
      </w:r>
      <w:proofErr w:type="spellEnd"/>
      <w:r w:rsidRPr="00DD4AC4">
        <w:rPr>
          <w:rStyle w:val="FootnoteTextChar"/>
          <w:rFonts w:ascii="Verdana" w:hAnsi="Verdana"/>
          <w:i/>
          <w:sz w:val="16"/>
          <w:szCs w:val="16"/>
          <w:lang w:val="es-ES"/>
        </w:rPr>
        <w:t xml:space="preserve"> Chang Vs. Guatemala. Fondo, Reparaciones y Costas.</w:t>
      </w:r>
      <w:r w:rsidRPr="00DD4AC4">
        <w:rPr>
          <w:rStyle w:val="FootnoteTextChar"/>
          <w:rFonts w:ascii="Verdana" w:hAnsi="Verdana"/>
          <w:sz w:val="16"/>
          <w:szCs w:val="16"/>
          <w:lang w:val="es-ES"/>
        </w:rPr>
        <w:t xml:space="preserve"> Sentencia de 25 de noviembre de 2003. Serie C No. 101, párr. 276; </w:t>
      </w:r>
      <w:r w:rsidRPr="00DD4AC4">
        <w:rPr>
          <w:rStyle w:val="FootnoteTextChar"/>
          <w:rFonts w:ascii="Verdana" w:hAnsi="Verdana"/>
          <w:i/>
          <w:sz w:val="16"/>
          <w:szCs w:val="16"/>
          <w:lang w:val="es-ES"/>
        </w:rPr>
        <w:t xml:space="preserve">Caso Molina </w:t>
      </w:r>
      <w:proofErr w:type="spellStart"/>
      <w:r w:rsidRPr="00DD4AC4">
        <w:rPr>
          <w:rStyle w:val="FootnoteTextChar"/>
          <w:rFonts w:ascii="Verdana" w:hAnsi="Verdana"/>
          <w:i/>
          <w:sz w:val="16"/>
          <w:szCs w:val="16"/>
          <w:lang w:val="es-ES"/>
        </w:rPr>
        <w:t>Theissen</w:t>
      </w:r>
      <w:proofErr w:type="spellEnd"/>
      <w:r w:rsidRPr="00DD4AC4">
        <w:rPr>
          <w:rStyle w:val="FootnoteTextChar"/>
          <w:rFonts w:ascii="Verdana" w:hAnsi="Verdana"/>
          <w:i/>
          <w:sz w:val="16"/>
          <w:szCs w:val="16"/>
          <w:lang w:val="es-ES"/>
        </w:rPr>
        <w:t xml:space="preserve"> Vs. Guatemala. Reparaciones y Costas.</w:t>
      </w:r>
      <w:r w:rsidRPr="00DD4AC4">
        <w:rPr>
          <w:rStyle w:val="FootnoteTextChar"/>
          <w:rFonts w:ascii="Verdana" w:hAnsi="Verdana"/>
          <w:sz w:val="16"/>
          <w:szCs w:val="16"/>
          <w:lang w:val="es-ES"/>
        </w:rPr>
        <w:t xml:space="preserve"> Sentencia de 3 de julio de 2004. Serie C No. 108</w:t>
      </w:r>
      <w:r w:rsidRPr="00DD4AC4">
        <w:rPr>
          <w:rStyle w:val="FootnoteTextChar"/>
          <w:rFonts w:ascii="Verdana" w:hAnsi="Verdana"/>
          <w:sz w:val="16"/>
          <w:szCs w:val="16"/>
        </w:rPr>
        <w:t xml:space="preserve">, </w:t>
      </w:r>
      <w:r w:rsidRPr="00DD4AC4">
        <w:rPr>
          <w:rStyle w:val="FootnoteTextChar"/>
          <w:rFonts w:ascii="Verdana" w:hAnsi="Verdana"/>
          <w:sz w:val="16"/>
          <w:szCs w:val="16"/>
          <w:lang w:val="es-ES"/>
        </w:rPr>
        <w:t>párr. 84</w:t>
      </w:r>
      <w:r w:rsidRPr="00DD4AC4">
        <w:rPr>
          <w:rStyle w:val="FootnoteTextChar"/>
          <w:rFonts w:ascii="Verdana" w:hAnsi="Verdana"/>
          <w:sz w:val="16"/>
          <w:szCs w:val="16"/>
        </w:rPr>
        <w:t xml:space="preserve">; </w:t>
      </w:r>
      <w:r w:rsidRPr="00DD4AC4">
        <w:rPr>
          <w:rStyle w:val="FootnoteTextChar"/>
          <w:rFonts w:ascii="Verdana" w:hAnsi="Verdana"/>
          <w:i/>
          <w:sz w:val="16"/>
          <w:szCs w:val="16"/>
          <w:lang w:val="es-ES"/>
        </w:rPr>
        <w:t xml:space="preserve">Caso de los Hermanos Gómez </w:t>
      </w:r>
      <w:proofErr w:type="spellStart"/>
      <w:r w:rsidRPr="00DD4AC4">
        <w:rPr>
          <w:rStyle w:val="FootnoteTextChar"/>
          <w:rFonts w:ascii="Verdana" w:hAnsi="Verdana"/>
          <w:i/>
          <w:sz w:val="16"/>
          <w:szCs w:val="16"/>
          <w:lang w:val="es-ES"/>
        </w:rPr>
        <w:t>Paquiyauri</w:t>
      </w:r>
      <w:proofErr w:type="spellEnd"/>
      <w:r w:rsidRPr="00DD4AC4">
        <w:rPr>
          <w:rStyle w:val="FootnoteTextChar"/>
          <w:rFonts w:ascii="Verdana" w:hAnsi="Verdana"/>
          <w:i/>
          <w:sz w:val="16"/>
          <w:szCs w:val="16"/>
          <w:lang w:val="es-ES"/>
        </w:rPr>
        <w:t xml:space="preserve"> Vs. Perú. Fondo, Reparaciones y Costas</w:t>
      </w:r>
      <w:r w:rsidRPr="00DD4AC4">
        <w:rPr>
          <w:rStyle w:val="FootnoteTextChar"/>
          <w:rFonts w:ascii="Verdana" w:hAnsi="Verdana"/>
          <w:sz w:val="16"/>
          <w:szCs w:val="16"/>
          <w:lang w:val="es-ES"/>
        </w:rPr>
        <w:t xml:space="preserve">. Sentencia de 8 de julio de 2004. Serie C No. 110, párr. </w:t>
      </w:r>
      <w:r w:rsidRPr="00DD4AC4">
        <w:rPr>
          <w:rStyle w:val="FootnoteTextChar"/>
          <w:rFonts w:ascii="Verdana" w:hAnsi="Verdana"/>
          <w:sz w:val="16"/>
          <w:szCs w:val="16"/>
        </w:rPr>
        <w:t xml:space="preserve">150; </w:t>
      </w:r>
      <w:r w:rsidRPr="00DD4AC4">
        <w:rPr>
          <w:rStyle w:val="FootnoteTextChar"/>
          <w:rFonts w:ascii="Verdana" w:hAnsi="Verdana"/>
          <w:i/>
          <w:sz w:val="16"/>
          <w:szCs w:val="16"/>
          <w:lang w:val="es-ES"/>
        </w:rPr>
        <w:t>Caso Tibi Vs. Ecuador. Excepciones Preliminares, Fondo, Reparaciones y Costas</w:t>
      </w:r>
      <w:r w:rsidRPr="00DD4AC4">
        <w:rPr>
          <w:rStyle w:val="FootnoteTextChar"/>
          <w:rFonts w:ascii="Verdana" w:hAnsi="Verdana"/>
          <w:sz w:val="16"/>
          <w:szCs w:val="16"/>
          <w:lang w:val="es-ES"/>
        </w:rPr>
        <w:t xml:space="preserve">. Sentencia de 7 de septiembre de 2004. Serie C No. 114, párr. 259; </w:t>
      </w:r>
      <w:r w:rsidRPr="00DD4AC4">
        <w:rPr>
          <w:rStyle w:val="FootnoteTextChar"/>
          <w:rFonts w:ascii="Verdana" w:hAnsi="Verdana"/>
          <w:i/>
          <w:sz w:val="16"/>
          <w:szCs w:val="16"/>
          <w:lang w:val="es-ES"/>
        </w:rPr>
        <w:t>Caso Masacre Plan de Sánchez Vs. Guatemala. Reparaciones y Costas</w:t>
      </w:r>
      <w:r w:rsidRPr="00DD4AC4">
        <w:rPr>
          <w:rStyle w:val="FootnoteTextChar"/>
          <w:rFonts w:ascii="Verdana" w:hAnsi="Verdana"/>
          <w:sz w:val="16"/>
          <w:szCs w:val="16"/>
          <w:lang w:val="es-ES"/>
        </w:rPr>
        <w:t>. Sentencia de 19 de noviembre 2004. Serie C No. 116, párr. 99</w:t>
      </w:r>
      <w:r w:rsidRPr="00DD4AC4">
        <w:rPr>
          <w:rStyle w:val="FootnoteTextChar"/>
          <w:rFonts w:ascii="Verdana" w:hAnsi="Verdana"/>
          <w:sz w:val="16"/>
          <w:szCs w:val="16"/>
        </w:rPr>
        <w:t xml:space="preserve">; </w:t>
      </w:r>
      <w:r w:rsidRPr="00DD4AC4">
        <w:rPr>
          <w:rStyle w:val="FootnoteTextChar"/>
          <w:rFonts w:ascii="Verdana" w:hAnsi="Verdana"/>
          <w:i/>
          <w:sz w:val="16"/>
          <w:szCs w:val="16"/>
          <w:lang w:val="es-ES"/>
        </w:rPr>
        <w:t xml:space="preserve">Caso Carpio </w:t>
      </w:r>
      <w:proofErr w:type="spellStart"/>
      <w:r w:rsidRPr="00DD4AC4">
        <w:rPr>
          <w:rStyle w:val="FootnoteTextChar"/>
          <w:rFonts w:ascii="Verdana" w:hAnsi="Verdana"/>
          <w:i/>
          <w:sz w:val="16"/>
          <w:szCs w:val="16"/>
          <w:lang w:val="es-ES"/>
        </w:rPr>
        <w:t>Nicolle</w:t>
      </w:r>
      <w:proofErr w:type="spellEnd"/>
      <w:r w:rsidRPr="00DD4AC4">
        <w:rPr>
          <w:rStyle w:val="FootnoteTextChar"/>
          <w:rFonts w:ascii="Verdana" w:hAnsi="Verdana"/>
          <w:i/>
          <w:sz w:val="16"/>
          <w:szCs w:val="16"/>
          <w:lang w:val="es-ES"/>
        </w:rPr>
        <w:t xml:space="preserve"> y otros Vs. Guatemala. Fondo, Reparaciones y Costas. </w:t>
      </w:r>
      <w:r w:rsidRPr="00DD4AC4">
        <w:rPr>
          <w:rStyle w:val="FootnoteTextChar"/>
          <w:rFonts w:ascii="Verdana" w:hAnsi="Verdana"/>
          <w:sz w:val="16"/>
          <w:szCs w:val="16"/>
          <w:lang w:val="es-ES"/>
        </w:rPr>
        <w:t>Sentencia de 22 de noviembre 2004. Serie C No. 117</w:t>
      </w:r>
      <w:r w:rsidRPr="00DD4AC4">
        <w:rPr>
          <w:rStyle w:val="FootnoteTextChar"/>
          <w:rFonts w:ascii="Verdana" w:hAnsi="Verdana"/>
          <w:sz w:val="16"/>
          <w:szCs w:val="16"/>
        </w:rPr>
        <w:t xml:space="preserve">, párr. 130; </w:t>
      </w:r>
      <w:r w:rsidRPr="00DD4AC4">
        <w:rPr>
          <w:rStyle w:val="FootnoteTextChar"/>
          <w:rFonts w:ascii="Verdana" w:hAnsi="Verdana"/>
          <w:i/>
          <w:sz w:val="16"/>
          <w:szCs w:val="16"/>
          <w:lang w:val="es-ES"/>
        </w:rPr>
        <w:t>Caso de las Hermanas Serrano Cruz Vs. El Salvador. Fondo, Reparaciones y Costas.</w:t>
      </w:r>
      <w:r w:rsidRPr="00DD4AC4">
        <w:rPr>
          <w:rStyle w:val="FootnoteTextChar"/>
          <w:rFonts w:ascii="Verdana" w:hAnsi="Verdana"/>
          <w:sz w:val="16"/>
          <w:szCs w:val="16"/>
          <w:lang w:val="es-ES"/>
        </w:rPr>
        <w:t xml:space="preserve"> Sentencia de 01 de marzo de 2005. Serie </w:t>
      </w:r>
      <w:r w:rsidRPr="00DD4AC4">
        <w:rPr>
          <w:rStyle w:val="FootnoteTextChar"/>
          <w:rFonts w:ascii="Verdana" w:hAnsi="Verdana"/>
          <w:i/>
          <w:sz w:val="16"/>
          <w:szCs w:val="16"/>
          <w:lang w:val="es-ES"/>
        </w:rPr>
        <w:t xml:space="preserve">Caso </w:t>
      </w:r>
      <w:proofErr w:type="spellStart"/>
      <w:r w:rsidRPr="00DD4AC4">
        <w:rPr>
          <w:rStyle w:val="FootnoteTextChar"/>
          <w:rFonts w:ascii="Verdana" w:hAnsi="Verdana"/>
          <w:i/>
          <w:sz w:val="16"/>
          <w:szCs w:val="16"/>
          <w:lang w:val="es-ES"/>
        </w:rPr>
        <w:t>Gelman</w:t>
      </w:r>
      <w:proofErr w:type="spellEnd"/>
      <w:r w:rsidRPr="00DD4AC4">
        <w:rPr>
          <w:rStyle w:val="FootnoteTextChar"/>
          <w:rFonts w:ascii="Verdana" w:hAnsi="Verdana"/>
          <w:i/>
          <w:sz w:val="16"/>
          <w:szCs w:val="16"/>
          <w:lang w:val="es-ES"/>
        </w:rPr>
        <w:t xml:space="preserve"> Vs. Uruguay. Fondo y Reparaciones</w:t>
      </w:r>
      <w:r w:rsidRPr="00DD4AC4">
        <w:rPr>
          <w:rStyle w:val="FootnoteTextChar"/>
          <w:rFonts w:ascii="Verdana" w:hAnsi="Verdana"/>
          <w:sz w:val="16"/>
          <w:szCs w:val="16"/>
          <w:lang w:val="es-ES"/>
        </w:rPr>
        <w:t>. Sentencia de 24 de febrero de 2011 Serie C No. 221</w:t>
      </w:r>
      <w:r w:rsidRPr="00DD4AC4">
        <w:rPr>
          <w:rStyle w:val="FootnoteTextChar"/>
          <w:rFonts w:ascii="Verdana" w:hAnsi="Verdana"/>
          <w:sz w:val="16"/>
          <w:szCs w:val="16"/>
        </w:rPr>
        <w:t xml:space="preserve">, párr. 225; </w:t>
      </w:r>
      <w:r w:rsidRPr="00DD4AC4">
        <w:rPr>
          <w:rStyle w:val="FootnoteTextChar"/>
          <w:rFonts w:ascii="Verdana" w:hAnsi="Verdana"/>
          <w:i/>
          <w:sz w:val="16"/>
          <w:szCs w:val="16"/>
        </w:rPr>
        <w:t xml:space="preserve">Caso Vera </w:t>
      </w:r>
      <w:proofErr w:type="spellStart"/>
      <w:r w:rsidRPr="00DD4AC4">
        <w:rPr>
          <w:rStyle w:val="FootnoteTextChar"/>
          <w:rFonts w:ascii="Verdana" w:hAnsi="Verdana"/>
          <w:i/>
          <w:sz w:val="16"/>
          <w:szCs w:val="16"/>
        </w:rPr>
        <w:t>Vera</w:t>
      </w:r>
      <w:proofErr w:type="spellEnd"/>
      <w:r w:rsidRPr="00DD4AC4">
        <w:rPr>
          <w:rStyle w:val="FootnoteTextChar"/>
          <w:rFonts w:ascii="Verdana" w:hAnsi="Verdana"/>
          <w:i/>
          <w:sz w:val="16"/>
          <w:szCs w:val="16"/>
        </w:rPr>
        <w:t xml:space="preserve"> y otra Vs. Ecuador. Excepción Preliminar, Fondo, Reparaciones y Costas</w:t>
      </w:r>
      <w:r w:rsidRPr="00DD4AC4">
        <w:rPr>
          <w:rStyle w:val="FootnoteTextChar"/>
          <w:rFonts w:ascii="Verdana" w:hAnsi="Verdana"/>
          <w:sz w:val="16"/>
          <w:szCs w:val="16"/>
        </w:rPr>
        <w:t xml:space="preserve">, Sentencia de 19 de mayo de 2011. Serie C No. 226, párr. </w:t>
      </w:r>
      <w:r w:rsidRPr="00DD4AC4">
        <w:rPr>
          <w:rStyle w:val="FootnoteTextChar"/>
          <w:rFonts w:ascii="Verdana" w:hAnsi="Verdana"/>
          <w:sz w:val="16"/>
          <w:szCs w:val="16"/>
          <w:lang w:val="es-ES"/>
        </w:rPr>
        <w:t xml:space="preserve">117, y </w:t>
      </w:r>
      <w:r w:rsidRPr="00DD4AC4">
        <w:rPr>
          <w:rFonts w:ascii="Verdana" w:hAnsi="Verdana"/>
          <w:i/>
          <w:sz w:val="16"/>
          <w:szCs w:val="16"/>
        </w:rPr>
        <w:t xml:space="preserve">Caso Vélez Restrepo y Familiares Vs. Colombia, Excepción Preliminar, Fondo, Reparaciones y Costas. </w:t>
      </w:r>
      <w:r w:rsidRPr="00DD4AC4">
        <w:rPr>
          <w:rFonts w:ascii="Verdana" w:hAnsi="Verdana"/>
          <w:sz w:val="16"/>
          <w:szCs w:val="16"/>
        </w:rPr>
        <w:t>Sentencia de 3 de septiembre de 2012. Serie C No. 248, párr. 283.</w:t>
      </w:r>
    </w:p>
  </w:footnote>
  <w:footnote w:id="46">
    <w:p w:rsidR="00446D37" w:rsidRPr="00DD4AC4" w:rsidRDefault="00446D37" w:rsidP="00DD4AC4">
      <w:pPr>
        <w:pStyle w:val="FootnoteText"/>
        <w:jc w:val="both"/>
        <w:rPr>
          <w:rFonts w:ascii="Verdana" w:hAnsi="Verdana"/>
          <w:sz w:val="16"/>
          <w:szCs w:val="16"/>
        </w:rPr>
      </w:pPr>
      <w:r w:rsidRPr="00DD4AC4">
        <w:rPr>
          <w:rStyle w:val="FootnoteReference"/>
          <w:rFonts w:ascii="Verdana" w:hAnsi="Verdana"/>
          <w:sz w:val="16"/>
          <w:szCs w:val="16"/>
        </w:rPr>
        <w:footnoteRef/>
      </w:r>
      <w:r w:rsidRPr="00DD4AC4">
        <w:rPr>
          <w:rFonts w:ascii="Verdana" w:hAnsi="Verdana"/>
          <w:sz w:val="16"/>
          <w:szCs w:val="16"/>
        </w:rPr>
        <w:t xml:space="preserve"> </w:t>
      </w:r>
      <w:r w:rsidRPr="00DD4AC4">
        <w:rPr>
          <w:rFonts w:ascii="Verdana" w:hAnsi="Verdana"/>
          <w:sz w:val="16"/>
          <w:szCs w:val="16"/>
        </w:rPr>
        <w:tab/>
      </w:r>
      <w:r w:rsidRPr="00DD4AC4">
        <w:rPr>
          <w:rFonts w:ascii="Verdana" w:hAnsi="Verdana"/>
          <w:i/>
          <w:sz w:val="16"/>
          <w:szCs w:val="16"/>
        </w:rPr>
        <w:t xml:space="preserve">Cfr. </w:t>
      </w:r>
      <w:r w:rsidRPr="00DD4AC4">
        <w:rPr>
          <w:rFonts w:ascii="Verdana" w:hAnsi="Verdana"/>
          <w:bCs/>
          <w:i/>
          <w:sz w:val="16"/>
          <w:szCs w:val="16"/>
          <w:lang w:val="es-ES"/>
        </w:rPr>
        <w:t>Ca</w:t>
      </w:r>
      <w:r w:rsidR="004D24B2">
        <w:rPr>
          <w:rFonts w:ascii="Verdana" w:hAnsi="Verdana"/>
          <w:bCs/>
          <w:i/>
          <w:sz w:val="16"/>
          <w:szCs w:val="16"/>
          <w:lang w:val="es-ES"/>
        </w:rPr>
        <w:t xml:space="preserve">so Vera </w:t>
      </w:r>
      <w:proofErr w:type="spellStart"/>
      <w:r w:rsidR="004D24B2">
        <w:rPr>
          <w:rFonts w:ascii="Verdana" w:hAnsi="Verdana"/>
          <w:bCs/>
          <w:i/>
          <w:sz w:val="16"/>
          <w:szCs w:val="16"/>
          <w:lang w:val="es-ES"/>
        </w:rPr>
        <w:t>Vera</w:t>
      </w:r>
      <w:proofErr w:type="spellEnd"/>
      <w:r w:rsidR="004D24B2">
        <w:rPr>
          <w:rFonts w:ascii="Verdana" w:hAnsi="Verdana"/>
          <w:bCs/>
          <w:i/>
          <w:sz w:val="16"/>
          <w:szCs w:val="16"/>
          <w:lang w:val="es-ES"/>
        </w:rPr>
        <w:t xml:space="preserve"> y otra Vs. Ecuador, supra </w:t>
      </w:r>
      <w:r w:rsidR="004D24B2" w:rsidRPr="004D24B2">
        <w:rPr>
          <w:rFonts w:ascii="Verdana" w:hAnsi="Verdana"/>
          <w:bCs/>
          <w:sz w:val="16"/>
          <w:szCs w:val="16"/>
          <w:lang w:val="es-ES"/>
        </w:rPr>
        <w:t>nota 45</w:t>
      </w:r>
      <w:r w:rsidRPr="00DD4AC4">
        <w:rPr>
          <w:rFonts w:ascii="Verdana" w:hAnsi="Verdana"/>
          <w:sz w:val="16"/>
          <w:szCs w:val="16"/>
          <w:lang w:val="es-ES"/>
        </w:rPr>
        <w:t xml:space="preserve">, </w:t>
      </w:r>
      <w:proofErr w:type="spellStart"/>
      <w:r w:rsidRPr="00DD4AC4">
        <w:rPr>
          <w:rFonts w:ascii="Verdana" w:hAnsi="Verdana"/>
          <w:sz w:val="16"/>
          <w:szCs w:val="16"/>
          <w:lang w:val="es-ES"/>
        </w:rPr>
        <w:t>párrs</w:t>
      </w:r>
      <w:proofErr w:type="spellEnd"/>
      <w:r w:rsidRPr="00DD4AC4">
        <w:rPr>
          <w:rFonts w:ascii="Verdana" w:hAnsi="Verdana"/>
          <w:sz w:val="16"/>
          <w:szCs w:val="16"/>
          <w:lang w:val="es-ES"/>
        </w:rPr>
        <w:t xml:space="preserve">. 117 y 118, y </w:t>
      </w:r>
      <w:r w:rsidRPr="00DD4AC4">
        <w:rPr>
          <w:rFonts w:ascii="Verdana" w:hAnsi="Verdana"/>
          <w:i/>
          <w:sz w:val="16"/>
          <w:szCs w:val="16"/>
        </w:rPr>
        <w:t>Caso Vélez Res</w:t>
      </w:r>
      <w:r w:rsidR="004D24B2">
        <w:rPr>
          <w:rFonts w:ascii="Verdana" w:hAnsi="Verdana"/>
          <w:i/>
          <w:sz w:val="16"/>
          <w:szCs w:val="16"/>
        </w:rPr>
        <w:t xml:space="preserve">trepo y Familiares Vs. Colombia, supra </w:t>
      </w:r>
      <w:r w:rsidR="004D24B2" w:rsidRPr="004D24B2">
        <w:rPr>
          <w:rFonts w:ascii="Verdana" w:hAnsi="Verdana"/>
          <w:sz w:val="16"/>
          <w:szCs w:val="16"/>
        </w:rPr>
        <w:t>nota 45</w:t>
      </w:r>
      <w:r w:rsidRPr="004D24B2">
        <w:rPr>
          <w:rFonts w:ascii="Verdana" w:hAnsi="Verdana"/>
          <w:sz w:val="16"/>
          <w:szCs w:val="16"/>
        </w:rPr>
        <w:t>,</w:t>
      </w:r>
      <w:r w:rsidRPr="00DD4AC4">
        <w:rPr>
          <w:rFonts w:ascii="Verdana" w:hAnsi="Verdana"/>
          <w:sz w:val="16"/>
          <w:szCs w:val="16"/>
        </w:rPr>
        <w:t xml:space="preserve"> párr. 282.</w:t>
      </w:r>
    </w:p>
  </w:footnote>
  <w:footnote w:id="47">
    <w:p w:rsidR="0085046D" w:rsidRPr="00DD4AC4" w:rsidRDefault="0085046D" w:rsidP="00C246E9">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Pr="00DD4AC4">
        <w:rPr>
          <w:rFonts w:ascii="Verdana" w:hAnsi="Verdana"/>
          <w:sz w:val="16"/>
          <w:szCs w:val="16"/>
        </w:rPr>
        <w:t>En la Sentencia se tuvo como un hecho probado que al regresar los efectivos militares al campamento, después de realizada la operación (</w:t>
      </w:r>
      <w:r w:rsidRPr="00DD4AC4">
        <w:rPr>
          <w:rFonts w:ascii="Verdana" w:hAnsi="Verdana"/>
          <w:i/>
          <w:sz w:val="16"/>
          <w:szCs w:val="16"/>
        </w:rPr>
        <w:t>supra</w:t>
      </w:r>
      <w:r w:rsidRPr="00DD4AC4">
        <w:rPr>
          <w:rFonts w:ascii="Verdana" w:hAnsi="Verdana"/>
          <w:sz w:val="16"/>
          <w:szCs w:val="16"/>
        </w:rPr>
        <w:t xml:space="preserve"> Visto 1), “los soldados que presenciaron los hechos fueron orientados por sus superiores a decir que durante el traslado se había producido un ‘</w:t>
      </w:r>
      <w:proofErr w:type="spellStart"/>
      <w:r w:rsidRPr="00DD4AC4">
        <w:rPr>
          <w:rFonts w:ascii="Verdana" w:hAnsi="Verdana"/>
          <w:sz w:val="16"/>
          <w:szCs w:val="16"/>
        </w:rPr>
        <w:t>hostigamento</w:t>
      </w:r>
      <w:proofErr w:type="spellEnd"/>
      <w:r w:rsidRPr="00DD4AC4">
        <w:rPr>
          <w:rFonts w:ascii="Verdana" w:hAnsi="Verdana"/>
          <w:sz w:val="16"/>
          <w:szCs w:val="16"/>
        </w:rPr>
        <w:t xml:space="preserve">’ con un grupo guerrillero y que Germán </w:t>
      </w:r>
      <w:proofErr w:type="spellStart"/>
      <w:r w:rsidRPr="00DD4AC4">
        <w:rPr>
          <w:rFonts w:ascii="Verdana" w:hAnsi="Verdana"/>
          <w:sz w:val="16"/>
          <w:szCs w:val="16"/>
        </w:rPr>
        <w:t>Escué</w:t>
      </w:r>
      <w:proofErr w:type="spellEnd"/>
      <w:r w:rsidRPr="00DD4AC4">
        <w:rPr>
          <w:rFonts w:ascii="Verdana" w:hAnsi="Verdana"/>
          <w:sz w:val="16"/>
          <w:szCs w:val="16"/>
        </w:rPr>
        <w:t xml:space="preserve"> había muerto en medio del fuego cruzado”. </w:t>
      </w:r>
      <w:r w:rsidRPr="00DD4AC4">
        <w:rPr>
          <w:rFonts w:ascii="Verdana" w:hAnsi="Verdana"/>
          <w:i/>
          <w:sz w:val="16"/>
          <w:szCs w:val="16"/>
        </w:rPr>
        <w:t xml:space="preserve">Cfr. Caso </w:t>
      </w:r>
      <w:proofErr w:type="spellStart"/>
      <w:r w:rsidRPr="00DD4AC4">
        <w:rPr>
          <w:rFonts w:ascii="Verdana" w:hAnsi="Verdana"/>
          <w:i/>
          <w:sz w:val="16"/>
          <w:szCs w:val="16"/>
        </w:rPr>
        <w:t>Escué</w:t>
      </w:r>
      <w:proofErr w:type="spellEnd"/>
      <w:r w:rsidRPr="00DD4AC4">
        <w:rPr>
          <w:rFonts w:ascii="Verdana" w:hAnsi="Verdana"/>
          <w:i/>
          <w:sz w:val="16"/>
          <w:szCs w:val="16"/>
        </w:rPr>
        <w:t xml:space="preserve"> Zapata Vs. Colombia</w:t>
      </w:r>
      <w:r w:rsidRPr="00DD4AC4">
        <w:rPr>
          <w:rFonts w:ascii="Verdana" w:hAnsi="Verdana"/>
          <w:sz w:val="16"/>
          <w:szCs w:val="16"/>
        </w:rPr>
        <w:t xml:space="preserve">, </w:t>
      </w:r>
      <w:r w:rsidRPr="00DD4AC4">
        <w:rPr>
          <w:rFonts w:ascii="Verdana" w:hAnsi="Verdana"/>
          <w:i/>
          <w:sz w:val="16"/>
          <w:szCs w:val="16"/>
        </w:rPr>
        <w:t>supra</w:t>
      </w:r>
      <w:r w:rsidRPr="00DD4AC4">
        <w:rPr>
          <w:rFonts w:ascii="Verdana" w:hAnsi="Verdana"/>
          <w:sz w:val="16"/>
          <w:szCs w:val="16"/>
        </w:rPr>
        <w:t xml:space="preserve"> nota 1, párr. </w:t>
      </w:r>
      <w:r w:rsidR="00EB4C61" w:rsidRPr="00DD4AC4">
        <w:rPr>
          <w:rFonts w:ascii="Verdana" w:hAnsi="Verdana"/>
          <w:sz w:val="16"/>
          <w:szCs w:val="16"/>
        </w:rPr>
        <w:t>3</w:t>
      </w:r>
      <w:r w:rsidRPr="00DD4AC4">
        <w:rPr>
          <w:rFonts w:ascii="Verdana" w:hAnsi="Verdana"/>
          <w:sz w:val="16"/>
          <w:szCs w:val="16"/>
        </w:rPr>
        <w:t>9</w:t>
      </w:r>
    </w:p>
  </w:footnote>
  <w:footnote w:id="48">
    <w:p w:rsidR="006F0D89" w:rsidRPr="00DD4AC4" w:rsidRDefault="006F0D89" w:rsidP="00C246E9">
      <w:pPr>
        <w:pStyle w:val="FootnoteText"/>
        <w:jc w:val="both"/>
        <w:rPr>
          <w:rFonts w:ascii="Verdana" w:hAnsi="Verdana"/>
          <w:sz w:val="16"/>
          <w:szCs w:val="16"/>
        </w:rPr>
      </w:pPr>
      <w:r w:rsidRPr="006B43C7">
        <w:rPr>
          <w:rStyle w:val="FootnoteReference"/>
          <w:rFonts w:ascii="Verdana" w:hAnsi="Verdana"/>
          <w:sz w:val="16"/>
          <w:szCs w:val="16"/>
        </w:rPr>
        <w:footnoteRef/>
      </w:r>
      <w:r w:rsidRPr="006B43C7">
        <w:rPr>
          <w:rFonts w:ascii="Verdana" w:hAnsi="Verdana"/>
          <w:sz w:val="16"/>
          <w:szCs w:val="16"/>
        </w:rPr>
        <w:t xml:space="preserve"> </w:t>
      </w:r>
      <w:r w:rsidRPr="006B43C7">
        <w:rPr>
          <w:rFonts w:ascii="Verdana" w:hAnsi="Verdana"/>
          <w:sz w:val="16"/>
          <w:szCs w:val="16"/>
        </w:rPr>
        <w:tab/>
      </w:r>
      <w:r w:rsidR="00CE6339">
        <w:rPr>
          <w:rFonts w:ascii="Verdana" w:hAnsi="Verdana"/>
          <w:sz w:val="16"/>
          <w:szCs w:val="16"/>
        </w:rPr>
        <w:t>En dicha sentencia, el j</w:t>
      </w:r>
      <w:r w:rsidRPr="00DD4AC4">
        <w:rPr>
          <w:rFonts w:ascii="Verdana" w:hAnsi="Verdana"/>
          <w:sz w:val="16"/>
          <w:szCs w:val="16"/>
        </w:rPr>
        <w:t>uzgado co</w:t>
      </w:r>
      <w:r w:rsidRPr="00DD4AC4">
        <w:rPr>
          <w:rFonts w:ascii="Verdana" w:hAnsi="Verdana" w:cs="Arial"/>
          <w:sz w:val="16"/>
          <w:szCs w:val="16"/>
          <w:lang w:bidi="en-US"/>
        </w:rPr>
        <w:t>nsideró que el “[t]</w:t>
      </w:r>
      <w:proofErr w:type="spellStart"/>
      <w:r w:rsidRPr="00DD4AC4">
        <w:rPr>
          <w:rFonts w:ascii="Verdana" w:hAnsi="Verdana" w:cs="Arial"/>
          <w:sz w:val="16"/>
          <w:szCs w:val="16"/>
          <w:lang w:bidi="en-US"/>
        </w:rPr>
        <w:t>eniente</w:t>
      </w:r>
      <w:proofErr w:type="spellEnd"/>
      <w:r w:rsidRPr="00DD4AC4">
        <w:rPr>
          <w:rFonts w:ascii="Verdana" w:hAnsi="Verdana" w:cs="Arial"/>
          <w:sz w:val="16"/>
          <w:szCs w:val="16"/>
          <w:lang w:bidi="en-US"/>
        </w:rPr>
        <w:t xml:space="preserve"> Jorge Alberto Navarro De</w:t>
      </w:r>
      <w:r w:rsidR="00CC19D1" w:rsidRPr="00DD4AC4">
        <w:rPr>
          <w:rFonts w:ascii="Verdana" w:hAnsi="Verdana" w:cs="Arial"/>
          <w:sz w:val="16"/>
          <w:szCs w:val="16"/>
          <w:lang w:bidi="en-US"/>
        </w:rPr>
        <w:t>[</w:t>
      </w:r>
      <w:r w:rsidRPr="00DD4AC4">
        <w:rPr>
          <w:rFonts w:ascii="Verdana" w:hAnsi="Verdana" w:cs="Arial"/>
          <w:sz w:val="16"/>
          <w:szCs w:val="16"/>
          <w:lang w:bidi="en-US"/>
        </w:rPr>
        <w:t>n</w:t>
      </w:r>
      <w:r w:rsidR="00CC19D1" w:rsidRPr="00DD4AC4">
        <w:rPr>
          <w:rFonts w:ascii="Verdana" w:hAnsi="Verdana" w:cs="Arial"/>
          <w:sz w:val="16"/>
          <w:szCs w:val="16"/>
          <w:lang w:bidi="en-US"/>
        </w:rPr>
        <w:t>]</w:t>
      </w:r>
      <w:proofErr w:type="spellStart"/>
      <w:r w:rsidRPr="00DD4AC4">
        <w:rPr>
          <w:rFonts w:ascii="Verdana" w:hAnsi="Verdana" w:cs="Arial"/>
          <w:sz w:val="16"/>
          <w:szCs w:val="16"/>
          <w:lang w:bidi="en-US"/>
        </w:rPr>
        <w:t>ia</w:t>
      </w:r>
      <w:proofErr w:type="spellEnd"/>
      <w:r w:rsidRPr="00DD4AC4">
        <w:rPr>
          <w:rFonts w:ascii="Verdana" w:hAnsi="Verdana" w:cs="Arial"/>
          <w:sz w:val="16"/>
          <w:szCs w:val="16"/>
          <w:lang w:bidi="en-US"/>
        </w:rPr>
        <w:t xml:space="preserve"> y el [c]</w:t>
      </w:r>
      <w:proofErr w:type="spellStart"/>
      <w:r w:rsidRPr="00DD4AC4">
        <w:rPr>
          <w:rFonts w:ascii="Verdana" w:hAnsi="Verdana" w:cs="Arial"/>
          <w:sz w:val="16"/>
          <w:szCs w:val="16"/>
          <w:lang w:bidi="en-US"/>
        </w:rPr>
        <w:t>abo</w:t>
      </w:r>
      <w:proofErr w:type="spellEnd"/>
      <w:r w:rsidRPr="00DD4AC4">
        <w:rPr>
          <w:rFonts w:ascii="Verdana" w:hAnsi="Verdana" w:cs="Arial"/>
          <w:sz w:val="16"/>
          <w:szCs w:val="16"/>
          <w:lang w:bidi="en-US"/>
        </w:rPr>
        <w:t xml:space="preserve"> [p]rimero […] faltaron a la verdad, en procura de poner en salva guarda su responsabilidad en los hechos que condujo a la muerte violenta de </w:t>
      </w:r>
      <w:proofErr w:type="spellStart"/>
      <w:proofErr w:type="gramStart"/>
      <w:r w:rsidRPr="00DD4AC4">
        <w:rPr>
          <w:rFonts w:ascii="Verdana" w:hAnsi="Verdana" w:cs="Arial"/>
          <w:sz w:val="16"/>
          <w:szCs w:val="16"/>
          <w:lang w:bidi="en-US"/>
        </w:rPr>
        <w:t>Germ</w:t>
      </w:r>
      <w:proofErr w:type="spellEnd"/>
      <w:r w:rsidRPr="00DD4AC4">
        <w:rPr>
          <w:rFonts w:ascii="Verdana" w:hAnsi="Verdana" w:cs="Arial"/>
          <w:sz w:val="16"/>
          <w:szCs w:val="16"/>
          <w:lang w:bidi="en-US"/>
        </w:rPr>
        <w:t>[</w:t>
      </w:r>
      <w:proofErr w:type="spellStart"/>
      <w:proofErr w:type="gramEnd"/>
      <w:r w:rsidRPr="00DD4AC4">
        <w:rPr>
          <w:rFonts w:ascii="Verdana" w:hAnsi="Verdana" w:cs="Arial"/>
          <w:sz w:val="16"/>
          <w:szCs w:val="16"/>
          <w:lang w:bidi="en-US"/>
        </w:rPr>
        <w:t>án</w:t>
      </w:r>
      <w:proofErr w:type="spellEnd"/>
      <w:r w:rsidRPr="00DD4AC4">
        <w:rPr>
          <w:rFonts w:ascii="Verdana" w:hAnsi="Verdana" w:cs="Arial"/>
          <w:sz w:val="16"/>
          <w:szCs w:val="16"/>
          <w:lang w:bidi="en-US"/>
        </w:rPr>
        <w:t xml:space="preserve"> </w:t>
      </w:r>
      <w:proofErr w:type="spellStart"/>
      <w:r w:rsidRPr="00DD4AC4">
        <w:rPr>
          <w:rFonts w:ascii="Verdana" w:hAnsi="Verdana" w:cs="Arial"/>
          <w:sz w:val="16"/>
          <w:szCs w:val="16"/>
          <w:lang w:bidi="en-US"/>
        </w:rPr>
        <w:t>Escué</w:t>
      </w:r>
      <w:proofErr w:type="spellEnd"/>
      <w:r w:rsidRPr="00DD4AC4">
        <w:rPr>
          <w:rFonts w:ascii="Verdana" w:hAnsi="Verdana" w:cs="Arial"/>
          <w:sz w:val="16"/>
          <w:szCs w:val="16"/>
          <w:lang w:bidi="en-US"/>
        </w:rPr>
        <w:t xml:space="preserve"> Zapata] y de paso engañar a la justicia […]”.</w:t>
      </w:r>
      <w:r w:rsidR="00CE6339">
        <w:rPr>
          <w:rFonts w:ascii="Verdana" w:hAnsi="Verdana" w:cs="Arial"/>
          <w:sz w:val="16"/>
          <w:szCs w:val="16"/>
          <w:lang w:bidi="en-US"/>
        </w:rPr>
        <w:t xml:space="preserve"> </w:t>
      </w:r>
      <w:r w:rsidRPr="00DD4AC4">
        <w:rPr>
          <w:rFonts w:ascii="Verdana" w:hAnsi="Verdana"/>
          <w:i/>
          <w:sz w:val="16"/>
          <w:szCs w:val="16"/>
        </w:rPr>
        <w:t xml:space="preserve">Cfr. </w:t>
      </w:r>
      <w:r w:rsidRPr="00DD4AC4">
        <w:rPr>
          <w:rFonts w:ascii="Verdana" w:hAnsi="Verdana"/>
          <w:sz w:val="16"/>
          <w:szCs w:val="16"/>
        </w:rPr>
        <w:t xml:space="preserve">Sentencia de 9 de julio de 2008, </w:t>
      </w:r>
      <w:r w:rsidRPr="00DD4AC4">
        <w:rPr>
          <w:rFonts w:ascii="Verdana" w:hAnsi="Verdana"/>
          <w:i/>
          <w:sz w:val="16"/>
          <w:szCs w:val="16"/>
        </w:rPr>
        <w:t xml:space="preserve">supra </w:t>
      </w:r>
      <w:r w:rsidRPr="00DD4AC4">
        <w:rPr>
          <w:rFonts w:ascii="Verdana" w:hAnsi="Verdana"/>
          <w:sz w:val="16"/>
          <w:szCs w:val="16"/>
        </w:rPr>
        <w:t>nota 17.</w:t>
      </w:r>
      <w:r w:rsidRPr="00DD4AC4">
        <w:rPr>
          <w:rFonts w:ascii="Verdana" w:hAnsi="Verdana" w:cs="Arial"/>
          <w:sz w:val="16"/>
          <w:szCs w:val="16"/>
          <w:lang w:bidi="en-US"/>
        </w:rPr>
        <w:t xml:space="preserve">  </w:t>
      </w:r>
    </w:p>
  </w:footnote>
  <w:footnote w:id="49">
    <w:p w:rsidR="006F0D89" w:rsidRPr="00DD4AC4" w:rsidRDefault="006F0D89" w:rsidP="00C246E9">
      <w:pPr>
        <w:pStyle w:val="FootnoteText"/>
        <w:jc w:val="both"/>
        <w:rPr>
          <w:rFonts w:ascii="Verdana" w:hAnsi="Verdana"/>
          <w:sz w:val="16"/>
          <w:szCs w:val="16"/>
        </w:rPr>
      </w:pPr>
      <w:r w:rsidRPr="00DD4AC4">
        <w:rPr>
          <w:rStyle w:val="FootnoteReference"/>
          <w:rFonts w:ascii="Verdana" w:hAnsi="Verdana"/>
          <w:sz w:val="16"/>
          <w:szCs w:val="16"/>
        </w:rPr>
        <w:footnoteRef/>
      </w:r>
      <w:r w:rsidRPr="00DD4AC4">
        <w:rPr>
          <w:rFonts w:ascii="Verdana" w:hAnsi="Verdana"/>
          <w:sz w:val="16"/>
          <w:szCs w:val="16"/>
        </w:rPr>
        <w:t xml:space="preserve"> </w:t>
      </w:r>
      <w:r w:rsidRPr="00DD4AC4">
        <w:rPr>
          <w:rFonts w:ascii="Verdana" w:hAnsi="Verdana"/>
          <w:sz w:val="16"/>
          <w:szCs w:val="16"/>
        </w:rPr>
        <w:tab/>
      </w:r>
      <w:r w:rsidRPr="006B43C7">
        <w:rPr>
          <w:rFonts w:ascii="Verdana" w:hAnsi="Verdana"/>
          <w:sz w:val="16"/>
          <w:szCs w:val="16"/>
        </w:rPr>
        <w:t>En dicha instancia se resolvió que “</w:t>
      </w:r>
      <w:r w:rsidR="003C2012" w:rsidRPr="00DD4AC4">
        <w:rPr>
          <w:rFonts w:ascii="Verdana" w:hAnsi="Verdana"/>
          <w:sz w:val="16"/>
          <w:szCs w:val="16"/>
        </w:rPr>
        <w:t>e</w:t>
      </w:r>
      <w:r w:rsidRPr="00DD4AC4">
        <w:rPr>
          <w:rFonts w:ascii="Verdana" w:hAnsi="Verdana"/>
          <w:sz w:val="16"/>
          <w:szCs w:val="16"/>
        </w:rPr>
        <w:t>l entonces [c]</w:t>
      </w:r>
      <w:proofErr w:type="spellStart"/>
      <w:r w:rsidRPr="00DD4AC4">
        <w:rPr>
          <w:rFonts w:ascii="Verdana" w:hAnsi="Verdana"/>
          <w:sz w:val="16"/>
          <w:szCs w:val="16"/>
        </w:rPr>
        <w:t>abo</w:t>
      </w:r>
      <w:proofErr w:type="spellEnd"/>
      <w:r w:rsidRPr="00DD4AC4">
        <w:rPr>
          <w:rFonts w:ascii="Verdana" w:hAnsi="Verdana"/>
          <w:sz w:val="16"/>
          <w:szCs w:val="16"/>
        </w:rPr>
        <w:t xml:space="preserve"> […] enjuiciado por la delincuencia de ‘[f]</w:t>
      </w:r>
      <w:proofErr w:type="spellStart"/>
      <w:r w:rsidRPr="00DD4AC4">
        <w:rPr>
          <w:rFonts w:ascii="Verdana" w:hAnsi="Verdana"/>
          <w:sz w:val="16"/>
          <w:szCs w:val="16"/>
        </w:rPr>
        <w:t>also</w:t>
      </w:r>
      <w:proofErr w:type="spellEnd"/>
      <w:r w:rsidRPr="00DD4AC4">
        <w:rPr>
          <w:rFonts w:ascii="Verdana" w:hAnsi="Verdana"/>
          <w:sz w:val="16"/>
          <w:szCs w:val="16"/>
        </w:rPr>
        <w:t xml:space="preserve"> [t]</w:t>
      </w:r>
      <w:proofErr w:type="spellStart"/>
      <w:r w:rsidRPr="00DD4AC4">
        <w:rPr>
          <w:rFonts w:ascii="Verdana" w:hAnsi="Verdana"/>
          <w:sz w:val="16"/>
          <w:szCs w:val="16"/>
        </w:rPr>
        <w:t>estimonio</w:t>
      </w:r>
      <w:proofErr w:type="spellEnd"/>
      <w:r w:rsidRPr="00DD4AC4">
        <w:rPr>
          <w:rFonts w:ascii="Verdana" w:hAnsi="Verdana"/>
          <w:sz w:val="16"/>
          <w:szCs w:val="16"/>
        </w:rPr>
        <w:t xml:space="preserve">’, […] debe [ser] </w:t>
      </w:r>
      <w:proofErr w:type="gramStart"/>
      <w:r w:rsidRPr="00DD4AC4">
        <w:rPr>
          <w:rFonts w:ascii="Verdana" w:hAnsi="Verdana"/>
          <w:sz w:val="16"/>
          <w:szCs w:val="16"/>
        </w:rPr>
        <w:t>exonera[</w:t>
      </w:r>
      <w:proofErr w:type="gramEnd"/>
      <w:r w:rsidRPr="00DD4AC4">
        <w:rPr>
          <w:rFonts w:ascii="Verdana" w:hAnsi="Verdana"/>
          <w:sz w:val="16"/>
          <w:szCs w:val="16"/>
        </w:rPr>
        <w:t>do] de este cargo, porque no podía exigírsele que se auto-acusara</w:t>
      </w:r>
      <w:r w:rsidR="00700187">
        <w:rPr>
          <w:rFonts w:ascii="Verdana" w:hAnsi="Verdana"/>
          <w:sz w:val="16"/>
          <w:szCs w:val="16"/>
        </w:rPr>
        <w:t>, por haber sido indiferente o consentido expresa o tácitamente el actuar del Comandante del [o]</w:t>
      </w:r>
      <w:proofErr w:type="spellStart"/>
      <w:r w:rsidR="00700187">
        <w:rPr>
          <w:rFonts w:ascii="Verdana" w:hAnsi="Verdana"/>
          <w:sz w:val="16"/>
          <w:szCs w:val="16"/>
        </w:rPr>
        <w:t>perativo</w:t>
      </w:r>
      <w:proofErr w:type="spellEnd"/>
      <w:r w:rsidR="00700187">
        <w:rPr>
          <w:rFonts w:ascii="Verdana" w:hAnsi="Verdana"/>
          <w:sz w:val="16"/>
          <w:szCs w:val="16"/>
        </w:rPr>
        <w:t xml:space="preserve"> </w:t>
      </w:r>
      <w:r w:rsidRPr="00DD4AC4">
        <w:rPr>
          <w:rFonts w:ascii="Verdana" w:hAnsi="Verdana"/>
          <w:sz w:val="16"/>
          <w:szCs w:val="16"/>
        </w:rPr>
        <w:t xml:space="preserve">[…]”. </w:t>
      </w:r>
      <w:r w:rsidRPr="00DD4AC4">
        <w:rPr>
          <w:rFonts w:ascii="Verdana" w:hAnsi="Verdana"/>
          <w:i/>
          <w:sz w:val="16"/>
          <w:szCs w:val="16"/>
        </w:rPr>
        <w:t xml:space="preserve">Cfr. </w:t>
      </w:r>
      <w:r w:rsidRPr="00DD4AC4">
        <w:rPr>
          <w:rFonts w:ascii="Verdana" w:hAnsi="Verdana"/>
          <w:sz w:val="16"/>
          <w:szCs w:val="16"/>
        </w:rPr>
        <w:t xml:space="preserve">Sentencia de 11 de junio de 2010, </w:t>
      </w:r>
      <w:r w:rsidRPr="00DD4AC4">
        <w:rPr>
          <w:rFonts w:ascii="Verdana" w:hAnsi="Verdana"/>
          <w:i/>
          <w:sz w:val="16"/>
          <w:szCs w:val="16"/>
        </w:rPr>
        <w:t xml:space="preserve">supra </w:t>
      </w:r>
      <w:r w:rsidRPr="00DD4AC4">
        <w:rPr>
          <w:rFonts w:ascii="Verdana" w:hAnsi="Verdana"/>
          <w:sz w:val="16"/>
          <w:szCs w:val="16"/>
        </w:rPr>
        <w:t>nota 17.</w:t>
      </w:r>
    </w:p>
  </w:footnote>
  <w:footnote w:id="50">
    <w:p w:rsidR="001A5D50" w:rsidRPr="001A5D50" w:rsidRDefault="001A5D50" w:rsidP="001A5D50">
      <w:pPr>
        <w:pStyle w:val="FootnoteText"/>
        <w:jc w:val="both"/>
        <w:rPr>
          <w:rFonts w:ascii="Verdana" w:hAnsi="Verdana"/>
          <w:sz w:val="16"/>
          <w:szCs w:val="16"/>
        </w:rPr>
      </w:pPr>
      <w:r w:rsidRPr="001A5D50">
        <w:rPr>
          <w:rStyle w:val="FootnoteReference"/>
          <w:rFonts w:ascii="Verdana" w:hAnsi="Verdana"/>
          <w:sz w:val="16"/>
          <w:szCs w:val="16"/>
        </w:rPr>
        <w:footnoteRef/>
      </w:r>
      <w:r w:rsidRPr="001A5D50">
        <w:rPr>
          <w:rFonts w:ascii="Verdana" w:hAnsi="Verdana"/>
          <w:sz w:val="16"/>
          <w:szCs w:val="16"/>
        </w:rPr>
        <w:t xml:space="preserve"> </w:t>
      </w:r>
      <w:r w:rsidRPr="001A5D50">
        <w:rPr>
          <w:rFonts w:ascii="Verdana" w:hAnsi="Verdana"/>
          <w:sz w:val="16"/>
          <w:szCs w:val="16"/>
        </w:rPr>
        <w:tab/>
        <w:t xml:space="preserve">Los representantes indicaron que dicha calificación se realizó con base en “un acta de incautación de armamento que no </w:t>
      </w:r>
      <w:proofErr w:type="gramStart"/>
      <w:r w:rsidRPr="001A5D50">
        <w:rPr>
          <w:rFonts w:ascii="Verdana" w:hAnsi="Verdana"/>
          <w:sz w:val="16"/>
          <w:szCs w:val="16"/>
        </w:rPr>
        <w:t>obra[</w:t>
      </w:r>
      <w:proofErr w:type="spellStart"/>
      <w:proofErr w:type="gramEnd"/>
      <w:r w:rsidRPr="001A5D50">
        <w:rPr>
          <w:rFonts w:ascii="Verdana" w:hAnsi="Verdana"/>
          <w:sz w:val="16"/>
          <w:szCs w:val="16"/>
        </w:rPr>
        <w:t>ba</w:t>
      </w:r>
      <w:proofErr w:type="spellEnd"/>
      <w:r w:rsidRPr="001A5D50">
        <w:rPr>
          <w:rFonts w:ascii="Verdana" w:hAnsi="Verdana"/>
          <w:sz w:val="16"/>
          <w:szCs w:val="16"/>
        </w:rPr>
        <w:t>] en el expediente”, lo cual “no corresponde a la verdad histórica y genera una estigmatización a la familia de la víctima”</w:t>
      </w:r>
      <w:r>
        <w:rPr>
          <w:rFonts w:ascii="Verdana" w:hAnsi="Verdana"/>
          <w:sz w:val="16"/>
          <w:szCs w:val="16"/>
        </w:rPr>
        <w:t xml:space="preserve">. </w:t>
      </w:r>
      <w:r w:rsidRPr="00DD4AC4">
        <w:rPr>
          <w:rFonts w:ascii="Verdana" w:hAnsi="Verdana"/>
          <w:i/>
          <w:sz w:val="16"/>
          <w:szCs w:val="16"/>
        </w:rPr>
        <w:t xml:space="preserve">Cfr. </w:t>
      </w:r>
      <w:r w:rsidRPr="00DD4AC4">
        <w:rPr>
          <w:rFonts w:ascii="Verdana" w:hAnsi="Verdana"/>
          <w:sz w:val="16"/>
          <w:szCs w:val="16"/>
        </w:rPr>
        <w:t>Escritos de observaciones de los representantes de las víctimas de 27 de enero y 20 de junio de 2016.</w:t>
      </w:r>
    </w:p>
  </w:footnote>
  <w:footnote w:id="51">
    <w:p w:rsidR="0056684E" w:rsidRPr="00DC4897" w:rsidRDefault="0056684E" w:rsidP="00C246E9">
      <w:pPr>
        <w:pStyle w:val="FootnoteText"/>
        <w:jc w:val="both"/>
        <w:rPr>
          <w:rFonts w:ascii="Verdana" w:hAnsi="Verdana"/>
          <w:b/>
          <w:sz w:val="16"/>
          <w:szCs w:val="16"/>
          <w:lang w:val="es-CR"/>
        </w:rPr>
      </w:pPr>
      <w:r w:rsidRPr="006B43C7">
        <w:rPr>
          <w:rStyle w:val="FootnoteReference"/>
          <w:rFonts w:ascii="Verdana" w:hAnsi="Verdana"/>
          <w:sz w:val="16"/>
          <w:szCs w:val="16"/>
        </w:rPr>
        <w:footnoteRef/>
      </w:r>
      <w:r w:rsidRPr="006B43C7">
        <w:rPr>
          <w:rFonts w:ascii="Verdana" w:hAnsi="Verdana"/>
          <w:sz w:val="16"/>
          <w:szCs w:val="16"/>
        </w:rPr>
        <w:t xml:space="preserve"> </w:t>
      </w:r>
      <w:r w:rsidRPr="00DD4AC4">
        <w:rPr>
          <w:rFonts w:ascii="Verdana" w:hAnsi="Verdana"/>
          <w:sz w:val="16"/>
          <w:szCs w:val="16"/>
          <w:lang w:val="es-CR"/>
        </w:rPr>
        <w:tab/>
        <w:t xml:space="preserve">Por ejemplo, al referirse a la “adecuación típica del delito de tortura” el fallo indica: “[…] razón le asiste al demandante al aseverar que los juzgadores erraron su juicio al estimar que [Germán </w:t>
      </w:r>
      <w:proofErr w:type="spellStart"/>
      <w:r w:rsidRPr="00DD4AC4">
        <w:rPr>
          <w:rFonts w:ascii="Verdana" w:hAnsi="Verdana"/>
          <w:sz w:val="16"/>
          <w:szCs w:val="16"/>
          <w:lang w:val="es-CR"/>
        </w:rPr>
        <w:t>Escué</w:t>
      </w:r>
      <w:proofErr w:type="spellEnd"/>
      <w:r w:rsidRPr="00DD4AC4">
        <w:rPr>
          <w:rFonts w:ascii="Verdana" w:hAnsi="Verdana"/>
          <w:sz w:val="16"/>
          <w:szCs w:val="16"/>
          <w:lang w:val="es-CR"/>
        </w:rPr>
        <w:t xml:space="preserve"> Zapata] no fue torturado porque el ataque [de] culetazo y golpes con la mano, no tuvieron por fin anular su personalidad, pues no solo las pruebas revelan que los vejámenes físicos no fueron para nada insignificantes como parecen sustentarlo los juzgadores y lo apoya el delegado del Ministerio Público, sino que también consistió en agresiones morales con la entidad necesaria para doblegar la voluntad del ofendido, en orden a que reconociera una supuesta condición de guerrillero que no tenía y, respecto de la cual aquellos carecían de todo conocimiento certero, pues quien lo acusaba de tal era un informante de la región que permaneció camuflado entre la patrulla”. </w:t>
      </w:r>
      <w:r w:rsidRPr="00DD4AC4">
        <w:rPr>
          <w:rFonts w:ascii="Verdana" w:hAnsi="Verdana"/>
          <w:i/>
          <w:sz w:val="16"/>
          <w:szCs w:val="16"/>
          <w:lang w:val="es-CR"/>
        </w:rPr>
        <w:t xml:space="preserve">Cfr. </w:t>
      </w:r>
      <w:r w:rsidRPr="00DD4AC4">
        <w:rPr>
          <w:rFonts w:ascii="Verdana" w:hAnsi="Verdana"/>
          <w:sz w:val="16"/>
          <w:szCs w:val="16"/>
        </w:rPr>
        <w:t xml:space="preserve">Sentencia de 15 de julio de 2015, </w:t>
      </w:r>
      <w:r w:rsidRPr="00DD4AC4">
        <w:rPr>
          <w:rFonts w:ascii="Verdana" w:hAnsi="Verdana"/>
          <w:i/>
          <w:sz w:val="16"/>
          <w:szCs w:val="16"/>
        </w:rPr>
        <w:t xml:space="preserve">supra </w:t>
      </w:r>
      <w:r w:rsidRPr="00DD4AC4">
        <w:rPr>
          <w:rFonts w:ascii="Verdana" w:hAnsi="Verdana"/>
          <w:sz w:val="16"/>
          <w:szCs w:val="16"/>
        </w:rPr>
        <w:t xml:space="preserve">nota </w:t>
      </w:r>
      <w:r w:rsidR="001C090F" w:rsidRPr="00DD4AC4">
        <w:rPr>
          <w:rFonts w:ascii="Verdana" w:hAnsi="Verdana"/>
          <w:sz w:val="16"/>
          <w:szCs w:val="16"/>
        </w:rPr>
        <w:t>17</w:t>
      </w:r>
      <w:r w:rsidRPr="00DD4AC4">
        <w:rPr>
          <w:rFonts w:ascii="Verdana" w:hAnsi="Verdana"/>
          <w:sz w:val="16"/>
          <w:szCs w:val="16"/>
        </w:rPr>
        <w:t>.</w:t>
      </w:r>
      <w:r w:rsidR="00452F17" w:rsidRPr="00DD4AC4">
        <w:rPr>
          <w:rFonts w:ascii="Verdana" w:hAnsi="Verdana"/>
          <w:b/>
          <w:sz w:val="16"/>
          <w:szCs w:val="16"/>
          <w:lang w:val="es-CR"/>
        </w:rPr>
        <w:t xml:space="preserve"> </w:t>
      </w:r>
      <w:r w:rsidR="00452F17" w:rsidRPr="00DD4AC4">
        <w:rPr>
          <w:rFonts w:ascii="Verdana" w:hAnsi="Verdana"/>
          <w:sz w:val="16"/>
          <w:szCs w:val="16"/>
        </w:rPr>
        <w:t xml:space="preserve">En este sentido, en su informe de abril de 2016 el Estado también manifestó que dicha sentencia “no se centró en la discusión sobre la pertenencia de la víctima a un grupo insurgente” y agregó que “el alto tribunal en modo alguno </w:t>
      </w:r>
      <w:proofErr w:type="spellStart"/>
      <w:r w:rsidR="00452F17" w:rsidRPr="00DD4AC4">
        <w:rPr>
          <w:rFonts w:ascii="Verdana" w:hAnsi="Verdana"/>
          <w:sz w:val="16"/>
          <w:szCs w:val="16"/>
        </w:rPr>
        <w:t>incorpor</w:t>
      </w:r>
      <w:proofErr w:type="spellEnd"/>
      <w:r w:rsidR="00452F17" w:rsidRPr="00DD4AC4">
        <w:rPr>
          <w:rFonts w:ascii="Verdana" w:hAnsi="Verdana"/>
          <w:sz w:val="16"/>
          <w:szCs w:val="16"/>
        </w:rPr>
        <w:t>[</w:t>
      </w:r>
      <w:proofErr w:type="spellStart"/>
      <w:r w:rsidR="00452F17" w:rsidRPr="00DD4AC4">
        <w:rPr>
          <w:rFonts w:ascii="Verdana" w:hAnsi="Verdana"/>
          <w:sz w:val="16"/>
          <w:szCs w:val="16"/>
        </w:rPr>
        <w:t>ó</w:t>
      </w:r>
      <w:proofErr w:type="spellEnd"/>
      <w:r w:rsidR="00452F17" w:rsidRPr="00DD4AC4">
        <w:rPr>
          <w:rFonts w:ascii="Verdana" w:hAnsi="Verdana"/>
          <w:sz w:val="16"/>
          <w:szCs w:val="16"/>
        </w:rPr>
        <w:t xml:space="preserve">] dentro de su sentencia la conclusión de que el líder indígena Germán </w:t>
      </w:r>
      <w:proofErr w:type="spellStart"/>
      <w:r w:rsidR="00452F17" w:rsidRPr="00DD4AC4">
        <w:rPr>
          <w:rFonts w:ascii="Verdana" w:hAnsi="Verdana"/>
          <w:sz w:val="16"/>
          <w:szCs w:val="16"/>
        </w:rPr>
        <w:t>Escué</w:t>
      </w:r>
      <w:proofErr w:type="spellEnd"/>
      <w:r w:rsidR="00452F17" w:rsidRPr="00DD4AC4">
        <w:rPr>
          <w:rFonts w:ascii="Verdana" w:hAnsi="Verdana"/>
          <w:sz w:val="16"/>
          <w:szCs w:val="16"/>
        </w:rPr>
        <w:t xml:space="preserve"> Zapata era integrante de un grupo guerrillero [sino que] </w:t>
      </w:r>
      <w:r w:rsidR="00452F17" w:rsidRPr="00DC4897">
        <w:rPr>
          <w:rFonts w:ascii="Verdana" w:hAnsi="Verdana"/>
          <w:sz w:val="16"/>
          <w:szCs w:val="16"/>
        </w:rPr>
        <w:t>fue muy cuidadoso al referirse a los señalamientos sobre la presunta pertenencia d</w:t>
      </w:r>
      <w:r w:rsidR="00DC4897" w:rsidRPr="00DC4897">
        <w:rPr>
          <w:rFonts w:ascii="Verdana" w:hAnsi="Verdana"/>
          <w:sz w:val="16"/>
          <w:szCs w:val="16"/>
        </w:rPr>
        <w:t>e la víctima a la insurgencia”.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34" w:rsidRDefault="00090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rPr>
      <w:id w:val="-2143957082"/>
      <w:docPartObj>
        <w:docPartGallery w:val="Page Numbers (Top of Page)"/>
        <w:docPartUnique/>
      </w:docPartObj>
    </w:sdtPr>
    <w:sdtEndPr>
      <w:rPr>
        <w:noProof/>
      </w:rPr>
    </w:sdtEndPr>
    <w:sdtContent>
      <w:p w:rsidR="00F3399E" w:rsidRPr="00F3399E" w:rsidRDefault="00F3399E">
        <w:pPr>
          <w:pStyle w:val="Header"/>
          <w:jc w:val="center"/>
          <w:rPr>
            <w:rFonts w:ascii="Verdana" w:hAnsi="Verdana"/>
            <w:sz w:val="16"/>
          </w:rPr>
        </w:pPr>
        <w:r w:rsidRPr="00F3399E">
          <w:rPr>
            <w:rFonts w:ascii="Verdana" w:hAnsi="Verdana"/>
            <w:sz w:val="16"/>
          </w:rPr>
          <w:t>-</w:t>
        </w:r>
        <w:r w:rsidRPr="00F3399E">
          <w:rPr>
            <w:rFonts w:ascii="Verdana" w:hAnsi="Verdana"/>
            <w:sz w:val="16"/>
          </w:rPr>
          <w:fldChar w:fldCharType="begin"/>
        </w:r>
        <w:r w:rsidRPr="00F3399E">
          <w:rPr>
            <w:rFonts w:ascii="Verdana" w:hAnsi="Verdana"/>
            <w:sz w:val="16"/>
          </w:rPr>
          <w:instrText xml:space="preserve"> PAGE   \* MERGEFORMAT </w:instrText>
        </w:r>
        <w:r w:rsidRPr="00F3399E">
          <w:rPr>
            <w:rFonts w:ascii="Verdana" w:hAnsi="Verdana"/>
            <w:sz w:val="16"/>
          </w:rPr>
          <w:fldChar w:fldCharType="separate"/>
        </w:r>
        <w:r w:rsidR="00B33051">
          <w:rPr>
            <w:rFonts w:ascii="Verdana" w:hAnsi="Verdana"/>
            <w:noProof/>
            <w:sz w:val="16"/>
          </w:rPr>
          <w:t>2</w:t>
        </w:r>
        <w:r w:rsidRPr="00F3399E">
          <w:rPr>
            <w:rFonts w:ascii="Verdana" w:hAnsi="Verdana"/>
            <w:noProof/>
            <w:sz w:val="16"/>
          </w:rPr>
          <w:fldChar w:fldCharType="end"/>
        </w:r>
        <w:r w:rsidRPr="00F3399E">
          <w:rPr>
            <w:rFonts w:ascii="Verdana" w:hAnsi="Verdana"/>
            <w:noProof/>
            <w:sz w:val="16"/>
          </w:rPr>
          <w:t>-</w:t>
        </w:r>
      </w:p>
    </w:sdtContent>
  </w:sdt>
  <w:p w:rsidR="00F3399E" w:rsidRDefault="00F33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34" w:rsidRDefault="00090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594"/>
    <w:multiLevelType w:val="hybridMultilevel"/>
    <w:tmpl w:val="C7E64058"/>
    <w:lvl w:ilvl="0" w:tplc="F07A314C">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5472C30"/>
    <w:multiLevelType w:val="hybridMultilevel"/>
    <w:tmpl w:val="AFC2362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06A6F1E"/>
    <w:multiLevelType w:val="hybridMultilevel"/>
    <w:tmpl w:val="2B0244F0"/>
    <w:lvl w:ilvl="0" w:tplc="E3EED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042C1"/>
    <w:multiLevelType w:val="hybridMultilevel"/>
    <w:tmpl w:val="012C4CA6"/>
    <w:lvl w:ilvl="0" w:tplc="3C46B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FA2F3E"/>
    <w:multiLevelType w:val="hybridMultilevel"/>
    <w:tmpl w:val="E90E4C1E"/>
    <w:lvl w:ilvl="0" w:tplc="46D4BF86">
      <w:start w:val="1"/>
      <w:numFmt w:val="lowerLetter"/>
      <w:lvlText w:val="%1)"/>
      <w:lvlJc w:val="left"/>
      <w:pPr>
        <w:ind w:left="1080" w:hanging="360"/>
      </w:pPr>
      <w:rPr>
        <w:rFonts w:cstheme="minorBidi"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93008"/>
    <w:multiLevelType w:val="hybridMultilevel"/>
    <w:tmpl w:val="D20A6B0A"/>
    <w:lvl w:ilvl="0" w:tplc="8568858E">
      <w:start w:val="1"/>
      <w:numFmt w:val="lowerLetter"/>
      <w:lvlText w:val="%1."/>
      <w:lvlJc w:val="left"/>
      <w:pPr>
        <w:ind w:left="720" w:hanging="360"/>
      </w:pPr>
      <w:rPr>
        <w:rFonts w:hint="default"/>
        <w:b w:val="0"/>
        <w:color w:val="000000" w:themeColor="text1"/>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9E86AEF"/>
    <w:multiLevelType w:val="hybridMultilevel"/>
    <w:tmpl w:val="5A28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71FC1"/>
    <w:multiLevelType w:val="hybridMultilevel"/>
    <w:tmpl w:val="30FE07D4"/>
    <w:lvl w:ilvl="0" w:tplc="C414B572">
      <w:start w:val="1"/>
      <w:numFmt w:val="decimal"/>
      <w:lvlText w:val="%1."/>
      <w:lvlJc w:val="left"/>
      <w:pPr>
        <w:ind w:left="720" w:hanging="360"/>
      </w:pPr>
      <w:rPr>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38207DE"/>
    <w:multiLevelType w:val="hybridMultilevel"/>
    <w:tmpl w:val="0F989FFC"/>
    <w:lvl w:ilvl="0" w:tplc="140A001B">
      <w:start w:val="1"/>
      <w:numFmt w:val="lowerRoman"/>
      <w:lvlText w:val="%1."/>
      <w:lvlJc w:val="right"/>
      <w:pPr>
        <w:ind w:left="1080" w:hanging="360"/>
      </w:pPr>
      <w:rPr>
        <w:rFonts w:hint="default"/>
      </w:rPr>
    </w:lvl>
    <w:lvl w:ilvl="1" w:tplc="24CC13A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9E2B2D"/>
    <w:multiLevelType w:val="hybridMultilevel"/>
    <w:tmpl w:val="AB28BD0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E513228"/>
    <w:multiLevelType w:val="hybridMultilevel"/>
    <w:tmpl w:val="2C4016F4"/>
    <w:lvl w:ilvl="0" w:tplc="12D4C216">
      <w:start w:val="1"/>
      <w:numFmt w:val="lowerRoman"/>
      <w:lvlText w:val="%1."/>
      <w:lvlJc w:val="righ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E94591"/>
    <w:multiLevelType w:val="hybridMultilevel"/>
    <w:tmpl w:val="AB28BD0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5F1C0B12"/>
    <w:multiLevelType w:val="hybridMultilevel"/>
    <w:tmpl w:val="3484257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6E98118B"/>
    <w:multiLevelType w:val="hybridMultilevel"/>
    <w:tmpl w:val="0BC6F9E6"/>
    <w:lvl w:ilvl="0" w:tplc="735AD630">
      <w:start w:val="1"/>
      <w:numFmt w:val="decimal"/>
      <w:lvlText w:val="%1."/>
      <w:lvlJc w:val="left"/>
      <w:pPr>
        <w:tabs>
          <w:tab w:val="num" w:pos="720"/>
        </w:tabs>
        <w:ind w:left="0" w:firstLine="0"/>
      </w:pPr>
      <w:rPr>
        <w:rFonts w:ascii="Verdana" w:hAnsi="Verdana" w:hint="default"/>
        <w:b w:val="0"/>
        <w:i w:val="0"/>
        <w:color w:val="auto"/>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nsid w:val="757A12A2"/>
    <w:multiLevelType w:val="hybridMultilevel"/>
    <w:tmpl w:val="0694DDCE"/>
    <w:lvl w:ilvl="0" w:tplc="97D2B9D2">
      <w:start w:val="1"/>
      <w:numFmt w:val="decimal"/>
      <w:lvlText w:val="%1."/>
      <w:lvlJc w:val="left"/>
      <w:pPr>
        <w:ind w:left="1065" w:hanging="705"/>
      </w:pPr>
      <w:rPr>
        <w:rFonts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22A04"/>
    <w:multiLevelType w:val="hybridMultilevel"/>
    <w:tmpl w:val="2B82A4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4A0F45"/>
    <w:multiLevelType w:val="hybridMultilevel"/>
    <w:tmpl w:val="0DD0347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7F622484"/>
    <w:multiLevelType w:val="hybridMultilevel"/>
    <w:tmpl w:val="AA40D804"/>
    <w:lvl w:ilvl="0" w:tplc="C9DC8F02">
      <w:start w:val="1"/>
      <w:numFmt w:val="decimal"/>
      <w:lvlText w:val="%1."/>
      <w:lvlJc w:val="left"/>
      <w:pPr>
        <w:ind w:left="360" w:hanging="360"/>
      </w:pPr>
      <w:rPr>
        <w:rFonts w:ascii="Verdana" w:hAnsi="Verdana" w:hint="default"/>
        <w:b w:val="0"/>
        <w:i w:val="0"/>
        <w:sz w:val="20"/>
        <w:szCs w:val="20"/>
      </w:rPr>
    </w:lvl>
    <w:lvl w:ilvl="1" w:tplc="140A0019">
      <w:start w:val="1"/>
      <w:numFmt w:val="lowerLetter"/>
      <w:lvlText w:val="%2."/>
      <w:lvlJc w:val="left"/>
      <w:pPr>
        <w:ind w:left="270" w:hanging="360"/>
      </w:pPr>
    </w:lvl>
    <w:lvl w:ilvl="2" w:tplc="140A001B">
      <w:start w:val="1"/>
      <w:numFmt w:val="lowerRoman"/>
      <w:lvlText w:val="%3."/>
      <w:lvlJc w:val="right"/>
      <w:pPr>
        <w:ind w:left="990" w:hanging="180"/>
      </w:pPr>
    </w:lvl>
    <w:lvl w:ilvl="3" w:tplc="140A000F">
      <w:start w:val="1"/>
      <w:numFmt w:val="decimal"/>
      <w:lvlText w:val="%4."/>
      <w:lvlJc w:val="left"/>
      <w:pPr>
        <w:ind w:left="1710" w:hanging="360"/>
      </w:pPr>
    </w:lvl>
    <w:lvl w:ilvl="4" w:tplc="140A0019">
      <w:start w:val="1"/>
      <w:numFmt w:val="lowerLetter"/>
      <w:lvlText w:val="%5."/>
      <w:lvlJc w:val="left"/>
      <w:pPr>
        <w:ind w:left="2430" w:hanging="360"/>
      </w:pPr>
    </w:lvl>
    <w:lvl w:ilvl="5" w:tplc="140A001B">
      <w:start w:val="1"/>
      <w:numFmt w:val="lowerRoman"/>
      <w:lvlText w:val="%6."/>
      <w:lvlJc w:val="right"/>
      <w:pPr>
        <w:ind w:left="3150" w:hanging="180"/>
      </w:pPr>
    </w:lvl>
    <w:lvl w:ilvl="6" w:tplc="140A000F">
      <w:start w:val="1"/>
      <w:numFmt w:val="decimal"/>
      <w:lvlText w:val="%7."/>
      <w:lvlJc w:val="left"/>
      <w:pPr>
        <w:ind w:left="3870" w:hanging="360"/>
      </w:pPr>
    </w:lvl>
    <w:lvl w:ilvl="7" w:tplc="140A0019">
      <w:start w:val="1"/>
      <w:numFmt w:val="lowerLetter"/>
      <w:lvlText w:val="%8."/>
      <w:lvlJc w:val="left"/>
      <w:pPr>
        <w:ind w:left="4590" w:hanging="360"/>
      </w:pPr>
    </w:lvl>
    <w:lvl w:ilvl="8" w:tplc="140A001B">
      <w:start w:val="1"/>
      <w:numFmt w:val="lowerRoman"/>
      <w:lvlText w:val="%9."/>
      <w:lvlJc w:val="right"/>
      <w:pPr>
        <w:ind w:left="5310" w:hanging="180"/>
      </w:pPr>
    </w:lvl>
  </w:abstractNum>
  <w:num w:numId="1">
    <w:abstractNumId w:val="14"/>
  </w:num>
  <w:num w:numId="2">
    <w:abstractNumId w:val="3"/>
  </w:num>
  <w:num w:numId="3">
    <w:abstractNumId w:val="7"/>
  </w:num>
  <w:num w:numId="4">
    <w:abstractNumId w:val="6"/>
  </w:num>
  <w:num w:numId="5">
    <w:abstractNumId w:val="4"/>
  </w:num>
  <w:num w:numId="6">
    <w:abstractNumId w:val="15"/>
  </w:num>
  <w:num w:numId="7">
    <w:abstractNumId w:val="2"/>
  </w:num>
  <w:num w:numId="8">
    <w:abstractNumId w:val="17"/>
  </w:num>
  <w:num w:numId="9">
    <w:abstractNumId w:val="16"/>
  </w:num>
  <w:num w:numId="10">
    <w:abstractNumId w:val="12"/>
  </w:num>
  <w:num w:numId="11">
    <w:abstractNumId w:val="1"/>
  </w:num>
  <w:num w:numId="12">
    <w:abstractNumId w:val="10"/>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agro">
    <w15:presenceInfo w15:providerId="None" w15:userId="Milag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83"/>
    <w:rsid w:val="00007AFC"/>
    <w:rsid w:val="0001219C"/>
    <w:rsid w:val="000135E1"/>
    <w:rsid w:val="0001367B"/>
    <w:rsid w:val="00015D62"/>
    <w:rsid w:val="0002002F"/>
    <w:rsid w:val="000212CD"/>
    <w:rsid w:val="00021419"/>
    <w:rsid w:val="000230AF"/>
    <w:rsid w:val="00023140"/>
    <w:rsid w:val="00031D2B"/>
    <w:rsid w:val="00033150"/>
    <w:rsid w:val="0003415B"/>
    <w:rsid w:val="0003423C"/>
    <w:rsid w:val="00034A12"/>
    <w:rsid w:val="00034E74"/>
    <w:rsid w:val="00035343"/>
    <w:rsid w:val="000401FE"/>
    <w:rsid w:val="00047E28"/>
    <w:rsid w:val="00050234"/>
    <w:rsid w:val="000503CD"/>
    <w:rsid w:val="000511C9"/>
    <w:rsid w:val="00054D39"/>
    <w:rsid w:val="00055C2B"/>
    <w:rsid w:val="000578AF"/>
    <w:rsid w:val="00062732"/>
    <w:rsid w:val="00065195"/>
    <w:rsid w:val="000714FD"/>
    <w:rsid w:val="000778D8"/>
    <w:rsid w:val="000807D4"/>
    <w:rsid w:val="00082FA8"/>
    <w:rsid w:val="000838FB"/>
    <w:rsid w:val="000854FF"/>
    <w:rsid w:val="000874FE"/>
    <w:rsid w:val="00090934"/>
    <w:rsid w:val="00090951"/>
    <w:rsid w:val="00093083"/>
    <w:rsid w:val="000937C9"/>
    <w:rsid w:val="00093C80"/>
    <w:rsid w:val="000A24FF"/>
    <w:rsid w:val="000A3D13"/>
    <w:rsid w:val="000B0232"/>
    <w:rsid w:val="000B2361"/>
    <w:rsid w:val="000C5EE5"/>
    <w:rsid w:val="000D165D"/>
    <w:rsid w:val="000D33A4"/>
    <w:rsid w:val="000E1DA6"/>
    <w:rsid w:val="000E271C"/>
    <w:rsid w:val="000E5CD3"/>
    <w:rsid w:val="000F0BC6"/>
    <w:rsid w:val="000F58DB"/>
    <w:rsid w:val="0010556D"/>
    <w:rsid w:val="00110DC7"/>
    <w:rsid w:val="00111421"/>
    <w:rsid w:val="00113816"/>
    <w:rsid w:val="00113892"/>
    <w:rsid w:val="0011701D"/>
    <w:rsid w:val="001170E8"/>
    <w:rsid w:val="00121454"/>
    <w:rsid w:val="00124A18"/>
    <w:rsid w:val="00132AF3"/>
    <w:rsid w:val="00133046"/>
    <w:rsid w:val="001352DA"/>
    <w:rsid w:val="00136169"/>
    <w:rsid w:val="00144214"/>
    <w:rsid w:val="00145C82"/>
    <w:rsid w:val="001500CE"/>
    <w:rsid w:val="00155B60"/>
    <w:rsid w:val="00157EED"/>
    <w:rsid w:val="0016056C"/>
    <w:rsid w:val="00160644"/>
    <w:rsid w:val="00161B2E"/>
    <w:rsid w:val="001629CA"/>
    <w:rsid w:val="0016479E"/>
    <w:rsid w:val="00165ABD"/>
    <w:rsid w:val="0017080A"/>
    <w:rsid w:val="00171865"/>
    <w:rsid w:val="00172FEB"/>
    <w:rsid w:val="00175ED8"/>
    <w:rsid w:val="00177478"/>
    <w:rsid w:val="00193712"/>
    <w:rsid w:val="00193C5D"/>
    <w:rsid w:val="0019603F"/>
    <w:rsid w:val="0019717A"/>
    <w:rsid w:val="00197B2A"/>
    <w:rsid w:val="001A3CA9"/>
    <w:rsid w:val="001A430F"/>
    <w:rsid w:val="001A4896"/>
    <w:rsid w:val="001A5D50"/>
    <w:rsid w:val="001A7590"/>
    <w:rsid w:val="001B1C3F"/>
    <w:rsid w:val="001B2740"/>
    <w:rsid w:val="001B3798"/>
    <w:rsid w:val="001B3FBC"/>
    <w:rsid w:val="001B760B"/>
    <w:rsid w:val="001C090F"/>
    <w:rsid w:val="001D6240"/>
    <w:rsid w:val="001E2758"/>
    <w:rsid w:val="001E2891"/>
    <w:rsid w:val="001E5BE8"/>
    <w:rsid w:val="001F0502"/>
    <w:rsid w:val="00206952"/>
    <w:rsid w:val="00207220"/>
    <w:rsid w:val="00211EA8"/>
    <w:rsid w:val="00214D6B"/>
    <w:rsid w:val="002167D9"/>
    <w:rsid w:val="00221C22"/>
    <w:rsid w:val="00222E8A"/>
    <w:rsid w:val="002231C6"/>
    <w:rsid w:val="00224D76"/>
    <w:rsid w:val="00225592"/>
    <w:rsid w:val="00225C67"/>
    <w:rsid w:val="002270BE"/>
    <w:rsid w:val="0022760C"/>
    <w:rsid w:val="002305C9"/>
    <w:rsid w:val="00230B6B"/>
    <w:rsid w:val="00233A23"/>
    <w:rsid w:val="00236057"/>
    <w:rsid w:val="0023786D"/>
    <w:rsid w:val="0024186C"/>
    <w:rsid w:val="002445CA"/>
    <w:rsid w:val="00245D7B"/>
    <w:rsid w:val="00246A6A"/>
    <w:rsid w:val="002505C5"/>
    <w:rsid w:val="0026666A"/>
    <w:rsid w:val="002724AA"/>
    <w:rsid w:val="002728F6"/>
    <w:rsid w:val="00274434"/>
    <w:rsid w:val="00280947"/>
    <w:rsid w:val="00283320"/>
    <w:rsid w:val="0029469C"/>
    <w:rsid w:val="00295B01"/>
    <w:rsid w:val="002A66AD"/>
    <w:rsid w:val="002B7262"/>
    <w:rsid w:val="002B79D2"/>
    <w:rsid w:val="002C1B24"/>
    <w:rsid w:val="002C565F"/>
    <w:rsid w:val="002C7579"/>
    <w:rsid w:val="002D3244"/>
    <w:rsid w:val="002D43E0"/>
    <w:rsid w:val="002E384A"/>
    <w:rsid w:val="002E5698"/>
    <w:rsid w:val="002F5416"/>
    <w:rsid w:val="0030174B"/>
    <w:rsid w:val="003059A1"/>
    <w:rsid w:val="00307816"/>
    <w:rsid w:val="00307EA6"/>
    <w:rsid w:val="003103D3"/>
    <w:rsid w:val="00314F6C"/>
    <w:rsid w:val="00315E5D"/>
    <w:rsid w:val="00316466"/>
    <w:rsid w:val="003225BE"/>
    <w:rsid w:val="003245C9"/>
    <w:rsid w:val="00326C2C"/>
    <w:rsid w:val="0032735C"/>
    <w:rsid w:val="003347AF"/>
    <w:rsid w:val="003358E1"/>
    <w:rsid w:val="00343CEC"/>
    <w:rsid w:val="00343E7E"/>
    <w:rsid w:val="00343F37"/>
    <w:rsid w:val="003501F3"/>
    <w:rsid w:val="00353C82"/>
    <w:rsid w:val="00354C86"/>
    <w:rsid w:val="00355B4D"/>
    <w:rsid w:val="003576DB"/>
    <w:rsid w:val="003667B6"/>
    <w:rsid w:val="00367FA8"/>
    <w:rsid w:val="00374385"/>
    <w:rsid w:val="00374FF0"/>
    <w:rsid w:val="003761C1"/>
    <w:rsid w:val="003767CC"/>
    <w:rsid w:val="00380839"/>
    <w:rsid w:val="00380874"/>
    <w:rsid w:val="00384AB0"/>
    <w:rsid w:val="003866D8"/>
    <w:rsid w:val="00393E21"/>
    <w:rsid w:val="003A02BA"/>
    <w:rsid w:val="003A1AB8"/>
    <w:rsid w:val="003A25F9"/>
    <w:rsid w:val="003A5426"/>
    <w:rsid w:val="003A7E5E"/>
    <w:rsid w:val="003B0F4D"/>
    <w:rsid w:val="003B4309"/>
    <w:rsid w:val="003B487C"/>
    <w:rsid w:val="003B4FEF"/>
    <w:rsid w:val="003B5A70"/>
    <w:rsid w:val="003C1911"/>
    <w:rsid w:val="003C2012"/>
    <w:rsid w:val="003C2B1C"/>
    <w:rsid w:val="003C419E"/>
    <w:rsid w:val="003C52D9"/>
    <w:rsid w:val="003C7180"/>
    <w:rsid w:val="003D39D7"/>
    <w:rsid w:val="003D66ED"/>
    <w:rsid w:val="003E25CA"/>
    <w:rsid w:val="003E420D"/>
    <w:rsid w:val="003F27B8"/>
    <w:rsid w:val="00400742"/>
    <w:rsid w:val="004020E5"/>
    <w:rsid w:val="004040B7"/>
    <w:rsid w:val="00404523"/>
    <w:rsid w:val="00410A4E"/>
    <w:rsid w:val="00416DC0"/>
    <w:rsid w:val="004170D1"/>
    <w:rsid w:val="004173B3"/>
    <w:rsid w:val="00421F3C"/>
    <w:rsid w:val="0042460D"/>
    <w:rsid w:val="004301FF"/>
    <w:rsid w:val="004302E4"/>
    <w:rsid w:val="004428EB"/>
    <w:rsid w:val="00446D37"/>
    <w:rsid w:val="00452F17"/>
    <w:rsid w:val="004637DE"/>
    <w:rsid w:val="0046658E"/>
    <w:rsid w:val="00467819"/>
    <w:rsid w:val="00467C92"/>
    <w:rsid w:val="00467E74"/>
    <w:rsid w:val="0047569A"/>
    <w:rsid w:val="004759E6"/>
    <w:rsid w:val="004771D1"/>
    <w:rsid w:val="00477419"/>
    <w:rsid w:val="00481691"/>
    <w:rsid w:val="004912E2"/>
    <w:rsid w:val="004926D7"/>
    <w:rsid w:val="004A03E5"/>
    <w:rsid w:val="004A72D8"/>
    <w:rsid w:val="004A782A"/>
    <w:rsid w:val="004A7B42"/>
    <w:rsid w:val="004B09B2"/>
    <w:rsid w:val="004B1E0F"/>
    <w:rsid w:val="004D05EB"/>
    <w:rsid w:val="004D16B7"/>
    <w:rsid w:val="004D1D83"/>
    <w:rsid w:val="004D24B2"/>
    <w:rsid w:val="004D32E5"/>
    <w:rsid w:val="004E4000"/>
    <w:rsid w:val="004E5365"/>
    <w:rsid w:val="004F2F25"/>
    <w:rsid w:val="00502F49"/>
    <w:rsid w:val="00511E90"/>
    <w:rsid w:val="00513878"/>
    <w:rsid w:val="005166F7"/>
    <w:rsid w:val="00530ECB"/>
    <w:rsid w:val="00536A67"/>
    <w:rsid w:val="00536C0A"/>
    <w:rsid w:val="00544286"/>
    <w:rsid w:val="00547B4C"/>
    <w:rsid w:val="00550E71"/>
    <w:rsid w:val="00554351"/>
    <w:rsid w:val="0055739D"/>
    <w:rsid w:val="005608A6"/>
    <w:rsid w:val="0056684E"/>
    <w:rsid w:val="005677F9"/>
    <w:rsid w:val="00573D53"/>
    <w:rsid w:val="00577222"/>
    <w:rsid w:val="00580BAA"/>
    <w:rsid w:val="00581CA0"/>
    <w:rsid w:val="00584518"/>
    <w:rsid w:val="005853F5"/>
    <w:rsid w:val="00593359"/>
    <w:rsid w:val="00593B65"/>
    <w:rsid w:val="005944C8"/>
    <w:rsid w:val="005A086E"/>
    <w:rsid w:val="005A0CBC"/>
    <w:rsid w:val="005A167D"/>
    <w:rsid w:val="005A6CDE"/>
    <w:rsid w:val="005B0872"/>
    <w:rsid w:val="005B2EC9"/>
    <w:rsid w:val="005B3124"/>
    <w:rsid w:val="005B49C6"/>
    <w:rsid w:val="005B78B9"/>
    <w:rsid w:val="005C7059"/>
    <w:rsid w:val="005C7D72"/>
    <w:rsid w:val="005D45DD"/>
    <w:rsid w:val="005E5343"/>
    <w:rsid w:val="005E577C"/>
    <w:rsid w:val="005F0073"/>
    <w:rsid w:val="005F53E1"/>
    <w:rsid w:val="00603A3F"/>
    <w:rsid w:val="00607E51"/>
    <w:rsid w:val="006138B3"/>
    <w:rsid w:val="00613D55"/>
    <w:rsid w:val="00616836"/>
    <w:rsid w:val="00620B67"/>
    <w:rsid w:val="0062603A"/>
    <w:rsid w:val="006316BA"/>
    <w:rsid w:val="00635B8A"/>
    <w:rsid w:val="0063791E"/>
    <w:rsid w:val="00641F0C"/>
    <w:rsid w:val="006438B2"/>
    <w:rsid w:val="00643E27"/>
    <w:rsid w:val="00645705"/>
    <w:rsid w:val="00646DEA"/>
    <w:rsid w:val="006525CB"/>
    <w:rsid w:val="00657D1D"/>
    <w:rsid w:val="00660BCF"/>
    <w:rsid w:val="0066236E"/>
    <w:rsid w:val="00666F2F"/>
    <w:rsid w:val="0066748B"/>
    <w:rsid w:val="006750DF"/>
    <w:rsid w:val="00675DD4"/>
    <w:rsid w:val="006769FF"/>
    <w:rsid w:val="00680821"/>
    <w:rsid w:val="00684990"/>
    <w:rsid w:val="006859D2"/>
    <w:rsid w:val="00685E54"/>
    <w:rsid w:val="0069072B"/>
    <w:rsid w:val="006908D4"/>
    <w:rsid w:val="00692D40"/>
    <w:rsid w:val="00693F49"/>
    <w:rsid w:val="00695589"/>
    <w:rsid w:val="006962D2"/>
    <w:rsid w:val="006A1664"/>
    <w:rsid w:val="006A1FC7"/>
    <w:rsid w:val="006A3F13"/>
    <w:rsid w:val="006B03EF"/>
    <w:rsid w:val="006B049A"/>
    <w:rsid w:val="006B43C7"/>
    <w:rsid w:val="006B741A"/>
    <w:rsid w:val="006C01B6"/>
    <w:rsid w:val="006C3014"/>
    <w:rsid w:val="006C6D3B"/>
    <w:rsid w:val="006D000D"/>
    <w:rsid w:val="006D356F"/>
    <w:rsid w:val="006D48E0"/>
    <w:rsid w:val="006D5D2E"/>
    <w:rsid w:val="006D6E2D"/>
    <w:rsid w:val="006E13E7"/>
    <w:rsid w:val="006E5345"/>
    <w:rsid w:val="006E7764"/>
    <w:rsid w:val="006F0D89"/>
    <w:rsid w:val="006F6758"/>
    <w:rsid w:val="00700187"/>
    <w:rsid w:val="007005A0"/>
    <w:rsid w:val="00701287"/>
    <w:rsid w:val="00706930"/>
    <w:rsid w:val="00706F59"/>
    <w:rsid w:val="00713185"/>
    <w:rsid w:val="007171CF"/>
    <w:rsid w:val="007218FB"/>
    <w:rsid w:val="0072229A"/>
    <w:rsid w:val="00723096"/>
    <w:rsid w:val="00736B2F"/>
    <w:rsid w:val="00742624"/>
    <w:rsid w:val="00743383"/>
    <w:rsid w:val="00743561"/>
    <w:rsid w:val="007473BE"/>
    <w:rsid w:val="00754A1C"/>
    <w:rsid w:val="00755F79"/>
    <w:rsid w:val="00757104"/>
    <w:rsid w:val="00760FF5"/>
    <w:rsid w:val="007624DC"/>
    <w:rsid w:val="00764DF5"/>
    <w:rsid w:val="00781977"/>
    <w:rsid w:val="007834EA"/>
    <w:rsid w:val="00787559"/>
    <w:rsid w:val="00795CB6"/>
    <w:rsid w:val="00797E53"/>
    <w:rsid w:val="007A0E81"/>
    <w:rsid w:val="007A4840"/>
    <w:rsid w:val="007B17CF"/>
    <w:rsid w:val="007B2E2B"/>
    <w:rsid w:val="007B3796"/>
    <w:rsid w:val="007C4A4A"/>
    <w:rsid w:val="007C66AB"/>
    <w:rsid w:val="007C7602"/>
    <w:rsid w:val="007D77E5"/>
    <w:rsid w:val="007E68A2"/>
    <w:rsid w:val="007F17C5"/>
    <w:rsid w:val="007F31B1"/>
    <w:rsid w:val="0080211B"/>
    <w:rsid w:val="0080573F"/>
    <w:rsid w:val="008064F4"/>
    <w:rsid w:val="0081024D"/>
    <w:rsid w:val="0081059E"/>
    <w:rsid w:val="008117DF"/>
    <w:rsid w:val="00817B85"/>
    <w:rsid w:val="0082243E"/>
    <w:rsid w:val="00825ADB"/>
    <w:rsid w:val="00826390"/>
    <w:rsid w:val="00826DE7"/>
    <w:rsid w:val="008314E5"/>
    <w:rsid w:val="008322CE"/>
    <w:rsid w:val="00834E49"/>
    <w:rsid w:val="00841078"/>
    <w:rsid w:val="00842241"/>
    <w:rsid w:val="0085046D"/>
    <w:rsid w:val="008550CE"/>
    <w:rsid w:val="00861807"/>
    <w:rsid w:val="00861D31"/>
    <w:rsid w:val="00865BBC"/>
    <w:rsid w:val="00866444"/>
    <w:rsid w:val="0087069D"/>
    <w:rsid w:val="00870D47"/>
    <w:rsid w:val="00882517"/>
    <w:rsid w:val="00886D2A"/>
    <w:rsid w:val="008872B0"/>
    <w:rsid w:val="00893AF5"/>
    <w:rsid w:val="00896D80"/>
    <w:rsid w:val="00896E7E"/>
    <w:rsid w:val="008A12FB"/>
    <w:rsid w:val="008A1931"/>
    <w:rsid w:val="008A2DB7"/>
    <w:rsid w:val="008A3152"/>
    <w:rsid w:val="008A34D3"/>
    <w:rsid w:val="008A476E"/>
    <w:rsid w:val="008A6719"/>
    <w:rsid w:val="008B3829"/>
    <w:rsid w:val="008C1130"/>
    <w:rsid w:val="008C1181"/>
    <w:rsid w:val="008C69AF"/>
    <w:rsid w:val="008D0477"/>
    <w:rsid w:val="008D0E26"/>
    <w:rsid w:val="008E3475"/>
    <w:rsid w:val="008E61C8"/>
    <w:rsid w:val="008E730A"/>
    <w:rsid w:val="008F5F5C"/>
    <w:rsid w:val="008F7234"/>
    <w:rsid w:val="00911355"/>
    <w:rsid w:val="00913E38"/>
    <w:rsid w:val="009143D2"/>
    <w:rsid w:val="0092297E"/>
    <w:rsid w:val="009246A0"/>
    <w:rsid w:val="009266B4"/>
    <w:rsid w:val="00930532"/>
    <w:rsid w:val="0093102B"/>
    <w:rsid w:val="00933013"/>
    <w:rsid w:val="00941968"/>
    <w:rsid w:val="00941D45"/>
    <w:rsid w:val="00943736"/>
    <w:rsid w:val="00944219"/>
    <w:rsid w:val="0095508E"/>
    <w:rsid w:val="0097040E"/>
    <w:rsid w:val="00971915"/>
    <w:rsid w:val="009735A2"/>
    <w:rsid w:val="00973938"/>
    <w:rsid w:val="00974163"/>
    <w:rsid w:val="00974BA9"/>
    <w:rsid w:val="009754C4"/>
    <w:rsid w:val="0097765A"/>
    <w:rsid w:val="009832C0"/>
    <w:rsid w:val="00984B2E"/>
    <w:rsid w:val="00985EC3"/>
    <w:rsid w:val="009904B0"/>
    <w:rsid w:val="009A1A24"/>
    <w:rsid w:val="009A6120"/>
    <w:rsid w:val="009A7F21"/>
    <w:rsid w:val="009B2AB1"/>
    <w:rsid w:val="009B6392"/>
    <w:rsid w:val="009C0977"/>
    <w:rsid w:val="009C09A9"/>
    <w:rsid w:val="009C1374"/>
    <w:rsid w:val="009D0295"/>
    <w:rsid w:val="009D1511"/>
    <w:rsid w:val="009D17EA"/>
    <w:rsid w:val="009D30AA"/>
    <w:rsid w:val="009D49D6"/>
    <w:rsid w:val="009D5CD6"/>
    <w:rsid w:val="009D79E0"/>
    <w:rsid w:val="009E1159"/>
    <w:rsid w:val="009E1C92"/>
    <w:rsid w:val="009E2417"/>
    <w:rsid w:val="009E2C8B"/>
    <w:rsid w:val="009E41CF"/>
    <w:rsid w:val="009E4DC6"/>
    <w:rsid w:val="009E56A4"/>
    <w:rsid w:val="009E5EDF"/>
    <w:rsid w:val="009E76DB"/>
    <w:rsid w:val="009F0C0F"/>
    <w:rsid w:val="009F2031"/>
    <w:rsid w:val="009F2D3B"/>
    <w:rsid w:val="009F3C16"/>
    <w:rsid w:val="009F4C44"/>
    <w:rsid w:val="00A0084A"/>
    <w:rsid w:val="00A1257F"/>
    <w:rsid w:val="00A135D2"/>
    <w:rsid w:val="00A15806"/>
    <w:rsid w:val="00A16BE8"/>
    <w:rsid w:val="00A25215"/>
    <w:rsid w:val="00A31206"/>
    <w:rsid w:val="00A31581"/>
    <w:rsid w:val="00A3777C"/>
    <w:rsid w:val="00A41B20"/>
    <w:rsid w:val="00A466D1"/>
    <w:rsid w:val="00A53132"/>
    <w:rsid w:val="00A53E01"/>
    <w:rsid w:val="00A54567"/>
    <w:rsid w:val="00A656F7"/>
    <w:rsid w:val="00A67FB5"/>
    <w:rsid w:val="00A7424A"/>
    <w:rsid w:val="00A80C11"/>
    <w:rsid w:val="00A80CE6"/>
    <w:rsid w:val="00A80E52"/>
    <w:rsid w:val="00A817D6"/>
    <w:rsid w:val="00A85332"/>
    <w:rsid w:val="00A93546"/>
    <w:rsid w:val="00A94ED4"/>
    <w:rsid w:val="00A97151"/>
    <w:rsid w:val="00AA20BD"/>
    <w:rsid w:val="00AA3002"/>
    <w:rsid w:val="00AB309C"/>
    <w:rsid w:val="00AB46C9"/>
    <w:rsid w:val="00AC26F8"/>
    <w:rsid w:val="00AC3F4A"/>
    <w:rsid w:val="00AC5870"/>
    <w:rsid w:val="00AC607C"/>
    <w:rsid w:val="00AC72F8"/>
    <w:rsid w:val="00AD5004"/>
    <w:rsid w:val="00AD660F"/>
    <w:rsid w:val="00AE2B79"/>
    <w:rsid w:val="00AE2EEC"/>
    <w:rsid w:val="00AE439F"/>
    <w:rsid w:val="00AE4CF9"/>
    <w:rsid w:val="00AF39BF"/>
    <w:rsid w:val="00AF4D90"/>
    <w:rsid w:val="00AF5CFC"/>
    <w:rsid w:val="00B00396"/>
    <w:rsid w:val="00B0088E"/>
    <w:rsid w:val="00B011A9"/>
    <w:rsid w:val="00B0176D"/>
    <w:rsid w:val="00B02D0F"/>
    <w:rsid w:val="00B02F21"/>
    <w:rsid w:val="00B04915"/>
    <w:rsid w:val="00B1111C"/>
    <w:rsid w:val="00B111B7"/>
    <w:rsid w:val="00B1122C"/>
    <w:rsid w:val="00B11A01"/>
    <w:rsid w:val="00B11C41"/>
    <w:rsid w:val="00B14F91"/>
    <w:rsid w:val="00B20D4E"/>
    <w:rsid w:val="00B27363"/>
    <w:rsid w:val="00B32034"/>
    <w:rsid w:val="00B33051"/>
    <w:rsid w:val="00B37EAE"/>
    <w:rsid w:val="00B44A56"/>
    <w:rsid w:val="00B45DA4"/>
    <w:rsid w:val="00B50149"/>
    <w:rsid w:val="00B50ED5"/>
    <w:rsid w:val="00B57CA6"/>
    <w:rsid w:val="00B62989"/>
    <w:rsid w:val="00B63462"/>
    <w:rsid w:val="00B65660"/>
    <w:rsid w:val="00B66662"/>
    <w:rsid w:val="00B72ED1"/>
    <w:rsid w:val="00B80ADE"/>
    <w:rsid w:val="00B83D97"/>
    <w:rsid w:val="00B83DF8"/>
    <w:rsid w:val="00B847F6"/>
    <w:rsid w:val="00B84ECC"/>
    <w:rsid w:val="00B90273"/>
    <w:rsid w:val="00B9395D"/>
    <w:rsid w:val="00BA00A7"/>
    <w:rsid w:val="00BA17EF"/>
    <w:rsid w:val="00BA70F8"/>
    <w:rsid w:val="00BD0011"/>
    <w:rsid w:val="00BD11CD"/>
    <w:rsid w:val="00BD2CCE"/>
    <w:rsid w:val="00BD2F67"/>
    <w:rsid w:val="00BD4F3C"/>
    <w:rsid w:val="00BE3D71"/>
    <w:rsid w:val="00BE67D5"/>
    <w:rsid w:val="00BF4122"/>
    <w:rsid w:val="00C0180E"/>
    <w:rsid w:val="00C01B60"/>
    <w:rsid w:val="00C0423D"/>
    <w:rsid w:val="00C10621"/>
    <w:rsid w:val="00C11A60"/>
    <w:rsid w:val="00C14C36"/>
    <w:rsid w:val="00C164AE"/>
    <w:rsid w:val="00C16E64"/>
    <w:rsid w:val="00C246E9"/>
    <w:rsid w:val="00C25B9F"/>
    <w:rsid w:val="00C25CB8"/>
    <w:rsid w:val="00C27B0C"/>
    <w:rsid w:val="00C31A3F"/>
    <w:rsid w:val="00C31C81"/>
    <w:rsid w:val="00C335E2"/>
    <w:rsid w:val="00C40916"/>
    <w:rsid w:val="00C413EE"/>
    <w:rsid w:val="00C41676"/>
    <w:rsid w:val="00C42051"/>
    <w:rsid w:val="00C44348"/>
    <w:rsid w:val="00C512DB"/>
    <w:rsid w:val="00C51323"/>
    <w:rsid w:val="00C63FDC"/>
    <w:rsid w:val="00C711F4"/>
    <w:rsid w:val="00C76D4D"/>
    <w:rsid w:val="00C77BB4"/>
    <w:rsid w:val="00C83311"/>
    <w:rsid w:val="00C83F22"/>
    <w:rsid w:val="00C850B4"/>
    <w:rsid w:val="00C867A5"/>
    <w:rsid w:val="00C87165"/>
    <w:rsid w:val="00C87A45"/>
    <w:rsid w:val="00C94436"/>
    <w:rsid w:val="00C95D7A"/>
    <w:rsid w:val="00CA2232"/>
    <w:rsid w:val="00CA4416"/>
    <w:rsid w:val="00CA4892"/>
    <w:rsid w:val="00CB0041"/>
    <w:rsid w:val="00CB09FA"/>
    <w:rsid w:val="00CB186F"/>
    <w:rsid w:val="00CB19C1"/>
    <w:rsid w:val="00CB627B"/>
    <w:rsid w:val="00CC19D1"/>
    <w:rsid w:val="00CC2A29"/>
    <w:rsid w:val="00CC3D72"/>
    <w:rsid w:val="00CD00A1"/>
    <w:rsid w:val="00CD17B1"/>
    <w:rsid w:val="00CD28C6"/>
    <w:rsid w:val="00CD4427"/>
    <w:rsid w:val="00CD45F9"/>
    <w:rsid w:val="00CD64D9"/>
    <w:rsid w:val="00CD7E67"/>
    <w:rsid w:val="00CE117B"/>
    <w:rsid w:val="00CE1E52"/>
    <w:rsid w:val="00CE5739"/>
    <w:rsid w:val="00CE6339"/>
    <w:rsid w:val="00CF5473"/>
    <w:rsid w:val="00D05A01"/>
    <w:rsid w:val="00D06A51"/>
    <w:rsid w:val="00D06AED"/>
    <w:rsid w:val="00D2301A"/>
    <w:rsid w:val="00D2408C"/>
    <w:rsid w:val="00D24B50"/>
    <w:rsid w:val="00D2608D"/>
    <w:rsid w:val="00D36077"/>
    <w:rsid w:val="00D425AB"/>
    <w:rsid w:val="00D44FEC"/>
    <w:rsid w:val="00D456F2"/>
    <w:rsid w:val="00D46123"/>
    <w:rsid w:val="00D464D4"/>
    <w:rsid w:val="00D500F2"/>
    <w:rsid w:val="00D50D4B"/>
    <w:rsid w:val="00D50F8D"/>
    <w:rsid w:val="00D5285B"/>
    <w:rsid w:val="00D578A1"/>
    <w:rsid w:val="00D60AF5"/>
    <w:rsid w:val="00D6308D"/>
    <w:rsid w:val="00D630ED"/>
    <w:rsid w:val="00D752F4"/>
    <w:rsid w:val="00D7638A"/>
    <w:rsid w:val="00D86A2C"/>
    <w:rsid w:val="00D92118"/>
    <w:rsid w:val="00D94907"/>
    <w:rsid w:val="00D9524F"/>
    <w:rsid w:val="00D97E46"/>
    <w:rsid w:val="00DB1AC3"/>
    <w:rsid w:val="00DB239F"/>
    <w:rsid w:val="00DB3031"/>
    <w:rsid w:val="00DB7A68"/>
    <w:rsid w:val="00DC106B"/>
    <w:rsid w:val="00DC28AB"/>
    <w:rsid w:val="00DC2B03"/>
    <w:rsid w:val="00DC4897"/>
    <w:rsid w:val="00DD33E4"/>
    <w:rsid w:val="00DD4AC4"/>
    <w:rsid w:val="00DD6C86"/>
    <w:rsid w:val="00DD6D66"/>
    <w:rsid w:val="00DD71BA"/>
    <w:rsid w:val="00DD76E3"/>
    <w:rsid w:val="00DE0F14"/>
    <w:rsid w:val="00DE4D27"/>
    <w:rsid w:val="00DF0BE4"/>
    <w:rsid w:val="00DF32D1"/>
    <w:rsid w:val="00DF633E"/>
    <w:rsid w:val="00DF73BD"/>
    <w:rsid w:val="00DF799C"/>
    <w:rsid w:val="00E037AC"/>
    <w:rsid w:val="00E04DB0"/>
    <w:rsid w:val="00E06B13"/>
    <w:rsid w:val="00E1066F"/>
    <w:rsid w:val="00E11C55"/>
    <w:rsid w:val="00E1452A"/>
    <w:rsid w:val="00E15259"/>
    <w:rsid w:val="00E16BA7"/>
    <w:rsid w:val="00E23201"/>
    <w:rsid w:val="00E26B1A"/>
    <w:rsid w:val="00E270D6"/>
    <w:rsid w:val="00E32012"/>
    <w:rsid w:val="00E338E0"/>
    <w:rsid w:val="00E347E7"/>
    <w:rsid w:val="00E35CEF"/>
    <w:rsid w:val="00E4049A"/>
    <w:rsid w:val="00E42A92"/>
    <w:rsid w:val="00E43AC7"/>
    <w:rsid w:val="00E446A9"/>
    <w:rsid w:val="00E610BE"/>
    <w:rsid w:val="00E63E63"/>
    <w:rsid w:val="00E72A3C"/>
    <w:rsid w:val="00E73C46"/>
    <w:rsid w:val="00E7572C"/>
    <w:rsid w:val="00E7574C"/>
    <w:rsid w:val="00E76AE4"/>
    <w:rsid w:val="00E91F38"/>
    <w:rsid w:val="00EA0057"/>
    <w:rsid w:val="00EA6F2F"/>
    <w:rsid w:val="00EA710F"/>
    <w:rsid w:val="00EB2D3B"/>
    <w:rsid w:val="00EB4C61"/>
    <w:rsid w:val="00EB5FA5"/>
    <w:rsid w:val="00EC04C8"/>
    <w:rsid w:val="00EC087F"/>
    <w:rsid w:val="00EC2504"/>
    <w:rsid w:val="00EC475D"/>
    <w:rsid w:val="00EC56A3"/>
    <w:rsid w:val="00EC7778"/>
    <w:rsid w:val="00EC7991"/>
    <w:rsid w:val="00ED7A8B"/>
    <w:rsid w:val="00ED7FD2"/>
    <w:rsid w:val="00EE0BDF"/>
    <w:rsid w:val="00EE62DE"/>
    <w:rsid w:val="00F00901"/>
    <w:rsid w:val="00F016BC"/>
    <w:rsid w:val="00F05626"/>
    <w:rsid w:val="00F06F19"/>
    <w:rsid w:val="00F06FE7"/>
    <w:rsid w:val="00F16FC5"/>
    <w:rsid w:val="00F2494F"/>
    <w:rsid w:val="00F26196"/>
    <w:rsid w:val="00F26637"/>
    <w:rsid w:val="00F324EA"/>
    <w:rsid w:val="00F32FBA"/>
    <w:rsid w:val="00F3399E"/>
    <w:rsid w:val="00F33C33"/>
    <w:rsid w:val="00F351A4"/>
    <w:rsid w:val="00F40A20"/>
    <w:rsid w:val="00F505D5"/>
    <w:rsid w:val="00F53DDB"/>
    <w:rsid w:val="00F54BDA"/>
    <w:rsid w:val="00F656C4"/>
    <w:rsid w:val="00F668E2"/>
    <w:rsid w:val="00F73320"/>
    <w:rsid w:val="00F76767"/>
    <w:rsid w:val="00F801D4"/>
    <w:rsid w:val="00F808A8"/>
    <w:rsid w:val="00F8501F"/>
    <w:rsid w:val="00F87EC1"/>
    <w:rsid w:val="00F97623"/>
    <w:rsid w:val="00FB41BD"/>
    <w:rsid w:val="00FD3455"/>
    <w:rsid w:val="00FD3942"/>
    <w:rsid w:val="00FE071A"/>
    <w:rsid w:val="00FE0E65"/>
    <w:rsid w:val="00FE6ED1"/>
    <w:rsid w:val="00FF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83"/>
    <w:rPr>
      <w:rFonts w:eastAsiaTheme="minorEastAsia"/>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Colorful List - Accent 11,Párrafo de lista1"/>
    <w:basedOn w:val="Normal"/>
    <w:link w:val="ListParagraphChar"/>
    <w:uiPriority w:val="34"/>
    <w:qFormat/>
    <w:rsid w:val="004D1D83"/>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4D1D83"/>
    <w:pPr>
      <w:spacing w:after="0" w:line="240" w:lineRule="auto"/>
    </w:pPr>
    <w:rPr>
      <w:rFonts w:ascii="Times" w:eastAsia="Times" w:hAnsi="Times" w:cs="Times New Roman"/>
      <w:sz w:val="24"/>
      <w:szCs w:val="20"/>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4D1D83"/>
    <w:rPr>
      <w:rFonts w:ascii="Times" w:eastAsia="Times" w:hAnsi="Times" w:cs="Times New Roman"/>
      <w:sz w:val="24"/>
      <w:szCs w:val="20"/>
      <w:lang w:val="es-ES_tradnl" w:eastAsia="es-CR"/>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qFormat/>
    <w:rsid w:val="004D1D83"/>
    <w:rPr>
      <w:vertAlign w:val="superscript"/>
    </w:rPr>
  </w:style>
  <w:style w:type="character" w:styleId="Hyperlink">
    <w:name w:val="Hyperlink"/>
    <w:basedOn w:val="DefaultParagraphFont"/>
    <w:uiPriority w:val="99"/>
    <w:unhideWhenUsed/>
    <w:rsid w:val="004D1D83"/>
    <w:rPr>
      <w:color w:val="0000FF"/>
      <w:u w:val="single"/>
    </w:rPr>
  </w:style>
  <w:style w:type="character" w:customStyle="1" w:styleId="ListParagraphChar">
    <w:name w:val="List Paragraph Char"/>
    <w:aliases w:val="Footnote Char,Colorful List - Accent 11 Char,Párrafo de lista1 Char"/>
    <w:link w:val="ListParagraph"/>
    <w:uiPriority w:val="34"/>
    <w:rsid w:val="004D1D83"/>
    <w:rPr>
      <w:rFonts w:eastAsiaTheme="minorEastAsia"/>
      <w:lang w:val="es-CR" w:eastAsia="es-CR"/>
    </w:rPr>
  </w:style>
  <w:style w:type="character" w:styleId="Strong">
    <w:name w:val="Strong"/>
    <w:basedOn w:val="DefaultParagraphFont"/>
    <w:uiPriority w:val="22"/>
    <w:qFormat/>
    <w:rsid w:val="004D1D83"/>
    <w:rPr>
      <w:b/>
      <w:bCs/>
    </w:rPr>
  </w:style>
  <w:style w:type="paragraph" w:styleId="Header">
    <w:name w:val="header"/>
    <w:basedOn w:val="Normal"/>
    <w:link w:val="HeaderChar"/>
    <w:uiPriority w:val="99"/>
    <w:unhideWhenUsed/>
    <w:rsid w:val="004D1D83"/>
    <w:pPr>
      <w:tabs>
        <w:tab w:val="center" w:pos="4419"/>
        <w:tab w:val="right" w:pos="8838"/>
      </w:tabs>
      <w:spacing w:after="0" w:line="240" w:lineRule="auto"/>
    </w:pPr>
  </w:style>
  <w:style w:type="character" w:customStyle="1" w:styleId="HeaderChar">
    <w:name w:val="Header Char"/>
    <w:basedOn w:val="DefaultParagraphFont"/>
    <w:link w:val="Header"/>
    <w:uiPriority w:val="99"/>
    <w:rsid w:val="004D1D83"/>
    <w:rPr>
      <w:rFonts w:eastAsiaTheme="minorEastAsia"/>
      <w:lang w:val="es-CR" w:eastAsia="es-CR"/>
    </w:rPr>
  </w:style>
  <w:style w:type="paragraph" w:styleId="Footer">
    <w:name w:val="footer"/>
    <w:basedOn w:val="Normal"/>
    <w:link w:val="FooterChar"/>
    <w:uiPriority w:val="99"/>
    <w:unhideWhenUsed/>
    <w:rsid w:val="004D1D83"/>
    <w:pPr>
      <w:tabs>
        <w:tab w:val="center" w:pos="4419"/>
        <w:tab w:val="right" w:pos="8838"/>
      </w:tabs>
      <w:spacing w:after="0" w:line="240" w:lineRule="auto"/>
    </w:pPr>
  </w:style>
  <w:style w:type="character" w:customStyle="1" w:styleId="FooterChar">
    <w:name w:val="Footer Char"/>
    <w:basedOn w:val="DefaultParagraphFont"/>
    <w:link w:val="Footer"/>
    <w:uiPriority w:val="99"/>
    <w:rsid w:val="004D1D83"/>
    <w:rPr>
      <w:rFonts w:eastAsiaTheme="minorEastAsia"/>
      <w:lang w:val="es-CR" w:eastAsia="es-CR"/>
    </w:rPr>
  </w:style>
  <w:style w:type="character" w:styleId="LineNumber">
    <w:name w:val="line number"/>
    <w:basedOn w:val="DefaultParagraphFont"/>
    <w:uiPriority w:val="99"/>
    <w:semiHidden/>
    <w:unhideWhenUsed/>
    <w:rsid w:val="004D1D83"/>
  </w:style>
  <w:style w:type="paragraph" w:styleId="BalloonText">
    <w:name w:val="Balloon Text"/>
    <w:basedOn w:val="Normal"/>
    <w:link w:val="BalloonTextChar"/>
    <w:uiPriority w:val="99"/>
    <w:semiHidden/>
    <w:unhideWhenUsed/>
    <w:rsid w:val="00477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D1"/>
    <w:rPr>
      <w:rFonts w:ascii="Tahoma" w:eastAsiaTheme="minorEastAsia" w:hAnsi="Tahoma" w:cs="Tahoma"/>
      <w:sz w:val="16"/>
      <w:szCs w:val="16"/>
      <w:lang w:val="es-CR" w:eastAsia="es-CR"/>
    </w:rPr>
  </w:style>
  <w:style w:type="character" w:styleId="CommentReference">
    <w:name w:val="annotation reference"/>
    <w:basedOn w:val="DefaultParagraphFont"/>
    <w:uiPriority w:val="99"/>
    <w:semiHidden/>
    <w:unhideWhenUsed/>
    <w:rsid w:val="00D5285B"/>
    <w:rPr>
      <w:sz w:val="16"/>
      <w:szCs w:val="16"/>
    </w:rPr>
  </w:style>
  <w:style w:type="paragraph" w:styleId="CommentText">
    <w:name w:val="annotation text"/>
    <w:basedOn w:val="Normal"/>
    <w:link w:val="CommentTextChar"/>
    <w:uiPriority w:val="99"/>
    <w:semiHidden/>
    <w:unhideWhenUsed/>
    <w:rsid w:val="00D5285B"/>
    <w:pPr>
      <w:spacing w:line="240" w:lineRule="auto"/>
    </w:pPr>
    <w:rPr>
      <w:sz w:val="20"/>
      <w:szCs w:val="20"/>
    </w:rPr>
  </w:style>
  <w:style w:type="character" w:customStyle="1" w:styleId="CommentTextChar">
    <w:name w:val="Comment Text Char"/>
    <w:basedOn w:val="DefaultParagraphFont"/>
    <w:link w:val="CommentText"/>
    <w:uiPriority w:val="99"/>
    <w:semiHidden/>
    <w:rsid w:val="00D5285B"/>
    <w:rPr>
      <w:rFonts w:eastAsiaTheme="minorEastAsia"/>
      <w:sz w:val="20"/>
      <w:szCs w:val="20"/>
      <w:lang w:val="es-CR" w:eastAsia="es-CR"/>
    </w:rPr>
  </w:style>
  <w:style w:type="paragraph" w:styleId="CommentSubject">
    <w:name w:val="annotation subject"/>
    <w:basedOn w:val="CommentText"/>
    <w:next w:val="CommentText"/>
    <w:link w:val="CommentSubjectChar"/>
    <w:uiPriority w:val="99"/>
    <w:semiHidden/>
    <w:unhideWhenUsed/>
    <w:rsid w:val="00D5285B"/>
    <w:rPr>
      <w:b/>
      <w:bCs/>
    </w:rPr>
  </w:style>
  <w:style w:type="character" w:customStyle="1" w:styleId="CommentSubjectChar">
    <w:name w:val="Comment Subject Char"/>
    <w:basedOn w:val="CommentTextChar"/>
    <w:link w:val="CommentSubject"/>
    <w:uiPriority w:val="99"/>
    <w:semiHidden/>
    <w:rsid w:val="00D5285B"/>
    <w:rPr>
      <w:rFonts w:eastAsiaTheme="minorEastAsia"/>
      <w:b/>
      <w:bCs/>
      <w:sz w:val="20"/>
      <w:szCs w:val="20"/>
      <w:lang w:val="es-CR" w:eastAsia="es-CR"/>
    </w:rPr>
  </w:style>
  <w:style w:type="paragraph" w:styleId="BodyText2">
    <w:name w:val="Body Text 2"/>
    <w:basedOn w:val="Normal"/>
    <w:link w:val="BodyText2Char"/>
    <w:rsid w:val="00F505D5"/>
    <w:pPr>
      <w:spacing w:after="0" w:line="240" w:lineRule="auto"/>
      <w:jc w:val="both"/>
    </w:pPr>
    <w:rPr>
      <w:rFonts w:ascii="Verdana" w:eastAsia="Times" w:hAnsi="Verdana" w:cs="Times New Roman"/>
      <w:sz w:val="20"/>
      <w:szCs w:val="20"/>
      <w:lang w:val="es-ES_tradnl" w:eastAsia="x-none"/>
    </w:rPr>
  </w:style>
  <w:style w:type="character" w:customStyle="1" w:styleId="BodyText2Char">
    <w:name w:val="Body Text 2 Char"/>
    <w:basedOn w:val="DefaultParagraphFont"/>
    <w:link w:val="BodyText2"/>
    <w:rsid w:val="00F505D5"/>
    <w:rPr>
      <w:rFonts w:ascii="Verdana" w:eastAsia="Times" w:hAnsi="Verdana" w:cs="Times New Roman"/>
      <w:sz w:val="20"/>
      <w:szCs w:val="20"/>
      <w:lang w:val="es-ES_tradnl" w:eastAsia="x-none"/>
    </w:rPr>
  </w:style>
  <w:style w:type="paragraph" w:customStyle="1" w:styleId="Textoindependiente1">
    <w:name w:val="Texto independiente1"/>
    <w:basedOn w:val="Normal"/>
    <w:rsid w:val="00C867A5"/>
    <w:pPr>
      <w:widowControl w:val="0"/>
      <w:spacing w:after="0" w:line="240" w:lineRule="auto"/>
      <w:jc w:val="both"/>
    </w:pPr>
    <w:rPr>
      <w:rFonts w:ascii="New York" w:eastAsia="Times New Roman" w:hAnsi="New York" w:cs="Times New Roman"/>
      <w:sz w:val="24"/>
      <w:szCs w:val="20"/>
      <w:lang w:eastAsia="en-US"/>
    </w:rPr>
  </w:style>
  <w:style w:type="character" w:styleId="FollowedHyperlink">
    <w:name w:val="FollowedHyperlink"/>
    <w:basedOn w:val="DefaultParagraphFont"/>
    <w:uiPriority w:val="99"/>
    <w:semiHidden/>
    <w:unhideWhenUsed/>
    <w:rsid w:val="00736B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83"/>
    <w:rPr>
      <w:rFonts w:eastAsiaTheme="minorEastAsia"/>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Colorful List - Accent 11,Párrafo de lista1"/>
    <w:basedOn w:val="Normal"/>
    <w:link w:val="ListParagraphChar"/>
    <w:uiPriority w:val="34"/>
    <w:qFormat/>
    <w:rsid w:val="004D1D83"/>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4D1D83"/>
    <w:pPr>
      <w:spacing w:after="0" w:line="240" w:lineRule="auto"/>
    </w:pPr>
    <w:rPr>
      <w:rFonts w:ascii="Times" w:eastAsia="Times" w:hAnsi="Times" w:cs="Times New Roman"/>
      <w:sz w:val="24"/>
      <w:szCs w:val="20"/>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4D1D83"/>
    <w:rPr>
      <w:rFonts w:ascii="Times" w:eastAsia="Times" w:hAnsi="Times" w:cs="Times New Roman"/>
      <w:sz w:val="24"/>
      <w:szCs w:val="20"/>
      <w:lang w:val="es-ES_tradnl" w:eastAsia="es-CR"/>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qFormat/>
    <w:rsid w:val="004D1D83"/>
    <w:rPr>
      <w:vertAlign w:val="superscript"/>
    </w:rPr>
  </w:style>
  <w:style w:type="character" w:styleId="Hyperlink">
    <w:name w:val="Hyperlink"/>
    <w:basedOn w:val="DefaultParagraphFont"/>
    <w:uiPriority w:val="99"/>
    <w:unhideWhenUsed/>
    <w:rsid w:val="004D1D83"/>
    <w:rPr>
      <w:color w:val="0000FF"/>
      <w:u w:val="single"/>
    </w:rPr>
  </w:style>
  <w:style w:type="character" w:customStyle="1" w:styleId="ListParagraphChar">
    <w:name w:val="List Paragraph Char"/>
    <w:aliases w:val="Footnote Char,Colorful List - Accent 11 Char,Párrafo de lista1 Char"/>
    <w:link w:val="ListParagraph"/>
    <w:uiPriority w:val="34"/>
    <w:rsid w:val="004D1D83"/>
    <w:rPr>
      <w:rFonts w:eastAsiaTheme="minorEastAsia"/>
      <w:lang w:val="es-CR" w:eastAsia="es-CR"/>
    </w:rPr>
  </w:style>
  <w:style w:type="character" w:styleId="Strong">
    <w:name w:val="Strong"/>
    <w:basedOn w:val="DefaultParagraphFont"/>
    <w:uiPriority w:val="22"/>
    <w:qFormat/>
    <w:rsid w:val="004D1D83"/>
    <w:rPr>
      <w:b/>
      <w:bCs/>
    </w:rPr>
  </w:style>
  <w:style w:type="paragraph" w:styleId="Header">
    <w:name w:val="header"/>
    <w:basedOn w:val="Normal"/>
    <w:link w:val="HeaderChar"/>
    <w:uiPriority w:val="99"/>
    <w:unhideWhenUsed/>
    <w:rsid w:val="004D1D83"/>
    <w:pPr>
      <w:tabs>
        <w:tab w:val="center" w:pos="4419"/>
        <w:tab w:val="right" w:pos="8838"/>
      </w:tabs>
      <w:spacing w:after="0" w:line="240" w:lineRule="auto"/>
    </w:pPr>
  </w:style>
  <w:style w:type="character" w:customStyle="1" w:styleId="HeaderChar">
    <w:name w:val="Header Char"/>
    <w:basedOn w:val="DefaultParagraphFont"/>
    <w:link w:val="Header"/>
    <w:uiPriority w:val="99"/>
    <w:rsid w:val="004D1D83"/>
    <w:rPr>
      <w:rFonts w:eastAsiaTheme="minorEastAsia"/>
      <w:lang w:val="es-CR" w:eastAsia="es-CR"/>
    </w:rPr>
  </w:style>
  <w:style w:type="paragraph" w:styleId="Footer">
    <w:name w:val="footer"/>
    <w:basedOn w:val="Normal"/>
    <w:link w:val="FooterChar"/>
    <w:uiPriority w:val="99"/>
    <w:unhideWhenUsed/>
    <w:rsid w:val="004D1D83"/>
    <w:pPr>
      <w:tabs>
        <w:tab w:val="center" w:pos="4419"/>
        <w:tab w:val="right" w:pos="8838"/>
      </w:tabs>
      <w:spacing w:after="0" w:line="240" w:lineRule="auto"/>
    </w:pPr>
  </w:style>
  <w:style w:type="character" w:customStyle="1" w:styleId="FooterChar">
    <w:name w:val="Footer Char"/>
    <w:basedOn w:val="DefaultParagraphFont"/>
    <w:link w:val="Footer"/>
    <w:uiPriority w:val="99"/>
    <w:rsid w:val="004D1D83"/>
    <w:rPr>
      <w:rFonts w:eastAsiaTheme="minorEastAsia"/>
      <w:lang w:val="es-CR" w:eastAsia="es-CR"/>
    </w:rPr>
  </w:style>
  <w:style w:type="character" w:styleId="LineNumber">
    <w:name w:val="line number"/>
    <w:basedOn w:val="DefaultParagraphFont"/>
    <w:uiPriority w:val="99"/>
    <w:semiHidden/>
    <w:unhideWhenUsed/>
    <w:rsid w:val="004D1D83"/>
  </w:style>
  <w:style w:type="paragraph" w:styleId="BalloonText">
    <w:name w:val="Balloon Text"/>
    <w:basedOn w:val="Normal"/>
    <w:link w:val="BalloonTextChar"/>
    <w:uiPriority w:val="99"/>
    <w:semiHidden/>
    <w:unhideWhenUsed/>
    <w:rsid w:val="00477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D1"/>
    <w:rPr>
      <w:rFonts w:ascii="Tahoma" w:eastAsiaTheme="minorEastAsia" w:hAnsi="Tahoma" w:cs="Tahoma"/>
      <w:sz w:val="16"/>
      <w:szCs w:val="16"/>
      <w:lang w:val="es-CR" w:eastAsia="es-CR"/>
    </w:rPr>
  </w:style>
  <w:style w:type="character" w:styleId="CommentReference">
    <w:name w:val="annotation reference"/>
    <w:basedOn w:val="DefaultParagraphFont"/>
    <w:uiPriority w:val="99"/>
    <w:semiHidden/>
    <w:unhideWhenUsed/>
    <w:rsid w:val="00D5285B"/>
    <w:rPr>
      <w:sz w:val="16"/>
      <w:szCs w:val="16"/>
    </w:rPr>
  </w:style>
  <w:style w:type="paragraph" w:styleId="CommentText">
    <w:name w:val="annotation text"/>
    <w:basedOn w:val="Normal"/>
    <w:link w:val="CommentTextChar"/>
    <w:uiPriority w:val="99"/>
    <w:semiHidden/>
    <w:unhideWhenUsed/>
    <w:rsid w:val="00D5285B"/>
    <w:pPr>
      <w:spacing w:line="240" w:lineRule="auto"/>
    </w:pPr>
    <w:rPr>
      <w:sz w:val="20"/>
      <w:szCs w:val="20"/>
    </w:rPr>
  </w:style>
  <w:style w:type="character" w:customStyle="1" w:styleId="CommentTextChar">
    <w:name w:val="Comment Text Char"/>
    <w:basedOn w:val="DefaultParagraphFont"/>
    <w:link w:val="CommentText"/>
    <w:uiPriority w:val="99"/>
    <w:semiHidden/>
    <w:rsid w:val="00D5285B"/>
    <w:rPr>
      <w:rFonts w:eastAsiaTheme="minorEastAsia"/>
      <w:sz w:val="20"/>
      <w:szCs w:val="20"/>
      <w:lang w:val="es-CR" w:eastAsia="es-CR"/>
    </w:rPr>
  </w:style>
  <w:style w:type="paragraph" w:styleId="CommentSubject">
    <w:name w:val="annotation subject"/>
    <w:basedOn w:val="CommentText"/>
    <w:next w:val="CommentText"/>
    <w:link w:val="CommentSubjectChar"/>
    <w:uiPriority w:val="99"/>
    <w:semiHidden/>
    <w:unhideWhenUsed/>
    <w:rsid w:val="00D5285B"/>
    <w:rPr>
      <w:b/>
      <w:bCs/>
    </w:rPr>
  </w:style>
  <w:style w:type="character" w:customStyle="1" w:styleId="CommentSubjectChar">
    <w:name w:val="Comment Subject Char"/>
    <w:basedOn w:val="CommentTextChar"/>
    <w:link w:val="CommentSubject"/>
    <w:uiPriority w:val="99"/>
    <w:semiHidden/>
    <w:rsid w:val="00D5285B"/>
    <w:rPr>
      <w:rFonts w:eastAsiaTheme="minorEastAsia"/>
      <w:b/>
      <w:bCs/>
      <w:sz w:val="20"/>
      <w:szCs w:val="20"/>
      <w:lang w:val="es-CR" w:eastAsia="es-CR"/>
    </w:rPr>
  </w:style>
  <w:style w:type="paragraph" w:styleId="BodyText2">
    <w:name w:val="Body Text 2"/>
    <w:basedOn w:val="Normal"/>
    <w:link w:val="BodyText2Char"/>
    <w:rsid w:val="00F505D5"/>
    <w:pPr>
      <w:spacing w:after="0" w:line="240" w:lineRule="auto"/>
      <w:jc w:val="both"/>
    </w:pPr>
    <w:rPr>
      <w:rFonts w:ascii="Verdana" w:eastAsia="Times" w:hAnsi="Verdana" w:cs="Times New Roman"/>
      <w:sz w:val="20"/>
      <w:szCs w:val="20"/>
      <w:lang w:val="es-ES_tradnl" w:eastAsia="x-none"/>
    </w:rPr>
  </w:style>
  <w:style w:type="character" w:customStyle="1" w:styleId="BodyText2Char">
    <w:name w:val="Body Text 2 Char"/>
    <w:basedOn w:val="DefaultParagraphFont"/>
    <w:link w:val="BodyText2"/>
    <w:rsid w:val="00F505D5"/>
    <w:rPr>
      <w:rFonts w:ascii="Verdana" w:eastAsia="Times" w:hAnsi="Verdana" w:cs="Times New Roman"/>
      <w:sz w:val="20"/>
      <w:szCs w:val="20"/>
      <w:lang w:val="es-ES_tradnl" w:eastAsia="x-none"/>
    </w:rPr>
  </w:style>
  <w:style w:type="paragraph" w:customStyle="1" w:styleId="Textoindependiente1">
    <w:name w:val="Texto independiente1"/>
    <w:basedOn w:val="Normal"/>
    <w:rsid w:val="00C867A5"/>
    <w:pPr>
      <w:widowControl w:val="0"/>
      <w:spacing w:after="0" w:line="240" w:lineRule="auto"/>
      <w:jc w:val="both"/>
    </w:pPr>
    <w:rPr>
      <w:rFonts w:ascii="New York" w:eastAsia="Times New Roman" w:hAnsi="New York" w:cs="Times New Roman"/>
      <w:sz w:val="24"/>
      <w:szCs w:val="20"/>
      <w:lang w:eastAsia="en-US"/>
    </w:rPr>
  </w:style>
  <w:style w:type="character" w:styleId="FollowedHyperlink">
    <w:name w:val="FollowedHyperlink"/>
    <w:basedOn w:val="DefaultParagraphFont"/>
    <w:uiPriority w:val="99"/>
    <w:semiHidden/>
    <w:unhideWhenUsed/>
    <w:rsid w:val="00736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6208">
      <w:bodyDiv w:val="1"/>
      <w:marLeft w:val="0"/>
      <w:marRight w:val="0"/>
      <w:marTop w:val="0"/>
      <w:marBottom w:val="0"/>
      <w:divBdr>
        <w:top w:val="none" w:sz="0" w:space="0" w:color="auto"/>
        <w:left w:val="none" w:sz="0" w:space="0" w:color="auto"/>
        <w:bottom w:val="none" w:sz="0" w:space="0" w:color="auto"/>
        <w:right w:val="none" w:sz="0" w:space="0" w:color="auto"/>
      </w:divBdr>
    </w:div>
    <w:div w:id="755438472">
      <w:bodyDiv w:val="1"/>
      <w:marLeft w:val="0"/>
      <w:marRight w:val="0"/>
      <w:marTop w:val="0"/>
      <w:marBottom w:val="0"/>
      <w:divBdr>
        <w:top w:val="none" w:sz="0" w:space="0" w:color="auto"/>
        <w:left w:val="none" w:sz="0" w:space="0" w:color="auto"/>
        <w:bottom w:val="none" w:sz="0" w:space="0" w:color="auto"/>
        <w:right w:val="none" w:sz="0" w:space="0" w:color="auto"/>
      </w:divBdr>
    </w:div>
    <w:div w:id="1399282079">
      <w:bodyDiv w:val="1"/>
      <w:marLeft w:val="0"/>
      <w:marRight w:val="0"/>
      <w:marTop w:val="0"/>
      <w:marBottom w:val="0"/>
      <w:divBdr>
        <w:top w:val="none" w:sz="0" w:space="0" w:color="auto"/>
        <w:left w:val="none" w:sz="0" w:space="0" w:color="auto"/>
        <w:bottom w:val="none" w:sz="0" w:space="0" w:color="auto"/>
        <w:right w:val="none" w:sz="0" w:space="0" w:color="auto"/>
      </w:divBdr>
    </w:div>
    <w:div w:id="1986012128">
      <w:bodyDiv w:val="1"/>
      <w:marLeft w:val="0"/>
      <w:marRight w:val="0"/>
      <w:marTop w:val="0"/>
      <w:marBottom w:val="0"/>
      <w:divBdr>
        <w:top w:val="none" w:sz="0" w:space="0" w:color="auto"/>
        <w:left w:val="none" w:sz="0" w:space="0" w:color="auto"/>
        <w:bottom w:val="none" w:sz="0" w:space="0" w:color="auto"/>
        <w:right w:val="none" w:sz="0" w:space="0" w:color="auto"/>
      </w:divBdr>
    </w:div>
    <w:div w:id="20324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escue_21_02_11.pdf" TargetMode="External"/><Relationship Id="rId2" Type="http://schemas.openxmlformats.org/officeDocument/2006/relationships/hyperlink" Target="http://www.corteidh.or.cr/docs/supervisiones/escue_18_05_10.pdf" TargetMode="External"/><Relationship Id="rId1" Type="http://schemas.openxmlformats.org/officeDocument/2006/relationships/hyperlink" Target="http://www.corteidh.or.cr/docs/casos/articulos/seriec_165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A8B2-6F43-45CB-8247-159EA174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4591</Words>
  <Characters>25255</Characters>
  <Application>Microsoft Office Word</Application>
  <DocSecurity>4</DocSecurity>
  <Lines>210</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2016-12-20T18:40:00Z</cp:lastPrinted>
  <dcterms:created xsi:type="dcterms:W3CDTF">2016-12-20T22:51:00Z</dcterms:created>
  <dcterms:modified xsi:type="dcterms:W3CDTF">2016-12-20T22:51:00Z</dcterms:modified>
</cp:coreProperties>
</file>