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B06A" w14:textId="77777777" w:rsidR="001A6B93" w:rsidRPr="00247EC9" w:rsidRDefault="001A6B93" w:rsidP="007C3DA6">
      <w:pPr>
        <w:spacing w:after="0" w:line="240" w:lineRule="auto"/>
        <w:jc w:val="center"/>
        <w:rPr>
          <w:rFonts w:ascii="Verdana" w:hAnsi="Verdana"/>
          <w:b/>
          <w:sz w:val="20"/>
          <w:szCs w:val="20"/>
          <w:lang w:val="es-CR"/>
        </w:rPr>
      </w:pPr>
      <w:bookmarkStart w:id="0" w:name="_GoBack"/>
      <w:bookmarkEnd w:id="0"/>
    </w:p>
    <w:p w14:paraId="3D67D555" w14:textId="77777777" w:rsidR="001A6B93" w:rsidRPr="00247EC9" w:rsidRDefault="001A6B93" w:rsidP="007C3DA6">
      <w:pPr>
        <w:spacing w:after="0" w:line="240" w:lineRule="auto"/>
        <w:jc w:val="center"/>
        <w:rPr>
          <w:rFonts w:ascii="Verdana" w:hAnsi="Verdana"/>
          <w:b/>
          <w:sz w:val="20"/>
          <w:szCs w:val="20"/>
          <w:lang w:val="es-CR"/>
        </w:rPr>
      </w:pPr>
    </w:p>
    <w:p w14:paraId="536FFD69" w14:textId="77777777" w:rsidR="001A6B93" w:rsidRPr="00247EC9" w:rsidRDefault="001A6B93" w:rsidP="007C3DA6">
      <w:pPr>
        <w:spacing w:after="0" w:line="240" w:lineRule="auto"/>
        <w:jc w:val="center"/>
        <w:rPr>
          <w:rFonts w:ascii="Verdana" w:hAnsi="Verdana"/>
          <w:b/>
          <w:sz w:val="20"/>
          <w:szCs w:val="20"/>
          <w:lang w:val="es-CR"/>
        </w:rPr>
      </w:pPr>
    </w:p>
    <w:p w14:paraId="29D05409" w14:textId="77777777" w:rsidR="001A6B93" w:rsidRPr="00247EC9" w:rsidRDefault="001A6B93" w:rsidP="007C3DA6">
      <w:pPr>
        <w:spacing w:after="0" w:line="240" w:lineRule="auto"/>
        <w:jc w:val="center"/>
        <w:rPr>
          <w:rFonts w:ascii="Verdana" w:hAnsi="Verdana"/>
          <w:b/>
          <w:sz w:val="20"/>
          <w:szCs w:val="20"/>
          <w:lang w:val="es-CR"/>
        </w:rPr>
      </w:pPr>
    </w:p>
    <w:p w14:paraId="3834A19B" w14:textId="77777777" w:rsidR="001A6B93" w:rsidRPr="00247EC9" w:rsidRDefault="001A6B93" w:rsidP="007C3DA6">
      <w:pPr>
        <w:spacing w:after="0" w:line="240" w:lineRule="auto"/>
        <w:jc w:val="center"/>
        <w:rPr>
          <w:rFonts w:ascii="Verdana" w:hAnsi="Verdana"/>
          <w:b/>
          <w:sz w:val="20"/>
          <w:szCs w:val="20"/>
          <w:lang w:val="es-CR"/>
        </w:rPr>
      </w:pPr>
    </w:p>
    <w:p w14:paraId="562883F6" w14:textId="77777777" w:rsidR="001A6B93" w:rsidRPr="00247EC9" w:rsidRDefault="001A6B93" w:rsidP="007C3DA6">
      <w:pPr>
        <w:spacing w:after="0" w:line="240" w:lineRule="auto"/>
        <w:jc w:val="center"/>
        <w:rPr>
          <w:rFonts w:ascii="Verdana" w:hAnsi="Verdana"/>
          <w:b/>
          <w:sz w:val="20"/>
          <w:szCs w:val="20"/>
          <w:lang w:val="es-CR"/>
        </w:rPr>
      </w:pPr>
    </w:p>
    <w:p w14:paraId="6B5B473C" w14:textId="77777777" w:rsidR="00B77444" w:rsidRPr="00247EC9" w:rsidRDefault="00B77444" w:rsidP="007C3DA6">
      <w:pPr>
        <w:spacing w:after="0" w:line="240" w:lineRule="auto"/>
        <w:jc w:val="center"/>
        <w:rPr>
          <w:rFonts w:ascii="Verdana" w:hAnsi="Verdana"/>
          <w:b/>
          <w:sz w:val="20"/>
          <w:szCs w:val="20"/>
          <w:lang w:val="es-CR"/>
        </w:rPr>
      </w:pPr>
      <w:r w:rsidRPr="00247EC9">
        <w:rPr>
          <w:rFonts w:ascii="Verdana" w:hAnsi="Verdana"/>
          <w:b/>
          <w:sz w:val="20"/>
          <w:szCs w:val="20"/>
          <w:lang w:val="es-CR"/>
        </w:rPr>
        <w:t>RESOLUCIÓN DE LA</w:t>
      </w:r>
    </w:p>
    <w:p w14:paraId="27C8C4F4" w14:textId="77777777" w:rsidR="00B77444" w:rsidRPr="00247EC9" w:rsidRDefault="00B77444" w:rsidP="00B77444">
      <w:pPr>
        <w:spacing w:after="0" w:line="240" w:lineRule="auto"/>
        <w:jc w:val="center"/>
        <w:rPr>
          <w:rFonts w:ascii="Verdana" w:hAnsi="Verdana"/>
          <w:b/>
          <w:smallCaps/>
          <w:sz w:val="20"/>
          <w:lang w:val="es-CR"/>
        </w:rPr>
      </w:pPr>
      <w:r w:rsidRPr="00247EC9">
        <w:rPr>
          <w:rFonts w:ascii="Verdana" w:hAnsi="Verdana"/>
          <w:b/>
          <w:sz w:val="20"/>
          <w:szCs w:val="20"/>
          <w:lang w:val="es-CR"/>
        </w:rPr>
        <w:t>CORTE INTERAMERICANA DE DERECHOS HUMANOS</w:t>
      </w:r>
    </w:p>
    <w:p w14:paraId="5C389DBB" w14:textId="77777777" w:rsidR="00B77444" w:rsidRPr="00247EC9" w:rsidRDefault="00B77444" w:rsidP="00B77444">
      <w:pPr>
        <w:spacing w:after="0" w:line="240" w:lineRule="auto"/>
        <w:jc w:val="center"/>
        <w:rPr>
          <w:rFonts w:ascii="Verdana" w:hAnsi="Verdana"/>
          <w:b/>
          <w:sz w:val="20"/>
          <w:szCs w:val="20"/>
          <w:lang w:val="es-CR"/>
        </w:rPr>
      </w:pPr>
    </w:p>
    <w:p w14:paraId="0307E7A7" w14:textId="5A5B2E31" w:rsidR="00645AA3" w:rsidRPr="00247EC9" w:rsidRDefault="004F094D" w:rsidP="00B77444">
      <w:pPr>
        <w:spacing w:after="0" w:line="240" w:lineRule="auto"/>
        <w:jc w:val="center"/>
        <w:rPr>
          <w:rFonts w:ascii="Verdana" w:hAnsi="Verdana"/>
          <w:b/>
          <w:sz w:val="20"/>
          <w:szCs w:val="20"/>
          <w:lang w:val="es-CR"/>
        </w:rPr>
      </w:pPr>
      <w:r w:rsidRPr="00247EC9">
        <w:rPr>
          <w:rFonts w:ascii="Verdana" w:hAnsi="Verdana"/>
          <w:b/>
          <w:sz w:val="20"/>
          <w:szCs w:val="20"/>
          <w:lang w:val="es-CR"/>
        </w:rPr>
        <w:t xml:space="preserve">DE </w:t>
      </w:r>
      <w:r w:rsidR="003B1EF3">
        <w:rPr>
          <w:rFonts w:ascii="Verdana" w:hAnsi="Verdana"/>
          <w:b/>
          <w:sz w:val="20"/>
          <w:szCs w:val="20"/>
          <w:lang w:val="es-CR"/>
        </w:rPr>
        <w:t>7</w:t>
      </w:r>
      <w:r w:rsidRPr="00247EC9">
        <w:rPr>
          <w:rFonts w:ascii="Verdana" w:hAnsi="Verdana"/>
          <w:b/>
          <w:sz w:val="20"/>
          <w:szCs w:val="20"/>
          <w:lang w:val="es-CR"/>
        </w:rPr>
        <w:t xml:space="preserve"> DE OCTUBRE DE</w:t>
      </w:r>
      <w:r w:rsidR="00645AA3" w:rsidRPr="00247EC9">
        <w:rPr>
          <w:rFonts w:ascii="Verdana" w:hAnsi="Verdana"/>
          <w:b/>
          <w:sz w:val="20"/>
          <w:szCs w:val="20"/>
          <w:lang w:val="es-CR"/>
        </w:rPr>
        <w:t xml:space="preserve"> 2019</w:t>
      </w:r>
    </w:p>
    <w:p w14:paraId="614EA78A" w14:textId="77777777" w:rsidR="00B77444" w:rsidRPr="00247EC9" w:rsidRDefault="00B77444" w:rsidP="00B77444">
      <w:pPr>
        <w:spacing w:after="0" w:line="240" w:lineRule="auto"/>
        <w:jc w:val="center"/>
        <w:rPr>
          <w:rFonts w:ascii="Verdana" w:hAnsi="Verdana"/>
          <w:b/>
          <w:sz w:val="20"/>
          <w:szCs w:val="20"/>
          <w:lang w:val="es-CR"/>
        </w:rPr>
      </w:pPr>
    </w:p>
    <w:p w14:paraId="217E49FB" w14:textId="77777777" w:rsidR="00B77444" w:rsidRPr="00247EC9" w:rsidRDefault="00645AA3" w:rsidP="00B77444">
      <w:pPr>
        <w:spacing w:after="0" w:line="240" w:lineRule="auto"/>
        <w:jc w:val="center"/>
        <w:rPr>
          <w:rFonts w:ascii="Verdana" w:hAnsi="Verdana"/>
          <w:b/>
          <w:i/>
          <w:sz w:val="20"/>
          <w:szCs w:val="20"/>
          <w:lang w:val="es-CR"/>
        </w:rPr>
      </w:pPr>
      <w:r w:rsidRPr="00247EC9">
        <w:rPr>
          <w:rFonts w:ascii="Verdana" w:hAnsi="Verdana"/>
          <w:b/>
          <w:i/>
          <w:sz w:val="20"/>
          <w:szCs w:val="20"/>
          <w:lang w:val="es-CR"/>
        </w:rPr>
        <w:t>CASO FAVELA NOVA BRASILIA VS. BRASIL</w:t>
      </w:r>
    </w:p>
    <w:p w14:paraId="04E8DB6F" w14:textId="77777777" w:rsidR="00645AA3" w:rsidRPr="00247EC9" w:rsidRDefault="00645AA3" w:rsidP="00B77444">
      <w:pPr>
        <w:spacing w:after="0" w:line="240" w:lineRule="auto"/>
        <w:jc w:val="center"/>
        <w:rPr>
          <w:rFonts w:ascii="Verdana" w:hAnsi="Verdana"/>
          <w:b/>
          <w:sz w:val="20"/>
          <w:szCs w:val="20"/>
          <w:lang w:val="es-CR"/>
        </w:rPr>
      </w:pPr>
    </w:p>
    <w:p w14:paraId="7436DC1B" w14:textId="77777777" w:rsidR="00B77444" w:rsidRPr="00247EC9" w:rsidRDefault="00B77444" w:rsidP="00B77444">
      <w:pPr>
        <w:jc w:val="center"/>
        <w:rPr>
          <w:rFonts w:ascii="Verdana" w:hAnsi="Verdana"/>
          <w:b/>
          <w:sz w:val="20"/>
          <w:szCs w:val="20"/>
          <w:lang w:val="es-CR"/>
        </w:rPr>
      </w:pPr>
      <w:r w:rsidRPr="00247EC9">
        <w:rPr>
          <w:rFonts w:ascii="Verdana" w:hAnsi="Verdana"/>
          <w:b/>
          <w:sz w:val="20"/>
          <w:szCs w:val="20"/>
          <w:lang w:val="es-CR"/>
        </w:rPr>
        <w:t>SUPERVISIÓN DE CUMPLIMIENTO DE SENTENCIA</w:t>
      </w:r>
      <w:r w:rsidRPr="00247EC9">
        <w:rPr>
          <w:rFonts w:ascii="Verdana" w:hAnsi="Verdana"/>
          <w:sz w:val="20"/>
          <w:szCs w:val="20"/>
          <w:lang w:val="es-CR"/>
        </w:rPr>
        <w:t xml:space="preserve"> </w:t>
      </w:r>
    </w:p>
    <w:p w14:paraId="77A6ED25" w14:textId="77777777" w:rsidR="00B77444" w:rsidRPr="00247EC9" w:rsidRDefault="00B77444" w:rsidP="00B77444">
      <w:pPr>
        <w:spacing w:before="120" w:after="120" w:line="240" w:lineRule="auto"/>
        <w:jc w:val="both"/>
        <w:rPr>
          <w:rFonts w:ascii="Verdana" w:hAnsi="Verdana"/>
          <w:b/>
          <w:sz w:val="20"/>
          <w:szCs w:val="20"/>
          <w:lang w:val="es-CR"/>
        </w:rPr>
      </w:pPr>
      <w:r w:rsidRPr="00247EC9">
        <w:rPr>
          <w:rFonts w:ascii="Verdana" w:hAnsi="Verdana"/>
          <w:b/>
          <w:sz w:val="20"/>
          <w:szCs w:val="20"/>
          <w:lang w:val="es-CR"/>
        </w:rPr>
        <w:t xml:space="preserve">VISTO: </w:t>
      </w:r>
    </w:p>
    <w:p w14:paraId="59E48FAA" w14:textId="4F33BB8E" w:rsidR="00645AA3" w:rsidRPr="00247EC9" w:rsidRDefault="00B77444" w:rsidP="008723E1">
      <w:pPr>
        <w:numPr>
          <w:ilvl w:val="0"/>
          <w:numId w:val="1"/>
        </w:numPr>
        <w:spacing w:before="120" w:after="120" w:line="240" w:lineRule="auto"/>
        <w:ind w:left="0" w:firstLine="0"/>
        <w:jc w:val="both"/>
        <w:rPr>
          <w:rFonts w:ascii="Verdana" w:hAnsi="Verdana"/>
          <w:color w:val="000000"/>
          <w:sz w:val="20"/>
          <w:szCs w:val="20"/>
          <w:shd w:val="clear" w:color="auto" w:fill="FFFFFF"/>
          <w:lang w:val="es-CR"/>
        </w:rPr>
      </w:pPr>
      <w:r w:rsidRPr="00247EC9">
        <w:rPr>
          <w:rFonts w:ascii="Verdana" w:hAnsi="Verdana"/>
          <w:sz w:val="20"/>
          <w:szCs w:val="20"/>
          <w:lang w:val="es-ES_tradnl"/>
        </w:rPr>
        <w:t xml:space="preserve">La Sentencia de </w:t>
      </w:r>
      <w:r w:rsidR="008C2697" w:rsidRPr="00247EC9">
        <w:rPr>
          <w:rFonts w:ascii="Verdana" w:hAnsi="Verdana"/>
          <w:sz w:val="20"/>
          <w:szCs w:val="20"/>
          <w:lang w:val="es-ES_tradnl"/>
        </w:rPr>
        <w:t>excepciones preliminares, fondo, reparaciones y costas</w:t>
      </w:r>
      <w:r w:rsidRPr="00247EC9">
        <w:rPr>
          <w:rFonts w:ascii="Verdana" w:hAnsi="Verdana"/>
          <w:sz w:val="20"/>
          <w:szCs w:val="20"/>
          <w:lang w:val="es-ES_tradnl"/>
        </w:rPr>
        <w:t xml:space="preserve"> (en adelante “la Sentencia” o “el Fallo”) dictada por la Corte Interamericana de Derechos Humanos (en adelante “la Corte Interamericana”, “la Corte” o “el Tribunal”) el </w:t>
      </w:r>
      <w:r w:rsidR="00750990" w:rsidRPr="00247EC9">
        <w:rPr>
          <w:rFonts w:ascii="Verdana" w:hAnsi="Verdana"/>
          <w:sz w:val="20"/>
          <w:szCs w:val="20"/>
          <w:lang w:val="es-ES_tradnl"/>
        </w:rPr>
        <w:t>16 de febrero de 2017</w:t>
      </w:r>
      <w:r w:rsidRPr="00247EC9">
        <w:rPr>
          <w:rFonts w:ascii="Verdana" w:hAnsi="Verdana"/>
          <w:sz w:val="20"/>
          <w:szCs w:val="20"/>
          <w:vertAlign w:val="superscript"/>
          <w:lang w:val="es-ES_tradnl"/>
        </w:rPr>
        <w:footnoteReference w:id="2"/>
      </w:r>
      <w:r w:rsidRPr="00247EC9">
        <w:rPr>
          <w:rFonts w:ascii="Verdana" w:hAnsi="Verdana"/>
          <w:sz w:val="20"/>
          <w:szCs w:val="20"/>
          <w:lang w:val="es-ES_tradnl"/>
        </w:rPr>
        <w:t xml:space="preserve">. La Corte declaró la responsabilidad internacional de la República </w:t>
      </w:r>
      <w:r w:rsidR="00ED1D80" w:rsidRPr="00247EC9">
        <w:rPr>
          <w:rFonts w:ascii="Verdana" w:hAnsi="Verdana"/>
          <w:sz w:val="20"/>
          <w:szCs w:val="20"/>
          <w:lang w:val="es-ES_tradnl"/>
        </w:rPr>
        <w:t xml:space="preserve">Federativa </w:t>
      </w:r>
      <w:r w:rsidRPr="00247EC9">
        <w:rPr>
          <w:rFonts w:ascii="Verdana" w:hAnsi="Verdana"/>
          <w:sz w:val="20"/>
          <w:szCs w:val="20"/>
          <w:lang w:val="es-ES_tradnl"/>
        </w:rPr>
        <w:t>de</w:t>
      </w:r>
      <w:r w:rsidR="00ED1D80" w:rsidRPr="00247EC9">
        <w:rPr>
          <w:rFonts w:ascii="Verdana" w:hAnsi="Verdana"/>
          <w:sz w:val="20"/>
          <w:szCs w:val="20"/>
          <w:lang w:val="es-ES_tradnl"/>
        </w:rPr>
        <w:t>l</w:t>
      </w:r>
      <w:r w:rsidRPr="00247EC9">
        <w:rPr>
          <w:rFonts w:ascii="Verdana" w:hAnsi="Verdana"/>
          <w:sz w:val="20"/>
          <w:szCs w:val="20"/>
          <w:lang w:val="es-ES_tradnl"/>
        </w:rPr>
        <w:t xml:space="preserve"> </w:t>
      </w:r>
      <w:r w:rsidR="00645AA3" w:rsidRPr="00247EC9">
        <w:rPr>
          <w:rFonts w:ascii="Verdana" w:hAnsi="Verdana"/>
          <w:sz w:val="20"/>
          <w:szCs w:val="20"/>
          <w:lang w:val="es-ES_tradnl"/>
        </w:rPr>
        <w:t>Brasil</w:t>
      </w:r>
      <w:r w:rsidRPr="00247EC9">
        <w:rPr>
          <w:rFonts w:ascii="Verdana" w:hAnsi="Verdana"/>
          <w:sz w:val="20"/>
          <w:szCs w:val="20"/>
          <w:lang w:val="es-ES_tradnl"/>
        </w:rPr>
        <w:t xml:space="preserve"> (en adelante “el Estado” </w:t>
      </w:r>
      <w:r w:rsidR="003E25D0" w:rsidRPr="00247EC9">
        <w:rPr>
          <w:rFonts w:ascii="Verdana" w:hAnsi="Verdana"/>
          <w:sz w:val="20"/>
          <w:szCs w:val="20"/>
          <w:lang w:val="es-ES_tradnl"/>
        </w:rPr>
        <w:t>o</w:t>
      </w:r>
      <w:r w:rsidRPr="00247EC9">
        <w:rPr>
          <w:rFonts w:ascii="Verdana" w:hAnsi="Verdana"/>
          <w:sz w:val="20"/>
          <w:szCs w:val="20"/>
          <w:lang w:val="es-ES_tradnl"/>
        </w:rPr>
        <w:t xml:space="preserve"> “</w:t>
      </w:r>
      <w:r w:rsidR="00645AA3" w:rsidRPr="00247EC9">
        <w:rPr>
          <w:rFonts w:ascii="Verdana" w:hAnsi="Verdana"/>
          <w:sz w:val="20"/>
          <w:szCs w:val="20"/>
          <w:lang w:val="es-ES_tradnl"/>
        </w:rPr>
        <w:t>Brasil</w:t>
      </w:r>
      <w:r w:rsidRPr="00247EC9">
        <w:rPr>
          <w:rFonts w:ascii="Verdana" w:hAnsi="Verdana"/>
          <w:sz w:val="20"/>
          <w:szCs w:val="20"/>
          <w:lang w:val="es-ES_tradnl"/>
        </w:rPr>
        <w:t xml:space="preserve">”) </w:t>
      </w:r>
      <w:r w:rsidR="00645AA3" w:rsidRPr="00247EC9">
        <w:rPr>
          <w:rFonts w:ascii="Verdana" w:hAnsi="Verdana"/>
          <w:sz w:val="20"/>
          <w:szCs w:val="20"/>
          <w:lang w:val="es-ES_tradnl"/>
        </w:rPr>
        <w:t>por la violación de</w:t>
      </w:r>
      <w:r w:rsidR="00FD5BC3">
        <w:rPr>
          <w:rFonts w:ascii="Verdana" w:hAnsi="Verdana"/>
          <w:sz w:val="20"/>
          <w:szCs w:val="20"/>
          <w:lang w:val="es-ES_tradnl"/>
        </w:rPr>
        <w:t xml:space="preserve"> </w:t>
      </w:r>
      <w:r w:rsidR="00645AA3" w:rsidRPr="00247EC9">
        <w:rPr>
          <w:rFonts w:ascii="Verdana" w:hAnsi="Verdana"/>
          <w:sz w:val="20"/>
          <w:szCs w:val="20"/>
          <w:lang w:val="es-ES_tradnl"/>
        </w:rPr>
        <w:t xml:space="preserve">las garantías judiciales de independencia e imparcialidad de la investigación, debida diligencia y plazo razonable, del derecho a la protección judicial, y del derecho a la integridad personal, respecto </w:t>
      </w:r>
      <w:r w:rsidR="00FD5BC3">
        <w:rPr>
          <w:rFonts w:ascii="Verdana" w:hAnsi="Verdana"/>
          <w:sz w:val="20"/>
          <w:szCs w:val="20"/>
          <w:lang w:val="es-ES_tradnl"/>
        </w:rPr>
        <w:t>de</w:t>
      </w:r>
      <w:r w:rsidR="00645AA3" w:rsidRPr="00247EC9">
        <w:rPr>
          <w:rFonts w:ascii="Verdana" w:hAnsi="Verdana"/>
          <w:sz w:val="20"/>
          <w:szCs w:val="20"/>
          <w:lang w:val="es-ES_tradnl"/>
        </w:rPr>
        <w:t xml:space="preserve"> las investigaciones de dos incursiones policiales en la Favela Nova Brasilia, en la ciudad de Rio de Janeiro, en 1994 y 1995, que resultaron en </w:t>
      </w:r>
      <w:r w:rsidR="00FD5BC3">
        <w:rPr>
          <w:rFonts w:ascii="Verdana" w:hAnsi="Verdana"/>
          <w:sz w:val="20"/>
          <w:szCs w:val="20"/>
          <w:lang w:val="es-ES_tradnl"/>
        </w:rPr>
        <w:t>la muerte</w:t>
      </w:r>
      <w:r w:rsidR="00645AA3" w:rsidRPr="00247EC9">
        <w:rPr>
          <w:rFonts w:ascii="Verdana" w:hAnsi="Verdana"/>
          <w:sz w:val="20"/>
          <w:szCs w:val="20"/>
          <w:lang w:val="es-ES_tradnl"/>
        </w:rPr>
        <w:t xml:space="preserve"> de 26 hombres y en violencia sexual </w:t>
      </w:r>
      <w:r w:rsidR="00FD5BC3">
        <w:rPr>
          <w:rFonts w:ascii="Verdana" w:hAnsi="Verdana"/>
          <w:sz w:val="20"/>
          <w:szCs w:val="20"/>
          <w:lang w:val="es-ES_tradnl"/>
        </w:rPr>
        <w:t>contra</w:t>
      </w:r>
      <w:r w:rsidR="00645AA3" w:rsidRPr="00247EC9">
        <w:rPr>
          <w:rFonts w:ascii="Verdana" w:hAnsi="Verdana"/>
          <w:sz w:val="20"/>
          <w:szCs w:val="20"/>
          <w:lang w:val="es-ES_tradnl"/>
        </w:rPr>
        <w:t xml:space="preserve"> tres mujeres. La Corte declaró dichas violaciones de la Convención Americana sobre Derechos Humanos</w:t>
      </w:r>
      <w:r w:rsidR="00FD5BC3">
        <w:rPr>
          <w:rFonts w:ascii="Verdana" w:hAnsi="Verdana"/>
          <w:sz w:val="20"/>
          <w:szCs w:val="20"/>
          <w:lang w:val="es-ES_tradnl"/>
        </w:rPr>
        <w:t xml:space="preserve"> (en adelante “la Convención Americana”, o “la Convención”),</w:t>
      </w:r>
      <w:r w:rsidR="00645AA3" w:rsidRPr="00247EC9">
        <w:rPr>
          <w:rFonts w:ascii="Verdana" w:hAnsi="Verdana"/>
          <w:sz w:val="20"/>
          <w:szCs w:val="20"/>
          <w:lang w:val="es-ES_tradnl"/>
        </w:rPr>
        <w:t xml:space="preserve"> en perjuicio de 74 familiares de las 26 personas muertas por la Policía Civil de Río de Janeiro el 18 de octubre de 1994 y el 8 de mayo de 1995, y de las tres mujeres víctimas de violación sexual durante el operativo de 1994. Por último, el Tribunal ordenó al Estado la adopción de diversas medidas de reparación </w:t>
      </w:r>
      <w:r w:rsidR="00645AA3" w:rsidRPr="005C7D4F">
        <w:rPr>
          <w:rFonts w:ascii="Verdana" w:hAnsi="Verdana"/>
          <w:sz w:val="20"/>
          <w:lang w:val="es-ES_tradnl"/>
        </w:rPr>
        <w:t>(</w:t>
      </w:r>
      <w:r w:rsidR="00645AA3" w:rsidRPr="00247EC9">
        <w:rPr>
          <w:rFonts w:ascii="Verdana" w:hAnsi="Verdana"/>
          <w:i/>
          <w:sz w:val="20"/>
          <w:szCs w:val="20"/>
          <w:lang w:val="es-ES_tradnl"/>
        </w:rPr>
        <w:t xml:space="preserve">infra </w:t>
      </w:r>
      <w:r w:rsidR="00D47DFB">
        <w:rPr>
          <w:rFonts w:ascii="Verdana" w:hAnsi="Verdana"/>
          <w:sz w:val="20"/>
          <w:lang w:val="es-ES_tradnl"/>
        </w:rPr>
        <w:t>C</w:t>
      </w:r>
      <w:r w:rsidR="00645AA3" w:rsidRPr="005C7D4F">
        <w:rPr>
          <w:rFonts w:ascii="Verdana" w:hAnsi="Verdana"/>
          <w:sz w:val="20"/>
          <w:lang w:val="es-ES_tradnl"/>
        </w:rPr>
        <w:t>onsiderando</w:t>
      </w:r>
      <w:r w:rsidR="00645AA3" w:rsidRPr="00247EC9">
        <w:rPr>
          <w:rFonts w:ascii="Verdana" w:hAnsi="Verdana"/>
          <w:i/>
          <w:sz w:val="20"/>
          <w:szCs w:val="20"/>
          <w:lang w:val="es-ES_tradnl"/>
        </w:rPr>
        <w:t xml:space="preserve"> </w:t>
      </w:r>
      <w:r w:rsidR="00645AA3" w:rsidRPr="005C7D4F">
        <w:rPr>
          <w:rFonts w:ascii="Verdana" w:hAnsi="Verdana"/>
          <w:sz w:val="20"/>
          <w:lang w:val="es-ES_tradnl"/>
        </w:rPr>
        <w:t>1)</w:t>
      </w:r>
      <w:r w:rsidR="00645AA3" w:rsidRPr="00247EC9">
        <w:rPr>
          <w:rFonts w:ascii="Verdana" w:hAnsi="Verdana"/>
          <w:i/>
          <w:sz w:val="20"/>
          <w:szCs w:val="20"/>
          <w:lang w:val="es-ES_tradnl"/>
        </w:rPr>
        <w:t>.</w:t>
      </w:r>
    </w:p>
    <w:p w14:paraId="306843E7" w14:textId="77777777" w:rsidR="00645AA3" w:rsidRPr="00247EC9" w:rsidRDefault="004B1BBA" w:rsidP="008723E1">
      <w:pPr>
        <w:numPr>
          <w:ilvl w:val="0"/>
          <w:numId w:val="1"/>
        </w:numPr>
        <w:spacing w:before="120" w:after="120" w:line="240" w:lineRule="auto"/>
        <w:ind w:left="0" w:firstLine="0"/>
        <w:jc w:val="both"/>
        <w:rPr>
          <w:rFonts w:ascii="Verdana" w:hAnsi="Verdana"/>
          <w:color w:val="000000"/>
          <w:sz w:val="20"/>
          <w:szCs w:val="20"/>
          <w:shd w:val="clear" w:color="auto" w:fill="FFFFFF"/>
          <w:lang w:val="es-CR"/>
        </w:rPr>
      </w:pPr>
      <w:r w:rsidRPr="00247EC9">
        <w:rPr>
          <w:rFonts w:ascii="Verdana" w:hAnsi="Verdana"/>
          <w:color w:val="000000"/>
          <w:sz w:val="20"/>
          <w:szCs w:val="20"/>
          <w:shd w:val="clear" w:color="auto" w:fill="FFFFFF"/>
          <w:lang w:val="es-CR"/>
        </w:rPr>
        <w:t>La Sentencia de interpretación emitida por la Corte el 5 de febrero de 2018</w:t>
      </w:r>
      <w:r w:rsidRPr="00247EC9">
        <w:rPr>
          <w:rStyle w:val="Refdenotaalpie"/>
          <w:rFonts w:ascii="Verdana" w:hAnsi="Verdana"/>
          <w:color w:val="000000"/>
          <w:sz w:val="20"/>
          <w:szCs w:val="20"/>
          <w:shd w:val="clear" w:color="auto" w:fill="FFFFFF"/>
          <w:lang w:val="es-CR"/>
        </w:rPr>
        <w:footnoteReference w:id="3"/>
      </w:r>
      <w:r w:rsidR="002D6F52" w:rsidRPr="00247EC9">
        <w:rPr>
          <w:rFonts w:ascii="Verdana" w:hAnsi="Verdana"/>
          <w:color w:val="000000"/>
          <w:sz w:val="20"/>
          <w:szCs w:val="20"/>
          <w:shd w:val="clear" w:color="auto" w:fill="FFFFFF"/>
          <w:lang w:val="es-CR"/>
        </w:rPr>
        <w:t>.</w:t>
      </w:r>
      <w:r w:rsidRPr="00247EC9">
        <w:rPr>
          <w:rFonts w:ascii="Verdana" w:hAnsi="Verdana"/>
          <w:color w:val="000000"/>
          <w:sz w:val="20"/>
          <w:szCs w:val="20"/>
          <w:shd w:val="clear" w:color="auto" w:fill="FFFFFF"/>
          <w:lang w:val="es-CR"/>
        </w:rPr>
        <w:t xml:space="preserve"> </w:t>
      </w:r>
    </w:p>
    <w:p w14:paraId="2B01B1E9" w14:textId="77777777" w:rsidR="00965614" w:rsidRPr="00247EC9" w:rsidRDefault="00965614" w:rsidP="008723E1">
      <w:pPr>
        <w:numPr>
          <w:ilvl w:val="0"/>
          <w:numId w:val="1"/>
        </w:numPr>
        <w:spacing w:before="120" w:after="120" w:line="240" w:lineRule="auto"/>
        <w:ind w:left="0" w:firstLine="0"/>
        <w:jc w:val="both"/>
        <w:rPr>
          <w:rFonts w:ascii="Verdana" w:hAnsi="Verdana"/>
          <w:color w:val="000000"/>
          <w:sz w:val="20"/>
          <w:szCs w:val="20"/>
          <w:shd w:val="clear" w:color="auto" w:fill="FFFFFF"/>
          <w:lang w:val="es-CR"/>
        </w:rPr>
      </w:pPr>
      <w:r w:rsidRPr="00247EC9">
        <w:rPr>
          <w:rFonts w:ascii="Verdana" w:hAnsi="Verdana"/>
          <w:color w:val="000000"/>
          <w:sz w:val="20"/>
          <w:szCs w:val="20"/>
          <w:shd w:val="clear" w:color="auto" w:fill="FFFFFF"/>
          <w:lang w:val="es-CR"/>
        </w:rPr>
        <w:t>La Resolución de supervisión de cumplimiento de sentencia emitida por el Tribunal el 30 de mayo de 2018</w:t>
      </w:r>
      <w:r w:rsidRPr="00247EC9">
        <w:rPr>
          <w:rStyle w:val="Refdenotaalpie"/>
          <w:rFonts w:ascii="Verdana" w:hAnsi="Verdana"/>
          <w:color w:val="000000"/>
          <w:sz w:val="20"/>
          <w:szCs w:val="20"/>
          <w:shd w:val="clear" w:color="auto" w:fill="FFFFFF"/>
          <w:lang w:val="es-CR"/>
        </w:rPr>
        <w:footnoteReference w:id="4"/>
      </w:r>
      <w:r w:rsidRPr="00247EC9">
        <w:rPr>
          <w:rFonts w:ascii="Verdana" w:hAnsi="Verdana"/>
          <w:color w:val="000000"/>
          <w:sz w:val="20"/>
          <w:szCs w:val="20"/>
          <w:shd w:val="clear" w:color="auto" w:fill="FFFFFF"/>
          <w:lang w:val="es-CR"/>
        </w:rPr>
        <w:t xml:space="preserve">. </w:t>
      </w:r>
    </w:p>
    <w:p w14:paraId="7B130BF0" w14:textId="77777777" w:rsidR="00C83BC8" w:rsidRPr="00247EC9" w:rsidRDefault="00624D88" w:rsidP="008723E1">
      <w:pPr>
        <w:numPr>
          <w:ilvl w:val="0"/>
          <w:numId w:val="1"/>
        </w:numPr>
        <w:spacing w:before="120" w:after="120" w:line="240" w:lineRule="auto"/>
        <w:ind w:left="0" w:firstLine="0"/>
        <w:jc w:val="both"/>
        <w:rPr>
          <w:rFonts w:ascii="Verdana" w:hAnsi="Verdana"/>
          <w:color w:val="000000"/>
          <w:sz w:val="20"/>
          <w:szCs w:val="20"/>
          <w:shd w:val="clear" w:color="auto" w:fill="FFFFFF"/>
          <w:lang w:val="es-CR"/>
        </w:rPr>
      </w:pPr>
      <w:r w:rsidRPr="00247EC9">
        <w:rPr>
          <w:rFonts w:ascii="Verdana" w:hAnsi="Verdana"/>
          <w:sz w:val="20"/>
          <w:lang w:val="es-ES_tradnl"/>
        </w:rPr>
        <w:t xml:space="preserve">Los informes presentados por el Estado entre </w:t>
      </w:r>
      <w:r w:rsidR="000C08C0" w:rsidRPr="00247EC9">
        <w:rPr>
          <w:rFonts w:ascii="Verdana" w:hAnsi="Verdana"/>
          <w:sz w:val="20"/>
          <w:lang w:val="es-ES_tradnl"/>
        </w:rPr>
        <w:t xml:space="preserve">mayo </w:t>
      </w:r>
      <w:r w:rsidRPr="00247EC9">
        <w:rPr>
          <w:rFonts w:ascii="Verdana" w:hAnsi="Verdana"/>
          <w:sz w:val="20"/>
          <w:lang w:val="es-ES_tradnl"/>
        </w:rPr>
        <w:t xml:space="preserve">y </w:t>
      </w:r>
      <w:r w:rsidR="000C08C0" w:rsidRPr="00247EC9">
        <w:rPr>
          <w:rFonts w:ascii="Verdana" w:hAnsi="Verdana"/>
          <w:sz w:val="20"/>
          <w:lang w:val="es-ES_tradnl"/>
        </w:rPr>
        <w:t>agosto de 2018</w:t>
      </w:r>
      <w:r w:rsidRPr="00247EC9">
        <w:rPr>
          <w:rFonts w:ascii="Verdana" w:hAnsi="Verdana"/>
          <w:sz w:val="20"/>
          <w:lang w:val="es-ES_tradnl"/>
        </w:rPr>
        <w:t>.</w:t>
      </w:r>
    </w:p>
    <w:p w14:paraId="24BDDD4A" w14:textId="77777777" w:rsidR="00624D88" w:rsidRPr="00247EC9" w:rsidRDefault="00624D88" w:rsidP="00B77444">
      <w:pPr>
        <w:numPr>
          <w:ilvl w:val="0"/>
          <w:numId w:val="1"/>
        </w:numPr>
        <w:spacing w:before="120" w:after="120" w:line="240" w:lineRule="auto"/>
        <w:ind w:left="0" w:firstLine="0"/>
        <w:jc w:val="both"/>
        <w:rPr>
          <w:rFonts w:ascii="Verdana" w:hAnsi="Verdana"/>
          <w:color w:val="000000"/>
          <w:sz w:val="20"/>
          <w:szCs w:val="20"/>
          <w:shd w:val="clear" w:color="auto" w:fill="FFFFFF"/>
          <w:lang w:val="es-CR"/>
        </w:rPr>
      </w:pPr>
      <w:r w:rsidRPr="00247EC9">
        <w:rPr>
          <w:rFonts w:ascii="Verdana" w:hAnsi="Verdana"/>
          <w:sz w:val="20"/>
          <w:szCs w:val="20"/>
          <w:lang w:val="es-CR"/>
        </w:rPr>
        <w:t xml:space="preserve">Los escritos de observaciones presentados </w:t>
      </w:r>
      <w:r w:rsidR="002D6F52" w:rsidRPr="00247EC9">
        <w:rPr>
          <w:rFonts w:ascii="Verdana" w:hAnsi="Verdana"/>
          <w:sz w:val="20"/>
          <w:szCs w:val="20"/>
          <w:lang w:val="es-CR"/>
        </w:rPr>
        <w:t>por los representantes de las víctimas (en adelante “los representantes”)</w:t>
      </w:r>
      <w:r w:rsidR="002D6F52" w:rsidRPr="00247EC9">
        <w:rPr>
          <w:rFonts w:ascii="Verdana" w:hAnsi="Verdana"/>
          <w:sz w:val="20"/>
          <w:szCs w:val="20"/>
          <w:vertAlign w:val="superscript"/>
          <w:lang w:val="es-ES_tradnl"/>
        </w:rPr>
        <w:footnoteReference w:id="5"/>
      </w:r>
      <w:r w:rsidR="002D6F52" w:rsidRPr="00247EC9">
        <w:rPr>
          <w:rFonts w:ascii="Verdana" w:hAnsi="Verdana"/>
          <w:sz w:val="20"/>
          <w:szCs w:val="20"/>
          <w:lang w:val="es-CR"/>
        </w:rPr>
        <w:t xml:space="preserve"> </w:t>
      </w:r>
      <w:r w:rsidR="000C08C0" w:rsidRPr="00247EC9">
        <w:rPr>
          <w:rFonts w:ascii="Verdana" w:hAnsi="Verdana"/>
          <w:sz w:val="20"/>
          <w:szCs w:val="20"/>
          <w:lang w:val="es-CR"/>
        </w:rPr>
        <w:t>entre</w:t>
      </w:r>
      <w:r w:rsidRPr="00247EC9">
        <w:rPr>
          <w:rFonts w:ascii="Verdana" w:hAnsi="Verdana"/>
          <w:sz w:val="20"/>
          <w:szCs w:val="20"/>
          <w:lang w:val="es-CR"/>
        </w:rPr>
        <w:t xml:space="preserve"> </w:t>
      </w:r>
      <w:r w:rsidR="000C08C0" w:rsidRPr="00247EC9">
        <w:rPr>
          <w:rFonts w:ascii="Verdana" w:hAnsi="Verdana"/>
          <w:sz w:val="20"/>
          <w:szCs w:val="20"/>
          <w:lang w:val="es-CR"/>
        </w:rPr>
        <w:t>mayo</w:t>
      </w:r>
      <w:r w:rsidRPr="00247EC9">
        <w:rPr>
          <w:rFonts w:ascii="Verdana" w:hAnsi="Verdana"/>
          <w:sz w:val="20"/>
          <w:szCs w:val="20"/>
          <w:lang w:val="es-CR"/>
        </w:rPr>
        <w:t xml:space="preserve"> y </w:t>
      </w:r>
      <w:r w:rsidR="000C08C0" w:rsidRPr="00247EC9">
        <w:rPr>
          <w:rFonts w:ascii="Verdana" w:hAnsi="Verdana"/>
          <w:sz w:val="20"/>
          <w:szCs w:val="20"/>
          <w:lang w:val="es-CR"/>
        </w:rPr>
        <w:t>octubre</w:t>
      </w:r>
      <w:r w:rsidRPr="00247EC9">
        <w:rPr>
          <w:rFonts w:ascii="Verdana" w:hAnsi="Verdana"/>
          <w:sz w:val="20"/>
          <w:szCs w:val="20"/>
          <w:lang w:val="es-CR"/>
        </w:rPr>
        <w:t xml:space="preserve"> de 2018.</w:t>
      </w:r>
    </w:p>
    <w:p w14:paraId="22DF3754" w14:textId="139D95E3" w:rsidR="00624D88" w:rsidRPr="00247EC9" w:rsidRDefault="00516CD0" w:rsidP="00B77444">
      <w:pPr>
        <w:numPr>
          <w:ilvl w:val="0"/>
          <w:numId w:val="1"/>
        </w:numPr>
        <w:spacing w:before="120" w:after="120" w:line="240" w:lineRule="auto"/>
        <w:ind w:left="0" w:firstLine="0"/>
        <w:jc w:val="both"/>
        <w:rPr>
          <w:rFonts w:ascii="Verdana" w:hAnsi="Verdana"/>
          <w:color w:val="000000"/>
          <w:sz w:val="20"/>
          <w:szCs w:val="20"/>
          <w:shd w:val="clear" w:color="auto" w:fill="FFFFFF"/>
          <w:lang w:val="es-CR"/>
        </w:rPr>
      </w:pPr>
      <w:r w:rsidRPr="00247EC9">
        <w:rPr>
          <w:rFonts w:ascii="Verdana" w:hAnsi="Verdana"/>
          <w:color w:val="000000"/>
          <w:sz w:val="20"/>
          <w:szCs w:val="20"/>
          <w:shd w:val="clear" w:color="auto" w:fill="FFFFFF"/>
          <w:lang w:val="es-CR"/>
        </w:rPr>
        <w:lastRenderedPageBreak/>
        <w:t>Los</w:t>
      </w:r>
      <w:r w:rsidR="00624D88" w:rsidRPr="00247EC9">
        <w:rPr>
          <w:rFonts w:ascii="Verdana" w:hAnsi="Verdana"/>
          <w:color w:val="000000"/>
          <w:sz w:val="20"/>
          <w:szCs w:val="20"/>
          <w:shd w:val="clear" w:color="auto" w:fill="FFFFFF"/>
          <w:lang w:val="es-CR"/>
        </w:rPr>
        <w:t xml:space="preserve"> escrito</w:t>
      </w:r>
      <w:r w:rsidRPr="00247EC9">
        <w:rPr>
          <w:rFonts w:ascii="Verdana" w:hAnsi="Verdana"/>
          <w:color w:val="000000"/>
          <w:sz w:val="20"/>
          <w:szCs w:val="20"/>
          <w:shd w:val="clear" w:color="auto" w:fill="FFFFFF"/>
          <w:lang w:val="es-CR"/>
        </w:rPr>
        <w:t>s</w:t>
      </w:r>
      <w:r w:rsidR="00624D88" w:rsidRPr="00247EC9">
        <w:rPr>
          <w:rFonts w:ascii="Verdana" w:hAnsi="Verdana"/>
          <w:color w:val="000000"/>
          <w:sz w:val="20"/>
          <w:szCs w:val="20"/>
          <w:shd w:val="clear" w:color="auto" w:fill="FFFFFF"/>
          <w:lang w:val="es-CR"/>
        </w:rPr>
        <w:t xml:space="preserve"> </w:t>
      </w:r>
      <w:r w:rsidR="005167AB" w:rsidRPr="00247EC9">
        <w:rPr>
          <w:rFonts w:ascii="Verdana" w:hAnsi="Verdana"/>
          <w:color w:val="000000"/>
          <w:sz w:val="20"/>
          <w:szCs w:val="20"/>
          <w:shd w:val="clear" w:color="auto" w:fill="FFFFFF"/>
          <w:lang w:val="es-CR"/>
        </w:rPr>
        <w:t>de observaciones presentado</w:t>
      </w:r>
      <w:r w:rsidR="00FD5BC3">
        <w:rPr>
          <w:rFonts w:ascii="Verdana" w:hAnsi="Verdana"/>
          <w:color w:val="000000"/>
          <w:sz w:val="20"/>
          <w:szCs w:val="20"/>
          <w:shd w:val="clear" w:color="auto" w:fill="FFFFFF"/>
          <w:lang w:val="es-CR"/>
        </w:rPr>
        <w:t>s</w:t>
      </w:r>
      <w:r w:rsidR="005167AB" w:rsidRPr="00247EC9">
        <w:rPr>
          <w:rFonts w:ascii="Verdana" w:hAnsi="Verdana"/>
          <w:color w:val="000000"/>
          <w:sz w:val="20"/>
          <w:szCs w:val="20"/>
          <w:shd w:val="clear" w:color="auto" w:fill="FFFFFF"/>
          <w:lang w:val="es-CR"/>
        </w:rPr>
        <w:t xml:space="preserve"> por la Comisión Interamericana de Derechos Humanos </w:t>
      </w:r>
      <w:r w:rsidR="005167AB" w:rsidRPr="00247EC9">
        <w:rPr>
          <w:rFonts w:ascii="Verdana" w:hAnsi="Verdana"/>
          <w:sz w:val="20"/>
          <w:szCs w:val="20"/>
          <w:lang w:val="es-CR"/>
        </w:rPr>
        <w:t xml:space="preserve">(en adelante “la Comisión Interamericana” o “la Comisión”) </w:t>
      </w:r>
      <w:r w:rsidR="005167AB" w:rsidRPr="00247EC9">
        <w:rPr>
          <w:rFonts w:ascii="Verdana" w:hAnsi="Verdana"/>
          <w:color w:val="000000"/>
          <w:sz w:val="20"/>
          <w:szCs w:val="20"/>
          <w:shd w:val="clear" w:color="auto" w:fill="FFFFFF"/>
          <w:lang w:val="es-CR"/>
        </w:rPr>
        <w:t xml:space="preserve">en </w:t>
      </w:r>
      <w:r w:rsidR="000C08C0" w:rsidRPr="00247EC9">
        <w:rPr>
          <w:rFonts w:ascii="Verdana" w:hAnsi="Verdana"/>
          <w:color w:val="000000"/>
          <w:sz w:val="20"/>
          <w:szCs w:val="20"/>
          <w:shd w:val="clear" w:color="auto" w:fill="FFFFFF"/>
          <w:lang w:val="es-CR"/>
        </w:rPr>
        <w:t>jul</w:t>
      </w:r>
      <w:r w:rsidR="00FF464A" w:rsidRPr="00247EC9">
        <w:rPr>
          <w:rFonts w:ascii="Verdana" w:hAnsi="Verdana"/>
          <w:color w:val="000000"/>
          <w:sz w:val="20"/>
          <w:szCs w:val="20"/>
          <w:shd w:val="clear" w:color="auto" w:fill="FFFFFF"/>
          <w:lang w:val="es-CR"/>
        </w:rPr>
        <w:t>io y diciembre de 2018</w:t>
      </w:r>
      <w:r w:rsidR="005167AB" w:rsidRPr="00247EC9">
        <w:rPr>
          <w:rFonts w:ascii="Verdana" w:hAnsi="Verdana"/>
          <w:color w:val="000000"/>
          <w:sz w:val="20"/>
          <w:szCs w:val="20"/>
          <w:shd w:val="clear" w:color="auto" w:fill="FFFFFF"/>
          <w:lang w:val="es-CR"/>
        </w:rPr>
        <w:t xml:space="preserve">. </w:t>
      </w:r>
    </w:p>
    <w:p w14:paraId="685A4404" w14:textId="77777777" w:rsidR="00C0057A" w:rsidRPr="00247EC9" w:rsidRDefault="00C0057A" w:rsidP="00C0057A">
      <w:pPr>
        <w:spacing w:before="120" w:after="120" w:line="240" w:lineRule="auto"/>
        <w:jc w:val="both"/>
        <w:rPr>
          <w:rFonts w:ascii="Verdana" w:hAnsi="Verdana"/>
          <w:color w:val="000000"/>
          <w:sz w:val="20"/>
          <w:szCs w:val="20"/>
          <w:shd w:val="clear" w:color="auto" w:fill="FFFFFF"/>
          <w:lang w:val="es-CR"/>
        </w:rPr>
      </w:pPr>
    </w:p>
    <w:p w14:paraId="69F037A0" w14:textId="77777777" w:rsidR="00B77444" w:rsidRPr="00247EC9" w:rsidRDefault="00B77444" w:rsidP="00B77444">
      <w:pPr>
        <w:spacing w:before="120" w:after="120" w:line="240" w:lineRule="auto"/>
        <w:jc w:val="both"/>
        <w:rPr>
          <w:rFonts w:ascii="Verdana" w:hAnsi="Verdana"/>
          <w:b/>
          <w:sz w:val="20"/>
          <w:lang w:val="es-MX"/>
        </w:rPr>
      </w:pPr>
      <w:r w:rsidRPr="00247EC9">
        <w:rPr>
          <w:rFonts w:ascii="Verdana" w:hAnsi="Verdana"/>
          <w:b/>
          <w:sz w:val="20"/>
          <w:szCs w:val="20"/>
          <w:lang w:val="es-CR"/>
        </w:rPr>
        <w:t>C</w:t>
      </w:r>
      <w:r w:rsidRPr="00247EC9">
        <w:rPr>
          <w:rFonts w:ascii="Verdana" w:hAnsi="Verdana"/>
          <w:b/>
          <w:sz w:val="20"/>
          <w:lang w:val="es-MX"/>
        </w:rPr>
        <w:t xml:space="preserve">ONSIDERANDO QUE: </w:t>
      </w:r>
    </w:p>
    <w:p w14:paraId="3F92DDBA" w14:textId="746C715B" w:rsidR="00B77444" w:rsidRPr="00247EC9" w:rsidRDefault="00B77444" w:rsidP="008F12C4">
      <w:pPr>
        <w:numPr>
          <w:ilvl w:val="0"/>
          <w:numId w:val="2"/>
        </w:numPr>
        <w:spacing w:before="120" w:after="120" w:line="240" w:lineRule="auto"/>
        <w:ind w:left="0" w:firstLine="0"/>
        <w:jc w:val="both"/>
        <w:rPr>
          <w:rFonts w:ascii="Verdana" w:hAnsi="Verdana"/>
          <w:sz w:val="20"/>
          <w:lang w:val="es-CR"/>
        </w:rPr>
      </w:pPr>
      <w:r w:rsidRPr="00247EC9">
        <w:rPr>
          <w:rFonts w:ascii="Verdana" w:hAnsi="Verdana"/>
          <w:sz w:val="20"/>
          <w:lang w:val="es-CR"/>
        </w:rPr>
        <w:t xml:space="preserve">En el ejercicio de </w:t>
      </w:r>
      <w:r w:rsidRPr="00247EC9">
        <w:rPr>
          <w:rFonts w:ascii="Verdana" w:hAnsi="Verdana"/>
          <w:sz w:val="20"/>
          <w:lang w:val="es-ES"/>
        </w:rPr>
        <w:t xml:space="preserve">su función jurisdiccional de </w:t>
      </w:r>
      <w:r w:rsidRPr="00247EC9">
        <w:rPr>
          <w:rFonts w:ascii="Verdana" w:hAnsi="Verdana"/>
          <w:sz w:val="20"/>
          <w:lang w:val="es-CR"/>
        </w:rPr>
        <w:t xml:space="preserve">supervisar el cumplimiento de sus </w:t>
      </w:r>
      <w:r w:rsidRPr="00247EC9">
        <w:rPr>
          <w:rFonts w:ascii="Verdana" w:hAnsi="Verdana"/>
          <w:sz w:val="20"/>
          <w:lang w:val="es-ES_tradnl"/>
        </w:rPr>
        <w:t>decisiones</w:t>
      </w:r>
      <w:r w:rsidRPr="00247EC9">
        <w:rPr>
          <w:rFonts w:ascii="Verdana" w:hAnsi="Verdana"/>
          <w:sz w:val="20"/>
          <w:vertAlign w:val="superscript"/>
          <w:lang w:val="es-ES_tradnl"/>
        </w:rPr>
        <w:footnoteReference w:id="6"/>
      </w:r>
      <w:r w:rsidRPr="00247EC9">
        <w:rPr>
          <w:rFonts w:ascii="Verdana" w:hAnsi="Verdana"/>
          <w:sz w:val="20"/>
          <w:lang w:val="es-ES_tradnl"/>
        </w:rPr>
        <w:t xml:space="preserve">, la Corte ha venido supervisando la ejecución de la Sentencia emitida </w:t>
      </w:r>
      <w:r w:rsidRPr="00247EC9">
        <w:rPr>
          <w:rFonts w:ascii="Verdana" w:hAnsi="Verdana"/>
          <w:sz w:val="20"/>
          <w:lang w:val="es-MX"/>
        </w:rPr>
        <w:t xml:space="preserve">en el presente caso en </w:t>
      </w:r>
      <w:r w:rsidR="001A6B93" w:rsidRPr="00247EC9">
        <w:rPr>
          <w:rFonts w:ascii="Verdana" w:hAnsi="Verdana"/>
          <w:sz w:val="20"/>
          <w:lang w:val="es-MX"/>
        </w:rPr>
        <w:t>el</w:t>
      </w:r>
      <w:r w:rsidRPr="00247EC9">
        <w:rPr>
          <w:rFonts w:ascii="Verdana" w:hAnsi="Verdana"/>
          <w:sz w:val="20"/>
          <w:lang w:val="es-MX"/>
        </w:rPr>
        <w:t xml:space="preserve"> </w:t>
      </w:r>
      <w:r w:rsidR="008F12C4" w:rsidRPr="00247EC9">
        <w:rPr>
          <w:rFonts w:ascii="Verdana" w:hAnsi="Verdana"/>
          <w:sz w:val="20"/>
          <w:lang w:val="es-MX"/>
        </w:rPr>
        <w:t>2017</w:t>
      </w:r>
      <w:r w:rsidR="003F04EB" w:rsidRPr="00247EC9">
        <w:rPr>
          <w:rFonts w:ascii="Verdana" w:hAnsi="Verdana"/>
          <w:sz w:val="20"/>
          <w:lang w:val="es-MX"/>
        </w:rPr>
        <w:t xml:space="preserve"> </w:t>
      </w:r>
      <w:r w:rsidR="003F04EB" w:rsidRPr="00247EC9">
        <w:rPr>
          <w:rFonts w:ascii="Verdana" w:hAnsi="Verdana"/>
          <w:sz w:val="20"/>
          <w:szCs w:val="20"/>
          <w:lang w:val="es-CR"/>
        </w:rPr>
        <w:t>(</w:t>
      </w:r>
      <w:r w:rsidR="003F04EB" w:rsidRPr="00247EC9">
        <w:rPr>
          <w:rFonts w:ascii="Verdana" w:hAnsi="Verdana"/>
          <w:i/>
          <w:sz w:val="20"/>
          <w:szCs w:val="20"/>
          <w:lang w:val="es-CR"/>
        </w:rPr>
        <w:t xml:space="preserve">supra </w:t>
      </w:r>
      <w:r w:rsidR="003F04EB" w:rsidRPr="00247EC9">
        <w:rPr>
          <w:rFonts w:ascii="Verdana" w:hAnsi="Verdana"/>
          <w:sz w:val="20"/>
          <w:szCs w:val="20"/>
          <w:lang w:val="es-CR"/>
        </w:rPr>
        <w:t>Visto 1)</w:t>
      </w:r>
      <w:r w:rsidR="00AB47C3" w:rsidRPr="00247EC9">
        <w:rPr>
          <w:rFonts w:ascii="Verdana" w:hAnsi="Verdana"/>
          <w:sz w:val="20"/>
          <w:szCs w:val="20"/>
          <w:lang w:val="es-CR"/>
        </w:rPr>
        <w:t xml:space="preserve">, en la cual </w:t>
      </w:r>
      <w:r w:rsidR="00DB338A" w:rsidRPr="00247EC9">
        <w:rPr>
          <w:rFonts w:ascii="Verdana" w:hAnsi="Verdana"/>
          <w:sz w:val="20"/>
          <w:lang w:val="es-MX"/>
        </w:rPr>
        <w:t>dispuso trece medidas de reparación (</w:t>
      </w:r>
      <w:r w:rsidR="00DB338A" w:rsidRPr="00247EC9">
        <w:rPr>
          <w:rFonts w:ascii="Verdana" w:hAnsi="Verdana"/>
          <w:i/>
          <w:sz w:val="20"/>
          <w:lang w:val="es-MX"/>
        </w:rPr>
        <w:t xml:space="preserve">infra </w:t>
      </w:r>
      <w:r w:rsidR="00DB338A" w:rsidRPr="00247EC9">
        <w:rPr>
          <w:rFonts w:ascii="Verdana" w:hAnsi="Verdana"/>
          <w:sz w:val="20"/>
          <w:lang w:val="es-MX"/>
        </w:rPr>
        <w:t>Considerando 4 y punto resolutivo 2).</w:t>
      </w:r>
    </w:p>
    <w:p w14:paraId="0050F1EE" w14:textId="77777777" w:rsidR="00B77444" w:rsidRPr="00247EC9" w:rsidRDefault="00B77444" w:rsidP="00B77444">
      <w:pPr>
        <w:numPr>
          <w:ilvl w:val="0"/>
          <w:numId w:val="2"/>
        </w:numPr>
        <w:tabs>
          <w:tab w:val="left" w:pos="709"/>
        </w:tabs>
        <w:spacing w:before="120" w:after="120" w:line="240" w:lineRule="auto"/>
        <w:ind w:left="0" w:firstLine="0"/>
        <w:jc w:val="both"/>
        <w:rPr>
          <w:rFonts w:ascii="Verdana" w:hAnsi="Verdana"/>
          <w:color w:val="000000"/>
          <w:sz w:val="20"/>
          <w:szCs w:val="20"/>
          <w:lang w:val="es-MX"/>
        </w:rPr>
      </w:pPr>
      <w:r w:rsidRPr="00247EC9">
        <w:rPr>
          <w:rFonts w:ascii="Verdana" w:hAnsi="Verdana"/>
          <w:sz w:val="20"/>
          <w:szCs w:val="20"/>
          <w:lang w:val="es-CR"/>
        </w:rPr>
        <w:t xml:space="preserve">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w:t>
      </w:r>
      <w:r w:rsidRPr="00247EC9">
        <w:rPr>
          <w:rFonts w:ascii="Verdana" w:hAnsi="Verdana"/>
          <w:sz w:val="20"/>
          <w:szCs w:val="20"/>
          <w:lang w:val="es-ES_tradnl"/>
        </w:rPr>
        <w:t>su conjunto</w:t>
      </w:r>
      <w:r w:rsidR="006B192B" w:rsidRPr="00247EC9">
        <w:rPr>
          <w:rStyle w:val="Refdenotaalpie"/>
          <w:rFonts w:ascii="Verdana" w:hAnsi="Verdana"/>
          <w:sz w:val="20"/>
          <w:szCs w:val="20"/>
          <w:lang w:val="es-ES_tradnl"/>
        </w:rPr>
        <w:footnoteReference w:id="7"/>
      </w:r>
      <w:r w:rsidRPr="00247EC9">
        <w:rPr>
          <w:rFonts w:ascii="Verdana" w:hAnsi="Verdana"/>
          <w:sz w:val="20"/>
          <w:szCs w:val="20"/>
          <w:lang w:val="es-ES_tradnl"/>
        </w:rPr>
        <w:t xml:space="preserve">. </w:t>
      </w:r>
      <w:r w:rsidRPr="00247EC9">
        <w:rPr>
          <w:rFonts w:ascii="Verdana" w:hAnsi="Verdana"/>
          <w:sz w:val="20"/>
          <w:szCs w:val="20"/>
          <w:lang w:val="es-CR"/>
        </w:rPr>
        <w:t>Los Estados Parte en la Convención deben garantizar el cumplimiento de las disposiciones convencionales y sus efectos propios (</w:t>
      </w:r>
      <w:proofErr w:type="spellStart"/>
      <w:r w:rsidRPr="00247EC9">
        <w:rPr>
          <w:rFonts w:ascii="Verdana" w:hAnsi="Verdana"/>
          <w:i/>
          <w:sz w:val="20"/>
          <w:szCs w:val="20"/>
          <w:lang w:val="es-CR"/>
        </w:rPr>
        <w:t>effet</w:t>
      </w:r>
      <w:proofErr w:type="spellEnd"/>
      <w:r w:rsidRPr="00247EC9">
        <w:rPr>
          <w:rFonts w:ascii="Verdana" w:hAnsi="Verdana"/>
          <w:i/>
          <w:sz w:val="20"/>
          <w:szCs w:val="20"/>
          <w:lang w:val="es-CR"/>
        </w:rPr>
        <w:t xml:space="preserve"> </w:t>
      </w:r>
      <w:proofErr w:type="spellStart"/>
      <w:r w:rsidRPr="00247EC9">
        <w:rPr>
          <w:rFonts w:ascii="Verdana" w:hAnsi="Verdana"/>
          <w:i/>
          <w:sz w:val="20"/>
          <w:szCs w:val="20"/>
          <w:lang w:val="es-CR"/>
        </w:rPr>
        <w:t>utile</w:t>
      </w:r>
      <w:proofErr w:type="spellEnd"/>
      <w:r w:rsidRPr="00247EC9">
        <w:rPr>
          <w:rFonts w:ascii="Verdana" w:hAnsi="Verdana"/>
          <w:sz w:val="20"/>
          <w:szCs w:val="20"/>
          <w:lang w:val="es-CR"/>
        </w:rPr>
        <w:t xml:space="preserve">) en el plano de sus respectivos derechos internos. Estas obligaciones deben ser interpretadas y aplicadas de manera que la garantía protegida sea verdaderamente práctica y eficaz, teniendo presente la naturaleza especial de </w:t>
      </w:r>
      <w:r w:rsidRPr="00247EC9">
        <w:rPr>
          <w:rFonts w:ascii="Verdana" w:hAnsi="Verdana"/>
          <w:color w:val="000000"/>
          <w:sz w:val="20"/>
          <w:szCs w:val="20"/>
          <w:lang w:val="es-CR"/>
        </w:rPr>
        <w:t xml:space="preserve">los tratados de derechos </w:t>
      </w:r>
      <w:r w:rsidRPr="00247EC9">
        <w:rPr>
          <w:rFonts w:ascii="Verdana" w:hAnsi="Verdana"/>
          <w:color w:val="000000"/>
          <w:sz w:val="20"/>
          <w:szCs w:val="20"/>
          <w:lang w:val="es-ES"/>
        </w:rPr>
        <w:t>humanos</w:t>
      </w:r>
      <w:r w:rsidR="006B192B" w:rsidRPr="00247EC9">
        <w:rPr>
          <w:rStyle w:val="Refdenotaalpie"/>
          <w:rFonts w:ascii="Verdana" w:hAnsi="Verdana"/>
          <w:color w:val="000000"/>
          <w:sz w:val="20"/>
          <w:szCs w:val="20"/>
          <w:lang w:val="es-ES"/>
        </w:rPr>
        <w:footnoteReference w:id="8"/>
      </w:r>
      <w:r w:rsidRPr="00247EC9">
        <w:rPr>
          <w:rFonts w:ascii="Verdana" w:hAnsi="Verdana"/>
          <w:color w:val="000000"/>
          <w:sz w:val="20"/>
          <w:szCs w:val="20"/>
          <w:lang w:val="es-ES"/>
        </w:rPr>
        <w:t>.</w:t>
      </w:r>
    </w:p>
    <w:p w14:paraId="3C5DE445" w14:textId="20CF7C6F" w:rsidR="00C25213" w:rsidRPr="00247EC9" w:rsidRDefault="0007109E" w:rsidP="0041260D">
      <w:pPr>
        <w:numPr>
          <w:ilvl w:val="0"/>
          <w:numId w:val="2"/>
        </w:numPr>
        <w:tabs>
          <w:tab w:val="left" w:pos="709"/>
        </w:tabs>
        <w:spacing w:before="120" w:after="120" w:line="240" w:lineRule="auto"/>
        <w:ind w:left="0" w:firstLine="0"/>
        <w:jc w:val="both"/>
        <w:rPr>
          <w:rFonts w:ascii="Verdana" w:hAnsi="Verdana"/>
          <w:color w:val="000000"/>
          <w:sz w:val="20"/>
          <w:szCs w:val="20"/>
          <w:lang w:val="es-ES_tradnl"/>
        </w:rPr>
      </w:pPr>
      <w:r w:rsidRPr="00247EC9">
        <w:rPr>
          <w:rFonts w:ascii="Verdana" w:hAnsi="Verdana"/>
          <w:color w:val="000000"/>
          <w:sz w:val="20"/>
          <w:szCs w:val="20"/>
          <w:lang w:val="es-CR"/>
        </w:rPr>
        <w:t>E</w:t>
      </w:r>
      <w:r w:rsidR="00633A2A" w:rsidRPr="00247EC9">
        <w:rPr>
          <w:rFonts w:ascii="Verdana" w:hAnsi="Verdana"/>
          <w:color w:val="000000"/>
          <w:sz w:val="20"/>
          <w:szCs w:val="20"/>
          <w:lang w:val="es-CR"/>
        </w:rPr>
        <w:t xml:space="preserve">n la </w:t>
      </w:r>
      <w:r w:rsidR="00633A2A" w:rsidRPr="00247EC9">
        <w:rPr>
          <w:rFonts w:ascii="Verdana" w:hAnsi="Verdana"/>
          <w:sz w:val="20"/>
          <w:szCs w:val="20"/>
          <w:lang w:val="es-CR"/>
        </w:rPr>
        <w:t>presente</w:t>
      </w:r>
      <w:r w:rsidR="00633A2A" w:rsidRPr="00247EC9">
        <w:rPr>
          <w:rFonts w:ascii="Verdana" w:hAnsi="Verdana"/>
          <w:color w:val="000000"/>
          <w:sz w:val="20"/>
          <w:szCs w:val="20"/>
          <w:lang w:val="es-CR"/>
        </w:rPr>
        <w:t xml:space="preserve"> Resolución, la Corte se pronunciará sobre las medidas relativas a la publicación y difusión de la Sentencia y su resumen oficial,</w:t>
      </w:r>
      <w:r w:rsidR="00BF7AC8" w:rsidRPr="00247EC9">
        <w:rPr>
          <w:rFonts w:ascii="Verdana" w:hAnsi="Verdana"/>
          <w:color w:val="000000"/>
          <w:sz w:val="20"/>
          <w:szCs w:val="20"/>
          <w:lang w:val="es-CR"/>
        </w:rPr>
        <w:t xml:space="preserve"> y </w:t>
      </w:r>
      <w:r w:rsidR="00627555" w:rsidRPr="00247EC9">
        <w:rPr>
          <w:rFonts w:ascii="Verdana" w:hAnsi="Verdana"/>
          <w:color w:val="000000"/>
          <w:sz w:val="20"/>
          <w:szCs w:val="20"/>
          <w:lang w:val="es-CR"/>
        </w:rPr>
        <w:t xml:space="preserve">valorará el cumplimiento de </w:t>
      </w:r>
      <w:r w:rsidR="00C06C15" w:rsidRPr="00247EC9">
        <w:rPr>
          <w:rFonts w:ascii="Verdana" w:hAnsi="Verdana"/>
          <w:color w:val="000000"/>
          <w:sz w:val="20"/>
          <w:szCs w:val="20"/>
          <w:lang w:val="es-CR"/>
        </w:rPr>
        <w:t>las demás</w:t>
      </w:r>
      <w:r w:rsidR="00633A2A" w:rsidRPr="00247EC9">
        <w:rPr>
          <w:rFonts w:ascii="Verdana" w:hAnsi="Verdana"/>
          <w:color w:val="000000"/>
          <w:sz w:val="20"/>
          <w:szCs w:val="20"/>
          <w:lang w:val="es-CR"/>
        </w:rPr>
        <w:t xml:space="preserve"> medidas en una posterior resolución</w:t>
      </w:r>
      <w:r w:rsidR="00FA5EA6" w:rsidRPr="00247EC9">
        <w:rPr>
          <w:rFonts w:ascii="Verdana" w:hAnsi="Verdana"/>
          <w:color w:val="000000"/>
          <w:sz w:val="20"/>
          <w:szCs w:val="20"/>
          <w:lang w:val="es-ES_tradnl"/>
        </w:rPr>
        <w:t>.</w:t>
      </w:r>
    </w:p>
    <w:p w14:paraId="349A716E" w14:textId="5749C381" w:rsidR="007C290D" w:rsidRPr="00247EC9" w:rsidRDefault="00BF7AC8" w:rsidP="00344AE5">
      <w:pPr>
        <w:tabs>
          <w:tab w:val="left" w:pos="709"/>
        </w:tabs>
        <w:spacing w:before="100" w:beforeAutospacing="1" w:after="100" w:afterAutospacing="1" w:line="240" w:lineRule="auto"/>
        <w:jc w:val="both"/>
        <w:rPr>
          <w:rFonts w:ascii="Verdana" w:hAnsi="Verdana"/>
          <w:i/>
          <w:color w:val="000000"/>
          <w:sz w:val="20"/>
          <w:szCs w:val="20"/>
          <w:lang w:val="es-ES_tradnl"/>
        </w:rPr>
      </w:pPr>
      <w:r w:rsidRPr="00247EC9">
        <w:rPr>
          <w:rFonts w:ascii="Verdana" w:hAnsi="Verdana"/>
          <w:i/>
          <w:color w:val="000000"/>
          <w:sz w:val="20"/>
          <w:szCs w:val="20"/>
          <w:lang w:val="es-ES_tradnl"/>
        </w:rPr>
        <w:tab/>
      </w:r>
      <w:r w:rsidR="007C290D" w:rsidRPr="00247EC9">
        <w:rPr>
          <w:rFonts w:ascii="Verdana" w:hAnsi="Verdana"/>
          <w:i/>
          <w:color w:val="000000"/>
          <w:sz w:val="20"/>
          <w:szCs w:val="20"/>
          <w:lang w:val="es-ES_tradnl"/>
        </w:rPr>
        <w:t>A. Medidas ordenadas por la Corte</w:t>
      </w:r>
    </w:p>
    <w:p w14:paraId="23FE576A" w14:textId="02CD7CFB" w:rsidR="007C290D" w:rsidRPr="005C7D4F" w:rsidRDefault="007C290D" w:rsidP="005C7D4F">
      <w:pPr>
        <w:numPr>
          <w:ilvl w:val="0"/>
          <w:numId w:val="2"/>
        </w:numPr>
        <w:tabs>
          <w:tab w:val="left" w:pos="709"/>
        </w:tabs>
        <w:spacing w:before="120" w:after="120" w:line="240" w:lineRule="auto"/>
        <w:ind w:left="0" w:firstLine="0"/>
        <w:jc w:val="both"/>
        <w:rPr>
          <w:rFonts w:ascii="Verdana" w:hAnsi="Verdana"/>
          <w:strike/>
          <w:color w:val="000000"/>
          <w:sz w:val="20"/>
          <w:szCs w:val="20"/>
          <w:lang w:val="es-ES_tradnl"/>
        </w:rPr>
      </w:pPr>
      <w:r w:rsidRPr="00247EC9">
        <w:rPr>
          <w:rFonts w:ascii="Verdana" w:hAnsi="Verdana"/>
          <w:color w:val="000000"/>
          <w:sz w:val="20"/>
          <w:szCs w:val="20"/>
          <w:lang w:val="es-ES_tradnl"/>
        </w:rPr>
        <w:t xml:space="preserve">En el punto </w:t>
      </w:r>
      <w:r w:rsidR="001813B2" w:rsidRPr="005C7D4F">
        <w:rPr>
          <w:rFonts w:ascii="Verdana" w:hAnsi="Verdana"/>
          <w:sz w:val="20"/>
          <w:szCs w:val="20"/>
          <w:lang w:val="es-CR"/>
        </w:rPr>
        <w:t>resolutivo</w:t>
      </w:r>
      <w:r w:rsidR="001813B2" w:rsidRPr="00247EC9">
        <w:rPr>
          <w:rFonts w:ascii="Verdana" w:hAnsi="Verdana"/>
          <w:color w:val="000000"/>
          <w:sz w:val="20"/>
          <w:szCs w:val="20"/>
          <w:lang w:val="es-ES_tradnl"/>
        </w:rPr>
        <w:t xml:space="preserve"> </w:t>
      </w:r>
      <w:r w:rsidRPr="00247EC9">
        <w:rPr>
          <w:rFonts w:ascii="Verdana" w:hAnsi="Verdana"/>
          <w:color w:val="000000"/>
          <w:sz w:val="20"/>
          <w:szCs w:val="20"/>
          <w:lang w:val="es-ES_tradnl"/>
        </w:rPr>
        <w:t xml:space="preserve">décimo </w:t>
      </w:r>
      <w:r w:rsidR="00D706BF" w:rsidRPr="00247EC9">
        <w:rPr>
          <w:rFonts w:ascii="Verdana" w:hAnsi="Verdana"/>
          <w:color w:val="000000"/>
          <w:sz w:val="20"/>
          <w:szCs w:val="20"/>
          <w:lang w:val="es-ES_tradnl"/>
        </w:rPr>
        <w:t>tercero</w:t>
      </w:r>
      <w:r w:rsidR="00244473" w:rsidRPr="00247EC9">
        <w:rPr>
          <w:rFonts w:ascii="Verdana" w:hAnsi="Verdana"/>
          <w:color w:val="000000"/>
          <w:sz w:val="20"/>
          <w:szCs w:val="20"/>
          <w:lang w:val="es-ES_tradnl"/>
        </w:rPr>
        <w:t xml:space="preserve"> y en el párrafo 300</w:t>
      </w:r>
      <w:r w:rsidRPr="00247EC9">
        <w:rPr>
          <w:rFonts w:ascii="Verdana" w:hAnsi="Verdana"/>
          <w:color w:val="000000"/>
          <w:sz w:val="20"/>
          <w:szCs w:val="20"/>
          <w:lang w:val="es-ES_tradnl"/>
        </w:rPr>
        <w:t xml:space="preserve"> de la Sentencia, la Corte dispuso que</w:t>
      </w:r>
      <w:r w:rsidR="00244473" w:rsidRPr="00247EC9">
        <w:rPr>
          <w:rFonts w:ascii="Verdana" w:hAnsi="Verdana"/>
          <w:color w:val="000000"/>
          <w:sz w:val="20"/>
          <w:szCs w:val="20"/>
          <w:lang w:val="es-ES_tradnl"/>
        </w:rPr>
        <w:t xml:space="preserve"> el Estado deb</w:t>
      </w:r>
      <w:r w:rsidR="00BF7AC8" w:rsidRPr="00247EC9">
        <w:rPr>
          <w:rFonts w:ascii="Verdana" w:hAnsi="Verdana"/>
          <w:color w:val="000000"/>
          <w:sz w:val="20"/>
          <w:szCs w:val="20"/>
          <w:lang w:val="es-ES_tradnl"/>
        </w:rPr>
        <w:t>ía</w:t>
      </w:r>
      <w:r w:rsidR="005C7D4F">
        <w:rPr>
          <w:rFonts w:ascii="Verdana" w:hAnsi="Verdana"/>
          <w:color w:val="000000"/>
          <w:sz w:val="20"/>
          <w:szCs w:val="20"/>
          <w:lang w:val="es-ES_tradnl"/>
        </w:rPr>
        <w:t>, en el plazo de seis meses</w:t>
      </w:r>
      <w:r w:rsidR="00244473" w:rsidRPr="00247EC9">
        <w:rPr>
          <w:rFonts w:ascii="Verdana" w:hAnsi="Verdana"/>
          <w:color w:val="000000"/>
          <w:sz w:val="20"/>
          <w:szCs w:val="20"/>
          <w:lang w:val="es-ES_tradnl"/>
        </w:rPr>
        <w:t xml:space="preserve"> contado a partir de </w:t>
      </w:r>
      <w:r w:rsidR="005C7D4F">
        <w:rPr>
          <w:rFonts w:ascii="Verdana" w:hAnsi="Verdana"/>
          <w:color w:val="000000"/>
          <w:sz w:val="20"/>
          <w:szCs w:val="20"/>
          <w:lang w:val="es-ES_tradnl"/>
        </w:rPr>
        <w:t>la notificación del Fallo: i)</w:t>
      </w:r>
      <w:r w:rsidR="00244473" w:rsidRPr="00247EC9">
        <w:rPr>
          <w:rFonts w:ascii="Verdana" w:hAnsi="Verdana"/>
          <w:color w:val="000000"/>
          <w:sz w:val="20"/>
          <w:szCs w:val="20"/>
          <w:lang w:val="es-ES_tradnl"/>
        </w:rPr>
        <w:t xml:space="preserve"> </w:t>
      </w:r>
      <w:r w:rsidR="00FD5BC3" w:rsidRPr="00FD5BC3">
        <w:rPr>
          <w:rFonts w:ascii="Verdana" w:hAnsi="Verdana"/>
          <w:color w:val="000000"/>
          <w:sz w:val="20"/>
          <w:szCs w:val="20"/>
          <w:lang w:val="es-ES_tradnl"/>
        </w:rPr>
        <w:t xml:space="preserve">publicar </w:t>
      </w:r>
      <w:r w:rsidR="00002440" w:rsidRPr="00247EC9">
        <w:rPr>
          <w:rFonts w:ascii="Verdana" w:hAnsi="Verdana"/>
          <w:color w:val="000000"/>
          <w:sz w:val="20"/>
          <w:szCs w:val="20"/>
          <w:lang w:val="es-ES_tradnl"/>
        </w:rPr>
        <w:t xml:space="preserve">el resumen oficial de la Sentencia </w:t>
      </w:r>
      <w:r w:rsidR="00176771" w:rsidRPr="00247EC9">
        <w:rPr>
          <w:rFonts w:ascii="Verdana" w:hAnsi="Verdana"/>
          <w:color w:val="000000"/>
          <w:sz w:val="20"/>
          <w:szCs w:val="20"/>
          <w:lang w:val="es-ES_tradnl"/>
        </w:rPr>
        <w:t xml:space="preserve">en el Diario Oficial y en un diario de amplia circulación nacional, </w:t>
      </w:r>
      <w:r w:rsidR="00244473" w:rsidRPr="00247EC9">
        <w:rPr>
          <w:rFonts w:ascii="Verdana" w:hAnsi="Verdana"/>
          <w:color w:val="000000"/>
          <w:sz w:val="20"/>
          <w:szCs w:val="20"/>
          <w:lang w:val="es-ES_tradnl"/>
        </w:rPr>
        <w:t xml:space="preserve">por una sola vez, </w:t>
      </w:r>
      <w:r w:rsidR="00176771" w:rsidRPr="00247EC9">
        <w:rPr>
          <w:rFonts w:ascii="Verdana" w:hAnsi="Verdana"/>
          <w:color w:val="000000"/>
          <w:sz w:val="20"/>
          <w:szCs w:val="20"/>
          <w:lang w:val="es-ES_tradnl"/>
        </w:rPr>
        <w:t xml:space="preserve">con un tamaño de letra legible y adecuado, y </w:t>
      </w:r>
      <w:proofErr w:type="spellStart"/>
      <w:r w:rsidR="00176771" w:rsidRPr="00247EC9">
        <w:rPr>
          <w:rFonts w:ascii="Verdana" w:hAnsi="Verdana"/>
          <w:color w:val="000000"/>
          <w:sz w:val="20"/>
          <w:szCs w:val="20"/>
          <w:lang w:val="es-ES_tradnl"/>
        </w:rPr>
        <w:t>ii</w:t>
      </w:r>
      <w:proofErr w:type="spellEnd"/>
      <w:r w:rsidR="00244473" w:rsidRPr="00247EC9">
        <w:rPr>
          <w:rFonts w:ascii="Verdana" w:hAnsi="Verdana"/>
          <w:color w:val="000000"/>
          <w:sz w:val="20"/>
          <w:szCs w:val="20"/>
          <w:lang w:val="es-ES_tradnl"/>
        </w:rPr>
        <w:t xml:space="preserve">) </w:t>
      </w:r>
      <w:r w:rsidR="00FD5BC3" w:rsidRPr="00FD5BC3">
        <w:rPr>
          <w:rFonts w:ascii="Verdana" w:hAnsi="Verdana"/>
          <w:color w:val="000000"/>
          <w:sz w:val="20"/>
          <w:szCs w:val="20"/>
          <w:lang w:val="es-ES_tradnl"/>
        </w:rPr>
        <w:t xml:space="preserve">publicar </w:t>
      </w:r>
      <w:r w:rsidR="00244473" w:rsidRPr="00247EC9">
        <w:rPr>
          <w:rFonts w:ascii="Verdana" w:hAnsi="Verdana"/>
          <w:color w:val="000000"/>
          <w:sz w:val="20"/>
          <w:szCs w:val="20"/>
          <w:lang w:val="es-ES_tradnl"/>
        </w:rPr>
        <w:t>el resumen oficial de la Sentencia y la Sentencia en su integridad, disponible</w:t>
      </w:r>
      <w:r w:rsidR="00BF7AC8" w:rsidRPr="00247EC9">
        <w:rPr>
          <w:rFonts w:ascii="Verdana" w:hAnsi="Verdana"/>
          <w:color w:val="000000"/>
          <w:sz w:val="20"/>
          <w:szCs w:val="20"/>
          <w:lang w:val="es-ES_tradnl"/>
        </w:rPr>
        <w:t>s</w:t>
      </w:r>
      <w:r w:rsidR="00244473" w:rsidRPr="00247EC9">
        <w:rPr>
          <w:rFonts w:ascii="Verdana" w:hAnsi="Verdana"/>
          <w:color w:val="000000"/>
          <w:sz w:val="20"/>
          <w:szCs w:val="20"/>
          <w:lang w:val="es-ES_tradnl"/>
        </w:rPr>
        <w:t xml:space="preserve"> por un período de tres años, en un sitio </w:t>
      </w:r>
      <w:r w:rsidR="00244473" w:rsidRPr="00247EC9">
        <w:rPr>
          <w:rFonts w:ascii="Verdana" w:hAnsi="Verdana"/>
          <w:i/>
          <w:color w:val="000000"/>
          <w:sz w:val="20"/>
          <w:szCs w:val="20"/>
          <w:lang w:val="es-ES_tradnl"/>
        </w:rPr>
        <w:t>web</w:t>
      </w:r>
      <w:r w:rsidR="00244473" w:rsidRPr="00247EC9">
        <w:rPr>
          <w:rFonts w:ascii="Verdana" w:hAnsi="Verdana"/>
          <w:color w:val="000000"/>
          <w:sz w:val="20"/>
          <w:szCs w:val="20"/>
          <w:lang w:val="es-ES_tradnl"/>
        </w:rPr>
        <w:t xml:space="preserve"> oficial del gobierno federal, en el sitio </w:t>
      </w:r>
      <w:r w:rsidR="00244473" w:rsidRPr="00247EC9">
        <w:rPr>
          <w:rFonts w:ascii="Verdana" w:hAnsi="Verdana"/>
          <w:i/>
          <w:color w:val="000000"/>
          <w:sz w:val="20"/>
          <w:szCs w:val="20"/>
          <w:lang w:val="es-ES_tradnl"/>
        </w:rPr>
        <w:t>web</w:t>
      </w:r>
      <w:r w:rsidR="00244473" w:rsidRPr="00247EC9">
        <w:rPr>
          <w:rFonts w:ascii="Verdana" w:hAnsi="Verdana"/>
          <w:color w:val="000000"/>
          <w:sz w:val="20"/>
          <w:szCs w:val="20"/>
          <w:lang w:val="es-ES_tradnl"/>
        </w:rPr>
        <w:t xml:space="preserve"> oficial del Gobierno del Estado de Río de Janeiro, y en la página </w:t>
      </w:r>
      <w:r w:rsidR="00244473" w:rsidRPr="00247EC9">
        <w:rPr>
          <w:rFonts w:ascii="Verdana" w:hAnsi="Verdana"/>
          <w:i/>
          <w:color w:val="000000"/>
          <w:sz w:val="20"/>
          <w:szCs w:val="20"/>
          <w:lang w:val="es-ES_tradnl"/>
        </w:rPr>
        <w:t>web</w:t>
      </w:r>
      <w:r w:rsidR="00244473" w:rsidRPr="00247EC9">
        <w:rPr>
          <w:rFonts w:ascii="Verdana" w:hAnsi="Verdana"/>
          <w:color w:val="000000"/>
          <w:sz w:val="20"/>
          <w:szCs w:val="20"/>
          <w:lang w:val="es-ES_tradnl"/>
        </w:rPr>
        <w:t xml:space="preserve"> de la Policía Civil del Estado de Río de Janeiro. Asimismo, </w:t>
      </w:r>
      <w:r w:rsidR="00AB1DCC" w:rsidRPr="005B3C65">
        <w:rPr>
          <w:rFonts w:ascii="Verdana" w:hAnsi="Verdana"/>
          <w:color w:val="000000"/>
          <w:sz w:val="20"/>
          <w:szCs w:val="20"/>
          <w:lang w:val="es-AR"/>
        </w:rPr>
        <w:t>en atención a la propuesta realizada por el Estado,</w:t>
      </w:r>
      <w:r w:rsidR="00AB1DCC" w:rsidRPr="00A260EB">
        <w:rPr>
          <w:rFonts w:ascii="Verdana" w:hAnsi="Verdana"/>
          <w:color w:val="000000"/>
          <w:sz w:val="20"/>
          <w:szCs w:val="20"/>
          <w:lang w:val="es-ES_tradnl"/>
        </w:rPr>
        <w:t xml:space="preserve"> </w:t>
      </w:r>
      <w:r w:rsidR="00FD5BC3">
        <w:rPr>
          <w:rFonts w:ascii="Verdana" w:hAnsi="Verdana"/>
          <w:color w:val="000000"/>
          <w:sz w:val="20"/>
          <w:szCs w:val="20"/>
          <w:lang w:val="es-ES_tradnl"/>
        </w:rPr>
        <w:t xml:space="preserve">el Tribunal </w:t>
      </w:r>
      <w:r w:rsidR="00BF7AC8" w:rsidRPr="00A260EB">
        <w:rPr>
          <w:rFonts w:ascii="Verdana" w:hAnsi="Verdana"/>
          <w:color w:val="000000"/>
          <w:sz w:val="20"/>
          <w:szCs w:val="20"/>
          <w:lang w:val="es-ES_tradnl"/>
        </w:rPr>
        <w:t>determinó que</w:t>
      </w:r>
      <w:r w:rsidR="00244473" w:rsidRPr="00A260EB">
        <w:rPr>
          <w:rFonts w:ascii="Verdana" w:hAnsi="Verdana"/>
          <w:color w:val="000000"/>
          <w:sz w:val="20"/>
          <w:szCs w:val="20"/>
          <w:lang w:val="es-ES_tradnl"/>
        </w:rPr>
        <w:t xml:space="preserve"> las cuentas de</w:t>
      </w:r>
      <w:r w:rsidR="00091678">
        <w:rPr>
          <w:rFonts w:ascii="Verdana" w:hAnsi="Verdana"/>
          <w:color w:val="000000"/>
          <w:sz w:val="20"/>
          <w:szCs w:val="20"/>
          <w:lang w:val="es-ES_tradnl"/>
        </w:rPr>
        <w:t xml:space="preserve"> las</w:t>
      </w:r>
      <w:r w:rsidR="00244473" w:rsidRPr="00A260EB">
        <w:rPr>
          <w:rFonts w:ascii="Verdana" w:hAnsi="Verdana"/>
          <w:color w:val="000000"/>
          <w:sz w:val="20"/>
          <w:szCs w:val="20"/>
          <w:lang w:val="es-ES_tradnl"/>
        </w:rPr>
        <w:t xml:space="preserve"> redes sociales Twitter y Facebook de la </w:t>
      </w:r>
      <w:proofErr w:type="spellStart"/>
      <w:r w:rsidR="00244473" w:rsidRPr="00A260EB">
        <w:rPr>
          <w:rFonts w:ascii="Verdana" w:hAnsi="Verdana"/>
          <w:color w:val="000000"/>
          <w:sz w:val="20"/>
          <w:szCs w:val="20"/>
          <w:lang w:val="es-ES_tradnl"/>
        </w:rPr>
        <w:t>Secretaría</w:t>
      </w:r>
      <w:proofErr w:type="spellEnd"/>
      <w:r w:rsidR="00244473" w:rsidRPr="00A260EB">
        <w:rPr>
          <w:rFonts w:ascii="Verdana" w:hAnsi="Verdana"/>
          <w:color w:val="000000"/>
          <w:sz w:val="20"/>
          <w:szCs w:val="20"/>
          <w:lang w:val="es-ES_tradnl"/>
        </w:rPr>
        <w:t xml:space="preserve"> Especial de Derechos Humanos del Ministerio de Justicia, del Ministerio de Relaciones Exteriores, de la </w:t>
      </w:r>
      <w:proofErr w:type="spellStart"/>
      <w:r w:rsidR="00244473" w:rsidRPr="00A260EB">
        <w:rPr>
          <w:rFonts w:ascii="Verdana" w:hAnsi="Verdana"/>
          <w:color w:val="000000"/>
          <w:sz w:val="20"/>
          <w:szCs w:val="20"/>
          <w:lang w:val="es-ES_tradnl"/>
        </w:rPr>
        <w:t>Policía</w:t>
      </w:r>
      <w:proofErr w:type="spellEnd"/>
      <w:r w:rsidR="00244473" w:rsidRPr="00A260EB">
        <w:rPr>
          <w:rFonts w:ascii="Verdana" w:hAnsi="Verdana"/>
          <w:color w:val="000000"/>
          <w:sz w:val="20"/>
          <w:szCs w:val="20"/>
          <w:lang w:val="es-ES_tradnl"/>
        </w:rPr>
        <w:t xml:space="preserve"> Civil del Estado de </w:t>
      </w:r>
      <w:proofErr w:type="spellStart"/>
      <w:r w:rsidR="00244473" w:rsidRPr="00A260EB">
        <w:rPr>
          <w:rFonts w:ascii="Verdana" w:hAnsi="Verdana"/>
          <w:color w:val="000000"/>
          <w:sz w:val="20"/>
          <w:szCs w:val="20"/>
          <w:lang w:val="es-ES_tradnl"/>
        </w:rPr>
        <w:t>Río</w:t>
      </w:r>
      <w:proofErr w:type="spellEnd"/>
      <w:r w:rsidR="00244473" w:rsidRPr="00A260EB">
        <w:rPr>
          <w:rFonts w:ascii="Verdana" w:hAnsi="Verdana"/>
          <w:color w:val="000000"/>
          <w:sz w:val="20"/>
          <w:szCs w:val="20"/>
          <w:lang w:val="es-ES_tradnl"/>
        </w:rPr>
        <w:t xml:space="preserve"> de Janeiro, de la </w:t>
      </w:r>
      <w:proofErr w:type="spellStart"/>
      <w:r w:rsidR="00244473" w:rsidRPr="00A260EB">
        <w:rPr>
          <w:rFonts w:ascii="Verdana" w:hAnsi="Verdana"/>
          <w:color w:val="000000"/>
          <w:sz w:val="20"/>
          <w:szCs w:val="20"/>
          <w:lang w:val="es-ES_tradnl"/>
        </w:rPr>
        <w:t>Secretaría</w:t>
      </w:r>
      <w:proofErr w:type="spellEnd"/>
      <w:r w:rsidR="00244473" w:rsidRPr="00A260EB">
        <w:rPr>
          <w:rFonts w:ascii="Verdana" w:hAnsi="Verdana"/>
          <w:color w:val="000000"/>
          <w:sz w:val="20"/>
          <w:szCs w:val="20"/>
          <w:lang w:val="es-ES_tradnl"/>
        </w:rPr>
        <w:t xml:space="preserve"> de Seguridad </w:t>
      </w:r>
      <w:proofErr w:type="spellStart"/>
      <w:r w:rsidR="00244473" w:rsidRPr="00A260EB">
        <w:rPr>
          <w:rFonts w:ascii="Verdana" w:hAnsi="Verdana"/>
          <w:color w:val="000000"/>
          <w:sz w:val="20"/>
          <w:szCs w:val="20"/>
          <w:lang w:val="es-ES_tradnl"/>
        </w:rPr>
        <w:t>Pública</w:t>
      </w:r>
      <w:proofErr w:type="spellEnd"/>
      <w:r w:rsidR="00244473" w:rsidRPr="00A260EB">
        <w:rPr>
          <w:rFonts w:ascii="Verdana" w:hAnsi="Verdana"/>
          <w:color w:val="000000"/>
          <w:sz w:val="20"/>
          <w:szCs w:val="20"/>
          <w:lang w:val="es-ES_tradnl"/>
        </w:rPr>
        <w:t xml:space="preserve"> del Estado de </w:t>
      </w:r>
      <w:proofErr w:type="spellStart"/>
      <w:r w:rsidR="00244473" w:rsidRPr="00A260EB">
        <w:rPr>
          <w:rFonts w:ascii="Verdana" w:hAnsi="Verdana"/>
          <w:color w:val="000000"/>
          <w:sz w:val="20"/>
          <w:szCs w:val="20"/>
          <w:lang w:val="es-ES_tradnl"/>
        </w:rPr>
        <w:t>Río</w:t>
      </w:r>
      <w:proofErr w:type="spellEnd"/>
      <w:r w:rsidR="00244473" w:rsidRPr="00A260EB">
        <w:rPr>
          <w:rFonts w:ascii="Verdana" w:hAnsi="Verdana"/>
          <w:color w:val="000000"/>
          <w:sz w:val="20"/>
          <w:szCs w:val="20"/>
          <w:lang w:val="es-ES_tradnl"/>
        </w:rPr>
        <w:t xml:space="preserve"> de Janeiro y del Gobierno del Estado de </w:t>
      </w:r>
      <w:proofErr w:type="spellStart"/>
      <w:r w:rsidR="00244473" w:rsidRPr="00A260EB">
        <w:rPr>
          <w:rFonts w:ascii="Verdana" w:hAnsi="Verdana"/>
          <w:color w:val="000000"/>
          <w:sz w:val="20"/>
          <w:szCs w:val="20"/>
          <w:lang w:val="es-ES_tradnl"/>
        </w:rPr>
        <w:t>Río</w:t>
      </w:r>
      <w:proofErr w:type="spellEnd"/>
      <w:r w:rsidR="00244473" w:rsidRPr="00A260EB">
        <w:rPr>
          <w:rFonts w:ascii="Verdana" w:hAnsi="Verdana"/>
          <w:color w:val="000000"/>
          <w:sz w:val="20"/>
          <w:szCs w:val="20"/>
          <w:lang w:val="es-ES_tradnl"/>
        </w:rPr>
        <w:t xml:space="preserve"> de Janeiro, deb</w:t>
      </w:r>
      <w:r w:rsidR="00BF7AC8" w:rsidRPr="00A260EB">
        <w:rPr>
          <w:rFonts w:ascii="Verdana" w:hAnsi="Verdana"/>
          <w:color w:val="000000"/>
          <w:sz w:val="20"/>
          <w:szCs w:val="20"/>
          <w:lang w:val="es-ES_tradnl"/>
        </w:rPr>
        <w:t>ían</w:t>
      </w:r>
      <w:r w:rsidR="00244473" w:rsidRPr="00A260EB">
        <w:rPr>
          <w:rFonts w:ascii="Verdana" w:hAnsi="Verdana"/>
          <w:color w:val="000000"/>
          <w:sz w:val="20"/>
          <w:szCs w:val="20"/>
          <w:lang w:val="es-ES_tradnl"/>
        </w:rPr>
        <w:t xml:space="preserve"> </w:t>
      </w:r>
      <w:r w:rsidR="00BF7AC8" w:rsidRPr="00A260EB">
        <w:rPr>
          <w:rFonts w:ascii="Verdana" w:hAnsi="Verdana"/>
          <w:color w:val="000000"/>
          <w:sz w:val="20"/>
          <w:szCs w:val="20"/>
          <w:lang w:val="es-ES_tradnl"/>
        </w:rPr>
        <w:t>“</w:t>
      </w:r>
      <w:r w:rsidR="00244473" w:rsidRPr="00A260EB">
        <w:rPr>
          <w:rFonts w:ascii="Verdana" w:hAnsi="Verdana"/>
          <w:color w:val="000000"/>
          <w:sz w:val="20"/>
          <w:szCs w:val="20"/>
          <w:lang w:val="es-ES_tradnl"/>
        </w:rPr>
        <w:t xml:space="preserve">promover la </w:t>
      </w:r>
      <w:proofErr w:type="spellStart"/>
      <w:r w:rsidR="00244473" w:rsidRPr="00A260EB">
        <w:rPr>
          <w:rFonts w:ascii="Verdana" w:hAnsi="Verdana"/>
          <w:color w:val="000000"/>
          <w:sz w:val="20"/>
          <w:szCs w:val="20"/>
          <w:lang w:val="es-ES_tradnl"/>
        </w:rPr>
        <w:t>página</w:t>
      </w:r>
      <w:proofErr w:type="spellEnd"/>
      <w:r w:rsidR="00244473" w:rsidRPr="00A260EB">
        <w:rPr>
          <w:rFonts w:ascii="Verdana" w:hAnsi="Verdana"/>
          <w:color w:val="000000"/>
          <w:sz w:val="20"/>
          <w:szCs w:val="20"/>
          <w:lang w:val="es-ES_tradnl"/>
        </w:rPr>
        <w:t xml:space="preserve"> </w:t>
      </w:r>
      <w:r w:rsidR="00244473" w:rsidRPr="00A260EB">
        <w:rPr>
          <w:rFonts w:ascii="Verdana" w:hAnsi="Verdana"/>
          <w:i/>
          <w:color w:val="000000"/>
          <w:sz w:val="20"/>
          <w:szCs w:val="20"/>
          <w:lang w:val="es-ES_tradnl"/>
        </w:rPr>
        <w:t>web</w:t>
      </w:r>
      <w:r w:rsidR="00244473" w:rsidRPr="00A260EB">
        <w:rPr>
          <w:rFonts w:ascii="Verdana" w:hAnsi="Verdana"/>
          <w:color w:val="000000"/>
          <w:sz w:val="20"/>
          <w:szCs w:val="20"/>
          <w:lang w:val="es-ES_tradnl"/>
        </w:rPr>
        <w:t xml:space="preserve"> </w:t>
      </w:r>
      <w:r w:rsidR="00244473" w:rsidRPr="00A260EB">
        <w:rPr>
          <w:rFonts w:ascii="Verdana" w:hAnsi="Verdana"/>
          <w:color w:val="000000"/>
          <w:sz w:val="20"/>
          <w:szCs w:val="20"/>
          <w:lang w:val="es-ES_tradnl"/>
        </w:rPr>
        <w:lastRenderedPageBreak/>
        <w:t>donde se ubique la Sentencia y su Resumen por medio de un post se</w:t>
      </w:r>
      <w:r w:rsidR="00425B5C" w:rsidRPr="00A260EB">
        <w:rPr>
          <w:rFonts w:ascii="Verdana" w:hAnsi="Verdana"/>
          <w:color w:val="000000"/>
          <w:sz w:val="20"/>
          <w:szCs w:val="20"/>
          <w:lang w:val="es-ES_tradnl"/>
        </w:rPr>
        <w:t>manal durante un plazo de 1 año</w:t>
      </w:r>
      <w:r w:rsidR="00244473" w:rsidRPr="00A260EB">
        <w:rPr>
          <w:rFonts w:ascii="Verdana" w:hAnsi="Verdana"/>
          <w:color w:val="000000"/>
          <w:sz w:val="20"/>
          <w:szCs w:val="20"/>
          <w:lang w:val="es-ES_tradnl"/>
        </w:rPr>
        <w:t>”</w:t>
      </w:r>
      <w:r w:rsidR="00425B5C" w:rsidRPr="00A260EB">
        <w:rPr>
          <w:rFonts w:ascii="Verdana" w:hAnsi="Verdana"/>
          <w:color w:val="000000"/>
          <w:sz w:val="20"/>
          <w:szCs w:val="20"/>
          <w:lang w:val="es-ES_tradnl"/>
        </w:rPr>
        <w:t>.</w:t>
      </w:r>
    </w:p>
    <w:p w14:paraId="6F6C37CD" w14:textId="4A8A8DBA" w:rsidR="00344AE5" w:rsidRPr="00A260EB" w:rsidRDefault="00BF7AC8" w:rsidP="00344AE5">
      <w:pPr>
        <w:tabs>
          <w:tab w:val="left" w:pos="709"/>
        </w:tabs>
        <w:spacing w:before="100" w:beforeAutospacing="1" w:after="100" w:afterAutospacing="1" w:line="240" w:lineRule="auto"/>
        <w:jc w:val="both"/>
        <w:rPr>
          <w:rFonts w:ascii="Verdana" w:hAnsi="Verdana"/>
          <w:i/>
          <w:color w:val="000000"/>
          <w:sz w:val="20"/>
          <w:szCs w:val="20"/>
          <w:lang w:val="es-ES_tradnl"/>
        </w:rPr>
      </w:pPr>
      <w:r w:rsidRPr="00A260EB">
        <w:rPr>
          <w:rFonts w:ascii="Verdana" w:hAnsi="Verdana"/>
          <w:i/>
          <w:color w:val="000000"/>
          <w:sz w:val="20"/>
          <w:szCs w:val="20"/>
          <w:lang w:val="es-ES_tradnl"/>
        </w:rPr>
        <w:tab/>
      </w:r>
      <w:r w:rsidR="00D47DFB">
        <w:rPr>
          <w:rFonts w:ascii="Verdana" w:hAnsi="Verdana"/>
          <w:i/>
          <w:color w:val="000000"/>
          <w:sz w:val="20"/>
          <w:szCs w:val="20"/>
          <w:lang w:val="es-ES_tradnl"/>
        </w:rPr>
        <w:t xml:space="preserve">B. </w:t>
      </w:r>
      <w:r w:rsidR="00344AE5" w:rsidRPr="00A260EB">
        <w:rPr>
          <w:rFonts w:ascii="Verdana" w:hAnsi="Verdana"/>
          <w:i/>
          <w:color w:val="000000"/>
          <w:sz w:val="20"/>
          <w:szCs w:val="20"/>
          <w:lang w:val="es-ES_tradnl"/>
        </w:rPr>
        <w:t>Consideraciones de la Corte</w:t>
      </w:r>
    </w:p>
    <w:p w14:paraId="25A59974" w14:textId="534E2748" w:rsidR="00176771" w:rsidRPr="00A260EB" w:rsidRDefault="00425B5C" w:rsidP="0041260D">
      <w:pPr>
        <w:numPr>
          <w:ilvl w:val="0"/>
          <w:numId w:val="2"/>
        </w:numPr>
        <w:tabs>
          <w:tab w:val="left" w:pos="709"/>
        </w:tabs>
        <w:spacing w:before="120" w:after="120" w:line="240" w:lineRule="auto"/>
        <w:ind w:left="0" w:firstLine="0"/>
        <w:jc w:val="both"/>
        <w:rPr>
          <w:rFonts w:ascii="Verdana" w:hAnsi="Verdana"/>
          <w:color w:val="000000"/>
          <w:sz w:val="20"/>
          <w:szCs w:val="20"/>
          <w:lang w:val="es-ES_tradnl"/>
        </w:rPr>
      </w:pPr>
      <w:r w:rsidRPr="00A260EB">
        <w:rPr>
          <w:rFonts w:ascii="Verdana" w:hAnsi="Verdana"/>
          <w:color w:val="000000"/>
          <w:sz w:val="20"/>
          <w:szCs w:val="20"/>
          <w:lang w:val="es-CR"/>
        </w:rPr>
        <w:t xml:space="preserve">La Corte ha </w:t>
      </w:r>
      <w:r w:rsidRPr="00A260EB">
        <w:rPr>
          <w:rFonts w:ascii="Verdana" w:hAnsi="Verdana"/>
          <w:color w:val="000000"/>
          <w:sz w:val="20"/>
          <w:szCs w:val="20"/>
          <w:lang w:val="es-ES_tradnl"/>
        </w:rPr>
        <w:t>constatado</w:t>
      </w:r>
      <w:r w:rsidRPr="00A260EB">
        <w:rPr>
          <w:rFonts w:ascii="Verdana" w:hAnsi="Verdana"/>
          <w:color w:val="000000"/>
          <w:sz w:val="20"/>
          <w:szCs w:val="20"/>
          <w:lang w:val="es-CR"/>
        </w:rPr>
        <w:t>, con base en los comprobantes aportados por el Estado</w:t>
      </w:r>
      <w:r w:rsidR="001617AA" w:rsidRPr="00A260EB">
        <w:rPr>
          <w:rFonts w:ascii="Verdana" w:hAnsi="Verdana"/>
          <w:color w:val="000000"/>
          <w:sz w:val="20"/>
          <w:szCs w:val="20"/>
          <w:lang w:val="es-CR"/>
        </w:rPr>
        <w:t>,</w:t>
      </w:r>
      <w:r w:rsidRPr="00A260EB">
        <w:rPr>
          <w:rFonts w:ascii="Verdana" w:hAnsi="Verdana"/>
          <w:color w:val="000000"/>
          <w:sz w:val="20"/>
          <w:szCs w:val="20"/>
          <w:lang w:val="es-CR"/>
        </w:rPr>
        <w:t xml:space="preserve"> que </w:t>
      </w:r>
      <w:r w:rsidR="00B60850" w:rsidRPr="00A260EB">
        <w:rPr>
          <w:rFonts w:ascii="Verdana" w:hAnsi="Verdana"/>
          <w:color w:val="000000"/>
          <w:sz w:val="20"/>
          <w:szCs w:val="20"/>
          <w:lang w:val="es-CR"/>
        </w:rPr>
        <w:t xml:space="preserve">éste </w:t>
      </w:r>
      <w:r w:rsidRPr="00A260EB">
        <w:rPr>
          <w:rFonts w:ascii="Verdana" w:hAnsi="Verdana"/>
          <w:color w:val="000000"/>
          <w:sz w:val="20"/>
          <w:szCs w:val="20"/>
          <w:lang w:val="es-CR"/>
        </w:rPr>
        <w:t xml:space="preserve">cumplió con publicar: i) </w:t>
      </w:r>
      <w:r w:rsidR="0007109E" w:rsidRPr="00A260EB">
        <w:rPr>
          <w:rFonts w:ascii="Verdana" w:hAnsi="Verdana"/>
          <w:color w:val="000000"/>
          <w:sz w:val="20"/>
          <w:szCs w:val="20"/>
          <w:lang w:val="es-CR"/>
        </w:rPr>
        <w:t xml:space="preserve">el </w:t>
      </w:r>
      <w:r w:rsidR="006E1FE7" w:rsidRPr="00A260EB">
        <w:rPr>
          <w:rFonts w:ascii="Verdana" w:hAnsi="Verdana"/>
          <w:color w:val="000000"/>
          <w:sz w:val="20"/>
          <w:szCs w:val="20"/>
          <w:lang w:val="es-ES_tradnl"/>
        </w:rPr>
        <w:t xml:space="preserve">resumen oficial de la Sentencia en </w:t>
      </w:r>
      <w:r w:rsidR="002F669C" w:rsidRPr="00A260EB">
        <w:rPr>
          <w:rFonts w:ascii="Verdana" w:hAnsi="Verdana"/>
          <w:color w:val="000000"/>
          <w:sz w:val="20"/>
          <w:szCs w:val="20"/>
          <w:lang w:val="es-ES_tradnl"/>
        </w:rPr>
        <w:t xml:space="preserve">la </w:t>
      </w:r>
      <w:r w:rsidR="001617AA" w:rsidRPr="00A260EB">
        <w:rPr>
          <w:rFonts w:ascii="Verdana" w:hAnsi="Verdana"/>
          <w:color w:val="000000"/>
          <w:sz w:val="20"/>
          <w:szCs w:val="20"/>
          <w:lang w:val="es-ES_tradnl"/>
        </w:rPr>
        <w:t>Gaceta Oficial Federal</w:t>
      </w:r>
      <w:r w:rsidR="006E1FE7" w:rsidRPr="00A260EB">
        <w:rPr>
          <w:rStyle w:val="Refdenotaalpie"/>
          <w:rFonts w:ascii="Verdana" w:hAnsi="Verdana"/>
          <w:color w:val="000000"/>
          <w:sz w:val="20"/>
          <w:szCs w:val="20"/>
          <w:lang w:val="es-ES_tradnl"/>
        </w:rPr>
        <w:footnoteReference w:id="9"/>
      </w:r>
      <w:r w:rsidRPr="00A260EB">
        <w:rPr>
          <w:rFonts w:ascii="Verdana" w:hAnsi="Verdana"/>
          <w:color w:val="000000"/>
          <w:sz w:val="20"/>
          <w:szCs w:val="20"/>
          <w:lang w:val="es-CR"/>
        </w:rPr>
        <w:t xml:space="preserve"> </w:t>
      </w:r>
      <w:r w:rsidR="00176771" w:rsidRPr="00A260EB">
        <w:rPr>
          <w:rFonts w:ascii="Verdana" w:hAnsi="Verdana"/>
          <w:color w:val="000000"/>
          <w:sz w:val="20"/>
          <w:szCs w:val="20"/>
          <w:lang w:val="es-CR"/>
        </w:rPr>
        <w:t xml:space="preserve">y en el periódico “O Globo”, </w:t>
      </w:r>
      <w:r w:rsidR="008B759E" w:rsidRPr="00A260EB">
        <w:rPr>
          <w:rFonts w:ascii="Verdana" w:hAnsi="Verdana"/>
          <w:color w:val="000000"/>
          <w:sz w:val="20"/>
          <w:szCs w:val="20"/>
          <w:lang w:val="es-AR"/>
        </w:rPr>
        <w:t>medio de circulación nacional</w:t>
      </w:r>
      <w:r w:rsidR="006E1FE7" w:rsidRPr="00A260EB">
        <w:rPr>
          <w:rStyle w:val="Refdenotaalpie"/>
          <w:rFonts w:ascii="Verdana" w:hAnsi="Verdana"/>
          <w:color w:val="000000"/>
          <w:sz w:val="20"/>
          <w:szCs w:val="20"/>
          <w:lang w:val="es-ES_tradnl"/>
        </w:rPr>
        <w:footnoteReference w:id="10"/>
      </w:r>
      <w:r w:rsidR="00176771" w:rsidRPr="00A260EB">
        <w:rPr>
          <w:rFonts w:ascii="Verdana" w:hAnsi="Verdana"/>
          <w:color w:val="000000"/>
          <w:sz w:val="20"/>
          <w:szCs w:val="20"/>
          <w:lang w:val="es-CR"/>
        </w:rPr>
        <w:t>,</w:t>
      </w:r>
      <w:r w:rsidR="006E1FE7" w:rsidRPr="00A260EB">
        <w:rPr>
          <w:rFonts w:ascii="Verdana" w:hAnsi="Verdana"/>
          <w:color w:val="000000"/>
          <w:sz w:val="20"/>
          <w:szCs w:val="20"/>
          <w:lang w:val="es-CR"/>
        </w:rPr>
        <w:t xml:space="preserve"> </w:t>
      </w:r>
      <w:r w:rsidR="00176771" w:rsidRPr="00A260EB">
        <w:rPr>
          <w:rFonts w:ascii="Verdana" w:hAnsi="Verdana"/>
          <w:color w:val="000000"/>
          <w:sz w:val="20"/>
          <w:szCs w:val="20"/>
          <w:lang w:val="es-CR"/>
        </w:rPr>
        <w:t>y</w:t>
      </w:r>
      <w:r w:rsidR="0007109E" w:rsidRPr="00A260EB">
        <w:rPr>
          <w:rFonts w:ascii="Verdana" w:hAnsi="Verdana"/>
          <w:color w:val="000000"/>
          <w:sz w:val="20"/>
          <w:szCs w:val="20"/>
          <w:lang w:val="es-CR"/>
        </w:rPr>
        <w:t xml:space="preserve"> </w:t>
      </w:r>
      <w:proofErr w:type="spellStart"/>
      <w:r w:rsidR="0007109E" w:rsidRPr="00A260EB">
        <w:rPr>
          <w:rFonts w:ascii="Verdana" w:hAnsi="Verdana"/>
          <w:color w:val="000000"/>
          <w:sz w:val="20"/>
          <w:szCs w:val="20"/>
          <w:lang w:val="es-CR"/>
        </w:rPr>
        <w:t>ii</w:t>
      </w:r>
      <w:proofErr w:type="spellEnd"/>
      <w:r w:rsidR="0007109E" w:rsidRPr="00A260EB">
        <w:rPr>
          <w:rFonts w:ascii="Verdana" w:hAnsi="Verdana"/>
          <w:color w:val="000000"/>
          <w:sz w:val="20"/>
          <w:szCs w:val="20"/>
          <w:lang w:val="es-CR"/>
        </w:rPr>
        <w:t>)</w:t>
      </w:r>
      <w:r w:rsidR="00176771" w:rsidRPr="00A260EB">
        <w:rPr>
          <w:rFonts w:ascii="Verdana" w:hAnsi="Verdana"/>
          <w:color w:val="000000"/>
          <w:sz w:val="20"/>
          <w:szCs w:val="20"/>
          <w:lang w:val="es-CR"/>
        </w:rPr>
        <w:t xml:space="preserve"> el texto integral</w:t>
      </w:r>
      <w:r w:rsidR="006E1FE7" w:rsidRPr="00A260EB">
        <w:rPr>
          <w:rFonts w:ascii="Verdana" w:hAnsi="Verdana"/>
          <w:color w:val="000000"/>
          <w:sz w:val="20"/>
          <w:szCs w:val="20"/>
          <w:lang w:val="es-ES_tradnl"/>
        </w:rPr>
        <w:t xml:space="preserve"> de la Sentencia y su resumen </w:t>
      </w:r>
      <w:r w:rsidR="00B60850" w:rsidRPr="00A260EB">
        <w:rPr>
          <w:rFonts w:ascii="Verdana" w:hAnsi="Verdana"/>
          <w:color w:val="000000"/>
          <w:sz w:val="20"/>
          <w:szCs w:val="20"/>
          <w:lang w:val="es-ES_tradnl"/>
        </w:rPr>
        <w:t xml:space="preserve">oficial </w:t>
      </w:r>
      <w:r w:rsidR="006E1FE7" w:rsidRPr="00A260EB">
        <w:rPr>
          <w:rFonts w:ascii="Verdana" w:hAnsi="Verdana"/>
          <w:color w:val="000000"/>
          <w:sz w:val="20"/>
          <w:szCs w:val="20"/>
          <w:lang w:val="es-ES_tradnl"/>
        </w:rPr>
        <w:t xml:space="preserve">en los sitios </w:t>
      </w:r>
      <w:r w:rsidR="006E1FE7" w:rsidRPr="00A260EB">
        <w:rPr>
          <w:rFonts w:ascii="Verdana" w:hAnsi="Verdana"/>
          <w:i/>
          <w:color w:val="000000"/>
          <w:sz w:val="20"/>
          <w:szCs w:val="20"/>
          <w:lang w:val="es-ES_tradnl"/>
        </w:rPr>
        <w:t>web</w:t>
      </w:r>
      <w:r w:rsidR="006E1FE7" w:rsidRPr="00A260EB">
        <w:rPr>
          <w:rFonts w:ascii="Verdana" w:hAnsi="Verdana"/>
          <w:color w:val="000000"/>
          <w:sz w:val="20"/>
          <w:szCs w:val="20"/>
          <w:lang w:val="es-ES_tradnl"/>
        </w:rPr>
        <w:t xml:space="preserve"> oficiales</w:t>
      </w:r>
      <w:r w:rsidR="009E108F" w:rsidRPr="00A260EB">
        <w:rPr>
          <w:rFonts w:ascii="Verdana" w:hAnsi="Verdana"/>
          <w:color w:val="000000"/>
          <w:sz w:val="20"/>
          <w:szCs w:val="20"/>
          <w:lang w:val="es-ES_tradnl"/>
        </w:rPr>
        <w:t xml:space="preserve"> del </w:t>
      </w:r>
      <w:r w:rsidR="001601FF" w:rsidRPr="00A260EB">
        <w:rPr>
          <w:rFonts w:ascii="Verdana" w:hAnsi="Verdana"/>
          <w:color w:val="000000"/>
          <w:sz w:val="20"/>
          <w:szCs w:val="20"/>
          <w:lang w:val="es-ES_tradnl"/>
        </w:rPr>
        <w:t xml:space="preserve">Ministerio de </w:t>
      </w:r>
      <w:r w:rsidR="009671D0" w:rsidRPr="00A260EB">
        <w:rPr>
          <w:rFonts w:ascii="Verdana" w:hAnsi="Verdana"/>
          <w:color w:val="000000"/>
          <w:sz w:val="20"/>
          <w:szCs w:val="20"/>
          <w:lang w:val="es-ES_tradnl"/>
        </w:rPr>
        <w:t>Relaciones Exteriores y</w:t>
      </w:r>
      <w:r w:rsidR="001601FF" w:rsidRPr="00A260EB">
        <w:rPr>
          <w:rFonts w:ascii="Verdana" w:hAnsi="Verdana"/>
          <w:color w:val="000000"/>
          <w:sz w:val="20"/>
          <w:szCs w:val="20"/>
          <w:lang w:val="es-ES_tradnl"/>
        </w:rPr>
        <w:t xml:space="preserve"> del Ministerio de Derechos Humanos </w:t>
      </w:r>
      <w:r w:rsidR="009671D0" w:rsidRPr="00A260EB">
        <w:rPr>
          <w:rFonts w:ascii="Verdana" w:hAnsi="Verdana"/>
          <w:color w:val="000000"/>
          <w:sz w:val="20"/>
          <w:szCs w:val="20"/>
          <w:lang w:val="es-ES_tradnl"/>
        </w:rPr>
        <w:t xml:space="preserve">(ambos del </w:t>
      </w:r>
      <w:r w:rsidR="009E108F" w:rsidRPr="00A260EB">
        <w:rPr>
          <w:rFonts w:ascii="Verdana" w:hAnsi="Verdana"/>
          <w:color w:val="000000"/>
          <w:sz w:val="20"/>
          <w:szCs w:val="20"/>
          <w:lang w:val="es-ES_tradnl"/>
        </w:rPr>
        <w:t>Gobierno Federal</w:t>
      </w:r>
      <w:r w:rsidR="009671D0" w:rsidRPr="00A260EB">
        <w:rPr>
          <w:rFonts w:ascii="Verdana" w:hAnsi="Verdana"/>
          <w:color w:val="000000"/>
          <w:sz w:val="20"/>
          <w:szCs w:val="20"/>
          <w:lang w:val="es-ES_tradnl"/>
        </w:rPr>
        <w:t>)</w:t>
      </w:r>
      <w:r w:rsidR="009E108F" w:rsidRPr="00A260EB">
        <w:rPr>
          <w:rFonts w:ascii="Verdana" w:hAnsi="Verdana"/>
          <w:color w:val="000000"/>
          <w:sz w:val="20"/>
          <w:szCs w:val="20"/>
          <w:lang w:val="es-ES_tradnl"/>
        </w:rPr>
        <w:t xml:space="preserve"> y de </w:t>
      </w:r>
      <w:r w:rsidR="009671D0" w:rsidRPr="00A260EB">
        <w:rPr>
          <w:rFonts w:ascii="Verdana" w:hAnsi="Verdana"/>
          <w:color w:val="000000"/>
          <w:sz w:val="20"/>
          <w:szCs w:val="20"/>
          <w:lang w:val="es-ES_tradnl"/>
        </w:rPr>
        <w:t>la</w:t>
      </w:r>
      <w:r w:rsidR="009E108F" w:rsidRPr="00A260EB">
        <w:rPr>
          <w:rFonts w:ascii="Verdana" w:hAnsi="Verdana"/>
          <w:color w:val="000000"/>
          <w:sz w:val="20"/>
          <w:szCs w:val="20"/>
          <w:lang w:val="es-ES_tradnl"/>
        </w:rPr>
        <w:t xml:space="preserve"> Policía Civil del Estado de Río de Janeiro</w:t>
      </w:r>
      <w:r w:rsidR="006E1FE7" w:rsidRPr="00A260EB">
        <w:rPr>
          <w:rStyle w:val="Refdenotaalpie"/>
          <w:rFonts w:ascii="Verdana" w:hAnsi="Verdana"/>
          <w:color w:val="000000"/>
          <w:sz w:val="20"/>
          <w:szCs w:val="20"/>
          <w:lang w:val="es-ES_tradnl"/>
        </w:rPr>
        <w:footnoteReference w:id="11"/>
      </w:r>
      <w:r w:rsidR="006E1FE7" w:rsidRPr="00A260EB">
        <w:rPr>
          <w:rFonts w:ascii="Verdana" w:hAnsi="Verdana"/>
          <w:color w:val="000000"/>
          <w:sz w:val="20"/>
          <w:szCs w:val="20"/>
          <w:lang w:val="es-ES_tradnl"/>
        </w:rPr>
        <w:t xml:space="preserve">. </w:t>
      </w:r>
      <w:r w:rsidR="009671D0" w:rsidRPr="00A260EB">
        <w:rPr>
          <w:rFonts w:ascii="Verdana" w:hAnsi="Verdana"/>
          <w:color w:val="000000"/>
          <w:sz w:val="20"/>
          <w:szCs w:val="20"/>
          <w:lang w:val="es-ES_tradnl"/>
        </w:rPr>
        <w:t xml:space="preserve">Asimismo, si bien el Estado informó </w:t>
      </w:r>
      <w:r w:rsidR="001422DB">
        <w:rPr>
          <w:rFonts w:ascii="Verdana" w:hAnsi="Verdana"/>
          <w:color w:val="000000"/>
          <w:sz w:val="20"/>
          <w:szCs w:val="20"/>
          <w:lang w:val="es-ES_tradnl"/>
        </w:rPr>
        <w:t>en</w:t>
      </w:r>
      <w:r w:rsidR="004F2B1F" w:rsidRPr="00A260EB">
        <w:rPr>
          <w:rFonts w:ascii="Verdana" w:hAnsi="Verdana"/>
          <w:color w:val="000000"/>
          <w:sz w:val="20"/>
          <w:szCs w:val="20"/>
          <w:lang w:val="es-ES_tradnl"/>
        </w:rPr>
        <w:t xml:space="preserve"> mayo de 2018 </w:t>
      </w:r>
      <w:r w:rsidR="009671D0" w:rsidRPr="00A260EB">
        <w:rPr>
          <w:rFonts w:ascii="Verdana" w:hAnsi="Verdana"/>
          <w:color w:val="000000"/>
          <w:sz w:val="20"/>
          <w:szCs w:val="20"/>
          <w:lang w:val="es-ES_tradnl"/>
        </w:rPr>
        <w:t xml:space="preserve">que había </w:t>
      </w:r>
      <w:r w:rsidR="004F2B1F" w:rsidRPr="00A260EB">
        <w:rPr>
          <w:rFonts w:ascii="Verdana" w:hAnsi="Verdana"/>
          <w:color w:val="000000"/>
          <w:sz w:val="20"/>
          <w:szCs w:val="20"/>
          <w:lang w:val="es-ES_tradnl"/>
        </w:rPr>
        <w:t xml:space="preserve">efectuado </w:t>
      </w:r>
      <w:r w:rsidR="009671D0" w:rsidRPr="00A260EB">
        <w:rPr>
          <w:rFonts w:ascii="Verdana" w:hAnsi="Verdana"/>
          <w:color w:val="000000"/>
          <w:sz w:val="20"/>
          <w:szCs w:val="20"/>
          <w:lang w:val="es-ES_tradnl"/>
        </w:rPr>
        <w:t>la publicación de la Sentencia y su resumen en la</w:t>
      </w:r>
      <w:r w:rsidR="001422DB">
        <w:rPr>
          <w:rFonts w:ascii="Verdana" w:hAnsi="Verdana"/>
          <w:color w:val="000000"/>
          <w:sz w:val="20"/>
          <w:szCs w:val="20"/>
          <w:lang w:val="es-ES_tradnl"/>
        </w:rPr>
        <w:t>s</w:t>
      </w:r>
      <w:r w:rsidR="009671D0" w:rsidRPr="00A260EB">
        <w:rPr>
          <w:rFonts w:ascii="Verdana" w:hAnsi="Verdana"/>
          <w:color w:val="000000"/>
          <w:sz w:val="20"/>
          <w:szCs w:val="20"/>
          <w:lang w:val="es-ES_tradnl"/>
        </w:rPr>
        <w:t xml:space="preserve"> página</w:t>
      </w:r>
      <w:r w:rsidR="001422DB">
        <w:rPr>
          <w:rFonts w:ascii="Verdana" w:hAnsi="Verdana"/>
          <w:color w:val="000000"/>
          <w:sz w:val="20"/>
          <w:szCs w:val="20"/>
          <w:lang w:val="es-ES_tradnl"/>
        </w:rPr>
        <w:t>s</w:t>
      </w:r>
      <w:r w:rsidR="009671D0" w:rsidRPr="00A260EB">
        <w:rPr>
          <w:rFonts w:ascii="Verdana" w:hAnsi="Verdana"/>
          <w:color w:val="000000"/>
          <w:sz w:val="20"/>
          <w:szCs w:val="20"/>
          <w:lang w:val="es-ES_tradnl"/>
        </w:rPr>
        <w:t xml:space="preserve"> de la Secretaría de Estado de Seguridad y </w:t>
      </w:r>
      <w:r w:rsidR="001422DB">
        <w:rPr>
          <w:rFonts w:ascii="Verdana" w:hAnsi="Verdana"/>
          <w:color w:val="000000"/>
          <w:sz w:val="20"/>
          <w:szCs w:val="20"/>
          <w:lang w:val="es-ES_tradnl"/>
        </w:rPr>
        <w:t xml:space="preserve">de </w:t>
      </w:r>
      <w:r w:rsidR="009671D0" w:rsidRPr="00A260EB">
        <w:rPr>
          <w:rFonts w:ascii="Verdana" w:hAnsi="Verdana"/>
          <w:color w:val="000000"/>
          <w:sz w:val="20"/>
          <w:szCs w:val="20"/>
          <w:lang w:val="es-ES_tradnl"/>
        </w:rPr>
        <w:t>la Secretaría de Estado de la Casa Civil</w:t>
      </w:r>
      <w:r w:rsidR="001A6B93" w:rsidRPr="00A260EB">
        <w:rPr>
          <w:rFonts w:ascii="Verdana" w:hAnsi="Verdana"/>
          <w:color w:val="000000"/>
          <w:sz w:val="20"/>
          <w:szCs w:val="20"/>
          <w:lang w:val="es-ES_tradnl"/>
        </w:rPr>
        <w:t>, ambas</w:t>
      </w:r>
      <w:r w:rsidR="009671D0" w:rsidRPr="00A260EB">
        <w:rPr>
          <w:rFonts w:ascii="Verdana" w:hAnsi="Verdana"/>
          <w:color w:val="000000"/>
          <w:sz w:val="20"/>
          <w:szCs w:val="20"/>
          <w:lang w:val="es-ES_tradnl"/>
        </w:rPr>
        <w:t xml:space="preserve"> del Gobierno de Río de Janeiro, este Tribunal observa que los </w:t>
      </w:r>
      <w:r w:rsidR="00FB3997" w:rsidRPr="00A260EB">
        <w:rPr>
          <w:rFonts w:ascii="Verdana" w:hAnsi="Verdana"/>
          <w:color w:val="000000"/>
          <w:sz w:val="20"/>
          <w:szCs w:val="20"/>
          <w:lang w:val="es-ES_tradnl"/>
        </w:rPr>
        <w:t>enlaces</w:t>
      </w:r>
      <w:r w:rsidR="009671D0" w:rsidRPr="00A260EB">
        <w:rPr>
          <w:rFonts w:ascii="Verdana" w:hAnsi="Verdana"/>
          <w:color w:val="000000"/>
          <w:sz w:val="20"/>
          <w:szCs w:val="20"/>
          <w:lang w:val="es-ES_tradnl"/>
        </w:rPr>
        <w:t xml:space="preserve"> aportados por el Estado</w:t>
      </w:r>
      <w:r w:rsidR="008B759E" w:rsidRPr="00A260EB">
        <w:rPr>
          <w:rFonts w:ascii="Verdana" w:hAnsi="Verdana"/>
          <w:color w:val="000000"/>
          <w:sz w:val="20"/>
          <w:szCs w:val="20"/>
          <w:lang w:val="es-ES_tradnl"/>
        </w:rPr>
        <w:t>, los cuales</w:t>
      </w:r>
      <w:r w:rsidR="004F2B1F" w:rsidRPr="00A260EB">
        <w:rPr>
          <w:rFonts w:ascii="Verdana" w:hAnsi="Verdana"/>
          <w:color w:val="000000"/>
          <w:sz w:val="20"/>
          <w:szCs w:val="20"/>
          <w:lang w:val="es-ES_tradnl"/>
        </w:rPr>
        <w:t xml:space="preserve"> estaban en funcionamiento a la fecha de dicho informe y en junio de 2018, cuando los representantes de las víctimas remitieron sus observaciones, </w:t>
      </w:r>
      <w:r w:rsidR="009671D0" w:rsidRPr="00A260EB">
        <w:rPr>
          <w:rFonts w:ascii="Verdana" w:hAnsi="Verdana"/>
          <w:color w:val="000000"/>
          <w:sz w:val="20"/>
          <w:szCs w:val="20"/>
          <w:lang w:val="es-ES_tradnl"/>
        </w:rPr>
        <w:t>no se encuentran en funcionamiento</w:t>
      </w:r>
      <w:r w:rsidR="001422DB">
        <w:rPr>
          <w:rFonts w:ascii="Verdana" w:hAnsi="Verdana"/>
          <w:color w:val="000000"/>
          <w:sz w:val="20"/>
          <w:szCs w:val="20"/>
          <w:lang w:val="es-ES_tradnl"/>
        </w:rPr>
        <w:t xml:space="preserve"> en la actualidad</w:t>
      </w:r>
      <w:r w:rsidR="009671D0" w:rsidRPr="00A260EB">
        <w:rPr>
          <w:rStyle w:val="Refdenotaalpie"/>
          <w:rFonts w:ascii="Verdana" w:hAnsi="Verdana"/>
          <w:color w:val="000000"/>
          <w:sz w:val="20"/>
          <w:szCs w:val="20"/>
          <w:lang w:val="es-ES_tradnl"/>
        </w:rPr>
        <w:footnoteReference w:id="12"/>
      </w:r>
      <w:r w:rsidR="004263DE" w:rsidRPr="00A260EB">
        <w:rPr>
          <w:rFonts w:ascii="Verdana" w:hAnsi="Verdana"/>
          <w:color w:val="000000"/>
          <w:sz w:val="20"/>
          <w:szCs w:val="20"/>
          <w:lang w:val="es-ES_tradnl"/>
        </w:rPr>
        <w:t>.</w:t>
      </w:r>
      <w:r w:rsidR="0060335A" w:rsidRPr="00A260EB">
        <w:rPr>
          <w:rFonts w:ascii="Verdana" w:hAnsi="Verdana"/>
          <w:color w:val="000000"/>
          <w:sz w:val="20"/>
          <w:szCs w:val="20"/>
          <w:lang w:val="es-ES_tradnl"/>
        </w:rPr>
        <w:t xml:space="preserve"> </w:t>
      </w:r>
      <w:r w:rsidR="00CF2E12" w:rsidRPr="00A260EB">
        <w:rPr>
          <w:rFonts w:ascii="Verdana" w:hAnsi="Verdana"/>
          <w:color w:val="000000"/>
          <w:sz w:val="20"/>
          <w:szCs w:val="20"/>
          <w:lang w:val="es-ES_tradnl"/>
        </w:rPr>
        <w:t xml:space="preserve">Ello debe </w:t>
      </w:r>
      <w:r w:rsidR="00CF2E12" w:rsidRPr="00A260EB">
        <w:rPr>
          <w:rFonts w:ascii="Verdana" w:hAnsi="Verdana"/>
          <w:sz w:val="20"/>
          <w:szCs w:val="20"/>
          <w:lang w:val="es-CR"/>
        </w:rPr>
        <w:t>ser explicado o solucionado por Brasil a la mayor brevedad ya que la medida ordenada implica la obligación de mantener dichas publicaciones por 3 años, es decir hasta el 16 de mayo de 2021</w:t>
      </w:r>
      <w:r w:rsidR="009916CE">
        <w:rPr>
          <w:rStyle w:val="Refdenotaalpie"/>
          <w:rFonts w:ascii="Verdana" w:hAnsi="Verdana"/>
          <w:sz w:val="20"/>
          <w:szCs w:val="20"/>
          <w:lang w:val="es-CR"/>
        </w:rPr>
        <w:footnoteReference w:id="13"/>
      </w:r>
      <w:r w:rsidR="00CF2E12" w:rsidRPr="00A260EB">
        <w:rPr>
          <w:rFonts w:ascii="Verdana" w:hAnsi="Verdana"/>
          <w:sz w:val="20"/>
          <w:szCs w:val="20"/>
          <w:lang w:val="es-CR"/>
        </w:rPr>
        <w:t>.</w:t>
      </w:r>
      <w:r w:rsidR="00CF2E12" w:rsidRPr="00A260EB" w:rsidDel="004F2B1F">
        <w:rPr>
          <w:rFonts w:ascii="Verdana" w:hAnsi="Verdana"/>
          <w:b/>
          <w:color w:val="00B050"/>
          <w:sz w:val="20"/>
          <w:szCs w:val="20"/>
          <w:lang w:val="es-ES_tradnl"/>
        </w:rPr>
        <w:t xml:space="preserve"> </w:t>
      </w:r>
    </w:p>
    <w:p w14:paraId="5CFCB2DB" w14:textId="231F85C5" w:rsidR="00717AE5" w:rsidRPr="00A260EB" w:rsidRDefault="0007109E" w:rsidP="0041260D">
      <w:pPr>
        <w:numPr>
          <w:ilvl w:val="0"/>
          <w:numId w:val="2"/>
        </w:numPr>
        <w:tabs>
          <w:tab w:val="left" w:pos="709"/>
        </w:tabs>
        <w:spacing w:before="120" w:after="120" w:line="240" w:lineRule="auto"/>
        <w:ind w:left="0" w:firstLine="0"/>
        <w:jc w:val="both"/>
        <w:rPr>
          <w:rFonts w:ascii="Verdana" w:hAnsi="Verdana"/>
          <w:color w:val="000000"/>
          <w:sz w:val="20"/>
          <w:szCs w:val="20"/>
          <w:lang w:val="es-AR"/>
        </w:rPr>
      </w:pPr>
      <w:r w:rsidRPr="00A260EB">
        <w:rPr>
          <w:rFonts w:ascii="Verdana" w:hAnsi="Verdana"/>
          <w:color w:val="000000"/>
          <w:sz w:val="20"/>
          <w:szCs w:val="20"/>
          <w:lang w:val="es-AR"/>
        </w:rPr>
        <w:t xml:space="preserve">En virtud de lo anterior, el Tribunal considera que el Estado ha dado cumplimiento a las medidas de publicación </w:t>
      </w:r>
      <w:r w:rsidR="004263DE" w:rsidRPr="00A260EB">
        <w:rPr>
          <w:rFonts w:ascii="Verdana" w:hAnsi="Verdana"/>
          <w:color w:val="000000"/>
          <w:sz w:val="20"/>
          <w:szCs w:val="20"/>
          <w:lang w:val="es-AR"/>
        </w:rPr>
        <w:t xml:space="preserve">del resumen oficial de la Sentencia, así como de la Sentencia en su integridad y su resumen en una página </w:t>
      </w:r>
      <w:r w:rsidR="004263DE" w:rsidRPr="00A260EB">
        <w:rPr>
          <w:rFonts w:ascii="Verdana" w:hAnsi="Verdana"/>
          <w:i/>
          <w:color w:val="000000"/>
          <w:sz w:val="20"/>
          <w:szCs w:val="20"/>
          <w:lang w:val="es-AR"/>
        </w:rPr>
        <w:t xml:space="preserve">web </w:t>
      </w:r>
      <w:r w:rsidR="004263DE" w:rsidRPr="00A260EB">
        <w:rPr>
          <w:rFonts w:ascii="Verdana" w:hAnsi="Verdana"/>
          <w:color w:val="000000"/>
          <w:sz w:val="20"/>
          <w:szCs w:val="20"/>
          <w:lang w:val="es-AR"/>
        </w:rPr>
        <w:t xml:space="preserve">oficial del Gobierno Federal y de la Policía Civil del Estado de Río de Janeiro, quedando pendiente </w:t>
      </w:r>
      <w:r w:rsidR="001422DB">
        <w:rPr>
          <w:rFonts w:ascii="Verdana" w:hAnsi="Verdana"/>
          <w:color w:val="000000"/>
          <w:sz w:val="20"/>
          <w:szCs w:val="20"/>
          <w:lang w:val="es-AR"/>
        </w:rPr>
        <w:lastRenderedPageBreak/>
        <w:t>su</w:t>
      </w:r>
      <w:r w:rsidR="004263DE" w:rsidRPr="00A260EB">
        <w:rPr>
          <w:rFonts w:ascii="Verdana" w:hAnsi="Verdana"/>
          <w:color w:val="000000"/>
          <w:sz w:val="20"/>
          <w:szCs w:val="20"/>
          <w:lang w:val="es-AR"/>
        </w:rPr>
        <w:t xml:space="preserve"> publicación </w:t>
      </w:r>
      <w:r w:rsidR="004263DE" w:rsidRPr="00A260EB">
        <w:rPr>
          <w:rFonts w:ascii="Verdana" w:hAnsi="Verdana"/>
          <w:color w:val="000000"/>
          <w:sz w:val="20"/>
          <w:szCs w:val="20"/>
          <w:lang w:val="es-ES_tradnl"/>
        </w:rPr>
        <w:t xml:space="preserve">en el sitio </w:t>
      </w:r>
      <w:r w:rsidR="004263DE" w:rsidRPr="00A260EB">
        <w:rPr>
          <w:rFonts w:ascii="Verdana" w:hAnsi="Verdana"/>
          <w:i/>
          <w:color w:val="000000"/>
          <w:sz w:val="20"/>
          <w:szCs w:val="20"/>
          <w:lang w:val="es-ES_tradnl"/>
        </w:rPr>
        <w:t>web</w:t>
      </w:r>
      <w:r w:rsidR="004263DE" w:rsidRPr="00A260EB">
        <w:rPr>
          <w:rFonts w:ascii="Verdana" w:hAnsi="Verdana"/>
          <w:color w:val="000000"/>
          <w:sz w:val="20"/>
          <w:szCs w:val="20"/>
          <w:lang w:val="es-ES_tradnl"/>
        </w:rPr>
        <w:t xml:space="preserve"> oficial del Gobierno del Estado de Río de Janeiro</w:t>
      </w:r>
      <w:r w:rsidRPr="00A260EB">
        <w:rPr>
          <w:rFonts w:ascii="Verdana" w:hAnsi="Verdana"/>
          <w:color w:val="000000"/>
          <w:sz w:val="20"/>
          <w:szCs w:val="20"/>
          <w:lang w:val="es-AR"/>
        </w:rPr>
        <w:t xml:space="preserve">. </w:t>
      </w:r>
      <w:r w:rsidR="001422DB">
        <w:rPr>
          <w:rFonts w:ascii="Verdana" w:hAnsi="Verdana"/>
          <w:color w:val="000000"/>
          <w:sz w:val="20"/>
          <w:szCs w:val="20"/>
          <w:lang w:val="es-AR"/>
        </w:rPr>
        <w:t>Asimismo</w:t>
      </w:r>
      <w:r w:rsidRPr="00A260EB">
        <w:rPr>
          <w:rFonts w:ascii="Verdana" w:hAnsi="Verdana"/>
          <w:color w:val="000000"/>
          <w:sz w:val="20"/>
          <w:szCs w:val="20"/>
          <w:lang w:val="es-AR"/>
        </w:rPr>
        <w:t xml:space="preserve">, la Corte recuerda que </w:t>
      </w:r>
      <w:r w:rsidR="001A6B93" w:rsidRPr="00A260EB">
        <w:rPr>
          <w:rFonts w:ascii="Verdana" w:hAnsi="Verdana"/>
          <w:color w:val="000000"/>
          <w:sz w:val="20"/>
          <w:szCs w:val="20"/>
          <w:lang w:val="es-AR"/>
        </w:rPr>
        <w:t>Brasil</w:t>
      </w:r>
      <w:r w:rsidRPr="00A260EB">
        <w:rPr>
          <w:rFonts w:ascii="Verdana" w:hAnsi="Verdana"/>
          <w:color w:val="000000"/>
          <w:sz w:val="20"/>
          <w:szCs w:val="20"/>
          <w:lang w:val="es-AR"/>
        </w:rPr>
        <w:t xml:space="preserve"> debe mantener la difusión del fallo </w:t>
      </w:r>
      <w:r w:rsidR="00717AE5" w:rsidRPr="00A260EB">
        <w:rPr>
          <w:rFonts w:ascii="Verdana" w:hAnsi="Verdana"/>
          <w:color w:val="000000"/>
          <w:sz w:val="20"/>
          <w:szCs w:val="20"/>
          <w:lang w:val="es-AR"/>
        </w:rPr>
        <w:t xml:space="preserve">y del resumen </w:t>
      </w:r>
      <w:r w:rsidRPr="00A260EB">
        <w:rPr>
          <w:rFonts w:ascii="Verdana" w:hAnsi="Verdana"/>
          <w:color w:val="000000"/>
          <w:sz w:val="20"/>
          <w:szCs w:val="20"/>
          <w:lang w:val="es-AR"/>
        </w:rPr>
        <w:t xml:space="preserve">en </w:t>
      </w:r>
      <w:r w:rsidR="001422DB">
        <w:rPr>
          <w:rFonts w:ascii="Verdana" w:hAnsi="Verdana"/>
          <w:color w:val="000000"/>
          <w:sz w:val="20"/>
          <w:szCs w:val="20"/>
          <w:lang w:val="es-AR"/>
        </w:rPr>
        <w:t>la</w:t>
      </w:r>
      <w:r w:rsidR="001E1CAB">
        <w:rPr>
          <w:rFonts w:ascii="Verdana" w:hAnsi="Verdana"/>
          <w:color w:val="000000"/>
          <w:sz w:val="20"/>
          <w:szCs w:val="20"/>
          <w:lang w:val="es-AR"/>
        </w:rPr>
        <w:t>s</w:t>
      </w:r>
      <w:r w:rsidRPr="00A260EB">
        <w:rPr>
          <w:rFonts w:ascii="Verdana" w:hAnsi="Verdana"/>
          <w:color w:val="000000"/>
          <w:sz w:val="20"/>
          <w:szCs w:val="20"/>
          <w:lang w:val="es-AR"/>
        </w:rPr>
        <w:t xml:space="preserve"> página</w:t>
      </w:r>
      <w:r w:rsidR="004263DE" w:rsidRPr="00A260EB">
        <w:rPr>
          <w:rFonts w:ascii="Verdana" w:hAnsi="Verdana"/>
          <w:color w:val="000000"/>
          <w:sz w:val="20"/>
          <w:szCs w:val="20"/>
          <w:lang w:val="es-AR"/>
        </w:rPr>
        <w:t>s</w:t>
      </w:r>
      <w:r w:rsidRPr="00A260EB">
        <w:rPr>
          <w:rFonts w:ascii="Verdana" w:hAnsi="Verdana"/>
          <w:color w:val="000000"/>
          <w:sz w:val="20"/>
          <w:szCs w:val="20"/>
          <w:lang w:val="es-AR"/>
        </w:rPr>
        <w:t xml:space="preserve"> </w:t>
      </w:r>
      <w:r w:rsidR="005C7D4F" w:rsidRPr="00A260EB">
        <w:rPr>
          <w:rFonts w:ascii="Verdana" w:hAnsi="Verdana"/>
          <w:color w:val="000000"/>
          <w:sz w:val="20"/>
          <w:szCs w:val="20"/>
          <w:lang w:val="es-AR"/>
        </w:rPr>
        <w:t xml:space="preserve">del Ministerio de Derechos Humanos </w:t>
      </w:r>
      <w:r w:rsidR="005C7D4F">
        <w:rPr>
          <w:rFonts w:ascii="Verdana" w:hAnsi="Verdana"/>
          <w:color w:val="000000"/>
          <w:sz w:val="20"/>
          <w:szCs w:val="20"/>
          <w:lang w:val="es-AR"/>
        </w:rPr>
        <w:t xml:space="preserve">y del Ministerio de Relaciones Exteriores </w:t>
      </w:r>
      <w:r w:rsidRPr="00A260EB">
        <w:rPr>
          <w:rFonts w:ascii="Verdana" w:hAnsi="Verdana"/>
          <w:color w:val="000000"/>
          <w:sz w:val="20"/>
          <w:szCs w:val="20"/>
          <w:lang w:val="es-AR"/>
        </w:rPr>
        <w:t xml:space="preserve">al menos hasta el </w:t>
      </w:r>
      <w:r w:rsidR="003119EF">
        <w:rPr>
          <w:rFonts w:ascii="Verdana" w:hAnsi="Verdana"/>
          <w:color w:val="000000"/>
          <w:sz w:val="20"/>
          <w:szCs w:val="20"/>
          <w:lang w:val="es-AR"/>
        </w:rPr>
        <w:t>22 y 23</w:t>
      </w:r>
      <w:r w:rsidR="005B5D8C" w:rsidRPr="00A260EB">
        <w:rPr>
          <w:rFonts w:ascii="Verdana" w:hAnsi="Verdana"/>
          <w:color w:val="000000"/>
          <w:sz w:val="20"/>
          <w:szCs w:val="20"/>
          <w:lang w:val="es-AR"/>
        </w:rPr>
        <w:t xml:space="preserve"> de diciembre de 2020</w:t>
      </w:r>
      <w:r w:rsidR="005C7D4F">
        <w:rPr>
          <w:rFonts w:ascii="Verdana" w:hAnsi="Verdana"/>
          <w:color w:val="000000"/>
          <w:sz w:val="20"/>
          <w:szCs w:val="20"/>
          <w:lang w:val="es-AR"/>
        </w:rPr>
        <w:t>, respectivamente</w:t>
      </w:r>
      <w:r w:rsidR="008E352E" w:rsidRPr="00A260EB">
        <w:rPr>
          <w:rStyle w:val="Refdenotaalpie"/>
          <w:rFonts w:ascii="Verdana" w:hAnsi="Verdana"/>
          <w:color w:val="000000"/>
          <w:sz w:val="20"/>
          <w:szCs w:val="20"/>
          <w:lang w:val="es-ES_tradnl"/>
        </w:rPr>
        <w:footnoteReference w:id="14"/>
      </w:r>
      <w:r w:rsidRPr="00A260EB">
        <w:rPr>
          <w:rFonts w:ascii="Verdana" w:hAnsi="Verdana"/>
          <w:color w:val="000000"/>
          <w:sz w:val="20"/>
          <w:szCs w:val="20"/>
          <w:lang w:val="es-AR"/>
        </w:rPr>
        <w:t xml:space="preserve">, debido a que indicó que </w:t>
      </w:r>
      <w:r w:rsidR="004263DE" w:rsidRPr="00A260EB">
        <w:rPr>
          <w:rFonts w:ascii="Verdana" w:hAnsi="Verdana"/>
          <w:color w:val="000000"/>
          <w:sz w:val="20"/>
          <w:szCs w:val="20"/>
          <w:lang w:val="es-AR"/>
        </w:rPr>
        <w:t>los</w:t>
      </w:r>
      <w:r w:rsidRPr="00A260EB">
        <w:rPr>
          <w:rFonts w:ascii="Verdana" w:hAnsi="Verdana"/>
          <w:color w:val="000000"/>
          <w:sz w:val="20"/>
          <w:szCs w:val="20"/>
          <w:lang w:val="es-AR"/>
        </w:rPr>
        <w:t xml:space="preserve"> enlace</w:t>
      </w:r>
      <w:r w:rsidR="004263DE" w:rsidRPr="00A260EB">
        <w:rPr>
          <w:rFonts w:ascii="Verdana" w:hAnsi="Verdana"/>
          <w:color w:val="000000"/>
          <w:sz w:val="20"/>
          <w:szCs w:val="20"/>
          <w:lang w:val="es-AR"/>
        </w:rPr>
        <w:t>s</w:t>
      </w:r>
      <w:r w:rsidRPr="00A260EB">
        <w:rPr>
          <w:rFonts w:ascii="Verdana" w:hAnsi="Verdana"/>
          <w:color w:val="000000"/>
          <w:sz w:val="20"/>
          <w:szCs w:val="20"/>
          <w:lang w:val="es-AR"/>
        </w:rPr>
        <w:t xml:space="preserve"> a dicha</w:t>
      </w:r>
      <w:r w:rsidR="004263DE" w:rsidRPr="00A260EB">
        <w:rPr>
          <w:rFonts w:ascii="Verdana" w:hAnsi="Verdana"/>
          <w:color w:val="000000"/>
          <w:sz w:val="20"/>
          <w:szCs w:val="20"/>
          <w:lang w:val="es-AR"/>
        </w:rPr>
        <w:t>s</w:t>
      </w:r>
      <w:r w:rsidRPr="00A260EB">
        <w:rPr>
          <w:rFonts w:ascii="Verdana" w:hAnsi="Verdana"/>
          <w:color w:val="000000"/>
          <w:sz w:val="20"/>
          <w:szCs w:val="20"/>
          <w:lang w:val="es-AR"/>
        </w:rPr>
        <w:t xml:space="preserve"> publi</w:t>
      </w:r>
      <w:r w:rsidR="004263DE" w:rsidRPr="00A260EB">
        <w:rPr>
          <w:rFonts w:ascii="Verdana" w:hAnsi="Verdana"/>
          <w:color w:val="000000"/>
          <w:sz w:val="20"/>
          <w:szCs w:val="20"/>
          <w:lang w:val="es-AR"/>
        </w:rPr>
        <w:t>cacio</w:t>
      </w:r>
      <w:r w:rsidRPr="00A260EB">
        <w:rPr>
          <w:rFonts w:ascii="Verdana" w:hAnsi="Verdana"/>
          <w:color w:val="000000"/>
          <w:sz w:val="20"/>
          <w:szCs w:val="20"/>
          <w:lang w:val="es-AR"/>
        </w:rPr>
        <w:t>n</w:t>
      </w:r>
      <w:r w:rsidR="004263DE" w:rsidRPr="00A260EB">
        <w:rPr>
          <w:rFonts w:ascii="Verdana" w:hAnsi="Verdana"/>
          <w:color w:val="000000"/>
          <w:sz w:val="20"/>
          <w:szCs w:val="20"/>
          <w:lang w:val="es-AR"/>
        </w:rPr>
        <w:t>es</w:t>
      </w:r>
      <w:r w:rsidRPr="00A260EB">
        <w:rPr>
          <w:rFonts w:ascii="Verdana" w:hAnsi="Verdana"/>
          <w:color w:val="000000"/>
          <w:sz w:val="20"/>
          <w:szCs w:val="20"/>
          <w:lang w:val="es-AR"/>
        </w:rPr>
        <w:t xml:space="preserve"> estaba</w:t>
      </w:r>
      <w:r w:rsidR="004263DE" w:rsidRPr="00A260EB">
        <w:rPr>
          <w:rFonts w:ascii="Verdana" w:hAnsi="Verdana"/>
          <w:color w:val="000000"/>
          <w:sz w:val="20"/>
          <w:szCs w:val="20"/>
          <w:lang w:val="es-AR"/>
        </w:rPr>
        <w:t>n</w:t>
      </w:r>
      <w:r w:rsidRPr="00A260EB">
        <w:rPr>
          <w:rFonts w:ascii="Verdana" w:hAnsi="Verdana"/>
          <w:color w:val="000000"/>
          <w:sz w:val="20"/>
          <w:szCs w:val="20"/>
          <w:lang w:val="es-AR"/>
        </w:rPr>
        <w:t xml:space="preserve"> disponible</w:t>
      </w:r>
      <w:r w:rsidR="004263DE" w:rsidRPr="00A260EB">
        <w:rPr>
          <w:rFonts w:ascii="Verdana" w:hAnsi="Verdana"/>
          <w:color w:val="000000"/>
          <w:sz w:val="20"/>
          <w:szCs w:val="20"/>
          <w:lang w:val="es-AR"/>
        </w:rPr>
        <w:t>s</w:t>
      </w:r>
      <w:r w:rsidRPr="00A260EB">
        <w:rPr>
          <w:rFonts w:ascii="Verdana" w:hAnsi="Verdana"/>
          <w:color w:val="000000"/>
          <w:sz w:val="20"/>
          <w:szCs w:val="20"/>
          <w:lang w:val="es-AR"/>
        </w:rPr>
        <w:t xml:space="preserve"> desde el </w:t>
      </w:r>
      <w:r w:rsidR="004263DE" w:rsidRPr="00A260EB">
        <w:rPr>
          <w:rFonts w:ascii="Verdana" w:hAnsi="Verdana"/>
          <w:color w:val="000000"/>
          <w:sz w:val="20"/>
          <w:szCs w:val="20"/>
          <w:lang w:val="es-AR"/>
        </w:rPr>
        <w:t xml:space="preserve">22 y </w:t>
      </w:r>
      <w:r w:rsidRPr="00A260EB">
        <w:rPr>
          <w:rFonts w:ascii="Verdana" w:hAnsi="Verdana"/>
          <w:color w:val="000000"/>
          <w:sz w:val="20"/>
          <w:szCs w:val="20"/>
          <w:lang w:val="es-AR"/>
        </w:rPr>
        <w:t>23 de diciembre de 2017</w:t>
      </w:r>
      <w:r w:rsidR="003119EF" w:rsidRPr="003119EF">
        <w:rPr>
          <w:rFonts w:ascii="Verdana" w:hAnsi="Verdana"/>
          <w:color w:val="000000"/>
          <w:sz w:val="20"/>
          <w:szCs w:val="20"/>
          <w:vertAlign w:val="superscript"/>
          <w:lang w:val="es-ES_tradnl"/>
        </w:rPr>
        <w:footnoteReference w:id="15"/>
      </w:r>
      <w:r w:rsidRPr="00A260EB">
        <w:rPr>
          <w:rFonts w:ascii="Verdana" w:hAnsi="Verdana"/>
          <w:color w:val="000000"/>
          <w:sz w:val="20"/>
          <w:szCs w:val="20"/>
          <w:lang w:val="es-AR"/>
        </w:rPr>
        <w:t>,</w:t>
      </w:r>
      <w:r w:rsidR="004263DE" w:rsidRPr="00A260EB">
        <w:rPr>
          <w:rFonts w:ascii="Verdana" w:hAnsi="Verdana"/>
          <w:color w:val="000000"/>
          <w:sz w:val="20"/>
          <w:szCs w:val="20"/>
          <w:lang w:val="es-AR"/>
        </w:rPr>
        <w:t xml:space="preserve"> </w:t>
      </w:r>
      <w:r w:rsidRPr="00A260EB">
        <w:rPr>
          <w:rFonts w:ascii="Verdana" w:hAnsi="Verdana"/>
          <w:color w:val="000000"/>
          <w:sz w:val="20"/>
          <w:szCs w:val="20"/>
          <w:lang w:val="es-AR"/>
        </w:rPr>
        <w:t>lo cual no fue objetado por los representantes de las víctimas.</w:t>
      </w:r>
      <w:r w:rsidR="002906D2" w:rsidRPr="00A260EB">
        <w:rPr>
          <w:rFonts w:ascii="Verdana" w:hAnsi="Verdana"/>
          <w:color w:val="000000"/>
          <w:sz w:val="20"/>
          <w:szCs w:val="20"/>
          <w:lang w:val="es-AR"/>
        </w:rPr>
        <w:t xml:space="preserve"> </w:t>
      </w:r>
      <w:r w:rsidR="004263DE" w:rsidRPr="00A260EB">
        <w:rPr>
          <w:rFonts w:ascii="Verdana" w:hAnsi="Verdana"/>
          <w:color w:val="000000"/>
          <w:sz w:val="20"/>
          <w:szCs w:val="20"/>
          <w:lang w:val="es-AR"/>
        </w:rPr>
        <w:t>Con respecto a la publicación en la página de la Policía Civil del Estado de Río de Janeiro, el Estado no indicó la fecha desde la cual se encuentra disponible</w:t>
      </w:r>
      <w:r w:rsidR="00717AE5" w:rsidRPr="00A260EB">
        <w:rPr>
          <w:rFonts w:ascii="Verdana" w:hAnsi="Verdana"/>
          <w:color w:val="000000"/>
          <w:sz w:val="20"/>
          <w:szCs w:val="20"/>
          <w:lang w:val="es-AR"/>
        </w:rPr>
        <w:t xml:space="preserve">; por ello, el Estado deberá continuar garantizando la preservación de la publicación en la referida página </w:t>
      </w:r>
      <w:r w:rsidR="00717AE5" w:rsidRPr="00A260EB">
        <w:rPr>
          <w:rFonts w:ascii="Verdana" w:hAnsi="Verdana"/>
          <w:i/>
          <w:color w:val="000000"/>
          <w:sz w:val="20"/>
          <w:szCs w:val="20"/>
          <w:lang w:val="es-AR"/>
        </w:rPr>
        <w:t>web</w:t>
      </w:r>
      <w:r w:rsidR="00717AE5" w:rsidRPr="00A260EB">
        <w:rPr>
          <w:rFonts w:ascii="Verdana" w:hAnsi="Verdana"/>
          <w:color w:val="000000"/>
          <w:sz w:val="20"/>
          <w:szCs w:val="20"/>
          <w:lang w:val="es-AR"/>
        </w:rPr>
        <w:t xml:space="preserve"> al menos hasta el 16 de mayo de 202</w:t>
      </w:r>
      <w:r w:rsidR="00905C97" w:rsidRPr="00A260EB">
        <w:rPr>
          <w:rFonts w:ascii="Verdana" w:hAnsi="Verdana"/>
          <w:color w:val="000000"/>
          <w:sz w:val="20"/>
          <w:szCs w:val="20"/>
          <w:lang w:val="es-AR"/>
        </w:rPr>
        <w:t>1</w:t>
      </w:r>
      <w:r w:rsidR="00874A8D" w:rsidRPr="00A260EB">
        <w:rPr>
          <w:rStyle w:val="Refdenotaalpie"/>
          <w:rFonts w:ascii="Verdana" w:hAnsi="Verdana"/>
          <w:color w:val="000000"/>
          <w:sz w:val="20"/>
          <w:szCs w:val="20"/>
          <w:lang w:val="es-ES_tradnl"/>
        </w:rPr>
        <w:footnoteReference w:id="16"/>
      </w:r>
      <w:r w:rsidR="00717AE5" w:rsidRPr="00A260EB">
        <w:rPr>
          <w:rFonts w:ascii="Verdana" w:hAnsi="Verdana"/>
          <w:color w:val="000000"/>
          <w:sz w:val="20"/>
          <w:szCs w:val="20"/>
          <w:lang w:val="es-AR"/>
        </w:rPr>
        <w:t>, debido a que indicó el enlace a dicha pub</w:t>
      </w:r>
      <w:r w:rsidR="00B90B79">
        <w:rPr>
          <w:rFonts w:ascii="Verdana" w:hAnsi="Verdana"/>
          <w:color w:val="000000"/>
          <w:sz w:val="20"/>
          <w:szCs w:val="20"/>
          <w:lang w:val="es-AR"/>
        </w:rPr>
        <w:t>licación el 16 de mayo de 2018.</w:t>
      </w:r>
    </w:p>
    <w:p w14:paraId="656672D8" w14:textId="1803D06A" w:rsidR="00463ABE" w:rsidRPr="00A260EB" w:rsidRDefault="009D17F4" w:rsidP="0041260D">
      <w:pPr>
        <w:numPr>
          <w:ilvl w:val="0"/>
          <w:numId w:val="2"/>
        </w:numPr>
        <w:tabs>
          <w:tab w:val="left" w:pos="709"/>
        </w:tabs>
        <w:spacing w:before="120" w:after="120" w:line="240" w:lineRule="auto"/>
        <w:ind w:left="0" w:firstLine="0"/>
        <w:jc w:val="both"/>
        <w:rPr>
          <w:rFonts w:ascii="Verdana" w:hAnsi="Verdana"/>
          <w:color w:val="000000"/>
          <w:sz w:val="20"/>
          <w:szCs w:val="20"/>
          <w:lang w:val="es-ES_tradnl"/>
        </w:rPr>
      </w:pPr>
      <w:r w:rsidRPr="00A260EB">
        <w:rPr>
          <w:rFonts w:ascii="Verdana" w:hAnsi="Verdana"/>
          <w:color w:val="000000"/>
          <w:sz w:val="20"/>
          <w:szCs w:val="20"/>
          <w:lang w:val="es-ES_tradnl"/>
        </w:rPr>
        <w:t xml:space="preserve">En lo </w:t>
      </w:r>
      <w:r w:rsidRPr="00A260EB">
        <w:rPr>
          <w:rFonts w:ascii="Verdana" w:hAnsi="Verdana"/>
          <w:color w:val="000000"/>
          <w:sz w:val="20"/>
          <w:szCs w:val="20"/>
          <w:lang w:val="es-AR"/>
        </w:rPr>
        <w:t>relativo</w:t>
      </w:r>
      <w:r w:rsidRPr="00A260EB">
        <w:rPr>
          <w:rFonts w:ascii="Verdana" w:hAnsi="Verdana"/>
          <w:color w:val="000000"/>
          <w:sz w:val="20"/>
          <w:szCs w:val="20"/>
          <w:lang w:val="es-ES_tradnl"/>
        </w:rPr>
        <w:t xml:space="preserve"> a la medida de</w:t>
      </w:r>
      <w:r w:rsidR="006D17AA" w:rsidRPr="00A260EB">
        <w:rPr>
          <w:rFonts w:ascii="Verdana" w:hAnsi="Verdana"/>
          <w:color w:val="000000"/>
          <w:sz w:val="20"/>
          <w:szCs w:val="20"/>
          <w:lang w:val="es-ES_tradnl"/>
        </w:rPr>
        <w:t xml:space="preserve"> promoción en las re</w:t>
      </w:r>
      <w:r w:rsidR="003119EF">
        <w:rPr>
          <w:rFonts w:ascii="Verdana" w:hAnsi="Verdana"/>
          <w:color w:val="000000"/>
          <w:sz w:val="20"/>
          <w:szCs w:val="20"/>
          <w:lang w:val="es-ES_tradnl"/>
        </w:rPr>
        <w:t>des sociales Twitter y Facebook</w:t>
      </w:r>
      <w:r w:rsidR="006D17AA" w:rsidRPr="00A260EB">
        <w:rPr>
          <w:rFonts w:ascii="Verdana" w:hAnsi="Verdana"/>
          <w:color w:val="000000"/>
          <w:sz w:val="20"/>
          <w:szCs w:val="20"/>
          <w:lang w:val="es-ES_tradnl"/>
        </w:rPr>
        <w:t xml:space="preserve"> de la página </w:t>
      </w:r>
      <w:r w:rsidR="006D17AA" w:rsidRPr="00A260EB">
        <w:rPr>
          <w:rFonts w:ascii="Verdana" w:hAnsi="Verdana"/>
          <w:i/>
          <w:color w:val="000000"/>
          <w:sz w:val="20"/>
          <w:szCs w:val="20"/>
          <w:lang w:val="es-ES_tradnl"/>
        </w:rPr>
        <w:t>web</w:t>
      </w:r>
      <w:r w:rsidR="006D17AA" w:rsidRPr="00A260EB">
        <w:rPr>
          <w:rFonts w:ascii="Verdana" w:hAnsi="Verdana"/>
          <w:color w:val="000000"/>
          <w:sz w:val="20"/>
          <w:szCs w:val="20"/>
          <w:lang w:val="es-ES_tradnl"/>
        </w:rPr>
        <w:t xml:space="preserve"> donde se ubique</w:t>
      </w:r>
      <w:r w:rsidR="003119EF">
        <w:rPr>
          <w:rFonts w:ascii="Verdana" w:hAnsi="Verdana"/>
          <w:color w:val="000000"/>
          <w:sz w:val="20"/>
          <w:szCs w:val="20"/>
          <w:lang w:val="es-ES_tradnl"/>
        </w:rPr>
        <w:t>n</w:t>
      </w:r>
      <w:r w:rsidR="006D17AA" w:rsidRPr="00A260EB">
        <w:rPr>
          <w:rFonts w:ascii="Verdana" w:hAnsi="Verdana"/>
          <w:color w:val="000000"/>
          <w:sz w:val="20"/>
          <w:szCs w:val="20"/>
          <w:lang w:val="es-ES_tradnl"/>
        </w:rPr>
        <w:t xml:space="preserve"> la Sentencia y su resumen </w:t>
      </w:r>
      <w:r w:rsidR="00EB57C5" w:rsidRPr="00A260EB">
        <w:rPr>
          <w:rFonts w:ascii="Verdana" w:hAnsi="Verdana"/>
          <w:color w:val="000000"/>
          <w:sz w:val="20"/>
          <w:szCs w:val="20"/>
          <w:lang w:val="es-ES_tradnl"/>
        </w:rPr>
        <w:t xml:space="preserve">oficial </w:t>
      </w:r>
      <w:r w:rsidR="006D17AA" w:rsidRPr="00A260EB">
        <w:rPr>
          <w:rFonts w:ascii="Verdana" w:hAnsi="Verdana"/>
          <w:color w:val="000000"/>
          <w:sz w:val="20"/>
          <w:szCs w:val="20"/>
          <w:lang w:val="es-ES_tradnl"/>
        </w:rPr>
        <w:t>por medio de un post semanal p</w:t>
      </w:r>
      <w:r w:rsidRPr="00A260EB">
        <w:rPr>
          <w:rFonts w:ascii="Verdana" w:hAnsi="Verdana"/>
          <w:color w:val="000000"/>
          <w:sz w:val="20"/>
          <w:szCs w:val="20"/>
          <w:lang w:val="es-ES_tradnl"/>
        </w:rPr>
        <w:t>or el plazo de un año en los perfiles</w:t>
      </w:r>
      <w:r w:rsidR="00280BC9" w:rsidRPr="00A260EB">
        <w:rPr>
          <w:rFonts w:ascii="Verdana" w:hAnsi="Verdana"/>
          <w:color w:val="000000"/>
          <w:sz w:val="20"/>
          <w:szCs w:val="20"/>
          <w:lang w:val="es-ES_tradnl"/>
        </w:rPr>
        <w:t xml:space="preserve"> de</w:t>
      </w:r>
      <w:r w:rsidR="00F93662" w:rsidRPr="00A260EB">
        <w:rPr>
          <w:rFonts w:ascii="Verdana" w:hAnsi="Verdana"/>
          <w:color w:val="000000"/>
          <w:sz w:val="20"/>
          <w:szCs w:val="20"/>
          <w:lang w:val="es-ES_tradnl"/>
        </w:rPr>
        <w:t xml:space="preserve"> las cinco instituciones indicadas (</w:t>
      </w:r>
      <w:r w:rsidR="00F93662" w:rsidRPr="00A260EB">
        <w:rPr>
          <w:rFonts w:ascii="Verdana" w:hAnsi="Verdana"/>
          <w:i/>
          <w:color w:val="000000"/>
          <w:sz w:val="20"/>
          <w:szCs w:val="20"/>
          <w:lang w:val="es-ES_tradnl"/>
        </w:rPr>
        <w:t>supra</w:t>
      </w:r>
      <w:r w:rsidR="00F93662" w:rsidRPr="00A260EB">
        <w:rPr>
          <w:rFonts w:ascii="Verdana" w:hAnsi="Verdana"/>
          <w:color w:val="000000"/>
          <w:sz w:val="20"/>
          <w:szCs w:val="20"/>
          <w:lang w:val="es-ES_tradnl"/>
        </w:rPr>
        <w:t xml:space="preserve"> Considerando 4)</w:t>
      </w:r>
      <w:r w:rsidR="00280BC9" w:rsidRPr="00A260EB">
        <w:rPr>
          <w:rFonts w:ascii="Verdana" w:hAnsi="Verdana"/>
          <w:color w:val="000000"/>
          <w:sz w:val="20"/>
          <w:szCs w:val="20"/>
          <w:lang w:val="es-CR"/>
        </w:rPr>
        <w:t xml:space="preserve">, la Corte </w:t>
      </w:r>
      <w:r w:rsidR="00EB57C5" w:rsidRPr="00A260EB">
        <w:rPr>
          <w:rFonts w:ascii="Verdana" w:hAnsi="Verdana"/>
          <w:color w:val="000000"/>
          <w:sz w:val="20"/>
          <w:szCs w:val="20"/>
          <w:lang w:val="es-CR"/>
        </w:rPr>
        <w:t>constata</w:t>
      </w:r>
      <w:r w:rsidR="0007109E" w:rsidRPr="00A260EB">
        <w:rPr>
          <w:rFonts w:ascii="Verdana" w:hAnsi="Verdana"/>
          <w:color w:val="000000"/>
          <w:sz w:val="20"/>
          <w:szCs w:val="20"/>
          <w:lang w:val="es-CR"/>
        </w:rPr>
        <w:t xml:space="preserve"> lo siguiente</w:t>
      </w:r>
      <w:r w:rsidR="00494BA3" w:rsidRPr="00A260EB">
        <w:rPr>
          <w:rFonts w:ascii="Verdana" w:hAnsi="Verdana"/>
          <w:color w:val="000000"/>
          <w:sz w:val="20"/>
          <w:szCs w:val="20"/>
          <w:lang w:val="es-ES_tradnl"/>
        </w:rPr>
        <w:t>:</w:t>
      </w:r>
    </w:p>
    <w:p w14:paraId="2650A8E7" w14:textId="54695B89" w:rsidR="00E341A6" w:rsidRPr="00A260EB" w:rsidRDefault="00494BA3" w:rsidP="00FE67D9">
      <w:pPr>
        <w:pStyle w:val="Prrafodelista"/>
        <w:numPr>
          <w:ilvl w:val="0"/>
          <w:numId w:val="15"/>
        </w:numPr>
        <w:tabs>
          <w:tab w:val="left" w:pos="709"/>
        </w:tabs>
        <w:spacing w:before="100" w:beforeAutospacing="1" w:after="100" w:afterAutospacing="1" w:line="240" w:lineRule="auto"/>
        <w:jc w:val="both"/>
        <w:rPr>
          <w:rFonts w:ascii="Verdana" w:hAnsi="Verdana"/>
          <w:color w:val="000000"/>
          <w:sz w:val="20"/>
          <w:szCs w:val="20"/>
          <w:lang w:val="es-ES_tradnl"/>
        </w:rPr>
      </w:pPr>
      <w:r w:rsidRPr="00A260EB">
        <w:rPr>
          <w:rFonts w:ascii="Verdana" w:hAnsi="Verdana"/>
          <w:color w:val="000000"/>
          <w:sz w:val="20"/>
          <w:szCs w:val="20"/>
          <w:lang w:val="es-ES_tradnl"/>
        </w:rPr>
        <w:t>Ministerio de Derechos Humanos</w:t>
      </w:r>
      <w:r w:rsidR="00280BC9" w:rsidRPr="00A260EB">
        <w:rPr>
          <w:rFonts w:ascii="Verdana" w:hAnsi="Verdana"/>
          <w:color w:val="000000"/>
          <w:sz w:val="20"/>
          <w:szCs w:val="20"/>
          <w:lang w:val="es-ES_tradnl"/>
        </w:rPr>
        <w:t xml:space="preserve">: </w:t>
      </w:r>
      <w:r w:rsidR="00EB57C5" w:rsidRPr="00A260EB">
        <w:rPr>
          <w:rFonts w:ascii="Verdana" w:hAnsi="Verdana"/>
          <w:color w:val="000000"/>
          <w:sz w:val="20"/>
          <w:szCs w:val="20"/>
          <w:lang w:val="es-ES_tradnl"/>
        </w:rPr>
        <w:t>e</w:t>
      </w:r>
      <w:r w:rsidR="00280BC9" w:rsidRPr="00A260EB">
        <w:rPr>
          <w:rFonts w:ascii="Verdana" w:hAnsi="Verdana"/>
          <w:color w:val="000000"/>
          <w:sz w:val="20"/>
          <w:szCs w:val="20"/>
          <w:lang w:val="es-ES_tradnl"/>
        </w:rPr>
        <w:t xml:space="preserve">l </w:t>
      </w:r>
      <w:r w:rsidR="007557D0" w:rsidRPr="00A260EB">
        <w:rPr>
          <w:rFonts w:ascii="Verdana" w:hAnsi="Verdana"/>
          <w:color w:val="000000"/>
          <w:sz w:val="20"/>
          <w:szCs w:val="20"/>
          <w:lang w:val="es-ES_tradnl"/>
        </w:rPr>
        <w:t xml:space="preserve">Estado </w:t>
      </w:r>
      <w:r w:rsidR="00B11FEC" w:rsidRPr="00A260EB">
        <w:rPr>
          <w:rFonts w:ascii="Verdana" w:hAnsi="Verdana"/>
          <w:color w:val="000000"/>
          <w:sz w:val="20"/>
          <w:szCs w:val="20"/>
          <w:lang w:val="es-ES_tradnl"/>
        </w:rPr>
        <w:t xml:space="preserve">afirmó </w:t>
      </w:r>
      <w:r w:rsidR="00342EB1" w:rsidRPr="00A260EB">
        <w:rPr>
          <w:rFonts w:ascii="Verdana" w:hAnsi="Verdana"/>
          <w:color w:val="000000"/>
          <w:sz w:val="20"/>
          <w:szCs w:val="20"/>
          <w:lang w:val="es-ES_tradnl"/>
        </w:rPr>
        <w:t xml:space="preserve">que ha </w:t>
      </w:r>
      <w:r w:rsidR="00010C90" w:rsidRPr="00A260EB">
        <w:rPr>
          <w:rFonts w:ascii="Verdana" w:hAnsi="Verdana"/>
          <w:color w:val="000000"/>
          <w:sz w:val="20"/>
          <w:szCs w:val="20"/>
          <w:lang w:val="es-ES_tradnl"/>
        </w:rPr>
        <w:t xml:space="preserve">venido </w:t>
      </w:r>
      <w:r w:rsidR="00342EB1" w:rsidRPr="00A260EB">
        <w:rPr>
          <w:rFonts w:ascii="Verdana" w:hAnsi="Verdana"/>
          <w:color w:val="000000"/>
          <w:sz w:val="20"/>
          <w:szCs w:val="20"/>
          <w:lang w:val="es-ES_tradnl"/>
        </w:rPr>
        <w:t>publica</w:t>
      </w:r>
      <w:r w:rsidR="00EB57C5" w:rsidRPr="00A260EB">
        <w:rPr>
          <w:rFonts w:ascii="Verdana" w:hAnsi="Verdana"/>
          <w:color w:val="000000"/>
          <w:sz w:val="20"/>
          <w:szCs w:val="20"/>
          <w:lang w:val="es-ES_tradnl"/>
        </w:rPr>
        <w:t>n</w:t>
      </w:r>
      <w:r w:rsidR="00342EB1" w:rsidRPr="00A260EB">
        <w:rPr>
          <w:rFonts w:ascii="Verdana" w:hAnsi="Verdana"/>
          <w:color w:val="000000"/>
          <w:sz w:val="20"/>
          <w:szCs w:val="20"/>
          <w:lang w:val="es-ES_tradnl"/>
        </w:rPr>
        <w:t xml:space="preserve">do semanalmente en sus cuentas </w:t>
      </w:r>
      <w:r w:rsidR="00010C90" w:rsidRPr="00A260EB">
        <w:rPr>
          <w:rFonts w:ascii="Verdana" w:hAnsi="Verdana"/>
          <w:color w:val="000000"/>
          <w:sz w:val="20"/>
          <w:szCs w:val="20"/>
          <w:lang w:val="es-ES_tradnl"/>
        </w:rPr>
        <w:t xml:space="preserve">de Twitter y Facebook la página en la cual figuran la Sentencia y su resumen, y aportó </w:t>
      </w:r>
      <w:r w:rsidR="00B11FEC" w:rsidRPr="00A260EB">
        <w:rPr>
          <w:rFonts w:ascii="Verdana" w:hAnsi="Verdana"/>
          <w:color w:val="000000"/>
          <w:sz w:val="20"/>
          <w:szCs w:val="20"/>
          <w:lang w:val="es-ES_tradnl"/>
        </w:rPr>
        <w:t xml:space="preserve">algunas </w:t>
      </w:r>
      <w:r w:rsidR="00010C90" w:rsidRPr="00A260EB">
        <w:rPr>
          <w:rFonts w:ascii="Verdana" w:hAnsi="Verdana"/>
          <w:color w:val="000000"/>
          <w:sz w:val="20"/>
          <w:szCs w:val="20"/>
          <w:lang w:val="es-ES_tradnl"/>
        </w:rPr>
        <w:t>capturas de pantalla</w:t>
      </w:r>
      <w:r w:rsidR="0007143D" w:rsidRPr="00A260EB">
        <w:rPr>
          <w:rStyle w:val="Refdenotaalpie"/>
          <w:rFonts w:ascii="Verdana" w:hAnsi="Verdana"/>
          <w:color w:val="000000"/>
          <w:sz w:val="20"/>
          <w:szCs w:val="20"/>
          <w:lang w:val="es-ES_tradnl"/>
        </w:rPr>
        <w:footnoteReference w:id="17"/>
      </w:r>
      <w:r w:rsidR="00B90B79">
        <w:rPr>
          <w:rFonts w:ascii="Verdana" w:hAnsi="Verdana"/>
          <w:color w:val="000000"/>
          <w:sz w:val="20"/>
          <w:szCs w:val="20"/>
          <w:lang w:val="es-ES_tradnl"/>
        </w:rPr>
        <w:t>.</w:t>
      </w:r>
    </w:p>
    <w:p w14:paraId="7F6C76FD" w14:textId="2DD27E3A" w:rsidR="00494BA3" w:rsidRPr="00A260EB" w:rsidRDefault="00494BA3" w:rsidP="00494BA3">
      <w:pPr>
        <w:pStyle w:val="Prrafodelista"/>
        <w:numPr>
          <w:ilvl w:val="0"/>
          <w:numId w:val="15"/>
        </w:numPr>
        <w:tabs>
          <w:tab w:val="left" w:pos="709"/>
        </w:tabs>
        <w:spacing w:before="100" w:beforeAutospacing="1" w:after="100" w:afterAutospacing="1" w:line="240" w:lineRule="auto"/>
        <w:jc w:val="both"/>
        <w:rPr>
          <w:rFonts w:ascii="Verdana" w:hAnsi="Verdana"/>
          <w:color w:val="000000"/>
          <w:sz w:val="20"/>
          <w:szCs w:val="20"/>
          <w:lang w:val="es-ES_tradnl"/>
        </w:rPr>
      </w:pPr>
      <w:r w:rsidRPr="00A260EB">
        <w:rPr>
          <w:rFonts w:ascii="Verdana" w:hAnsi="Verdana"/>
          <w:color w:val="000000"/>
          <w:sz w:val="20"/>
          <w:szCs w:val="20"/>
          <w:lang w:val="es-ES_tradnl"/>
        </w:rPr>
        <w:t>Ministerio de Relaciones Exteriores</w:t>
      </w:r>
      <w:r w:rsidR="00280BC9" w:rsidRPr="00A260EB">
        <w:rPr>
          <w:rFonts w:ascii="Verdana" w:hAnsi="Verdana"/>
          <w:color w:val="000000"/>
          <w:sz w:val="20"/>
          <w:szCs w:val="20"/>
          <w:lang w:val="es-ES_tradnl"/>
        </w:rPr>
        <w:t xml:space="preserve">: </w:t>
      </w:r>
      <w:r w:rsidR="00B11FEC" w:rsidRPr="00A260EB">
        <w:rPr>
          <w:rFonts w:ascii="Verdana" w:hAnsi="Verdana"/>
          <w:color w:val="000000"/>
          <w:sz w:val="20"/>
          <w:szCs w:val="20"/>
          <w:lang w:val="es-ES_tradnl"/>
        </w:rPr>
        <w:t>e</w:t>
      </w:r>
      <w:r w:rsidR="00280BC9" w:rsidRPr="00A260EB">
        <w:rPr>
          <w:rFonts w:ascii="Verdana" w:hAnsi="Verdana"/>
          <w:color w:val="000000"/>
          <w:sz w:val="20"/>
          <w:szCs w:val="20"/>
          <w:lang w:val="es-ES_tradnl"/>
        </w:rPr>
        <w:t>l</w:t>
      </w:r>
      <w:r w:rsidR="0007143D" w:rsidRPr="00A260EB">
        <w:rPr>
          <w:rFonts w:ascii="Verdana" w:hAnsi="Verdana"/>
          <w:color w:val="000000"/>
          <w:sz w:val="20"/>
          <w:szCs w:val="20"/>
          <w:lang w:val="es-ES_tradnl"/>
        </w:rPr>
        <w:t xml:space="preserve"> Estado </w:t>
      </w:r>
      <w:r w:rsidR="00632D7D" w:rsidRPr="00A260EB">
        <w:rPr>
          <w:rFonts w:ascii="Verdana" w:hAnsi="Verdana"/>
          <w:color w:val="000000"/>
          <w:sz w:val="20"/>
          <w:szCs w:val="20"/>
          <w:lang w:val="es-ES_tradnl"/>
        </w:rPr>
        <w:t xml:space="preserve">realizó 38 publicaciones en sus redes sociales entre el 25 de agosto de 2017 y el 11 de mayo de 2018, compartiendo </w:t>
      </w:r>
      <w:r w:rsidR="001A6B93" w:rsidRPr="00A260EB">
        <w:rPr>
          <w:rFonts w:ascii="Verdana" w:hAnsi="Verdana"/>
          <w:color w:val="000000"/>
          <w:sz w:val="20"/>
          <w:szCs w:val="20"/>
          <w:lang w:val="es-ES_tradnl"/>
        </w:rPr>
        <w:t xml:space="preserve">el </w:t>
      </w:r>
      <w:r w:rsidR="00632D7D" w:rsidRPr="00A260EB">
        <w:rPr>
          <w:rFonts w:ascii="Verdana" w:hAnsi="Verdana"/>
          <w:color w:val="000000"/>
          <w:sz w:val="20"/>
          <w:szCs w:val="20"/>
          <w:lang w:val="es-ES_tradnl"/>
        </w:rPr>
        <w:t xml:space="preserve">enlace al </w:t>
      </w:r>
      <w:r w:rsidR="0007143D" w:rsidRPr="00A260EB">
        <w:rPr>
          <w:rFonts w:ascii="Verdana" w:hAnsi="Verdana"/>
          <w:color w:val="000000"/>
          <w:sz w:val="20"/>
          <w:szCs w:val="20"/>
          <w:lang w:val="es-ES_tradnl"/>
        </w:rPr>
        <w:t xml:space="preserve">sitio </w:t>
      </w:r>
      <w:r w:rsidR="0007143D" w:rsidRPr="00A260EB">
        <w:rPr>
          <w:rFonts w:ascii="Verdana" w:hAnsi="Verdana"/>
          <w:i/>
          <w:color w:val="000000"/>
          <w:sz w:val="20"/>
          <w:szCs w:val="20"/>
          <w:lang w:val="es-ES_tradnl"/>
        </w:rPr>
        <w:t>web</w:t>
      </w:r>
      <w:r w:rsidR="0007143D" w:rsidRPr="00A260EB">
        <w:rPr>
          <w:rFonts w:ascii="Verdana" w:hAnsi="Verdana"/>
          <w:color w:val="000000"/>
          <w:sz w:val="20"/>
          <w:szCs w:val="20"/>
          <w:lang w:val="es-ES_tradnl"/>
        </w:rPr>
        <w:t xml:space="preserve"> donde figuran la Sentencia con su resumen</w:t>
      </w:r>
      <w:r w:rsidR="0007143D" w:rsidRPr="00A260EB">
        <w:rPr>
          <w:rStyle w:val="Refdenotaalpie"/>
          <w:rFonts w:ascii="Verdana" w:hAnsi="Verdana"/>
          <w:color w:val="000000"/>
          <w:sz w:val="20"/>
          <w:szCs w:val="20"/>
          <w:lang w:val="es-ES_tradnl"/>
        </w:rPr>
        <w:footnoteReference w:id="18"/>
      </w:r>
      <w:r w:rsidR="0007143D" w:rsidRPr="00A260EB">
        <w:rPr>
          <w:rFonts w:ascii="Verdana" w:hAnsi="Verdana"/>
          <w:color w:val="000000"/>
          <w:sz w:val="20"/>
          <w:szCs w:val="20"/>
          <w:lang w:val="es-ES_tradnl"/>
        </w:rPr>
        <w:t>.</w:t>
      </w:r>
    </w:p>
    <w:p w14:paraId="7F1DB647" w14:textId="4775B9E9" w:rsidR="00082594" w:rsidRPr="00A260EB" w:rsidRDefault="00494BA3" w:rsidP="003F04EB">
      <w:pPr>
        <w:pStyle w:val="Prrafodelista"/>
        <w:numPr>
          <w:ilvl w:val="0"/>
          <w:numId w:val="15"/>
        </w:numPr>
        <w:tabs>
          <w:tab w:val="left" w:pos="709"/>
        </w:tabs>
        <w:spacing w:before="100" w:beforeAutospacing="1" w:after="0" w:afterAutospacing="1" w:line="240" w:lineRule="auto"/>
        <w:jc w:val="both"/>
        <w:rPr>
          <w:rFonts w:ascii="Verdana" w:hAnsi="Verdana"/>
          <w:sz w:val="20"/>
          <w:szCs w:val="20"/>
          <w:lang w:val="es-CR"/>
        </w:rPr>
      </w:pPr>
      <w:r w:rsidRPr="00A260EB">
        <w:rPr>
          <w:rFonts w:ascii="Verdana" w:hAnsi="Verdana"/>
          <w:color w:val="000000"/>
          <w:sz w:val="20"/>
          <w:szCs w:val="20"/>
          <w:lang w:val="es-ES_tradnl"/>
        </w:rPr>
        <w:t>Policía Civil del Estado de Río de Janeiro</w:t>
      </w:r>
      <w:r w:rsidR="00082594" w:rsidRPr="00A260EB">
        <w:rPr>
          <w:rFonts w:ascii="Verdana" w:hAnsi="Verdana"/>
          <w:color w:val="000000"/>
          <w:sz w:val="20"/>
          <w:szCs w:val="20"/>
          <w:lang w:val="es-ES_tradnl"/>
        </w:rPr>
        <w:t xml:space="preserve">: </w:t>
      </w:r>
      <w:r w:rsidR="009F2991" w:rsidRPr="00A260EB">
        <w:rPr>
          <w:rFonts w:ascii="Verdana" w:hAnsi="Verdana"/>
          <w:color w:val="000000"/>
          <w:sz w:val="20"/>
          <w:szCs w:val="20"/>
          <w:lang w:val="es-ES_tradnl"/>
        </w:rPr>
        <w:t>e</w:t>
      </w:r>
      <w:r w:rsidR="00082594" w:rsidRPr="00A260EB">
        <w:rPr>
          <w:rFonts w:ascii="Verdana" w:hAnsi="Verdana"/>
          <w:color w:val="000000"/>
          <w:sz w:val="20"/>
          <w:szCs w:val="20"/>
          <w:lang w:val="es-ES_tradnl"/>
        </w:rPr>
        <w:t xml:space="preserve">l Estado acompañó </w:t>
      </w:r>
      <w:r w:rsidR="003119EF">
        <w:rPr>
          <w:rFonts w:ascii="Verdana" w:hAnsi="Verdana"/>
          <w:color w:val="000000"/>
          <w:sz w:val="20"/>
          <w:szCs w:val="20"/>
          <w:lang w:val="es-ES_tradnl"/>
        </w:rPr>
        <w:t>captura de pantalla</w:t>
      </w:r>
      <w:r w:rsidR="00082594" w:rsidRPr="00A260EB">
        <w:rPr>
          <w:rFonts w:ascii="Verdana" w:hAnsi="Verdana"/>
          <w:color w:val="000000"/>
          <w:sz w:val="20"/>
          <w:szCs w:val="20"/>
          <w:lang w:val="es-ES_tradnl"/>
        </w:rPr>
        <w:t xml:space="preserve"> de dos publicaciones realizadas en su cuenta de Twitter, </w:t>
      </w:r>
      <w:r w:rsidR="003119EF" w:rsidRPr="00A260EB">
        <w:rPr>
          <w:rFonts w:ascii="Verdana" w:hAnsi="Verdana"/>
          <w:color w:val="000000"/>
          <w:sz w:val="20"/>
          <w:szCs w:val="20"/>
          <w:lang w:val="es-ES_tradnl"/>
        </w:rPr>
        <w:t xml:space="preserve">una de ellas sin indicación de fecha </w:t>
      </w:r>
      <w:r w:rsidR="00082594" w:rsidRPr="00A260EB">
        <w:rPr>
          <w:rFonts w:ascii="Verdana" w:hAnsi="Verdana"/>
          <w:color w:val="000000"/>
          <w:sz w:val="20"/>
          <w:szCs w:val="20"/>
          <w:lang w:val="es-ES_tradnl"/>
        </w:rPr>
        <w:t xml:space="preserve">y la otra de </w:t>
      </w:r>
      <w:r w:rsidR="003119EF" w:rsidRPr="00A260EB">
        <w:rPr>
          <w:rFonts w:ascii="Verdana" w:hAnsi="Verdana"/>
          <w:color w:val="000000"/>
          <w:sz w:val="20"/>
          <w:szCs w:val="20"/>
          <w:lang w:val="es-ES_tradnl"/>
        </w:rPr>
        <w:t>25 de abril de</w:t>
      </w:r>
      <w:r w:rsidR="00C77409">
        <w:rPr>
          <w:rFonts w:ascii="Verdana" w:hAnsi="Verdana"/>
          <w:color w:val="000000"/>
          <w:sz w:val="20"/>
          <w:szCs w:val="20"/>
          <w:lang w:val="es-ES_tradnl"/>
        </w:rPr>
        <w:t xml:space="preserve"> 2018</w:t>
      </w:r>
      <w:r w:rsidR="001A6B93" w:rsidRPr="00A260EB">
        <w:rPr>
          <w:rStyle w:val="Refdenotaalpie"/>
          <w:rFonts w:ascii="Verdana" w:hAnsi="Verdana"/>
          <w:color w:val="000000"/>
          <w:sz w:val="20"/>
          <w:szCs w:val="20"/>
          <w:lang w:val="es-ES_tradnl"/>
        </w:rPr>
        <w:footnoteReference w:id="19"/>
      </w:r>
      <w:r w:rsidR="00082594" w:rsidRPr="00A260EB">
        <w:rPr>
          <w:rFonts w:ascii="Verdana" w:hAnsi="Verdana"/>
          <w:color w:val="000000"/>
          <w:sz w:val="20"/>
          <w:szCs w:val="20"/>
          <w:lang w:val="es-ES_tradnl"/>
        </w:rPr>
        <w:t>.</w:t>
      </w:r>
    </w:p>
    <w:p w14:paraId="31E6B110" w14:textId="1CDD0F82" w:rsidR="00082594" w:rsidRPr="00A260EB" w:rsidRDefault="00494BA3" w:rsidP="003F04EB">
      <w:pPr>
        <w:pStyle w:val="Prrafodelista"/>
        <w:numPr>
          <w:ilvl w:val="0"/>
          <w:numId w:val="15"/>
        </w:numPr>
        <w:tabs>
          <w:tab w:val="left" w:pos="709"/>
        </w:tabs>
        <w:spacing w:before="100" w:beforeAutospacing="1" w:after="0" w:afterAutospacing="1" w:line="240" w:lineRule="auto"/>
        <w:jc w:val="both"/>
        <w:rPr>
          <w:rFonts w:ascii="Verdana" w:hAnsi="Verdana"/>
          <w:sz w:val="20"/>
          <w:szCs w:val="20"/>
          <w:lang w:val="es-CR"/>
        </w:rPr>
      </w:pPr>
      <w:r w:rsidRPr="00A260EB">
        <w:rPr>
          <w:rFonts w:ascii="Verdana" w:hAnsi="Verdana"/>
          <w:color w:val="000000"/>
          <w:sz w:val="20"/>
          <w:szCs w:val="20"/>
          <w:lang w:val="es-ES_tradnl"/>
        </w:rPr>
        <w:t>Secretaría de Seguridad Pública del Estado de Río de Janeiro</w:t>
      </w:r>
      <w:r w:rsidR="00082594" w:rsidRPr="00A260EB">
        <w:rPr>
          <w:rFonts w:ascii="Verdana" w:hAnsi="Verdana"/>
          <w:color w:val="000000"/>
          <w:sz w:val="20"/>
          <w:szCs w:val="20"/>
          <w:lang w:val="es-ES_tradnl"/>
        </w:rPr>
        <w:t xml:space="preserve">: </w:t>
      </w:r>
      <w:r w:rsidR="009F2991" w:rsidRPr="00A260EB">
        <w:rPr>
          <w:rFonts w:ascii="Verdana" w:hAnsi="Verdana"/>
          <w:color w:val="000000"/>
          <w:sz w:val="20"/>
          <w:szCs w:val="20"/>
          <w:lang w:val="es-ES_tradnl"/>
        </w:rPr>
        <w:t>e</w:t>
      </w:r>
      <w:r w:rsidR="00082594" w:rsidRPr="00A260EB">
        <w:rPr>
          <w:rFonts w:ascii="Verdana" w:hAnsi="Verdana"/>
          <w:color w:val="000000"/>
          <w:sz w:val="20"/>
          <w:szCs w:val="20"/>
          <w:lang w:val="es-ES_tradnl"/>
        </w:rPr>
        <w:t xml:space="preserve">l Estado acompañó copia de dos publicaciones realizadas en su cuenta de Twitter, una de ellas </w:t>
      </w:r>
      <w:r w:rsidR="008B759E" w:rsidRPr="00A260EB">
        <w:rPr>
          <w:rFonts w:ascii="Verdana" w:hAnsi="Verdana"/>
          <w:color w:val="000000"/>
          <w:sz w:val="20"/>
          <w:szCs w:val="20"/>
          <w:lang w:val="es-ES_tradnl"/>
        </w:rPr>
        <w:t>sin indicación de fecha,</w:t>
      </w:r>
      <w:r w:rsidR="00082594" w:rsidRPr="00A260EB">
        <w:rPr>
          <w:rFonts w:ascii="Verdana" w:hAnsi="Verdana"/>
          <w:color w:val="000000"/>
          <w:sz w:val="20"/>
          <w:szCs w:val="20"/>
          <w:lang w:val="es-ES_tradnl"/>
        </w:rPr>
        <w:t xml:space="preserve"> y la otra de</w:t>
      </w:r>
      <w:r w:rsidR="00C77409">
        <w:rPr>
          <w:rFonts w:ascii="Verdana" w:hAnsi="Verdana"/>
          <w:color w:val="000000"/>
          <w:sz w:val="20"/>
          <w:szCs w:val="20"/>
          <w:lang w:val="es-ES_tradnl"/>
        </w:rPr>
        <w:t xml:space="preserve"> </w:t>
      </w:r>
      <w:r w:rsidR="003119EF" w:rsidRPr="00A260EB">
        <w:rPr>
          <w:rFonts w:ascii="Verdana" w:hAnsi="Verdana"/>
          <w:color w:val="000000"/>
          <w:sz w:val="20"/>
          <w:szCs w:val="20"/>
          <w:lang w:val="es-ES_tradnl"/>
        </w:rPr>
        <w:t>9 de mayo de 2018</w:t>
      </w:r>
      <w:r w:rsidR="001A6B93" w:rsidRPr="00A260EB">
        <w:rPr>
          <w:rStyle w:val="Refdenotaalpie"/>
          <w:rFonts w:ascii="Verdana" w:hAnsi="Verdana"/>
          <w:color w:val="000000"/>
          <w:sz w:val="20"/>
          <w:szCs w:val="20"/>
          <w:lang w:val="es-ES_tradnl"/>
        </w:rPr>
        <w:footnoteReference w:id="20"/>
      </w:r>
      <w:r w:rsidR="00082594" w:rsidRPr="00A260EB">
        <w:rPr>
          <w:rFonts w:ascii="Verdana" w:hAnsi="Verdana"/>
          <w:color w:val="000000"/>
          <w:sz w:val="20"/>
          <w:szCs w:val="20"/>
          <w:lang w:val="es-ES_tradnl"/>
        </w:rPr>
        <w:t xml:space="preserve">. </w:t>
      </w:r>
    </w:p>
    <w:p w14:paraId="7A23829C" w14:textId="67A8B1F6" w:rsidR="00082594" w:rsidRPr="00A260EB" w:rsidRDefault="00494BA3" w:rsidP="003F04EB">
      <w:pPr>
        <w:pStyle w:val="Prrafodelista"/>
        <w:numPr>
          <w:ilvl w:val="0"/>
          <w:numId w:val="15"/>
        </w:numPr>
        <w:tabs>
          <w:tab w:val="left" w:pos="709"/>
        </w:tabs>
        <w:spacing w:before="100" w:beforeAutospacing="1" w:after="0" w:afterAutospacing="1" w:line="240" w:lineRule="auto"/>
        <w:jc w:val="both"/>
        <w:rPr>
          <w:rFonts w:ascii="Verdana" w:hAnsi="Verdana"/>
          <w:sz w:val="20"/>
          <w:szCs w:val="20"/>
          <w:lang w:val="es-CR"/>
        </w:rPr>
      </w:pPr>
      <w:r w:rsidRPr="00A260EB">
        <w:rPr>
          <w:rFonts w:ascii="Verdana" w:hAnsi="Verdana"/>
          <w:color w:val="000000"/>
          <w:sz w:val="20"/>
          <w:szCs w:val="20"/>
          <w:lang w:val="es-ES_tradnl"/>
        </w:rPr>
        <w:t>Gobierno del Estado de Río de Janeiro</w:t>
      </w:r>
      <w:r w:rsidR="00280BC9" w:rsidRPr="00A260EB">
        <w:rPr>
          <w:rFonts w:ascii="Verdana" w:hAnsi="Verdana"/>
          <w:color w:val="000000"/>
          <w:sz w:val="20"/>
          <w:szCs w:val="20"/>
          <w:lang w:val="es-ES_tradnl"/>
        </w:rPr>
        <w:t xml:space="preserve">: </w:t>
      </w:r>
      <w:r w:rsidR="00E821A4" w:rsidRPr="00A260EB">
        <w:rPr>
          <w:rFonts w:ascii="Verdana" w:hAnsi="Verdana"/>
          <w:color w:val="000000"/>
          <w:sz w:val="20"/>
          <w:szCs w:val="20"/>
          <w:lang w:val="es-ES_tradnl"/>
        </w:rPr>
        <w:t>e</w:t>
      </w:r>
      <w:r w:rsidR="009736E4" w:rsidRPr="00A260EB">
        <w:rPr>
          <w:rFonts w:ascii="Verdana" w:hAnsi="Verdana"/>
          <w:color w:val="000000"/>
          <w:sz w:val="20"/>
          <w:szCs w:val="20"/>
          <w:lang w:val="es-ES_tradnl"/>
        </w:rPr>
        <w:t xml:space="preserve">l Estado </w:t>
      </w:r>
      <w:r w:rsidR="00082594" w:rsidRPr="00A260EB">
        <w:rPr>
          <w:rFonts w:ascii="Verdana" w:hAnsi="Verdana"/>
          <w:color w:val="000000"/>
          <w:sz w:val="20"/>
          <w:szCs w:val="20"/>
          <w:lang w:val="es-ES_tradnl"/>
        </w:rPr>
        <w:t xml:space="preserve">acompañó </w:t>
      </w:r>
      <w:r w:rsidR="00C77409">
        <w:rPr>
          <w:rFonts w:ascii="Verdana" w:hAnsi="Verdana"/>
          <w:color w:val="000000"/>
          <w:sz w:val="20"/>
          <w:szCs w:val="20"/>
          <w:lang w:val="es-ES_tradnl"/>
        </w:rPr>
        <w:t>captura de pantalla</w:t>
      </w:r>
      <w:r w:rsidR="00082594" w:rsidRPr="00A260EB">
        <w:rPr>
          <w:rFonts w:ascii="Verdana" w:hAnsi="Verdana"/>
          <w:color w:val="000000"/>
          <w:sz w:val="20"/>
          <w:szCs w:val="20"/>
          <w:lang w:val="es-ES_tradnl"/>
        </w:rPr>
        <w:t xml:space="preserve"> de </w:t>
      </w:r>
      <w:r w:rsidR="00E821A4" w:rsidRPr="00A260EB">
        <w:rPr>
          <w:rFonts w:ascii="Verdana" w:hAnsi="Verdana"/>
          <w:color w:val="000000"/>
          <w:sz w:val="20"/>
          <w:szCs w:val="20"/>
          <w:lang w:val="es-ES_tradnl"/>
        </w:rPr>
        <w:t>l</w:t>
      </w:r>
      <w:r w:rsidR="00082594" w:rsidRPr="00A260EB">
        <w:rPr>
          <w:rFonts w:ascii="Verdana" w:hAnsi="Verdana"/>
          <w:color w:val="000000"/>
          <w:sz w:val="20"/>
          <w:szCs w:val="20"/>
          <w:lang w:val="es-ES_tradnl"/>
        </w:rPr>
        <w:t xml:space="preserve">a publicación realizada en su cuenta de Facebook </w:t>
      </w:r>
      <w:r w:rsidR="00E821A4" w:rsidRPr="00A260EB">
        <w:rPr>
          <w:rFonts w:ascii="Verdana" w:hAnsi="Verdana"/>
          <w:color w:val="000000"/>
          <w:sz w:val="20"/>
          <w:szCs w:val="20"/>
          <w:lang w:val="es-ES_tradnl"/>
        </w:rPr>
        <w:t>el</w:t>
      </w:r>
      <w:r w:rsidR="00082594" w:rsidRPr="00A260EB">
        <w:rPr>
          <w:rFonts w:ascii="Verdana" w:hAnsi="Verdana"/>
          <w:color w:val="000000"/>
          <w:sz w:val="20"/>
          <w:szCs w:val="20"/>
          <w:lang w:val="es-ES_tradnl"/>
        </w:rPr>
        <w:t xml:space="preserve"> 11 de abril de 2018</w:t>
      </w:r>
      <w:r w:rsidR="001A6B93" w:rsidRPr="00A260EB">
        <w:rPr>
          <w:rStyle w:val="Refdenotaalpie"/>
          <w:rFonts w:ascii="Verdana" w:hAnsi="Verdana"/>
          <w:color w:val="000000"/>
          <w:sz w:val="20"/>
          <w:szCs w:val="20"/>
          <w:lang w:val="es-ES_tradnl"/>
        </w:rPr>
        <w:footnoteReference w:id="21"/>
      </w:r>
      <w:r w:rsidR="00082594" w:rsidRPr="00A260EB">
        <w:rPr>
          <w:rFonts w:ascii="Verdana" w:hAnsi="Verdana"/>
          <w:color w:val="000000"/>
          <w:sz w:val="20"/>
          <w:szCs w:val="20"/>
          <w:lang w:val="es-ES_tradnl"/>
        </w:rPr>
        <w:t xml:space="preserve">. </w:t>
      </w:r>
    </w:p>
    <w:p w14:paraId="3F5685AB" w14:textId="53423FC7" w:rsidR="005507D1" w:rsidRPr="00A260EB" w:rsidRDefault="00082594" w:rsidP="0041260D">
      <w:pPr>
        <w:numPr>
          <w:ilvl w:val="0"/>
          <w:numId w:val="2"/>
        </w:numPr>
        <w:tabs>
          <w:tab w:val="left" w:pos="709"/>
        </w:tabs>
        <w:spacing w:before="120" w:after="120" w:line="240" w:lineRule="auto"/>
        <w:ind w:left="0" w:firstLine="0"/>
        <w:jc w:val="both"/>
        <w:rPr>
          <w:rFonts w:ascii="Verdana" w:hAnsi="Verdana"/>
          <w:sz w:val="20"/>
          <w:szCs w:val="20"/>
          <w:lang w:val="es-CR"/>
        </w:rPr>
      </w:pPr>
      <w:bookmarkStart w:id="1" w:name="_Ref17468738"/>
      <w:r w:rsidRPr="00A260EB">
        <w:rPr>
          <w:rFonts w:ascii="Verdana" w:hAnsi="Verdana"/>
          <w:sz w:val="20"/>
          <w:szCs w:val="20"/>
          <w:lang w:val="es-CR"/>
        </w:rPr>
        <w:t xml:space="preserve">Al respecto, los representantes observaron que, en el caso de las publicaciones realizadas por el Ministerio de Derechos Humanos, </w:t>
      </w:r>
      <w:r w:rsidRPr="00A260EB">
        <w:rPr>
          <w:rFonts w:ascii="Verdana" w:hAnsi="Verdana"/>
          <w:color w:val="000000"/>
          <w:sz w:val="20"/>
          <w:szCs w:val="20"/>
          <w:lang w:val="es-ES_tradnl"/>
        </w:rPr>
        <w:t xml:space="preserve">“hay lapsos temporales mayores a una </w:t>
      </w:r>
      <w:r w:rsidRPr="00A260EB">
        <w:rPr>
          <w:rFonts w:ascii="Verdana" w:hAnsi="Verdana"/>
          <w:color w:val="000000"/>
          <w:sz w:val="20"/>
          <w:szCs w:val="20"/>
          <w:lang w:val="es-AR"/>
        </w:rPr>
        <w:t>semana</w:t>
      </w:r>
      <w:r w:rsidRPr="00A260EB">
        <w:rPr>
          <w:rFonts w:ascii="Verdana" w:hAnsi="Verdana"/>
          <w:color w:val="000000"/>
          <w:sz w:val="20"/>
          <w:szCs w:val="20"/>
          <w:lang w:val="es-ES_tradnl"/>
        </w:rPr>
        <w:t xml:space="preserve"> entre las publicaciones”. Con respecto a las publicaciones realizadas por la Policía Civil y la Secretaría de Seguridad Pública del Estado de Río de Janeiro, </w:t>
      </w:r>
      <w:r w:rsidRPr="00A260EB">
        <w:rPr>
          <w:rFonts w:ascii="Verdana" w:hAnsi="Verdana"/>
          <w:color w:val="000000"/>
          <w:sz w:val="20"/>
          <w:szCs w:val="20"/>
          <w:lang w:val="es-ES_tradnl"/>
        </w:rPr>
        <w:lastRenderedPageBreak/>
        <w:t xml:space="preserve">remarcaron que </w:t>
      </w:r>
      <w:r w:rsidR="001A6B93" w:rsidRPr="00A260EB">
        <w:rPr>
          <w:rFonts w:ascii="Verdana" w:hAnsi="Verdana"/>
          <w:color w:val="000000"/>
          <w:sz w:val="20"/>
          <w:szCs w:val="20"/>
          <w:lang w:val="es-ES_tradnl"/>
        </w:rPr>
        <w:t xml:space="preserve">éstas </w:t>
      </w:r>
      <w:r w:rsidRPr="00A260EB">
        <w:rPr>
          <w:rFonts w:ascii="Verdana" w:hAnsi="Verdana"/>
          <w:sz w:val="20"/>
          <w:szCs w:val="20"/>
          <w:lang w:val="es-CR"/>
        </w:rPr>
        <w:t xml:space="preserve">comenzaron a publicar los enlaces en sus respectivas cuentas de Twitter “recién el 11 de abril de 2018, es decir, un año después de la notificación de la Sentencia”. Finalmente, con respecto al Gobierno del Estado de Río de Janeiro, subrayaron que su cuenta de Twitter tiene una única publicación del 11 de abril de 2018. Por ello, concluyeron que </w:t>
      </w:r>
      <w:r w:rsidR="00F93920" w:rsidRPr="00A260EB">
        <w:rPr>
          <w:rFonts w:ascii="Verdana" w:hAnsi="Verdana"/>
          <w:sz w:val="20"/>
          <w:szCs w:val="20"/>
          <w:lang w:val="es-CR"/>
        </w:rPr>
        <w:t>“se inició el cumplimiento de [este] punto resolutivo de forma parcial […], y por lo tanto el cumplimiento debe ser monitoreado con atención con el fin de que no haya fallas en las publicaciones periódicas determinadas por la Corte y que todas cumplan con la periodicidad y recurrencia establecidas en la sentencia”</w:t>
      </w:r>
      <w:r w:rsidR="00F93920" w:rsidRPr="00A260EB">
        <w:rPr>
          <w:rStyle w:val="Refdenotaalpie"/>
          <w:rFonts w:ascii="Verdana" w:hAnsi="Verdana"/>
          <w:color w:val="000000"/>
          <w:sz w:val="20"/>
          <w:szCs w:val="20"/>
          <w:lang w:val="es-ES_tradnl"/>
        </w:rPr>
        <w:footnoteReference w:id="22"/>
      </w:r>
      <w:r w:rsidR="00F93920" w:rsidRPr="00A260EB">
        <w:rPr>
          <w:rFonts w:ascii="Verdana" w:hAnsi="Verdana"/>
          <w:sz w:val="20"/>
          <w:szCs w:val="20"/>
          <w:lang w:val="es-CR"/>
        </w:rPr>
        <w:t xml:space="preserve">. </w:t>
      </w:r>
      <w:bookmarkEnd w:id="1"/>
    </w:p>
    <w:p w14:paraId="6FC02BD0" w14:textId="26F35494" w:rsidR="00AB1DCC" w:rsidRPr="00D96312" w:rsidRDefault="00DC4658" w:rsidP="00AB1DCC">
      <w:pPr>
        <w:numPr>
          <w:ilvl w:val="0"/>
          <w:numId w:val="2"/>
        </w:numPr>
        <w:tabs>
          <w:tab w:val="left" w:pos="709"/>
        </w:tabs>
        <w:spacing w:before="120" w:after="120" w:line="240" w:lineRule="auto"/>
        <w:ind w:left="0" w:firstLine="0"/>
        <w:jc w:val="both"/>
        <w:rPr>
          <w:rFonts w:ascii="Verdana" w:hAnsi="Verdana"/>
          <w:color w:val="000000"/>
          <w:sz w:val="20"/>
          <w:szCs w:val="20"/>
          <w:lang w:val="es-AR"/>
        </w:rPr>
      </w:pPr>
      <w:r>
        <w:rPr>
          <w:rFonts w:ascii="Verdana" w:hAnsi="Verdana"/>
          <w:color w:val="000000"/>
          <w:sz w:val="20"/>
          <w:szCs w:val="20"/>
          <w:lang w:val="es-AR"/>
        </w:rPr>
        <w:t xml:space="preserve">Con respecto a </w:t>
      </w:r>
      <w:r w:rsidR="008A1FA5" w:rsidRPr="00D96312">
        <w:rPr>
          <w:rFonts w:ascii="Verdana" w:hAnsi="Verdana"/>
          <w:color w:val="000000"/>
          <w:sz w:val="20"/>
          <w:szCs w:val="20"/>
          <w:lang w:val="es-AR"/>
        </w:rPr>
        <w:t xml:space="preserve">la medida de difusión ordenada en el punto resolutivo </w:t>
      </w:r>
      <w:r w:rsidR="00C77409" w:rsidRPr="00D96312">
        <w:rPr>
          <w:rFonts w:ascii="Verdana" w:hAnsi="Verdana"/>
          <w:color w:val="000000"/>
          <w:sz w:val="20"/>
          <w:szCs w:val="20"/>
          <w:lang w:val="es-AR"/>
        </w:rPr>
        <w:t>décimo</w:t>
      </w:r>
      <w:r w:rsidR="00C77409">
        <w:rPr>
          <w:rFonts w:ascii="Verdana" w:hAnsi="Verdana"/>
          <w:color w:val="000000"/>
          <w:sz w:val="20"/>
          <w:szCs w:val="20"/>
          <w:lang w:val="es-AR"/>
        </w:rPr>
        <w:t xml:space="preserve"> </w:t>
      </w:r>
      <w:r w:rsidR="008A1FA5" w:rsidRPr="00D96312">
        <w:rPr>
          <w:rFonts w:ascii="Verdana" w:hAnsi="Verdana"/>
          <w:color w:val="000000"/>
          <w:sz w:val="20"/>
          <w:szCs w:val="20"/>
          <w:lang w:val="es-AR"/>
        </w:rPr>
        <w:t>tercero relativa a la publicación en las c</w:t>
      </w:r>
      <w:r>
        <w:rPr>
          <w:rFonts w:ascii="Verdana" w:hAnsi="Verdana"/>
          <w:color w:val="000000"/>
          <w:sz w:val="20"/>
          <w:szCs w:val="20"/>
          <w:lang w:val="es-AR"/>
        </w:rPr>
        <w:t>uentas de Twitter y Facebook de cinco instituciones estatales (</w:t>
      </w:r>
      <w:r w:rsidRPr="00DC4658">
        <w:rPr>
          <w:rFonts w:ascii="Verdana" w:hAnsi="Verdana"/>
          <w:i/>
          <w:color w:val="000000"/>
          <w:sz w:val="20"/>
          <w:szCs w:val="20"/>
          <w:lang w:val="es-AR"/>
        </w:rPr>
        <w:t>supra</w:t>
      </w:r>
      <w:r w:rsidR="00C77409">
        <w:rPr>
          <w:rFonts w:ascii="Verdana" w:hAnsi="Verdana"/>
          <w:color w:val="000000"/>
          <w:sz w:val="20"/>
          <w:szCs w:val="20"/>
          <w:lang w:val="es-AR"/>
        </w:rPr>
        <w:t xml:space="preserve"> Considerando 4</w:t>
      </w:r>
      <w:r>
        <w:rPr>
          <w:rFonts w:ascii="Verdana" w:hAnsi="Verdana"/>
          <w:color w:val="000000"/>
          <w:sz w:val="20"/>
          <w:szCs w:val="20"/>
          <w:lang w:val="es-AR"/>
        </w:rPr>
        <w:t>)</w:t>
      </w:r>
      <w:r w:rsidR="00E16F49" w:rsidRPr="00D96312">
        <w:rPr>
          <w:rFonts w:ascii="Verdana" w:hAnsi="Verdana"/>
          <w:color w:val="000000"/>
          <w:sz w:val="20"/>
          <w:szCs w:val="20"/>
          <w:lang w:val="es-AR"/>
        </w:rPr>
        <w:t>,</w:t>
      </w:r>
      <w:r w:rsidR="00E16F49" w:rsidRPr="00D96312">
        <w:rPr>
          <w:rFonts w:ascii="Verdana" w:hAnsi="Verdana"/>
          <w:color w:val="000000"/>
          <w:sz w:val="20"/>
          <w:szCs w:val="20"/>
          <w:lang w:val="es-ES_tradnl"/>
        </w:rPr>
        <w:t xml:space="preserve"> t</w:t>
      </w:r>
      <w:r w:rsidR="00B0291C" w:rsidRPr="00D96312">
        <w:rPr>
          <w:rFonts w:ascii="Verdana" w:hAnsi="Verdana"/>
          <w:color w:val="000000"/>
          <w:sz w:val="20"/>
          <w:szCs w:val="20"/>
          <w:lang w:val="es-ES_tradnl"/>
        </w:rPr>
        <w:t>omando en cuenta que la Corte ordenó este componente de la medida debido a que el Estado lo ofreció en la etapa de fondo, p</w:t>
      </w:r>
      <w:r w:rsidR="00AB1DCC" w:rsidRPr="00D96312">
        <w:rPr>
          <w:rFonts w:ascii="Verdana" w:hAnsi="Verdana"/>
          <w:color w:val="000000"/>
          <w:sz w:val="20"/>
          <w:szCs w:val="20"/>
          <w:lang w:val="es-ES_tradnl"/>
        </w:rPr>
        <w:t xml:space="preserve">ara </w:t>
      </w:r>
      <w:r w:rsidR="00B0291C" w:rsidRPr="00D96312">
        <w:rPr>
          <w:rFonts w:ascii="Verdana" w:hAnsi="Verdana"/>
          <w:color w:val="000000"/>
          <w:sz w:val="20"/>
          <w:szCs w:val="20"/>
          <w:lang w:val="es-ES_tradnl"/>
        </w:rPr>
        <w:t xml:space="preserve">efectos de la supervisión que realiza este Tribunal, </w:t>
      </w:r>
      <w:r w:rsidR="00E16F49" w:rsidRPr="00D96312">
        <w:rPr>
          <w:rFonts w:ascii="Verdana" w:hAnsi="Verdana"/>
          <w:color w:val="000000"/>
          <w:sz w:val="20"/>
          <w:szCs w:val="20"/>
          <w:lang w:val="es-ES_tradnl"/>
        </w:rPr>
        <w:t xml:space="preserve">considera que las </w:t>
      </w:r>
      <w:r w:rsidR="00C77409">
        <w:rPr>
          <w:rFonts w:ascii="Verdana" w:hAnsi="Verdana"/>
          <w:color w:val="000000"/>
          <w:sz w:val="20"/>
          <w:szCs w:val="20"/>
          <w:lang w:val="es-ES_tradnl"/>
        </w:rPr>
        <w:t>50</w:t>
      </w:r>
      <w:r w:rsidR="00E16F49" w:rsidRPr="00D96312">
        <w:rPr>
          <w:rFonts w:ascii="Verdana" w:hAnsi="Verdana"/>
          <w:color w:val="000000"/>
          <w:sz w:val="20"/>
          <w:szCs w:val="20"/>
          <w:lang w:val="es-ES_tradnl"/>
        </w:rPr>
        <w:t xml:space="preserve"> difusiones que </w:t>
      </w:r>
      <w:r w:rsidR="00C77409">
        <w:rPr>
          <w:rFonts w:ascii="Verdana" w:hAnsi="Verdana"/>
          <w:color w:val="000000"/>
          <w:sz w:val="20"/>
          <w:szCs w:val="20"/>
          <w:lang w:val="es-ES_tradnl"/>
        </w:rPr>
        <w:t>este Tribunal</w:t>
      </w:r>
      <w:r w:rsidR="00C77409" w:rsidRPr="00C77409">
        <w:rPr>
          <w:rFonts w:ascii="Verdana" w:hAnsi="Verdana"/>
          <w:color w:val="000000"/>
          <w:sz w:val="20"/>
          <w:szCs w:val="20"/>
          <w:lang w:val="es-ES_tradnl"/>
        </w:rPr>
        <w:t xml:space="preserve"> </w:t>
      </w:r>
      <w:r w:rsidR="00E16F49" w:rsidRPr="00D96312">
        <w:rPr>
          <w:rFonts w:ascii="Verdana" w:hAnsi="Verdana"/>
          <w:color w:val="000000"/>
          <w:sz w:val="20"/>
          <w:szCs w:val="20"/>
          <w:lang w:val="es-ES_tradnl"/>
        </w:rPr>
        <w:t>comprobó que</w:t>
      </w:r>
      <w:r w:rsidR="00C77409">
        <w:rPr>
          <w:rFonts w:ascii="Verdana" w:hAnsi="Verdana"/>
          <w:color w:val="000000"/>
          <w:sz w:val="20"/>
          <w:szCs w:val="20"/>
          <w:lang w:val="es-ES_tradnl"/>
        </w:rPr>
        <w:t xml:space="preserve"> </w:t>
      </w:r>
      <w:r w:rsidR="00C77409" w:rsidRPr="00D96312">
        <w:rPr>
          <w:rFonts w:ascii="Verdana" w:hAnsi="Verdana"/>
          <w:color w:val="000000"/>
          <w:sz w:val="20"/>
          <w:szCs w:val="20"/>
          <w:lang w:val="es-ES_tradnl"/>
        </w:rPr>
        <w:t xml:space="preserve">el Estado </w:t>
      </w:r>
      <w:r w:rsidR="00E16F49" w:rsidRPr="00D96312">
        <w:rPr>
          <w:rFonts w:ascii="Verdana" w:hAnsi="Verdana"/>
          <w:color w:val="000000"/>
          <w:sz w:val="20"/>
          <w:szCs w:val="20"/>
          <w:lang w:val="es-ES_tradnl"/>
        </w:rPr>
        <w:t xml:space="preserve">efectuó en el 2018 </w:t>
      </w:r>
      <w:r w:rsidR="002D1626" w:rsidRPr="00D96312">
        <w:rPr>
          <w:rFonts w:ascii="Verdana" w:hAnsi="Verdana"/>
          <w:color w:val="000000"/>
          <w:sz w:val="20"/>
          <w:szCs w:val="20"/>
          <w:lang w:val="es-ES_tradnl"/>
        </w:rPr>
        <w:t>(</w:t>
      </w:r>
      <w:r w:rsidR="002D1626" w:rsidRPr="00D96312">
        <w:rPr>
          <w:rFonts w:ascii="Verdana" w:hAnsi="Verdana"/>
          <w:i/>
          <w:color w:val="000000"/>
          <w:sz w:val="20"/>
          <w:szCs w:val="20"/>
          <w:lang w:val="es-ES_tradnl"/>
        </w:rPr>
        <w:t>supra</w:t>
      </w:r>
      <w:r w:rsidR="002D1626" w:rsidRPr="00D96312">
        <w:rPr>
          <w:rFonts w:ascii="Verdana" w:hAnsi="Verdana"/>
          <w:color w:val="000000"/>
          <w:sz w:val="20"/>
          <w:szCs w:val="20"/>
          <w:lang w:val="es-ES_tradnl"/>
        </w:rPr>
        <w:t xml:space="preserve"> Considerando 7) </w:t>
      </w:r>
      <w:r w:rsidR="00E16F49" w:rsidRPr="00D96312">
        <w:rPr>
          <w:rFonts w:ascii="Verdana" w:hAnsi="Verdana"/>
          <w:color w:val="000000"/>
          <w:sz w:val="20"/>
          <w:szCs w:val="20"/>
          <w:lang w:val="es-ES_tradnl"/>
        </w:rPr>
        <w:t>resultan suficientes para valorar el cumplimiento total de la medida</w:t>
      </w:r>
      <w:r w:rsidR="00C77409">
        <w:rPr>
          <w:rFonts w:ascii="Verdana" w:hAnsi="Verdana"/>
          <w:color w:val="000000"/>
          <w:sz w:val="20"/>
          <w:szCs w:val="20"/>
          <w:lang w:val="es-ES_tradnl"/>
        </w:rPr>
        <w:t>,</w:t>
      </w:r>
      <w:r w:rsidR="00E16F49" w:rsidRPr="00D96312">
        <w:rPr>
          <w:rFonts w:ascii="Verdana" w:hAnsi="Verdana"/>
          <w:color w:val="000000"/>
          <w:sz w:val="20"/>
          <w:szCs w:val="20"/>
          <w:lang w:val="es-ES_tradnl"/>
        </w:rPr>
        <w:t xml:space="preserve"> pues cumplieron el objetivo de difundir la emisión de la Sentencia a través de las referidas redes sociales. </w:t>
      </w:r>
    </w:p>
    <w:p w14:paraId="067477B2" w14:textId="7E5F8E5B" w:rsidR="00280BC9" w:rsidRPr="00671A11" w:rsidRDefault="003006C1" w:rsidP="00364C74">
      <w:pPr>
        <w:numPr>
          <w:ilvl w:val="0"/>
          <w:numId w:val="2"/>
        </w:numPr>
        <w:tabs>
          <w:tab w:val="left" w:pos="709"/>
        </w:tabs>
        <w:spacing w:before="120" w:after="120" w:line="240" w:lineRule="auto"/>
        <w:ind w:left="0" w:firstLine="0"/>
        <w:jc w:val="both"/>
        <w:rPr>
          <w:rFonts w:ascii="Verdana" w:hAnsi="Verdana"/>
          <w:color w:val="000000"/>
          <w:sz w:val="20"/>
          <w:szCs w:val="20"/>
          <w:lang w:val="es-AR"/>
        </w:rPr>
      </w:pPr>
      <w:r w:rsidRPr="00A260EB">
        <w:rPr>
          <w:rFonts w:ascii="Verdana" w:hAnsi="Verdana"/>
          <w:sz w:val="20"/>
          <w:szCs w:val="20"/>
          <w:lang w:val="es-CR"/>
        </w:rPr>
        <w:t xml:space="preserve">De acuerdo a lo indicado en los Considerandos 6 y 9 de la presente Resolución, el Estado ha dado cumplimiento parcial </w:t>
      </w:r>
      <w:r w:rsidR="00FE6503" w:rsidRPr="00A260EB">
        <w:rPr>
          <w:rFonts w:ascii="Verdana" w:hAnsi="Verdana"/>
          <w:sz w:val="20"/>
          <w:szCs w:val="20"/>
          <w:lang w:val="es-CR"/>
        </w:rPr>
        <w:t>a las medidas de publicación y difusión de la Sentencia y su resumen oficial</w:t>
      </w:r>
      <w:r w:rsidR="00116113">
        <w:rPr>
          <w:rFonts w:ascii="Verdana" w:hAnsi="Verdana"/>
          <w:sz w:val="20"/>
          <w:szCs w:val="20"/>
          <w:lang w:val="es-CR"/>
        </w:rPr>
        <w:t>,</w:t>
      </w:r>
      <w:r w:rsidR="00FE6503" w:rsidRPr="00A260EB">
        <w:rPr>
          <w:rFonts w:ascii="Verdana" w:hAnsi="Verdana"/>
          <w:sz w:val="20"/>
          <w:szCs w:val="20"/>
          <w:lang w:val="es-CR"/>
        </w:rPr>
        <w:t xml:space="preserve"> ordenadas</w:t>
      </w:r>
      <w:r w:rsidR="00627555" w:rsidRPr="00A260EB">
        <w:rPr>
          <w:rFonts w:ascii="Verdana" w:hAnsi="Verdana"/>
          <w:sz w:val="20"/>
          <w:szCs w:val="20"/>
          <w:lang w:val="es-CR"/>
        </w:rPr>
        <w:t xml:space="preserve"> en el punto </w:t>
      </w:r>
      <w:r w:rsidR="001B04D5" w:rsidRPr="00A260EB">
        <w:rPr>
          <w:rFonts w:ascii="Verdana" w:hAnsi="Verdana"/>
          <w:sz w:val="20"/>
          <w:szCs w:val="20"/>
          <w:lang w:val="es-CR"/>
        </w:rPr>
        <w:t xml:space="preserve">resolutivo </w:t>
      </w:r>
      <w:r w:rsidR="00627555" w:rsidRPr="00A260EB">
        <w:rPr>
          <w:rFonts w:ascii="Verdana" w:hAnsi="Verdana"/>
          <w:sz w:val="20"/>
          <w:szCs w:val="20"/>
          <w:lang w:val="es-CR"/>
        </w:rPr>
        <w:t>décimo tercero de la Sentencia.</w:t>
      </w:r>
      <w:r w:rsidR="00DC4658">
        <w:rPr>
          <w:rFonts w:ascii="Verdana" w:hAnsi="Verdana"/>
          <w:sz w:val="20"/>
          <w:szCs w:val="20"/>
          <w:lang w:val="es-CR"/>
        </w:rPr>
        <w:t xml:space="preserve"> </w:t>
      </w:r>
      <w:r w:rsidR="00DC4658">
        <w:rPr>
          <w:rFonts w:ascii="Verdana" w:hAnsi="Verdana"/>
          <w:color w:val="000000"/>
          <w:sz w:val="20"/>
          <w:szCs w:val="20"/>
          <w:lang w:val="es-ES_tradnl"/>
        </w:rPr>
        <w:t>El único componente de la reparación que c</w:t>
      </w:r>
      <w:r w:rsidR="00DC4658" w:rsidRPr="00D96312">
        <w:rPr>
          <w:rFonts w:ascii="Verdana" w:hAnsi="Verdana"/>
          <w:color w:val="000000"/>
          <w:sz w:val="20"/>
          <w:szCs w:val="20"/>
          <w:lang w:val="es-ES_tradnl"/>
        </w:rPr>
        <w:t>ontinúa</w:t>
      </w:r>
      <w:r w:rsidR="00DC4658" w:rsidRPr="00A260EB">
        <w:rPr>
          <w:rFonts w:ascii="Verdana" w:hAnsi="Verdana"/>
          <w:color w:val="000000"/>
          <w:sz w:val="20"/>
          <w:szCs w:val="20"/>
          <w:lang w:val="es-ES_tradnl"/>
        </w:rPr>
        <w:t xml:space="preserve"> pendiente </w:t>
      </w:r>
      <w:r w:rsidR="00DC4658">
        <w:rPr>
          <w:rFonts w:ascii="Verdana" w:hAnsi="Verdana"/>
          <w:color w:val="000000"/>
          <w:sz w:val="20"/>
          <w:szCs w:val="20"/>
          <w:lang w:val="es-ES_tradnl"/>
        </w:rPr>
        <w:t xml:space="preserve">es </w:t>
      </w:r>
      <w:r w:rsidR="00DC4658" w:rsidRPr="00A260EB">
        <w:rPr>
          <w:rFonts w:ascii="Verdana" w:hAnsi="Verdana"/>
          <w:color w:val="000000"/>
          <w:sz w:val="20"/>
          <w:szCs w:val="20"/>
          <w:lang w:val="es-ES_tradnl"/>
        </w:rPr>
        <w:t xml:space="preserve">la publicación de la Sentencia y su resumen en un sitio </w:t>
      </w:r>
      <w:r w:rsidR="00DC4658" w:rsidRPr="00A260EB">
        <w:rPr>
          <w:rFonts w:ascii="Verdana" w:hAnsi="Verdana"/>
          <w:i/>
          <w:color w:val="000000"/>
          <w:sz w:val="20"/>
          <w:szCs w:val="20"/>
          <w:lang w:val="es-ES_tradnl"/>
        </w:rPr>
        <w:t xml:space="preserve">web </w:t>
      </w:r>
      <w:r w:rsidR="00DC4658" w:rsidRPr="00A260EB">
        <w:rPr>
          <w:rFonts w:ascii="Verdana" w:hAnsi="Verdana"/>
          <w:color w:val="000000"/>
          <w:sz w:val="20"/>
          <w:szCs w:val="20"/>
          <w:lang w:val="es-ES_tradnl"/>
        </w:rPr>
        <w:t>oficial del Gobierno del Estado de Río de Janeiro</w:t>
      </w:r>
      <w:r w:rsidR="00DC4658">
        <w:rPr>
          <w:rFonts w:ascii="Verdana" w:hAnsi="Verdana"/>
          <w:color w:val="000000"/>
          <w:sz w:val="20"/>
          <w:szCs w:val="20"/>
          <w:lang w:val="es-ES_tradnl"/>
        </w:rPr>
        <w:t>.</w:t>
      </w:r>
    </w:p>
    <w:p w14:paraId="0E439EA4" w14:textId="77777777" w:rsidR="00671A11" w:rsidRPr="00364C74" w:rsidRDefault="00671A11" w:rsidP="00671A11">
      <w:pPr>
        <w:tabs>
          <w:tab w:val="left" w:pos="709"/>
        </w:tabs>
        <w:spacing w:before="120" w:after="120" w:line="240" w:lineRule="auto"/>
        <w:jc w:val="both"/>
        <w:rPr>
          <w:rFonts w:ascii="Verdana" w:hAnsi="Verdana"/>
          <w:color w:val="000000"/>
          <w:sz w:val="20"/>
          <w:szCs w:val="20"/>
          <w:lang w:val="es-AR"/>
        </w:rPr>
      </w:pPr>
    </w:p>
    <w:p w14:paraId="3D2098BE" w14:textId="77777777" w:rsidR="0033269A" w:rsidRPr="00A260EB" w:rsidRDefault="0033269A" w:rsidP="0033269A">
      <w:pPr>
        <w:tabs>
          <w:tab w:val="left" w:pos="709"/>
        </w:tabs>
        <w:spacing w:before="100" w:beforeAutospacing="1" w:after="100" w:afterAutospacing="1" w:line="240" w:lineRule="auto"/>
        <w:jc w:val="both"/>
        <w:rPr>
          <w:rFonts w:ascii="Verdana" w:hAnsi="Verdana"/>
          <w:b/>
          <w:color w:val="000000"/>
          <w:sz w:val="20"/>
          <w:szCs w:val="20"/>
          <w:lang w:val="es-ES_tradnl"/>
        </w:rPr>
      </w:pPr>
      <w:r w:rsidRPr="00A260EB">
        <w:rPr>
          <w:rFonts w:ascii="Verdana" w:hAnsi="Verdana"/>
          <w:b/>
          <w:color w:val="000000"/>
          <w:sz w:val="20"/>
          <w:szCs w:val="20"/>
          <w:lang w:val="es-ES_tradnl"/>
        </w:rPr>
        <w:t>POR TANTO:</w:t>
      </w:r>
    </w:p>
    <w:p w14:paraId="269089E4" w14:textId="77777777" w:rsidR="0033269A" w:rsidRPr="00A260EB" w:rsidRDefault="0033269A" w:rsidP="0033269A">
      <w:pPr>
        <w:tabs>
          <w:tab w:val="left" w:pos="709"/>
        </w:tabs>
        <w:spacing w:before="100" w:beforeAutospacing="1" w:after="100" w:afterAutospacing="1" w:line="240" w:lineRule="auto"/>
        <w:jc w:val="both"/>
        <w:rPr>
          <w:rFonts w:ascii="Verdana" w:hAnsi="Verdana"/>
          <w:b/>
          <w:color w:val="000000"/>
          <w:sz w:val="20"/>
          <w:szCs w:val="20"/>
          <w:lang w:val="es-ES_tradnl"/>
        </w:rPr>
      </w:pPr>
      <w:r w:rsidRPr="00A260EB">
        <w:rPr>
          <w:rFonts w:ascii="Verdana" w:hAnsi="Verdana"/>
          <w:b/>
          <w:color w:val="000000"/>
          <w:sz w:val="20"/>
          <w:szCs w:val="20"/>
          <w:lang w:val="es-ES_tradnl"/>
        </w:rPr>
        <w:t>LA CORTE INTERAMERICANA DE DERECHOS HUMANOS,</w:t>
      </w:r>
    </w:p>
    <w:p w14:paraId="1206B3A4" w14:textId="77777777" w:rsidR="0033269A" w:rsidRPr="00A260EB" w:rsidRDefault="0033269A" w:rsidP="0033269A">
      <w:pPr>
        <w:tabs>
          <w:tab w:val="left" w:pos="709"/>
        </w:tabs>
        <w:spacing w:before="100" w:beforeAutospacing="1" w:after="100" w:afterAutospacing="1" w:line="240" w:lineRule="auto"/>
        <w:jc w:val="both"/>
        <w:rPr>
          <w:rFonts w:ascii="Verdana" w:hAnsi="Verdana"/>
          <w:color w:val="000000"/>
          <w:sz w:val="20"/>
          <w:szCs w:val="20"/>
          <w:lang w:val="es-ES_tradnl"/>
        </w:rPr>
      </w:pPr>
      <w:r w:rsidRPr="00A260EB">
        <w:rPr>
          <w:rFonts w:ascii="Verdana" w:hAnsi="Verdana"/>
          <w:color w:val="000000"/>
          <w:sz w:val="20"/>
          <w:szCs w:val="20"/>
          <w:lang w:val="es-ES_tradnl"/>
        </w:rPr>
        <w:t>en el ejercicio de sus atribuciones de supervisión del cumplimiento de sus decisiones, de conformidad con los artículos 33, 62.1, 62.3, 65, 67 y 68.1 de la Convención Americana sobre Derechos Humanos, 24, 25 y 30 del Estatuto, y 31.2 y 69 de su Reglamento,</w:t>
      </w:r>
    </w:p>
    <w:p w14:paraId="26265CD1" w14:textId="77777777" w:rsidR="0033269A" w:rsidRPr="00A260EB" w:rsidRDefault="0033269A" w:rsidP="0033269A">
      <w:pPr>
        <w:tabs>
          <w:tab w:val="left" w:pos="709"/>
        </w:tabs>
        <w:spacing w:before="100" w:beforeAutospacing="1" w:after="100" w:afterAutospacing="1" w:line="240" w:lineRule="auto"/>
        <w:jc w:val="both"/>
        <w:rPr>
          <w:rFonts w:ascii="Verdana" w:hAnsi="Verdana"/>
          <w:color w:val="000000"/>
          <w:sz w:val="20"/>
          <w:szCs w:val="20"/>
          <w:lang w:val="es-ES_tradnl"/>
        </w:rPr>
      </w:pPr>
      <w:r w:rsidRPr="00A260EB">
        <w:rPr>
          <w:rFonts w:ascii="Verdana" w:hAnsi="Verdana"/>
          <w:b/>
          <w:color w:val="000000"/>
          <w:sz w:val="20"/>
          <w:szCs w:val="20"/>
          <w:lang w:val="es-ES_tradnl"/>
        </w:rPr>
        <w:t>RESUELVE</w:t>
      </w:r>
      <w:r w:rsidRPr="00A260EB">
        <w:rPr>
          <w:rFonts w:ascii="Verdana" w:hAnsi="Verdana"/>
          <w:color w:val="000000"/>
          <w:sz w:val="20"/>
          <w:szCs w:val="20"/>
          <w:lang w:val="es-ES_tradnl"/>
        </w:rPr>
        <w:t>:</w:t>
      </w:r>
    </w:p>
    <w:p w14:paraId="28C38748" w14:textId="168BCE19" w:rsidR="00976C72" w:rsidRPr="00A260EB" w:rsidRDefault="00EA3D0C" w:rsidP="0041260D">
      <w:pPr>
        <w:numPr>
          <w:ilvl w:val="0"/>
          <w:numId w:val="7"/>
        </w:numPr>
        <w:tabs>
          <w:tab w:val="left" w:pos="567"/>
        </w:tabs>
        <w:spacing w:before="120" w:after="120" w:line="240" w:lineRule="auto"/>
        <w:ind w:left="0" w:right="22" w:firstLine="0"/>
        <w:jc w:val="both"/>
        <w:rPr>
          <w:rFonts w:ascii="Verdana" w:hAnsi="Verdana"/>
          <w:sz w:val="20"/>
          <w:szCs w:val="20"/>
          <w:lang w:val="es-CR"/>
        </w:rPr>
      </w:pPr>
      <w:r w:rsidRPr="00A260EB">
        <w:rPr>
          <w:rFonts w:ascii="Verdana" w:hAnsi="Verdana"/>
          <w:sz w:val="20"/>
          <w:szCs w:val="20"/>
          <w:lang w:val="es-CR"/>
        </w:rPr>
        <w:t xml:space="preserve">Declarar, de conformidad con lo señalado en </w:t>
      </w:r>
      <w:r w:rsidR="00FE6503" w:rsidRPr="00A260EB">
        <w:rPr>
          <w:rFonts w:ascii="Verdana" w:hAnsi="Verdana"/>
          <w:sz w:val="20"/>
          <w:szCs w:val="20"/>
          <w:lang w:val="es-CR"/>
        </w:rPr>
        <w:t xml:space="preserve">la parte considerativa </w:t>
      </w:r>
      <w:r w:rsidRPr="00A260EB">
        <w:rPr>
          <w:rFonts w:ascii="Verdana" w:hAnsi="Verdana"/>
          <w:sz w:val="20"/>
          <w:szCs w:val="20"/>
          <w:lang w:val="es-CR"/>
        </w:rPr>
        <w:t xml:space="preserve">de la presente </w:t>
      </w:r>
      <w:r w:rsidRPr="00A260EB">
        <w:rPr>
          <w:rFonts w:ascii="Verdana" w:hAnsi="Verdana"/>
          <w:sz w:val="20"/>
          <w:szCs w:val="20"/>
          <w:lang w:val="es-ES"/>
        </w:rPr>
        <w:t>Resolución</w:t>
      </w:r>
      <w:r w:rsidRPr="00A260EB">
        <w:rPr>
          <w:rFonts w:ascii="Verdana" w:hAnsi="Verdana"/>
          <w:sz w:val="20"/>
          <w:szCs w:val="20"/>
          <w:lang w:val="es-CR"/>
        </w:rPr>
        <w:t xml:space="preserve">, que el Estado ha dado cumplimiento </w:t>
      </w:r>
      <w:r w:rsidR="00CE1B91" w:rsidRPr="00A260EB">
        <w:rPr>
          <w:rFonts w:ascii="Verdana" w:hAnsi="Verdana"/>
          <w:sz w:val="20"/>
          <w:szCs w:val="20"/>
          <w:lang w:val="es-CR"/>
        </w:rPr>
        <w:t xml:space="preserve">parcial </w:t>
      </w:r>
      <w:r w:rsidR="00FE6503" w:rsidRPr="00A260EB">
        <w:rPr>
          <w:rFonts w:ascii="Verdana" w:hAnsi="Verdana"/>
          <w:sz w:val="20"/>
          <w:szCs w:val="20"/>
          <w:lang w:val="es-CR"/>
        </w:rPr>
        <w:t>a las medidas de publicación y difusión de la Sentencia y su resumen oficial</w:t>
      </w:r>
      <w:r w:rsidR="00DC4658">
        <w:rPr>
          <w:rFonts w:ascii="Verdana" w:hAnsi="Verdana"/>
          <w:sz w:val="20"/>
          <w:szCs w:val="20"/>
          <w:lang w:val="es-CR"/>
        </w:rPr>
        <w:t>,</w:t>
      </w:r>
      <w:r w:rsidR="00FE6503" w:rsidRPr="00A260EB">
        <w:rPr>
          <w:rFonts w:ascii="Verdana" w:hAnsi="Verdana"/>
          <w:sz w:val="20"/>
          <w:szCs w:val="20"/>
          <w:lang w:val="es-CR"/>
        </w:rPr>
        <w:t xml:space="preserve"> ordenadas en el punto resolutivo décimo tercero de la Sentencia. El Estado ha dado cumplimiento </w:t>
      </w:r>
      <w:r w:rsidR="00976C72" w:rsidRPr="00A260EB">
        <w:rPr>
          <w:rFonts w:ascii="Verdana" w:hAnsi="Verdana"/>
          <w:sz w:val="20"/>
          <w:szCs w:val="20"/>
          <w:lang w:val="es-CR"/>
        </w:rPr>
        <w:t>a</w:t>
      </w:r>
      <w:r w:rsidR="00FE6503" w:rsidRPr="00A260EB">
        <w:rPr>
          <w:rFonts w:ascii="Verdana" w:hAnsi="Verdana"/>
          <w:sz w:val="20"/>
          <w:szCs w:val="20"/>
          <w:lang w:val="es-CR"/>
        </w:rPr>
        <w:t>:</w:t>
      </w:r>
      <w:r w:rsidR="00976C72" w:rsidRPr="00A260EB">
        <w:rPr>
          <w:rFonts w:ascii="Verdana" w:hAnsi="Verdana"/>
          <w:sz w:val="20"/>
          <w:szCs w:val="20"/>
          <w:lang w:val="es-CR"/>
        </w:rPr>
        <w:t xml:space="preserve"> la publicación del</w:t>
      </w:r>
      <w:r w:rsidR="00976C72" w:rsidRPr="00A260EB">
        <w:rPr>
          <w:rFonts w:ascii="Verdana" w:hAnsi="Verdana"/>
          <w:color w:val="000000"/>
          <w:sz w:val="20"/>
          <w:szCs w:val="20"/>
          <w:lang w:val="es-CR"/>
        </w:rPr>
        <w:t xml:space="preserve"> </w:t>
      </w:r>
      <w:r w:rsidR="00976C72" w:rsidRPr="00A260EB">
        <w:rPr>
          <w:rFonts w:ascii="Verdana" w:hAnsi="Verdana"/>
          <w:color w:val="000000"/>
          <w:sz w:val="20"/>
          <w:szCs w:val="20"/>
          <w:lang w:val="es-ES_tradnl"/>
        </w:rPr>
        <w:t xml:space="preserve">resumen oficial de la Sentencia en el Diario Oficial </w:t>
      </w:r>
      <w:r w:rsidR="001A6B93" w:rsidRPr="00A260EB">
        <w:rPr>
          <w:rFonts w:ascii="Verdana" w:hAnsi="Verdana"/>
          <w:color w:val="000000"/>
          <w:sz w:val="20"/>
          <w:szCs w:val="20"/>
          <w:lang w:val="es-ES_tradnl"/>
        </w:rPr>
        <w:t>y</w:t>
      </w:r>
      <w:r w:rsidR="00976C72" w:rsidRPr="00A260EB">
        <w:rPr>
          <w:rFonts w:ascii="Verdana" w:hAnsi="Verdana"/>
          <w:color w:val="000000"/>
          <w:sz w:val="20"/>
          <w:szCs w:val="20"/>
          <w:lang w:val="es-ES_tradnl"/>
        </w:rPr>
        <w:t xml:space="preserve"> en un diario de amplia circulación nacional</w:t>
      </w:r>
      <w:r w:rsidR="001A6B93" w:rsidRPr="00A260EB">
        <w:rPr>
          <w:rFonts w:ascii="Verdana" w:hAnsi="Verdana"/>
          <w:color w:val="000000"/>
          <w:sz w:val="20"/>
          <w:szCs w:val="20"/>
          <w:lang w:val="es-ES_tradnl"/>
        </w:rPr>
        <w:t xml:space="preserve">, así como </w:t>
      </w:r>
      <w:r w:rsidR="007C7800" w:rsidRPr="00A260EB">
        <w:rPr>
          <w:rFonts w:ascii="Verdana" w:hAnsi="Verdana"/>
          <w:color w:val="000000"/>
          <w:sz w:val="20"/>
          <w:szCs w:val="20"/>
          <w:lang w:val="es-ES_tradnl"/>
        </w:rPr>
        <w:t xml:space="preserve">a </w:t>
      </w:r>
      <w:r w:rsidR="001A6B93" w:rsidRPr="00A260EB">
        <w:rPr>
          <w:rFonts w:ascii="Verdana" w:hAnsi="Verdana"/>
          <w:color w:val="000000"/>
          <w:sz w:val="20"/>
          <w:szCs w:val="20"/>
          <w:lang w:val="es-ES_tradnl"/>
        </w:rPr>
        <w:t xml:space="preserve">la publicación de la Sentencia íntegra y su resumen en un sitio </w:t>
      </w:r>
      <w:r w:rsidR="001A6B93" w:rsidRPr="00A260EB">
        <w:rPr>
          <w:rFonts w:ascii="Verdana" w:hAnsi="Verdana"/>
          <w:i/>
          <w:color w:val="000000"/>
          <w:sz w:val="20"/>
          <w:szCs w:val="20"/>
          <w:lang w:val="es-ES_tradnl"/>
        </w:rPr>
        <w:t xml:space="preserve">web </w:t>
      </w:r>
      <w:r w:rsidR="001A6B93" w:rsidRPr="00A260EB">
        <w:rPr>
          <w:rFonts w:ascii="Verdana" w:hAnsi="Verdana"/>
          <w:color w:val="000000"/>
          <w:sz w:val="20"/>
          <w:szCs w:val="20"/>
          <w:lang w:val="es-ES_tradnl"/>
        </w:rPr>
        <w:t xml:space="preserve">oficial del gobierno federal y de la Policía Civil del Estado de Río de Janeiro, </w:t>
      </w:r>
      <w:r w:rsidR="007C7800" w:rsidRPr="00A260EB">
        <w:rPr>
          <w:rFonts w:ascii="Verdana" w:hAnsi="Verdana"/>
          <w:color w:val="000000"/>
          <w:sz w:val="20"/>
          <w:szCs w:val="20"/>
          <w:lang w:val="es-ES_tradnl"/>
        </w:rPr>
        <w:t xml:space="preserve">y a la difusión de los enlaces en los cuales se encuentra la Sentencia y su resumen en las cuentas de Twitter y Facebook </w:t>
      </w:r>
      <w:r w:rsidR="007C7800" w:rsidRPr="00247EC9">
        <w:rPr>
          <w:rFonts w:ascii="Verdana" w:hAnsi="Verdana"/>
          <w:color w:val="000000"/>
          <w:sz w:val="20"/>
          <w:szCs w:val="20"/>
          <w:lang w:val="es-ES_tradnl"/>
        </w:rPr>
        <w:t xml:space="preserve">del </w:t>
      </w:r>
      <w:r w:rsidR="00364C74">
        <w:rPr>
          <w:rFonts w:ascii="Verdana" w:hAnsi="Verdana"/>
          <w:color w:val="000000"/>
          <w:sz w:val="20"/>
          <w:szCs w:val="20"/>
          <w:lang w:val="es-ES_tradnl"/>
        </w:rPr>
        <w:t xml:space="preserve">Ministerio de Derechos </w:t>
      </w:r>
      <w:proofErr w:type="spellStart"/>
      <w:r w:rsidR="00364C74">
        <w:rPr>
          <w:rFonts w:ascii="Verdana" w:hAnsi="Verdana"/>
          <w:color w:val="000000"/>
          <w:sz w:val="20"/>
          <w:szCs w:val="20"/>
          <w:lang w:val="es-ES_tradnl"/>
        </w:rPr>
        <w:t>Humaos</w:t>
      </w:r>
      <w:proofErr w:type="spellEnd"/>
      <w:r w:rsidR="00364C74">
        <w:rPr>
          <w:rFonts w:ascii="Verdana" w:hAnsi="Verdana"/>
          <w:color w:val="000000"/>
          <w:sz w:val="20"/>
          <w:szCs w:val="20"/>
          <w:lang w:val="es-ES_tradnl"/>
        </w:rPr>
        <w:t xml:space="preserve">, </w:t>
      </w:r>
      <w:r w:rsidR="007C7800" w:rsidRPr="00247EC9">
        <w:rPr>
          <w:rFonts w:ascii="Verdana" w:hAnsi="Verdana"/>
          <w:color w:val="000000"/>
          <w:sz w:val="20"/>
          <w:szCs w:val="20"/>
          <w:lang w:val="es-ES_tradnl"/>
        </w:rPr>
        <w:t>Ministerio de Relaciones Exteriores</w:t>
      </w:r>
      <w:r w:rsidR="00247EC9" w:rsidRPr="00D96312">
        <w:rPr>
          <w:rFonts w:ascii="Verdana" w:hAnsi="Verdana"/>
          <w:color w:val="000000"/>
          <w:sz w:val="20"/>
          <w:szCs w:val="20"/>
          <w:lang w:val="es-ES_tradnl"/>
        </w:rPr>
        <w:t xml:space="preserve">, de la </w:t>
      </w:r>
      <w:proofErr w:type="spellStart"/>
      <w:r w:rsidR="00247EC9" w:rsidRPr="00D96312">
        <w:rPr>
          <w:rFonts w:ascii="Verdana" w:hAnsi="Verdana"/>
          <w:color w:val="000000"/>
          <w:sz w:val="20"/>
          <w:szCs w:val="20"/>
          <w:lang w:val="es-ES_tradnl"/>
        </w:rPr>
        <w:t>Policía</w:t>
      </w:r>
      <w:proofErr w:type="spellEnd"/>
      <w:r w:rsidR="00247EC9" w:rsidRPr="00D96312">
        <w:rPr>
          <w:rFonts w:ascii="Verdana" w:hAnsi="Verdana"/>
          <w:color w:val="000000"/>
          <w:sz w:val="20"/>
          <w:szCs w:val="20"/>
          <w:lang w:val="es-ES_tradnl"/>
        </w:rPr>
        <w:t xml:space="preserve"> Civil del Estado de </w:t>
      </w:r>
      <w:proofErr w:type="spellStart"/>
      <w:r w:rsidR="00247EC9" w:rsidRPr="00D96312">
        <w:rPr>
          <w:rFonts w:ascii="Verdana" w:hAnsi="Verdana"/>
          <w:color w:val="000000"/>
          <w:sz w:val="20"/>
          <w:szCs w:val="20"/>
          <w:lang w:val="es-ES_tradnl"/>
        </w:rPr>
        <w:t>Río</w:t>
      </w:r>
      <w:proofErr w:type="spellEnd"/>
      <w:r w:rsidR="00247EC9" w:rsidRPr="00D96312">
        <w:rPr>
          <w:rFonts w:ascii="Verdana" w:hAnsi="Verdana"/>
          <w:color w:val="000000"/>
          <w:sz w:val="20"/>
          <w:szCs w:val="20"/>
          <w:lang w:val="es-ES_tradnl"/>
        </w:rPr>
        <w:t xml:space="preserve"> de Janeiro, de la </w:t>
      </w:r>
      <w:proofErr w:type="spellStart"/>
      <w:r w:rsidR="00247EC9" w:rsidRPr="00D96312">
        <w:rPr>
          <w:rFonts w:ascii="Verdana" w:hAnsi="Verdana"/>
          <w:color w:val="000000"/>
          <w:sz w:val="20"/>
          <w:szCs w:val="20"/>
          <w:lang w:val="es-ES_tradnl"/>
        </w:rPr>
        <w:t>Secretaría</w:t>
      </w:r>
      <w:proofErr w:type="spellEnd"/>
      <w:r w:rsidR="00247EC9" w:rsidRPr="00D96312">
        <w:rPr>
          <w:rFonts w:ascii="Verdana" w:hAnsi="Verdana"/>
          <w:color w:val="000000"/>
          <w:sz w:val="20"/>
          <w:szCs w:val="20"/>
          <w:lang w:val="es-ES_tradnl"/>
        </w:rPr>
        <w:t xml:space="preserve"> de </w:t>
      </w:r>
      <w:r w:rsidR="00247EC9" w:rsidRPr="00D96312">
        <w:rPr>
          <w:rFonts w:ascii="Verdana" w:hAnsi="Verdana"/>
          <w:color w:val="000000"/>
          <w:sz w:val="20"/>
          <w:szCs w:val="20"/>
          <w:lang w:val="es-ES_tradnl"/>
        </w:rPr>
        <w:lastRenderedPageBreak/>
        <w:t xml:space="preserve">Seguridad </w:t>
      </w:r>
      <w:proofErr w:type="spellStart"/>
      <w:r w:rsidR="00247EC9" w:rsidRPr="00D96312">
        <w:rPr>
          <w:rFonts w:ascii="Verdana" w:hAnsi="Verdana"/>
          <w:color w:val="000000"/>
          <w:sz w:val="20"/>
          <w:szCs w:val="20"/>
          <w:lang w:val="es-ES_tradnl"/>
        </w:rPr>
        <w:t>Pública</w:t>
      </w:r>
      <w:proofErr w:type="spellEnd"/>
      <w:r w:rsidR="00247EC9" w:rsidRPr="00D96312">
        <w:rPr>
          <w:rFonts w:ascii="Verdana" w:hAnsi="Verdana"/>
          <w:color w:val="000000"/>
          <w:sz w:val="20"/>
          <w:szCs w:val="20"/>
          <w:lang w:val="es-ES_tradnl"/>
        </w:rPr>
        <w:t xml:space="preserve"> del Estado de </w:t>
      </w:r>
      <w:proofErr w:type="spellStart"/>
      <w:r w:rsidR="00247EC9" w:rsidRPr="00D96312">
        <w:rPr>
          <w:rFonts w:ascii="Verdana" w:hAnsi="Verdana"/>
          <w:color w:val="000000"/>
          <w:sz w:val="20"/>
          <w:szCs w:val="20"/>
          <w:lang w:val="es-ES_tradnl"/>
        </w:rPr>
        <w:t>Río</w:t>
      </w:r>
      <w:proofErr w:type="spellEnd"/>
      <w:r w:rsidR="00247EC9" w:rsidRPr="00D96312">
        <w:rPr>
          <w:rFonts w:ascii="Verdana" w:hAnsi="Verdana"/>
          <w:color w:val="000000"/>
          <w:sz w:val="20"/>
          <w:szCs w:val="20"/>
          <w:lang w:val="es-ES_tradnl"/>
        </w:rPr>
        <w:t xml:space="preserve"> de Janeiro y del Gobierno del Estado de </w:t>
      </w:r>
      <w:proofErr w:type="spellStart"/>
      <w:r w:rsidR="00247EC9" w:rsidRPr="00D96312">
        <w:rPr>
          <w:rFonts w:ascii="Verdana" w:hAnsi="Verdana"/>
          <w:color w:val="000000"/>
          <w:sz w:val="20"/>
          <w:szCs w:val="20"/>
          <w:lang w:val="es-ES_tradnl"/>
        </w:rPr>
        <w:t>Río</w:t>
      </w:r>
      <w:proofErr w:type="spellEnd"/>
      <w:r w:rsidR="00247EC9" w:rsidRPr="00D96312">
        <w:rPr>
          <w:rFonts w:ascii="Verdana" w:hAnsi="Verdana"/>
          <w:color w:val="000000"/>
          <w:sz w:val="20"/>
          <w:szCs w:val="20"/>
          <w:lang w:val="es-ES_tradnl"/>
        </w:rPr>
        <w:t xml:space="preserve"> de Janeiro.</w:t>
      </w:r>
      <w:r w:rsidR="007C7800" w:rsidRPr="00D96312">
        <w:rPr>
          <w:rFonts w:ascii="Verdana" w:hAnsi="Verdana"/>
          <w:color w:val="000000"/>
          <w:sz w:val="20"/>
          <w:szCs w:val="20"/>
          <w:lang w:val="es-ES_tradnl"/>
        </w:rPr>
        <w:t xml:space="preserve"> </w:t>
      </w:r>
      <w:r w:rsidR="00FE6503" w:rsidRPr="00D96312">
        <w:rPr>
          <w:rFonts w:ascii="Verdana" w:hAnsi="Verdana"/>
          <w:color w:val="000000"/>
          <w:sz w:val="20"/>
          <w:szCs w:val="20"/>
          <w:lang w:val="es-ES_tradnl"/>
        </w:rPr>
        <w:t>Continúa</w:t>
      </w:r>
      <w:r w:rsidR="00FE6503" w:rsidRPr="00A260EB">
        <w:rPr>
          <w:rFonts w:ascii="Verdana" w:hAnsi="Verdana"/>
          <w:color w:val="000000"/>
          <w:sz w:val="20"/>
          <w:szCs w:val="20"/>
          <w:lang w:val="es-ES_tradnl"/>
        </w:rPr>
        <w:t xml:space="preserve"> </w:t>
      </w:r>
      <w:r w:rsidR="001A6B93" w:rsidRPr="00A260EB">
        <w:rPr>
          <w:rFonts w:ascii="Verdana" w:hAnsi="Verdana"/>
          <w:color w:val="000000"/>
          <w:sz w:val="20"/>
          <w:szCs w:val="20"/>
          <w:lang w:val="es-ES_tradnl"/>
        </w:rPr>
        <w:t xml:space="preserve">pendiente la publicación de la Sentencia y su resumen en un sitio </w:t>
      </w:r>
      <w:r w:rsidR="001A6B93" w:rsidRPr="00A260EB">
        <w:rPr>
          <w:rFonts w:ascii="Verdana" w:hAnsi="Verdana"/>
          <w:i/>
          <w:color w:val="000000"/>
          <w:sz w:val="20"/>
          <w:szCs w:val="20"/>
          <w:lang w:val="es-ES_tradnl"/>
        </w:rPr>
        <w:t xml:space="preserve">web </w:t>
      </w:r>
      <w:r w:rsidR="001A6B93" w:rsidRPr="00A260EB">
        <w:rPr>
          <w:rFonts w:ascii="Verdana" w:hAnsi="Verdana"/>
          <w:color w:val="000000"/>
          <w:sz w:val="20"/>
          <w:szCs w:val="20"/>
          <w:lang w:val="es-ES_tradnl"/>
        </w:rPr>
        <w:t>oficial del Gobierno del Estado de Río de Janeiro</w:t>
      </w:r>
      <w:r w:rsidR="00247EC9">
        <w:rPr>
          <w:rFonts w:ascii="Verdana" w:hAnsi="Verdana"/>
          <w:color w:val="000000"/>
          <w:sz w:val="20"/>
          <w:szCs w:val="20"/>
          <w:lang w:val="es-ES_tradnl"/>
        </w:rPr>
        <w:t>.</w:t>
      </w:r>
      <w:r w:rsidR="007C7800" w:rsidRPr="00A260EB">
        <w:rPr>
          <w:rFonts w:ascii="Verdana" w:hAnsi="Verdana"/>
          <w:color w:val="000000"/>
          <w:sz w:val="20"/>
          <w:szCs w:val="20"/>
          <w:lang w:val="es-ES_tradnl"/>
        </w:rPr>
        <w:t xml:space="preserve">  </w:t>
      </w:r>
    </w:p>
    <w:p w14:paraId="7029A853" w14:textId="5E13B8F7" w:rsidR="00EA3D0C" w:rsidRPr="00A260EB" w:rsidRDefault="00976C72" w:rsidP="00EA3D0C">
      <w:pPr>
        <w:numPr>
          <w:ilvl w:val="0"/>
          <w:numId w:val="7"/>
        </w:numPr>
        <w:tabs>
          <w:tab w:val="left" w:pos="567"/>
        </w:tabs>
        <w:spacing w:before="240" w:after="240" w:line="240" w:lineRule="auto"/>
        <w:ind w:left="0" w:firstLine="0"/>
        <w:jc w:val="both"/>
        <w:rPr>
          <w:rFonts w:ascii="Verdana" w:hAnsi="Verdana"/>
          <w:sz w:val="20"/>
          <w:szCs w:val="20"/>
          <w:lang w:val="es-CR"/>
        </w:rPr>
      </w:pPr>
      <w:r w:rsidRPr="00A260EB">
        <w:rPr>
          <w:rFonts w:ascii="Verdana" w:hAnsi="Verdana"/>
          <w:sz w:val="20"/>
          <w:szCs w:val="20"/>
          <w:lang w:val="es-CR"/>
        </w:rPr>
        <w:t xml:space="preserve">Mantener abierto el procedimiento de supervisión de cumplimiento de las siguientes medidas, </w:t>
      </w:r>
      <w:r w:rsidR="00B8230C" w:rsidRPr="00A260EB">
        <w:rPr>
          <w:rFonts w:ascii="Verdana" w:hAnsi="Verdana"/>
          <w:sz w:val="20"/>
          <w:szCs w:val="20"/>
          <w:lang w:val="es-CR"/>
        </w:rPr>
        <w:t xml:space="preserve">las cuales </w:t>
      </w:r>
      <w:r w:rsidRPr="00A260EB">
        <w:rPr>
          <w:rFonts w:ascii="Verdana" w:hAnsi="Verdana"/>
          <w:sz w:val="20"/>
          <w:szCs w:val="20"/>
          <w:lang w:val="es-CR"/>
        </w:rPr>
        <w:t xml:space="preserve">conforme a lo indicado en el Considerando </w:t>
      </w:r>
      <w:r w:rsidR="0050717A" w:rsidRPr="00A260EB">
        <w:rPr>
          <w:rFonts w:ascii="Verdana" w:hAnsi="Verdana"/>
          <w:sz w:val="20"/>
          <w:szCs w:val="20"/>
          <w:lang w:val="es-CR"/>
        </w:rPr>
        <w:t>3</w:t>
      </w:r>
      <w:r w:rsidRPr="00A260EB">
        <w:rPr>
          <w:rFonts w:ascii="Verdana" w:hAnsi="Verdana"/>
          <w:sz w:val="20"/>
          <w:szCs w:val="20"/>
          <w:lang w:val="es-CR"/>
        </w:rPr>
        <w:t xml:space="preserve"> de la presente Resolución, serán valoradas en una posterior resolución</w:t>
      </w:r>
      <w:r w:rsidR="00EA3D0C" w:rsidRPr="00A260EB">
        <w:rPr>
          <w:rFonts w:ascii="Verdana" w:hAnsi="Verdana"/>
          <w:sz w:val="20"/>
          <w:szCs w:val="20"/>
          <w:lang w:val="es-CR"/>
        </w:rPr>
        <w:t>:</w:t>
      </w:r>
    </w:p>
    <w:p w14:paraId="092B69D2" w14:textId="772F1300" w:rsidR="000E595A" w:rsidRPr="00A260EB" w:rsidRDefault="00671A11" w:rsidP="0041260D">
      <w:pPr>
        <w:numPr>
          <w:ilvl w:val="0"/>
          <w:numId w:val="17"/>
        </w:numPr>
        <w:tabs>
          <w:tab w:val="left" w:pos="720"/>
        </w:tabs>
        <w:spacing w:before="240" w:after="240" w:line="240" w:lineRule="auto"/>
        <w:jc w:val="both"/>
        <w:rPr>
          <w:rFonts w:ascii="Verdana" w:hAnsi="Verdana"/>
          <w:sz w:val="20"/>
          <w:szCs w:val="20"/>
          <w:lang w:val="es-CR"/>
        </w:rPr>
      </w:pPr>
      <w:r>
        <w:rPr>
          <w:rFonts w:ascii="Verdana" w:hAnsi="Verdana"/>
          <w:sz w:val="20"/>
          <w:szCs w:val="20"/>
          <w:lang w:val="es-CR"/>
        </w:rPr>
        <w:t>c</w:t>
      </w:r>
      <w:r w:rsidR="00364C74">
        <w:rPr>
          <w:rFonts w:ascii="Verdana" w:hAnsi="Verdana"/>
          <w:sz w:val="20"/>
          <w:szCs w:val="20"/>
          <w:lang w:val="es-CR"/>
        </w:rPr>
        <w:t>ontinuar con</w:t>
      </w:r>
      <w:r w:rsidR="000E595A" w:rsidRPr="00A260EB">
        <w:rPr>
          <w:rFonts w:ascii="Verdana" w:hAnsi="Verdana"/>
          <w:sz w:val="20"/>
          <w:szCs w:val="20"/>
          <w:lang w:val="es-CR"/>
        </w:rPr>
        <w:t xml:space="preserve"> la investigación sobre los hechos relacionados con las muertes ocurridas en la redada de 1994, identificar, procesar y, en su caso</w:t>
      </w:r>
      <w:r w:rsidR="00364C74">
        <w:rPr>
          <w:rFonts w:ascii="Verdana" w:hAnsi="Verdana"/>
          <w:sz w:val="20"/>
          <w:szCs w:val="20"/>
          <w:lang w:val="es-CR"/>
        </w:rPr>
        <w:t xml:space="preserve">, sancionar a los responsables, </w:t>
      </w:r>
      <w:r>
        <w:rPr>
          <w:rFonts w:ascii="Verdana" w:hAnsi="Verdana"/>
          <w:sz w:val="20"/>
          <w:szCs w:val="20"/>
          <w:lang w:val="es-CR"/>
        </w:rPr>
        <w:t xml:space="preserve">e </w:t>
      </w:r>
      <w:r w:rsidR="000E595A" w:rsidRPr="00A260EB">
        <w:rPr>
          <w:rFonts w:ascii="Verdana" w:hAnsi="Verdana"/>
          <w:sz w:val="20"/>
          <w:szCs w:val="20"/>
          <w:lang w:val="es-CR"/>
        </w:rPr>
        <w:t xml:space="preserve">iniciar o reactivar una investigación eficaz respecto </w:t>
      </w:r>
      <w:r w:rsidR="00364C74">
        <w:rPr>
          <w:rFonts w:ascii="Verdana" w:hAnsi="Verdana"/>
          <w:sz w:val="20"/>
          <w:szCs w:val="20"/>
          <w:lang w:val="es-CR"/>
        </w:rPr>
        <w:t xml:space="preserve">a </w:t>
      </w:r>
      <w:r w:rsidR="00364C74" w:rsidRPr="00A260EB">
        <w:rPr>
          <w:rFonts w:ascii="Verdana" w:hAnsi="Verdana"/>
          <w:sz w:val="20"/>
          <w:szCs w:val="20"/>
          <w:lang w:val="es-CR"/>
        </w:rPr>
        <w:t>las muertes ocurridas en la redada de 1995</w:t>
      </w:r>
      <w:r w:rsidR="000E595A" w:rsidRPr="00A260EB">
        <w:rPr>
          <w:rFonts w:ascii="Verdana" w:hAnsi="Verdana"/>
          <w:sz w:val="20"/>
          <w:szCs w:val="20"/>
          <w:lang w:val="es-CR"/>
        </w:rPr>
        <w:t xml:space="preserve">. </w:t>
      </w:r>
      <w:r w:rsidR="000E595A" w:rsidRPr="00A260EB">
        <w:rPr>
          <w:rFonts w:ascii="Verdana" w:hAnsi="Verdana"/>
          <w:i/>
          <w:sz w:val="20"/>
          <w:szCs w:val="20"/>
          <w:lang w:val="es-CR"/>
        </w:rPr>
        <w:t>(punto dispositivo</w:t>
      </w:r>
      <w:r w:rsidR="002E204A" w:rsidRPr="00A260EB">
        <w:rPr>
          <w:rFonts w:ascii="Verdana" w:hAnsi="Verdana"/>
          <w:i/>
          <w:sz w:val="20"/>
          <w:szCs w:val="20"/>
          <w:lang w:val="es-CR"/>
        </w:rPr>
        <w:t xml:space="preserve"> décimo</w:t>
      </w:r>
      <w:r w:rsidR="00E62EA8" w:rsidRPr="00A260EB">
        <w:rPr>
          <w:rFonts w:ascii="Verdana" w:hAnsi="Verdana"/>
          <w:i/>
          <w:sz w:val="20"/>
          <w:szCs w:val="20"/>
          <w:lang w:val="es-CR"/>
        </w:rPr>
        <w:t xml:space="preserve"> de la S</w:t>
      </w:r>
      <w:r w:rsidR="000E595A" w:rsidRPr="00A260EB">
        <w:rPr>
          <w:rFonts w:ascii="Verdana" w:hAnsi="Verdana"/>
          <w:i/>
          <w:sz w:val="20"/>
          <w:szCs w:val="20"/>
          <w:lang w:val="es-CR"/>
        </w:rPr>
        <w:t>entencia</w:t>
      </w:r>
      <w:r w:rsidR="000E595A" w:rsidRPr="00A260EB">
        <w:rPr>
          <w:rFonts w:ascii="Verdana" w:hAnsi="Verdana"/>
          <w:sz w:val="20"/>
          <w:szCs w:val="20"/>
          <w:lang w:val="es-CR"/>
        </w:rPr>
        <w:t>)</w:t>
      </w:r>
      <w:r w:rsidR="00120494" w:rsidRPr="00A260EB">
        <w:rPr>
          <w:rFonts w:ascii="Verdana" w:hAnsi="Verdana"/>
          <w:sz w:val="20"/>
          <w:szCs w:val="20"/>
          <w:lang w:val="es-CR"/>
        </w:rPr>
        <w:t>;</w:t>
      </w:r>
    </w:p>
    <w:p w14:paraId="618765E5" w14:textId="63F8D238" w:rsidR="000E595A" w:rsidRPr="00A260EB" w:rsidRDefault="00364C74" w:rsidP="0041260D">
      <w:pPr>
        <w:numPr>
          <w:ilvl w:val="0"/>
          <w:numId w:val="17"/>
        </w:numPr>
        <w:tabs>
          <w:tab w:val="left" w:pos="720"/>
        </w:tabs>
        <w:spacing w:before="240" w:after="240" w:line="240" w:lineRule="auto"/>
        <w:jc w:val="both"/>
        <w:rPr>
          <w:rFonts w:ascii="Verdana" w:hAnsi="Verdana"/>
          <w:sz w:val="20"/>
          <w:szCs w:val="20"/>
          <w:lang w:val="es-CR"/>
        </w:rPr>
      </w:pPr>
      <w:r>
        <w:rPr>
          <w:rFonts w:ascii="Verdana" w:hAnsi="Verdana"/>
          <w:sz w:val="20"/>
          <w:szCs w:val="20"/>
          <w:lang w:val="es-CR"/>
        </w:rPr>
        <w:t>investigar</w:t>
      </w:r>
      <w:r w:rsidR="000E595A" w:rsidRPr="00A260EB">
        <w:rPr>
          <w:rFonts w:ascii="Verdana" w:hAnsi="Verdana"/>
          <w:sz w:val="20"/>
          <w:szCs w:val="20"/>
          <w:lang w:val="es-CR"/>
        </w:rPr>
        <w:t xml:space="preserve"> los hechos de violencia sexual (</w:t>
      </w:r>
      <w:r w:rsidR="000E595A" w:rsidRPr="00A260EB">
        <w:rPr>
          <w:rFonts w:ascii="Verdana" w:hAnsi="Verdana"/>
          <w:i/>
          <w:sz w:val="20"/>
          <w:szCs w:val="20"/>
          <w:lang w:val="es-CR"/>
        </w:rPr>
        <w:t xml:space="preserve">punto dispositivo </w:t>
      </w:r>
      <w:r w:rsidR="002E204A" w:rsidRPr="00A260EB">
        <w:rPr>
          <w:rFonts w:ascii="Verdana" w:hAnsi="Verdana"/>
          <w:i/>
          <w:sz w:val="20"/>
          <w:szCs w:val="20"/>
          <w:lang w:val="es-CR"/>
        </w:rPr>
        <w:t xml:space="preserve">undécimo </w:t>
      </w:r>
      <w:r w:rsidR="00E62EA8" w:rsidRPr="00A260EB">
        <w:rPr>
          <w:rFonts w:ascii="Verdana" w:hAnsi="Verdana"/>
          <w:i/>
          <w:sz w:val="20"/>
          <w:szCs w:val="20"/>
          <w:lang w:val="es-CR"/>
        </w:rPr>
        <w:t>de la S</w:t>
      </w:r>
      <w:r w:rsidR="000E595A" w:rsidRPr="00A260EB">
        <w:rPr>
          <w:rFonts w:ascii="Verdana" w:hAnsi="Verdana"/>
          <w:i/>
          <w:sz w:val="20"/>
          <w:szCs w:val="20"/>
          <w:lang w:val="es-CR"/>
        </w:rPr>
        <w:t>entencia</w:t>
      </w:r>
      <w:r w:rsidR="000E595A" w:rsidRPr="00A260EB">
        <w:rPr>
          <w:rFonts w:ascii="Verdana" w:hAnsi="Verdana"/>
          <w:sz w:val="20"/>
          <w:szCs w:val="20"/>
          <w:lang w:val="es-CR"/>
        </w:rPr>
        <w:t>)</w:t>
      </w:r>
      <w:r w:rsidR="00120494" w:rsidRPr="00A260EB">
        <w:rPr>
          <w:rFonts w:ascii="Verdana" w:hAnsi="Verdana"/>
          <w:sz w:val="20"/>
          <w:szCs w:val="20"/>
          <w:lang w:val="es-CR"/>
        </w:rPr>
        <w:t>;</w:t>
      </w:r>
    </w:p>
    <w:p w14:paraId="225CDC68" w14:textId="168F3825" w:rsidR="000E595A" w:rsidRPr="00A260EB"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 xml:space="preserve">brindar tratamiento psicológico y psiquiátrico </w:t>
      </w:r>
      <w:r w:rsidR="00671A11">
        <w:rPr>
          <w:rFonts w:ascii="Verdana" w:hAnsi="Verdana"/>
          <w:sz w:val="20"/>
          <w:szCs w:val="20"/>
          <w:lang w:val="es-CR"/>
        </w:rPr>
        <w:t xml:space="preserve">a las víctimas </w:t>
      </w:r>
      <w:r w:rsidR="002E204A" w:rsidRPr="00A260EB">
        <w:rPr>
          <w:rFonts w:ascii="Verdana" w:hAnsi="Verdana"/>
          <w:sz w:val="20"/>
          <w:szCs w:val="20"/>
          <w:lang w:val="es-CR"/>
        </w:rPr>
        <w:t>(</w:t>
      </w:r>
      <w:r w:rsidR="002E204A" w:rsidRPr="00A260EB">
        <w:rPr>
          <w:rFonts w:ascii="Verdana" w:hAnsi="Verdana"/>
          <w:i/>
          <w:sz w:val="20"/>
          <w:szCs w:val="20"/>
          <w:lang w:val="es-CR"/>
        </w:rPr>
        <w:t xml:space="preserve">punto dispositivo décimo segundo </w:t>
      </w:r>
      <w:r w:rsidR="00E62EA8" w:rsidRPr="00A260EB">
        <w:rPr>
          <w:rFonts w:ascii="Verdana" w:hAnsi="Verdana"/>
          <w:i/>
          <w:sz w:val="20"/>
          <w:szCs w:val="20"/>
          <w:lang w:val="es-CR"/>
        </w:rPr>
        <w:t>de la S</w:t>
      </w:r>
      <w:r w:rsidRPr="00A260EB">
        <w:rPr>
          <w:rFonts w:ascii="Verdana" w:hAnsi="Verdana"/>
          <w:i/>
          <w:sz w:val="20"/>
          <w:szCs w:val="20"/>
          <w:lang w:val="es-CR"/>
        </w:rPr>
        <w:t>entencia</w:t>
      </w:r>
      <w:r w:rsidRPr="00A260EB">
        <w:rPr>
          <w:rFonts w:ascii="Verdana" w:hAnsi="Verdana"/>
          <w:sz w:val="20"/>
          <w:szCs w:val="20"/>
          <w:lang w:val="es-CR"/>
        </w:rPr>
        <w:t>)</w:t>
      </w:r>
      <w:r w:rsidR="00120494" w:rsidRPr="00A260EB">
        <w:rPr>
          <w:rFonts w:ascii="Verdana" w:hAnsi="Verdana"/>
          <w:sz w:val="20"/>
          <w:szCs w:val="20"/>
          <w:lang w:val="es-CR"/>
        </w:rPr>
        <w:t>;</w:t>
      </w:r>
    </w:p>
    <w:p w14:paraId="5F804FEE" w14:textId="29551FF2" w:rsidR="00976C72" w:rsidRPr="00A260EB" w:rsidRDefault="00B8230C"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publicar la Sentencia y su resumen</w:t>
      </w:r>
      <w:r w:rsidR="000E595A" w:rsidRPr="00A260EB">
        <w:rPr>
          <w:rFonts w:ascii="Verdana" w:hAnsi="Verdana"/>
          <w:color w:val="000000"/>
          <w:sz w:val="20"/>
          <w:szCs w:val="20"/>
          <w:lang w:val="es-ES_tradnl"/>
        </w:rPr>
        <w:t xml:space="preserve"> </w:t>
      </w:r>
      <w:r w:rsidRPr="00A260EB">
        <w:rPr>
          <w:rFonts w:ascii="Verdana" w:hAnsi="Verdana"/>
          <w:color w:val="000000"/>
          <w:sz w:val="20"/>
          <w:szCs w:val="20"/>
          <w:lang w:val="es-ES_tradnl"/>
        </w:rPr>
        <w:t xml:space="preserve">en un sitio </w:t>
      </w:r>
      <w:r w:rsidRPr="00A260EB">
        <w:rPr>
          <w:rFonts w:ascii="Verdana" w:hAnsi="Verdana"/>
          <w:i/>
          <w:color w:val="000000"/>
          <w:sz w:val="20"/>
          <w:szCs w:val="20"/>
          <w:lang w:val="es-ES_tradnl"/>
        </w:rPr>
        <w:t xml:space="preserve">web </w:t>
      </w:r>
      <w:r w:rsidRPr="00A260EB">
        <w:rPr>
          <w:rFonts w:ascii="Verdana" w:hAnsi="Verdana"/>
          <w:color w:val="000000"/>
          <w:sz w:val="20"/>
          <w:szCs w:val="20"/>
          <w:lang w:val="es-ES_tradnl"/>
        </w:rPr>
        <w:t>oficial del Gobierno del Estado de Río de Janeiro</w:t>
      </w:r>
      <w:r w:rsidR="00247EC9">
        <w:rPr>
          <w:rFonts w:ascii="Verdana" w:hAnsi="Verdana"/>
          <w:color w:val="000000"/>
          <w:sz w:val="20"/>
          <w:szCs w:val="20"/>
          <w:lang w:val="es-ES_tradnl"/>
        </w:rPr>
        <w:t xml:space="preserve"> </w:t>
      </w:r>
      <w:r w:rsidR="000E595A" w:rsidRPr="00A260EB">
        <w:rPr>
          <w:rFonts w:ascii="Verdana" w:hAnsi="Verdana"/>
          <w:sz w:val="20"/>
          <w:szCs w:val="20"/>
          <w:lang w:val="es-CR"/>
        </w:rPr>
        <w:t>(</w:t>
      </w:r>
      <w:r w:rsidR="000E595A" w:rsidRPr="00A260EB">
        <w:rPr>
          <w:rFonts w:ascii="Verdana" w:hAnsi="Verdana"/>
          <w:i/>
          <w:sz w:val="20"/>
          <w:szCs w:val="20"/>
          <w:lang w:val="es-CR"/>
        </w:rPr>
        <w:t>punto dispositivo</w:t>
      </w:r>
      <w:r w:rsidR="00593941" w:rsidRPr="00A260EB">
        <w:rPr>
          <w:rFonts w:ascii="Verdana" w:hAnsi="Verdana"/>
          <w:i/>
          <w:sz w:val="20"/>
          <w:szCs w:val="20"/>
          <w:lang w:val="es-CR"/>
        </w:rPr>
        <w:t xml:space="preserve"> décimo tercero</w:t>
      </w:r>
      <w:r w:rsidR="00E62EA8" w:rsidRPr="00A260EB">
        <w:rPr>
          <w:rFonts w:ascii="Verdana" w:hAnsi="Verdana"/>
          <w:i/>
          <w:sz w:val="20"/>
          <w:szCs w:val="20"/>
          <w:lang w:val="es-CR"/>
        </w:rPr>
        <w:t xml:space="preserve"> de la S</w:t>
      </w:r>
      <w:r w:rsidR="000E595A" w:rsidRPr="00A260EB">
        <w:rPr>
          <w:rFonts w:ascii="Verdana" w:hAnsi="Verdana"/>
          <w:i/>
          <w:sz w:val="20"/>
          <w:szCs w:val="20"/>
          <w:lang w:val="es-CR"/>
        </w:rPr>
        <w:t>entencia</w:t>
      </w:r>
      <w:r w:rsidR="000E595A" w:rsidRPr="00A260EB">
        <w:rPr>
          <w:rFonts w:ascii="Verdana" w:hAnsi="Verdana"/>
          <w:sz w:val="20"/>
          <w:szCs w:val="20"/>
          <w:lang w:val="es-CR"/>
        </w:rPr>
        <w:t>)</w:t>
      </w:r>
      <w:r w:rsidR="00120494" w:rsidRPr="00A260EB">
        <w:rPr>
          <w:rFonts w:ascii="Verdana" w:hAnsi="Verdana"/>
          <w:color w:val="000000"/>
          <w:sz w:val="20"/>
          <w:szCs w:val="20"/>
          <w:lang w:val="es-ES_tradnl"/>
        </w:rPr>
        <w:t>;</w:t>
      </w:r>
    </w:p>
    <w:p w14:paraId="5887489B" w14:textId="7599979A" w:rsidR="000E595A" w:rsidRPr="00A260EB"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realizar un acto público de reconocimiento d</w:t>
      </w:r>
      <w:r w:rsidR="00D47DFB">
        <w:rPr>
          <w:rFonts w:ascii="Verdana" w:hAnsi="Verdana"/>
          <w:sz w:val="20"/>
          <w:szCs w:val="20"/>
          <w:lang w:val="es-CR"/>
        </w:rPr>
        <w:t>e responsabilidad internacional</w:t>
      </w:r>
      <w:r w:rsidRPr="00A260EB">
        <w:rPr>
          <w:rFonts w:ascii="Verdana" w:hAnsi="Verdana"/>
          <w:sz w:val="20"/>
          <w:szCs w:val="20"/>
          <w:lang w:val="es-CR"/>
        </w:rPr>
        <w:t xml:space="preserve"> (</w:t>
      </w:r>
      <w:r w:rsidRPr="00A260EB">
        <w:rPr>
          <w:rFonts w:ascii="Verdana" w:hAnsi="Verdana"/>
          <w:i/>
          <w:sz w:val="20"/>
          <w:szCs w:val="20"/>
          <w:lang w:val="es-CR"/>
        </w:rPr>
        <w:t xml:space="preserve">punto dispositivo </w:t>
      </w:r>
      <w:r w:rsidR="00593941" w:rsidRPr="00A260EB">
        <w:rPr>
          <w:rFonts w:ascii="Verdana" w:hAnsi="Verdana"/>
          <w:i/>
          <w:sz w:val="20"/>
          <w:szCs w:val="20"/>
          <w:lang w:val="es-CR"/>
        </w:rPr>
        <w:t xml:space="preserve">décimo cuarto </w:t>
      </w:r>
      <w:r w:rsidR="00E62EA8" w:rsidRPr="00A260EB">
        <w:rPr>
          <w:rFonts w:ascii="Verdana" w:hAnsi="Verdana"/>
          <w:i/>
          <w:sz w:val="20"/>
          <w:szCs w:val="20"/>
          <w:lang w:val="es-CR"/>
        </w:rPr>
        <w:t>de la S</w:t>
      </w:r>
      <w:r w:rsidRPr="00A260EB">
        <w:rPr>
          <w:rFonts w:ascii="Verdana" w:hAnsi="Verdana"/>
          <w:i/>
          <w:sz w:val="20"/>
          <w:szCs w:val="20"/>
          <w:lang w:val="es-CR"/>
        </w:rPr>
        <w:t>entencia</w:t>
      </w:r>
      <w:r w:rsidRPr="00A260EB">
        <w:rPr>
          <w:rFonts w:ascii="Verdana" w:hAnsi="Verdana"/>
          <w:sz w:val="20"/>
          <w:szCs w:val="20"/>
          <w:lang w:val="es-CR"/>
        </w:rPr>
        <w:t>)</w:t>
      </w:r>
      <w:r w:rsidR="00120494" w:rsidRPr="00A260EB">
        <w:rPr>
          <w:rFonts w:ascii="Verdana" w:hAnsi="Verdana"/>
          <w:sz w:val="20"/>
          <w:szCs w:val="20"/>
          <w:lang w:val="es-CR"/>
        </w:rPr>
        <w:t>;</w:t>
      </w:r>
    </w:p>
    <w:p w14:paraId="58F958C5" w14:textId="1FEBF79D" w:rsidR="000E595A" w:rsidRPr="00A260EB"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publicar anualmente un informe oficial con los datos relativos a las muertes producidas durante operativos de la policía en todos los estados del país. (</w:t>
      </w:r>
      <w:r w:rsidRPr="00A260EB">
        <w:rPr>
          <w:rFonts w:ascii="Verdana" w:hAnsi="Verdana"/>
          <w:i/>
          <w:sz w:val="20"/>
          <w:szCs w:val="20"/>
          <w:lang w:val="es-CR"/>
        </w:rPr>
        <w:t xml:space="preserve">punto dispositivo </w:t>
      </w:r>
      <w:r w:rsidR="00593941" w:rsidRPr="00A260EB">
        <w:rPr>
          <w:rFonts w:ascii="Verdana" w:hAnsi="Verdana"/>
          <w:i/>
          <w:sz w:val="20"/>
          <w:szCs w:val="20"/>
          <w:lang w:val="es-CR"/>
        </w:rPr>
        <w:t xml:space="preserve">décimo quinto </w:t>
      </w:r>
      <w:r w:rsidR="00E62EA8" w:rsidRPr="00A260EB">
        <w:rPr>
          <w:rFonts w:ascii="Verdana" w:hAnsi="Verdana"/>
          <w:i/>
          <w:sz w:val="20"/>
          <w:szCs w:val="20"/>
          <w:lang w:val="es-CR"/>
        </w:rPr>
        <w:t>de la S</w:t>
      </w:r>
      <w:r w:rsidRPr="00A260EB">
        <w:rPr>
          <w:rFonts w:ascii="Verdana" w:hAnsi="Verdana"/>
          <w:i/>
          <w:sz w:val="20"/>
          <w:szCs w:val="20"/>
          <w:lang w:val="es-CR"/>
        </w:rPr>
        <w:t>entencia</w:t>
      </w:r>
      <w:r w:rsidRPr="00A260EB">
        <w:rPr>
          <w:rFonts w:ascii="Verdana" w:hAnsi="Verdana"/>
          <w:sz w:val="20"/>
          <w:szCs w:val="20"/>
          <w:lang w:val="es-CR"/>
        </w:rPr>
        <w:t>)</w:t>
      </w:r>
      <w:r w:rsidR="00120494" w:rsidRPr="00A260EB">
        <w:rPr>
          <w:rFonts w:ascii="Verdana" w:hAnsi="Verdana"/>
          <w:sz w:val="20"/>
          <w:szCs w:val="20"/>
          <w:lang w:val="es-CR"/>
        </w:rPr>
        <w:t>;</w:t>
      </w:r>
    </w:p>
    <w:p w14:paraId="70CF5E12" w14:textId="77777777" w:rsidR="000E595A" w:rsidRPr="00A260EB"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 xml:space="preserve">establecer los mecanismos normativos necesarios para que en supuestos de presuntas muertes, tortura o violencia sexual derivadas de intervención policial, en que </w:t>
      </w:r>
      <w:r w:rsidRPr="00A260EB">
        <w:rPr>
          <w:rFonts w:ascii="Verdana" w:hAnsi="Verdana"/>
          <w:i/>
          <w:sz w:val="20"/>
          <w:szCs w:val="20"/>
          <w:lang w:val="es-CR"/>
        </w:rPr>
        <w:t>prima facie</w:t>
      </w:r>
      <w:r w:rsidRPr="00A260EB">
        <w:rPr>
          <w:rFonts w:ascii="Verdana" w:hAnsi="Verdana"/>
          <w:sz w:val="20"/>
          <w:szCs w:val="20"/>
          <w:lang w:val="es-CR"/>
        </w:rPr>
        <w:t xml:space="preserve"> aparezca como posible imputado personal policial, desde la </w:t>
      </w:r>
      <w:proofErr w:type="spellStart"/>
      <w:r w:rsidRPr="00A260EB">
        <w:rPr>
          <w:rFonts w:ascii="Verdana" w:hAnsi="Verdana"/>
          <w:i/>
          <w:sz w:val="20"/>
          <w:szCs w:val="20"/>
          <w:lang w:val="es-CR"/>
        </w:rPr>
        <w:t>notitia</w:t>
      </w:r>
      <w:proofErr w:type="spellEnd"/>
      <w:r w:rsidRPr="00A260EB">
        <w:rPr>
          <w:rFonts w:ascii="Verdana" w:hAnsi="Verdana"/>
          <w:i/>
          <w:sz w:val="20"/>
          <w:szCs w:val="20"/>
          <w:lang w:val="es-CR"/>
        </w:rPr>
        <w:t xml:space="preserve"> </w:t>
      </w:r>
      <w:proofErr w:type="spellStart"/>
      <w:r w:rsidRPr="00A260EB">
        <w:rPr>
          <w:rFonts w:ascii="Verdana" w:hAnsi="Verdana"/>
          <w:i/>
          <w:sz w:val="20"/>
          <w:szCs w:val="20"/>
          <w:lang w:val="es-CR"/>
        </w:rPr>
        <w:t>criminis</w:t>
      </w:r>
      <w:proofErr w:type="spellEnd"/>
      <w:r w:rsidRPr="00A260EB">
        <w:rPr>
          <w:rFonts w:ascii="Verdana" w:hAnsi="Verdana"/>
          <w:sz w:val="20"/>
          <w:szCs w:val="20"/>
          <w:lang w:val="es-CR"/>
        </w:rPr>
        <w:t xml:space="preserve"> se encargue la investigación a un órgano independiente y diferente de la fuerza pública involucrada en el incidente, tales como una autoridad judicial o el Ministerio Público, asistido por personal policial, técnico criminalístico y administrativo ajeno al cuerpo de seguridad al que pertenezca el posible imputado o imputados (</w:t>
      </w:r>
      <w:r w:rsidRPr="00A260EB">
        <w:rPr>
          <w:rFonts w:ascii="Verdana" w:hAnsi="Verdana"/>
          <w:i/>
          <w:sz w:val="20"/>
          <w:szCs w:val="20"/>
          <w:lang w:val="es-CR"/>
        </w:rPr>
        <w:t xml:space="preserve">punto dispositivo </w:t>
      </w:r>
      <w:r w:rsidR="00593941" w:rsidRPr="00A260EB">
        <w:rPr>
          <w:rFonts w:ascii="Verdana" w:hAnsi="Verdana"/>
          <w:i/>
          <w:sz w:val="20"/>
          <w:szCs w:val="20"/>
          <w:lang w:val="es-CR"/>
        </w:rPr>
        <w:t xml:space="preserve">décimo sexto </w:t>
      </w:r>
      <w:r w:rsidR="00E62EA8" w:rsidRPr="00A260EB">
        <w:rPr>
          <w:rFonts w:ascii="Verdana" w:hAnsi="Verdana"/>
          <w:i/>
          <w:sz w:val="20"/>
          <w:szCs w:val="20"/>
          <w:lang w:val="es-CR"/>
        </w:rPr>
        <w:t>de la S</w:t>
      </w:r>
      <w:r w:rsidRPr="00A260EB">
        <w:rPr>
          <w:rFonts w:ascii="Verdana" w:hAnsi="Verdana"/>
          <w:i/>
          <w:sz w:val="20"/>
          <w:szCs w:val="20"/>
          <w:lang w:val="es-CR"/>
        </w:rPr>
        <w:t>entencia</w:t>
      </w:r>
      <w:r w:rsidRPr="00A260EB">
        <w:rPr>
          <w:rFonts w:ascii="Verdana" w:hAnsi="Verdana"/>
          <w:sz w:val="20"/>
          <w:szCs w:val="20"/>
          <w:lang w:val="es-CR"/>
        </w:rPr>
        <w:t>)</w:t>
      </w:r>
      <w:r w:rsidR="00120494" w:rsidRPr="00A260EB">
        <w:rPr>
          <w:rFonts w:ascii="Verdana" w:hAnsi="Verdana"/>
          <w:sz w:val="20"/>
          <w:szCs w:val="20"/>
          <w:lang w:val="es-CR"/>
        </w:rPr>
        <w:t>;</w:t>
      </w:r>
    </w:p>
    <w:p w14:paraId="5E58D6F1" w14:textId="27479D7B" w:rsidR="000E595A" w:rsidRPr="00A260EB"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 xml:space="preserve">adoptar las medidas necesarias para que el Estado de Río de Janeiro establezca metas y políticas de reducción de la letalidad y la violencia policial </w:t>
      </w:r>
      <w:r w:rsidR="002E204A" w:rsidRPr="00A260EB">
        <w:rPr>
          <w:rFonts w:ascii="Verdana" w:hAnsi="Verdana"/>
          <w:sz w:val="20"/>
          <w:szCs w:val="20"/>
          <w:lang w:val="es-CR"/>
        </w:rPr>
        <w:t>(</w:t>
      </w:r>
      <w:r w:rsidR="002E204A" w:rsidRPr="00A260EB">
        <w:rPr>
          <w:rFonts w:ascii="Verdana" w:hAnsi="Verdana"/>
          <w:i/>
          <w:sz w:val="20"/>
          <w:szCs w:val="20"/>
          <w:lang w:val="es-CR"/>
        </w:rPr>
        <w:t xml:space="preserve">punto dispositivo </w:t>
      </w:r>
      <w:r w:rsidR="00593941" w:rsidRPr="00A260EB">
        <w:rPr>
          <w:rFonts w:ascii="Verdana" w:hAnsi="Verdana"/>
          <w:i/>
          <w:sz w:val="20"/>
          <w:szCs w:val="20"/>
          <w:lang w:val="es-CR"/>
        </w:rPr>
        <w:t>décimo sé</w:t>
      </w:r>
      <w:r w:rsidR="000E1E7F">
        <w:rPr>
          <w:rFonts w:ascii="Verdana" w:hAnsi="Verdana"/>
          <w:i/>
          <w:sz w:val="20"/>
          <w:szCs w:val="20"/>
          <w:lang w:val="es-CR"/>
        </w:rPr>
        <w:t>p</w:t>
      </w:r>
      <w:r w:rsidR="00593941" w:rsidRPr="00A260EB">
        <w:rPr>
          <w:rFonts w:ascii="Verdana" w:hAnsi="Verdana"/>
          <w:i/>
          <w:sz w:val="20"/>
          <w:szCs w:val="20"/>
          <w:lang w:val="es-CR"/>
        </w:rPr>
        <w:t xml:space="preserve">timo </w:t>
      </w:r>
      <w:r w:rsidR="00E62EA8" w:rsidRPr="00A260EB">
        <w:rPr>
          <w:rFonts w:ascii="Verdana" w:hAnsi="Verdana"/>
          <w:i/>
          <w:sz w:val="20"/>
          <w:szCs w:val="20"/>
          <w:lang w:val="es-CR"/>
        </w:rPr>
        <w:t>de la S</w:t>
      </w:r>
      <w:r w:rsidR="002E204A" w:rsidRPr="00A260EB">
        <w:rPr>
          <w:rFonts w:ascii="Verdana" w:hAnsi="Verdana"/>
          <w:i/>
          <w:sz w:val="20"/>
          <w:szCs w:val="20"/>
          <w:lang w:val="es-CR"/>
        </w:rPr>
        <w:t>entencia</w:t>
      </w:r>
      <w:r w:rsidR="002E204A" w:rsidRPr="00A260EB">
        <w:rPr>
          <w:rFonts w:ascii="Verdana" w:hAnsi="Verdana"/>
          <w:sz w:val="20"/>
          <w:szCs w:val="20"/>
          <w:lang w:val="es-CR"/>
        </w:rPr>
        <w:t>)</w:t>
      </w:r>
      <w:r w:rsidR="000E1E7F">
        <w:rPr>
          <w:rFonts w:ascii="Verdana" w:hAnsi="Verdana"/>
          <w:color w:val="000000"/>
          <w:sz w:val="20"/>
          <w:szCs w:val="20"/>
          <w:lang w:val="es-ES_tradnl"/>
        </w:rPr>
        <w:t>;</w:t>
      </w:r>
    </w:p>
    <w:p w14:paraId="113AC5E1" w14:textId="2E1A0CB0" w:rsidR="000E595A" w:rsidRPr="00A260EB"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 xml:space="preserve">implementar, en un plazo razonable, un programa o curso permanente y obligatorio sobre atención a mujeres víctimas de violación sexual, dirigido a todos los niveles jerárquicos de las Policías Civil y Militar de Río de Janeiro y a funcionarios de atención de salud. </w:t>
      </w:r>
      <w:r w:rsidR="002E204A" w:rsidRPr="00A260EB">
        <w:rPr>
          <w:rFonts w:ascii="Verdana" w:hAnsi="Verdana"/>
          <w:sz w:val="20"/>
          <w:szCs w:val="20"/>
          <w:lang w:val="es-CR"/>
        </w:rPr>
        <w:t>(</w:t>
      </w:r>
      <w:r w:rsidR="002E204A" w:rsidRPr="00A260EB">
        <w:rPr>
          <w:rFonts w:ascii="Verdana" w:hAnsi="Verdana"/>
          <w:i/>
          <w:sz w:val="20"/>
          <w:szCs w:val="20"/>
          <w:lang w:val="es-CR"/>
        </w:rPr>
        <w:t xml:space="preserve">punto dispositivo </w:t>
      </w:r>
      <w:r w:rsidR="00593941" w:rsidRPr="00A260EB">
        <w:rPr>
          <w:rFonts w:ascii="Verdana" w:hAnsi="Verdana"/>
          <w:i/>
          <w:sz w:val="20"/>
          <w:szCs w:val="20"/>
          <w:lang w:val="es-CR"/>
        </w:rPr>
        <w:t xml:space="preserve">décimo octavo </w:t>
      </w:r>
      <w:r w:rsidR="00E62EA8" w:rsidRPr="00A260EB">
        <w:rPr>
          <w:rFonts w:ascii="Verdana" w:hAnsi="Verdana"/>
          <w:i/>
          <w:sz w:val="20"/>
          <w:szCs w:val="20"/>
          <w:lang w:val="es-CR"/>
        </w:rPr>
        <w:t>de la S</w:t>
      </w:r>
      <w:r w:rsidR="002E204A" w:rsidRPr="00A260EB">
        <w:rPr>
          <w:rFonts w:ascii="Verdana" w:hAnsi="Verdana"/>
          <w:i/>
          <w:sz w:val="20"/>
          <w:szCs w:val="20"/>
          <w:lang w:val="es-CR"/>
        </w:rPr>
        <w:t>entencia</w:t>
      </w:r>
      <w:r w:rsidR="002E204A" w:rsidRPr="00A260EB">
        <w:rPr>
          <w:rFonts w:ascii="Verdana" w:hAnsi="Verdana"/>
          <w:sz w:val="20"/>
          <w:szCs w:val="20"/>
          <w:lang w:val="es-CR"/>
        </w:rPr>
        <w:t>)</w:t>
      </w:r>
      <w:r w:rsidR="00120494" w:rsidRPr="00A260EB">
        <w:rPr>
          <w:rFonts w:ascii="Verdana" w:hAnsi="Verdana"/>
          <w:color w:val="000000"/>
          <w:sz w:val="20"/>
          <w:szCs w:val="20"/>
          <w:lang w:val="es-ES_tradnl"/>
        </w:rPr>
        <w:t>;</w:t>
      </w:r>
    </w:p>
    <w:p w14:paraId="16C5F28D" w14:textId="77777777" w:rsidR="000E595A" w:rsidRPr="00B956FC"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adoptar las medidas legislativas o de otra índole necesarias para permitir a las víctimas de delitos o sus familiares participar de manera formal y efectiva en la investigación de delitos realizada por la policía o el Ministerio Público</w:t>
      </w:r>
      <w:r w:rsidR="002E204A" w:rsidRPr="00A260EB">
        <w:rPr>
          <w:rFonts w:ascii="Verdana" w:hAnsi="Verdana"/>
          <w:sz w:val="20"/>
          <w:szCs w:val="20"/>
          <w:lang w:val="es-CR"/>
        </w:rPr>
        <w:t xml:space="preserve"> (</w:t>
      </w:r>
      <w:r w:rsidR="002E204A" w:rsidRPr="00A260EB">
        <w:rPr>
          <w:rFonts w:ascii="Verdana" w:hAnsi="Verdana"/>
          <w:i/>
          <w:sz w:val="20"/>
          <w:szCs w:val="20"/>
          <w:lang w:val="es-CR"/>
        </w:rPr>
        <w:t xml:space="preserve">punto dispositivo </w:t>
      </w:r>
      <w:r w:rsidR="00593941" w:rsidRPr="00A260EB">
        <w:rPr>
          <w:rFonts w:ascii="Verdana" w:hAnsi="Verdana"/>
          <w:i/>
          <w:sz w:val="20"/>
          <w:szCs w:val="20"/>
          <w:lang w:val="es-CR"/>
        </w:rPr>
        <w:t xml:space="preserve">décimo noveno </w:t>
      </w:r>
      <w:r w:rsidR="00E62EA8" w:rsidRPr="00A260EB">
        <w:rPr>
          <w:rFonts w:ascii="Verdana" w:hAnsi="Verdana"/>
          <w:i/>
          <w:sz w:val="20"/>
          <w:szCs w:val="20"/>
          <w:lang w:val="es-CR"/>
        </w:rPr>
        <w:t>de la S</w:t>
      </w:r>
      <w:r w:rsidR="002E204A" w:rsidRPr="00A260EB">
        <w:rPr>
          <w:rFonts w:ascii="Verdana" w:hAnsi="Verdana"/>
          <w:i/>
          <w:sz w:val="20"/>
          <w:szCs w:val="20"/>
          <w:lang w:val="es-CR"/>
        </w:rPr>
        <w:t>entencia</w:t>
      </w:r>
      <w:r w:rsidR="002E204A" w:rsidRPr="00A260EB">
        <w:rPr>
          <w:rFonts w:ascii="Verdana" w:hAnsi="Verdana"/>
          <w:sz w:val="20"/>
          <w:szCs w:val="20"/>
          <w:lang w:val="es-CR"/>
        </w:rPr>
        <w:t>)</w:t>
      </w:r>
      <w:r w:rsidR="00120494" w:rsidRPr="00A260EB">
        <w:rPr>
          <w:rFonts w:ascii="Verdana" w:hAnsi="Verdana"/>
          <w:color w:val="000000"/>
          <w:sz w:val="20"/>
          <w:szCs w:val="20"/>
          <w:lang w:val="es-ES_tradnl"/>
        </w:rPr>
        <w:t>;</w:t>
      </w:r>
    </w:p>
    <w:p w14:paraId="3B4D9C9A" w14:textId="72ECB7E0" w:rsidR="00B956FC" w:rsidRPr="00B956FC" w:rsidRDefault="00B956FC" w:rsidP="00B956FC">
      <w:pPr>
        <w:numPr>
          <w:ilvl w:val="0"/>
          <w:numId w:val="17"/>
        </w:numPr>
        <w:tabs>
          <w:tab w:val="left" w:pos="720"/>
        </w:tabs>
        <w:spacing w:before="240" w:after="240" w:line="240" w:lineRule="auto"/>
        <w:jc w:val="both"/>
        <w:rPr>
          <w:rFonts w:ascii="Verdana" w:hAnsi="Verdana"/>
          <w:sz w:val="20"/>
          <w:szCs w:val="20"/>
          <w:lang w:val="es-CR"/>
        </w:rPr>
      </w:pPr>
      <w:r w:rsidRPr="00B956FC">
        <w:rPr>
          <w:rFonts w:ascii="Verdana" w:hAnsi="Verdana"/>
          <w:sz w:val="20"/>
          <w:szCs w:val="20"/>
          <w:lang w:val="es-CR"/>
        </w:rPr>
        <w:lastRenderedPageBreak/>
        <w:t>adoptar las medidas necesarias para uniformar la expresión “lesión</w:t>
      </w:r>
      <w:r>
        <w:rPr>
          <w:rFonts w:ascii="Verdana" w:hAnsi="Verdana"/>
          <w:sz w:val="20"/>
          <w:szCs w:val="20"/>
          <w:lang w:val="es-CR"/>
        </w:rPr>
        <w:t xml:space="preserve"> </w:t>
      </w:r>
      <w:r w:rsidRPr="00B956FC">
        <w:rPr>
          <w:rFonts w:ascii="Verdana" w:hAnsi="Verdana"/>
          <w:sz w:val="20"/>
          <w:szCs w:val="20"/>
          <w:lang w:val="es-CR"/>
        </w:rPr>
        <w:t>corporal u homicidio derivada de intervención policial” en los reportes e investigaciones</w:t>
      </w:r>
      <w:r>
        <w:rPr>
          <w:rFonts w:ascii="Verdana" w:hAnsi="Verdana"/>
          <w:sz w:val="20"/>
          <w:szCs w:val="20"/>
          <w:lang w:val="es-CR"/>
        </w:rPr>
        <w:t xml:space="preserve"> </w:t>
      </w:r>
      <w:r w:rsidRPr="00B956FC">
        <w:rPr>
          <w:rFonts w:ascii="Verdana" w:hAnsi="Verdana"/>
          <w:sz w:val="20"/>
          <w:szCs w:val="20"/>
          <w:lang w:val="es-CR"/>
        </w:rPr>
        <w:t>realizadas por la policía o el Ministerio Público en casos de muertes o lesiones provocadas por</w:t>
      </w:r>
      <w:r>
        <w:rPr>
          <w:rFonts w:ascii="Verdana" w:hAnsi="Verdana"/>
          <w:sz w:val="20"/>
          <w:szCs w:val="20"/>
          <w:lang w:val="es-CR"/>
        </w:rPr>
        <w:t xml:space="preserve"> </w:t>
      </w:r>
      <w:r w:rsidRPr="00B956FC">
        <w:rPr>
          <w:rFonts w:ascii="Verdana" w:hAnsi="Verdana"/>
          <w:sz w:val="20"/>
          <w:szCs w:val="20"/>
          <w:lang w:val="es-CR"/>
        </w:rPr>
        <w:t>la actuación policial</w:t>
      </w:r>
      <w:r>
        <w:rPr>
          <w:rFonts w:ascii="Verdana" w:hAnsi="Verdana"/>
          <w:sz w:val="20"/>
          <w:szCs w:val="20"/>
          <w:lang w:val="es-CR"/>
        </w:rPr>
        <w:t xml:space="preserve"> </w:t>
      </w:r>
      <w:r w:rsidRPr="00A260EB">
        <w:rPr>
          <w:rFonts w:ascii="Verdana" w:hAnsi="Verdana"/>
          <w:sz w:val="20"/>
          <w:szCs w:val="20"/>
          <w:lang w:val="es-CR"/>
        </w:rPr>
        <w:t>(</w:t>
      </w:r>
      <w:r w:rsidRPr="00A260EB">
        <w:rPr>
          <w:rFonts w:ascii="Verdana" w:hAnsi="Verdana"/>
          <w:i/>
          <w:sz w:val="20"/>
          <w:szCs w:val="20"/>
          <w:lang w:val="es-CR"/>
        </w:rPr>
        <w:t>punto dispositivo vigésimo</w:t>
      </w:r>
      <w:r>
        <w:rPr>
          <w:rFonts w:ascii="Verdana" w:hAnsi="Verdana"/>
          <w:i/>
          <w:sz w:val="20"/>
          <w:szCs w:val="20"/>
          <w:lang w:val="es-CR"/>
        </w:rPr>
        <w:t xml:space="preserve"> </w:t>
      </w:r>
      <w:r w:rsidRPr="00A260EB">
        <w:rPr>
          <w:rFonts w:ascii="Verdana" w:hAnsi="Verdana"/>
          <w:i/>
          <w:sz w:val="20"/>
          <w:szCs w:val="20"/>
          <w:lang w:val="es-CR"/>
        </w:rPr>
        <w:t>de la Sentencia</w:t>
      </w:r>
      <w:r w:rsidRPr="00A260EB">
        <w:rPr>
          <w:rFonts w:ascii="Verdana" w:hAnsi="Verdana"/>
          <w:sz w:val="20"/>
          <w:szCs w:val="20"/>
          <w:lang w:val="es-CR"/>
        </w:rPr>
        <w:t>)</w:t>
      </w:r>
      <w:r w:rsidR="000E1E7F">
        <w:rPr>
          <w:rFonts w:ascii="Verdana" w:hAnsi="Verdana"/>
          <w:sz w:val="20"/>
          <w:szCs w:val="20"/>
          <w:lang w:val="es-CR"/>
        </w:rPr>
        <w:t>;</w:t>
      </w:r>
    </w:p>
    <w:p w14:paraId="42F6CC56" w14:textId="25CF3691" w:rsidR="00120494" w:rsidRPr="00A260EB" w:rsidRDefault="000E595A"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pagar las cantidades fijadas por concepto de indemnizaciones por daño inmaterial</w:t>
      </w:r>
      <w:r w:rsidR="00120494" w:rsidRPr="00A260EB">
        <w:rPr>
          <w:rFonts w:ascii="Verdana" w:hAnsi="Verdana"/>
          <w:sz w:val="20"/>
          <w:szCs w:val="20"/>
          <w:lang w:val="es-CR"/>
        </w:rPr>
        <w:t xml:space="preserve"> (</w:t>
      </w:r>
      <w:r w:rsidR="00120494" w:rsidRPr="00A260EB">
        <w:rPr>
          <w:rFonts w:ascii="Verdana" w:hAnsi="Verdana"/>
          <w:i/>
          <w:sz w:val="20"/>
          <w:szCs w:val="20"/>
          <w:lang w:val="es-CR"/>
        </w:rPr>
        <w:t>punto dispositivo vigésimo</w:t>
      </w:r>
      <w:r w:rsidR="00C77409">
        <w:rPr>
          <w:rFonts w:ascii="Verdana" w:hAnsi="Verdana"/>
          <w:i/>
          <w:sz w:val="20"/>
          <w:szCs w:val="20"/>
          <w:lang w:val="es-CR"/>
        </w:rPr>
        <w:t xml:space="preserve"> primero</w:t>
      </w:r>
      <w:r w:rsidR="00120494" w:rsidRPr="00A260EB">
        <w:rPr>
          <w:rFonts w:ascii="Verdana" w:hAnsi="Verdana"/>
          <w:i/>
          <w:sz w:val="20"/>
          <w:szCs w:val="20"/>
          <w:lang w:val="es-CR"/>
        </w:rPr>
        <w:t xml:space="preserve"> de la Sentencia</w:t>
      </w:r>
      <w:r w:rsidR="00120494" w:rsidRPr="00A260EB">
        <w:rPr>
          <w:rFonts w:ascii="Verdana" w:hAnsi="Verdana"/>
          <w:sz w:val="20"/>
          <w:szCs w:val="20"/>
          <w:lang w:val="es-CR"/>
        </w:rPr>
        <w:t>), y</w:t>
      </w:r>
    </w:p>
    <w:p w14:paraId="1109D32A" w14:textId="196D0D6E" w:rsidR="000E595A" w:rsidRPr="00A260EB" w:rsidRDefault="00887678" w:rsidP="0041260D">
      <w:pPr>
        <w:numPr>
          <w:ilvl w:val="0"/>
          <w:numId w:val="17"/>
        </w:numPr>
        <w:tabs>
          <w:tab w:val="left" w:pos="720"/>
        </w:tabs>
        <w:spacing w:before="240" w:after="240" w:line="240" w:lineRule="auto"/>
        <w:jc w:val="both"/>
        <w:rPr>
          <w:rFonts w:ascii="Verdana" w:hAnsi="Verdana"/>
          <w:sz w:val="20"/>
          <w:szCs w:val="20"/>
          <w:lang w:val="es-CR"/>
        </w:rPr>
      </w:pPr>
      <w:r w:rsidRPr="00A260EB">
        <w:rPr>
          <w:rFonts w:ascii="Verdana" w:hAnsi="Verdana"/>
          <w:sz w:val="20"/>
          <w:szCs w:val="20"/>
          <w:lang w:val="es-CR"/>
        </w:rPr>
        <w:t xml:space="preserve">reintegrar las sumas por concepto de </w:t>
      </w:r>
      <w:r w:rsidR="000E595A" w:rsidRPr="00A260EB">
        <w:rPr>
          <w:rFonts w:ascii="Verdana" w:hAnsi="Verdana"/>
          <w:sz w:val="20"/>
          <w:szCs w:val="20"/>
          <w:lang w:val="es-CR"/>
        </w:rPr>
        <w:t>costas y gastos</w:t>
      </w:r>
      <w:r w:rsidR="002E204A" w:rsidRPr="00A260EB">
        <w:rPr>
          <w:rFonts w:ascii="Verdana" w:hAnsi="Verdana"/>
          <w:sz w:val="20"/>
          <w:szCs w:val="20"/>
          <w:lang w:val="es-CR"/>
        </w:rPr>
        <w:t xml:space="preserve"> (</w:t>
      </w:r>
      <w:r w:rsidR="002E204A" w:rsidRPr="00A260EB">
        <w:rPr>
          <w:rFonts w:ascii="Verdana" w:hAnsi="Verdana"/>
          <w:i/>
          <w:sz w:val="20"/>
          <w:szCs w:val="20"/>
          <w:lang w:val="es-CR"/>
        </w:rPr>
        <w:t xml:space="preserve">punto dispositivo </w:t>
      </w:r>
      <w:r w:rsidR="002475BE" w:rsidRPr="00A260EB">
        <w:rPr>
          <w:rFonts w:ascii="Verdana" w:hAnsi="Verdana"/>
          <w:i/>
          <w:sz w:val="20"/>
          <w:szCs w:val="20"/>
          <w:lang w:val="es-CR"/>
        </w:rPr>
        <w:t>vigésimo</w:t>
      </w:r>
      <w:r w:rsidR="00C77409">
        <w:rPr>
          <w:rFonts w:ascii="Verdana" w:hAnsi="Verdana"/>
          <w:i/>
          <w:sz w:val="20"/>
          <w:szCs w:val="20"/>
          <w:lang w:val="es-CR"/>
        </w:rPr>
        <w:t xml:space="preserve"> primero</w:t>
      </w:r>
      <w:r w:rsidR="00593941" w:rsidRPr="00A260EB">
        <w:rPr>
          <w:rFonts w:ascii="Verdana" w:hAnsi="Verdana"/>
          <w:i/>
          <w:sz w:val="20"/>
          <w:szCs w:val="20"/>
          <w:lang w:val="es-CR"/>
        </w:rPr>
        <w:t xml:space="preserve"> </w:t>
      </w:r>
      <w:r w:rsidR="00E62EA8" w:rsidRPr="00A260EB">
        <w:rPr>
          <w:rFonts w:ascii="Verdana" w:hAnsi="Verdana"/>
          <w:i/>
          <w:sz w:val="20"/>
          <w:szCs w:val="20"/>
          <w:lang w:val="es-CR"/>
        </w:rPr>
        <w:t>de la S</w:t>
      </w:r>
      <w:r w:rsidR="002E204A" w:rsidRPr="00A260EB">
        <w:rPr>
          <w:rFonts w:ascii="Verdana" w:hAnsi="Verdana"/>
          <w:i/>
          <w:sz w:val="20"/>
          <w:szCs w:val="20"/>
          <w:lang w:val="es-CR"/>
        </w:rPr>
        <w:t>entencia</w:t>
      </w:r>
      <w:r w:rsidR="002E204A" w:rsidRPr="00A260EB">
        <w:rPr>
          <w:rFonts w:ascii="Verdana" w:hAnsi="Verdana"/>
          <w:sz w:val="20"/>
          <w:szCs w:val="20"/>
          <w:lang w:val="es-CR"/>
        </w:rPr>
        <w:t>)</w:t>
      </w:r>
      <w:r w:rsidR="002E204A" w:rsidRPr="00A260EB">
        <w:rPr>
          <w:rFonts w:ascii="Verdana" w:hAnsi="Verdana"/>
          <w:color w:val="000000"/>
          <w:sz w:val="20"/>
          <w:szCs w:val="20"/>
          <w:lang w:val="es-ES_tradnl"/>
        </w:rPr>
        <w:t>.</w:t>
      </w:r>
    </w:p>
    <w:p w14:paraId="40F6B685" w14:textId="3C4ACE17" w:rsidR="00EA3D0C" w:rsidRPr="00C77409" w:rsidRDefault="00E9031D" w:rsidP="000E1E7F">
      <w:pPr>
        <w:numPr>
          <w:ilvl w:val="0"/>
          <w:numId w:val="7"/>
        </w:numPr>
        <w:tabs>
          <w:tab w:val="left" w:pos="567"/>
        </w:tabs>
        <w:spacing w:before="240" w:after="240" w:line="240" w:lineRule="auto"/>
        <w:ind w:left="0" w:firstLine="0"/>
        <w:jc w:val="both"/>
        <w:rPr>
          <w:rFonts w:ascii="Verdana" w:hAnsi="Verdana"/>
          <w:sz w:val="20"/>
          <w:szCs w:val="20"/>
          <w:lang w:val="es-ES_tradnl"/>
        </w:rPr>
      </w:pPr>
      <w:r w:rsidRPr="000E1E7F">
        <w:rPr>
          <w:rFonts w:ascii="Verdana" w:hAnsi="Verdana"/>
          <w:sz w:val="20"/>
          <w:lang w:val="es-ES"/>
        </w:rPr>
        <w:t>Disponer</w:t>
      </w:r>
      <w:r w:rsidRPr="00C77409">
        <w:rPr>
          <w:rFonts w:ascii="Verdana" w:hAnsi="Verdana"/>
          <w:sz w:val="20"/>
          <w:szCs w:val="20"/>
          <w:lang w:val="es-ES"/>
        </w:rPr>
        <w:t xml:space="preserve"> que el Estado presente a la Corte Interamericana de Derechos Humanos, a más </w:t>
      </w:r>
      <w:r w:rsidRPr="000E0B29">
        <w:rPr>
          <w:rFonts w:ascii="Verdana" w:hAnsi="Verdana"/>
          <w:sz w:val="20"/>
          <w:szCs w:val="20"/>
          <w:lang w:val="es-ES"/>
        </w:rPr>
        <w:t xml:space="preserve">tardar </w:t>
      </w:r>
      <w:r w:rsidR="00D47DFB" w:rsidRPr="000E0B29">
        <w:rPr>
          <w:rFonts w:ascii="Verdana" w:hAnsi="Verdana"/>
          <w:sz w:val="20"/>
          <w:lang w:val="es-ES"/>
        </w:rPr>
        <w:t>el 6</w:t>
      </w:r>
      <w:r w:rsidRPr="000E0B29">
        <w:rPr>
          <w:rFonts w:ascii="Verdana" w:hAnsi="Verdana"/>
          <w:sz w:val="20"/>
          <w:lang w:val="es-ES"/>
        </w:rPr>
        <w:t xml:space="preserve"> de </w:t>
      </w:r>
      <w:r w:rsidR="00D47DFB" w:rsidRPr="000E0B29">
        <w:rPr>
          <w:rFonts w:ascii="Verdana" w:hAnsi="Verdana"/>
          <w:sz w:val="20"/>
          <w:lang w:val="es-ES"/>
        </w:rPr>
        <w:t>marzo</w:t>
      </w:r>
      <w:r w:rsidRPr="000E0B29">
        <w:rPr>
          <w:rFonts w:ascii="Verdana" w:hAnsi="Verdana"/>
          <w:sz w:val="20"/>
          <w:szCs w:val="20"/>
          <w:lang w:val="es-ES"/>
        </w:rPr>
        <w:t xml:space="preserve"> de 2020, un</w:t>
      </w:r>
      <w:r w:rsidRPr="00C77409">
        <w:rPr>
          <w:rFonts w:ascii="Verdana" w:hAnsi="Verdana"/>
          <w:sz w:val="20"/>
          <w:szCs w:val="20"/>
          <w:lang w:val="es-ES"/>
        </w:rPr>
        <w:t xml:space="preserve"> informe sobre todas las medidas pendientes de cumplimiento</w:t>
      </w:r>
      <w:r w:rsidR="00EA3D0C" w:rsidRPr="00C77409">
        <w:rPr>
          <w:rFonts w:ascii="Verdana" w:hAnsi="Verdana"/>
          <w:sz w:val="20"/>
          <w:szCs w:val="20"/>
          <w:lang w:val="es-ES_tradnl"/>
        </w:rPr>
        <w:t>.</w:t>
      </w:r>
    </w:p>
    <w:p w14:paraId="53C4D200" w14:textId="7DD8454A" w:rsidR="00E9031D" w:rsidRPr="00A260EB" w:rsidRDefault="00E9031D" w:rsidP="000E1E7F">
      <w:pPr>
        <w:numPr>
          <w:ilvl w:val="0"/>
          <w:numId w:val="7"/>
        </w:numPr>
        <w:tabs>
          <w:tab w:val="left" w:pos="567"/>
        </w:tabs>
        <w:spacing w:before="240" w:after="240" w:line="240" w:lineRule="auto"/>
        <w:ind w:left="0" w:firstLine="0"/>
        <w:jc w:val="both"/>
        <w:rPr>
          <w:rFonts w:ascii="Verdana" w:hAnsi="Verdana"/>
          <w:sz w:val="20"/>
          <w:szCs w:val="20"/>
          <w:lang w:val="es-ES_tradnl"/>
        </w:rPr>
      </w:pPr>
      <w:r w:rsidRPr="00A260EB">
        <w:rPr>
          <w:rFonts w:ascii="Verdana" w:hAnsi="Verdana"/>
          <w:sz w:val="20"/>
          <w:szCs w:val="20"/>
          <w:lang w:val="es-ES"/>
        </w:rPr>
        <w:t xml:space="preserve">Disponer que los representantes de las víctimas y la Comisión presenten observaciones al informe del </w:t>
      </w:r>
      <w:r w:rsidRPr="00A260EB">
        <w:rPr>
          <w:rFonts w:ascii="Verdana" w:hAnsi="Verdana"/>
          <w:sz w:val="20"/>
          <w:szCs w:val="20"/>
          <w:lang w:val="es-CR"/>
        </w:rPr>
        <w:t>Estado</w:t>
      </w:r>
      <w:r w:rsidRPr="00A260EB">
        <w:rPr>
          <w:rFonts w:ascii="Verdana" w:hAnsi="Verdana"/>
          <w:sz w:val="20"/>
          <w:szCs w:val="20"/>
          <w:lang w:val="es-ES"/>
        </w:rPr>
        <w:t xml:space="preserve"> mencionado en el punto resolutivo anterior, en los plazos de cuatro y seis semanas, respectivamente, contados a partir de la recepción del informe</w:t>
      </w:r>
      <w:r w:rsidR="00C77409">
        <w:rPr>
          <w:rFonts w:ascii="Verdana" w:hAnsi="Verdana"/>
          <w:sz w:val="20"/>
          <w:szCs w:val="20"/>
          <w:lang w:val="es-ES"/>
        </w:rPr>
        <w:t>.</w:t>
      </w:r>
    </w:p>
    <w:p w14:paraId="40B920FE" w14:textId="77777777" w:rsidR="00EA3D0C" w:rsidRPr="00A260EB" w:rsidRDefault="00EA3D0C" w:rsidP="000E1E7F">
      <w:pPr>
        <w:numPr>
          <w:ilvl w:val="0"/>
          <w:numId w:val="7"/>
        </w:numPr>
        <w:tabs>
          <w:tab w:val="left" w:pos="567"/>
        </w:tabs>
        <w:spacing w:before="240" w:after="240" w:line="240" w:lineRule="auto"/>
        <w:ind w:left="0" w:firstLine="0"/>
        <w:jc w:val="both"/>
        <w:rPr>
          <w:rFonts w:ascii="Verdana" w:hAnsi="Verdana"/>
          <w:sz w:val="20"/>
          <w:szCs w:val="20"/>
          <w:lang w:val="es-ES_tradnl"/>
        </w:rPr>
      </w:pPr>
      <w:r w:rsidRPr="00A260EB">
        <w:rPr>
          <w:rFonts w:ascii="Verdana" w:hAnsi="Verdana"/>
          <w:sz w:val="20"/>
          <w:szCs w:val="20"/>
          <w:lang w:val="es-ES"/>
        </w:rPr>
        <w:t>Disponer</w:t>
      </w:r>
      <w:r w:rsidRPr="00A260EB">
        <w:rPr>
          <w:rFonts w:ascii="Verdana" w:hAnsi="Verdana"/>
          <w:sz w:val="20"/>
          <w:szCs w:val="20"/>
          <w:lang w:val="es-ES_tradnl"/>
        </w:rPr>
        <w:t xml:space="preserve"> que la Secretaría de la Corte notifique la presente Resolución </w:t>
      </w:r>
      <w:r w:rsidR="008B0545" w:rsidRPr="00A260EB">
        <w:rPr>
          <w:rFonts w:ascii="Verdana" w:hAnsi="Verdana"/>
          <w:sz w:val="20"/>
          <w:szCs w:val="20"/>
          <w:lang w:val="es-ES_tradnl"/>
        </w:rPr>
        <w:t>a la República Federativa del Brasil</w:t>
      </w:r>
      <w:r w:rsidRPr="00A260EB">
        <w:rPr>
          <w:rFonts w:ascii="Verdana" w:hAnsi="Verdana"/>
          <w:sz w:val="20"/>
          <w:szCs w:val="20"/>
          <w:lang w:val="es-ES_tradnl"/>
        </w:rPr>
        <w:t>, a los representantes de las víctimas y a la Comisión Interamericana de Derechos Humanos.</w:t>
      </w:r>
    </w:p>
    <w:p w14:paraId="193385B2" w14:textId="77777777" w:rsidR="00EA3D0C" w:rsidRDefault="00EA3D0C" w:rsidP="00EA3D0C">
      <w:pPr>
        <w:spacing w:before="120" w:after="120" w:line="240" w:lineRule="auto"/>
        <w:jc w:val="both"/>
        <w:rPr>
          <w:rFonts w:ascii="Verdana" w:hAnsi="Verdana"/>
          <w:sz w:val="20"/>
          <w:szCs w:val="20"/>
          <w:lang w:val="es-ES_tradnl"/>
        </w:rPr>
      </w:pPr>
    </w:p>
    <w:p w14:paraId="689CB3D6" w14:textId="5605372C" w:rsidR="006F2AD7" w:rsidRDefault="006F2AD7">
      <w:pPr>
        <w:spacing w:after="0" w:line="240" w:lineRule="auto"/>
        <w:rPr>
          <w:rFonts w:ascii="Verdana" w:hAnsi="Verdana"/>
          <w:sz w:val="20"/>
          <w:lang w:val="es-AR"/>
        </w:rPr>
      </w:pPr>
      <w:r>
        <w:rPr>
          <w:rFonts w:ascii="Verdana" w:hAnsi="Verdana"/>
          <w:sz w:val="20"/>
          <w:lang w:val="es-AR"/>
        </w:rPr>
        <w:br w:type="page"/>
      </w:r>
    </w:p>
    <w:p w14:paraId="046D8E7D" w14:textId="77777777" w:rsidR="006F2AD7" w:rsidRPr="00F95CA9" w:rsidRDefault="006F2AD7" w:rsidP="006F2AD7">
      <w:pPr>
        <w:spacing w:after="0" w:line="240" w:lineRule="auto"/>
        <w:jc w:val="both"/>
        <w:rPr>
          <w:rFonts w:ascii="Verdana" w:hAnsi="Verdana" w:cs="Courier New"/>
          <w:noProof/>
          <w:sz w:val="20"/>
          <w:lang w:val="pt-BR"/>
        </w:rPr>
      </w:pPr>
      <w:r w:rsidRPr="00E558C4">
        <w:rPr>
          <w:rFonts w:ascii="Verdana" w:hAnsi="Verdana" w:cs="Courier New"/>
          <w:noProof/>
          <w:sz w:val="20"/>
          <w:lang w:val="pt-BR"/>
        </w:rPr>
        <w:lastRenderedPageBreak/>
        <w:t xml:space="preserve">Corte IDH. </w:t>
      </w:r>
      <w:r w:rsidRPr="00E558C4">
        <w:rPr>
          <w:rFonts w:ascii="Verdana" w:hAnsi="Verdana" w:cs="Courier New"/>
          <w:i/>
          <w:noProof/>
          <w:sz w:val="20"/>
          <w:lang w:val="pt-BR"/>
        </w:rPr>
        <w:t xml:space="preserve">Caso </w:t>
      </w:r>
      <w:r>
        <w:rPr>
          <w:rFonts w:ascii="Verdana" w:hAnsi="Verdana" w:cs="Courier New"/>
          <w:i/>
          <w:noProof/>
          <w:sz w:val="20"/>
          <w:lang w:val="pt-BR"/>
        </w:rPr>
        <w:t>Favela Nova Brasília Vs. Brasil.</w:t>
      </w:r>
      <w:r w:rsidRPr="00E558C4">
        <w:rPr>
          <w:rFonts w:ascii="Verdana" w:hAnsi="Verdana" w:cs="Courier New"/>
          <w:noProof/>
          <w:sz w:val="20"/>
          <w:lang w:val="pt-BR"/>
        </w:rPr>
        <w:t xml:space="preserve"> </w:t>
      </w:r>
      <w:r>
        <w:rPr>
          <w:rFonts w:ascii="Verdana" w:hAnsi="Verdana" w:cs="Courier New"/>
          <w:noProof/>
          <w:sz w:val="20"/>
          <w:lang w:val="pt-BR"/>
        </w:rPr>
        <w:t>Supervisión de Cumplimiento de Sentencia. Resolución de la Corte Interamericana de Derechos Humanos de 7 de octubre  de 2019.</w:t>
      </w:r>
    </w:p>
    <w:p w14:paraId="7A000003" w14:textId="77777777" w:rsidR="006F2AD7" w:rsidRDefault="006F2AD7" w:rsidP="006F2AD7">
      <w:pPr>
        <w:spacing w:after="0" w:line="240" w:lineRule="auto"/>
        <w:jc w:val="both"/>
        <w:rPr>
          <w:lang w:val="pt-BR"/>
        </w:rPr>
      </w:pPr>
    </w:p>
    <w:p w14:paraId="6D0D728A" w14:textId="77777777" w:rsidR="006F2AD7" w:rsidRPr="00E558C4" w:rsidRDefault="006F2AD7" w:rsidP="006F2AD7">
      <w:pPr>
        <w:spacing w:after="0" w:line="240" w:lineRule="auto"/>
        <w:jc w:val="center"/>
        <w:rPr>
          <w:rFonts w:ascii="Verdana" w:hAnsi="Verdana"/>
          <w:sz w:val="20"/>
          <w:lang w:val="pt-BR"/>
        </w:rPr>
      </w:pPr>
    </w:p>
    <w:p w14:paraId="37F01749" w14:textId="77777777" w:rsidR="006F2AD7" w:rsidRPr="00E558C4" w:rsidRDefault="006F2AD7" w:rsidP="006F2AD7">
      <w:pPr>
        <w:spacing w:after="0" w:line="240" w:lineRule="auto"/>
        <w:jc w:val="center"/>
        <w:rPr>
          <w:rFonts w:ascii="Verdana" w:hAnsi="Verdana"/>
          <w:sz w:val="20"/>
          <w:lang w:val="pt-BR"/>
        </w:rPr>
      </w:pPr>
    </w:p>
    <w:p w14:paraId="10BA2ECD" w14:textId="77777777" w:rsidR="006F2AD7" w:rsidRPr="00847B73" w:rsidRDefault="006F2AD7" w:rsidP="006F2AD7">
      <w:pPr>
        <w:spacing w:after="0" w:line="240" w:lineRule="auto"/>
        <w:rPr>
          <w:rFonts w:ascii="Verdana" w:hAnsi="Verdana"/>
          <w:sz w:val="20"/>
          <w:lang w:val="es-ES"/>
        </w:rPr>
      </w:pPr>
    </w:p>
    <w:p w14:paraId="51A23BCC" w14:textId="77777777" w:rsidR="006F2AD7" w:rsidRPr="00E558C4" w:rsidRDefault="006F2AD7" w:rsidP="006F2AD7">
      <w:pPr>
        <w:spacing w:after="0" w:line="240" w:lineRule="auto"/>
        <w:jc w:val="center"/>
        <w:rPr>
          <w:rFonts w:ascii="Verdana" w:hAnsi="Verdana"/>
          <w:sz w:val="20"/>
          <w:lang w:val="pt-BR"/>
        </w:rPr>
      </w:pPr>
    </w:p>
    <w:p w14:paraId="57DCEC55" w14:textId="77777777" w:rsidR="006F2AD7" w:rsidRPr="00847B73" w:rsidRDefault="006F2AD7" w:rsidP="006F2AD7">
      <w:pPr>
        <w:spacing w:after="0" w:line="240" w:lineRule="auto"/>
        <w:rPr>
          <w:rFonts w:ascii="Verdana" w:hAnsi="Verdana"/>
          <w:sz w:val="20"/>
          <w:lang w:val="es-ES"/>
        </w:rPr>
      </w:pPr>
    </w:p>
    <w:p w14:paraId="51634FF2" w14:textId="77777777" w:rsidR="006F2AD7" w:rsidRPr="00847B73" w:rsidRDefault="006F2AD7" w:rsidP="006F2AD7">
      <w:pPr>
        <w:spacing w:after="0" w:line="240" w:lineRule="auto"/>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69FED34C" w14:textId="77777777" w:rsidR="006F2AD7" w:rsidRPr="00847B73" w:rsidRDefault="006F2AD7" w:rsidP="006F2AD7">
      <w:pPr>
        <w:spacing w:after="0" w:line="240" w:lineRule="auto"/>
        <w:jc w:val="center"/>
        <w:rPr>
          <w:rFonts w:ascii="Verdana" w:hAnsi="Verdana"/>
          <w:sz w:val="20"/>
          <w:lang w:val="pt-BR"/>
        </w:rPr>
      </w:pPr>
      <w:r w:rsidRPr="00847B73">
        <w:rPr>
          <w:rFonts w:ascii="Verdana" w:hAnsi="Verdana"/>
          <w:sz w:val="20"/>
          <w:lang w:val="pt-BR"/>
        </w:rPr>
        <w:t>Presidente</w:t>
      </w:r>
    </w:p>
    <w:p w14:paraId="6FFD0963" w14:textId="77777777" w:rsidR="006F2AD7" w:rsidRPr="00847B73" w:rsidRDefault="006F2AD7" w:rsidP="006F2AD7">
      <w:pPr>
        <w:spacing w:after="0" w:line="240" w:lineRule="auto"/>
        <w:jc w:val="both"/>
        <w:rPr>
          <w:rFonts w:ascii="Verdana" w:hAnsi="Verdana"/>
          <w:sz w:val="20"/>
          <w:lang w:val="pt-BR"/>
        </w:rPr>
      </w:pPr>
    </w:p>
    <w:p w14:paraId="595E01B1" w14:textId="77777777" w:rsidR="006F2AD7" w:rsidRPr="00847B73" w:rsidRDefault="006F2AD7" w:rsidP="006F2AD7">
      <w:pPr>
        <w:spacing w:after="0" w:line="240" w:lineRule="auto"/>
        <w:jc w:val="both"/>
        <w:rPr>
          <w:rFonts w:ascii="Verdana" w:hAnsi="Verdana"/>
          <w:sz w:val="20"/>
          <w:lang w:val="pt-BR"/>
        </w:rPr>
      </w:pPr>
    </w:p>
    <w:p w14:paraId="0673BE58" w14:textId="77777777" w:rsidR="006F2AD7" w:rsidRPr="00847B73" w:rsidRDefault="006F2AD7" w:rsidP="006F2AD7">
      <w:pPr>
        <w:spacing w:after="0" w:line="240" w:lineRule="auto"/>
        <w:jc w:val="both"/>
        <w:rPr>
          <w:rFonts w:ascii="Verdana" w:hAnsi="Verdana"/>
          <w:sz w:val="20"/>
          <w:lang w:val="pt-BR"/>
        </w:rPr>
      </w:pPr>
    </w:p>
    <w:p w14:paraId="2159DDAF" w14:textId="77777777" w:rsidR="006F2AD7" w:rsidRDefault="006F2AD7" w:rsidP="006F2AD7">
      <w:pPr>
        <w:spacing w:after="0" w:line="240" w:lineRule="auto"/>
        <w:jc w:val="both"/>
        <w:rPr>
          <w:rFonts w:ascii="Verdana" w:hAnsi="Verdana"/>
          <w:sz w:val="20"/>
          <w:lang w:val="pt-BR"/>
        </w:rPr>
      </w:pPr>
    </w:p>
    <w:p w14:paraId="0F9A4065" w14:textId="77777777" w:rsidR="006F2AD7" w:rsidRPr="00847B73" w:rsidRDefault="006F2AD7" w:rsidP="006F2AD7">
      <w:pPr>
        <w:spacing w:after="0" w:line="240" w:lineRule="auto"/>
        <w:jc w:val="both"/>
        <w:rPr>
          <w:rFonts w:ascii="Verdana" w:hAnsi="Verdana"/>
          <w:sz w:val="20"/>
          <w:lang w:val="pt-BR"/>
        </w:rPr>
      </w:pPr>
    </w:p>
    <w:p w14:paraId="2BA5108D" w14:textId="77777777" w:rsidR="006F2AD7" w:rsidRDefault="006F2AD7" w:rsidP="006F2AD7">
      <w:pPr>
        <w:spacing w:after="0" w:line="240" w:lineRule="auto"/>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p>
    <w:p w14:paraId="7678AAFD" w14:textId="77777777" w:rsidR="006F2AD7" w:rsidRDefault="006F2AD7" w:rsidP="006F2AD7">
      <w:pPr>
        <w:spacing w:after="0" w:line="240" w:lineRule="auto"/>
        <w:rPr>
          <w:rFonts w:ascii="Verdana" w:hAnsi="Verdana"/>
          <w:sz w:val="20"/>
          <w:lang w:val="pt-BR"/>
        </w:rPr>
      </w:pPr>
    </w:p>
    <w:p w14:paraId="0E44ADD7" w14:textId="77777777" w:rsidR="006F2AD7" w:rsidRDefault="006F2AD7" w:rsidP="006F2AD7">
      <w:pPr>
        <w:spacing w:after="0" w:line="240" w:lineRule="auto"/>
        <w:rPr>
          <w:rFonts w:ascii="Verdana" w:hAnsi="Verdana"/>
          <w:sz w:val="20"/>
          <w:lang w:val="pt-BR"/>
        </w:rPr>
      </w:pPr>
    </w:p>
    <w:p w14:paraId="7BCDC361" w14:textId="77777777" w:rsidR="006F2AD7" w:rsidRDefault="006F2AD7" w:rsidP="006F2AD7">
      <w:pPr>
        <w:spacing w:after="0" w:line="240" w:lineRule="auto"/>
        <w:rPr>
          <w:rFonts w:ascii="Verdana" w:hAnsi="Verdana"/>
          <w:sz w:val="20"/>
          <w:lang w:val="pt-BR"/>
        </w:rPr>
      </w:pPr>
    </w:p>
    <w:p w14:paraId="1FCD5BDF" w14:textId="77777777" w:rsidR="006F2AD7" w:rsidRPr="00847B73" w:rsidRDefault="006F2AD7" w:rsidP="006F2AD7">
      <w:pPr>
        <w:spacing w:after="0" w:line="240" w:lineRule="auto"/>
        <w:rPr>
          <w:rFonts w:ascii="Verdana" w:hAnsi="Verdana"/>
          <w:sz w:val="20"/>
          <w:lang w:val="pt-BR"/>
        </w:rPr>
      </w:pPr>
    </w:p>
    <w:p w14:paraId="244A48C3" w14:textId="77777777" w:rsidR="006F2AD7" w:rsidRPr="00847B73" w:rsidRDefault="006F2AD7" w:rsidP="006F2AD7">
      <w:pPr>
        <w:spacing w:after="0" w:line="240" w:lineRule="auto"/>
        <w:jc w:val="both"/>
        <w:rPr>
          <w:rFonts w:ascii="Verdana" w:hAnsi="Verdana"/>
          <w:sz w:val="20"/>
          <w:lang w:val="pt-BR"/>
        </w:rPr>
      </w:pPr>
    </w:p>
    <w:p w14:paraId="50D63702" w14:textId="77777777" w:rsidR="006F2AD7" w:rsidRPr="00847B73" w:rsidRDefault="006F2AD7" w:rsidP="006F2AD7">
      <w:pPr>
        <w:spacing w:after="0" w:line="240" w:lineRule="auto"/>
        <w:rPr>
          <w:rFonts w:ascii="Verdana" w:hAnsi="Verdana"/>
          <w:sz w:val="20"/>
          <w:lang w:val="pt-BR"/>
        </w:rPr>
      </w:pPr>
      <w:r w:rsidRPr="00847B73">
        <w:rPr>
          <w:rFonts w:ascii="Verdana" w:hAnsi="Verdana"/>
          <w:sz w:val="20"/>
          <w:lang w:val="pt-BR"/>
        </w:rPr>
        <w:t xml:space="preserve">Elizabeth </w:t>
      </w:r>
      <w:proofErr w:type="spellStart"/>
      <w:r w:rsidRPr="00847B73">
        <w:rPr>
          <w:rFonts w:ascii="Verdana" w:hAnsi="Verdana"/>
          <w:sz w:val="20"/>
          <w:lang w:val="pt-BR"/>
        </w:rPr>
        <w:t>Odio</w:t>
      </w:r>
      <w:proofErr w:type="spellEnd"/>
      <w:r w:rsidRPr="00847B73">
        <w:rPr>
          <w:rFonts w:ascii="Verdana" w:hAnsi="Verdana"/>
          <w:sz w:val="20"/>
          <w:lang w:val="pt-BR"/>
        </w:rPr>
        <w:t xml:space="preserve"> Benito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proofErr w:type="gramStart"/>
      <w:r w:rsidRPr="00847B73">
        <w:rPr>
          <w:rFonts w:ascii="Verdana" w:hAnsi="Verdana"/>
          <w:sz w:val="20"/>
          <w:lang w:val="pt-BR"/>
        </w:rPr>
        <w:tab/>
        <w:t xml:space="preserve">  Eugenio</w:t>
      </w:r>
      <w:proofErr w:type="gramEnd"/>
      <w:r w:rsidRPr="00847B73">
        <w:rPr>
          <w:rFonts w:ascii="Verdana" w:hAnsi="Verdana"/>
          <w:sz w:val="20"/>
          <w:lang w:val="pt-BR"/>
        </w:rPr>
        <w:t xml:space="preserve">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p>
    <w:p w14:paraId="45091D38" w14:textId="77777777" w:rsidR="006F2AD7" w:rsidRPr="00847B73" w:rsidRDefault="006F2AD7" w:rsidP="006F2AD7">
      <w:pPr>
        <w:spacing w:after="0" w:line="240" w:lineRule="auto"/>
        <w:rPr>
          <w:rFonts w:ascii="Verdana" w:hAnsi="Verdana"/>
          <w:sz w:val="20"/>
          <w:lang w:val="pt-BR"/>
        </w:rPr>
      </w:pPr>
    </w:p>
    <w:p w14:paraId="09B2D0DA" w14:textId="77777777" w:rsidR="006F2AD7" w:rsidRDefault="006F2AD7" w:rsidP="006F2AD7">
      <w:pPr>
        <w:spacing w:after="0" w:line="240" w:lineRule="auto"/>
        <w:rPr>
          <w:rFonts w:ascii="Verdana" w:hAnsi="Verdana"/>
          <w:sz w:val="20"/>
          <w:lang w:val="pt-BR"/>
        </w:rPr>
      </w:pPr>
    </w:p>
    <w:p w14:paraId="2C02F711" w14:textId="77777777" w:rsidR="006F2AD7" w:rsidRPr="00847B73" w:rsidRDefault="006F2AD7" w:rsidP="006F2AD7">
      <w:pPr>
        <w:spacing w:after="0" w:line="240" w:lineRule="auto"/>
        <w:rPr>
          <w:rFonts w:ascii="Verdana" w:hAnsi="Verdana"/>
          <w:sz w:val="20"/>
          <w:lang w:val="pt-BR"/>
        </w:rPr>
      </w:pPr>
    </w:p>
    <w:p w14:paraId="08CCFFAD" w14:textId="77777777" w:rsidR="006F2AD7" w:rsidRPr="00847B73" w:rsidRDefault="006F2AD7" w:rsidP="006F2AD7">
      <w:pPr>
        <w:spacing w:after="0" w:line="240" w:lineRule="auto"/>
        <w:rPr>
          <w:rFonts w:ascii="Verdana" w:hAnsi="Verdana"/>
          <w:sz w:val="20"/>
          <w:lang w:val="pt-BR"/>
        </w:rPr>
      </w:pPr>
    </w:p>
    <w:p w14:paraId="3B7941AD" w14:textId="77777777" w:rsidR="006F2AD7" w:rsidRPr="00847B73" w:rsidRDefault="006F2AD7" w:rsidP="006F2AD7">
      <w:pPr>
        <w:spacing w:after="0" w:line="240" w:lineRule="auto"/>
        <w:rPr>
          <w:rFonts w:ascii="Verdana" w:hAnsi="Verdana"/>
          <w:sz w:val="20"/>
          <w:lang w:val="pt-BR"/>
        </w:rPr>
      </w:pPr>
    </w:p>
    <w:p w14:paraId="35D95BAC" w14:textId="77777777" w:rsidR="006F2AD7" w:rsidRPr="00847B73" w:rsidRDefault="006F2AD7" w:rsidP="006F2AD7">
      <w:pPr>
        <w:spacing w:after="0" w:line="240" w:lineRule="auto"/>
        <w:rPr>
          <w:rFonts w:ascii="Verdana" w:hAnsi="Verdana"/>
          <w:sz w:val="20"/>
          <w:lang w:val="es-CR"/>
        </w:rPr>
      </w:pPr>
      <w:r w:rsidRPr="00847B73">
        <w:rPr>
          <w:rFonts w:ascii="Verdana" w:hAnsi="Verdana"/>
          <w:sz w:val="20"/>
          <w:lang w:val="pt-BR"/>
        </w:rPr>
        <w:t xml:space="preserve">L. </w:t>
      </w:r>
      <w:proofErr w:type="spellStart"/>
      <w:r w:rsidRPr="00847B73">
        <w:rPr>
          <w:rFonts w:ascii="Verdana" w:hAnsi="Verdana"/>
          <w:sz w:val="20"/>
          <w:lang w:val="pt-BR"/>
        </w:rPr>
        <w:t>Patricio</w:t>
      </w:r>
      <w:proofErr w:type="spellEnd"/>
      <w:r w:rsidRPr="00847B73">
        <w:rPr>
          <w:rFonts w:ascii="Verdana" w:hAnsi="Verdana"/>
          <w:sz w:val="20"/>
          <w:lang w:val="pt-BR"/>
        </w:rPr>
        <w:t xml:space="preserve"> </w:t>
      </w:r>
      <w:proofErr w:type="spellStart"/>
      <w:r w:rsidRPr="00847B73">
        <w:rPr>
          <w:rFonts w:ascii="Verdana" w:hAnsi="Verdana"/>
          <w:sz w:val="20"/>
          <w:lang w:val="pt-BR"/>
        </w:rPr>
        <w:t>Pazmiño</w:t>
      </w:r>
      <w:proofErr w:type="spellEnd"/>
      <w:r w:rsidRPr="00847B73">
        <w:rPr>
          <w:rFonts w:ascii="Verdana" w:hAnsi="Verdana"/>
          <w:sz w:val="20"/>
          <w:lang w:val="pt-BR"/>
        </w:rPr>
        <w:t xml:space="preserve"> Freire </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pt-BR"/>
        </w:rPr>
        <w:tab/>
      </w:r>
      <w:r w:rsidRPr="00847B73">
        <w:rPr>
          <w:rFonts w:ascii="Verdana" w:hAnsi="Verdana"/>
          <w:sz w:val="20"/>
          <w:lang w:val="pt-BR"/>
        </w:rPr>
        <w:tab/>
        <w:t xml:space="preserve">       </w:t>
      </w:r>
      <w:r w:rsidRPr="00847B73">
        <w:rPr>
          <w:rFonts w:ascii="Verdana" w:hAnsi="Verdana"/>
          <w:sz w:val="20"/>
          <w:lang w:val="es-CR"/>
        </w:rPr>
        <w:t>Ricardo C. Pérez Manrique</w:t>
      </w:r>
    </w:p>
    <w:p w14:paraId="6E9E9672" w14:textId="77777777" w:rsidR="006F2AD7" w:rsidRPr="00847B73" w:rsidRDefault="006F2AD7" w:rsidP="006F2AD7">
      <w:pPr>
        <w:spacing w:after="0" w:line="240" w:lineRule="auto"/>
        <w:jc w:val="both"/>
        <w:rPr>
          <w:rFonts w:ascii="Verdana" w:hAnsi="Verdana"/>
          <w:sz w:val="20"/>
          <w:lang w:val="es-CR"/>
        </w:rPr>
      </w:pPr>
    </w:p>
    <w:p w14:paraId="54FE7FC2" w14:textId="77777777" w:rsidR="006F2AD7" w:rsidRDefault="006F2AD7" w:rsidP="006F2AD7">
      <w:pPr>
        <w:spacing w:after="0" w:line="240" w:lineRule="auto"/>
        <w:jc w:val="both"/>
        <w:rPr>
          <w:rFonts w:ascii="Verdana" w:hAnsi="Verdana"/>
          <w:sz w:val="20"/>
          <w:lang w:val="pt-BR"/>
        </w:rPr>
      </w:pPr>
    </w:p>
    <w:p w14:paraId="4278287E" w14:textId="77777777" w:rsidR="006F2AD7" w:rsidRPr="00847B73" w:rsidRDefault="006F2AD7" w:rsidP="006F2AD7">
      <w:pPr>
        <w:spacing w:after="0" w:line="240" w:lineRule="auto"/>
        <w:jc w:val="both"/>
        <w:rPr>
          <w:rFonts w:ascii="Verdana" w:hAnsi="Verdana"/>
          <w:sz w:val="20"/>
          <w:lang w:val="pt-BR"/>
        </w:rPr>
      </w:pPr>
    </w:p>
    <w:p w14:paraId="16B63CA6" w14:textId="77777777" w:rsidR="006F2AD7" w:rsidRPr="00847B73" w:rsidRDefault="006F2AD7" w:rsidP="006F2AD7">
      <w:pPr>
        <w:spacing w:after="0" w:line="240" w:lineRule="auto"/>
        <w:jc w:val="both"/>
        <w:rPr>
          <w:rFonts w:ascii="Verdana" w:hAnsi="Verdana"/>
          <w:sz w:val="20"/>
          <w:lang w:val="pt-BR"/>
        </w:rPr>
      </w:pPr>
    </w:p>
    <w:p w14:paraId="68415BBB" w14:textId="77777777" w:rsidR="006F2AD7" w:rsidRPr="00847B73" w:rsidRDefault="006F2AD7" w:rsidP="006F2AD7">
      <w:pPr>
        <w:spacing w:after="0" w:line="240" w:lineRule="auto"/>
        <w:jc w:val="both"/>
        <w:rPr>
          <w:rFonts w:ascii="Verdana" w:hAnsi="Verdana"/>
          <w:sz w:val="20"/>
          <w:lang w:val="pt-BR"/>
        </w:rPr>
      </w:pPr>
    </w:p>
    <w:p w14:paraId="2E691450" w14:textId="77777777" w:rsidR="006F2AD7" w:rsidRPr="00847B73" w:rsidRDefault="006F2AD7" w:rsidP="006F2AD7">
      <w:pPr>
        <w:spacing w:after="0" w:line="240" w:lineRule="auto"/>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14:paraId="103D12D0" w14:textId="77777777" w:rsidR="006F2AD7" w:rsidRPr="00847B73" w:rsidRDefault="006F2AD7" w:rsidP="006F2AD7">
      <w:pPr>
        <w:spacing w:after="0" w:line="240" w:lineRule="auto"/>
        <w:jc w:val="center"/>
        <w:rPr>
          <w:rFonts w:ascii="Verdana" w:hAnsi="Verdana"/>
          <w:sz w:val="20"/>
          <w:lang w:val="pt-BR"/>
        </w:rPr>
      </w:pPr>
      <w:r>
        <w:rPr>
          <w:rFonts w:ascii="Verdana" w:hAnsi="Verdana"/>
          <w:sz w:val="20"/>
          <w:lang w:val="pt-BR"/>
        </w:rPr>
        <w:t>Secreta</w:t>
      </w:r>
      <w:r w:rsidRPr="00847B73">
        <w:rPr>
          <w:rFonts w:ascii="Verdana" w:hAnsi="Verdana"/>
          <w:sz w:val="20"/>
          <w:lang w:val="pt-BR"/>
        </w:rPr>
        <w:t>rio</w:t>
      </w:r>
    </w:p>
    <w:p w14:paraId="12076F8F" w14:textId="77777777" w:rsidR="006F2AD7" w:rsidRDefault="006F2AD7" w:rsidP="006F2AD7">
      <w:pPr>
        <w:spacing w:after="0" w:line="240" w:lineRule="auto"/>
        <w:jc w:val="both"/>
        <w:rPr>
          <w:rFonts w:ascii="Verdana" w:hAnsi="Verdana"/>
          <w:sz w:val="20"/>
          <w:lang w:val="pt-BR"/>
        </w:rPr>
      </w:pPr>
    </w:p>
    <w:p w14:paraId="424F8B0E" w14:textId="77777777" w:rsidR="006F2AD7" w:rsidRPr="00847B73" w:rsidRDefault="006F2AD7" w:rsidP="006F2AD7">
      <w:pPr>
        <w:pStyle w:val="Textonotapie"/>
        <w:rPr>
          <w:rFonts w:ascii="Verdana" w:hAnsi="Verdana"/>
          <w:lang w:val="pt-BR"/>
        </w:rPr>
      </w:pPr>
    </w:p>
    <w:p w14:paraId="00966438" w14:textId="77777777" w:rsidR="006F2AD7" w:rsidRPr="00847B73" w:rsidRDefault="006F2AD7" w:rsidP="006F2AD7">
      <w:pPr>
        <w:spacing w:after="0" w:line="240" w:lineRule="auto"/>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14:paraId="248F5A70" w14:textId="77777777" w:rsidR="006F2AD7" w:rsidRPr="00847B73" w:rsidRDefault="006F2AD7" w:rsidP="006F2AD7">
      <w:pPr>
        <w:spacing w:after="0" w:line="240" w:lineRule="auto"/>
        <w:jc w:val="both"/>
        <w:rPr>
          <w:rFonts w:ascii="Verdana" w:hAnsi="Verdana"/>
          <w:sz w:val="20"/>
          <w:lang w:val="pt-BR"/>
        </w:rPr>
      </w:pPr>
    </w:p>
    <w:p w14:paraId="2A8D46F8" w14:textId="77777777" w:rsidR="006F2AD7" w:rsidRPr="00847B73" w:rsidRDefault="006F2AD7" w:rsidP="006F2AD7">
      <w:pPr>
        <w:spacing w:after="0" w:line="240" w:lineRule="auto"/>
        <w:jc w:val="both"/>
        <w:rPr>
          <w:rFonts w:ascii="Verdana" w:hAnsi="Verdana"/>
          <w:sz w:val="20"/>
          <w:lang w:val="pt-BR"/>
        </w:rPr>
      </w:pPr>
    </w:p>
    <w:p w14:paraId="08E853A1" w14:textId="77777777" w:rsidR="006F2AD7" w:rsidRPr="00847B73" w:rsidRDefault="006F2AD7" w:rsidP="006F2AD7">
      <w:pPr>
        <w:spacing w:after="0" w:line="240" w:lineRule="auto"/>
        <w:jc w:val="both"/>
        <w:rPr>
          <w:rFonts w:ascii="Verdana" w:hAnsi="Verdana"/>
          <w:sz w:val="20"/>
          <w:lang w:val="pt-BR"/>
        </w:rPr>
      </w:pPr>
    </w:p>
    <w:p w14:paraId="53DCF3CF" w14:textId="77777777" w:rsidR="006F2AD7" w:rsidRDefault="006F2AD7" w:rsidP="006F2AD7">
      <w:pPr>
        <w:spacing w:after="0" w:line="240" w:lineRule="auto"/>
        <w:jc w:val="both"/>
        <w:rPr>
          <w:rFonts w:ascii="Verdana" w:hAnsi="Verdana"/>
          <w:sz w:val="20"/>
          <w:lang w:val="pt-BR"/>
        </w:rPr>
      </w:pPr>
    </w:p>
    <w:p w14:paraId="5E8223C0" w14:textId="77777777" w:rsidR="006F2AD7" w:rsidRPr="00847B73" w:rsidRDefault="006F2AD7" w:rsidP="006F2AD7">
      <w:pPr>
        <w:spacing w:after="0" w:line="240" w:lineRule="auto"/>
        <w:jc w:val="both"/>
        <w:rPr>
          <w:rFonts w:ascii="Verdana" w:hAnsi="Verdana"/>
          <w:sz w:val="20"/>
          <w:lang w:val="pt-BR"/>
        </w:rPr>
      </w:pPr>
    </w:p>
    <w:p w14:paraId="41A27349" w14:textId="77777777" w:rsidR="006F2AD7" w:rsidRPr="00847B73" w:rsidRDefault="006F2AD7" w:rsidP="006F2AD7">
      <w:pPr>
        <w:spacing w:after="0" w:line="240" w:lineRule="auto"/>
        <w:ind w:left="4956"/>
        <w:jc w:val="center"/>
        <w:rPr>
          <w:rFonts w:ascii="Verdana" w:hAnsi="Verdana"/>
          <w:sz w:val="20"/>
          <w:lang w:val="pt-BR"/>
        </w:rPr>
      </w:pPr>
      <w:r w:rsidRPr="00847B73">
        <w:rPr>
          <w:rFonts w:ascii="Verdana" w:hAnsi="Verdana"/>
          <w:sz w:val="20"/>
          <w:lang w:val="pt-BR"/>
        </w:rPr>
        <w:t xml:space="preserve">Eduardo Ferrer </w:t>
      </w:r>
      <w:proofErr w:type="spellStart"/>
      <w:r w:rsidRPr="00847B73">
        <w:rPr>
          <w:rFonts w:ascii="Verdana" w:hAnsi="Verdana"/>
          <w:sz w:val="20"/>
          <w:lang w:val="pt-BR"/>
        </w:rPr>
        <w:t>Mac-Gregor</w:t>
      </w:r>
      <w:proofErr w:type="spellEnd"/>
      <w:r w:rsidRPr="00847B73">
        <w:rPr>
          <w:rFonts w:ascii="Verdana" w:hAnsi="Verdana"/>
          <w:sz w:val="20"/>
          <w:lang w:val="pt-BR"/>
        </w:rPr>
        <w:t xml:space="preserve"> </w:t>
      </w:r>
      <w:proofErr w:type="spellStart"/>
      <w:r w:rsidRPr="00847B73">
        <w:rPr>
          <w:rFonts w:ascii="Verdana" w:hAnsi="Verdana"/>
          <w:sz w:val="20"/>
          <w:lang w:val="pt-BR"/>
        </w:rPr>
        <w:t>Poisot</w:t>
      </w:r>
      <w:proofErr w:type="spellEnd"/>
      <w:r w:rsidRPr="00847B73">
        <w:rPr>
          <w:rFonts w:ascii="Verdana" w:hAnsi="Verdana"/>
          <w:sz w:val="20"/>
          <w:lang w:val="pt-BR"/>
        </w:rPr>
        <w:t xml:space="preserve"> </w:t>
      </w:r>
    </w:p>
    <w:p w14:paraId="102D9F00" w14:textId="77777777" w:rsidR="006F2AD7" w:rsidRPr="00847B73" w:rsidRDefault="006F2AD7" w:rsidP="006F2AD7">
      <w:pPr>
        <w:spacing w:after="0" w:line="240" w:lineRule="auto"/>
        <w:ind w:left="4956"/>
        <w:jc w:val="center"/>
        <w:rPr>
          <w:rFonts w:ascii="Verdana" w:hAnsi="Verdana"/>
          <w:sz w:val="20"/>
          <w:lang w:val="pt-BR"/>
        </w:rPr>
      </w:pPr>
      <w:r w:rsidRPr="00847B73">
        <w:rPr>
          <w:rFonts w:ascii="Verdana" w:hAnsi="Verdana"/>
          <w:sz w:val="20"/>
          <w:lang w:val="pt-BR"/>
        </w:rPr>
        <w:t>Presidente</w:t>
      </w:r>
    </w:p>
    <w:p w14:paraId="4139708F" w14:textId="77777777" w:rsidR="006F2AD7" w:rsidRDefault="006F2AD7" w:rsidP="006F2AD7">
      <w:pPr>
        <w:spacing w:after="0" w:line="240" w:lineRule="auto"/>
        <w:jc w:val="both"/>
        <w:rPr>
          <w:rFonts w:ascii="Verdana" w:hAnsi="Verdana"/>
          <w:sz w:val="20"/>
          <w:lang w:val="pt-BR"/>
        </w:rPr>
      </w:pPr>
    </w:p>
    <w:p w14:paraId="539FE235" w14:textId="77777777" w:rsidR="006F2AD7" w:rsidRPr="00847B73" w:rsidRDefault="006F2AD7" w:rsidP="006F2AD7">
      <w:pPr>
        <w:spacing w:after="0" w:line="240" w:lineRule="auto"/>
        <w:jc w:val="both"/>
        <w:rPr>
          <w:rFonts w:ascii="Verdana" w:hAnsi="Verdana"/>
          <w:sz w:val="20"/>
          <w:lang w:val="pt-BR"/>
        </w:rPr>
      </w:pPr>
    </w:p>
    <w:p w14:paraId="37B5F74D" w14:textId="77777777" w:rsidR="006F2AD7" w:rsidRPr="00847B73" w:rsidRDefault="006F2AD7" w:rsidP="006F2AD7">
      <w:pPr>
        <w:spacing w:after="0" w:line="240" w:lineRule="auto"/>
        <w:jc w:val="both"/>
        <w:rPr>
          <w:rFonts w:ascii="Verdana" w:hAnsi="Verdana"/>
          <w:sz w:val="20"/>
          <w:lang w:val="pt-BR"/>
        </w:rPr>
      </w:pPr>
    </w:p>
    <w:p w14:paraId="5ADD1BF7" w14:textId="77777777" w:rsidR="006F2AD7" w:rsidRPr="00847B73" w:rsidRDefault="006F2AD7" w:rsidP="006F2AD7">
      <w:pPr>
        <w:spacing w:after="0" w:line="240" w:lineRule="auto"/>
        <w:jc w:val="both"/>
        <w:rPr>
          <w:rFonts w:ascii="Verdana" w:hAnsi="Verdana"/>
          <w:sz w:val="20"/>
          <w:lang w:val="pt-BR"/>
        </w:rPr>
      </w:pPr>
    </w:p>
    <w:p w14:paraId="6F86A825" w14:textId="77777777" w:rsidR="006F2AD7" w:rsidRPr="00847B73" w:rsidRDefault="006F2AD7" w:rsidP="006F2AD7">
      <w:pPr>
        <w:spacing w:after="0" w:line="240" w:lineRule="auto"/>
        <w:jc w:val="both"/>
        <w:rPr>
          <w:rFonts w:ascii="Verdana" w:hAnsi="Verdana"/>
          <w:sz w:val="20"/>
          <w:lang w:val="es-ES"/>
        </w:rPr>
      </w:pPr>
      <w:r w:rsidRPr="00847B73">
        <w:rPr>
          <w:rFonts w:ascii="Verdana" w:hAnsi="Verdana"/>
          <w:sz w:val="20"/>
          <w:lang w:val="es-ES"/>
        </w:rPr>
        <w:t>Pablo Saavedra Alessandri</w:t>
      </w:r>
    </w:p>
    <w:p w14:paraId="1BED9658" w14:textId="77777777" w:rsidR="006F2AD7" w:rsidRPr="00FC7D8B" w:rsidRDefault="006F2AD7" w:rsidP="006F2AD7">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21227657" w14:textId="77777777" w:rsidR="00B77444" w:rsidRPr="00F6011C" w:rsidRDefault="00B77444" w:rsidP="00F6011C">
      <w:pPr>
        <w:rPr>
          <w:rFonts w:ascii="Verdana" w:hAnsi="Verdana"/>
          <w:sz w:val="20"/>
          <w:lang w:val="es-AR"/>
        </w:rPr>
      </w:pPr>
    </w:p>
    <w:sectPr w:rsidR="00B77444" w:rsidRPr="00F6011C" w:rsidSect="007B51CC">
      <w:headerReference w:type="even" r:id="rId8"/>
      <w:headerReference w:type="default" r:id="rId9"/>
      <w:footerReference w:type="default" r:id="rId10"/>
      <w:pgSz w:w="12240" w:h="15840"/>
      <w:pgMar w:top="1417" w:right="1701" w:bottom="1417"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493D" w14:textId="77777777" w:rsidR="00901CEB" w:rsidRDefault="00901CEB" w:rsidP="00B77444">
      <w:pPr>
        <w:spacing w:after="0" w:line="240" w:lineRule="auto"/>
      </w:pPr>
      <w:r>
        <w:separator/>
      </w:r>
    </w:p>
  </w:endnote>
  <w:endnote w:type="continuationSeparator" w:id="0">
    <w:p w14:paraId="58EF4562" w14:textId="77777777" w:rsidR="00901CEB" w:rsidRDefault="00901CEB" w:rsidP="00B77444">
      <w:pPr>
        <w:spacing w:after="0" w:line="240" w:lineRule="auto"/>
      </w:pPr>
      <w:r>
        <w:continuationSeparator/>
      </w:r>
    </w:p>
  </w:endnote>
  <w:endnote w:type="continuationNotice" w:id="1">
    <w:p w14:paraId="0DDB1CC7" w14:textId="77777777" w:rsidR="00901CEB" w:rsidRDefault="00901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3858224"/>
      <w:docPartObj>
        <w:docPartGallery w:val="Page Numbers (Top of Page)"/>
        <w:docPartUnique/>
      </w:docPartObj>
    </w:sdtPr>
    <w:sdtEndPr>
      <w:rPr>
        <w:rStyle w:val="Nmerodepgina"/>
      </w:rPr>
    </w:sdtEndPr>
    <w:sdtContent>
      <w:p w14:paraId="16A86B45" w14:textId="77777777" w:rsidR="001601FF" w:rsidRDefault="001601FF" w:rsidP="0041260D">
        <w:pPr>
          <w:pStyle w:val="Encabezado"/>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6F2AD7">
          <w:rPr>
            <w:rStyle w:val="Nmerodepgina"/>
            <w:noProof/>
          </w:rPr>
          <w:t>- 5 -</w:t>
        </w:r>
        <w:r>
          <w:rPr>
            <w:rStyle w:val="Nmerodepgina"/>
          </w:rPr>
          <w:fldChar w:fldCharType="end"/>
        </w:r>
      </w:p>
    </w:sdtContent>
  </w:sdt>
  <w:p w14:paraId="5627EA5E" w14:textId="77777777" w:rsidR="001601FF" w:rsidRDefault="00160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E10C" w14:textId="77777777" w:rsidR="00901CEB" w:rsidRDefault="00901CEB" w:rsidP="00B77444">
      <w:pPr>
        <w:spacing w:after="0" w:line="240" w:lineRule="auto"/>
      </w:pPr>
      <w:r>
        <w:separator/>
      </w:r>
    </w:p>
  </w:footnote>
  <w:footnote w:type="continuationSeparator" w:id="0">
    <w:p w14:paraId="3F76BE03" w14:textId="77777777" w:rsidR="00901CEB" w:rsidRDefault="00901CEB" w:rsidP="00B77444">
      <w:pPr>
        <w:spacing w:after="0" w:line="240" w:lineRule="auto"/>
      </w:pPr>
      <w:r>
        <w:continuationSeparator/>
      </w:r>
    </w:p>
  </w:footnote>
  <w:footnote w:type="continuationNotice" w:id="1">
    <w:p w14:paraId="39BCFCEE" w14:textId="77777777" w:rsidR="00901CEB" w:rsidRDefault="00901CEB">
      <w:pPr>
        <w:spacing w:after="0" w:line="240" w:lineRule="auto"/>
      </w:pPr>
    </w:p>
  </w:footnote>
  <w:footnote w:id="2">
    <w:p w14:paraId="7E74A8F5" w14:textId="7E5702E9" w:rsidR="00676F70" w:rsidRPr="00933013" w:rsidRDefault="00676F70" w:rsidP="0074014F">
      <w:pPr>
        <w:pStyle w:val="Textonotapie"/>
        <w:tabs>
          <w:tab w:val="left" w:pos="426"/>
          <w:tab w:val="left" w:pos="567"/>
        </w:tabs>
        <w:jc w:val="both"/>
        <w:rPr>
          <w:rFonts w:ascii="Verdana" w:hAnsi="Verdana"/>
          <w:color w:val="000000"/>
          <w:sz w:val="16"/>
          <w:szCs w:val="16"/>
          <w:lang w:val="es-CR"/>
        </w:rPr>
      </w:pPr>
      <w:r w:rsidRPr="00933013">
        <w:rPr>
          <w:rStyle w:val="Refdenotaalpie"/>
          <w:rFonts w:ascii="Verdana" w:hAnsi="Verdana"/>
          <w:color w:val="000000"/>
          <w:sz w:val="16"/>
          <w:szCs w:val="16"/>
        </w:rPr>
        <w:footnoteRef/>
      </w:r>
      <w:r w:rsidR="004F094D">
        <w:rPr>
          <w:rFonts w:ascii="Verdana" w:hAnsi="Verdana"/>
          <w:color w:val="000000"/>
          <w:sz w:val="16"/>
          <w:szCs w:val="16"/>
          <w:lang w:val="es-CR"/>
        </w:rPr>
        <w:t xml:space="preserve"> </w:t>
      </w:r>
      <w:r w:rsidR="004F094D">
        <w:rPr>
          <w:rFonts w:ascii="Verdana" w:hAnsi="Verdana"/>
          <w:color w:val="000000"/>
          <w:sz w:val="16"/>
          <w:szCs w:val="16"/>
          <w:lang w:val="es-CR"/>
        </w:rPr>
        <w:tab/>
      </w:r>
      <w:r w:rsidRPr="004B1BBA">
        <w:rPr>
          <w:rFonts w:ascii="Verdana" w:hAnsi="Verdana"/>
          <w:i/>
          <w:color w:val="000000"/>
          <w:sz w:val="16"/>
          <w:szCs w:val="16"/>
          <w:lang w:val="es-CR"/>
        </w:rPr>
        <w:t xml:space="preserve">Cfr. Caso </w:t>
      </w:r>
      <w:r w:rsidR="00645AA3" w:rsidRPr="004B1BBA">
        <w:rPr>
          <w:rFonts w:ascii="Verdana" w:hAnsi="Verdana"/>
          <w:i/>
          <w:color w:val="000000"/>
          <w:sz w:val="16"/>
          <w:szCs w:val="16"/>
          <w:lang w:val="es-CR"/>
        </w:rPr>
        <w:t>Favela Nova Brasilia</w:t>
      </w:r>
      <w:r w:rsidRPr="004B1BBA">
        <w:rPr>
          <w:rFonts w:ascii="Verdana" w:hAnsi="Verdana"/>
          <w:i/>
          <w:color w:val="000000"/>
          <w:sz w:val="16"/>
          <w:szCs w:val="16"/>
          <w:lang w:val="es-CR"/>
        </w:rPr>
        <w:t xml:space="preserve"> Vs. </w:t>
      </w:r>
      <w:r w:rsidR="00645AA3" w:rsidRPr="004B1BBA">
        <w:rPr>
          <w:rFonts w:ascii="Verdana" w:hAnsi="Verdana"/>
          <w:i/>
          <w:color w:val="000000"/>
          <w:sz w:val="16"/>
          <w:szCs w:val="16"/>
          <w:lang w:val="es-CR"/>
        </w:rPr>
        <w:t>Brasil</w:t>
      </w:r>
      <w:r w:rsidR="008D3881">
        <w:rPr>
          <w:rFonts w:ascii="Verdana" w:hAnsi="Verdana"/>
          <w:i/>
          <w:color w:val="000000"/>
          <w:sz w:val="16"/>
          <w:szCs w:val="16"/>
          <w:lang w:val="es-CR"/>
        </w:rPr>
        <w:t>. Excepciones P</w:t>
      </w:r>
      <w:r w:rsidRPr="004B1BBA">
        <w:rPr>
          <w:rFonts w:ascii="Verdana" w:hAnsi="Verdana"/>
          <w:i/>
          <w:color w:val="000000"/>
          <w:sz w:val="16"/>
          <w:szCs w:val="16"/>
          <w:lang w:val="es-CR"/>
        </w:rPr>
        <w:t>reliminares, Fondo, Reparaciones y Costas</w:t>
      </w:r>
      <w:r w:rsidRPr="0074014F">
        <w:rPr>
          <w:rFonts w:ascii="Verdana" w:hAnsi="Verdana"/>
          <w:color w:val="000000"/>
          <w:sz w:val="16"/>
          <w:szCs w:val="16"/>
          <w:lang w:val="es-CR"/>
        </w:rPr>
        <w:t xml:space="preserve">. Sentencia de </w:t>
      </w:r>
      <w:r w:rsidR="00645AA3">
        <w:rPr>
          <w:rFonts w:ascii="Verdana" w:hAnsi="Verdana"/>
          <w:color w:val="000000"/>
          <w:sz w:val="16"/>
          <w:szCs w:val="16"/>
          <w:lang w:val="es-CR"/>
        </w:rPr>
        <w:t>16 de febrero de 2017</w:t>
      </w:r>
      <w:r w:rsidR="004B1BBA">
        <w:rPr>
          <w:rFonts w:ascii="Verdana" w:hAnsi="Verdana"/>
          <w:color w:val="000000"/>
          <w:sz w:val="16"/>
          <w:szCs w:val="16"/>
          <w:lang w:val="es-CR"/>
        </w:rPr>
        <w:t>.</w:t>
      </w:r>
      <w:r w:rsidR="004B1BBA" w:rsidRPr="00ED1D80">
        <w:rPr>
          <w:lang w:val="es-CR"/>
        </w:rPr>
        <w:t xml:space="preserve"> </w:t>
      </w:r>
      <w:r w:rsidR="004B1BBA">
        <w:rPr>
          <w:rFonts w:ascii="Verdana" w:hAnsi="Verdana"/>
          <w:color w:val="000000"/>
          <w:sz w:val="16"/>
          <w:szCs w:val="16"/>
          <w:lang w:val="es-CR"/>
        </w:rPr>
        <w:t>Se</w:t>
      </w:r>
      <w:r w:rsidR="004B1BBA" w:rsidRPr="004B1BBA">
        <w:rPr>
          <w:rFonts w:ascii="Verdana" w:hAnsi="Verdana"/>
          <w:color w:val="000000"/>
          <w:sz w:val="16"/>
          <w:szCs w:val="16"/>
          <w:lang w:val="es-CR"/>
        </w:rPr>
        <w:t>rie C No. 333</w:t>
      </w:r>
      <w:r w:rsidRPr="0074014F">
        <w:rPr>
          <w:rFonts w:ascii="Verdana" w:hAnsi="Verdana"/>
          <w:color w:val="000000"/>
          <w:sz w:val="16"/>
          <w:szCs w:val="16"/>
          <w:lang w:val="es-CR"/>
        </w:rPr>
        <w:t>.</w:t>
      </w:r>
      <w:r w:rsidRPr="00031E2C">
        <w:rPr>
          <w:lang w:val="es-CR"/>
        </w:rPr>
        <w:t xml:space="preserve"> </w:t>
      </w:r>
      <w:r w:rsidRPr="0074014F">
        <w:rPr>
          <w:rFonts w:ascii="Verdana" w:hAnsi="Verdana"/>
          <w:color w:val="000000"/>
          <w:sz w:val="16"/>
          <w:szCs w:val="16"/>
          <w:lang w:val="es-CR"/>
        </w:rPr>
        <w:t xml:space="preserve">El texto </w:t>
      </w:r>
      <w:proofErr w:type="spellStart"/>
      <w:r w:rsidRPr="0074014F">
        <w:rPr>
          <w:rFonts w:ascii="Verdana" w:hAnsi="Verdana"/>
          <w:color w:val="000000"/>
          <w:sz w:val="16"/>
          <w:szCs w:val="16"/>
          <w:lang w:val="es-CR"/>
        </w:rPr>
        <w:t>íntegro</w:t>
      </w:r>
      <w:proofErr w:type="spellEnd"/>
      <w:r w:rsidRPr="0074014F">
        <w:rPr>
          <w:rFonts w:ascii="Verdana" w:hAnsi="Verdana"/>
          <w:color w:val="000000"/>
          <w:sz w:val="16"/>
          <w:szCs w:val="16"/>
          <w:lang w:val="es-CR"/>
        </w:rPr>
        <w:t xml:space="preserve"> de la Sentencia se encuentra </w:t>
      </w:r>
      <w:r w:rsidRPr="0041260D">
        <w:rPr>
          <w:rFonts w:ascii="Verdana" w:hAnsi="Verdana"/>
          <w:sz w:val="16"/>
          <w:szCs w:val="16"/>
          <w:lang w:val="es-CR"/>
        </w:rPr>
        <w:t>disponible</w:t>
      </w:r>
      <w:r w:rsidRPr="0074014F">
        <w:rPr>
          <w:rFonts w:ascii="Verdana" w:hAnsi="Verdana"/>
          <w:color w:val="000000"/>
          <w:sz w:val="16"/>
          <w:szCs w:val="16"/>
          <w:lang w:val="es-CR"/>
        </w:rPr>
        <w:t xml:space="preserve"> en:</w:t>
      </w:r>
      <w:r w:rsidR="00F3288E">
        <w:rPr>
          <w:rFonts w:ascii="Verdana" w:hAnsi="Verdana"/>
          <w:color w:val="000000"/>
          <w:sz w:val="16"/>
          <w:szCs w:val="16"/>
          <w:lang w:val="es-CR"/>
        </w:rPr>
        <w:t xml:space="preserve"> </w:t>
      </w:r>
      <w:hyperlink r:id="rId1" w:history="1">
        <w:r w:rsidR="00F3288E" w:rsidRPr="00FF2246">
          <w:rPr>
            <w:rStyle w:val="Hipervnculo"/>
            <w:rFonts w:ascii="Verdana" w:hAnsi="Verdana"/>
            <w:sz w:val="16"/>
            <w:szCs w:val="16"/>
            <w:lang w:val="es-CR"/>
          </w:rPr>
          <w:t>http://www.corteidh.or.cr/docs/casos/articulos/seriec_333_esp.pdf</w:t>
        </w:r>
      </w:hyperlink>
      <w:r w:rsidR="00F3288E">
        <w:rPr>
          <w:rFonts w:ascii="Verdana" w:hAnsi="Verdana"/>
          <w:color w:val="000000"/>
          <w:sz w:val="16"/>
          <w:szCs w:val="16"/>
          <w:lang w:val="es-CR"/>
        </w:rPr>
        <w:t xml:space="preserve">. </w:t>
      </w:r>
      <w:r w:rsidRPr="004B1BBA">
        <w:rPr>
          <w:rFonts w:ascii="Verdana" w:hAnsi="Verdana"/>
          <w:color w:val="000000"/>
          <w:sz w:val="16"/>
          <w:szCs w:val="16"/>
          <w:lang w:val="es-CR"/>
        </w:rPr>
        <w:t xml:space="preserve">La Sentencia fue notificada </w:t>
      </w:r>
      <w:r w:rsidR="004F094D">
        <w:rPr>
          <w:rFonts w:ascii="Verdana" w:hAnsi="Verdana"/>
          <w:color w:val="000000"/>
          <w:sz w:val="16"/>
          <w:szCs w:val="16"/>
          <w:lang w:val="es-CR"/>
        </w:rPr>
        <w:t xml:space="preserve">al Estado </w:t>
      </w:r>
      <w:r w:rsidRPr="004B1BBA">
        <w:rPr>
          <w:rFonts w:ascii="Verdana" w:hAnsi="Verdana"/>
          <w:color w:val="000000"/>
          <w:sz w:val="16"/>
          <w:szCs w:val="16"/>
          <w:lang w:val="es-CR"/>
        </w:rPr>
        <w:t xml:space="preserve">el </w:t>
      </w:r>
      <w:r w:rsidR="004B1BBA" w:rsidRPr="004B1BBA">
        <w:rPr>
          <w:rFonts w:ascii="Verdana" w:hAnsi="Verdana"/>
          <w:color w:val="000000"/>
          <w:sz w:val="16"/>
          <w:szCs w:val="16"/>
          <w:lang w:val="es-CR"/>
        </w:rPr>
        <w:t>12</w:t>
      </w:r>
      <w:r w:rsidRPr="004B1BBA">
        <w:rPr>
          <w:rFonts w:ascii="Verdana" w:hAnsi="Verdana"/>
          <w:color w:val="000000"/>
          <w:sz w:val="16"/>
          <w:szCs w:val="16"/>
          <w:lang w:val="es-CR"/>
        </w:rPr>
        <w:t xml:space="preserve"> de </w:t>
      </w:r>
      <w:r w:rsidR="004B1BBA" w:rsidRPr="004B1BBA">
        <w:rPr>
          <w:rFonts w:ascii="Verdana" w:hAnsi="Verdana"/>
          <w:color w:val="000000"/>
          <w:sz w:val="16"/>
          <w:szCs w:val="16"/>
          <w:lang w:val="es-CR"/>
        </w:rPr>
        <w:t>mayo</w:t>
      </w:r>
      <w:r w:rsidRPr="004B1BBA">
        <w:rPr>
          <w:rFonts w:ascii="Verdana" w:hAnsi="Verdana"/>
          <w:color w:val="000000"/>
          <w:sz w:val="16"/>
          <w:szCs w:val="16"/>
          <w:lang w:val="es-CR"/>
        </w:rPr>
        <w:t xml:space="preserve"> de </w:t>
      </w:r>
      <w:r w:rsidR="004B1BBA" w:rsidRPr="004B1BBA">
        <w:rPr>
          <w:rFonts w:ascii="Verdana" w:hAnsi="Verdana"/>
          <w:color w:val="000000"/>
          <w:sz w:val="16"/>
          <w:szCs w:val="16"/>
          <w:lang w:val="es-CR"/>
        </w:rPr>
        <w:t>2017</w:t>
      </w:r>
      <w:r w:rsidRPr="004B1BBA">
        <w:rPr>
          <w:rFonts w:ascii="Verdana" w:hAnsi="Verdana"/>
          <w:color w:val="000000"/>
          <w:sz w:val="16"/>
          <w:szCs w:val="16"/>
          <w:lang w:val="es-CR"/>
        </w:rPr>
        <w:t>.</w:t>
      </w:r>
    </w:p>
  </w:footnote>
  <w:footnote w:id="3">
    <w:p w14:paraId="5C82CC9E" w14:textId="0C3E03C1" w:rsidR="004B1BBA" w:rsidRPr="004B1BBA" w:rsidRDefault="004B1BBA" w:rsidP="0041260D">
      <w:pPr>
        <w:pStyle w:val="Textonotapie"/>
        <w:tabs>
          <w:tab w:val="left" w:pos="426"/>
          <w:tab w:val="left" w:pos="567"/>
        </w:tabs>
        <w:jc w:val="both"/>
        <w:rPr>
          <w:rFonts w:ascii="Verdana" w:hAnsi="Verdana"/>
          <w:sz w:val="16"/>
          <w:szCs w:val="16"/>
          <w:lang w:val="es-ES"/>
        </w:rPr>
      </w:pPr>
      <w:r>
        <w:rPr>
          <w:rStyle w:val="Refdenotaalpie"/>
        </w:rPr>
        <w:footnoteRef/>
      </w:r>
      <w:r w:rsidRPr="00ED1D80">
        <w:rPr>
          <w:lang w:val="es-CR"/>
        </w:rPr>
        <w:t xml:space="preserve"> </w:t>
      </w:r>
      <w:r w:rsidR="004F094D">
        <w:rPr>
          <w:lang w:val="es-CR"/>
        </w:rPr>
        <w:tab/>
      </w:r>
      <w:r w:rsidRPr="004B1BBA">
        <w:rPr>
          <w:rFonts w:ascii="Verdana" w:hAnsi="Verdana"/>
          <w:i/>
          <w:sz w:val="16"/>
          <w:szCs w:val="16"/>
          <w:lang w:val="es-ES"/>
        </w:rPr>
        <w:t xml:space="preserve">Cfr. Caso Favela Nova Brasilia Vs. Brasil. </w:t>
      </w:r>
      <w:proofErr w:type="spellStart"/>
      <w:r w:rsidRPr="004B1BBA">
        <w:rPr>
          <w:rFonts w:ascii="Verdana" w:hAnsi="Verdana"/>
          <w:i/>
          <w:sz w:val="16"/>
          <w:szCs w:val="16"/>
          <w:lang w:val="es-ES"/>
        </w:rPr>
        <w:t>Interpretación</w:t>
      </w:r>
      <w:proofErr w:type="spellEnd"/>
      <w:r w:rsidRPr="004B1BBA">
        <w:rPr>
          <w:rFonts w:ascii="Verdana" w:hAnsi="Verdana"/>
          <w:i/>
          <w:sz w:val="16"/>
          <w:szCs w:val="16"/>
          <w:lang w:val="es-ES"/>
        </w:rPr>
        <w:t xml:space="preserve"> de la Sentencia de </w:t>
      </w:r>
      <w:r w:rsidR="00FD5BC3">
        <w:rPr>
          <w:rFonts w:ascii="Verdana" w:hAnsi="Verdana"/>
          <w:i/>
          <w:sz w:val="16"/>
          <w:szCs w:val="16"/>
          <w:lang w:val="es-ES"/>
        </w:rPr>
        <w:t xml:space="preserve">Excepciones Preliminares, </w:t>
      </w:r>
      <w:r w:rsidRPr="004B1BBA">
        <w:rPr>
          <w:rFonts w:ascii="Verdana" w:hAnsi="Verdana"/>
          <w:i/>
          <w:sz w:val="16"/>
          <w:szCs w:val="16"/>
          <w:lang w:val="es-ES"/>
        </w:rPr>
        <w:t>Fondo, Reparaciones y Costas</w:t>
      </w:r>
      <w:r w:rsidRPr="004B1BBA">
        <w:rPr>
          <w:rFonts w:ascii="Verdana" w:hAnsi="Verdana"/>
          <w:sz w:val="16"/>
          <w:szCs w:val="16"/>
          <w:lang w:val="es-ES"/>
        </w:rPr>
        <w:t xml:space="preserve">. Sentencia de </w:t>
      </w:r>
      <w:r>
        <w:rPr>
          <w:rFonts w:ascii="Verdana" w:hAnsi="Verdana"/>
          <w:sz w:val="16"/>
          <w:szCs w:val="16"/>
          <w:lang w:val="es-ES"/>
        </w:rPr>
        <w:t>5</w:t>
      </w:r>
      <w:r w:rsidRPr="004B1BBA">
        <w:rPr>
          <w:rFonts w:ascii="Verdana" w:hAnsi="Verdana"/>
          <w:sz w:val="16"/>
          <w:szCs w:val="16"/>
          <w:lang w:val="es-ES"/>
        </w:rPr>
        <w:t xml:space="preserve"> de febrero</w:t>
      </w:r>
      <w:r>
        <w:rPr>
          <w:rFonts w:ascii="Verdana" w:hAnsi="Verdana"/>
          <w:sz w:val="16"/>
          <w:szCs w:val="16"/>
          <w:lang w:val="es-ES"/>
        </w:rPr>
        <w:t xml:space="preserve"> de 2018. Serie C No. 345, disponible en: </w:t>
      </w:r>
      <w:hyperlink r:id="rId2" w:history="1">
        <w:r w:rsidR="00965614" w:rsidRPr="008904A7">
          <w:rPr>
            <w:rStyle w:val="Hipervnculo"/>
            <w:rFonts w:ascii="Verdana" w:hAnsi="Verdana"/>
            <w:sz w:val="16"/>
            <w:szCs w:val="16"/>
            <w:lang w:val="es-ES"/>
          </w:rPr>
          <w:t>http://www.corteidh.or.cr/docs/casos/articulos/seriec_345_esp.pdf</w:t>
        </w:r>
      </w:hyperlink>
      <w:r w:rsidR="00965614">
        <w:rPr>
          <w:rFonts w:ascii="Verdana" w:hAnsi="Verdana"/>
          <w:sz w:val="16"/>
          <w:szCs w:val="16"/>
          <w:lang w:val="es-ES"/>
        </w:rPr>
        <w:t xml:space="preserve">. </w:t>
      </w:r>
      <w:r>
        <w:rPr>
          <w:rFonts w:ascii="Verdana" w:hAnsi="Verdana"/>
          <w:sz w:val="16"/>
          <w:szCs w:val="16"/>
          <w:lang w:val="es-ES"/>
        </w:rPr>
        <w:t xml:space="preserve"> </w:t>
      </w:r>
    </w:p>
  </w:footnote>
  <w:footnote w:id="4">
    <w:p w14:paraId="20F0AEEE" w14:textId="77777777" w:rsidR="00965614" w:rsidRPr="0041260D" w:rsidRDefault="00965614" w:rsidP="0041260D">
      <w:pPr>
        <w:pStyle w:val="Textonotapie"/>
        <w:tabs>
          <w:tab w:val="left" w:pos="426"/>
          <w:tab w:val="left" w:pos="567"/>
        </w:tabs>
        <w:jc w:val="both"/>
        <w:rPr>
          <w:rFonts w:ascii="Verdana" w:hAnsi="Verdana"/>
          <w:sz w:val="16"/>
          <w:szCs w:val="16"/>
          <w:lang w:val="es-ES"/>
        </w:rPr>
      </w:pPr>
      <w:r w:rsidRPr="0041260D">
        <w:rPr>
          <w:rStyle w:val="Refdenotaalpie"/>
          <w:rFonts w:ascii="Verdana" w:hAnsi="Verdana"/>
          <w:sz w:val="16"/>
          <w:szCs w:val="16"/>
        </w:rPr>
        <w:footnoteRef/>
      </w:r>
      <w:r w:rsidRPr="0041260D">
        <w:rPr>
          <w:rFonts w:ascii="Verdana" w:hAnsi="Verdana"/>
          <w:sz w:val="16"/>
          <w:szCs w:val="16"/>
          <w:lang w:val="es-CR"/>
        </w:rPr>
        <w:t xml:space="preserve"> </w:t>
      </w:r>
      <w:r w:rsidRPr="0041260D">
        <w:rPr>
          <w:rFonts w:ascii="Verdana" w:hAnsi="Verdana"/>
          <w:sz w:val="16"/>
          <w:szCs w:val="16"/>
          <w:lang w:val="es-CR"/>
        </w:rPr>
        <w:tab/>
      </w:r>
      <w:r w:rsidR="00E27D8B">
        <w:rPr>
          <w:rFonts w:ascii="Verdana" w:hAnsi="Verdana"/>
          <w:sz w:val="16"/>
          <w:szCs w:val="16"/>
          <w:lang w:val="es-CR"/>
        </w:rPr>
        <w:t xml:space="preserve">Disponible en </w:t>
      </w:r>
      <w:hyperlink r:id="rId3" w:history="1">
        <w:r w:rsidRPr="0041260D">
          <w:rPr>
            <w:rStyle w:val="Hipervnculo"/>
            <w:rFonts w:ascii="Verdana" w:hAnsi="Verdana"/>
            <w:sz w:val="16"/>
            <w:szCs w:val="16"/>
            <w:lang w:val="es-ES"/>
          </w:rPr>
          <w:t>http://www.corteidh.or.cr/docs/asuntos/favela_fv_18.pdf</w:t>
        </w:r>
      </w:hyperlink>
      <w:r w:rsidRPr="0041260D">
        <w:rPr>
          <w:rFonts w:ascii="Verdana" w:hAnsi="Verdana"/>
          <w:sz w:val="16"/>
          <w:szCs w:val="16"/>
          <w:lang w:val="es-CR"/>
        </w:rPr>
        <w:t xml:space="preserve">. </w:t>
      </w:r>
      <w:r w:rsidRPr="0041260D">
        <w:rPr>
          <w:rFonts w:ascii="Verdana" w:hAnsi="Verdana"/>
          <w:sz w:val="16"/>
          <w:szCs w:val="16"/>
          <w:lang w:val="es-ES"/>
        </w:rPr>
        <w:t xml:space="preserve"> </w:t>
      </w:r>
    </w:p>
  </w:footnote>
  <w:footnote w:id="5">
    <w:p w14:paraId="4C7398A8" w14:textId="49506A31" w:rsidR="002D6F52" w:rsidRPr="0041260D" w:rsidRDefault="002D6F52" w:rsidP="002D6F52">
      <w:pPr>
        <w:pStyle w:val="Textonotapie"/>
        <w:tabs>
          <w:tab w:val="left" w:pos="426"/>
          <w:tab w:val="left" w:pos="567"/>
        </w:tabs>
        <w:jc w:val="both"/>
        <w:rPr>
          <w:rFonts w:ascii="Verdana" w:hAnsi="Verdana"/>
          <w:b/>
          <w:color w:val="000000"/>
          <w:sz w:val="16"/>
          <w:szCs w:val="16"/>
          <w:lang w:val="es-CR"/>
        </w:rPr>
      </w:pPr>
      <w:r w:rsidRPr="00933013">
        <w:rPr>
          <w:rStyle w:val="Refdenotaalpie"/>
          <w:rFonts w:ascii="Verdana" w:hAnsi="Verdana"/>
          <w:color w:val="000000"/>
          <w:sz w:val="16"/>
          <w:szCs w:val="16"/>
        </w:rPr>
        <w:footnoteRef/>
      </w:r>
      <w:r>
        <w:rPr>
          <w:rFonts w:ascii="Verdana" w:hAnsi="Verdana"/>
          <w:color w:val="000000"/>
          <w:sz w:val="16"/>
          <w:szCs w:val="16"/>
          <w:lang w:val="es-CR"/>
        </w:rPr>
        <w:t xml:space="preserve"> </w:t>
      </w:r>
      <w:r>
        <w:rPr>
          <w:rFonts w:ascii="Verdana" w:hAnsi="Verdana"/>
          <w:color w:val="000000"/>
          <w:sz w:val="16"/>
          <w:szCs w:val="16"/>
          <w:lang w:val="es-CR"/>
        </w:rPr>
        <w:tab/>
        <w:t xml:space="preserve">Los representantes en este caso son </w:t>
      </w:r>
      <w:r w:rsidR="00027675">
        <w:rPr>
          <w:rFonts w:ascii="Verdana" w:hAnsi="Verdana"/>
          <w:color w:val="000000"/>
          <w:sz w:val="16"/>
          <w:szCs w:val="16"/>
          <w:lang w:val="es-CR"/>
        </w:rPr>
        <w:t>el Centro por la Justicia y el Derecho Internacional (CEJIL)</w:t>
      </w:r>
      <w:r w:rsidR="00FD5BC3">
        <w:rPr>
          <w:rFonts w:ascii="Verdana" w:hAnsi="Verdana"/>
          <w:color w:val="000000"/>
          <w:sz w:val="16"/>
          <w:szCs w:val="16"/>
          <w:lang w:val="es-CR"/>
        </w:rPr>
        <w:t xml:space="preserve"> y el Instituto de Estudios de la Religión (ISER)</w:t>
      </w:r>
      <w:r w:rsidR="00027675">
        <w:rPr>
          <w:rFonts w:ascii="Verdana" w:hAnsi="Verdana"/>
          <w:color w:val="000000"/>
          <w:sz w:val="16"/>
          <w:szCs w:val="16"/>
          <w:lang w:val="es-CR"/>
        </w:rPr>
        <w:t>.</w:t>
      </w:r>
    </w:p>
  </w:footnote>
  <w:footnote w:id="6">
    <w:p w14:paraId="09B447B7" w14:textId="77777777" w:rsidR="00676F70" w:rsidRPr="00933013" w:rsidRDefault="00676F70" w:rsidP="00B77444">
      <w:pPr>
        <w:pStyle w:val="Textonotapie"/>
        <w:tabs>
          <w:tab w:val="left" w:pos="426"/>
          <w:tab w:val="left" w:pos="567"/>
        </w:tabs>
        <w:jc w:val="both"/>
        <w:rPr>
          <w:rFonts w:ascii="Verdana" w:hAnsi="Verdana"/>
          <w:sz w:val="16"/>
          <w:szCs w:val="16"/>
          <w:lang w:val="es-CR"/>
        </w:rPr>
      </w:pPr>
      <w:r w:rsidRPr="00933013">
        <w:rPr>
          <w:rStyle w:val="Refdenotaalpie"/>
          <w:rFonts w:ascii="Verdana" w:hAnsi="Verdana"/>
          <w:sz w:val="16"/>
          <w:szCs w:val="16"/>
        </w:rPr>
        <w:footnoteRef/>
      </w:r>
      <w:r w:rsidRPr="00933013">
        <w:rPr>
          <w:rFonts w:ascii="Verdana" w:hAnsi="Verdana"/>
          <w:sz w:val="16"/>
          <w:szCs w:val="16"/>
          <w:lang w:val="es-CR"/>
        </w:rPr>
        <w:t xml:space="preserve"> </w:t>
      </w:r>
      <w:r w:rsidRPr="00933013">
        <w:rPr>
          <w:rFonts w:ascii="Verdana" w:hAnsi="Verdana"/>
          <w:sz w:val="16"/>
          <w:szCs w:val="16"/>
          <w:lang w:val="es-CR"/>
        </w:rPr>
        <w:tab/>
        <w:t xml:space="preserve">Facultad que además </w:t>
      </w:r>
      <w:r w:rsidRPr="00933013">
        <w:rPr>
          <w:rFonts w:ascii="Verdana" w:hAnsi="Verdana"/>
          <w:sz w:val="16"/>
          <w:szCs w:val="16"/>
          <w:lang w:val="es-ES"/>
        </w:rPr>
        <w:t xml:space="preserve">se desprende de lo dispuesto en los artículos 33, 62.1, 62.3 y 65 de la Convención Americana y </w:t>
      </w:r>
      <w:r w:rsidRPr="00933013">
        <w:rPr>
          <w:rFonts w:ascii="Verdana" w:hAnsi="Verdana"/>
          <w:sz w:val="16"/>
          <w:szCs w:val="16"/>
          <w:lang w:val="es-CR"/>
        </w:rPr>
        <w:t>30 de su Estatuto y se encuentra regulada en el artículo 69 de su Reglamento.</w:t>
      </w:r>
    </w:p>
  </w:footnote>
  <w:footnote w:id="7">
    <w:p w14:paraId="642FF36C" w14:textId="6B1797A8" w:rsidR="00676F70" w:rsidRPr="00C24B75" w:rsidRDefault="00676F70" w:rsidP="0041260D">
      <w:pPr>
        <w:pStyle w:val="Textonotapie"/>
        <w:tabs>
          <w:tab w:val="left" w:pos="426"/>
          <w:tab w:val="left" w:pos="567"/>
        </w:tabs>
        <w:jc w:val="both"/>
        <w:rPr>
          <w:rFonts w:ascii="Verdana" w:hAnsi="Verdana"/>
          <w:sz w:val="16"/>
          <w:lang w:val="es-CR"/>
        </w:rPr>
      </w:pPr>
      <w:r>
        <w:rPr>
          <w:rStyle w:val="Refdenotaalpie"/>
        </w:rPr>
        <w:footnoteRef/>
      </w:r>
      <w:r w:rsidRPr="00031E2C">
        <w:rPr>
          <w:lang w:val="es-CR"/>
        </w:rPr>
        <w:t xml:space="preserve"> </w:t>
      </w:r>
      <w:r w:rsidR="00BF7AC8">
        <w:rPr>
          <w:lang w:val="es-CR"/>
        </w:rPr>
        <w:tab/>
      </w:r>
      <w:r w:rsidR="00C24B75" w:rsidRPr="00981B2B">
        <w:rPr>
          <w:rFonts w:ascii="Verdana" w:hAnsi="Verdana"/>
          <w:i/>
          <w:sz w:val="16"/>
          <w:lang w:val="es-CR"/>
        </w:rPr>
        <w:t>Cfr</w:t>
      </w:r>
      <w:r w:rsidR="00C24B75" w:rsidRPr="00C24B75">
        <w:rPr>
          <w:rFonts w:ascii="Verdana" w:hAnsi="Verdana"/>
          <w:sz w:val="16"/>
          <w:lang w:val="es-CR"/>
        </w:rPr>
        <w:t xml:space="preserve">. </w:t>
      </w:r>
      <w:r w:rsidR="00C24B75" w:rsidRPr="00516CD0">
        <w:rPr>
          <w:rFonts w:ascii="Verdana" w:hAnsi="Verdana"/>
          <w:i/>
          <w:sz w:val="16"/>
          <w:lang w:val="es-CR"/>
        </w:rPr>
        <w:t xml:space="preserve">Caso </w:t>
      </w:r>
      <w:r w:rsidR="00C24B75" w:rsidRPr="00516CD0">
        <w:rPr>
          <w:rFonts w:ascii="Verdana" w:hAnsi="Verdana"/>
          <w:i/>
          <w:sz w:val="16"/>
          <w:szCs w:val="16"/>
          <w:lang w:val="es-ES"/>
        </w:rPr>
        <w:t>Cinco</w:t>
      </w:r>
      <w:r w:rsidR="00C24B75" w:rsidRPr="00516CD0">
        <w:rPr>
          <w:rFonts w:ascii="Verdana" w:hAnsi="Verdana"/>
          <w:i/>
          <w:sz w:val="16"/>
          <w:lang w:val="es-CR"/>
        </w:rPr>
        <w:t xml:space="preserve"> Pensionistas Vs. Perú. Supervisión de cumplimiento de Sentencia</w:t>
      </w:r>
      <w:r w:rsidR="00C24B75" w:rsidRPr="00C24B75">
        <w:rPr>
          <w:rFonts w:ascii="Verdana" w:hAnsi="Verdana"/>
          <w:sz w:val="16"/>
          <w:lang w:val="es-CR"/>
        </w:rPr>
        <w:t xml:space="preserve">. Resolución de la Corte de 17 de noviembre de 2004, Considerando 5, y </w:t>
      </w:r>
      <w:r w:rsidR="00516CD0" w:rsidRPr="00516CD0">
        <w:rPr>
          <w:rFonts w:ascii="Verdana" w:hAnsi="Verdana"/>
          <w:i/>
          <w:sz w:val="16"/>
          <w:szCs w:val="16"/>
          <w:lang w:val="es-AR"/>
        </w:rPr>
        <w:t xml:space="preserve">Caso Comunidad Indígena </w:t>
      </w:r>
      <w:proofErr w:type="spellStart"/>
      <w:r w:rsidR="00516CD0" w:rsidRPr="00516CD0">
        <w:rPr>
          <w:rFonts w:ascii="Verdana" w:hAnsi="Verdana"/>
          <w:i/>
          <w:sz w:val="16"/>
          <w:szCs w:val="16"/>
          <w:lang w:val="es-AR"/>
        </w:rPr>
        <w:t>Yakye</w:t>
      </w:r>
      <w:proofErr w:type="spellEnd"/>
      <w:r w:rsidR="00516CD0" w:rsidRPr="00516CD0">
        <w:rPr>
          <w:rFonts w:ascii="Verdana" w:hAnsi="Verdana"/>
          <w:i/>
          <w:sz w:val="16"/>
          <w:szCs w:val="16"/>
          <w:lang w:val="es-AR"/>
        </w:rPr>
        <w:t xml:space="preserve"> Axa Vs. Paraguay. Supervisión de Cumplimiento de Sentencia</w:t>
      </w:r>
      <w:r w:rsidR="00516CD0" w:rsidRPr="00516CD0">
        <w:rPr>
          <w:rFonts w:ascii="Verdana" w:hAnsi="Verdana"/>
          <w:sz w:val="16"/>
          <w:szCs w:val="16"/>
          <w:lang w:val="es-AR"/>
        </w:rPr>
        <w:t xml:space="preserve">. Resolución de la Corte Interamericana de Derechos Humanos de 14 de mayo de 2019, Considerando </w:t>
      </w:r>
      <w:r w:rsidR="008D3881">
        <w:rPr>
          <w:rFonts w:ascii="Verdana" w:hAnsi="Verdana"/>
          <w:sz w:val="16"/>
          <w:szCs w:val="16"/>
          <w:lang w:val="es-AR"/>
        </w:rPr>
        <w:t>2</w:t>
      </w:r>
      <w:r w:rsidR="00C24B75" w:rsidRPr="00516CD0">
        <w:rPr>
          <w:rFonts w:ascii="Verdana" w:hAnsi="Verdana"/>
          <w:sz w:val="16"/>
          <w:lang w:val="es-CR"/>
        </w:rPr>
        <w:t>.</w:t>
      </w:r>
    </w:p>
  </w:footnote>
  <w:footnote w:id="8">
    <w:p w14:paraId="1E9A5C10" w14:textId="15334B91" w:rsidR="00676F70" w:rsidRPr="00C24B75" w:rsidRDefault="00676F70" w:rsidP="0041260D">
      <w:pPr>
        <w:pStyle w:val="Textonotapie"/>
        <w:tabs>
          <w:tab w:val="left" w:pos="426"/>
          <w:tab w:val="left" w:pos="567"/>
        </w:tabs>
        <w:jc w:val="both"/>
        <w:rPr>
          <w:lang w:val="es-CR"/>
        </w:rPr>
      </w:pPr>
      <w:r>
        <w:rPr>
          <w:rStyle w:val="Refdenotaalpie"/>
        </w:rPr>
        <w:footnoteRef/>
      </w:r>
      <w:r w:rsidRPr="00031E2C">
        <w:rPr>
          <w:lang w:val="es-CR"/>
        </w:rPr>
        <w:t xml:space="preserve"> </w:t>
      </w:r>
      <w:r w:rsidR="00BF7AC8">
        <w:rPr>
          <w:lang w:val="es-CR"/>
        </w:rPr>
        <w:tab/>
      </w:r>
      <w:r w:rsidR="00C24B75" w:rsidRPr="00981B2B">
        <w:rPr>
          <w:rFonts w:ascii="Verdana" w:hAnsi="Verdana"/>
          <w:i/>
          <w:sz w:val="16"/>
          <w:lang w:val="es-CR"/>
        </w:rPr>
        <w:t>Cfr</w:t>
      </w:r>
      <w:r w:rsidR="00C24B75" w:rsidRPr="00C24B75">
        <w:rPr>
          <w:rFonts w:ascii="Verdana" w:hAnsi="Verdana"/>
          <w:sz w:val="16"/>
          <w:lang w:val="es-CR"/>
        </w:rPr>
        <w:t xml:space="preserve">. </w:t>
      </w:r>
      <w:r w:rsidR="00C24B75" w:rsidRPr="0041260D">
        <w:rPr>
          <w:rFonts w:ascii="Verdana" w:hAnsi="Verdana"/>
          <w:sz w:val="16"/>
          <w:szCs w:val="16"/>
          <w:lang w:val="es-ES"/>
        </w:rPr>
        <w:t>Caso</w:t>
      </w:r>
      <w:r w:rsidR="00C24B75" w:rsidRPr="00C24B75">
        <w:rPr>
          <w:rFonts w:ascii="Verdana" w:hAnsi="Verdana"/>
          <w:sz w:val="16"/>
          <w:lang w:val="es-CR"/>
        </w:rPr>
        <w:t xml:space="preserve"> </w:t>
      </w:r>
      <w:proofErr w:type="spellStart"/>
      <w:r w:rsidR="00C24B75" w:rsidRPr="00C24B75">
        <w:rPr>
          <w:rFonts w:ascii="Verdana" w:hAnsi="Verdana"/>
          <w:sz w:val="16"/>
          <w:lang w:val="es-CR"/>
        </w:rPr>
        <w:t>Ivcher</w:t>
      </w:r>
      <w:proofErr w:type="spellEnd"/>
      <w:r w:rsidR="00C24B75" w:rsidRPr="00C24B75">
        <w:rPr>
          <w:rFonts w:ascii="Verdana" w:hAnsi="Verdana"/>
          <w:sz w:val="16"/>
          <w:lang w:val="es-CR"/>
        </w:rPr>
        <w:t xml:space="preserve"> </w:t>
      </w:r>
      <w:proofErr w:type="spellStart"/>
      <w:r w:rsidR="00C24B75" w:rsidRPr="00C24B75">
        <w:rPr>
          <w:rFonts w:ascii="Verdana" w:hAnsi="Verdana"/>
          <w:sz w:val="16"/>
          <w:lang w:val="es-CR"/>
        </w:rPr>
        <w:t>Bronstein</w:t>
      </w:r>
      <w:proofErr w:type="spellEnd"/>
      <w:r w:rsidR="00C24B75" w:rsidRPr="00C24B75">
        <w:rPr>
          <w:rFonts w:ascii="Verdana" w:hAnsi="Verdana"/>
          <w:sz w:val="16"/>
          <w:lang w:val="es-CR"/>
        </w:rPr>
        <w:t xml:space="preserve"> Vs. Perú. Competencia. Sentencia de la Corte Interamericana de Derechos Humanos de 24 de septiembre de 1999. Serie C No. 54, párr. 37, y </w:t>
      </w:r>
      <w:r w:rsidR="00516CD0" w:rsidRPr="00516CD0">
        <w:rPr>
          <w:rFonts w:ascii="Verdana" w:hAnsi="Verdana"/>
          <w:i/>
          <w:sz w:val="16"/>
          <w:szCs w:val="16"/>
          <w:lang w:val="es-AR"/>
        </w:rPr>
        <w:t xml:space="preserve">Caso Comunidad </w:t>
      </w:r>
      <w:r w:rsidR="00D47DFB">
        <w:rPr>
          <w:rFonts w:ascii="Verdana" w:hAnsi="Verdana"/>
          <w:i/>
          <w:sz w:val="16"/>
          <w:szCs w:val="16"/>
          <w:lang w:val="es-AR"/>
        </w:rPr>
        <w:t xml:space="preserve">Indígena </w:t>
      </w:r>
      <w:proofErr w:type="spellStart"/>
      <w:r w:rsidR="00D47DFB">
        <w:rPr>
          <w:rFonts w:ascii="Verdana" w:hAnsi="Verdana"/>
          <w:i/>
          <w:sz w:val="16"/>
          <w:szCs w:val="16"/>
          <w:lang w:val="es-AR"/>
        </w:rPr>
        <w:t>Yakye</w:t>
      </w:r>
      <w:proofErr w:type="spellEnd"/>
      <w:r w:rsidR="00D47DFB">
        <w:rPr>
          <w:rFonts w:ascii="Verdana" w:hAnsi="Verdana"/>
          <w:i/>
          <w:sz w:val="16"/>
          <w:szCs w:val="16"/>
          <w:lang w:val="es-AR"/>
        </w:rPr>
        <w:t xml:space="preserve"> Axa Vs. Paraguay, supra </w:t>
      </w:r>
      <w:r w:rsidR="00D47DFB">
        <w:rPr>
          <w:rFonts w:ascii="Verdana" w:hAnsi="Verdana"/>
          <w:sz w:val="16"/>
          <w:szCs w:val="16"/>
          <w:lang w:val="es-AR"/>
        </w:rPr>
        <w:t>nota 6</w:t>
      </w:r>
      <w:r w:rsidR="00516CD0" w:rsidRPr="00516CD0">
        <w:rPr>
          <w:rFonts w:ascii="Verdana" w:hAnsi="Verdana"/>
          <w:sz w:val="16"/>
          <w:szCs w:val="16"/>
          <w:lang w:val="es-AR"/>
        </w:rPr>
        <w:t xml:space="preserve">, Considerando </w:t>
      </w:r>
      <w:r w:rsidR="008D3881">
        <w:rPr>
          <w:rFonts w:ascii="Verdana" w:hAnsi="Verdana"/>
          <w:sz w:val="16"/>
          <w:szCs w:val="16"/>
          <w:lang w:val="es-AR"/>
        </w:rPr>
        <w:t>2</w:t>
      </w:r>
      <w:r w:rsidR="00C24B75" w:rsidRPr="00C24B75">
        <w:rPr>
          <w:rFonts w:ascii="Verdana" w:hAnsi="Verdana"/>
          <w:sz w:val="16"/>
          <w:lang w:val="es-CR"/>
        </w:rPr>
        <w:t>.</w:t>
      </w:r>
    </w:p>
  </w:footnote>
  <w:footnote w:id="9">
    <w:p w14:paraId="22CAA5E2" w14:textId="082F8DC8" w:rsidR="006E1FE7" w:rsidRPr="00786A64" w:rsidRDefault="006E1FE7" w:rsidP="0041260D">
      <w:pPr>
        <w:pStyle w:val="Textonotapie"/>
        <w:tabs>
          <w:tab w:val="left" w:pos="426"/>
          <w:tab w:val="left" w:pos="567"/>
        </w:tabs>
        <w:jc w:val="both"/>
        <w:rPr>
          <w:rFonts w:ascii="Verdana" w:hAnsi="Verdana"/>
          <w:sz w:val="16"/>
          <w:szCs w:val="16"/>
          <w:lang w:val="es-CR"/>
        </w:rPr>
      </w:pPr>
      <w:r w:rsidRPr="00786A64">
        <w:rPr>
          <w:rStyle w:val="Refdenotaalpie"/>
          <w:rFonts w:ascii="Verdana" w:hAnsi="Verdana"/>
          <w:sz w:val="16"/>
          <w:szCs w:val="16"/>
        </w:rPr>
        <w:footnoteRef/>
      </w:r>
      <w:r w:rsidRPr="00786A64">
        <w:rPr>
          <w:rFonts w:ascii="Verdana" w:hAnsi="Verdana"/>
          <w:sz w:val="16"/>
          <w:szCs w:val="16"/>
          <w:lang w:val="es-CR"/>
        </w:rPr>
        <w:t xml:space="preserve"> </w:t>
      </w:r>
      <w:r w:rsidR="0007109E">
        <w:rPr>
          <w:rFonts w:ascii="Verdana" w:hAnsi="Verdana"/>
          <w:sz w:val="16"/>
          <w:szCs w:val="16"/>
          <w:lang w:val="es-CR"/>
        </w:rPr>
        <w:tab/>
      </w:r>
      <w:r w:rsidR="004B4B52" w:rsidRPr="00786A64">
        <w:rPr>
          <w:rFonts w:ascii="Verdana" w:hAnsi="Verdana"/>
          <w:i/>
          <w:sz w:val="16"/>
          <w:szCs w:val="16"/>
          <w:lang w:val="es-CR"/>
        </w:rPr>
        <w:t>Cfr.</w:t>
      </w:r>
      <w:r w:rsidR="004B4B52" w:rsidRPr="00786A64">
        <w:rPr>
          <w:rFonts w:ascii="Verdana" w:hAnsi="Verdana"/>
          <w:sz w:val="16"/>
          <w:szCs w:val="16"/>
          <w:lang w:val="es-CR"/>
        </w:rPr>
        <w:t xml:space="preserve"> </w:t>
      </w:r>
      <w:r w:rsidR="004B4B52" w:rsidRPr="005B5D8C">
        <w:rPr>
          <w:rFonts w:ascii="Verdana" w:hAnsi="Verdana"/>
          <w:sz w:val="16"/>
          <w:lang w:val="es-CR"/>
        </w:rPr>
        <w:t>Copia</w:t>
      </w:r>
      <w:r w:rsidR="004B4B52" w:rsidRPr="00786A64">
        <w:rPr>
          <w:rFonts w:ascii="Verdana" w:hAnsi="Verdana"/>
          <w:sz w:val="16"/>
          <w:szCs w:val="16"/>
          <w:lang w:val="es-CR"/>
        </w:rPr>
        <w:t xml:space="preserve"> </w:t>
      </w:r>
      <w:r w:rsidR="006E4F76" w:rsidRPr="00786A64">
        <w:rPr>
          <w:rFonts w:ascii="Verdana" w:hAnsi="Verdana"/>
          <w:sz w:val="16"/>
          <w:szCs w:val="16"/>
          <w:lang w:val="es-CR"/>
        </w:rPr>
        <w:t xml:space="preserve">de la publicación realizada en la Gaceta Oficial Federal </w:t>
      </w:r>
      <w:proofErr w:type="spellStart"/>
      <w:r w:rsidR="006E4F76" w:rsidRPr="00786A64">
        <w:rPr>
          <w:rFonts w:ascii="Verdana" w:hAnsi="Verdana"/>
          <w:sz w:val="16"/>
          <w:szCs w:val="16"/>
          <w:lang w:val="es-CR"/>
        </w:rPr>
        <w:t>N°</w:t>
      </w:r>
      <w:proofErr w:type="spellEnd"/>
      <w:r w:rsidR="006E4F76" w:rsidRPr="00786A64">
        <w:rPr>
          <w:rFonts w:ascii="Verdana" w:hAnsi="Verdana"/>
          <w:sz w:val="16"/>
          <w:szCs w:val="16"/>
          <w:lang w:val="es-CR"/>
        </w:rPr>
        <w:t xml:space="preserve"> 219, de 16 de noviembre de 2017</w:t>
      </w:r>
      <w:r w:rsidR="001A6B93">
        <w:rPr>
          <w:rFonts w:ascii="Verdana" w:hAnsi="Verdana"/>
          <w:sz w:val="16"/>
          <w:szCs w:val="16"/>
          <w:lang w:val="es-CR"/>
        </w:rPr>
        <w:t xml:space="preserve"> </w:t>
      </w:r>
      <w:r w:rsidR="006E4F76" w:rsidRPr="00786A64">
        <w:rPr>
          <w:rFonts w:ascii="Verdana" w:hAnsi="Verdana"/>
          <w:sz w:val="16"/>
          <w:szCs w:val="16"/>
          <w:lang w:val="es-CR"/>
        </w:rPr>
        <w:t>(</w:t>
      </w:r>
      <w:r w:rsidR="001A6B93">
        <w:rPr>
          <w:rFonts w:ascii="Verdana" w:hAnsi="Verdana"/>
          <w:sz w:val="16"/>
          <w:szCs w:val="16"/>
          <w:lang w:val="es-CR"/>
        </w:rPr>
        <w:t>A</w:t>
      </w:r>
      <w:r w:rsidR="006E4F76" w:rsidRPr="00786A64">
        <w:rPr>
          <w:rFonts w:ascii="Verdana" w:hAnsi="Verdana"/>
          <w:sz w:val="16"/>
          <w:szCs w:val="16"/>
          <w:lang w:val="es-CR"/>
        </w:rPr>
        <w:t xml:space="preserve">nexo 22 </w:t>
      </w:r>
      <w:r w:rsidR="001A6B93">
        <w:rPr>
          <w:rFonts w:ascii="Verdana" w:hAnsi="Verdana"/>
          <w:sz w:val="16"/>
          <w:szCs w:val="16"/>
          <w:lang w:val="es-CR"/>
        </w:rPr>
        <w:t>al</w:t>
      </w:r>
      <w:r w:rsidR="001A6B93" w:rsidRPr="00786A64">
        <w:rPr>
          <w:rFonts w:ascii="Verdana" w:hAnsi="Verdana"/>
          <w:sz w:val="16"/>
          <w:szCs w:val="16"/>
          <w:lang w:val="es-CR"/>
        </w:rPr>
        <w:t xml:space="preserve"> </w:t>
      </w:r>
      <w:r w:rsidR="006E4F76" w:rsidRPr="00786A64">
        <w:rPr>
          <w:rFonts w:ascii="Verdana" w:hAnsi="Verdana"/>
          <w:sz w:val="16"/>
          <w:szCs w:val="16"/>
          <w:lang w:val="es-CR"/>
        </w:rPr>
        <w:t xml:space="preserve">informe estatal de </w:t>
      </w:r>
      <w:r w:rsidR="008D15B0">
        <w:rPr>
          <w:rFonts w:ascii="Verdana" w:hAnsi="Verdana"/>
          <w:sz w:val="16"/>
          <w:szCs w:val="16"/>
          <w:lang w:val="es-CR"/>
        </w:rPr>
        <w:t>16</w:t>
      </w:r>
      <w:r w:rsidR="00B90B79">
        <w:rPr>
          <w:rFonts w:ascii="Verdana" w:hAnsi="Verdana"/>
          <w:sz w:val="16"/>
          <w:szCs w:val="16"/>
          <w:lang w:val="es-CR"/>
        </w:rPr>
        <w:t xml:space="preserve"> de mayo de 2018).</w:t>
      </w:r>
    </w:p>
  </w:footnote>
  <w:footnote w:id="10">
    <w:p w14:paraId="534AA14C" w14:textId="0FBB16C4" w:rsidR="006E1FE7" w:rsidRPr="00786A64" w:rsidRDefault="006E1FE7" w:rsidP="0041260D">
      <w:pPr>
        <w:pStyle w:val="Textonotapie"/>
        <w:tabs>
          <w:tab w:val="left" w:pos="426"/>
          <w:tab w:val="left" w:pos="567"/>
        </w:tabs>
        <w:jc w:val="both"/>
        <w:rPr>
          <w:rFonts w:ascii="Verdana" w:hAnsi="Verdana"/>
          <w:sz w:val="16"/>
          <w:szCs w:val="16"/>
          <w:lang w:val="es-CR"/>
        </w:rPr>
      </w:pPr>
      <w:r w:rsidRPr="00786A64">
        <w:rPr>
          <w:rStyle w:val="Refdenotaalpie"/>
          <w:rFonts w:ascii="Verdana" w:hAnsi="Verdana"/>
          <w:sz w:val="16"/>
          <w:szCs w:val="16"/>
        </w:rPr>
        <w:footnoteRef/>
      </w:r>
      <w:r w:rsidRPr="00786A64">
        <w:rPr>
          <w:rFonts w:ascii="Verdana" w:hAnsi="Verdana"/>
          <w:sz w:val="16"/>
          <w:szCs w:val="16"/>
          <w:lang w:val="es-CR"/>
        </w:rPr>
        <w:t xml:space="preserve"> </w:t>
      </w:r>
      <w:r w:rsidR="0007109E">
        <w:rPr>
          <w:rFonts w:ascii="Verdana" w:hAnsi="Verdana"/>
          <w:sz w:val="16"/>
          <w:szCs w:val="16"/>
          <w:lang w:val="es-CR"/>
        </w:rPr>
        <w:tab/>
      </w:r>
      <w:r w:rsidR="006E4F76" w:rsidRPr="00786A64">
        <w:rPr>
          <w:rFonts w:ascii="Verdana" w:hAnsi="Verdana"/>
          <w:i/>
          <w:sz w:val="16"/>
          <w:szCs w:val="16"/>
          <w:lang w:val="es-CR"/>
        </w:rPr>
        <w:t>Cfr.</w:t>
      </w:r>
      <w:r w:rsidR="006E4F76" w:rsidRPr="00786A64">
        <w:rPr>
          <w:rFonts w:ascii="Verdana" w:hAnsi="Verdana"/>
          <w:sz w:val="16"/>
          <w:szCs w:val="16"/>
          <w:lang w:val="es-CR"/>
        </w:rPr>
        <w:t xml:space="preserve"> </w:t>
      </w:r>
      <w:r w:rsidR="006E4F76" w:rsidRPr="005B5D8C">
        <w:rPr>
          <w:rFonts w:ascii="Verdana" w:hAnsi="Verdana"/>
          <w:sz w:val="16"/>
          <w:lang w:val="es-CR"/>
        </w:rPr>
        <w:t>Copia</w:t>
      </w:r>
      <w:r w:rsidR="006E4F76" w:rsidRPr="00786A64">
        <w:rPr>
          <w:rFonts w:ascii="Verdana" w:hAnsi="Verdana"/>
          <w:sz w:val="16"/>
          <w:szCs w:val="16"/>
          <w:lang w:val="es-CR"/>
        </w:rPr>
        <w:t xml:space="preserve"> de la publicación realizada en el </w:t>
      </w:r>
      <w:r w:rsidR="00AA7933" w:rsidRPr="00786A64">
        <w:rPr>
          <w:rFonts w:ascii="Verdana" w:hAnsi="Verdana"/>
          <w:sz w:val="16"/>
          <w:szCs w:val="16"/>
          <w:lang w:val="es-CR"/>
        </w:rPr>
        <w:t>periódico “O Globo”</w:t>
      </w:r>
      <w:r w:rsidR="006E4F76" w:rsidRPr="00786A64">
        <w:rPr>
          <w:rFonts w:ascii="Verdana" w:hAnsi="Verdana"/>
          <w:sz w:val="16"/>
          <w:szCs w:val="16"/>
          <w:lang w:val="es-CR"/>
        </w:rPr>
        <w:t xml:space="preserve"> de </w:t>
      </w:r>
      <w:r w:rsidR="00AA7933" w:rsidRPr="00786A64">
        <w:rPr>
          <w:rFonts w:ascii="Verdana" w:hAnsi="Verdana"/>
          <w:sz w:val="16"/>
          <w:szCs w:val="16"/>
          <w:lang w:val="es-CR"/>
        </w:rPr>
        <w:t>24</w:t>
      </w:r>
      <w:r w:rsidR="006E4F76" w:rsidRPr="00786A64">
        <w:rPr>
          <w:rFonts w:ascii="Verdana" w:hAnsi="Verdana"/>
          <w:sz w:val="16"/>
          <w:szCs w:val="16"/>
          <w:lang w:val="es-CR"/>
        </w:rPr>
        <w:t xml:space="preserve"> de </w:t>
      </w:r>
      <w:r w:rsidR="00AA7933" w:rsidRPr="00786A64">
        <w:rPr>
          <w:rFonts w:ascii="Verdana" w:hAnsi="Verdana"/>
          <w:sz w:val="16"/>
          <w:szCs w:val="16"/>
          <w:lang w:val="es-CR"/>
        </w:rPr>
        <w:t>mayo</w:t>
      </w:r>
      <w:r w:rsidR="006E4F76" w:rsidRPr="00786A64">
        <w:rPr>
          <w:rFonts w:ascii="Verdana" w:hAnsi="Verdana"/>
          <w:sz w:val="16"/>
          <w:szCs w:val="16"/>
          <w:lang w:val="es-CR"/>
        </w:rPr>
        <w:t xml:space="preserve"> de 2018, </w:t>
      </w:r>
      <w:r w:rsidR="00AA7933" w:rsidRPr="00786A64">
        <w:rPr>
          <w:rFonts w:ascii="Verdana" w:hAnsi="Verdana"/>
          <w:sz w:val="16"/>
          <w:szCs w:val="16"/>
          <w:lang w:val="es-CR"/>
        </w:rPr>
        <w:t xml:space="preserve">edición </w:t>
      </w:r>
      <w:proofErr w:type="spellStart"/>
      <w:r w:rsidR="00AA7933" w:rsidRPr="00786A64">
        <w:rPr>
          <w:rFonts w:ascii="Verdana" w:hAnsi="Verdana"/>
          <w:sz w:val="16"/>
          <w:szCs w:val="16"/>
          <w:lang w:val="es-CR"/>
        </w:rPr>
        <w:t>N</w:t>
      </w:r>
      <w:r w:rsidR="001A6B93">
        <w:rPr>
          <w:rFonts w:ascii="Verdana" w:hAnsi="Verdana"/>
          <w:sz w:val="16"/>
          <w:szCs w:val="16"/>
          <w:lang w:val="es-CR"/>
        </w:rPr>
        <w:t>°</w:t>
      </w:r>
      <w:proofErr w:type="spellEnd"/>
      <w:r w:rsidR="00AA7933" w:rsidRPr="00786A64">
        <w:rPr>
          <w:rFonts w:ascii="Verdana" w:hAnsi="Verdana"/>
          <w:sz w:val="16"/>
          <w:szCs w:val="16"/>
          <w:lang w:val="es-CR"/>
        </w:rPr>
        <w:t xml:space="preserve"> 30</w:t>
      </w:r>
      <w:r w:rsidR="001A6B93">
        <w:rPr>
          <w:rFonts w:ascii="Verdana" w:hAnsi="Verdana"/>
          <w:sz w:val="16"/>
          <w:szCs w:val="16"/>
          <w:lang w:val="es-CR"/>
        </w:rPr>
        <w:t>.</w:t>
      </w:r>
      <w:r w:rsidR="00AA7933" w:rsidRPr="00786A64">
        <w:rPr>
          <w:rFonts w:ascii="Verdana" w:hAnsi="Verdana"/>
          <w:sz w:val="16"/>
          <w:szCs w:val="16"/>
          <w:lang w:val="es-CR"/>
        </w:rPr>
        <w:t xml:space="preserve">971, página 21 </w:t>
      </w:r>
      <w:r w:rsidR="006E4F76" w:rsidRPr="00786A64">
        <w:rPr>
          <w:rFonts w:ascii="Verdana" w:hAnsi="Verdana"/>
          <w:sz w:val="16"/>
          <w:szCs w:val="16"/>
          <w:lang w:val="es-CR"/>
        </w:rPr>
        <w:t>(</w:t>
      </w:r>
      <w:r w:rsidR="001A6B93">
        <w:rPr>
          <w:rFonts w:ascii="Verdana" w:hAnsi="Verdana"/>
          <w:sz w:val="16"/>
          <w:szCs w:val="16"/>
          <w:lang w:val="es-CR"/>
        </w:rPr>
        <w:t>A</w:t>
      </w:r>
      <w:r w:rsidR="001A6B93" w:rsidRPr="00786A64">
        <w:rPr>
          <w:rFonts w:ascii="Verdana" w:hAnsi="Verdana"/>
          <w:sz w:val="16"/>
          <w:szCs w:val="16"/>
          <w:lang w:val="es-CR"/>
        </w:rPr>
        <w:t xml:space="preserve">nexo </w:t>
      </w:r>
      <w:r w:rsidR="00AA7933" w:rsidRPr="00786A64">
        <w:rPr>
          <w:rFonts w:ascii="Verdana" w:hAnsi="Verdana"/>
          <w:sz w:val="16"/>
          <w:szCs w:val="16"/>
          <w:lang w:val="es-CR"/>
        </w:rPr>
        <w:t xml:space="preserve">6 </w:t>
      </w:r>
      <w:r w:rsidR="001A6B93">
        <w:rPr>
          <w:rFonts w:ascii="Verdana" w:hAnsi="Verdana"/>
          <w:sz w:val="16"/>
          <w:szCs w:val="16"/>
          <w:lang w:val="es-CR"/>
        </w:rPr>
        <w:t>al</w:t>
      </w:r>
      <w:r w:rsidR="001A6B93" w:rsidRPr="00786A64">
        <w:rPr>
          <w:rFonts w:ascii="Verdana" w:hAnsi="Verdana"/>
          <w:sz w:val="16"/>
          <w:szCs w:val="16"/>
          <w:lang w:val="es-CR"/>
        </w:rPr>
        <w:t xml:space="preserve"> </w:t>
      </w:r>
      <w:r w:rsidR="006E4F76" w:rsidRPr="00786A64">
        <w:rPr>
          <w:rFonts w:ascii="Verdana" w:hAnsi="Verdana"/>
          <w:sz w:val="16"/>
          <w:szCs w:val="16"/>
          <w:lang w:val="es-CR"/>
        </w:rPr>
        <w:t xml:space="preserve">informe estatal de </w:t>
      </w:r>
      <w:r w:rsidR="00AA7933" w:rsidRPr="00786A64">
        <w:rPr>
          <w:rFonts w:ascii="Verdana" w:hAnsi="Verdana"/>
          <w:sz w:val="16"/>
          <w:szCs w:val="16"/>
          <w:lang w:val="es-CR"/>
        </w:rPr>
        <w:t>15</w:t>
      </w:r>
      <w:r w:rsidR="006E4F76" w:rsidRPr="00786A64">
        <w:rPr>
          <w:rFonts w:ascii="Verdana" w:hAnsi="Verdana"/>
          <w:sz w:val="16"/>
          <w:szCs w:val="16"/>
          <w:lang w:val="es-CR"/>
        </w:rPr>
        <w:t xml:space="preserve"> de </w:t>
      </w:r>
      <w:r w:rsidR="00AA7933" w:rsidRPr="00786A64">
        <w:rPr>
          <w:rFonts w:ascii="Verdana" w:hAnsi="Verdana"/>
          <w:sz w:val="16"/>
          <w:szCs w:val="16"/>
          <w:lang w:val="es-CR"/>
        </w:rPr>
        <w:t>agosto</w:t>
      </w:r>
      <w:r w:rsidR="006E4F76" w:rsidRPr="00786A64">
        <w:rPr>
          <w:rFonts w:ascii="Verdana" w:hAnsi="Verdana"/>
          <w:sz w:val="16"/>
          <w:szCs w:val="16"/>
          <w:lang w:val="es-CR"/>
        </w:rPr>
        <w:t xml:space="preserve"> de 2018). Respecto </w:t>
      </w:r>
      <w:r w:rsidR="00313D9F">
        <w:rPr>
          <w:rFonts w:ascii="Verdana" w:hAnsi="Verdana"/>
          <w:sz w:val="16"/>
          <w:szCs w:val="16"/>
          <w:lang w:val="es-CR"/>
        </w:rPr>
        <w:t>de</w:t>
      </w:r>
      <w:r w:rsidR="006E4F76" w:rsidRPr="00786A64">
        <w:rPr>
          <w:rFonts w:ascii="Verdana" w:hAnsi="Verdana"/>
          <w:sz w:val="16"/>
          <w:szCs w:val="16"/>
          <w:lang w:val="es-CR"/>
        </w:rPr>
        <w:t xml:space="preserve"> esta publicación, los representantes de las víctimas señalaron</w:t>
      </w:r>
      <w:r w:rsidR="000E1E7F">
        <w:rPr>
          <w:rFonts w:ascii="Verdana" w:hAnsi="Verdana"/>
          <w:sz w:val="16"/>
          <w:szCs w:val="16"/>
          <w:lang w:val="es-CR"/>
        </w:rPr>
        <w:t xml:space="preserve"> que</w:t>
      </w:r>
      <w:r w:rsidR="006E4F76" w:rsidRPr="00786A64">
        <w:rPr>
          <w:rFonts w:ascii="Verdana" w:hAnsi="Verdana"/>
          <w:sz w:val="16"/>
          <w:szCs w:val="16"/>
          <w:lang w:val="es-CR"/>
        </w:rPr>
        <w:t xml:space="preserve"> </w:t>
      </w:r>
      <w:r w:rsidR="00042CF4">
        <w:rPr>
          <w:rFonts w:ascii="Verdana" w:hAnsi="Verdana"/>
          <w:sz w:val="16"/>
          <w:szCs w:val="16"/>
          <w:lang w:val="es-CR"/>
        </w:rPr>
        <w:t>l</w:t>
      </w:r>
      <w:r w:rsidR="000E1E7F">
        <w:rPr>
          <w:rFonts w:ascii="Verdana" w:hAnsi="Verdana"/>
          <w:sz w:val="16"/>
          <w:szCs w:val="16"/>
          <w:lang w:val="es-CR"/>
        </w:rPr>
        <w:t>a</w:t>
      </w:r>
      <w:r w:rsidR="00042CF4">
        <w:rPr>
          <w:rFonts w:ascii="Verdana" w:hAnsi="Verdana"/>
          <w:sz w:val="16"/>
          <w:szCs w:val="16"/>
          <w:lang w:val="es-CR"/>
        </w:rPr>
        <w:t xml:space="preserve"> considera</w:t>
      </w:r>
      <w:r w:rsidR="000E1E7F">
        <w:rPr>
          <w:rFonts w:ascii="Verdana" w:hAnsi="Verdana"/>
          <w:sz w:val="16"/>
          <w:szCs w:val="16"/>
          <w:lang w:val="es-CR"/>
        </w:rPr>
        <w:t>ban</w:t>
      </w:r>
      <w:r w:rsidR="00042CF4">
        <w:rPr>
          <w:rFonts w:ascii="Verdana" w:hAnsi="Verdana"/>
          <w:sz w:val="16"/>
          <w:szCs w:val="16"/>
          <w:lang w:val="es-CR"/>
        </w:rPr>
        <w:t xml:space="preserve"> cumplid</w:t>
      </w:r>
      <w:r w:rsidR="000E1E7F">
        <w:rPr>
          <w:rFonts w:ascii="Verdana" w:hAnsi="Verdana"/>
          <w:sz w:val="16"/>
          <w:szCs w:val="16"/>
          <w:lang w:val="es-CR"/>
        </w:rPr>
        <w:t>a</w:t>
      </w:r>
      <w:r w:rsidR="00042CF4">
        <w:rPr>
          <w:rFonts w:ascii="Verdana" w:hAnsi="Verdana"/>
          <w:sz w:val="16"/>
          <w:szCs w:val="16"/>
          <w:lang w:val="es-CR"/>
        </w:rPr>
        <w:t xml:space="preserve"> pese a</w:t>
      </w:r>
      <w:r w:rsidR="006E4F76" w:rsidRPr="00786A64">
        <w:rPr>
          <w:rFonts w:ascii="Verdana" w:hAnsi="Verdana"/>
          <w:sz w:val="16"/>
          <w:szCs w:val="16"/>
          <w:lang w:val="es-CR"/>
        </w:rPr>
        <w:t xml:space="preserve"> </w:t>
      </w:r>
      <w:r w:rsidR="00AA7933" w:rsidRPr="00786A64">
        <w:rPr>
          <w:rFonts w:ascii="Verdana" w:hAnsi="Verdana"/>
          <w:sz w:val="16"/>
          <w:szCs w:val="16"/>
          <w:lang w:val="es-CR"/>
        </w:rPr>
        <w:t xml:space="preserve">que se realizó </w:t>
      </w:r>
      <w:r w:rsidR="000E1E7F">
        <w:rPr>
          <w:rFonts w:ascii="Verdana" w:hAnsi="Verdana"/>
          <w:sz w:val="16"/>
          <w:szCs w:val="16"/>
          <w:lang w:val="es-CR"/>
        </w:rPr>
        <w:t>“</w:t>
      </w:r>
      <w:r w:rsidR="00AA7933" w:rsidRPr="00786A64">
        <w:rPr>
          <w:rFonts w:ascii="Verdana" w:hAnsi="Verdana"/>
          <w:sz w:val="16"/>
          <w:szCs w:val="16"/>
          <w:lang w:val="es-CR"/>
        </w:rPr>
        <w:t>más de un año después de la notificación de la Sentencia</w:t>
      </w:r>
      <w:r w:rsidR="00042CF4">
        <w:rPr>
          <w:rFonts w:ascii="Verdana" w:hAnsi="Verdana"/>
          <w:sz w:val="16"/>
          <w:szCs w:val="16"/>
          <w:lang w:val="es-CR"/>
        </w:rPr>
        <w:t>”</w:t>
      </w:r>
      <w:r w:rsidR="00AA7933" w:rsidRPr="00786A64">
        <w:rPr>
          <w:rFonts w:ascii="Verdana" w:hAnsi="Verdana"/>
          <w:sz w:val="16"/>
          <w:szCs w:val="16"/>
          <w:lang w:val="es-CR"/>
        </w:rPr>
        <w:t>.</w:t>
      </w:r>
      <w:r w:rsidR="006E4F76" w:rsidRPr="00786A64">
        <w:rPr>
          <w:rFonts w:ascii="Verdana" w:hAnsi="Verdana"/>
          <w:sz w:val="16"/>
          <w:szCs w:val="16"/>
          <w:lang w:val="es-CR"/>
        </w:rPr>
        <w:t xml:space="preserve"> </w:t>
      </w:r>
      <w:r w:rsidR="006E4F76" w:rsidRPr="00786A64">
        <w:rPr>
          <w:rFonts w:ascii="Verdana" w:hAnsi="Verdana"/>
          <w:i/>
          <w:sz w:val="16"/>
          <w:szCs w:val="16"/>
          <w:lang w:val="es-CR"/>
        </w:rPr>
        <w:t>Cfr.</w:t>
      </w:r>
      <w:r w:rsidR="006E4F76" w:rsidRPr="00786A64">
        <w:rPr>
          <w:rFonts w:ascii="Verdana" w:hAnsi="Verdana"/>
          <w:sz w:val="16"/>
          <w:szCs w:val="16"/>
          <w:lang w:val="es-CR"/>
        </w:rPr>
        <w:t xml:space="preserve"> Escrito de observaciones de los representantes de </w:t>
      </w:r>
      <w:r w:rsidR="00AB7E5E">
        <w:rPr>
          <w:rFonts w:ascii="Verdana" w:hAnsi="Verdana"/>
          <w:sz w:val="16"/>
          <w:szCs w:val="16"/>
          <w:lang w:val="es-CR"/>
        </w:rPr>
        <w:t>29</w:t>
      </w:r>
      <w:r w:rsidR="006E4F76" w:rsidRPr="00786A64">
        <w:rPr>
          <w:rFonts w:ascii="Verdana" w:hAnsi="Verdana"/>
          <w:sz w:val="16"/>
          <w:szCs w:val="16"/>
          <w:lang w:val="es-CR"/>
        </w:rPr>
        <w:t xml:space="preserve"> de </w:t>
      </w:r>
      <w:r w:rsidR="00AB7E5E">
        <w:rPr>
          <w:rFonts w:ascii="Verdana" w:hAnsi="Verdana"/>
          <w:sz w:val="16"/>
          <w:szCs w:val="16"/>
          <w:lang w:val="es-CR"/>
        </w:rPr>
        <w:t>junio</w:t>
      </w:r>
      <w:r w:rsidR="00B90B79">
        <w:rPr>
          <w:rFonts w:ascii="Verdana" w:hAnsi="Verdana"/>
          <w:sz w:val="16"/>
          <w:szCs w:val="16"/>
          <w:lang w:val="es-CR"/>
        </w:rPr>
        <w:t xml:space="preserve"> de 2018.</w:t>
      </w:r>
    </w:p>
  </w:footnote>
  <w:footnote w:id="11">
    <w:p w14:paraId="711AC469" w14:textId="3E11EF2E" w:rsidR="006E1FE7" w:rsidRPr="00786A64" w:rsidRDefault="006E1FE7" w:rsidP="0041260D">
      <w:pPr>
        <w:pStyle w:val="Textonotapie"/>
        <w:tabs>
          <w:tab w:val="left" w:pos="426"/>
          <w:tab w:val="left" w:pos="567"/>
        </w:tabs>
        <w:jc w:val="both"/>
        <w:rPr>
          <w:rFonts w:ascii="Verdana" w:hAnsi="Verdana"/>
          <w:sz w:val="16"/>
          <w:szCs w:val="16"/>
          <w:lang w:val="es-CR"/>
        </w:rPr>
      </w:pPr>
      <w:r w:rsidRPr="00786A64">
        <w:rPr>
          <w:rStyle w:val="Refdenotaalpie"/>
          <w:rFonts w:ascii="Verdana" w:hAnsi="Verdana"/>
          <w:sz w:val="16"/>
          <w:szCs w:val="16"/>
        </w:rPr>
        <w:footnoteRef/>
      </w:r>
      <w:r w:rsidRPr="00786A64">
        <w:rPr>
          <w:rFonts w:ascii="Verdana" w:hAnsi="Verdana"/>
          <w:sz w:val="16"/>
          <w:szCs w:val="16"/>
          <w:lang w:val="es-CR"/>
        </w:rPr>
        <w:t xml:space="preserve"> </w:t>
      </w:r>
      <w:r w:rsidR="0007109E">
        <w:rPr>
          <w:rFonts w:ascii="Verdana" w:hAnsi="Verdana"/>
          <w:sz w:val="16"/>
          <w:szCs w:val="16"/>
          <w:lang w:val="es-CR"/>
        </w:rPr>
        <w:tab/>
      </w:r>
      <w:r w:rsidR="00002440">
        <w:rPr>
          <w:rFonts w:ascii="Verdana" w:hAnsi="Verdana"/>
          <w:sz w:val="16"/>
          <w:szCs w:val="16"/>
          <w:lang w:val="es-CR"/>
        </w:rPr>
        <w:t>En su informe de 16 de mayo de 2018</w:t>
      </w:r>
      <w:r w:rsidR="000E1E7F">
        <w:rPr>
          <w:rFonts w:ascii="Verdana" w:hAnsi="Verdana"/>
          <w:sz w:val="16"/>
          <w:szCs w:val="16"/>
          <w:lang w:val="es-CR"/>
        </w:rPr>
        <w:t>, el</w:t>
      </w:r>
      <w:r w:rsidR="00AA7933" w:rsidRPr="00786A64">
        <w:rPr>
          <w:rFonts w:ascii="Verdana" w:hAnsi="Verdana"/>
          <w:sz w:val="16"/>
          <w:szCs w:val="16"/>
          <w:lang w:val="es-CR"/>
        </w:rPr>
        <w:t xml:space="preserve"> Estado </w:t>
      </w:r>
      <w:r w:rsidR="000E1E7F">
        <w:rPr>
          <w:rFonts w:ascii="Verdana" w:hAnsi="Verdana"/>
          <w:sz w:val="16"/>
          <w:szCs w:val="16"/>
          <w:lang w:val="es-CR"/>
        </w:rPr>
        <w:t>indicó</w:t>
      </w:r>
      <w:r w:rsidR="00AA7933" w:rsidRPr="00786A64">
        <w:rPr>
          <w:rFonts w:ascii="Verdana" w:hAnsi="Verdana"/>
          <w:sz w:val="16"/>
          <w:szCs w:val="16"/>
          <w:lang w:val="es-CR"/>
        </w:rPr>
        <w:t xml:space="preserve"> que el texto íntegro de la Sentencia </w:t>
      </w:r>
      <w:r w:rsidR="00FE5F67">
        <w:rPr>
          <w:rFonts w:ascii="Verdana" w:hAnsi="Verdana"/>
          <w:sz w:val="16"/>
          <w:szCs w:val="16"/>
          <w:lang w:val="es-CR"/>
        </w:rPr>
        <w:t xml:space="preserve">y su resumen </w:t>
      </w:r>
      <w:r w:rsidR="00AA7933" w:rsidRPr="00786A64">
        <w:rPr>
          <w:rFonts w:ascii="Verdana" w:hAnsi="Verdana"/>
          <w:sz w:val="16"/>
          <w:szCs w:val="16"/>
          <w:lang w:val="es-CR"/>
        </w:rPr>
        <w:t>se podía</w:t>
      </w:r>
      <w:r w:rsidR="00FE5F67">
        <w:rPr>
          <w:rFonts w:ascii="Verdana" w:hAnsi="Verdana"/>
          <w:sz w:val="16"/>
          <w:szCs w:val="16"/>
          <w:lang w:val="es-CR"/>
        </w:rPr>
        <w:t>n</w:t>
      </w:r>
      <w:r w:rsidR="00AA7933" w:rsidRPr="00786A64">
        <w:rPr>
          <w:rFonts w:ascii="Verdana" w:hAnsi="Verdana"/>
          <w:sz w:val="16"/>
          <w:szCs w:val="16"/>
          <w:lang w:val="es-CR"/>
        </w:rPr>
        <w:t xml:space="preserve"> consultar desde el</w:t>
      </w:r>
      <w:r w:rsidR="001601FF">
        <w:rPr>
          <w:rFonts w:ascii="Verdana" w:hAnsi="Verdana"/>
          <w:sz w:val="16"/>
          <w:szCs w:val="16"/>
          <w:lang w:val="es-CR"/>
        </w:rPr>
        <w:t xml:space="preserve"> 22 de diciembre de 2017 en el sitio del Ministerio de Derecho</w:t>
      </w:r>
      <w:r w:rsidR="00E10D36">
        <w:rPr>
          <w:rFonts w:ascii="Verdana" w:hAnsi="Verdana"/>
          <w:sz w:val="16"/>
          <w:szCs w:val="16"/>
          <w:lang w:val="es-CR"/>
        </w:rPr>
        <w:t>s Humanos en el enlace</w:t>
      </w:r>
      <w:r w:rsidR="00F3288E">
        <w:rPr>
          <w:rFonts w:ascii="Verdana" w:hAnsi="Verdana"/>
          <w:sz w:val="16"/>
          <w:szCs w:val="16"/>
          <w:lang w:val="es-CR"/>
        </w:rPr>
        <w:t xml:space="preserve"> “</w:t>
      </w:r>
      <w:hyperlink r:id="rId4" w:history="1">
        <w:r w:rsidR="00042CF4" w:rsidRPr="00B21770">
          <w:rPr>
            <w:rStyle w:val="Hipervnculo"/>
            <w:rFonts w:ascii="Verdana" w:hAnsi="Verdana"/>
            <w:sz w:val="16"/>
            <w:szCs w:val="16"/>
            <w:lang w:val="es-CR"/>
          </w:rPr>
          <w:t>http://www.mdh.gov.br/assuntos/atuacao-internacional/sentencas-da-corte-</w:t>
        </w:r>
      </w:hyperlink>
      <w:r w:rsidR="00F3288E">
        <w:rPr>
          <w:rFonts w:ascii="Verdana" w:hAnsi="Verdana"/>
          <w:sz w:val="16"/>
          <w:szCs w:val="16"/>
          <w:lang w:val="es-CR"/>
        </w:rPr>
        <w:t>”</w:t>
      </w:r>
      <w:r w:rsidR="00E10D36">
        <w:rPr>
          <w:rFonts w:ascii="Verdana" w:hAnsi="Verdana"/>
          <w:sz w:val="16"/>
          <w:szCs w:val="16"/>
          <w:lang w:val="es-CR"/>
        </w:rPr>
        <w:t xml:space="preserve"> </w:t>
      </w:r>
      <w:r w:rsidR="001601FF">
        <w:rPr>
          <w:rFonts w:ascii="Verdana" w:hAnsi="Verdana"/>
          <w:sz w:val="16"/>
          <w:szCs w:val="16"/>
          <w:lang w:val="es-CR"/>
        </w:rPr>
        <w:t>y desde el</w:t>
      </w:r>
      <w:r w:rsidR="00AA7933" w:rsidRPr="00786A64">
        <w:rPr>
          <w:rFonts w:ascii="Verdana" w:hAnsi="Verdana"/>
          <w:sz w:val="16"/>
          <w:szCs w:val="16"/>
          <w:lang w:val="es-CR"/>
        </w:rPr>
        <w:t xml:space="preserve"> </w:t>
      </w:r>
      <w:r w:rsidR="00AB6DE6" w:rsidRPr="00786A64">
        <w:rPr>
          <w:rFonts w:ascii="Verdana" w:hAnsi="Verdana"/>
          <w:sz w:val="16"/>
          <w:szCs w:val="16"/>
          <w:lang w:val="es-CR"/>
        </w:rPr>
        <w:t>23 de diciembre de 2017</w:t>
      </w:r>
      <w:r w:rsidR="00AA7933" w:rsidRPr="00786A64">
        <w:rPr>
          <w:rFonts w:ascii="Verdana" w:hAnsi="Verdana"/>
          <w:sz w:val="16"/>
          <w:szCs w:val="16"/>
          <w:lang w:val="es-CR"/>
        </w:rPr>
        <w:t xml:space="preserve"> en la </w:t>
      </w:r>
      <w:r w:rsidR="00AB6DE6" w:rsidRPr="00786A64">
        <w:rPr>
          <w:rFonts w:ascii="Verdana" w:hAnsi="Verdana"/>
          <w:sz w:val="16"/>
          <w:szCs w:val="16"/>
          <w:lang w:val="es-CR"/>
        </w:rPr>
        <w:t xml:space="preserve">página </w:t>
      </w:r>
      <w:r w:rsidR="00AB6DE6" w:rsidRPr="0041260D">
        <w:rPr>
          <w:rFonts w:ascii="Verdana" w:hAnsi="Verdana"/>
          <w:i/>
          <w:sz w:val="16"/>
          <w:szCs w:val="16"/>
          <w:lang w:val="es-CR"/>
        </w:rPr>
        <w:t>web</w:t>
      </w:r>
      <w:r w:rsidR="00AB6DE6" w:rsidRPr="00786A64">
        <w:rPr>
          <w:rFonts w:ascii="Verdana" w:hAnsi="Verdana"/>
          <w:sz w:val="16"/>
          <w:szCs w:val="16"/>
          <w:lang w:val="es-CR"/>
        </w:rPr>
        <w:t xml:space="preserve"> del Ministerio de Relaciones Exteriores en el enlace </w:t>
      </w:r>
      <w:hyperlink r:id="rId5" w:history="1">
        <w:r w:rsidR="00176771" w:rsidRPr="004E403F">
          <w:rPr>
            <w:rStyle w:val="Hipervnculo"/>
            <w:rFonts w:ascii="Verdana" w:hAnsi="Verdana"/>
            <w:sz w:val="16"/>
            <w:szCs w:val="16"/>
            <w:lang w:val="es-CR"/>
          </w:rPr>
          <w:t>http://www.itamaraty.gov.br/pt-BR/direitos-humanos-e-temas-sociais/sentenca-corte-interamericana-de-direitos-humanos-no-caso-trabalhadores-da-fazenda-brasil-verde</w:t>
        </w:r>
      </w:hyperlink>
      <w:r w:rsidR="00176771">
        <w:rPr>
          <w:rFonts w:ascii="Verdana" w:hAnsi="Verdana"/>
          <w:sz w:val="16"/>
          <w:szCs w:val="16"/>
          <w:lang w:val="es-CR"/>
        </w:rPr>
        <w:t>.</w:t>
      </w:r>
      <w:r w:rsidR="00FE5F67">
        <w:rPr>
          <w:rFonts w:ascii="Verdana" w:hAnsi="Verdana"/>
          <w:sz w:val="16"/>
          <w:szCs w:val="16"/>
          <w:lang w:val="es-CR"/>
        </w:rPr>
        <w:t xml:space="preserve"> También informó que ambos se habían publicado en el sitio </w:t>
      </w:r>
      <w:r w:rsidR="00FE5F67">
        <w:rPr>
          <w:rFonts w:ascii="Verdana" w:hAnsi="Verdana"/>
          <w:i/>
          <w:sz w:val="16"/>
          <w:szCs w:val="16"/>
          <w:lang w:val="es-CR"/>
        </w:rPr>
        <w:t xml:space="preserve">web </w:t>
      </w:r>
      <w:r w:rsidR="00FE5F67">
        <w:rPr>
          <w:rFonts w:ascii="Verdana" w:hAnsi="Verdana"/>
          <w:sz w:val="16"/>
          <w:szCs w:val="16"/>
          <w:lang w:val="es-CR"/>
        </w:rPr>
        <w:t xml:space="preserve">oficial de la </w:t>
      </w:r>
      <w:r w:rsidR="00FE5F67" w:rsidRPr="00786A64">
        <w:rPr>
          <w:rFonts w:ascii="Verdana" w:hAnsi="Verdana"/>
          <w:sz w:val="16"/>
          <w:szCs w:val="16"/>
          <w:lang w:val="es-CR"/>
        </w:rPr>
        <w:t>Policía Civil (</w:t>
      </w:r>
      <w:hyperlink r:id="rId6" w:history="1">
        <w:r w:rsidR="00FE5F67" w:rsidRPr="004E403F">
          <w:rPr>
            <w:rStyle w:val="Hipervnculo"/>
            <w:rFonts w:ascii="Verdana" w:eastAsiaTheme="minorHAnsi" w:hAnsi="Verdana"/>
            <w:sz w:val="16"/>
            <w:szCs w:val="16"/>
            <w:lang w:val="es-CR"/>
          </w:rPr>
          <w:t>http://www.policiacivilrj.net.br/</w:t>
        </w:r>
      </w:hyperlink>
      <w:r w:rsidR="00FE5F67" w:rsidRPr="00786A64">
        <w:rPr>
          <w:rFonts w:ascii="Verdana" w:eastAsiaTheme="minorHAnsi" w:hAnsi="Verdana"/>
          <w:sz w:val="16"/>
          <w:szCs w:val="16"/>
          <w:lang w:val="es-CR"/>
        </w:rPr>
        <w:t>)</w:t>
      </w:r>
      <w:r w:rsidR="00FE5F67">
        <w:rPr>
          <w:rFonts w:ascii="Verdana" w:eastAsiaTheme="minorHAnsi" w:hAnsi="Verdana"/>
          <w:color w:val="0000FF"/>
          <w:sz w:val="16"/>
          <w:szCs w:val="16"/>
          <w:lang w:val="es-CR"/>
        </w:rPr>
        <w:t>,</w:t>
      </w:r>
      <w:r w:rsidR="00FE5F67" w:rsidRPr="0041260D">
        <w:rPr>
          <w:rFonts w:ascii="Verdana" w:eastAsiaTheme="minorHAnsi" w:hAnsi="Verdana"/>
          <w:sz w:val="16"/>
          <w:szCs w:val="16"/>
          <w:lang w:val="es-CR"/>
        </w:rPr>
        <w:t xml:space="preserve"> y </w:t>
      </w:r>
      <w:r w:rsidR="00E10D36" w:rsidRPr="00786A64">
        <w:rPr>
          <w:rFonts w:ascii="Verdana" w:hAnsi="Verdana"/>
          <w:sz w:val="16"/>
          <w:szCs w:val="16"/>
          <w:lang w:val="es-CR"/>
        </w:rPr>
        <w:t xml:space="preserve">aportó capturas de pantallas de las </w:t>
      </w:r>
      <w:r w:rsidR="00FE5F67">
        <w:rPr>
          <w:rFonts w:ascii="Verdana" w:hAnsi="Verdana"/>
          <w:sz w:val="16"/>
          <w:szCs w:val="16"/>
          <w:lang w:val="es-CR"/>
        </w:rPr>
        <w:t>tres</w:t>
      </w:r>
      <w:r w:rsidR="00E10D36" w:rsidRPr="00786A64">
        <w:rPr>
          <w:rFonts w:ascii="Verdana" w:hAnsi="Verdana"/>
          <w:sz w:val="16"/>
          <w:szCs w:val="16"/>
          <w:lang w:val="es-CR"/>
        </w:rPr>
        <w:t xml:space="preserve"> publicaciones.</w:t>
      </w:r>
      <w:r w:rsidR="00E10D36">
        <w:rPr>
          <w:rFonts w:ascii="Verdana" w:hAnsi="Verdana"/>
          <w:sz w:val="16"/>
          <w:szCs w:val="16"/>
          <w:lang w:val="es-CR"/>
        </w:rPr>
        <w:t xml:space="preserve"> </w:t>
      </w:r>
      <w:r w:rsidR="00116113">
        <w:rPr>
          <w:rFonts w:ascii="Verdana" w:hAnsi="Verdana"/>
          <w:sz w:val="16"/>
          <w:szCs w:val="16"/>
          <w:lang w:val="es-CR"/>
        </w:rPr>
        <w:t>Con respecto</w:t>
      </w:r>
      <w:r w:rsidR="002F2C10">
        <w:rPr>
          <w:rFonts w:ascii="Verdana" w:hAnsi="Verdana"/>
          <w:sz w:val="16"/>
          <w:szCs w:val="16"/>
          <w:lang w:val="es-CR"/>
        </w:rPr>
        <w:t xml:space="preserve"> a la publicación en la</w:t>
      </w:r>
      <w:r w:rsidR="00FE5F67">
        <w:rPr>
          <w:rFonts w:ascii="Verdana" w:hAnsi="Verdana"/>
          <w:sz w:val="16"/>
          <w:szCs w:val="16"/>
          <w:lang w:val="es-CR"/>
        </w:rPr>
        <w:t>s</w:t>
      </w:r>
      <w:r w:rsidR="002F2C10">
        <w:rPr>
          <w:rFonts w:ascii="Verdana" w:hAnsi="Verdana"/>
          <w:sz w:val="16"/>
          <w:szCs w:val="16"/>
          <w:lang w:val="es-CR"/>
        </w:rPr>
        <w:t xml:space="preserve"> página</w:t>
      </w:r>
      <w:r w:rsidR="00FE5F67">
        <w:rPr>
          <w:rFonts w:ascii="Verdana" w:hAnsi="Verdana"/>
          <w:sz w:val="16"/>
          <w:szCs w:val="16"/>
          <w:lang w:val="es-CR"/>
        </w:rPr>
        <w:t>s</w:t>
      </w:r>
      <w:r w:rsidR="002F2C10">
        <w:rPr>
          <w:rFonts w:ascii="Verdana" w:hAnsi="Verdana"/>
          <w:sz w:val="16"/>
          <w:szCs w:val="16"/>
          <w:lang w:val="es-CR"/>
        </w:rPr>
        <w:t xml:space="preserve"> del Ministerio de Relaciones Exteriores</w:t>
      </w:r>
      <w:r w:rsidR="00FE5F67">
        <w:rPr>
          <w:rFonts w:ascii="Verdana" w:hAnsi="Verdana"/>
          <w:sz w:val="16"/>
          <w:szCs w:val="16"/>
          <w:lang w:val="es-CR"/>
        </w:rPr>
        <w:t xml:space="preserve"> y de la Policía Civil</w:t>
      </w:r>
      <w:r w:rsidR="002F2C10">
        <w:rPr>
          <w:rFonts w:ascii="Verdana" w:hAnsi="Verdana"/>
          <w:sz w:val="16"/>
          <w:szCs w:val="16"/>
          <w:lang w:val="es-CR"/>
        </w:rPr>
        <w:t xml:space="preserve">, </w:t>
      </w:r>
      <w:r w:rsidR="002F2C10">
        <w:rPr>
          <w:rFonts w:ascii="Verdana" w:hAnsi="Verdana"/>
          <w:sz w:val="16"/>
          <w:lang w:val="es-CR"/>
        </w:rPr>
        <w:t>l</w:t>
      </w:r>
      <w:r w:rsidR="002F2C10" w:rsidRPr="00176771">
        <w:rPr>
          <w:rFonts w:ascii="Verdana" w:hAnsi="Verdana"/>
          <w:sz w:val="16"/>
          <w:lang w:val="es-CR"/>
        </w:rPr>
        <w:t xml:space="preserve">a </w:t>
      </w:r>
      <w:r w:rsidR="002F2C10" w:rsidRPr="004623A9">
        <w:rPr>
          <w:rFonts w:ascii="Verdana" w:hAnsi="Verdana"/>
          <w:sz w:val="16"/>
          <w:szCs w:val="16"/>
          <w:lang w:val="es-CR"/>
        </w:rPr>
        <w:t xml:space="preserve">última vez que </w:t>
      </w:r>
      <w:r w:rsidR="002F2C10">
        <w:rPr>
          <w:rFonts w:ascii="Verdana" w:hAnsi="Verdana"/>
          <w:sz w:val="16"/>
          <w:szCs w:val="16"/>
          <w:lang w:val="es-CR"/>
        </w:rPr>
        <w:t>dicha</w:t>
      </w:r>
      <w:r w:rsidR="00FE5F67">
        <w:rPr>
          <w:rFonts w:ascii="Verdana" w:hAnsi="Verdana"/>
          <w:sz w:val="16"/>
          <w:szCs w:val="16"/>
          <w:lang w:val="es-CR"/>
        </w:rPr>
        <w:t>s</w:t>
      </w:r>
      <w:r w:rsidR="002F2C10">
        <w:rPr>
          <w:rFonts w:ascii="Verdana" w:hAnsi="Verdana"/>
          <w:sz w:val="16"/>
          <w:szCs w:val="16"/>
          <w:lang w:val="es-CR"/>
        </w:rPr>
        <w:t xml:space="preserve"> página</w:t>
      </w:r>
      <w:r w:rsidR="00FE5F67">
        <w:rPr>
          <w:rFonts w:ascii="Verdana" w:hAnsi="Verdana"/>
          <w:sz w:val="16"/>
          <w:szCs w:val="16"/>
          <w:lang w:val="es-CR"/>
        </w:rPr>
        <w:t>s</w:t>
      </w:r>
      <w:r w:rsidR="002F2C10" w:rsidRPr="004623A9">
        <w:rPr>
          <w:rFonts w:ascii="Verdana" w:hAnsi="Verdana"/>
          <w:sz w:val="16"/>
          <w:szCs w:val="16"/>
          <w:lang w:val="es-CR"/>
        </w:rPr>
        <w:t xml:space="preserve"> fue</w:t>
      </w:r>
      <w:r w:rsidR="00FE5F67">
        <w:rPr>
          <w:rFonts w:ascii="Verdana" w:hAnsi="Verdana"/>
          <w:sz w:val="16"/>
          <w:szCs w:val="16"/>
          <w:lang w:val="es-CR"/>
        </w:rPr>
        <w:t>ron</w:t>
      </w:r>
      <w:r w:rsidR="002F2C10" w:rsidRPr="004623A9">
        <w:rPr>
          <w:rFonts w:ascii="Verdana" w:hAnsi="Verdana"/>
          <w:sz w:val="16"/>
          <w:szCs w:val="16"/>
          <w:lang w:val="es-CR"/>
        </w:rPr>
        <w:t xml:space="preserve"> visitada</w:t>
      </w:r>
      <w:r w:rsidR="00FB3997">
        <w:rPr>
          <w:rFonts w:ascii="Verdana" w:hAnsi="Verdana"/>
          <w:sz w:val="16"/>
          <w:szCs w:val="16"/>
          <w:lang w:val="es-CR"/>
        </w:rPr>
        <w:t>s</w:t>
      </w:r>
      <w:r w:rsidR="002F2C10" w:rsidRPr="004623A9">
        <w:rPr>
          <w:rFonts w:ascii="Verdana" w:hAnsi="Verdana"/>
          <w:sz w:val="16"/>
          <w:szCs w:val="16"/>
          <w:lang w:val="es-CR"/>
        </w:rPr>
        <w:t xml:space="preserve">, se pudo constatar que la Sentencia </w:t>
      </w:r>
      <w:r w:rsidR="00FE5F67">
        <w:rPr>
          <w:rFonts w:ascii="Verdana" w:hAnsi="Verdana"/>
          <w:sz w:val="16"/>
          <w:szCs w:val="16"/>
          <w:lang w:val="es-CR"/>
        </w:rPr>
        <w:t xml:space="preserve">y su resumen </w:t>
      </w:r>
      <w:r w:rsidR="001A6B93">
        <w:rPr>
          <w:rFonts w:ascii="Verdana" w:hAnsi="Verdana"/>
          <w:sz w:val="16"/>
          <w:szCs w:val="16"/>
          <w:lang w:val="es-CR"/>
        </w:rPr>
        <w:t>seguían</w:t>
      </w:r>
      <w:r w:rsidR="002F2C10" w:rsidRPr="004623A9">
        <w:rPr>
          <w:rFonts w:ascii="Verdana" w:hAnsi="Verdana"/>
          <w:sz w:val="16"/>
          <w:szCs w:val="16"/>
          <w:lang w:val="es-CR"/>
        </w:rPr>
        <w:t xml:space="preserve"> disponible</w:t>
      </w:r>
      <w:r w:rsidR="001A6B93">
        <w:rPr>
          <w:rFonts w:ascii="Verdana" w:hAnsi="Verdana"/>
          <w:sz w:val="16"/>
          <w:szCs w:val="16"/>
          <w:lang w:val="es-CR"/>
        </w:rPr>
        <w:t>s</w:t>
      </w:r>
      <w:r w:rsidR="002F2C10" w:rsidRPr="004623A9">
        <w:rPr>
          <w:rFonts w:ascii="Verdana" w:hAnsi="Verdana"/>
          <w:sz w:val="16"/>
          <w:szCs w:val="16"/>
          <w:lang w:val="es-CR"/>
        </w:rPr>
        <w:t xml:space="preserve"> en </w:t>
      </w:r>
      <w:r w:rsidR="00FE5F67">
        <w:rPr>
          <w:rFonts w:ascii="Verdana" w:hAnsi="Verdana"/>
          <w:sz w:val="16"/>
          <w:szCs w:val="16"/>
          <w:lang w:val="es-CR"/>
        </w:rPr>
        <w:t>los</w:t>
      </w:r>
      <w:r w:rsidR="002F2C10" w:rsidRPr="004623A9">
        <w:rPr>
          <w:rFonts w:ascii="Verdana" w:hAnsi="Verdana"/>
          <w:sz w:val="16"/>
          <w:szCs w:val="16"/>
          <w:lang w:val="es-CR"/>
        </w:rPr>
        <w:t xml:space="preserve"> referido</w:t>
      </w:r>
      <w:r w:rsidR="00FE5F67">
        <w:rPr>
          <w:rFonts w:ascii="Verdana" w:hAnsi="Verdana"/>
          <w:sz w:val="16"/>
          <w:szCs w:val="16"/>
          <w:lang w:val="es-CR"/>
        </w:rPr>
        <w:t>s</w:t>
      </w:r>
      <w:r w:rsidR="002F2C10" w:rsidRPr="004623A9">
        <w:rPr>
          <w:rFonts w:ascii="Verdana" w:hAnsi="Verdana"/>
          <w:sz w:val="16"/>
          <w:szCs w:val="16"/>
          <w:lang w:val="es-CR"/>
        </w:rPr>
        <w:t xml:space="preserve"> enlace</w:t>
      </w:r>
      <w:r w:rsidR="00FE5F67">
        <w:rPr>
          <w:rFonts w:ascii="Verdana" w:hAnsi="Verdana"/>
          <w:sz w:val="16"/>
          <w:szCs w:val="16"/>
          <w:lang w:val="es-CR"/>
        </w:rPr>
        <w:t>s</w:t>
      </w:r>
      <w:r w:rsidR="002F2C10" w:rsidRPr="004623A9">
        <w:rPr>
          <w:rFonts w:ascii="Verdana" w:hAnsi="Verdana"/>
          <w:sz w:val="16"/>
          <w:szCs w:val="16"/>
          <w:lang w:val="es-CR"/>
        </w:rPr>
        <w:t xml:space="preserve"> (visitada</w:t>
      </w:r>
      <w:r w:rsidR="00FE5F67">
        <w:rPr>
          <w:rFonts w:ascii="Verdana" w:hAnsi="Verdana"/>
          <w:sz w:val="16"/>
          <w:szCs w:val="16"/>
          <w:lang w:val="es-CR"/>
        </w:rPr>
        <w:t>s</w:t>
      </w:r>
      <w:r w:rsidR="002F2C10" w:rsidRPr="004623A9">
        <w:rPr>
          <w:rFonts w:ascii="Verdana" w:hAnsi="Verdana"/>
          <w:sz w:val="16"/>
          <w:szCs w:val="16"/>
          <w:lang w:val="es-CR"/>
        </w:rPr>
        <w:t xml:space="preserve"> por última vez el </w:t>
      </w:r>
      <w:r w:rsidR="002F2C10">
        <w:rPr>
          <w:rFonts w:ascii="Verdana" w:hAnsi="Verdana"/>
          <w:sz w:val="16"/>
          <w:szCs w:val="16"/>
          <w:lang w:val="es-CR"/>
        </w:rPr>
        <w:t>23</w:t>
      </w:r>
      <w:r w:rsidR="002F2C10" w:rsidRPr="004623A9">
        <w:rPr>
          <w:rFonts w:ascii="Verdana" w:hAnsi="Verdana"/>
          <w:sz w:val="16"/>
          <w:szCs w:val="16"/>
          <w:lang w:val="es-CR"/>
        </w:rPr>
        <w:t xml:space="preserve"> de agosto de 2019).</w:t>
      </w:r>
      <w:r w:rsidR="008B2705">
        <w:rPr>
          <w:rFonts w:ascii="Verdana" w:hAnsi="Verdana"/>
          <w:sz w:val="16"/>
          <w:szCs w:val="16"/>
          <w:lang w:val="es-CR"/>
        </w:rPr>
        <w:t xml:space="preserve"> Con respecto a la página del Ministerio de Derechos Humanos, la última vez que dicha página fue visitada, se pudo constatar que la misma arrojaba un error. No obstante, esta Corte nota que la</w:t>
      </w:r>
      <w:r w:rsidR="00FB3997">
        <w:rPr>
          <w:rFonts w:ascii="Verdana" w:hAnsi="Verdana"/>
          <w:sz w:val="16"/>
          <w:szCs w:val="16"/>
          <w:lang w:val="es-CR"/>
        </w:rPr>
        <w:t xml:space="preserve"> Sentencia y su</w:t>
      </w:r>
      <w:r w:rsidR="008B2705">
        <w:rPr>
          <w:rFonts w:ascii="Verdana" w:hAnsi="Verdana"/>
          <w:sz w:val="16"/>
          <w:szCs w:val="16"/>
          <w:lang w:val="es-CR"/>
        </w:rPr>
        <w:t xml:space="preserve"> </w:t>
      </w:r>
      <w:r w:rsidR="001A6B93">
        <w:rPr>
          <w:rFonts w:ascii="Verdana" w:hAnsi="Verdana"/>
          <w:sz w:val="16"/>
          <w:szCs w:val="16"/>
          <w:lang w:val="es-CR"/>
        </w:rPr>
        <w:t>r</w:t>
      </w:r>
      <w:r w:rsidR="008B2705">
        <w:rPr>
          <w:rFonts w:ascii="Verdana" w:hAnsi="Verdana"/>
          <w:sz w:val="16"/>
          <w:szCs w:val="16"/>
          <w:lang w:val="es-CR"/>
        </w:rPr>
        <w:t xml:space="preserve">esumen se encuentran disponibles en el siguiente enlace: </w:t>
      </w:r>
      <w:hyperlink r:id="rId7" w:history="1">
        <w:r w:rsidR="008B2705" w:rsidRPr="00707CA9">
          <w:rPr>
            <w:rStyle w:val="Hipervnculo"/>
            <w:rFonts w:ascii="Verdana" w:hAnsi="Verdana"/>
            <w:sz w:val="16"/>
            <w:szCs w:val="16"/>
            <w:lang w:val="es-CR"/>
          </w:rPr>
          <w:t>https://www.mdh.gov.br/navegue-por-temas/atuacao-internacional/editais-2018-1/sentencas-da-corte-interamericana</w:t>
        </w:r>
      </w:hyperlink>
      <w:r w:rsidR="008B2705">
        <w:rPr>
          <w:rFonts w:ascii="Verdana" w:hAnsi="Verdana"/>
          <w:sz w:val="16"/>
          <w:szCs w:val="16"/>
          <w:lang w:val="es-CR"/>
        </w:rPr>
        <w:t xml:space="preserve"> (visitada por última vez el 23 de agosto de 2019). </w:t>
      </w:r>
      <w:r w:rsidR="008F5DCC">
        <w:rPr>
          <w:rFonts w:ascii="Verdana" w:hAnsi="Verdana"/>
          <w:sz w:val="16"/>
          <w:szCs w:val="16"/>
          <w:lang w:val="es-CR"/>
        </w:rPr>
        <w:t xml:space="preserve">Sin perjuicio de esto último, se recuerda que no le debe corresponder </w:t>
      </w:r>
      <w:r w:rsidR="00002440">
        <w:rPr>
          <w:rFonts w:ascii="Verdana" w:hAnsi="Verdana"/>
          <w:sz w:val="16"/>
          <w:szCs w:val="16"/>
          <w:lang w:val="es-CR"/>
        </w:rPr>
        <w:t>a este Tribunal dicha</w:t>
      </w:r>
      <w:r w:rsidR="008F5DCC">
        <w:rPr>
          <w:rFonts w:ascii="Verdana" w:hAnsi="Verdana"/>
          <w:sz w:val="16"/>
          <w:szCs w:val="16"/>
          <w:lang w:val="es-CR"/>
        </w:rPr>
        <w:t xml:space="preserve"> tarea, sino que es el Estado el que tiene la responsabilidad de indicar los enlaces y aportar los comprobantes correspondientes. </w:t>
      </w:r>
    </w:p>
  </w:footnote>
  <w:footnote w:id="12">
    <w:p w14:paraId="2AEDEE40" w14:textId="2CACA306" w:rsidR="009671D0" w:rsidRPr="00786A64" w:rsidRDefault="009671D0" w:rsidP="00C76364">
      <w:pPr>
        <w:pStyle w:val="Textonotapie"/>
        <w:tabs>
          <w:tab w:val="left" w:pos="426"/>
          <w:tab w:val="left" w:pos="567"/>
        </w:tabs>
        <w:jc w:val="both"/>
        <w:rPr>
          <w:rFonts w:ascii="Verdana" w:hAnsi="Verdana"/>
          <w:sz w:val="16"/>
          <w:szCs w:val="16"/>
          <w:lang w:val="es-CR"/>
        </w:rPr>
      </w:pPr>
      <w:r w:rsidRPr="00786A64">
        <w:rPr>
          <w:rStyle w:val="Refdenotaalpie"/>
          <w:rFonts w:ascii="Verdana" w:hAnsi="Verdana"/>
          <w:sz w:val="16"/>
          <w:szCs w:val="16"/>
        </w:rPr>
        <w:footnoteRef/>
      </w:r>
      <w:r w:rsidRPr="00786A64">
        <w:rPr>
          <w:rFonts w:ascii="Verdana" w:hAnsi="Verdana"/>
          <w:sz w:val="16"/>
          <w:szCs w:val="16"/>
          <w:lang w:val="es-CR"/>
        </w:rPr>
        <w:t xml:space="preserve"> </w:t>
      </w:r>
      <w:r>
        <w:rPr>
          <w:rFonts w:ascii="Verdana" w:hAnsi="Verdana"/>
          <w:sz w:val="16"/>
          <w:szCs w:val="16"/>
          <w:lang w:val="es-CR"/>
        </w:rPr>
        <w:tab/>
      </w:r>
      <w:r w:rsidR="001A6B93">
        <w:rPr>
          <w:rFonts w:ascii="Verdana" w:hAnsi="Verdana"/>
          <w:sz w:val="16"/>
          <w:szCs w:val="16"/>
          <w:lang w:val="es-CR"/>
        </w:rPr>
        <w:t>En su informe de 16 de mayo de 2018, e</w:t>
      </w:r>
      <w:r w:rsidRPr="00786A64">
        <w:rPr>
          <w:rFonts w:ascii="Verdana" w:hAnsi="Verdana"/>
          <w:sz w:val="16"/>
          <w:szCs w:val="16"/>
          <w:lang w:val="es-CR"/>
        </w:rPr>
        <w:t xml:space="preserve">l Estado </w:t>
      </w:r>
      <w:r w:rsidR="001A6B93">
        <w:rPr>
          <w:rFonts w:ascii="Verdana" w:hAnsi="Verdana"/>
          <w:sz w:val="16"/>
          <w:szCs w:val="16"/>
          <w:lang w:val="es-CR"/>
        </w:rPr>
        <w:t>indicó</w:t>
      </w:r>
      <w:r w:rsidRPr="00786A64">
        <w:rPr>
          <w:rFonts w:ascii="Verdana" w:hAnsi="Verdana"/>
          <w:sz w:val="16"/>
          <w:szCs w:val="16"/>
          <w:lang w:val="es-CR"/>
        </w:rPr>
        <w:t xml:space="preserve"> que ha</w:t>
      </w:r>
      <w:r w:rsidR="00FB3997">
        <w:rPr>
          <w:rFonts w:ascii="Verdana" w:hAnsi="Verdana"/>
          <w:sz w:val="16"/>
          <w:szCs w:val="16"/>
          <w:lang w:val="es-CR"/>
        </w:rPr>
        <w:t>bía</w:t>
      </w:r>
      <w:r w:rsidRPr="00786A64">
        <w:rPr>
          <w:rFonts w:ascii="Verdana" w:hAnsi="Verdana"/>
          <w:sz w:val="16"/>
          <w:szCs w:val="16"/>
          <w:lang w:val="es-CR"/>
        </w:rPr>
        <w:t xml:space="preserve"> </w:t>
      </w:r>
      <w:r w:rsidR="00FE5F67">
        <w:rPr>
          <w:rFonts w:ascii="Verdana" w:hAnsi="Verdana"/>
          <w:sz w:val="16"/>
          <w:szCs w:val="16"/>
          <w:lang w:val="es-CR"/>
        </w:rPr>
        <w:t>publicado la Sentencia y su resumen</w:t>
      </w:r>
      <w:r w:rsidRPr="00786A64">
        <w:rPr>
          <w:rFonts w:ascii="Verdana" w:hAnsi="Verdana"/>
          <w:sz w:val="16"/>
          <w:szCs w:val="16"/>
          <w:lang w:val="es-CR"/>
        </w:rPr>
        <w:t xml:space="preserve"> en los sitios </w:t>
      </w:r>
      <w:r w:rsidRPr="00786A64">
        <w:rPr>
          <w:rFonts w:ascii="Verdana" w:hAnsi="Verdana"/>
          <w:i/>
          <w:sz w:val="16"/>
          <w:szCs w:val="16"/>
          <w:lang w:val="es-CR"/>
        </w:rPr>
        <w:t>web</w:t>
      </w:r>
      <w:r w:rsidRPr="00786A64">
        <w:rPr>
          <w:rFonts w:ascii="Verdana" w:hAnsi="Verdana"/>
          <w:sz w:val="16"/>
          <w:szCs w:val="16"/>
          <w:lang w:val="es-CR"/>
        </w:rPr>
        <w:t xml:space="preserve"> oficiales de la Secretaría de Estado de Seguridad (</w:t>
      </w:r>
      <w:hyperlink r:id="rId8" w:history="1">
        <w:r w:rsidRPr="004E403F">
          <w:rPr>
            <w:rStyle w:val="Hipervnculo"/>
            <w:rFonts w:ascii="Verdana" w:eastAsiaTheme="minorHAnsi" w:hAnsi="Verdana"/>
            <w:sz w:val="16"/>
            <w:szCs w:val="16"/>
            <w:lang w:val="es-CR"/>
          </w:rPr>
          <w:t>http://www.rj.gov.br/web/seseg</w:t>
        </w:r>
      </w:hyperlink>
      <w:r>
        <w:rPr>
          <w:rFonts w:ascii="Verdana" w:eastAsiaTheme="minorHAnsi" w:hAnsi="Verdana"/>
          <w:sz w:val="16"/>
          <w:szCs w:val="16"/>
          <w:lang w:val="es-CR"/>
        </w:rPr>
        <w:t>)</w:t>
      </w:r>
      <w:r w:rsidR="00FB3997">
        <w:rPr>
          <w:rFonts w:ascii="Verdana" w:hAnsi="Verdana"/>
          <w:sz w:val="16"/>
          <w:szCs w:val="16"/>
          <w:lang w:val="es-CR"/>
        </w:rPr>
        <w:t xml:space="preserve"> </w:t>
      </w:r>
      <w:r w:rsidR="00116113">
        <w:rPr>
          <w:rFonts w:ascii="Verdana" w:hAnsi="Verdana"/>
          <w:sz w:val="16"/>
          <w:szCs w:val="16"/>
          <w:lang w:val="es-CR"/>
        </w:rPr>
        <w:t xml:space="preserve">y </w:t>
      </w:r>
      <w:r w:rsidR="00002440">
        <w:rPr>
          <w:rFonts w:ascii="Verdana" w:hAnsi="Verdana"/>
          <w:sz w:val="16"/>
          <w:szCs w:val="16"/>
          <w:lang w:val="es-CR"/>
        </w:rPr>
        <w:t>de</w:t>
      </w:r>
      <w:r w:rsidR="00FB3997">
        <w:rPr>
          <w:rFonts w:ascii="Verdana" w:hAnsi="Verdana"/>
          <w:sz w:val="16"/>
          <w:szCs w:val="16"/>
          <w:lang w:val="es-CR"/>
        </w:rPr>
        <w:t xml:space="preserve"> la</w:t>
      </w:r>
      <w:r w:rsidRPr="00786A64">
        <w:rPr>
          <w:rFonts w:ascii="Verdana" w:hAnsi="Verdana"/>
          <w:sz w:val="16"/>
          <w:szCs w:val="16"/>
          <w:lang w:val="es-CR"/>
        </w:rPr>
        <w:t xml:space="preserve"> Secretaría de Estado de la Casa Civil (</w:t>
      </w:r>
      <w:hyperlink r:id="rId9" w:history="1">
        <w:r w:rsidRPr="004E403F">
          <w:rPr>
            <w:rStyle w:val="Hipervnculo"/>
            <w:rFonts w:ascii="Verdana" w:eastAsiaTheme="minorHAnsi" w:hAnsi="Verdana"/>
            <w:sz w:val="16"/>
            <w:szCs w:val="16"/>
            <w:lang w:val="es-CR"/>
          </w:rPr>
          <w:t>http://www.rj.gov.br/web/casacivil/principal</w:t>
        </w:r>
      </w:hyperlink>
      <w:r w:rsidRPr="00786A64">
        <w:rPr>
          <w:rFonts w:ascii="Verdana" w:eastAsiaTheme="minorHAnsi" w:hAnsi="Verdana"/>
          <w:sz w:val="16"/>
          <w:szCs w:val="16"/>
          <w:lang w:val="es-CR"/>
        </w:rPr>
        <w:t>)</w:t>
      </w:r>
      <w:r w:rsidR="00002440">
        <w:rPr>
          <w:rFonts w:ascii="Verdana" w:eastAsiaTheme="minorHAnsi" w:hAnsi="Verdana"/>
          <w:sz w:val="16"/>
          <w:szCs w:val="16"/>
          <w:lang w:val="es-CR"/>
        </w:rPr>
        <w:t>, sin indicar desde qué fecha se encontraban disponibles</w:t>
      </w:r>
      <w:r w:rsidRPr="00786A64">
        <w:rPr>
          <w:rFonts w:ascii="Verdana" w:eastAsiaTheme="minorHAnsi" w:hAnsi="Verdana"/>
          <w:color w:val="0000FF"/>
          <w:sz w:val="16"/>
          <w:szCs w:val="16"/>
          <w:lang w:val="es-CR"/>
        </w:rPr>
        <w:t xml:space="preserve">. </w:t>
      </w:r>
      <w:r w:rsidR="001A6B93">
        <w:rPr>
          <w:rFonts w:ascii="Verdana" w:eastAsiaTheme="minorHAnsi" w:hAnsi="Verdana"/>
          <w:sz w:val="16"/>
          <w:szCs w:val="16"/>
          <w:lang w:val="es-CR"/>
        </w:rPr>
        <w:t>Si bien</w:t>
      </w:r>
      <w:r w:rsidRPr="00786A64">
        <w:rPr>
          <w:rFonts w:ascii="Verdana" w:eastAsiaTheme="minorHAnsi" w:hAnsi="Verdana"/>
          <w:sz w:val="16"/>
          <w:szCs w:val="16"/>
          <w:lang w:val="es-CR"/>
        </w:rPr>
        <w:t xml:space="preserve"> </w:t>
      </w:r>
      <w:r w:rsidRPr="00786A64">
        <w:rPr>
          <w:rFonts w:ascii="Verdana" w:hAnsi="Verdana"/>
          <w:sz w:val="16"/>
          <w:szCs w:val="16"/>
          <w:lang w:val="es-CR"/>
        </w:rPr>
        <w:t>el Estado aportó capturas de pantallas</w:t>
      </w:r>
      <w:r w:rsidR="001A6B93">
        <w:rPr>
          <w:rFonts w:ascii="Verdana" w:hAnsi="Verdana"/>
          <w:sz w:val="16"/>
          <w:szCs w:val="16"/>
          <w:lang w:val="es-CR"/>
        </w:rPr>
        <w:t xml:space="preserve"> de las referidas publicaciones,</w:t>
      </w:r>
      <w:r w:rsidRPr="00786A64">
        <w:rPr>
          <w:rFonts w:ascii="Verdana" w:hAnsi="Verdana"/>
          <w:sz w:val="16"/>
          <w:szCs w:val="16"/>
          <w:lang w:val="es-CR"/>
        </w:rPr>
        <w:t xml:space="preserve"> </w:t>
      </w:r>
      <w:r w:rsidR="001A6B93">
        <w:rPr>
          <w:rFonts w:ascii="Verdana" w:hAnsi="Verdana"/>
          <w:sz w:val="16"/>
          <w:lang w:val="es-CR"/>
        </w:rPr>
        <w:t>l</w:t>
      </w:r>
      <w:r w:rsidRPr="00176771">
        <w:rPr>
          <w:rFonts w:ascii="Verdana" w:hAnsi="Verdana"/>
          <w:sz w:val="16"/>
          <w:lang w:val="es-CR"/>
        </w:rPr>
        <w:t xml:space="preserve">a </w:t>
      </w:r>
      <w:r w:rsidRPr="004623A9">
        <w:rPr>
          <w:rFonts w:ascii="Verdana" w:hAnsi="Verdana"/>
          <w:sz w:val="16"/>
          <w:szCs w:val="16"/>
          <w:lang w:val="es-CR"/>
        </w:rPr>
        <w:t xml:space="preserve">última vez que </w:t>
      </w:r>
      <w:r w:rsidR="001A6B93">
        <w:rPr>
          <w:rFonts w:ascii="Verdana" w:hAnsi="Verdana"/>
          <w:sz w:val="16"/>
          <w:szCs w:val="16"/>
          <w:lang w:val="es-CR"/>
        </w:rPr>
        <w:t>dichas</w:t>
      </w:r>
      <w:r w:rsidRPr="004623A9">
        <w:rPr>
          <w:rFonts w:ascii="Verdana" w:hAnsi="Verdana"/>
          <w:sz w:val="16"/>
          <w:szCs w:val="16"/>
          <w:lang w:val="es-CR"/>
        </w:rPr>
        <w:t xml:space="preserve"> páginas fueron visitadas, </w:t>
      </w:r>
      <w:r w:rsidR="00FB3997">
        <w:rPr>
          <w:rFonts w:ascii="Verdana" w:hAnsi="Verdana"/>
          <w:sz w:val="16"/>
          <w:szCs w:val="16"/>
          <w:lang w:val="es-CR"/>
        </w:rPr>
        <w:t>se pudo constatar que arrojaba</w:t>
      </w:r>
      <w:r w:rsidR="001A6B93">
        <w:rPr>
          <w:rFonts w:ascii="Verdana" w:hAnsi="Verdana"/>
          <w:sz w:val="16"/>
          <w:szCs w:val="16"/>
          <w:lang w:val="es-CR"/>
        </w:rPr>
        <w:t>n</w:t>
      </w:r>
      <w:r w:rsidR="00FB3997">
        <w:rPr>
          <w:rFonts w:ascii="Verdana" w:hAnsi="Verdana"/>
          <w:sz w:val="16"/>
          <w:szCs w:val="16"/>
          <w:lang w:val="es-CR"/>
        </w:rPr>
        <w:t xml:space="preserve"> un error</w:t>
      </w:r>
      <w:r w:rsidRPr="004623A9">
        <w:rPr>
          <w:rFonts w:ascii="Verdana" w:hAnsi="Verdana"/>
          <w:sz w:val="16"/>
          <w:szCs w:val="16"/>
          <w:lang w:val="es-CR"/>
        </w:rPr>
        <w:t xml:space="preserve"> (visitada</w:t>
      </w:r>
      <w:r>
        <w:rPr>
          <w:rFonts w:ascii="Verdana" w:hAnsi="Verdana"/>
          <w:sz w:val="16"/>
          <w:szCs w:val="16"/>
          <w:lang w:val="es-CR"/>
        </w:rPr>
        <w:t>s</w:t>
      </w:r>
      <w:r w:rsidRPr="004623A9">
        <w:rPr>
          <w:rFonts w:ascii="Verdana" w:hAnsi="Verdana"/>
          <w:sz w:val="16"/>
          <w:szCs w:val="16"/>
          <w:lang w:val="es-CR"/>
        </w:rPr>
        <w:t xml:space="preserve"> por última vez el </w:t>
      </w:r>
      <w:r w:rsidR="00FE5F67">
        <w:rPr>
          <w:rFonts w:ascii="Verdana" w:hAnsi="Verdana"/>
          <w:sz w:val="16"/>
          <w:szCs w:val="16"/>
          <w:lang w:val="es-CR"/>
        </w:rPr>
        <w:t>23</w:t>
      </w:r>
      <w:r w:rsidR="001A6B93">
        <w:rPr>
          <w:rFonts w:ascii="Verdana" w:hAnsi="Verdana"/>
          <w:sz w:val="16"/>
          <w:szCs w:val="16"/>
          <w:lang w:val="es-CR"/>
        </w:rPr>
        <w:t xml:space="preserve"> de agosto de 2019).</w:t>
      </w:r>
    </w:p>
  </w:footnote>
  <w:footnote w:id="13">
    <w:p w14:paraId="631EACCE" w14:textId="1406BD02" w:rsidR="009916CE" w:rsidRPr="009916CE" w:rsidRDefault="009916CE" w:rsidP="005C7D4F">
      <w:pPr>
        <w:pStyle w:val="Textonotapie"/>
        <w:tabs>
          <w:tab w:val="left" w:pos="426"/>
          <w:tab w:val="left" w:pos="567"/>
        </w:tabs>
        <w:jc w:val="both"/>
        <w:rPr>
          <w:rFonts w:ascii="Verdana" w:hAnsi="Verdana"/>
          <w:sz w:val="16"/>
          <w:lang w:val="es-CR"/>
        </w:rPr>
      </w:pPr>
      <w:r w:rsidRPr="009916CE">
        <w:rPr>
          <w:rStyle w:val="Refdenotaalpie"/>
          <w:rFonts w:ascii="Verdana" w:hAnsi="Verdana"/>
          <w:sz w:val="16"/>
        </w:rPr>
        <w:footnoteRef/>
      </w:r>
      <w:r w:rsidRPr="009916CE">
        <w:rPr>
          <w:rFonts w:ascii="Verdana" w:hAnsi="Verdana"/>
          <w:sz w:val="16"/>
          <w:lang w:val="es-CR"/>
        </w:rPr>
        <w:t xml:space="preserve"> </w:t>
      </w:r>
      <w:r w:rsidR="005C7D4F">
        <w:rPr>
          <w:rFonts w:ascii="Verdana" w:hAnsi="Verdana"/>
          <w:sz w:val="16"/>
          <w:lang w:val="es-CR"/>
        </w:rPr>
        <w:tab/>
      </w:r>
      <w:r w:rsidRPr="009916CE">
        <w:rPr>
          <w:rFonts w:ascii="Verdana" w:hAnsi="Verdana"/>
          <w:sz w:val="16"/>
          <w:lang w:val="es-CR"/>
        </w:rPr>
        <w:t xml:space="preserve">Ello </w:t>
      </w:r>
      <w:r w:rsidRPr="005C7D4F">
        <w:rPr>
          <w:rFonts w:ascii="Verdana" w:hAnsi="Verdana"/>
          <w:sz w:val="16"/>
          <w:szCs w:val="16"/>
          <w:lang w:val="es-CR"/>
        </w:rPr>
        <w:t>en</w:t>
      </w:r>
      <w:r w:rsidRPr="009916CE">
        <w:rPr>
          <w:rFonts w:ascii="Verdana" w:hAnsi="Verdana"/>
          <w:sz w:val="16"/>
          <w:lang w:val="es-CR"/>
        </w:rPr>
        <w:t xml:space="preserve"> tanto</w:t>
      </w:r>
      <w:r w:rsidR="00153DBB">
        <w:rPr>
          <w:rFonts w:ascii="Verdana" w:hAnsi="Verdana"/>
          <w:sz w:val="16"/>
          <w:lang w:val="es-CR"/>
        </w:rPr>
        <w:t xml:space="preserve"> no indicó la fecha desde la cual la Sentencia y su resumen se encontraban disponibles, e indicó el enlace a dicha publicación el 16 de mayo de 2018.</w:t>
      </w:r>
    </w:p>
  </w:footnote>
  <w:footnote w:id="14">
    <w:p w14:paraId="04D9DBB4" w14:textId="75F6E987" w:rsidR="008E352E" w:rsidRPr="0041260D" w:rsidRDefault="008E352E" w:rsidP="008E352E">
      <w:pPr>
        <w:pStyle w:val="Textonotapie"/>
        <w:tabs>
          <w:tab w:val="left" w:pos="426"/>
          <w:tab w:val="left" w:pos="567"/>
        </w:tabs>
        <w:jc w:val="both"/>
        <w:rPr>
          <w:rFonts w:ascii="Verdana" w:hAnsi="Verdana"/>
          <w:sz w:val="16"/>
          <w:szCs w:val="16"/>
          <w:lang w:val="es-AR"/>
        </w:rPr>
      </w:pPr>
      <w:r w:rsidRPr="00786A64">
        <w:rPr>
          <w:rStyle w:val="Refdenotaalpie"/>
          <w:rFonts w:ascii="Verdana" w:hAnsi="Verdana"/>
          <w:sz w:val="16"/>
          <w:szCs w:val="16"/>
        </w:rPr>
        <w:footnoteRef/>
      </w:r>
      <w:r w:rsidRPr="00786A64">
        <w:rPr>
          <w:rFonts w:ascii="Verdana" w:hAnsi="Verdana"/>
          <w:sz w:val="16"/>
          <w:szCs w:val="16"/>
          <w:lang w:val="es-CR"/>
        </w:rPr>
        <w:t xml:space="preserve"> </w:t>
      </w:r>
      <w:r>
        <w:rPr>
          <w:rFonts w:ascii="Verdana" w:hAnsi="Verdana"/>
          <w:sz w:val="16"/>
          <w:szCs w:val="16"/>
          <w:lang w:val="es-CR"/>
        </w:rPr>
        <w:tab/>
      </w:r>
      <w:r w:rsidRPr="0041260D">
        <w:rPr>
          <w:rFonts w:ascii="Verdana" w:hAnsi="Verdana"/>
          <w:sz w:val="16"/>
          <w:szCs w:val="16"/>
          <w:lang w:val="es-AR"/>
        </w:rPr>
        <w:t xml:space="preserve">En igual sentido, ver </w:t>
      </w:r>
      <w:r w:rsidRPr="0041260D">
        <w:rPr>
          <w:rFonts w:ascii="Verdana" w:hAnsi="Verdana"/>
          <w:i/>
          <w:sz w:val="16"/>
          <w:szCs w:val="16"/>
          <w:lang w:val="es-AR"/>
        </w:rPr>
        <w:t>Caso Andrade Salmón Vs. Bolivia. Supervisión de Cumplimiento de Sentencia</w:t>
      </w:r>
      <w:r w:rsidRPr="0041260D">
        <w:rPr>
          <w:rFonts w:ascii="Verdana" w:hAnsi="Verdana"/>
          <w:sz w:val="16"/>
          <w:szCs w:val="16"/>
          <w:lang w:val="es-AR"/>
        </w:rPr>
        <w:t>. Resolución de la Corte Interamericana de Derechos Humanos de 5 de febrero de 2018, Considerando 13</w:t>
      </w:r>
      <w:r>
        <w:rPr>
          <w:rFonts w:ascii="Verdana" w:hAnsi="Verdana"/>
          <w:sz w:val="16"/>
          <w:szCs w:val="16"/>
          <w:lang w:val="es-CR"/>
        </w:rPr>
        <w:t xml:space="preserve">, y </w:t>
      </w:r>
      <w:r w:rsidRPr="0041260D">
        <w:rPr>
          <w:rFonts w:ascii="Verdana" w:hAnsi="Verdana"/>
          <w:i/>
          <w:sz w:val="16"/>
          <w:szCs w:val="16"/>
          <w:lang w:val="es-CR"/>
        </w:rPr>
        <w:t xml:space="preserve">Caso </w:t>
      </w:r>
      <w:proofErr w:type="spellStart"/>
      <w:r w:rsidRPr="0041260D">
        <w:rPr>
          <w:rFonts w:ascii="Verdana" w:hAnsi="Verdana"/>
          <w:i/>
          <w:sz w:val="16"/>
          <w:szCs w:val="16"/>
          <w:lang w:val="es-CR"/>
        </w:rPr>
        <w:t>Munárriz</w:t>
      </w:r>
      <w:proofErr w:type="spellEnd"/>
      <w:r w:rsidRPr="0041260D">
        <w:rPr>
          <w:rFonts w:ascii="Verdana" w:hAnsi="Verdana"/>
          <w:i/>
          <w:sz w:val="16"/>
          <w:szCs w:val="16"/>
          <w:lang w:val="es-CR"/>
        </w:rPr>
        <w:t xml:space="preserve"> Escobar y otros Vs. Perú. Supervisión de Cumplimiento de Sentencia</w:t>
      </w:r>
      <w:r w:rsidRPr="008E352E">
        <w:rPr>
          <w:rFonts w:ascii="Verdana" w:hAnsi="Verdana"/>
          <w:sz w:val="16"/>
          <w:szCs w:val="16"/>
          <w:lang w:val="es-CR"/>
        </w:rPr>
        <w:t>. Resolución de la Corte Interamericana de Derechos Humanos de 14 de mayo de 2019</w:t>
      </w:r>
      <w:r>
        <w:rPr>
          <w:rFonts w:ascii="Verdana" w:hAnsi="Verdana"/>
          <w:sz w:val="16"/>
          <w:szCs w:val="16"/>
          <w:lang w:val="es-CR"/>
        </w:rPr>
        <w:t xml:space="preserve">, Considerando </w:t>
      </w:r>
      <w:r w:rsidR="003119EF">
        <w:rPr>
          <w:rFonts w:ascii="Verdana" w:hAnsi="Verdana"/>
          <w:sz w:val="16"/>
          <w:szCs w:val="16"/>
          <w:lang w:val="es-CR"/>
        </w:rPr>
        <w:t>7</w:t>
      </w:r>
      <w:r>
        <w:rPr>
          <w:rFonts w:ascii="Verdana" w:hAnsi="Verdana"/>
          <w:sz w:val="16"/>
          <w:szCs w:val="16"/>
          <w:lang w:val="es-CR"/>
        </w:rPr>
        <w:t xml:space="preserve">. </w:t>
      </w:r>
    </w:p>
  </w:footnote>
  <w:footnote w:id="15">
    <w:p w14:paraId="17A01F4F" w14:textId="19A32ADE" w:rsidR="003119EF" w:rsidRPr="004623A9" w:rsidRDefault="003119EF" w:rsidP="003119EF">
      <w:pPr>
        <w:pStyle w:val="Textonotapie"/>
        <w:tabs>
          <w:tab w:val="left" w:pos="426"/>
          <w:tab w:val="left" w:pos="567"/>
        </w:tabs>
        <w:jc w:val="both"/>
        <w:rPr>
          <w:rFonts w:ascii="Verdana" w:hAnsi="Verdana"/>
          <w:sz w:val="16"/>
          <w:szCs w:val="16"/>
          <w:lang w:val="es-AR"/>
        </w:rPr>
      </w:pPr>
      <w:r w:rsidRPr="00786A64">
        <w:rPr>
          <w:rStyle w:val="Refdenotaalpie"/>
          <w:rFonts w:ascii="Verdana" w:hAnsi="Verdana"/>
          <w:sz w:val="16"/>
          <w:szCs w:val="16"/>
        </w:rPr>
        <w:footnoteRef/>
      </w:r>
      <w:r w:rsidRPr="00786A64">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AR"/>
        </w:rPr>
        <w:t xml:space="preserve">Cfr. </w:t>
      </w:r>
      <w:r>
        <w:rPr>
          <w:rFonts w:ascii="Verdana" w:hAnsi="Verdana"/>
          <w:sz w:val="16"/>
          <w:szCs w:val="16"/>
          <w:lang w:val="es-AR"/>
        </w:rPr>
        <w:t>Informe estatal de 16 de mayo de 2018</w:t>
      </w:r>
      <w:r>
        <w:rPr>
          <w:rFonts w:ascii="Verdana" w:hAnsi="Verdana"/>
          <w:sz w:val="16"/>
          <w:szCs w:val="16"/>
          <w:lang w:val="es-CR"/>
        </w:rPr>
        <w:t>.</w:t>
      </w:r>
    </w:p>
  </w:footnote>
  <w:footnote w:id="16">
    <w:p w14:paraId="67E1198D" w14:textId="77777777" w:rsidR="00874A8D" w:rsidRPr="004623A9" w:rsidRDefault="00874A8D" w:rsidP="00874A8D">
      <w:pPr>
        <w:pStyle w:val="Textonotapie"/>
        <w:tabs>
          <w:tab w:val="left" w:pos="426"/>
          <w:tab w:val="left" w:pos="567"/>
        </w:tabs>
        <w:jc w:val="both"/>
        <w:rPr>
          <w:rFonts w:ascii="Verdana" w:hAnsi="Verdana"/>
          <w:sz w:val="16"/>
          <w:szCs w:val="16"/>
          <w:lang w:val="es-AR"/>
        </w:rPr>
      </w:pPr>
      <w:r w:rsidRPr="00786A64">
        <w:rPr>
          <w:rStyle w:val="Refdenotaalpie"/>
          <w:rFonts w:ascii="Verdana" w:hAnsi="Verdana"/>
          <w:sz w:val="16"/>
          <w:szCs w:val="16"/>
        </w:rPr>
        <w:footnoteRef/>
      </w:r>
      <w:r w:rsidRPr="00786A64">
        <w:rPr>
          <w:rFonts w:ascii="Verdana" w:hAnsi="Verdana"/>
          <w:sz w:val="16"/>
          <w:szCs w:val="16"/>
          <w:lang w:val="es-CR"/>
        </w:rPr>
        <w:t xml:space="preserve"> </w:t>
      </w:r>
      <w:r>
        <w:rPr>
          <w:rFonts w:ascii="Verdana" w:hAnsi="Verdana"/>
          <w:sz w:val="16"/>
          <w:szCs w:val="16"/>
          <w:lang w:val="es-CR"/>
        </w:rPr>
        <w:tab/>
      </w:r>
      <w:r w:rsidRPr="00116113">
        <w:rPr>
          <w:rFonts w:ascii="Verdana" w:hAnsi="Verdana"/>
          <w:sz w:val="16"/>
          <w:lang w:val="es-AR"/>
        </w:rPr>
        <w:t xml:space="preserve">En igual sentido, ver </w:t>
      </w:r>
      <w:r w:rsidRPr="00116113">
        <w:rPr>
          <w:rFonts w:ascii="Verdana" w:hAnsi="Verdana"/>
          <w:i/>
          <w:sz w:val="16"/>
          <w:lang w:val="es-AR"/>
        </w:rPr>
        <w:t>Caso I.V. Vs. Bolivia. Supervisión de Cumplimiento de Sentencia</w:t>
      </w:r>
      <w:r w:rsidRPr="00116113">
        <w:rPr>
          <w:rFonts w:ascii="Verdana" w:hAnsi="Verdana"/>
          <w:sz w:val="16"/>
          <w:lang w:val="es-AR"/>
        </w:rPr>
        <w:t>. Resolución de la Corte Interamericana de Derechos Humanos de 14 de noviembre de 2017</w:t>
      </w:r>
      <w:r w:rsidRPr="00116113">
        <w:rPr>
          <w:rFonts w:ascii="Verdana" w:hAnsi="Verdana"/>
          <w:sz w:val="16"/>
          <w:lang w:val="es-CR"/>
        </w:rPr>
        <w:t>, Considerando 9.</w:t>
      </w:r>
      <w:r>
        <w:rPr>
          <w:rFonts w:ascii="Verdana" w:hAnsi="Verdana"/>
          <w:sz w:val="16"/>
          <w:szCs w:val="16"/>
          <w:lang w:val="es-CR"/>
        </w:rPr>
        <w:t xml:space="preserve"> </w:t>
      </w:r>
    </w:p>
  </w:footnote>
  <w:footnote w:id="17">
    <w:p w14:paraId="69145963" w14:textId="689577B8" w:rsidR="0007143D" w:rsidRPr="00692DCD" w:rsidRDefault="0007143D" w:rsidP="0041260D">
      <w:pPr>
        <w:pStyle w:val="Textonotapie"/>
        <w:tabs>
          <w:tab w:val="left" w:pos="426"/>
          <w:tab w:val="left" w:pos="567"/>
        </w:tabs>
        <w:jc w:val="both"/>
        <w:rPr>
          <w:rFonts w:ascii="Verdana" w:hAnsi="Verdana"/>
          <w:sz w:val="16"/>
          <w:szCs w:val="16"/>
          <w:lang w:val="es-CR"/>
        </w:rPr>
      </w:pPr>
      <w:r w:rsidRPr="008D15B0">
        <w:rPr>
          <w:rStyle w:val="Refdenotaalpie"/>
          <w:rFonts w:ascii="Verdana" w:hAnsi="Verdana"/>
          <w:sz w:val="16"/>
        </w:rPr>
        <w:footnoteRef/>
      </w:r>
      <w:r w:rsidRPr="008D15B0">
        <w:rPr>
          <w:rFonts w:ascii="Verdana" w:hAnsi="Verdana"/>
          <w:sz w:val="16"/>
          <w:lang w:val="es-CR"/>
        </w:rPr>
        <w:t xml:space="preserve"> </w:t>
      </w:r>
      <w:r w:rsidR="0007109E">
        <w:rPr>
          <w:rFonts w:ascii="Verdana" w:hAnsi="Verdana"/>
          <w:sz w:val="16"/>
          <w:lang w:val="es-CR"/>
        </w:rPr>
        <w:tab/>
      </w:r>
      <w:r w:rsidR="00010C90" w:rsidRPr="0041260D">
        <w:rPr>
          <w:rFonts w:ascii="Verdana" w:hAnsi="Verdana"/>
          <w:sz w:val="16"/>
          <w:szCs w:val="16"/>
          <w:lang w:val="es-CR"/>
        </w:rPr>
        <w:t>En particular, el Estado aportó</w:t>
      </w:r>
      <w:r w:rsidR="00010C90">
        <w:rPr>
          <w:rFonts w:ascii="Verdana" w:hAnsi="Verdana"/>
          <w:i/>
          <w:sz w:val="16"/>
          <w:szCs w:val="16"/>
          <w:lang w:val="es-CR"/>
        </w:rPr>
        <w:t xml:space="preserve"> </w:t>
      </w:r>
      <w:r w:rsidR="00010C90">
        <w:rPr>
          <w:rFonts w:ascii="Verdana" w:hAnsi="Verdana"/>
          <w:sz w:val="16"/>
          <w:szCs w:val="16"/>
          <w:lang w:val="es-CR"/>
        </w:rPr>
        <w:t>c</w:t>
      </w:r>
      <w:r w:rsidR="00010C90" w:rsidRPr="00786A64">
        <w:rPr>
          <w:rFonts w:ascii="Verdana" w:hAnsi="Verdana"/>
          <w:sz w:val="16"/>
          <w:szCs w:val="16"/>
          <w:lang w:val="es-CR"/>
        </w:rPr>
        <w:t xml:space="preserve">opia </w:t>
      </w:r>
      <w:r w:rsidR="008D15B0" w:rsidRPr="00786A64">
        <w:rPr>
          <w:rFonts w:ascii="Verdana" w:hAnsi="Verdana"/>
          <w:sz w:val="16"/>
          <w:szCs w:val="16"/>
          <w:lang w:val="es-CR"/>
        </w:rPr>
        <w:t>de la</w:t>
      </w:r>
      <w:r w:rsidR="008D15B0">
        <w:rPr>
          <w:rFonts w:ascii="Verdana" w:hAnsi="Verdana"/>
          <w:sz w:val="16"/>
          <w:szCs w:val="16"/>
          <w:lang w:val="es-CR"/>
        </w:rPr>
        <w:t>s</w:t>
      </w:r>
      <w:r w:rsidR="008D15B0" w:rsidRPr="00786A64">
        <w:rPr>
          <w:rFonts w:ascii="Verdana" w:hAnsi="Verdana"/>
          <w:sz w:val="16"/>
          <w:szCs w:val="16"/>
          <w:lang w:val="es-CR"/>
        </w:rPr>
        <w:t xml:space="preserve"> </w:t>
      </w:r>
      <w:r w:rsidR="008D15B0">
        <w:rPr>
          <w:rFonts w:ascii="Verdana" w:hAnsi="Verdana"/>
          <w:sz w:val="16"/>
          <w:szCs w:val="16"/>
          <w:lang w:val="es-CR"/>
        </w:rPr>
        <w:t>publicaciones realizadas en Twitter los días</w:t>
      </w:r>
      <w:r w:rsidR="00010C90">
        <w:rPr>
          <w:rFonts w:ascii="Verdana" w:hAnsi="Verdana"/>
          <w:sz w:val="16"/>
          <w:szCs w:val="16"/>
          <w:lang w:val="es-CR"/>
        </w:rPr>
        <w:t>:</w:t>
      </w:r>
      <w:r w:rsidR="008D15B0">
        <w:rPr>
          <w:rFonts w:ascii="Verdana" w:hAnsi="Verdana"/>
          <w:sz w:val="16"/>
          <w:szCs w:val="16"/>
          <w:lang w:val="es-CR"/>
        </w:rPr>
        <w:t xml:space="preserve"> 9 de febrero, 16 de febrero, 23 de febrero y 13 de abril de 2018; </w:t>
      </w:r>
      <w:r w:rsidR="00010C90">
        <w:rPr>
          <w:rFonts w:ascii="Verdana" w:hAnsi="Verdana"/>
          <w:sz w:val="16"/>
          <w:szCs w:val="16"/>
          <w:lang w:val="es-CR"/>
        </w:rPr>
        <w:t xml:space="preserve">y en </w:t>
      </w:r>
      <w:r w:rsidR="008D15B0">
        <w:rPr>
          <w:rFonts w:ascii="Verdana" w:hAnsi="Verdana"/>
          <w:sz w:val="16"/>
          <w:szCs w:val="16"/>
          <w:lang w:val="es-CR"/>
        </w:rPr>
        <w:t>Facebook</w:t>
      </w:r>
      <w:r w:rsidR="00981B2B">
        <w:rPr>
          <w:rFonts w:ascii="Verdana" w:hAnsi="Verdana"/>
          <w:sz w:val="16"/>
          <w:szCs w:val="16"/>
          <w:lang w:val="es-CR"/>
        </w:rPr>
        <w:t>,</w:t>
      </w:r>
      <w:r w:rsidR="008D15B0">
        <w:rPr>
          <w:rFonts w:ascii="Verdana" w:hAnsi="Verdana"/>
          <w:sz w:val="16"/>
          <w:szCs w:val="16"/>
          <w:lang w:val="es-CR"/>
        </w:rPr>
        <w:t xml:space="preserve"> </w:t>
      </w:r>
      <w:r w:rsidR="00D47DFB">
        <w:rPr>
          <w:rFonts w:ascii="Verdana" w:hAnsi="Verdana"/>
          <w:sz w:val="16"/>
          <w:szCs w:val="16"/>
          <w:lang w:val="es-CR"/>
        </w:rPr>
        <w:t>una sin indicación de fecha</w:t>
      </w:r>
      <w:r w:rsidR="008D15B0">
        <w:rPr>
          <w:rFonts w:ascii="Verdana" w:hAnsi="Verdana"/>
          <w:sz w:val="16"/>
          <w:szCs w:val="16"/>
          <w:lang w:val="es-CR"/>
        </w:rPr>
        <w:t xml:space="preserve"> y </w:t>
      </w:r>
      <w:r w:rsidR="00010C90">
        <w:rPr>
          <w:rFonts w:ascii="Verdana" w:hAnsi="Verdana"/>
          <w:sz w:val="16"/>
          <w:szCs w:val="16"/>
          <w:lang w:val="es-CR"/>
        </w:rPr>
        <w:t xml:space="preserve">las restantes </w:t>
      </w:r>
      <w:r w:rsidR="008D15B0">
        <w:rPr>
          <w:rFonts w:ascii="Verdana" w:hAnsi="Verdana"/>
          <w:sz w:val="16"/>
          <w:szCs w:val="16"/>
          <w:lang w:val="es-CR"/>
        </w:rPr>
        <w:t>los días</w:t>
      </w:r>
      <w:r w:rsidR="00010C90">
        <w:rPr>
          <w:rFonts w:ascii="Verdana" w:hAnsi="Verdana"/>
          <w:sz w:val="16"/>
          <w:szCs w:val="16"/>
          <w:lang w:val="es-CR"/>
        </w:rPr>
        <w:t>:</w:t>
      </w:r>
      <w:r w:rsidR="008D15B0">
        <w:rPr>
          <w:rFonts w:ascii="Verdana" w:hAnsi="Verdana"/>
          <w:sz w:val="16"/>
          <w:szCs w:val="16"/>
          <w:lang w:val="es-CR"/>
        </w:rPr>
        <w:t xml:space="preserve"> 9 de febrero, 16 de febrero</w:t>
      </w:r>
      <w:r w:rsidR="00010C90">
        <w:rPr>
          <w:rFonts w:ascii="Verdana" w:hAnsi="Verdana"/>
          <w:sz w:val="16"/>
          <w:szCs w:val="16"/>
          <w:lang w:val="es-CR"/>
        </w:rPr>
        <w:t xml:space="preserve"> y</w:t>
      </w:r>
      <w:r w:rsidR="008D15B0">
        <w:rPr>
          <w:rFonts w:ascii="Verdana" w:hAnsi="Verdana"/>
          <w:sz w:val="16"/>
          <w:szCs w:val="16"/>
          <w:lang w:val="es-CR"/>
        </w:rPr>
        <w:t xml:space="preserve"> 13 de abril de 2018 </w:t>
      </w:r>
      <w:r w:rsidR="008D15B0" w:rsidRPr="00786A64">
        <w:rPr>
          <w:rFonts w:ascii="Verdana" w:hAnsi="Verdana"/>
          <w:sz w:val="16"/>
          <w:szCs w:val="16"/>
          <w:lang w:val="es-CR"/>
        </w:rPr>
        <w:t>(</w:t>
      </w:r>
      <w:r w:rsidR="00010C90">
        <w:rPr>
          <w:rFonts w:ascii="Verdana" w:hAnsi="Verdana"/>
          <w:sz w:val="16"/>
          <w:szCs w:val="16"/>
          <w:lang w:val="es-CR"/>
        </w:rPr>
        <w:t>A</w:t>
      </w:r>
      <w:r w:rsidR="008D15B0" w:rsidRPr="00786A64">
        <w:rPr>
          <w:rFonts w:ascii="Verdana" w:hAnsi="Verdana"/>
          <w:sz w:val="16"/>
          <w:szCs w:val="16"/>
          <w:lang w:val="es-CR"/>
        </w:rPr>
        <w:t>nexo 2</w:t>
      </w:r>
      <w:r w:rsidR="008D15B0">
        <w:rPr>
          <w:rFonts w:ascii="Verdana" w:hAnsi="Verdana"/>
          <w:sz w:val="16"/>
          <w:szCs w:val="16"/>
          <w:lang w:val="es-CR"/>
        </w:rPr>
        <w:t>0</w:t>
      </w:r>
      <w:r w:rsidR="008D15B0" w:rsidRPr="00786A64">
        <w:rPr>
          <w:rFonts w:ascii="Verdana" w:hAnsi="Verdana"/>
          <w:sz w:val="16"/>
          <w:szCs w:val="16"/>
          <w:lang w:val="es-CR"/>
        </w:rPr>
        <w:t xml:space="preserve"> del informe estatal de </w:t>
      </w:r>
      <w:r w:rsidR="008D15B0">
        <w:rPr>
          <w:rFonts w:ascii="Verdana" w:hAnsi="Verdana"/>
          <w:sz w:val="16"/>
          <w:szCs w:val="16"/>
          <w:lang w:val="es-CR"/>
        </w:rPr>
        <w:t>16</w:t>
      </w:r>
      <w:r w:rsidR="008D15B0" w:rsidRPr="00786A64">
        <w:rPr>
          <w:rFonts w:ascii="Verdana" w:hAnsi="Verdana"/>
          <w:sz w:val="16"/>
          <w:szCs w:val="16"/>
          <w:lang w:val="es-CR"/>
        </w:rPr>
        <w:t xml:space="preserve"> de mayo de 2018</w:t>
      </w:r>
      <w:r w:rsidR="00B90B79">
        <w:rPr>
          <w:rFonts w:ascii="Verdana" w:hAnsi="Verdana"/>
          <w:sz w:val="16"/>
          <w:szCs w:val="16"/>
          <w:lang w:val="es-CR"/>
        </w:rPr>
        <w:t>).</w:t>
      </w:r>
    </w:p>
  </w:footnote>
  <w:footnote w:id="18">
    <w:p w14:paraId="4CB60F85" w14:textId="7BA0E6D8" w:rsidR="0007143D" w:rsidRPr="00B026D8" w:rsidRDefault="0007143D" w:rsidP="0041260D">
      <w:pPr>
        <w:pStyle w:val="Textonotapie"/>
        <w:tabs>
          <w:tab w:val="left" w:pos="426"/>
          <w:tab w:val="left" w:pos="567"/>
        </w:tabs>
        <w:jc w:val="both"/>
        <w:rPr>
          <w:b/>
          <w:lang w:val="es-CR"/>
        </w:rPr>
      </w:pPr>
      <w:r w:rsidRPr="00692DCD">
        <w:rPr>
          <w:rStyle w:val="Refdenotaalpie"/>
          <w:rFonts w:ascii="Verdana" w:hAnsi="Verdana"/>
          <w:sz w:val="16"/>
        </w:rPr>
        <w:footnoteRef/>
      </w:r>
      <w:r w:rsidRPr="00692DCD">
        <w:rPr>
          <w:rFonts w:ascii="Verdana" w:hAnsi="Verdana"/>
          <w:sz w:val="16"/>
          <w:lang w:val="es-CR"/>
        </w:rPr>
        <w:t xml:space="preserve"> </w:t>
      </w:r>
      <w:r w:rsidR="0007109E">
        <w:rPr>
          <w:rFonts w:ascii="Verdana" w:hAnsi="Verdana"/>
          <w:sz w:val="16"/>
          <w:lang w:val="es-CR"/>
        </w:rPr>
        <w:tab/>
      </w:r>
      <w:r w:rsidR="00981B2B" w:rsidRPr="00692DCD">
        <w:rPr>
          <w:rFonts w:ascii="Verdana" w:hAnsi="Verdana"/>
          <w:sz w:val="16"/>
          <w:lang w:val="es-CR"/>
        </w:rPr>
        <w:t xml:space="preserve">El </w:t>
      </w:r>
      <w:r w:rsidR="00981B2B" w:rsidRPr="005B5D8C">
        <w:rPr>
          <w:rFonts w:ascii="Verdana" w:hAnsi="Verdana"/>
          <w:sz w:val="16"/>
          <w:szCs w:val="16"/>
          <w:lang w:val="es-CR"/>
        </w:rPr>
        <w:t>Estado</w:t>
      </w:r>
      <w:r w:rsidR="00981B2B" w:rsidRPr="00692DCD">
        <w:rPr>
          <w:rFonts w:ascii="Verdana" w:hAnsi="Verdana"/>
          <w:sz w:val="16"/>
          <w:lang w:val="es-CR"/>
        </w:rPr>
        <w:t xml:space="preserve"> aportó los </w:t>
      </w:r>
      <w:r w:rsidR="00632D7D">
        <w:rPr>
          <w:rFonts w:ascii="Verdana" w:hAnsi="Verdana"/>
          <w:sz w:val="16"/>
          <w:lang w:val="es-CR"/>
        </w:rPr>
        <w:t>enlaces</w:t>
      </w:r>
      <w:r w:rsidR="00632D7D" w:rsidRPr="00692DCD">
        <w:rPr>
          <w:rFonts w:ascii="Verdana" w:hAnsi="Verdana"/>
          <w:sz w:val="16"/>
          <w:lang w:val="es-CR"/>
        </w:rPr>
        <w:t xml:space="preserve"> </w:t>
      </w:r>
      <w:r w:rsidR="00981B2B" w:rsidRPr="00692DCD">
        <w:rPr>
          <w:rFonts w:ascii="Verdana" w:hAnsi="Verdana"/>
          <w:sz w:val="16"/>
          <w:lang w:val="es-CR"/>
        </w:rPr>
        <w:t xml:space="preserve">de cada </w:t>
      </w:r>
      <w:r w:rsidR="00632D7D">
        <w:rPr>
          <w:rFonts w:ascii="Verdana" w:hAnsi="Verdana"/>
          <w:sz w:val="16"/>
          <w:lang w:val="es-CR"/>
        </w:rPr>
        <w:t xml:space="preserve">una de las 38 </w:t>
      </w:r>
      <w:r w:rsidR="00981B2B" w:rsidRPr="00692DCD">
        <w:rPr>
          <w:rFonts w:ascii="Verdana" w:hAnsi="Verdana"/>
          <w:sz w:val="16"/>
          <w:lang w:val="es-CR"/>
        </w:rPr>
        <w:t>publicaci</w:t>
      </w:r>
      <w:r w:rsidR="00632D7D">
        <w:rPr>
          <w:rFonts w:ascii="Verdana" w:hAnsi="Verdana"/>
          <w:sz w:val="16"/>
          <w:lang w:val="es-CR"/>
        </w:rPr>
        <w:t>o</w:t>
      </w:r>
      <w:r w:rsidR="00981B2B" w:rsidRPr="00692DCD">
        <w:rPr>
          <w:rFonts w:ascii="Verdana" w:hAnsi="Verdana"/>
          <w:sz w:val="16"/>
          <w:lang w:val="es-CR"/>
        </w:rPr>
        <w:t>n</w:t>
      </w:r>
      <w:r w:rsidR="00632D7D">
        <w:rPr>
          <w:rFonts w:ascii="Verdana" w:hAnsi="Verdana"/>
          <w:sz w:val="16"/>
          <w:lang w:val="es-CR"/>
        </w:rPr>
        <w:t>es</w:t>
      </w:r>
      <w:r w:rsidR="00981B2B" w:rsidRPr="00692DCD">
        <w:rPr>
          <w:rFonts w:ascii="Verdana" w:hAnsi="Verdana"/>
          <w:sz w:val="16"/>
          <w:lang w:val="es-CR"/>
        </w:rPr>
        <w:t xml:space="preserve"> realizada</w:t>
      </w:r>
      <w:r w:rsidR="00632D7D">
        <w:rPr>
          <w:rFonts w:ascii="Verdana" w:hAnsi="Verdana"/>
          <w:sz w:val="16"/>
          <w:lang w:val="es-CR"/>
        </w:rPr>
        <w:t>s</w:t>
      </w:r>
      <w:r w:rsidR="00981B2B" w:rsidRPr="00692DCD">
        <w:rPr>
          <w:rFonts w:ascii="Verdana" w:hAnsi="Verdana"/>
          <w:sz w:val="16"/>
          <w:lang w:val="es-CR"/>
        </w:rPr>
        <w:t xml:space="preserve"> en Twitter y Facebook </w:t>
      </w:r>
      <w:r w:rsidR="00632D7D">
        <w:rPr>
          <w:rFonts w:ascii="Verdana" w:hAnsi="Verdana"/>
          <w:sz w:val="16"/>
          <w:lang w:val="es-CR"/>
        </w:rPr>
        <w:t>entre el</w:t>
      </w:r>
      <w:r w:rsidR="00632D7D" w:rsidRPr="00692DCD">
        <w:rPr>
          <w:rFonts w:ascii="Verdana" w:hAnsi="Verdana"/>
          <w:sz w:val="16"/>
          <w:lang w:val="es-CR"/>
        </w:rPr>
        <w:t xml:space="preserve"> </w:t>
      </w:r>
      <w:r w:rsidR="00981B2B" w:rsidRPr="00692DCD">
        <w:rPr>
          <w:rFonts w:ascii="Verdana" w:hAnsi="Verdana"/>
          <w:sz w:val="16"/>
          <w:lang w:val="es-CR"/>
        </w:rPr>
        <w:t xml:space="preserve">25 de agosto de 2017 </w:t>
      </w:r>
      <w:r w:rsidR="00632D7D">
        <w:rPr>
          <w:rFonts w:ascii="Verdana" w:hAnsi="Verdana"/>
          <w:sz w:val="16"/>
          <w:lang w:val="es-CR"/>
        </w:rPr>
        <w:t>y el</w:t>
      </w:r>
      <w:r w:rsidR="00981B2B" w:rsidRPr="00692DCD">
        <w:rPr>
          <w:rFonts w:ascii="Verdana" w:hAnsi="Verdana"/>
          <w:sz w:val="16"/>
          <w:lang w:val="es-CR"/>
        </w:rPr>
        <w:t xml:space="preserve"> 11 de mayo de 2018. </w:t>
      </w:r>
      <w:r w:rsidR="00981B2B" w:rsidRPr="00692DCD">
        <w:rPr>
          <w:rFonts w:ascii="Verdana" w:hAnsi="Verdana"/>
          <w:i/>
          <w:sz w:val="16"/>
          <w:szCs w:val="16"/>
          <w:lang w:val="es-CR"/>
        </w:rPr>
        <w:t>Cfr</w:t>
      </w:r>
      <w:r w:rsidR="00981B2B" w:rsidRPr="00692DCD">
        <w:rPr>
          <w:rFonts w:ascii="Verdana" w:hAnsi="Verdana"/>
          <w:sz w:val="16"/>
          <w:szCs w:val="16"/>
          <w:lang w:val="es-CR"/>
        </w:rPr>
        <w:t>. Informe</w:t>
      </w:r>
      <w:r w:rsidR="00B90B79">
        <w:rPr>
          <w:rFonts w:ascii="Verdana" w:hAnsi="Verdana"/>
          <w:sz w:val="16"/>
          <w:szCs w:val="16"/>
          <w:lang w:val="es-CR"/>
        </w:rPr>
        <w:t xml:space="preserve"> estatal de 16 de mayo de 2018.</w:t>
      </w:r>
    </w:p>
  </w:footnote>
  <w:footnote w:id="19">
    <w:p w14:paraId="7F7E3203" w14:textId="06F6514F" w:rsidR="001A6B93" w:rsidRPr="00B026D8" w:rsidRDefault="001A6B93" w:rsidP="001A6B93">
      <w:pPr>
        <w:pStyle w:val="Textonotapie"/>
        <w:tabs>
          <w:tab w:val="left" w:pos="426"/>
          <w:tab w:val="left" w:pos="567"/>
        </w:tabs>
        <w:jc w:val="both"/>
        <w:rPr>
          <w:b/>
          <w:lang w:val="es-CR"/>
        </w:rPr>
      </w:pPr>
      <w:r w:rsidRPr="00692DCD">
        <w:rPr>
          <w:rStyle w:val="Refdenotaalpie"/>
          <w:rFonts w:ascii="Verdana" w:hAnsi="Verdana"/>
          <w:sz w:val="16"/>
        </w:rPr>
        <w:footnoteRef/>
      </w:r>
      <w:r w:rsidRPr="00692DCD">
        <w:rPr>
          <w:rFonts w:ascii="Verdana" w:hAnsi="Verdana"/>
          <w:sz w:val="16"/>
          <w:lang w:val="es-CR"/>
        </w:rPr>
        <w:t xml:space="preserve"> </w:t>
      </w:r>
      <w:r>
        <w:rPr>
          <w:rFonts w:ascii="Verdana" w:hAnsi="Verdana"/>
          <w:sz w:val="16"/>
          <w:lang w:val="es-CR"/>
        </w:rPr>
        <w:tab/>
      </w:r>
      <w:r w:rsidRPr="00692DCD">
        <w:rPr>
          <w:rFonts w:ascii="Verdana" w:hAnsi="Verdana"/>
          <w:i/>
          <w:sz w:val="16"/>
          <w:szCs w:val="16"/>
          <w:lang w:val="es-CR"/>
        </w:rPr>
        <w:t>Cfr</w:t>
      </w:r>
      <w:r w:rsidRPr="00692DCD">
        <w:rPr>
          <w:rFonts w:ascii="Verdana" w:hAnsi="Verdana"/>
          <w:sz w:val="16"/>
          <w:szCs w:val="16"/>
          <w:lang w:val="es-CR"/>
        </w:rPr>
        <w:t>. Informe</w:t>
      </w:r>
      <w:r w:rsidR="00B90B79">
        <w:rPr>
          <w:rFonts w:ascii="Verdana" w:hAnsi="Verdana"/>
          <w:sz w:val="16"/>
          <w:szCs w:val="16"/>
          <w:lang w:val="es-CR"/>
        </w:rPr>
        <w:t xml:space="preserve"> estatal de 16 de mayo de 2018.</w:t>
      </w:r>
    </w:p>
  </w:footnote>
  <w:footnote w:id="20">
    <w:p w14:paraId="27518EFC" w14:textId="10C2B2C2" w:rsidR="001A6B93" w:rsidRPr="00B026D8" w:rsidRDefault="001A6B93" w:rsidP="001A6B93">
      <w:pPr>
        <w:pStyle w:val="Textonotapie"/>
        <w:tabs>
          <w:tab w:val="left" w:pos="426"/>
          <w:tab w:val="left" w:pos="567"/>
        </w:tabs>
        <w:jc w:val="both"/>
        <w:rPr>
          <w:b/>
          <w:lang w:val="es-CR"/>
        </w:rPr>
      </w:pPr>
      <w:r w:rsidRPr="00692DCD">
        <w:rPr>
          <w:rStyle w:val="Refdenotaalpie"/>
          <w:rFonts w:ascii="Verdana" w:hAnsi="Verdana"/>
          <w:sz w:val="16"/>
        </w:rPr>
        <w:footnoteRef/>
      </w:r>
      <w:r w:rsidRPr="00692DCD">
        <w:rPr>
          <w:rFonts w:ascii="Verdana" w:hAnsi="Verdana"/>
          <w:sz w:val="16"/>
          <w:lang w:val="es-CR"/>
        </w:rPr>
        <w:t xml:space="preserve"> </w:t>
      </w:r>
      <w:r>
        <w:rPr>
          <w:rFonts w:ascii="Verdana" w:hAnsi="Verdana"/>
          <w:sz w:val="16"/>
          <w:lang w:val="es-CR"/>
        </w:rPr>
        <w:tab/>
      </w:r>
      <w:r w:rsidRPr="00692DCD">
        <w:rPr>
          <w:rFonts w:ascii="Verdana" w:hAnsi="Verdana"/>
          <w:i/>
          <w:sz w:val="16"/>
          <w:szCs w:val="16"/>
          <w:lang w:val="es-CR"/>
        </w:rPr>
        <w:t>Cfr</w:t>
      </w:r>
      <w:r w:rsidRPr="00692DCD">
        <w:rPr>
          <w:rFonts w:ascii="Verdana" w:hAnsi="Verdana"/>
          <w:sz w:val="16"/>
          <w:szCs w:val="16"/>
          <w:lang w:val="es-CR"/>
        </w:rPr>
        <w:t>. Informe</w:t>
      </w:r>
      <w:r w:rsidR="00B90B79">
        <w:rPr>
          <w:rFonts w:ascii="Verdana" w:hAnsi="Verdana"/>
          <w:sz w:val="16"/>
          <w:szCs w:val="16"/>
          <w:lang w:val="es-CR"/>
        </w:rPr>
        <w:t xml:space="preserve"> estatal de 16 de mayo de 2018.</w:t>
      </w:r>
    </w:p>
  </w:footnote>
  <w:footnote w:id="21">
    <w:p w14:paraId="7EE7109E" w14:textId="7C476BAE" w:rsidR="001A6B93" w:rsidRPr="00B026D8" w:rsidRDefault="001A6B93" w:rsidP="001A6B93">
      <w:pPr>
        <w:pStyle w:val="Textonotapie"/>
        <w:tabs>
          <w:tab w:val="left" w:pos="426"/>
          <w:tab w:val="left" w:pos="567"/>
        </w:tabs>
        <w:jc w:val="both"/>
        <w:rPr>
          <w:b/>
          <w:lang w:val="es-CR"/>
        </w:rPr>
      </w:pPr>
      <w:r w:rsidRPr="00692DCD">
        <w:rPr>
          <w:rStyle w:val="Refdenotaalpie"/>
          <w:rFonts w:ascii="Verdana" w:hAnsi="Verdana"/>
          <w:sz w:val="16"/>
        </w:rPr>
        <w:footnoteRef/>
      </w:r>
      <w:r w:rsidRPr="00692DCD">
        <w:rPr>
          <w:rFonts w:ascii="Verdana" w:hAnsi="Verdana"/>
          <w:sz w:val="16"/>
          <w:lang w:val="es-CR"/>
        </w:rPr>
        <w:t xml:space="preserve"> </w:t>
      </w:r>
      <w:r>
        <w:rPr>
          <w:rFonts w:ascii="Verdana" w:hAnsi="Verdana"/>
          <w:sz w:val="16"/>
          <w:lang w:val="es-CR"/>
        </w:rPr>
        <w:tab/>
      </w:r>
      <w:r w:rsidRPr="00692DCD">
        <w:rPr>
          <w:rFonts w:ascii="Verdana" w:hAnsi="Verdana"/>
          <w:i/>
          <w:sz w:val="16"/>
          <w:szCs w:val="16"/>
          <w:lang w:val="es-CR"/>
        </w:rPr>
        <w:t>Cfr</w:t>
      </w:r>
      <w:r w:rsidRPr="00692DCD">
        <w:rPr>
          <w:rFonts w:ascii="Verdana" w:hAnsi="Verdana"/>
          <w:sz w:val="16"/>
          <w:szCs w:val="16"/>
          <w:lang w:val="es-CR"/>
        </w:rPr>
        <w:t>. Informe</w:t>
      </w:r>
      <w:r w:rsidR="00B90B79">
        <w:rPr>
          <w:rFonts w:ascii="Verdana" w:hAnsi="Verdana"/>
          <w:sz w:val="16"/>
          <w:szCs w:val="16"/>
          <w:lang w:val="es-CR"/>
        </w:rPr>
        <w:t xml:space="preserve"> estatal de 16 de mayo de 2018.</w:t>
      </w:r>
    </w:p>
  </w:footnote>
  <w:footnote w:id="22">
    <w:p w14:paraId="01756AA6" w14:textId="1C69E3C5" w:rsidR="00F93920" w:rsidRPr="00082594" w:rsidRDefault="00F93920" w:rsidP="00F93920">
      <w:pPr>
        <w:pStyle w:val="Textonotapie"/>
        <w:tabs>
          <w:tab w:val="left" w:pos="426"/>
          <w:tab w:val="left" w:pos="567"/>
        </w:tabs>
        <w:jc w:val="both"/>
        <w:rPr>
          <w:lang w:val="es-CR"/>
        </w:rPr>
      </w:pPr>
      <w:r>
        <w:rPr>
          <w:rStyle w:val="Refdenotaalpie"/>
        </w:rPr>
        <w:footnoteRef/>
      </w:r>
      <w:r w:rsidRPr="00FE67D9">
        <w:rPr>
          <w:lang w:val="es-CR"/>
        </w:rPr>
        <w:t xml:space="preserve"> </w:t>
      </w:r>
      <w:r>
        <w:rPr>
          <w:lang w:val="es-CR"/>
        </w:rPr>
        <w:tab/>
      </w:r>
      <w:r w:rsidRPr="00786A64">
        <w:rPr>
          <w:rFonts w:ascii="Verdana" w:hAnsi="Verdana"/>
          <w:i/>
          <w:sz w:val="16"/>
          <w:szCs w:val="16"/>
          <w:lang w:val="es-CR"/>
        </w:rPr>
        <w:t>Cfr.</w:t>
      </w:r>
      <w:r w:rsidRPr="00786A64">
        <w:rPr>
          <w:rFonts w:ascii="Verdana" w:hAnsi="Verdana"/>
          <w:sz w:val="16"/>
          <w:szCs w:val="16"/>
          <w:lang w:val="es-CR"/>
        </w:rPr>
        <w:t xml:space="preserve"> Escrito de observaciones de los representantes de </w:t>
      </w:r>
      <w:r>
        <w:rPr>
          <w:rFonts w:ascii="Verdana" w:hAnsi="Verdana"/>
          <w:sz w:val="16"/>
          <w:szCs w:val="16"/>
          <w:lang w:val="es-CR"/>
        </w:rPr>
        <w:t>29</w:t>
      </w:r>
      <w:r w:rsidRPr="00786A64">
        <w:rPr>
          <w:rFonts w:ascii="Verdana" w:hAnsi="Verdana"/>
          <w:sz w:val="16"/>
          <w:szCs w:val="16"/>
          <w:lang w:val="es-CR"/>
        </w:rPr>
        <w:t xml:space="preserve"> de </w:t>
      </w:r>
      <w:r>
        <w:rPr>
          <w:rFonts w:ascii="Verdana" w:hAnsi="Verdana"/>
          <w:sz w:val="16"/>
          <w:szCs w:val="16"/>
          <w:lang w:val="es-CR"/>
        </w:rPr>
        <w:t>junio</w:t>
      </w:r>
      <w:r w:rsidRPr="00786A64">
        <w:rPr>
          <w:rFonts w:ascii="Verdana" w:hAnsi="Verdana"/>
          <w:sz w:val="16"/>
          <w:szCs w:val="16"/>
          <w:lang w:val="es-CR"/>
        </w:rPr>
        <w:t xml:space="preserve"> de 2018.</w:t>
      </w:r>
      <w:r w:rsidR="00B90B79">
        <w:rPr>
          <w:rFonts w:ascii="Verdana" w:hAnsi="Verdana"/>
          <w:sz w:val="16"/>
          <w:lang w:val="es-CR"/>
        </w:rPr>
        <w:t xml:space="preserve"> </w:t>
      </w:r>
      <w:r>
        <w:rPr>
          <w:rFonts w:ascii="Verdana" w:hAnsi="Verdana"/>
          <w:sz w:val="16"/>
          <w:lang w:val="es-CR"/>
        </w:rPr>
        <w:t xml:space="preserve">Los representantes no se refirieron a las publicaciones realizadas por el Ministerio de Relaciones Exteriores.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45944513"/>
      <w:docPartObj>
        <w:docPartGallery w:val="Page Numbers (Top of Page)"/>
        <w:docPartUnique/>
      </w:docPartObj>
    </w:sdtPr>
    <w:sdtEndPr>
      <w:rPr>
        <w:rStyle w:val="Nmerodepgina"/>
      </w:rPr>
    </w:sdtEndPr>
    <w:sdtContent>
      <w:p w14:paraId="1180D241" w14:textId="77777777" w:rsidR="00676F70" w:rsidRDefault="00676F70" w:rsidP="00676F70">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60EB240" w14:textId="77777777" w:rsidR="00676F70" w:rsidRDefault="00676F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37F3" w14:textId="77777777" w:rsidR="00901CEB" w:rsidRDefault="00901C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5BF"/>
    <w:multiLevelType w:val="hybridMultilevel"/>
    <w:tmpl w:val="4700582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15:restartNumberingAfterBreak="0">
    <w:nsid w:val="094C616B"/>
    <w:multiLevelType w:val="hybridMultilevel"/>
    <w:tmpl w:val="D4C2A326"/>
    <w:lvl w:ilvl="0" w:tplc="370C3D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2F44FD"/>
    <w:multiLevelType w:val="hybridMultilevel"/>
    <w:tmpl w:val="BE24026E"/>
    <w:lvl w:ilvl="0" w:tplc="71425E0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1DD5753"/>
    <w:multiLevelType w:val="hybridMultilevel"/>
    <w:tmpl w:val="8AA42E92"/>
    <w:lvl w:ilvl="0" w:tplc="040A0015">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BB03BA"/>
    <w:multiLevelType w:val="hybridMultilevel"/>
    <w:tmpl w:val="2FB8295A"/>
    <w:lvl w:ilvl="0" w:tplc="140A000F">
      <w:start w:val="1"/>
      <w:numFmt w:val="decimal"/>
      <w:lvlText w:val="%1."/>
      <w:lvlJc w:val="left"/>
      <w:pPr>
        <w:ind w:left="720" w:hanging="360"/>
      </w:pPr>
      <w:rPr>
        <w:rFonts w:hint="default"/>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EA587C"/>
    <w:multiLevelType w:val="hybridMultilevel"/>
    <w:tmpl w:val="934C38E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0381134"/>
    <w:multiLevelType w:val="hybridMultilevel"/>
    <w:tmpl w:val="34DEB7D4"/>
    <w:lvl w:ilvl="0" w:tplc="04090017">
      <w:start w:val="1"/>
      <w:numFmt w:val="lowerLetter"/>
      <w:lvlText w:val="%1)"/>
      <w:lvlJc w:val="left"/>
      <w:pPr>
        <w:ind w:left="720" w:hanging="360"/>
      </w:pPr>
      <w:rPr>
        <w:rFonts w:hint="default"/>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1367EA"/>
    <w:multiLevelType w:val="hybridMultilevel"/>
    <w:tmpl w:val="71F66A48"/>
    <w:lvl w:ilvl="0" w:tplc="C6F2A78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3014FD"/>
    <w:multiLevelType w:val="hybridMultilevel"/>
    <w:tmpl w:val="2FB8295A"/>
    <w:lvl w:ilvl="0" w:tplc="140A000F">
      <w:start w:val="1"/>
      <w:numFmt w:val="decimal"/>
      <w:lvlText w:val="%1."/>
      <w:lvlJc w:val="left"/>
      <w:pPr>
        <w:ind w:left="720" w:hanging="360"/>
      </w:pPr>
      <w:rPr>
        <w:rFonts w:hint="default"/>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AE858E9"/>
    <w:multiLevelType w:val="hybridMultilevel"/>
    <w:tmpl w:val="9B44F7C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BBE0E90"/>
    <w:multiLevelType w:val="hybridMultilevel"/>
    <w:tmpl w:val="1D5EE040"/>
    <w:lvl w:ilvl="0" w:tplc="768A101A">
      <w:start w:val="1"/>
      <w:numFmt w:val="decimal"/>
      <w:lvlText w:val="%1."/>
      <w:lvlJc w:val="left"/>
      <w:pPr>
        <w:ind w:left="720" w:hanging="360"/>
      </w:pPr>
      <w:rPr>
        <w:rFonts w:hint="default"/>
        <w:b w:val="0"/>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E944F7E"/>
    <w:multiLevelType w:val="hybridMultilevel"/>
    <w:tmpl w:val="84BCB89C"/>
    <w:lvl w:ilvl="0" w:tplc="AF4C99F6">
      <w:start w:val="1"/>
      <w:numFmt w:val="lowerLetter"/>
      <w:lvlText w:val="%1)"/>
      <w:lvlJc w:val="left"/>
      <w:pPr>
        <w:ind w:left="720" w:hanging="360"/>
      </w:pPr>
      <w:rPr>
        <w:rFonts w:hint="default"/>
        <w:sz w:val="20"/>
        <w:szCs w:val="20"/>
        <w:lang w:val="es-MX"/>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AD3C9F"/>
    <w:multiLevelType w:val="hybridMultilevel"/>
    <w:tmpl w:val="7BB085BE"/>
    <w:lvl w:ilvl="0" w:tplc="294CAE26">
      <w:start w:val="3"/>
      <w:numFmt w:val="decimal"/>
      <w:lvlText w:val="%1."/>
      <w:lvlJc w:val="left"/>
      <w:pPr>
        <w:ind w:left="644" w:hanging="360"/>
      </w:pPr>
      <w:rPr>
        <w:rFonts w:hint="default"/>
        <w:b w:val="0"/>
        <w:i w:val="0"/>
        <w:color w:val="auto"/>
      </w:rPr>
    </w:lvl>
    <w:lvl w:ilvl="1" w:tplc="6EDA2B4C">
      <w:start w:val="1"/>
      <w:numFmt w:val="lowerRoman"/>
      <w:lvlText w:val="%2)"/>
      <w:lvlJc w:val="left"/>
      <w:pPr>
        <w:ind w:left="1800" w:hanging="72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0F82C02"/>
    <w:multiLevelType w:val="hybridMultilevel"/>
    <w:tmpl w:val="095EB9C8"/>
    <w:lvl w:ilvl="0" w:tplc="370C3D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8720405"/>
    <w:multiLevelType w:val="hybridMultilevel"/>
    <w:tmpl w:val="D28A8680"/>
    <w:lvl w:ilvl="0" w:tplc="140A0011">
      <w:start w:val="1"/>
      <w:numFmt w:val="decimal"/>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6" w15:restartNumberingAfterBreak="0">
    <w:nsid w:val="7C912C81"/>
    <w:multiLevelType w:val="multilevel"/>
    <w:tmpl w:val="114031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3"/>
  </w:num>
  <w:num w:numId="4">
    <w:abstractNumId w:val="3"/>
  </w:num>
  <w:num w:numId="5">
    <w:abstractNumId w:val="15"/>
  </w:num>
  <w:num w:numId="6">
    <w:abstractNumId w:val="11"/>
  </w:num>
  <w:num w:numId="7">
    <w:abstractNumId w:val="8"/>
  </w:num>
  <w:num w:numId="8">
    <w:abstractNumId w:val="9"/>
  </w:num>
  <w:num w:numId="9">
    <w:abstractNumId w:val="5"/>
  </w:num>
  <w:num w:numId="10">
    <w:abstractNumId w:val="2"/>
  </w:num>
  <w:num w:numId="11">
    <w:abstractNumId w:val="7"/>
  </w:num>
  <w:num w:numId="12">
    <w:abstractNumId w:val="1"/>
  </w:num>
  <w:num w:numId="13">
    <w:abstractNumId w:val="14"/>
  </w:num>
  <w:num w:numId="14">
    <w:abstractNumId w:val="16"/>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44"/>
    <w:rsid w:val="00002440"/>
    <w:rsid w:val="00010C90"/>
    <w:rsid w:val="00027675"/>
    <w:rsid w:val="00031E2C"/>
    <w:rsid w:val="00042CF4"/>
    <w:rsid w:val="00051BD7"/>
    <w:rsid w:val="00055FA3"/>
    <w:rsid w:val="00056277"/>
    <w:rsid w:val="000705BA"/>
    <w:rsid w:val="0007109E"/>
    <w:rsid w:val="0007143D"/>
    <w:rsid w:val="00082594"/>
    <w:rsid w:val="00085B5B"/>
    <w:rsid w:val="00091678"/>
    <w:rsid w:val="000B635C"/>
    <w:rsid w:val="000C08C0"/>
    <w:rsid w:val="000C621C"/>
    <w:rsid w:val="000D31F1"/>
    <w:rsid w:val="000E0B29"/>
    <w:rsid w:val="000E1E7F"/>
    <w:rsid w:val="000E289B"/>
    <w:rsid w:val="000E595A"/>
    <w:rsid w:val="00105C18"/>
    <w:rsid w:val="00116113"/>
    <w:rsid w:val="00120494"/>
    <w:rsid w:val="00130A93"/>
    <w:rsid w:val="00136592"/>
    <w:rsid w:val="001422DB"/>
    <w:rsid w:val="00152DA9"/>
    <w:rsid w:val="00153DBB"/>
    <w:rsid w:val="001601FF"/>
    <w:rsid w:val="001617AA"/>
    <w:rsid w:val="00176771"/>
    <w:rsid w:val="001813B2"/>
    <w:rsid w:val="001A38E7"/>
    <w:rsid w:val="001A6B93"/>
    <w:rsid w:val="001B04D5"/>
    <w:rsid w:val="001C5D5B"/>
    <w:rsid w:val="001E1CAB"/>
    <w:rsid w:val="001E4E56"/>
    <w:rsid w:val="00221F77"/>
    <w:rsid w:val="00244473"/>
    <w:rsid w:val="002475BE"/>
    <w:rsid w:val="00247EC9"/>
    <w:rsid w:val="0025236E"/>
    <w:rsid w:val="0025460B"/>
    <w:rsid w:val="002624E7"/>
    <w:rsid w:val="002653C7"/>
    <w:rsid w:val="002719BD"/>
    <w:rsid w:val="00280BC9"/>
    <w:rsid w:val="002906D2"/>
    <w:rsid w:val="002A0143"/>
    <w:rsid w:val="002B66B7"/>
    <w:rsid w:val="002D0DE7"/>
    <w:rsid w:val="002D1626"/>
    <w:rsid w:val="002D6F52"/>
    <w:rsid w:val="002E204A"/>
    <w:rsid w:val="002E2D5C"/>
    <w:rsid w:val="002F2C10"/>
    <w:rsid w:val="002F62A5"/>
    <w:rsid w:val="002F669C"/>
    <w:rsid w:val="003006C1"/>
    <w:rsid w:val="003119EF"/>
    <w:rsid w:val="00313240"/>
    <w:rsid w:val="00313D9F"/>
    <w:rsid w:val="00324907"/>
    <w:rsid w:val="00330D07"/>
    <w:rsid w:val="0033269A"/>
    <w:rsid w:val="00342EB1"/>
    <w:rsid w:val="00344510"/>
    <w:rsid w:val="00344AE5"/>
    <w:rsid w:val="00363CF1"/>
    <w:rsid w:val="00364C74"/>
    <w:rsid w:val="003949BD"/>
    <w:rsid w:val="003A1473"/>
    <w:rsid w:val="003B1EF3"/>
    <w:rsid w:val="003D3078"/>
    <w:rsid w:val="003E25D0"/>
    <w:rsid w:val="003F04EB"/>
    <w:rsid w:val="0041260D"/>
    <w:rsid w:val="00425B5C"/>
    <w:rsid w:val="004263DE"/>
    <w:rsid w:val="00437AF7"/>
    <w:rsid w:val="00453055"/>
    <w:rsid w:val="00463ABE"/>
    <w:rsid w:val="0048064D"/>
    <w:rsid w:val="00490369"/>
    <w:rsid w:val="00494BA3"/>
    <w:rsid w:val="004A68D3"/>
    <w:rsid w:val="004B1BBA"/>
    <w:rsid w:val="004B4B52"/>
    <w:rsid w:val="004B568F"/>
    <w:rsid w:val="004C174A"/>
    <w:rsid w:val="004C2A87"/>
    <w:rsid w:val="004E531F"/>
    <w:rsid w:val="004F094D"/>
    <w:rsid w:val="004F2B1F"/>
    <w:rsid w:val="004F7BE7"/>
    <w:rsid w:val="0050717A"/>
    <w:rsid w:val="005167AB"/>
    <w:rsid w:val="00516CD0"/>
    <w:rsid w:val="005439D6"/>
    <w:rsid w:val="005507D1"/>
    <w:rsid w:val="00556CD0"/>
    <w:rsid w:val="005578C2"/>
    <w:rsid w:val="00563908"/>
    <w:rsid w:val="00567D47"/>
    <w:rsid w:val="00591585"/>
    <w:rsid w:val="00593941"/>
    <w:rsid w:val="005955E6"/>
    <w:rsid w:val="005A613A"/>
    <w:rsid w:val="005B3C65"/>
    <w:rsid w:val="005B5D8C"/>
    <w:rsid w:val="005C039D"/>
    <w:rsid w:val="005C7D4F"/>
    <w:rsid w:val="005F15B3"/>
    <w:rsid w:val="005F3491"/>
    <w:rsid w:val="0060335A"/>
    <w:rsid w:val="00624D88"/>
    <w:rsid w:val="00627555"/>
    <w:rsid w:val="00632D7D"/>
    <w:rsid w:val="00633A2A"/>
    <w:rsid w:val="00645AA3"/>
    <w:rsid w:val="006516DC"/>
    <w:rsid w:val="00671A11"/>
    <w:rsid w:val="00671A50"/>
    <w:rsid w:val="00672CE6"/>
    <w:rsid w:val="00676F70"/>
    <w:rsid w:val="00692DCD"/>
    <w:rsid w:val="006B192B"/>
    <w:rsid w:val="006B7732"/>
    <w:rsid w:val="006D17AA"/>
    <w:rsid w:val="006E1FE7"/>
    <w:rsid w:val="006E4F76"/>
    <w:rsid w:val="006F2AD7"/>
    <w:rsid w:val="00711889"/>
    <w:rsid w:val="00717AE5"/>
    <w:rsid w:val="007325A7"/>
    <w:rsid w:val="00737DE7"/>
    <w:rsid w:val="0074014F"/>
    <w:rsid w:val="00750990"/>
    <w:rsid w:val="007527DF"/>
    <w:rsid w:val="007557D0"/>
    <w:rsid w:val="00763718"/>
    <w:rsid w:val="00786A64"/>
    <w:rsid w:val="007B3EC4"/>
    <w:rsid w:val="007B51CC"/>
    <w:rsid w:val="007C290D"/>
    <w:rsid w:val="007C3DA6"/>
    <w:rsid w:val="007C7800"/>
    <w:rsid w:val="007E69D3"/>
    <w:rsid w:val="008037FB"/>
    <w:rsid w:val="008210D7"/>
    <w:rsid w:val="008257BF"/>
    <w:rsid w:val="008431FA"/>
    <w:rsid w:val="008432F0"/>
    <w:rsid w:val="00844E4A"/>
    <w:rsid w:val="0087499D"/>
    <w:rsid w:val="00874A8D"/>
    <w:rsid w:val="00881485"/>
    <w:rsid w:val="00887678"/>
    <w:rsid w:val="008A1FA5"/>
    <w:rsid w:val="008B0545"/>
    <w:rsid w:val="008B2705"/>
    <w:rsid w:val="008B759E"/>
    <w:rsid w:val="008C2697"/>
    <w:rsid w:val="008C2EF3"/>
    <w:rsid w:val="008C5577"/>
    <w:rsid w:val="008D15B0"/>
    <w:rsid w:val="008D210A"/>
    <w:rsid w:val="008D3881"/>
    <w:rsid w:val="008D76CA"/>
    <w:rsid w:val="008E352E"/>
    <w:rsid w:val="008F12C4"/>
    <w:rsid w:val="008F5DCC"/>
    <w:rsid w:val="00901CEB"/>
    <w:rsid w:val="00905C97"/>
    <w:rsid w:val="00944C1C"/>
    <w:rsid w:val="00955A8A"/>
    <w:rsid w:val="00965614"/>
    <w:rsid w:val="009671D0"/>
    <w:rsid w:val="009736E4"/>
    <w:rsid w:val="00976C72"/>
    <w:rsid w:val="00981B2B"/>
    <w:rsid w:val="009916CE"/>
    <w:rsid w:val="00993438"/>
    <w:rsid w:val="009A5AB0"/>
    <w:rsid w:val="009B3FD5"/>
    <w:rsid w:val="009D17F4"/>
    <w:rsid w:val="009D55D2"/>
    <w:rsid w:val="009E108F"/>
    <w:rsid w:val="009E27BE"/>
    <w:rsid w:val="009E588B"/>
    <w:rsid w:val="009F2991"/>
    <w:rsid w:val="00A127A6"/>
    <w:rsid w:val="00A260EB"/>
    <w:rsid w:val="00A30C6A"/>
    <w:rsid w:val="00A8425B"/>
    <w:rsid w:val="00A93FE9"/>
    <w:rsid w:val="00AA7509"/>
    <w:rsid w:val="00AA7933"/>
    <w:rsid w:val="00AB1DCC"/>
    <w:rsid w:val="00AB47C3"/>
    <w:rsid w:val="00AB6958"/>
    <w:rsid w:val="00AB6DE6"/>
    <w:rsid w:val="00AB7E5E"/>
    <w:rsid w:val="00AF12FA"/>
    <w:rsid w:val="00B002ED"/>
    <w:rsid w:val="00B026D8"/>
    <w:rsid w:val="00B0291C"/>
    <w:rsid w:val="00B11FEC"/>
    <w:rsid w:val="00B1437D"/>
    <w:rsid w:val="00B14483"/>
    <w:rsid w:val="00B259F6"/>
    <w:rsid w:val="00B41205"/>
    <w:rsid w:val="00B4476E"/>
    <w:rsid w:val="00B514B4"/>
    <w:rsid w:val="00B60850"/>
    <w:rsid w:val="00B77444"/>
    <w:rsid w:val="00B8230C"/>
    <w:rsid w:val="00B90B79"/>
    <w:rsid w:val="00B956FC"/>
    <w:rsid w:val="00BB3F18"/>
    <w:rsid w:val="00BF23E8"/>
    <w:rsid w:val="00BF7AC8"/>
    <w:rsid w:val="00C0057A"/>
    <w:rsid w:val="00C06C15"/>
    <w:rsid w:val="00C12E14"/>
    <w:rsid w:val="00C15533"/>
    <w:rsid w:val="00C20D38"/>
    <w:rsid w:val="00C20E29"/>
    <w:rsid w:val="00C24B75"/>
    <w:rsid w:val="00C25213"/>
    <w:rsid w:val="00C53404"/>
    <w:rsid w:val="00C56FDA"/>
    <w:rsid w:val="00C76364"/>
    <w:rsid w:val="00C77409"/>
    <w:rsid w:val="00C83248"/>
    <w:rsid w:val="00C83BC8"/>
    <w:rsid w:val="00CB0CB7"/>
    <w:rsid w:val="00CC3C7F"/>
    <w:rsid w:val="00CD039D"/>
    <w:rsid w:val="00CD039E"/>
    <w:rsid w:val="00CE1B91"/>
    <w:rsid w:val="00CE419B"/>
    <w:rsid w:val="00CF2E12"/>
    <w:rsid w:val="00D22C93"/>
    <w:rsid w:val="00D2562F"/>
    <w:rsid w:val="00D336DE"/>
    <w:rsid w:val="00D47DFB"/>
    <w:rsid w:val="00D512B9"/>
    <w:rsid w:val="00D53D09"/>
    <w:rsid w:val="00D605CD"/>
    <w:rsid w:val="00D706BF"/>
    <w:rsid w:val="00D96312"/>
    <w:rsid w:val="00DA2497"/>
    <w:rsid w:val="00DB338A"/>
    <w:rsid w:val="00DC4658"/>
    <w:rsid w:val="00E10D36"/>
    <w:rsid w:val="00E16F49"/>
    <w:rsid w:val="00E27D8B"/>
    <w:rsid w:val="00E341A6"/>
    <w:rsid w:val="00E42185"/>
    <w:rsid w:val="00E62EA8"/>
    <w:rsid w:val="00E676C8"/>
    <w:rsid w:val="00E7646E"/>
    <w:rsid w:val="00E821A4"/>
    <w:rsid w:val="00E82BBE"/>
    <w:rsid w:val="00E9031D"/>
    <w:rsid w:val="00EA3D0C"/>
    <w:rsid w:val="00EA7C0E"/>
    <w:rsid w:val="00EB57C5"/>
    <w:rsid w:val="00EB742B"/>
    <w:rsid w:val="00ED1D80"/>
    <w:rsid w:val="00EF01D2"/>
    <w:rsid w:val="00EF1838"/>
    <w:rsid w:val="00F0279D"/>
    <w:rsid w:val="00F16534"/>
    <w:rsid w:val="00F3288E"/>
    <w:rsid w:val="00F40FB8"/>
    <w:rsid w:val="00F6011C"/>
    <w:rsid w:val="00F764FC"/>
    <w:rsid w:val="00F8577F"/>
    <w:rsid w:val="00F86120"/>
    <w:rsid w:val="00F93553"/>
    <w:rsid w:val="00F93662"/>
    <w:rsid w:val="00F93920"/>
    <w:rsid w:val="00F97477"/>
    <w:rsid w:val="00FA5EA6"/>
    <w:rsid w:val="00FB3997"/>
    <w:rsid w:val="00FB3F7B"/>
    <w:rsid w:val="00FB4FB1"/>
    <w:rsid w:val="00FC12EC"/>
    <w:rsid w:val="00FC5169"/>
    <w:rsid w:val="00FD5BC3"/>
    <w:rsid w:val="00FD619A"/>
    <w:rsid w:val="00FE4FC8"/>
    <w:rsid w:val="00FE5F67"/>
    <w:rsid w:val="00FE6503"/>
    <w:rsid w:val="00FE67D9"/>
    <w:rsid w:val="00FE7396"/>
    <w:rsid w:val="00FF46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5D3BD"/>
  <w15:docId w15:val="{FFF85CFA-9DD6-4B4B-9E9F-250B854A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44"/>
    <w:pPr>
      <w:spacing w:after="200" w:line="276" w:lineRule="auto"/>
    </w:pPr>
    <w:rPr>
      <w:rFonts w:ascii="Calibri" w:eastAsia="Calibri" w:hAnsi="Calibri" w:cs="Times New Roman"/>
      <w:sz w:val="22"/>
      <w:szCs w:val="22"/>
      <w:lang w:val="en-US"/>
    </w:rPr>
  </w:style>
  <w:style w:type="paragraph" w:styleId="Ttulo3">
    <w:name w:val="heading 3"/>
    <w:basedOn w:val="Normal"/>
    <w:next w:val="Normal"/>
    <w:link w:val="Ttulo3Car"/>
    <w:uiPriority w:val="9"/>
    <w:unhideWhenUsed/>
    <w:qFormat/>
    <w:rsid w:val="00342EB1"/>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B77444"/>
    <w:rPr>
      <w:vertAlign w:val="superscript"/>
    </w:rPr>
  </w:style>
  <w:style w:type="paragraph" w:styleId="Encabezado">
    <w:name w:val="header"/>
    <w:basedOn w:val="Normal"/>
    <w:link w:val="EncabezadoCar"/>
    <w:uiPriority w:val="99"/>
    <w:unhideWhenUsed/>
    <w:rsid w:val="00B77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444"/>
    <w:rPr>
      <w:rFonts w:ascii="Calibri" w:eastAsia="Calibri" w:hAnsi="Calibri" w:cs="Times New Roman"/>
      <w:sz w:val="22"/>
      <w:szCs w:val="22"/>
      <w:lang w:val="en-US"/>
    </w:rPr>
  </w:style>
  <w:style w:type="character" w:styleId="Nmerodepgina">
    <w:name w:val="page number"/>
    <w:basedOn w:val="Fuentedeprrafopredeter"/>
    <w:uiPriority w:val="99"/>
    <w:semiHidden/>
    <w:unhideWhenUsed/>
    <w:rsid w:val="00B77444"/>
  </w:style>
  <w:style w:type="paragraph" w:styleId="Piedepgina">
    <w:name w:val="footer"/>
    <w:basedOn w:val="Normal"/>
    <w:link w:val="PiedepginaCar"/>
    <w:uiPriority w:val="99"/>
    <w:unhideWhenUsed/>
    <w:rsid w:val="00B77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444"/>
    <w:rPr>
      <w:rFonts w:ascii="Calibri" w:eastAsia="Calibri" w:hAnsi="Calibri" w:cs="Times New Roman"/>
      <w:sz w:val="22"/>
      <w:szCs w:val="22"/>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B7744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B77444"/>
    <w:rPr>
      <w:rFonts w:ascii="Calibri" w:eastAsia="Calibri" w:hAnsi="Calibri" w:cs="Times New Roman"/>
      <w:sz w:val="20"/>
      <w:szCs w:val="20"/>
      <w:lang w:val="en-US"/>
    </w:rPr>
  </w:style>
  <w:style w:type="character" w:styleId="Hipervnculo">
    <w:name w:val="Hyperlink"/>
    <w:uiPriority w:val="99"/>
    <w:unhideWhenUsed/>
    <w:rsid w:val="00B77444"/>
    <w:rPr>
      <w:color w:val="0000FF"/>
      <w:u w:val="single"/>
    </w:rPr>
  </w:style>
  <w:style w:type="character" w:customStyle="1" w:styleId="Listavistosa-nfasis1Car">
    <w:name w:val="Lista vistosa - Énfasis 1 Car"/>
    <w:aliases w:val="Footnote Car,Párrafo de lista1 Car,List Paragraph1 Car,Colorful List - Accent 11 Car,Cuadrícula clara - Énfasis 3 Car,Párrafo de lista Car,Cuadrícula clara - Énfasis 31 Car"/>
    <w:link w:val="Listavistosa-nfasis1"/>
    <w:uiPriority w:val="34"/>
    <w:locked/>
    <w:rsid w:val="00B77444"/>
  </w:style>
  <w:style w:type="character" w:styleId="Textoennegrita">
    <w:name w:val="Strong"/>
    <w:uiPriority w:val="22"/>
    <w:qFormat/>
    <w:rsid w:val="00B77444"/>
    <w:rPr>
      <w:b/>
      <w:bCs/>
    </w:rPr>
  </w:style>
  <w:style w:type="paragraph" w:styleId="TDC1">
    <w:name w:val="toc 1"/>
    <w:basedOn w:val="Normal"/>
    <w:next w:val="Normal"/>
    <w:autoRedefine/>
    <w:uiPriority w:val="39"/>
    <w:unhideWhenUsed/>
    <w:qFormat/>
    <w:rsid w:val="00B77444"/>
    <w:pPr>
      <w:spacing w:before="120" w:after="120"/>
    </w:pPr>
    <w:rPr>
      <w:b/>
      <w:bCs/>
      <w:caps/>
      <w:sz w:val="20"/>
      <w:szCs w:val="20"/>
    </w:rPr>
  </w:style>
  <w:style w:type="table" w:styleId="Listavistosa-nfasis1">
    <w:name w:val="Colorful List Accent 1"/>
    <w:basedOn w:val="Tablanormal"/>
    <w:link w:val="Listavistosa-nfasis1Car"/>
    <w:semiHidden/>
    <w:unhideWhenUsed/>
    <w:rsid w:val="00B77444"/>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Prrafodelista">
    <w:name w:val="List Paragraph"/>
    <w:aliases w:val="Footnote,Párrafo de lista1,Colorful List - Accent 11,Cuadrícula clara - Énfasis 31"/>
    <w:basedOn w:val="Normal"/>
    <w:uiPriority w:val="34"/>
    <w:qFormat/>
    <w:rsid w:val="00563908"/>
    <w:pPr>
      <w:ind w:left="720"/>
      <w:contextualSpacing/>
    </w:pPr>
  </w:style>
  <w:style w:type="character" w:customStyle="1" w:styleId="Mencinsinresolver1">
    <w:name w:val="Mención sin resolver1"/>
    <w:basedOn w:val="Fuentedeprrafopredeter"/>
    <w:uiPriority w:val="99"/>
    <w:semiHidden/>
    <w:unhideWhenUsed/>
    <w:rsid w:val="004B1BBA"/>
    <w:rPr>
      <w:color w:val="605E5C"/>
      <w:shd w:val="clear" w:color="auto" w:fill="E1DFDD"/>
    </w:rPr>
  </w:style>
  <w:style w:type="paragraph" w:styleId="NormalWeb">
    <w:name w:val="Normal (Web)"/>
    <w:basedOn w:val="Normal"/>
    <w:uiPriority w:val="99"/>
    <w:semiHidden/>
    <w:unhideWhenUsed/>
    <w:rsid w:val="008F12C4"/>
    <w:rPr>
      <w:rFonts w:ascii="Times New Roman" w:hAnsi="Times New Roman"/>
      <w:sz w:val="24"/>
      <w:szCs w:val="24"/>
    </w:rPr>
  </w:style>
  <w:style w:type="character" w:customStyle="1" w:styleId="Ttulo3Car">
    <w:name w:val="Título 3 Car"/>
    <w:basedOn w:val="Fuentedeprrafopredeter"/>
    <w:link w:val="Ttulo3"/>
    <w:uiPriority w:val="9"/>
    <w:rsid w:val="00342EB1"/>
    <w:rPr>
      <w:rFonts w:asciiTheme="majorHAnsi" w:eastAsiaTheme="majorEastAsia" w:hAnsiTheme="majorHAnsi" w:cstheme="majorBidi"/>
      <w:b/>
      <w:bCs/>
      <w:color w:val="4472C4" w:themeColor="accent1"/>
      <w:sz w:val="22"/>
      <w:szCs w:val="22"/>
      <w:lang w:val="en-US"/>
    </w:rPr>
  </w:style>
  <w:style w:type="character" w:styleId="Refdecomentario">
    <w:name w:val="annotation reference"/>
    <w:basedOn w:val="Fuentedeprrafopredeter"/>
    <w:uiPriority w:val="99"/>
    <w:semiHidden/>
    <w:unhideWhenUsed/>
    <w:rsid w:val="002D6F52"/>
    <w:rPr>
      <w:sz w:val="16"/>
      <w:szCs w:val="16"/>
    </w:rPr>
  </w:style>
  <w:style w:type="paragraph" w:styleId="Textocomentario">
    <w:name w:val="annotation text"/>
    <w:basedOn w:val="Normal"/>
    <w:link w:val="TextocomentarioCar"/>
    <w:uiPriority w:val="99"/>
    <w:semiHidden/>
    <w:unhideWhenUsed/>
    <w:rsid w:val="002D6F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6F52"/>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D6F52"/>
    <w:rPr>
      <w:b/>
      <w:bCs/>
    </w:rPr>
  </w:style>
  <w:style w:type="character" w:customStyle="1" w:styleId="AsuntodelcomentarioCar">
    <w:name w:val="Asunto del comentario Car"/>
    <w:basedOn w:val="TextocomentarioCar"/>
    <w:link w:val="Asuntodelcomentario"/>
    <w:uiPriority w:val="99"/>
    <w:semiHidden/>
    <w:rsid w:val="002D6F52"/>
    <w:rPr>
      <w:rFonts w:ascii="Calibri" w:eastAsia="Calibri" w:hAnsi="Calibri" w:cs="Times New Roman"/>
      <w:b/>
      <w:bCs/>
      <w:sz w:val="20"/>
      <w:szCs w:val="20"/>
      <w:lang w:val="en-US"/>
    </w:rPr>
  </w:style>
  <w:style w:type="paragraph" w:styleId="Revisin">
    <w:name w:val="Revision"/>
    <w:hidden/>
    <w:uiPriority w:val="99"/>
    <w:semiHidden/>
    <w:rsid w:val="002D6F52"/>
    <w:rPr>
      <w:rFonts w:ascii="Calibri" w:eastAsia="Calibri" w:hAnsi="Calibri" w:cs="Times New Roman"/>
      <w:sz w:val="22"/>
      <w:szCs w:val="22"/>
      <w:lang w:val="en-US"/>
    </w:rPr>
  </w:style>
  <w:style w:type="paragraph" w:styleId="Textodeglobo">
    <w:name w:val="Balloon Text"/>
    <w:basedOn w:val="Normal"/>
    <w:link w:val="TextodegloboCar"/>
    <w:uiPriority w:val="99"/>
    <w:semiHidden/>
    <w:unhideWhenUsed/>
    <w:rsid w:val="002D6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F52"/>
    <w:rPr>
      <w:rFonts w:ascii="Tahoma" w:eastAsia="Calibri" w:hAnsi="Tahoma" w:cs="Tahoma"/>
      <w:sz w:val="16"/>
      <w:szCs w:val="16"/>
      <w:lang w:val="en-US"/>
    </w:rPr>
  </w:style>
  <w:style w:type="character" w:styleId="Nmerodelnea">
    <w:name w:val="line number"/>
    <w:basedOn w:val="Fuentedeprrafopredeter"/>
    <w:uiPriority w:val="99"/>
    <w:semiHidden/>
    <w:unhideWhenUsed/>
    <w:rsid w:val="0051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2239">
      <w:bodyDiv w:val="1"/>
      <w:marLeft w:val="0"/>
      <w:marRight w:val="0"/>
      <w:marTop w:val="0"/>
      <w:marBottom w:val="0"/>
      <w:divBdr>
        <w:top w:val="none" w:sz="0" w:space="0" w:color="auto"/>
        <w:left w:val="none" w:sz="0" w:space="0" w:color="auto"/>
        <w:bottom w:val="none" w:sz="0" w:space="0" w:color="auto"/>
        <w:right w:val="none" w:sz="0" w:space="0" w:color="auto"/>
      </w:divBdr>
      <w:divsChild>
        <w:div w:id="2031419405">
          <w:marLeft w:val="0"/>
          <w:marRight w:val="0"/>
          <w:marTop w:val="0"/>
          <w:marBottom w:val="0"/>
          <w:divBdr>
            <w:top w:val="none" w:sz="0" w:space="0" w:color="auto"/>
            <w:left w:val="none" w:sz="0" w:space="0" w:color="auto"/>
            <w:bottom w:val="none" w:sz="0" w:space="0" w:color="auto"/>
            <w:right w:val="none" w:sz="0" w:space="0" w:color="auto"/>
          </w:divBdr>
          <w:divsChild>
            <w:div w:id="568077408">
              <w:marLeft w:val="0"/>
              <w:marRight w:val="0"/>
              <w:marTop w:val="0"/>
              <w:marBottom w:val="0"/>
              <w:divBdr>
                <w:top w:val="none" w:sz="0" w:space="0" w:color="auto"/>
                <w:left w:val="none" w:sz="0" w:space="0" w:color="auto"/>
                <w:bottom w:val="none" w:sz="0" w:space="0" w:color="auto"/>
                <w:right w:val="none" w:sz="0" w:space="0" w:color="auto"/>
              </w:divBdr>
              <w:divsChild>
                <w:div w:id="16907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183">
      <w:bodyDiv w:val="1"/>
      <w:marLeft w:val="0"/>
      <w:marRight w:val="0"/>
      <w:marTop w:val="0"/>
      <w:marBottom w:val="0"/>
      <w:divBdr>
        <w:top w:val="none" w:sz="0" w:space="0" w:color="auto"/>
        <w:left w:val="none" w:sz="0" w:space="0" w:color="auto"/>
        <w:bottom w:val="none" w:sz="0" w:space="0" w:color="auto"/>
        <w:right w:val="none" w:sz="0" w:space="0" w:color="auto"/>
      </w:divBdr>
      <w:divsChild>
        <w:div w:id="1288588470">
          <w:marLeft w:val="0"/>
          <w:marRight w:val="0"/>
          <w:marTop w:val="0"/>
          <w:marBottom w:val="0"/>
          <w:divBdr>
            <w:top w:val="none" w:sz="0" w:space="0" w:color="auto"/>
            <w:left w:val="none" w:sz="0" w:space="0" w:color="auto"/>
            <w:bottom w:val="none" w:sz="0" w:space="0" w:color="auto"/>
            <w:right w:val="none" w:sz="0" w:space="0" w:color="auto"/>
          </w:divBdr>
          <w:divsChild>
            <w:div w:id="1802963150">
              <w:marLeft w:val="0"/>
              <w:marRight w:val="0"/>
              <w:marTop w:val="0"/>
              <w:marBottom w:val="0"/>
              <w:divBdr>
                <w:top w:val="none" w:sz="0" w:space="0" w:color="auto"/>
                <w:left w:val="none" w:sz="0" w:space="0" w:color="auto"/>
                <w:bottom w:val="none" w:sz="0" w:space="0" w:color="auto"/>
                <w:right w:val="none" w:sz="0" w:space="0" w:color="auto"/>
              </w:divBdr>
              <w:divsChild>
                <w:div w:id="751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0970">
      <w:bodyDiv w:val="1"/>
      <w:marLeft w:val="0"/>
      <w:marRight w:val="0"/>
      <w:marTop w:val="0"/>
      <w:marBottom w:val="0"/>
      <w:divBdr>
        <w:top w:val="none" w:sz="0" w:space="0" w:color="auto"/>
        <w:left w:val="none" w:sz="0" w:space="0" w:color="auto"/>
        <w:bottom w:val="none" w:sz="0" w:space="0" w:color="auto"/>
        <w:right w:val="none" w:sz="0" w:space="0" w:color="auto"/>
      </w:divBdr>
    </w:div>
    <w:div w:id="325397344">
      <w:bodyDiv w:val="1"/>
      <w:marLeft w:val="0"/>
      <w:marRight w:val="0"/>
      <w:marTop w:val="0"/>
      <w:marBottom w:val="0"/>
      <w:divBdr>
        <w:top w:val="none" w:sz="0" w:space="0" w:color="auto"/>
        <w:left w:val="none" w:sz="0" w:space="0" w:color="auto"/>
        <w:bottom w:val="none" w:sz="0" w:space="0" w:color="auto"/>
        <w:right w:val="none" w:sz="0" w:space="0" w:color="auto"/>
      </w:divBdr>
    </w:div>
    <w:div w:id="655841862">
      <w:bodyDiv w:val="1"/>
      <w:marLeft w:val="0"/>
      <w:marRight w:val="0"/>
      <w:marTop w:val="0"/>
      <w:marBottom w:val="0"/>
      <w:divBdr>
        <w:top w:val="none" w:sz="0" w:space="0" w:color="auto"/>
        <w:left w:val="none" w:sz="0" w:space="0" w:color="auto"/>
        <w:bottom w:val="none" w:sz="0" w:space="0" w:color="auto"/>
        <w:right w:val="none" w:sz="0" w:space="0" w:color="auto"/>
      </w:divBdr>
      <w:divsChild>
        <w:div w:id="1377390065">
          <w:marLeft w:val="0"/>
          <w:marRight w:val="0"/>
          <w:marTop w:val="0"/>
          <w:marBottom w:val="0"/>
          <w:divBdr>
            <w:top w:val="none" w:sz="0" w:space="0" w:color="auto"/>
            <w:left w:val="none" w:sz="0" w:space="0" w:color="auto"/>
            <w:bottom w:val="none" w:sz="0" w:space="0" w:color="auto"/>
            <w:right w:val="none" w:sz="0" w:space="0" w:color="auto"/>
          </w:divBdr>
          <w:divsChild>
            <w:div w:id="764689027">
              <w:marLeft w:val="0"/>
              <w:marRight w:val="0"/>
              <w:marTop w:val="0"/>
              <w:marBottom w:val="0"/>
              <w:divBdr>
                <w:top w:val="none" w:sz="0" w:space="0" w:color="auto"/>
                <w:left w:val="none" w:sz="0" w:space="0" w:color="auto"/>
                <w:bottom w:val="none" w:sz="0" w:space="0" w:color="auto"/>
                <w:right w:val="none" w:sz="0" w:space="0" w:color="auto"/>
              </w:divBdr>
              <w:divsChild>
                <w:div w:id="6417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2649">
      <w:bodyDiv w:val="1"/>
      <w:marLeft w:val="0"/>
      <w:marRight w:val="0"/>
      <w:marTop w:val="0"/>
      <w:marBottom w:val="0"/>
      <w:divBdr>
        <w:top w:val="none" w:sz="0" w:space="0" w:color="auto"/>
        <w:left w:val="none" w:sz="0" w:space="0" w:color="auto"/>
        <w:bottom w:val="none" w:sz="0" w:space="0" w:color="auto"/>
        <w:right w:val="none" w:sz="0" w:space="0" w:color="auto"/>
      </w:divBdr>
      <w:divsChild>
        <w:div w:id="574242191">
          <w:marLeft w:val="0"/>
          <w:marRight w:val="0"/>
          <w:marTop w:val="0"/>
          <w:marBottom w:val="0"/>
          <w:divBdr>
            <w:top w:val="none" w:sz="0" w:space="0" w:color="auto"/>
            <w:left w:val="none" w:sz="0" w:space="0" w:color="auto"/>
            <w:bottom w:val="none" w:sz="0" w:space="0" w:color="auto"/>
            <w:right w:val="none" w:sz="0" w:space="0" w:color="auto"/>
          </w:divBdr>
          <w:divsChild>
            <w:div w:id="992415549">
              <w:marLeft w:val="0"/>
              <w:marRight w:val="0"/>
              <w:marTop w:val="0"/>
              <w:marBottom w:val="0"/>
              <w:divBdr>
                <w:top w:val="none" w:sz="0" w:space="0" w:color="auto"/>
                <w:left w:val="none" w:sz="0" w:space="0" w:color="auto"/>
                <w:bottom w:val="none" w:sz="0" w:space="0" w:color="auto"/>
                <w:right w:val="none" w:sz="0" w:space="0" w:color="auto"/>
              </w:divBdr>
              <w:divsChild>
                <w:div w:id="1011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455">
      <w:bodyDiv w:val="1"/>
      <w:marLeft w:val="0"/>
      <w:marRight w:val="0"/>
      <w:marTop w:val="0"/>
      <w:marBottom w:val="0"/>
      <w:divBdr>
        <w:top w:val="none" w:sz="0" w:space="0" w:color="auto"/>
        <w:left w:val="none" w:sz="0" w:space="0" w:color="auto"/>
        <w:bottom w:val="none" w:sz="0" w:space="0" w:color="auto"/>
        <w:right w:val="none" w:sz="0" w:space="0" w:color="auto"/>
      </w:divBdr>
      <w:divsChild>
        <w:div w:id="779765246">
          <w:marLeft w:val="0"/>
          <w:marRight w:val="0"/>
          <w:marTop w:val="0"/>
          <w:marBottom w:val="0"/>
          <w:divBdr>
            <w:top w:val="none" w:sz="0" w:space="0" w:color="auto"/>
            <w:left w:val="none" w:sz="0" w:space="0" w:color="auto"/>
            <w:bottom w:val="none" w:sz="0" w:space="0" w:color="auto"/>
            <w:right w:val="none" w:sz="0" w:space="0" w:color="auto"/>
          </w:divBdr>
          <w:divsChild>
            <w:div w:id="1041831098">
              <w:marLeft w:val="0"/>
              <w:marRight w:val="0"/>
              <w:marTop w:val="0"/>
              <w:marBottom w:val="0"/>
              <w:divBdr>
                <w:top w:val="none" w:sz="0" w:space="0" w:color="auto"/>
                <w:left w:val="none" w:sz="0" w:space="0" w:color="auto"/>
                <w:bottom w:val="none" w:sz="0" w:space="0" w:color="auto"/>
                <w:right w:val="none" w:sz="0" w:space="0" w:color="auto"/>
              </w:divBdr>
              <w:divsChild>
                <w:div w:id="6845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2409">
      <w:bodyDiv w:val="1"/>
      <w:marLeft w:val="0"/>
      <w:marRight w:val="0"/>
      <w:marTop w:val="0"/>
      <w:marBottom w:val="0"/>
      <w:divBdr>
        <w:top w:val="none" w:sz="0" w:space="0" w:color="auto"/>
        <w:left w:val="none" w:sz="0" w:space="0" w:color="auto"/>
        <w:bottom w:val="none" w:sz="0" w:space="0" w:color="auto"/>
        <w:right w:val="none" w:sz="0" w:space="0" w:color="auto"/>
      </w:divBdr>
      <w:divsChild>
        <w:div w:id="1370647498">
          <w:marLeft w:val="0"/>
          <w:marRight w:val="0"/>
          <w:marTop w:val="0"/>
          <w:marBottom w:val="0"/>
          <w:divBdr>
            <w:top w:val="none" w:sz="0" w:space="0" w:color="auto"/>
            <w:left w:val="none" w:sz="0" w:space="0" w:color="auto"/>
            <w:bottom w:val="none" w:sz="0" w:space="0" w:color="auto"/>
            <w:right w:val="none" w:sz="0" w:space="0" w:color="auto"/>
          </w:divBdr>
          <w:divsChild>
            <w:div w:id="609315372">
              <w:marLeft w:val="0"/>
              <w:marRight w:val="0"/>
              <w:marTop w:val="0"/>
              <w:marBottom w:val="0"/>
              <w:divBdr>
                <w:top w:val="none" w:sz="0" w:space="0" w:color="auto"/>
                <w:left w:val="none" w:sz="0" w:space="0" w:color="auto"/>
                <w:bottom w:val="none" w:sz="0" w:space="0" w:color="auto"/>
                <w:right w:val="none" w:sz="0" w:space="0" w:color="auto"/>
              </w:divBdr>
              <w:divsChild>
                <w:div w:id="13269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8850">
      <w:bodyDiv w:val="1"/>
      <w:marLeft w:val="0"/>
      <w:marRight w:val="0"/>
      <w:marTop w:val="0"/>
      <w:marBottom w:val="0"/>
      <w:divBdr>
        <w:top w:val="none" w:sz="0" w:space="0" w:color="auto"/>
        <w:left w:val="none" w:sz="0" w:space="0" w:color="auto"/>
        <w:bottom w:val="none" w:sz="0" w:space="0" w:color="auto"/>
        <w:right w:val="none" w:sz="0" w:space="0" w:color="auto"/>
      </w:divBdr>
      <w:divsChild>
        <w:div w:id="485516071">
          <w:marLeft w:val="0"/>
          <w:marRight w:val="0"/>
          <w:marTop w:val="0"/>
          <w:marBottom w:val="0"/>
          <w:divBdr>
            <w:top w:val="none" w:sz="0" w:space="0" w:color="auto"/>
            <w:left w:val="none" w:sz="0" w:space="0" w:color="auto"/>
            <w:bottom w:val="none" w:sz="0" w:space="0" w:color="auto"/>
            <w:right w:val="none" w:sz="0" w:space="0" w:color="auto"/>
          </w:divBdr>
          <w:divsChild>
            <w:div w:id="1824616683">
              <w:marLeft w:val="0"/>
              <w:marRight w:val="0"/>
              <w:marTop w:val="0"/>
              <w:marBottom w:val="0"/>
              <w:divBdr>
                <w:top w:val="none" w:sz="0" w:space="0" w:color="auto"/>
                <w:left w:val="none" w:sz="0" w:space="0" w:color="auto"/>
                <w:bottom w:val="none" w:sz="0" w:space="0" w:color="auto"/>
                <w:right w:val="none" w:sz="0" w:space="0" w:color="auto"/>
              </w:divBdr>
              <w:divsChild>
                <w:div w:id="1792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rj.gov.br/web/seseg" TargetMode="External"/><Relationship Id="rId3" Type="http://schemas.openxmlformats.org/officeDocument/2006/relationships/hyperlink" Target="http://www.corteidh.or.cr/docs/asuntos/favela_fv_18.pdf" TargetMode="External"/><Relationship Id="rId7" Type="http://schemas.openxmlformats.org/officeDocument/2006/relationships/hyperlink" Target="https://www.mdh.gov.br/navegue-por-temas/atuacao-internacional/editais-2018-1/sentencas-da-corte-interamericana" TargetMode="External"/><Relationship Id="rId2" Type="http://schemas.openxmlformats.org/officeDocument/2006/relationships/hyperlink" Target="http://www.corteidh.or.cr/docs/casos/articulos/seriec_345_esp.pdf" TargetMode="External"/><Relationship Id="rId1" Type="http://schemas.openxmlformats.org/officeDocument/2006/relationships/hyperlink" Target="http://www.corteidh.or.cr/docs/casos/articulos/seriec_333_esp.pdf" TargetMode="External"/><Relationship Id="rId6" Type="http://schemas.openxmlformats.org/officeDocument/2006/relationships/hyperlink" Target="http://www.policiacivilrj.net.br/" TargetMode="External"/><Relationship Id="rId5" Type="http://schemas.openxmlformats.org/officeDocument/2006/relationships/hyperlink" Target="http://www.itamaraty.gov.br/pt-BR/direitos-humanos-e-temas-sociais/sentenca-corte-interamericana-de-direitos-humanos-no-caso-trabalhadores-da-fazenda-brasil-verde" TargetMode="External"/><Relationship Id="rId4" Type="http://schemas.openxmlformats.org/officeDocument/2006/relationships/hyperlink" Target="http://www.mdh.gov.br/assuntos/atuacao-internacional/sentencas-da-corte-" TargetMode="External"/><Relationship Id="rId9" Type="http://schemas.openxmlformats.org/officeDocument/2006/relationships/hyperlink" Target="http://www.rj.gov.br/web/casacivil/princip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ACCDE9-8914-4159-98F8-93CB2BC7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2540</Words>
  <Characters>13974</Characters>
  <Application>Microsoft Office Word</Application>
  <DocSecurity>4</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2019-12-05T21:17:00Z</cp:lastPrinted>
  <dcterms:created xsi:type="dcterms:W3CDTF">2019-12-06T22:19:00Z</dcterms:created>
  <dcterms:modified xsi:type="dcterms:W3CDTF">2019-12-06T22:19:00Z</dcterms:modified>
</cp:coreProperties>
</file>