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0F74" w14:textId="77777777" w:rsidR="00217C91" w:rsidRPr="00A94AAE" w:rsidRDefault="00217C91" w:rsidP="00842317">
      <w:pPr>
        <w:tabs>
          <w:tab w:val="left" w:pos="3923"/>
        </w:tabs>
        <w:spacing w:after="0" w:line="240" w:lineRule="auto"/>
        <w:jc w:val="center"/>
        <w:rPr>
          <w:rFonts w:ascii="Verdana" w:hAnsi="Verdana" w:cstheme="minorHAnsi"/>
          <w:b/>
          <w:sz w:val="20"/>
          <w:szCs w:val="20"/>
          <w:lang w:val="es-CR"/>
        </w:rPr>
      </w:pPr>
      <w:bookmarkStart w:id="0" w:name="_GoBack"/>
      <w:bookmarkEnd w:id="0"/>
    </w:p>
    <w:p w14:paraId="5713BA71" w14:textId="77777777" w:rsidR="00217C91" w:rsidRPr="00A94AAE" w:rsidRDefault="00217C91" w:rsidP="00217C91">
      <w:pPr>
        <w:spacing w:after="0" w:line="240" w:lineRule="auto"/>
        <w:jc w:val="center"/>
        <w:rPr>
          <w:rFonts w:ascii="Verdana" w:hAnsi="Verdana" w:cstheme="minorHAnsi"/>
          <w:b/>
          <w:sz w:val="20"/>
          <w:szCs w:val="20"/>
          <w:lang w:val="es-CR"/>
        </w:rPr>
      </w:pPr>
    </w:p>
    <w:p w14:paraId="2AE47112" w14:textId="77777777" w:rsidR="00217C91" w:rsidRPr="00A94AAE" w:rsidRDefault="00217C91" w:rsidP="00217C91">
      <w:pPr>
        <w:spacing w:after="0" w:line="240" w:lineRule="auto"/>
        <w:jc w:val="center"/>
        <w:rPr>
          <w:rFonts w:ascii="Verdana" w:hAnsi="Verdana" w:cstheme="minorHAnsi"/>
          <w:b/>
          <w:sz w:val="20"/>
          <w:szCs w:val="20"/>
          <w:lang w:val="es-CR"/>
        </w:rPr>
      </w:pPr>
    </w:p>
    <w:p w14:paraId="18D28839" w14:textId="77777777" w:rsidR="00217C91" w:rsidRDefault="00217C91" w:rsidP="00217C91">
      <w:pPr>
        <w:spacing w:after="0" w:line="240" w:lineRule="auto"/>
        <w:jc w:val="center"/>
        <w:rPr>
          <w:rFonts w:ascii="Verdana" w:hAnsi="Verdana" w:cstheme="minorHAnsi"/>
          <w:b/>
          <w:sz w:val="20"/>
          <w:szCs w:val="20"/>
          <w:lang w:val="es-CR"/>
        </w:rPr>
      </w:pPr>
    </w:p>
    <w:p w14:paraId="5FC0AD86" w14:textId="77777777" w:rsidR="00842317" w:rsidRDefault="00842317" w:rsidP="00217C91">
      <w:pPr>
        <w:spacing w:after="0" w:line="240" w:lineRule="auto"/>
        <w:jc w:val="center"/>
        <w:rPr>
          <w:rFonts w:ascii="Verdana" w:hAnsi="Verdana" w:cstheme="minorHAnsi"/>
          <w:b/>
          <w:sz w:val="20"/>
          <w:szCs w:val="20"/>
          <w:lang w:val="es-CR"/>
        </w:rPr>
      </w:pPr>
    </w:p>
    <w:p w14:paraId="7DCDDE12" w14:textId="77777777" w:rsidR="00842317" w:rsidRDefault="00842317" w:rsidP="00217C91">
      <w:pPr>
        <w:spacing w:after="0" w:line="240" w:lineRule="auto"/>
        <w:jc w:val="center"/>
        <w:rPr>
          <w:rFonts w:ascii="Verdana" w:hAnsi="Verdana" w:cstheme="minorHAnsi"/>
          <w:b/>
          <w:sz w:val="20"/>
          <w:szCs w:val="20"/>
          <w:lang w:val="es-CR"/>
        </w:rPr>
      </w:pPr>
    </w:p>
    <w:p w14:paraId="5DCD440F" w14:textId="77777777" w:rsidR="00842317" w:rsidRPr="00A94AAE" w:rsidRDefault="00842317" w:rsidP="00217C91">
      <w:pPr>
        <w:spacing w:after="0" w:line="240" w:lineRule="auto"/>
        <w:jc w:val="center"/>
        <w:rPr>
          <w:rFonts w:ascii="Verdana" w:hAnsi="Verdana" w:cstheme="minorHAnsi"/>
          <w:b/>
          <w:sz w:val="20"/>
          <w:szCs w:val="20"/>
          <w:lang w:val="es-CR"/>
        </w:rPr>
      </w:pPr>
    </w:p>
    <w:p w14:paraId="26B8E677" w14:textId="77777777" w:rsidR="00217C91" w:rsidRPr="00217C91" w:rsidRDefault="00217C91" w:rsidP="00217C91">
      <w:pPr>
        <w:spacing w:after="0" w:line="240" w:lineRule="auto"/>
        <w:jc w:val="center"/>
        <w:rPr>
          <w:rFonts w:ascii="Verdana" w:hAnsi="Verdana" w:cstheme="minorHAnsi"/>
          <w:b/>
          <w:sz w:val="20"/>
          <w:szCs w:val="20"/>
          <w:lang w:val="es-CR"/>
        </w:rPr>
      </w:pPr>
      <w:r w:rsidRPr="00217C91">
        <w:rPr>
          <w:rFonts w:ascii="Verdana" w:hAnsi="Verdana" w:cstheme="minorHAnsi"/>
          <w:b/>
          <w:sz w:val="20"/>
          <w:szCs w:val="20"/>
          <w:lang w:val="es-CR"/>
        </w:rPr>
        <w:t>RESOLUCIÓN DE LA</w:t>
      </w:r>
    </w:p>
    <w:p w14:paraId="1E6E361B" w14:textId="77777777" w:rsidR="00217C91" w:rsidRDefault="00217C91" w:rsidP="00217C91">
      <w:pPr>
        <w:spacing w:after="0" w:line="240" w:lineRule="auto"/>
        <w:jc w:val="center"/>
        <w:rPr>
          <w:rFonts w:ascii="Verdana" w:hAnsi="Verdana" w:cstheme="minorHAnsi"/>
          <w:b/>
          <w:sz w:val="20"/>
          <w:szCs w:val="20"/>
          <w:lang w:val="es-CR"/>
        </w:rPr>
      </w:pPr>
      <w:r w:rsidRPr="00217C91">
        <w:rPr>
          <w:rFonts w:ascii="Verdana" w:hAnsi="Verdana" w:cstheme="minorHAnsi"/>
          <w:b/>
          <w:sz w:val="20"/>
          <w:szCs w:val="20"/>
          <w:lang w:val="es-CR"/>
        </w:rPr>
        <w:t>CORTE INTERAMERICANA DE DERECHOS HUMANOS</w:t>
      </w:r>
    </w:p>
    <w:p w14:paraId="051E593E" w14:textId="77777777" w:rsidR="00217C91" w:rsidRDefault="00217C91" w:rsidP="00217C91">
      <w:pPr>
        <w:spacing w:after="0" w:line="240" w:lineRule="auto"/>
        <w:jc w:val="center"/>
        <w:rPr>
          <w:rFonts w:ascii="Verdana" w:hAnsi="Verdana" w:cstheme="minorHAnsi"/>
          <w:b/>
          <w:sz w:val="20"/>
          <w:szCs w:val="20"/>
          <w:lang w:val="es-CR"/>
        </w:rPr>
      </w:pPr>
    </w:p>
    <w:p w14:paraId="7852522C" w14:textId="77777777" w:rsidR="00217C91" w:rsidRDefault="00217C91" w:rsidP="00217C91">
      <w:pPr>
        <w:spacing w:after="0" w:line="240" w:lineRule="auto"/>
        <w:jc w:val="center"/>
        <w:rPr>
          <w:rFonts w:ascii="Verdana" w:hAnsi="Verdana" w:cstheme="minorHAnsi"/>
          <w:b/>
          <w:sz w:val="20"/>
          <w:szCs w:val="20"/>
          <w:lang w:val="es-CR"/>
        </w:rPr>
      </w:pPr>
      <w:r>
        <w:rPr>
          <w:rFonts w:ascii="Verdana" w:hAnsi="Verdana" w:cstheme="minorHAnsi"/>
          <w:b/>
          <w:sz w:val="20"/>
          <w:szCs w:val="20"/>
          <w:lang w:val="es-CR"/>
        </w:rPr>
        <w:t xml:space="preserve">DE </w:t>
      </w:r>
      <w:r w:rsidR="009D246F">
        <w:rPr>
          <w:rFonts w:ascii="Verdana" w:hAnsi="Verdana" w:cstheme="minorHAnsi"/>
          <w:b/>
          <w:sz w:val="20"/>
          <w:szCs w:val="20"/>
          <w:lang w:val="es-CR"/>
        </w:rPr>
        <w:t>22</w:t>
      </w:r>
      <w:r>
        <w:rPr>
          <w:rFonts w:ascii="Verdana" w:hAnsi="Verdana" w:cstheme="minorHAnsi"/>
          <w:b/>
          <w:sz w:val="20"/>
          <w:szCs w:val="20"/>
          <w:lang w:val="es-CR"/>
        </w:rPr>
        <w:t xml:space="preserve"> DE NOVIEMBRE DE 2019</w:t>
      </w:r>
    </w:p>
    <w:p w14:paraId="09275A19" w14:textId="77777777" w:rsidR="00217C91" w:rsidRDefault="00217C91" w:rsidP="00217C91">
      <w:pPr>
        <w:spacing w:after="0" w:line="240" w:lineRule="auto"/>
        <w:jc w:val="center"/>
        <w:rPr>
          <w:rFonts w:ascii="Verdana" w:hAnsi="Verdana" w:cstheme="minorHAnsi"/>
          <w:b/>
          <w:sz w:val="20"/>
          <w:szCs w:val="20"/>
          <w:lang w:val="es-CR"/>
        </w:rPr>
      </w:pPr>
    </w:p>
    <w:p w14:paraId="45B82B27" w14:textId="77777777" w:rsidR="00842317" w:rsidRDefault="00842317" w:rsidP="00217C91">
      <w:pPr>
        <w:spacing w:after="0" w:line="240" w:lineRule="auto"/>
        <w:jc w:val="center"/>
        <w:rPr>
          <w:rFonts w:ascii="Verdana" w:hAnsi="Verdana" w:cstheme="minorHAnsi"/>
          <w:b/>
          <w:sz w:val="20"/>
          <w:szCs w:val="20"/>
          <w:lang w:val="es-CR"/>
        </w:rPr>
      </w:pPr>
    </w:p>
    <w:p w14:paraId="455C483E" w14:textId="77777777" w:rsidR="00217C91" w:rsidRPr="00A94AAE" w:rsidRDefault="00217C91" w:rsidP="00217C91">
      <w:pPr>
        <w:spacing w:after="0" w:line="240" w:lineRule="auto"/>
        <w:jc w:val="center"/>
        <w:rPr>
          <w:rFonts w:ascii="Verdana" w:hAnsi="Verdana" w:cstheme="minorHAnsi"/>
          <w:b/>
          <w:i/>
          <w:sz w:val="20"/>
          <w:szCs w:val="20"/>
          <w:lang w:val="es-CR"/>
        </w:rPr>
      </w:pPr>
      <w:r w:rsidRPr="00A94AAE">
        <w:rPr>
          <w:rFonts w:ascii="Verdana" w:hAnsi="Verdana" w:cstheme="minorHAnsi"/>
          <w:b/>
          <w:i/>
          <w:sz w:val="20"/>
          <w:szCs w:val="20"/>
          <w:lang w:val="es-CR"/>
        </w:rPr>
        <w:t>CASO FLEURY Y OTROS VS. HAITÍ</w:t>
      </w:r>
    </w:p>
    <w:p w14:paraId="004C3A89" w14:textId="77777777" w:rsidR="00217C91" w:rsidRDefault="00217C91" w:rsidP="00217C91">
      <w:pPr>
        <w:spacing w:after="0" w:line="240" w:lineRule="auto"/>
        <w:jc w:val="center"/>
        <w:rPr>
          <w:rFonts w:ascii="Verdana" w:hAnsi="Verdana" w:cstheme="minorHAnsi"/>
          <w:b/>
          <w:sz w:val="20"/>
          <w:szCs w:val="20"/>
          <w:lang w:val="es-CR"/>
        </w:rPr>
      </w:pPr>
    </w:p>
    <w:p w14:paraId="076E3C3E" w14:textId="77777777" w:rsidR="00217C91" w:rsidRDefault="00217C91" w:rsidP="00217C91">
      <w:pPr>
        <w:spacing w:after="0" w:line="240" w:lineRule="auto"/>
        <w:jc w:val="center"/>
        <w:rPr>
          <w:rFonts w:ascii="Verdana" w:hAnsi="Verdana" w:cstheme="minorHAnsi"/>
          <w:b/>
          <w:sz w:val="20"/>
          <w:szCs w:val="20"/>
          <w:lang w:val="es-CR"/>
        </w:rPr>
      </w:pPr>
      <w:r>
        <w:rPr>
          <w:rFonts w:ascii="Verdana" w:hAnsi="Verdana" w:cstheme="minorHAnsi"/>
          <w:b/>
          <w:sz w:val="20"/>
          <w:szCs w:val="20"/>
          <w:lang w:val="es-CR"/>
        </w:rPr>
        <w:t>SUPERVISIÓN DE CUMPLIMIENTO DE SENTENCIA</w:t>
      </w:r>
    </w:p>
    <w:p w14:paraId="2B09B8EB" w14:textId="77777777" w:rsidR="00217C91" w:rsidRDefault="00217C91" w:rsidP="00217C91">
      <w:pPr>
        <w:rPr>
          <w:rFonts w:ascii="Verdana" w:hAnsi="Verdana" w:cstheme="minorHAnsi"/>
          <w:b/>
          <w:sz w:val="20"/>
          <w:szCs w:val="20"/>
          <w:lang w:val="es-CR"/>
        </w:rPr>
      </w:pPr>
    </w:p>
    <w:p w14:paraId="2F07DF89" w14:textId="77777777" w:rsidR="00217C91" w:rsidRDefault="00217C91" w:rsidP="00217C91">
      <w:pPr>
        <w:rPr>
          <w:rFonts w:ascii="Verdana" w:hAnsi="Verdana" w:cstheme="minorHAnsi"/>
          <w:b/>
          <w:sz w:val="20"/>
          <w:szCs w:val="20"/>
          <w:lang w:val="es-CR"/>
        </w:rPr>
      </w:pPr>
      <w:r>
        <w:rPr>
          <w:rFonts w:ascii="Verdana" w:hAnsi="Verdana" w:cstheme="minorHAnsi"/>
          <w:b/>
          <w:sz w:val="20"/>
          <w:szCs w:val="20"/>
          <w:lang w:val="es-CR"/>
        </w:rPr>
        <w:t>VISTO:</w:t>
      </w:r>
    </w:p>
    <w:p w14:paraId="5C1762FF" w14:textId="64119EDB" w:rsidR="00217C91" w:rsidRPr="00217C91" w:rsidRDefault="00217C91" w:rsidP="00DA0EEB">
      <w:pPr>
        <w:pStyle w:val="Prrafodelista"/>
        <w:numPr>
          <w:ilvl w:val="0"/>
          <w:numId w:val="1"/>
        </w:numPr>
        <w:spacing w:after="0" w:line="240" w:lineRule="auto"/>
        <w:ind w:left="0" w:firstLine="0"/>
        <w:contextualSpacing w:val="0"/>
        <w:jc w:val="both"/>
        <w:rPr>
          <w:rFonts w:ascii="Verdana" w:hAnsi="Verdana" w:cstheme="minorHAnsi"/>
          <w:sz w:val="20"/>
          <w:szCs w:val="20"/>
          <w:lang w:val="es-CR"/>
        </w:rPr>
      </w:pPr>
      <w:bookmarkStart w:id="1" w:name="_Ref25328962"/>
      <w:r w:rsidRPr="00217C91">
        <w:rPr>
          <w:rFonts w:ascii="Verdana" w:hAnsi="Verdana"/>
          <w:sz w:val="20"/>
          <w:szCs w:val="20"/>
          <w:lang w:val="es-CR"/>
        </w:rPr>
        <w:t>La Sentencia de fondo y reparaciones (en adelante “la Sentencia”) dictada por la Corte Interamericana de Derechos Humanos (en adelante “la Corte”, “la Corte Interamericana” o “el Tribunal”) el 23 de noviembre de 2011</w:t>
      </w:r>
      <w:r>
        <w:rPr>
          <w:rStyle w:val="Refdenotaalpie"/>
          <w:rFonts w:ascii="Verdana" w:hAnsi="Verdana"/>
          <w:sz w:val="20"/>
          <w:szCs w:val="20"/>
          <w:lang w:val="es-CR"/>
        </w:rPr>
        <w:footnoteReference w:id="1"/>
      </w:r>
      <w:r w:rsidRPr="00217C91">
        <w:rPr>
          <w:rFonts w:ascii="Verdana" w:hAnsi="Verdana"/>
          <w:sz w:val="20"/>
          <w:szCs w:val="20"/>
          <w:lang w:val="es-CR"/>
        </w:rPr>
        <w:t xml:space="preserve">. </w:t>
      </w:r>
      <w:r w:rsidR="00842317">
        <w:rPr>
          <w:rFonts w:ascii="Verdana" w:hAnsi="Verdana"/>
          <w:sz w:val="20"/>
          <w:szCs w:val="20"/>
          <w:lang w:val="es-CR"/>
        </w:rPr>
        <w:t>L</w:t>
      </w:r>
      <w:r w:rsidRPr="00217C91">
        <w:rPr>
          <w:rFonts w:ascii="Verdana" w:hAnsi="Verdana"/>
          <w:sz w:val="20"/>
          <w:szCs w:val="20"/>
          <w:lang w:val="es-CR"/>
        </w:rPr>
        <w:t xml:space="preserve">a Corte declaró responsable internacionalmente a la República de Haití (en adelante “el Estado” o “Haití”), </w:t>
      </w:r>
      <w:r w:rsidR="00150809" w:rsidRPr="00150809">
        <w:rPr>
          <w:rFonts w:ascii="Verdana" w:hAnsi="Verdana"/>
          <w:sz w:val="20"/>
          <w:szCs w:val="20"/>
          <w:lang w:val="es-CR"/>
        </w:rPr>
        <w:t>entre otras</w:t>
      </w:r>
      <w:r w:rsidRPr="00150809">
        <w:rPr>
          <w:rFonts w:ascii="Verdana" w:hAnsi="Verdana"/>
          <w:sz w:val="20"/>
          <w:szCs w:val="20"/>
          <w:lang w:val="es-CR"/>
        </w:rPr>
        <w:t>,</w:t>
      </w:r>
      <w:r w:rsidRPr="00217C91">
        <w:rPr>
          <w:rFonts w:ascii="Verdana" w:hAnsi="Verdana"/>
          <w:sz w:val="20"/>
          <w:szCs w:val="20"/>
          <w:lang w:val="es-CR"/>
        </w:rPr>
        <w:t xml:space="preserve"> por las violaciones perpetradas en el 2002 a los derechos a la libertad personal, integridad personal, garantías judiciales y protección judicial, libertad de asociación y derecho de circulación y residencia del señor Lysias Fleury, defensor de derechos humanos y consejero jurídico de la organización no gubernamental Comisión Episcopal Nacional de Justicia y Paz, y a los derechos a la integridad personal y de circulación y residencia</w:t>
      </w:r>
      <w:r w:rsidR="00FB0B58">
        <w:rPr>
          <w:rFonts w:ascii="Verdana" w:hAnsi="Verdana"/>
          <w:sz w:val="20"/>
          <w:szCs w:val="20"/>
          <w:lang w:val="es-CR"/>
        </w:rPr>
        <w:t>,</w:t>
      </w:r>
      <w:r w:rsidRPr="00217C91">
        <w:rPr>
          <w:rFonts w:ascii="Verdana" w:hAnsi="Verdana"/>
          <w:sz w:val="20"/>
          <w:szCs w:val="20"/>
          <w:lang w:val="es-CR"/>
        </w:rPr>
        <w:t xml:space="preserve"> en perjuicio de sus familiares. El 24 de junio de 2002, dos policías uniformados y otros tres hombres se presentaron en </w:t>
      </w:r>
      <w:r w:rsidR="00FB0B58">
        <w:rPr>
          <w:rFonts w:ascii="Verdana" w:hAnsi="Verdana"/>
          <w:sz w:val="20"/>
          <w:szCs w:val="20"/>
          <w:lang w:val="es-CR"/>
        </w:rPr>
        <w:t>el</w:t>
      </w:r>
      <w:r w:rsidR="00FB0B58" w:rsidRPr="00217C91">
        <w:rPr>
          <w:rFonts w:ascii="Verdana" w:hAnsi="Verdana"/>
          <w:sz w:val="20"/>
          <w:szCs w:val="20"/>
          <w:lang w:val="es-CR"/>
        </w:rPr>
        <w:t xml:space="preserve"> </w:t>
      </w:r>
      <w:r w:rsidRPr="00217C91">
        <w:rPr>
          <w:rFonts w:ascii="Verdana" w:hAnsi="Verdana"/>
          <w:sz w:val="20"/>
          <w:szCs w:val="20"/>
          <w:lang w:val="es-CR"/>
        </w:rPr>
        <w:t>domicilio</w:t>
      </w:r>
      <w:r w:rsidR="00FB0B58">
        <w:rPr>
          <w:rFonts w:ascii="Verdana" w:hAnsi="Verdana"/>
          <w:sz w:val="20"/>
          <w:szCs w:val="20"/>
          <w:lang w:val="es-CR"/>
        </w:rPr>
        <w:t xml:space="preserve"> del señor Fleury</w:t>
      </w:r>
      <w:r w:rsidRPr="00217C91">
        <w:rPr>
          <w:rFonts w:ascii="Verdana" w:hAnsi="Verdana"/>
          <w:sz w:val="20"/>
          <w:szCs w:val="20"/>
          <w:lang w:val="es-CR"/>
        </w:rPr>
        <w:t xml:space="preserve"> y le manifestaron que habían recibido una denuncia de que él habría adquirido un objeto robado y, posteriormente, procedieron a detenerlo sin la existencia de una orden judicial. Al momento de su detención, los policías lo amenazaron, maltrataron e intimidaron por su condición de activista de derechos humanos, situación que se mantuvo hasta su llegada al lugar donde permaneció detenido durante 17 horas. El señor Fleury no fue informado de los motivos de su detención y fue recluido en una celda sobrepoblada y sin condiciones adecuadas. El Tribunal estableció que su Sentencia constituye por sí misma una forma de reparación y, adicionalmente, ordenó al Estado determinadas medidas de reparación (</w:t>
      </w:r>
      <w:r w:rsidRPr="00217C91">
        <w:rPr>
          <w:rFonts w:ascii="Verdana" w:hAnsi="Verdana"/>
          <w:i/>
          <w:sz w:val="20"/>
          <w:szCs w:val="20"/>
          <w:lang w:val="es-CR"/>
        </w:rPr>
        <w:t>infra</w:t>
      </w:r>
      <w:r w:rsidRPr="00217C91">
        <w:rPr>
          <w:rFonts w:ascii="Verdana" w:hAnsi="Verdana"/>
          <w:sz w:val="20"/>
          <w:szCs w:val="20"/>
          <w:lang w:val="es-CR"/>
        </w:rPr>
        <w:t xml:space="preserve"> Considerando </w:t>
      </w:r>
      <w:r w:rsidR="00D0743E">
        <w:rPr>
          <w:rFonts w:ascii="Verdana" w:hAnsi="Verdana"/>
          <w:sz w:val="20"/>
          <w:szCs w:val="20"/>
          <w:lang w:val="es-CR"/>
        </w:rPr>
        <w:fldChar w:fldCharType="begin"/>
      </w:r>
      <w:r w:rsidR="00D0743E">
        <w:rPr>
          <w:rFonts w:ascii="Verdana" w:hAnsi="Verdana"/>
          <w:sz w:val="20"/>
          <w:szCs w:val="20"/>
          <w:lang w:val="es-CR"/>
        </w:rPr>
        <w:instrText xml:space="preserve"> REF _Ref25328858 \r \h </w:instrText>
      </w:r>
      <w:r w:rsidR="00D0743E">
        <w:rPr>
          <w:rFonts w:ascii="Verdana" w:hAnsi="Verdana"/>
          <w:sz w:val="20"/>
          <w:szCs w:val="20"/>
          <w:lang w:val="es-CR"/>
        </w:rPr>
      </w:r>
      <w:r w:rsidR="00D0743E">
        <w:rPr>
          <w:rFonts w:ascii="Verdana" w:hAnsi="Verdana"/>
          <w:sz w:val="20"/>
          <w:szCs w:val="20"/>
          <w:lang w:val="es-CR"/>
        </w:rPr>
        <w:fldChar w:fldCharType="separate"/>
      </w:r>
      <w:r w:rsidR="00521E39">
        <w:rPr>
          <w:rFonts w:ascii="Verdana" w:hAnsi="Verdana"/>
          <w:sz w:val="20"/>
          <w:szCs w:val="20"/>
          <w:lang w:val="es-CR"/>
        </w:rPr>
        <w:t>1</w:t>
      </w:r>
      <w:r w:rsidR="00D0743E">
        <w:rPr>
          <w:rFonts w:ascii="Verdana" w:hAnsi="Verdana"/>
          <w:sz w:val="20"/>
          <w:szCs w:val="20"/>
          <w:lang w:val="es-CR"/>
        </w:rPr>
        <w:fldChar w:fldCharType="end"/>
      </w:r>
      <w:r w:rsidRPr="00217C91">
        <w:rPr>
          <w:rFonts w:ascii="Verdana" w:hAnsi="Verdana"/>
          <w:sz w:val="20"/>
          <w:szCs w:val="20"/>
          <w:lang w:val="es-CR"/>
        </w:rPr>
        <w:t>).</w:t>
      </w:r>
      <w:bookmarkEnd w:id="1"/>
    </w:p>
    <w:p w14:paraId="083DB921" w14:textId="77777777" w:rsidR="00217C91" w:rsidRPr="00217C91" w:rsidRDefault="00217C91" w:rsidP="00DA0EEB">
      <w:pPr>
        <w:pStyle w:val="Prrafodelista"/>
        <w:spacing w:after="0" w:line="240" w:lineRule="auto"/>
        <w:ind w:left="0"/>
        <w:contextualSpacing w:val="0"/>
        <w:jc w:val="both"/>
        <w:rPr>
          <w:rFonts w:ascii="Verdana" w:hAnsi="Verdana" w:cstheme="minorHAnsi"/>
          <w:sz w:val="20"/>
          <w:szCs w:val="20"/>
          <w:lang w:val="es-CR"/>
        </w:rPr>
      </w:pPr>
    </w:p>
    <w:p w14:paraId="42F3D2BF" w14:textId="51386AD3" w:rsidR="00C666E3" w:rsidRDefault="00217C91" w:rsidP="00DA0EEB">
      <w:pPr>
        <w:pStyle w:val="Prrafodelista"/>
        <w:numPr>
          <w:ilvl w:val="0"/>
          <w:numId w:val="1"/>
        </w:numPr>
        <w:spacing w:after="0" w:line="240" w:lineRule="auto"/>
        <w:ind w:left="0" w:firstLine="0"/>
        <w:contextualSpacing w:val="0"/>
        <w:jc w:val="both"/>
        <w:rPr>
          <w:rFonts w:ascii="Verdana" w:hAnsi="Verdana" w:cstheme="minorHAnsi"/>
          <w:sz w:val="20"/>
          <w:szCs w:val="20"/>
          <w:lang w:val="es-CR"/>
        </w:rPr>
      </w:pPr>
      <w:bookmarkStart w:id="2" w:name="_Ref25328963"/>
      <w:r>
        <w:rPr>
          <w:rFonts w:ascii="Verdana" w:hAnsi="Verdana" w:cstheme="minorHAnsi"/>
          <w:sz w:val="20"/>
          <w:szCs w:val="20"/>
          <w:lang w:val="es-CR"/>
        </w:rPr>
        <w:t>La</w:t>
      </w:r>
      <w:r w:rsidR="00C666E3">
        <w:rPr>
          <w:rFonts w:ascii="Verdana" w:hAnsi="Verdana" w:cstheme="minorHAnsi"/>
          <w:sz w:val="20"/>
          <w:szCs w:val="20"/>
          <w:lang w:val="es-CR"/>
        </w:rPr>
        <w:t>s</w:t>
      </w:r>
      <w:r>
        <w:rPr>
          <w:rFonts w:ascii="Verdana" w:hAnsi="Verdana" w:cstheme="minorHAnsi"/>
          <w:sz w:val="20"/>
          <w:szCs w:val="20"/>
          <w:lang w:val="es-CR"/>
        </w:rPr>
        <w:t xml:space="preserve"> Resoluci</w:t>
      </w:r>
      <w:r w:rsidR="00C666E3">
        <w:rPr>
          <w:rFonts w:ascii="Verdana" w:hAnsi="Verdana" w:cstheme="minorHAnsi"/>
          <w:sz w:val="20"/>
          <w:szCs w:val="20"/>
          <w:lang w:val="es-CR"/>
        </w:rPr>
        <w:t>o</w:t>
      </w:r>
      <w:r>
        <w:rPr>
          <w:rFonts w:ascii="Verdana" w:hAnsi="Verdana" w:cstheme="minorHAnsi"/>
          <w:sz w:val="20"/>
          <w:szCs w:val="20"/>
          <w:lang w:val="es-CR"/>
        </w:rPr>
        <w:t>n</w:t>
      </w:r>
      <w:r w:rsidR="00C666E3">
        <w:rPr>
          <w:rFonts w:ascii="Verdana" w:hAnsi="Verdana" w:cstheme="minorHAnsi"/>
          <w:sz w:val="20"/>
          <w:szCs w:val="20"/>
          <w:lang w:val="es-CR"/>
        </w:rPr>
        <w:t>es</w:t>
      </w:r>
      <w:r>
        <w:rPr>
          <w:rFonts w:ascii="Verdana" w:hAnsi="Verdana" w:cstheme="minorHAnsi"/>
          <w:sz w:val="20"/>
          <w:szCs w:val="20"/>
          <w:lang w:val="es-CR"/>
        </w:rPr>
        <w:t xml:space="preserve"> de supervisión de cumplimiento de sentencia emitida</w:t>
      </w:r>
      <w:r w:rsidR="00C666E3">
        <w:rPr>
          <w:rFonts w:ascii="Verdana" w:hAnsi="Verdana" w:cstheme="minorHAnsi"/>
          <w:sz w:val="20"/>
          <w:szCs w:val="20"/>
          <w:lang w:val="es-CR"/>
        </w:rPr>
        <w:t>s</w:t>
      </w:r>
      <w:r>
        <w:rPr>
          <w:rFonts w:ascii="Verdana" w:hAnsi="Verdana" w:cstheme="minorHAnsi"/>
          <w:sz w:val="20"/>
          <w:szCs w:val="20"/>
          <w:lang w:val="es-CR"/>
        </w:rPr>
        <w:t xml:space="preserve"> por la Corte el 20 de noviembre de 2015</w:t>
      </w:r>
      <w:r>
        <w:rPr>
          <w:rStyle w:val="Refdenotaalpie"/>
          <w:rFonts w:ascii="Verdana" w:hAnsi="Verdana" w:cstheme="minorHAnsi"/>
          <w:sz w:val="20"/>
          <w:szCs w:val="20"/>
          <w:lang w:val="es-CR"/>
        </w:rPr>
        <w:footnoteReference w:id="2"/>
      </w:r>
      <w:r w:rsidR="00C666E3">
        <w:rPr>
          <w:rFonts w:ascii="Verdana" w:hAnsi="Verdana" w:cstheme="minorHAnsi"/>
          <w:sz w:val="20"/>
          <w:szCs w:val="20"/>
          <w:lang w:val="es-CR"/>
        </w:rPr>
        <w:t xml:space="preserve"> y el 22 de noviembre de 2016</w:t>
      </w:r>
      <w:r w:rsidR="00150809">
        <w:rPr>
          <w:rStyle w:val="Refdenotaalpie"/>
          <w:rFonts w:ascii="Verdana" w:hAnsi="Verdana" w:cstheme="minorHAnsi"/>
          <w:sz w:val="20"/>
          <w:szCs w:val="20"/>
          <w:lang w:val="es-CR"/>
        </w:rPr>
        <w:footnoteReference w:id="3"/>
      </w:r>
      <w:r w:rsidR="00150809">
        <w:rPr>
          <w:rFonts w:ascii="Verdana" w:hAnsi="Verdana" w:cstheme="minorHAnsi"/>
          <w:sz w:val="20"/>
          <w:szCs w:val="20"/>
          <w:lang w:val="es-CR"/>
        </w:rPr>
        <w:t xml:space="preserve">, mediante las cuales </w:t>
      </w:r>
      <w:r w:rsidR="0039227E">
        <w:rPr>
          <w:rFonts w:ascii="Verdana" w:hAnsi="Verdana" w:cstheme="minorHAnsi"/>
          <w:sz w:val="20"/>
          <w:szCs w:val="20"/>
          <w:lang w:val="es-CR"/>
        </w:rPr>
        <w:t>declaró que Haití estaba incumpliendo su deber de informar a este Tribunal sobre el cumplimiento de la Sentencia</w:t>
      </w:r>
      <w:r w:rsidR="00150809">
        <w:rPr>
          <w:rFonts w:ascii="Verdana" w:hAnsi="Verdana" w:cstheme="minorHAnsi"/>
          <w:sz w:val="20"/>
          <w:szCs w:val="20"/>
          <w:lang w:val="es-CR"/>
        </w:rPr>
        <w:t xml:space="preserve"> (</w:t>
      </w:r>
      <w:r w:rsidR="00150809" w:rsidRPr="00150809">
        <w:rPr>
          <w:rFonts w:ascii="Verdana" w:hAnsi="Verdana" w:cstheme="minorHAnsi"/>
          <w:i/>
          <w:sz w:val="20"/>
          <w:szCs w:val="20"/>
          <w:lang w:val="es-CR"/>
        </w:rPr>
        <w:t xml:space="preserve">infra </w:t>
      </w:r>
      <w:r w:rsidR="00150809">
        <w:rPr>
          <w:rFonts w:ascii="Verdana" w:hAnsi="Verdana" w:cstheme="minorHAnsi"/>
          <w:sz w:val="20"/>
          <w:szCs w:val="20"/>
          <w:lang w:val="es-CR"/>
        </w:rPr>
        <w:t xml:space="preserve">Considerandos </w:t>
      </w:r>
      <w:r w:rsidR="00D0743E">
        <w:rPr>
          <w:rFonts w:ascii="Verdana" w:hAnsi="Verdana" w:cstheme="minorHAnsi"/>
          <w:sz w:val="20"/>
          <w:szCs w:val="20"/>
          <w:lang w:val="es-CR"/>
        </w:rPr>
        <w:fldChar w:fldCharType="begin"/>
      </w:r>
      <w:r w:rsidR="00D0743E">
        <w:rPr>
          <w:rFonts w:ascii="Verdana" w:hAnsi="Verdana" w:cstheme="minorHAnsi"/>
          <w:sz w:val="20"/>
          <w:szCs w:val="20"/>
          <w:lang w:val="es-CR"/>
        </w:rPr>
        <w:instrText xml:space="preserve"> REF _Ref25328907 \r \h </w:instrText>
      </w:r>
      <w:r w:rsidR="00D0743E">
        <w:rPr>
          <w:rFonts w:ascii="Verdana" w:hAnsi="Verdana" w:cstheme="minorHAnsi"/>
          <w:sz w:val="20"/>
          <w:szCs w:val="20"/>
          <w:lang w:val="es-CR"/>
        </w:rPr>
      </w:r>
      <w:r w:rsidR="00D0743E">
        <w:rPr>
          <w:rFonts w:ascii="Verdana" w:hAnsi="Verdana" w:cstheme="minorHAnsi"/>
          <w:sz w:val="20"/>
          <w:szCs w:val="20"/>
          <w:lang w:val="es-CR"/>
        </w:rPr>
        <w:fldChar w:fldCharType="separate"/>
      </w:r>
      <w:r w:rsidR="00521E39">
        <w:rPr>
          <w:rFonts w:ascii="Verdana" w:hAnsi="Verdana" w:cstheme="minorHAnsi"/>
          <w:sz w:val="20"/>
          <w:szCs w:val="20"/>
          <w:lang w:val="es-CR"/>
        </w:rPr>
        <w:t>2</w:t>
      </w:r>
      <w:r w:rsidR="00D0743E">
        <w:rPr>
          <w:rFonts w:ascii="Verdana" w:hAnsi="Verdana" w:cstheme="minorHAnsi"/>
          <w:sz w:val="20"/>
          <w:szCs w:val="20"/>
          <w:lang w:val="es-CR"/>
        </w:rPr>
        <w:fldChar w:fldCharType="end"/>
      </w:r>
      <w:r w:rsidR="00D0743E">
        <w:rPr>
          <w:rFonts w:ascii="Verdana" w:hAnsi="Verdana" w:cstheme="minorHAnsi"/>
          <w:sz w:val="20"/>
          <w:szCs w:val="20"/>
          <w:lang w:val="es-CR"/>
        </w:rPr>
        <w:t xml:space="preserve"> y </w:t>
      </w:r>
      <w:r w:rsidR="00D0743E">
        <w:rPr>
          <w:rFonts w:ascii="Verdana" w:hAnsi="Verdana" w:cstheme="minorHAnsi"/>
          <w:sz w:val="20"/>
          <w:szCs w:val="20"/>
          <w:lang w:val="es-CR"/>
        </w:rPr>
        <w:fldChar w:fldCharType="begin"/>
      </w:r>
      <w:r w:rsidR="00D0743E">
        <w:rPr>
          <w:rFonts w:ascii="Verdana" w:hAnsi="Verdana" w:cstheme="minorHAnsi"/>
          <w:sz w:val="20"/>
          <w:szCs w:val="20"/>
          <w:lang w:val="es-CR"/>
        </w:rPr>
        <w:instrText xml:space="preserve"> REF _Ref25328908 \r \h </w:instrText>
      </w:r>
      <w:r w:rsidR="00D0743E">
        <w:rPr>
          <w:rFonts w:ascii="Verdana" w:hAnsi="Verdana" w:cstheme="minorHAnsi"/>
          <w:sz w:val="20"/>
          <w:szCs w:val="20"/>
          <w:lang w:val="es-CR"/>
        </w:rPr>
      </w:r>
      <w:r w:rsidR="00D0743E">
        <w:rPr>
          <w:rFonts w:ascii="Verdana" w:hAnsi="Verdana" w:cstheme="minorHAnsi"/>
          <w:sz w:val="20"/>
          <w:szCs w:val="20"/>
          <w:lang w:val="es-CR"/>
        </w:rPr>
        <w:fldChar w:fldCharType="separate"/>
      </w:r>
      <w:r w:rsidR="00521E39">
        <w:rPr>
          <w:rFonts w:ascii="Verdana" w:hAnsi="Verdana" w:cstheme="minorHAnsi"/>
          <w:sz w:val="20"/>
          <w:szCs w:val="20"/>
          <w:lang w:val="es-CR"/>
        </w:rPr>
        <w:t>3</w:t>
      </w:r>
      <w:r w:rsidR="00D0743E">
        <w:rPr>
          <w:rFonts w:ascii="Verdana" w:hAnsi="Verdana" w:cstheme="minorHAnsi"/>
          <w:sz w:val="20"/>
          <w:szCs w:val="20"/>
          <w:lang w:val="es-CR"/>
        </w:rPr>
        <w:fldChar w:fldCharType="end"/>
      </w:r>
      <w:r w:rsidR="00150809">
        <w:rPr>
          <w:rFonts w:ascii="Verdana" w:hAnsi="Verdana" w:cstheme="minorHAnsi"/>
          <w:sz w:val="20"/>
          <w:szCs w:val="20"/>
          <w:lang w:val="es-CR"/>
        </w:rPr>
        <w:t>)</w:t>
      </w:r>
      <w:r>
        <w:rPr>
          <w:rFonts w:ascii="Verdana" w:hAnsi="Verdana" w:cstheme="minorHAnsi"/>
          <w:sz w:val="20"/>
          <w:szCs w:val="20"/>
          <w:lang w:val="es-CR"/>
        </w:rPr>
        <w:t>.</w:t>
      </w:r>
      <w:bookmarkEnd w:id="2"/>
      <w:r>
        <w:rPr>
          <w:rFonts w:ascii="Verdana" w:hAnsi="Verdana" w:cstheme="minorHAnsi"/>
          <w:sz w:val="20"/>
          <w:szCs w:val="20"/>
          <w:lang w:val="es-CR"/>
        </w:rPr>
        <w:t xml:space="preserve"> </w:t>
      </w:r>
    </w:p>
    <w:p w14:paraId="1EE8C63A" w14:textId="77777777" w:rsidR="00150809" w:rsidRPr="00150809" w:rsidRDefault="00150809" w:rsidP="00DA0EEB">
      <w:pPr>
        <w:pStyle w:val="Prrafodelista"/>
        <w:spacing w:after="0" w:line="240" w:lineRule="auto"/>
        <w:contextualSpacing w:val="0"/>
        <w:rPr>
          <w:rFonts w:ascii="Verdana" w:hAnsi="Verdana" w:cstheme="minorHAnsi"/>
          <w:sz w:val="20"/>
          <w:szCs w:val="20"/>
          <w:lang w:val="es-CR"/>
        </w:rPr>
      </w:pPr>
    </w:p>
    <w:p w14:paraId="63095491" w14:textId="0014E6FF" w:rsidR="00150809" w:rsidRPr="00842317" w:rsidRDefault="00150809" w:rsidP="00DA0EEB">
      <w:pPr>
        <w:pStyle w:val="Prrafodelista"/>
        <w:numPr>
          <w:ilvl w:val="0"/>
          <w:numId w:val="1"/>
        </w:numPr>
        <w:spacing w:after="0" w:line="240" w:lineRule="auto"/>
        <w:ind w:left="0" w:firstLine="0"/>
        <w:contextualSpacing w:val="0"/>
        <w:jc w:val="both"/>
        <w:rPr>
          <w:rFonts w:ascii="Verdana" w:hAnsi="Verdana" w:cstheme="minorHAnsi"/>
          <w:sz w:val="20"/>
          <w:szCs w:val="20"/>
          <w:lang w:val="es-CR"/>
        </w:rPr>
      </w:pPr>
      <w:r w:rsidRPr="00842317">
        <w:rPr>
          <w:rFonts w:ascii="Verdana" w:hAnsi="Verdana" w:cstheme="minorHAnsi"/>
          <w:sz w:val="20"/>
          <w:szCs w:val="20"/>
          <w:lang w:val="es-CR"/>
        </w:rPr>
        <w:lastRenderedPageBreak/>
        <w:t>El escrito presentado el 5 de enero de 2017 por el Representante Permanente de Haití ante la Organización de los Estados Americanos, mediante el cual indicó que había enviado a las autoridades estatales una copia de la Sentencia y las referidas resoluciones de supervisión de cumplimiento (</w:t>
      </w:r>
      <w:r w:rsidRPr="00842317">
        <w:rPr>
          <w:rFonts w:ascii="Verdana" w:hAnsi="Verdana" w:cstheme="minorHAnsi"/>
          <w:i/>
          <w:sz w:val="20"/>
          <w:szCs w:val="20"/>
          <w:lang w:val="es-CR"/>
        </w:rPr>
        <w:t>supra</w:t>
      </w:r>
      <w:r w:rsidRPr="00842317">
        <w:rPr>
          <w:rFonts w:ascii="Verdana" w:hAnsi="Verdana" w:cstheme="minorHAnsi"/>
          <w:sz w:val="20"/>
          <w:szCs w:val="20"/>
          <w:lang w:val="es-CR"/>
        </w:rPr>
        <w:t xml:space="preserve"> Vistos </w:t>
      </w:r>
      <w:r w:rsidR="00D0743E" w:rsidRPr="00842317">
        <w:rPr>
          <w:rFonts w:ascii="Verdana" w:hAnsi="Verdana" w:cstheme="minorHAnsi"/>
          <w:sz w:val="20"/>
          <w:szCs w:val="20"/>
          <w:lang w:val="es-CR"/>
        </w:rPr>
        <w:fldChar w:fldCharType="begin"/>
      </w:r>
      <w:r w:rsidR="00D0743E" w:rsidRPr="00842317">
        <w:rPr>
          <w:rFonts w:ascii="Verdana" w:hAnsi="Verdana" w:cstheme="minorHAnsi"/>
          <w:sz w:val="20"/>
          <w:szCs w:val="20"/>
          <w:lang w:val="es-CR"/>
        </w:rPr>
        <w:instrText xml:space="preserve"> REF _Ref25328962 \r \h </w:instrText>
      </w:r>
      <w:r w:rsidR="00D0743E">
        <w:rPr>
          <w:rFonts w:ascii="Verdana" w:hAnsi="Verdana" w:cstheme="minorHAnsi"/>
          <w:sz w:val="20"/>
          <w:szCs w:val="20"/>
          <w:lang w:val="es-CR"/>
        </w:rPr>
        <w:instrText xml:space="preserve"> \* MERGEFORMAT </w:instrText>
      </w:r>
      <w:r w:rsidR="00D0743E" w:rsidRPr="00842317">
        <w:rPr>
          <w:rFonts w:ascii="Verdana" w:hAnsi="Verdana" w:cstheme="minorHAnsi"/>
          <w:sz w:val="20"/>
          <w:szCs w:val="20"/>
          <w:lang w:val="es-CR"/>
        </w:rPr>
      </w:r>
      <w:r w:rsidR="00D0743E" w:rsidRPr="00842317">
        <w:rPr>
          <w:rFonts w:ascii="Verdana" w:hAnsi="Verdana" w:cstheme="minorHAnsi"/>
          <w:sz w:val="20"/>
          <w:szCs w:val="20"/>
          <w:lang w:val="es-CR"/>
        </w:rPr>
        <w:fldChar w:fldCharType="separate"/>
      </w:r>
      <w:r w:rsidR="00521E39">
        <w:rPr>
          <w:rFonts w:ascii="Verdana" w:hAnsi="Verdana" w:cstheme="minorHAnsi"/>
          <w:sz w:val="20"/>
          <w:szCs w:val="20"/>
          <w:lang w:val="es-CR"/>
        </w:rPr>
        <w:t>1</w:t>
      </w:r>
      <w:r w:rsidR="00D0743E" w:rsidRPr="00842317">
        <w:rPr>
          <w:rFonts w:ascii="Verdana" w:hAnsi="Verdana" w:cstheme="minorHAnsi"/>
          <w:sz w:val="20"/>
          <w:szCs w:val="20"/>
          <w:lang w:val="es-CR"/>
        </w:rPr>
        <w:fldChar w:fldCharType="end"/>
      </w:r>
      <w:r w:rsidR="00D0743E" w:rsidRPr="00842317">
        <w:rPr>
          <w:rFonts w:ascii="Verdana" w:hAnsi="Verdana" w:cstheme="minorHAnsi"/>
          <w:sz w:val="20"/>
          <w:szCs w:val="20"/>
          <w:lang w:val="es-CR"/>
        </w:rPr>
        <w:t xml:space="preserve"> y </w:t>
      </w:r>
      <w:r w:rsidR="00D0743E" w:rsidRPr="00842317">
        <w:rPr>
          <w:rFonts w:ascii="Verdana" w:hAnsi="Verdana" w:cstheme="minorHAnsi"/>
          <w:sz w:val="20"/>
          <w:szCs w:val="20"/>
          <w:lang w:val="es-CR"/>
        </w:rPr>
        <w:fldChar w:fldCharType="begin"/>
      </w:r>
      <w:r w:rsidR="00D0743E" w:rsidRPr="00842317">
        <w:rPr>
          <w:rFonts w:ascii="Verdana" w:hAnsi="Verdana" w:cstheme="minorHAnsi"/>
          <w:sz w:val="20"/>
          <w:szCs w:val="20"/>
          <w:lang w:val="es-CR"/>
        </w:rPr>
        <w:instrText xml:space="preserve"> REF _Ref25328963 \r \h </w:instrText>
      </w:r>
      <w:r w:rsidR="00D0743E">
        <w:rPr>
          <w:rFonts w:ascii="Verdana" w:hAnsi="Verdana" w:cstheme="minorHAnsi"/>
          <w:sz w:val="20"/>
          <w:szCs w:val="20"/>
          <w:lang w:val="es-CR"/>
        </w:rPr>
        <w:instrText xml:space="preserve"> \* MERGEFORMAT </w:instrText>
      </w:r>
      <w:r w:rsidR="00D0743E" w:rsidRPr="00842317">
        <w:rPr>
          <w:rFonts w:ascii="Verdana" w:hAnsi="Verdana" w:cstheme="minorHAnsi"/>
          <w:sz w:val="20"/>
          <w:szCs w:val="20"/>
          <w:lang w:val="es-CR"/>
        </w:rPr>
      </w:r>
      <w:r w:rsidR="00D0743E" w:rsidRPr="00842317">
        <w:rPr>
          <w:rFonts w:ascii="Verdana" w:hAnsi="Verdana" w:cstheme="minorHAnsi"/>
          <w:sz w:val="20"/>
          <w:szCs w:val="20"/>
          <w:lang w:val="es-CR"/>
        </w:rPr>
        <w:fldChar w:fldCharType="separate"/>
      </w:r>
      <w:r w:rsidR="00521E39">
        <w:rPr>
          <w:rFonts w:ascii="Verdana" w:hAnsi="Verdana" w:cstheme="minorHAnsi"/>
          <w:sz w:val="20"/>
          <w:szCs w:val="20"/>
          <w:lang w:val="es-CR"/>
        </w:rPr>
        <w:t>2</w:t>
      </w:r>
      <w:r w:rsidR="00D0743E" w:rsidRPr="00842317">
        <w:rPr>
          <w:rFonts w:ascii="Verdana" w:hAnsi="Verdana" w:cstheme="minorHAnsi"/>
          <w:sz w:val="20"/>
          <w:szCs w:val="20"/>
          <w:lang w:val="es-CR"/>
        </w:rPr>
        <w:fldChar w:fldCharType="end"/>
      </w:r>
      <w:r w:rsidRPr="00842317">
        <w:rPr>
          <w:rFonts w:ascii="Verdana" w:hAnsi="Verdana" w:cstheme="minorHAnsi"/>
          <w:sz w:val="20"/>
          <w:szCs w:val="20"/>
          <w:lang w:val="es-CR"/>
        </w:rPr>
        <w:t>).</w:t>
      </w:r>
    </w:p>
    <w:p w14:paraId="77FE3309" w14:textId="77777777" w:rsidR="00C666E3" w:rsidRPr="00C666E3" w:rsidRDefault="00C666E3" w:rsidP="00DA0EEB">
      <w:pPr>
        <w:pStyle w:val="Prrafodelista"/>
        <w:spacing w:after="0" w:line="240" w:lineRule="auto"/>
        <w:ind w:left="0"/>
        <w:contextualSpacing w:val="0"/>
        <w:jc w:val="both"/>
        <w:rPr>
          <w:rFonts w:ascii="Verdana" w:hAnsi="Verdana" w:cstheme="minorHAnsi"/>
          <w:sz w:val="20"/>
          <w:szCs w:val="20"/>
          <w:lang w:val="es-CR"/>
        </w:rPr>
      </w:pPr>
    </w:p>
    <w:p w14:paraId="6DF8E3D7" w14:textId="77777777" w:rsidR="00C666E3" w:rsidRDefault="00C666E3" w:rsidP="00DA0EEB">
      <w:pPr>
        <w:pStyle w:val="Prrafodelista"/>
        <w:numPr>
          <w:ilvl w:val="0"/>
          <w:numId w:val="1"/>
        </w:numPr>
        <w:spacing w:after="0" w:line="240" w:lineRule="auto"/>
        <w:ind w:left="0" w:firstLine="0"/>
        <w:contextualSpacing w:val="0"/>
        <w:jc w:val="both"/>
        <w:rPr>
          <w:rFonts w:ascii="Verdana" w:hAnsi="Verdana" w:cstheme="minorHAnsi"/>
          <w:sz w:val="20"/>
          <w:szCs w:val="20"/>
          <w:lang w:val="es-CR"/>
        </w:rPr>
      </w:pPr>
      <w:bookmarkStart w:id="3" w:name="_Ref25331125"/>
      <w:r w:rsidRPr="00217C91">
        <w:rPr>
          <w:rFonts w:ascii="Verdana" w:hAnsi="Verdana" w:cstheme="minorHAnsi"/>
          <w:sz w:val="20"/>
          <w:szCs w:val="20"/>
          <w:lang w:val="es-CR"/>
        </w:rPr>
        <w:t>La nota de la Secretaría de la C</w:t>
      </w:r>
      <w:r>
        <w:rPr>
          <w:rFonts w:ascii="Verdana" w:hAnsi="Verdana" w:cstheme="minorHAnsi"/>
          <w:sz w:val="20"/>
          <w:szCs w:val="20"/>
          <w:lang w:val="es-CR"/>
        </w:rPr>
        <w:t>orte</w:t>
      </w:r>
      <w:r w:rsidR="00150809">
        <w:rPr>
          <w:rFonts w:ascii="Verdana" w:hAnsi="Verdana" w:cstheme="minorHAnsi"/>
          <w:sz w:val="20"/>
          <w:szCs w:val="20"/>
          <w:lang w:val="es-CR"/>
        </w:rPr>
        <w:t xml:space="preserve"> </w:t>
      </w:r>
      <w:r w:rsidR="00FB0B58">
        <w:rPr>
          <w:rFonts w:ascii="Verdana" w:hAnsi="Verdana" w:cstheme="minorHAnsi"/>
          <w:sz w:val="20"/>
          <w:szCs w:val="20"/>
          <w:lang w:val="es-CR"/>
        </w:rPr>
        <w:t xml:space="preserve">(en adelante “la Secretaría”) </w:t>
      </w:r>
      <w:r w:rsidR="00150809">
        <w:rPr>
          <w:rFonts w:ascii="Verdana" w:hAnsi="Verdana" w:cstheme="minorHAnsi"/>
          <w:sz w:val="20"/>
          <w:szCs w:val="20"/>
          <w:lang w:val="es-CR"/>
        </w:rPr>
        <w:t>de 21 de enero de 2018</w:t>
      </w:r>
      <w:r>
        <w:rPr>
          <w:rFonts w:ascii="Verdana" w:hAnsi="Verdana" w:cstheme="minorHAnsi"/>
          <w:sz w:val="20"/>
          <w:szCs w:val="20"/>
          <w:lang w:val="es-CR"/>
        </w:rPr>
        <w:t xml:space="preserve">, </w:t>
      </w:r>
      <w:r w:rsidRPr="00217C91">
        <w:rPr>
          <w:rFonts w:ascii="Verdana" w:hAnsi="Verdana" w:cstheme="minorHAnsi"/>
          <w:sz w:val="20"/>
          <w:szCs w:val="20"/>
          <w:lang w:val="es-CR"/>
        </w:rPr>
        <w:t>mediante la cual, siguiendo instrucciones del Presidente del Tribunal, se r</w:t>
      </w:r>
      <w:r w:rsidR="00B52FDF">
        <w:rPr>
          <w:rFonts w:ascii="Verdana" w:hAnsi="Verdana" w:cstheme="minorHAnsi"/>
          <w:sz w:val="20"/>
          <w:szCs w:val="20"/>
          <w:lang w:val="es-CR"/>
        </w:rPr>
        <w:t>eiteró</w:t>
      </w:r>
      <w:r w:rsidRPr="00217C91">
        <w:rPr>
          <w:rFonts w:ascii="Verdana" w:hAnsi="Verdana" w:cstheme="minorHAnsi"/>
          <w:sz w:val="20"/>
          <w:szCs w:val="20"/>
          <w:lang w:val="es-CR"/>
        </w:rPr>
        <w:t xml:space="preserve"> al Estado que el 21 de diciembre de 2012 venció el plazo para que presentara el informe sobre el cumplimiento de las reparacion</w:t>
      </w:r>
      <w:r w:rsidR="00B52FDF">
        <w:rPr>
          <w:rFonts w:ascii="Verdana" w:hAnsi="Verdana" w:cstheme="minorHAnsi"/>
          <w:sz w:val="20"/>
          <w:szCs w:val="20"/>
          <w:lang w:val="es-CR"/>
        </w:rPr>
        <w:t xml:space="preserve">es </w:t>
      </w:r>
      <w:r w:rsidR="00FB0B58">
        <w:rPr>
          <w:rFonts w:ascii="Verdana" w:hAnsi="Verdana" w:cstheme="minorHAnsi"/>
          <w:sz w:val="20"/>
          <w:szCs w:val="20"/>
          <w:lang w:val="es-CR"/>
        </w:rPr>
        <w:t xml:space="preserve">que fue </w:t>
      </w:r>
      <w:r w:rsidR="00B52FDF">
        <w:rPr>
          <w:rFonts w:ascii="Verdana" w:hAnsi="Verdana" w:cstheme="minorHAnsi"/>
          <w:sz w:val="20"/>
          <w:szCs w:val="20"/>
          <w:lang w:val="es-CR"/>
        </w:rPr>
        <w:t>requerido en la Sentencia, así como lo indicado por este Tribunal en la referida Resolución de noviembre de 2016</w:t>
      </w:r>
      <w:r w:rsidRPr="00217C91">
        <w:rPr>
          <w:rFonts w:ascii="Verdana" w:hAnsi="Verdana" w:cstheme="minorHAnsi"/>
          <w:sz w:val="20"/>
          <w:szCs w:val="20"/>
          <w:lang w:val="es-CR"/>
        </w:rPr>
        <w:t>.</w:t>
      </w:r>
      <w:bookmarkEnd w:id="3"/>
    </w:p>
    <w:p w14:paraId="0049ADD0" w14:textId="77777777" w:rsidR="00DA0EEB" w:rsidRDefault="00DA0EEB" w:rsidP="00C666E3">
      <w:pPr>
        <w:jc w:val="both"/>
        <w:rPr>
          <w:rFonts w:ascii="Verdana" w:hAnsi="Verdana" w:cstheme="minorHAnsi"/>
          <w:b/>
          <w:sz w:val="20"/>
          <w:szCs w:val="20"/>
          <w:lang w:val="es-CR"/>
        </w:rPr>
      </w:pPr>
    </w:p>
    <w:p w14:paraId="259DBE09" w14:textId="77777777" w:rsidR="00C666E3" w:rsidRPr="00B1779B" w:rsidRDefault="00C666E3" w:rsidP="00C666E3">
      <w:pPr>
        <w:jc w:val="both"/>
        <w:rPr>
          <w:rFonts w:ascii="Verdana" w:hAnsi="Verdana" w:cstheme="minorHAnsi"/>
          <w:b/>
          <w:sz w:val="20"/>
          <w:szCs w:val="20"/>
          <w:lang w:val="es-CR"/>
        </w:rPr>
      </w:pPr>
      <w:r w:rsidRPr="00B1779B">
        <w:rPr>
          <w:rFonts w:ascii="Verdana" w:hAnsi="Verdana" w:cstheme="minorHAnsi"/>
          <w:b/>
          <w:sz w:val="20"/>
          <w:szCs w:val="20"/>
          <w:lang w:val="es-CR"/>
        </w:rPr>
        <w:t>CONSIDERANDO QUE:</w:t>
      </w:r>
    </w:p>
    <w:p w14:paraId="2F901EF6" w14:textId="5CD12F77" w:rsidR="00B70B9A" w:rsidRPr="00B1779B" w:rsidRDefault="00C666E3" w:rsidP="00B70B9A">
      <w:pPr>
        <w:pStyle w:val="Prrafodelista"/>
        <w:numPr>
          <w:ilvl w:val="0"/>
          <w:numId w:val="2"/>
        </w:numPr>
        <w:spacing w:line="240" w:lineRule="auto"/>
        <w:ind w:left="0" w:firstLine="0"/>
        <w:jc w:val="both"/>
        <w:rPr>
          <w:rFonts w:ascii="Verdana" w:hAnsi="Verdana" w:cstheme="minorHAnsi"/>
          <w:b/>
          <w:sz w:val="20"/>
          <w:szCs w:val="20"/>
          <w:lang w:val="es-CR"/>
        </w:rPr>
      </w:pPr>
      <w:bookmarkStart w:id="4" w:name="_Ref25328858"/>
      <w:r w:rsidRPr="00B1779B">
        <w:rPr>
          <w:rFonts w:ascii="Verdana" w:hAnsi="Verdana"/>
          <w:sz w:val="20"/>
          <w:szCs w:val="20"/>
          <w:lang w:val="es-CR"/>
        </w:rPr>
        <w:t>En el ejercicio de su función jurisdiccional de supervisar el cumplimiento de sus decisiones</w:t>
      </w:r>
      <w:r w:rsidRPr="00B1779B">
        <w:rPr>
          <w:rStyle w:val="Refdenotaalpie"/>
          <w:rFonts w:ascii="Verdana" w:hAnsi="Verdana"/>
          <w:sz w:val="20"/>
          <w:szCs w:val="20"/>
          <w:lang w:val="es-CR"/>
        </w:rPr>
        <w:footnoteReference w:id="4"/>
      </w:r>
      <w:r w:rsidRPr="00B1779B">
        <w:rPr>
          <w:rFonts w:ascii="Verdana" w:hAnsi="Verdana"/>
          <w:sz w:val="20"/>
          <w:szCs w:val="20"/>
          <w:lang w:val="es-CR"/>
        </w:rPr>
        <w:t xml:space="preserve">, la Corte ha venido supervisando el cumplimiento de la Sentencia </w:t>
      </w:r>
      <w:r w:rsidR="00FB0B58">
        <w:rPr>
          <w:rFonts w:ascii="Verdana" w:hAnsi="Verdana"/>
          <w:sz w:val="20"/>
          <w:szCs w:val="20"/>
          <w:lang w:val="es-CR"/>
        </w:rPr>
        <w:t>emitida en este caso</w:t>
      </w:r>
      <w:r w:rsidR="00FB0B58" w:rsidRPr="00B1779B">
        <w:rPr>
          <w:rFonts w:ascii="Verdana" w:hAnsi="Verdana"/>
          <w:sz w:val="20"/>
          <w:szCs w:val="20"/>
          <w:lang w:val="es-CR"/>
        </w:rPr>
        <w:t xml:space="preserve"> </w:t>
      </w:r>
      <w:r w:rsidRPr="00B1779B">
        <w:rPr>
          <w:rFonts w:ascii="Verdana" w:hAnsi="Verdana"/>
          <w:sz w:val="20"/>
          <w:szCs w:val="20"/>
          <w:lang w:val="es-CR"/>
        </w:rPr>
        <w:t xml:space="preserve">hace </w:t>
      </w:r>
      <w:r w:rsidR="00FB0B58">
        <w:rPr>
          <w:rFonts w:ascii="Verdana" w:hAnsi="Verdana"/>
          <w:sz w:val="20"/>
          <w:szCs w:val="20"/>
          <w:lang w:val="es-CR"/>
        </w:rPr>
        <w:t>ocho</w:t>
      </w:r>
      <w:r w:rsidR="00FB0B58" w:rsidRPr="00B1779B">
        <w:rPr>
          <w:rFonts w:ascii="Verdana" w:hAnsi="Verdana"/>
          <w:sz w:val="20"/>
          <w:szCs w:val="20"/>
          <w:lang w:val="es-CR"/>
        </w:rPr>
        <w:t xml:space="preserve"> </w:t>
      </w:r>
      <w:r w:rsidR="00D21C81" w:rsidRPr="00B1779B">
        <w:rPr>
          <w:rFonts w:ascii="Verdana" w:hAnsi="Verdana"/>
          <w:sz w:val="20"/>
          <w:szCs w:val="20"/>
          <w:lang w:val="es-CR"/>
        </w:rPr>
        <w:t>años</w:t>
      </w:r>
      <w:r w:rsidRPr="00B1779B">
        <w:rPr>
          <w:rFonts w:ascii="Verdana" w:hAnsi="Verdana"/>
          <w:sz w:val="20"/>
          <w:szCs w:val="20"/>
          <w:lang w:val="es-CR"/>
        </w:rPr>
        <w:t xml:space="preserve"> (</w:t>
      </w:r>
      <w:r w:rsidRPr="00B1779B">
        <w:rPr>
          <w:rFonts w:ascii="Verdana" w:hAnsi="Verdana"/>
          <w:i/>
          <w:sz w:val="20"/>
          <w:szCs w:val="20"/>
          <w:lang w:val="es-CR"/>
        </w:rPr>
        <w:t>supra</w:t>
      </w:r>
      <w:r w:rsidRPr="00B1779B">
        <w:rPr>
          <w:rFonts w:ascii="Verdana" w:hAnsi="Verdana"/>
          <w:sz w:val="20"/>
          <w:szCs w:val="20"/>
          <w:lang w:val="es-CR"/>
        </w:rPr>
        <w:t xml:space="preserve"> Visto </w:t>
      </w:r>
      <w:r w:rsidR="00D0743E">
        <w:rPr>
          <w:rFonts w:ascii="Verdana" w:hAnsi="Verdana"/>
          <w:sz w:val="20"/>
          <w:szCs w:val="20"/>
          <w:lang w:val="es-CR"/>
        </w:rPr>
        <w:fldChar w:fldCharType="begin"/>
      </w:r>
      <w:r w:rsidR="00D0743E">
        <w:rPr>
          <w:rFonts w:ascii="Verdana" w:hAnsi="Verdana"/>
          <w:sz w:val="20"/>
          <w:szCs w:val="20"/>
          <w:lang w:val="es-CR"/>
        </w:rPr>
        <w:instrText xml:space="preserve"> REF _Ref25328962 \r \h </w:instrText>
      </w:r>
      <w:r w:rsidR="00D0743E">
        <w:rPr>
          <w:rFonts w:ascii="Verdana" w:hAnsi="Verdana"/>
          <w:sz w:val="20"/>
          <w:szCs w:val="20"/>
          <w:lang w:val="es-CR"/>
        </w:rPr>
      </w:r>
      <w:r w:rsidR="00D0743E">
        <w:rPr>
          <w:rFonts w:ascii="Verdana" w:hAnsi="Verdana"/>
          <w:sz w:val="20"/>
          <w:szCs w:val="20"/>
          <w:lang w:val="es-CR"/>
        </w:rPr>
        <w:fldChar w:fldCharType="separate"/>
      </w:r>
      <w:r w:rsidR="00521E39">
        <w:rPr>
          <w:rFonts w:ascii="Verdana" w:hAnsi="Verdana"/>
          <w:sz w:val="20"/>
          <w:szCs w:val="20"/>
          <w:lang w:val="es-CR"/>
        </w:rPr>
        <w:t>1</w:t>
      </w:r>
      <w:r w:rsidR="00D0743E">
        <w:rPr>
          <w:rFonts w:ascii="Verdana" w:hAnsi="Verdana"/>
          <w:sz w:val="20"/>
          <w:szCs w:val="20"/>
          <w:lang w:val="es-CR"/>
        </w:rPr>
        <w:fldChar w:fldCharType="end"/>
      </w:r>
      <w:r w:rsidRPr="00B1779B">
        <w:rPr>
          <w:rFonts w:ascii="Verdana" w:hAnsi="Verdana"/>
          <w:sz w:val="20"/>
          <w:szCs w:val="20"/>
          <w:lang w:val="es-CR"/>
        </w:rPr>
        <w:t xml:space="preserve">). </w:t>
      </w:r>
      <w:r w:rsidR="00194A09" w:rsidRPr="00B1779B">
        <w:rPr>
          <w:rFonts w:ascii="Verdana" w:hAnsi="Verdana"/>
          <w:sz w:val="20"/>
          <w:szCs w:val="20"/>
          <w:lang w:val="es-CR"/>
        </w:rPr>
        <w:t xml:space="preserve">En la Sentencia la Corte </w:t>
      </w:r>
      <w:r w:rsidR="0039227E" w:rsidRPr="00B1779B">
        <w:rPr>
          <w:rFonts w:ascii="Verdana" w:hAnsi="Verdana"/>
          <w:sz w:val="20"/>
          <w:szCs w:val="20"/>
          <w:lang w:val="es-CR"/>
        </w:rPr>
        <w:t>ordenó cinco medidas de reparación</w:t>
      </w:r>
      <w:r w:rsidR="00161293">
        <w:rPr>
          <w:rFonts w:ascii="Verdana" w:hAnsi="Verdana"/>
          <w:sz w:val="20"/>
          <w:szCs w:val="20"/>
          <w:lang w:val="es-CR"/>
        </w:rPr>
        <w:t xml:space="preserve"> (</w:t>
      </w:r>
      <w:r w:rsidR="00161293" w:rsidRPr="00161293">
        <w:rPr>
          <w:rFonts w:ascii="Verdana" w:hAnsi="Verdana"/>
          <w:i/>
          <w:sz w:val="20"/>
          <w:szCs w:val="20"/>
          <w:lang w:val="es-CR"/>
        </w:rPr>
        <w:t xml:space="preserve">infra </w:t>
      </w:r>
      <w:r w:rsidR="00161293">
        <w:rPr>
          <w:rFonts w:ascii="Verdana" w:hAnsi="Verdana"/>
          <w:sz w:val="20"/>
          <w:szCs w:val="20"/>
          <w:lang w:val="es-CR"/>
        </w:rPr>
        <w:t>punto resolutivo 2)</w:t>
      </w:r>
      <w:r w:rsidR="0039227E" w:rsidRPr="00B1779B">
        <w:rPr>
          <w:rFonts w:ascii="Verdana" w:hAnsi="Verdana"/>
          <w:sz w:val="20"/>
          <w:szCs w:val="20"/>
          <w:lang w:val="es-CR"/>
        </w:rPr>
        <w:t>, y dispuso que “[d]</w:t>
      </w:r>
      <w:proofErr w:type="spellStart"/>
      <w:r w:rsidR="0039227E" w:rsidRPr="00B1779B">
        <w:rPr>
          <w:rFonts w:ascii="Verdana" w:hAnsi="Verdana"/>
          <w:sz w:val="20"/>
          <w:szCs w:val="20"/>
          <w:lang w:val="es-CR"/>
        </w:rPr>
        <w:t>entro</w:t>
      </w:r>
      <w:proofErr w:type="spellEnd"/>
      <w:r w:rsidR="0039227E" w:rsidRPr="00B1779B">
        <w:rPr>
          <w:rFonts w:ascii="Verdana" w:hAnsi="Verdana"/>
          <w:sz w:val="20"/>
          <w:szCs w:val="20"/>
          <w:lang w:val="es-CR"/>
        </w:rPr>
        <w:t xml:space="preserve"> de</w:t>
      </w:r>
      <w:r w:rsidR="00D0743E">
        <w:rPr>
          <w:rFonts w:ascii="Verdana" w:hAnsi="Verdana"/>
          <w:sz w:val="20"/>
          <w:szCs w:val="20"/>
          <w:lang w:val="es-CR"/>
        </w:rPr>
        <w:t>l plazo de</w:t>
      </w:r>
      <w:r w:rsidR="0039227E" w:rsidRPr="00B1779B">
        <w:rPr>
          <w:rFonts w:ascii="Verdana" w:hAnsi="Verdana"/>
          <w:sz w:val="20"/>
          <w:szCs w:val="20"/>
          <w:lang w:val="es-CR"/>
        </w:rPr>
        <w:t xml:space="preserve"> un </w:t>
      </w:r>
      <w:proofErr w:type="gramStart"/>
      <w:r w:rsidR="0039227E" w:rsidRPr="00B1779B">
        <w:rPr>
          <w:rFonts w:ascii="Verdana" w:hAnsi="Verdana"/>
          <w:sz w:val="20"/>
          <w:szCs w:val="20"/>
          <w:lang w:val="es-CR"/>
        </w:rPr>
        <w:t>año</w:t>
      </w:r>
      <w:r w:rsidR="00842317">
        <w:rPr>
          <w:rFonts w:ascii="Verdana" w:hAnsi="Verdana"/>
          <w:sz w:val="20"/>
          <w:szCs w:val="20"/>
          <w:lang w:val="es-CR"/>
        </w:rPr>
        <w:t>[</w:t>
      </w:r>
      <w:proofErr w:type="gramEnd"/>
      <w:r w:rsidR="00842317">
        <w:rPr>
          <w:rFonts w:ascii="Verdana" w:hAnsi="Verdana"/>
          <w:sz w:val="20"/>
          <w:szCs w:val="20"/>
          <w:lang w:val="es-CR"/>
        </w:rPr>
        <w:t>,]</w:t>
      </w:r>
      <w:r w:rsidR="0039227E" w:rsidRPr="00B1779B">
        <w:rPr>
          <w:rFonts w:ascii="Verdana" w:hAnsi="Verdana"/>
          <w:sz w:val="20"/>
          <w:szCs w:val="20"/>
          <w:lang w:val="es-CR"/>
        </w:rPr>
        <w:t xml:space="preserve"> a partir de la notificación de [la misma</w:t>
      </w:r>
      <w:r w:rsidR="00842317">
        <w:rPr>
          <w:rFonts w:ascii="Verdana" w:hAnsi="Verdana"/>
          <w:sz w:val="20"/>
          <w:szCs w:val="20"/>
          <w:lang w:val="es-CR"/>
        </w:rPr>
        <w:t>,</w:t>
      </w:r>
      <w:r w:rsidR="0039227E" w:rsidRPr="00B1779B">
        <w:rPr>
          <w:rFonts w:ascii="Verdana" w:hAnsi="Verdana"/>
          <w:sz w:val="20"/>
          <w:szCs w:val="20"/>
          <w:lang w:val="es-CR"/>
        </w:rPr>
        <w:t xml:space="preserve">] el Estado </w:t>
      </w:r>
      <w:proofErr w:type="spellStart"/>
      <w:r w:rsidR="0039227E" w:rsidRPr="00B1779B">
        <w:rPr>
          <w:rFonts w:ascii="Verdana" w:hAnsi="Verdana"/>
          <w:sz w:val="20"/>
          <w:szCs w:val="20"/>
          <w:lang w:val="es-CR"/>
        </w:rPr>
        <w:t>deb</w:t>
      </w:r>
      <w:proofErr w:type="spellEnd"/>
      <w:r w:rsidR="0039227E" w:rsidRPr="00B1779B">
        <w:rPr>
          <w:rFonts w:ascii="Verdana" w:hAnsi="Verdana"/>
          <w:sz w:val="20"/>
          <w:szCs w:val="20"/>
          <w:lang w:val="es-CR"/>
        </w:rPr>
        <w:t>[</w:t>
      </w:r>
      <w:proofErr w:type="spellStart"/>
      <w:r w:rsidR="0039227E" w:rsidRPr="00B1779B">
        <w:rPr>
          <w:rFonts w:ascii="Verdana" w:hAnsi="Verdana"/>
          <w:sz w:val="20"/>
          <w:szCs w:val="20"/>
          <w:lang w:val="es-CR"/>
        </w:rPr>
        <w:t>ía</w:t>
      </w:r>
      <w:proofErr w:type="spellEnd"/>
      <w:r w:rsidR="0039227E" w:rsidRPr="00B1779B">
        <w:rPr>
          <w:rFonts w:ascii="Verdana" w:hAnsi="Verdana"/>
          <w:sz w:val="20"/>
          <w:szCs w:val="20"/>
          <w:lang w:val="es-CR"/>
        </w:rPr>
        <w:t>] rendir al Tribunal un informe sobre las medidas adoptadas para darle cumplimiento”</w:t>
      </w:r>
      <w:r w:rsidR="0039227E" w:rsidRPr="00B1779B">
        <w:rPr>
          <w:rStyle w:val="Refdenotaalpie"/>
          <w:rFonts w:ascii="Verdana" w:hAnsi="Verdana"/>
          <w:sz w:val="20"/>
          <w:szCs w:val="20"/>
          <w:lang w:val="es-CR"/>
        </w:rPr>
        <w:footnoteReference w:id="5"/>
      </w:r>
      <w:r w:rsidR="0039227E" w:rsidRPr="00B1779B">
        <w:rPr>
          <w:rFonts w:ascii="Verdana" w:hAnsi="Verdana"/>
          <w:sz w:val="20"/>
          <w:szCs w:val="20"/>
          <w:lang w:val="es-CR"/>
        </w:rPr>
        <w:t xml:space="preserve">. </w:t>
      </w:r>
      <w:r w:rsidR="00695AB5">
        <w:rPr>
          <w:rFonts w:ascii="Verdana" w:hAnsi="Verdana"/>
          <w:sz w:val="20"/>
          <w:szCs w:val="20"/>
          <w:lang w:val="es-CR"/>
        </w:rPr>
        <w:t>D</w:t>
      </w:r>
      <w:r w:rsidR="00B70B9A" w:rsidRPr="00B1779B">
        <w:rPr>
          <w:rFonts w:ascii="Verdana" w:hAnsi="Verdana"/>
          <w:sz w:val="20"/>
          <w:szCs w:val="20"/>
          <w:lang w:val="es-CR"/>
        </w:rPr>
        <w:t xml:space="preserve">icho plazo era </w:t>
      </w:r>
      <w:r w:rsidR="00FB0B58">
        <w:rPr>
          <w:rFonts w:ascii="Verdana" w:hAnsi="Verdana"/>
          <w:sz w:val="20"/>
          <w:szCs w:val="20"/>
          <w:lang w:val="es-CR"/>
        </w:rPr>
        <w:t xml:space="preserve">hasta </w:t>
      </w:r>
      <w:r w:rsidR="00B70B9A" w:rsidRPr="00B1779B">
        <w:rPr>
          <w:rFonts w:ascii="Verdana" w:hAnsi="Verdana"/>
          <w:sz w:val="20"/>
          <w:szCs w:val="20"/>
          <w:lang w:val="es-CR"/>
        </w:rPr>
        <w:t xml:space="preserve">el </w:t>
      </w:r>
      <w:r w:rsidR="00FB0B58" w:rsidRPr="00B1779B">
        <w:rPr>
          <w:rFonts w:ascii="Verdana" w:hAnsi="Verdana"/>
          <w:sz w:val="20"/>
          <w:szCs w:val="20"/>
          <w:lang w:val="es-CR"/>
        </w:rPr>
        <w:t>2</w:t>
      </w:r>
      <w:r w:rsidR="00FB0B58">
        <w:rPr>
          <w:rFonts w:ascii="Verdana" w:hAnsi="Verdana"/>
          <w:sz w:val="20"/>
          <w:szCs w:val="20"/>
          <w:lang w:val="es-CR"/>
        </w:rPr>
        <w:t>1</w:t>
      </w:r>
      <w:r w:rsidR="00FB0B58" w:rsidRPr="00B1779B">
        <w:rPr>
          <w:rFonts w:ascii="Verdana" w:hAnsi="Verdana"/>
          <w:sz w:val="20"/>
          <w:szCs w:val="20"/>
          <w:lang w:val="es-CR"/>
        </w:rPr>
        <w:t xml:space="preserve"> </w:t>
      </w:r>
      <w:r w:rsidR="00B70B9A" w:rsidRPr="00B1779B">
        <w:rPr>
          <w:rFonts w:ascii="Verdana" w:hAnsi="Verdana"/>
          <w:sz w:val="20"/>
          <w:szCs w:val="20"/>
          <w:lang w:val="es-CR"/>
        </w:rPr>
        <w:t>de diciembre de 2012.</w:t>
      </w:r>
      <w:bookmarkEnd w:id="4"/>
    </w:p>
    <w:p w14:paraId="4700945D" w14:textId="77777777" w:rsidR="00B70B9A" w:rsidRPr="00B1779B" w:rsidRDefault="00B70B9A" w:rsidP="00B70B9A">
      <w:pPr>
        <w:pStyle w:val="Prrafodelista"/>
        <w:spacing w:line="240" w:lineRule="auto"/>
        <w:ind w:left="0"/>
        <w:jc w:val="both"/>
        <w:rPr>
          <w:rFonts w:ascii="Verdana" w:hAnsi="Verdana" w:cstheme="minorHAnsi"/>
          <w:b/>
          <w:sz w:val="20"/>
          <w:szCs w:val="20"/>
          <w:lang w:val="es-CR"/>
        </w:rPr>
      </w:pPr>
    </w:p>
    <w:p w14:paraId="7C489B2F" w14:textId="7DBB0716" w:rsidR="00B9511C" w:rsidRPr="00B1779B" w:rsidRDefault="0039227E" w:rsidP="00B70B9A">
      <w:pPr>
        <w:pStyle w:val="Prrafodelista"/>
        <w:numPr>
          <w:ilvl w:val="0"/>
          <w:numId w:val="2"/>
        </w:numPr>
        <w:spacing w:line="240" w:lineRule="auto"/>
        <w:ind w:left="0" w:firstLine="0"/>
        <w:jc w:val="both"/>
        <w:rPr>
          <w:rFonts w:ascii="Verdana" w:hAnsi="Verdana" w:cstheme="minorHAnsi"/>
          <w:b/>
          <w:sz w:val="20"/>
          <w:szCs w:val="20"/>
          <w:lang w:val="es-CR"/>
        </w:rPr>
      </w:pPr>
      <w:bookmarkStart w:id="5" w:name="_Ref25328907"/>
      <w:r w:rsidRPr="00B1779B">
        <w:rPr>
          <w:rFonts w:ascii="Verdana" w:hAnsi="Verdana"/>
          <w:sz w:val="20"/>
          <w:szCs w:val="20"/>
          <w:lang w:val="es-CR"/>
        </w:rPr>
        <w:t xml:space="preserve">En la Resolución emitida </w:t>
      </w:r>
      <w:r w:rsidR="00DA0EEB" w:rsidRPr="00B1779B">
        <w:rPr>
          <w:rFonts w:ascii="Verdana" w:hAnsi="Verdana"/>
          <w:sz w:val="20"/>
          <w:szCs w:val="20"/>
          <w:lang w:val="es-CR"/>
        </w:rPr>
        <w:t>en noviembre de 2015</w:t>
      </w:r>
      <w:r w:rsidR="00D2111D">
        <w:rPr>
          <w:rStyle w:val="Refdenotaalpie"/>
          <w:rFonts w:ascii="Verdana" w:hAnsi="Verdana"/>
          <w:sz w:val="20"/>
          <w:szCs w:val="20"/>
          <w:lang w:val="es-CR"/>
        </w:rPr>
        <w:footnoteReference w:id="6"/>
      </w:r>
      <w:r w:rsidR="00DA0EEB" w:rsidRPr="00B1779B">
        <w:rPr>
          <w:rFonts w:ascii="Verdana" w:hAnsi="Verdana" w:cstheme="minorHAnsi"/>
          <w:sz w:val="20"/>
          <w:szCs w:val="20"/>
          <w:lang w:val="es-CR"/>
        </w:rPr>
        <w:t>,</w:t>
      </w:r>
      <w:r w:rsidR="00B70B9A" w:rsidRPr="00B1779B">
        <w:rPr>
          <w:rFonts w:ascii="Verdana" w:hAnsi="Verdana" w:cstheme="minorHAnsi"/>
          <w:sz w:val="20"/>
          <w:szCs w:val="20"/>
          <w:lang w:val="es-CR"/>
        </w:rPr>
        <w:t xml:space="preserve"> la Corte</w:t>
      </w:r>
      <w:r w:rsidR="00DA0EEB" w:rsidRPr="00B1779B">
        <w:rPr>
          <w:rFonts w:ascii="Verdana" w:hAnsi="Verdana" w:cstheme="minorHAnsi"/>
          <w:b/>
          <w:sz w:val="20"/>
          <w:szCs w:val="20"/>
          <w:lang w:val="es-CR"/>
        </w:rPr>
        <w:t xml:space="preserve"> </w:t>
      </w:r>
      <w:r w:rsidR="00DA0EEB" w:rsidRPr="00B1779B">
        <w:rPr>
          <w:rFonts w:ascii="Verdana" w:hAnsi="Verdana"/>
          <w:sz w:val="20"/>
          <w:szCs w:val="20"/>
          <w:lang w:val="es-CR"/>
        </w:rPr>
        <w:t xml:space="preserve">declaró que Haití había incumplido su deber de informar sobre el cumplimiento de las reparaciones ordenadas en la Sentencia, y que por ello no contaba con elementos que le permitieran sostener que dicho Estado había adoptado medidas orientadas a ese fin. </w:t>
      </w:r>
      <w:r w:rsidR="007B4E80">
        <w:rPr>
          <w:rFonts w:ascii="Verdana" w:hAnsi="Verdana"/>
          <w:sz w:val="20"/>
          <w:szCs w:val="20"/>
          <w:lang w:val="es-CR"/>
        </w:rPr>
        <w:t>El Tribunal</w:t>
      </w:r>
      <w:r w:rsidR="00DA0EEB" w:rsidRPr="00B1779B">
        <w:rPr>
          <w:rFonts w:ascii="Verdana" w:hAnsi="Verdana"/>
          <w:sz w:val="20"/>
          <w:szCs w:val="20"/>
          <w:lang w:val="es-CR"/>
        </w:rPr>
        <w:t xml:space="preserve"> hizo notar que</w:t>
      </w:r>
      <w:r w:rsidR="00CB7D03">
        <w:rPr>
          <w:rFonts w:ascii="Verdana" w:hAnsi="Verdana"/>
          <w:sz w:val="20"/>
          <w:szCs w:val="20"/>
          <w:lang w:val="es-CR"/>
        </w:rPr>
        <w:t>,</w:t>
      </w:r>
      <w:r w:rsidR="00DA0EEB" w:rsidRPr="00B1779B">
        <w:rPr>
          <w:rFonts w:ascii="Verdana" w:hAnsi="Verdana"/>
          <w:sz w:val="20"/>
          <w:szCs w:val="20"/>
          <w:lang w:val="es-CR"/>
        </w:rPr>
        <w:t xml:space="preserve"> a pesar de que habían transcurrido casi tres años desde el vencimiento del plazo dispuesto en la Sentencia para presentar el informe sobre su cumplimiento</w:t>
      </w:r>
      <w:r w:rsidR="00B70B9A" w:rsidRPr="00B1779B">
        <w:rPr>
          <w:rFonts w:ascii="Verdana" w:hAnsi="Verdana"/>
          <w:sz w:val="20"/>
          <w:szCs w:val="20"/>
          <w:lang w:val="es-CR"/>
        </w:rPr>
        <w:t xml:space="preserve"> (</w:t>
      </w:r>
      <w:r w:rsidR="00B70B9A" w:rsidRPr="00B1779B">
        <w:rPr>
          <w:rFonts w:ascii="Verdana" w:hAnsi="Verdana"/>
          <w:i/>
          <w:sz w:val="20"/>
          <w:szCs w:val="20"/>
          <w:lang w:val="es-CR"/>
        </w:rPr>
        <w:t>supra</w:t>
      </w:r>
      <w:r w:rsidR="00B70B9A" w:rsidRPr="00B1779B">
        <w:rPr>
          <w:rFonts w:ascii="Verdana" w:hAnsi="Verdana"/>
          <w:sz w:val="20"/>
          <w:szCs w:val="20"/>
          <w:lang w:val="es-CR"/>
        </w:rPr>
        <w:t xml:space="preserve"> Considerando </w:t>
      </w:r>
      <w:r w:rsidR="003F4420">
        <w:rPr>
          <w:rFonts w:ascii="Verdana" w:hAnsi="Verdana"/>
          <w:sz w:val="20"/>
          <w:szCs w:val="20"/>
          <w:lang w:val="es-CR"/>
        </w:rPr>
        <w:fldChar w:fldCharType="begin"/>
      </w:r>
      <w:r w:rsidR="003F4420">
        <w:rPr>
          <w:rFonts w:ascii="Verdana" w:hAnsi="Verdana"/>
          <w:sz w:val="20"/>
          <w:szCs w:val="20"/>
          <w:lang w:val="es-CR"/>
        </w:rPr>
        <w:instrText xml:space="preserve"> REF _Ref25328858 \r \h </w:instrText>
      </w:r>
      <w:r w:rsidR="003F4420">
        <w:rPr>
          <w:rFonts w:ascii="Verdana" w:hAnsi="Verdana"/>
          <w:sz w:val="20"/>
          <w:szCs w:val="20"/>
          <w:lang w:val="es-CR"/>
        </w:rPr>
      </w:r>
      <w:r w:rsidR="003F4420">
        <w:rPr>
          <w:rFonts w:ascii="Verdana" w:hAnsi="Verdana"/>
          <w:sz w:val="20"/>
          <w:szCs w:val="20"/>
          <w:lang w:val="es-CR"/>
        </w:rPr>
        <w:fldChar w:fldCharType="separate"/>
      </w:r>
      <w:r w:rsidR="00521E39">
        <w:rPr>
          <w:rFonts w:ascii="Verdana" w:hAnsi="Verdana"/>
          <w:sz w:val="20"/>
          <w:szCs w:val="20"/>
          <w:lang w:val="es-CR"/>
        </w:rPr>
        <w:t>1</w:t>
      </w:r>
      <w:r w:rsidR="003F4420">
        <w:rPr>
          <w:rFonts w:ascii="Verdana" w:hAnsi="Verdana"/>
          <w:sz w:val="20"/>
          <w:szCs w:val="20"/>
          <w:lang w:val="es-CR"/>
        </w:rPr>
        <w:fldChar w:fldCharType="end"/>
      </w:r>
      <w:r w:rsidR="00B70B9A" w:rsidRPr="00B1779B">
        <w:rPr>
          <w:rFonts w:ascii="Verdana" w:hAnsi="Verdana"/>
          <w:sz w:val="20"/>
          <w:szCs w:val="20"/>
          <w:lang w:val="es-CR"/>
        </w:rPr>
        <w:t>)</w:t>
      </w:r>
      <w:r w:rsidR="00DA0EEB" w:rsidRPr="00B1779B">
        <w:rPr>
          <w:rFonts w:ascii="Verdana" w:hAnsi="Verdana"/>
          <w:sz w:val="20"/>
          <w:szCs w:val="20"/>
          <w:lang w:val="es-CR"/>
        </w:rPr>
        <w:t xml:space="preserve"> y de los tres posteriores requerimientos realizados por el </w:t>
      </w:r>
      <w:proofErr w:type="gramStart"/>
      <w:r w:rsidR="00DA0EEB" w:rsidRPr="00B1779B">
        <w:rPr>
          <w:rFonts w:ascii="Verdana" w:hAnsi="Verdana"/>
          <w:sz w:val="20"/>
          <w:szCs w:val="20"/>
          <w:lang w:val="es-CR"/>
        </w:rPr>
        <w:t>Presidente</w:t>
      </w:r>
      <w:proofErr w:type="gramEnd"/>
      <w:r w:rsidR="00DA0EEB" w:rsidRPr="00B1779B">
        <w:rPr>
          <w:rFonts w:ascii="Verdana" w:hAnsi="Verdana"/>
          <w:sz w:val="20"/>
          <w:szCs w:val="20"/>
          <w:lang w:val="es-CR"/>
        </w:rPr>
        <w:t xml:space="preserve"> del Tribunal</w:t>
      </w:r>
      <w:r w:rsidR="00DA0EEB" w:rsidRPr="00B1779B">
        <w:rPr>
          <w:rStyle w:val="Refdenotaalpie"/>
          <w:rFonts w:ascii="Verdana" w:hAnsi="Verdana"/>
          <w:sz w:val="20"/>
          <w:szCs w:val="20"/>
          <w:lang w:val="es-CR"/>
        </w:rPr>
        <w:footnoteReference w:id="7"/>
      </w:r>
      <w:r w:rsidR="00DA0EEB" w:rsidRPr="00B1779B">
        <w:rPr>
          <w:rFonts w:ascii="Verdana" w:hAnsi="Verdana"/>
          <w:sz w:val="20"/>
          <w:szCs w:val="20"/>
          <w:lang w:val="es-CR"/>
        </w:rPr>
        <w:t xml:space="preserve">, Haití no había presentado informe alguno sobre la implementación de la Sentencia. Ante tal situación, </w:t>
      </w:r>
      <w:r w:rsidR="00842317">
        <w:rPr>
          <w:rFonts w:ascii="Verdana" w:hAnsi="Verdana"/>
          <w:sz w:val="20"/>
          <w:szCs w:val="20"/>
          <w:lang w:val="es-CR"/>
        </w:rPr>
        <w:t xml:space="preserve">en esta Resolución </w:t>
      </w:r>
      <w:r w:rsidR="00DA0EEB" w:rsidRPr="00B1779B">
        <w:rPr>
          <w:rFonts w:ascii="Verdana" w:hAnsi="Verdana"/>
          <w:sz w:val="20"/>
          <w:szCs w:val="20"/>
          <w:lang w:val="es-CR"/>
        </w:rPr>
        <w:t>la Corte otorgó al Estado un nuevo plazo hasta el 30 de abril de 2016 para que presentara información sobre el cumplimiento de las medidas de reparación ordenadas en la Sentencia.</w:t>
      </w:r>
      <w:bookmarkEnd w:id="5"/>
      <w:r w:rsidR="00DA0EEB" w:rsidRPr="00B1779B">
        <w:rPr>
          <w:rFonts w:ascii="Verdana" w:hAnsi="Verdana"/>
          <w:sz w:val="20"/>
          <w:szCs w:val="20"/>
          <w:lang w:val="es-CR"/>
        </w:rPr>
        <w:t xml:space="preserve"> </w:t>
      </w:r>
    </w:p>
    <w:p w14:paraId="08764D65" w14:textId="77777777" w:rsidR="00B9511C" w:rsidRPr="00B1779B" w:rsidRDefault="00B9511C" w:rsidP="00B9511C">
      <w:pPr>
        <w:pStyle w:val="Prrafodelista"/>
        <w:rPr>
          <w:rFonts w:ascii="Verdana" w:hAnsi="Verdana" w:cstheme="minorHAnsi"/>
          <w:sz w:val="20"/>
          <w:szCs w:val="20"/>
          <w:lang w:val="es-CR"/>
        </w:rPr>
      </w:pPr>
    </w:p>
    <w:p w14:paraId="3D83BDC9" w14:textId="77777777" w:rsidR="00194A09" w:rsidRPr="00B1779B" w:rsidRDefault="00B70B9A" w:rsidP="00194A09">
      <w:pPr>
        <w:pStyle w:val="Prrafodelista"/>
        <w:numPr>
          <w:ilvl w:val="0"/>
          <w:numId w:val="2"/>
        </w:numPr>
        <w:spacing w:line="240" w:lineRule="auto"/>
        <w:ind w:left="0" w:firstLine="0"/>
        <w:jc w:val="both"/>
        <w:rPr>
          <w:rFonts w:ascii="Verdana" w:hAnsi="Verdana" w:cstheme="minorHAnsi"/>
          <w:b/>
          <w:sz w:val="20"/>
          <w:szCs w:val="20"/>
          <w:lang w:val="es-CR"/>
        </w:rPr>
      </w:pPr>
      <w:bookmarkStart w:id="6" w:name="_Ref25328908"/>
      <w:r w:rsidRPr="00B1779B">
        <w:rPr>
          <w:rFonts w:ascii="Verdana" w:hAnsi="Verdana" w:cstheme="minorHAnsi"/>
          <w:sz w:val="20"/>
          <w:szCs w:val="20"/>
          <w:lang w:val="es-CR"/>
        </w:rPr>
        <w:t>En la Resolución emitida en noviembre de 2016</w:t>
      </w:r>
      <w:r w:rsidR="00BB6ADF">
        <w:rPr>
          <w:rStyle w:val="Refdenotaalpie"/>
          <w:rFonts w:ascii="Verdana" w:hAnsi="Verdana" w:cstheme="minorHAnsi"/>
          <w:sz w:val="20"/>
          <w:szCs w:val="20"/>
          <w:lang w:val="es-CR"/>
        </w:rPr>
        <w:footnoteReference w:id="8"/>
      </w:r>
      <w:r w:rsidR="00B9511C" w:rsidRPr="00B1779B">
        <w:rPr>
          <w:rFonts w:ascii="Verdana" w:hAnsi="Verdana" w:cstheme="minorHAnsi"/>
          <w:sz w:val="20"/>
          <w:szCs w:val="20"/>
          <w:lang w:val="es-CR"/>
        </w:rPr>
        <w:t>, la Corte constató que “[h]a[</w:t>
      </w:r>
      <w:proofErr w:type="spellStart"/>
      <w:r w:rsidR="00B9511C" w:rsidRPr="00B1779B">
        <w:rPr>
          <w:rFonts w:ascii="Verdana" w:hAnsi="Verdana" w:cstheme="minorHAnsi"/>
          <w:sz w:val="20"/>
          <w:szCs w:val="20"/>
          <w:lang w:val="es-CR"/>
        </w:rPr>
        <w:t>bían</w:t>
      </w:r>
      <w:proofErr w:type="spellEnd"/>
      <w:r w:rsidR="00B9511C" w:rsidRPr="00B1779B">
        <w:rPr>
          <w:rFonts w:ascii="Verdana" w:hAnsi="Verdana" w:cstheme="minorHAnsi"/>
          <w:sz w:val="20"/>
          <w:szCs w:val="20"/>
          <w:lang w:val="es-CR"/>
        </w:rPr>
        <w:t xml:space="preserve">] transcurrido </w:t>
      </w:r>
      <w:r w:rsidR="00DA0EEB" w:rsidRPr="00B1779B">
        <w:rPr>
          <w:rFonts w:ascii="Verdana" w:hAnsi="Verdana"/>
          <w:sz w:val="20"/>
          <w:szCs w:val="20"/>
          <w:lang w:val="es-CR"/>
        </w:rPr>
        <w:t>más de sei</w:t>
      </w:r>
      <w:r w:rsidR="00842317">
        <w:rPr>
          <w:rFonts w:ascii="Verdana" w:hAnsi="Verdana"/>
          <w:sz w:val="20"/>
          <w:szCs w:val="20"/>
          <w:lang w:val="es-CR"/>
        </w:rPr>
        <w:t xml:space="preserve">s meses desde el vencimiento de[l] </w:t>
      </w:r>
      <w:r w:rsidR="00DA0EEB" w:rsidRPr="00B1779B">
        <w:rPr>
          <w:rFonts w:ascii="Verdana" w:hAnsi="Verdana"/>
          <w:sz w:val="20"/>
          <w:szCs w:val="20"/>
          <w:lang w:val="es-CR"/>
        </w:rPr>
        <w:t>nuevo plazo</w:t>
      </w:r>
      <w:r w:rsidR="00B9511C" w:rsidRPr="00B1779B">
        <w:rPr>
          <w:rFonts w:ascii="Verdana" w:hAnsi="Verdana"/>
          <w:sz w:val="20"/>
          <w:szCs w:val="20"/>
          <w:lang w:val="es-CR"/>
        </w:rPr>
        <w:t xml:space="preserve"> [otorgado en la Resolución de </w:t>
      </w:r>
      <w:r w:rsidR="00842317">
        <w:rPr>
          <w:rFonts w:ascii="Verdana" w:hAnsi="Verdana"/>
          <w:sz w:val="20"/>
          <w:szCs w:val="20"/>
          <w:lang w:val="es-CR"/>
        </w:rPr>
        <w:t xml:space="preserve">noviembre de </w:t>
      </w:r>
      <w:r w:rsidR="00B9511C" w:rsidRPr="00B1779B">
        <w:rPr>
          <w:rFonts w:ascii="Verdana" w:hAnsi="Verdana"/>
          <w:sz w:val="20"/>
          <w:szCs w:val="20"/>
          <w:lang w:val="es-CR"/>
        </w:rPr>
        <w:t>2015]</w:t>
      </w:r>
      <w:r w:rsidR="00DA0EEB" w:rsidRPr="00B1779B">
        <w:rPr>
          <w:rFonts w:ascii="Verdana" w:hAnsi="Verdana"/>
          <w:sz w:val="20"/>
          <w:szCs w:val="20"/>
          <w:lang w:val="es-CR"/>
        </w:rPr>
        <w:t xml:space="preserve"> sin que Haití h</w:t>
      </w:r>
      <w:r w:rsidR="00B9511C" w:rsidRPr="00B1779B">
        <w:rPr>
          <w:rFonts w:ascii="Verdana" w:hAnsi="Verdana"/>
          <w:sz w:val="20"/>
          <w:szCs w:val="20"/>
          <w:lang w:val="es-CR"/>
        </w:rPr>
        <w:t>[</w:t>
      </w:r>
      <w:proofErr w:type="spellStart"/>
      <w:r w:rsidR="00B9511C" w:rsidRPr="00B1779B">
        <w:rPr>
          <w:rFonts w:ascii="Verdana" w:hAnsi="Verdana"/>
          <w:sz w:val="20"/>
          <w:szCs w:val="20"/>
          <w:lang w:val="es-CR"/>
        </w:rPr>
        <w:t>ubiera</w:t>
      </w:r>
      <w:proofErr w:type="spellEnd"/>
      <w:r w:rsidR="00B9511C" w:rsidRPr="00B1779B">
        <w:rPr>
          <w:rFonts w:ascii="Verdana" w:hAnsi="Verdana"/>
          <w:sz w:val="20"/>
          <w:szCs w:val="20"/>
          <w:lang w:val="es-CR"/>
        </w:rPr>
        <w:t>]</w:t>
      </w:r>
      <w:r w:rsidR="00DA0EEB" w:rsidRPr="00B1779B">
        <w:rPr>
          <w:rFonts w:ascii="Verdana" w:hAnsi="Verdana"/>
          <w:sz w:val="20"/>
          <w:szCs w:val="20"/>
          <w:lang w:val="es-CR"/>
        </w:rPr>
        <w:t xml:space="preserve"> </w:t>
      </w:r>
      <w:proofErr w:type="gramStart"/>
      <w:r w:rsidR="00DA0EEB" w:rsidRPr="00B1779B">
        <w:rPr>
          <w:rFonts w:ascii="Verdana" w:hAnsi="Verdana"/>
          <w:sz w:val="20"/>
          <w:szCs w:val="20"/>
          <w:lang w:val="es-CR"/>
        </w:rPr>
        <w:t>proporcionado información alguna</w:t>
      </w:r>
      <w:proofErr w:type="gramEnd"/>
      <w:r w:rsidR="00DA0EEB" w:rsidRPr="00B1779B">
        <w:rPr>
          <w:rFonts w:ascii="Verdana" w:hAnsi="Verdana"/>
          <w:sz w:val="20"/>
          <w:szCs w:val="20"/>
          <w:lang w:val="es-CR"/>
        </w:rPr>
        <w:t xml:space="preserve"> sobre el cumplimiento de la Sentencia hasta </w:t>
      </w:r>
      <w:r w:rsidR="00B9511C" w:rsidRPr="00B1779B">
        <w:rPr>
          <w:rFonts w:ascii="Verdana" w:hAnsi="Verdana"/>
          <w:sz w:val="20"/>
          <w:szCs w:val="20"/>
          <w:lang w:val="es-CR"/>
        </w:rPr>
        <w:t>[esa]</w:t>
      </w:r>
      <w:r w:rsidR="00DA0EEB" w:rsidRPr="00B1779B">
        <w:rPr>
          <w:rFonts w:ascii="Verdana" w:hAnsi="Verdana"/>
          <w:sz w:val="20"/>
          <w:szCs w:val="20"/>
          <w:lang w:val="es-CR"/>
        </w:rPr>
        <w:t xml:space="preserve"> fecha</w:t>
      </w:r>
      <w:r w:rsidR="00B9511C" w:rsidRPr="00B1779B">
        <w:rPr>
          <w:rFonts w:ascii="Verdana" w:hAnsi="Verdana"/>
          <w:sz w:val="20"/>
          <w:szCs w:val="20"/>
          <w:lang w:val="es-CR"/>
        </w:rPr>
        <w:t>”</w:t>
      </w:r>
      <w:r w:rsidR="00DA0EEB" w:rsidRPr="00B1779B">
        <w:rPr>
          <w:rFonts w:ascii="Verdana" w:hAnsi="Verdana"/>
          <w:sz w:val="20"/>
          <w:szCs w:val="20"/>
          <w:lang w:val="es-CR"/>
        </w:rPr>
        <w:t xml:space="preserve">. </w:t>
      </w:r>
      <w:r w:rsidR="00B9511C" w:rsidRPr="00B1779B">
        <w:rPr>
          <w:rFonts w:ascii="Verdana" w:hAnsi="Verdana"/>
          <w:sz w:val="20"/>
          <w:szCs w:val="20"/>
          <w:lang w:val="es-CR"/>
        </w:rPr>
        <w:t>El Tribunal constató que</w:t>
      </w:r>
      <w:r w:rsidR="00695AB5">
        <w:rPr>
          <w:rFonts w:ascii="Verdana" w:hAnsi="Verdana"/>
          <w:sz w:val="20"/>
          <w:szCs w:val="20"/>
          <w:lang w:val="es-CR"/>
        </w:rPr>
        <w:t>,</w:t>
      </w:r>
      <w:r w:rsidR="00B9511C" w:rsidRPr="00B1779B">
        <w:rPr>
          <w:rFonts w:ascii="Verdana" w:hAnsi="Verdana"/>
          <w:sz w:val="20"/>
          <w:szCs w:val="20"/>
          <w:lang w:val="es-CR"/>
        </w:rPr>
        <w:t xml:space="preserve"> </w:t>
      </w:r>
      <w:r w:rsidR="00B9511C" w:rsidRPr="00B1779B">
        <w:rPr>
          <w:rFonts w:ascii="Verdana" w:hAnsi="Verdana" w:cstheme="minorHAnsi"/>
          <w:sz w:val="20"/>
          <w:szCs w:val="20"/>
          <w:lang w:val="es-CR"/>
        </w:rPr>
        <w:t>a</w:t>
      </w:r>
      <w:r w:rsidR="00B9511C" w:rsidRPr="00B1779B">
        <w:rPr>
          <w:rFonts w:ascii="Verdana" w:hAnsi="Verdana" w:cstheme="minorHAnsi"/>
          <w:b/>
          <w:sz w:val="20"/>
          <w:szCs w:val="20"/>
          <w:lang w:val="es-CR"/>
        </w:rPr>
        <w:t xml:space="preserve"> </w:t>
      </w:r>
      <w:r w:rsidR="00B9511C" w:rsidRPr="00B1779B">
        <w:rPr>
          <w:rFonts w:ascii="Verdana" w:hAnsi="Verdana"/>
          <w:sz w:val="20"/>
          <w:szCs w:val="20"/>
          <w:lang w:val="es-CR"/>
        </w:rPr>
        <w:t xml:space="preserve">pesar de que para ese entonces habían transcurrido casi cuatro años desde el vencimiento del plazo dispuesto en la Sentencia, de los requerimientos realizados por el Presidente del Tribunal, y del requerimiento realizado por la Corte mediante </w:t>
      </w:r>
      <w:r w:rsidR="00074570" w:rsidRPr="00B1779B">
        <w:rPr>
          <w:rFonts w:ascii="Verdana" w:hAnsi="Verdana"/>
          <w:sz w:val="20"/>
          <w:szCs w:val="20"/>
          <w:lang w:val="es-CR"/>
        </w:rPr>
        <w:t xml:space="preserve">la referida </w:t>
      </w:r>
      <w:r w:rsidR="00B9511C" w:rsidRPr="00B1779B">
        <w:rPr>
          <w:rFonts w:ascii="Verdana" w:hAnsi="Verdana"/>
          <w:sz w:val="20"/>
          <w:szCs w:val="20"/>
          <w:lang w:val="es-CR"/>
        </w:rPr>
        <w:t>Resolución de</w:t>
      </w:r>
      <w:r w:rsidR="00CB7D03">
        <w:rPr>
          <w:rFonts w:ascii="Verdana" w:hAnsi="Verdana"/>
          <w:sz w:val="20"/>
          <w:szCs w:val="20"/>
          <w:lang w:val="es-CR"/>
        </w:rPr>
        <w:t xml:space="preserve"> noviembre</w:t>
      </w:r>
      <w:r w:rsidR="00B9511C" w:rsidRPr="00B1779B">
        <w:rPr>
          <w:rFonts w:ascii="Verdana" w:hAnsi="Verdana"/>
          <w:sz w:val="20"/>
          <w:szCs w:val="20"/>
          <w:lang w:val="es-CR"/>
        </w:rPr>
        <w:t xml:space="preserve"> 2015, el Estado </w:t>
      </w:r>
      <w:r w:rsidR="00074570" w:rsidRPr="00B1779B">
        <w:rPr>
          <w:rFonts w:ascii="Verdana" w:hAnsi="Verdana"/>
          <w:sz w:val="20"/>
          <w:szCs w:val="20"/>
          <w:lang w:val="es-CR"/>
        </w:rPr>
        <w:t>continuaba</w:t>
      </w:r>
      <w:r w:rsidR="00B9511C" w:rsidRPr="00B1779B">
        <w:rPr>
          <w:rFonts w:ascii="Verdana" w:hAnsi="Verdana"/>
          <w:sz w:val="20"/>
          <w:szCs w:val="20"/>
          <w:lang w:val="es-CR"/>
        </w:rPr>
        <w:t xml:space="preserve"> sin presentar informe alguno sobre la implementación de la Sentencia.</w:t>
      </w:r>
      <w:r w:rsidR="00074570" w:rsidRPr="00B1779B">
        <w:rPr>
          <w:rFonts w:ascii="Verdana" w:hAnsi="Verdana"/>
          <w:sz w:val="20"/>
          <w:szCs w:val="20"/>
          <w:lang w:val="es-CR"/>
        </w:rPr>
        <w:t xml:space="preserve"> La Corte consideró que esta situación “configura</w:t>
      </w:r>
      <w:r w:rsidR="003F4420">
        <w:rPr>
          <w:rFonts w:ascii="Verdana" w:hAnsi="Verdana"/>
          <w:sz w:val="20"/>
          <w:szCs w:val="20"/>
          <w:lang w:val="es-CR"/>
        </w:rPr>
        <w:t>[</w:t>
      </w:r>
      <w:proofErr w:type="spellStart"/>
      <w:r w:rsidR="003F4420">
        <w:rPr>
          <w:rFonts w:ascii="Verdana" w:hAnsi="Verdana"/>
          <w:sz w:val="20"/>
          <w:szCs w:val="20"/>
          <w:lang w:val="es-CR"/>
        </w:rPr>
        <w:t>ba</w:t>
      </w:r>
      <w:proofErr w:type="spellEnd"/>
      <w:r w:rsidR="003F4420">
        <w:rPr>
          <w:rFonts w:ascii="Verdana" w:hAnsi="Verdana"/>
          <w:sz w:val="20"/>
          <w:szCs w:val="20"/>
          <w:lang w:val="es-CR"/>
        </w:rPr>
        <w:t>]</w:t>
      </w:r>
      <w:r w:rsidR="00074570" w:rsidRPr="00B1779B">
        <w:rPr>
          <w:rFonts w:ascii="Verdana" w:hAnsi="Verdana"/>
          <w:sz w:val="20"/>
          <w:szCs w:val="20"/>
          <w:lang w:val="es-CR"/>
        </w:rPr>
        <w:t xml:space="preserve"> un grave incumplimiento estatal de la obligación de informar al Tribunal”.</w:t>
      </w:r>
      <w:r w:rsidR="000F5A2E" w:rsidRPr="00B1779B">
        <w:rPr>
          <w:rFonts w:ascii="Verdana" w:hAnsi="Verdana"/>
          <w:sz w:val="20"/>
          <w:szCs w:val="20"/>
          <w:lang w:val="es-CR"/>
        </w:rPr>
        <w:t xml:space="preserve"> Además, se requirió </w:t>
      </w:r>
      <w:r w:rsidR="00842317">
        <w:rPr>
          <w:rFonts w:ascii="Verdana" w:hAnsi="Verdana"/>
          <w:sz w:val="20"/>
          <w:szCs w:val="20"/>
          <w:lang w:val="es-CR"/>
        </w:rPr>
        <w:t>a Haití</w:t>
      </w:r>
      <w:r w:rsidR="000F5A2E" w:rsidRPr="00B1779B">
        <w:rPr>
          <w:rFonts w:ascii="Verdana" w:hAnsi="Verdana"/>
          <w:sz w:val="20"/>
          <w:szCs w:val="20"/>
          <w:lang w:val="es-CR"/>
        </w:rPr>
        <w:t xml:space="preserve"> que “a la mayor brevedad” presentar</w:t>
      </w:r>
      <w:r w:rsidR="00695AB5">
        <w:rPr>
          <w:rFonts w:ascii="Verdana" w:hAnsi="Verdana"/>
          <w:sz w:val="20"/>
          <w:szCs w:val="20"/>
          <w:lang w:val="es-CR"/>
        </w:rPr>
        <w:t>a</w:t>
      </w:r>
      <w:r w:rsidR="000F5A2E" w:rsidRPr="00B1779B">
        <w:rPr>
          <w:rFonts w:ascii="Verdana" w:hAnsi="Verdana"/>
          <w:sz w:val="20"/>
          <w:szCs w:val="20"/>
          <w:lang w:val="es-CR"/>
        </w:rPr>
        <w:t xml:space="preserve"> un informe sobre las medidas necesarias para dar efectivo y pronto cumplimiento a las reparaciones ordenadas en la Sentencia.</w:t>
      </w:r>
      <w:bookmarkEnd w:id="6"/>
    </w:p>
    <w:p w14:paraId="0214944D" w14:textId="77777777" w:rsidR="000F5A2E" w:rsidRPr="00B1779B" w:rsidRDefault="000F5A2E" w:rsidP="000F5A2E">
      <w:pPr>
        <w:pStyle w:val="Prrafodelista"/>
        <w:rPr>
          <w:rFonts w:ascii="Verdana" w:hAnsi="Verdana" w:cstheme="minorHAnsi"/>
          <w:b/>
          <w:sz w:val="20"/>
          <w:szCs w:val="20"/>
          <w:lang w:val="es-CR"/>
        </w:rPr>
      </w:pPr>
    </w:p>
    <w:p w14:paraId="6A89FE00" w14:textId="38539FE9" w:rsidR="000F5A2E" w:rsidRPr="00B1779B" w:rsidRDefault="000F5A2E" w:rsidP="00574B74">
      <w:pPr>
        <w:pStyle w:val="Prrafodelista"/>
        <w:numPr>
          <w:ilvl w:val="0"/>
          <w:numId w:val="2"/>
        </w:numPr>
        <w:spacing w:line="240" w:lineRule="auto"/>
        <w:ind w:left="0" w:firstLine="0"/>
        <w:jc w:val="both"/>
        <w:rPr>
          <w:rFonts w:ascii="Verdana" w:hAnsi="Verdana" w:cstheme="minorHAnsi"/>
          <w:sz w:val="20"/>
          <w:szCs w:val="20"/>
          <w:lang w:val="es-CR"/>
        </w:rPr>
      </w:pPr>
      <w:r w:rsidRPr="00B1779B">
        <w:rPr>
          <w:rFonts w:ascii="Verdana" w:hAnsi="Verdana" w:cstheme="minorHAnsi"/>
          <w:sz w:val="20"/>
          <w:szCs w:val="20"/>
          <w:lang w:val="es-CR"/>
        </w:rPr>
        <w:t xml:space="preserve">A pesar de </w:t>
      </w:r>
      <w:r w:rsidR="00574B74" w:rsidRPr="00B1779B">
        <w:rPr>
          <w:rFonts w:ascii="Verdana" w:hAnsi="Verdana" w:cstheme="minorHAnsi"/>
          <w:sz w:val="20"/>
          <w:szCs w:val="20"/>
          <w:lang w:val="es-CR"/>
        </w:rPr>
        <w:t xml:space="preserve">que han transcurrido siete años desde el </w:t>
      </w:r>
      <w:r w:rsidRPr="00B1779B">
        <w:rPr>
          <w:rFonts w:ascii="Verdana" w:hAnsi="Verdana"/>
          <w:sz w:val="20"/>
          <w:szCs w:val="20"/>
          <w:lang w:val="es-CR"/>
        </w:rPr>
        <w:t>vencimiento del plazo dispuesto en la Sentencia, de</w:t>
      </w:r>
      <w:r w:rsidR="00574B74" w:rsidRPr="00B1779B">
        <w:rPr>
          <w:rFonts w:ascii="Verdana" w:hAnsi="Verdana"/>
          <w:sz w:val="20"/>
          <w:szCs w:val="20"/>
          <w:lang w:val="es-CR"/>
        </w:rPr>
        <w:t xml:space="preserve"> </w:t>
      </w:r>
      <w:r w:rsidRPr="00B1779B">
        <w:rPr>
          <w:rFonts w:ascii="Verdana" w:hAnsi="Verdana"/>
          <w:sz w:val="20"/>
          <w:szCs w:val="20"/>
          <w:lang w:val="es-CR"/>
        </w:rPr>
        <w:t>l</w:t>
      </w:r>
      <w:r w:rsidR="00574B74" w:rsidRPr="00B1779B">
        <w:rPr>
          <w:rFonts w:ascii="Verdana" w:hAnsi="Verdana"/>
          <w:sz w:val="20"/>
          <w:szCs w:val="20"/>
          <w:lang w:val="es-CR"/>
        </w:rPr>
        <w:t>os</w:t>
      </w:r>
      <w:r w:rsidRPr="00B1779B">
        <w:rPr>
          <w:rFonts w:ascii="Verdana" w:hAnsi="Verdana"/>
          <w:sz w:val="20"/>
          <w:szCs w:val="20"/>
          <w:lang w:val="es-CR"/>
        </w:rPr>
        <w:t xml:space="preserve"> requerimiento</w:t>
      </w:r>
      <w:r w:rsidR="00574B74" w:rsidRPr="00B1779B">
        <w:rPr>
          <w:rFonts w:ascii="Verdana" w:hAnsi="Verdana"/>
          <w:sz w:val="20"/>
          <w:szCs w:val="20"/>
          <w:lang w:val="es-CR"/>
        </w:rPr>
        <w:t>s</w:t>
      </w:r>
      <w:r w:rsidRPr="00B1779B">
        <w:rPr>
          <w:rFonts w:ascii="Verdana" w:hAnsi="Verdana"/>
          <w:sz w:val="20"/>
          <w:szCs w:val="20"/>
          <w:lang w:val="es-CR"/>
        </w:rPr>
        <w:t xml:space="preserve"> realizado</w:t>
      </w:r>
      <w:r w:rsidR="00574B74" w:rsidRPr="00B1779B">
        <w:rPr>
          <w:rFonts w:ascii="Verdana" w:hAnsi="Verdana"/>
          <w:sz w:val="20"/>
          <w:szCs w:val="20"/>
          <w:lang w:val="es-CR"/>
        </w:rPr>
        <w:t>s</w:t>
      </w:r>
      <w:r w:rsidRPr="00B1779B">
        <w:rPr>
          <w:rFonts w:ascii="Verdana" w:hAnsi="Verdana"/>
          <w:sz w:val="20"/>
          <w:szCs w:val="20"/>
          <w:lang w:val="es-CR"/>
        </w:rPr>
        <w:t xml:space="preserve"> por la Corte mediante su</w:t>
      </w:r>
      <w:r w:rsidR="00574B74" w:rsidRPr="00B1779B">
        <w:rPr>
          <w:rFonts w:ascii="Verdana" w:hAnsi="Verdana"/>
          <w:sz w:val="20"/>
          <w:szCs w:val="20"/>
          <w:lang w:val="es-CR"/>
        </w:rPr>
        <w:t xml:space="preserve">s Resoluciones de noviembre de 2015 y </w:t>
      </w:r>
      <w:r w:rsidR="00CB7D03">
        <w:rPr>
          <w:rFonts w:ascii="Verdana" w:hAnsi="Verdana"/>
          <w:sz w:val="20"/>
          <w:szCs w:val="20"/>
          <w:lang w:val="es-CR"/>
        </w:rPr>
        <w:t xml:space="preserve">de </w:t>
      </w:r>
      <w:r w:rsidR="00574B74" w:rsidRPr="00B1779B">
        <w:rPr>
          <w:rFonts w:ascii="Verdana" w:hAnsi="Verdana"/>
          <w:sz w:val="20"/>
          <w:szCs w:val="20"/>
          <w:lang w:val="es-CR"/>
        </w:rPr>
        <w:t>201</w:t>
      </w:r>
      <w:r w:rsidR="00863132">
        <w:rPr>
          <w:rFonts w:ascii="Verdana" w:hAnsi="Verdana"/>
          <w:sz w:val="20"/>
          <w:szCs w:val="20"/>
          <w:lang w:val="es-CR"/>
        </w:rPr>
        <w:t>6</w:t>
      </w:r>
      <w:r w:rsidR="00574B74" w:rsidRPr="00B1779B">
        <w:rPr>
          <w:rFonts w:ascii="Verdana" w:hAnsi="Verdana"/>
          <w:sz w:val="20"/>
          <w:szCs w:val="20"/>
          <w:lang w:val="es-CR"/>
        </w:rPr>
        <w:t xml:space="preserve"> y</w:t>
      </w:r>
      <w:r w:rsidRPr="00B1779B">
        <w:rPr>
          <w:rFonts w:ascii="Verdana" w:hAnsi="Verdana"/>
          <w:sz w:val="20"/>
          <w:szCs w:val="20"/>
          <w:lang w:val="es-CR"/>
        </w:rPr>
        <w:t xml:space="preserve"> </w:t>
      </w:r>
      <w:r w:rsidR="00863132">
        <w:rPr>
          <w:rFonts w:ascii="Verdana" w:hAnsi="Verdana"/>
          <w:sz w:val="20"/>
          <w:szCs w:val="20"/>
          <w:lang w:val="es-CR"/>
        </w:rPr>
        <w:t>del posterior</w:t>
      </w:r>
      <w:r w:rsidR="00574B74" w:rsidRPr="00B1779B">
        <w:rPr>
          <w:rFonts w:ascii="Verdana" w:hAnsi="Verdana"/>
          <w:sz w:val="20"/>
          <w:szCs w:val="20"/>
          <w:lang w:val="es-CR"/>
        </w:rPr>
        <w:t xml:space="preserve"> requerimiento realizado </w:t>
      </w:r>
      <w:r w:rsidR="00CB7D03">
        <w:rPr>
          <w:rFonts w:ascii="Verdana" w:hAnsi="Verdana"/>
          <w:sz w:val="20"/>
          <w:szCs w:val="20"/>
          <w:lang w:val="es-CR"/>
        </w:rPr>
        <w:t xml:space="preserve">en el 2018 </w:t>
      </w:r>
      <w:r w:rsidR="00574B74" w:rsidRPr="00B1779B">
        <w:rPr>
          <w:rFonts w:ascii="Verdana" w:hAnsi="Verdana"/>
          <w:sz w:val="20"/>
          <w:szCs w:val="20"/>
          <w:lang w:val="es-CR"/>
        </w:rPr>
        <w:t xml:space="preserve">por el </w:t>
      </w:r>
      <w:proofErr w:type="gramStart"/>
      <w:r w:rsidR="00574B74" w:rsidRPr="00B1779B">
        <w:rPr>
          <w:rFonts w:ascii="Verdana" w:hAnsi="Verdana"/>
          <w:sz w:val="20"/>
          <w:szCs w:val="20"/>
          <w:lang w:val="es-CR"/>
        </w:rPr>
        <w:t>Presidente</w:t>
      </w:r>
      <w:proofErr w:type="gramEnd"/>
      <w:r w:rsidR="00574B74" w:rsidRPr="00B1779B">
        <w:rPr>
          <w:rFonts w:ascii="Verdana" w:hAnsi="Verdana"/>
          <w:sz w:val="20"/>
          <w:szCs w:val="20"/>
          <w:lang w:val="es-CR"/>
        </w:rPr>
        <w:t xml:space="preserve"> del Tribunal (</w:t>
      </w:r>
      <w:r w:rsidR="00574B74" w:rsidRPr="00B1779B">
        <w:rPr>
          <w:rFonts w:ascii="Verdana" w:hAnsi="Verdana"/>
          <w:i/>
          <w:sz w:val="20"/>
          <w:szCs w:val="20"/>
          <w:lang w:val="es-CR"/>
        </w:rPr>
        <w:t>supra</w:t>
      </w:r>
      <w:r w:rsidR="00574B74" w:rsidRPr="00B1779B">
        <w:rPr>
          <w:rFonts w:ascii="Verdana" w:hAnsi="Verdana"/>
          <w:sz w:val="20"/>
          <w:szCs w:val="20"/>
          <w:lang w:val="es-CR"/>
        </w:rPr>
        <w:t xml:space="preserve"> Visto</w:t>
      </w:r>
      <w:r w:rsidR="00842317">
        <w:rPr>
          <w:rFonts w:ascii="Verdana" w:hAnsi="Verdana"/>
          <w:sz w:val="20"/>
          <w:szCs w:val="20"/>
          <w:lang w:val="es-CR"/>
        </w:rPr>
        <w:t>s 2 y</w:t>
      </w:r>
      <w:r w:rsidR="00574B74" w:rsidRPr="00B1779B">
        <w:rPr>
          <w:rFonts w:ascii="Verdana" w:hAnsi="Verdana"/>
          <w:sz w:val="20"/>
          <w:szCs w:val="20"/>
          <w:lang w:val="es-CR"/>
        </w:rPr>
        <w:t xml:space="preserve"> </w:t>
      </w:r>
      <w:r w:rsidR="003F4420">
        <w:rPr>
          <w:rFonts w:ascii="Verdana" w:hAnsi="Verdana"/>
          <w:sz w:val="20"/>
          <w:szCs w:val="20"/>
          <w:lang w:val="es-CR"/>
        </w:rPr>
        <w:fldChar w:fldCharType="begin"/>
      </w:r>
      <w:r w:rsidR="003F4420">
        <w:rPr>
          <w:rFonts w:ascii="Verdana" w:hAnsi="Verdana"/>
          <w:sz w:val="20"/>
          <w:szCs w:val="20"/>
          <w:lang w:val="es-CR"/>
        </w:rPr>
        <w:instrText xml:space="preserve"> REF _Ref25331125 \r \h </w:instrText>
      </w:r>
      <w:r w:rsidR="003F4420">
        <w:rPr>
          <w:rFonts w:ascii="Verdana" w:hAnsi="Verdana"/>
          <w:sz w:val="20"/>
          <w:szCs w:val="20"/>
          <w:lang w:val="es-CR"/>
        </w:rPr>
      </w:r>
      <w:r w:rsidR="003F4420">
        <w:rPr>
          <w:rFonts w:ascii="Verdana" w:hAnsi="Verdana"/>
          <w:sz w:val="20"/>
          <w:szCs w:val="20"/>
          <w:lang w:val="es-CR"/>
        </w:rPr>
        <w:fldChar w:fldCharType="separate"/>
      </w:r>
      <w:r w:rsidR="00521E39">
        <w:rPr>
          <w:rFonts w:ascii="Verdana" w:hAnsi="Verdana"/>
          <w:sz w:val="20"/>
          <w:szCs w:val="20"/>
          <w:lang w:val="es-CR"/>
        </w:rPr>
        <w:t>4</w:t>
      </w:r>
      <w:r w:rsidR="003F4420">
        <w:rPr>
          <w:rFonts w:ascii="Verdana" w:hAnsi="Verdana"/>
          <w:sz w:val="20"/>
          <w:szCs w:val="20"/>
          <w:lang w:val="es-CR"/>
        </w:rPr>
        <w:fldChar w:fldCharType="end"/>
      </w:r>
      <w:r w:rsidR="00574B74" w:rsidRPr="00B1779B">
        <w:rPr>
          <w:rFonts w:ascii="Verdana" w:hAnsi="Verdana"/>
          <w:sz w:val="20"/>
          <w:szCs w:val="20"/>
          <w:lang w:val="es-CR"/>
        </w:rPr>
        <w:t>)</w:t>
      </w:r>
      <w:r w:rsidR="00574B74" w:rsidRPr="00B1779B">
        <w:rPr>
          <w:rFonts w:ascii="Verdana" w:hAnsi="Verdana" w:cstheme="minorHAnsi"/>
          <w:sz w:val="20"/>
          <w:szCs w:val="20"/>
          <w:lang w:val="es-CR"/>
        </w:rPr>
        <w:t xml:space="preserve"> </w:t>
      </w:r>
      <w:r w:rsidRPr="00B1779B">
        <w:rPr>
          <w:rFonts w:ascii="Verdana" w:hAnsi="Verdana"/>
          <w:sz w:val="20"/>
          <w:szCs w:val="20"/>
          <w:lang w:val="es-CR"/>
        </w:rPr>
        <w:t xml:space="preserve">el Estado continúa sin presentar informe alguno sobre la implementación de la Sentencia. </w:t>
      </w:r>
    </w:p>
    <w:p w14:paraId="4AE23066" w14:textId="77777777" w:rsidR="000F5A2E" w:rsidRPr="00B1779B" w:rsidRDefault="000F5A2E" w:rsidP="000F5A2E">
      <w:pPr>
        <w:pStyle w:val="Prrafodelista"/>
        <w:rPr>
          <w:rFonts w:ascii="Verdana" w:hAnsi="Verdana"/>
          <w:sz w:val="20"/>
          <w:szCs w:val="20"/>
          <w:lang w:val="es-CR"/>
        </w:rPr>
      </w:pPr>
    </w:p>
    <w:p w14:paraId="6267A733" w14:textId="77777777" w:rsidR="001B743D" w:rsidRPr="00B1779B" w:rsidRDefault="001B743D" w:rsidP="000F5A2E">
      <w:pPr>
        <w:pStyle w:val="Prrafodelista"/>
        <w:numPr>
          <w:ilvl w:val="0"/>
          <w:numId w:val="2"/>
        </w:numPr>
        <w:spacing w:line="240" w:lineRule="auto"/>
        <w:ind w:left="0" w:firstLine="0"/>
        <w:jc w:val="both"/>
        <w:rPr>
          <w:rFonts w:ascii="Verdana" w:hAnsi="Verdana" w:cstheme="minorHAnsi"/>
          <w:b/>
          <w:sz w:val="20"/>
          <w:szCs w:val="20"/>
          <w:lang w:val="es-CR"/>
        </w:rPr>
      </w:pPr>
      <w:r w:rsidRPr="00B1779B">
        <w:rPr>
          <w:rFonts w:ascii="Verdana" w:hAnsi="Verdana"/>
          <w:sz w:val="20"/>
          <w:szCs w:val="20"/>
          <w:lang w:val="es-CR"/>
        </w:rPr>
        <w:t>De conformidad con lo establecido en el artículo 68.1 de la Convención Americana</w:t>
      </w:r>
      <w:r w:rsidR="00AA4D51">
        <w:rPr>
          <w:rFonts w:ascii="Verdana" w:hAnsi="Verdana"/>
          <w:sz w:val="20"/>
          <w:szCs w:val="20"/>
          <w:lang w:val="es-CR"/>
        </w:rPr>
        <w:t xml:space="preserve"> sobre Derechos Humanos</w:t>
      </w:r>
      <w:r w:rsidRPr="00B1779B">
        <w:rPr>
          <w:rFonts w:ascii="Verdana" w:hAnsi="Verdana"/>
          <w:sz w:val="20"/>
          <w:szCs w:val="20"/>
          <w:lang w:val="es-CR"/>
        </w:rPr>
        <w:t>,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sidRPr="00B1779B">
        <w:rPr>
          <w:rStyle w:val="Refdenotaalpie"/>
          <w:rFonts w:ascii="Verdana" w:hAnsi="Verdana"/>
          <w:sz w:val="20"/>
          <w:szCs w:val="20"/>
          <w:lang w:val="es-CR"/>
        </w:rPr>
        <w:footnoteReference w:id="9"/>
      </w:r>
      <w:r w:rsidRPr="00B1779B">
        <w:rPr>
          <w:rFonts w:ascii="Verdana" w:hAnsi="Verdana"/>
          <w:sz w:val="20"/>
          <w:szCs w:val="20"/>
          <w:lang w:val="es-CR"/>
        </w:rPr>
        <w:t>. Al efecto, cabe tener presente, además, que, según el artículo 67 de la Convención Americana, “[e]l fallo de la Corte será definitivo e inapelable”, de manera que, una vez que este Tribunal dicta sentencia, ella produce los efectos de cosa juzgada y debe ser prontamente cumplida por el Estado en forma íntegra</w:t>
      </w:r>
      <w:r w:rsidR="00CB7D03">
        <w:rPr>
          <w:rStyle w:val="Refdenotaalpie"/>
          <w:rFonts w:ascii="Verdana" w:hAnsi="Verdana"/>
          <w:sz w:val="20"/>
          <w:szCs w:val="20"/>
          <w:lang w:val="es-CR"/>
        </w:rPr>
        <w:footnoteReference w:id="10"/>
      </w:r>
      <w:r w:rsidRPr="00B1779B">
        <w:rPr>
          <w:rFonts w:ascii="Verdana" w:hAnsi="Verdana"/>
          <w:sz w:val="20"/>
          <w:szCs w:val="20"/>
          <w:lang w:val="es-CR"/>
        </w:rPr>
        <w:t>.</w:t>
      </w:r>
    </w:p>
    <w:p w14:paraId="3D8629D1" w14:textId="77777777" w:rsidR="001B743D" w:rsidRPr="00B1779B" w:rsidRDefault="001B743D" w:rsidP="001B743D">
      <w:pPr>
        <w:pStyle w:val="Prrafodelista"/>
        <w:rPr>
          <w:rFonts w:ascii="Verdana" w:hAnsi="Verdana" w:cstheme="minorHAnsi"/>
          <w:sz w:val="20"/>
          <w:szCs w:val="20"/>
          <w:lang w:val="es-CR"/>
        </w:rPr>
      </w:pPr>
    </w:p>
    <w:p w14:paraId="5EFF0C0B" w14:textId="77777777" w:rsidR="000F5A2E" w:rsidRPr="00B1779B" w:rsidRDefault="001B743D" w:rsidP="000F5A2E">
      <w:pPr>
        <w:pStyle w:val="Prrafodelista"/>
        <w:numPr>
          <w:ilvl w:val="0"/>
          <w:numId w:val="2"/>
        </w:numPr>
        <w:spacing w:after="0" w:line="240" w:lineRule="auto"/>
        <w:ind w:left="0" w:firstLine="0"/>
        <w:jc w:val="both"/>
        <w:rPr>
          <w:rFonts w:ascii="Verdana" w:hAnsi="Verdana" w:cstheme="minorHAnsi"/>
          <w:sz w:val="20"/>
          <w:szCs w:val="20"/>
          <w:lang w:val="es-CR"/>
        </w:rPr>
      </w:pPr>
      <w:r w:rsidRPr="00B1779B">
        <w:rPr>
          <w:rFonts w:ascii="Verdana" w:hAnsi="Verdana"/>
          <w:sz w:val="20"/>
          <w:szCs w:val="20"/>
          <w:lang w:val="es-CR"/>
        </w:rPr>
        <w:t>De modo, entonces, los Estados Partes de la Convención Americana tienen la obligación convencional de implementar tanto a nivel internacional como interno y de forma pronta e íntegra, lo dispuesto por el Tribunal en las Sentencias que a ellos conciernan, obligación que, como lo señala el derecho internacional consuetudinario y lo ha recordado la Corte, vincula a todos los poderes y órganos estatales y, de no cumplirse, se incurre en un ilícito internacional</w:t>
      </w:r>
      <w:r w:rsidR="00450D61" w:rsidRPr="00B1779B">
        <w:rPr>
          <w:rStyle w:val="Refdenotaalpie"/>
          <w:rFonts w:ascii="Verdana" w:hAnsi="Verdana"/>
          <w:sz w:val="20"/>
          <w:szCs w:val="20"/>
          <w:lang w:val="es-CR"/>
        </w:rPr>
        <w:footnoteReference w:id="11"/>
      </w:r>
      <w:r w:rsidRPr="00B1779B">
        <w:rPr>
          <w:rFonts w:ascii="Verdana" w:hAnsi="Verdana"/>
          <w:sz w:val="20"/>
          <w:szCs w:val="20"/>
          <w:lang w:val="es-CR"/>
        </w:rPr>
        <w:t xml:space="preserve">. Al respecto, es menester añadir que, según el derecho internacional consuetudinario y lo afirmado por la Corte, </w:t>
      </w:r>
      <w:r w:rsidR="00842317">
        <w:rPr>
          <w:rFonts w:ascii="Verdana" w:hAnsi="Verdana"/>
          <w:sz w:val="20"/>
          <w:szCs w:val="20"/>
          <w:lang w:val="es-CR"/>
        </w:rPr>
        <w:t>siempre que se produce</w:t>
      </w:r>
      <w:r w:rsidRPr="00B1779B">
        <w:rPr>
          <w:rFonts w:ascii="Verdana" w:hAnsi="Verdana"/>
          <w:sz w:val="20"/>
          <w:szCs w:val="20"/>
          <w:lang w:val="es-CR"/>
        </w:rPr>
        <w:t xml:space="preserve"> un hecho ilícito atribuible a un Estado, surge la responsabilidad internacional de éste por violación de una norma internacional, dándose así origen a una relación jurídica nueva que consiste en la obligación de reparar</w:t>
      </w:r>
      <w:r w:rsidRPr="00B1779B">
        <w:rPr>
          <w:rStyle w:val="Refdenotaalpie"/>
          <w:rFonts w:ascii="Verdana" w:hAnsi="Verdana"/>
          <w:sz w:val="20"/>
          <w:szCs w:val="20"/>
          <w:lang w:val="es-CR"/>
        </w:rPr>
        <w:footnoteReference w:id="12"/>
      </w:r>
      <w:r w:rsidRPr="00B1779B">
        <w:rPr>
          <w:rFonts w:ascii="Verdana" w:hAnsi="Verdana"/>
          <w:sz w:val="20"/>
          <w:szCs w:val="20"/>
          <w:lang w:val="es-CR"/>
        </w:rPr>
        <w:t>. Tal como ha indicado la Corte</w:t>
      </w:r>
      <w:r w:rsidRPr="00B1779B">
        <w:rPr>
          <w:rStyle w:val="Refdenotaalpie"/>
          <w:rFonts w:ascii="Verdana" w:hAnsi="Verdana"/>
          <w:sz w:val="20"/>
          <w:szCs w:val="20"/>
          <w:lang w:val="es-CR"/>
        </w:rPr>
        <w:footnoteReference w:id="13"/>
      </w:r>
      <w:r w:rsidRPr="00B1779B">
        <w:rPr>
          <w:rFonts w:ascii="Verdana" w:hAnsi="Verdana"/>
          <w:sz w:val="20"/>
          <w:szCs w:val="20"/>
          <w:lang w:val="es-CR"/>
        </w:rPr>
        <w:t>, el artículo 63.1 de la Convención reproduce el texto de una norma consuetudinaria que constituye uno de los principios fundamentales del derecho de la responsabilidad internacional de los Estados.</w:t>
      </w:r>
      <w:r w:rsidR="000F5A2E" w:rsidRPr="00B1779B">
        <w:rPr>
          <w:rFonts w:ascii="Verdana" w:hAnsi="Verdana"/>
          <w:sz w:val="20"/>
          <w:szCs w:val="20"/>
          <w:lang w:val="es-CR"/>
        </w:rPr>
        <w:t xml:space="preserve"> </w:t>
      </w:r>
      <w:r w:rsidR="000F5A2E" w:rsidRPr="00B1779B">
        <w:rPr>
          <w:rFonts w:ascii="Verdana" w:hAnsi="Verdana"/>
          <w:sz w:val="20"/>
          <w:szCs w:val="20"/>
          <w:lang w:val="pl-PL"/>
        </w:rPr>
        <w:t>La falta de ejecución de las reparaciones en el ámbito interno implica la negación al derecho de acceso a la justicia internacional</w:t>
      </w:r>
      <w:r w:rsidR="000F5A2E" w:rsidRPr="00B1779B">
        <w:rPr>
          <w:rStyle w:val="Refdenotaalpie"/>
          <w:rFonts w:ascii="Verdana" w:eastAsia="Calibri" w:hAnsi="Verdana" w:cs="Verdana"/>
          <w:sz w:val="20"/>
          <w:szCs w:val="20"/>
        </w:rPr>
        <w:footnoteReference w:id="14"/>
      </w:r>
      <w:r w:rsidR="000F5A2E" w:rsidRPr="00B1779B">
        <w:rPr>
          <w:rFonts w:ascii="Verdana" w:hAnsi="Verdana"/>
          <w:sz w:val="20"/>
          <w:szCs w:val="20"/>
          <w:lang w:val="pl-PL"/>
        </w:rPr>
        <w:t>.</w:t>
      </w:r>
    </w:p>
    <w:p w14:paraId="797DE905" w14:textId="77777777" w:rsidR="000F5A2E" w:rsidRPr="00B1779B" w:rsidRDefault="000F5A2E" w:rsidP="000F5A2E">
      <w:pPr>
        <w:pStyle w:val="Prrafodelista"/>
        <w:spacing w:after="0" w:line="240" w:lineRule="auto"/>
        <w:ind w:left="0"/>
        <w:jc w:val="both"/>
        <w:rPr>
          <w:rFonts w:ascii="Verdana" w:hAnsi="Verdana" w:cstheme="minorHAnsi"/>
          <w:sz w:val="20"/>
          <w:szCs w:val="20"/>
          <w:lang w:val="es-CR"/>
        </w:rPr>
      </w:pPr>
    </w:p>
    <w:p w14:paraId="6E615BA6" w14:textId="77777777" w:rsidR="00574B74" w:rsidRPr="005B3671" w:rsidRDefault="00450D61" w:rsidP="004C376F">
      <w:pPr>
        <w:pStyle w:val="Prrafodelista"/>
        <w:numPr>
          <w:ilvl w:val="0"/>
          <w:numId w:val="2"/>
        </w:numPr>
        <w:spacing w:after="0" w:line="240" w:lineRule="auto"/>
        <w:ind w:left="0" w:firstLine="0"/>
        <w:jc w:val="both"/>
        <w:rPr>
          <w:rFonts w:ascii="Verdana" w:hAnsi="Verdana" w:cstheme="minorHAnsi"/>
          <w:sz w:val="20"/>
          <w:szCs w:val="20"/>
          <w:lang w:val="es-CR"/>
        </w:rPr>
      </w:pPr>
      <w:bookmarkStart w:id="7" w:name="_Ref25566994"/>
      <w:r>
        <w:rPr>
          <w:rFonts w:ascii="Verdana" w:hAnsi="Verdana" w:cstheme="minorHAnsi"/>
          <w:sz w:val="20"/>
          <w:szCs w:val="20"/>
          <w:lang w:val="es-CR"/>
        </w:rPr>
        <w:t>Con l</w:t>
      </w:r>
      <w:r w:rsidR="00863132">
        <w:rPr>
          <w:rFonts w:ascii="Verdana" w:hAnsi="Verdana" w:cstheme="minorHAnsi"/>
          <w:sz w:val="20"/>
          <w:szCs w:val="20"/>
          <w:lang w:val="es-CR"/>
        </w:rPr>
        <w:t xml:space="preserve">a </w:t>
      </w:r>
      <w:r w:rsidR="000F5A2E" w:rsidRPr="00863132">
        <w:rPr>
          <w:rFonts w:ascii="Verdana" w:hAnsi="Verdana" w:cstheme="minorHAnsi"/>
          <w:sz w:val="20"/>
          <w:szCs w:val="20"/>
          <w:lang w:val="es-CR"/>
        </w:rPr>
        <w:t xml:space="preserve">falta de presentación del referido informe de cumplimiento, </w:t>
      </w:r>
      <w:r w:rsidR="00701E95" w:rsidRPr="00863132">
        <w:rPr>
          <w:rFonts w:ascii="Verdana" w:hAnsi="Verdana" w:cstheme="minorHAnsi"/>
          <w:sz w:val="20"/>
          <w:szCs w:val="20"/>
          <w:lang w:val="es-CR"/>
        </w:rPr>
        <w:t xml:space="preserve">habiendo transcurrido un prolongado tiempo desde el vencimiento del plazo dispuesto en la Sentencia, </w:t>
      </w:r>
      <w:r>
        <w:rPr>
          <w:rFonts w:ascii="Verdana" w:hAnsi="Verdana" w:cstheme="minorHAnsi"/>
          <w:sz w:val="20"/>
          <w:szCs w:val="20"/>
          <w:lang w:val="es-CR"/>
        </w:rPr>
        <w:lastRenderedPageBreak/>
        <w:t>y</w:t>
      </w:r>
      <w:r w:rsidR="00574B74" w:rsidRPr="00863132">
        <w:rPr>
          <w:rFonts w:ascii="Verdana" w:hAnsi="Verdana" w:cstheme="minorHAnsi"/>
          <w:sz w:val="20"/>
          <w:szCs w:val="20"/>
          <w:lang w:val="es-CR"/>
        </w:rPr>
        <w:t xml:space="preserve"> la falta de respuesta del Estado ante los múltiples requerimientos de la Presidencia de la Corte y del Tribunal, </w:t>
      </w:r>
      <w:r w:rsidR="00863132">
        <w:rPr>
          <w:rFonts w:ascii="Verdana" w:hAnsi="Verdana" w:cstheme="minorHAnsi"/>
          <w:sz w:val="20"/>
          <w:szCs w:val="20"/>
          <w:lang w:val="es-CR"/>
        </w:rPr>
        <w:t xml:space="preserve">Haití se encuentra en la misma situación de </w:t>
      </w:r>
      <w:r w:rsidR="00574B74" w:rsidRPr="00863132">
        <w:rPr>
          <w:rFonts w:ascii="Verdana" w:hAnsi="Verdana"/>
          <w:sz w:val="20"/>
          <w:szCs w:val="20"/>
          <w:lang w:val="es-CR"/>
        </w:rPr>
        <w:t xml:space="preserve">grave incumplimiento estatal de la obligación de informar </w:t>
      </w:r>
      <w:r w:rsidR="00863132">
        <w:rPr>
          <w:rFonts w:ascii="Verdana" w:hAnsi="Verdana"/>
          <w:sz w:val="20"/>
          <w:szCs w:val="20"/>
          <w:lang w:val="es-CR"/>
        </w:rPr>
        <w:t xml:space="preserve">que ya fue constatada </w:t>
      </w:r>
      <w:r w:rsidR="00863132" w:rsidRPr="004C376F">
        <w:rPr>
          <w:rFonts w:ascii="Verdana" w:hAnsi="Verdana"/>
          <w:sz w:val="20"/>
          <w:szCs w:val="20"/>
          <w:lang w:val="es-CR"/>
        </w:rPr>
        <w:t>con anterioridad por este Tribunal</w:t>
      </w:r>
      <w:r w:rsidR="00863132" w:rsidRPr="005B3671">
        <w:rPr>
          <w:rFonts w:ascii="Verdana" w:hAnsi="Verdana"/>
          <w:sz w:val="20"/>
          <w:szCs w:val="20"/>
          <w:lang w:val="es-CR"/>
        </w:rPr>
        <w:t xml:space="preserve">, </w:t>
      </w:r>
      <w:r w:rsidR="004C376F" w:rsidRPr="005B3671">
        <w:rPr>
          <w:rFonts w:ascii="Verdana" w:hAnsi="Verdana"/>
          <w:sz w:val="20"/>
          <w:szCs w:val="20"/>
          <w:lang w:val="es-CR"/>
        </w:rPr>
        <w:t xml:space="preserve">pues </w:t>
      </w:r>
      <w:r>
        <w:rPr>
          <w:rFonts w:ascii="Verdana" w:hAnsi="Verdana"/>
          <w:sz w:val="20"/>
          <w:szCs w:val="20"/>
          <w:lang w:val="es-CR"/>
        </w:rPr>
        <w:t>éste</w:t>
      </w:r>
      <w:r w:rsidR="004C376F" w:rsidRPr="005B3671">
        <w:rPr>
          <w:rFonts w:ascii="Verdana" w:hAnsi="Verdana"/>
          <w:sz w:val="20"/>
          <w:szCs w:val="20"/>
          <w:lang w:val="es-CR"/>
        </w:rPr>
        <w:t xml:space="preserve"> ha omitido informar inclusive después de que la Corte emitió resoluciones declarando dicho incumplimiento</w:t>
      </w:r>
      <w:r w:rsidR="006321DF">
        <w:rPr>
          <w:rFonts w:ascii="Verdana" w:hAnsi="Verdana"/>
          <w:sz w:val="20"/>
          <w:szCs w:val="20"/>
          <w:lang w:val="es-CR"/>
        </w:rPr>
        <w:t xml:space="preserve"> (</w:t>
      </w:r>
      <w:r w:rsidR="006321DF" w:rsidRPr="006321DF">
        <w:rPr>
          <w:rFonts w:ascii="Verdana" w:hAnsi="Verdana"/>
          <w:i/>
          <w:sz w:val="20"/>
          <w:szCs w:val="20"/>
          <w:lang w:val="es-CR"/>
        </w:rPr>
        <w:t>supra</w:t>
      </w:r>
      <w:r w:rsidR="006321DF">
        <w:rPr>
          <w:rFonts w:ascii="Verdana" w:hAnsi="Verdana"/>
          <w:sz w:val="20"/>
          <w:szCs w:val="20"/>
          <w:lang w:val="es-CR"/>
        </w:rPr>
        <w:t xml:space="preserve"> Considerandos 2 a 4)</w:t>
      </w:r>
      <w:r w:rsidR="004C376F" w:rsidRPr="005B3671">
        <w:rPr>
          <w:rFonts w:ascii="Verdana" w:hAnsi="Verdana"/>
          <w:sz w:val="20"/>
          <w:szCs w:val="20"/>
          <w:lang w:val="es-CR"/>
        </w:rPr>
        <w:t>.</w:t>
      </w:r>
      <w:r w:rsidR="004C376F" w:rsidRPr="005B3671">
        <w:rPr>
          <w:rFonts w:ascii="Verdana" w:hAnsi="Verdana" w:cstheme="minorHAnsi"/>
          <w:sz w:val="20"/>
          <w:szCs w:val="20"/>
          <w:lang w:val="es-CR"/>
        </w:rPr>
        <w:t xml:space="preserve"> </w:t>
      </w:r>
      <w:r w:rsidR="00574B74" w:rsidRPr="005B3671">
        <w:rPr>
          <w:rFonts w:ascii="Verdana" w:hAnsi="Verdana" w:cstheme="minorHAnsi"/>
          <w:sz w:val="20"/>
          <w:szCs w:val="20"/>
          <w:lang w:val="es-CR"/>
        </w:rPr>
        <w:t>También reitera que l</w:t>
      </w:r>
      <w:r w:rsidR="00574B74" w:rsidRPr="005B3671">
        <w:rPr>
          <w:rFonts w:ascii="Verdana" w:hAnsi="Verdana"/>
          <w:sz w:val="20"/>
          <w:szCs w:val="20"/>
          <w:lang w:val="es-CR"/>
        </w:rPr>
        <w:t>a inactividad de un Estado ante una jurisdicción internacional de derechos humanos es contraria al objetivo, fin y espíritu de la Convención Americana</w:t>
      </w:r>
      <w:r w:rsidR="00574B74" w:rsidRPr="005B3671">
        <w:rPr>
          <w:rStyle w:val="Refdenotaalpie"/>
          <w:rFonts w:ascii="Verdana" w:hAnsi="Verdana"/>
          <w:sz w:val="20"/>
          <w:szCs w:val="20"/>
          <w:lang w:val="es-CR"/>
        </w:rPr>
        <w:footnoteReference w:id="15"/>
      </w:r>
      <w:r w:rsidR="00574B74" w:rsidRPr="005B3671">
        <w:rPr>
          <w:rFonts w:ascii="Verdana" w:hAnsi="Verdana"/>
          <w:sz w:val="20"/>
          <w:szCs w:val="20"/>
          <w:lang w:val="es-CR"/>
        </w:rPr>
        <w:t>.</w:t>
      </w:r>
      <w:bookmarkEnd w:id="7"/>
      <w:r w:rsidR="00574B74" w:rsidRPr="005B3671">
        <w:rPr>
          <w:rFonts w:ascii="Verdana" w:hAnsi="Verdana"/>
          <w:sz w:val="20"/>
          <w:szCs w:val="20"/>
          <w:lang w:val="es-CR"/>
        </w:rPr>
        <w:t xml:space="preserve"> </w:t>
      </w:r>
    </w:p>
    <w:p w14:paraId="2805F2CE" w14:textId="77777777" w:rsidR="00574B74" w:rsidRPr="00B1779B" w:rsidRDefault="00574B74" w:rsidP="00574B74">
      <w:pPr>
        <w:pStyle w:val="Prrafodelista"/>
        <w:rPr>
          <w:rFonts w:ascii="Verdana" w:hAnsi="Verdana"/>
          <w:sz w:val="20"/>
          <w:szCs w:val="20"/>
          <w:lang w:val="es-CR"/>
        </w:rPr>
      </w:pPr>
    </w:p>
    <w:p w14:paraId="07409A49" w14:textId="77777777" w:rsidR="00B1779B" w:rsidRPr="00772F1F" w:rsidRDefault="00574B74" w:rsidP="00574B74">
      <w:pPr>
        <w:pStyle w:val="Prrafodelista"/>
        <w:numPr>
          <w:ilvl w:val="0"/>
          <w:numId w:val="2"/>
        </w:numPr>
        <w:spacing w:after="0" w:line="240" w:lineRule="auto"/>
        <w:ind w:left="0" w:firstLine="0"/>
        <w:jc w:val="both"/>
        <w:rPr>
          <w:rFonts w:ascii="Verdana" w:hAnsi="Verdana" w:cstheme="minorHAnsi"/>
          <w:sz w:val="20"/>
          <w:szCs w:val="20"/>
          <w:lang w:val="es-CR"/>
        </w:rPr>
      </w:pPr>
      <w:r w:rsidRPr="00772F1F">
        <w:rPr>
          <w:rFonts w:ascii="Verdana" w:hAnsi="Verdana"/>
          <w:sz w:val="20"/>
          <w:szCs w:val="20"/>
          <w:lang w:val="es-CR"/>
        </w:rPr>
        <w:t>En este sentido, en la etapa de supervisión de cumplimiento de Sentencias de otros casos</w:t>
      </w:r>
      <w:r w:rsidRPr="00772F1F">
        <w:rPr>
          <w:rStyle w:val="Refdenotaalpie"/>
          <w:rFonts w:ascii="Verdana" w:hAnsi="Verdana"/>
          <w:sz w:val="20"/>
          <w:szCs w:val="20"/>
          <w:lang w:val="es-CR"/>
        </w:rPr>
        <w:footnoteReference w:id="16"/>
      </w:r>
      <w:r w:rsidRPr="00772F1F">
        <w:rPr>
          <w:rFonts w:ascii="Verdana" w:hAnsi="Verdana"/>
          <w:sz w:val="20"/>
          <w:szCs w:val="20"/>
          <w:lang w:val="es-CR"/>
        </w:rPr>
        <w:t xml:space="preserve">, la Corte ha establecido que la falta del Estado a su deber de informar constituye un incumplimiento de las obligaciones convencionales establecidas en los artículos 67 y 68.1. </w:t>
      </w:r>
    </w:p>
    <w:p w14:paraId="546BA701" w14:textId="77777777" w:rsidR="00772F1F" w:rsidRPr="00772F1F" w:rsidRDefault="00772F1F" w:rsidP="00772F1F">
      <w:pPr>
        <w:pStyle w:val="Prrafodelista"/>
        <w:rPr>
          <w:rFonts w:ascii="Verdana" w:hAnsi="Verdana" w:cstheme="minorHAnsi"/>
          <w:sz w:val="20"/>
          <w:szCs w:val="20"/>
          <w:lang w:val="es-CR"/>
        </w:rPr>
      </w:pPr>
    </w:p>
    <w:p w14:paraId="40F2ABF4" w14:textId="77777777" w:rsidR="00772F1F" w:rsidRPr="00772F1F" w:rsidRDefault="00772F1F" w:rsidP="00574B74">
      <w:pPr>
        <w:pStyle w:val="Prrafodelista"/>
        <w:numPr>
          <w:ilvl w:val="0"/>
          <w:numId w:val="2"/>
        </w:numPr>
        <w:spacing w:after="0" w:line="240" w:lineRule="auto"/>
        <w:ind w:left="0" w:firstLine="0"/>
        <w:jc w:val="both"/>
        <w:rPr>
          <w:rFonts w:ascii="Verdana" w:hAnsi="Verdana" w:cstheme="minorHAnsi"/>
          <w:sz w:val="20"/>
          <w:szCs w:val="20"/>
          <w:lang w:val="es-CR"/>
        </w:rPr>
      </w:pPr>
      <w:r w:rsidRPr="00772F1F">
        <w:rPr>
          <w:rFonts w:ascii="Verdana" w:hAnsi="Verdana"/>
          <w:sz w:val="20"/>
          <w:szCs w:val="20"/>
          <w:lang w:val="es-CR"/>
        </w:rPr>
        <w:t>Teniendo en cuenta dicho incumplimiento del Estado, la Corte no tiene elementos que le permitan sostener que Haití ha adoptado medidas orientadas a dar cumplimiento a las reparaciones ordenadas en la Sentencia del presente caso. En ese sentido, el Tribunal considera que dichos incumplimientos impiden que se reparen las violaciones a los derechos humanos declaradas en los fallos.</w:t>
      </w:r>
    </w:p>
    <w:p w14:paraId="38BB7A45" w14:textId="77777777" w:rsidR="00B1779B" w:rsidRPr="00772F1F" w:rsidRDefault="00B1779B" w:rsidP="00B1779B">
      <w:pPr>
        <w:pStyle w:val="Prrafodelista"/>
        <w:rPr>
          <w:rFonts w:ascii="Verdana" w:hAnsi="Verdana" w:cs="Arial"/>
          <w:sz w:val="20"/>
          <w:szCs w:val="20"/>
          <w:lang w:val="es-ES"/>
        </w:rPr>
      </w:pPr>
    </w:p>
    <w:p w14:paraId="0B4E7F9D" w14:textId="77777777" w:rsidR="00701E95" w:rsidRPr="00772F1F" w:rsidRDefault="00701E95" w:rsidP="00574B74">
      <w:pPr>
        <w:pStyle w:val="Prrafodelista"/>
        <w:numPr>
          <w:ilvl w:val="0"/>
          <w:numId w:val="2"/>
        </w:numPr>
        <w:spacing w:after="0" w:line="240" w:lineRule="auto"/>
        <w:ind w:left="0" w:firstLine="0"/>
        <w:jc w:val="both"/>
        <w:rPr>
          <w:rFonts w:ascii="Verdana" w:hAnsi="Verdana" w:cstheme="minorHAnsi"/>
          <w:sz w:val="20"/>
          <w:szCs w:val="20"/>
          <w:lang w:val="es-CR"/>
        </w:rPr>
      </w:pPr>
      <w:r w:rsidRPr="00772F1F">
        <w:rPr>
          <w:rFonts w:ascii="Verdana" w:hAnsi="Verdana" w:cs="Arial"/>
          <w:sz w:val="20"/>
          <w:szCs w:val="20"/>
          <w:lang w:val="es-ES"/>
        </w:rPr>
        <w:t>La Corte considera que dicho</w:t>
      </w:r>
      <w:r w:rsidR="00772F1F" w:rsidRPr="00772F1F">
        <w:rPr>
          <w:rFonts w:ascii="Verdana" w:hAnsi="Verdana" w:cs="Arial"/>
          <w:sz w:val="20"/>
          <w:szCs w:val="20"/>
          <w:lang w:val="es-ES"/>
        </w:rPr>
        <w:t>s</w:t>
      </w:r>
      <w:r w:rsidRPr="00772F1F">
        <w:rPr>
          <w:rFonts w:ascii="Verdana" w:hAnsi="Verdana" w:cs="Arial"/>
          <w:sz w:val="20"/>
          <w:szCs w:val="20"/>
          <w:lang w:val="es-ES"/>
        </w:rPr>
        <w:t xml:space="preserve"> incumplimiento</w:t>
      </w:r>
      <w:r w:rsidR="00772F1F" w:rsidRPr="00772F1F">
        <w:rPr>
          <w:rFonts w:ascii="Verdana" w:hAnsi="Verdana" w:cs="Arial"/>
          <w:sz w:val="20"/>
          <w:szCs w:val="20"/>
          <w:lang w:val="es-ES"/>
        </w:rPr>
        <w:t>s</w:t>
      </w:r>
      <w:r w:rsidRPr="00772F1F">
        <w:rPr>
          <w:rFonts w:ascii="Verdana" w:hAnsi="Verdana" w:cs="Arial"/>
          <w:sz w:val="20"/>
          <w:szCs w:val="20"/>
          <w:lang w:val="es-ES"/>
        </w:rPr>
        <w:t xml:space="preserve"> </w:t>
      </w:r>
      <w:r w:rsidR="00937009">
        <w:rPr>
          <w:rFonts w:ascii="Verdana" w:hAnsi="Verdana"/>
          <w:sz w:val="20"/>
          <w:szCs w:val="20"/>
          <w:lang w:val="es-CR"/>
        </w:rPr>
        <w:t>(supra Considerandos 7 y 9)</w:t>
      </w:r>
      <w:r w:rsidR="00772F1F" w:rsidRPr="00772F1F">
        <w:rPr>
          <w:rFonts w:ascii="Verdana" w:hAnsi="Verdana"/>
          <w:sz w:val="20"/>
          <w:szCs w:val="20"/>
          <w:lang w:val="es-CR"/>
        </w:rPr>
        <w:t xml:space="preserve"> </w:t>
      </w:r>
      <w:r w:rsidRPr="00772F1F">
        <w:rPr>
          <w:rFonts w:ascii="Verdana" w:hAnsi="Verdana" w:cs="Arial"/>
          <w:sz w:val="20"/>
          <w:szCs w:val="20"/>
          <w:lang w:val="es-ES"/>
        </w:rPr>
        <w:t>constituye</w:t>
      </w:r>
      <w:r w:rsidR="00772F1F" w:rsidRPr="00772F1F">
        <w:rPr>
          <w:rFonts w:ascii="Verdana" w:hAnsi="Verdana" w:cs="Arial"/>
          <w:sz w:val="20"/>
          <w:szCs w:val="20"/>
          <w:lang w:val="es-ES"/>
        </w:rPr>
        <w:t>n</w:t>
      </w:r>
      <w:r w:rsidRPr="00772F1F">
        <w:rPr>
          <w:rFonts w:ascii="Verdana" w:hAnsi="Verdana" w:cs="Arial"/>
          <w:sz w:val="20"/>
          <w:szCs w:val="20"/>
          <w:lang w:val="es-ES"/>
        </w:rPr>
        <w:t xml:space="preserve"> un desconocimiento de las obligaciones emanadas de las Sentencias dictadas por el Tribunal y de los compromisos convencionales del Estado, </w:t>
      </w:r>
      <w:r w:rsidR="00C36F60">
        <w:rPr>
          <w:rFonts w:ascii="Verdana" w:hAnsi="Verdana" w:cs="Arial"/>
          <w:sz w:val="20"/>
          <w:szCs w:val="20"/>
          <w:lang w:val="es-ES"/>
        </w:rPr>
        <w:t xml:space="preserve">e </w:t>
      </w:r>
      <w:r w:rsidRPr="00772F1F">
        <w:rPr>
          <w:rFonts w:ascii="Verdana" w:hAnsi="Verdana" w:cs="Arial"/>
          <w:sz w:val="20"/>
          <w:szCs w:val="20"/>
          <w:lang w:val="es-ES"/>
        </w:rPr>
        <w:t xml:space="preserve">impide que se reparen las violaciones a los derechos humanos declaradas en el Fallo y despoja el efecto útil </w:t>
      </w:r>
      <w:r w:rsidRPr="00772F1F">
        <w:rPr>
          <w:rFonts w:ascii="Verdana" w:hAnsi="Verdana" w:cs="Arial"/>
          <w:i/>
          <w:sz w:val="20"/>
          <w:szCs w:val="20"/>
          <w:lang w:val="es-ES"/>
        </w:rPr>
        <w:t>(</w:t>
      </w:r>
      <w:proofErr w:type="spellStart"/>
      <w:r w:rsidRPr="00772F1F">
        <w:rPr>
          <w:rFonts w:ascii="Verdana" w:hAnsi="Verdana" w:cs="Arial"/>
          <w:i/>
          <w:sz w:val="20"/>
          <w:szCs w:val="20"/>
          <w:lang w:val="es-ES"/>
        </w:rPr>
        <w:t>effet</w:t>
      </w:r>
      <w:proofErr w:type="spellEnd"/>
      <w:r w:rsidRPr="00772F1F">
        <w:rPr>
          <w:rFonts w:ascii="Verdana" w:hAnsi="Verdana" w:cs="Arial"/>
          <w:i/>
          <w:sz w:val="20"/>
          <w:szCs w:val="20"/>
          <w:lang w:val="es-ES"/>
        </w:rPr>
        <w:t xml:space="preserve"> </w:t>
      </w:r>
      <w:proofErr w:type="spellStart"/>
      <w:r w:rsidRPr="00772F1F">
        <w:rPr>
          <w:rFonts w:ascii="Verdana" w:hAnsi="Verdana" w:cs="Arial"/>
          <w:i/>
          <w:sz w:val="20"/>
          <w:szCs w:val="20"/>
          <w:lang w:val="es-ES"/>
        </w:rPr>
        <w:t>utile</w:t>
      </w:r>
      <w:proofErr w:type="spellEnd"/>
      <w:r w:rsidRPr="00772F1F">
        <w:rPr>
          <w:rFonts w:ascii="Verdana" w:hAnsi="Verdana" w:cs="Arial"/>
          <w:i/>
          <w:sz w:val="20"/>
          <w:szCs w:val="20"/>
          <w:lang w:val="es-ES"/>
        </w:rPr>
        <w:t>)</w:t>
      </w:r>
      <w:r w:rsidRPr="00772F1F">
        <w:rPr>
          <w:rFonts w:ascii="Verdana" w:hAnsi="Verdana" w:cs="Arial"/>
          <w:sz w:val="20"/>
          <w:szCs w:val="20"/>
          <w:lang w:val="es-ES"/>
        </w:rPr>
        <w:t xml:space="preserve"> de la Convención en </w:t>
      </w:r>
      <w:r w:rsidR="00AA4D51">
        <w:rPr>
          <w:rFonts w:ascii="Verdana" w:hAnsi="Verdana" w:cs="Arial"/>
          <w:sz w:val="20"/>
          <w:szCs w:val="20"/>
          <w:lang w:val="es-ES"/>
        </w:rPr>
        <w:t>el caso concreto</w:t>
      </w:r>
      <w:r w:rsidRPr="00772F1F">
        <w:rPr>
          <w:rStyle w:val="Refdenotaalpie"/>
          <w:rFonts w:ascii="Verdana" w:hAnsi="Verdana" w:cs="Arial"/>
          <w:sz w:val="20"/>
          <w:szCs w:val="20"/>
          <w:lang w:val="es-ES"/>
        </w:rPr>
        <w:footnoteReference w:id="17"/>
      </w:r>
      <w:r w:rsidRPr="00772F1F">
        <w:rPr>
          <w:rFonts w:ascii="Verdana" w:hAnsi="Verdana" w:cs="Arial"/>
          <w:sz w:val="20"/>
          <w:szCs w:val="20"/>
          <w:lang w:val="es-ES"/>
        </w:rPr>
        <w:t xml:space="preserve">. </w:t>
      </w:r>
    </w:p>
    <w:p w14:paraId="5D8255A4" w14:textId="77777777" w:rsidR="00701E95" w:rsidRPr="00B1779B" w:rsidRDefault="00701E95" w:rsidP="00701E95">
      <w:pPr>
        <w:pStyle w:val="Prrafodelista"/>
        <w:rPr>
          <w:rFonts w:ascii="Verdana" w:hAnsi="Verdana"/>
          <w:sz w:val="20"/>
          <w:lang w:val="es-MX"/>
        </w:rPr>
      </w:pPr>
    </w:p>
    <w:p w14:paraId="6C1C69D7" w14:textId="77777777" w:rsidR="00574B74" w:rsidRPr="00B1779B" w:rsidRDefault="00701E95" w:rsidP="00574B74">
      <w:pPr>
        <w:pStyle w:val="Prrafodelista"/>
        <w:numPr>
          <w:ilvl w:val="0"/>
          <w:numId w:val="2"/>
        </w:numPr>
        <w:spacing w:after="0" w:line="240" w:lineRule="auto"/>
        <w:ind w:left="0" w:firstLine="0"/>
        <w:jc w:val="both"/>
        <w:rPr>
          <w:rFonts w:ascii="Verdana" w:hAnsi="Verdana" w:cstheme="minorHAnsi"/>
          <w:sz w:val="20"/>
          <w:szCs w:val="20"/>
          <w:lang w:val="es-CR"/>
        </w:rPr>
      </w:pPr>
      <w:bookmarkStart w:id="8" w:name="_Ref25334349"/>
      <w:r w:rsidRPr="00B1779B">
        <w:rPr>
          <w:rFonts w:ascii="Verdana" w:hAnsi="Verdana"/>
          <w:sz w:val="20"/>
          <w:lang w:val="es-MX"/>
        </w:rPr>
        <w:t>Con base en la situación constatada</w:t>
      </w:r>
      <w:r w:rsidR="00B1779B" w:rsidRPr="00B1779B">
        <w:rPr>
          <w:rFonts w:ascii="Verdana" w:hAnsi="Verdana"/>
          <w:sz w:val="20"/>
          <w:lang w:val="es-MX"/>
        </w:rPr>
        <w:t>,</w:t>
      </w:r>
      <w:r w:rsidRPr="00B1779B">
        <w:rPr>
          <w:rFonts w:ascii="Verdana" w:hAnsi="Verdana"/>
          <w:sz w:val="20"/>
          <w:lang w:val="es-MX"/>
        </w:rPr>
        <w:t xml:space="preserve"> el Tribunal considera necesario dar aplicación a lo dispuesto en los artículos 65 de la Convención Americana</w:t>
      </w:r>
      <w:r w:rsidRPr="00B1779B">
        <w:rPr>
          <w:rStyle w:val="Refdenotaalpie"/>
          <w:rFonts w:ascii="Verdana" w:hAnsi="Verdana"/>
          <w:sz w:val="20"/>
          <w:lang w:val="es-MX"/>
        </w:rPr>
        <w:footnoteReference w:id="18"/>
      </w:r>
      <w:r w:rsidRPr="00B1779B">
        <w:rPr>
          <w:rFonts w:ascii="Verdana" w:hAnsi="Verdana"/>
          <w:sz w:val="20"/>
          <w:lang w:val="es-MX"/>
        </w:rPr>
        <w:t xml:space="preserve"> y 30 de su Estatuto</w:t>
      </w:r>
      <w:r w:rsidRPr="00B1779B">
        <w:rPr>
          <w:rStyle w:val="Refdenotaalpie"/>
          <w:rFonts w:ascii="Verdana" w:hAnsi="Verdana"/>
          <w:sz w:val="20"/>
          <w:lang w:val="es-MX"/>
        </w:rPr>
        <w:footnoteReference w:id="19"/>
      </w:r>
      <w:r w:rsidRPr="00B1779B">
        <w:rPr>
          <w:rFonts w:ascii="Verdana" w:hAnsi="Verdana"/>
          <w:sz w:val="20"/>
          <w:lang w:val="es-MX"/>
        </w:rPr>
        <w:t xml:space="preserve">, de manera que en el Informe Anual de labores del </w:t>
      </w:r>
      <w:r w:rsidR="00695AB5" w:rsidRPr="00B1779B">
        <w:rPr>
          <w:rFonts w:ascii="Verdana" w:hAnsi="Verdana"/>
          <w:sz w:val="20"/>
          <w:lang w:val="es-MX"/>
        </w:rPr>
        <w:t>201</w:t>
      </w:r>
      <w:r w:rsidR="00695AB5">
        <w:rPr>
          <w:rFonts w:ascii="Verdana" w:hAnsi="Verdana"/>
          <w:sz w:val="20"/>
          <w:lang w:val="es-MX"/>
        </w:rPr>
        <w:t>9</w:t>
      </w:r>
      <w:r w:rsidRPr="00B1779B">
        <w:rPr>
          <w:rFonts w:ascii="Verdana" w:hAnsi="Verdana"/>
          <w:sz w:val="20"/>
          <w:lang w:val="es-MX"/>
        </w:rPr>
        <w:t xml:space="preserve">, que </w:t>
      </w:r>
      <w:r w:rsidRPr="00B1779B">
        <w:rPr>
          <w:rFonts w:ascii="Verdana" w:hAnsi="Verdana"/>
          <w:sz w:val="20"/>
          <w:lang w:val="es-CR"/>
        </w:rPr>
        <w:t xml:space="preserve">someterá a la consideración de la Asamblea General de la Organización de los Estados Americanos, incorporará la presente Resolución, indicando el prolongado incumplimiento de Haití del deber de informar y del deber de implementar las </w:t>
      </w:r>
      <w:r w:rsidR="00574B74" w:rsidRPr="00B1779B">
        <w:rPr>
          <w:rFonts w:ascii="Verdana" w:hAnsi="Verdana"/>
          <w:sz w:val="20"/>
          <w:lang w:val="es-CR"/>
        </w:rPr>
        <w:t>reparaciones ordenadas en la</w:t>
      </w:r>
      <w:r w:rsidRPr="00B1779B">
        <w:rPr>
          <w:rFonts w:ascii="Verdana" w:hAnsi="Verdana"/>
          <w:sz w:val="20"/>
          <w:lang w:val="es-CR"/>
        </w:rPr>
        <w:t xml:space="preserve"> Sentencia</w:t>
      </w:r>
      <w:r w:rsidR="00574B74" w:rsidRPr="00B1779B">
        <w:rPr>
          <w:rFonts w:ascii="Verdana" w:hAnsi="Verdana"/>
          <w:sz w:val="20"/>
          <w:lang w:val="es-CR"/>
        </w:rPr>
        <w:t xml:space="preserve"> de este caso</w:t>
      </w:r>
      <w:r w:rsidRPr="00B1779B">
        <w:rPr>
          <w:rFonts w:ascii="Verdana" w:hAnsi="Verdana"/>
          <w:sz w:val="20"/>
          <w:lang w:val="es-CR"/>
        </w:rPr>
        <w:t>. Ante esta situación los Estados Americanos han dispuesto un sistema de garantía colectiva en donde todos los Estados Parte deben realizar todos los esfuerzos para que no haya un evidente abandono por parte de los Estados de su obligación de cumplir y acatar las Sentencias de la Corte</w:t>
      </w:r>
      <w:r w:rsidRPr="00B1779B">
        <w:rPr>
          <w:rStyle w:val="Refdenotaalpie"/>
          <w:rFonts w:ascii="Verdana" w:hAnsi="Verdana"/>
          <w:sz w:val="20"/>
        </w:rPr>
        <w:footnoteReference w:id="20"/>
      </w:r>
      <w:r w:rsidRPr="00B1779B">
        <w:rPr>
          <w:rFonts w:ascii="Verdana" w:hAnsi="Verdana"/>
          <w:sz w:val="20"/>
          <w:lang w:val="es-CR"/>
        </w:rPr>
        <w:t>.</w:t>
      </w:r>
      <w:bookmarkEnd w:id="8"/>
      <w:r w:rsidRPr="00B1779B">
        <w:rPr>
          <w:rFonts w:ascii="Verdana" w:hAnsi="Verdana"/>
          <w:sz w:val="20"/>
          <w:lang w:val="es-CR"/>
        </w:rPr>
        <w:t xml:space="preserve"> </w:t>
      </w:r>
    </w:p>
    <w:p w14:paraId="19154136" w14:textId="77777777" w:rsidR="00574B74" w:rsidRPr="00B1779B" w:rsidRDefault="00574B74" w:rsidP="00574B74">
      <w:pPr>
        <w:pStyle w:val="Prrafodelista"/>
        <w:rPr>
          <w:rFonts w:ascii="Verdana" w:hAnsi="Verdana"/>
          <w:spacing w:val="-3"/>
          <w:sz w:val="20"/>
          <w:lang w:val="es-CO"/>
        </w:rPr>
      </w:pPr>
    </w:p>
    <w:p w14:paraId="5F7381DE" w14:textId="77777777" w:rsidR="00017FB2" w:rsidRPr="00017FB2" w:rsidRDefault="00701E95" w:rsidP="00842317">
      <w:pPr>
        <w:pStyle w:val="Prrafodelista"/>
        <w:numPr>
          <w:ilvl w:val="0"/>
          <w:numId w:val="2"/>
        </w:numPr>
        <w:spacing w:after="0" w:line="240" w:lineRule="auto"/>
        <w:ind w:left="0" w:firstLine="0"/>
        <w:jc w:val="both"/>
        <w:rPr>
          <w:rFonts w:ascii="Verdana" w:hAnsi="Verdana" w:cstheme="minorHAnsi"/>
          <w:sz w:val="20"/>
          <w:szCs w:val="20"/>
          <w:lang w:val="es-CR"/>
        </w:rPr>
      </w:pPr>
      <w:r w:rsidRPr="00B1779B">
        <w:rPr>
          <w:rFonts w:ascii="Verdana" w:hAnsi="Verdana"/>
          <w:spacing w:val="-3"/>
          <w:sz w:val="20"/>
          <w:lang w:val="es-CO"/>
        </w:rPr>
        <w:t xml:space="preserve">Este Tribunal ha señalado que la Convención Americana, así como los demás tratados de derechos </w:t>
      </w:r>
      <w:r w:rsidRPr="00B1779B">
        <w:rPr>
          <w:rFonts w:ascii="Verdana" w:hAnsi="Verdana"/>
          <w:sz w:val="20"/>
          <w:lang w:val="es-CR"/>
        </w:rPr>
        <w:t>humanos</w:t>
      </w:r>
      <w:r w:rsidRPr="00B1779B">
        <w:rPr>
          <w:rFonts w:ascii="Verdana" w:hAnsi="Verdana"/>
          <w:spacing w:val="-3"/>
          <w:sz w:val="20"/>
          <w:lang w:val="es-CO"/>
        </w:rPr>
        <w:t xml:space="preserve">, se aplican de conformidad con la noción de garantía colectiva y tienen una naturaleza especial, que los diferencian de los demás tratados, los cuales reglamentan intereses </w:t>
      </w:r>
      <w:r w:rsidRPr="00B1779B">
        <w:rPr>
          <w:rFonts w:ascii="Verdana" w:hAnsi="Verdana"/>
          <w:spacing w:val="-3"/>
          <w:sz w:val="20"/>
          <w:lang w:val="es-CO"/>
        </w:rPr>
        <w:lastRenderedPageBreak/>
        <w:t>recíprocos entre los Estados Partes</w:t>
      </w:r>
      <w:r w:rsidRPr="00B1779B">
        <w:rPr>
          <w:rStyle w:val="Refdenotaalpie"/>
          <w:rFonts w:ascii="Verdana" w:hAnsi="Verdana"/>
          <w:spacing w:val="-3"/>
          <w:sz w:val="20"/>
        </w:rPr>
        <w:footnoteReference w:id="21"/>
      </w:r>
      <w:r w:rsidRPr="00B1779B">
        <w:rPr>
          <w:rFonts w:ascii="Verdana" w:hAnsi="Verdana"/>
          <w:spacing w:val="-3"/>
          <w:sz w:val="20"/>
          <w:lang w:val="es-CO"/>
        </w:rPr>
        <w:t xml:space="preserve">. Dicha noción de </w:t>
      </w:r>
      <w:r w:rsidRPr="00B1779B">
        <w:rPr>
          <w:rFonts w:ascii="Verdana" w:hAnsi="Verdana"/>
          <w:sz w:val="20"/>
          <w:lang w:val="es-CO"/>
        </w:rPr>
        <w:t xml:space="preserve">garantía colectiva se encuentra estrechamente relacionada con el efecto útil de las Sentencias de la Corte Interamericana, por cuanto </w:t>
      </w:r>
      <w:r w:rsidRPr="00B1779B">
        <w:rPr>
          <w:rFonts w:ascii="Verdana" w:hAnsi="Verdana"/>
          <w:sz w:val="20"/>
          <w:lang w:val="es-ES"/>
        </w:rPr>
        <w:t>la Convención Americana consagra un sistema que constituye un verdadero orden público regional, cuyo mantenimiento es de interés de todos y cada uno de los Estados Partes</w:t>
      </w:r>
      <w:r w:rsidRPr="00B1779B">
        <w:rPr>
          <w:rStyle w:val="Refdenotaalpie"/>
          <w:rFonts w:ascii="Verdana" w:hAnsi="Verdana"/>
          <w:sz w:val="20"/>
          <w:lang w:val="es-ES"/>
        </w:rPr>
        <w:footnoteReference w:id="22"/>
      </w:r>
      <w:r w:rsidRPr="00B1779B">
        <w:rPr>
          <w:rFonts w:ascii="Verdana" w:hAnsi="Verdana"/>
          <w:sz w:val="20"/>
          <w:lang w:val="es-ES"/>
        </w:rPr>
        <w:t>. El interés de los Estados signatarios es el mantenimiento del sistema de protección de los derechos humanos que ellos mismos han creado, y si un Estado viola su obligación de acatar lo resuelto por el único órgano jurisdiccional sobre la materia se está quebrantando el compromiso asumido hacia los otros Estados de cumplir con las sentencias de la Corte</w:t>
      </w:r>
      <w:r w:rsidRPr="00B1779B">
        <w:rPr>
          <w:rStyle w:val="Refdenotaalpie"/>
          <w:rFonts w:ascii="Verdana" w:hAnsi="Verdana"/>
          <w:sz w:val="20"/>
          <w:lang w:val="es-ES"/>
        </w:rPr>
        <w:footnoteReference w:id="23"/>
      </w:r>
      <w:r w:rsidRPr="00B1779B">
        <w:rPr>
          <w:rFonts w:ascii="Verdana" w:hAnsi="Verdana"/>
          <w:sz w:val="20"/>
          <w:lang w:val="es-ES"/>
        </w:rPr>
        <w:t>. Por tanto, la labor de la Asamblea General de la Organización de los Estados Americanos, cuando se le presenta un incumplimiento manifiesto por parte de uno de los Estados de una Sentencia emitida por la Corte Interamericana, es precisamente la de proteger el efecto útil de la Convención Americana y evitar que la justicia interamericana se torne ilusoria al quedar al arbitrio de las decisiones internas de un Estado</w:t>
      </w:r>
      <w:r w:rsidRPr="00B1779B">
        <w:rPr>
          <w:rStyle w:val="Refdenotaalpie"/>
          <w:rFonts w:ascii="Verdana" w:hAnsi="Verdana"/>
          <w:sz w:val="20"/>
          <w:lang w:val="es-ES"/>
        </w:rPr>
        <w:footnoteReference w:id="24"/>
      </w:r>
      <w:r w:rsidRPr="00B1779B">
        <w:rPr>
          <w:rFonts w:ascii="Verdana" w:hAnsi="Verdana"/>
          <w:sz w:val="20"/>
          <w:lang w:val="es-ES"/>
        </w:rPr>
        <w:t>.</w:t>
      </w:r>
    </w:p>
    <w:p w14:paraId="6D4A05E6" w14:textId="77777777" w:rsidR="00017FB2" w:rsidRDefault="00017FB2" w:rsidP="00017FB2">
      <w:pPr>
        <w:pStyle w:val="Prrafodelista"/>
        <w:spacing w:after="0" w:line="240" w:lineRule="auto"/>
        <w:ind w:left="0"/>
        <w:jc w:val="both"/>
        <w:rPr>
          <w:rFonts w:ascii="Verdana" w:hAnsi="Verdana" w:cstheme="minorHAnsi"/>
          <w:sz w:val="20"/>
          <w:szCs w:val="20"/>
          <w:lang w:val="es-CR"/>
        </w:rPr>
      </w:pPr>
    </w:p>
    <w:p w14:paraId="4BD14A1B" w14:textId="29E72E5C" w:rsidR="00701E95" w:rsidRPr="00017FB2" w:rsidRDefault="00701E95" w:rsidP="00842317">
      <w:pPr>
        <w:pStyle w:val="Prrafodelista"/>
        <w:numPr>
          <w:ilvl w:val="0"/>
          <w:numId w:val="2"/>
        </w:numPr>
        <w:spacing w:after="0" w:line="240" w:lineRule="auto"/>
        <w:ind w:left="0" w:firstLine="0"/>
        <w:jc w:val="both"/>
        <w:rPr>
          <w:rFonts w:ascii="Verdana" w:hAnsi="Verdana" w:cstheme="minorHAnsi"/>
          <w:sz w:val="20"/>
          <w:szCs w:val="20"/>
          <w:lang w:val="es-CR"/>
        </w:rPr>
      </w:pPr>
      <w:r w:rsidRPr="00017FB2">
        <w:rPr>
          <w:rFonts w:ascii="Verdana" w:hAnsi="Verdana"/>
          <w:sz w:val="20"/>
          <w:lang w:val="es-CO"/>
        </w:rPr>
        <w:t>Una vez que ha determinado la aplicación de los referidos artículos (</w:t>
      </w:r>
      <w:r w:rsidRPr="00017FB2">
        <w:rPr>
          <w:rFonts w:ascii="Verdana" w:hAnsi="Verdana"/>
          <w:i/>
          <w:sz w:val="20"/>
          <w:lang w:val="es-CO"/>
        </w:rPr>
        <w:t xml:space="preserve">supra </w:t>
      </w:r>
      <w:r w:rsidRPr="00017FB2">
        <w:rPr>
          <w:rFonts w:ascii="Verdana" w:hAnsi="Verdana"/>
          <w:sz w:val="20"/>
          <w:lang w:val="es-CO"/>
        </w:rPr>
        <w:t xml:space="preserve">Considerando </w:t>
      </w:r>
      <w:r w:rsidR="009C7508" w:rsidRPr="00017FB2">
        <w:rPr>
          <w:rFonts w:ascii="Verdana" w:hAnsi="Verdana"/>
          <w:sz w:val="20"/>
          <w:lang w:val="es-CO"/>
        </w:rPr>
        <w:fldChar w:fldCharType="begin"/>
      </w:r>
      <w:r w:rsidR="009C7508" w:rsidRPr="00017FB2">
        <w:rPr>
          <w:rFonts w:ascii="Verdana" w:hAnsi="Verdana"/>
          <w:sz w:val="20"/>
          <w:lang w:val="es-CO"/>
        </w:rPr>
        <w:instrText xml:space="preserve"> REF _Ref25334349 \r \h </w:instrText>
      </w:r>
      <w:r w:rsidR="009C7508" w:rsidRPr="00017FB2">
        <w:rPr>
          <w:rFonts w:ascii="Verdana" w:hAnsi="Verdana"/>
          <w:sz w:val="20"/>
          <w:lang w:val="es-CO"/>
        </w:rPr>
      </w:r>
      <w:r w:rsidR="009C7508" w:rsidRPr="00017FB2">
        <w:rPr>
          <w:rFonts w:ascii="Verdana" w:hAnsi="Verdana"/>
          <w:sz w:val="20"/>
          <w:lang w:val="es-CO"/>
        </w:rPr>
        <w:fldChar w:fldCharType="separate"/>
      </w:r>
      <w:r w:rsidR="00521E39">
        <w:rPr>
          <w:rFonts w:ascii="Verdana" w:hAnsi="Verdana"/>
          <w:sz w:val="20"/>
          <w:lang w:val="es-CO"/>
        </w:rPr>
        <w:t>11</w:t>
      </w:r>
      <w:r w:rsidR="009C7508" w:rsidRPr="00017FB2">
        <w:rPr>
          <w:rFonts w:ascii="Verdana" w:hAnsi="Verdana"/>
          <w:sz w:val="20"/>
          <w:lang w:val="es-CO"/>
        </w:rPr>
        <w:fldChar w:fldCharType="end"/>
      </w:r>
      <w:r w:rsidR="00695AB5" w:rsidRPr="00017FB2">
        <w:rPr>
          <w:rFonts w:ascii="Verdana" w:hAnsi="Verdana"/>
          <w:sz w:val="20"/>
          <w:lang w:val="es-CO"/>
        </w:rPr>
        <w:t xml:space="preserve">) </w:t>
      </w:r>
      <w:r w:rsidRPr="00017FB2">
        <w:rPr>
          <w:rFonts w:ascii="Verdana" w:hAnsi="Verdana"/>
          <w:sz w:val="20"/>
          <w:lang w:val="es-CO"/>
        </w:rPr>
        <w:t xml:space="preserve">en casos de incumplimiento de sus Sentencias, y así lo haya informado mediante su Informe Anual para la consideración de la Asamblea </w:t>
      </w:r>
      <w:r w:rsidRPr="00017FB2">
        <w:rPr>
          <w:rFonts w:ascii="Verdana" w:hAnsi="Verdana"/>
          <w:spacing w:val="-3"/>
          <w:sz w:val="20"/>
          <w:lang w:val="es-CO"/>
        </w:rPr>
        <w:t>General</w:t>
      </w:r>
      <w:r w:rsidRPr="00017FB2">
        <w:rPr>
          <w:rFonts w:ascii="Verdana" w:hAnsi="Verdana"/>
          <w:sz w:val="20"/>
          <w:lang w:val="es-CO"/>
        </w:rPr>
        <w:t xml:space="preserve"> de la Organización de los Estados Americanos, la Corte continuará incluyendo dicho incumplimiento cada año, al presentar su </w:t>
      </w:r>
      <w:r w:rsidR="00EF23B4" w:rsidRPr="00017FB2">
        <w:rPr>
          <w:rFonts w:ascii="Verdana" w:hAnsi="Verdana"/>
          <w:sz w:val="20"/>
          <w:lang w:val="es-CO"/>
        </w:rPr>
        <w:t>I</w:t>
      </w:r>
      <w:r w:rsidRPr="00017FB2">
        <w:rPr>
          <w:rFonts w:ascii="Verdana" w:hAnsi="Verdana"/>
          <w:sz w:val="20"/>
          <w:lang w:val="es-CO"/>
        </w:rPr>
        <w:t>nforme Anual, a menos que el Estado acredite que está adoptando las medidas necesarias para cumplir con las reparaciones ordenadas en la Sentencia, o que los representantes de las víctimas o la Comisión acompañen información sobre la implementación y cumplimiento de los puntos de la Sentencia que requiera ser valorada por este Tribunal</w:t>
      </w:r>
      <w:r w:rsidRPr="00B1779B">
        <w:rPr>
          <w:rStyle w:val="Refdenotaalpie"/>
          <w:rFonts w:ascii="Verdana" w:hAnsi="Verdana"/>
          <w:sz w:val="20"/>
          <w:lang w:val="es-CO"/>
        </w:rPr>
        <w:footnoteReference w:id="25"/>
      </w:r>
      <w:r w:rsidRPr="00017FB2">
        <w:rPr>
          <w:rFonts w:ascii="Verdana" w:hAnsi="Verdana"/>
          <w:sz w:val="20"/>
          <w:lang w:val="es-CO"/>
        </w:rPr>
        <w:t xml:space="preserve">. </w:t>
      </w:r>
    </w:p>
    <w:p w14:paraId="3714C9E5" w14:textId="77777777" w:rsidR="000A313F" w:rsidRDefault="000A313F" w:rsidP="000A313F">
      <w:pPr>
        <w:spacing w:after="0" w:line="240" w:lineRule="auto"/>
        <w:jc w:val="both"/>
        <w:rPr>
          <w:rFonts w:ascii="Verdana" w:hAnsi="Verdana" w:cstheme="minorHAnsi"/>
          <w:b/>
          <w:sz w:val="20"/>
          <w:szCs w:val="20"/>
          <w:lang w:val="es-CR"/>
        </w:rPr>
      </w:pPr>
    </w:p>
    <w:p w14:paraId="33923919" w14:textId="77777777" w:rsidR="00017FB2" w:rsidRDefault="00017FB2" w:rsidP="000A313F">
      <w:pPr>
        <w:spacing w:after="0" w:line="240" w:lineRule="auto"/>
        <w:jc w:val="both"/>
        <w:rPr>
          <w:rFonts w:ascii="Verdana" w:hAnsi="Verdana" w:cstheme="minorHAnsi"/>
          <w:b/>
          <w:sz w:val="20"/>
          <w:szCs w:val="20"/>
          <w:lang w:val="es-CR"/>
        </w:rPr>
      </w:pPr>
    </w:p>
    <w:p w14:paraId="0BA544EF" w14:textId="77777777" w:rsidR="001B743D" w:rsidRDefault="001B743D" w:rsidP="000A313F">
      <w:pPr>
        <w:spacing w:after="0" w:line="240" w:lineRule="auto"/>
        <w:jc w:val="both"/>
        <w:rPr>
          <w:rFonts w:ascii="Verdana" w:hAnsi="Verdana" w:cstheme="minorHAnsi"/>
          <w:b/>
          <w:sz w:val="20"/>
          <w:szCs w:val="20"/>
          <w:lang w:val="es-CR"/>
        </w:rPr>
      </w:pPr>
      <w:r>
        <w:rPr>
          <w:rFonts w:ascii="Verdana" w:hAnsi="Verdana" w:cstheme="minorHAnsi"/>
          <w:b/>
          <w:sz w:val="20"/>
          <w:szCs w:val="20"/>
          <w:lang w:val="es-CR"/>
        </w:rPr>
        <w:t xml:space="preserve">POR TANTO: </w:t>
      </w:r>
    </w:p>
    <w:p w14:paraId="5E5237EC" w14:textId="77777777" w:rsidR="000A313F" w:rsidRDefault="000A313F" w:rsidP="000A313F">
      <w:pPr>
        <w:spacing w:after="0" w:line="240" w:lineRule="auto"/>
        <w:jc w:val="both"/>
        <w:rPr>
          <w:rFonts w:ascii="Verdana" w:hAnsi="Verdana" w:cstheme="minorHAnsi"/>
          <w:b/>
          <w:sz w:val="20"/>
          <w:szCs w:val="20"/>
          <w:lang w:val="es-CR"/>
        </w:rPr>
      </w:pPr>
    </w:p>
    <w:p w14:paraId="1338544B" w14:textId="77777777" w:rsidR="001B743D" w:rsidRDefault="001B743D" w:rsidP="000A313F">
      <w:pPr>
        <w:spacing w:after="0" w:line="240" w:lineRule="auto"/>
        <w:jc w:val="both"/>
        <w:rPr>
          <w:rFonts w:ascii="Verdana" w:hAnsi="Verdana" w:cstheme="minorHAnsi"/>
          <w:b/>
          <w:sz w:val="20"/>
          <w:szCs w:val="20"/>
          <w:lang w:val="es-CR"/>
        </w:rPr>
      </w:pPr>
      <w:r>
        <w:rPr>
          <w:rFonts w:ascii="Verdana" w:hAnsi="Verdana" w:cstheme="minorHAnsi"/>
          <w:b/>
          <w:sz w:val="20"/>
          <w:szCs w:val="20"/>
          <w:lang w:val="es-CR"/>
        </w:rPr>
        <w:t>LA CORTE INTERAMERICANA DE DERECHOS HUMANOS,</w:t>
      </w:r>
    </w:p>
    <w:p w14:paraId="730688E0" w14:textId="77777777" w:rsidR="000A313F" w:rsidRDefault="000A313F" w:rsidP="000A313F">
      <w:pPr>
        <w:spacing w:after="0" w:line="240" w:lineRule="auto"/>
        <w:jc w:val="both"/>
        <w:rPr>
          <w:rFonts w:ascii="Verdana" w:hAnsi="Verdana" w:cstheme="minorHAnsi"/>
          <w:sz w:val="20"/>
          <w:szCs w:val="20"/>
          <w:lang w:val="es-CR"/>
        </w:rPr>
      </w:pPr>
    </w:p>
    <w:p w14:paraId="5CBDEC17" w14:textId="77777777" w:rsidR="000A313F" w:rsidRDefault="001B743D" w:rsidP="000A313F">
      <w:pPr>
        <w:spacing w:after="0" w:line="240" w:lineRule="auto"/>
        <w:jc w:val="both"/>
        <w:rPr>
          <w:rFonts w:ascii="Verdana" w:hAnsi="Verdana"/>
          <w:b/>
          <w:sz w:val="20"/>
          <w:szCs w:val="20"/>
          <w:lang w:val="es-CR"/>
        </w:rPr>
      </w:pPr>
      <w:r w:rsidRPr="001B743D">
        <w:rPr>
          <w:rFonts w:ascii="Verdana" w:hAnsi="Verdana" w:cstheme="minorHAnsi"/>
          <w:sz w:val="20"/>
          <w:szCs w:val="20"/>
          <w:lang w:val="es-CR"/>
        </w:rPr>
        <w:t xml:space="preserve">en </w:t>
      </w:r>
      <w:r w:rsidRPr="001B743D">
        <w:rPr>
          <w:rFonts w:ascii="Verdana" w:hAnsi="Verdana"/>
          <w:sz w:val="20"/>
          <w:szCs w:val="20"/>
          <w:lang w:val="es-CR"/>
        </w:rPr>
        <w:t>ejercicio de sus atribuciones de supervisión del cumplimiento de sus decisiones, de conformidad con los artículos 33, 62.1, 62.3, 65, 67 y 68.1 de la Convención Americana sobre Derechos Humanos, 24, 25 y 30 del Estatuto y 31</w:t>
      </w:r>
      <w:r w:rsidR="000E770D">
        <w:rPr>
          <w:rFonts w:ascii="Verdana" w:hAnsi="Verdana"/>
          <w:sz w:val="20"/>
          <w:szCs w:val="20"/>
          <w:lang w:val="es-CR"/>
        </w:rPr>
        <w:t>.2</w:t>
      </w:r>
      <w:r w:rsidRPr="001B743D">
        <w:rPr>
          <w:rFonts w:ascii="Verdana" w:hAnsi="Verdana"/>
          <w:sz w:val="20"/>
          <w:szCs w:val="20"/>
          <w:lang w:val="es-CR"/>
        </w:rPr>
        <w:t xml:space="preserve"> y 69 del Reglamento,</w:t>
      </w:r>
    </w:p>
    <w:p w14:paraId="7D170BCA" w14:textId="77777777" w:rsidR="00695AB5" w:rsidRDefault="00695AB5" w:rsidP="000A313F">
      <w:pPr>
        <w:spacing w:after="0" w:line="240" w:lineRule="auto"/>
        <w:jc w:val="both"/>
        <w:rPr>
          <w:rFonts w:ascii="Verdana" w:hAnsi="Verdana"/>
          <w:b/>
          <w:sz w:val="20"/>
          <w:szCs w:val="20"/>
          <w:lang w:val="es-CR"/>
        </w:rPr>
      </w:pPr>
    </w:p>
    <w:p w14:paraId="782C31A0" w14:textId="77777777" w:rsidR="001B743D" w:rsidRDefault="001B743D" w:rsidP="000A313F">
      <w:pPr>
        <w:spacing w:after="0" w:line="240" w:lineRule="auto"/>
        <w:jc w:val="both"/>
        <w:rPr>
          <w:rFonts w:ascii="Verdana" w:hAnsi="Verdana"/>
          <w:b/>
          <w:sz w:val="20"/>
          <w:szCs w:val="20"/>
          <w:lang w:val="es-CR"/>
        </w:rPr>
      </w:pPr>
      <w:r>
        <w:rPr>
          <w:rFonts w:ascii="Verdana" w:hAnsi="Verdana"/>
          <w:b/>
          <w:sz w:val="20"/>
          <w:szCs w:val="20"/>
          <w:lang w:val="es-CR"/>
        </w:rPr>
        <w:t>DECLARA QUE:</w:t>
      </w:r>
    </w:p>
    <w:p w14:paraId="5278C108" w14:textId="77777777" w:rsidR="000A313F" w:rsidRDefault="000A313F" w:rsidP="000A313F">
      <w:pPr>
        <w:spacing w:after="0" w:line="240" w:lineRule="auto"/>
        <w:jc w:val="both"/>
        <w:rPr>
          <w:rFonts w:ascii="Verdana" w:hAnsi="Verdana"/>
          <w:b/>
          <w:sz w:val="20"/>
          <w:szCs w:val="20"/>
          <w:lang w:val="es-CR"/>
        </w:rPr>
      </w:pPr>
    </w:p>
    <w:p w14:paraId="7D923E1F" w14:textId="48CEE64B" w:rsidR="001B743D" w:rsidRPr="001B743D" w:rsidRDefault="001B743D" w:rsidP="000A313F">
      <w:pPr>
        <w:pStyle w:val="Prrafodelista"/>
        <w:numPr>
          <w:ilvl w:val="0"/>
          <w:numId w:val="3"/>
        </w:numPr>
        <w:spacing w:after="0" w:line="240" w:lineRule="auto"/>
        <w:ind w:left="0" w:firstLine="0"/>
        <w:jc w:val="both"/>
        <w:rPr>
          <w:rFonts w:ascii="Verdana" w:hAnsi="Verdana" w:cstheme="minorHAnsi"/>
          <w:sz w:val="20"/>
          <w:szCs w:val="20"/>
          <w:lang w:val="es-CR"/>
        </w:rPr>
      </w:pPr>
      <w:r w:rsidRPr="001B743D">
        <w:rPr>
          <w:rFonts w:ascii="Verdana" w:hAnsi="Verdana"/>
          <w:sz w:val="20"/>
          <w:szCs w:val="20"/>
          <w:lang w:val="es-CR"/>
        </w:rPr>
        <w:t xml:space="preserve">El Estado ha incurrido en un grave incumplimiento de su deber de informar sobre la ejecución de la Sentencia emitida el 23 de noviembre de 2011 en el caso </w:t>
      </w:r>
      <w:r w:rsidRPr="0051692D">
        <w:rPr>
          <w:rFonts w:ascii="Verdana" w:hAnsi="Verdana"/>
          <w:i/>
          <w:sz w:val="20"/>
          <w:szCs w:val="20"/>
          <w:lang w:val="es-CR"/>
        </w:rPr>
        <w:t>Fleury y otros Vs</w:t>
      </w:r>
      <w:r w:rsidR="0051692D">
        <w:rPr>
          <w:rFonts w:ascii="Verdana" w:hAnsi="Verdana"/>
          <w:i/>
          <w:sz w:val="20"/>
          <w:szCs w:val="20"/>
          <w:lang w:val="es-CR"/>
        </w:rPr>
        <w:t>.</w:t>
      </w:r>
      <w:r w:rsidRPr="0051692D">
        <w:rPr>
          <w:rFonts w:ascii="Verdana" w:hAnsi="Verdana"/>
          <w:i/>
          <w:sz w:val="20"/>
          <w:szCs w:val="20"/>
          <w:lang w:val="es-CR"/>
        </w:rPr>
        <w:t xml:space="preserve"> Haití</w:t>
      </w:r>
      <w:r w:rsidRPr="001B743D">
        <w:rPr>
          <w:rFonts w:ascii="Verdana" w:hAnsi="Verdana"/>
          <w:sz w:val="20"/>
          <w:szCs w:val="20"/>
          <w:lang w:val="es-CR"/>
        </w:rPr>
        <w:t xml:space="preserve">, en los términos expuestos en el Considerando </w:t>
      </w:r>
      <w:r w:rsidR="00B85C9E">
        <w:rPr>
          <w:rFonts w:ascii="Verdana" w:hAnsi="Verdana"/>
          <w:sz w:val="20"/>
          <w:szCs w:val="20"/>
          <w:lang w:val="es-CR"/>
        </w:rPr>
        <w:fldChar w:fldCharType="begin"/>
      </w:r>
      <w:r w:rsidR="00B85C9E">
        <w:rPr>
          <w:rFonts w:ascii="Verdana" w:hAnsi="Verdana"/>
          <w:sz w:val="20"/>
          <w:szCs w:val="20"/>
          <w:lang w:val="es-CR"/>
        </w:rPr>
        <w:instrText xml:space="preserve"> REF _Ref25566994 \r \h </w:instrText>
      </w:r>
      <w:r w:rsidR="00B85C9E">
        <w:rPr>
          <w:rFonts w:ascii="Verdana" w:hAnsi="Verdana"/>
          <w:sz w:val="20"/>
          <w:szCs w:val="20"/>
          <w:lang w:val="es-CR"/>
        </w:rPr>
      </w:r>
      <w:r w:rsidR="00B85C9E">
        <w:rPr>
          <w:rFonts w:ascii="Verdana" w:hAnsi="Verdana"/>
          <w:sz w:val="20"/>
          <w:szCs w:val="20"/>
          <w:lang w:val="es-CR"/>
        </w:rPr>
        <w:fldChar w:fldCharType="separate"/>
      </w:r>
      <w:r w:rsidR="00521E39">
        <w:rPr>
          <w:rFonts w:ascii="Verdana" w:hAnsi="Verdana"/>
          <w:sz w:val="20"/>
          <w:szCs w:val="20"/>
          <w:lang w:val="es-CR"/>
        </w:rPr>
        <w:t>7</w:t>
      </w:r>
      <w:r w:rsidR="00B85C9E">
        <w:rPr>
          <w:rFonts w:ascii="Verdana" w:hAnsi="Verdana"/>
          <w:sz w:val="20"/>
          <w:szCs w:val="20"/>
          <w:lang w:val="es-CR"/>
        </w:rPr>
        <w:fldChar w:fldCharType="end"/>
      </w:r>
      <w:r w:rsidRPr="001B743D">
        <w:rPr>
          <w:rFonts w:ascii="Verdana" w:hAnsi="Verdana"/>
          <w:sz w:val="20"/>
          <w:szCs w:val="20"/>
          <w:lang w:val="es-CR"/>
        </w:rPr>
        <w:t xml:space="preserve"> de la presente Resolución.</w:t>
      </w:r>
    </w:p>
    <w:p w14:paraId="6E6632E1" w14:textId="77777777" w:rsidR="001B743D" w:rsidRDefault="001B743D" w:rsidP="000A313F">
      <w:pPr>
        <w:pStyle w:val="Prrafodelista"/>
        <w:spacing w:after="0" w:line="240" w:lineRule="auto"/>
        <w:ind w:left="0"/>
        <w:jc w:val="both"/>
        <w:rPr>
          <w:rFonts w:ascii="Verdana" w:hAnsi="Verdana" w:cstheme="minorHAnsi"/>
          <w:sz w:val="20"/>
          <w:szCs w:val="20"/>
          <w:lang w:val="es-CR"/>
        </w:rPr>
      </w:pPr>
    </w:p>
    <w:p w14:paraId="61BAD93F" w14:textId="77777777" w:rsidR="001B743D" w:rsidRPr="001B743D" w:rsidRDefault="001B743D" w:rsidP="000A313F">
      <w:pPr>
        <w:pStyle w:val="Prrafodelista"/>
        <w:numPr>
          <w:ilvl w:val="0"/>
          <w:numId w:val="3"/>
        </w:numPr>
        <w:spacing w:after="0" w:line="240" w:lineRule="auto"/>
        <w:ind w:left="0" w:firstLine="0"/>
        <w:jc w:val="both"/>
        <w:rPr>
          <w:rFonts w:ascii="Verdana" w:hAnsi="Verdana" w:cstheme="minorHAnsi"/>
          <w:sz w:val="20"/>
          <w:szCs w:val="20"/>
          <w:lang w:val="es-CR"/>
        </w:rPr>
      </w:pPr>
      <w:r w:rsidRPr="001B743D">
        <w:rPr>
          <w:rFonts w:ascii="Verdana" w:hAnsi="Verdana"/>
          <w:sz w:val="20"/>
          <w:szCs w:val="20"/>
          <w:lang w:val="es-CR"/>
        </w:rPr>
        <w:t xml:space="preserve">El Estado no ha dado cumplimiento a ninguna de las reparaciones ordenadas en la Sentencia: </w:t>
      </w:r>
    </w:p>
    <w:p w14:paraId="582D3B4C" w14:textId="77777777" w:rsidR="001B743D" w:rsidRPr="001B743D" w:rsidRDefault="001B743D" w:rsidP="000A313F">
      <w:pPr>
        <w:pStyle w:val="Prrafodelista"/>
        <w:spacing w:after="0" w:line="240" w:lineRule="auto"/>
        <w:rPr>
          <w:rFonts w:ascii="Verdana" w:hAnsi="Verdana"/>
          <w:sz w:val="20"/>
          <w:szCs w:val="20"/>
          <w:lang w:val="es-CR"/>
        </w:rPr>
      </w:pPr>
    </w:p>
    <w:p w14:paraId="5A48C4A6" w14:textId="77777777" w:rsidR="001B743D" w:rsidRPr="001B743D" w:rsidRDefault="001B743D" w:rsidP="000A313F">
      <w:pPr>
        <w:pStyle w:val="Prrafodelista"/>
        <w:spacing w:after="0" w:line="240" w:lineRule="auto"/>
        <w:jc w:val="both"/>
        <w:rPr>
          <w:rFonts w:ascii="Verdana" w:hAnsi="Verdana"/>
          <w:sz w:val="18"/>
          <w:szCs w:val="20"/>
          <w:lang w:val="es-CR"/>
        </w:rPr>
      </w:pPr>
      <w:r w:rsidRPr="001B743D">
        <w:rPr>
          <w:rFonts w:ascii="Verdana" w:hAnsi="Verdana"/>
          <w:sz w:val="18"/>
          <w:szCs w:val="20"/>
          <w:lang w:val="es-CR"/>
        </w:rPr>
        <w:t xml:space="preserve">a) iniciar, dirigir y concluir las investigaciones y procesos necesarios, en un plazo razonable, con el fin de establecer la verdad de los hechos, así como de determinar y, en su caso, sancionar a </w:t>
      </w:r>
      <w:r w:rsidRPr="001B743D">
        <w:rPr>
          <w:rFonts w:ascii="Verdana" w:hAnsi="Verdana"/>
          <w:sz w:val="18"/>
          <w:szCs w:val="20"/>
          <w:lang w:val="es-CR"/>
        </w:rPr>
        <w:lastRenderedPageBreak/>
        <w:t xml:space="preserve">todos los responsables de lo sucedido a Lysias Fleury </w:t>
      </w:r>
      <w:r w:rsidRPr="00161293">
        <w:rPr>
          <w:rFonts w:ascii="Verdana" w:hAnsi="Verdana"/>
          <w:i/>
          <w:sz w:val="18"/>
          <w:szCs w:val="20"/>
          <w:lang w:val="es-CR"/>
        </w:rPr>
        <w:t>(punto resolutivo segundo de la Sentencia)</w:t>
      </w:r>
      <w:r w:rsidRPr="001B743D">
        <w:rPr>
          <w:rFonts w:ascii="Verdana" w:hAnsi="Verdana"/>
          <w:sz w:val="18"/>
          <w:szCs w:val="20"/>
          <w:lang w:val="es-CR"/>
        </w:rPr>
        <w:t xml:space="preserve">; </w:t>
      </w:r>
    </w:p>
    <w:p w14:paraId="34ACFFAE" w14:textId="77777777" w:rsidR="000A313F" w:rsidRDefault="000A313F" w:rsidP="000A313F">
      <w:pPr>
        <w:pStyle w:val="Prrafodelista"/>
        <w:spacing w:after="0" w:line="240" w:lineRule="auto"/>
        <w:jc w:val="both"/>
        <w:rPr>
          <w:rFonts w:ascii="Verdana" w:hAnsi="Verdana"/>
          <w:sz w:val="18"/>
          <w:szCs w:val="20"/>
          <w:lang w:val="es-CR"/>
        </w:rPr>
      </w:pPr>
    </w:p>
    <w:p w14:paraId="6BD974D9" w14:textId="77777777" w:rsidR="001B743D" w:rsidRPr="001B743D" w:rsidRDefault="001B743D" w:rsidP="000A313F">
      <w:pPr>
        <w:pStyle w:val="Prrafodelista"/>
        <w:spacing w:after="0" w:line="240" w:lineRule="auto"/>
        <w:jc w:val="both"/>
        <w:rPr>
          <w:rFonts w:ascii="Verdana" w:hAnsi="Verdana"/>
          <w:sz w:val="18"/>
          <w:szCs w:val="20"/>
          <w:lang w:val="es-CR"/>
        </w:rPr>
      </w:pPr>
      <w:r w:rsidRPr="001B743D">
        <w:rPr>
          <w:rFonts w:ascii="Verdana" w:hAnsi="Verdana"/>
          <w:sz w:val="18"/>
          <w:szCs w:val="20"/>
          <w:lang w:val="es-CR"/>
        </w:rPr>
        <w:t xml:space="preserve">b) implementar, en un plazo razonable, un programa o curso obligatorio permanente sobre derechos humanos dirigido a los funcionarios de todos los niveles jerárquicos de la Policía Nacional de Haití, y a los operadores judiciales de Haití </w:t>
      </w:r>
      <w:r w:rsidRPr="00161293">
        <w:rPr>
          <w:rFonts w:ascii="Verdana" w:hAnsi="Verdana"/>
          <w:i/>
          <w:sz w:val="18"/>
          <w:szCs w:val="20"/>
          <w:lang w:val="es-CR"/>
        </w:rPr>
        <w:t>(punto resolutivo tercero de la Sentencia)</w:t>
      </w:r>
      <w:r w:rsidRPr="001B743D">
        <w:rPr>
          <w:rFonts w:ascii="Verdana" w:hAnsi="Verdana"/>
          <w:sz w:val="18"/>
          <w:szCs w:val="20"/>
          <w:lang w:val="es-CR"/>
        </w:rPr>
        <w:t xml:space="preserve">; </w:t>
      </w:r>
    </w:p>
    <w:p w14:paraId="1064A358" w14:textId="77777777" w:rsidR="000A313F" w:rsidRDefault="000A313F" w:rsidP="000A313F">
      <w:pPr>
        <w:pStyle w:val="Prrafodelista"/>
        <w:spacing w:after="0" w:line="240" w:lineRule="auto"/>
        <w:jc w:val="both"/>
        <w:rPr>
          <w:rFonts w:ascii="Verdana" w:hAnsi="Verdana"/>
          <w:sz w:val="18"/>
          <w:szCs w:val="20"/>
          <w:lang w:val="es-CR"/>
        </w:rPr>
      </w:pPr>
    </w:p>
    <w:p w14:paraId="7FDB19D7" w14:textId="77777777" w:rsidR="001B743D" w:rsidRPr="001B743D" w:rsidRDefault="001B743D" w:rsidP="000A313F">
      <w:pPr>
        <w:pStyle w:val="Prrafodelista"/>
        <w:spacing w:after="0" w:line="240" w:lineRule="auto"/>
        <w:jc w:val="both"/>
        <w:rPr>
          <w:rFonts w:ascii="Verdana" w:hAnsi="Verdana"/>
          <w:sz w:val="18"/>
          <w:szCs w:val="20"/>
          <w:lang w:val="es-CR"/>
        </w:rPr>
      </w:pPr>
      <w:r w:rsidRPr="001B743D">
        <w:rPr>
          <w:rFonts w:ascii="Verdana" w:hAnsi="Verdana"/>
          <w:sz w:val="18"/>
          <w:szCs w:val="20"/>
          <w:lang w:val="es-CR"/>
        </w:rPr>
        <w:t xml:space="preserve">c) realizar los pagos de las cantidades establecidas en la Sentencia por concepto de daño material, inmaterial y reintegro de costas y gastos </w:t>
      </w:r>
      <w:r w:rsidRPr="00161293">
        <w:rPr>
          <w:rFonts w:ascii="Verdana" w:hAnsi="Verdana"/>
          <w:i/>
          <w:sz w:val="18"/>
          <w:szCs w:val="20"/>
          <w:lang w:val="es-CR"/>
        </w:rPr>
        <w:t>(punto resolutivo cuarto de la Sentencia)</w:t>
      </w:r>
      <w:r w:rsidRPr="001B743D">
        <w:rPr>
          <w:rFonts w:ascii="Verdana" w:hAnsi="Verdana"/>
          <w:sz w:val="18"/>
          <w:szCs w:val="20"/>
          <w:lang w:val="es-CR"/>
        </w:rPr>
        <w:t xml:space="preserve">, y </w:t>
      </w:r>
    </w:p>
    <w:p w14:paraId="137B5A20" w14:textId="77777777" w:rsidR="000A313F" w:rsidRDefault="000A313F" w:rsidP="000A313F">
      <w:pPr>
        <w:pStyle w:val="Prrafodelista"/>
        <w:spacing w:after="0" w:line="240" w:lineRule="auto"/>
        <w:jc w:val="both"/>
        <w:rPr>
          <w:rFonts w:ascii="Verdana" w:hAnsi="Verdana"/>
          <w:sz w:val="18"/>
          <w:szCs w:val="20"/>
          <w:lang w:val="es-CR"/>
        </w:rPr>
      </w:pPr>
    </w:p>
    <w:p w14:paraId="7E3D2B67" w14:textId="77777777" w:rsidR="001B743D" w:rsidRDefault="001B743D" w:rsidP="000A313F">
      <w:pPr>
        <w:pStyle w:val="Prrafodelista"/>
        <w:spacing w:after="0" w:line="240" w:lineRule="auto"/>
        <w:jc w:val="both"/>
        <w:rPr>
          <w:rFonts w:ascii="Verdana" w:hAnsi="Verdana"/>
          <w:sz w:val="18"/>
          <w:szCs w:val="20"/>
          <w:lang w:val="es-CR"/>
        </w:rPr>
      </w:pPr>
      <w:r w:rsidRPr="001B743D">
        <w:rPr>
          <w:rFonts w:ascii="Verdana" w:hAnsi="Verdana"/>
          <w:sz w:val="18"/>
          <w:szCs w:val="20"/>
          <w:lang w:val="es-CR"/>
        </w:rPr>
        <w:t xml:space="preserve">d) realizar las publicaciones de la Sentencia dispuestas en la misma </w:t>
      </w:r>
      <w:r w:rsidRPr="00161293">
        <w:rPr>
          <w:rFonts w:ascii="Verdana" w:hAnsi="Verdana"/>
          <w:i/>
          <w:sz w:val="18"/>
          <w:szCs w:val="20"/>
          <w:lang w:val="es-CR"/>
        </w:rPr>
        <w:t>(punto resolutivo quinto de la Sentencia)</w:t>
      </w:r>
      <w:r w:rsidRPr="001B743D">
        <w:rPr>
          <w:rFonts w:ascii="Verdana" w:hAnsi="Verdana"/>
          <w:sz w:val="18"/>
          <w:szCs w:val="20"/>
          <w:lang w:val="es-CR"/>
        </w:rPr>
        <w:t>.</w:t>
      </w:r>
    </w:p>
    <w:p w14:paraId="0BB70DF3" w14:textId="77777777" w:rsidR="000A313F" w:rsidRDefault="000A313F" w:rsidP="000A313F">
      <w:pPr>
        <w:spacing w:after="0" w:line="240" w:lineRule="auto"/>
        <w:jc w:val="both"/>
        <w:rPr>
          <w:rFonts w:ascii="Verdana" w:hAnsi="Verdana"/>
          <w:b/>
          <w:sz w:val="20"/>
          <w:szCs w:val="20"/>
          <w:lang w:val="es-CR"/>
        </w:rPr>
      </w:pPr>
    </w:p>
    <w:p w14:paraId="089EDCC0" w14:textId="77777777" w:rsidR="00695AB5" w:rsidRDefault="00695AB5" w:rsidP="000A313F">
      <w:pPr>
        <w:spacing w:after="0" w:line="240" w:lineRule="auto"/>
        <w:jc w:val="both"/>
        <w:rPr>
          <w:rFonts w:ascii="Verdana" w:hAnsi="Verdana"/>
          <w:b/>
          <w:sz w:val="20"/>
          <w:szCs w:val="20"/>
          <w:lang w:val="es-CR"/>
        </w:rPr>
      </w:pPr>
    </w:p>
    <w:p w14:paraId="51877170" w14:textId="77777777" w:rsidR="001B743D" w:rsidRDefault="001B743D" w:rsidP="000A313F">
      <w:pPr>
        <w:spacing w:after="0" w:line="240" w:lineRule="auto"/>
        <w:jc w:val="both"/>
        <w:rPr>
          <w:rFonts w:ascii="Verdana" w:hAnsi="Verdana"/>
          <w:b/>
          <w:sz w:val="20"/>
          <w:szCs w:val="20"/>
          <w:lang w:val="es-CR"/>
        </w:rPr>
      </w:pPr>
      <w:r>
        <w:rPr>
          <w:rFonts w:ascii="Verdana" w:hAnsi="Verdana"/>
          <w:b/>
          <w:sz w:val="20"/>
          <w:szCs w:val="20"/>
          <w:lang w:val="es-CR"/>
        </w:rPr>
        <w:t>Y RESUELVE:</w:t>
      </w:r>
    </w:p>
    <w:p w14:paraId="5417BEA9" w14:textId="77777777" w:rsidR="000A313F" w:rsidRDefault="000A313F" w:rsidP="000A313F">
      <w:pPr>
        <w:spacing w:after="0" w:line="240" w:lineRule="auto"/>
        <w:jc w:val="both"/>
        <w:rPr>
          <w:rFonts w:ascii="Verdana" w:hAnsi="Verdana"/>
          <w:b/>
          <w:sz w:val="20"/>
          <w:szCs w:val="20"/>
          <w:lang w:val="es-CR"/>
        </w:rPr>
      </w:pPr>
    </w:p>
    <w:p w14:paraId="2DFA4598" w14:textId="77777777" w:rsidR="00A94AAE" w:rsidRPr="00A94AAE" w:rsidRDefault="00A94AAE" w:rsidP="000A313F">
      <w:pPr>
        <w:pStyle w:val="Prrafodelista"/>
        <w:numPr>
          <w:ilvl w:val="0"/>
          <w:numId w:val="3"/>
        </w:numPr>
        <w:spacing w:after="0" w:line="240" w:lineRule="auto"/>
        <w:ind w:left="0" w:firstLine="0"/>
        <w:jc w:val="both"/>
        <w:rPr>
          <w:rFonts w:ascii="Verdana" w:hAnsi="Verdana"/>
          <w:sz w:val="20"/>
          <w:szCs w:val="20"/>
          <w:lang w:val="es-CR"/>
        </w:rPr>
      </w:pPr>
      <w:r w:rsidRPr="00A94AAE">
        <w:rPr>
          <w:rFonts w:ascii="Verdana" w:hAnsi="Verdana"/>
          <w:sz w:val="20"/>
          <w:szCs w:val="20"/>
          <w:lang w:val="es-CR"/>
        </w:rPr>
        <w:t xml:space="preserve">Expresar su preocupación por el incumplimiento estatal del deber de informar sobre el cumplimiento de la </w:t>
      </w:r>
      <w:r w:rsidR="00017FB2">
        <w:rPr>
          <w:rFonts w:ascii="Verdana" w:hAnsi="Verdana"/>
          <w:sz w:val="20"/>
          <w:szCs w:val="20"/>
          <w:lang w:val="es-CR"/>
        </w:rPr>
        <w:t>S</w:t>
      </w:r>
      <w:r w:rsidRPr="00A94AAE">
        <w:rPr>
          <w:rFonts w:ascii="Verdana" w:hAnsi="Verdana"/>
          <w:sz w:val="20"/>
          <w:szCs w:val="20"/>
          <w:lang w:val="es-CR"/>
        </w:rPr>
        <w:t xml:space="preserve">entencia y por la falta de avances en el cumplimiento de las reparaciones ordenadas en la misma. </w:t>
      </w:r>
    </w:p>
    <w:p w14:paraId="754C96C8" w14:textId="77777777" w:rsidR="00A94AAE" w:rsidRPr="00A94AAE" w:rsidRDefault="00A94AAE" w:rsidP="00A94AAE">
      <w:pPr>
        <w:pStyle w:val="Prrafodelista"/>
        <w:spacing w:after="0" w:line="240" w:lineRule="auto"/>
        <w:ind w:left="0"/>
        <w:jc w:val="both"/>
        <w:rPr>
          <w:rFonts w:ascii="Verdana" w:hAnsi="Verdana"/>
          <w:sz w:val="20"/>
          <w:szCs w:val="20"/>
          <w:lang w:val="es-CR"/>
        </w:rPr>
      </w:pPr>
    </w:p>
    <w:p w14:paraId="16416A33" w14:textId="77777777" w:rsidR="001B743D" w:rsidRDefault="001B743D" w:rsidP="000A313F">
      <w:pPr>
        <w:pStyle w:val="Prrafodelista"/>
        <w:numPr>
          <w:ilvl w:val="0"/>
          <w:numId w:val="3"/>
        </w:numPr>
        <w:spacing w:after="0" w:line="240" w:lineRule="auto"/>
        <w:ind w:left="0" w:firstLine="0"/>
        <w:jc w:val="both"/>
        <w:rPr>
          <w:rFonts w:ascii="Verdana" w:hAnsi="Verdana"/>
          <w:sz w:val="20"/>
          <w:szCs w:val="20"/>
          <w:lang w:val="es-CR"/>
        </w:rPr>
      </w:pPr>
      <w:r w:rsidRPr="00A94AAE">
        <w:rPr>
          <w:rFonts w:ascii="Verdana" w:hAnsi="Verdana"/>
          <w:sz w:val="20"/>
          <w:szCs w:val="20"/>
          <w:lang w:val="es-CR"/>
        </w:rPr>
        <w:t>Mantener abierto el procedimiento de supervisión de cumplimiento respecto de todas las medidas de reparación ordenadas en la Sentencia</w:t>
      </w:r>
      <w:r w:rsidR="00EF23B4">
        <w:rPr>
          <w:rFonts w:ascii="Verdana" w:hAnsi="Verdana"/>
          <w:sz w:val="20"/>
          <w:szCs w:val="20"/>
          <w:lang w:val="es-CR"/>
        </w:rPr>
        <w:t>.</w:t>
      </w:r>
      <w:r w:rsidRPr="0051692D">
        <w:rPr>
          <w:rFonts w:ascii="Verdana" w:hAnsi="Verdana"/>
          <w:sz w:val="20"/>
          <w:szCs w:val="20"/>
          <w:lang w:val="es-CR"/>
        </w:rPr>
        <w:t xml:space="preserve"> </w:t>
      </w:r>
    </w:p>
    <w:p w14:paraId="6693DD99" w14:textId="77777777" w:rsidR="0051692D" w:rsidRPr="0051692D" w:rsidRDefault="0051692D" w:rsidP="000A313F">
      <w:pPr>
        <w:pStyle w:val="Prrafodelista"/>
        <w:spacing w:after="0" w:line="240" w:lineRule="auto"/>
        <w:ind w:left="0"/>
        <w:jc w:val="both"/>
        <w:rPr>
          <w:rFonts w:ascii="Verdana" w:hAnsi="Verdana"/>
          <w:sz w:val="20"/>
          <w:szCs w:val="20"/>
          <w:lang w:val="es-CR"/>
        </w:rPr>
      </w:pPr>
    </w:p>
    <w:p w14:paraId="51A923D4" w14:textId="77777777" w:rsidR="001B743D" w:rsidRDefault="001B743D" w:rsidP="000A313F">
      <w:pPr>
        <w:pStyle w:val="Prrafodelista"/>
        <w:numPr>
          <w:ilvl w:val="0"/>
          <w:numId w:val="3"/>
        </w:numPr>
        <w:spacing w:after="0" w:line="240" w:lineRule="auto"/>
        <w:ind w:left="0" w:firstLine="0"/>
        <w:jc w:val="both"/>
        <w:rPr>
          <w:rFonts w:ascii="Verdana" w:hAnsi="Verdana"/>
          <w:sz w:val="20"/>
          <w:szCs w:val="20"/>
          <w:lang w:val="es-CR"/>
        </w:rPr>
      </w:pPr>
      <w:r w:rsidRPr="0051692D">
        <w:rPr>
          <w:rFonts w:ascii="Verdana" w:hAnsi="Verdana"/>
          <w:sz w:val="20"/>
          <w:szCs w:val="20"/>
          <w:lang w:val="es-CR"/>
        </w:rPr>
        <w:t xml:space="preserve">Disponer que Haití adopte, en definitiva y a la mayor brevedad posible, las medidas que sean necesarias para dar efectivo y pronto cumplimiento a las reparaciones ordenadas en la Sentencia, de acuerdo con lo considerado en la presente Resolución, y con lo estipulado en el artículo 68.1 de la Convención Americana sobre Derechos Humanos. </w:t>
      </w:r>
    </w:p>
    <w:p w14:paraId="60D04F69" w14:textId="77777777" w:rsidR="0051692D" w:rsidRPr="0051692D" w:rsidRDefault="0051692D" w:rsidP="000A313F">
      <w:pPr>
        <w:pStyle w:val="Prrafodelista"/>
        <w:spacing w:after="0" w:line="240" w:lineRule="auto"/>
        <w:ind w:left="0"/>
        <w:jc w:val="both"/>
        <w:rPr>
          <w:rFonts w:ascii="Verdana" w:hAnsi="Verdana"/>
          <w:sz w:val="20"/>
          <w:szCs w:val="20"/>
          <w:lang w:val="es-CR"/>
        </w:rPr>
      </w:pPr>
    </w:p>
    <w:p w14:paraId="32834F5B" w14:textId="77777777" w:rsidR="0051692D" w:rsidRDefault="001B743D" w:rsidP="000A313F">
      <w:pPr>
        <w:pStyle w:val="Prrafodelista"/>
        <w:numPr>
          <w:ilvl w:val="0"/>
          <w:numId w:val="3"/>
        </w:numPr>
        <w:spacing w:after="0" w:line="240" w:lineRule="auto"/>
        <w:ind w:left="0" w:firstLine="0"/>
        <w:jc w:val="both"/>
        <w:rPr>
          <w:rFonts w:ascii="Verdana" w:hAnsi="Verdana"/>
          <w:sz w:val="20"/>
          <w:szCs w:val="20"/>
          <w:lang w:val="es-CR"/>
        </w:rPr>
      </w:pPr>
      <w:r w:rsidRPr="0051692D">
        <w:rPr>
          <w:rFonts w:ascii="Verdana" w:hAnsi="Verdana"/>
          <w:sz w:val="20"/>
          <w:szCs w:val="20"/>
          <w:lang w:val="es-CR"/>
        </w:rPr>
        <w:t>Incorporar en el próximo Informe Anual de la Corte Interamericana de Derechos Humanos lo decidido en la presente Resolución con el fin de informar a la Asamblea General de la Organización de los Estados Americanos, en aplicación del artículo 65 de la Convención Americana sobre Derechos Humanos, sobre el incumplimiento por parte del Estado de Haití de sus obligaciones señaladas en los puntos resolutivos 1 y 2 de la presente Resolución.</w:t>
      </w:r>
    </w:p>
    <w:p w14:paraId="72881239" w14:textId="77777777" w:rsidR="0051692D" w:rsidRPr="0051692D" w:rsidRDefault="001B743D" w:rsidP="000A313F">
      <w:pPr>
        <w:pStyle w:val="Prrafodelista"/>
        <w:spacing w:after="0" w:line="240" w:lineRule="auto"/>
        <w:ind w:left="0"/>
        <w:jc w:val="both"/>
        <w:rPr>
          <w:rFonts w:ascii="Verdana" w:hAnsi="Verdana"/>
          <w:sz w:val="20"/>
          <w:szCs w:val="20"/>
          <w:lang w:val="es-CR"/>
        </w:rPr>
      </w:pPr>
      <w:r w:rsidRPr="0051692D">
        <w:rPr>
          <w:rFonts w:ascii="Verdana" w:hAnsi="Verdana"/>
          <w:sz w:val="20"/>
          <w:szCs w:val="20"/>
          <w:lang w:val="es-CR"/>
        </w:rPr>
        <w:t xml:space="preserve"> </w:t>
      </w:r>
    </w:p>
    <w:p w14:paraId="69300F70" w14:textId="77777777" w:rsidR="00AA00FC" w:rsidRDefault="001B743D" w:rsidP="000A313F">
      <w:pPr>
        <w:pStyle w:val="Prrafodelista"/>
        <w:numPr>
          <w:ilvl w:val="0"/>
          <w:numId w:val="3"/>
        </w:numPr>
        <w:spacing w:after="0" w:line="240" w:lineRule="auto"/>
        <w:ind w:left="0" w:firstLine="0"/>
        <w:jc w:val="both"/>
        <w:rPr>
          <w:rFonts w:ascii="Verdana" w:hAnsi="Verdana"/>
          <w:sz w:val="20"/>
          <w:szCs w:val="20"/>
          <w:lang w:val="es-CR"/>
        </w:rPr>
      </w:pPr>
      <w:r w:rsidRPr="0051692D">
        <w:rPr>
          <w:rFonts w:ascii="Verdana" w:hAnsi="Verdana"/>
          <w:sz w:val="20"/>
          <w:szCs w:val="20"/>
          <w:lang w:val="es-CR"/>
        </w:rPr>
        <w:t>Disponer que la Secretaría de la Corte notifique la presente Resolución al Estado, a los representantes de las víctimas y a la Comisión Interamericana de Derechos Humanos.</w:t>
      </w:r>
    </w:p>
    <w:p w14:paraId="73CD29E7" w14:textId="77777777" w:rsidR="00AA00FC" w:rsidRDefault="00AA00FC">
      <w:pPr>
        <w:rPr>
          <w:rFonts w:ascii="Verdana" w:hAnsi="Verdana"/>
          <w:sz w:val="20"/>
          <w:szCs w:val="20"/>
          <w:lang w:val="es-CR"/>
        </w:rPr>
      </w:pPr>
      <w:r>
        <w:rPr>
          <w:rFonts w:ascii="Verdana" w:hAnsi="Verdana"/>
          <w:sz w:val="20"/>
          <w:szCs w:val="20"/>
          <w:lang w:val="es-CR"/>
        </w:rPr>
        <w:br w:type="page"/>
      </w:r>
    </w:p>
    <w:p w14:paraId="20CD8A8A" w14:textId="77777777" w:rsidR="00551F46" w:rsidRPr="00847B73" w:rsidRDefault="00551F46" w:rsidP="00551F46">
      <w:pPr>
        <w:keepNext/>
        <w:spacing w:after="0" w:line="240" w:lineRule="auto"/>
        <w:jc w:val="both"/>
        <w:outlineLvl w:val="0"/>
        <w:rPr>
          <w:rFonts w:ascii="Verdana" w:hAnsi="Verdana" w:cs="Verdana"/>
          <w:b/>
          <w:bCs/>
          <w:sz w:val="20"/>
          <w:lang w:val="es-ES"/>
        </w:rPr>
      </w:pPr>
      <w:r w:rsidRPr="00847B73">
        <w:rPr>
          <w:rFonts w:ascii="Verdana" w:hAnsi="Verdana" w:cs="Courier New"/>
          <w:noProof/>
          <w:sz w:val="20"/>
          <w:lang w:val="es-AR"/>
        </w:rPr>
        <w:lastRenderedPageBreak/>
        <w:t xml:space="preserve">Corte IDH. </w:t>
      </w:r>
      <w:r w:rsidRPr="00847B73">
        <w:rPr>
          <w:rFonts w:ascii="Verdana" w:hAnsi="Verdana"/>
          <w:bCs/>
          <w:i/>
          <w:sz w:val="20"/>
          <w:lang w:val="es-CR"/>
        </w:rPr>
        <w:t xml:space="preserve">Caso </w:t>
      </w:r>
      <w:proofErr w:type="spellStart"/>
      <w:r>
        <w:rPr>
          <w:rFonts w:ascii="Verdana" w:hAnsi="Verdana"/>
          <w:bCs/>
          <w:i/>
          <w:sz w:val="20"/>
          <w:lang w:val="es-CR"/>
        </w:rPr>
        <w:t>Fleury</w:t>
      </w:r>
      <w:proofErr w:type="spellEnd"/>
      <w:r>
        <w:rPr>
          <w:rFonts w:ascii="Verdana" w:hAnsi="Verdana"/>
          <w:bCs/>
          <w:i/>
          <w:sz w:val="20"/>
          <w:lang w:val="es-CR"/>
        </w:rPr>
        <w:t xml:space="preserve"> y otros Vs. Haití.</w:t>
      </w:r>
      <w:r w:rsidRPr="00847B73">
        <w:rPr>
          <w:rFonts w:ascii="Verdana" w:hAnsi="Verdana"/>
          <w:bCs/>
          <w:i/>
          <w:sz w:val="20"/>
          <w:lang w:val="es-CR"/>
        </w:rPr>
        <w:t xml:space="preserve"> </w:t>
      </w:r>
      <w:r>
        <w:rPr>
          <w:rFonts w:ascii="Verdana" w:hAnsi="Verdana" w:cs="Arial"/>
          <w:sz w:val="20"/>
          <w:lang w:val="es-CR"/>
        </w:rPr>
        <w:t>Supervisión de Cumplimiento de Sentencia.</w:t>
      </w:r>
      <w:r>
        <w:rPr>
          <w:rFonts w:ascii="Verdana" w:hAnsi="Verdana" w:cs="Arial"/>
          <w:i/>
          <w:sz w:val="20"/>
          <w:lang w:val="es-CR"/>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22</w:t>
      </w:r>
      <w:r w:rsidRPr="00847B73">
        <w:rPr>
          <w:rFonts w:ascii="Verdana" w:hAnsi="Verdana"/>
          <w:sz w:val="20"/>
          <w:lang w:val="es-CR"/>
        </w:rPr>
        <w:t xml:space="preserve"> de </w:t>
      </w:r>
      <w:r>
        <w:rPr>
          <w:rFonts w:ascii="Verdana" w:hAnsi="Verdana"/>
          <w:sz w:val="20"/>
          <w:lang w:val="es-CR"/>
        </w:rPr>
        <w:t xml:space="preserve">noviembre </w:t>
      </w:r>
      <w:r w:rsidRPr="00847B73">
        <w:rPr>
          <w:rFonts w:ascii="Verdana" w:hAnsi="Verdana"/>
          <w:sz w:val="20"/>
          <w:lang w:val="es-CR"/>
        </w:rPr>
        <w:t>de 2019</w:t>
      </w:r>
      <w:r w:rsidRPr="00847B73">
        <w:rPr>
          <w:rFonts w:ascii="Verdana" w:hAnsi="Verdana"/>
          <w:sz w:val="20"/>
          <w:lang w:val="es-ES"/>
        </w:rPr>
        <w:t xml:space="preserve">. </w:t>
      </w:r>
    </w:p>
    <w:p w14:paraId="0848A149" w14:textId="77777777" w:rsidR="00551F46" w:rsidRPr="00847B73" w:rsidRDefault="00551F46" w:rsidP="00551F46">
      <w:pPr>
        <w:spacing w:after="0" w:line="240" w:lineRule="auto"/>
        <w:jc w:val="center"/>
        <w:rPr>
          <w:rFonts w:ascii="Verdana" w:hAnsi="Verdana"/>
          <w:sz w:val="20"/>
          <w:lang w:val="es-ES"/>
        </w:rPr>
      </w:pPr>
    </w:p>
    <w:p w14:paraId="65601621" w14:textId="77777777" w:rsidR="00551F46" w:rsidRPr="00847B73" w:rsidRDefault="00551F46" w:rsidP="00551F46">
      <w:pPr>
        <w:spacing w:after="0" w:line="240" w:lineRule="auto"/>
        <w:jc w:val="center"/>
        <w:rPr>
          <w:rFonts w:ascii="Verdana" w:hAnsi="Verdana"/>
          <w:sz w:val="20"/>
          <w:lang w:val="es-ES"/>
        </w:rPr>
      </w:pPr>
    </w:p>
    <w:p w14:paraId="323DDB10" w14:textId="77777777" w:rsidR="00551F46" w:rsidRPr="00826239" w:rsidRDefault="00551F46" w:rsidP="00551F46">
      <w:pPr>
        <w:tabs>
          <w:tab w:val="left" w:pos="567"/>
        </w:tabs>
        <w:spacing w:after="0" w:line="240" w:lineRule="auto"/>
        <w:ind w:right="4"/>
        <w:jc w:val="center"/>
        <w:rPr>
          <w:rFonts w:ascii="Verdana" w:hAnsi="Verdana"/>
          <w:b/>
          <w:smallCaps/>
          <w:sz w:val="20"/>
          <w:lang w:val="es-CO"/>
        </w:rPr>
      </w:pPr>
    </w:p>
    <w:p w14:paraId="0A09BDF2" w14:textId="77777777" w:rsidR="00551F46" w:rsidRPr="00D31312" w:rsidRDefault="00551F46" w:rsidP="00551F46">
      <w:pPr>
        <w:spacing w:after="0" w:line="240" w:lineRule="auto"/>
        <w:rPr>
          <w:rFonts w:ascii="Verdana" w:hAnsi="Verdana"/>
          <w:sz w:val="20"/>
          <w:lang w:val="es-CO"/>
        </w:rPr>
      </w:pPr>
    </w:p>
    <w:p w14:paraId="32C8AB2E" w14:textId="77777777" w:rsidR="00551F46" w:rsidRPr="00847B73" w:rsidRDefault="00551F46" w:rsidP="00551F46">
      <w:pPr>
        <w:spacing w:after="0" w:line="240" w:lineRule="auto"/>
        <w:rPr>
          <w:rFonts w:ascii="Verdana" w:hAnsi="Verdana"/>
          <w:sz w:val="20"/>
          <w:lang w:val="es-ES"/>
        </w:rPr>
      </w:pPr>
    </w:p>
    <w:p w14:paraId="575BDB60" w14:textId="77777777" w:rsidR="00551F46" w:rsidRPr="00847B73" w:rsidRDefault="00551F46" w:rsidP="00551F46">
      <w:pPr>
        <w:spacing w:after="0" w:line="240" w:lineRule="auto"/>
        <w:rPr>
          <w:rFonts w:ascii="Verdana" w:hAnsi="Verdana"/>
          <w:sz w:val="20"/>
          <w:lang w:val="es-ES"/>
        </w:rPr>
      </w:pPr>
    </w:p>
    <w:p w14:paraId="79FBDFA4" w14:textId="77777777" w:rsidR="00551F46" w:rsidRPr="00847B73" w:rsidRDefault="00551F46" w:rsidP="00551F46">
      <w:pPr>
        <w:spacing w:after="0" w:line="240" w:lineRule="auto"/>
        <w:jc w:val="center"/>
        <w:rPr>
          <w:rFonts w:ascii="Verdana" w:hAnsi="Verdana"/>
          <w:sz w:val="20"/>
          <w:lang w:val="pt-BR"/>
        </w:rPr>
      </w:pPr>
      <w:r w:rsidRPr="00847B73">
        <w:rPr>
          <w:rFonts w:ascii="Verdana" w:hAnsi="Verdana"/>
          <w:sz w:val="20"/>
          <w:lang w:val="pt-BR"/>
        </w:rPr>
        <w:t xml:space="preserve">Eduardo Ferrer Mac-Gregor Poisot </w:t>
      </w:r>
    </w:p>
    <w:p w14:paraId="4EBF9AC0" w14:textId="77777777" w:rsidR="00551F46" w:rsidRPr="00847B73" w:rsidRDefault="00551F46" w:rsidP="00551F46">
      <w:pPr>
        <w:spacing w:after="0" w:line="240" w:lineRule="auto"/>
        <w:jc w:val="center"/>
        <w:rPr>
          <w:rFonts w:ascii="Verdana" w:hAnsi="Verdana"/>
          <w:sz w:val="20"/>
          <w:lang w:val="pt-BR"/>
        </w:rPr>
      </w:pPr>
      <w:r w:rsidRPr="00847B73">
        <w:rPr>
          <w:rFonts w:ascii="Verdana" w:hAnsi="Verdana"/>
          <w:sz w:val="20"/>
          <w:lang w:val="pt-BR"/>
        </w:rPr>
        <w:t>Presidente</w:t>
      </w:r>
    </w:p>
    <w:p w14:paraId="27A0A17A" w14:textId="77777777" w:rsidR="00551F46" w:rsidRPr="00847B73" w:rsidRDefault="00551F46" w:rsidP="00551F46">
      <w:pPr>
        <w:spacing w:after="0" w:line="240" w:lineRule="auto"/>
        <w:jc w:val="both"/>
        <w:rPr>
          <w:rFonts w:ascii="Verdana" w:hAnsi="Verdana"/>
          <w:sz w:val="20"/>
          <w:lang w:val="pt-BR"/>
        </w:rPr>
      </w:pPr>
    </w:p>
    <w:p w14:paraId="585F841C" w14:textId="77777777" w:rsidR="00551F46" w:rsidRPr="00847B73" w:rsidRDefault="00551F46" w:rsidP="00551F46">
      <w:pPr>
        <w:spacing w:after="0" w:line="240" w:lineRule="auto"/>
        <w:jc w:val="both"/>
        <w:rPr>
          <w:rFonts w:ascii="Verdana" w:hAnsi="Verdana"/>
          <w:sz w:val="20"/>
          <w:lang w:val="pt-BR"/>
        </w:rPr>
      </w:pPr>
    </w:p>
    <w:p w14:paraId="635C0840" w14:textId="77777777" w:rsidR="00551F46" w:rsidRPr="00847B73" w:rsidRDefault="00551F46" w:rsidP="00551F46">
      <w:pPr>
        <w:spacing w:after="0" w:line="240" w:lineRule="auto"/>
        <w:jc w:val="both"/>
        <w:rPr>
          <w:rFonts w:ascii="Verdana" w:hAnsi="Verdana"/>
          <w:sz w:val="20"/>
          <w:lang w:val="pt-BR"/>
        </w:rPr>
      </w:pPr>
    </w:p>
    <w:p w14:paraId="5CB57689" w14:textId="77777777" w:rsidR="00551F46" w:rsidRPr="00847B73" w:rsidRDefault="00551F46" w:rsidP="00551F46">
      <w:pPr>
        <w:spacing w:after="0" w:line="240" w:lineRule="auto"/>
        <w:jc w:val="both"/>
        <w:rPr>
          <w:rFonts w:ascii="Verdana" w:hAnsi="Verdana"/>
          <w:sz w:val="20"/>
          <w:lang w:val="pt-BR"/>
        </w:rPr>
      </w:pPr>
    </w:p>
    <w:p w14:paraId="38914634" w14:textId="77777777" w:rsidR="00551F46" w:rsidRDefault="00551F46" w:rsidP="00551F46">
      <w:pPr>
        <w:spacing w:after="0" w:line="240" w:lineRule="auto"/>
        <w:rPr>
          <w:rFonts w:ascii="Verdana" w:hAnsi="Verdana"/>
          <w:sz w:val="20"/>
          <w:lang w:val="pt-BR"/>
        </w:rPr>
      </w:pPr>
      <w:r w:rsidRPr="00847B73">
        <w:rPr>
          <w:rFonts w:ascii="Verdana" w:hAnsi="Verdana"/>
          <w:sz w:val="20"/>
          <w:lang w:val="pt-BR"/>
        </w:rPr>
        <w:t>Eduardo Vio Grossi</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H</w:t>
      </w:r>
      <w:r>
        <w:rPr>
          <w:rFonts w:ascii="Verdana" w:hAnsi="Verdana"/>
          <w:sz w:val="20"/>
          <w:lang w:val="pt-BR"/>
        </w:rPr>
        <w:t>umberto Antonio Sierra Porto</w:t>
      </w:r>
    </w:p>
    <w:p w14:paraId="383F09F7" w14:textId="77777777" w:rsidR="00551F46" w:rsidRDefault="00551F46" w:rsidP="00551F46">
      <w:pPr>
        <w:spacing w:after="0" w:line="240" w:lineRule="auto"/>
        <w:rPr>
          <w:rFonts w:ascii="Verdana" w:hAnsi="Verdana"/>
          <w:sz w:val="20"/>
          <w:lang w:val="pt-BR"/>
        </w:rPr>
      </w:pPr>
    </w:p>
    <w:p w14:paraId="656E10BC" w14:textId="77777777" w:rsidR="00551F46" w:rsidRDefault="00551F46" w:rsidP="00551F46">
      <w:pPr>
        <w:spacing w:after="0" w:line="240" w:lineRule="auto"/>
        <w:rPr>
          <w:rFonts w:ascii="Verdana" w:hAnsi="Verdana"/>
          <w:sz w:val="20"/>
          <w:lang w:val="pt-BR"/>
        </w:rPr>
      </w:pPr>
    </w:p>
    <w:p w14:paraId="4A84EB7D" w14:textId="77777777" w:rsidR="00551F46" w:rsidRDefault="00551F46" w:rsidP="00551F46">
      <w:pPr>
        <w:spacing w:after="0" w:line="240" w:lineRule="auto"/>
        <w:rPr>
          <w:rFonts w:ascii="Verdana" w:hAnsi="Verdana"/>
          <w:sz w:val="20"/>
          <w:lang w:val="pt-BR"/>
        </w:rPr>
      </w:pPr>
    </w:p>
    <w:p w14:paraId="684B0987" w14:textId="77777777" w:rsidR="00551F46" w:rsidRPr="00847B73" w:rsidRDefault="00551F46" w:rsidP="00551F46">
      <w:pPr>
        <w:spacing w:after="0" w:line="240" w:lineRule="auto"/>
        <w:rPr>
          <w:rFonts w:ascii="Verdana" w:hAnsi="Verdana"/>
          <w:sz w:val="20"/>
          <w:lang w:val="pt-BR"/>
        </w:rPr>
      </w:pPr>
    </w:p>
    <w:p w14:paraId="21B96832" w14:textId="77777777" w:rsidR="00551F46" w:rsidRPr="00847B73" w:rsidRDefault="00551F46" w:rsidP="00551F46">
      <w:pPr>
        <w:spacing w:after="0" w:line="240" w:lineRule="auto"/>
        <w:jc w:val="both"/>
        <w:rPr>
          <w:rFonts w:ascii="Verdana" w:hAnsi="Verdana"/>
          <w:sz w:val="20"/>
          <w:lang w:val="pt-BR"/>
        </w:rPr>
      </w:pPr>
    </w:p>
    <w:p w14:paraId="60DF0C12" w14:textId="77777777" w:rsidR="00551F46" w:rsidRPr="00847B73" w:rsidRDefault="00551F46" w:rsidP="00551F46">
      <w:pPr>
        <w:spacing w:after="0" w:line="240" w:lineRule="auto"/>
        <w:rPr>
          <w:rFonts w:ascii="Verdana" w:hAnsi="Verdana"/>
          <w:sz w:val="20"/>
          <w:lang w:val="pt-BR"/>
        </w:rPr>
      </w:pPr>
      <w:r w:rsidRPr="00847B73">
        <w:rPr>
          <w:rFonts w:ascii="Verdana" w:hAnsi="Verdana"/>
          <w:sz w:val="20"/>
          <w:lang w:val="pt-BR"/>
        </w:rPr>
        <w:t xml:space="preserve">Elizabeth Odio Benito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 xml:space="preserve">  Eugenio Raúl Zaffaroni </w:t>
      </w:r>
    </w:p>
    <w:p w14:paraId="67DEFA6F" w14:textId="77777777" w:rsidR="00551F46" w:rsidRPr="00847B73" w:rsidRDefault="00551F46" w:rsidP="00551F46">
      <w:pPr>
        <w:spacing w:after="0" w:line="240" w:lineRule="auto"/>
        <w:rPr>
          <w:rFonts w:ascii="Verdana" w:hAnsi="Verdana"/>
          <w:sz w:val="20"/>
          <w:lang w:val="pt-BR"/>
        </w:rPr>
      </w:pPr>
    </w:p>
    <w:p w14:paraId="703A63BD" w14:textId="77777777" w:rsidR="00551F46" w:rsidRDefault="00551F46" w:rsidP="00551F46">
      <w:pPr>
        <w:spacing w:after="0" w:line="240" w:lineRule="auto"/>
        <w:rPr>
          <w:rFonts w:ascii="Verdana" w:hAnsi="Verdana"/>
          <w:sz w:val="20"/>
          <w:lang w:val="pt-BR"/>
        </w:rPr>
      </w:pPr>
    </w:p>
    <w:p w14:paraId="0B114DB0" w14:textId="77777777" w:rsidR="00551F46" w:rsidRPr="00847B73" w:rsidRDefault="00551F46" w:rsidP="00551F46">
      <w:pPr>
        <w:spacing w:after="0" w:line="240" w:lineRule="auto"/>
        <w:rPr>
          <w:rFonts w:ascii="Verdana" w:hAnsi="Verdana"/>
          <w:sz w:val="20"/>
          <w:lang w:val="pt-BR"/>
        </w:rPr>
      </w:pPr>
    </w:p>
    <w:p w14:paraId="31DE0E83" w14:textId="77777777" w:rsidR="00551F46" w:rsidRPr="00847B73" w:rsidRDefault="00551F46" w:rsidP="00551F46">
      <w:pPr>
        <w:spacing w:after="0" w:line="240" w:lineRule="auto"/>
        <w:rPr>
          <w:rFonts w:ascii="Verdana" w:hAnsi="Verdana"/>
          <w:sz w:val="20"/>
          <w:lang w:val="pt-BR"/>
        </w:rPr>
      </w:pPr>
    </w:p>
    <w:p w14:paraId="2EDF8C8F" w14:textId="77777777" w:rsidR="00551F46" w:rsidRPr="00847B73" w:rsidRDefault="00551F46" w:rsidP="00551F46">
      <w:pPr>
        <w:spacing w:after="0" w:line="240" w:lineRule="auto"/>
        <w:rPr>
          <w:rFonts w:ascii="Verdana" w:hAnsi="Verdana"/>
          <w:sz w:val="20"/>
          <w:lang w:val="pt-BR"/>
        </w:rPr>
      </w:pPr>
    </w:p>
    <w:p w14:paraId="5120230A" w14:textId="77777777" w:rsidR="00551F46" w:rsidRPr="00847B73" w:rsidRDefault="00551F46" w:rsidP="00551F46">
      <w:pPr>
        <w:spacing w:after="0" w:line="240" w:lineRule="auto"/>
        <w:rPr>
          <w:rFonts w:ascii="Verdana" w:hAnsi="Verdana"/>
          <w:sz w:val="20"/>
          <w:lang w:val="es-CR"/>
        </w:rPr>
      </w:pPr>
      <w:r w:rsidRPr="00847B73">
        <w:rPr>
          <w:rFonts w:ascii="Verdana" w:hAnsi="Verdana"/>
          <w:sz w:val="20"/>
          <w:lang w:val="pt-BR"/>
        </w:rPr>
        <w:t xml:space="preserve">L. Patricio Pazmiño Freire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 xml:space="preserve">    </w:t>
      </w:r>
      <w:r w:rsidRPr="00847B73">
        <w:rPr>
          <w:rFonts w:ascii="Verdana" w:hAnsi="Verdana"/>
          <w:sz w:val="20"/>
          <w:lang w:val="pt-BR"/>
        </w:rPr>
        <w:tab/>
      </w:r>
      <w:r w:rsidRPr="00847B73">
        <w:rPr>
          <w:rFonts w:ascii="Verdana" w:hAnsi="Verdana"/>
          <w:sz w:val="20"/>
          <w:lang w:val="pt-BR"/>
        </w:rPr>
        <w:tab/>
        <w:t xml:space="preserve">       </w:t>
      </w:r>
      <w:r w:rsidRPr="00847B73">
        <w:rPr>
          <w:rFonts w:ascii="Verdana" w:hAnsi="Verdana"/>
          <w:sz w:val="20"/>
          <w:lang w:val="es-CR"/>
        </w:rPr>
        <w:t>Ricardo C. Pérez Manrique</w:t>
      </w:r>
    </w:p>
    <w:p w14:paraId="58ED0F59" w14:textId="77777777" w:rsidR="00551F46" w:rsidRPr="00847B73" w:rsidRDefault="00551F46" w:rsidP="00551F46">
      <w:pPr>
        <w:spacing w:after="0" w:line="240" w:lineRule="auto"/>
        <w:jc w:val="both"/>
        <w:rPr>
          <w:rFonts w:ascii="Verdana" w:hAnsi="Verdana"/>
          <w:sz w:val="20"/>
          <w:lang w:val="es-CR"/>
        </w:rPr>
      </w:pPr>
    </w:p>
    <w:p w14:paraId="1972A592" w14:textId="77777777" w:rsidR="00551F46" w:rsidRDefault="00551F46" w:rsidP="00551F46">
      <w:pPr>
        <w:spacing w:after="0" w:line="240" w:lineRule="auto"/>
        <w:jc w:val="both"/>
        <w:rPr>
          <w:rFonts w:ascii="Verdana" w:hAnsi="Verdana"/>
          <w:sz w:val="20"/>
          <w:lang w:val="pt-BR"/>
        </w:rPr>
      </w:pPr>
    </w:p>
    <w:p w14:paraId="5E469C84" w14:textId="77777777" w:rsidR="00551F46" w:rsidRPr="00847B73" w:rsidRDefault="00551F46" w:rsidP="00551F46">
      <w:pPr>
        <w:spacing w:after="0" w:line="240" w:lineRule="auto"/>
        <w:jc w:val="both"/>
        <w:rPr>
          <w:rFonts w:ascii="Verdana" w:hAnsi="Verdana"/>
          <w:sz w:val="20"/>
          <w:lang w:val="pt-BR"/>
        </w:rPr>
      </w:pPr>
    </w:p>
    <w:p w14:paraId="55EF62EC" w14:textId="77777777" w:rsidR="00551F46" w:rsidRPr="00847B73" w:rsidRDefault="00551F46" w:rsidP="00551F46">
      <w:pPr>
        <w:spacing w:after="0" w:line="240" w:lineRule="auto"/>
        <w:jc w:val="both"/>
        <w:rPr>
          <w:rFonts w:ascii="Verdana" w:hAnsi="Verdana"/>
          <w:sz w:val="20"/>
          <w:lang w:val="pt-BR"/>
        </w:rPr>
      </w:pPr>
    </w:p>
    <w:p w14:paraId="5BB2D1F2" w14:textId="77777777" w:rsidR="00551F46" w:rsidRPr="00847B73" w:rsidRDefault="00551F46" w:rsidP="00551F46">
      <w:pPr>
        <w:spacing w:after="0" w:line="240" w:lineRule="auto"/>
        <w:jc w:val="both"/>
        <w:rPr>
          <w:rFonts w:ascii="Verdana" w:hAnsi="Verdana"/>
          <w:sz w:val="20"/>
          <w:lang w:val="pt-BR"/>
        </w:rPr>
      </w:pPr>
    </w:p>
    <w:p w14:paraId="762D256D" w14:textId="77777777" w:rsidR="00551F46" w:rsidRPr="00847B73" w:rsidRDefault="00551F46" w:rsidP="00551F46">
      <w:pPr>
        <w:spacing w:after="0" w:line="240" w:lineRule="auto"/>
        <w:jc w:val="center"/>
        <w:rPr>
          <w:rFonts w:ascii="Verdana" w:hAnsi="Verdana"/>
          <w:sz w:val="20"/>
          <w:lang w:val="pt-BR"/>
        </w:rPr>
      </w:pPr>
      <w:r w:rsidRPr="00847B73">
        <w:rPr>
          <w:rFonts w:ascii="Verdana" w:hAnsi="Verdana"/>
          <w:sz w:val="20"/>
          <w:lang w:val="pt-BR"/>
        </w:rPr>
        <w:t>Pablo Saavedra Alessandri</w:t>
      </w:r>
    </w:p>
    <w:p w14:paraId="3D01B1BF" w14:textId="77777777" w:rsidR="00551F46" w:rsidRPr="00847B73" w:rsidRDefault="00551F46" w:rsidP="00551F46">
      <w:pPr>
        <w:spacing w:after="0" w:line="240" w:lineRule="auto"/>
        <w:jc w:val="center"/>
        <w:rPr>
          <w:rFonts w:ascii="Verdana" w:hAnsi="Verdana"/>
          <w:sz w:val="20"/>
          <w:lang w:val="pt-BR"/>
        </w:rPr>
      </w:pPr>
      <w:r w:rsidRPr="00847B73">
        <w:rPr>
          <w:rFonts w:ascii="Verdana" w:hAnsi="Verdana"/>
          <w:sz w:val="20"/>
          <w:lang w:val="pt-BR"/>
        </w:rPr>
        <w:t>Secretario</w:t>
      </w:r>
    </w:p>
    <w:p w14:paraId="050CBCA4" w14:textId="77777777" w:rsidR="00551F46" w:rsidRPr="00847B73" w:rsidRDefault="00551F46" w:rsidP="00551F46">
      <w:pPr>
        <w:spacing w:after="0" w:line="240" w:lineRule="auto"/>
        <w:rPr>
          <w:rFonts w:ascii="Verdana" w:hAnsi="Verdana"/>
          <w:sz w:val="20"/>
          <w:lang w:val="pt-BR"/>
        </w:rPr>
      </w:pPr>
    </w:p>
    <w:p w14:paraId="54AD814C" w14:textId="77777777" w:rsidR="00551F46" w:rsidRPr="00847B73" w:rsidRDefault="00551F46" w:rsidP="00551F46">
      <w:pPr>
        <w:pStyle w:val="Textonotapie"/>
        <w:rPr>
          <w:rFonts w:ascii="Verdana" w:hAnsi="Verdana"/>
          <w:lang w:val="pt-BR"/>
        </w:rPr>
      </w:pPr>
    </w:p>
    <w:p w14:paraId="1F461069" w14:textId="77777777" w:rsidR="00551F46" w:rsidRPr="00847B73" w:rsidRDefault="00551F46" w:rsidP="00551F46">
      <w:pPr>
        <w:spacing w:after="0" w:line="240" w:lineRule="auto"/>
        <w:rPr>
          <w:rFonts w:ascii="Verdana" w:hAnsi="Verdana"/>
          <w:sz w:val="20"/>
          <w:lang w:val="pt-BR"/>
        </w:rPr>
      </w:pPr>
    </w:p>
    <w:p w14:paraId="5DF050C7" w14:textId="77777777" w:rsidR="00551F46" w:rsidRPr="00847B73" w:rsidRDefault="00551F46" w:rsidP="00551F46">
      <w:pPr>
        <w:pStyle w:val="Textonotapie"/>
        <w:rPr>
          <w:rFonts w:ascii="Verdana" w:hAnsi="Verdana"/>
          <w:lang w:val="pt-BR"/>
        </w:rPr>
      </w:pPr>
    </w:p>
    <w:p w14:paraId="6757CAD1" w14:textId="77777777" w:rsidR="00551F46" w:rsidRPr="00847B73" w:rsidRDefault="00551F46" w:rsidP="00551F46">
      <w:pPr>
        <w:spacing w:after="0" w:line="240" w:lineRule="auto"/>
        <w:jc w:val="both"/>
        <w:rPr>
          <w:rFonts w:ascii="Verdana" w:hAnsi="Verdana"/>
          <w:sz w:val="20"/>
          <w:lang w:val="pt-BR"/>
        </w:rPr>
      </w:pPr>
      <w:r w:rsidRPr="00847B73">
        <w:rPr>
          <w:rFonts w:ascii="Verdana" w:hAnsi="Verdana"/>
          <w:sz w:val="20"/>
          <w:lang w:val="pt-BR"/>
        </w:rPr>
        <w:t>Comuníquese y ejecútese,</w:t>
      </w:r>
    </w:p>
    <w:p w14:paraId="2E0C9CAD" w14:textId="77777777" w:rsidR="00551F46" w:rsidRPr="00847B73" w:rsidRDefault="00551F46" w:rsidP="00551F46">
      <w:pPr>
        <w:spacing w:after="0" w:line="240" w:lineRule="auto"/>
        <w:jc w:val="both"/>
        <w:rPr>
          <w:rFonts w:ascii="Verdana" w:hAnsi="Verdana"/>
          <w:sz w:val="20"/>
          <w:lang w:val="pt-BR"/>
        </w:rPr>
      </w:pPr>
    </w:p>
    <w:p w14:paraId="34E37024" w14:textId="77777777" w:rsidR="00551F46" w:rsidRPr="00847B73" w:rsidRDefault="00551F46" w:rsidP="00551F46">
      <w:pPr>
        <w:spacing w:after="0" w:line="240" w:lineRule="auto"/>
        <w:jc w:val="both"/>
        <w:rPr>
          <w:rFonts w:ascii="Verdana" w:hAnsi="Verdana"/>
          <w:sz w:val="20"/>
          <w:lang w:val="pt-BR"/>
        </w:rPr>
      </w:pPr>
    </w:p>
    <w:p w14:paraId="1451E002" w14:textId="77777777" w:rsidR="00551F46" w:rsidRPr="00847B73" w:rsidRDefault="00551F46" w:rsidP="00551F46">
      <w:pPr>
        <w:spacing w:after="0" w:line="240" w:lineRule="auto"/>
        <w:jc w:val="both"/>
        <w:rPr>
          <w:rFonts w:ascii="Verdana" w:hAnsi="Verdana"/>
          <w:sz w:val="20"/>
          <w:lang w:val="pt-BR"/>
        </w:rPr>
      </w:pPr>
    </w:p>
    <w:p w14:paraId="240B78C8" w14:textId="77777777" w:rsidR="00551F46" w:rsidRDefault="00551F46" w:rsidP="00551F46">
      <w:pPr>
        <w:spacing w:after="0" w:line="240" w:lineRule="auto"/>
        <w:jc w:val="both"/>
        <w:rPr>
          <w:rFonts w:ascii="Verdana" w:hAnsi="Verdana"/>
          <w:sz w:val="20"/>
          <w:lang w:val="pt-BR"/>
        </w:rPr>
      </w:pPr>
    </w:p>
    <w:p w14:paraId="67255224" w14:textId="77777777" w:rsidR="00551F46" w:rsidRPr="00847B73" w:rsidRDefault="00551F46" w:rsidP="00551F46">
      <w:pPr>
        <w:spacing w:after="0" w:line="240" w:lineRule="auto"/>
        <w:jc w:val="both"/>
        <w:rPr>
          <w:rFonts w:ascii="Verdana" w:hAnsi="Verdana"/>
          <w:sz w:val="20"/>
          <w:lang w:val="pt-BR"/>
        </w:rPr>
      </w:pPr>
    </w:p>
    <w:p w14:paraId="1DCD25D8" w14:textId="77777777" w:rsidR="00551F46" w:rsidRPr="00847B73" w:rsidRDefault="00551F46" w:rsidP="00551F46">
      <w:pPr>
        <w:spacing w:after="0" w:line="240" w:lineRule="auto"/>
        <w:ind w:left="4956"/>
        <w:jc w:val="center"/>
        <w:rPr>
          <w:rFonts w:ascii="Verdana" w:hAnsi="Verdana"/>
          <w:sz w:val="20"/>
          <w:lang w:val="pt-BR"/>
        </w:rPr>
      </w:pPr>
      <w:r w:rsidRPr="00847B73">
        <w:rPr>
          <w:rFonts w:ascii="Verdana" w:hAnsi="Verdana"/>
          <w:sz w:val="20"/>
          <w:lang w:val="pt-BR"/>
        </w:rPr>
        <w:t xml:space="preserve">Eduardo Ferrer Mac-Gregor Poisot </w:t>
      </w:r>
    </w:p>
    <w:p w14:paraId="62317F1F" w14:textId="77777777" w:rsidR="00551F46" w:rsidRPr="00847B73" w:rsidRDefault="00551F46" w:rsidP="00551F46">
      <w:pPr>
        <w:spacing w:after="0" w:line="240" w:lineRule="auto"/>
        <w:ind w:left="4956"/>
        <w:jc w:val="center"/>
        <w:rPr>
          <w:rFonts w:ascii="Verdana" w:hAnsi="Verdana"/>
          <w:sz w:val="20"/>
          <w:lang w:val="pt-BR"/>
        </w:rPr>
      </w:pPr>
      <w:r w:rsidRPr="00847B73">
        <w:rPr>
          <w:rFonts w:ascii="Verdana" w:hAnsi="Verdana"/>
          <w:sz w:val="20"/>
          <w:lang w:val="pt-BR"/>
        </w:rPr>
        <w:t>Presidente</w:t>
      </w:r>
    </w:p>
    <w:p w14:paraId="1FE6B62F" w14:textId="77777777" w:rsidR="00551F46" w:rsidRDefault="00551F46" w:rsidP="00551F46">
      <w:pPr>
        <w:spacing w:after="0" w:line="240" w:lineRule="auto"/>
        <w:jc w:val="both"/>
        <w:rPr>
          <w:rFonts w:ascii="Verdana" w:hAnsi="Verdana"/>
          <w:sz w:val="20"/>
          <w:lang w:val="pt-BR"/>
        </w:rPr>
      </w:pPr>
    </w:p>
    <w:p w14:paraId="70E7EE75" w14:textId="77777777" w:rsidR="00551F46" w:rsidRDefault="00551F46" w:rsidP="00551F46">
      <w:pPr>
        <w:spacing w:after="0" w:line="240" w:lineRule="auto"/>
        <w:jc w:val="both"/>
        <w:rPr>
          <w:rFonts w:ascii="Verdana" w:hAnsi="Verdana"/>
          <w:sz w:val="20"/>
          <w:lang w:val="pt-BR"/>
        </w:rPr>
      </w:pPr>
    </w:p>
    <w:p w14:paraId="0CB3DFFD" w14:textId="77777777" w:rsidR="00551F46" w:rsidRPr="00847B73" w:rsidRDefault="00551F46" w:rsidP="00551F46">
      <w:pPr>
        <w:spacing w:after="0" w:line="240" w:lineRule="auto"/>
        <w:jc w:val="both"/>
        <w:rPr>
          <w:rFonts w:ascii="Verdana" w:hAnsi="Verdana"/>
          <w:sz w:val="20"/>
          <w:lang w:val="pt-BR"/>
        </w:rPr>
      </w:pPr>
    </w:p>
    <w:p w14:paraId="6BA4AC86" w14:textId="77777777" w:rsidR="00551F46" w:rsidRPr="00847B73" w:rsidRDefault="00551F46" w:rsidP="00551F46">
      <w:pPr>
        <w:spacing w:after="0" w:line="240" w:lineRule="auto"/>
        <w:jc w:val="both"/>
        <w:rPr>
          <w:rFonts w:ascii="Verdana" w:hAnsi="Verdana"/>
          <w:sz w:val="20"/>
          <w:lang w:val="pt-BR"/>
        </w:rPr>
      </w:pPr>
    </w:p>
    <w:p w14:paraId="277B72B0" w14:textId="77777777" w:rsidR="00551F46" w:rsidRPr="00847B73" w:rsidRDefault="00551F46" w:rsidP="00551F46">
      <w:pPr>
        <w:spacing w:after="0" w:line="240" w:lineRule="auto"/>
        <w:jc w:val="both"/>
        <w:rPr>
          <w:rFonts w:ascii="Verdana" w:hAnsi="Verdana"/>
          <w:sz w:val="20"/>
          <w:lang w:val="es-ES"/>
        </w:rPr>
      </w:pPr>
      <w:r w:rsidRPr="00847B73">
        <w:rPr>
          <w:rFonts w:ascii="Verdana" w:hAnsi="Verdana"/>
          <w:sz w:val="20"/>
          <w:lang w:val="es-ES"/>
        </w:rPr>
        <w:t>Pablo Saavedra Alessandri</w:t>
      </w:r>
    </w:p>
    <w:p w14:paraId="45EB93E4" w14:textId="77777777" w:rsidR="00551F46" w:rsidRPr="000B45A7" w:rsidRDefault="00551F46" w:rsidP="00551F46">
      <w:pPr>
        <w:spacing w:after="0" w:line="240" w:lineRule="auto"/>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p w14:paraId="79957661" w14:textId="77777777" w:rsidR="001B743D" w:rsidRPr="0051692D" w:rsidRDefault="001B743D" w:rsidP="00551F46">
      <w:pPr>
        <w:pStyle w:val="Prrafodelista"/>
        <w:spacing w:after="0" w:line="240" w:lineRule="auto"/>
        <w:ind w:left="0"/>
        <w:jc w:val="both"/>
        <w:rPr>
          <w:rFonts w:ascii="Verdana" w:hAnsi="Verdana"/>
          <w:sz w:val="20"/>
          <w:szCs w:val="20"/>
          <w:lang w:val="es-CR"/>
        </w:rPr>
      </w:pPr>
    </w:p>
    <w:sectPr w:rsidR="001B743D" w:rsidRPr="0051692D" w:rsidSect="00AA00F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E5008" w14:textId="77777777" w:rsidR="0002329D" w:rsidRDefault="0002329D" w:rsidP="00217C91">
      <w:pPr>
        <w:spacing w:after="0" w:line="240" w:lineRule="auto"/>
      </w:pPr>
      <w:r>
        <w:separator/>
      </w:r>
    </w:p>
  </w:endnote>
  <w:endnote w:type="continuationSeparator" w:id="0">
    <w:p w14:paraId="64B75995" w14:textId="77777777" w:rsidR="0002329D" w:rsidRDefault="0002329D" w:rsidP="0021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45109"/>
      <w:docPartObj>
        <w:docPartGallery w:val="Page Numbers (Bottom of Page)"/>
        <w:docPartUnique/>
      </w:docPartObj>
    </w:sdtPr>
    <w:sdtEndPr/>
    <w:sdtContent>
      <w:p w14:paraId="08D8242E" w14:textId="77777777" w:rsidR="00A94AAE" w:rsidRDefault="00A94AAE">
        <w:pPr>
          <w:pStyle w:val="Piedepgina"/>
          <w:jc w:val="center"/>
        </w:pPr>
        <w:r>
          <w:t>-</w:t>
        </w:r>
        <w:r>
          <w:fldChar w:fldCharType="begin"/>
        </w:r>
        <w:r>
          <w:instrText>PAGE   \* MERGEFORMAT</w:instrText>
        </w:r>
        <w:r>
          <w:fldChar w:fldCharType="separate"/>
        </w:r>
        <w:r w:rsidR="00551F46" w:rsidRPr="00551F46">
          <w:rPr>
            <w:noProof/>
            <w:lang w:val="es-ES"/>
          </w:rPr>
          <w:t>7</w:t>
        </w:r>
        <w:r>
          <w:fldChar w:fldCharType="end"/>
        </w:r>
        <w:r>
          <w:t>-</w:t>
        </w:r>
      </w:p>
    </w:sdtContent>
  </w:sdt>
  <w:p w14:paraId="66F0BAB9" w14:textId="77777777" w:rsidR="00A94AAE" w:rsidRDefault="00A94A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B5E4C" w14:textId="77777777" w:rsidR="0002329D" w:rsidRDefault="0002329D" w:rsidP="00217C91">
      <w:pPr>
        <w:spacing w:after="0" w:line="240" w:lineRule="auto"/>
      </w:pPr>
      <w:r>
        <w:separator/>
      </w:r>
    </w:p>
  </w:footnote>
  <w:footnote w:type="continuationSeparator" w:id="0">
    <w:p w14:paraId="0BCA9AE2" w14:textId="77777777" w:rsidR="0002329D" w:rsidRDefault="0002329D" w:rsidP="00217C91">
      <w:pPr>
        <w:spacing w:after="0" w:line="240" w:lineRule="auto"/>
      </w:pPr>
      <w:r>
        <w:continuationSeparator/>
      </w:r>
    </w:p>
  </w:footnote>
  <w:footnote w:id="1">
    <w:p w14:paraId="0ACADFE1" w14:textId="77777777" w:rsidR="00217C91" w:rsidRPr="00150809" w:rsidRDefault="00217C91" w:rsidP="00217C91">
      <w:pPr>
        <w:pStyle w:val="Textonotapie"/>
        <w:jc w:val="both"/>
        <w:rPr>
          <w:rFonts w:ascii="Verdana" w:hAnsi="Verdana"/>
          <w:sz w:val="16"/>
          <w:szCs w:val="16"/>
          <w:lang w:val="es-CR"/>
        </w:rPr>
      </w:pPr>
      <w:r w:rsidRPr="00150809">
        <w:rPr>
          <w:rStyle w:val="Refdenotaalpie"/>
          <w:rFonts w:ascii="Verdana" w:hAnsi="Verdana"/>
          <w:sz w:val="16"/>
          <w:szCs w:val="16"/>
        </w:rPr>
        <w:footnoteRef/>
      </w:r>
      <w:r w:rsidRPr="00150809">
        <w:rPr>
          <w:rFonts w:ascii="Verdana" w:hAnsi="Verdana"/>
          <w:sz w:val="16"/>
          <w:szCs w:val="16"/>
          <w:lang w:val="es-CR"/>
        </w:rPr>
        <w:t xml:space="preserve"> </w:t>
      </w:r>
      <w:r w:rsidRPr="00150809">
        <w:rPr>
          <w:rFonts w:ascii="Verdana" w:hAnsi="Verdana"/>
          <w:sz w:val="16"/>
          <w:szCs w:val="16"/>
          <w:lang w:val="es-CR"/>
        </w:rPr>
        <w:tab/>
      </w:r>
      <w:r w:rsidRPr="00150809">
        <w:rPr>
          <w:rFonts w:ascii="Verdana" w:hAnsi="Verdana"/>
          <w:i/>
          <w:sz w:val="16"/>
          <w:szCs w:val="16"/>
          <w:lang w:val="es-CR"/>
        </w:rPr>
        <w:t>Cfr. Caso Fleury y otros Vs. Haití. Fondo y Reparaciones</w:t>
      </w:r>
      <w:r w:rsidRPr="00150809">
        <w:rPr>
          <w:rFonts w:ascii="Verdana" w:hAnsi="Verdana"/>
          <w:sz w:val="16"/>
          <w:szCs w:val="16"/>
          <w:lang w:val="es-CR"/>
        </w:rPr>
        <w:t xml:space="preserve">. Sentencia de 23 de noviembre de 2011. Serie C No. 236. </w:t>
      </w:r>
      <w:r w:rsidR="00842317">
        <w:rPr>
          <w:rFonts w:ascii="Verdana" w:hAnsi="Verdana"/>
          <w:sz w:val="16"/>
          <w:szCs w:val="16"/>
          <w:lang w:val="es-CR"/>
        </w:rPr>
        <w:t>D</w:t>
      </w:r>
      <w:r w:rsidRPr="00150809">
        <w:rPr>
          <w:rFonts w:ascii="Verdana" w:hAnsi="Verdana"/>
          <w:sz w:val="16"/>
          <w:szCs w:val="16"/>
          <w:lang w:val="es-CR"/>
        </w:rPr>
        <w:t xml:space="preserve">isponible en: </w:t>
      </w:r>
      <w:hyperlink r:id="rId1" w:history="1">
        <w:r w:rsidRPr="00150809">
          <w:rPr>
            <w:rStyle w:val="Hipervnculo"/>
            <w:rFonts w:ascii="Verdana" w:hAnsi="Verdana"/>
            <w:sz w:val="16"/>
            <w:szCs w:val="16"/>
            <w:lang w:val="es-CR"/>
          </w:rPr>
          <w:t>http://corteidh.or.cr/docs/casos/articulos/seriec_236_esp.pdf</w:t>
        </w:r>
      </w:hyperlink>
      <w:r w:rsidRPr="00150809">
        <w:rPr>
          <w:rFonts w:ascii="Verdana" w:hAnsi="Verdana"/>
          <w:sz w:val="16"/>
          <w:szCs w:val="16"/>
          <w:lang w:val="es-CR"/>
        </w:rPr>
        <w:t>. La Sentencia fue notificada al Estado el 21 de diciembre de 2011.</w:t>
      </w:r>
    </w:p>
  </w:footnote>
  <w:footnote w:id="2">
    <w:p w14:paraId="23FB6779" w14:textId="77777777" w:rsidR="00217C91" w:rsidRPr="00150809" w:rsidRDefault="00217C91" w:rsidP="00217C91">
      <w:pPr>
        <w:pStyle w:val="Textonotapie"/>
        <w:jc w:val="both"/>
        <w:rPr>
          <w:rFonts w:ascii="Verdana" w:hAnsi="Verdana"/>
          <w:sz w:val="16"/>
          <w:szCs w:val="16"/>
          <w:lang w:val="es-CR"/>
        </w:rPr>
      </w:pPr>
      <w:r w:rsidRPr="00150809">
        <w:rPr>
          <w:rStyle w:val="Refdenotaalpie"/>
          <w:rFonts w:ascii="Verdana" w:hAnsi="Verdana"/>
          <w:sz w:val="16"/>
          <w:szCs w:val="16"/>
        </w:rPr>
        <w:footnoteRef/>
      </w:r>
      <w:r w:rsidRPr="00150809">
        <w:rPr>
          <w:rFonts w:ascii="Verdana" w:hAnsi="Verdana"/>
          <w:sz w:val="16"/>
          <w:szCs w:val="16"/>
          <w:lang w:val="es-CR"/>
        </w:rPr>
        <w:t xml:space="preserve"> </w:t>
      </w:r>
      <w:r w:rsidRPr="00150809">
        <w:rPr>
          <w:rFonts w:ascii="Verdana" w:hAnsi="Verdana"/>
          <w:sz w:val="16"/>
          <w:szCs w:val="16"/>
          <w:lang w:val="es-CR"/>
        </w:rPr>
        <w:tab/>
      </w:r>
      <w:r w:rsidR="007B4E80" w:rsidRPr="00842317">
        <w:rPr>
          <w:rFonts w:ascii="Verdana" w:hAnsi="Verdana"/>
          <w:i/>
          <w:sz w:val="16"/>
          <w:szCs w:val="16"/>
          <w:lang w:val="es-CR"/>
        </w:rPr>
        <w:t xml:space="preserve">Cfr. </w:t>
      </w:r>
      <w:r w:rsidR="007B4E80" w:rsidRPr="00842317">
        <w:rPr>
          <w:rStyle w:val="Textoennegrita"/>
          <w:rFonts w:ascii="Verdana" w:hAnsi="Verdana"/>
          <w:b w:val="0"/>
          <w:i/>
          <w:color w:val="000000"/>
          <w:sz w:val="16"/>
          <w:szCs w:val="16"/>
          <w:shd w:val="clear" w:color="auto" w:fill="FFFFFF"/>
          <w:lang w:val="es-CR"/>
        </w:rPr>
        <w:t>Caso Fleury y otros Vs. Haití. Supervisión de Cumplimiento de Sentencia.</w:t>
      </w:r>
      <w:r w:rsidR="007B4E80" w:rsidRPr="00842317">
        <w:rPr>
          <w:rStyle w:val="Textoennegrita"/>
          <w:rFonts w:ascii="Verdana" w:hAnsi="Verdana"/>
          <w:b w:val="0"/>
          <w:color w:val="000000"/>
          <w:sz w:val="16"/>
          <w:szCs w:val="16"/>
          <w:shd w:val="clear" w:color="auto" w:fill="FFFFFF"/>
          <w:lang w:val="es-CR"/>
        </w:rPr>
        <w:t xml:space="preserve"> Resolución de la Corte Interamericana de Derechos Humanos de 20 de noviembre de 2015.</w:t>
      </w:r>
      <w:r w:rsidR="007B4E80" w:rsidRPr="007B4E80">
        <w:rPr>
          <w:rFonts w:ascii="Verdana" w:hAnsi="Verdana"/>
          <w:sz w:val="16"/>
          <w:szCs w:val="16"/>
          <w:lang w:val="es-CR"/>
        </w:rPr>
        <w:t xml:space="preserve"> </w:t>
      </w:r>
      <w:r w:rsidR="00150809" w:rsidRPr="00150809">
        <w:rPr>
          <w:rFonts w:ascii="Verdana" w:hAnsi="Verdana"/>
          <w:sz w:val="16"/>
          <w:szCs w:val="16"/>
          <w:lang w:val="es-CR"/>
        </w:rPr>
        <w:t xml:space="preserve">Disponible en: </w:t>
      </w:r>
      <w:hyperlink r:id="rId2" w:history="1">
        <w:r w:rsidRPr="00150809">
          <w:rPr>
            <w:rStyle w:val="Hipervnculo"/>
            <w:rFonts w:ascii="Verdana" w:hAnsi="Verdana"/>
            <w:sz w:val="16"/>
            <w:szCs w:val="16"/>
            <w:lang w:val="es-CR"/>
          </w:rPr>
          <w:t>http://www.corteidh.or.cr/docs/supervisiones/fleury_20_11_15.pdf</w:t>
        </w:r>
      </w:hyperlink>
      <w:r w:rsidRPr="00150809">
        <w:rPr>
          <w:rFonts w:ascii="Verdana" w:hAnsi="Verdana"/>
          <w:sz w:val="16"/>
          <w:szCs w:val="16"/>
          <w:lang w:val="es-CR"/>
        </w:rPr>
        <w:t xml:space="preserve">. </w:t>
      </w:r>
    </w:p>
  </w:footnote>
  <w:footnote w:id="3">
    <w:p w14:paraId="7EBD514A" w14:textId="77777777" w:rsidR="00150809" w:rsidRPr="00150809" w:rsidRDefault="00150809" w:rsidP="00842317">
      <w:pPr>
        <w:pStyle w:val="Textonotapie"/>
        <w:jc w:val="both"/>
        <w:rPr>
          <w:lang w:val="es-CR"/>
        </w:rPr>
      </w:pPr>
      <w:r w:rsidRPr="00150809">
        <w:rPr>
          <w:rStyle w:val="Refdenotaalpie"/>
          <w:rFonts w:ascii="Verdana" w:hAnsi="Verdana"/>
          <w:sz w:val="16"/>
          <w:szCs w:val="16"/>
        </w:rPr>
        <w:footnoteRef/>
      </w:r>
      <w:r w:rsidRPr="00150809">
        <w:rPr>
          <w:rFonts w:ascii="Verdana" w:hAnsi="Verdana"/>
          <w:sz w:val="16"/>
          <w:szCs w:val="16"/>
          <w:lang w:val="es-CR"/>
        </w:rPr>
        <w:t xml:space="preserve"> </w:t>
      </w:r>
      <w:r w:rsidRPr="00150809">
        <w:rPr>
          <w:rFonts w:ascii="Verdana" w:hAnsi="Verdana"/>
          <w:sz w:val="16"/>
          <w:szCs w:val="16"/>
          <w:lang w:val="es-CR"/>
        </w:rPr>
        <w:tab/>
      </w:r>
      <w:r w:rsidR="007B4E80" w:rsidRPr="00842317">
        <w:rPr>
          <w:rFonts w:ascii="Verdana" w:hAnsi="Verdana"/>
          <w:i/>
          <w:sz w:val="16"/>
          <w:szCs w:val="16"/>
          <w:lang w:val="es-CR"/>
        </w:rPr>
        <w:t xml:space="preserve">Cfr. </w:t>
      </w:r>
      <w:r w:rsidR="007B4E80" w:rsidRPr="00842317">
        <w:rPr>
          <w:rStyle w:val="Textoennegrita"/>
          <w:rFonts w:ascii="Verdana" w:hAnsi="Verdana"/>
          <w:b w:val="0"/>
          <w:i/>
          <w:color w:val="000000"/>
          <w:sz w:val="16"/>
          <w:szCs w:val="16"/>
          <w:shd w:val="clear" w:color="auto" w:fill="FFFFFF"/>
          <w:lang w:val="es-CR"/>
        </w:rPr>
        <w:t>Caso Fleury y otros Vs. Haití. Supervisión de Cumplimiento de Sentencia.</w:t>
      </w:r>
      <w:r w:rsidR="007B4E80" w:rsidRPr="00842317">
        <w:rPr>
          <w:rStyle w:val="Textoennegrita"/>
          <w:rFonts w:ascii="Verdana" w:hAnsi="Verdana"/>
          <w:b w:val="0"/>
          <w:color w:val="000000"/>
          <w:sz w:val="16"/>
          <w:szCs w:val="16"/>
          <w:shd w:val="clear" w:color="auto" w:fill="FFFFFF"/>
          <w:lang w:val="es-CR"/>
        </w:rPr>
        <w:t xml:space="preserve"> Resolución de la Corte Interamericana de Derechos Humanos de 22 de noviembre de 2016.</w:t>
      </w:r>
      <w:r w:rsidR="007B4E80" w:rsidRPr="00150809">
        <w:rPr>
          <w:rFonts w:ascii="Verdana" w:hAnsi="Verdana"/>
          <w:sz w:val="16"/>
          <w:szCs w:val="16"/>
          <w:lang w:val="es-CR"/>
        </w:rPr>
        <w:t xml:space="preserve"> </w:t>
      </w:r>
      <w:r w:rsidRPr="00150809">
        <w:rPr>
          <w:rFonts w:ascii="Verdana" w:hAnsi="Verdana"/>
          <w:sz w:val="16"/>
          <w:szCs w:val="16"/>
          <w:lang w:val="es-CR"/>
        </w:rPr>
        <w:t xml:space="preserve">Disponible en: </w:t>
      </w:r>
      <w:hyperlink r:id="rId3" w:history="1">
        <w:r w:rsidRPr="00150809">
          <w:rPr>
            <w:rStyle w:val="Hipervnculo"/>
            <w:rFonts w:ascii="Verdana" w:hAnsi="Verdana"/>
            <w:sz w:val="16"/>
            <w:szCs w:val="16"/>
            <w:lang w:val="es-CR"/>
          </w:rPr>
          <w:t>http://www.corteidh.or.cr/docs/supervisiones/fleury_22_11_16_spa.pdf</w:t>
        </w:r>
      </w:hyperlink>
      <w:r w:rsidRPr="00150809">
        <w:rPr>
          <w:rFonts w:ascii="Verdana" w:hAnsi="Verdana"/>
          <w:sz w:val="16"/>
          <w:szCs w:val="16"/>
          <w:lang w:val="es-CR"/>
        </w:rPr>
        <w:t xml:space="preserve">.  </w:t>
      </w:r>
    </w:p>
  </w:footnote>
  <w:footnote w:id="4">
    <w:p w14:paraId="3FE476E6" w14:textId="77777777" w:rsidR="00C666E3" w:rsidRPr="00BB6ADF" w:rsidRDefault="00C666E3" w:rsidP="001B743D">
      <w:pPr>
        <w:pStyle w:val="Textonotapie"/>
        <w:jc w:val="both"/>
        <w:rPr>
          <w:rFonts w:ascii="Verdana" w:hAnsi="Verdana"/>
          <w:sz w:val="16"/>
          <w:szCs w:val="16"/>
          <w:lang w:val="es-CR"/>
        </w:rPr>
      </w:pPr>
      <w:r w:rsidRPr="00BB6ADF">
        <w:rPr>
          <w:rStyle w:val="Refdenotaalpie"/>
          <w:rFonts w:ascii="Verdana" w:hAnsi="Verdana"/>
          <w:sz w:val="16"/>
          <w:szCs w:val="16"/>
        </w:rPr>
        <w:footnoteRef/>
      </w:r>
      <w:r w:rsidRPr="00BB6ADF">
        <w:rPr>
          <w:rFonts w:ascii="Verdana" w:hAnsi="Verdana"/>
          <w:sz w:val="16"/>
          <w:szCs w:val="16"/>
          <w:lang w:val="es-CR"/>
        </w:rPr>
        <w:t xml:space="preserve"> </w:t>
      </w:r>
      <w:r w:rsidRPr="00BB6ADF">
        <w:rPr>
          <w:rFonts w:ascii="Verdana" w:hAnsi="Verdana"/>
          <w:sz w:val="16"/>
          <w:szCs w:val="16"/>
          <w:lang w:val="es-CR"/>
        </w:rPr>
        <w:tab/>
      </w:r>
      <w:r w:rsidR="001B743D" w:rsidRPr="00BB6ADF">
        <w:rPr>
          <w:rFonts w:ascii="Verdana" w:hAnsi="Verdana"/>
          <w:sz w:val="16"/>
          <w:szCs w:val="16"/>
          <w:lang w:val="es-CR"/>
        </w:rPr>
        <w:t xml:space="preserve">Facultad que además se desprende de lo dispuesto en los artículos 33, 62.1, 62.3 y 65 de la Convención Americana </w:t>
      </w:r>
      <w:r w:rsidR="00FB0B58" w:rsidRPr="00BB6ADF">
        <w:rPr>
          <w:rFonts w:ascii="Verdana" w:hAnsi="Verdana"/>
          <w:sz w:val="16"/>
          <w:szCs w:val="16"/>
          <w:lang w:val="es-CR"/>
        </w:rPr>
        <w:t xml:space="preserve">sobre Derechos Humanos </w:t>
      </w:r>
      <w:r w:rsidR="001B743D" w:rsidRPr="00BB6ADF">
        <w:rPr>
          <w:rFonts w:ascii="Verdana" w:hAnsi="Verdana"/>
          <w:sz w:val="16"/>
          <w:szCs w:val="16"/>
          <w:lang w:val="es-CR"/>
        </w:rPr>
        <w:t xml:space="preserve">y 30 de su Estatuto y </w:t>
      </w:r>
      <w:r w:rsidR="003F4420" w:rsidRPr="00BB6ADF">
        <w:rPr>
          <w:rFonts w:ascii="Verdana" w:hAnsi="Verdana"/>
          <w:sz w:val="16"/>
          <w:szCs w:val="16"/>
          <w:lang w:val="es-CR"/>
        </w:rPr>
        <w:t xml:space="preserve">se encuentra </w:t>
      </w:r>
      <w:r w:rsidR="001B743D" w:rsidRPr="00BB6ADF">
        <w:rPr>
          <w:rFonts w:ascii="Verdana" w:hAnsi="Verdana"/>
          <w:sz w:val="16"/>
          <w:szCs w:val="16"/>
          <w:lang w:val="es-CR"/>
        </w:rPr>
        <w:t>regulad</w:t>
      </w:r>
      <w:r w:rsidR="003F4420" w:rsidRPr="00BB6ADF">
        <w:rPr>
          <w:rFonts w:ascii="Verdana" w:hAnsi="Verdana"/>
          <w:sz w:val="16"/>
          <w:szCs w:val="16"/>
          <w:lang w:val="es-CR"/>
        </w:rPr>
        <w:t>a</w:t>
      </w:r>
      <w:r w:rsidR="001B743D" w:rsidRPr="00BB6ADF">
        <w:rPr>
          <w:rFonts w:ascii="Verdana" w:hAnsi="Verdana"/>
          <w:sz w:val="16"/>
          <w:szCs w:val="16"/>
          <w:lang w:val="es-CR"/>
        </w:rPr>
        <w:t xml:space="preserve"> en el artículo 69 de su Reglamento.</w:t>
      </w:r>
    </w:p>
  </w:footnote>
  <w:footnote w:id="5">
    <w:p w14:paraId="3AB22880" w14:textId="77777777" w:rsidR="0039227E" w:rsidRPr="00842317" w:rsidRDefault="0039227E">
      <w:pPr>
        <w:pStyle w:val="Textonotapie"/>
        <w:rPr>
          <w:rFonts w:ascii="Verdana" w:hAnsi="Verdana"/>
          <w:sz w:val="16"/>
          <w:szCs w:val="16"/>
          <w:lang w:val="es-CR"/>
        </w:rPr>
      </w:pPr>
      <w:r w:rsidRPr="00BB6ADF">
        <w:rPr>
          <w:rStyle w:val="Refdenotaalpie"/>
          <w:rFonts w:ascii="Verdana" w:hAnsi="Verdana"/>
          <w:sz w:val="16"/>
          <w:szCs w:val="16"/>
        </w:rPr>
        <w:footnoteRef/>
      </w:r>
      <w:r w:rsidRPr="00BB6ADF">
        <w:rPr>
          <w:rFonts w:ascii="Verdana" w:hAnsi="Verdana"/>
          <w:sz w:val="16"/>
          <w:szCs w:val="16"/>
          <w:lang w:val="es-CR"/>
        </w:rPr>
        <w:t xml:space="preserve"> </w:t>
      </w:r>
      <w:r w:rsidRPr="00BB6ADF">
        <w:rPr>
          <w:rFonts w:ascii="Verdana" w:hAnsi="Verdana"/>
          <w:sz w:val="16"/>
          <w:szCs w:val="16"/>
          <w:lang w:val="es-CR"/>
        </w:rPr>
        <w:tab/>
        <w:t>Punto dispositivo sexto de la Sentencia.</w:t>
      </w:r>
    </w:p>
  </w:footnote>
  <w:footnote w:id="6">
    <w:p w14:paraId="5FC89342" w14:textId="77777777" w:rsidR="00D2111D" w:rsidRPr="00842317" w:rsidRDefault="00D2111D">
      <w:pPr>
        <w:pStyle w:val="Textonotapie"/>
        <w:rPr>
          <w:lang w:val="es-CR"/>
        </w:rPr>
      </w:pPr>
      <w:r w:rsidRPr="00842317">
        <w:rPr>
          <w:rStyle w:val="Refdenotaalpie"/>
          <w:rFonts w:ascii="Verdana" w:hAnsi="Verdana"/>
          <w:sz w:val="16"/>
          <w:szCs w:val="16"/>
        </w:rPr>
        <w:footnoteRef/>
      </w:r>
      <w:r w:rsidRPr="00842317">
        <w:rPr>
          <w:rFonts w:ascii="Verdana" w:hAnsi="Verdana"/>
          <w:sz w:val="16"/>
          <w:szCs w:val="16"/>
          <w:lang w:val="es-CR"/>
        </w:rPr>
        <w:t xml:space="preserve"> </w:t>
      </w:r>
      <w:r w:rsidRPr="00842317">
        <w:rPr>
          <w:rFonts w:ascii="Verdana" w:hAnsi="Verdana"/>
          <w:sz w:val="16"/>
          <w:szCs w:val="16"/>
          <w:lang w:val="es-CR"/>
        </w:rPr>
        <w:tab/>
      </w:r>
      <w:r w:rsidR="00BB6ADF">
        <w:rPr>
          <w:rFonts w:ascii="Verdana" w:hAnsi="Verdana"/>
          <w:sz w:val="16"/>
          <w:szCs w:val="16"/>
          <w:lang w:val="es-CR"/>
        </w:rPr>
        <w:t>Considerandos 4 y 5 y puntos resolutivos 1 y 2 de la Resolución de 20 de noviembre de 2015.</w:t>
      </w:r>
    </w:p>
  </w:footnote>
  <w:footnote w:id="7">
    <w:p w14:paraId="2CC6463C" w14:textId="77777777" w:rsidR="00DA0EEB" w:rsidRPr="00041103" w:rsidRDefault="00DA0EEB" w:rsidP="00DA0EEB">
      <w:pPr>
        <w:pStyle w:val="Textonotapie"/>
        <w:jc w:val="both"/>
        <w:rPr>
          <w:rFonts w:ascii="Verdana" w:hAnsi="Verdana"/>
          <w:sz w:val="16"/>
          <w:szCs w:val="16"/>
          <w:lang w:val="es-CR"/>
        </w:rPr>
      </w:pPr>
      <w:r w:rsidRPr="00041103">
        <w:rPr>
          <w:rStyle w:val="Refdenotaalpie"/>
          <w:rFonts w:ascii="Verdana" w:hAnsi="Verdana"/>
          <w:sz w:val="16"/>
          <w:szCs w:val="16"/>
        </w:rPr>
        <w:footnoteRef/>
      </w:r>
      <w:r w:rsidRPr="00041103">
        <w:rPr>
          <w:rFonts w:ascii="Verdana" w:hAnsi="Verdana"/>
          <w:sz w:val="16"/>
          <w:szCs w:val="16"/>
          <w:lang w:val="es-CR"/>
        </w:rPr>
        <w:t xml:space="preserve"> </w:t>
      </w:r>
      <w:r w:rsidRPr="00041103">
        <w:rPr>
          <w:rFonts w:ascii="Verdana" w:hAnsi="Verdana"/>
          <w:sz w:val="16"/>
          <w:szCs w:val="16"/>
          <w:lang w:val="es-CR"/>
        </w:rPr>
        <w:tab/>
        <w:t xml:space="preserve">Los días 11 de marzo, 1 y 30 de julio de 2015, </w:t>
      </w:r>
      <w:r>
        <w:rPr>
          <w:rFonts w:ascii="Verdana" w:hAnsi="Verdana"/>
          <w:sz w:val="16"/>
          <w:szCs w:val="16"/>
          <w:lang w:val="es-CR"/>
        </w:rPr>
        <w:t>mediante</w:t>
      </w:r>
      <w:r w:rsidRPr="00041103">
        <w:rPr>
          <w:rFonts w:ascii="Verdana" w:hAnsi="Verdana"/>
          <w:sz w:val="16"/>
          <w:szCs w:val="16"/>
          <w:lang w:val="es-CR"/>
        </w:rPr>
        <w:t xml:space="preserve"> tres notas de la Secretaría de la Corte</w:t>
      </w:r>
      <w:r>
        <w:rPr>
          <w:rFonts w:ascii="Verdana" w:hAnsi="Verdana"/>
          <w:sz w:val="16"/>
          <w:szCs w:val="16"/>
          <w:lang w:val="es-CR"/>
        </w:rPr>
        <w:t>,</w:t>
      </w:r>
      <w:r w:rsidRPr="00041103">
        <w:rPr>
          <w:rFonts w:ascii="Verdana" w:hAnsi="Verdana"/>
          <w:sz w:val="16"/>
          <w:szCs w:val="16"/>
          <w:lang w:val="es-CR"/>
        </w:rPr>
        <w:t xml:space="preserve"> siguiendo instrucciones del Presidente del Tribunal, se</w:t>
      </w:r>
      <w:r>
        <w:rPr>
          <w:rFonts w:ascii="Verdana" w:hAnsi="Verdana"/>
          <w:sz w:val="16"/>
          <w:szCs w:val="16"/>
          <w:lang w:val="es-CR"/>
        </w:rPr>
        <w:t xml:space="preserve"> le</w:t>
      </w:r>
      <w:r w:rsidRPr="00041103">
        <w:rPr>
          <w:rFonts w:ascii="Verdana" w:hAnsi="Verdana"/>
          <w:sz w:val="16"/>
          <w:szCs w:val="16"/>
          <w:lang w:val="es-CR"/>
        </w:rPr>
        <w:t xml:space="preserve"> recordó que el 21 de diciembre de 2012 había vencido el plazo para que presentara el informe sobre el cumplimiento de las reparaciones requerido en la Sentencia. </w:t>
      </w:r>
    </w:p>
  </w:footnote>
  <w:footnote w:id="8">
    <w:p w14:paraId="4D813DEB" w14:textId="77777777" w:rsidR="00BB6ADF" w:rsidRPr="00842317" w:rsidRDefault="00BB6ADF">
      <w:pPr>
        <w:pStyle w:val="Textonotapie"/>
        <w:rPr>
          <w:rFonts w:ascii="Verdana" w:hAnsi="Verdana"/>
          <w:sz w:val="16"/>
          <w:szCs w:val="16"/>
          <w:lang w:val="es-CR"/>
        </w:rPr>
      </w:pPr>
      <w:r w:rsidRPr="00842317">
        <w:rPr>
          <w:rStyle w:val="Refdenotaalpie"/>
          <w:rFonts w:ascii="Verdana" w:hAnsi="Verdana"/>
          <w:sz w:val="16"/>
          <w:szCs w:val="16"/>
        </w:rPr>
        <w:footnoteRef/>
      </w:r>
      <w:r w:rsidRPr="00842317">
        <w:rPr>
          <w:rFonts w:ascii="Verdana" w:hAnsi="Verdana"/>
          <w:sz w:val="16"/>
          <w:szCs w:val="16"/>
          <w:lang w:val="es-CR"/>
        </w:rPr>
        <w:t xml:space="preserve"> </w:t>
      </w:r>
      <w:r w:rsidRPr="00CB7D03">
        <w:rPr>
          <w:rFonts w:ascii="Verdana" w:hAnsi="Verdana"/>
          <w:sz w:val="16"/>
          <w:szCs w:val="16"/>
          <w:lang w:val="es-CR"/>
        </w:rPr>
        <w:tab/>
      </w:r>
      <w:r w:rsidR="00CB7D03" w:rsidRPr="00CB7D03">
        <w:rPr>
          <w:rFonts w:ascii="Verdana" w:hAnsi="Verdana"/>
          <w:sz w:val="16"/>
          <w:szCs w:val="16"/>
          <w:lang w:val="es-CR"/>
        </w:rPr>
        <w:t>Considerandos 1 y 4 y puntos resolutivos 1 y 2 de la Resolución de 22 de noviembre de 2016.</w:t>
      </w:r>
    </w:p>
  </w:footnote>
  <w:footnote w:id="9">
    <w:p w14:paraId="72313D34" w14:textId="77777777" w:rsidR="001B743D" w:rsidRPr="00CB7D03" w:rsidRDefault="001B743D" w:rsidP="001B743D">
      <w:pPr>
        <w:pStyle w:val="Textonotapie"/>
        <w:jc w:val="both"/>
        <w:rPr>
          <w:rFonts w:ascii="Verdana" w:hAnsi="Verdana"/>
          <w:sz w:val="16"/>
          <w:szCs w:val="16"/>
          <w:lang w:val="es-CR"/>
        </w:rPr>
      </w:pPr>
      <w:r w:rsidRPr="00CB7D03">
        <w:rPr>
          <w:rStyle w:val="Refdenotaalpie"/>
          <w:rFonts w:ascii="Verdana" w:hAnsi="Verdana"/>
          <w:sz w:val="16"/>
          <w:szCs w:val="16"/>
        </w:rPr>
        <w:footnoteRef/>
      </w:r>
      <w:r w:rsidRPr="00CB7D03">
        <w:rPr>
          <w:rFonts w:ascii="Verdana" w:hAnsi="Verdana"/>
          <w:sz w:val="16"/>
          <w:szCs w:val="16"/>
          <w:lang w:val="es-CR"/>
        </w:rPr>
        <w:t xml:space="preserve"> </w:t>
      </w:r>
      <w:r w:rsidRPr="00CB7D03">
        <w:rPr>
          <w:rFonts w:ascii="Verdana" w:hAnsi="Verdana"/>
          <w:sz w:val="16"/>
          <w:szCs w:val="16"/>
          <w:lang w:val="es-CR"/>
        </w:rPr>
        <w:tab/>
      </w:r>
      <w:r w:rsidRPr="00CB7D03">
        <w:rPr>
          <w:rFonts w:ascii="Verdana" w:hAnsi="Verdana"/>
          <w:i/>
          <w:sz w:val="16"/>
          <w:szCs w:val="16"/>
          <w:lang w:val="es-CR"/>
        </w:rPr>
        <w:t xml:space="preserve">Cfr. </w:t>
      </w:r>
      <w:r w:rsidR="00CB7D03" w:rsidRPr="00CB7D03">
        <w:rPr>
          <w:rFonts w:ascii="Verdana" w:hAnsi="Verdana"/>
          <w:i/>
          <w:sz w:val="16"/>
          <w:szCs w:val="16"/>
          <w:lang w:val="es-CR"/>
        </w:rPr>
        <w:t>Caso Cinco Pensionistas Vs. Perú.</w:t>
      </w:r>
      <w:r w:rsidR="00CB7D03" w:rsidRPr="00CB7D03">
        <w:rPr>
          <w:rFonts w:ascii="Verdana" w:hAnsi="Verdana"/>
          <w:sz w:val="16"/>
          <w:szCs w:val="16"/>
          <w:lang w:val="es-CR"/>
        </w:rPr>
        <w:t xml:space="preserve"> </w:t>
      </w:r>
      <w:r w:rsidR="00CB7D03" w:rsidRPr="00CB7D03">
        <w:rPr>
          <w:rFonts w:ascii="Verdana" w:hAnsi="Verdana"/>
          <w:i/>
          <w:sz w:val="16"/>
          <w:szCs w:val="16"/>
          <w:lang w:val="es-CR"/>
        </w:rPr>
        <w:t>Supervisión de Cumplimiento de Sentencia.</w:t>
      </w:r>
      <w:r w:rsidR="00CB7D03" w:rsidRPr="00CB7D03">
        <w:rPr>
          <w:rFonts w:ascii="Verdana" w:hAnsi="Verdana"/>
          <w:sz w:val="16"/>
          <w:szCs w:val="16"/>
          <w:lang w:val="es-CR"/>
        </w:rPr>
        <w:t xml:space="preserve"> Resolución de la Corte Interamericana de Derechos Humanos de 17 de noviembre de 2004, Considerando 5,</w:t>
      </w:r>
      <w:r w:rsidR="00CB7D03" w:rsidRPr="00450D61">
        <w:rPr>
          <w:rFonts w:ascii="Verdana" w:hAnsi="Verdana"/>
          <w:sz w:val="16"/>
          <w:szCs w:val="16"/>
          <w:lang w:val="es-CR"/>
        </w:rPr>
        <w:t xml:space="preserve"> </w:t>
      </w:r>
      <w:r w:rsidR="0051692D" w:rsidRPr="00842317">
        <w:rPr>
          <w:rFonts w:ascii="Verdana" w:hAnsi="Verdana"/>
          <w:sz w:val="16"/>
          <w:szCs w:val="16"/>
          <w:lang w:val="es-CR"/>
        </w:rPr>
        <w:t xml:space="preserve"> y </w:t>
      </w:r>
      <w:r w:rsidR="000F4A7F" w:rsidRPr="00842317">
        <w:rPr>
          <w:rFonts w:ascii="Verdana" w:hAnsi="Verdana"/>
          <w:i/>
          <w:sz w:val="16"/>
          <w:szCs w:val="16"/>
          <w:lang w:val="es-CR"/>
        </w:rPr>
        <w:t>Caso Amrhein y otros Vs. Costa Rica. Supervisión de Cumplimiento de Sentencia y Reintegro al Fondo de Asistencia Legal de Víctimas</w:t>
      </w:r>
      <w:r w:rsidR="000F4A7F" w:rsidRPr="00CB7D03">
        <w:rPr>
          <w:rFonts w:ascii="Verdana" w:hAnsi="Verdana"/>
          <w:sz w:val="16"/>
          <w:szCs w:val="16"/>
          <w:lang w:val="es-CR"/>
        </w:rPr>
        <w:t>. Resolución de la Corte Interamericana de Derechos Humanos de 7 de octubre de 2019, Considerando 2</w:t>
      </w:r>
      <w:r w:rsidR="0051692D" w:rsidRPr="00CB7D03">
        <w:rPr>
          <w:rFonts w:ascii="Verdana" w:hAnsi="Verdana"/>
          <w:sz w:val="16"/>
          <w:szCs w:val="16"/>
          <w:lang w:val="es-CR"/>
        </w:rPr>
        <w:t>.</w:t>
      </w:r>
    </w:p>
  </w:footnote>
  <w:footnote w:id="10">
    <w:p w14:paraId="6605F61D" w14:textId="77777777" w:rsidR="00CB7D03" w:rsidRPr="00842317" w:rsidRDefault="00CB7D03" w:rsidP="00842317">
      <w:pPr>
        <w:pStyle w:val="Textonotapie"/>
        <w:jc w:val="both"/>
        <w:rPr>
          <w:rFonts w:ascii="Verdana" w:hAnsi="Verdana"/>
          <w:sz w:val="16"/>
          <w:szCs w:val="16"/>
          <w:lang w:val="es-CR"/>
        </w:rPr>
      </w:pPr>
      <w:r w:rsidRPr="00842317">
        <w:rPr>
          <w:rStyle w:val="Refdenotaalpie"/>
          <w:rFonts w:ascii="Verdana" w:hAnsi="Verdana"/>
          <w:sz w:val="16"/>
          <w:szCs w:val="16"/>
        </w:rPr>
        <w:footnoteRef/>
      </w:r>
      <w:r w:rsidRPr="00842317">
        <w:rPr>
          <w:rFonts w:ascii="Verdana" w:hAnsi="Verdana"/>
          <w:sz w:val="16"/>
          <w:szCs w:val="16"/>
          <w:lang w:val="es-CR"/>
        </w:rPr>
        <w:t xml:space="preserve"> </w:t>
      </w:r>
      <w:r w:rsidRPr="00CB7D03">
        <w:rPr>
          <w:rFonts w:ascii="Verdana" w:hAnsi="Verdana"/>
          <w:sz w:val="16"/>
          <w:szCs w:val="16"/>
          <w:lang w:val="es-CR"/>
        </w:rPr>
        <w:tab/>
      </w:r>
      <w:r w:rsidRPr="00842317">
        <w:rPr>
          <w:rFonts w:ascii="Verdana" w:hAnsi="Verdana"/>
          <w:i/>
          <w:sz w:val="16"/>
          <w:szCs w:val="16"/>
          <w:lang w:val="es-CR"/>
        </w:rPr>
        <w:t>Cfr. Caso Gelman Vs. Uruguay. Supervisión de Cumplimiento de Sentencia.</w:t>
      </w:r>
      <w:r w:rsidRPr="00842317">
        <w:rPr>
          <w:rFonts w:ascii="Verdana" w:hAnsi="Verdana"/>
          <w:sz w:val="16"/>
          <w:szCs w:val="16"/>
          <w:lang w:val="es-CR"/>
        </w:rPr>
        <w:t xml:space="preserve"> Resolución de la Corte Interamericana de Derechos Humanos de 20 de marzo de 2013, Considerandos 61 y 68, y </w:t>
      </w:r>
      <w:r w:rsidRPr="00CB7D03">
        <w:rPr>
          <w:rStyle w:val="Textoennegrita"/>
          <w:rFonts w:ascii="Verdana" w:hAnsi="Verdana"/>
          <w:b w:val="0"/>
          <w:i/>
          <w:color w:val="000000"/>
          <w:sz w:val="16"/>
          <w:szCs w:val="16"/>
          <w:shd w:val="clear" w:color="auto" w:fill="FFFFFF"/>
          <w:lang w:val="es-CR"/>
        </w:rPr>
        <w:t>Caso de las Niñas Yean y Bosico y Caso de Personas dominicanas y haitianas expulsadas Vs. República Dominicana.</w:t>
      </w:r>
      <w:r w:rsidRPr="00CB7D03">
        <w:rPr>
          <w:rStyle w:val="Textoennegrita"/>
          <w:rFonts w:ascii="Verdana" w:hAnsi="Verdana"/>
          <w:b w:val="0"/>
          <w:color w:val="000000"/>
          <w:sz w:val="16"/>
          <w:szCs w:val="16"/>
          <w:shd w:val="clear" w:color="auto" w:fill="FFFFFF"/>
          <w:lang w:val="es-CR"/>
        </w:rPr>
        <w:t xml:space="preserve"> </w:t>
      </w:r>
      <w:r w:rsidRPr="00842317">
        <w:rPr>
          <w:rStyle w:val="Textoennegrita"/>
          <w:rFonts w:ascii="Verdana" w:hAnsi="Verdana"/>
          <w:b w:val="0"/>
          <w:i/>
          <w:color w:val="000000"/>
          <w:sz w:val="16"/>
          <w:szCs w:val="16"/>
          <w:shd w:val="clear" w:color="auto" w:fill="FFFFFF"/>
          <w:lang w:val="es-CR"/>
        </w:rPr>
        <w:t>Supervisión de Cumplimiento de Sentencias y Competencia.</w:t>
      </w:r>
      <w:r w:rsidRPr="00CB7D03">
        <w:rPr>
          <w:rStyle w:val="Textoennegrita"/>
          <w:rFonts w:ascii="Verdana" w:hAnsi="Verdana"/>
          <w:b w:val="0"/>
          <w:color w:val="000000"/>
          <w:sz w:val="16"/>
          <w:szCs w:val="16"/>
          <w:shd w:val="clear" w:color="auto" w:fill="FFFFFF"/>
          <w:lang w:val="es-CR"/>
        </w:rPr>
        <w:t xml:space="preserve"> Resolución de la Corte Interamericana de Derechos Humanos de 12 de marzo de 2019, Considerando 2</w:t>
      </w:r>
      <w:r w:rsidRPr="00450D61">
        <w:rPr>
          <w:rStyle w:val="Textoennegrita"/>
          <w:rFonts w:ascii="Verdana" w:hAnsi="Verdana"/>
          <w:b w:val="0"/>
          <w:color w:val="000000"/>
          <w:sz w:val="16"/>
          <w:szCs w:val="16"/>
          <w:shd w:val="clear" w:color="auto" w:fill="FFFFFF"/>
          <w:lang w:val="es-CR"/>
        </w:rPr>
        <w:t>0.</w:t>
      </w:r>
    </w:p>
  </w:footnote>
  <w:footnote w:id="11">
    <w:p w14:paraId="0DBFAB0D" w14:textId="77777777" w:rsidR="00450D61" w:rsidRPr="0051692D" w:rsidRDefault="00450D61" w:rsidP="00450D61">
      <w:pPr>
        <w:pStyle w:val="Textonotapie"/>
        <w:jc w:val="both"/>
        <w:rPr>
          <w:rFonts w:ascii="Verdana" w:hAnsi="Verdana"/>
          <w:sz w:val="16"/>
          <w:szCs w:val="16"/>
          <w:lang w:val="es-CR"/>
        </w:rPr>
      </w:pPr>
      <w:r w:rsidRPr="0051692D">
        <w:rPr>
          <w:rStyle w:val="Refdenotaalpie"/>
          <w:rFonts w:ascii="Verdana" w:hAnsi="Verdana"/>
          <w:sz w:val="16"/>
          <w:szCs w:val="16"/>
        </w:rPr>
        <w:footnoteRef/>
      </w:r>
      <w:r w:rsidRPr="0051692D">
        <w:rPr>
          <w:rFonts w:ascii="Verdana" w:hAnsi="Verdana"/>
          <w:sz w:val="16"/>
          <w:szCs w:val="16"/>
          <w:lang w:val="es-CR"/>
        </w:rPr>
        <w:t xml:space="preserve"> </w:t>
      </w:r>
      <w:r w:rsidRPr="0051692D">
        <w:rPr>
          <w:rFonts w:ascii="Verdana" w:hAnsi="Verdana"/>
          <w:sz w:val="16"/>
          <w:szCs w:val="16"/>
          <w:lang w:val="es-CR"/>
        </w:rPr>
        <w:tab/>
      </w:r>
      <w:r w:rsidRPr="00EC2725">
        <w:rPr>
          <w:rFonts w:ascii="Verdana" w:hAnsi="Verdana"/>
          <w:i/>
          <w:sz w:val="16"/>
          <w:szCs w:val="16"/>
          <w:lang w:val="es-MX"/>
        </w:rPr>
        <w:t xml:space="preserve">Cfr. </w:t>
      </w:r>
      <w:r w:rsidRPr="00842317">
        <w:rPr>
          <w:rFonts w:ascii="Verdana" w:hAnsi="Verdana"/>
          <w:i/>
          <w:sz w:val="16"/>
          <w:szCs w:val="16"/>
          <w:lang w:val="es-CR"/>
        </w:rPr>
        <w:t xml:space="preserve">Caso Castillo Petruzzi y otros Vs. Perú. Supervisión de Cumplimiento de Sentencia. </w:t>
      </w:r>
      <w:r w:rsidRPr="00842317">
        <w:rPr>
          <w:rFonts w:ascii="Verdana" w:hAnsi="Verdana"/>
          <w:sz w:val="16"/>
          <w:szCs w:val="16"/>
          <w:lang w:val="es-CR"/>
        </w:rPr>
        <w:t xml:space="preserve">Resolución de la Corte Interamericana de Derechos Humanos de 17 de noviembre de 1999, </w:t>
      </w:r>
      <w:r w:rsidRPr="00450D61">
        <w:rPr>
          <w:rFonts w:ascii="Verdana" w:hAnsi="Verdana"/>
          <w:sz w:val="16"/>
          <w:szCs w:val="16"/>
          <w:lang w:val="es-MX"/>
        </w:rPr>
        <w:t xml:space="preserve"> Considerando 3,</w:t>
      </w:r>
      <w:r w:rsidRPr="00EC2725">
        <w:rPr>
          <w:rFonts w:ascii="Verdana" w:hAnsi="Verdana"/>
          <w:sz w:val="16"/>
          <w:szCs w:val="16"/>
          <w:lang w:val="es-MX"/>
        </w:rPr>
        <w:t xml:space="preserve"> y</w:t>
      </w:r>
      <w:r w:rsidRPr="00EC2725">
        <w:rPr>
          <w:rFonts w:ascii="Verdana" w:hAnsi="Verdana"/>
          <w:sz w:val="16"/>
          <w:szCs w:val="16"/>
          <w:lang w:val="es-AR"/>
        </w:rPr>
        <w:t xml:space="preserve"> </w:t>
      </w:r>
      <w:r w:rsidRPr="00695AB5">
        <w:rPr>
          <w:rStyle w:val="Textoennegrita"/>
          <w:rFonts w:ascii="Verdana" w:hAnsi="Verdana"/>
          <w:b w:val="0"/>
          <w:i/>
          <w:color w:val="000000"/>
          <w:sz w:val="16"/>
          <w:szCs w:val="16"/>
          <w:shd w:val="clear" w:color="auto" w:fill="FFFFFF"/>
          <w:lang w:val="es-CR"/>
        </w:rPr>
        <w:t>Caso de las Niñas Yean y Bosico y Caso de Personas dominicanas y haitianas expulsadas Vs. República Dominicana</w:t>
      </w:r>
      <w:r w:rsidRPr="00695AB5">
        <w:rPr>
          <w:rStyle w:val="Textoennegrita"/>
          <w:rFonts w:ascii="Verdana" w:hAnsi="Verdana"/>
          <w:b w:val="0"/>
          <w:color w:val="000000"/>
          <w:sz w:val="16"/>
          <w:szCs w:val="16"/>
          <w:shd w:val="clear" w:color="auto" w:fill="FFFFFF"/>
          <w:lang w:val="es-CR"/>
        </w:rPr>
        <w:t xml:space="preserve">, </w:t>
      </w:r>
      <w:r>
        <w:rPr>
          <w:rStyle w:val="Textoennegrita"/>
          <w:rFonts w:ascii="Verdana" w:hAnsi="Verdana"/>
          <w:b w:val="0"/>
          <w:i/>
          <w:color w:val="000000"/>
          <w:sz w:val="16"/>
          <w:szCs w:val="16"/>
          <w:shd w:val="clear" w:color="auto" w:fill="FFFFFF"/>
          <w:lang w:val="es-CR"/>
        </w:rPr>
        <w:t xml:space="preserve">supra </w:t>
      </w:r>
      <w:r w:rsidR="00DC4669">
        <w:rPr>
          <w:rStyle w:val="Textoennegrita"/>
          <w:rFonts w:ascii="Verdana" w:hAnsi="Verdana"/>
          <w:b w:val="0"/>
          <w:color w:val="000000"/>
          <w:sz w:val="16"/>
          <w:szCs w:val="16"/>
          <w:shd w:val="clear" w:color="auto" w:fill="FFFFFF"/>
          <w:lang w:val="es-CR"/>
        </w:rPr>
        <w:t>nota 10</w:t>
      </w:r>
      <w:r>
        <w:rPr>
          <w:rStyle w:val="Textoennegrita"/>
          <w:rFonts w:ascii="Verdana" w:hAnsi="Verdana"/>
          <w:b w:val="0"/>
          <w:color w:val="000000"/>
          <w:sz w:val="16"/>
          <w:szCs w:val="16"/>
          <w:shd w:val="clear" w:color="auto" w:fill="FFFFFF"/>
          <w:lang w:val="es-CR"/>
        </w:rPr>
        <w:t xml:space="preserve">, </w:t>
      </w:r>
      <w:r w:rsidRPr="00695AB5">
        <w:rPr>
          <w:rStyle w:val="Textoennegrita"/>
          <w:rFonts w:ascii="Verdana" w:hAnsi="Verdana"/>
          <w:b w:val="0"/>
          <w:color w:val="000000"/>
          <w:sz w:val="16"/>
          <w:szCs w:val="16"/>
          <w:shd w:val="clear" w:color="auto" w:fill="FFFFFF"/>
          <w:lang w:val="es-CR"/>
        </w:rPr>
        <w:t xml:space="preserve">Considerando 21. </w:t>
      </w:r>
    </w:p>
  </w:footnote>
  <w:footnote w:id="12">
    <w:p w14:paraId="0D11D683" w14:textId="77777777" w:rsidR="001B743D" w:rsidRPr="00842317" w:rsidRDefault="001B743D" w:rsidP="0051692D">
      <w:pPr>
        <w:pStyle w:val="Textonotapie"/>
        <w:jc w:val="both"/>
        <w:rPr>
          <w:rFonts w:ascii="Verdana" w:hAnsi="Verdana"/>
          <w:sz w:val="16"/>
          <w:szCs w:val="16"/>
          <w:lang w:val="es-CR"/>
        </w:rPr>
      </w:pPr>
      <w:r w:rsidRPr="0051692D">
        <w:rPr>
          <w:rStyle w:val="Refdenotaalpie"/>
          <w:rFonts w:ascii="Verdana" w:hAnsi="Verdana"/>
          <w:sz w:val="16"/>
          <w:szCs w:val="16"/>
        </w:rPr>
        <w:footnoteRef/>
      </w:r>
      <w:r w:rsidRPr="0051692D">
        <w:rPr>
          <w:rFonts w:ascii="Verdana" w:hAnsi="Verdana"/>
          <w:sz w:val="16"/>
          <w:szCs w:val="16"/>
          <w:lang w:val="es-CR"/>
        </w:rPr>
        <w:t xml:space="preserve"> </w:t>
      </w:r>
      <w:r w:rsidRPr="00450D61">
        <w:rPr>
          <w:rFonts w:ascii="Verdana" w:hAnsi="Verdana"/>
          <w:sz w:val="16"/>
          <w:szCs w:val="16"/>
          <w:lang w:val="es-CR"/>
        </w:rPr>
        <w:tab/>
      </w:r>
      <w:r w:rsidR="0051692D" w:rsidRPr="00450D61">
        <w:rPr>
          <w:rFonts w:ascii="Verdana" w:hAnsi="Verdana"/>
          <w:i/>
          <w:sz w:val="16"/>
          <w:szCs w:val="16"/>
          <w:lang w:val="es-CR"/>
        </w:rPr>
        <w:t>Cfr. Caso Garrido y Baigorria. Reparaciones (art. 63.1 Convención Americana sobre Derechos Humanos)</w:t>
      </w:r>
      <w:r w:rsidR="0051692D" w:rsidRPr="00450D61">
        <w:rPr>
          <w:rFonts w:ascii="Verdana" w:hAnsi="Verdana"/>
          <w:sz w:val="16"/>
          <w:szCs w:val="16"/>
          <w:lang w:val="es-CR"/>
        </w:rPr>
        <w:t xml:space="preserve">. Sentencia de 27 de agosto de 1998. Serie C No. 39, párr. 40, y </w:t>
      </w:r>
      <w:r w:rsidR="000F4A7F" w:rsidRPr="00842317">
        <w:rPr>
          <w:rFonts w:ascii="Verdana" w:hAnsi="Verdana"/>
          <w:i/>
          <w:sz w:val="16"/>
          <w:szCs w:val="16"/>
          <w:lang w:val="es-CR"/>
        </w:rPr>
        <w:t>Caso de</w:t>
      </w:r>
      <w:r w:rsidR="00450D61" w:rsidRPr="00450D61">
        <w:rPr>
          <w:rFonts w:ascii="Verdana" w:hAnsi="Verdana"/>
          <w:i/>
          <w:sz w:val="16"/>
          <w:szCs w:val="16"/>
          <w:lang w:val="es-CR"/>
        </w:rPr>
        <w:t xml:space="preserve"> </w:t>
      </w:r>
      <w:r w:rsidR="000F4A7F" w:rsidRPr="00842317">
        <w:rPr>
          <w:rFonts w:ascii="Verdana" w:hAnsi="Verdana"/>
          <w:i/>
          <w:sz w:val="16"/>
          <w:szCs w:val="16"/>
          <w:lang w:val="es-CR"/>
        </w:rPr>
        <w:t>l</w:t>
      </w:r>
      <w:r w:rsidR="00450D61" w:rsidRPr="00450D61">
        <w:rPr>
          <w:rFonts w:ascii="Verdana" w:hAnsi="Verdana"/>
          <w:i/>
          <w:sz w:val="16"/>
          <w:szCs w:val="16"/>
          <w:lang w:val="es-CR"/>
        </w:rPr>
        <w:t>a</w:t>
      </w:r>
      <w:r w:rsidR="000F4A7F" w:rsidRPr="00842317">
        <w:rPr>
          <w:rFonts w:ascii="Verdana" w:hAnsi="Verdana"/>
          <w:i/>
          <w:sz w:val="16"/>
          <w:szCs w:val="16"/>
          <w:lang w:val="es-CR"/>
        </w:rPr>
        <w:t xml:space="preserve"> </w:t>
      </w:r>
      <w:r w:rsidR="00450D61" w:rsidRPr="00450D61">
        <w:rPr>
          <w:rFonts w:ascii="Verdana" w:hAnsi="Verdana"/>
          <w:i/>
          <w:sz w:val="16"/>
          <w:szCs w:val="16"/>
          <w:lang w:val="es-CR"/>
        </w:rPr>
        <w:t>Comunidad Moiwana</w:t>
      </w:r>
      <w:r w:rsidR="000F4A7F" w:rsidRPr="00842317">
        <w:rPr>
          <w:rFonts w:ascii="Verdana" w:hAnsi="Verdana"/>
          <w:i/>
          <w:sz w:val="16"/>
          <w:szCs w:val="16"/>
          <w:lang w:val="es-CR"/>
        </w:rPr>
        <w:t xml:space="preserve"> Vs. Surinam. Supervisión de Cumplimiento de Sentencia</w:t>
      </w:r>
      <w:r w:rsidR="000F4A7F" w:rsidRPr="00450D61">
        <w:rPr>
          <w:rFonts w:ascii="Verdana" w:hAnsi="Verdana"/>
          <w:sz w:val="16"/>
          <w:szCs w:val="16"/>
          <w:lang w:val="es-CR"/>
        </w:rPr>
        <w:t xml:space="preserve">. Resolución de la Corte Interamericana de Derechos Humanos de </w:t>
      </w:r>
      <w:r w:rsidR="00450D61" w:rsidRPr="00450D61">
        <w:rPr>
          <w:rFonts w:ascii="Verdana" w:hAnsi="Verdana"/>
          <w:sz w:val="16"/>
          <w:szCs w:val="16"/>
          <w:lang w:val="es-CR"/>
        </w:rPr>
        <w:t>21</w:t>
      </w:r>
      <w:r w:rsidR="000F4A7F" w:rsidRPr="00161293">
        <w:rPr>
          <w:rFonts w:ascii="Verdana" w:hAnsi="Verdana"/>
          <w:sz w:val="16"/>
          <w:szCs w:val="16"/>
          <w:lang w:val="es-CR"/>
        </w:rPr>
        <w:t xml:space="preserve"> de </w:t>
      </w:r>
      <w:r w:rsidR="00450D61" w:rsidRPr="00842317">
        <w:rPr>
          <w:rFonts w:ascii="Verdana" w:hAnsi="Verdana"/>
          <w:sz w:val="16"/>
          <w:szCs w:val="16"/>
          <w:lang w:val="es-CR"/>
        </w:rPr>
        <w:t xml:space="preserve">noviembre </w:t>
      </w:r>
      <w:r w:rsidR="000F4A7F" w:rsidRPr="00842317">
        <w:rPr>
          <w:rFonts w:ascii="Verdana" w:hAnsi="Verdana"/>
          <w:sz w:val="16"/>
          <w:szCs w:val="16"/>
          <w:lang w:val="es-CR"/>
        </w:rPr>
        <w:t>de 2018, Considerando 3</w:t>
      </w:r>
      <w:r w:rsidR="0051692D" w:rsidRPr="00842317">
        <w:rPr>
          <w:rFonts w:ascii="Verdana" w:hAnsi="Verdana"/>
          <w:sz w:val="16"/>
          <w:szCs w:val="16"/>
          <w:lang w:val="es-CR"/>
        </w:rPr>
        <w:t>.</w:t>
      </w:r>
    </w:p>
  </w:footnote>
  <w:footnote w:id="13">
    <w:p w14:paraId="005F0954" w14:textId="77777777" w:rsidR="001B743D" w:rsidRPr="00842317" w:rsidRDefault="001B743D" w:rsidP="0051692D">
      <w:pPr>
        <w:pStyle w:val="Textonotapie"/>
        <w:jc w:val="both"/>
        <w:rPr>
          <w:rFonts w:ascii="Verdana" w:hAnsi="Verdana"/>
          <w:sz w:val="16"/>
          <w:szCs w:val="16"/>
          <w:lang w:val="es-CR"/>
        </w:rPr>
      </w:pPr>
      <w:r w:rsidRPr="00450D61">
        <w:rPr>
          <w:rStyle w:val="Refdenotaalpie"/>
          <w:rFonts w:ascii="Verdana" w:hAnsi="Verdana"/>
          <w:sz w:val="16"/>
          <w:szCs w:val="16"/>
        </w:rPr>
        <w:footnoteRef/>
      </w:r>
      <w:r w:rsidRPr="00450D61">
        <w:rPr>
          <w:rFonts w:ascii="Verdana" w:hAnsi="Verdana"/>
          <w:sz w:val="16"/>
          <w:szCs w:val="16"/>
          <w:lang w:val="es-CR"/>
        </w:rPr>
        <w:t xml:space="preserve"> </w:t>
      </w:r>
      <w:r w:rsidRPr="00450D61">
        <w:rPr>
          <w:rFonts w:ascii="Verdana" w:hAnsi="Verdana"/>
          <w:sz w:val="16"/>
          <w:szCs w:val="16"/>
          <w:lang w:val="es-CR"/>
        </w:rPr>
        <w:tab/>
      </w:r>
      <w:r w:rsidR="0051692D" w:rsidRPr="00450D61">
        <w:rPr>
          <w:rFonts w:ascii="Verdana" w:hAnsi="Verdana"/>
          <w:i/>
          <w:sz w:val="16"/>
          <w:szCs w:val="16"/>
          <w:lang w:val="es-CR"/>
        </w:rPr>
        <w:t>Cfr. Caso Castillo Páez Vs. Perú. Reparaciones y Costas</w:t>
      </w:r>
      <w:r w:rsidR="0051692D" w:rsidRPr="00450D61">
        <w:rPr>
          <w:rFonts w:ascii="Verdana" w:hAnsi="Verdana"/>
          <w:sz w:val="16"/>
          <w:szCs w:val="16"/>
          <w:lang w:val="es-CR"/>
        </w:rPr>
        <w:t xml:space="preserve">. Sentencia de 27 de noviembre de 1998. </w:t>
      </w:r>
      <w:r w:rsidR="0051692D" w:rsidRPr="00842317">
        <w:rPr>
          <w:rFonts w:ascii="Verdana" w:hAnsi="Verdana"/>
          <w:sz w:val="16"/>
          <w:szCs w:val="16"/>
          <w:lang w:val="es-CR"/>
        </w:rPr>
        <w:t xml:space="preserve">Serie C No. 43, párr. 50 y </w:t>
      </w:r>
      <w:r w:rsidR="000F4A7F" w:rsidRPr="00842317">
        <w:rPr>
          <w:rFonts w:ascii="Verdana" w:hAnsi="Verdana"/>
          <w:i/>
          <w:sz w:val="16"/>
          <w:szCs w:val="16"/>
          <w:lang w:val="es-CR"/>
        </w:rPr>
        <w:t xml:space="preserve">Caso de la Comunidad </w:t>
      </w:r>
      <w:r w:rsidR="00C05EF7">
        <w:rPr>
          <w:rFonts w:ascii="Verdana" w:hAnsi="Verdana"/>
          <w:i/>
          <w:sz w:val="16"/>
          <w:szCs w:val="16"/>
          <w:lang w:val="es-CR"/>
        </w:rPr>
        <w:t>Moiwana Vs. Surinam</w:t>
      </w:r>
      <w:r w:rsidR="000F4A7F" w:rsidRPr="00450D61">
        <w:rPr>
          <w:rFonts w:ascii="Verdana" w:hAnsi="Verdana"/>
          <w:sz w:val="16"/>
          <w:szCs w:val="16"/>
          <w:lang w:val="es-CR"/>
        </w:rPr>
        <w:t>,</w:t>
      </w:r>
      <w:r w:rsidR="00C05EF7">
        <w:rPr>
          <w:rFonts w:ascii="Verdana" w:hAnsi="Verdana"/>
          <w:sz w:val="16"/>
          <w:szCs w:val="16"/>
          <w:lang w:val="es-CR"/>
        </w:rPr>
        <w:t xml:space="preserve"> </w:t>
      </w:r>
      <w:r w:rsidR="00C05EF7" w:rsidRPr="00C05EF7">
        <w:rPr>
          <w:rFonts w:ascii="Verdana" w:hAnsi="Verdana"/>
          <w:i/>
          <w:sz w:val="16"/>
          <w:szCs w:val="16"/>
          <w:lang w:val="es-CR"/>
        </w:rPr>
        <w:t xml:space="preserve">supra </w:t>
      </w:r>
      <w:r w:rsidR="00C05EF7">
        <w:rPr>
          <w:rFonts w:ascii="Verdana" w:hAnsi="Verdana"/>
          <w:sz w:val="16"/>
          <w:szCs w:val="16"/>
          <w:lang w:val="es-CR"/>
        </w:rPr>
        <w:t>nota 12,</w:t>
      </w:r>
      <w:r w:rsidR="000F4A7F" w:rsidRPr="00450D61">
        <w:rPr>
          <w:rFonts w:ascii="Verdana" w:hAnsi="Verdana"/>
          <w:sz w:val="16"/>
          <w:szCs w:val="16"/>
          <w:lang w:val="es-CR"/>
        </w:rPr>
        <w:t xml:space="preserve"> Considerando 3</w:t>
      </w:r>
      <w:r w:rsidR="0051692D" w:rsidRPr="00842317">
        <w:rPr>
          <w:rFonts w:ascii="Verdana" w:hAnsi="Verdana"/>
          <w:sz w:val="16"/>
          <w:szCs w:val="16"/>
          <w:lang w:val="es-CR"/>
        </w:rPr>
        <w:t>.</w:t>
      </w:r>
    </w:p>
  </w:footnote>
  <w:footnote w:id="14">
    <w:p w14:paraId="58F595A9" w14:textId="77777777" w:rsidR="000F5A2E" w:rsidRPr="00574B74" w:rsidRDefault="000F5A2E" w:rsidP="00574B74">
      <w:pPr>
        <w:pStyle w:val="Textonotapie"/>
        <w:jc w:val="both"/>
        <w:rPr>
          <w:rFonts w:ascii="Verdana" w:hAnsi="Verdana"/>
          <w:sz w:val="16"/>
          <w:szCs w:val="16"/>
          <w:lang w:val="es-CR"/>
        </w:rPr>
      </w:pPr>
      <w:r w:rsidRPr="00574B74">
        <w:rPr>
          <w:rStyle w:val="Refdenotaalpie"/>
          <w:rFonts w:ascii="Verdana" w:hAnsi="Verdana"/>
          <w:sz w:val="16"/>
          <w:szCs w:val="16"/>
        </w:rPr>
        <w:footnoteRef/>
      </w:r>
      <w:r w:rsidRPr="00842317">
        <w:rPr>
          <w:rFonts w:ascii="Verdana" w:hAnsi="Verdana"/>
          <w:sz w:val="16"/>
          <w:szCs w:val="16"/>
          <w:lang w:val="es-CR"/>
        </w:rPr>
        <w:t xml:space="preserve"> </w:t>
      </w:r>
      <w:r w:rsidRPr="00842317">
        <w:rPr>
          <w:rFonts w:ascii="Verdana" w:hAnsi="Verdana"/>
          <w:sz w:val="16"/>
          <w:szCs w:val="16"/>
          <w:lang w:val="es-CR"/>
        </w:rPr>
        <w:tab/>
      </w:r>
      <w:r w:rsidRPr="00574B74">
        <w:rPr>
          <w:rFonts w:ascii="Verdana" w:hAnsi="Verdana"/>
          <w:i/>
          <w:sz w:val="16"/>
          <w:szCs w:val="16"/>
          <w:lang w:val="es-CR"/>
        </w:rPr>
        <w:t xml:space="preserve">Cfr. Caso </w:t>
      </w:r>
      <w:r w:rsidRPr="00574B74">
        <w:rPr>
          <w:rFonts w:ascii="Verdana" w:hAnsi="Verdana"/>
          <w:bCs/>
          <w:i/>
          <w:sz w:val="16"/>
          <w:szCs w:val="16"/>
          <w:lang w:val="es-CR"/>
        </w:rPr>
        <w:t>Baena Ricardo y otros Vs. Panamá. Competencia.</w:t>
      </w:r>
      <w:r w:rsidRPr="00574B74">
        <w:rPr>
          <w:rFonts w:ascii="Verdana" w:hAnsi="Verdana"/>
          <w:bCs/>
          <w:sz w:val="16"/>
          <w:szCs w:val="16"/>
          <w:lang w:val="es-CR"/>
        </w:rPr>
        <w:t xml:space="preserve"> Sentencia de 28 de noviembre de 2003. Serie C No. 104, párr. 83 y </w:t>
      </w:r>
      <w:r w:rsidR="00695AB5" w:rsidRPr="003C4CD5">
        <w:rPr>
          <w:rStyle w:val="Textoennegrita"/>
          <w:rFonts w:ascii="Verdana" w:hAnsi="Verdana"/>
          <w:b w:val="0"/>
          <w:i/>
          <w:color w:val="000000"/>
          <w:sz w:val="16"/>
          <w:szCs w:val="16"/>
          <w:shd w:val="clear" w:color="auto" w:fill="FFFFFF"/>
          <w:lang w:val="es-CR"/>
        </w:rPr>
        <w:t>Caso de las Niñas Yean y Bosico y Caso de Personas dominicanas y haitianas expulsadas Vs. República Dominicana</w:t>
      </w:r>
      <w:r w:rsidR="00695AB5" w:rsidRPr="003C4CD5">
        <w:rPr>
          <w:rStyle w:val="Textoennegrita"/>
          <w:rFonts w:ascii="Verdana" w:hAnsi="Verdana"/>
          <w:b w:val="0"/>
          <w:color w:val="000000"/>
          <w:sz w:val="16"/>
          <w:szCs w:val="16"/>
          <w:shd w:val="clear" w:color="auto" w:fill="FFFFFF"/>
          <w:lang w:val="es-CR"/>
        </w:rPr>
        <w:t xml:space="preserve">, </w:t>
      </w:r>
      <w:r w:rsidR="00450D61">
        <w:rPr>
          <w:rStyle w:val="Textoennegrita"/>
          <w:rFonts w:ascii="Verdana" w:hAnsi="Verdana"/>
          <w:b w:val="0"/>
          <w:i/>
          <w:color w:val="000000"/>
          <w:sz w:val="16"/>
          <w:szCs w:val="16"/>
          <w:shd w:val="clear" w:color="auto" w:fill="FFFFFF"/>
          <w:lang w:val="es-CR"/>
        </w:rPr>
        <w:t xml:space="preserve">supra </w:t>
      </w:r>
      <w:r w:rsidR="00450D61">
        <w:rPr>
          <w:rStyle w:val="Textoennegrita"/>
          <w:rFonts w:ascii="Verdana" w:hAnsi="Verdana"/>
          <w:b w:val="0"/>
          <w:color w:val="000000"/>
          <w:sz w:val="16"/>
          <w:szCs w:val="16"/>
          <w:shd w:val="clear" w:color="auto" w:fill="FFFFFF"/>
          <w:lang w:val="es-CR"/>
        </w:rPr>
        <w:t xml:space="preserve">nota </w:t>
      </w:r>
      <w:r w:rsidR="00DC4669">
        <w:rPr>
          <w:rStyle w:val="Textoennegrita"/>
          <w:rFonts w:ascii="Verdana" w:hAnsi="Verdana"/>
          <w:b w:val="0"/>
          <w:color w:val="000000"/>
          <w:sz w:val="16"/>
          <w:szCs w:val="16"/>
          <w:shd w:val="clear" w:color="auto" w:fill="FFFFFF"/>
          <w:lang w:val="es-CR"/>
        </w:rPr>
        <w:t>10</w:t>
      </w:r>
      <w:r w:rsidR="00450D61">
        <w:rPr>
          <w:rStyle w:val="Textoennegrita"/>
          <w:rFonts w:ascii="Verdana" w:hAnsi="Verdana"/>
          <w:b w:val="0"/>
          <w:color w:val="000000"/>
          <w:sz w:val="16"/>
          <w:szCs w:val="16"/>
          <w:shd w:val="clear" w:color="auto" w:fill="FFFFFF"/>
          <w:lang w:val="es-CR"/>
        </w:rPr>
        <w:t xml:space="preserve">, </w:t>
      </w:r>
      <w:r w:rsidR="00695AB5" w:rsidRPr="003C4CD5">
        <w:rPr>
          <w:rStyle w:val="Textoennegrita"/>
          <w:rFonts w:ascii="Verdana" w:hAnsi="Verdana"/>
          <w:b w:val="0"/>
          <w:color w:val="000000"/>
          <w:sz w:val="16"/>
          <w:szCs w:val="16"/>
          <w:shd w:val="clear" w:color="auto" w:fill="FFFFFF"/>
          <w:lang w:val="es-CR"/>
        </w:rPr>
        <w:t>Considerando 21.</w:t>
      </w:r>
    </w:p>
  </w:footnote>
  <w:footnote w:id="15">
    <w:p w14:paraId="607B4C6F" w14:textId="77777777" w:rsidR="00574B74" w:rsidRPr="0051692D" w:rsidRDefault="00574B74" w:rsidP="00574B74">
      <w:pPr>
        <w:pStyle w:val="Textonotapie"/>
        <w:jc w:val="both"/>
        <w:rPr>
          <w:rFonts w:ascii="Verdana" w:hAnsi="Verdana"/>
          <w:sz w:val="16"/>
          <w:szCs w:val="16"/>
          <w:lang w:val="es-CR"/>
        </w:rPr>
      </w:pPr>
      <w:r w:rsidRPr="0051692D">
        <w:rPr>
          <w:rStyle w:val="Refdenotaalpie"/>
          <w:rFonts w:ascii="Verdana" w:hAnsi="Verdana"/>
          <w:sz w:val="16"/>
          <w:szCs w:val="16"/>
        </w:rPr>
        <w:footnoteRef/>
      </w:r>
      <w:r w:rsidRPr="0051692D">
        <w:rPr>
          <w:rFonts w:ascii="Verdana" w:hAnsi="Verdana"/>
          <w:sz w:val="16"/>
          <w:szCs w:val="16"/>
          <w:lang w:val="es-CR"/>
        </w:rPr>
        <w:t xml:space="preserve"> </w:t>
      </w:r>
      <w:r w:rsidRPr="0051692D">
        <w:rPr>
          <w:rFonts w:ascii="Verdana" w:hAnsi="Verdana"/>
          <w:sz w:val="16"/>
          <w:szCs w:val="16"/>
          <w:lang w:val="es-CR"/>
        </w:rPr>
        <w:tab/>
      </w:r>
      <w:r w:rsidRPr="0051692D">
        <w:rPr>
          <w:rFonts w:ascii="Verdana" w:hAnsi="Verdana"/>
          <w:i/>
          <w:sz w:val="16"/>
          <w:szCs w:val="16"/>
          <w:lang w:val="es-CR"/>
        </w:rPr>
        <w:t xml:space="preserve">Cfr. Caso </w:t>
      </w:r>
      <w:proofErr w:type="spellStart"/>
      <w:r w:rsidRPr="0051692D">
        <w:rPr>
          <w:rFonts w:ascii="Verdana" w:hAnsi="Verdana"/>
          <w:i/>
          <w:sz w:val="16"/>
          <w:szCs w:val="16"/>
          <w:lang w:val="es-CR"/>
        </w:rPr>
        <w:t>Caesar</w:t>
      </w:r>
      <w:proofErr w:type="spellEnd"/>
      <w:r w:rsidRPr="0051692D">
        <w:rPr>
          <w:rFonts w:ascii="Verdana" w:hAnsi="Verdana"/>
          <w:i/>
          <w:sz w:val="16"/>
          <w:szCs w:val="16"/>
          <w:lang w:val="es-CR"/>
        </w:rPr>
        <w:t xml:space="preserve"> Vs. Trinidad y Tobago. Fondo, Reparaciones y Costas</w:t>
      </w:r>
      <w:r w:rsidRPr="0051692D">
        <w:rPr>
          <w:rFonts w:ascii="Verdana" w:hAnsi="Verdana"/>
          <w:sz w:val="16"/>
          <w:szCs w:val="16"/>
          <w:lang w:val="es-CR"/>
        </w:rPr>
        <w:t xml:space="preserve">. Sentencia de 11 de marzo de 2005. </w:t>
      </w:r>
      <w:r w:rsidRPr="00150809">
        <w:rPr>
          <w:rFonts w:ascii="Verdana" w:hAnsi="Verdana"/>
          <w:sz w:val="16"/>
          <w:szCs w:val="16"/>
          <w:lang w:val="es-CR"/>
        </w:rPr>
        <w:t xml:space="preserve">Serie C No. 123, párr. 38, y </w:t>
      </w:r>
      <w:r w:rsidR="00AA4D51" w:rsidRPr="00AA4D51">
        <w:rPr>
          <w:rStyle w:val="Textoennegrita"/>
          <w:rFonts w:ascii="Verdana" w:hAnsi="Verdana"/>
          <w:b w:val="0"/>
          <w:i/>
          <w:color w:val="000000"/>
          <w:sz w:val="16"/>
          <w:szCs w:val="16"/>
          <w:shd w:val="clear" w:color="auto" w:fill="FFFFFF"/>
          <w:lang w:val="es-CR"/>
        </w:rPr>
        <w:t xml:space="preserve"> </w:t>
      </w:r>
      <w:r w:rsidR="00AA4D51" w:rsidRPr="003C4CD5">
        <w:rPr>
          <w:rStyle w:val="Textoennegrita"/>
          <w:rFonts w:ascii="Verdana" w:hAnsi="Verdana"/>
          <w:b w:val="0"/>
          <w:i/>
          <w:color w:val="000000"/>
          <w:sz w:val="16"/>
          <w:szCs w:val="16"/>
          <w:shd w:val="clear" w:color="auto" w:fill="FFFFFF"/>
          <w:lang w:val="es-CR"/>
        </w:rPr>
        <w:t>Caso Fleury y otros Vs. Haití</w:t>
      </w:r>
      <w:r w:rsidR="00AA4D51">
        <w:rPr>
          <w:rFonts w:ascii="Verdana" w:hAnsi="Verdana"/>
          <w:sz w:val="16"/>
          <w:szCs w:val="16"/>
          <w:lang w:val="es-CR"/>
        </w:rPr>
        <w:t xml:space="preserve">, </w:t>
      </w:r>
      <w:r w:rsidR="00AA4D51" w:rsidRPr="003C4CD5">
        <w:rPr>
          <w:rFonts w:ascii="Verdana" w:hAnsi="Verdana"/>
          <w:i/>
          <w:sz w:val="16"/>
          <w:szCs w:val="16"/>
          <w:lang w:val="es-CR"/>
        </w:rPr>
        <w:t>supra</w:t>
      </w:r>
      <w:r w:rsidR="00AA4D51">
        <w:rPr>
          <w:rFonts w:ascii="Verdana" w:hAnsi="Verdana"/>
          <w:sz w:val="16"/>
          <w:szCs w:val="16"/>
          <w:lang w:val="es-CR"/>
        </w:rPr>
        <w:t xml:space="preserve"> nota 3, Considerando</w:t>
      </w:r>
      <w:r w:rsidR="00AA4D51" w:rsidRPr="00150809" w:rsidDel="001E4EB8">
        <w:rPr>
          <w:rFonts w:ascii="Verdana" w:hAnsi="Verdana"/>
          <w:sz w:val="16"/>
          <w:szCs w:val="16"/>
          <w:lang w:val="es-CR"/>
        </w:rPr>
        <w:t xml:space="preserve"> </w:t>
      </w:r>
      <w:r w:rsidR="00AA4D51">
        <w:rPr>
          <w:rFonts w:ascii="Verdana" w:hAnsi="Verdana"/>
          <w:sz w:val="16"/>
          <w:szCs w:val="16"/>
          <w:lang w:val="es-CR"/>
        </w:rPr>
        <w:t>4.</w:t>
      </w:r>
    </w:p>
  </w:footnote>
  <w:footnote w:id="16">
    <w:p w14:paraId="753036F5" w14:textId="77777777" w:rsidR="00574B74" w:rsidRPr="0051692D" w:rsidRDefault="00574B74" w:rsidP="00574B74">
      <w:pPr>
        <w:pStyle w:val="Textonotapie"/>
        <w:jc w:val="both"/>
        <w:rPr>
          <w:rFonts w:ascii="Verdana" w:hAnsi="Verdana"/>
          <w:sz w:val="16"/>
          <w:szCs w:val="16"/>
          <w:lang w:val="es-CR"/>
        </w:rPr>
      </w:pPr>
      <w:r w:rsidRPr="0051692D">
        <w:rPr>
          <w:rStyle w:val="Refdenotaalpie"/>
          <w:rFonts w:ascii="Verdana" w:hAnsi="Verdana"/>
          <w:sz w:val="16"/>
          <w:szCs w:val="16"/>
        </w:rPr>
        <w:footnoteRef/>
      </w:r>
      <w:r w:rsidRPr="0051692D">
        <w:rPr>
          <w:rFonts w:ascii="Verdana" w:hAnsi="Verdana"/>
          <w:sz w:val="16"/>
          <w:szCs w:val="16"/>
          <w:lang w:val="es-CR"/>
        </w:rPr>
        <w:t xml:space="preserve"> </w:t>
      </w:r>
      <w:r w:rsidRPr="0051692D">
        <w:rPr>
          <w:rFonts w:ascii="Verdana" w:hAnsi="Verdana"/>
          <w:sz w:val="16"/>
          <w:szCs w:val="16"/>
          <w:lang w:val="es-CR"/>
        </w:rPr>
        <w:tab/>
      </w:r>
      <w:r w:rsidRPr="0051692D">
        <w:rPr>
          <w:rFonts w:ascii="Verdana" w:hAnsi="Verdana"/>
          <w:i/>
          <w:sz w:val="16"/>
          <w:szCs w:val="16"/>
          <w:lang w:val="es-CR"/>
        </w:rPr>
        <w:t xml:space="preserve">Cfr. Caso </w:t>
      </w:r>
      <w:proofErr w:type="spellStart"/>
      <w:r w:rsidRPr="0051692D">
        <w:rPr>
          <w:rFonts w:ascii="Verdana" w:hAnsi="Verdana"/>
          <w:i/>
          <w:sz w:val="16"/>
          <w:szCs w:val="16"/>
          <w:lang w:val="es-CR"/>
        </w:rPr>
        <w:t>Caesar</w:t>
      </w:r>
      <w:proofErr w:type="spellEnd"/>
      <w:r w:rsidRPr="0051692D">
        <w:rPr>
          <w:rFonts w:ascii="Verdana" w:hAnsi="Verdana"/>
          <w:i/>
          <w:sz w:val="16"/>
          <w:szCs w:val="16"/>
          <w:lang w:val="es-CR"/>
        </w:rPr>
        <w:t xml:space="preserve"> Vs. Trinidad y Tobago</w:t>
      </w:r>
      <w:r w:rsidRPr="0051692D">
        <w:rPr>
          <w:rFonts w:ascii="Verdana" w:hAnsi="Verdana"/>
          <w:sz w:val="16"/>
          <w:szCs w:val="16"/>
          <w:lang w:val="es-CR"/>
        </w:rPr>
        <w:t>,</w:t>
      </w:r>
      <w:r w:rsidR="00AA4D51">
        <w:rPr>
          <w:rFonts w:ascii="Verdana" w:hAnsi="Verdana"/>
          <w:sz w:val="16"/>
          <w:szCs w:val="16"/>
          <w:lang w:val="es-CR"/>
        </w:rPr>
        <w:t xml:space="preserve"> </w:t>
      </w:r>
      <w:r w:rsidR="00AA4D51" w:rsidRPr="00842317">
        <w:rPr>
          <w:rFonts w:ascii="Verdana" w:hAnsi="Verdana"/>
          <w:i/>
          <w:sz w:val="16"/>
          <w:szCs w:val="16"/>
          <w:lang w:val="es-CR"/>
        </w:rPr>
        <w:t>supra</w:t>
      </w:r>
      <w:r w:rsidR="00AA4D51">
        <w:rPr>
          <w:rFonts w:ascii="Verdana" w:hAnsi="Verdana"/>
          <w:sz w:val="16"/>
          <w:szCs w:val="16"/>
          <w:lang w:val="es-CR"/>
        </w:rPr>
        <w:t xml:space="preserve"> nota 1</w:t>
      </w:r>
      <w:r w:rsidR="00DC4669">
        <w:rPr>
          <w:rFonts w:ascii="Verdana" w:hAnsi="Verdana"/>
          <w:sz w:val="16"/>
          <w:szCs w:val="16"/>
          <w:lang w:val="es-CR"/>
        </w:rPr>
        <w:t>6</w:t>
      </w:r>
      <w:r w:rsidR="00AA4D51">
        <w:rPr>
          <w:rFonts w:ascii="Verdana" w:hAnsi="Verdana"/>
          <w:sz w:val="16"/>
          <w:szCs w:val="16"/>
          <w:lang w:val="es-CR"/>
        </w:rPr>
        <w:t>,</w:t>
      </w:r>
      <w:r w:rsidRPr="0051692D">
        <w:rPr>
          <w:rFonts w:ascii="Verdana" w:hAnsi="Verdana"/>
          <w:sz w:val="16"/>
          <w:szCs w:val="16"/>
          <w:lang w:val="es-CR"/>
        </w:rPr>
        <w:t xml:space="preserve"> Considerando 11; y</w:t>
      </w:r>
      <w:r w:rsidR="00AA4D51" w:rsidRPr="00AA4D51">
        <w:rPr>
          <w:rFonts w:ascii="Verdana" w:hAnsi="Verdana"/>
          <w:i/>
          <w:sz w:val="16"/>
          <w:szCs w:val="16"/>
          <w:lang w:val="es-CR"/>
        </w:rPr>
        <w:t xml:space="preserve"> </w:t>
      </w:r>
      <w:r w:rsidR="00AA4D51">
        <w:rPr>
          <w:rFonts w:ascii="Verdana" w:hAnsi="Verdana"/>
          <w:sz w:val="16"/>
          <w:szCs w:val="16"/>
          <w:lang w:val="es-CR"/>
        </w:rPr>
        <w:t xml:space="preserve"> </w:t>
      </w:r>
      <w:r w:rsidR="00AA4D51" w:rsidRPr="003C4CD5">
        <w:rPr>
          <w:rStyle w:val="Textoennegrita"/>
          <w:rFonts w:ascii="Verdana" w:hAnsi="Verdana"/>
          <w:b w:val="0"/>
          <w:i/>
          <w:color w:val="000000"/>
          <w:sz w:val="16"/>
          <w:szCs w:val="16"/>
          <w:shd w:val="clear" w:color="auto" w:fill="FFFFFF"/>
          <w:lang w:val="es-CR"/>
        </w:rPr>
        <w:t>Caso de las Niñas Yean y Bosico y Caso de Personas dominicanas y haitianas expulsadas Vs. República Dominicana</w:t>
      </w:r>
      <w:r w:rsidR="00AA4D51" w:rsidRPr="003C4CD5">
        <w:rPr>
          <w:rStyle w:val="Textoennegrita"/>
          <w:rFonts w:ascii="Verdana" w:hAnsi="Verdana"/>
          <w:b w:val="0"/>
          <w:color w:val="000000"/>
          <w:sz w:val="16"/>
          <w:szCs w:val="16"/>
          <w:shd w:val="clear" w:color="auto" w:fill="FFFFFF"/>
          <w:lang w:val="es-CR"/>
        </w:rPr>
        <w:t xml:space="preserve">, </w:t>
      </w:r>
      <w:r w:rsidR="00AA4D51">
        <w:rPr>
          <w:rStyle w:val="Textoennegrita"/>
          <w:rFonts w:ascii="Verdana" w:hAnsi="Verdana"/>
          <w:b w:val="0"/>
          <w:i/>
          <w:color w:val="000000"/>
          <w:sz w:val="16"/>
          <w:szCs w:val="16"/>
          <w:shd w:val="clear" w:color="auto" w:fill="FFFFFF"/>
          <w:lang w:val="es-CR"/>
        </w:rPr>
        <w:t xml:space="preserve">supra </w:t>
      </w:r>
      <w:r w:rsidR="00AA4D51">
        <w:rPr>
          <w:rStyle w:val="Textoennegrita"/>
          <w:rFonts w:ascii="Verdana" w:hAnsi="Verdana"/>
          <w:b w:val="0"/>
          <w:color w:val="000000"/>
          <w:sz w:val="16"/>
          <w:szCs w:val="16"/>
          <w:shd w:val="clear" w:color="auto" w:fill="FFFFFF"/>
          <w:lang w:val="es-CR"/>
        </w:rPr>
        <w:t xml:space="preserve">nota </w:t>
      </w:r>
      <w:r w:rsidR="00DC4669">
        <w:rPr>
          <w:rStyle w:val="Textoennegrita"/>
          <w:rFonts w:ascii="Verdana" w:hAnsi="Verdana"/>
          <w:b w:val="0"/>
          <w:color w:val="000000"/>
          <w:sz w:val="16"/>
          <w:szCs w:val="16"/>
          <w:shd w:val="clear" w:color="auto" w:fill="FFFFFF"/>
          <w:lang w:val="es-CR"/>
        </w:rPr>
        <w:t>10</w:t>
      </w:r>
      <w:r w:rsidR="00AA4D51">
        <w:rPr>
          <w:rStyle w:val="Textoennegrita"/>
          <w:rFonts w:ascii="Verdana" w:hAnsi="Verdana"/>
          <w:b w:val="0"/>
          <w:color w:val="000000"/>
          <w:sz w:val="16"/>
          <w:szCs w:val="16"/>
          <w:shd w:val="clear" w:color="auto" w:fill="FFFFFF"/>
          <w:lang w:val="es-CR"/>
        </w:rPr>
        <w:t xml:space="preserve">, </w:t>
      </w:r>
      <w:r w:rsidR="00AA4D51" w:rsidRPr="003C4CD5">
        <w:rPr>
          <w:rStyle w:val="Textoennegrita"/>
          <w:rFonts w:ascii="Verdana" w:hAnsi="Verdana"/>
          <w:b w:val="0"/>
          <w:color w:val="000000"/>
          <w:sz w:val="16"/>
          <w:szCs w:val="16"/>
          <w:shd w:val="clear" w:color="auto" w:fill="FFFFFF"/>
          <w:lang w:val="es-CR"/>
        </w:rPr>
        <w:t>Considerando 2</w:t>
      </w:r>
      <w:r w:rsidR="00AA4D51">
        <w:rPr>
          <w:rStyle w:val="Textoennegrita"/>
          <w:rFonts w:ascii="Verdana" w:hAnsi="Verdana"/>
          <w:b w:val="0"/>
          <w:color w:val="000000"/>
          <w:sz w:val="16"/>
          <w:szCs w:val="16"/>
          <w:shd w:val="clear" w:color="auto" w:fill="FFFFFF"/>
          <w:lang w:val="es-CR"/>
        </w:rPr>
        <w:t>4</w:t>
      </w:r>
      <w:r w:rsidR="00AA4D51" w:rsidRPr="003C4CD5">
        <w:rPr>
          <w:rStyle w:val="Textoennegrita"/>
          <w:rFonts w:ascii="Verdana" w:hAnsi="Verdana"/>
          <w:b w:val="0"/>
          <w:color w:val="000000"/>
          <w:sz w:val="16"/>
          <w:szCs w:val="16"/>
          <w:shd w:val="clear" w:color="auto" w:fill="FFFFFF"/>
          <w:lang w:val="es-CR"/>
        </w:rPr>
        <w:t>.</w:t>
      </w:r>
    </w:p>
  </w:footnote>
  <w:footnote w:id="17">
    <w:p w14:paraId="55B93FC7" w14:textId="77777777" w:rsidR="00701E95" w:rsidRPr="00574B74" w:rsidRDefault="00701E95" w:rsidP="00574B74">
      <w:pPr>
        <w:pStyle w:val="Textonotapie"/>
        <w:jc w:val="both"/>
        <w:rPr>
          <w:rFonts w:ascii="Verdana" w:hAnsi="Verdana"/>
          <w:sz w:val="16"/>
          <w:szCs w:val="16"/>
          <w:lang w:val="es-CR"/>
        </w:rPr>
      </w:pPr>
      <w:r w:rsidRPr="00161293">
        <w:rPr>
          <w:rFonts w:ascii="Verdana" w:hAnsi="Verdana"/>
          <w:sz w:val="16"/>
          <w:szCs w:val="16"/>
          <w:vertAlign w:val="superscript"/>
          <w:lang w:val="es-CR"/>
        </w:rPr>
        <w:footnoteRef/>
      </w:r>
      <w:r w:rsidRPr="00161293">
        <w:rPr>
          <w:rFonts w:ascii="Verdana" w:hAnsi="Verdana"/>
          <w:sz w:val="16"/>
          <w:szCs w:val="16"/>
          <w:lang w:val="es-CR"/>
        </w:rPr>
        <w:t xml:space="preserve"> </w:t>
      </w:r>
      <w:r w:rsidRPr="00161293">
        <w:rPr>
          <w:rFonts w:ascii="Verdana" w:hAnsi="Verdana"/>
          <w:sz w:val="16"/>
          <w:szCs w:val="16"/>
          <w:lang w:val="es-CR"/>
        </w:rPr>
        <w:tab/>
      </w:r>
      <w:r w:rsidR="00AA4D51" w:rsidRPr="00DC4669">
        <w:rPr>
          <w:rFonts w:ascii="Verdana" w:hAnsi="Verdana"/>
          <w:i/>
          <w:sz w:val="16"/>
          <w:szCs w:val="16"/>
          <w:lang w:val="es-CR"/>
        </w:rPr>
        <w:t>Cfr.</w:t>
      </w:r>
      <w:r w:rsidR="00AA4D51" w:rsidRPr="00DC4669">
        <w:rPr>
          <w:rFonts w:ascii="Verdana" w:hAnsi="Verdana"/>
          <w:sz w:val="16"/>
          <w:szCs w:val="16"/>
          <w:lang w:val="es-CR"/>
        </w:rPr>
        <w:t xml:space="preserve"> </w:t>
      </w:r>
      <w:r w:rsidR="00AA4D51" w:rsidRPr="00DC4669">
        <w:rPr>
          <w:rFonts w:ascii="Verdana" w:hAnsi="Verdana"/>
          <w:i/>
          <w:sz w:val="16"/>
          <w:szCs w:val="16"/>
          <w:lang w:val="es-CR"/>
        </w:rPr>
        <w:t xml:space="preserve">Caso YATAMA Vs. Nicaragua. Supervisión de Cumplimiento de Sentencia. </w:t>
      </w:r>
      <w:r w:rsidR="00AA4D51" w:rsidRPr="00DC4669">
        <w:rPr>
          <w:rFonts w:ascii="Verdana" w:hAnsi="Verdana"/>
          <w:sz w:val="16"/>
          <w:szCs w:val="16"/>
          <w:lang w:val="es-CR"/>
        </w:rPr>
        <w:t xml:space="preserve">Resolución de la Corte Interamericana de Derechos Humanos de 22 de agosto de 2013, Considerando 15, </w:t>
      </w:r>
      <w:r w:rsidR="008A1EE4" w:rsidRPr="00DC4669">
        <w:rPr>
          <w:rFonts w:ascii="Verdana" w:hAnsi="Verdana"/>
          <w:sz w:val="16"/>
          <w:szCs w:val="16"/>
          <w:lang w:val="es-CR"/>
        </w:rPr>
        <w:t xml:space="preserve">y </w:t>
      </w:r>
      <w:r w:rsidR="008A1EE4" w:rsidRPr="00DC4669">
        <w:rPr>
          <w:rStyle w:val="Textoennegrita"/>
          <w:rFonts w:ascii="Verdana" w:hAnsi="Verdana"/>
          <w:b w:val="0"/>
          <w:i/>
          <w:color w:val="000000"/>
          <w:sz w:val="16"/>
          <w:szCs w:val="16"/>
          <w:shd w:val="clear" w:color="auto" w:fill="FFFFFF"/>
          <w:lang w:val="es-CR"/>
        </w:rPr>
        <w:t>Caso de las Niñas Yean y Bosico y Caso de Personas dominicanas y haitianas expulsadas Vs. República Dominicana</w:t>
      </w:r>
      <w:r w:rsidR="008A1EE4" w:rsidRPr="00DC4669">
        <w:rPr>
          <w:rStyle w:val="Textoennegrita"/>
          <w:rFonts w:ascii="Verdana" w:hAnsi="Verdana"/>
          <w:b w:val="0"/>
          <w:color w:val="000000"/>
          <w:sz w:val="16"/>
          <w:szCs w:val="16"/>
          <w:shd w:val="clear" w:color="auto" w:fill="FFFFFF"/>
          <w:lang w:val="es-CR"/>
        </w:rPr>
        <w:t>,</w:t>
      </w:r>
      <w:r w:rsidR="00AA4D51" w:rsidRPr="00DC4669">
        <w:rPr>
          <w:rStyle w:val="Textoennegrita"/>
          <w:rFonts w:ascii="Verdana" w:hAnsi="Verdana"/>
          <w:b w:val="0"/>
          <w:color w:val="000000"/>
          <w:sz w:val="16"/>
          <w:szCs w:val="16"/>
          <w:shd w:val="clear" w:color="auto" w:fill="FFFFFF"/>
          <w:lang w:val="es-CR"/>
        </w:rPr>
        <w:t xml:space="preserve"> </w:t>
      </w:r>
      <w:r w:rsidR="00AA4D51" w:rsidRPr="00DC4669">
        <w:rPr>
          <w:rStyle w:val="Textoennegrita"/>
          <w:rFonts w:ascii="Verdana" w:hAnsi="Verdana"/>
          <w:b w:val="0"/>
          <w:i/>
          <w:color w:val="000000"/>
          <w:sz w:val="16"/>
          <w:szCs w:val="16"/>
          <w:shd w:val="clear" w:color="auto" w:fill="FFFFFF"/>
          <w:lang w:val="es-CR"/>
        </w:rPr>
        <w:t>supra</w:t>
      </w:r>
      <w:r w:rsidR="00DC4669" w:rsidRPr="00DC4669">
        <w:rPr>
          <w:rStyle w:val="Textoennegrita"/>
          <w:rFonts w:ascii="Verdana" w:hAnsi="Verdana"/>
          <w:b w:val="0"/>
          <w:color w:val="000000"/>
          <w:sz w:val="16"/>
          <w:szCs w:val="16"/>
          <w:shd w:val="clear" w:color="auto" w:fill="FFFFFF"/>
          <w:lang w:val="es-CR"/>
        </w:rPr>
        <w:t xml:space="preserve"> nota 10</w:t>
      </w:r>
      <w:r w:rsidR="00AA4D51" w:rsidRPr="00DC4669">
        <w:rPr>
          <w:rStyle w:val="Textoennegrita"/>
          <w:rFonts w:ascii="Verdana" w:hAnsi="Verdana"/>
          <w:b w:val="0"/>
          <w:color w:val="000000"/>
          <w:sz w:val="16"/>
          <w:szCs w:val="16"/>
          <w:shd w:val="clear" w:color="auto" w:fill="FFFFFF"/>
          <w:lang w:val="es-CR"/>
        </w:rPr>
        <w:t>,</w:t>
      </w:r>
      <w:r w:rsidR="008A1EE4" w:rsidRPr="00DC4669">
        <w:rPr>
          <w:rStyle w:val="Textoennegrita"/>
          <w:rFonts w:ascii="Verdana" w:hAnsi="Verdana"/>
          <w:b w:val="0"/>
          <w:color w:val="000000"/>
          <w:sz w:val="16"/>
          <w:szCs w:val="16"/>
          <w:shd w:val="clear" w:color="auto" w:fill="FFFFFF"/>
          <w:lang w:val="es-CR"/>
        </w:rPr>
        <w:t xml:space="preserve"> Considerando 36</w:t>
      </w:r>
      <w:r w:rsidRPr="00DC4669">
        <w:rPr>
          <w:rFonts w:ascii="Verdana" w:hAnsi="Verdana"/>
          <w:sz w:val="16"/>
          <w:szCs w:val="16"/>
          <w:lang w:val="es-CR"/>
        </w:rPr>
        <w:t>.</w:t>
      </w:r>
    </w:p>
  </w:footnote>
  <w:footnote w:id="18">
    <w:p w14:paraId="3ED088FD" w14:textId="77777777" w:rsidR="00701E95" w:rsidRPr="00574B74" w:rsidRDefault="00701E95" w:rsidP="00574B74">
      <w:pPr>
        <w:pStyle w:val="Textonotapie"/>
        <w:jc w:val="both"/>
        <w:rPr>
          <w:rFonts w:ascii="Verdana" w:hAnsi="Verdana"/>
          <w:sz w:val="16"/>
          <w:szCs w:val="16"/>
          <w:lang w:val="es-CR"/>
        </w:rPr>
      </w:pPr>
      <w:r w:rsidRPr="00695AB5">
        <w:rPr>
          <w:rFonts w:ascii="Verdana" w:hAnsi="Verdana"/>
          <w:sz w:val="16"/>
          <w:szCs w:val="16"/>
          <w:vertAlign w:val="superscript"/>
          <w:lang w:val="es-CR"/>
        </w:rPr>
        <w:footnoteRef/>
      </w:r>
      <w:r w:rsidRPr="00574B74">
        <w:rPr>
          <w:rFonts w:ascii="Verdana" w:hAnsi="Verdana"/>
          <w:sz w:val="16"/>
          <w:szCs w:val="16"/>
          <w:lang w:val="es-CR"/>
        </w:rPr>
        <w:t xml:space="preserve"> </w:t>
      </w:r>
      <w:r w:rsidRPr="00574B74">
        <w:rPr>
          <w:rFonts w:ascii="Verdana" w:hAnsi="Verdana"/>
          <w:sz w:val="16"/>
          <w:szCs w:val="16"/>
          <w:lang w:val="es-CR"/>
        </w:rPr>
        <w:tab/>
        <w:t xml:space="preserve"> “La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footnote>
  <w:footnote w:id="19">
    <w:p w14:paraId="612427A0" w14:textId="77777777" w:rsidR="00701E95" w:rsidRPr="00574B74" w:rsidRDefault="00701E95" w:rsidP="00574B74">
      <w:pPr>
        <w:pStyle w:val="Textonotapie"/>
        <w:jc w:val="both"/>
        <w:rPr>
          <w:rFonts w:ascii="Verdana" w:hAnsi="Verdana"/>
          <w:sz w:val="16"/>
          <w:szCs w:val="16"/>
          <w:lang w:val="es-CR"/>
        </w:rPr>
      </w:pPr>
      <w:r w:rsidRPr="00695AB5">
        <w:rPr>
          <w:rFonts w:ascii="Verdana" w:hAnsi="Verdana"/>
          <w:sz w:val="16"/>
          <w:szCs w:val="16"/>
          <w:vertAlign w:val="superscript"/>
          <w:lang w:val="es-CR"/>
        </w:rPr>
        <w:footnoteRef/>
      </w:r>
      <w:r w:rsidRPr="00574B74">
        <w:rPr>
          <w:rFonts w:ascii="Verdana" w:hAnsi="Verdana"/>
          <w:sz w:val="16"/>
          <w:szCs w:val="16"/>
          <w:lang w:val="es-CR"/>
        </w:rPr>
        <w:t xml:space="preserve"> </w:t>
      </w:r>
      <w:r w:rsidRPr="00574B74">
        <w:rPr>
          <w:rFonts w:ascii="Verdana" w:hAnsi="Verdana"/>
          <w:sz w:val="16"/>
          <w:szCs w:val="16"/>
          <w:lang w:val="es-CR"/>
        </w:rPr>
        <w:tab/>
        <w:t>“La Corte someterá a la Asamblea General de la OEA, en cada período ordinario de sesiones, un informe de su labor en el año anterior. Señalará los casos en que un Estado no haya dado cumplimiento a sus fallos. Podrá también someter a la Asamblea General de la OEA proposiciones o recomendaciones para el mejoramiento del sistema interamericano de derechos humanos, en lo relacionado con el trabajo de la Corte”.</w:t>
      </w:r>
    </w:p>
  </w:footnote>
  <w:footnote w:id="20">
    <w:p w14:paraId="43111D89" w14:textId="77777777" w:rsidR="00701E95" w:rsidRPr="00574B74" w:rsidRDefault="00701E95" w:rsidP="00574B74">
      <w:pPr>
        <w:pStyle w:val="Textonotapie"/>
        <w:jc w:val="both"/>
        <w:rPr>
          <w:rFonts w:ascii="Verdana" w:hAnsi="Verdana"/>
          <w:sz w:val="16"/>
          <w:szCs w:val="16"/>
          <w:lang w:val="es-CR"/>
        </w:rPr>
      </w:pPr>
      <w:r w:rsidRPr="00695AB5">
        <w:rPr>
          <w:rFonts w:ascii="Verdana" w:hAnsi="Verdana"/>
          <w:sz w:val="16"/>
          <w:szCs w:val="16"/>
          <w:vertAlign w:val="superscript"/>
          <w:lang w:val="es-CR"/>
        </w:rPr>
        <w:footnoteRef/>
      </w:r>
      <w:r w:rsidRPr="00574B74">
        <w:rPr>
          <w:rFonts w:ascii="Verdana" w:hAnsi="Verdana"/>
          <w:sz w:val="16"/>
          <w:szCs w:val="16"/>
          <w:lang w:val="es-CR"/>
        </w:rPr>
        <w:t xml:space="preserve"> </w:t>
      </w:r>
      <w:r w:rsidRPr="00574B74">
        <w:rPr>
          <w:rFonts w:ascii="Verdana" w:hAnsi="Verdana"/>
          <w:sz w:val="16"/>
          <w:szCs w:val="16"/>
          <w:lang w:val="es-CR"/>
        </w:rPr>
        <w:tab/>
      </w:r>
      <w:r w:rsidRPr="00574B74">
        <w:rPr>
          <w:rFonts w:ascii="Verdana" w:hAnsi="Verdana"/>
          <w:i/>
          <w:sz w:val="16"/>
          <w:szCs w:val="16"/>
          <w:lang w:val="es-CR"/>
        </w:rPr>
        <w:t xml:space="preserve">Cfr. </w:t>
      </w:r>
      <w:r w:rsidRPr="00574B74">
        <w:rPr>
          <w:rFonts w:ascii="Verdana" w:hAnsi="Verdana"/>
          <w:bCs/>
          <w:i/>
          <w:sz w:val="16"/>
          <w:szCs w:val="16"/>
          <w:lang w:val="es-CR"/>
        </w:rPr>
        <w:t xml:space="preserve">Caso </w:t>
      </w:r>
      <w:proofErr w:type="spellStart"/>
      <w:r w:rsidRPr="00574B74">
        <w:rPr>
          <w:rFonts w:ascii="Verdana" w:hAnsi="Verdana"/>
          <w:bCs/>
          <w:i/>
          <w:sz w:val="16"/>
          <w:szCs w:val="16"/>
          <w:lang w:val="es-CR"/>
        </w:rPr>
        <w:t>Apitz</w:t>
      </w:r>
      <w:proofErr w:type="spellEnd"/>
      <w:r w:rsidRPr="00574B74">
        <w:rPr>
          <w:rFonts w:ascii="Verdana" w:hAnsi="Verdana"/>
          <w:bCs/>
          <w:i/>
          <w:sz w:val="16"/>
          <w:szCs w:val="16"/>
          <w:lang w:val="es-CR"/>
        </w:rPr>
        <w:t xml:space="preserve"> Barbera y Otros ("Corte Primera de lo Contencioso Administrativo") Vs. Venezuela</w:t>
      </w:r>
      <w:r w:rsidRPr="00574B74">
        <w:rPr>
          <w:rFonts w:ascii="Verdana" w:hAnsi="Verdana"/>
          <w:bCs/>
          <w:sz w:val="16"/>
          <w:szCs w:val="16"/>
          <w:lang w:val="es-CR"/>
        </w:rPr>
        <w:t xml:space="preserve">. </w:t>
      </w:r>
      <w:r w:rsidRPr="00EF23B4">
        <w:rPr>
          <w:rFonts w:ascii="Verdana" w:hAnsi="Verdana"/>
          <w:bCs/>
          <w:i/>
          <w:sz w:val="16"/>
          <w:szCs w:val="16"/>
          <w:lang w:val="es-CR"/>
        </w:rPr>
        <w:t>Supervisión de Cumplimiento de Sentencia.</w:t>
      </w:r>
      <w:r w:rsidRPr="00574B74">
        <w:rPr>
          <w:rFonts w:ascii="Verdana" w:hAnsi="Verdana"/>
          <w:bCs/>
          <w:sz w:val="16"/>
          <w:szCs w:val="16"/>
          <w:lang w:val="es-CR"/>
        </w:rPr>
        <w:t xml:space="preserve"> Resolución de la Corte Interamericana de Derechos Humanos de 23 de noviembre de 2012, Considerando </w:t>
      </w:r>
      <w:r w:rsidR="00BE25A8">
        <w:rPr>
          <w:rFonts w:ascii="Verdana" w:hAnsi="Verdana"/>
          <w:bCs/>
          <w:sz w:val="16"/>
          <w:szCs w:val="16"/>
          <w:lang w:val="es-CR"/>
        </w:rPr>
        <w:t>45</w:t>
      </w:r>
      <w:r w:rsidR="00695AB5">
        <w:rPr>
          <w:rFonts w:ascii="Verdana" w:hAnsi="Verdana"/>
          <w:bCs/>
          <w:sz w:val="16"/>
          <w:szCs w:val="16"/>
          <w:lang w:val="es-CR"/>
        </w:rPr>
        <w:t xml:space="preserve">, y </w:t>
      </w:r>
      <w:r w:rsidR="00695AB5" w:rsidRPr="00695AB5">
        <w:rPr>
          <w:rStyle w:val="Textoennegrita"/>
          <w:rFonts w:ascii="Verdana" w:hAnsi="Verdana"/>
          <w:b w:val="0"/>
          <w:i/>
          <w:color w:val="000000"/>
          <w:sz w:val="16"/>
          <w:szCs w:val="16"/>
          <w:shd w:val="clear" w:color="auto" w:fill="FFFFFF"/>
          <w:lang w:val="es-CR"/>
        </w:rPr>
        <w:t xml:space="preserve">Caso Yvon </w:t>
      </w:r>
      <w:proofErr w:type="spellStart"/>
      <w:r w:rsidR="00695AB5" w:rsidRPr="00695AB5">
        <w:rPr>
          <w:rStyle w:val="Textoennegrita"/>
          <w:rFonts w:ascii="Verdana" w:hAnsi="Verdana"/>
          <w:b w:val="0"/>
          <w:i/>
          <w:color w:val="000000"/>
          <w:sz w:val="16"/>
          <w:szCs w:val="16"/>
          <w:shd w:val="clear" w:color="auto" w:fill="FFFFFF"/>
          <w:lang w:val="es-CR"/>
        </w:rPr>
        <w:t>Neptune</w:t>
      </w:r>
      <w:proofErr w:type="spellEnd"/>
      <w:r w:rsidR="00695AB5" w:rsidRPr="00695AB5">
        <w:rPr>
          <w:rStyle w:val="Textoennegrita"/>
          <w:rFonts w:ascii="Verdana" w:hAnsi="Verdana"/>
          <w:b w:val="0"/>
          <w:i/>
          <w:color w:val="000000"/>
          <w:sz w:val="16"/>
          <w:szCs w:val="16"/>
          <w:shd w:val="clear" w:color="auto" w:fill="FFFFFF"/>
          <w:lang w:val="es-CR"/>
        </w:rPr>
        <w:t xml:space="preserve"> Vs. Haití. Supervisión de Cumplimiento de Sentencia.</w:t>
      </w:r>
      <w:r w:rsidR="00695AB5" w:rsidRPr="00695AB5">
        <w:rPr>
          <w:rStyle w:val="Textoennegrita"/>
          <w:rFonts w:ascii="Verdana" w:hAnsi="Verdana"/>
          <w:b w:val="0"/>
          <w:color w:val="000000"/>
          <w:sz w:val="16"/>
          <w:szCs w:val="16"/>
          <w:shd w:val="clear" w:color="auto" w:fill="FFFFFF"/>
          <w:lang w:val="es-CR"/>
        </w:rPr>
        <w:t xml:space="preserve"> Resolución de la Corte Interamericana de Derechos Humanos de 20 de noviembre de 2015, Considerando 9</w:t>
      </w:r>
      <w:r w:rsidRPr="00695AB5">
        <w:rPr>
          <w:rFonts w:ascii="Verdana" w:hAnsi="Verdana"/>
          <w:bCs/>
          <w:sz w:val="16"/>
          <w:szCs w:val="16"/>
          <w:lang w:val="es-CR"/>
        </w:rPr>
        <w:t>.</w:t>
      </w:r>
    </w:p>
  </w:footnote>
  <w:footnote w:id="21">
    <w:p w14:paraId="02A6E6A4" w14:textId="77777777" w:rsidR="00701E95" w:rsidRPr="00574B74" w:rsidRDefault="00701E95" w:rsidP="00017FB2">
      <w:pPr>
        <w:pStyle w:val="Textonotapie"/>
        <w:jc w:val="both"/>
        <w:rPr>
          <w:rFonts w:ascii="Verdana" w:hAnsi="Verdana"/>
          <w:i/>
          <w:sz w:val="16"/>
          <w:szCs w:val="16"/>
          <w:lang w:val="es-CR"/>
        </w:rPr>
      </w:pPr>
      <w:r w:rsidRPr="00695AB5">
        <w:rPr>
          <w:rFonts w:ascii="Verdana" w:hAnsi="Verdana"/>
          <w:sz w:val="16"/>
          <w:szCs w:val="16"/>
          <w:vertAlign w:val="superscript"/>
          <w:lang w:val="es-CR"/>
        </w:rPr>
        <w:footnoteRef/>
      </w:r>
      <w:r w:rsidRPr="00574B74">
        <w:rPr>
          <w:rFonts w:ascii="Verdana" w:hAnsi="Verdana"/>
          <w:sz w:val="16"/>
          <w:szCs w:val="16"/>
          <w:lang w:val="es-CR"/>
        </w:rPr>
        <w:t xml:space="preserve"> </w:t>
      </w:r>
      <w:r w:rsidRPr="00574B74">
        <w:rPr>
          <w:rFonts w:ascii="Verdana" w:hAnsi="Verdana"/>
          <w:sz w:val="16"/>
          <w:szCs w:val="16"/>
          <w:lang w:val="es-CR"/>
        </w:rPr>
        <w:tab/>
      </w:r>
      <w:r w:rsidRPr="00574B74">
        <w:rPr>
          <w:rFonts w:ascii="Verdana" w:hAnsi="Verdana"/>
          <w:i/>
          <w:sz w:val="16"/>
          <w:szCs w:val="16"/>
          <w:lang w:val="es-CR"/>
        </w:rPr>
        <w:t>Cfr. Caso B</w:t>
      </w:r>
      <w:r w:rsidR="00017FB2">
        <w:rPr>
          <w:rFonts w:ascii="Verdana" w:hAnsi="Verdana"/>
          <w:i/>
          <w:sz w:val="16"/>
          <w:szCs w:val="16"/>
          <w:lang w:val="es-CR"/>
        </w:rPr>
        <w:t>aena Ricardo y otros Vs. Panamá</w:t>
      </w:r>
      <w:r w:rsidRPr="00574B74">
        <w:rPr>
          <w:rFonts w:ascii="Verdana" w:hAnsi="Verdana"/>
          <w:sz w:val="16"/>
          <w:szCs w:val="16"/>
          <w:lang w:val="es-CR"/>
        </w:rPr>
        <w:t>,</w:t>
      </w:r>
      <w:r w:rsidR="00017FB2">
        <w:rPr>
          <w:rFonts w:ascii="Verdana" w:hAnsi="Verdana"/>
          <w:sz w:val="16"/>
          <w:szCs w:val="16"/>
          <w:lang w:val="es-CR"/>
        </w:rPr>
        <w:t xml:space="preserve"> </w:t>
      </w:r>
      <w:r w:rsidR="00017FB2" w:rsidRPr="00017FB2">
        <w:rPr>
          <w:rFonts w:ascii="Verdana" w:hAnsi="Verdana"/>
          <w:i/>
          <w:sz w:val="16"/>
          <w:szCs w:val="16"/>
          <w:lang w:val="es-CR"/>
        </w:rPr>
        <w:t>supra</w:t>
      </w:r>
      <w:r w:rsidR="007E4459">
        <w:rPr>
          <w:rFonts w:ascii="Verdana" w:hAnsi="Verdana"/>
          <w:sz w:val="16"/>
          <w:szCs w:val="16"/>
          <w:lang w:val="es-CR"/>
        </w:rPr>
        <w:t xml:space="preserve"> nota 14</w:t>
      </w:r>
      <w:r w:rsidR="00017FB2">
        <w:rPr>
          <w:rFonts w:ascii="Verdana" w:hAnsi="Verdana"/>
          <w:sz w:val="16"/>
          <w:szCs w:val="16"/>
          <w:lang w:val="es-CR"/>
        </w:rPr>
        <w:t>,</w:t>
      </w:r>
      <w:r w:rsidRPr="00574B74">
        <w:rPr>
          <w:rFonts w:ascii="Verdana" w:hAnsi="Verdana"/>
          <w:sz w:val="16"/>
          <w:szCs w:val="16"/>
          <w:lang w:val="es-CR"/>
        </w:rPr>
        <w:t xml:space="preserve"> párr. 96, y </w:t>
      </w:r>
      <w:r w:rsidR="00695AB5">
        <w:rPr>
          <w:rStyle w:val="Textoennegrita"/>
          <w:rFonts w:ascii="Verdana" w:hAnsi="Verdana"/>
          <w:b w:val="0"/>
          <w:i/>
          <w:color w:val="000000"/>
          <w:sz w:val="16"/>
          <w:szCs w:val="16"/>
          <w:shd w:val="clear" w:color="auto" w:fill="FFFFFF"/>
          <w:lang w:val="es-CR"/>
        </w:rPr>
        <w:t xml:space="preserve">Caso Yvon </w:t>
      </w:r>
      <w:proofErr w:type="spellStart"/>
      <w:r w:rsidR="00695AB5">
        <w:rPr>
          <w:rStyle w:val="Textoennegrita"/>
          <w:rFonts w:ascii="Verdana" w:hAnsi="Verdana"/>
          <w:b w:val="0"/>
          <w:i/>
          <w:color w:val="000000"/>
          <w:sz w:val="16"/>
          <w:szCs w:val="16"/>
          <w:shd w:val="clear" w:color="auto" w:fill="FFFFFF"/>
          <w:lang w:val="es-CR"/>
        </w:rPr>
        <w:t>Neptune</w:t>
      </w:r>
      <w:proofErr w:type="spellEnd"/>
      <w:r w:rsidR="00695AB5">
        <w:rPr>
          <w:rStyle w:val="Textoennegrita"/>
          <w:rFonts w:ascii="Verdana" w:hAnsi="Verdana"/>
          <w:b w:val="0"/>
          <w:i/>
          <w:color w:val="000000"/>
          <w:sz w:val="16"/>
          <w:szCs w:val="16"/>
          <w:shd w:val="clear" w:color="auto" w:fill="FFFFFF"/>
          <w:lang w:val="es-CR"/>
        </w:rPr>
        <w:t xml:space="preserve"> Vs. Haití, supra</w:t>
      </w:r>
      <w:r w:rsidR="00017FB2">
        <w:rPr>
          <w:rStyle w:val="Textoennegrita"/>
          <w:rFonts w:ascii="Verdana" w:hAnsi="Verdana"/>
          <w:b w:val="0"/>
          <w:color w:val="000000"/>
          <w:sz w:val="16"/>
          <w:szCs w:val="16"/>
          <w:shd w:val="clear" w:color="auto" w:fill="FFFFFF"/>
          <w:lang w:val="es-CR"/>
        </w:rPr>
        <w:t xml:space="preserve"> nota </w:t>
      </w:r>
      <w:r w:rsidR="00744ADA">
        <w:rPr>
          <w:rStyle w:val="Textoennegrita"/>
          <w:rFonts w:ascii="Verdana" w:hAnsi="Verdana"/>
          <w:b w:val="0"/>
          <w:color w:val="000000"/>
          <w:sz w:val="16"/>
          <w:szCs w:val="16"/>
          <w:shd w:val="clear" w:color="auto" w:fill="FFFFFF"/>
          <w:lang w:val="es-CR"/>
        </w:rPr>
        <w:t>20</w:t>
      </w:r>
      <w:r w:rsidR="00695AB5">
        <w:rPr>
          <w:rStyle w:val="Textoennegrita"/>
          <w:rFonts w:ascii="Verdana" w:hAnsi="Verdana"/>
          <w:b w:val="0"/>
          <w:i/>
          <w:color w:val="000000"/>
          <w:sz w:val="16"/>
          <w:szCs w:val="16"/>
          <w:shd w:val="clear" w:color="auto" w:fill="FFFFFF"/>
          <w:lang w:val="es-CR"/>
        </w:rPr>
        <w:t xml:space="preserve">, </w:t>
      </w:r>
      <w:r w:rsidR="00695AB5" w:rsidRPr="00695AB5">
        <w:rPr>
          <w:rStyle w:val="Textoennegrita"/>
          <w:rFonts w:ascii="Verdana" w:hAnsi="Verdana"/>
          <w:b w:val="0"/>
          <w:color w:val="000000"/>
          <w:sz w:val="16"/>
          <w:szCs w:val="16"/>
          <w:shd w:val="clear" w:color="auto" w:fill="FFFFFF"/>
          <w:lang w:val="es-CR"/>
        </w:rPr>
        <w:t>Considerando 10</w:t>
      </w:r>
      <w:r w:rsidR="00017FB2">
        <w:rPr>
          <w:rStyle w:val="Textoennegrita"/>
          <w:rFonts w:ascii="Verdana" w:hAnsi="Verdana"/>
          <w:b w:val="0"/>
          <w:color w:val="000000"/>
          <w:sz w:val="16"/>
          <w:szCs w:val="16"/>
          <w:shd w:val="clear" w:color="auto" w:fill="FFFFFF"/>
          <w:lang w:val="es-CR"/>
        </w:rPr>
        <w:t>.</w:t>
      </w:r>
    </w:p>
  </w:footnote>
  <w:footnote w:id="22">
    <w:p w14:paraId="57EADB32" w14:textId="77777777" w:rsidR="00701E95" w:rsidRPr="00574B74" w:rsidRDefault="00701E95" w:rsidP="00017FB2">
      <w:pPr>
        <w:pStyle w:val="Textonotapie"/>
        <w:jc w:val="both"/>
        <w:rPr>
          <w:rFonts w:ascii="Verdana" w:hAnsi="Verdana"/>
          <w:sz w:val="16"/>
          <w:szCs w:val="16"/>
          <w:lang w:val="es-CO"/>
        </w:rPr>
      </w:pPr>
      <w:r w:rsidRPr="00695AB5">
        <w:rPr>
          <w:rFonts w:ascii="Verdana" w:hAnsi="Verdana"/>
          <w:sz w:val="16"/>
          <w:szCs w:val="16"/>
          <w:vertAlign w:val="superscript"/>
          <w:lang w:val="es-CR"/>
        </w:rPr>
        <w:footnoteRef/>
      </w:r>
      <w:r w:rsidRPr="00574B74">
        <w:rPr>
          <w:rFonts w:ascii="Verdana" w:hAnsi="Verdana"/>
          <w:sz w:val="16"/>
          <w:szCs w:val="16"/>
          <w:lang w:val="es-CR"/>
        </w:rPr>
        <w:t xml:space="preserve"> </w:t>
      </w:r>
      <w:r w:rsidRPr="00574B74">
        <w:rPr>
          <w:rFonts w:ascii="Verdana" w:hAnsi="Verdana"/>
          <w:sz w:val="16"/>
          <w:szCs w:val="16"/>
          <w:lang w:val="es-CR"/>
        </w:rPr>
        <w:tab/>
      </w:r>
      <w:r w:rsidRPr="00842317">
        <w:rPr>
          <w:rFonts w:ascii="Verdana" w:hAnsi="Verdana"/>
          <w:i/>
          <w:sz w:val="16"/>
          <w:szCs w:val="16"/>
          <w:lang w:val="es-CR"/>
        </w:rPr>
        <w:t xml:space="preserve">Cfr. </w:t>
      </w:r>
      <w:r w:rsidRPr="00842317">
        <w:rPr>
          <w:rFonts w:ascii="Verdana" w:hAnsi="Verdana"/>
          <w:bCs/>
          <w:i/>
          <w:sz w:val="16"/>
          <w:szCs w:val="16"/>
          <w:lang w:val="es-CR"/>
        </w:rPr>
        <w:t xml:space="preserve">Caso </w:t>
      </w:r>
      <w:proofErr w:type="spellStart"/>
      <w:r w:rsidRPr="00842317">
        <w:rPr>
          <w:rFonts w:ascii="Verdana" w:hAnsi="Verdana"/>
          <w:bCs/>
          <w:i/>
          <w:sz w:val="16"/>
          <w:szCs w:val="16"/>
          <w:lang w:val="es-CR"/>
        </w:rPr>
        <w:t>Apitz</w:t>
      </w:r>
      <w:proofErr w:type="spellEnd"/>
      <w:r w:rsidRPr="00842317">
        <w:rPr>
          <w:rFonts w:ascii="Verdana" w:hAnsi="Verdana"/>
          <w:bCs/>
          <w:i/>
          <w:sz w:val="16"/>
          <w:szCs w:val="16"/>
          <w:lang w:val="es-CR"/>
        </w:rPr>
        <w:t xml:space="preserve"> Barbera y Otros</w:t>
      </w:r>
      <w:r w:rsidR="00744ADA">
        <w:rPr>
          <w:rFonts w:ascii="Verdana" w:hAnsi="Verdana"/>
          <w:bCs/>
          <w:i/>
          <w:sz w:val="16"/>
          <w:szCs w:val="16"/>
          <w:lang w:val="es-CR"/>
        </w:rPr>
        <w:t xml:space="preserve"> Vs. Venezuela</w:t>
      </w:r>
      <w:r w:rsidRPr="00574B74">
        <w:rPr>
          <w:rFonts w:ascii="Verdana" w:hAnsi="Verdana"/>
          <w:bCs/>
          <w:sz w:val="16"/>
          <w:szCs w:val="16"/>
          <w:lang w:val="es-CR"/>
        </w:rPr>
        <w:t xml:space="preserve">, </w:t>
      </w:r>
      <w:r w:rsidRPr="00842317">
        <w:rPr>
          <w:rFonts w:ascii="Verdana" w:hAnsi="Verdana"/>
          <w:bCs/>
          <w:i/>
          <w:sz w:val="16"/>
          <w:szCs w:val="16"/>
          <w:lang w:val="es-CR"/>
        </w:rPr>
        <w:t>supra</w:t>
      </w:r>
      <w:r w:rsidR="00017FB2">
        <w:rPr>
          <w:rFonts w:ascii="Verdana" w:hAnsi="Verdana"/>
          <w:bCs/>
          <w:i/>
          <w:sz w:val="16"/>
          <w:szCs w:val="16"/>
          <w:lang w:val="es-CR"/>
        </w:rPr>
        <w:t xml:space="preserve"> </w:t>
      </w:r>
      <w:r w:rsidR="00017FB2">
        <w:rPr>
          <w:rStyle w:val="Textoennegrita"/>
          <w:rFonts w:ascii="Verdana" w:hAnsi="Verdana"/>
          <w:b w:val="0"/>
          <w:color w:val="000000"/>
          <w:sz w:val="16"/>
          <w:szCs w:val="16"/>
          <w:shd w:val="clear" w:color="auto" w:fill="FFFFFF"/>
          <w:lang w:val="es-CR"/>
        </w:rPr>
        <w:t xml:space="preserve">nota </w:t>
      </w:r>
      <w:r w:rsidR="00744ADA">
        <w:rPr>
          <w:rStyle w:val="Textoennegrita"/>
          <w:rFonts w:ascii="Verdana" w:hAnsi="Verdana"/>
          <w:b w:val="0"/>
          <w:color w:val="000000"/>
          <w:sz w:val="16"/>
          <w:szCs w:val="16"/>
          <w:shd w:val="clear" w:color="auto" w:fill="FFFFFF"/>
          <w:lang w:val="es-CR"/>
        </w:rPr>
        <w:t>20</w:t>
      </w:r>
      <w:r w:rsidRPr="00574B74">
        <w:rPr>
          <w:rFonts w:ascii="Verdana" w:hAnsi="Verdana"/>
          <w:bCs/>
          <w:sz w:val="16"/>
          <w:szCs w:val="16"/>
          <w:lang w:val="es-CR"/>
        </w:rPr>
        <w:t xml:space="preserve">, Considerando </w:t>
      </w:r>
      <w:r w:rsidR="00017FB2">
        <w:rPr>
          <w:rFonts w:ascii="Verdana" w:hAnsi="Verdana"/>
          <w:bCs/>
          <w:sz w:val="16"/>
          <w:szCs w:val="16"/>
          <w:lang w:val="es-CR"/>
        </w:rPr>
        <w:t>46</w:t>
      </w:r>
      <w:r w:rsidR="005F0B36">
        <w:rPr>
          <w:rFonts w:ascii="Verdana" w:hAnsi="Verdana"/>
          <w:bCs/>
          <w:sz w:val="16"/>
          <w:szCs w:val="16"/>
          <w:lang w:val="es-CR"/>
        </w:rPr>
        <w:t>,</w:t>
      </w:r>
      <w:r w:rsidR="00695AB5">
        <w:rPr>
          <w:rFonts w:ascii="Verdana" w:hAnsi="Verdana"/>
          <w:bCs/>
          <w:sz w:val="16"/>
          <w:szCs w:val="16"/>
          <w:lang w:val="es-CR"/>
        </w:rPr>
        <w:t xml:space="preserve"> y </w:t>
      </w:r>
      <w:r w:rsidR="00695AB5">
        <w:rPr>
          <w:rStyle w:val="Textoennegrita"/>
          <w:rFonts w:ascii="Verdana" w:hAnsi="Verdana"/>
          <w:b w:val="0"/>
          <w:i/>
          <w:color w:val="000000"/>
          <w:sz w:val="16"/>
          <w:szCs w:val="16"/>
          <w:shd w:val="clear" w:color="auto" w:fill="FFFFFF"/>
          <w:lang w:val="es-CR"/>
        </w:rPr>
        <w:t xml:space="preserve">Caso Yvon </w:t>
      </w:r>
      <w:proofErr w:type="spellStart"/>
      <w:r w:rsidR="00695AB5">
        <w:rPr>
          <w:rStyle w:val="Textoennegrita"/>
          <w:rFonts w:ascii="Verdana" w:hAnsi="Verdana"/>
          <w:b w:val="0"/>
          <w:i/>
          <w:color w:val="000000"/>
          <w:sz w:val="16"/>
          <w:szCs w:val="16"/>
          <w:shd w:val="clear" w:color="auto" w:fill="FFFFFF"/>
          <w:lang w:val="es-CR"/>
        </w:rPr>
        <w:t>Neptune</w:t>
      </w:r>
      <w:proofErr w:type="spellEnd"/>
      <w:r w:rsidR="00695AB5">
        <w:rPr>
          <w:rStyle w:val="Textoennegrita"/>
          <w:rFonts w:ascii="Verdana" w:hAnsi="Verdana"/>
          <w:b w:val="0"/>
          <w:i/>
          <w:color w:val="000000"/>
          <w:sz w:val="16"/>
          <w:szCs w:val="16"/>
          <w:shd w:val="clear" w:color="auto" w:fill="FFFFFF"/>
          <w:lang w:val="es-CR"/>
        </w:rPr>
        <w:t xml:space="preserve"> Vs. Haití, supra</w:t>
      </w:r>
      <w:r w:rsidR="00017FB2">
        <w:rPr>
          <w:rStyle w:val="Textoennegrita"/>
          <w:rFonts w:ascii="Verdana" w:hAnsi="Verdana"/>
          <w:b w:val="0"/>
          <w:i/>
          <w:color w:val="000000"/>
          <w:sz w:val="16"/>
          <w:szCs w:val="16"/>
          <w:shd w:val="clear" w:color="auto" w:fill="FFFFFF"/>
          <w:lang w:val="es-CR"/>
        </w:rPr>
        <w:t xml:space="preserve"> </w:t>
      </w:r>
      <w:r w:rsidR="00017FB2">
        <w:rPr>
          <w:rStyle w:val="Textoennegrita"/>
          <w:rFonts w:ascii="Verdana" w:hAnsi="Verdana"/>
          <w:b w:val="0"/>
          <w:color w:val="000000"/>
          <w:sz w:val="16"/>
          <w:szCs w:val="16"/>
          <w:shd w:val="clear" w:color="auto" w:fill="FFFFFF"/>
          <w:lang w:val="es-CR"/>
        </w:rPr>
        <w:t xml:space="preserve">nota </w:t>
      </w:r>
      <w:r w:rsidR="00744ADA">
        <w:rPr>
          <w:rStyle w:val="Textoennegrita"/>
          <w:rFonts w:ascii="Verdana" w:hAnsi="Verdana"/>
          <w:b w:val="0"/>
          <w:color w:val="000000"/>
          <w:sz w:val="16"/>
          <w:szCs w:val="16"/>
          <w:shd w:val="clear" w:color="auto" w:fill="FFFFFF"/>
          <w:lang w:val="es-CR"/>
        </w:rPr>
        <w:t>20</w:t>
      </w:r>
      <w:r w:rsidR="00695AB5">
        <w:rPr>
          <w:rStyle w:val="Textoennegrita"/>
          <w:rFonts w:ascii="Verdana" w:hAnsi="Verdana"/>
          <w:b w:val="0"/>
          <w:i/>
          <w:color w:val="000000"/>
          <w:sz w:val="16"/>
          <w:szCs w:val="16"/>
          <w:shd w:val="clear" w:color="auto" w:fill="FFFFFF"/>
          <w:lang w:val="es-CR"/>
        </w:rPr>
        <w:t xml:space="preserve">, </w:t>
      </w:r>
      <w:r w:rsidR="00695AB5" w:rsidRPr="003C4CD5">
        <w:rPr>
          <w:rStyle w:val="Textoennegrita"/>
          <w:rFonts w:ascii="Verdana" w:hAnsi="Verdana"/>
          <w:b w:val="0"/>
          <w:color w:val="000000"/>
          <w:sz w:val="16"/>
          <w:szCs w:val="16"/>
          <w:shd w:val="clear" w:color="auto" w:fill="FFFFFF"/>
          <w:lang w:val="es-CR"/>
        </w:rPr>
        <w:t>Considerando 10</w:t>
      </w:r>
      <w:r w:rsidR="00017FB2">
        <w:rPr>
          <w:rStyle w:val="Textoennegrita"/>
          <w:rFonts w:ascii="Verdana" w:hAnsi="Verdana"/>
          <w:b w:val="0"/>
          <w:color w:val="000000"/>
          <w:sz w:val="16"/>
          <w:szCs w:val="16"/>
          <w:shd w:val="clear" w:color="auto" w:fill="FFFFFF"/>
          <w:lang w:val="es-CR"/>
        </w:rPr>
        <w:t>.</w:t>
      </w:r>
    </w:p>
  </w:footnote>
  <w:footnote w:id="23">
    <w:p w14:paraId="67E80127" w14:textId="77777777" w:rsidR="00701E95" w:rsidRPr="00701E95" w:rsidRDefault="00701E95" w:rsidP="00017FB2">
      <w:pPr>
        <w:pStyle w:val="Textonotapie"/>
        <w:jc w:val="both"/>
        <w:rPr>
          <w:rFonts w:ascii="Verdana" w:hAnsi="Verdana"/>
          <w:sz w:val="16"/>
          <w:szCs w:val="16"/>
          <w:lang w:val="es-CR"/>
        </w:rPr>
      </w:pPr>
      <w:r w:rsidRPr="009A72DC">
        <w:rPr>
          <w:rStyle w:val="Refdenotaalpie"/>
          <w:rFonts w:ascii="Verdana" w:hAnsi="Verdana"/>
          <w:sz w:val="16"/>
          <w:szCs w:val="16"/>
        </w:rPr>
        <w:footnoteRef/>
      </w:r>
      <w:r w:rsidRPr="00701E95">
        <w:rPr>
          <w:rFonts w:ascii="Verdana" w:hAnsi="Verdana"/>
          <w:sz w:val="16"/>
          <w:szCs w:val="16"/>
          <w:lang w:val="es-CR"/>
        </w:rPr>
        <w:t xml:space="preserve"> </w:t>
      </w:r>
      <w:r w:rsidRPr="00701E95">
        <w:rPr>
          <w:rFonts w:ascii="Verdana" w:hAnsi="Verdana"/>
          <w:sz w:val="16"/>
          <w:szCs w:val="16"/>
          <w:lang w:val="es-CR"/>
        </w:rPr>
        <w:tab/>
      </w:r>
      <w:r w:rsidRPr="00701E95">
        <w:rPr>
          <w:rFonts w:ascii="Verdana" w:hAnsi="Verdana"/>
          <w:i/>
          <w:sz w:val="16"/>
          <w:szCs w:val="16"/>
          <w:lang w:val="es-CR"/>
        </w:rPr>
        <w:t>Cfr.</w:t>
      </w:r>
      <w:r w:rsidRPr="00701E95">
        <w:rPr>
          <w:rFonts w:ascii="Verdana" w:hAnsi="Verdana"/>
          <w:sz w:val="16"/>
          <w:szCs w:val="16"/>
          <w:lang w:val="es-CR"/>
        </w:rPr>
        <w:t xml:space="preserve"> </w:t>
      </w:r>
      <w:r w:rsidRPr="00701E95">
        <w:rPr>
          <w:rStyle w:val="Textoennegrita"/>
          <w:rFonts w:ascii="Verdana" w:hAnsi="Verdana"/>
          <w:b w:val="0"/>
          <w:i/>
          <w:color w:val="000000"/>
          <w:sz w:val="16"/>
          <w:szCs w:val="16"/>
          <w:shd w:val="clear" w:color="auto" w:fill="FFFFFF"/>
          <w:lang w:val="es-CR"/>
        </w:rPr>
        <w:t xml:space="preserve">Caso </w:t>
      </w:r>
      <w:proofErr w:type="spellStart"/>
      <w:r w:rsidRPr="00701E95">
        <w:rPr>
          <w:rStyle w:val="Textoennegrita"/>
          <w:rFonts w:ascii="Verdana" w:hAnsi="Verdana"/>
          <w:b w:val="0"/>
          <w:i/>
          <w:color w:val="000000"/>
          <w:sz w:val="16"/>
          <w:szCs w:val="16"/>
          <w:shd w:val="clear" w:color="auto" w:fill="FFFFFF"/>
          <w:lang w:val="es-CR"/>
        </w:rPr>
        <w:t>Apitz</w:t>
      </w:r>
      <w:proofErr w:type="spellEnd"/>
      <w:r w:rsidRPr="00701E95">
        <w:rPr>
          <w:rStyle w:val="Textoennegrita"/>
          <w:rFonts w:ascii="Verdana" w:hAnsi="Verdana"/>
          <w:b w:val="0"/>
          <w:i/>
          <w:color w:val="000000"/>
          <w:sz w:val="16"/>
          <w:szCs w:val="16"/>
          <w:shd w:val="clear" w:color="auto" w:fill="FFFFFF"/>
          <w:lang w:val="es-CR"/>
        </w:rPr>
        <w:t xml:space="preserve"> Barbera y Otros</w:t>
      </w:r>
      <w:r w:rsidR="00744ADA">
        <w:rPr>
          <w:rStyle w:val="Textoennegrita"/>
          <w:rFonts w:ascii="Verdana" w:hAnsi="Verdana"/>
          <w:b w:val="0"/>
          <w:i/>
          <w:color w:val="000000"/>
          <w:sz w:val="16"/>
          <w:szCs w:val="16"/>
          <w:shd w:val="clear" w:color="auto" w:fill="FFFFFF"/>
          <w:lang w:val="es-CR"/>
        </w:rPr>
        <w:t xml:space="preserve"> </w:t>
      </w:r>
      <w:r w:rsidR="00744ADA">
        <w:rPr>
          <w:rFonts w:ascii="Verdana" w:hAnsi="Verdana"/>
          <w:bCs/>
          <w:i/>
          <w:sz w:val="16"/>
          <w:szCs w:val="16"/>
          <w:lang w:val="es-CR"/>
        </w:rPr>
        <w:t>Vs. Venezuela</w:t>
      </w:r>
      <w:r w:rsidRPr="00701E95">
        <w:rPr>
          <w:rStyle w:val="Textoennegrita"/>
          <w:rFonts w:ascii="Verdana" w:hAnsi="Verdana"/>
          <w:b w:val="0"/>
          <w:i/>
          <w:color w:val="000000"/>
          <w:sz w:val="16"/>
          <w:szCs w:val="16"/>
          <w:shd w:val="clear" w:color="auto" w:fill="FFFFFF"/>
          <w:lang w:val="es-CR"/>
        </w:rPr>
        <w:t>, supra</w:t>
      </w:r>
      <w:r w:rsidR="00017FB2">
        <w:rPr>
          <w:rStyle w:val="Textoennegrita"/>
          <w:rFonts w:ascii="Verdana" w:hAnsi="Verdana"/>
          <w:b w:val="0"/>
          <w:i/>
          <w:color w:val="000000"/>
          <w:sz w:val="16"/>
          <w:szCs w:val="16"/>
          <w:shd w:val="clear" w:color="auto" w:fill="FFFFFF"/>
          <w:lang w:val="es-CR"/>
        </w:rPr>
        <w:t xml:space="preserve"> </w:t>
      </w:r>
      <w:r w:rsidR="00017FB2">
        <w:rPr>
          <w:rStyle w:val="Textoennegrita"/>
          <w:rFonts w:ascii="Verdana" w:hAnsi="Verdana"/>
          <w:b w:val="0"/>
          <w:color w:val="000000"/>
          <w:sz w:val="16"/>
          <w:szCs w:val="16"/>
          <w:shd w:val="clear" w:color="auto" w:fill="FFFFFF"/>
          <w:lang w:val="es-CR"/>
        </w:rPr>
        <w:t xml:space="preserve">nota </w:t>
      </w:r>
      <w:r w:rsidR="00744ADA">
        <w:rPr>
          <w:rStyle w:val="Textoennegrita"/>
          <w:rFonts w:ascii="Verdana" w:hAnsi="Verdana"/>
          <w:b w:val="0"/>
          <w:color w:val="000000"/>
          <w:sz w:val="16"/>
          <w:szCs w:val="16"/>
          <w:shd w:val="clear" w:color="auto" w:fill="FFFFFF"/>
          <w:lang w:val="es-CR"/>
        </w:rPr>
        <w:t>20</w:t>
      </w:r>
      <w:r w:rsidRPr="00701E95">
        <w:rPr>
          <w:rStyle w:val="Textoennegrita"/>
          <w:rFonts w:ascii="Verdana" w:hAnsi="Verdana"/>
          <w:b w:val="0"/>
          <w:i/>
          <w:color w:val="000000"/>
          <w:sz w:val="16"/>
          <w:szCs w:val="16"/>
          <w:shd w:val="clear" w:color="auto" w:fill="FFFFFF"/>
          <w:lang w:val="es-CR"/>
        </w:rPr>
        <w:t>,</w:t>
      </w:r>
      <w:r w:rsidRPr="00701E95">
        <w:rPr>
          <w:rStyle w:val="Textoennegrita"/>
          <w:rFonts w:ascii="Verdana" w:hAnsi="Verdana"/>
          <w:b w:val="0"/>
          <w:color w:val="000000"/>
          <w:sz w:val="16"/>
          <w:szCs w:val="16"/>
          <w:shd w:val="clear" w:color="auto" w:fill="FFFFFF"/>
          <w:lang w:val="es-CR"/>
        </w:rPr>
        <w:t xml:space="preserve"> Considerando </w:t>
      </w:r>
      <w:r w:rsidR="00017FB2">
        <w:rPr>
          <w:rStyle w:val="Textoennegrita"/>
          <w:rFonts w:ascii="Verdana" w:hAnsi="Verdana"/>
          <w:b w:val="0"/>
          <w:color w:val="000000"/>
          <w:sz w:val="16"/>
          <w:szCs w:val="16"/>
          <w:shd w:val="clear" w:color="auto" w:fill="FFFFFF"/>
          <w:lang w:val="es-CR"/>
        </w:rPr>
        <w:t>46</w:t>
      </w:r>
      <w:r w:rsidR="005F0B36">
        <w:rPr>
          <w:rStyle w:val="Textoennegrita"/>
          <w:rFonts w:ascii="Verdana" w:hAnsi="Verdana"/>
          <w:b w:val="0"/>
          <w:color w:val="000000"/>
          <w:sz w:val="16"/>
          <w:szCs w:val="16"/>
          <w:shd w:val="clear" w:color="auto" w:fill="FFFFFF"/>
          <w:lang w:val="es-CR"/>
        </w:rPr>
        <w:t>,</w:t>
      </w:r>
      <w:r w:rsidR="00695AB5">
        <w:rPr>
          <w:rStyle w:val="Textoennegrita"/>
          <w:rFonts w:ascii="Verdana" w:hAnsi="Verdana"/>
          <w:b w:val="0"/>
          <w:color w:val="000000"/>
          <w:sz w:val="16"/>
          <w:szCs w:val="16"/>
          <w:shd w:val="clear" w:color="auto" w:fill="FFFFFF"/>
          <w:lang w:val="es-CR"/>
        </w:rPr>
        <w:t xml:space="preserve"> y </w:t>
      </w:r>
      <w:r w:rsidR="00695AB5">
        <w:rPr>
          <w:rStyle w:val="Textoennegrita"/>
          <w:rFonts w:ascii="Verdana" w:hAnsi="Verdana"/>
          <w:b w:val="0"/>
          <w:i/>
          <w:color w:val="000000"/>
          <w:sz w:val="16"/>
          <w:szCs w:val="16"/>
          <w:shd w:val="clear" w:color="auto" w:fill="FFFFFF"/>
          <w:lang w:val="es-CR"/>
        </w:rPr>
        <w:t xml:space="preserve">Caso Yvon </w:t>
      </w:r>
      <w:proofErr w:type="spellStart"/>
      <w:r w:rsidR="00695AB5">
        <w:rPr>
          <w:rStyle w:val="Textoennegrita"/>
          <w:rFonts w:ascii="Verdana" w:hAnsi="Verdana"/>
          <w:b w:val="0"/>
          <w:i/>
          <w:color w:val="000000"/>
          <w:sz w:val="16"/>
          <w:szCs w:val="16"/>
          <w:shd w:val="clear" w:color="auto" w:fill="FFFFFF"/>
          <w:lang w:val="es-CR"/>
        </w:rPr>
        <w:t>Neptune</w:t>
      </w:r>
      <w:proofErr w:type="spellEnd"/>
      <w:r w:rsidR="00695AB5">
        <w:rPr>
          <w:rStyle w:val="Textoennegrita"/>
          <w:rFonts w:ascii="Verdana" w:hAnsi="Verdana"/>
          <w:b w:val="0"/>
          <w:i/>
          <w:color w:val="000000"/>
          <w:sz w:val="16"/>
          <w:szCs w:val="16"/>
          <w:shd w:val="clear" w:color="auto" w:fill="FFFFFF"/>
          <w:lang w:val="es-CR"/>
        </w:rPr>
        <w:t xml:space="preserve"> Vs. Haití, supra</w:t>
      </w:r>
      <w:r w:rsidR="00017FB2">
        <w:rPr>
          <w:rStyle w:val="Textoennegrita"/>
          <w:rFonts w:ascii="Verdana" w:hAnsi="Verdana"/>
          <w:b w:val="0"/>
          <w:i/>
          <w:color w:val="000000"/>
          <w:sz w:val="16"/>
          <w:szCs w:val="16"/>
          <w:shd w:val="clear" w:color="auto" w:fill="FFFFFF"/>
          <w:lang w:val="es-CR"/>
        </w:rPr>
        <w:t xml:space="preserve"> </w:t>
      </w:r>
      <w:r w:rsidR="00017FB2">
        <w:rPr>
          <w:rStyle w:val="Textoennegrita"/>
          <w:rFonts w:ascii="Verdana" w:hAnsi="Verdana"/>
          <w:b w:val="0"/>
          <w:color w:val="000000"/>
          <w:sz w:val="16"/>
          <w:szCs w:val="16"/>
          <w:shd w:val="clear" w:color="auto" w:fill="FFFFFF"/>
          <w:lang w:val="es-CR"/>
        </w:rPr>
        <w:t xml:space="preserve">nota </w:t>
      </w:r>
      <w:r w:rsidR="00744ADA">
        <w:rPr>
          <w:rStyle w:val="Textoennegrita"/>
          <w:rFonts w:ascii="Verdana" w:hAnsi="Verdana"/>
          <w:b w:val="0"/>
          <w:color w:val="000000"/>
          <w:sz w:val="16"/>
          <w:szCs w:val="16"/>
          <w:shd w:val="clear" w:color="auto" w:fill="FFFFFF"/>
          <w:lang w:val="es-CR"/>
        </w:rPr>
        <w:t>20</w:t>
      </w:r>
      <w:r w:rsidR="00695AB5">
        <w:rPr>
          <w:rStyle w:val="Textoennegrita"/>
          <w:rFonts w:ascii="Verdana" w:hAnsi="Verdana"/>
          <w:b w:val="0"/>
          <w:i/>
          <w:color w:val="000000"/>
          <w:sz w:val="16"/>
          <w:szCs w:val="16"/>
          <w:shd w:val="clear" w:color="auto" w:fill="FFFFFF"/>
          <w:lang w:val="es-CR"/>
        </w:rPr>
        <w:t xml:space="preserve">, </w:t>
      </w:r>
      <w:r w:rsidR="00695AB5" w:rsidRPr="003C4CD5">
        <w:rPr>
          <w:rStyle w:val="Textoennegrita"/>
          <w:rFonts w:ascii="Verdana" w:hAnsi="Verdana"/>
          <w:b w:val="0"/>
          <w:color w:val="000000"/>
          <w:sz w:val="16"/>
          <w:szCs w:val="16"/>
          <w:shd w:val="clear" w:color="auto" w:fill="FFFFFF"/>
          <w:lang w:val="es-CR"/>
        </w:rPr>
        <w:t>Considerando 10</w:t>
      </w:r>
      <w:r w:rsidRPr="00701E95">
        <w:rPr>
          <w:rStyle w:val="Textoennegrita"/>
          <w:rFonts w:ascii="Verdana" w:hAnsi="Verdana"/>
          <w:b w:val="0"/>
          <w:color w:val="000000"/>
          <w:sz w:val="16"/>
          <w:szCs w:val="16"/>
          <w:shd w:val="clear" w:color="auto" w:fill="FFFFFF"/>
          <w:lang w:val="es-CR"/>
        </w:rPr>
        <w:t>.</w:t>
      </w:r>
    </w:p>
  </w:footnote>
  <w:footnote w:id="24">
    <w:p w14:paraId="4A812CE7" w14:textId="77777777" w:rsidR="00701E95" w:rsidRPr="00701E95" w:rsidRDefault="00701E95" w:rsidP="00017FB2">
      <w:pPr>
        <w:pStyle w:val="Textonotapie"/>
        <w:jc w:val="both"/>
        <w:rPr>
          <w:lang w:val="es-CR"/>
        </w:rPr>
      </w:pPr>
      <w:r w:rsidRPr="009A72DC">
        <w:rPr>
          <w:rStyle w:val="Refdenotaalpie"/>
          <w:rFonts w:ascii="Verdana" w:hAnsi="Verdana"/>
          <w:sz w:val="16"/>
          <w:szCs w:val="16"/>
        </w:rPr>
        <w:footnoteRef/>
      </w:r>
      <w:r w:rsidRPr="00701E95">
        <w:rPr>
          <w:rFonts w:ascii="Verdana" w:hAnsi="Verdana"/>
          <w:sz w:val="16"/>
          <w:szCs w:val="16"/>
          <w:lang w:val="es-CR"/>
        </w:rPr>
        <w:t xml:space="preserve"> </w:t>
      </w:r>
      <w:r w:rsidRPr="00701E95">
        <w:rPr>
          <w:rFonts w:ascii="Verdana" w:hAnsi="Verdana"/>
          <w:sz w:val="16"/>
          <w:szCs w:val="16"/>
          <w:lang w:val="es-CR"/>
        </w:rPr>
        <w:tab/>
      </w:r>
      <w:r w:rsidRPr="00701E95">
        <w:rPr>
          <w:rFonts w:ascii="Verdana" w:hAnsi="Verdana"/>
          <w:i/>
          <w:sz w:val="16"/>
          <w:szCs w:val="16"/>
          <w:lang w:val="es-CR"/>
        </w:rPr>
        <w:t>Cfr.</w:t>
      </w:r>
      <w:r w:rsidRPr="00701E95">
        <w:rPr>
          <w:rFonts w:ascii="Verdana" w:hAnsi="Verdana"/>
          <w:sz w:val="16"/>
          <w:szCs w:val="16"/>
          <w:lang w:val="es-CR"/>
        </w:rPr>
        <w:t xml:space="preserve"> </w:t>
      </w:r>
      <w:r w:rsidRPr="00701E95">
        <w:rPr>
          <w:rStyle w:val="Textoennegrita"/>
          <w:rFonts w:ascii="Verdana" w:hAnsi="Verdana"/>
          <w:b w:val="0"/>
          <w:i/>
          <w:color w:val="000000"/>
          <w:sz w:val="16"/>
          <w:szCs w:val="16"/>
          <w:shd w:val="clear" w:color="auto" w:fill="FFFFFF"/>
          <w:lang w:val="es-CR"/>
        </w:rPr>
        <w:t xml:space="preserve">Caso </w:t>
      </w:r>
      <w:proofErr w:type="spellStart"/>
      <w:r w:rsidRPr="00701E95">
        <w:rPr>
          <w:rStyle w:val="Textoennegrita"/>
          <w:rFonts w:ascii="Verdana" w:hAnsi="Verdana"/>
          <w:b w:val="0"/>
          <w:i/>
          <w:color w:val="000000"/>
          <w:sz w:val="16"/>
          <w:szCs w:val="16"/>
          <w:shd w:val="clear" w:color="auto" w:fill="FFFFFF"/>
          <w:lang w:val="es-CR"/>
        </w:rPr>
        <w:t>Apitz</w:t>
      </w:r>
      <w:proofErr w:type="spellEnd"/>
      <w:r w:rsidRPr="00701E95">
        <w:rPr>
          <w:rStyle w:val="Textoennegrita"/>
          <w:rFonts w:ascii="Verdana" w:hAnsi="Verdana"/>
          <w:b w:val="0"/>
          <w:i/>
          <w:color w:val="000000"/>
          <w:sz w:val="16"/>
          <w:szCs w:val="16"/>
          <w:shd w:val="clear" w:color="auto" w:fill="FFFFFF"/>
          <w:lang w:val="es-CR"/>
        </w:rPr>
        <w:t xml:space="preserve"> Barbera y Otros</w:t>
      </w:r>
      <w:r w:rsidR="00744ADA">
        <w:rPr>
          <w:rStyle w:val="Textoennegrita"/>
          <w:rFonts w:ascii="Verdana" w:hAnsi="Verdana"/>
          <w:b w:val="0"/>
          <w:i/>
          <w:color w:val="000000"/>
          <w:sz w:val="16"/>
          <w:szCs w:val="16"/>
          <w:shd w:val="clear" w:color="auto" w:fill="FFFFFF"/>
          <w:lang w:val="es-CR"/>
        </w:rPr>
        <w:t xml:space="preserve"> </w:t>
      </w:r>
      <w:r w:rsidR="00744ADA">
        <w:rPr>
          <w:rFonts w:ascii="Verdana" w:hAnsi="Verdana"/>
          <w:bCs/>
          <w:i/>
          <w:sz w:val="16"/>
          <w:szCs w:val="16"/>
          <w:lang w:val="es-CR"/>
        </w:rPr>
        <w:t>Vs. Venezuela</w:t>
      </w:r>
      <w:r w:rsidRPr="00701E95">
        <w:rPr>
          <w:rStyle w:val="Textoennegrita"/>
          <w:rFonts w:ascii="Verdana" w:hAnsi="Verdana"/>
          <w:b w:val="0"/>
          <w:i/>
          <w:color w:val="000000"/>
          <w:sz w:val="16"/>
          <w:szCs w:val="16"/>
          <w:shd w:val="clear" w:color="auto" w:fill="FFFFFF"/>
          <w:lang w:val="es-CR"/>
        </w:rPr>
        <w:t>, supra</w:t>
      </w:r>
      <w:r w:rsidR="00017FB2">
        <w:rPr>
          <w:rStyle w:val="Textoennegrita"/>
          <w:rFonts w:ascii="Verdana" w:hAnsi="Verdana"/>
          <w:b w:val="0"/>
          <w:i/>
          <w:color w:val="000000"/>
          <w:sz w:val="16"/>
          <w:szCs w:val="16"/>
          <w:shd w:val="clear" w:color="auto" w:fill="FFFFFF"/>
          <w:lang w:val="es-CR"/>
        </w:rPr>
        <w:t xml:space="preserve"> </w:t>
      </w:r>
      <w:r w:rsidR="00017FB2">
        <w:rPr>
          <w:rStyle w:val="Textoennegrita"/>
          <w:rFonts w:ascii="Verdana" w:hAnsi="Verdana"/>
          <w:b w:val="0"/>
          <w:color w:val="000000"/>
          <w:sz w:val="16"/>
          <w:szCs w:val="16"/>
          <w:shd w:val="clear" w:color="auto" w:fill="FFFFFF"/>
          <w:lang w:val="es-CR"/>
        </w:rPr>
        <w:t xml:space="preserve">nota </w:t>
      </w:r>
      <w:r w:rsidR="00744ADA">
        <w:rPr>
          <w:rStyle w:val="Textoennegrita"/>
          <w:rFonts w:ascii="Verdana" w:hAnsi="Verdana"/>
          <w:b w:val="0"/>
          <w:color w:val="000000"/>
          <w:sz w:val="16"/>
          <w:szCs w:val="16"/>
          <w:shd w:val="clear" w:color="auto" w:fill="FFFFFF"/>
          <w:lang w:val="es-CR"/>
        </w:rPr>
        <w:t>20</w:t>
      </w:r>
      <w:r w:rsidRPr="00701E95">
        <w:rPr>
          <w:rStyle w:val="Textoennegrita"/>
          <w:rFonts w:ascii="Verdana" w:hAnsi="Verdana"/>
          <w:b w:val="0"/>
          <w:i/>
          <w:color w:val="000000"/>
          <w:sz w:val="16"/>
          <w:szCs w:val="16"/>
          <w:shd w:val="clear" w:color="auto" w:fill="FFFFFF"/>
          <w:lang w:val="es-CR"/>
        </w:rPr>
        <w:t>,</w:t>
      </w:r>
      <w:r w:rsidRPr="00701E95">
        <w:rPr>
          <w:rStyle w:val="Textoennegrita"/>
          <w:rFonts w:ascii="Verdana" w:hAnsi="Verdana"/>
          <w:b w:val="0"/>
          <w:color w:val="000000"/>
          <w:sz w:val="16"/>
          <w:szCs w:val="16"/>
          <w:shd w:val="clear" w:color="auto" w:fill="FFFFFF"/>
          <w:lang w:val="es-CR"/>
        </w:rPr>
        <w:t xml:space="preserve"> Considerando </w:t>
      </w:r>
      <w:r w:rsidR="00017FB2">
        <w:rPr>
          <w:rStyle w:val="Textoennegrita"/>
          <w:rFonts w:ascii="Verdana" w:hAnsi="Verdana"/>
          <w:b w:val="0"/>
          <w:color w:val="000000"/>
          <w:sz w:val="16"/>
          <w:szCs w:val="16"/>
          <w:shd w:val="clear" w:color="auto" w:fill="FFFFFF"/>
          <w:lang w:val="es-CR"/>
        </w:rPr>
        <w:t>46</w:t>
      </w:r>
      <w:r w:rsidR="005F0B36">
        <w:rPr>
          <w:rStyle w:val="Textoennegrita"/>
          <w:rFonts w:ascii="Verdana" w:hAnsi="Verdana"/>
          <w:b w:val="0"/>
          <w:color w:val="000000"/>
          <w:sz w:val="16"/>
          <w:szCs w:val="16"/>
          <w:shd w:val="clear" w:color="auto" w:fill="FFFFFF"/>
          <w:lang w:val="es-CR"/>
        </w:rPr>
        <w:t>,</w:t>
      </w:r>
      <w:r w:rsidR="00695AB5">
        <w:rPr>
          <w:rStyle w:val="Textoennegrita"/>
          <w:rFonts w:ascii="Verdana" w:hAnsi="Verdana"/>
          <w:b w:val="0"/>
          <w:color w:val="000000"/>
          <w:sz w:val="16"/>
          <w:szCs w:val="16"/>
          <w:shd w:val="clear" w:color="auto" w:fill="FFFFFF"/>
          <w:lang w:val="es-CR"/>
        </w:rPr>
        <w:t xml:space="preserve"> y </w:t>
      </w:r>
      <w:r w:rsidR="00695AB5">
        <w:rPr>
          <w:rStyle w:val="Textoennegrita"/>
          <w:rFonts w:ascii="Verdana" w:hAnsi="Verdana"/>
          <w:b w:val="0"/>
          <w:i/>
          <w:color w:val="000000"/>
          <w:sz w:val="16"/>
          <w:szCs w:val="16"/>
          <w:shd w:val="clear" w:color="auto" w:fill="FFFFFF"/>
          <w:lang w:val="es-CR"/>
        </w:rPr>
        <w:t xml:space="preserve">Caso Yvon </w:t>
      </w:r>
      <w:proofErr w:type="spellStart"/>
      <w:r w:rsidR="00695AB5">
        <w:rPr>
          <w:rStyle w:val="Textoennegrita"/>
          <w:rFonts w:ascii="Verdana" w:hAnsi="Verdana"/>
          <w:b w:val="0"/>
          <w:i/>
          <w:color w:val="000000"/>
          <w:sz w:val="16"/>
          <w:szCs w:val="16"/>
          <w:shd w:val="clear" w:color="auto" w:fill="FFFFFF"/>
          <w:lang w:val="es-CR"/>
        </w:rPr>
        <w:t>Neptune</w:t>
      </w:r>
      <w:proofErr w:type="spellEnd"/>
      <w:r w:rsidR="00695AB5">
        <w:rPr>
          <w:rStyle w:val="Textoennegrita"/>
          <w:rFonts w:ascii="Verdana" w:hAnsi="Verdana"/>
          <w:b w:val="0"/>
          <w:i/>
          <w:color w:val="000000"/>
          <w:sz w:val="16"/>
          <w:szCs w:val="16"/>
          <w:shd w:val="clear" w:color="auto" w:fill="FFFFFF"/>
          <w:lang w:val="es-CR"/>
        </w:rPr>
        <w:t xml:space="preserve"> Vs. Haití, supra</w:t>
      </w:r>
      <w:r w:rsidR="00017FB2">
        <w:rPr>
          <w:rStyle w:val="Textoennegrita"/>
          <w:rFonts w:ascii="Verdana" w:hAnsi="Verdana"/>
          <w:b w:val="0"/>
          <w:i/>
          <w:color w:val="000000"/>
          <w:sz w:val="16"/>
          <w:szCs w:val="16"/>
          <w:shd w:val="clear" w:color="auto" w:fill="FFFFFF"/>
          <w:lang w:val="es-CR"/>
        </w:rPr>
        <w:t xml:space="preserve"> </w:t>
      </w:r>
      <w:r w:rsidR="00017FB2">
        <w:rPr>
          <w:rStyle w:val="Textoennegrita"/>
          <w:rFonts w:ascii="Verdana" w:hAnsi="Verdana"/>
          <w:b w:val="0"/>
          <w:color w:val="000000"/>
          <w:sz w:val="16"/>
          <w:szCs w:val="16"/>
          <w:shd w:val="clear" w:color="auto" w:fill="FFFFFF"/>
          <w:lang w:val="es-CR"/>
        </w:rPr>
        <w:t xml:space="preserve">nota </w:t>
      </w:r>
      <w:r w:rsidR="00744ADA">
        <w:rPr>
          <w:rStyle w:val="Textoennegrita"/>
          <w:rFonts w:ascii="Verdana" w:hAnsi="Verdana"/>
          <w:b w:val="0"/>
          <w:color w:val="000000"/>
          <w:sz w:val="16"/>
          <w:szCs w:val="16"/>
          <w:shd w:val="clear" w:color="auto" w:fill="FFFFFF"/>
          <w:lang w:val="es-CR"/>
        </w:rPr>
        <w:t>20</w:t>
      </w:r>
      <w:r w:rsidR="00695AB5">
        <w:rPr>
          <w:rStyle w:val="Textoennegrita"/>
          <w:rFonts w:ascii="Verdana" w:hAnsi="Verdana"/>
          <w:b w:val="0"/>
          <w:i/>
          <w:color w:val="000000"/>
          <w:sz w:val="16"/>
          <w:szCs w:val="16"/>
          <w:shd w:val="clear" w:color="auto" w:fill="FFFFFF"/>
          <w:lang w:val="es-CR"/>
        </w:rPr>
        <w:t xml:space="preserve">, </w:t>
      </w:r>
      <w:r w:rsidR="00695AB5" w:rsidRPr="003C4CD5">
        <w:rPr>
          <w:rStyle w:val="Textoennegrita"/>
          <w:rFonts w:ascii="Verdana" w:hAnsi="Verdana"/>
          <w:b w:val="0"/>
          <w:color w:val="000000"/>
          <w:sz w:val="16"/>
          <w:szCs w:val="16"/>
          <w:shd w:val="clear" w:color="auto" w:fill="FFFFFF"/>
          <w:lang w:val="es-CR"/>
        </w:rPr>
        <w:t>Considerando 10</w:t>
      </w:r>
      <w:r w:rsidRPr="00701E95">
        <w:rPr>
          <w:rStyle w:val="Textoennegrita"/>
          <w:rFonts w:ascii="Verdana" w:hAnsi="Verdana"/>
          <w:b w:val="0"/>
          <w:color w:val="000000"/>
          <w:sz w:val="16"/>
          <w:szCs w:val="16"/>
          <w:shd w:val="clear" w:color="auto" w:fill="FFFFFF"/>
          <w:lang w:val="es-CR"/>
        </w:rPr>
        <w:t>.</w:t>
      </w:r>
    </w:p>
  </w:footnote>
  <w:footnote w:id="25">
    <w:p w14:paraId="58A47DCC" w14:textId="77777777" w:rsidR="00701E95" w:rsidRPr="00701E95" w:rsidRDefault="00701E95" w:rsidP="00017FB2">
      <w:pPr>
        <w:pStyle w:val="Textonotapie"/>
        <w:jc w:val="both"/>
        <w:rPr>
          <w:rFonts w:ascii="Verdana" w:hAnsi="Verdana"/>
          <w:i/>
          <w:sz w:val="16"/>
          <w:szCs w:val="16"/>
          <w:lang w:val="es-CR"/>
        </w:rPr>
      </w:pPr>
      <w:r w:rsidRPr="00802B35">
        <w:rPr>
          <w:rStyle w:val="Refdenotaalpie"/>
          <w:rFonts w:ascii="Verdana" w:hAnsi="Verdana"/>
          <w:sz w:val="16"/>
          <w:szCs w:val="16"/>
        </w:rPr>
        <w:footnoteRef/>
      </w:r>
      <w:r w:rsidRPr="00701E95">
        <w:rPr>
          <w:rFonts w:ascii="Verdana" w:hAnsi="Verdana"/>
          <w:sz w:val="16"/>
          <w:szCs w:val="16"/>
          <w:lang w:val="es-CR"/>
        </w:rPr>
        <w:t xml:space="preserve"> </w:t>
      </w:r>
      <w:r w:rsidRPr="00701E95">
        <w:rPr>
          <w:rFonts w:ascii="Verdana" w:hAnsi="Verdana"/>
          <w:sz w:val="16"/>
          <w:szCs w:val="16"/>
          <w:lang w:val="es-CR"/>
        </w:rPr>
        <w:tab/>
      </w:r>
      <w:r w:rsidRPr="00701E95">
        <w:rPr>
          <w:rFonts w:ascii="Verdana" w:hAnsi="Verdana"/>
          <w:i/>
          <w:sz w:val="16"/>
          <w:szCs w:val="16"/>
          <w:lang w:val="es-CR"/>
        </w:rPr>
        <w:t>Cfr.</w:t>
      </w:r>
      <w:r w:rsidRPr="00701E95">
        <w:rPr>
          <w:rFonts w:ascii="Verdana" w:hAnsi="Verdana"/>
          <w:sz w:val="16"/>
          <w:szCs w:val="16"/>
          <w:lang w:val="es-CR"/>
        </w:rPr>
        <w:t xml:space="preserve"> </w:t>
      </w:r>
      <w:r w:rsidRPr="00701E95">
        <w:rPr>
          <w:rStyle w:val="Textoennegrita"/>
          <w:rFonts w:ascii="Verdana" w:hAnsi="Verdana"/>
          <w:b w:val="0"/>
          <w:i/>
          <w:color w:val="000000"/>
          <w:sz w:val="16"/>
          <w:szCs w:val="16"/>
          <w:shd w:val="clear" w:color="auto" w:fill="FFFFFF"/>
          <w:lang w:val="es-CR"/>
        </w:rPr>
        <w:t xml:space="preserve">Caso </w:t>
      </w:r>
      <w:proofErr w:type="spellStart"/>
      <w:r w:rsidRPr="00701E95">
        <w:rPr>
          <w:rStyle w:val="Textoennegrita"/>
          <w:rFonts w:ascii="Verdana" w:hAnsi="Verdana"/>
          <w:b w:val="0"/>
          <w:i/>
          <w:color w:val="000000"/>
          <w:sz w:val="16"/>
          <w:szCs w:val="16"/>
          <w:shd w:val="clear" w:color="auto" w:fill="FFFFFF"/>
          <w:lang w:val="es-CR"/>
        </w:rPr>
        <w:t>Apitz</w:t>
      </w:r>
      <w:proofErr w:type="spellEnd"/>
      <w:r w:rsidRPr="00701E95">
        <w:rPr>
          <w:rStyle w:val="Textoennegrita"/>
          <w:rFonts w:ascii="Verdana" w:hAnsi="Verdana"/>
          <w:b w:val="0"/>
          <w:i/>
          <w:color w:val="000000"/>
          <w:sz w:val="16"/>
          <w:szCs w:val="16"/>
          <w:shd w:val="clear" w:color="auto" w:fill="FFFFFF"/>
          <w:lang w:val="es-CR"/>
        </w:rPr>
        <w:t xml:space="preserve"> Barbera y Otros</w:t>
      </w:r>
      <w:r w:rsidR="00744ADA">
        <w:rPr>
          <w:rStyle w:val="Textoennegrita"/>
          <w:rFonts w:ascii="Verdana" w:hAnsi="Verdana"/>
          <w:b w:val="0"/>
          <w:i/>
          <w:color w:val="000000"/>
          <w:sz w:val="16"/>
          <w:szCs w:val="16"/>
          <w:shd w:val="clear" w:color="auto" w:fill="FFFFFF"/>
          <w:lang w:val="es-CR"/>
        </w:rPr>
        <w:t xml:space="preserve"> </w:t>
      </w:r>
      <w:r w:rsidR="00744ADA">
        <w:rPr>
          <w:rFonts w:ascii="Verdana" w:hAnsi="Verdana"/>
          <w:bCs/>
          <w:i/>
          <w:sz w:val="16"/>
          <w:szCs w:val="16"/>
          <w:lang w:val="es-CR"/>
        </w:rPr>
        <w:t>Vs. Venezuela</w:t>
      </w:r>
      <w:r w:rsidRPr="00701E95">
        <w:rPr>
          <w:rStyle w:val="Textoennegrita"/>
          <w:rFonts w:ascii="Verdana" w:hAnsi="Verdana"/>
          <w:b w:val="0"/>
          <w:i/>
          <w:color w:val="000000"/>
          <w:sz w:val="16"/>
          <w:szCs w:val="16"/>
          <w:shd w:val="clear" w:color="auto" w:fill="FFFFFF"/>
          <w:lang w:val="es-CR"/>
        </w:rPr>
        <w:t>, supra</w:t>
      </w:r>
      <w:r w:rsidR="00017FB2">
        <w:rPr>
          <w:rStyle w:val="Textoennegrita"/>
          <w:rFonts w:ascii="Verdana" w:hAnsi="Verdana"/>
          <w:b w:val="0"/>
          <w:i/>
          <w:color w:val="000000"/>
          <w:sz w:val="16"/>
          <w:szCs w:val="16"/>
          <w:shd w:val="clear" w:color="auto" w:fill="FFFFFF"/>
          <w:lang w:val="es-CR"/>
        </w:rPr>
        <w:t xml:space="preserve"> </w:t>
      </w:r>
      <w:r w:rsidR="00017FB2">
        <w:rPr>
          <w:rStyle w:val="Textoennegrita"/>
          <w:rFonts w:ascii="Verdana" w:hAnsi="Verdana"/>
          <w:b w:val="0"/>
          <w:color w:val="000000"/>
          <w:sz w:val="16"/>
          <w:szCs w:val="16"/>
          <w:shd w:val="clear" w:color="auto" w:fill="FFFFFF"/>
          <w:lang w:val="es-CR"/>
        </w:rPr>
        <w:t xml:space="preserve">nota </w:t>
      </w:r>
      <w:r w:rsidR="00744ADA">
        <w:rPr>
          <w:rStyle w:val="Textoennegrita"/>
          <w:rFonts w:ascii="Verdana" w:hAnsi="Verdana"/>
          <w:b w:val="0"/>
          <w:color w:val="000000"/>
          <w:sz w:val="16"/>
          <w:szCs w:val="16"/>
          <w:shd w:val="clear" w:color="auto" w:fill="FFFFFF"/>
          <w:lang w:val="es-CR"/>
        </w:rPr>
        <w:t>20</w:t>
      </w:r>
      <w:r w:rsidRPr="00701E95">
        <w:rPr>
          <w:rStyle w:val="Textoennegrita"/>
          <w:rFonts w:ascii="Verdana" w:hAnsi="Verdana"/>
          <w:b w:val="0"/>
          <w:i/>
          <w:color w:val="000000"/>
          <w:sz w:val="16"/>
          <w:szCs w:val="16"/>
          <w:shd w:val="clear" w:color="auto" w:fill="FFFFFF"/>
          <w:lang w:val="es-CR"/>
        </w:rPr>
        <w:t>,</w:t>
      </w:r>
      <w:r w:rsidRPr="00701E95">
        <w:rPr>
          <w:rStyle w:val="Textoennegrita"/>
          <w:rFonts w:ascii="Verdana" w:hAnsi="Verdana"/>
          <w:b w:val="0"/>
          <w:color w:val="000000"/>
          <w:sz w:val="16"/>
          <w:szCs w:val="16"/>
          <w:shd w:val="clear" w:color="auto" w:fill="FFFFFF"/>
          <w:lang w:val="es-CR"/>
        </w:rPr>
        <w:t xml:space="preserve"> Considerando </w:t>
      </w:r>
      <w:r w:rsidR="00017FB2">
        <w:rPr>
          <w:rStyle w:val="Textoennegrita"/>
          <w:rFonts w:ascii="Verdana" w:hAnsi="Verdana"/>
          <w:b w:val="0"/>
          <w:color w:val="000000"/>
          <w:sz w:val="16"/>
          <w:szCs w:val="16"/>
          <w:shd w:val="clear" w:color="auto" w:fill="FFFFFF"/>
          <w:lang w:val="es-CR"/>
        </w:rPr>
        <w:t>48</w:t>
      </w:r>
      <w:r w:rsidR="005F0B36">
        <w:rPr>
          <w:rStyle w:val="Textoennegrita"/>
          <w:rFonts w:ascii="Verdana" w:hAnsi="Verdana"/>
          <w:b w:val="0"/>
          <w:color w:val="000000"/>
          <w:sz w:val="16"/>
          <w:szCs w:val="16"/>
          <w:shd w:val="clear" w:color="auto" w:fill="FFFFFF"/>
          <w:lang w:val="es-CR"/>
        </w:rPr>
        <w:t>, y</w:t>
      </w:r>
      <w:r w:rsidR="00695AB5">
        <w:rPr>
          <w:rStyle w:val="Textoennegrita"/>
          <w:rFonts w:ascii="Verdana" w:hAnsi="Verdana"/>
          <w:b w:val="0"/>
          <w:color w:val="000000"/>
          <w:sz w:val="16"/>
          <w:szCs w:val="16"/>
          <w:shd w:val="clear" w:color="auto" w:fill="FFFFFF"/>
          <w:lang w:val="es-CR"/>
        </w:rPr>
        <w:t xml:space="preserve"> </w:t>
      </w:r>
      <w:r w:rsidR="00695AB5">
        <w:rPr>
          <w:rStyle w:val="Textoennegrita"/>
          <w:rFonts w:ascii="Verdana" w:hAnsi="Verdana"/>
          <w:b w:val="0"/>
          <w:i/>
          <w:color w:val="000000"/>
          <w:sz w:val="16"/>
          <w:szCs w:val="16"/>
          <w:shd w:val="clear" w:color="auto" w:fill="FFFFFF"/>
          <w:lang w:val="es-CR"/>
        </w:rPr>
        <w:t xml:space="preserve">Caso Yvon </w:t>
      </w:r>
      <w:proofErr w:type="spellStart"/>
      <w:r w:rsidR="00695AB5">
        <w:rPr>
          <w:rStyle w:val="Textoennegrita"/>
          <w:rFonts w:ascii="Verdana" w:hAnsi="Verdana"/>
          <w:b w:val="0"/>
          <w:i/>
          <w:color w:val="000000"/>
          <w:sz w:val="16"/>
          <w:szCs w:val="16"/>
          <w:shd w:val="clear" w:color="auto" w:fill="FFFFFF"/>
          <w:lang w:val="es-CR"/>
        </w:rPr>
        <w:t>Neptune</w:t>
      </w:r>
      <w:proofErr w:type="spellEnd"/>
      <w:r w:rsidR="00695AB5">
        <w:rPr>
          <w:rStyle w:val="Textoennegrita"/>
          <w:rFonts w:ascii="Verdana" w:hAnsi="Verdana"/>
          <w:b w:val="0"/>
          <w:i/>
          <w:color w:val="000000"/>
          <w:sz w:val="16"/>
          <w:szCs w:val="16"/>
          <w:shd w:val="clear" w:color="auto" w:fill="FFFFFF"/>
          <w:lang w:val="es-CR"/>
        </w:rPr>
        <w:t xml:space="preserve"> Vs. Haití, supra</w:t>
      </w:r>
      <w:r w:rsidR="00017FB2">
        <w:rPr>
          <w:rStyle w:val="Textoennegrita"/>
          <w:rFonts w:ascii="Verdana" w:hAnsi="Verdana"/>
          <w:b w:val="0"/>
          <w:i/>
          <w:color w:val="000000"/>
          <w:sz w:val="16"/>
          <w:szCs w:val="16"/>
          <w:shd w:val="clear" w:color="auto" w:fill="FFFFFF"/>
          <w:lang w:val="es-CR"/>
        </w:rPr>
        <w:t xml:space="preserve"> </w:t>
      </w:r>
      <w:r w:rsidR="00017FB2">
        <w:rPr>
          <w:rStyle w:val="Textoennegrita"/>
          <w:rFonts w:ascii="Verdana" w:hAnsi="Verdana"/>
          <w:b w:val="0"/>
          <w:color w:val="000000"/>
          <w:sz w:val="16"/>
          <w:szCs w:val="16"/>
          <w:shd w:val="clear" w:color="auto" w:fill="FFFFFF"/>
          <w:lang w:val="es-CR"/>
        </w:rPr>
        <w:t xml:space="preserve">nota </w:t>
      </w:r>
      <w:r w:rsidR="00744ADA">
        <w:rPr>
          <w:rStyle w:val="Textoennegrita"/>
          <w:rFonts w:ascii="Verdana" w:hAnsi="Verdana"/>
          <w:b w:val="0"/>
          <w:color w:val="000000"/>
          <w:sz w:val="16"/>
          <w:szCs w:val="16"/>
          <w:shd w:val="clear" w:color="auto" w:fill="FFFFFF"/>
          <w:lang w:val="es-CR"/>
        </w:rPr>
        <w:t>20</w:t>
      </w:r>
      <w:r w:rsidR="00695AB5">
        <w:rPr>
          <w:rStyle w:val="Textoennegrita"/>
          <w:rFonts w:ascii="Verdana" w:hAnsi="Verdana"/>
          <w:b w:val="0"/>
          <w:i/>
          <w:color w:val="000000"/>
          <w:sz w:val="16"/>
          <w:szCs w:val="16"/>
          <w:shd w:val="clear" w:color="auto" w:fill="FFFFFF"/>
          <w:lang w:val="es-CR"/>
        </w:rPr>
        <w:t xml:space="preserve">, </w:t>
      </w:r>
      <w:r w:rsidR="00695AB5" w:rsidRPr="003C4CD5">
        <w:rPr>
          <w:rStyle w:val="Textoennegrita"/>
          <w:rFonts w:ascii="Verdana" w:hAnsi="Verdana"/>
          <w:b w:val="0"/>
          <w:color w:val="000000"/>
          <w:sz w:val="16"/>
          <w:szCs w:val="16"/>
          <w:shd w:val="clear" w:color="auto" w:fill="FFFFFF"/>
          <w:lang w:val="es-CR"/>
        </w:rPr>
        <w:t>Considerando 1</w:t>
      </w:r>
      <w:r w:rsidR="00695AB5">
        <w:rPr>
          <w:rStyle w:val="Textoennegrita"/>
          <w:rFonts w:ascii="Verdana" w:hAnsi="Verdana"/>
          <w:b w:val="0"/>
          <w:color w:val="000000"/>
          <w:sz w:val="16"/>
          <w:szCs w:val="16"/>
          <w:shd w:val="clear" w:color="auto" w:fill="FFFFFF"/>
          <w:lang w:val="es-CR"/>
        </w:rPr>
        <w:t>1</w:t>
      </w:r>
      <w:r w:rsidRPr="00701E95">
        <w:rPr>
          <w:rStyle w:val="Textoennegrita"/>
          <w:rFonts w:ascii="Verdana" w:hAnsi="Verdana"/>
          <w:b w:val="0"/>
          <w:color w:val="000000"/>
          <w:sz w:val="16"/>
          <w:szCs w:val="16"/>
          <w:shd w:val="clear" w:color="auto" w:fill="FFFFFF"/>
          <w:lang w:val="es-C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5D2"/>
    <w:multiLevelType w:val="hybridMultilevel"/>
    <w:tmpl w:val="056A23BC"/>
    <w:lvl w:ilvl="0" w:tplc="7DB28384">
      <w:start w:val="1"/>
      <w:numFmt w:val="decimal"/>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392C0647"/>
    <w:multiLevelType w:val="hybridMultilevel"/>
    <w:tmpl w:val="1898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66D63"/>
    <w:multiLevelType w:val="hybridMultilevel"/>
    <w:tmpl w:val="01A4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A4F2C"/>
    <w:multiLevelType w:val="hybridMultilevel"/>
    <w:tmpl w:val="41E45342"/>
    <w:lvl w:ilvl="0" w:tplc="74EACB10">
      <w:start w:val="1"/>
      <w:numFmt w:val="decimal"/>
      <w:lvlText w:val="%1."/>
      <w:lvlJc w:val="left"/>
      <w:pPr>
        <w:ind w:left="2265" w:hanging="705"/>
      </w:pPr>
      <w:rPr>
        <w:rFonts w:hint="default"/>
        <w:b w:val="0"/>
        <w:i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62EF0"/>
    <w:multiLevelType w:val="hybridMultilevel"/>
    <w:tmpl w:val="0EC4F4FE"/>
    <w:lvl w:ilvl="0" w:tplc="75D2799E">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C91"/>
    <w:rsid w:val="00017FB2"/>
    <w:rsid w:val="0002329D"/>
    <w:rsid w:val="00074570"/>
    <w:rsid w:val="00095BEE"/>
    <w:rsid w:val="000A313F"/>
    <w:rsid w:val="000E770D"/>
    <w:rsid w:val="000F4A7F"/>
    <w:rsid w:val="000F5A2E"/>
    <w:rsid w:val="00150809"/>
    <w:rsid w:val="00161293"/>
    <w:rsid w:val="00194A09"/>
    <w:rsid w:val="001B743D"/>
    <w:rsid w:val="001E4EB8"/>
    <w:rsid w:val="00217C91"/>
    <w:rsid w:val="002E4487"/>
    <w:rsid w:val="00306A67"/>
    <w:rsid w:val="00353409"/>
    <w:rsid w:val="00366239"/>
    <w:rsid w:val="0039227E"/>
    <w:rsid w:val="003F4420"/>
    <w:rsid w:val="00450D61"/>
    <w:rsid w:val="004C376F"/>
    <w:rsid w:val="0051692D"/>
    <w:rsid w:val="00521E39"/>
    <w:rsid w:val="00543CF1"/>
    <w:rsid w:val="00551F46"/>
    <w:rsid w:val="00574B74"/>
    <w:rsid w:val="005B3671"/>
    <w:rsid w:val="005F0B36"/>
    <w:rsid w:val="006321DF"/>
    <w:rsid w:val="00695AB5"/>
    <w:rsid w:val="00701E95"/>
    <w:rsid w:val="00744ADA"/>
    <w:rsid w:val="00766140"/>
    <w:rsid w:val="00772F1F"/>
    <w:rsid w:val="007B4E80"/>
    <w:rsid w:val="007E4459"/>
    <w:rsid w:val="00842317"/>
    <w:rsid w:val="00852324"/>
    <w:rsid w:val="00863132"/>
    <w:rsid w:val="008A1EE4"/>
    <w:rsid w:val="00937009"/>
    <w:rsid w:val="009C7508"/>
    <w:rsid w:val="009D246F"/>
    <w:rsid w:val="00A94AAE"/>
    <w:rsid w:val="00AA00FC"/>
    <w:rsid w:val="00AA4D51"/>
    <w:rsid w:val="00B1779B"/>
    <w:rsid w:val="00B52FDF"/>
    <w:rsid w:val="00B70B9A"/>
    <w:rsid w:val="00B74A16"/>
    <w:rsid w:val="00B85C9E"/>
    <w:rsid w:val="00B9511C"/>
    <w:rsid w:val="00BA12AA"/>
    <w:rsid w:val="00BB6ADF"/>
    <w:rsid w:val="00BD4FAE"/>
    <w:rsid w:val="00BE25A8"/>
    <w:rsid w:val="00BE4455"/>
    <w:rsid w:val="00C05EF7"/>
    <w:rsid w:val="00C36F60"/>
    <w:rsid w:val="00C666E3"/>
    <w:rsid w:val="00CB7D03"/>
    <w:rsid w:val="00D0743E"/>
    <w:rsid w:val="00D2111D"/>
    <w:rsid w:val="00D21C81"/>
    <w:rsid w:val="00DA0EEB"/>
    <w:rsid w:val="00DC4669"/>
    <w:rsid w:val="00E34E73"/>
    <w:rsid w:val="00EF23B4"/>
    <w:rsid w:val="00F329FC"/>
    <w:rsid w:val="00FB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098F"/>
  <w15:chartTrackingRefBased/>
  <w15:docId w15:val="{75EF8180-A2FA-41AC-B149-32311EC3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Párrafo de lista1"/>
    <w:basedOn w:val="Normal"/>
    <w:link w:val="PrrafodelistaCar"/>
    <w:uiPriority w:val="34"/>
    <w:qFormat/>
    <w:rsid w:val="00217C91"/>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217C9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qFormat/>
    <w:rsid w:val="00217C91"/>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iPriority w:val="99"/>
    <w:unhideWhenUsed/>
    <w:qFormat/>
    <w:rsid w:val="00217C91"/>
    <w:rPr>
      <w:vertAlign w:val="superscript"/>
    </w:rPr>
  </w:style>
  <w:style w:type="character" w:styleId="Hipervnculo">
    <w:name w:val="Hyperlink"/>
    <w:basedOn w:val="Fuentedeprrafopredeter"/>
    <w:uiPriority w:val="99"/>
    <w:unhideWhenUsed/>
    <w:rsid w:val="00217C91"/>
    <w:rPr>
      <w:color w:val="0563C1" w:themeColor="hyperlink"/>
      <w:u w:val="single"/>
    </w:rPr>
  </w:style>
  <w:style w:type="character" w:customStyle="1" w:styleId="PrrafodelistaCar">
    <w:name w:val="Párrafo de lista Car"/>
    <w:aliases w:val="Footnote Car,Párrafo de lista1 Car"/>
    <w:link w:val="Prrafodelista"/>
    <w:uiPriority w:val="34"/>
    <w:rsid w:val="000F5A2E"/>
  </w:style>
  <w:style w:type="character" w:styleId="Textoennegrita">
    <w:name w:val="Strong"/>
    <w:uiPriority w:val="22"/>
    <w:qFormat/>
    <w:rsid w:val="000F5A2E"/>
    <w:rPr>
      <w:b/>
      <w:bCs/>
    </w:rPr>
  </w:style>
  <w:style w:type="paragraph" w:styleId="Textoindependiente">
    <w:name w:val="Body Text"/>
    <w:basedOn w:val="Normal"/>
    <w:link w:val="TextoindependienteCar"/>
    <w:uiPriority w:val="99"/>
    <w:semiHidden/>
    <w:unhideWhenUsed/>
    <w:rsid w:val="000F5A2E"/>
    <w:pPr>
      <w:spacing w:after="120" w:line="276" w:lineRule="auto"/>
    </w:pPr>
    <w:rPr>
      <w:rFonts w:ascii="Calibri" w:eastAsia="MS Mincho" w:hAnsi="Calibri" w:cs="Times New Roman"/>
      <w:lang w:val="es-CR" w:eastAsia="es-CR"/>
    </w:rPr>
  </w:style>
  <w:style w:type="character" w:customStyle="1" w:styleId="TextoindependienteCar">
    <w:name w:val="Texto independiente Car"/>
    <w:basedOn w:val="Fuentedeprrafopredeter"/>
    <w:link w:val="Textoindependiente"/>
    <w:uiPriority w:val="99"/>
    <w:semiHidden/>
    <w:rsid w:val="000F5A2E"/>
    <w:rPr>
      <w:rFonts w:ascii="Calibri" w:eastAsia="MS Mincho" w:hAnsi="Calibri" w:cs="Times New Roman"/>
      <w:lang w:val="es-CR" w:eastAsia="es-CR"/>
    </w:rPr>
  </w:style>
  <w:style w:type="paragraph" w:customStyle="1" w:styleId="Sangradetindependiente">
    <w:name w:val="SangrÌa de t. independiente"/>
    <w:basedOn w:val="Normal"/>
    <w:rsid w:val="00701E95"/>
    <w:pPr>
      <w:spacing w:after="0" w:line="240" w:lineRule="auto"/>
      <w:ind w:right="12"/>
      <w:jc w:val="both"/>
    </w:pPr>
    <w:rPr>
      <w:rFonts w:ascii="Garamond" w:eastAsia="Times New Roman" w:hAnsi="Garamond" w:cs="Times New Roman"/>
      <w:sz w:val="20"/>
      <w:szCs w:val="20"/>
      <w:lang w:val="es-ES_tradnl" w:eastAsia="es-ES"/>
    </w:rPr>
  </w:style>
  <w:style w:type="character" w:styleId="Nmerodelnea">
    <w:name w:val="line number"/>
    <w:basedOn w:val="Fuentedeprrafopredeter"/>
    <w:uiPriority w:val="99"/>
    <w:semiHidden/>
    <w:unhideWhenUsed/>
    <w:rsid w:val="00A94AAE"/>
  </w:style>
  <w:style w:type="paragraph" w:styleId="Encabezado">
    <w:name w:val="header"/>
    <w:basedOn w:val="Normal"/>
    <w:link w:val="EncabezadoCar"/>
    <w:uiPriority w:val="99"/>
    <w:unhideWhenUsed/>
    <w:rsid w:val="00A94A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4AAE"/>
  </w:style>
  <w:style w:type="paragraph" w:styleId="Piedepgina">
    <w:name w:val="footer"/>
    <w:basedOn w:val="Normal"/>
    <w:link w:val="PiedepginaCar"/>
    <w:uiPriority w:val="99"/>
    <w:unhideWhenUsed/>
    <w:rsid w:val="00A94A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4AAE"/>
  </w:style>
  <w:style w:type="paragraph" w:styleId="Textodeglobo">
    <w:name w:val="Balloon Text"/>
    <w:basedOn w:val="Normal"/>
    <w:link w:val="TextodegloboCar"/>
    <w:uiPriority w:val="99"/>
    <w:semiHidden/>
    <w:unhideWhenUsed/>
    <w:rsid w:val="005B36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fleury_22_11_16_spa.pdf" TargetMode="External"/><Relationship Id="rId2" Type="http://schemas.openxmlformats.org/officeDocument/2006/relationships/hyperlink" Target="http://www.corteidh.or.cr/docs/supervisiones/fleury_20_11_15.pdf" TargetMode="External"/><Relationship Id="rId1" Type="http://schemas.openxmlformats.org/officeDocument/2006/relationships/hyperlink" Target="http://corteidh.or.cr/docs/casos/articulos/seriec_236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C0C14-71C0-47CB-A71B-2E30D92A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2496</Words>
  <Characters>13733</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Magda Ramirez</cp:lastModifiedBy>
  <cp:revision>3</cp:revision>
  <cp:lastPrinted>2019-12-13T22:19:00Z</cp:lastPrinted>
  <dcterms:created xsi:type="dcterms:W3CDTF">2019-12-13T22:17:00Z</dcterms:created>
  <dcterms:modified xsi:type="dcterms:W3CDTF">2019-12-13T22:19:00Z</dcterms:modified>
</cp:coreProperties>
</file>