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4B6AC" w14:textId="77777777" w:rsidR="00F23B04" w:rsidRDefault="00F23B04" w:rsidP="008650AB">
      <w:pPr>
        <w:spacing w:after="0" w:line="240" w:lineRule="auto"/>
        <w:jc w:val="center"/>
        <w:rPr>
          <w:rFonts w:ascii="Verdana" w:hAnsi="Verdana"/>
          <w:b/>
          <w:sz w:val="20"/>
          <w:szCs w:val="20"/>
        </w:rPr>
      </w:pPr>
    </w:p>
    <w:p w14:paraId="0A80AA79" w14:textId="77777777" w:rsidR="00C672E4" w:rsidRDefault="00C672E4" w:rsidP="008650AB">
      <w:pPr>
        <w:spacing w:after="0" w:line="240" w:lineRule="auto"/>
        <w:jc w:val="center"/>
        <w:rPr>
          <w:rFonts w:ascii="Verdana" w:hAnsi="Verdana"/>
          <w:b/>
          <w:sz w:val="20"/>
          <w:szCs w:val="20"/>
        </w:rPr>
      </w:pPr>
    </w:p>
    <w:p w14:paraId="05188A19" w14:textId="77777777" w:rsidR="00C672E4" w:rsidRDefault="00C672E4" w:rsidP="008650AB">
      <w:pPr>
        <w:spacing w:after="0" w:line="240" w:lineRule="auto"/>
        <w:jc w:val="center"/>
        <w:rPr>
          <w:rFonts w:ascii="Verdana" w:hAnsi="Verdana"/>
          <w:b/>
          <w:sz w:val="20"/>
          <w:szCs w:val="20"/>
        </w:rPr>
      </w:pPr>
    </w:p>
    <w:p w14:paraId="1976A605" w14:textId="77777777" w:rsidR="00C672E4" w:rsidRDefault="00C672E4" w:rsidP="008650AB">
      <w:pPr>
        <w:spacing w:after="0" w:line="240" w:lineRule="auto"/>
        <w:jc w:val="center"/>
        <w:rPr>
          <w:rFonts w:ascii="Verdana" w:hAnsi="Verdana"/>
          <w:b/>
          <w:sz w:val="20"/>
          <w:szCs w:val="20"/>
        </w:rPr>
      </w:pPr>
    </w:p>
    <w:p w14:paraId="77CBC57C" w14:textId="77777777" w:rsidR="00C672E4" w:rsidRDefault="00C672E4" w:rsidP="008650AB">
      <w:pPr>
        <w:spacing w:after="0" w:line="240" w:lineRule="auto"/>
        <w:jc w:val="center"/>
        <w:rPr>
          <w:rFonts w:ascii="Verdana" w:hAnsi="Verdana"/>
          <w:b/>
          <w:sz w:val="20"/>
          <w:szCs w:val="20"/>
        </w:rPr>
      </w:pPr>
    </w:p>
    <w:p w14:paraId="5F6424AD" w14:textId="77777777" w:rsidR="00C672E4" w:rsidRDefault="00C672E4" w:rsidP="008650AB">
      <w:pPr>
        <w:spacing w:after="0" w:line="240" w:lineRule="auto"/>
        <w:jc w:val="center"/>
        <w:rPr>
          <w:rFonts w:ascii="Verdana" w:hAnsi="Verdana"/>
          <w:b/>
          <w:sz w:val="20"/>
          <w:szCs w:val="20"/>
        </w:rPr>
      </w:pPr>
    </w:p>
    <w:p w14:paraId="1FDFD9CA" w14:textId="77777777" w:rsidR="00C672E4" w:rsidRDefault="00C672E4" w:rsidP="008650AB">
      <w:pPr>
        <w:spacing w:after="0" w:line="240" w:lineRule="auto"/>
        <w:jc w:val="center"/>
        <w:rPr>
          <w:rFonts w:ascii="Verdana" w:hAnsi="Verdana"/>
          <w:b/>
          <w:sz w:val="20"/>
          <w:szCs w:val="20"/>
        </w:rPr>
      </w:pPr>
    </w:p>
    <w:p w14:paraId="69B2E529" w14:textId="77777777" w:rsidR="00644C7F" w:rsidRDefault="00CE43A6" w:rsidP="008650AB">
      <w:pPr>
        <w:spacing w:after="0" w:line="240" w:lineRule="auto"/>
        <w:jc w:val="center"/>
        <w:rPr>
          <w:rFonts w:ascii="Verdana" w:hAnsi="Verdana"/>
          <w:b/>
          <w:sz w:val="20"/>
          <w:szCs w:val="20"/>
        </w:rPr>
      </w:pPr>
      <w:r>
        <w:rPr>
          <w:rFonts w:ascii="Verdana" w:hAnsi="Verdana"/>
          <w:b/>
          <w:sz w:val="20"/>
          <w:szCs w:val="20"/>
        </w:rPr>
        <w:t>RESOLUCIÓN DE</w:t>
      </w:r>
      <w:r w:rsidR="00644C7F">
        <w:rPr>
          <w:rFonts w:ascii="Verdana" w:hAnsi="Verdana"/>
          <w:b/>
          <w:sz w:val="20"/>
          <w:szCs w:val="20"/>
        </w:rPr>
        <w:t xml:space="preserve"> </w:t>
      </w:r>
      <w:r>
        <w:rPr>
          <w:rFonts w:ascii="Verdana" w:hAnsi="Verdana"/>
          <w:b/>
          <w:sz w:val="20"/>
          <w:szCs w:val="20"/>
        </w:rPr>
        <w:t>L</w:t>
      </w:r>
      <w:r w:rsidR="00644C7F">
        <w:rPr>
          <w:rFonts w:ascii="Verdana" w:hAnsi="Verdana"/>
          <w:b/>
          <w:sz w:val="20"/>
          <w:szCs w:val="20"/>
        </w:rPr>
        <w:t>A</w:t>
      </w:r>
      <w:r>
        <w:rPr>
          <w:rFonts w:ascii="Verdana" w:hAnsi="Verdana"/>
          <w:b/>
          <w:sz w:val="20"/>
          <w:szCs w:val="20"/>
        </w:rPr>
        <w:t xml:space="preserve"> </w:t>
      </w:r>
    </w:p>
    <w:p w14:paraId="0F0E3A60" w14:textId="77777777" w:rsidR="00CE43A6" w:rsidRDefault="00CE43A6" w:rsidP="008650AB">
      <w:pPr>
        <w:spacing w:after="0" w:line="240" w:lineRule="auto"/>
        <w:jc w:val="center"/>
        <w:rPr>
          <w:rFonts w:ascii="Verdana" w:hAnsi="Verdana"/>
          <w:b/>
          <w:sz w:val="20"/>
          <w:szCs w:val="20"/>
        </w:rPr>
      </w:pPr>
      <w:r>
        <w:rPr>
          <w:rFonts w:ascii="Verdana" w:hAnsi="Verdana"/>
          <w:b/>
          <w:sz w:val="20"/>
          <w:szCs w:val="20"/>
        </w:rPr>
        <w:t>CORTE INTERAMERICANA DE DERECHOS HUMANOS</w:t>
      </w:r>
      <w:r w:rsidR="00603BE7" w:rsidRPr="00603BE7">
        <w:rPr>
          <w:rFonts w:ascii="Verdana" w:hAnsi="Verdana"/>
          <w:b/>
          <w:sz w:val="20"/>
          <w:szCs w:val="20"/>
          <w:vertAlign w:val="superscript"/>
        </w:rPr>
        <w:t>*</w:t>
      </w:r>
    </w:p>
    <w:p w14:paraId="2FE23E9B" w14:textId="77777777" w:rsidR="008650AB" w:rsidRDefault="008650AB" w:rsidP="008650AB">
      <w:pPr>
        <w:spacing w:after="0" w:line="240" w:lineRule="auto"/>
        <w:jc w:val="center"/>
        <w:rPr>
          <w:rFonts w:ascii="Verdana" w:hAnsi="Verdana"/>
          <w:b/>
          <w:sz w:val="20"/>
          <w:szCs w:val="20"/>
        </w:rPr>
      </w:pPr>
    </w:p>
    <w:p w14:paraId="15888FF6" w14:textId="77777777" w:rsidR="00CE43A6" w:rsidRDefault="00CE43A6" w:rsidP="008650AB">
      <w:pPr>
        <w:spacing w:after="0" w:line="240" w:lineRule="auto"/>
        <w:jc w:val="center"/>
        <w:rPr>
          <w:rFonts w:ascii="Verdana" w:hAnsi="Verdana"/>
          <w:b/>
          <w:sz w:val="20"/>
          <w:szCs w:val="20"/>
        </w:rPr>
      </w:pPr>
      <w:r>
        <w:rPr>
          <w:rFonts w:ascii="Verdana" w:hAnsi="Verdana"/>
          <w:b/>
          <w:sz w:val="20"/>
          <w:szCs w:val="20"/>
        </w:rPr>
        <w:t xml:space="preserve">DE </w:t>
      </w:r>
      <w:r w:rsidR="00CB001B">
        <w:rPr>
          <w:rFonts w:ascii="Verdana" w:hAnsi="Verdana"/>
          <w:b/>
          <w:sz w:val="20"/>
          <w:szCs w:val="20"/>
        </w:rPr>
        <w:t>7</w:t>
      </w:r>
      <w:r>
        <w:rPr>
          <w:rFonts w:ascii="Verdana" w:hAnsi="Verdana"/>
          <w:b/>
          <w:sz w:val="20"/>
          <w:szCs w:val="20"/>
        </w:rPr>
        <w:t xml:space="preserve"> DE </w:t>
      </w:r>
      <w:r w:rsidR="00603BE7">
        <w:rPr>
          <w:rFonts w:ascii="Verdana" w:hAnsi="Verdana"/>
          <w:b/>
          <w:sz w:val="20"/>
          <w:szCs w:val="20"/>
        </w:rPr>
        <w:t xml:space="preserve">OCTUBRE </w:t>
      </w:r>
      <w:r>
        <w:rPr>
          <w:rFonts w:ascii="Verdana" w:hAnsi="Verdana"/>
          <w:b/>
          <w:sz w:val="20"/>
          <w:szCs w:val="20"/>
        </w:rPr>
        <w:t>DE 2019</w:t>
      </w:r>
    </w:p>
    <w:p w14:paraId="33078711" w14:textId="77777777" w:rsidR="00CE43A6" w:rsidRDefault="00CE43A6" w:rsidP="008650AB">
      <w:pPr>
        <w:spacing w:after="0" w:line="240" w:lineRule="auto"/>
        <w:jc w:val="center"/>
        <w:rPr>
          <w:rFonts w:ascii="Verdana" w:hAnsi="Verdana"/>
          <w:b/>
          <w:sz w:val="20"/>
          <w:szCs w:val="20"/>
        </w:rPr>
      </w:pPr>
    </w:p>
    <w:p w14:paraId="42D56194" w14:textId="77777777" w:rsidR="00CE43A6" w:rsidRDefault="00CE43A6" w:rsidP="008650AB">
      <w:pPr>
        <w:spacing w:after="0" w:line="240" w:lineRule="auto"/>
        <w:jc w:val="center"/>
        <w:rPr>
          <w:rFonts w:ascii="Verdana" w:hAnsi="Verdana"/>
          <w:b/>
          <w:i/>
          <w:sz w:val="20"/>
          <w:szCs w:val="20"/>
        </w:rPr>
      </w:pPr>
      <w:r w:rsidRPr="00F25FE1">
        <w:rPr>
          <w:rFonts w:ascii="Verdana" w:hAnsi="Verdana"/>
          <w:b/>
          <w:i/>
          <w:sz w:val="20"/>
          <w:szCs w:val="20"/>
        </w:rPr>
        <w:t xml:space="preserve">CASO </w:t>
      </w:r>
      <w:r w:rsidR="00FC582F">
        <w:rPr>
          <w:rFonts w:ascii="Verdana" w:hAnsi="Verdana"/>
          <w:b/>
          <w:i/>
          <w:sz w:val="20"/>
          <w:szCs w:val="20"/>
        </w:rPr>
        <w:t>FORNERÓN E HIJA VS. ARGENTINA</w:t>
      </w:r>
    </w:p>
    <w:p w14:paraId="0F0D52C5" w14:textId="77777777" w:rsidR="00FC582F" w:rsidRDefault="00FC582F" w:rsidP="008650AB">
      <w:pPr>
        <w:spacing w:after="0" w:line="240" w:lineRule="auto"/>
        <w:jc w:val="center"/>
        <w:rPr>
          <w:rFonts w:ascii="Verdana" w:hAnsi="Verdana"/>
          <w:b/>
          <w:i/>
          <w:sz w:val="20"/>
          <w:szCs w:val="20"/>
        </w:rPr>
      </w:pPr>
    </w:p>
    <w:p w14:paraId="0D2D078B" w14:textId="77777777" w:rsidR="00FC582F" w:rsidRPr="00F25FE1" w:rsidRDefault="00FC582F" w:rsidP="008650AB">
      <w:pPr>
        <w:spacing w:after="0" w:line="240" w:lineRule="auto"/>
        <w:jc w:val="center"/>
        <w:rPr>
          <w:rFonts w:ascii="Verdana" w:hAnsi="Verdana"/>
          <w:b/>
          <w:sz w:val="20"/>
          <w:szCs w:val="20"/>
        </w:rPr>
      </w:pPr>
      <w:r w:rsidRPr="00F25FE1">
        <w:rPr>
          <w:rFonts w:ascii="Verdana" w:hAnsi="Verdana"/>
          <w:b/>
          <w:sz w:val="20"/>
          <w:szCs w:val="20"/>
        </w:rPr>
        <w:t>SUPERVISIÓN DE CUMPLIMIENTO DE SENTENCIA</w:t>
      </w:r>
    </w:p>
    <w:p w14:paraId="138706E9" w14:textId="77777777" w:rsidR="00CE43A6" w:rsidRDefault="00CE43A6" w:rsidP="008650AB">
      <w:pPr>
        <w:spacing w:after="0" w:line="240" w:lineRule="auto"/>
        <w:jc w:val="center"/>
        <w:rPr>
          <w:rFonts w:ascii="Verdana" w:hAnsi="Verdana"/>
          <w:b/>
          <w:sz w:val="20"/>
          <w:szCs w:val="20"/>
        </w:rPr>
      </w:pPr>
    </w:p>
    <w:p w14:paraId="3E20E0F3" w14:textId="77777777" w:rsidR="00CE43A6" w:rsidRDefault="00CE43A6" w:rsidP="00CF184C">
      <w:pPr>
        <w:spacing w:after="0" w:line="240" w:lineRule="auto"/>
        <w:rPr>
          <w:rFonts w:ascii="Verdana" w:hAnsi="Verdana"/>
          <w:b/>
          <w:sz w:val="20"/>
          <w:szCs w:val="20"/>
        </w:rPr>
      </w:pPr>
      <w:r>
        <w:rPr>
          <w:rFonts w:ascii="Verdana" w:hAnsi="Verdana"/>
          <w:b/>
          <w:sz w:val="20"/>
          <w:szCs w:val="20"/>
        </w:rPr>
        <w:t>VISTO:</w:t>
      </w:r>
    </w:p>
    <w:p w14:paraId="0E62AEFC" w14:textId="77777777" w:rsidR="00CF184C" w:rsidRDefault="00CF184C" w:rsidP="00CF184C">
      <w:pPr>
        <w:spacing w:after="0" w:line="240" w:lineRule="auto"/>
        <w:rPr>
          <w:rFonts w:ascii="Verdana" w:hAnsi="Verdana"/>
          <w:b/>
          <w:sz w:val="20"/>
          <w:szCs w:val="20"/>
        </w:rPr>
      </w:pPr>
    </w:p>
    <w:p w14:paraId="7ADFB1D1" w14:textId="138894B7" w:rsidR="00FC582F" w:rsidRPr="005F5E06" w:rsidRDefault="00FC582F" w:rsidP="00CF184C">
      <w:pPr>
        <w:numPr>
          <w:ilvl w:val="0"/>
          <w:numId w:val="1"/>
        </w:numPr>
        <w:spacing w:after="0" w:line="240" w:lineRule="auto"/>
        <w:ind w:left="0" w:firstLine="0"/>
        <w:jc w:val="both"/>
        <w:rPr>
          <w:rFonts w:ascii="Verdana" w:hAnsi="Verdana" w:cs="Arial"/>
          <w:sz w:val="20"/>
          <w:szCs w:val="20"/>
          <w:shd w:val="clear" w:color="auto" w:fill="FFFFFF"/>
        </w:rPr>
      </w:pPr>
      <w:bookmarkStart w:id="0" w:name="_Ref21531402"/>
      <w:bookmarkStart w:id="1" w:name="_Ref3224330"/>
      <w:r w:rsidRPr="00CA38EE">
        <w:rPr>
          <w:rFonts w:ascii="Verdana" w:hAnsi="Verdana"/>
          <w:sz w:val="20"/>
          <w:szCs w:val="20"/>
        </w:rPr>
        <w:t>La Sentencia de fondo, reparaciones y costas (en adelante “la Sentencia”) dictada por la Corte Interamericana de Derechos Humanos (en adelante “la Corte Interamericana”, “la Corte” o “el Tribunal”) el 27 de abril de 2012</w:t>
      </w:r>
      <w:r w:rsidRPr="00CA38EE">
        <w:rPr>
          <w:rStyle w:val="Refdenotaalpie"/>
          <w:rFonts w:ascii="Verdana" w:hAnsi="Verdana"/>
          <w:sz w:val="20"/>
          <w:szCs w:val="20"/>
        </w:rPr>
        <w:footnoteReference w:id="1"/>
      </w:r>
      <w:r w:rsidRPr="00CA38EE">
        <w:rPr>
          <w:rFonts w:ascii="Verdana" w:hAnsi="Verdana"/>
          <w:sz w:val="20"/>
          <w:szCs w:val="20"/>
        </w:rPr>
        <w:t>. La Corte declaró la responsabilidad internacional de la República de Argentina (en adelante “Argentina” o “el Estado”) por la violación de los derechos a las garantías judiciales, a la protección judicial y a la protección a la familia y por el incumplimiento de su obligación de adoptar disposiciones de derecho interno, en perjuicio del señor Leonardo Aníbal Javier Fornerón (en adelante “el señor Fornerón”) y de su hija biológica M., así como por la violación a los derechos del niño en perjuicio de esta última. Dichas violaciones se declararon debido a la falta de debida diligencia de las autoridades judiciales</w:t>
      </w:r>
      <w:r w:rsidRPr="00CA38EE">
        <w:rPr>
          <w:rStyle w:val="Refdenotaalpie"/>
          <w:rFonts w:ascii="Verdana" w:hAnsi="Verdana"/>
          <w:sz w:val="20"/>
          <w:szCs w:val="20"/>
        </w:rPr>
        <w:footnoteReference w:id="2"/>
      </w:r>
      <w:r w:rsidRPr="00CA38EE">
        <w:rPr>
          <w:rFonts w:ascii="Verdana" w:hAnsi="Verdana"/>
          <w:sz w:val="20"/>
          <w:szCs w:val="20"/>
        </w:rPr>
        <w:t xml:space="preserve"> a cargo de los procesos de guarda judicial y posterior adopción de M. por parte del matrimonio B-Z</w:t>
      </w:r>
      <w:r w:rsidRPr="00CA38EE">
        <w:rPr>
          <w:rStyle w:val="Refdenotaalpie"/>
          <w:rFonts w:ascii="Verdana" w:hAnsi="Verdana"/>
          <w:sz w:val="20"/>
          <w:szCs w:val="20"/>
        </w:rPr>
        <w:footnoteReference w:id="3"/>
      </w:r>
      <w:r w:rsidRPr="00CA38EE">
        <w:rPr>
          <w:rFonts w:ascii="Verdana" w:hAnsi="Verdana"/>
          <w:sz w:val="20"/>
          <w:szCs w:val="20"/>
        </w:rPr>
        <w:t>. El proceso de guarda inició en agosto de 2000, un mes y medio después del nacimiento de M., quien ya había sido reconocida legalmente por el señor Fornerón como su hija y, en diciembre de ese año, se confirmó dicha paternidad mediante prueba de ADN. Las decisiones judiciales sobre la guarda y posterior adopción de M. fueron tomadas sin tomar en cuenta la voluntad del señor Fornerón, quien, desde el inicio de los procesos, manifestó</w:t>
      </w:r>
      <w:r w:rsidR="005F5E06">
        <w:rPr>
          <w:rFonts w:ascii="Verdana" w:hAnsi="Verdana"/>
          <w:sz w:val="20"/>
          <w:szCs w:val="20"/>
        </w:rPr>
        <w:t>,</w:t>
      </w:r>
      <w:r w:rsidRPr="00CA38EE">
        <w:rPr>
          <w:rFonts w:ascii="Verdana" w:hAnsi="Verdana"/>
          <w:sz w:val="20"/>
          <w:szCs w:val="20"/>
        </w:rPr>
        <w:t xml:space="preserve"> de manera expresa y reiterada, su voluntad de cuidar y no continuar separado de su hija, y sin que se constatara alguna circunstancia excepcional que ameritara la separación del padre de su hija. También, las referidas violaciones se declararon por la falta de establecimiento de un régimen de visitas a favor del señor Fornerón, y </w:t>
      </w:r>
      <w:r>
        <w:rPr>
          <w:rFonts w:ascii="Verdana" w:hAnsi="Verdana"/>
          <w:sz w:val="20"/>
          <w:szCs w:val="20"/>
        </w:rPr>
        <w:t>por</w:t>
      </w:r>
      <w:r w:rsidRPr="00CA38EE">
        <w:rPr>
          <w:rFonts w:ascii="Verdana" w:hAnsi="Verdana"/>
          <w:sz w:val="20"/>
          <w:szCs w:val="20"/>
        </w:rPr>
        <w:t xml:space="preserve"> la falta de investigación penal sobre la supuesta “venta” de la niña al matrimonio B-Z debido a que los hechos de entrega de la niña por parte de su madre biológica al referido matrimonio no encuadraban en ningún tipo penal del ordenamiento argentino. Lo resuelto en los referidos procesos judiciales generó afectaciones significativas, irreversibles e irremediables a los derechos del señor Fornerón y de su hija, ya que M. fue separada de su padre biológico y, además, no se les dio acceso a un régimen de convivencia durante </w:t>
      </w:r>
      <w:r w:rsidRPr="00CA38EE">
        <w:rPr>
          <w:rFonts w:ascii="Verdana" w:hAnsi="Verdana"/>
          <w:sz w:val="20"/>
          <w:szCs w:val="20"/>
        </w:rPr>
        <w:lastRenderedPageBreak/>
        <w:t>los primeros doce años de la vida de M.</w:t>
      </w:r>
      <w:r>
        <w:rPr>
          <w:rFonts w:ascii="Verdana" w:hAnsi="Verdana"/>
          <w:sz w:val="20"/>
          <w:szCs w:val="20"/>
        </w:rPr>
        <w:t>,</w:t>
      </w:r>
      <w:r w:rsidRPr="00CA38EE">
        <w:rPr>
          <w:rFonts w:ascii="Verdana" w:hAnsi="Verdana"/>
          <w:sz w:val="20"/>
          <w:szCs w:val="20"/>
        </w:rPr>
        <w:t xml:space="preserve"> etapa fundamental en su desarrollo</w:t>
      </w:r>
      <w:r w:rsidRPr="00CA38EE">
        <w:rPr>
          <w:rStyle w:val="Refdenotaalpie"/>
          <w:rFonts w:ascii="Verdana" w:hAnsi="Verdana"/>
          <w:sz w:val="20"/>
          <w:szCs w:val="20"/>
        </w:rPr>
        <w:footnoteReference w:id="4"/>
      </w:r>
      <w:r w:rsidRPr="00CA38EE">
        <w:rPr>
          <w:rFonts w:ascii="Verdana" w:hAnsi="Verdana"/>
          <w:sz w:val="20"/>
          <w:szCs w:val="20"/>
        </w:rPr>
        <w:t>. La Corte estableció que su Sentencia constituye por sí misma una forma de reparación y ordenó al Estado la adopción de diversas medidas de reparación adicionales (</w:t>
      </w:r>
      <w:r w:rsidRPr="00CA38EE">
        <w:rPr>
          <w:rFonts w:ascii="Verdana" w:hAnsi="Verdana"/>
          <w:i/>
          <w:sz w:val="20"/>
          <w:szCs w:val="20"/>
        </w:rPr>
        <w:t xml:space="preserve">infra </w:t>
      </w:r>
      <w:r w:rsidRPr="00CA38EE">
        <w:rPr>
          <w:rFonts w:ascii="Verdana" w:hAnsi="Verdana"/>
          <w:sz w:val="20"/>
          <w:szCs w:val="20"/>
        </w:rPr>
        <w:t xml:space="preserve">Considerando </w:t>
      </w:r>
      <w:r w:rsidR="00CF184C">
        <w:rPr>
          <w:rFonts w:ascii="Verdana" w:hAnsi="Verdana"/>
          <w:sz w:val="20"/>
          <w:szCs w:val="20"/>
        </w:rPr>
        <w:fldChar w:fldCharType="begin"/>
      </w:r>
      <w:r w:rsidR="00CF184C">
        <w:rPr>
          <w:rFonts w:ascii="Verdana" w:hAnsi="Verdana"/>
          <w:sz w:val="20"/>
          <w:szCs w:val="20"/>
        </w:rPr>
        <w:instrText xml:space="preserve"> REF _Ref21531291 \r \h </w:instrText>
      </w:r>
      <w:r w:rsidR="00CF184C">
        <w:rPr>
          <w:rFonts w:ascii="Verdana" w:hAnsi="Verdana"/>
          <w:sz w:val="20"/>
          <w:szCs w:val="20"/>
        </w:rPr>
      </w:r>
      <w:r w:rsidR="00CF184C">
        <w:rPr>
          <w:rFonts w:ascii="Verdana" w:hAnsi="Verdana"/>
          <w:sz w:val="20"/>
          <w:szCs w:val="20"/>
        </w:rPr>
        <w:fldChar w:fldCharType="separate"/>
      </w:r>
      <w:r w:rsidR="007B61B6">
        <w:rPr>
          <w:rFonts w:ascii="Verdana" w:hAnsi="Verdana"/>
          <w:sz w:val="20"/>
          <w:szCs w:val="20"/>
        </w:rPr>
        <w:t>1</w:t>
      </w:r>
      <w:r w:rsidR="00CF184C">
        <w:rPr>
          <w:rFonts w:ascii="Verdana" w:hAnsi="Verdana"/>
          <w:sz w:val="20"/>
          <w:szCs w:val="20"/>
        </w:rPr>
        <w:fldChar w:fldCharType="end"/>
      </w:r>
      <w:r w:rsidRPr="00CA38EE">
        <w:rPr>
          <w:rFonts w:ascii="Verdana" w:hAnsi="Verdana"/>
          <w:sz w:val="20"/>
          <w:szCs w:val="20"/>
        </w:rPr>
        <w:t>).</w:t>
      </w:r>
      <w:bookmarkEnd w:id="0"/>
    </w:p>
    <w:p w14:paraId="72B58892" w14:textId="77777777" w:rsidR="005F5E06" w:rsidRPr="00CB4A68" w:rsidRDefault="005F5E06" w:rsidP="005F5E06">
      <w:pPr>
        <w:spacing w:after="0" w:line="240" w:lineRule="auto"/>
        <w:jc w:val="both"/>
        <w:rPr>
          <w:rFonts w:ascii="Verdana" w:hAnsi="Verdana" w:cs="Arial"/>
          <w:sz w:val="20"/>
          <w:szCs w:val="20"/>
          <w:shd w:val="clear" w:color="auto" w:fill="FFFFFF"/>
        </w:rPr>
      </w:pPr>
    </w:p>
    <w:p w14:paraId="39454DBD" w14:textId="77777777" w:rsidR="00FC582F" w:rsidRPr="00CF184C" w:rsidRDefault="00FC582F" w:rsidP="00CF184C">
      <w:pPr>
        <w:numPr>
          <w:ilvl w:val="0"/>
          <w:numId w:val="1"/>
        </w:numPr>
        <w:spacing w:after="0" w:line="240" w:lineRule="auto"/>
        <w:ind w:left="0" w:firstLine="0"/>
        <w:jc w:val="both"/>
        <w:rPr>
          <w:rFonts w:ascii="Verdana" w:hAnsi="Verdana" w:cs="Arial"/>
          <w:sz w:val="20"/>
          <w:szCs w:val="20"/>
          <w:shd w:val="clear" w:color="auto" w:fill="FFFFFF"/>
        </w:rPr>
      </w:pPr>
      <w:bookmarkStart w:id="2" w:name="_Ref21531413"/>
      <w:r w:rsidRPr="00FC582F">
        <w:rPr>
          <w:rFonts w:ascii="Verdana" w:hAnsi="Verdana"/>
          <w:sz w:val="20"/>
          <w:szCs w:val="20"/>
        </w:rPr>
        <w:t>La Resolución conjunta emitida por la Corte el 26 de enero de 2015</w:t>
      </w:r>
      <w:r w:rsidR="00603BE7">
        <w:rPr>
          <w:rFonts w:ascii="Verdana" w:hAnsi="Verdana"/>
          <w:sz w:val="20"/>
          <w:szCs w:val="20"/>
        </w:rPr>
        <w:t>,</w:t>
      </w:r>
      <w:r w:rsidRPr="00FC582F">
        <w:rPr>
          <w:rFonts w:ascii="Verdana" w:hAnsi="Verdana"/>
          <w:sz w:val="20"/>
          <w:szCs w:val="20"/>
        </w:rPr>
        <w:t xml:space="preserve"> en relación con los reintegros realizados por el Estado al Fondo de Asistencia Legal </w:t>
      </w:r>
      <w:r w:rsidR="005F5E06">
        <w:rPr>
          <w:rFonts w:ascii="Verdana" w:hAnsi="Verdana"/>
          <w:sz w:val="20"/>
          <w:szCs w:val="20"/>
        </w:rPr>
        <w:t>de</w:t>
      </w:r>
      <w:r w:rsidR="005F5E06" w:rsidRPr="00FC582F">
        <w:rPr>
          <w:rFonts w:ascii="Verdana" w:hAnsi="Verdana"/>
          <w:sz w:val="20"/>
          <w:szCs w:val="20"/>
        </w:rPr>
        <w:t xml:space="preserve"> </w:t>
      </w:r>
      <w:r w:rsidRPr="00FC582F">
        <w:rPr>
          <w:rFonts w:ascii="Verdana" w:hAnsi="Verdana"/>
          <w:sz w:val="20"/>
          <w:szCs w:val="20"/>
        </w:rPr>
        <w:t>Víctimas (en adelante “Fondo de Asistencia”) en cinco casos contra Argentina, incluyendo este</w:t>
      </w:r>
      <w:r w:rsidRPr="00CA38EE">
        <w:rPr>
          <w:rStyle w:val="Refdenotaalpie"/>
          <w:rFonts w:ascii="Verdana" w:hAnsi="Verdana"/>
          <w:sz w:val="20"/>
          <w:szCs w:val="20"/>
        </w:rPr>
        <w:footnoteReference w:id="5"/>
      </w:r>
      <w:r w:rsidRPr="00FC582F">
        <w:rPr>
          <w:rFonts w:ascii="Verdana" w:hAnsi="Verdana"/>
          <w:sz w:val="20"/>
          <w:szCs w:val="20"/>
        </w:rPr>
        <w:t>.</w:t>
      </w:r>
      <w:bookmarkEnd w:id="2"/>
    </w:p>
    <w:p w14:paraId="32C41983" w14:textId="77777777" w:rsidR="00CF184C" w:rsidRPr="00CB4A68" w:rsidRDefault="00CF184C" w:rsidP="00CF184C">
      <w:pPr>
        <w:spacing w:after="0" w:line="240" w:lineRule="auto"/>
        <w:jc w:val="both"/>
        <w:rPr>
          <w:rFonts w:ascii="Verdana" w:hAnsi="Verdana" w:cs="Arial"/>
          <w:sz w:val="20"/>
          <w:szCs w:val="20"/>
          <w:shd w:val="clear" w:color="auto" w:fill="FFFFFF"/>
        </w:rPr>
      </w:pPr>
    </w:p>
    <w:p w14:paraId="281385DE" w14:textId="77777777" w:rsidR="00CE43A6" w:rsidRPr="00CF184C" w:rsidRDefault="00CE43A6" w:rsidP="00CF184C">
      <w:pPr>
        <w:pStyle w:val="Prrafodelista"/>
        <w:numPr>
          <w:ilvl w:val="0"/>
          <w:numId w:val="1"/>
        </w:numPr>
        <w:spacing w:after="0" w:line="240" w:lineRule="auto"/>
        <w:ind w:left="0" w:firstLine="0"/>
        <w:contextualSpacing w:val="0"/>
        <w:jc w:val="both"/>
        <w:rPr>
          <w:rFonts w:ascii="Verdana" w:hAnsi="Verdana"/>
          <w:sz w:val="20"/>
          <w:szCs w:val="20"/>
        </w:rPr>
      </w:pPr>
      <w:bookmarkStart w:id="3" w:name="_Ref492545367"/>
      <w:r w:rsidRPr="00A76C55">
        <w:rPr>
          <w:rFonts w:ascii="Verdana" w:hAnsi="Verdana"/>
          <w:sz w:val="20"/>
          <w:szCs w:val="20"/>
          <w:lang w:val="es-ES_tradnl"/>
        </w:rPr>
        <w:t>La Resoluci</w:t>
      </w:r>
      <w:r w:rsidR="00FC582F">
        <w:rPr>
          <w:rFonts w:ascii="Verdana" w:hAnsi="Verdana"/>
          <w:sz w:val="20"/>
          <w:szCs w:val="20"/>
          <w:lang w:val="es-ES_tradnl"/>
        </w:rPr>
        <w:t>ó</w:t>
      </w:r>
      <w:r w:rsidRPr="00A76C55">
        <w:rPr>
          <w:rFonts w:ascii="Verdana" w:hAnsi="Verdana"/>
          <w:sz w:val="20"/>
          <w:szCs w:val="20"/>
          <w:lang w:val="es-ES_tradnl"/>
        </w:rPr>
        <w:t xml:space="preserve">n de supervisión de cumplimiento de Sentencia emitida por la Corte Interamericana el </w:t>
      </w:r>
      <w:r w:rsidR="00FC582F">
        <w:rPr>
          <w:rFonts w:ascii="Verdana" w:hAnsi="Verdana"/>
          <w:sz w:val="20"/>
          <w:szCs w:val="20"/>
          <w:lang w:val="es-ES_tradnl"/>
        </w:rPr>
        <w:t>28</w:t>
      </w:r>
      <w:r w:rsidRPr="00A76C55">
        <w:rPr>
          <w:rFonts w:ascii="Verdana" w:hAnsi="Verdana"/>
          <w:sz w:val="20"/>
          <w:szCs w:val="20"/>
          <w:lang w:val="es-ES_tradnl"/>
        </w:rPr>
        <w:t xml:space="preserve"> de </w:t>
      </w:r>
      <w:r w:rsidR="00FC582F">
        <w:rPr>
          <w:rFonts w:ascii="Verdana" w:hAnsi="Verdana"/>
          <w:sz w:val="20"/>
          <w:szCs w:val="20"/>
          <w:lang w:val="es-ES_tradnl"/>
        </w:rPr>
        <w:t>noviembre</w:t>
      </w:r>
      <w:r w:rsidRPr="00A76C55">
        <w:rPr>
          <w:rFonts w:ascii="Verdana" w:hAnsi="Verdana"/>
          <w:sz w:val="20"/>
          <w:szCs w:val="20"/>
          <w:lang w:val="es-ES_tradnl"/>
        </w:rPr>
        <w:t xml:space="preserve"> de 201</w:t>
      </w:r>
      <w:r w:rsidR="00FC582F">
        <w:rPr>
          <w:rFonts w:ascii="Verdana" w:hAnsi="Verdana"/>
          <w:sz w:val="20"/>
          <w:szCs w:val="20"/>
          <w:lang w:val="es-ES_tradnl"/>
        </w:rPr>
        <w:t>8</w:t>
      </w:r>
      <w:r>
        <w:rPr>
          <w:rStyle w:val="Refdenotaalpie"/>
          <w:rFonts w:ascii="Verdana" w:hAnsi="Verdana"/>
          <w:lang w:val="es-ES_tradnl"/>
        </w:rPr>
        <w:footnoteReference w:id="6"/>
      </w:r>
      <w:r w:rsidRPr="00A76C55">
        <w:rPr>
          <w:rFonts w:ascii="Verdana" w:hAnsi="Verdana"/>
          <w:noProof/>
          <w:sz w:val="20"/>
          <w:szCs w:val="20"/>
          <w:lang w:val="es-ES_tradnl"/>
        </w:rPr>
        <w:t>.</w:t>
      </w:r>
      <w:bookmarkStart w:id="4" w:name="_Ref492906675"/>
      <w:bookmarkEnd w:id="3"/>
    </w:p>
    <w:p w14:paraId="10034FDF" w14:textId="77777777" w:rsidR="00CF184C" w:rsidRPr="00CB4A68" w:rsidRDefault="00CF184C" w:rsidP="00CF184C">
      <w:pPr>
        <w:pStyle w:val="Prrafodelista"/>
        <w:spacing w:after="0" w:line="240" w:lineRule="auto"/>
        <w:ind w:left="0"/>
        <w:contextualSpacing w:val="0"/>
        <w:jc w:val="both"/>
        <w:rPr>
          <w:rFonts w:ascii="Verdana" w:hAnsi="Verdana"/>
          <w:sz w:val="20"/>
          <w:szCs w:val="20"/>
        </w:rPr>
      </w:pPr>
    </w:p>
    <w:p w14:paraId="6A1BD6A8" w14:textId="77777777" w:rsidR="00CB4A68" w:rsidRPr="00CF184C" w:rsidRDefault="003C78B5" w:rsidP="00CF184C">
      <w:pPr>
        <w:pStyle w:val="Prrafodelista"/>
        <w:numPr>
          <w:ilvl w:val="0"/>
          <w:numId w:val="1"/>
        </w:numPr>
        <w:spacing w:after="0" w:line="240" w:lineRule="auto"/>
        <w:ind w:left="0" w:firstLine="0"/>
        <w:contextualSpacing w:val="0"/>
        <w:jc w:val="both"/>
        <w:rPr>
          <w:rFonts w:ascii="Verdana" w:hAnsi="Verdana"/>
          <w:sz w:val="20"/>
          <w:szCs w:val="20"/>
        </w:rPr>
      </w:pPr>
      <w:bookmarkStart w:id="5" w:name="_Ref21531378"/>
      <w:r>
        <w:rPr>
          <w:rFonts w:ascii="Verdana" w:hAnsi="Verdana"/>
          <w:sz w:val="20"/>
          <w:szCs w:val="20"/>
        </w:rPr>
        <w:t xml:space="preserve">Los informes presentados </w:t>
      </w:r>
      <w:r w:rsidR="00EE32EC">
        <w:rPr>
          <w:rFonts w:ascii="Verdana" w:hAnsi="Verdana"/>
          <w:sz w:val="20"/>
          <w:szCs w:val="20"/>
        </w:rPr>
        <w:t xml:space="preserve">por el Estado el 7 </w:t>
      </w:r>
      <w:r>
        <w:rPr>
          <w:rFonts w:ascii="Verdana" w:hAnsi="Verdana"/>
          <w:sz w:val="20"/>
          <w:szCs w:val="20"/>
        </w:rPr>
        <w:t xml:space="preserve">y </w:t>
      </w:r>
      <w:r w:rsidR="00593FCE">
        <w:rPr>
          <w:rFonts w:ascii="Verdana" w:hAnsi="Verdana"/>
          <w:sz w:val="20"/>
          <w:szCs w:val="20"/>
        </w:rPr>
        <w:t xml:space="preserve">el </w:t>
      </w:r>
      <w:r>
        <w:rPr>
          <w:rFonts w:ascii="Verdana" w:hAnsi="Verdana"/>
          <w:sz w:val="20"/>
          <w:szCs w:val="20"/>
        </w:rPr>
        <w:t xml:space="preserve">29 </w:t>
      </w:r>
      <w:r w:rsidR="00EE32EC">
        <w:rPr>
          <w:rFonts w:ascii="Verdana" w:hAnsi="Verdana"/>
          <w:sz w:val="20"/>
          <w:szCs w:val="20"/>
        </w:rPr>
        <w:t>de marzo de 2019.</w:t>
      </w:r>
      <w:r w:rsidR="00603BE7">
        <w:rPr>
          <w:rFonts w:ascii="Verdana" w:hAnsi="Verdana"/>
          <w:sz w:val="20"/>
          <w:szCs w:val="20"/>
        </w:rPr>
        <w:t xml:space="preserve"> </w:t>
      </w:r>
      <w:bookmarkEnd w:id="5"/>
    </w:p>
    <w:p w14:paraId="4906D129" w14:textId="77777777" w:rsidR="00CF184C" w:rsidRPr="00243A3E" w:rsidRDefault="00CF184C" w:rsidP="00CF184C">
      <w:pPr>
        <w:pStyle w:val="Prrafodelista"/>
        <w:spacing w:after="0" w:line="240" w:lineRule="auto"/>
        <w:ind w:left="0"/>
        <w:contextualSpacing w:val="0"/>
        <w:jc w:val="both"/>
        <w:rPr>
          <w:rFonts w:ascii="Verdana" w:hAnsi="Verdana"/>
          <w:sz w:val="20"/>
          <w:szCs w:val="20"/>
        </w:rPr>
      </w:pPr>
    </w:p>
    <w:p w14:paraId="2592DB7A" w14:textId="04BC813B" w:rsidR="00593FCE" w:rsidRPr="00CF184C" w:rsidRDefault="00593FCE" w:rsidP="00CF184C">
      <w:pPr>
        <w:pStyle w:val="Prrafodelista"/>
        <w:numPr>
          <w:ilvl w:val="0"/>
          <w:numId w:val="1"/>
        </w:numPr>
        <w:spacing w:after="0" w:line="240" w:lineRule="auto"/>
        <w:ind w:left="0" w:firstLine="0"/>
        <w:contextualSpacing w:val="0"/>
        <w:jc w:val="both"/>
        <w:rPr>
          <w:rFonts w:ascii="Verdana" w:hAnsi="Verdana"/>
          <w:sz w:val="20"/>
          <w:szCs w:val="20"/>
        </w:rPr>
      </w:pPr>
      <w:r w:rsidRPr="00243A3E">
        <w:rPr>
          <w:rFonts w:ascii="Verdana" w:hAnsi="Verdana"/>
          <w:sz w:val="20"/>
          <w:szCs w:val="20"/>
        </w:rPr>
        <w:t xml:space="preserve">La nota de la Secretaría de la Corte de 4 de abril de 2019, mediante la cual </w:t>
      </w:r>
      <w:r w:rsidR="00D87835">
        <w:rPr>
          <w:rFonts w:ascii="Verdana" w:hAnsi="Verdana"/>
          <w:sz w:val="20"/>
          <w:szCs w:val="20"/>
        </w:rPr>
        <w:t xml:space="preserve">se comunicó que el Presidente del Tribunal había decidido convocar a las partes y a la Comisión Interamericana de Derechos Humanos (en adelante también “la Comisión Interamericana” o “la Comisión”) a una audiencia privada de supervisión de </w:t>
      </w:r>
      <w:bookmarkStart w:id="6" w:name="_GoBack"/>
      <w:bookmarkEnd w:id="6"/>
      <w:r w:rsidR="00D87835">
        <w:rPr>
          <w:rFonts w:ascii="Verdana" w:hAnsi="Verdana"/>
          <w:sz w:val="20"/>
          <w:szCs w:val="20"/>
        </w:rPr>
        <w:t xml:space="preserve">cumplimiento de Sentencia, y se indicó a </w:t>
      </w:r>
      <w:r w:rsidR="00D87835" w:rsidRPr="00D87835">
        <w:rPr>
          <w:rFonts w:ascii="Verdana" w:hAnsi="Verdana"/>
          <w:color w:val="000000"/>
          <w:sz w:val="20"/>
          <w:szCs w:val="20"/>
          <w:shd w:val="clear" w:color="auto" w:fill="FFFFFF"/>
        </w:rPr>
        <w:t>las representantes del señor Fornerón (en adelante también “las representantes”)</w:t>
      </w:r>
      <w:r w:rsidR="00D87835" w:rsidRPr="00CA38EE">
        <w:rPr>
          <w:rStyle w:val="Refdenotaalpie"/>
          <w:rFonts w:ascii="Verdana" w:hAnsi="Verdana"/>
          <w:color w:val="000000"/>
          <w:sz w:val="20"/>
          <w:szCs w:val="20"/>
          <w:shd w:val="clear" w:color="auto" w:fill="FFFFFF"/>
        </w:rPr>
        <w:footnoteReference w:id="7"/>
      </w:r>
      <w:r w:rsidR="00D87835">
        <w:rPr>
          <w:rFonts w:ascii="Verdana" w:hAnsi="Verdana"/>
          <w:color w:val="000000"/>
          <w:sz w:val="20"/>
          <w:szCs w:val="20"/>
          <w:shd w:val="clear" w:color="auto" w:fill="FFFFFF"/>
        </w:rPr>
        <w:t xml:space="preserve"> y a la Comisión que podrían presentar sus observaciones a los informes estatales (</w:t>
      </w:r>
      <w:r w:rsidR="00D87835" w:rsidRPr="00243A3E">
        <w:rPr>
          <w:rFonts w:ascii="Verdana" w:hAnsi="Verdana"/>
          <w:i/>
          <w:color w:val="000000"/>
          <w:sz w:val="20"/>
          <w:szCs w:val="20"/>
          <w:shd w:val="clear" w:color="auto" w:fill="FFFFFF"/>
        </w:rPr>
        <w:t>supra</w:t>
      </w:r>
      <w:r w:rsidR="00D87835">
        <w:rPr>
          <w:rFonts w:ascii="Verdana" w:hAnsi="Verdana"/>
          <w:color w:val="000000"/>
          <w:sz w:val="20"/>
          <w:szCs w:val="20"/>
          <w:shd w:val="clear" w:color="auto" w:fill="FFFFFF"/>
        </w:rPr>
        <w:t xml:space="preserve"> Visto </w:t>
      </w:r>
      <w:r w:rsidR="00CF184C">
        <w:rPr>
          <w:rFonts w:ascii="Verdana" w:hAnsi="Verdana"/>
          <w:color w:val="000000"/>
          <w:sz w:val="20"/>
          <w:szCs w:val="20"/>
          <w:shd w:val="clear" w:color="auto" w:fill="FFFFFF"/>
        </w:rPr>
        <w:fldChar w:fldCharType="begin"/>
      </w:r>
      <w:r w:rsidR="00CF184C">
        <w:rPr>
          <w:rFonts w:ascii="Verdana" w:hAnsi="Verdana"/>
          <w:color w:val="000000"/>
          <w:sz w:val="20"/>
          <w:szCs w:val="20"/>
          <w:shd w:val="clear" w:color="auto" w:fill="FFFFFF"/>
        </w:rPr>
        <w:instrText xml:space="preserve"> REF _Ref21531378 \r \h </w:instrText>
      </w:r>
      <w:r w:rsidR="00CF184C">
        <w:rPr>
          <w:rFonts w:ascii="Verdana" w:hAnsi="Verdana"/>
          <w:color w:val="000000"/>
          <w:sz w:val="20"/>
          <w:szCs w:val="20"/>
          <w:shd w:val="clear" w:color="auto" w:fill="FFFFFF"/>
        </w:rPr>
      </w:r>
      <w:r w:rsidR="00CF184C">
        <w:rPr>
          <w:rFonts w:ascii="Verdana" w:hAnsi="Verdana"/>
          <w:color w:val="000000"/>
          <w:sz w:val="20"/>
          <w:szCs w:val="20"/>
          <w:shd w:val="clear" w:color="auto" w:fill="FFFFFF"/>
        </w:rPr>
        <w:fldChar w:fldCharType="separate"/>
      </w:r>
      <w:r w:rsidR="007B61B6">
        <w:rPr>
          <w:rFonts w:ascii="Verdana" w:hAnsi="Verdana"/>
          <w:color w:val="000000"/>
          <w:sz w:val="20"/>
          <w:szCs w:val="20"/>
          <w:shd w:val="clear" w:color="auto" w:fill="FFFFFF"/>
        </w:rPr>
        <w:t>4</w:t>
      </w:r>
      <w:r w:rsidR="00CF184C">
        <w:rPr>
          <w:rFonts w:ascii="Verdana" w:hAnsi="Verdana"/>
          <w:color w:val="000000"/>
          <w:sz w:val="20"/>
          <w:szCs w:val="20"/>
          <w:shd w:val="clear" w:color="auto" w:fill="FFFFFF"/>
        </w:rPr>
        <w:fldChar w:fldCharType="end"/>
      </w:r>
      <w:r w:rsidR="00D87835">
        <w:rPr>
          <w:rFonts w:ascii="Verdana" w:hAnsi="Verdana"/>
          <w:color w:val="000000"/>
          <w:sz w:val="20"/>
          <w:szCs w:val="20"/>
          <w:shd w:val="clear" w:color="auto" w:fill="FFFFFF"/>
        </w:rPr>
        <w:t>) durante dicha audiencia.</w:t>
      </w:r>
    </w:p>
    <w:p w14:paraId="0DFA9909" w14:textId="77777777" w:rsidR="00CF184C" w:rsidRPr="00D87835" w:rsidRDefault="00CF184C" w:rsidP="00CF184C">
      <w:pPr>
        <w:pStyle w:val="Prrafodelista"/>
        <w:spacing w:after="0" w:line="240" w:lineRule="auto"/>
        <w:ind w:left="0"/>
        <w:contextualSpacing w:val="0"/>
        <w:jc w:val="both"/>
        <w:rPr>
          <w:rFonts w:ascii="Verdana" w:hAnsi="Verdana"/>
          <w:sz w:val="20"/>
          <w:szCs w:val="20"/>
        </w:rPr>
      </w:pPr>
    </w:p>
    <w:p w14:paraId="61CDAD35" w14:textId="77777777" w:rsidR="00EE32EC" w:rsidRDefault="00EE32EC" w:rsidP="00CF184C">
      <w:pPr>
        <w:pStyle w:val="Prrafodelista"/>
        <w:numPr>
          <w:ilvl w:val="0"/>
          <w:numId w:val="1"/>
        </w:numPr>
        <w:spacing w:after="0" w:line="240" w:lineRule="auto"/>
        <w:ind w:left="0" w:firstLine="0"/>
        <w:contextualSpacing w:val="0"/>
        <w:jc w:val="both"/>
        <w:rPr>
          <w:rFonts w:ascii="Verdana" w:hAnsi="Verdana"/>
          <w:sz w:val="20"/>
          <w:szCs w:val="20"/>
        </w:rPr>
      </w:pPr>
      <w:bookmarkStart w:id="7" w:name="_Ref21531736"/>
      <w:r>
        <w:rPr>
          <w:rFonts w:ascii="Verdana" w:hAnsi="Verdana"/>
          <w:sz w:val="20"/>
          <w:szCs w:val="20"/>
        </w:rPr>
        <w:t>La audiencia privada sobre supervisión de cumplimiento de Sentencia</w:t>
      </w:r>
      <w:r w:rsidR="00D87835">
        <w:rPr>
          <w:rFonts w:ascii="Verdana" w:hAnsi="Verdana"/>
          <w:sz w:val="20"/>
          <w:szCs w:val="20"/>
        </w:rPr>
        <w:t>,</w:t>
      </w:r>
      <w:r>
        <w:rPr>
          <w:rFonts w:ascii="Verdana" w:hAnsi="Verdana"/>
          <w:sz w:val="20"/>
          <w:szCs w:val="20"/>
        </w:rPr>
        <w:t xml:space="preserve"> celebrada el 15 de mayo de 2019</w:t>
      </w:r>
      <w:r w:rsidR="00D87835">
        <w:rPr>
          <w:rFonts w:ascii="Verdana" w:hAnsi="Verdana"/>
          <w:sz w:val="20"/>
          <w:szCs w:val="20"/>
        </w:rPr>
        <w:t xml:space="preserve">, en Buenos Aires, Argentina, </w:t>
      </w:r>
      <w:r>
        <w:rPr>
          <w:rFonts w:ascii="Verdana" w:hAnsi="Verdana"/>
          <w:sz w:val="20"/>
          <w:szCs w:val="20"/>
        </w:rPr>
        <w:t>durante el 61° Período Extraordinario de Sesiones</w:t>
      </w:r>
      <w:r w:rsidR="00D87835">
        <w:rPr>
          <w:rStyle w:val="Refdenotaalpie"/>
          <w:rFonts w:ascii="Verdana" w:hAnsi="Verdana"/>
          <w:sz w:val="20"/>
          <w:szCs w:val="20"/>
        </w:rPr>
        <w:footnoteReference w:id="8"/>
      </w:r>
      <w:r>
        <w:rPr>
          <w:rFonts w:ascii="Verdana" w:hAnsi="Verdana"/>
          <w:sz w:val="20"/>
          <w:szCs w:val="20"/>
        </w:rPr>
        <w:t>.</w:t>
      </w:r>
      <w:bookmarkEnd w:id="7"/>
    </w:p>
    <w:p w14:paraId="2A7ABA46" w14:textId="77777777" w:rsidR="00CF184C" w:rsidRDefault="00CF184C" w:rsidP="00CF184C">
      <w:pPr>
        <w:pStyle w:val="Prrafodelista"/>
        <w:spacing w:after="0" w:line="240" w:lineRule="auto"/>
        <w:ind w:left="0"/>
        <w:contextualSpacing w:val="0"/>
        <w:jc w:val="both"/>
        <w:rPr>
          <w:rFonts w:ascii="Verdana" w:hAnsi="Verdana"/>
          <w:sz w:val="20"/>
          <w:szCs w:val="20"/>
        </w:rPr>
      </w:pPr>
    </w:p>
    <w:p w14:paraId="4148D81C" w14:textId="77777777" w:rsidR="00C65640" w:rsidRDefault="005116CA" w:rsidP="00CF184C">
      <w:pPr>
        <w:pStyle w:val="Prrafodelista"/>
        <w:numPr>
          <w:ilvl w:val="0"/>
          <w:numId w:val="1"/>
        </w:numPr>
        <w:spacing w:after="0" w:line="240" w:lineRule="auto"/>
        <w:ind w:left="0" w:firstLine="0"/>
        <w:contextualSpacing w:val="0"/>
        <w:jc w:val="both"/>
        <w:rPr>
          <w:rFonts w:ascii="Verdana" w:hAnsi="Verdana"/>
          <w:sz w:val="20"/>
          <w:szCs w:val="20"/>
        </w:rPr>
      </w:pPr>
      <w:bookmarkStart w:id="8" w:name="_Ref21684519"/>
      <w:r>
        <w:rPr>
          <w:rFonts w:ascii="Verdana" w:hAnsi="Verdana"/>
          <w:sz w:val="20"/>
          <w:szCs w:val="20"/>
        </w:rPr>
        <w:t xml:space="preserve">La información </w:t>
      </w:r>
      <w:r w:rsidR="00C65640">
        <w:rPr>
          <w:rFonts w:ascii="Verdana" w:hAnsi="Verdana"/>
          <w:sz w:val="20"/>
          <w:szCs w:val="20"/>
        </w:rPr>
        <w:t>aportad</w:t>
      </w:r>
      <w:r>
        <w:rPr>
          <w:rFonts w:ascii="Verdana" w:hAnsi="Verdana"/>
          <w:sz w:val="20"/>
          <w:szCs w:val="20"/>
        </w:rPr>
        <w:t>a</w:t>
      </w:r>
      <w:r w:rsidR="00C65640">
        <w:rPr>
          <w:rFonts w:ascii="Verdana" w:hAnsi="Verdana"/>
          <w:sz w:val="20"/>
          <w:szCs w:val="20"/>
        </w:rPr>
        <w:t xml:space="preserve"> por las representantes del señor Fornerón durante la referida audiencia de supervisión</w:t>
      </w:r>
      <w:r>
        <w:rPr>
          <w:rStyle w:val="Refdenotaalpie"/>
          <w:rFonts w:ascii="Verdana" w:hAnsi="Verdana"/>
          <w:sz w:val="20"/>
          <w:szCs w:val="20"/>
        </w:rPr>
        <w:footnoteReference w:id="9"/>
      </w:r>
      <w:r w:rsidR="00C65640">
        <w:rPr>
          <w:rFonts w:ascii="Verdana" w:hAnsi="Verdana"/>
          <w:sz w:val="20"/>
          <w:szCs w:val="20"/>
        </w:rPr>
        <w:t>, relacionad</w:t>
      </w:r>
      <w:r>
        <w:rPr>
          <w:rFonts w:ascii="Verdana" w:hAnsi="Verdana"/>
          <w:sz w:val="20"/>
          <w:szCs w:val="20"/>
        </w:rPr>
        <w:t>a</w:t>
      </w:r>
      <w:r w:rsidR="00C65640">
        <w:rPr>
          <w:rFonts w:ascii="Verdana" w:hAnsi="Verdana"/>
          <w:sz w:val="20"/>
          <w:szCs w:val="20"/>
        </w:rPr>
        <w:t xml:space="preserve"> con el cumplimiento de la medida de reparación ordenada en el punto dispositivo tercero de la Sentencia. </w:t>
      </w:r>
      <w:bookmarkEnd w:id="8"/>
    </w:p>
    <w:bookmarkEnd w:id="1"/>
    <w:bookmarkEnd w:id="4"/>
    <w:p w14:paraId="22978B5B" w14:textId="77777777" w:rsidR="00F23B04" w:rsidRDefault="00F23B04" w:rsidP="008650AB">
      <w:pPr>
        <w:pStyle w:val="Prrafodelista"/>
        <w:autoSpaceDE w:val="0"/>
        <w:autoSpaceDN w:val="0"/>
        <w:adjustRightInd w:val="0"/>
        <w:spacing w:after="0" w:line="240" w:lineRule="auto"/>
        <w:ind w:left="0"/>
        <w:contextualSpacing w:val="0"/>
        <w:jc w:val="both"/>
        <w:rPr>
          <w:rFonts w:ascii="Verdana" w:hAnsi="Verdana"/>
          <w:sz w:val="20"/>
          <w:szCs w:val="20"/>
        </w:rPr>
      </w:pPr>
    </w:p>
    <w:p w14:paraId="2AC9EC17" w14:textId="77777777" w:rsidR="00C672E4" w:rsidRDefault="00C672E4" w:rsidP="008650AB">
      <w:pPr>
        <w:pStyle w:val="Prrafodelista"/>
        <w:autoSpaceDE w:val="0"/>
        <w:autoSpaceDN w:val="0"/>
        <w:adjustRightInd w:val="0"/>
        <w:spacing w:after="0" w:line="240" w:lineRule="auto"/>
        <w:ind w:left="0"/>
        <w:contextualSpacing w:val="0"/>
        <w:jc w:val="both"/>
        <w:rPr>
          <w:rFonts w:ascii="Verdana" w:hAnsi="Verdana"/>
          <w:sz w:val="20"/>
          <w:szCs w:val="20"/>
        </w:rPr>
      </w:pPr>
    </w:p>
    <w:p w14:paraId="1F72F384" w14:textId="77777777" w:rsidR="00C672E4" w:rsidRDefault="00C672E4" w:rsidP="008650AB">
      <w:pPr>
        <w:pStyle w:val="Prrafodelista"/>
        <w:autoSpaceDE w:val="0"/>
        <w:autoSpaceDN w:val="0"/>
        <w:adjustRightInd w:val="0"/>
        <w:spacing w:after="0" w:line="240" w:lineRule="auto"/>
        <w:ind w:left="0"/>
        <w:contextualSpacing w:val="0"/>
        <w:jc w:val="both"/>
        <w:rPr>
          <w:rFonts w:ascii="Verdana" w:hAnsi="Verdana"/>
          <w:sz w:val="20"/>
          <w:szCs w:val="20"/>
        </w:rPr>
      </w:pPr>
    </w:p>
    <w:p w14:paraId="17F4DB88" w14:textId="77777777" w:rsidR="00C672E4" w:rsidRPr="00B30617" w:rsidRDefault="00C672E4" w:rsidP="008650AB">
      <w:pPr>
        <w:pStyle w:val="Prrafodelista"/>
        <w:autoSpaceDE w:val="0"/>
        <w:autoSpaceDN w:val="0"/>
        <w:adjustRightInd w:val="0"/>
        <w:spacing w:after="0" w:line="240" w:lineRule="auto"/>
        <w:ind w:left="0"/>
        <w:contextualSpacing w:val="0"/>
        <w:jc w:val="both"/>
        <w:rPr>
          <w:rFonts w:ascii="Verdana" w:hAnsi="Verdana"/>
          <w:sz w:val="20"/>
          <w:szCs w:val="20"/>
        </w:rPr>
      </w:pPr>
    </w:p>
    <w:p w14:paraId="2796BC4F" w14:textId="77777777" w:rsidR="00CE43A6" w:rsidRDefault="00CE43A6" w:rsidP="00316C26">
      <w:pPr>
        <w:autoSpaceDE w:val="0"/>
        <w:autoSpaceDN w:val="0"/>
        <w:adjustRightInd w:val="0"/>
        <w:spacing w:after="0" w:line="240" w:lineRule="auto"/>
        <w:jc w:val="both"/>
        <w:rPr>
          <w:rFonts w:ascii="Verdana" w:hAnsi="Verdana"/>
          <w:b/>
          <w:sz w:val="20"/>
          <w:szCs w:val="20"/>
        </w:rPr>
      </w:pPr>
      <w:r>
        <w:rPr>
          <w:rFonts w:ascii="Verdana" w:hAnsi="Verdana"/>
          <w:b/>
          <w:sz w:val="20"/>
          <w:szCs w:val="20"/>
        </w:rPr>
        <w:lastRenderedPageBreak/>
        <w:t>CONSIDERANDO QUE:</w:t>
      </w:r>
    </w:p>
    <w:p w14:paraId="5CC2FC9D" w14:textId="77777777" w:rsidR="00316C26" w:rsidRDefault="00316C26" w:rsidP="00316C26">
      <w:pPr>
        <w:autoSpaceDE w:val="0"/>
        <w:autoSpaceDN w:val="0"/>
        <w:adjustRightInd w:val="0"/>
        <w:spacing w:after="0" w:line="240" w:lineRule="auto"/>
        <w:jc w:val="both"/>
        <w:rPr>
          <w:rFonts w:ascii="Verdana" w:hAnsi="Verdana"/>
          <w:b/>
          <w:sz w:val="20"/>
          <w:szCs w:val="20"/>
        </w:rPr>
      </w:pPr>
    </w:p>
    <w:p w14:paraId="3F61EBAD" w14:textId="66A90131" w:rsidR="00C32E4D" w:rsidRPr="009B05C8" w:rsidRDefault="00EE32EC" w:rsidP="009B05C8">
      <w:pPr>
        <w:pStyle w:val="Prrafodelista"/>
        <w:numPr>
          <w:ilvl w:val="0"/>
          <w:numId w:val="3"/>
        </w:numPr>
        <w:autoSpaceDE w:val="0"/>
        <w:autoSpaceDN w:val="0"/>
        <w:adjustRightInd w:val="0"/>
        <w:spacing w:after="0" w:line="240" w:lineRule="auto"/>
        <w:ind w:left="0" w:firstLine="0"/>
        <w:contextualSpacing w:val="0"/>
        <w:jc w:val="both"/>
        <w:rPr>
          <w:rFonts w:ascii="Verdana" w:hAnsi="Verdana" w:cs="Arial"/>
          <w:sz w:val="20"/>
          <w:szCs w:val="20"/>
          <w:lang w:val="es-MX"/>
        </w:rPr>
      </w:pPr>
      <w:bookmarkStart w:id="9" w:name="_Ref21531291"/>
      <w:bookmarkStart w:id="10" w:name="_Ref3291976"/>
      <w:r w:rsidRPr="00EE32EC">
        <w:rPr>
          <w:rFonts w:ascii="Verdana" w:hAnsi="Verdana" w:cs="Arial"/>
          <w:sz w:val="20"/>
          <w:szCs w:val="20"/>
          <w:lang w:val="es-MX"/>
        </w:rPr>
        <w:t>En el ejercicio de su función jurisdiccional de supervisar el cumplimiento de sus decisiones</w:t>
      </w:r>
      <w:r>
        <w:rPr>
          <w:rStyle w:val="Refdenotaalpie"/>
          <w:rFonts w:ascii="Verdana" w:hAnsi="Verdana" w:cs="Arial"/>
          <w:sz w:val="20"/>
          <w:szCs w:val="20"/>
          <w:lang w:val="es-MX"/>
        </w:rPr>
        <w:footnoteReference w:id="10"/>
      </w:r>
      <w:r w:rsidRPr="00EE32EC">
        <w:rPr>
          <w:rFonts w:ascii="Verdana" w:hAnsi="Verdana" w:cs="Arial"/>
          <w:sz w:val="20"/>
          <w:szCs w:val="20"/>
          <w:lang w:val="es-MX"/>
        </w:rPr>
        <w:t xml:space="preserve">, la Corte ha venido supervisando la ejecución de la Sentencia emitida en el presente caso </w:t>
      </w:r>
      <w:r w:rsidR="005F5E06">
        <w:rPr>
          <w:rFonts w:ascii="Verdana" w:hAnsi="Verdana" w:cs="Arial"/>
          <w:sz w:val="20"/>
          <w:szCs w:val="20"/>
          <w:lang w:val="es-MX"/>
        </w:rPr>
        <w:t>hace siete años</w:t>
      </w:r>
      <w:r w:rsidRPr="00EE32EC">
        <w:rPr>
          <w:rFonts w:ascii="Verdana" w:hAnsi="Verdana" w:cs="Arial"/>
          <w:sz w:val="20"/>
          <w:szCs w:val="20"/>
          <w:lang w:val="es-MX"/>
        </w:rPr>
        <w:t xml:space="preserve"> (</w:t>
      </w:r>
      <w:r w:rsidRPr="00EE32EC">
        <w:rPr>
          <w:rFonts w:ascii="Verdana" w:hAnsi="Verdana" w:cs="Arial"/>
          <w:i/>
          <w:sz w:val="20"/>
          <w:szCs w:val="20"/>
          <w:lang w:val="es-MX"/>
        </w:rPr>
        <w:t>supra</w:t>
      </w:r>
      <w:r w:rsidRPr="00EE32EC">
        <w:rPr>
          <w:rFonts w:ascii="Verdana" w:hAnsi="Verdana" w:cs="Arial"/>
          <w:sz w:val="20"/>
          <w:szCs w:val="20"/>
          <w:lang w:val="es-MX"/>
        </w:rPr>
        <w:t xml:space="preserve"> Visto </w:t>
      </w:r>
      <w:r w:rsidR="00CF184C">
        <w:rPr>
          <w:rFonts w:ascii="Verdana" w:hAnsi="Verdana" w:cs="Arial"/>
          <w:sz w:val="20"/>
          <w:szCs w:val="20"/>
          <w:lang w:val="es-MX"/>
        </w:rPr>
        <w:fldChar w:fldCharType="begin"/>
      </w:r>
      <w:r w:rsidR="00CF184C">
        <w:rPr>
          <w:rFonts w:ascii="Verdana" w:hAnsi="Verdana" w:cs="Arial"/>
          <w:sz w:val="20"/>
          <w:szCs w:val="20"/>
          <w:lang w:val="es-MX"/>
        </w:rPr>
        <w:instrText xml:space="preserve"> REF _Ref21531402 \r \h </w:instrText>
      </w:r>
      <w:r w:rsidR="00316C26">
        <w:rPr>
          <w:rFonts w:ascii="Verdana" w:hAnsi="Verdana" w:cs="Arial"/>
          <w:sz w:val="20"/>
          <w:szCs w:val="20"/>
          <w:lang w:val="es-MX"/>
        </w:rPr>
        <w:instrText xml:space="preserve"> \* MERGEFORMAT </w:instrText>
      </w:r>
      <w:r w:rsidR="00CF184C">
        <w:rPr>
          <w:rFonts w:ascii="Verdana" w:hAnsi="Verdana" w:cs="Arial"/>
          <w:sz w:val="20"/>
          <w:szCs w:val="20"/>
          <w:lang w:val="es-MX"/>
        </w:rPr>
      </w:r>
      <w:r w:rsidR="00CF184C">
        <w:rPr>
          <w:rFonts w:ascii="Verdana" w:hAnsi="Verdana" w:cs="Arial"/>
          <w:sz w:val="20"/>
          <w:szCs w:val="20"/>
          <w:lang w:val="es-MX"/>
        </w:rPr>
        <w:fldChar w:fldCharType="separate"/>
      </w:r>
      <w:r w:rsidR="007B61B6">
        <w:rPr>
          <w:rFonts w:ascii="Verdana" w:hAnsi="Verdana" w:cs="Arial"/>
          <w:sz w:val="20"/>
          <w:szCs w:val="20"/>
          <w:lang w:val="es-MX"/>
        </w:rPr>
        <w:t>1</w:t>
      </w:r>
      <w:r w:rsidR="00CF184C">
        <w:rPr>
          <w:rFonts w:ascii="Verdana" w:hAnsi="Verdana" w:cs="Arial"/>
          <w:sz w:val="20"/>
          <w:szCs w:val="20"/>
          <w:lang w:val="es-MX"/>
        </w:rPr>
        <w:fldChar w:fldCharType="end"/>
      </w:r>
      <w:r w:rsidRPr="00EE32EC">
        <w:rPr>
          <w:rFonts w:ascii="Verdana" w:hAnsi="Verdana" w:cs="Arial"/>
          <w:sz w:val="20"/>
          <w:szCs w:val="20"/>
          <w:lang w:val="es-MX"/>
        </w:rPr>
        <w:t xml:space="preserve">). El Tribunal ha emitido </w:t>
      </w:r>
      <w:r w:rsidR="00C65640">
        <w:rPr>
          <w:rFonts w:ascii="Verdana" w:hAnsi="Verdana" w:cs="Arial"/>
          <w:sz w:val="20"/>
          <w:szCs w:val="20"/>
          <w:lang w:val="es-MX"/>
        </w:rPr>
        <w:t xml:space="preserve">dos </w:t>
      </w:r>
      <w:r w:rsidRPr="00EE32EC">
        <w:rPr>
          <w:rFonts w:ascii="Verdana" w:hAnsi="Verdana" w:cs="Arial"/>
          <w:sz w:val="20"/>
          <w:szCs w:val="20"/>
          <w:lang w:val="es-MX"/>
        </w:rPr>
        <w:t xml:space="preserve">resoluciones </w:t>
      </w:r>
      <w:r w:rsidR="00674D88">
        <w:rPr>
          <w:rFonts w:ascii="Verdana" w:hAnsi="Verdana" w:cs="Arial"/>
          <w:sz w:val="20"/>
          <w:szCs w:val="20"/>
          <w:lang w:val="es-MX"/>
        </w:rPr>
        <w:t>en relación con este caso</w:t>
      </w:r>
      <w:r w:rsidR="005F5E06">
        <w:rPr>
          <w:rFonts w:ascii="Verdana" w:hAnsi="Verdana" w:cs="Arial"/>
          <w:sz w:val="20"/>
          <w:szCs w:val="20"/>
          <w:lang w:val="es-MX"/>
        </w:rPr>
        <w:t>,</w:t>
      </w:r>
      <w:r w:rsidR="00CD6408">
        <w:rPr>
          <w:rFonts w:ascii="Verdana" w:hAnsi="Verdana" w:cs="Arial"/>
          <w:sz w:val="20"/>
          <w:szCs w:val="20"/>
          <w:lang w:val="es-MX"/>
        </w:rPr>
        <w:t xml:space="preserve"> </w:t>
      </w:r>
      <w:r w:rsidRPr="00EE32EC">
        <w:rPr>
          <w:rFonts w:ascii="Verdana" w:hAnsi="Verdana" w:cs="Arial"/>
          <w:sz w:val="20"/>
          <w:szCs w:val="20"/>
          <w:lang w:val="es-MX"/>
        </w:rPr>
        <w:t xml:space="preserve">en 2015 y </w:t>
      </w:r>
      <w:r w:rsidR="00571CB7">
        <w:rPr>
          <w:rFonts w:ascii="Verdana" w:hAnsi="Verdana" w:cs="Arial"/>
          <w:sz w:val="20"/>
          <w:szCs w:val="20"/>
          <w:lang w:val="es-MX"/>
        </w:rPr>
        <w:t>2018</w:t>
      </w:r>
      <w:r w:rsidR="00C65640">
        <w:rPr>
          <w:rFonts w:ascii="Verdana" w:hAnsi="Verdana" w:cs="Arial"/>
          <w:sz w:val="20"/>
          <w:szCs w:val="20"/>
          <w:lang w:val="es-MX"/>
        </w:rPr>
        <w:t xml:space="preserve"> (</w:t>
      </w:r>
      <w:r w:rsidR="00C65640" w:rsidRPr="00243A3E">
        <w:rPr>
          <w:rFonts w:ascii="Verdana" w:hAnsi="Verdana" w:cs="Arial"/>
          <w:i/>
          <w:sz w:val="20"/>
          <w:szCs w:val="20"/>
          <w:lang w:val="es-MX"/>
        </w:rPr>
        <w:t>supra</w:t>
      </w:r>
      <w:r w:rsidR="00C65640">
        <w:rPr>
          <w:rFonts w:ascii="Verdana" w:hAnsi="Verdana" w:cs="Arial"/>
          <w:sz w:val="20"/>
          <w:szCs w:val="20"/>
          <w:lang w:val="es-MX"/>
        </w:rPr>
        <w:t xml:space="preserve"> Visto</w:t>
      </w:r>
      <w:r w:rsidR="00CF184C">
        <w:rPr>
          <w:rFonts w:ascii="Verdana" w:hAnsi="Verdana" w:cs="Arial"/>
          <w:sz w:val="20"/>
          <w:szCs w:val="20"/>
          <w:lang w:val="es-MX"/>
        </w:rPr>
        <w:t>s</w:t>
      </w:r>
      <w:r w:rsidR="00C65640">
        <w:rPr>
          <w:rFonts w:ascii="Verdana" w:hAnsi="Verdana" w:cs="Arial"/>
          <w:sz w:val="20"/>
          <w:szCs w:val="20"/>
          <w:lang w:val="es-MX"/>
        </w:rPr>
        <w:t xml:space="preserve"> </w:t>
      </w:r>
      <w:r w:rsidR="00CF184C">
        <w:rPr>
          <w:rFonts w:ascii="Verdana" w:hAnsi="Verdana" w:cs="Arial"/>
          <w:sz w:val="20"/>
          <w:szCs w:val="20"/>
          <w:lang w:val="es-MX"/>
        </w:rPr>
        <w:fldChar w:fldCharType="begin"/>
      </w:r>
      <w:r w:rsidR="00CF184C">
        <w:rPr>
          <w:rFonts w:ascii="Verdana" w:hAnsi="Verdana" w:cs="Arial"/>
          <w:sz w:val="20"/>
          <w:szCs w:val="20"/>
          <w:lang w:val="es-MX"/>
        </w:rPr>
        <w:instrText xml:space="preserve"> REF _Ref21531413 \r \h </w:instrText>
      </w:r>
      <w:r w:rsidR="00316C26">
        <w:rPr>
          <w:rFonts w:ascii="Verdana" w:hAnsi="Verdana" w:cs="Arial"/>
          <w:sz w:val="20"/>
          <w:szCs w:val="20"/>
          <w:lang w:val="es-MX"/>
        </w:rPr>
        <w:instrText xml:space="preserve"> \* MERGEFORMAT </w:instrText>
      </w:r>
      <w:r w:rsidR="00CF184C">
        <w:rPr>
          <w:rFonts w:ascii="Verdana" w:hAnsi="Verdana" w:cs="Arial"/>
          <w:sz w:val="20"/>
          <w:szCs w:val="20"/>
          <w:lang w:val="es-MX"/>
        </w:rPr>
      </w:r>
      <w:r w:rsidR="00CF184C">
        <w:rPr>
          <w:rFonts w:ascii="Verdana" w:hAnsi="Verdana" w:cs="Arial"/>
          <w:sz w:val="20"/>
          <w:szCs w:val="20"/>
          <w:lang w:val="es-MX"/>
        </w:rPr>
        <w:fldChar w:fldCharType="separate"/>
      </w:r>
      <w:r w:rsidR="007B61B6">
        <w:rPr>
          <w:rFonts w:ascii="Verdana" w:hAnsi="Verdana" w:cs="Arial"/>
          <w:sz w:val="20"/>
          <w:szCs w:val="20"/>
          <w:lang w:val="es-MX"/>
        </w:rPr>
        <w:t>2</w:t>
      </w:r>
      <w:r w:rsidR="00CF184C">
        <w:rPr>
          <w:rFonts w:ascii="Verdana" w:hAnsi="Verdana" w:cs="Arial"/>
          <w:sz w:val="20"/>
          <w:szCs w:val="20"/>
          <w:lang w:val="es-MX"/>
        </w:rPr>
        <w:fldChar w:fldCharType="end"/>
      </w:r>
      <w:r w:rsidR="00CF184C">
        <w:rPr>
          <w:rFonts w:ascii="Verdana" w:hAnsi="Verdana" w:cs="Arial"/>
          <w:sz w:val="20"/>
          <w:szCs w:val="20"/>
          <w:lang w:val="es-MX"/>
        </w:rPr>
        <w:t xml:space="preserve"> y </w:t>
      </w:r>
      <w:r w:rsidR="00CF184C">
        <w:rPr>
          <w:rFonts w:ascii="Verdana" w:hAnsi="Verdana" w:cs="Arial"/>
          <w:sz w:val="20"/>
          <w:szCs w:val="20"/>
          <w:lang w:val="es-MX"/>
        </w:rPr>
        <w:fldChar w:fldCharType="begin"/>
      </w:r>
      <w:r w:rsidR="00CF184C">
        <w:rPr>
          <w:rFonts w:ascii="Verdana" w:hAnsi="Verdana" w:cs="Arial"/>
          <w:sz w:val="20"/>
          <w:szCs w:val="20"/>
          <w:lang w:val="es-MX"/>
        </w:rPr>
        <w:instrText xml:space="preserve"> REF _Ref492545367 \r \h </w:instrText>
      </w:r>
      <w:r w:rsidR="00316C26">
        <w:rPr>
          <w:rFonts w:ascii="Verdana" w:hAnsi="Verdana" w:cs="Arial"/>
          <w:sz w:val="20"/>
          <w:szCs w:val="20"/>
          <w:lang w:val="es-MX"/>
        </w:rPr>
        <w:instrText xml:space="preserve"> \* MERGEFORMAT </w:instrText>
      </w:r>
      <w:r w:rsidR="00CF184C">
        <w:rPr>
          <w:rFonts w:ascii="Verdana" w:hAnsi="Verdana" w:cs="Arial"/>
          <w:sz w:val="20"/>
          <w:szCs w:val="20"/>
          <w:lang w:val="es-MX"/>
        </w:rPr>
      </w:r>
      <w:r w:rsidR="00CF184C">
        <w:rPr>
          <w:rFonts w:ascii="Verdana" w:hAnsi="Verdana" w:cs="Arial"/>
          <w:sz w:val="20"/>
          <w:szCs w:val="20"/>
          <w:lang w:val="es-MX"/>
        </w:rPr>
        <w:fldChar w:fldCharType="separate"/>
      </w:r>
      <w:r w:rsidR="007B61B6">
        <w:rPr>
          <w:rFonts w:ascii="Verdana" w:hAnsi="Verdana" w:cs="Arial"/>
          <w:sz w:val="20"/>
          <w:szCs w:val="20"/>
          <w:lang w:val="es-MX"/>
        </w:rPr>
        <w:t>3</w:t>
      </w:r>
      <w:r w:rsidR="00CF184C">
        <w:rPr>
          <w:rFonts w:ascii="Verdana" w:hAnsi="Verdana" w:cs="Arial"/>
          <w:sz w:val="20"/>
          <w:szCs w:val="20"/>
          <w:lang w:val="es-MX"/>
        </w:rPr>
        <w:fldChar w:fldCharType="end"/>
      </w:r>
      <w:r w:rsidR="00C65640">
        <w:rPr>
          <w:rFonts w:ascii="Verdana" w:hAnsi="Verdana" w:cs="Arial"/>
          <w:sz w:val="20"/>
          <w:szCs w:val="20"/>
          <w:lang w:val="es-MX"/>
        </w:rPr>
        <w:t xml:space="preserve">). En la </w:t>
      </w:r>
      <w:r w:rsidR="00674D88">
        <w:rPr>
          <w:rFonts w:ascii="Verdana" w:hAnsi="Verdana" w:cs="Arial"/>
          <w:sz w:val="20"/>
          <w:szCs w:val="20"/>
          <w:lang w:val="es-MX"/>
        </w:rPr>
        <w:t>R</w:t>
      </w:r>
      <w:r w:rsidR="00C65640">
        <w:rPr>
          <w:rFonts w:ascii="Verdana" w:hAnsi="Verdana" w:cs="Arial"/>
          <w:sz w:val="20"/>
          <w:szCs w:val="20"/>
          <w:lang w:val="es-MX"/>
        </w:rPr>
        <w:t xml:space="preserve">esolución de </w:t>
      </w:r>
      <w:r w:rsidR="00674D88">
        <w:rPr>
          <w:rFonts w:ascii="Verdana" w:hAnsi="Verdana" w:cs="Arial"/>
          <w:sz w:val="20"/>
          <w:szCs w:val="20"/>
          <w:lang w:val="es-MX"/>
        </w:rPr>
        <w:t xml:space="preserve">enero de </w:t>
      </w:r>
      <w:r w:rsidR="00C65640">
        <w:rPr>
          <w:rFonts w:ascii="Verdana" w:hAnsi="Verdana" w:cs="Arial"/>
          <w:sz w:val="20"/>
          <w:szCs w:val="20"/>
          <w:lang w:val="es-MX"/>
        </w:rPr>
        <w:t xml:space="preserve">2015 se declaró que Argentina cumplió con realizar </w:t>
      </w:r>
      <w:r w:rsidR="00C65640" w:rsidRPr="00CA38EE">
        <w:rPr>
          <w:rFonts w:ascii="Verdana" w:hAnsi="Verdana"/>
          <w:sz w:val="20"/>
          <w:szCs w:val="20"/>
        </w:rPr>
        <w:t>el reintegro al Fondo de Asistencia Legal de Víctimas de la Corte Interamericana</w:t>
      </w:r>
      <w:r w:rsidR="00F23B04">
        <w:rPr>
          <w:rStyle w:val="Refdenotaalpie"/>
          <w:rFonts w:ascii="Verdana" w:hAnsi="Verdana"/>
          <w:sz w:val="20"/>
          <w:szCs w:val="20"/>
        </w:rPr>
        <w:footnoteReference w:id="11"/>
      </w:r>
      <w:r w:rsidR="00C65640">
        <w:rPr>
          <w:rFonts w:ascii="Verdana" w:hAnsi="Verdana"/>
          <w:sz w:val="20"/>
          <w:szCs w:val="20"/>
        </w:rPr>
        <w:t xml:space="preserve">. En la </w:t>
      </w:r>
      <w:r w:rsidR="00674D88">
        <w:rPr>
          <w:rFonts w:ascii="Verdana" w:hAnsi="Verdana"/>
          <w:sz w:val="20"/>
          <w:szCs w:val="20"/>
        </w:rPr>
        <w:t>R</w:t>
      </w:r>
      <w:r w:rsidR="00C65640">
        <w:rPr>
          <w:rFonts w:ascii="Verdana" w:hAnsi="Verdana"/>
          <w:sz w:val="20"/>
          <w:szCs w:val="20"/>
        </w:rPr>
        <w:t xml:space="preserve">esolución de </w:t>
      </w:r>
      <w:r w:rsidR="00674D88">
        <w:rPr>
          <w:rFonts w:ascii="Verdana" w:hAnsi="Verdana"/>
          <w:sz w:val="20"/>
          <w:szCs w:val="20"/>
        </w:rPr>
        <w:t xml:space="preserve">noviembre de </w:t>
      </w:r>
      <w:r w:rsidR="00C65640">
        <w:rPr>
          <w:rFonts w:ascii="Verdana" w:hAnsi="Verdana"/>
          <w:sz w:val="20"/>
          <w:szCs w:val="20"/>
        </w:rPr>
        <w:t>2018</w:t>
      </w:r>
      <w:r w:rsidR="00CD6408" w:rsidRPr="00CD6408">
        <w:rPr>
          <w:rFonts w:ascii="Verdana" w:hAnsi="Verdana"/>
          <w:sz w:val="20"/>
          <w:szCs w:val="20"/>
        </w:rPr>
        <w:t xml:space="preserve"> </w:t>
      </w:r>
      <w:r w:rsidR="00C65640">
        <w:rPr>
          <w:rFonts w:ascii="Verdana" w:hAnsi="Verdana" w:cs="Arial"/>
          <w:sz w:val="20"/>
          <w:szCs w:val="20"/>
          <w:lang w:val="es-MX"/>
        </w:rPr>
        <w:t>se</w:t>
      </w:r>
      <w:r w:rsidRPr="00EE32EC">
        <w:rPr>
          <w:rFonts w:ascii="Verdana" w:hAnsi="Verdana" w:cs="Arial"/>
          <w:sz w:val="20"/>
          <w:szCs w:val="20"/>
          <w:lang w:val="es-MX"/>
        </w:rPr>
        <w:t xml:space="preserve"> declaró que el Estado</w:t>
      </w:r>
      <w:r w:rsidR="003E04F4">
        <w:rPr>
          <w:rFonts w:ascii="Verdana" w:hAnsi="Verdana" w:cs="Arial"/>
          <w:sz w:val="20"/>
          <w:szCs w:val="20"/>
          <w:lang w:val="es-MX"/>
        </w:rPr>
        <w:t>:</w:t>
      </w:r>
      <w:r w:rsidRPr="00EE32EC">
        <w:rPr>
          <w:rFonts w:ascii="Verdana" w:hAnsi="Verdana" w:cs="Arial"/>
          <w:sz w:val="20"/>
          <w:szCs w:val="20"/>
          <w:lang w:val="es-MX"/>
        </w:rPr>
        <w:t xml:space="preserve"> dio cumplimiento total a dos medidas de reparación</w:t>
      </w:r>
      <w:r w:rsidR="00B87BF5">
        <w:rPr>
          <w:rStyle w:val="Refdenotaalpie"/>
          <w:rFonts w:ascii="Verdana" w:hAnsi="Verdana" w:cs="Arial"/>
          <w:sz w:val="20"/>
          <w:szCs w:val="20"/>
          <w:lang w:val="es-MX"/>
        </w:rPr>
        <w:footnoteReference w:id="12"/>
      </w:r>
      <w:r w:rsidR="00E8361E">
        <w:rPr>
          <w:rFonts w:ascii="Verdana" w:hAnsi="Verdana" w:cs="Arial"/>
          <w:sz w:val="20"/>
          <w:szCs w:val="20"/>
          <w:lang w:val="es-MX"/>
        </w:rPr>
        <w:t>;</w:t>
      </w:r>
      <w:r w:rsidRPr="00EE32EC">
        <w:rPr>
          <w:rFonts w:ascii="Verdana" w:hAnsi="Verdana" w:cs="Arial"/>
          <w:sz w:val="20"/>
          <w:szCs w:val="20"/>
          <w:lang w:val="es-MX"/>
        </w:rPr>
        <w:t xml:space="preserve"> cumplimiento parcial a una reparación</w:t>
      </w:r>
      <w:r w:rsidR="00571CB7">
        <w:rPr>
          <w:rStyle w:val="Refdenotaalpie"/>
          <w:rFonts w:ascii="Verdana" w:hAnsi="Verdana" w:cs="Arial"/>
          <w:sz w:val="20"/>
          <w:szCs w:val="20"/>
          <w:lang w:val="es-MX"/>
        </w:rPr>
        <w:footnoteReference w:id="13"/>
      </w:r>
      <w:r w:rsidR="00E8361E">
        <w:rPr>
          <w:rFonts w:ascii="Verdana" w:hAnsi="Verdana" w:cs="Arial"/>
          <w:sz w:val="20"/>
          <w:szCs w:val="20"/>
          <w:lang w:val="es-MX"/>
        </w:rPr>
        <w:t>; que había venido dando cumplimiento y debía continuar implementando una medida de reparación</w:t>
      </w:r>
      <w:r w:rsidR="00E8361E">
        <w:rPr>
          <w:rStyle w:val="Refdenotaalpie"/>
          <w:rFonts w:ascii="Verdana" w:hAnsi="Verdana" w:cs="Arial"/>
          <w:sz w:val="20"/>
          <w:szCs w:val="20"/>
          <w:lang w:val="es-MX"/>
        </w:rPr>
        <w:footnoteReference w:id="14"/>
      </w:r>
      <w:r w:rsidRPr="00EE32EC">
        <w:rPr>
          <w:rFonts w:ascii="Verdana" w:hAnsi="Verdana" w:cs="Arial"/>
          <w:sz w:val="20"/>
          <w:szCs w:val="20"/>
          <w:lang w:val="es-MX"/>
        </w:rPr>
        <w:t xml:space="preserve">, y que se encuentran pendientes de cumplimiento </w:t>
      </w:r>
      <w:r w:rsidR="00E8361E">
        <w:rPr>
          <w:rFonts w:ascii="Verdana" w:hAnsi="Verdana" w:cs="Arial"/>
          <w:sz w:val="20"/>
          <w:szCs w:val="20"/>
          <w:lang w:val="es-MX"/>
        </w:rPr>
        <w:t>dos</w:t>
      </w:r>
      <w:r w:rsidR="00E8361E" w:rsidRPr="00EE32EC">
        <w:rPr>
          <w:rFonts w:ascii="Verdana" w:hAnsi="Verdana" w:cs="Arial"/>
          <w:sz w:val="20"/>
          <w:szCs w:val="20"/>
          <w:lang w:val="es-MX"/>
        </w:rPr>
        <w:t xml:space="preserve"> </w:t>
      </w:r>
      <w:r w:rsidR="005F5E06" w:rsidRPr="00EE32EC">
        <w:rPr>
          <w:rFonts w:ascii="Verdana" w:hAnsi="Verdana" w:cs="Arial"/>
          <w:sz w:val="20"/>
          <w:szCs w:val="20"/>
          <w:lang w:val="es-MX"/>
        </w:rPr>
        <w:t>reparaci</w:t>
      </w:r>
      <w:r w:rsidR="005F5E06">
        <w:rPr>
          <w:rFonts w:ascii="Verdana" w:hAnsi="Verdana" w:cs="Arial"/>
          <w:sz w:val="20"/>
          <w:szCs w:val="20"/>
          <w:lang w:val="es-MX"/>
        </w:rPr>
        <w:t>ones</w:t>
      </w:r>
      <w:r w:rsidR="005F5E06" w:rsidRPr="00EE32EC">
        <w:rPr>
          <w:rFonts w:ascii="Verdana" w:hAnsi="Verdana" w:cs="Arial"/>
          <w:sz w:val="20"/>
          <w:szCs w:val="20"/>
          <w:lang w:val="es-MX"/>
        </w:rPr>
        <w:t xml:space="preserve"> </w:t>
      </w:r>
      <w:r w:rsidRPr="00EE32EC">
        <w:rPr>
          <w:rFonts w:ascii="Verdana" w:hAnsi="Verdana" w:cs="Arial"/>
          <w:sz w:val="20"/>
          <w:szCs w:val="20"/>
          <w:lang w:val="es-MX"/>
        </w:rPr>
        <w:t>(</w:t>
      </w:r>
      <w:r w:rsidRPr="00571CB7">
        <w:rPr>
          <w:rFonts w:ascii="Verdana" w:hAnsi="Verdana" w:cs="Arial"/>
          <w:i/>
          <w:sz w:val="20"/>
          <w:szCs w:val="20"/>
          <w:lang w:val="es-MX"/>
        </w:rPr>
        <w:t>infra</w:t>
      </w:r>
      <w:r w:rsidRPr="00EE32EC">
        <w:rPr>
          <w:rFonts w:ascii="Verdana" w:hAnsi="Verdana" w:cs="Arial"/>
          <w:sz w:val="20"/>
          <w:szCs w:val="20"/>
          <w:lang w:val="es-MX"/>
        </w:rPr>
        <w:t xml:space="preserve"> Considerandos </w:t>
      </w:r>
      <w:r w:rsidR="00CF184C">
        <w:rPr>
          <w:rFonts w:ascii="Verdana" w:hAnsi="Verdana" w:cs="Arial"/>
          <w:sz w:val="20"/>
          <w:szCs w:val="20"/>
          <w:lang w:val="es-MX"/>
        </w:rPr>
        <w:fldChar w:fldCharType="begin"/>
      </w:r>
      <w:r w:rsidR="00CF184C">
        <w:rPr>
          <w:rFonts w:ascii="Verdana" w:hAnsi="Verdana" w:cs="Arial"/>
          <w:sz w:val="20"/>
          <w:szCs w:val="20"/>
          <w:lang w:val="es-MX"/>
        </w:rPr>
        <w:instrText xml:space="preserve"> REF _Ref21531431 \r \h </w:instrText>
      </w:r>
      <w:r w:rsidR="00316C26">
        <w:rPr>
          <w:rFonts w:ascii="Verdana" w:hAnsi="Verdana" w:cs="Arial"/>
          <w:sz w:val="20"/>
          <w:szCs w:val="20"/>
          <w:lang w:val="es-MX"/>
        </w:rPr>
        <w:instrText xml:space="preserve"> \* MERGEFORMAT </w:instrText>
      </w:r>
      <w:r w:rsidR="00CF184C">
        <w:rPr>
          <w:rFonts w:ascii="Verdana" w:hAnsi="Verdana" w:cs="Arial"/>
          <w:sz w:val="20"/>
          <w:szCs w:val="20"/>
          <w:lang w:val="es-MX"/>
        </w:rPr>
      </w:r>
      <w:r w:rsidR="00CF184C">
        <w:rPr>
          <w:rFonts w:ascii="Verdana" w:hAnsi="Verdana" w:cs="Arial"/>
          <w:sz w:val="20"/>
          <w:szCs w:val="20"/>
          <w:lang w:val="es-MX"/>
        </w:rPr>
        <w:fldChar w:fldCharType="separate"/>
      </w:r>
      <w:r w:rsidR="007B61B6">
        <w:rPr>
          <w:rFonts w:ascii="Verdana" w:hAnsi="Verdana" w:cs="Arial"/>
          <w:sz w:val="20"/>
          <w:szCs w:val="20"/>
          <w:lang w:val="es-MX"/>
        </w:rPr>
        <w:t>4</w:t>
      </w:r>
      <w:r w:rsidR="00CF184C">
        <w:rPr>
          <w:rFonts w:ascii="Verdana" w:hAnsi="Verdana" w:cs="Arial"/>
          <w:sz w:val="20"/>
          <w:szCs w:val="20"/>
          <w:lang w:val="es-MX"/>
        </w:rPr>
        <w:fldChar w:fldCharType="end"/>
      </w:r>
      <w:r w:rsidR="00CF184C">
        <w:rPr>
          <w:rFonts w:ascii="Verdana" w:hAnsi="Verdana" w:cs="Arial"/>
          <w:sz w:val="20"/>
          <w:szCs w:val="20"/>
          <w:lang w:val="es-MX"/>
        </w:rPr>
        <w:t xml:space="preserve"> y </w:t>
      </w:r>
      <w:r w:rsidR="00CF184C">
        <w:rPr>
          <w:rFonts w:ascii="Verdana" w:hAnsi="Verdana" w:cs="Arial"/>
          <w:sz w:val="20"/>
          <w:szCs w:val="20"/>
          <w:lang w:val="es-MX"/>
        </w:rPr>
        <w:fldChar w:fldCharType="begin"/>
      </w:r>
      <w:r w:rsidR="00CF184C">
        <w:rPr>
          <w:rFonts w:ascii="Verdana" w:hAnsi="Verdana" w:cs="Arial"/>
          <w:sz w:val="20"/>
          <w:szCs w:val="20"/>
          <w:lang w:val="es-MX"/>
        </w:rPr>
        <w:instrText xml:space="preserve"> REF _Ref21531434 \r \h </w:instrText>
      </w:r>
      <w:r w:rsidR="00316C26">
        <w:rPr>
          <w:rFonts w:ascii="Verdana" w:hAnsi="Verdana" w:cs="Arial"/>
          <w:sz w:val="20"/>
          <w:szCs w:val="20"/>
          <w:lang w:val="es-MX"/>
        </w:rPr>
        <w:instrText xml:space="preserve"> \* MERGEFORMAT </w:instrText>
      </w:r>
      <w:r w:rsidR="00CF184C">
        <w:rPr>
          <w:rFonts w:ascii="Verdana" w:hAnsi="Verdana" w:cs="Arial"/>
          <w:sz w:val="20"/>
          <w:szCs w:val="20"/>
          <w:lang w:val="es-MX"/>
        </w:rPr>
      </w:r>
      <w:r w:rsidR="00CF184C">
        <w:rPr>
          <w:rFonts w:ascii="Verdana" w:hAnsi="Verdana" w:cs="Arial"/>
          <w:sz w:val="20"/>
          <w:szCs w:val="20"/>
          <w:lang w:val="es-MX"/>
        </w:rPr>
        <w:fldChar w:fldCharType="separate"/>
      </w:r>
      <w:r w:rsidR="007B61B6">
        <w:rPr>
          <w:rFonts w:ascii="Verdana" w:hAnsi="Verdana" w:cs="Arial"/>
          <w:sz w:val="20"/>
          <w:szCs w:val="20"/>
          <w:lang w:val="es-MX"/>
        </w:rPr>
        <w:t>14</w:t>
      </w:r>
      <w:r w:rsidR="00CF184C">
        <w:rPr>
          <w:rFonts w:ascii="Verdana" w:hAnsi="Verdana" w:cs="Arial"/>
          <w:sz w:val="20"/>
          <w:szCs w:val="20"/>
          <w:lang w:val="es-MX"/>
        </w:rPr>
        <w:fldChar w:fldCharType="end"/>
      </w:r>
      <w:r w:rsidRPr="00EE32EC">
        <w:rPr>
          <w:rFonts w:ascii="Verdana" w:hAnsi="Verdana" w:cs="Arial"/>
          <w:sz w:val="20"/>
          <w:szCs w:val="20"/>
          <w:lang w:val="es-MX"/>
        </w:rPr>
        <w:t xml:space="preserve"> y punto resolutivo </w:t>
      </w:r>
      <w:r w:rsidR="00CF184C">
        <w:rPr>
          <w:rFonts w:ascii="Verdana" w:hAnsi="Verdana" w:cs="Arial"/>
          <w:sz w:val="20"/>
          <w:szCs w:val="20"/>
          <w:lang w:val="es-MX"/>
        </w:rPr>
        <w:fldChar w:fldCharType="begin"/>
      </w:r>
      <w:r w:rsidR="00CF184C">
        <w:rPr>
          <w:rFonts w:ascii="Verdana" w:hAnsi="Verdana" w:cs="Arial"/>
          <w:sz w:val="20"/>
          <w:szCs w:val="20"/>
          <w:lang w:val="es-MX"/>
        </w:rPr>
        <w:instrText xml:space="preserve"> REF _Ref21531449 \r \h </w:instrText>
      </w:r>
      <w:r w:rsidR="00316C26">
        <w:rPr>
          <w:rFonts w:ascii="Verdana" w:hAnsi="Verdana" w:cs="Arial"/>
          <w:sz w:val="20"/>
          <w:szCs w:val="20"/>
          <w:lang w:val="es-MX"/>
        </w:rPr>
        <w:instrText xml:space="preserve"> \* MERGEFORMAT </w:instrText>
      </w:r>
      <w:r w:rsidR="00CF184C">
        <w:rPr>
          <w:rFonts w:ascii="Verdana" w:hAnsi="Verdana" w:cs="Arial"/>
          <w:sz w:val="20"/>
          <w:szCs w:val="20"/>
          <w:lang w:val="es-MX"/>
        </w:rPr>
      </w:r>
      <w:r w:rsidR="00CF184C">
        <w:rPr>
          <w:rFonts w:ascii="Verdana" w:hAnsi="Verdana" w:cs="Arial"/>
          <w:sz w:val="20"/>
          <w:szCs w:val="20"/>
          <w:lang w:val="es-MX"/>
        </w:rPr>
        <w:fldChar w:fldCharType="separate"/>
      </w:r>
      <w:r w:rsidR="007B61B6">
        <w:rPr>
          <w:rFonts w:ascii="Verdana" w:hAnsi="Verdana" w:cs="Arial"/>
          <w:sz w:val="20"/>
          <w:szCs w:val="20"/>
          <w:lang w:val="es-MX"/>
        </w:rPr>
        <w:t>2</w:t>
      </w:r>
      <w:r w:rsidR="00CF184C">
        <w:rPr>
          <w:rFonts w:ascii="Verdana" w:hAnsi="Verdana" w:cs="Arial"/>
          <w:sz w:val="20"/>
          <w:szCs w:val="20"/>
          <w:lang w:val="es-MX"/>
        </w:rPr>
        <w:fldChar w:fldCharType="end"/>
      </w:r>
      <w:r w:rsidRPr="00EE32EC">
        <w:rPr>
          <w:rFonts w:ascii="Verdana" w:hAnsi="Verdana" w:cs="Arial"/>
          <w:sz w:val="20"/>
          <w:szCs w:val="20"/>
          <w:lang w:val="es-MX"/>
        </w:rPr>
        <w:t>).</w:t>
      </w:r>
      <w:bookmarkEnd w:id="9"/>
      <w:r w:rsidR="00AF444A" w:rsidRPr="00EE32EC">
        <w:rPr>
          <w:rFonts w:ascii="Verdana" w:hAnsi="Verdana"/>
          <w:sz w:val="20"/>
          <w:szCs w:val="20"/>
        </w:rPr>
        <w:t xml:space="preserve"> </w:t>
      </w:r>
    </w:p>
    <w:p w14:paraId="2A9B211E" w14:textId="77777777" w:rsidR="00316C26" w:rsidRPr="00CB4A68" w:rsidRDefault="00316C26" w:rsidP="009B05C8">
      <w:pPr>
        <w:pStyle w:val="Prrafodelista"/>
        <w:autoSpaceDE w:val="0"/>
        <w:autoSpaceDN w:val="0"/>
        <w:adjustRightInd w:val="0"/>
        <w:spacing w:after="0" w:line="240" w:lineRule="auto"/>
        <w:ind w:left="0"/>
        <w:contextualSpacing w:val="0"/>
        <w:jc w:val="both"/>
        <w:rPr>
          <w:rFonts w:ascii="Verdana" w:hAnsi="Verdana" w:cs="Arial"/>
          <w:sz w:val="20"/>
          <w:szCs w:val="20"/>
          <w:lang w:val="es-MX"/>
        </w:rPr>
      </w:pPr>
    </w:p>
    <w:p w14:paraId="1C524A80" w14:textId="77777777" w:rsidR="00571CB7" w:rsidRDefault="00571CB7" w:rsidP="009B05C8">
      <w:pPr>
        <w:pStyle w:val="Prrafodelista"/>
        <w:numPr>
          <w:ilvl w:val="0"/>
          <w:numId w:val="3"/>
        </w:numPr>
        <w:autoSpaceDE w:val="0"/>
        <w:autoSpaceDN w:val="0"/>
        <w:adjustRightInd w:val="0"/>
        <w:spacing w:after="0" w:line="240" w:lineRule="auto"/>
        <w:ind w:left="0" w:firstLine="0"/>
        <w:contextualSpacing w:val="0"/>
        <w:jc w:val="both"/>
        <w:rPr>
          <w:rFonts w:ascii="Verdana" w:hAnsi="Verdana" w:cs="Arial"/>
          <w:sz w:val="20"/>
          <w:szCs w:val="20"/>
          <w:lang w:val="es-MX"/>
        </w:rPr>
      </w:pPr>
      <w:r w:rsidRPr="00571CB7">
        <w:rPr>
          <w:rFonts w:ascii="Verdana" w:hAnsi="Verdana" w:cs="Arial"/>
          <w:sz w:val="20"/>
          <w:szCs w:val="20"/>
          <w:lang w:val="es-MX"/>
        </w:rPr>
        <w:t>De conformidad con lo establecido en el artículo 68.1 de la Convención Americana</w:t>
      </w:r>
      <w:r w:rsidR="005F5E06">
        <w:rPr>
          <w:rFonts w:ascii="Verdana" w:hAnsi="Verdana" w:cs="Arial"/>
          <w:sz w:val="20"/>
          <w:szCs w:val="20"/>
          <w:lang w:val="es-MX"/>
        </w:rPr>
        <w:t xml:space="preserve"> sobre Derechos Humanos</w:t>
      </w:r>
      <w:r w:rsidRPr="00571CB7">
        <w:rPr>
          <w:rFonts w:ascii="Verdana" w:hAnsi="Verdana" w:cs="Arial"/>
          <w:sz w:val="20"/>
          <w:szCs w:val="20"/>
          <w:lang w:val="es-MX"/>
        </w:rPr>
        <w:t>,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Pr>
          <w:rStyle w:val="Refdenotaalpie"/>
          <w:rFonts w:ascii="Verdana" w:hAnsi="Verdana" w:cs="Arial"/>
          <w:sz w:val="20"/>
          <w:szCs w:val="20"/>
          <w:lang w:val="es-MX"/>
        </w:rPr>
        <w:footnoteReference w:id="15"/>
      </w:r>
      <w:r w:rsidRPr="00571CB7">
        <w:rPr>
          <w:rFonts w:ascii="Verdana" w:hAnsi="Verdana" w:cs="Arial"/>
          <w:sz w:val="20"/>
          <w:szCs w:val="20"/>
          <w:lang w:val="es-MX"/>
        </w:rPr>
        <w:t>. Los Estados Parte en la Convención deben garantizar el cumplimiento de las disposiciones convencionales y sus efectos propios (</w:t>
      </w:r>
      <w:proofErr w:type="spellStart"/>
      <w:r w:rsidRPr="00571CB7">
        <w:rPr>
          <w:rFonts w:ascii="Verdana" w:hAnsi="Verdana" w:cs="Arial"/>
          <w:i/>
          <w:sz w:val="20"/>
          <w:szCs w:val="20"/>
          <w:lang w:val="es-MX"/>
        </w:rPr>
        <w:t>effet</w:t>
      </w:r>
      <w:proofErr w:type="spellEnd"/>
      <w:r w:rsidRPr="00571CB7">
        <w:rPr>
          <w:rFonts w:ascii="Verdana" w:hAnsi="Verdana" w:cs="Arial"/>
          <w:i/>
          <w:sz w:val="20"/>
          <w:szCs w:val="20"/>
          <w:lang w:val="es-MX"/>
        </w:rPr>
        <w:t xml:space="preserve"> </w:t>
      </w:r>
      <w:proofErr w:type="spellStart"/>
      <w:r w:rsidRPr="00571CB7">
        <w:rPr>
          <w:rFonts w:ascii="Verdana" w:hAnsi="Verdana" w:cs="Arial"/>
          <w:i/>
          <w:sz w:val="20"/>
          <w:szCs w:val="20"/>
          <w:lang w:val="es-MX"/>
        </w:rPr>
        <w:t>utile</w:t>
      </w:r>
      <w:proofErr w:type="spellEnd"/>
      <w:r w:rsidRPr="00571CB7">
        <w:rPr>
          <w:rFonts w:ascii="Verdana" w:hAnsi="Verdana" w:cs="Arial"/>
          <w:sz w:val="20"/>
          <w:szCs w:val="20"/>
          <w:lang w:val="es-MX"/>
        </w:rPr>
        <w:t>) en el plano de sus respectivos derechos internos. Estas obligaciones deben ser interpretadas y aplicadas de manera que la garantía protegida sea verdaderamente práctica y eficaz, teniendo presente la naturaleza especial de los tratados de derechos humanos</w:t>
      </w:r>
      <w:r>
        <w:rPr>
          <w:rStyle w:val="Refdenotaalpie"/>
          <w:rFonts w:ascii="Verdana" w:hAnsi="Verdana" w:cs="Arial"/>
          <w:sz w:val="20"/>
          <w:szCs w:val="20"/>
          <w:lang w:val="es-MX"/>
        </w:rPr>
        <w:footnoteReference w:id="16"/>
      </w:r>
      <w:r w:rsidRPr="00571CB7">
        <w:rPr>
          <w:rFonts w:ascii="Verdana" w:hAnsi="Verdana" w:cs="Arial"/>
          <w:sz w:val="20"/>
          <w:szCs w:val="20"/>
          <w:lang w:val="es-MX"/>
        </w:rPr>
        <w:t>.</w:t>
      </w:r>
    </w:p>
    <w:p w14:paraId="1C00D8BC" w14:textId="77777777" w:rsidR="00316C26" w:rsidRDefault="00316C26" w:rsidP="009B05C8">
      <w:pPr>
        <w:pStyle w:val="Prrafodelista"/>
        <w:autoSpaceDE w:val="0"/>
        <w:autoSpaceDN w:val="0"/>
        <w:adjustRightInd w:val="0"/>
        <w:spacing w:after="0" w:line="240" w:lineRule="auto"/>
        <w:ind w:left="0"/>
        <w:contextualSpacing w:val="0"/>
        <w:jc w:val="both"/>
        <w:rPr>
          <w:rFonts w:ascii="Verdana" w:hAnsi="Verdana" w:cs="Arial"/>
          <w:sz w:val="20"/>
          <w:szCs w:val="20"/>
          <w:lang w:val="es-MX"/>
        </w:rPr>
      </w:pPr>
    </w:p>
    <w:p w14:paraId="67875BAB" w14:textId="5B1BBB0B" w:rsidR="005E663D" w:rsidRDefault="00571CB7" w:rsidP="009B05C8">
      <w:pPr>
        <w:pStyle w:val="Prrafodelista"/>
        <w:numPr>
          <w:ilvl w:val="0"/>
          <w:numId w:val="3"/>
        </w:numPr>
        <w:autoSpaceDE w:val="0"/>
        <w:autoSpaceDN w:val="0"/>
        <w:adjustRightInd w:val="0"/>
        <w:spacing w:after="0" w:line="240" w:lineRule="auto"/>
        <w:ind w:left="0" w:firstLine="0"/>
        <w:contextualSpacing w:val="0"/>
        <w:jc w:val="both"/>
        <w:rPr>
          <w:rFonts w:ascii="Verdana" w:hAnsi="Verdana" w:cs="Arial"/>
          <w:sz w:val="20"/>
          <w:szCs w:val="20"/>
          <w:lang w:val="es-MX"/>
        </w:rPr>
      </w:pPr>
      <w:r>
        <w:rPr>
          <w:rFonts w:ascii="Verdana" w:hAnsi="Verdana"/>
          <w:sz w:val="20"/>
          <w:szCs w:val="20"/>
        </w:rPr>
        <w:t>En la presente Resolución</w:t>
      </w:r>
      <w:r w:rsidR="005F5E06">
        <w:rPr>
          <w:rFonts w:ascii="Verdana" w:hAnsi="Verdana"/>
          <w:sz w:val="20"/>
          <w:szCs w:val="20"/>
        </w:rPr>
        <w:t>,</w:t>
      </w:r>
      <w:r>
        <w:rPr>
          <w:rFonts w:ascii="Verdana" w:hAnsi="Verdana"/>
          <w:sz w:val="20"/>
          <w:szCs w:val="20"/>
        </w:rPr>
        <w:t xml:space="preserve"> el Tribunal se pronunciará sobre dos medidas de reparación</w:t>
      </w:r>
      <w:r w:rsidR="00E8361E">
        <w:rPr>
          <w:rFonts w:ascii="Verdana" w:eastAsia="Times" w:hAnsi="Verdana"/>
          <w:sz w:val="20"/>
          <w:szCs w:val="20"/>
        </w:rPr>
        <w:t xml:space="preserve"> </w:t>
      </w:r>
      <w:r w:rsidR="00E8361E">
        <w:rPr>
          <w:rFonts w:ascii="Verdana" w:hAnsi="Verdana"/>
          <w:sz w:val="20"/>
          <w:szCs w:val="20"/>
        </w:rPr>
        <w:t xml:space="preserve">respecto de las cuales las partes han aportado suficiente información para </w:t>
      </w:r>
      <w:r w:rsidR="003E04F4">
        <w:rPr>
          <w:rFonts w:ascii="Verdana" w:hAnsi="Verdana"/>
          <w:sz w:val="20"/>
          <w:szCs w:val="20"/>
        </w:rPr>
        <w:t xml:space="preserve">valorar </w:t>
      </w:r>
      <w:r w:rsidR="00E8361E">
        <w:rPr>
          <w:rFonts w:ascii="Verdana" w:hAnsi="Verdana"/>
          <w:sz w:val="20"/>
          <w:szCs w:val="20"/>
        </w:rPr>
        <w:t>su cumplimiento (</w:t>
      </w:r>
      <w:r w:rsidR="00E8361E" w:rsidRPr="003E04F4">
        <w:rPr>
          <w:rFonts w:ascii="Verdana" w:hAnsi="Verdana"/>
          <w:i/>
          <w:sz w:val="20"/>
          <w:szCs w:val="20"/>
        </w:rPr>
        <w:t>infra</w:t>
      </w:r>
      <w:r w:rsidR="00E8361E">
        <w:rPr>
          <w:rFonts w:ascii="Verdana" w:hAnsi="Verdana"/>
          <w:sz w:val="20"/>
          <w:szCs w:val="20"/>
        </w:rPr>
        <w:t xml:space="preserve"> Considerandos </w:t>
      </w:r>
      <w:r w:rsidR="00CF184C">
        <w:rPr>
          <w:rFonts w:ascii="Verdana" w:hAnsi="Verdana"/>
          <w:sz w:val="20"/>
          <w:szCs w:val="20"/>
        </w:rPr>
        <w:fldChar w:fldCharType="begin"/>
      </w:r>
      <w:r w:rsidR="00CF184C">
        <w:rPr>
          <w:rFonts w:ascii="Verdana" w:hAnsi="Verdana"/>
          <w:sz w:val="20"/>
          <w:szCs w:val="20"/>
        </w:rPr>
        <w:instrText xml:space="preserve"> REF _Ref21531431 \r \h </w:instrText>
      </w:r>
      <w:r w:rsidR="00316C26">
        <w:rPr>
          <w:rFonts w:ascii="Verdana" w:hAnsi="Verdana"/>
          <w:sz w:val="20"/>
          <w:szCs w:val="20"/>
        </w:rPr>
        <w:instrText xml:space="preserve"> \* MERGEFORMAT </w:instrText>
      </w:r>
      <w:r w:rsidR="00CF184C">
        <w:rPr>
          <w:rFonts w:ascii="Verdana" w:hAnsi="Verdana"/>
          <w:sz w:val="20"/>
          <w:szCs w:val="20"/>
        </w:rPr>
      </w:r>
      <w:r w:rsidR="00CF184C">
        <w:rPr>
          <w:rFonts w:ascii="Verdana" w:hAnsi="Verdana"/>
          <w:sz w:val="20"/>
          <w:szCs w:val="20"/>
        </w:rPr>
        <w:fldChar w:fldCharType="separate"/>
      </w:r>
      <w:r w:rsidR="007B61B6">
        <w:rPr>
          <w:rFonts w:ascii="Verdana" w:hAnsi="Verdana"/>
          <w:sz w:val="20"/>
          <w:szCs w:val="20"/>
        </w:rPr>
        <w:t>4</w:t>
      </w:r>
      <w:r w:rsidR="00CF184C">
        <w:rPr>
          <w:rFonts w:ascii="Verdana" w:hAnsi="Verdana"/>
          <w:sz w:val="20"/>
          <w:szCs w:val="20"/>
        </w:rPr>
        <w:fldChar w:fldCharType="end"/>
      </w:r>
      <w:r w:rsidR="00CF184C">
        <w:rPr>
          <w:rFonts w:ascii="Verdana" w:hAnsi="Verdana"/>
          <w:sz w:val="20"/>
          <w:szCs w:val="20"/>
        </w:rPr>
        <w:t xml:space="preserve"> </w:t>
      </w:r>
      <w:r w:rsidR="005F5E06">
        <w:rPr>
          <w:rFonts w:ascii="Verdana" w:hAnsi="Verdana"/>
          <w:sz w:val="20"/>
          <w:szCs w:val="20"/>
        </w:rPr>
        <w:t>a17</w:t>
      </w:r>
      <w:r w:rsidR="00E8361E">
        <w:rPr>
          <w:rFonts w:ascii="Verdana" w:hAnsi="Verdana"/>
          <w:sz w:val="20"/>
          <w:szCs w:val="20"/>
        </w:rPr>
        <w:t>), y realizará una solicitud de información específica sobre las restantes dos medidas de reparación pendientes de cumplimiento (</w:t>
      </w:r>
      <w:r w:rsidR="00E8361E" w:rsidRPr="00EB3AC0">
        <w:rPr>
          <w:rFonts w:ascii="Verdana" w:hAnsi="Verdana"/>
          <w:i/>
          <w:sz w:val="20"/>
          <w:szCs w:val="20"/>
        </w:rPr>
        <w:t>infra</w:t>
      </w:r>
      <w:r w:rsidR="00E8361E">
        <w:rPr>
          <w:rFonts w:ascii="Verdana" w:hAnsi="Verdana"/>
          <w:sz w:val="20"/>
          <w:szCs w:val="20"/>
        </w:rPr>
        <w:t xml:space="preserve"> Considerando</w:t>
      </w:r>
      <w:r w:rsidR="00674D88">
        <w:rPr>
          <w:rFonts w:ascii="Verdana" w:hAnsi="Verdana"/>
          <w:sz w:val="20"/>
          <w:szCs w:val="20"/>
        </w:rPr>
        <w:t>s</w:t>
      </w:r>
      <w:r w:rsidR="00E8361E">
        <w:rPr>
          <w:rFonts w:ascii="Verdana" w:hAnsi="Verdana"/>
          <w:sz w:val="20"/>
          <w:szCs w:val="20"/>
        </w:rPr>
        <w:t xml:space="preserve"> </w:t>
      </w:r>
      <w:r w:rsidR="00CF184C">
        <w:rPr>
          <w:rFonts w:ascii="Verdana" w:hAnsi="Verdana"/>
          <w:sz w:val="20"/>
          <w:szCs w:val="20"/>
        </w:rPr>
        <w:fldChar w:fldCharType="begin"/>
      </w:r>
      <w:r w:rsidR="00CF184C">
        <w:rPr>
          <w:rFonts w:ascii="Verdana" w:hAnsi="Verdana"/>
          <w:sz w:val="20"/>
          <w:szCs w:val="20"/>
        </w:rPr>
        <w:instrText xml:space="preserve"> REF _Ref21531500 \r \h </w:instrText>
      </w:r>
      <w:r w:rsidR="00316C26">
        <w:rPr>
          <w:rFonts w:ascii="Verdana" w:hAnsi="Verdana"/>
          <w:sz w:val="20"/>
          <w:szCs w:val="20"/>
        </w:rPr>
        <w:instrText xml:space="preserve"> \* MERGEFORMAT </w:instrText>
      </w:r>
      <w:r w:rsidR="00CF184C">
        <w:rPr>
          <w:rFonts w:ascii="Verdana" w:hAnsi="Verdana"/>
          <w:sz w:val="20"/>
          <w:szCs w:val="20"/>
        </w:rPr>
      </w:r>
      <w:r w:rsidR="00CF184C">
        <w:rPr>
          <w:rFonts w:ascii="Verdana" w:hAnsi="Verdana"/>
          <w:sz w:val="20"/>
          <w:szCs w:val="20"/>
        </w:rPr>
        <w:fldChar w:fldCharType="separate"/>
      </w:r>
      <w:r w:rsidR="007B61B6">
        <w:rPr>
          <w:rFonts w:ascii="Verdana" w:hAnsi="Verdana"/>
          <w:sz w:val="20"/>
          <w:szCs w:val="20"/>
        </w:rPr>
        <w:t>18</w:t>
      </w:r>
      <w:r w:rsidR="00CF184C">
        <w:rPr>
          <w:rFonts w:ascii="Verdana" w:hAnsi="Verdana"/>
          <w:sz w:val="20"/>
          <w:szCs w:val="20"/>
        </w:rPr>
        <w:fldChar w:fldCharType="end"/>
      </w:r>
      <w:r w:rsidR="00674D88">
        <w:rPr>
          <w:rFonts w:ascii="Verdana" w:hAnsi="Verdana"/>
          <w:sz w:val="20"/>
          <w:szCs w:val="20"/>
        </w:rPr>
        <w:t xml:space="preserve"> a </w:t>
      </w:r>
      <w:r w:rsidR="00674D88">
        <w:rPr>
          <w:rFonts w:ascii="Verdana" w:hAnsi="Verdana"/>
          <w:sz w:val="20"/>
          <w:szCs w:val="20"/>
        </w:rPr>
        <w:fldChar w:fldCharType="begin"/>
      </w:r>
      <w:r w:rsidR="00674D88">
        <w:rPr>
          <w:rFonts w:ascii="Verdana" w:hAnsi="Verdana"/>
          <w:sz w:val="20"/>
          <w:szCs w:val="20"/>
        </w:rPr>
        <w:instrText xml:space="preserve"> REF _Ref21697215 \r \h </w:instrText>
      </w:r>
      <w:r w:rsidR="00674D88">
        <w:rPr>
          <w:rFonts w:ascii="Verdana" w:hAnsi="Verdana"/>
          <w:sz w:val="20"/>
          <w:szCs w:val="20"/>
        </w:rPr>
      </w:r>
      <w:r w:rsidR="00674D88">
        <w:rPr>
          <w:rFonts w:ascii="Verdana" w:hAnsi="Verdana"/>
          <w:sz w:val="20"/>
          <w:szCs w:val="20"/>
        </w:rPr>
        <w:fldChar w:fldCharType="separate"/>
      </w:r>
      <w:r w:rsidR="007B61B6">
        <w:rPr>
          <w:rFonts w:ascii="Verdana" w:hAnsi="Verdana"/>
          <w:sz w:val="20"/>
          <w:szCs w:val="20"/>
        </w:rPr>
        <w:t>23</w:t>
      </w:r>
      <w:r w:rsidR="00674D88">
        <w:rPr>
          <w:rFonts w:ascii="Verdana" w:hAnsi="Verdana"/>
          <w:sz w:val="20"/>
          <w:szCs w:val="20"/>
        </w:rPr>
        <w:fldChar w:fldCharType="end"/>
      </w:r>
      <w:r w:rsidR="00E8361E">
        <w:rPr>
          <w:rFonts w:ascii="Verdana" w:hAnsi="Verdana"/>
          <w:sz w:val="20"/>
          <w:szCs w:val="20"/>
        </w:rPr>
        <w:t xml:space="preserve">). </w:t>
      </w:r>
      <w:r w:rsidR="005E663D">
        <w:rPr>
          <w:rFonts w:ascii="Verdana" w:hAnsi="Verdana" w:cs="Arial"/>
          <w:sz w:val="20"/>
          <w:szCs w:val="20"/>
          <w:lang w:val="es-MX"/>
        </w:rPr>
        <w:t>Por consiguiente</w:t>
      </w:r>
      <w:r w:rsidR="00986596">
        <w:rPr>
          <w:rFonts w:ascii="Verdana" w:hAnsi="Verdana" w:cs="Arial"/>
          <w:sz w:val="20"/>
          <w:szCs w:val="20"/>
          <w:lang w:val="es-MX"/>
        </w:rPr>
        <w:t>,</w:t>
      </w:r>
      <w:r w:rsidR="005E663D">
        <w:rPr>
          <w:rFonts w:ascii="Verdana" w:hAnsi="Verdana" w:cs="Arial"/>
          <w:sz w:val="20"/>
          <w:szCs w:val="20"/>
          <w:lang w:val="es-MX"/>
        </w:rPr>
        <w:t xml:space="preserve"> la Corte estructurará sus consideraciones en el siguiente orden: </w:t>
      </w:r>
    </w:p>
    <w:p w14:paraId="4ED491E0" w14:textId="77777777" w:rsidR="00316C26" w:rsidRDefault="00316C26" w:rsidP="009B05C8">
      <w:pPr>
        <w:pStyle w:val="Prrafodelista"/>
        <w:autoSpaceDE w:val="0"/>
        <w:autoSpaceDN w:val="0"/>
        <w:adjustRightInd w:val="0"/>
        <w:spacing w:after="0" w:line="240" w:lineRule="auto"/>
        <w:ind w:left="0"/>
        <w:contextualSpacing w:val="0"/>
        <w:jc w:val="both"/>
        <w:rPr>
          <w:rFonts w:ascii="Verdana" w:hAnsi="Verdana" w:cs="Arial"/>
          <w:sz w:val="20"/>
          <w:szCs w:val="20"/>
          <w:lang w:val="es-MX"/>
        </w:rPr>
      </w:pPr>
    </w:p>
    <w:p w14:paraId="4BED27A6" w14:textId="77777777" w:rsidR="00C672E4" w:rsidRDefault="00C672E4" w:rsidP="009B05C8">
      <w:pPr>
        <w:pStyle w:val="Prrafodelista"/>
        <w:autoSpaceDE w:val="0"/>
        <w:autoSpaceDN w:val="0"/>
        <w:adjustRightInd w:val="0"/>
        <w:spacing w:after="0" w:line="240" w:lineRule="auto"/>
        <w:ind w:left="0"/>
        <w:contextualSpacing w:val="0"/>
        <w:jc w:val="both"/>
        <w:rPr>
          <w:rFonts w:ascii="Verdana" w:hAnsi="Verdana" w:cs="Arial"/>
          <w:sz w:val="20"/>
          <w:szCs w:val="20"/>
          <w:lang w:val="es-MX"/>
        </w:rPr>
      </w:pPr>
    </w:p>
    <w:p w14:paraId="6416ED02" w14:textId="1E564B73" w:rsidR="00FC0418" w:rsidRPr="00FC0418" w:rsidRDefault="005E663D" w:rsidP="009B05C8">
      <w:pPr>
        <w:pStyle w:val="TDC1"/>
        <w:tabs>
          <w:tab w:val="left" w:pos="660"/>
          <w:tab w:val="right" w:leader="dot" w:pos="8828"/>
        </w:tabs>
        <w:spacing w:after="0" w:line="360" w:lineRule="auto"/>
        <w:jc w:val="both"/>
        <w:rPr>
          <w:rFonts w:ascii="Verdana" w:eastAsiaTheme="minorEastAsia" w:hAnsi="Verdana"/>
          <w:noProof/>
          <w:sz w:val="18"/>
          <w:szCs w:val="18"/>
          <w:lang w:val="es-ES" w:eastAsia="es-ES"/>
        </w:rPr>
      </w:pPr>
      <w:r w:rsidRPr="00FC0418">
        <w:rPr>
          <w:rFonts w:ascii="Verdana" w:eastAsia="Times" w:hAnsi="Verdana"/>
          <w:sz w:val="18"/>
          <w:szCs w:val="18"/>
        </w:rPr>
        <w:lastRenderedPageBreak/>
        <w:fldChar w:fldCharType="begin"/>
      </w:r>
      <w:r w:rsidRPr="00FC0418">
        <w:rPr>
          <w:rFonts w:ascii="Verdana" w:eastAsia="Times" w:hAnsi="Verdana"/>
          <w:sz w:val="18"/>
          <w:szCs w:val="18"/>
        </w:rPr>
        <w:instrText xml:space="preserve"> TOC \o "1-3" \h \z \u </w:instrText>
      </w:r>
      <w:r w:rsidRPr="00FC0418">
        <w:rPr>
          <w:rFonts w:ascii="Verdana" w:eastAsia="Times" w:hAnsi="Verdana"/>
          <w:sz w:val="18"/>
          <w:szCs w:val="18"/>
        </w:rPr>
        <w:fldChar w:fldCharType="separate"/>
      </w:r>
      <w:hyperlink w:anchor="_Toc19625952" w:history="1">
        <w:r w:rsidR="00FC0418" w:rsidRPr="00FC0418">
          <w:rPr>
            <w:rStyle w:val="Hipervnculo"/>
            <w:rFonts w:ascii="Verdana" w:hAnsi="Verdana"/>
            <w:i/>
            <w:noProof/>
            <w:sz w:val="18"/>
            <w:szCs w:val="18"/>
          </w:rPr>
          <w:t>A.</w:t>
        </w:r>
        <w:r w:rsidR="005F5E06">
          <w:rPr>
            <w:rFonts w:ascii="Verdana" w:eastAsiaTheme="minorEastAsia" w:hAnsi="Verdana"/>
            <w:noProof/>
            <w:sz w:val="18"/>
            <w:szCs w:val="18"/>
            <w:lang w:val="es-ES" w:eastAsia="es-ES"/>
          </w:rPr>
          <w:t xml:space="preserve"> </w:t>
        </w:r>
        <w:r w:rsidR="00FC0418" w:rsidRPr="00FC0418">
          <w:rPr>
            <w:rStyle w:val="Hipervnculo"/>
            <w:rFonts w:ascii="Verdana" w:hAnsi="Verdana"/>
            <w:i/>
            <w:noProof/>
            <w:sz w:val="18"/>
            <w:szCs w:val="18"/>
          </w:rPr>
          <w:t>Establecer un procedimiento orientado a la vinculación entre el señor Fornerón y su hija</w:t>
        </w:r>
        <w:r w:rsidR="00FC0418" w:rsidRPr="00FC0418">
          <w:rPr>
            <w:rFonts w:ascii="Verdana" w:hAnsi="Verdana"/>
            <w:noProof/>
            <w:webHidden/>
            <w:sz w:val="18"/>
            <w:szCs w:val="18"/>
          </w:rPr>
          <w:tab/>
        </w:r>
        <w:r w:rsidR="00FC0418" w:rsidRPr="00FC0418">
          <w:rPr>
            <w:rFonts w:ascii="Verdana" w:hAnsi="Verdana"/>
            <w:noProof/>
            <w:webHidden/>
            <w:sz w:val="18"/>
            <w:szCs w:val="18"/>
          </w:rPr>
          <w:fldChar w:fldCharType="begin"/>
        </w:r>
        <w:r w:rsidR="00FC0418" w:rsidRPr="00FC0418">
          <w:rPr>
            <w:rFonts w:ascii="Verdana" w:hAnsi="Verdana"/>
            <w:noProof/>
            <w:webHidden/>
            <w:sz w:val="18"/>
            <w:szCs w:val="18"/>
          </w:rPr>
          <w:instrText xml:space="preserve"> PAGEREF _Toc19625952 \h </w:instrText>
        </w:r>
        <w:r w:rsidR="00FC0418" w:rsidRPr="00FC0418">
          <w:rPr>
            <w:rFonts w:ascii="Verdana" w:hAnsi="Verdana"/>
            <w:noProof/>
            <w:webHidden/>
            <w:sz w:val="18"/>
            <w:szCs w:val="18"/>
          </w:rPr>
        </w:r>
        <w:r w:rsidR="00FC0418" w:rsidRPr="00FC0418">
          <w:rPr>
            <w:rFonts w:ascii="Verdana" w:hAnsi="Verdana"/>
            <w:noProof/>
            <w:webHidden/>
            <w:sz w:val="18"/>
            <w:szCs w:val="18"/>
          </w:rPr>
          <w:fldChar w:fldCharType="separate"/>
        </w:r>
        <w:r w:rsidR="007B61B6">
          <w:rPr>
            <w:rFonts w:ascii="Verdana" w:hAnsi="Verdana"/>
            <w:noProof/>
            <w:webHidden/>
            <w:sz w:val="18"/>
            <w:szCs w:val="18"/>
          </w:rPr>
          <w:t>4</w:t>
        </w:r>
        <w:r w:rsidR="00FC0418" w:rsidRPr="00FC0418">
          <w:rPr>
            <w:rFonts w:ascii="Verdana" w:hAnsi="Verdana"/>
            <w:noProof/>
            <w:webHidden/>
            <w:sz w:val="18"/>
            <w:szCs w:val="18"/>
          </w:rPr>
          <w:fldChar w:fldCharType="end"/>
        </w:r>
      </w:hyperlink>
    </w:p>
    <w:p w14:paraId="5E8F6088" w14:textId="64C96BAD" w:rsidR="00FC0418" w:rsidRPr="00FC0418" w:rsidRDefault="007B61B6" w:rsidP="009B05C8">
      <w:pPr>
        <w:pStyle w:val="TDC1"/>
        <w:tabs>
          <w:tab w:val="left" w:pos="440"/>
          <w:tab w:val="right" w:leader="dot" w:pos="8828"/>
        </w:tabs>
        <w:spacing w:after="0" w:line="360" w:lineRule="auto"/>
        <w:jc w:val="both"/>
        <w:rPr>
          <w:rFonts w:ascii="Verdana" w:eastAsiaTheme="minorEastAsia" w:hAnsi="Verdana"/>
          <w:noProof/>
          <w:sz w:val="18"/>
          <w:szCs w:val="18"/>
          <w:lang w:val="es-ES" w:eastAsia="es-ES"/>
        </w:rPr>
      </w:pPr>
      <w:hyperlink w:anchor="_Toc19625953" w:history="1">
        <w:r w:rsidR="00FC0418" w:rsidRPr="00FC0418">
          <w:rPr>
            <w:rStyle w:val="Hipervnculo"/>
            <w:rFonts w:ascii="Verdana" w:hAnsi="Verdana"/>
            <w:i/>
            <w:noProof/>
            <w:sz w:val="18"/>
            <w:szCs w:val="18"/>
          </w:rPr>
          <w:t>B.</w:t>
        </w:r>
        <w:r w:rsidR="005F5E06">
          <w:rPr>
            <w:rFonts w:ascii="Verdana" w:eastAsiaTheme="minorEastAsia" w:hAnsi="Verdana"/>
            <w:noProof/>
            <w:sz w:val="18"/>
            <w:szCs w:val="18"/>
            <w:lang w:val="es-ES" w:eastAsia="es-ES"/>
          </w:rPr>
          <w:t xml:space="preserve"> </w:t>
        </w:r>
        <w:r w:rsidR="00FC0418" w:rsidRPr="00FC0418">
          <w:rPr>
            <w:rStyle w:val="Hipervnculo"/>
            <w:rFonts w:ascii="Verdana" w:hAnsi="Verdana"/>
            <w:i/>
            <w:noProof/>
            <w:sz w:val="18"/>
            <w:szCs w:val="18"/>
          </w:rPr>
          <w:t>Pago de indemnizaciones por concepto de daños materiales e inmateriales y reintegro de costas y gastos</w:t>
        </w:r>
        <w:r w:rsidR="00FC0418" w:rsidRPr="00FC0418">
          <w:rPr>
            <w:rFonts w:ascii="Verdana" w:hAnsi="Verdana"/>
            <w:noProof/>
            <w:webHidden/>
            <w:sz w:val="18"/>
            <w:szCs w:val="18"/>
          </w:rPr>
          <w:tab/>
        </w:r>
        <w:r w:rsidR="00FC0418" w:rsidRPr="00FC0418">
          <w:rPr>
            <w:rFonts w:ascii="Verdana" w:hAnsi="Verdana"/>
            <w:noProof/>
            <w:webHidden/>
            <w:sz w:val="18"/>
            <w:szCs w:val="18"/>
          </w:rPr>
          <w:fldChar w:fldCharType="begin"/>
        </w:r>
        <w:r w:rsidR="00FC0418" w:rsidRPr="00FC0418">
          <w:rPr>
            <w:rFonts w:ascii="Verdana" w:hAnsi="Verdana"/>
            <w:noProof/>
            <w:webHidden/>
            <w:sz w:val="18"/>
            <w:szCs w:val="18"/>
          </w:rPr>
          <w:instrText xml:space="preserve"> PAGEREF _Toc19625953 \h </w:instrText>
        </w:r>
        <w:r w:rsidR="00FC0418" w:rsidRPr="00FC0418">
          <w:rPr>
            <w:rFonts w:ascii="Verdana" w:hAnsi="Verdana"/>
            <w:noProof/>
            <w:webHidden/>
            <w:sz w:val="18"/>
            <w:szCs w:val="18"/>
          </w:rPr>
        </w:r>
        <w:r w:rsidR="00FC0418" w:rsidRPr="00FC0418">
          <w:rPr>
            <w:rFonts w:ascii="Verdana" w:hAnsi="Verdana"/>
            <w:noProof/>
            <w:webHidden/>
            <w:sz w:val="18"/>
            <w:szCs w:val="18"/>
          </w:rPr>
          <w:fldChar w:fldCharType="separate"/>
        </w:r>
        <w:r>
          <w:rPr>
            <w:rFonts w:ascii="Verdana" w:hAnsi="Verdana"/>
            <w:noProof/>
            <w:webHidden/>
            <w:sz w:val="18"/>
            <w:szCs w:val="18"/>
          </w:rPr>
          <w:t>7</w:t>
        </w:r>
        <w:r w:rsidR="00FC0418" w:rsidRPr="00FC0418">
          <w:rPr>
            <w:rFonts w:ascii="Verdana" w:hAnsi="Verdana"/>
            <w:noProof/>
            <w:webHidden/>
            <w:sz w:val="18"/>
            <w:szCs w:val="18"/>
          </w:rPr>
          <w:fldChar w:fldCharType="end"/>
        </w:r>
      </w:hyperlink>
    </w:p>
    <w:p w14:paraId="3D773672" w14:textId="68E6F304" w:rsidR="00FC0418" w:rsidRPr="00FC0418" w:rsidRDefault="007B61B6" w:rsidP="009B05C8">
      <w:pPr>
        <w:pStyle w:val="TDC1"/>
        <w:tabs>
          <w:tab w:val="left" w:pos="440"/>
          <w:tab w:val="right" w:leader="dot" w:pos="8828"/>
        </w:tabs>
        <w:spacing w:after="0" w:line="360" w:lineRule="auto"/>
        <w:jc w:val="both"/>
        <w:rPr>
          <w:rFonts w:ascii="Verdana" w:eastAsiaTheme="minorEastAsia" w:hAnsi="Verdana"/>
          <w:noProof/>
          <w:sz w:val="18"/>
          <w:szCs w:val="18"/>
          <w:lang w:val="es-ES" w:eastAsia="es-ES"/>
        </w:rPr>
      </w:pPr>
      <w:hyperlink w:anchor="_Toc19625954" w:history="1">
        <w:r w:rsidR="00FC0418" w:rsidRPr="00FC0418">
          <w:rPr>
            <w:rStyle w:val="Hipervnculo"/>
            <w:rFonts w:ascii="Verdana" w:hAnsi="Verdana"/>
            <w:i/>
            <w:noProof/>
            <w:sz w:val="18"/>
            <w:szCs w:val="18"/>
          </w:rPr>
          <w:t>C.</w:t>
        </w:r>
        <w:r w:rsidR="005F5E06">
          <w:rPr>
            <w:rFonts w:ascii="Verdana" w:eastAsiaTheme="minorEastAsia" w:hAnsi="Verdana"/>
            <w:noProof/>
            <w:sz w:val="18"/>
            <w:szCs w:val="18"/>
            <w:lang w:val="es-ES" w:eastAsia="es-ES"/>
          </w:rPr>
          <w:t xml:space="preserve"> </w:t>
        </w:r>
        <w:r w:rsidR="00FC0418" w:rsidRPr="00FC0418">
          <w:rPr>
            <w:rStyle w:val="Hipervnculo"/>
            <w:rFonts w:ascii="Verdana" w:hAnsi="Verdana"/>
            <w:i/>
            <w:noProof/>
            <w:sz w:val="18"/>
            <w:szCs w:val="18"/>
          </w:rPr>
          <w:t>Solicitud de información sobre las reparaciones pendientes de cumplimiento</w:t>
        </w:r>
        <w:r w:rsidR="00FC0418" w:rsidRPr="00FC0418">
          <w:rPr>
            <w:rFonts w:ascii="Verdana" w:hAnsi="Verdana"/>
            <w:noProof/>
            <w:webHidden/>
            <w:sz w:val="18"/>
            <w:szCs w:val="18"/>
          </w:rPr>
          <w:tab/>
        </w:r>
        <w:r w:rsidR="00FC0418" w:rsidRPr="00FC0418">
          <w:rPr>
            <w:rFonts w:ascii="Verdana" w:hAnsi="Verdana"/>
            <w:noProof/>
            <w:webHidden/>
            <w:sz w:val="18"/>
            <w:szCs w:val="18"/>
          </w:rPr>
          <w:fldChar w:fldCharType="begin"/>
        </w:r>
        <w:r w:rsidR="00FC0418" w:rsidRPr="00FC0418">
          <w:rPr>
            <w:rFonts w:ascii="Verdana" w:hAnsi="Verdana"/>
            <w:noProof/>
            <w:webHidden/>
            <w:sz w:val="18"/>
            <w:szCs w:val="18"/>
          </w:rPr>
          <w:instrText xml:space="preserve"> PAGEREF _Toc19625954 \h </w:instrText>
        </w:r>
        <w:r w:rsidR="00FC0418" w:rsidRPr="00FC0418">
          <w:rPr>
            <w:rFonts w:ascii="Verdana" w:hAnsi="Verdana"/>
            <w:noProof/>
            <w:webHidden/>
            <w:sz w:val="18"/>
            <w:szCs w:val="18"/>
          </w:rPr>
        </w:r>
        <w:r w:rsidR="00FC0418" w:rsidRPr="00FC0418">
          <w:rPr>
            <w:rFonts w:ascii="Verdana" w:hAnsi="Verdana"/>
            <w:noProof/>
            <w:webHidden/>
            <w:sz w:val="18"/>
            <w:szCs w:val="18"/>
          </w:rPr>
          <w:fldChar w:fldCharType="separate"/>
        </w:r>
        <w:r>
          <w:rPr>
            <w:rFonts w:ascii="Verdana" w:hAnsi="Verdana"/>
            <w:noProof/>
            <w:webHidden/>
            <w:sz w:val="18"/>
            <w:szCs w:val="18"/>
          </w:rPr>
          <w:t>8</w:t>
        </w:r>
        <w:r w:rsidR="00FC0418" w:rsidRPr="00FC0418">
          <w:rPr>
            <w:rFonts w:ascii="Verdana" w:hAnsi="Verdana"/>
            <w:noProof/>
            <w:webHidden/>
            <w:sz w:val="18"/>
            <w:szCs w:val="18"/>
          </w:rPr>
          <w:fldChar w:fldCharType="end"/>
        </w:r>
      </w:hyperlink>
    </w:p>
    <w:p w14:paraId="2170829E" w14:textId="77777777" w:rsidR="00FC0418" w:rsidRDefault="005E663D" w:rsidP="009B05C8">
      <w:pPr>
        <w:pStyle w:val="Prrafodelista"/>
        <w:autoSpaceDE w:val="0"/>
        <w:autoSpaceDN w:val="0"/>
        <w:adjustRightInd w:val="0"/>
        <w:spacing w:after="0" w:line="360" w:lineRule="auto"/>
        <w:ind w:left="283"/>
        <w:contextualSpacing w:val="0"/>
        <w:jc w:val="both"/>
        <w:rPr>
          <w:rFonts w:ascii="Verdana" w:eastAsia="Times" w:hAnsi="Verdana"/>
          <w:sz w:val="18"/>
          <w:szCs w:val="18"/>
        </w:rPr>
      </w:pPr>
      <w:r w:rsidRPr="00FC0418">
        <w:rPr>
          <w:rFonts w:ascii="Verdana" w:eastAsia="Times" w:hAnsi="Verdana"/>
          <w:sz w:val="18"/>
          <w:szCs w:val="18"/>
        </w:rPr>
        <w:fldChar w:fldCharType="end"/>
      </w:r>
    </w:p>
    <w:p w14:paraId="744F9AA6" w14:textId="77777777" w:rsidR="00330B46" w:rsidRDefault="00330B46" w:rsidP="009B05C8">
      <w:pPr>
        <w:pStyle w:val="Prrafodelista"/>
        <w:numPr>
          <w:ilvl w:val="0"/>
          <w:numId w:val="24"/>
        </w:numPr>
        <w:spacing w:after="0" w:line="240" w:lineRule="auto"/>
        <w:contextualSpacing w:val="0"/>
        <w:jc w:val="both"/>
        <w:outlineLvl w:val="0"/>
        <w:rPr>
          <w:rFonts w:ascii="Verdana" w:hAnsi="Verdana"/>
          <w:b/>
          <w:i/>
          <w:sz w:val="20"/>
          <w:szCs w:val="20"/>
        </w:rPr>
      </w:pPr>
      <w:bookmarkStart w:id="11" w:name="_Toc487205422"/>
      <w:bookmarkStart w:id="12" w:name="_Toc511996341"/>
      <w:bookmarkStart w:id="13" w:name="_Toc511996390"/>
      <w:bookmarkStart w:id="14" w:name="_Toc19625952"/>
      <w:r w:rsidRPr="00CA38EE">
        <w:rPr>
          <w:rFonts w:ascii="Verdana" w:hAnsi="Verdana"/>
          <w:b/>
          <w:i/>
          <w:sz w:val="20"/>
          <w:szCs w:val="20"/>
        </w:rPr>
        <w:t>Establecer un procedimiento orientado a la vinculación entre el señor Fornerón y su hija</w:t>
      </w:r>
      <w:bookmarkEnd w:id="11"/>
      <w:bookmarkEnd w:id="12"/>
      <w:bookmarkEnd w:id="13"/>
      <w:bookmarkEnd w:id="14"/>
    </w:p>
    <w:p w14:paraId="2CECB570" w14:textId="77777777" w:rsidR="00316C26" w:rsidRDefault="00316C26" w:rsidP="009B05C8">
      <w:pPr>
        <w:pStyle w:val="Prrafodelista"/>
        <w:spacing w:after="0" w:line="240" w:lineRule="auto"/>
        <w:contextualSpacing w:val="0"/>
        <w:jc w:val="both"/>
        <w:rPr>
          <w:rFonts w:ascii="Verdana" w:hAnsi="Verdana"/>
          <w:i/>
          <w:sz w:val="20"/>
          <w:szCs w:val="20"/>
        </w:rPr>
      </w:pPr>
    </w:p>
    <w:p w14:paraId="0FF94928" w14:textId="77777777" w:rsidR="00330B46" w:rsidRDefault="00330B46" w:rsidP="009B05C8">
      <w:pPr>
        <w:pStyle w:val="Prrafodelista"/>
        <w:spacing w:after="0" w:line="240" w:lineRule="auto"/>
        <w:contextualSpacing w:val="0"/>
        <w:jc w:val="both"/>
        <w:rPr>
          <w:rFonts w:ascii="Verdana" w:hAnsi="Verdana"/>
          <w:i/>
          <w:sz w:val="20"/>
          <w:szCs w:val="20"/>
        </w:rPr>
      </w:pPr>
      <w:r w:rsidRPr="00CA38EE">
        <w:rPr>
          <w:rFonts w:ascii="Verdana" w:hAnsi="Verdana"/>
          <w:i/>
          <w:sz w:val="20"/>
          <w:szCs w:val="20"/>
        </w:rPr>
        <w:t>A.1. Medida ordenada por la Corte</w:t>
      </w:r>
      <w:r w:rsidR="00126590">
        <w:rPr>
          <w:rFonts w:ascii="Verdana" w:hAnsi="Verdana"/>
          <w:i/>
          <w:sz w:val="20"/>
          <w:szCs w:val="20"/>
        </w:rPr>
        <w:t xml:space="preserve"> y supervisión realizada en resolución anterior</w:t>
      </w:r>
    </w:p>
    <w:p w14:paraId="6978313C" w14:textId="77777777" w:rsidR="00316C26" w:rsidRDefault="00316C26" w:rsidP="009B05C8">
      <w:pPr>
        <w:pStyle w:val="Prrafodelista"/>
        <w:spacing w:after="0" w:line="240" w:lineRule="auto"/>
        <w:contextualSpacing w:val="0"/>
        <w:jc w:val="both"/>
        <w:rPr>
          <w:rFonts w:ascii="Verdana" w:hAnsi="Verdana"/>
          <w:i/>
          <w:sz w:val="20"/>
          <w:szCs w:val="20"/>
        </w:rPr>
      </w:pPr>
    </w:p>
    <w:p w14:paraId="4305C35B" w14:textId="77777777" w:rsidR="00FC0418" w:rsidRDefault="00330B46" w:rsidP="009B05C8">
      <w:pPr>
        <w:pStyle w:val="Prrafodelista"/>
        <w:numPr>
          <w:ilvl w:val="0"/>
          <w:numId w:val="3"/>
        </w:numPr>
        <w:spacing w:after="0" w:line="240" w:lineRule="auto"/>
        <w:ind w:left="0" w:firstLine="0"/>
        <w:contextualSpacing w:val="0"/>
        <w:jc w:val="both"/>
        <w:rPr>
          <w:rFonts w:ascii="Verdana" w:hAnsi="Verdana"/>
          <w:sz w:val="20"/>
          <w:szCs w:val="20"/>
        </w:rPr>
      </w:pPr>
      <w:bookmarkStart w:id="15" w:name="_Ref21531431"/>
      <w:r w:rsidRPr="00CB4A68">
        <w:rPr>
          <w:rFonts w:ascii="Verdana" w:hAnsi="Verdana"/>
          <w:sz w:val="20"/>
          <w:szCs w:val="20"/>
        </w:rPr>
        <w:t>En el punto dispositivo segundo y en los párrafos 156 a 166 de la Sentencia, se dispuso que el Estado “</w:t>
      </w:r>
      <w:proofErr w:type="spellStart"/>
      <w:r w:rsidRPr="00CB4A68">
        <w:rPr>
          <w:rFonts w:ascii="Verdana" w:hAnsi="Verdana"/>
          <w:sz w:val="20"/>
          <w:szCs w:val="20"/>
        </w:rPr>
        <w:t>deb</w:t>
      </w:r>
      <w:proofErr w:type="spellEnd"/>
      <w:r w:rsidRPr="00CB4A68">
        <w:rPr>
          <w:rFonts w:ascii="Verdana" w:hAnsi="Verdana"/>
          <w:sz w:val="20"/>
          <w:szCs w:val="20"/>
        </w:rPr>
        <w:t>[</w:t>
      </w:r>
      <w:proofErr w:type="spellStart"/>
      <w:r w:rsidRPr="00CB4A68">
        <w:rPr>
          <w:rFonts w:ascii="Verdana" w:hAnsi="Verdana"/>
          <w:sz w:val="20"/>
          <w:szCs w:val="20"/>
        </w:rPr>
        <w:t>ía</w:t>
      </w:r>
      <w:proofErr w:type="spellEnd"/>
      <w:r w:rsidRPr="00CB4A68">
        <w:rPr>
          <w:rFonts w:ascii="Verdana" w:hAnsi="Verdana"/>
          <w:sz w:val="20"/>
          <w:szCs w:val="20"/>
        </w:rPr>
        <w:t xml:space="preserve">] establecer de manera inmediata un procedimiento orientado a la efectiva vinculación entre el señor Fornerón y su hija”. </w:t>
      </w:r>
      <w:r w:rsidR="002101C2">
        <w:rPr>
          <w:rFonts w:ascii="Verdana" w:hAnsi="Verdana"/>
          <w:sz w:val="20"/>
          <w:szCs w:val="20"/>
        </w:rPr>
        <w:t>Se a</w:t>
      </w:r>
      <w:r w:rsidRPr="00CB4A68">
        <w:rPr>
          <w:rFonts w:ascii="Verdana" w:hAnsi="Verdana"/>
          <w:sz w:val="20"/>
          <w:szCs w:val="20"/>
        </w:rPr>
        <w:t>gregó que esto “implica[</w:t>
      </w:r>
      <w:proofErr w:type="spellStart"/>
      <w:r w:rsidRPr="00CB4A68">
        <w:rPr>
          <w:rFonts w:ascii="Verdana" w:hAnsi="Verdana"/>
          <w:sz w:val="20"/>
          <w:szCs w:val="20"/>
        </w:rPr>
        <w:t>ba</w:t>
      </w:r>
      <w:proofErr w:type="spellEnd"/>
      <w:r w:rsidRPr="00CB4A68">
        <w:rPr>
          <w:rFonts w:ascii="Verdana" w:hAnsi="Verdana"/>
          <w:sz w:val="20"/>
          <w:szCs w:val="20"/>
        </w:rPr>
        <w:t xml:space="preserve">] un proceso de acercamiento progresivo de manera de comenzar a construir un vínculo entre padre e hija”. También que “[d]icho proceso </w:t>
      </w:r>
      <w:proofErr w:type="spellStart"/>
      <w:r w:rsidRPr="00CB4A68">
        <w:rPr>
          <w:rFonts w:ascii="Verdana" w:hAnsi="Verdana"/>
          <w:sz w:val="20"/>
          <w:szCs w:val="20"/>
        </w:rPr>
        <w:t>deb</w:t>
      </w:r>
      <w:proofErr w:type="spellEnd"/>
      <w:r w:rsidRPr="00CB4A68">
        <w:rPr>
          <w:rFonts w:ascii="Verdana" w:hAnsi="Verdana"/>
          <w:sz w:val="20"/>
          <w:szCs w:val="20"/>
        </w:rPr>
        <w:t>[</w:t>
      </w:r>
      <w:proofErr w:type="spellStart"/>
      <w:r w:rsidRPr="00CB4A68">
        <w:rPr>
          <w:rFonts w:ascii="Verdana" w:hAnsi="Verdana"/>
          <w:sz w:val="20"/>
          <w:szCs w:val="20"/>
        </w:rPr>
        <w:t>ía</w:t>
      </w:r>
      <w:proofErr w:type="spellEnd"/>
      <w:r w:rsidRPr="00CB4A68">
        <w:rPr>
          <w:rFonts w:ascii="Verdana" w:hAnsi="Verdana"/>
          <w:sz w:val="20"/>
          <w:szCs w:val="20"/>
        </w:rPr>
        <w:t>] ser una instancia para que M</w:t>
      </w:r>
      <w:r w:rsidR="00CF184C">
        <w:rPr>
          <w:rFonts w:ascii="Verdana" w:hAnsi="Verdana"/>
          <w:sz w:val="20"/>
          <w:szCs w:val="20"/>
        </w:rPr>
        <w:t>[</w:t>
      </w:r>
      <w:r w:rsidR="00126590">
        <w:rPr>
          <w:rFonts w:ascii="Verdana" w:hAnsi="Verdana"/>
          <w:sz w:val="20"/>
          <w:szCs w:val="20"/>
        </w:rPr>
        <w:t>.</w:t>
      </w:r>
      <w:r w:rsidR="00CF184C">
        <w:rPr>
          <w:rFonts w:ascii="Verdana" w:hAnsi="Verdana"/>
          <w:sz w:val="20"/>
          <w:szCs w:val="20"/>
        </w:rPr>
        <w:t>]</w:t>
      </w:r>
      <w:r w:rsidRPr="00CB4A68">
        <w:rPr>
          <w:rFonts w:ascii="Verdana" w:hAnsi="Verdana"/>
          <w:sz w:val="20"/>
          <w:szCs w:val="20"/>
        </w:rPr>
        <w:t xml:space="preserve"> y su padre puedan relacionarse mediante encuentros periódicos, y </w:t>
      </w:r>
      <w:proofErr w:type="spellStart"/>
      <w:r w:rsidRPr="00CB4A68">
        <w:rPr>
          <w:rFonts w:ascii="Verdana" w:hAnsi="Verdana"/>
          <w:sz w:val="20"/>
          <w:szCs w:val="20"/>
        </w:rPr>
        <w:t>deb</w:t>
      </w:r>
      <w:proofErr w:type="spellEnd"/>
      <w:r w:rsidRPr="00CB4A68">
        <w:rPr>
          <w:rFonts w:ascii="Verdana" w:hAnsi="Verdana"/>
          <w:sz w:val="20"/>
          <w:szCs w:val="20"/>
        </w:rPr>
        <w:t>[</w:t>
      </w:r>
      <w:proofErr w:type="spellStart"/>
      <w:r w:rsidRPr="00CB4A68">
        <w:rPr>
          <w:rFonts w:ascii="Verdana" w:hAnsi="Verdana"/>
          <w:sz w:val="20"/>
          <w:szCs w:val="20"/>
        </w:rPr>
        <w:t>ía</w:t>
      </w:r>
      <w:proofErr w:type="spellEnd"/>
      <w:r w:rsidRPr="00CB4A68">
        <w:rPr>
          <w:rFonts w:ascii="Verdana" w:hAnsi="Verdana"/>
          <w:sz w:val="20"/>
          <w:szCs w:val="20"/>
        </w:rPr>
        <w:t>] estar orientado a que, en el futuro, ambos puedan desarrollar y ejercer sus derechos de familia, como por ejemplo el derecho a vivir juntos, sin que ello suponga un conflicto con la familia adoptante de M.”.</w:t>
      </w:r>
      <w:r w:rsidR="00126590">
        <w:rPr>
          <w:rFonts w:ascii="Verdana" w:hAnsi="Verdana"/>
          <w:sz w:val="20"/>
          <w:szCs w:val="20"/>
        </w:rPr>
        <w:t xml:space="preserve"> En los</w:t>
      </w:r>
      <w:r w:rsidR="00126590" w:rsidRPr="00126590">
        <w:rPr>
          <w:rFonts w:ascii="Verdana" w:hAnsi="Verdana"/>
          <w:sz w:val="20"/>
          <w:szCs w:val="20"/>
        </w:rPr>
        <w:t xml:space="preserve"> </w:t>
      </w:r>
      <w:r w:rsidR="00126590" w:rsidRPr="00CB4A68">
        <w:rPr>
          <w:rFonts w:ascii="Verdana" w:hAnsi="Verdana"/>
          <w:sz w:val="20"/>
          <w:szCs w:val="20"/>
        </w:rPr>
        <w:t>párrafos 161 a 167 de la Sentencia</w:t>
      </w:r>
      <w:r w:rsidR="00126590">
        <w:rPr>
          <w:rFonts w:ascii="Verdana" w:hAnsi="Verdana"/>
          <w:sz w:val="20"/>
          <w:szCs w:val="20"/>
        </w:rPr>
        <w:t xml:space="preserve"> este Tribunal especificó</w:t>
      </w:r>
      <w:r w:rsidR="00126590" w:rsidRPr="00CB4A68">
        <w:rPr>
          <w:rFonts w:ascii="Verdana" w:hAnsi="Verdana"/>
          <w:sz w:val="20"/>
          <w:szCs w:val="20"/>
        </w:rPr>
        <w:t xml:space="preserve"> los lineamientos que tenía que considerar el referido proceso de vinculación</w:t>
      </w:r>
      <w:r w:rsidR="00126590">
        <w:rPr>
          <w:rStyle w:val="Refdenotaalpie"/>
          <w:rFonts w:ascii="Verdana" w:hAnsi="Verdana"/>
          <w:sz w:val="20"/>
          <w:szCs w:val="20"/>
        </w:rPr>
        <w:footnoteReference w:id="17"/>
      </w:r>
      <w:r w:rsidR="00126590">
        <w:rPr>
          <w:rFonts w:ascii="Verdana" w:hAnsi="Verdana"/>
          <w:sz w:val="20"/>
          <w:szCs w:val="20"/>
        </w:rPr>
        <w:t>.</w:t>
      </w:r>
      <w:bookmarkEnd w:id="15"/>
    </w:p>
    <w:p w14:paraId="4F245DDD" w14:textId="77777777" w:rsidR="00316C26" w:rsidRDefault="00316C26" w:rsidP="009B05C8">
      <w:pPr>
        <w:pStyle w:val="Prrafodelista"/>
        <w:spacing w:after="0" w:line="240" w:lineRule="auto"/>
        <w:ind w:left="0"/>
        <w:contextualSpacing w:val="0"/>
        <w:jc w:val="both"/>
        <w:rPr>
          <w:rFonts w:ascii="Verdana" w:hAnsi="Verdana"/>
          <w:sz w:val="20"/>
          <w:szCs w:val="20"/>
        </w:rPr>
      </w:pPr>
    </w:p>
    <w:p w14:paraId="4131BF07" w14:textId="77777777" w:rsidR="00FC0418" w:rsidRDefault="00330B46" w:rsidP="009B05C8">
      <w:pPr>
        <w:pStyle w:val="Prrafodelista"/>
        <w:numPr>
          <w:ilvl w:val="0"/>
          <w:numId w:val="3"/>
        </w:numPr>
        <w:spacing w:after="0" w:line="240" w:lineRule="auto"/>
        <w:ind w:left="0" w:firstLine="0"/>
        <w:contextualSpacing w:val="0"/>
        <w:jc w:val="both"/>
        <w:rPr>
          <w:rFonts w:ascii="Verdana" w:hAnsi="Verdana"/>
          <w:sz w:val="20"/>
          <w:szCs w:val="20"/>
        </w:rPr>
      </w:pPr>
      <w:bookmarkStart w:id="16" w:name="_Ref21680283"/>
      <w:r w:rsidRPr="00FC0418">
        <w:rPr>
          <w:rFonts w:ascii="Verdana" w:hAnsi="Verdana"/>
          <w:sz w:val="20"/>
          <w:szCs w:val="20"/>
        </w:rPr>
        <w:t xml:space="preserve">En la </w:t>
      </w:r>
      <w:r w:rsidR="00212866" w:rsidRPr="00FC0418">
        <w:rPr>
          <w:rFonts w:ascii="Verdana" w:hAnsi="Verdana"/>
          <w:sz w:val="20"/>
          <w:szCs w:val="20"/>
        </w:rPr>
        <w:t>Resolución de</w:t>
      </w:r>
      <w:r w:rsidRPr="00FC0418">
        <w:rPr>
          <w:rFonts w:ascii="Verdana" w:hAnsi="Verdana"/>
          <w:sz w:val="20"/>
          <w:szCs w:val="20"/>
        </w:rPr>
        <w:t xml:space="preserve"> noviembre de 2018, </w:t>
      </w:r>
      <w:r w:rsidR="00212866" w:rsidRPr="00FC0418">
        <w:rPr>
          <w:rFonts w:ascii="Verdana" w:hAnsi="Verdana"/>
          <w:sz w:val="20"/>
          <w:szCs w:val="20"/>
        </w:rPr>
        <w:t xml:space="preserve">la Corte </w:t>
      </w:r>
      <w:r w:rsidR="002D7F3D" w:rsidRPr="00FC0418">
        <w:rPr>
          <w:rFonts w:ascii="Verdana" w:hAnsi="Verdana"/>
          <w:sz w:val="20"/>
          <w:szCs w:val="20"/>
        </w:rPr>
        <w:t>consideró</w:t>
      </w:r>
      <w:r w:rsidR="00212866" w:rsidRPr="00FC0418">
        <w:rPr>
          <w:rFonts w:ascii="Verdana" w:hAnsi="Verdana"/>
          <w:sz w:val="20"/>
          <w:szCs w:val="20"/>
        </w:rPr>
        <w:t xml:space="preserve"> que </w:t>
      </w:r>
      <w:r w:rsidR="002D7F3D" w:rsidRPr="00FC0418">
        <w:rPr>
          <w:rFonts w:ascii="Verdana" w:hAnsi="Verdana"/>
          <w:sz w:val="20"/>
          <w:szCs w:val="20"/>
        </w:rPr>
        <w:t xml:space="preserve">Argentina había venido dando cumplimiento a la referida medida de reparación, según los lineamientos dispuestos en la Sentencia, ya que había establecido e implementado </w:t>
      </w:r>
      <w:r w:rsidR="00CF184C">
        <w:rPr>
          <w:rFonts w:ascii="Verdana" w:hAnsi="Verdana"/>
          <w:sz w:val="20"/>
          <w:szCs w:val="20"/>
        </w:rPr>
        <w:t>“</w:t>
      </w:r>
      <w:r w:rsidR="002D7F3D" w:rsidRPr="00FC0418">
        <w:rPr>
          <w:rFonts w:ascii="Verdana" w:hAnsi="Verdana"/>
          <w:sz w:val="20"/>
          <w:szCs w:val="20"/>
        </w:rPr>
        <w:t>durante más de siete años un procedimiento de apoyo para el desarrollo progresivo del vínculo entre el señor Fornerón y su hija M., en el cual se tuvo en cuenta el parecer del señor Fornerón y la voluntad y opinión de la niña</w:t>
      </w:r>
      <w:r w:rsidR="00CF184C">
        <w:rPr>
          <w:rFonts w:ascii="Verdana" w:hAnsi="Verdana"/>
          <w:sz w:val="20"/>
          <w:szCs w:val="20"/>
        </w:rPr>
        <w:t>”</w:t>
      </w:r>
      <w:bookmarkStart w:id="17" w:name="_Ref21531678"/>
      <w:r w:rsidR="002D7F3D">
        <w:rPr>
          <w:rStyle w:val="Refdenotaalpie"/>
          <w:rFonts w:ascii="Verdana" w:hAnsi="Verdana"/>
          <w:sz w:val="20"/>
          <w:szCs w:val="20"/>
        </w:rPr>
        <w:footnoteReference w:id="18"/>
      </w:r>
      <w:bookmarkEnd w:id="17"/>
      <w:r w:rsidR="002D7F3D" w:rsidRPr="00FC0418">
        <w:rPr>
          <w:rFonts w:ascii="Verdana" w:hAnsi="Verdana"/>
          <w:sz w:val="20"/>
          <w:szCs w:val="20"/>
        </w:rPr>
        <w:t>. Para evaluar el cumplimiento, el Tribunal realizó un recuento de las acciones implementadas por el Estado para establecer dicho procedimiento, así como del desarrollo del mismo entre noviembre de 2012 y enero de 2018</w:t>
      </w:r>
      <w:r w:rsidR="008B2000" w:rsidRPr="00FC0418">
        <w:rPr>
          <w:rFonts w:ascii="Verdana" w:hAnsi="Verdana"/>
          <w:sz w:val="20"/>
          <w:szCs w:val="20"/>
        </w:rPr>
        <w:t xml:space="preserve">, y se pronunció sobre las objeciones de las representantes del señor Fornerón respecto a determinados aspectos relativos a </w:t>
      </w:r>
      <w:r w:rsidR="005F5E06">
        <w:rPr>
          <w:rFonts w:ascii="Verdana" w:hAnsi="Verdana"/>
          <w:sz w:val="20"/>
          <w:szCs w:val="20"/>
        </w:rPr>
        <w:t xml:space="preserve">la </w:t>
      </w:r>
      <w:r w:rsidR="008B2000" w:rsidRPr="00FC0418">
        <w:rPr>
          <w:rFonts w:ascii="Verdana" w:hAnsi="Verdana"/>
          <w:sz w:val="20"/>
          <w:szCs w:val="20"/>
        </w:rPr>
        <w:t xml:space="preserve">implementación y </w:t>
      </w:r>
      <w:r w:rsidR="005F5E06">
        <w:rPr>
          <w:rFonts w:ascii="Verdana" w:hAnsi="Verdana"/>
          <w:sz w:val="20"/>
          <w:szCs w:val="20"/>
        </w:rPr>
        <w:t xml:space="preserve">los </w:t>
      </w:r>
      <w:r w:rsidR="008B2000" w:rsidRPr="00FC0418">
        <w:rPr>
          <w:rFonts w:ascii="Verdana" w:hAnsi="Verdana"/>
          <w:sz w:val="20"/>
          <w:szCs w:val="20"/>
        </w:rPr>
        <w:t>resultados del procedimiento de vinculación</w:t>
      </w:r>
      <w:r w:rsidR="002D7F3D" w:rsidRPr="00FC0418">
        <w:rPr>
          <w:rStyle w:val="Refdenotaalpie"/>
          <w:rFonts w:ascii="Verdana" w:hAnsi="Verdana"/>
          <w:sz w:val="20"/>
          <w:szCs w:val="20"/>
        </w:rPr>
        <w:footnoteReference w:id="19"/>
      </w:r>
      <w:r w:rsidR="008B2000" w:rsidRPr="00FC0418">
        <w:rPr>
          <w:rFonts w:ascii="Verdana" w:hAnsi="Verdana"/>
          <w:sz w:val="20"/>
          <w:szCs w:val="20"/>
        </w:rPr>
        <w:t>. Asimismo, la Corte realizó precisiones respecto</w:t>
      </w:r>
      <w:r w:rsidR="00E36F12" w:rsidRPr="00FC0418">
        <w:rPr>
          <w:rFonts w:ascii="Verdana" w:hAnsi="Verdana"/>
          <w:sz w:val="20"/>
          <w:szCs w:val="20"/>
        </w:rPr>
        <w:t xml:space="preserve"> al cumplimiento de esta reparación, en el sentido de que </w:t>
      </w:r>
      <w:r w:rsidR="00CF184C">
        <w:rPr>
          <w:rFonts w:ascii="Verdana" w:hAnsi="Verdana"/>
          <w:sz w:val="20"/>
          <w:szCs w:val="20"/>
        </w:rPr>
        <w:t>“la reparación ordenada e[</w:t>
      </w:r>
      <w:proofErr w:type="spellStart"/>
      <w:r w:rsidR="00CF184C">
        <w:rPr>
          <w:rFonts w:ascii="Verdana" w:hAnsi="Verdana"/>
          <w:sz w:val="20"/>
          <w:szCs w:val="20"/>
        </w:rPr>
        <w:t>ra</w:t>
      </w:r>
      <w:proofErr w:type="spellEnd"/>
      <w:r w:rsidR="00CF184C">
        <w:rPr>
          <w:rFonts w:ascii="Verdana" w:hAnsi="Verdana"/>
          <w:sz w:val="20"/>
          <w:szCs w:val="20"/>
        </w:rPr>
        <w:t>]</w:t>
      </w:r>
      <w:r w:rsidR="00CF184C">
        <w:rPr>
          <w:rFonts w:ascii="Verdana" w:hAnsi="Verdana"/>
          <w:sz w:val="20"/>
          <w:szCs w:val="20"/>
        </w:rPr>
        <w:br/>
      </w:r>
      <w:r w:rsidR="00E36F12" w:rsidRPr="00FC0418">
        <w:rPr>
          <w:rFonts w:ascii="Verdana" w:hAnsi="Verdana"/>
          <w:sz w:val="20"/>
          <w:szCs w:val="20"/>
        </w:rPr>
        <w:t xml:space="preserve"> una obligación de medios</w:t>
      </w:r>
      <w:r w:rsidR="00CF184C">
        <w:rPr>
          <w:rFonts w:ascii="Verdana" w:hAnsi="Verdana"/>
          <w:sz w:val="20"/>
          <w:szCs w:val="20"/>
        </w:rPr>
        <w:t>,</w:t>
      </w:r>
      <w:r w:rsidR="00E36F12" w:rsidRPr="00FC0418">
        <w:rPr>
          <w:rFonts w:ascii="Verdana" w:hAnsi="Verdana"/>
          <w:sz w:val="20"/>
          <w:szCs w:val="20"/>
        </w:rPr>
        <w:t xml:space="preserve"> no de resultado</w:t>
      </w:r>
      <w:r w:rsidR="00CF184C">
        <w:rPr>
          <w:rFonts w:ascii="Verdana" w:hAnsi="Verdana"/>
          <w:sz w:val="20"/>
          <w:szCs w:val="20"/>
        </w:rPr>
        <w:t>”</w:t>
      </w:r>
      <w:r w:rsidR="001511D0">
        <w:rPr>
          <w:rStyle w:val="Refdenotaalpie"/>
          <w:rFonts w:ascii="Verdana" w:hAnsi="Verdana"/>
          <w:sz w:val="20"/>
          <w:szCs w:val="20"/>
        </w:rPr>
        <w:footnoteReference w:id="20"/>
      </w:r>
      <w:r w:rsidR="00E36F12" w:rsidRPr="00FC0418">
        <w:rPr>
          <w:rFonts w:ascii="Verdana" w:hAnsi="Verdana"/>
          <w:sz w:val="20"/>
          <w:szCs w:val="20"/>
        </w:rPr>
        <w:t xml:space="preserve">. En ese sentido, </w:t>
      </w:r>
      <w:r w:rsidR="00A24F56" w:rsidRPr="00FC0418">
        <w:rPr>
          <w:rFonts w:ascii="Verdana" w:hAnsi="Verdana"/>
          <w:sz w:val="20"/>
          <w:szCs w:val="20"/>
        </w:rPr>
        <w:t xml:space="preserve">el Tribunal </w:t>
      </w:r>
      <w:r w:rsidR="00FD3454" w:rsidRPr="00FC0418">
        <w:rPr>
          <w:rFonts w:ascii="Verdana" w:hAnsi="Verdana"/>
          <w:sz w:val="20"/>
          <w:szCs w:val="20"/>
        </w:rPr>
        <w:t xml:space="preserve">indicó que “la obligación impuesta a Argentina era la de brindar los medios y contribuir, a través de ese procedimiento, con el desarrollo de los vínculos familiares, no la de asegurar que con su implementación se alcanzaran determinados resultados”, ya que éstos </w:t>
      </w:r>
      <w:r w:rsidR="00A24F56" w:rsidRPr="00FC0418">
        <w:rPr>
          <w:rFonts w:ascii="Verdana" w:hAnsi="Verdana"/>
          <w:sz w:val="20"/>
          <w:szCs w:val="20"/>
        </w:rPr>
        <w:t xml:space="preserve">“no </w:t>
      </w:r>
      <w:r w:rsidR="00A24F56" w:rsidRPr="00FC0418">
        <w:rPr>
          <w:rFonts w:ascii="Verdana" w:hAnsi="Verdana"/>
          <w:sz w:val="20"/>
          <w:szCs w:val="20"/>
        </w:rPr>
        <w:lastRenderedPageBreak/>
        <w:t>dependen estrictamente del Estado, sino también de la voluntad de las personas involucradas en éste”</w:t>
      </w:r>
      <w:r w:rsidR="001511D0">
        <w:rPr>
          <w:rStyle w:val="Refdenotaalpie"/>
          <w:rFonts w:ascii="Verdana" w:hAnsi="Verdana"/>
          <w:sz w:val="20"/>
          <w:szCs w:val="20"/>
        </w:rPr>
        <w:footnoteReference w:id="21"/>
      </w:r>
      <w:r w:rsidR="00A24F56" w:rsidRPr="00FC0418">
        <w:rPr>
          <w:rFonts w:ascii="Verdana" w:hAnsi="Verdana"/>
          <w:sz w:val="20"/>
          <w:szCs w:val="20"/>
        </w:rPr>
        <w:t>.</w:t>
      </w:r>
      <w:bookmarkEnd w:id="16"/>
      <w:r w:rsidR="00A24F56" w:rsidRPr="00FC0418">
        <w:rPr>
          <w:rFonts w:ascii="Verdana" w:hAnsi="Verdana"/>
          <w:sz w:val="20"/>
          <w:szCs w:val="20"/>
        </w:rPr>
        <w:t xml:space="preserve"> </w:t>
      </w:r>
    </w:p>
    <w:p w14:paraId="2C7A3DEB" w14:textId="77777777" w:rsidR="00316C26" w:rsidRDefault="00316C26" w:rsidP="009B05C8">
      <w:pPr>
        <w:pStyle w:val="Prrafodelista"/>
        <w:spacing w:after="0" w:line="240" w:lineRule="auto"/>
        <w:ind w:left="0"/>
        <w:contextualSpacing w:val="0"/>
        <w:jc w:val="both"/>
        <w:rPr>
          <w:rFonts w:ascii="Verdana" w:hAnsi="Verdana"/>
          <w:sz w:val="20"/>
          <w:szCs w:val="20"/>
        </w:rPr>
      </w:pPr>
    </w:p>
    <w:p w14:paraId="68A63A0F" w14:textId="77777777" w:rsidR="006F020F" w:rsidRDefault="00DF5D91" w:rsidP="009B05C8">
      <w:pPr>
        <w:pStyle w:val="Prrafodelista"/>
        <w:numPr>
          <w:ilvl w:val="0"/>
          <w:numId w:val="3"/>
        </w:numPr>
        <w:spacing w:after="0" w:line="240" w:lineRule="auto"/>
        <w:ind w:left="0" w:firstLine="0"/>
        <w:contextualSpacing w:val="0"/>
        <w:jc w:val="both"/>
        <w:rPr>
          <w:rFonts w:ascii="Verdana" w:hAnsi="Verdana"/>
          <w:sz w:val="20"/>
          <w:szCs w:val="20"/>
        </w:rPr>
      </w:pPr>
      <w:r w:rsidRPr="00FC0418">
        <w:rPr>
          <w:rFonts w:ascii="Verdana" w:hAnsi="Verdana"/>
          <w:sz w:val="20"/>
          <w:szCs w:val="20"/>
        </w:rPr>
        <w:t xml:space="preserve">En virtud de que ninguna de las partes había solicitado </w:t>
      </w:r>
      <w:r w:rsidR="001511D0" w:rsidRPr="00FC0418">
        <w:rPr>
          <w:rFonts w:ascii="Verdana" w:hAnsi="Verdana"/>
          <w:sz w:val="20"/>
          <w:szCs w:val="20"/>
        </w:rPr>
        <w:t>que se declar</w:t>
      </w:r>
      <w:r w:rsidR="00FC0418">
        <w:rPr>
          <w:rFonts w:ascii="Verdana" w:hAnsi="Verdana"/>
          <w:sz w:val="20"/>
          <w:szCs w:val="20"/>
        </w:rPr>
        <w:t>ara</w:t>
      </w:r>
      <w:r w:rsidR="001511D0" w:rsidRPr="00FC0418">
        <w:rPr>
          <w:rFonts w:ascii="Verdana" w:hAnsi="Verdana"/>
          <w:sz w:val="20"/>
          <w:szCs w:val="20"/>
        </w:rPr>
        <w:t xml:space="preserve"> </w:t>
      </w:r>
      <w:r w:rsidRPr="00FC0418">
        <w:rPr>
          <w:rFonts w:ascii="Verdana" w:hAnsi="Verdana"/>
          <w:sz w:val="20"/>
          <w:szCs w:val="20"/>
        </w:rPr>
        <w:t xml:space="preserve">el cumplimiento total de </w:t>
      </w:r>
      <w:r w:rsidR="001511D0" w:rsidRPr="00FC0418">
        <w:rPr>
          <w:rFonts w:ascii="Verdana" w:hAnsi="Verdana"/>
          <w:sz w:val="20"/>
          <w:szCs w:val="20"/>
        </w:rPr>
        <w:t xml:space="preserve">esta </w:t>
      </w:r>
      <w:r w:rsidRPr="00FC0418">
        <w:rPr>
          <w:rFonts w:ascii="Verdana" w:hAnsi="Verdana"/>
          <w:sz w:val="20"/>
          <w:szCs w:val="20"/>
        </w:rPr>
        <w:t xml:space="preserve">medida o que se </w:t>
      </w:r>
      <w:r w:rsidR="001511D0" w:rsidRPr="00FC0418">
        <w:rPr>
          <w:rFonts w:ascii="Verdana" w:hAnsi="Verdana"/>
          <w:sz w:val="20"/>
          <w:szCs w:val="20"/>
        </w:rPr>
        <w:t xml:space="preserve">concluyera </w:t>
      </w:r>
      <w:r w:rsidRPr="00FC0418">
        <w:rPr>
          <w:rFonts w:ascii="Verdana" w:hAnsi="Verdana"/>
          <w:sz w:val="20"/>
          <w:szCs w:val="20"/>
        </w:rPr>
        <w:t xml:space="preserve">su supervisión, </w:t>
      </w:r>
      <w:r w:rsidR="002101C2">
        <w:rPr>
          <w:rFonts w:ascii="Verdana" w:hAnsi="Verdana"/>
          <w:sz w:val="20"/>
          <w:szCs w:val="20"/>
        </w:rPr>
        <w:t>l</w:t>
      </w:r>
      <w:r w:rsidR="001511D0" w:rsidRPr="00FC0418">
        <w:rPr>
          <w:rFonts w:ascii="Verdana" w:hAnsi="Verdana"/>
          <w:sz w:val="20"/>
          <w:szCs w:val="20"/>
        </w:rPr>
        <w:t xml:space="preserve">a Corte </w:t>
      </w:r>
      <w:r w:rsidRPr="00FC0418">
        <w:rPr>
          <w:rFonts w:ascii="Verdana" w:hAnsi="Verdana"/>
          <w:sz w:val="20"/>
          <w:szCs w:val="20"/>
        </w:rPr>
        <w:t>consideró que el Estado debía continuar implementado la reparación</w:t>
      </w:r>
      <w:r w:rsidR="001511D0" w:rsidRPr="00FC0418">
        <w:rPr>
          <w:rFonts w:ascii="Verdana" w:hAnsi="Verdana"/>
          <w:sz w:val="20"/>
          <w:szCs w:val="20"/>
        </w:rPr>
        <w:t>, con consideración de los lineamientos dispuestos en la Sentencia</w:t>
      </w:r>
      <w:r w:rsidR="001511D0">
        <w:rPr>
          <w:rStyle w:val="Refdenotaalpie"/>
          <w:rFonts w:ascii="Verdana" w:hAnsi="Verdana"/>
          <w:sz w:val="20"/>
          <w:szCs w:val="20"/>
        </w:rPr>
        <w:footnoteReference w:id="22"/>
      </w:r>
      <w:r w:rsidR="001511D0" w:rsidRPr="00FC0418">
        <w:rPr>
          <w:rFonts w:ascii="Verdana" w:hAnsi="Verdana"/>
          <w:sz w:val="20"/>
          <w:szCs w:val="20"/>
        </w:rPr>
        <w:t>.</w:t>
      </w:r>
      <w:r w:rsidR="00957CB7" w:rsidRPr="00FC0418">
        <w:rPr>
          <w:rFonts w:ascii="Verdana" w:hAnsi="Verdana"/>
          <w:sz w:val="20"/>
          <w:szCs w:val="20"/>
        </w:rPr>
        <w:t xml:space="preserve"> </w:t>
      </w:r>
    </w:p>
    <w:p w14:paraId="4C0E3B8C" w14:textId="77777777" w:rsidR="00316C26" w:rsidRDefault="00316C26" w:rsidP="009B05C8">
      <w:pPr>
        <w:pStyle w:val="Prrafodelista"/>
        <w:spacing w:after="0" w:line="240" w:lineRule="auto"/>
        <w:ind w:left="0"/>
        <w:contextualSpacing w:val="0"/>
        <w:jc w:val="both"/>
        <w:rPr>
          <w:rFonts w:ascii="Verdana" w:hAnsi="Verdana"/>
          <w:sz w:val="20"/>
          <w:szCs w:val="20"/>
        </w:rPr>
      </w:pPr>
    </w:p>
    <w:p w14:paraId="590F4B7D" w14:textId="77777777" w:rsidR="00CB4A68" w:rsidRPr="006F020F" w:rsidRDefault="006F020F" w:rsidP="009B05C8">
      <w:pPr>
        <w:pStyle w:val="Prrafodelista"/>
        <w:numPr>
          <w:ilvl w:val="0"/>
          <w:numId w:val="3"/>
        </w:numPr>
        <w:tabs>
          <w:tab w:val="left" w:pos="0"/>
        </w:tabs>
        <w:autoSpaceDE w:val="0"/>
        <w:autoSpaceDN w:val="0"/>
        <w:adjustRightInd w:val="0"/>
        <w:spacing w:after="0" w:line="240" w:lineRule="auto"/>
        <w:ind w:left="0" w:right="96" w:firstLine="0"/>
        <w:contextualSpacing w:val="0"/>
        <w:jc w:val="both"/>
        <w:rPr>
          <w:rFonts w:ascii="Verdana" w:hAnsi="Verdana" w:cs="Arial"/>
          <w:sz w:val="20"/>
          <w:szCs w:val="20"/>
          <w:lang w:val="es-MX"/>
        </w:rPr>
      </w:pPr>
      <w:bookmarkStart w:id="18" w:name="_Ref21679250"/>
      <w:r>
        <w:rPr>
          <w:rFonts w:ascii="Verdana" w:hAnsi="Verdana" w:cs="Arial"/>
          <w:sz w:val="20"/>
          <w:szCs w:val="20"/>
          <w:lang w:val="es-MX"/>
        </w:rPr>
        <w:t xml:space="preserve">En dicha Resolución de 2018, la Corte </w:t>
      </w:r>
      <w:r w:rsidR="00674D88">
        <w:rPr>
          <w:rFonts w:ascii="Verdana" w:hAnsi="Verdana" w:cs="Arial"/>
          <w:sz w:val="20"/>
          <w:szCs w:val="20"/>
          <w:lang w:val="es-MX"/>
        </w:rPr>
        <w:t xml:space="preserve">también </w:t>
      </w:r>
      <w:r>
        <w:rPr>
          <w:rFonts w:ascii="Verdana" w:hAnsi="Verdana" w:cs="Arial"/>
          <w:sz w:val="20"/>
          <w:szCs w:val="20"/>
          <w:lang w:val="es-MX"/>
        </w:rPr>
        <w:t>señaló que el último encuentro entre el señor Fornerón y M., del que tenía conocimiento, se había llevado a cabo el 2 de noviembre de 2017</w:t>
      </w:r>
      <w:r>
        <w:rPr>
          <w:rStyle w:val="Refdenotaalpie"/>
          <w:rFonts w:ascii="Verdana" w:hAnsi="Verdana" w:cs="Arial"/>
          <w:sz w:val="20"/>
          <w:szCs w:val="20"/>
          <w:lang w:val="es-MX"/>
        </w:rPr>
        <w:footnoteReference w:id="23"/>
      </w:r>
      <w:r>
        <w:rPr>
          <w:rFonts w:ascii="Verdana" w:hAnsi="Verdana" w:cs="Arial"/>
          <w:sz w:val="20"/>
          <w:szCs w:val="20"/>
          <w:lang w:val="es-MX"/>
        </w:rPr>
        <w:t xml:space="preserve">. </w:t>
      </w:r>
      <w:r>
        <w:rPr>
          <w:rFonts w:ascii="Verdana" w:hAnsi="Verdana"/>
          <w:sz w:val="20"/>
          <w:szCs w:val="20"/>
        </w:rPr>
        <w:t>P</w:t>
      </w:r>
      <w:r w:rsidR="001511D0" w:rsidRPr="006F020F">
        <w:rPr>
          <w:rFonts w:ascii="Verdana" w:hAnsi="Verdana"/>
          <w:sz w:val="20"/>
          <w:szCs w:val="20"/>
        </w:rPr>
        <w:t>ara continuar valorando el cumplimiento de esta medida, se</w:t>
      </w:r>
      <w:r w:rsidR="00957CB7" w:rsidRPr="006F020F">
        <w:rPr>
          <w:rFonts w:ascii="Verdana" w:hAnsi="Verdana"/>
          <w:sz w:val="20"/>
          <w:szCs w:val="20"/>
        </w:rPr>
        <w:t xml:space="preserve"> solicitó a </w:t>
      </w:r>
      <w:r w:rsidR="001511D0" w:rsidRPr="006F020F">
        <w:rPr>
          <w:rFonts w:ascii="Verdana" w:hAnsi="Verdana"/>
          <w:sz w:val="20"/>
          <w:szCs w:val="20"/>
        </w:rPr>
        <w:t xml:space="preserve">Argentina y a las representantes del señor Fornerón que se refirieran en forma actualizada y detallada a </w:t>
      </w:r>
      <w:r w:rsidR="00957CB7" w:rsidRPr="006F020F">
        <w:rPr>
          <w:rFonts w:ascii="Verdana" w:hAnsi="Verdana"/>
          <w:sz w:val="20"/>
          <w:szCs w:val="20"/>
        </w:rPr>
        <w:t xml:space="preserve">la implementación de </w:t>
      </w:r>
      <w:r w:rsidR="001511D0" w:rsidRPr="006F020F">
        <w:rPr>
          <w:rFonts w:ascii="Verdana" w:hAnsi="Verdana"/>
          <w:sz w:val="20"/>
          <w:szCs w:val="20"/>
        </w:rPr>
        <w:t>esta</w:t>
      </w:r>
      <w:r w:rsidR="00957CB7" w:rsidRPr="006F020F">
        <w:rPr>
          <w:rFonts w:ascii="Verdana" w:hAnsi="Verdana"/>
          <w:sz w:val="20"/>
          <w:szCs w:val="20"/>
        </w:rPr>
        <w:t xml:space="preserve"> reparación durante el 2018</w:t>
      </w:r>
      <w:r w:rsidR="001511D0" w:rsidRPr="006F020F">
        <w:rPr>
          <w:rFonts w:ascii="Verdana" w:hAnsi="Verdana"/>
          <w:sz w:val="20"/>
          <w:szCs w:val="20"/>
        </w:rPr>
        <w:t>, así como que obtuvieran, por los medios legales procedentes</w:t>
      </w:r>
      <w:r w:rsidR="00AE3E92" w:rsidRPr="006F020F">
        <w:rPr>
          <w:rFonts w:ascii="Verdana" w:hAnsi="Verdana"/>
          <w:sz w:val="20"/>
          <w:szCs w:val="20"/>
        </w:rPr>
        <w:t>, y remitieran al Tribunal</w:t>
      </w:r>
      <w:r w:rsidR="00686C80" w:rsidRPr="006F020F">
        <w:rPr>
          <w:rFonts w:ascii="Verdana" w:hAnsi="Verdana"/>
          <w:sz w:val="20"/>
          <w:szCs w:val="20"/>
        </w:rPr>
        <w:t xml:space="preserve"> </w:t>
      </w:r>
      <w:r w:rsidR="00957CB7" w:rsidRPr="006F020F">
        <w:rPr>
          <w:rFonts w:ascii="Verdana" w:hAnsi="Verdana"/>
          <w:sz w:val="20"/>
          <w:szCs w:val="20"/>
        </w:rPr>
        <w:t xml:space="preserve">las declaraciones del señor Fornerón y de M., en las cuales </w:t>
      </w:r>
      <w:r w:rsidR="00AE3E92" w:rsidRPr="006F020F">
        <w:rPr>
          <w:rFonts w:ascii="Verdana" w:hAnsi="Verdana"/>
          <w:sz w:val="20"/>
          <w:szCs w:val="20"/>
        </w:rPr>
        <w:t xml:space="preserve">expresaran </w:t>
      </w:r>
      <w:r w:rsidR="00957CB7" w:rsidRPr="006F020F">
        <w:rPr>
          <w:rFonts w:ascii="Verdana" w:hAnsi="Verdana"/>
          <w:sz w:val="20"/>
          <w:szCs w:val="20"/>
        </w:rPr>
        <w:t xml:space="preserve">su parecer respecto al desarrollo del proceso de vinculación y sobre la continuidad </w:t>
      </w:r>
      <w:r w:rsidR="000973AE" w:rsidRPr="006F020F">
        <w:rPr>
          <w:rFonts w:ascii="Verdana" w:hAnsi="Verdana"/>
          <w:sz w:val="20"/>
          <w:szCs w:val="20"/>
        </w:rPr>
        <w:t>de los diferentes componentes que implica la implementación de esta reparación, tales como la realización de los encuentros y el apoyo terapéutico</w:t>
      </w:r>
      <w:r w:rsidR="00AE3E92">
        <w:rPr>
          <w:rStyle w:val="Refdenotaalpie"/>
          <w:rFonts w:ascii="Verdana" w:hAnsi="Verdana"/>
          <w:sz w:val="20"/>
          <w:szCs w:val="20"/>
        </w:rPr>
        <w:footnoteReference w:id="24"/>
      </w:r>
      <w:r w:rsidR="000973AE" w:rsidRPr="006F020F">
        <w:rPr>
          <w:rFonts w:ascii="Verdana" w:hAnsi="Verdana"/>
          <w:sz w:val="20"/>
          <w:szCs w:val="20"/>
        </w:rPr>
        <w:t>.</w:t>
      </w:r>
      <w:bookmarkEnd w:id="18"/>
      <w:r w:rsidR="000973AE" w:rsidRPr="006F020F">
        <w:rPr>
          <w:rFonts w:ascii="Verdana" w:hAnsi="Verdana"/>
          <w:sz w:val="20"/>
          <w:szCs w:val="20"/>
        </w:rPr>
        <w:t xml:space="preserve"> </w:t>
      </w:r>
    </w:p>
    <w:p w14:paraId="3ACFEE40" w14:textId="77777777" w:rsidR="003C78B5" w:rsidRDefault="003C78B5" w:rsidP="009B05C8">
      <w:pPr>
        <w:pStyle w:val="Prrafodelista"/>
        <w:tabs>
          <w:tab w:val="left" w:pos="0"/>
        </w:tabs>
        <w:autoSpaceDE w:val="0"/>
        <w:autoSpaceDN w:val="0"/>
        <w:adjustRightInd w:val="0"/>
        <w:spacing w:after="0" w:line="240" w:lineRule="auto"/>
        <w:ind w:left="0" w:right="96"/>
        <w:contextualSpacing w:val="0"/>
        <w:jc w:val="both"/>
        <w:rPr>
          <w:rFonts w:ascii="Verdana" w:hAnsi="Verdana" w:cs="Arial"/>
          <w:sz w:val="20"/>
          <w:szCs w:val="20"/>
          <w:lang w:val="es-MX"/>
        </w:rPr>
      </w:pPr>
    </w:p>
    <w:p w14:paraId="55F3E00B" w14:textId="77777777" w:rsidR="00AE3E92" w:rsidRDefault="003C78B5" w:rsidP="009B05C8">
      <w:pPr>
        <w:pStyle w:val="Prrafodelista"/>
        <w:tabs>
          <w:tab w:val="left" w:pos="0"/>
        </w:tabs>
        <w:autoSpaceDE w:val="0"/>
        <w:autoSpaceDN w:val="0"/>
        <w:adjustRightInd w:val="0"/>
        <w:spacing w:after="0" w:line="240" w:lineRule="auto"/>
        <w:ind w:left="0" w:right="96"/>
        <w:contextualSpacing w:val="0"/>
        <w:jc w:val="both"/>
        <w:rPr>
          <w:rFonts w:ascii="Verdana" w:hAnsi="Verdana" w:cs="Arial"/>
          <w:i/>
          <w:sz w:val="20"/>
          <w:szCs w:val="20"/>
          <w:lang w:val="es-MX"/>
        </w:rPr>
      </w:pPr>
      <w:r>
        <w:rPr>
          <w:rFonts w:ascii="Verdana" w:hAnsi="Verdana" w:cs="Arial"/>
          <w:i/>
          <w:sz w:val="20"/>
          <w:szCs w:val="20"/>
          <w:lang w:val="es-MX"/>
        </w:rPr>
        <w:tab/>
        <w:t>A.</w:t>
      </w:r>
      <w:r w:rsidR="00AE3E92">
        <w:rPr>
          <w:rFonts w:ascii="Verdana" w:hAnsi="Verdana" w:cs="Arial"/>
          <w:i/>
          <w:sz w:val="20"/>
          <w:szCs w:val="20"/>
          <w:lang w:val="es-MX"/>
        </w:rPr>
        <w:t>2</w:t>
      </w:r>
      <w:r>
        <w:rPr>
          <w:rFonts w:ascii="Verdana" w:hAnsi="Verdana" w:cs="Arial"/>
          <w:i/>
          <w:sz w:val="20"/>
          <w:szCs w:val="20"/>
          <w:lang w:val="es-MX"/>
        </w:rPr>
        <w:t>. Consideraciones de la Corte</w:t>
      </w:r>
    </w:p>
    <w:p w14:paraId="07E6FB30" w14:textId="77777777" w:rsidR="00047F09" w:rsidRPr="00FC0418" w:rsidRDefault="00047F09" w:rsidP="009B05C8">
      <w:pPr>
        <w:pStyle w:val="Prrafodelista"/>
        <w:tabs>
          <w:tab w:val="left" w:pos="0"/>
        </w:tabs>
        <w:autoSpaceDE w:val="0"/>
        <w:autoSpaceDN w:val="0"/>
        <w:adjustRightInd w:val="0"/>
        <w:spacing w:after="0" w:line="240" w:lineRule="auto"/>
        <w:ind w:left="0" w:right="96"/>
        <w:contextualSpacing w:val="0"/>
        <w:jc w:val="both"/>
        <w:rPr>
          <w:rFonts w:ascii="Verdana" w:hAnsi="Verdana" w:cs="Arial"/>
          <w:i/>
          <w:sz w:val="20"/>
          <w:szCs w:val="20"/>
          <w:lang w:val="es-MX"/>
        </w:rPr>
      </w:pPr>
    </w:p>
    <w:p w14:paraId="433F1736" w14:textId="5E66C683" w:rsidR="00E15D6D" w:rsidRPr="009B05C8" w:rsidRDefault="00B553FF" w:rsidP="009B05C8">
      <w:pPr>
        <w:pStyle w:val="Prrafodelista"/>
        <w:numPr>
          <w:ilvl w:val="0"/>
          <w:numId w:val="3"/>
        </w:numPr>
        <w:tabs>
          <w:tab w:val="left" w:pos="0"/>
        </w:tabs>
        <w:autoSpaceDE w:val="0"/>
        <w:autoSpaceDN w:val="0"/>
        <w:adjustRightInd w:val="0"/>
        <w:spacing w:after="0" w:line="240" w:lineRule="auto"/>
        <w:ind w:left="0" w:right="96" w:firstLine="0"/>
        <w:contextualSpacing w:val="0"/>
        <w:jc w:val="both"/>
        <w:rPr>
          <w:rFonts w:ascii="Verdana" w:hAnsi="Verdana" w:cs="Arial"/>
          <w:sz w:val="20"/>
          <w:szCs w:val="20"/>
          <w:lang w:val="es-MX"/>
        </w:rPr>
      </w:pPr>
      <w:r w:rsidRPr="00FC10FE">
        <w:rPr>
          <w:rFonts w:ascii="Verdana" w:hAnsi="Verdana" w:cs="Arial"/>
          <w:sz w:val="20"/>
          <w:szCs w:val="20"/>
          <w:lang w:val="es-MX"/>
        </w:rPr>
        <w:t>Con</w:t>
      </w:r>
      <w:r>
        <w:rPr>
          <w:rFonts w:ascii="Verdana" w:hAnsi="Verdana" w:cs="Arial"/>
          <w:sz w:val="20"/>
          <w:szCs w:val="20"/>
          <w:lang w:val="es-MX"/>
        </w:rPr>
        <w:t xml:space="preserve"> base en la información aportada por el Estado</w:t>
      </w:r>
      <w:r w:rsidR="006F020F">
        <w:rPr>
          <w:rFonts w:ascii="Verdana" w:hAnsi="Verdana" w:cs="Arial"/>
          <w:sz w:val="20"/>
          <w:szCs w:val="20"/>
          <w:lang w:val="es-MX"/>
        </w:rPr>
        <w:t xml:space="preserve"> en el 2019</w:t>
      </w:r>
      <w:r w:rsidR="00404202">
        <w:rPr>
          <w:rFonts w:ascii="Verdana" w:hAnsi="Verdana" w:cs="Arial"/>
          <w:sz w:val="20"/>
          <w:szCs w:val="20"/>
          <w:lang w:val="es-MX"/>
        </w:rPr>
        <w:t>,</w:t>
      </w:r>
      <w:r>
        <w:rPr>
          <w:rFonts w:ascii="Verdana" w:hAnsi="Verdana" w:cs="Arial"/>
          <w:sz w:val="20"/>
          <w:szCs w:val="20"/>
          <w:lang w:val="es-MX"/>
        </w:rPr>
        <w:t xml:space="preserve"> tanto por escrito como en la audiencia de supervisión de cumplimiento (</w:t>
      </w:r>
      <w:r w:rsidRPr="00741EB1">
        <w:rPr>
          <w:rFonts w:ascii="Verdana" w:hAnsi="Verdana" w:cs="Arial"/>
          <w:i/>
          <w:sz w:val="20"/>
          <w:szCs w:val="20"/>
          <w:lang w:val="es-MX"/>
        </w:rPr>
        <w:t xml:space="preserve">supra </w:t>
      </w:r>
      <w:r>
        <w:rPr>
          <w:rFonts w:ascii="Verdana" w:hAnsi="Verdana" w:cs="Arial"/>
          <w:sz w:val="20"/>
          <w:szCs w:val="20"/>
          <w:lang w:val="es-MX"/>
        </w:rPr>
        <w:t xml:space="preserve">Vistos </w:t>
      </w:r>
      <w:r w:rsidR="00CF184C">
        <w:rPr>
          <w:rFonts w:ascii="Verdana" w:hAnsi="Verdana" w:cs="Arial"/>
          <w:sz w:val="20"/>
          <w:szCs w:val="20"/>
          <w:lang w:val="es-MX"/>
        </w:rPr>
        <w:fldChar w:fldCharType="begin"/>
      </w:r>
      <w:r w:rsidR="00CF184C">
        <w:rPr>
          <w:rFonts w:ascii="Verdana" w:hAnsi="Verdana" w:cs="Arial"/>
          <w:sz w:val="20"/>
          <w:szCs w:val="20"/>
          <w:lang w:val="es-MX"/>
        </w:rPr>
        <w:instrText xml:space="preserve"> REF _Ref21531378 \r \h </w:instrText>
      </w:r>
      <w:r w:rsidR="00316C26">
        <w:rPr>
          <w:rFonts w:ascii="Verdana" w:hAnsi="Verdana" w:cs="Arial"/>
          <w:sz w:val="20"/>
          <w:szCs w:val="20"/>
          <w:lang w:val="es-MX"/>
        </w:rPr>
        <w:instrText xml:space="preserve"> \* MERGEFORMAT </w:instrText>
      </w:r>
      <w:r w:rsidR="00CF184C">
        <w:rPr>
          <w:rFonts w:ascii="Verdana" w:hAnsi="Verdana" w:cs="Arial"/>
          <w:sz w:val="20"/>
          <w:szCs w:val="20"/>
          <w:lang w:val="es-MX"/>
        </w:rPr>
      </w:r>
      <w:r w:rsidR="00CF184C">
        <w:rPr>
          <w:rFonts w:ascii="Verdana" w:hAnsi="Verdana" w:cs="Arial"/>
          <w:sz w:val="20"/>
          <w:szCs w:val="20"/>
          <w:lang w:val="es-MX"/>
        </w:rPr>
        <w:fldChar w:fldCharType="separate"/>
      </w:r>
      <w:r w:rsidR="007B61B6">
        <w:rPr>
          <w:rFonts w:ascii="Verdana" w:hAnsi="Verdana" w:cs="Arial"/>
          <w:sz w:val="20"/>
          <w:szCs w:val="20"/>
          <w:lang w:val="es-MX"/>
        </w:rPr>
        <w:t>4</w:t>
      </w:r>
      <w:r w:rsidR="00CF184C">
        <w:rPr>
          <w:rFonts w:ascii="Verdana" w:hAnsi="Verdana" w:cs="Arial"/>
          <w:sz w:val="20"/>
          <w:szCs w:val="20"/>
          <w:lang w:val="es-MX"/>
        </w:rPr>
        <w:fldChar w:fldCharType="end"/>
      </w:r>
      <w:r>
        <w:rPr>
          <w:rFonts w:ascii="Verdana" w:hAnsi="Verdana" w:cs="Arial"/>
          <w:sz w:val="20"/>
          <w:szCs w:val="20"/>
          <w:lang w:val="es-MX"/>
        </w:rPr>
        <w:t xml:space="preserve"> y </w:t>
      </w:r>
      <w:r w:rsidR="00CF184C">
        <w:rPr>
          <w:rFonts w:ascii="Verdana" w:hAnsi="Verdana" w:cs="Arial"/>
          <w:sz w:val="20"/>
          <w:szCs w:val="20"/>
          <w:lang w:val="es-MX"/>
        </w:rPr>
        <w:fldChar w:fldCharType="begin"/>
      </w:r>
      <w:r w:rsidR="00CF184C">
        <w:rPr>
          <w:rFonts w:ascii="Verdana" w:hAnsi="Verdana" w:cs="Arial"/>
          <w:sz w:val="20"/>
          <w:szCs w:val="20"/>
          <w:lang w:val="es-MX"/>
        </w:rPr>
        <w:instrText xml:space="preserve"> REF _Ref21531736 \r \h </w:instrText>
      </w:r>
      <w:r w:rsidR="00316C26">
        <w:rPr>
          <w:rFonts w:ascii="Verdana" w:hAnsi="Verdana" w:cs="Arial"/>
          <w:sz w:val="20"/>
          <w:szCs w:val="20"/>
          <w:lang w:val="es-MX"/>
        </w:rPr>
        <w:instrText xml:space="preserve"> \* MERGEFORMAT </w:instrText>
      </w:r>
      <w:r w:rsidR="00CF184C">
        <w:rPr>
          <w:rFonts w:ascii="Verdana" w:hAnsi="Verdana" w:cs="Arial"/>
          <w:sz w:val="20"/>
          <w:szCs w:val="20"/>
          <w:lang w:val="es-MX"/>
        </w:rPr>
      </w:r>
      <w:r w:rsidR="00CF184C">
        <w:rPr>
          <w:rFonts w:ascii="Verdana" w:hAnsi="Verdana" w:cs="Arial"/>
          <w:sz w:val="20"/>
          <w:szCs w:val="20"/>
          <w:lang w:val="es-MX"/>
        </w:rPr>
        <w:fldChar w:fldCharType="separate"/>
      </w:r>
      <w:r w:rsidR="007B61B6">
        <w:rPr>
          <w:rFonts w:ascii="Verdana" w:hAnsi="Verdana" w:cs="Arial"/>
          <w:sz w:val="20"/>
          <w:szCs w:val="20"/>
          <w:lang w:val="es-MX"/>
        </w:rPr>
        <w:t>6</w:t>
      </w:r>
      <w:r w:rsidR="00CF184C">
        <w:rPr>
          <w:rFonts w:ascii="Verdana" w:hAnsi="Verdana" w:cs="Arial"/>
          <w:sz w:val="20"/>
          <w:szCs w:val="20"/>
          <w:lang w:val="es-MX"/>
        </w:rPr>
        <w:fldChar w:fldCharType="end"/>
      </w:r>
      <w:r>
        <w:rPr>
          <w:rFonts w:ascii="Verdana" w:hAnsi="Verdana" w:cs="Arial"/>
          <w:sz w:val="20"/>
          <w:szCs w:val="20"/>
          <w:lang w:val="es-MX"/>
        </w:rPr>
        <w:t>)</w:t>
      </w:r>
      <w:r w:rsidR="00E15D6D">
        <w:rPr>
          <w:rStyle w:val="Refdenotaalpie"/>
          <w:rFonts w:ascii="Verdana" w:hAnsi="Verdana" w:cs="Arial"/>
          <w:sz w:val="20"/>
          <w:szCs w:val="20"/>
          <w:lang w:val="es-MX"/>
        </w:rPr>
        <w:footnoteReference w:id="25"/>
      </w:r>
      <w:r>
        <w:rPr>
          <w:rFonts w:ascii="Verdana" w:hAnsi="Verdana" w:cs="Arial"/>
          <w:sz w:val="20"/>
          <w:szCs w:val="20"/>
          <w:lang w:val="es-MX"/>
        </w:rPr>
        <w:t>, se hace constar que</w:t>
      </w:r>
      <w:r w:rsidR="00AE3E92">
        <w:rPr>
          <w:rFonts w:ascii="Verdana" w:hAnsi="Verdana" w:cs="Arial"/>
          <w:sz w:val="20"/>
          <w:szCs w:val="20"/>
          <w:lang w:val="es-MX"/>
        </w:rPr>
        <w:t xml:space="preserve"> </w:t>
      </w:r>
      <w:r w:rsidR="001D3CD2">
        <w:rPr>
          <w:rFonts w:ascii="Verdana" w:hAnsi="Verdana" w:cs="Arial"/>
          <w:sz w:val="20"/>
          <w:szCs w:val="20"/>
          <w:lang w:val="es-MX"/>
        </w:rPr>
        <w:t>el 5 y el 22</w:t>
      </w:r>
      <w:r w:rsidR="00BA1095">
        <w:rPr>
          <w:rFonts w:ascii="Verdana" w:hAnsi="Verdana" w:cs="Arial"/>
          <w:sz w:val="20"/>
          <w:szCs w:val="20"/>
          <w:lang w:val="es-MX"/>
        </w:rPr>
        <w:t xml:space="preserve"> diciembre de 2017 se realizaron audiencias ante el Juez de </w:t>
      </w:r>
      <w:r w:rsidR="00BA1095" w:rsidRPr="00CA38EE">
        <w:rPr>
          <w:rFonts w:ascii="Verdana" w:hAnsi="Verdana"/>
          <w:sz w:val="20"/>
          <w:szCs w:val="20"/>
        </w:rPr>
        <w:t>Familia, Civil y Penal de Menores de Victoria</w:t>
      </w:r>
      <w:r w:rsidR="005F5E06">
        <w:rPr>
          <w:rFonts w:ascii="Verdana" w:hAnsi="Verdana"/>
          <w:sz w:val="20"/>
          <w:szCs w:val="20"/>
        </w:rPr>
        <w:t xml:space="preserve"> de la Provincia de Entre Ríos</w:t>
      </w:r>
      <w:r w:rsidR="00BA1095">
        <w:rPr>
          <w:rFonts w:ascii="Verdana" w:hAnsi="Verdana"/>
          <w:sz w:val="20"/>
          <w:szCs w:val="20"/>
        </w:rPr>
        <w:t>,</w:t>
      </w:r>
      <w:r w:rsidR="00BA1095" w:rsidRPr="00CA38EE">
        <w:rPr>
          <w:rFonts w:ascii="Verdana" w:hAnsi="Verdana"/>
          <w:sz w:val="20"/>
          <w:szCs w:val="20"/>
        </w:rPr>
        <w:t xml:space="preserve"> </w:t>
      </w:r>
      <w:r w:rsidR="00BA1095">
        <w:rPr>
          <w:rFonts w:ascii="Verdana" w:hAnsi="Verdana"/>
          <w:sz w:val="20"/>
          <w:szCs w:val="20"/>
        </w:rPr>
        <w:t xml:space="preserve">quien ha acompañado </w:t>
      </w:r>
      <w:r w:rsidR="00E15D6D">
        <w:rPr>
          <w:rFonts w:ascii="Verdana" w:hAnsi="Verdana"/>
          <w:sz w:val="20"/>
          <w:szCs w:val="20"/>
        </w:rPr>
        <w:t>el</w:t>
      </w:r>
      <w:r w:rsidR="00BA1095">
        <w:rPr>
          <w:rFonts w:ascii="Verdana" w:hAnsi="Verdana"/>
          <w:sz w:val="20"/>
          <w:szCs w:val="20"/>
        </w:rPr>
        <w:t xml:space="preserve"> proceso de vinculación </w:t>
      </w:r>
      <w:r w:rsidR="00E15D6D">
        <w:rPr>
          <w:rFonts w:ascii="Verdana" w:hAnsi="Verdana"/>
          <w:sz w:val="20"/>
          <w:szCs w:val="20"/>
        </w:rPr>
        <w:t xml:space="preserve">entre el señor Fornerón y su hija M., </w:t>
      </w:r>
      <w:r w:rsidR="00BA1095">
        <w:rPr>
          <w:rFonts w:ascii="Verdana" w:hAnsi="Verdana"/>
          <w:sz w:val="20"/>
          <w:szCs w:val="20"/>
        </w:rPr>
        <w:t>desde su inicio.</w:t>
      </w:r>
      <w:r w:rsidR="008F74A5">
        <w:rPr>
          <w:rFonts w:ascii="Verdana" w:hAnsi="Verdana"/>
          <w:sz w:val="20"/>
          <w:szCs w:val="20"/>
        </w:rPr>
        <w:t xml:space="preserve"> En estas audiencias se escuchó, entre otros, a M., al señor Fornerón, al matrimonio B-Z y a los psicólogos y funcionarios de la Secretaría Nacional de la Niñez, Adolescencia y Familia</w:t>
      </w:r>
      <w:r w:rsidR="005E258A">
        <w:rPr>
          <w:rFonts w:ascii="Verdana" w:hAnsi="Verdana"/>
          <w:sz w:val="20"/>
          <w:szCs w:val="20"/>
        </w:rPr>
        <w:t xml:space="preserve"> (en adelante “la SENAF”)</w:t>
      </w:r>
      <w:r w:rsidR="008F74A5">
        <w:rPr>
          <w:rFonts w:ascii="Verdana" w:hAnsi="Verdana"/>
          <w:sz w:val="20"/>
          <w:szCs w:val="20"/>
        </w:rPr>
        <w:t xml:space="preserve"> que hacen parte del equipo interdisciplinario que ha estado a cargo de la implementación del proceso de vinculación. E</w:t>
      </w:r>
      <w:r w:rsidR="00E15D6D">
        <w:rPr>
          <w:rFonts w:ascii="Verdana" w:hAnsi="Verdana"/>
          <w:sz w:val="20"/>
          <w:szCs w:val="20"/>
        </w:rPr>
        <w:t>ste</w:t>
      </w:r>
      <w:r w:rsidR="008F74A5">
        <w:rPr>
          <w:rFonts w:ascii="Verdana" w:hAnsi="Verdana"/>
          <w:sz w:val="20"/>
          <w:szCs w:val="20"/>
        </w:rPr>
        <w:t xml:space="preserve"> Tribunal destaca que parte de la audiencia celebrada con M.</w:t>
      </w:r>
      <w:r w:rsidR="008F74A5">
        <w:rPr>
          <w:rStyle w:val="Refdenotaalpie"/>
          <w:rFonts w:ascii="Verdana" w:hAnsi="Verdana"/>
          <w:sz w:val="20"/>
          <w:szCs w:val="20"/>
        </w:rPr>
        <w:footnoteReference w:id="26"/>
      </w:r>
      <w:r w:rsidR="008F74A5">
        <w:rPr>
          <w:rFonts w:ascii="Verdana" w:hAnsi="Verdana"/>
          <w:sz w:val="20"/>
          <w:szCs w:val="20"/>
        </w:rPr>
        <w:t xml:space="preserve">, estuvo dedicada a constatar que </w:t>
      </w:r>
      <w:r w:rsidR="003C2BA9">
        <w:rPr>
          <w:rFonts w:ascii="Verdana" w:hAnsi="Verdana"/>
          <w:sz w:val="20"/>
          <w:szCs w:val="20"/>
        </w:rPr>
        <w:t xml:space="preserve">efectivamente </w:t>
      </w:r>
      <w:r w:rsidR="008F74A5">
        <w:rPr>
          <w:rFonts w:ascii="Verdana" w:hAnsi="Verdana"/>
          <w:sz w:val="20"/>
          <w:szCs w:val="20"/>
        </w:rPr>
        <w:t xml:space="preserve">conoce la verdad </w:t>
      </w:r>
      <w:r w:rsidR="00C05F7A">
        <w:rPr>
          <w:rFonts w:ascii="Verdana" w:hAnsi="Verdana"/>
          <w:sz w:val="20"/>
          <w:szCs w:val="20"/>
        </w:rPr>
        <w:t xml:space="preserve">de </w:t>
      </w:r>
      <w:r w:rsidR="008F74A5">
        <w:rPr>
          <w:rFonts w:ascii="Verdana" w:hAnsi="Verdana"/>
          <w:sz w:val="20"/>
          <w:szCs w:val="20"/>
        </w:rPr>
        <w:t>lo sucedido y lo resuelto por la Corte Interamericana, entregándole copia de la Sentencia emitida en el presente caso</w:t>
      </w:r>
      <w:r w:rsidR="00E15D6D">
        <w:rPr>
          <w:rFonts w:ascii="Verdana" w:hAnsi="Verdana"/>
          <w:sz w:val="20"/>
          <w:szCs w:val="20"/>
        </w:rPr>
        <w:t xml:space="preserve"> y ofreci</w:t>
      </w:r>
      <w:r w:rsidR="00674D88">
        <w:rPr>
          <w:rFonts w:ascii="Verdana" w:hAnsi="Verdana"/>
          <w:sz w:val="20"/>
          <w:szCs w:val="20"/>
        </w:rPr>
        <w:t>e</w:t>
      </w:r>
      <w:r w:rsidR="00E15D6D">
        <w:rPr>
          <w:rFonts w:ascii="Verdana" w:hAnsi="Verdana"/>
          <w:sz w:val="20"/>
          <w:szCs w:val="20"/>
        </w:rPr>
        <w:t>ndo poner a su disposición los expedientes internos relacionados con los hechos de este caso</w:t>
      </w:r>
      <w:r w:rsidR="008F74A5">
        <w:rPr>
          <w:rFonts w:ascii="Verdana" w:hAnsi="Verdana"/>
          <w:sz w:val="20"/>
          <w:szCs w:val="20"/>
        </w:rPr>
        <w:t xml:space="preserve">. </w:t>
      </w:r>
      <w:r w:rsidR="008F74A5">
        <w:rPr>
          <w:rFonts w:ascii="Verdana" w:hAnsi="Verdana" w:cs="Arial"/>
          <w:sz w:val="20"/>
          <w:szCs w:val="20"/>
          <w:lang w:val="es-MX"/>
        </w:rPr>
        <w:t>Asimismo, en dicha audiencia se acordó con M. continuar con los encuentros con el señor Fornerón con una periodicidad mensual.</w:t>
      </w:r>
      <w:r w:rsidR="00235141">
        <w:rPr>
          <w:rFonts w:ascii="Verdana" w:hAnsi="Verdana"/>
          <w:b/>
          <w:sz w:val="20"/>
          <w:szCs w:val="20"/>
        </w:rPr>
        <w:t xml:space="preserve"> </w:t>
      </w:r>
    </w:p>
    <w:p w14:paraId="666A43FD" w14:textId="77777777" w:rsidR="00047F09" w:rsidRPr="00741EB1" w:rsidRDefault="00047F09" w:rsidP="009B05C8">
      <w:pPr>
        <w:pStyle w:val="Prrafodelista"/>
        <w:tabs>
          <w:tab w:val="left" w:pos="0"/>
        </w:tabs>
        <w:autoSpaceDE w:val="0"/>
        <w:autoSpaceDN w:val="0"/>
        <w:adjustRightInd w:val="0"/>
        <w:spacing w:after="0" w:line="240" w:lineRule="auto"/>
        <w:ind w:left="0" w:right="96"/>
        <w:contextualSpacing w:val="0"/>
        <w:jc w:val="both"/>
        <w:rPr>
          <w:rFonts w:ascii="Verdana" w:hAnsi="Verdana" w:cs="Arial"/>
          <w:sz w:val="20"/>
          <w:szCs w:val="20"/>
          <w:lang w:val="es-MX"/>
        </w:rPr>
      </w:pPr>
    </w:p>
    <w:p w14:paraId="15BF24CB" w14:textId="77777777" w:rsidR="004D7C63" w:rsidRPr="009B05C8" w:rsidRDefault="00235141" w:rsidP="009B05C8">
      <w:pPr>
        <w:pStyle w:val="Prrafodelista"/>
        <w:numPr>
          <w:ilvl w:val="0"/>
          <w:numId w:val="3"/>
        </w:numPr>
        <w:tabs>
          <w:tab w:val="left" w:pos="0"/>
        </w:tabs>
        <w:autoSpaceDE w:val="0"/>
        <w:autoSpaceDN w:val="0"/>
        <w:adjustRightInd w:val="0"/>
        <w:spacing w:after="0" w:line="240" w:lineRule="auto"/>
        <w:ind w:left="0" w:right="96" w:firstLine="0"/>
        <w:contextualSpacing w:val="0"/>
        <w:jc w:val="both"/>
        <w:rPr>
          <w:rFonts w:ascii="Verdana" w:hAnsi="Verdana" w:cs="Arial"/>
          <w:sz w:val="20"/>
          <w:szCs w:val="20"/>
          <w:lang w:val="es-MX"/>
        </w:rPr>
      </w:pPr>
      <w:r>
        <w:rPr>
          <w:rFonts w:ascii="Verdana" w:hAnsi="Verdana"/>
          <w:sz w:val="20"/>
          <w:szCs w:val="20"/>
        </w:rPr>
        <w:lastRenderedPageBreak/>
        <w:t xml:space="preserve">Según lo acordado por las partes intervinientes en dichas audiencias y </w:t>
      </w:r>
      <w:r w:rsidR="005F5E06">
        <w:rPr>
          <w:rFonts w:ascii="Verdana" w:hAnsi="Verdana"/>
          <w:sz w:val="20"/>
          <w:szCs w:val="20"/>
        </w:rPr>
        <w:t xml:space="preserve">lo </w:t>
      </w:r>
      <w:r>
        <w:rPr>
          <w:rFonts w:ascii="Verdana" w:hAnsi="Verdana"/>
          <w:sz w:val="20"/>
          <w:szCs w:val="20"/>
        </w:rPr>
        <w:t xml:space="preserve">resuelto por el </w:t>
      </w:r>
      <w:r w:rsidR="00E15D6D">
        <w:rPr>
          <w:rFonts w:ascii="Verdana" w:hAnsi="Verdana"/>
          <w:sz w:val="20"/>
          <w:szCs w:val="20"/>
        </w:rPr>
        <w:t xml:space="preserve">referido </w:t>
      </w:r>
      <w:r>
        <w:rPr>
          <w:rFonts w:ascii="Verdana" w:hAnsi="Verdana"/>
          <w:sz w:val="20"/>
          <w:szCs w:val="20"/>
        </w:rPr>
        <w:t>juez</w:t>
      </w:r>
      <w:r w:rsidR="005E258A">
        <w:rPr>
          <w:rFonts w:ascii="Verdana" w:hAnsi="Verdana"/>
          <w:sz w:val="20"/>
          <w:szCs w:val="20"/>
        </w:rPr>
        <w:t>, entre enero y mayo de</w:t>
      </w:r>
      <w:r>
        <w:rPr>
          <w:rFonts w:ascii="Verdana" w:hAnsi="Verdana"/>
          <w:sz w:val="20"/>
          <w:szCs w:val="20"/>
        </w:rPr>
        <w:t xml:space="preserve"> 2018 se llevaron a cabo </w:t>
      </w:r>
      <w:r w:rsidR="005E258A">
        <w:rPr>
          <w:rFonts w:ascii="Verdana" w:hAnsi="Verdana"/>
          <w:sz w:val="20"/>
          <w:szCs w:val="20"/>
        </w:rPr>
        <w:t>cinco encuentros entre el señor Fornerón y M. La SENAF elaboró informes sobre el desarrollo de estos encuentros</w:t>
      </w:r>
      <w:r w:rsidR="00EB3AC0">
        <w:rPr>
          <w:rFonts w:ascii="Verdana" w:hAnsi="Verdana"/>
          <w:sz w:val="20"/>
          <w:szCs w:val="20"/>
        </w:rPr>
        <w:t>, algunos de los cuales fueron realizados en un espacio distinto a las instalaciones de la SENAF</w:t>
      </w:r>
      <w:r w:rsidR="004D7C63">
        <w:rPr>
          <w:rFonts w:ascii="Verdana" w:hAnsi="Verdana"/>
          <w:sz w:val="20"/>
          <w:szCs w:val="20"/>
        </w:rPr>
        <w:t>,</w:t>
      </w:r>
      <w:r w:rsidR="00EB3AC0">
        <w:rPr>
          <w:rFonts w:ascii="Verdana" w:hAnsi="Verdana"/>
          <w:sz w:val="20"/>
          <w:szCs w:val="20"/>
        </w:rPr>
        <w:t xml:space="preserve"> donde se habían </w:t>
      </w:r>
      <w:r w:rsidR="000946B1">
        <w:rPr>
          <w:rFonts w:ascii="Verdana" w:hAnsi="Verdana"/>
          <w:sz w:val="20"/>
          <w:szCs w:val="20"/>
        </w:rPr>
        <w:t xml:space="preserve">efectuado </w:t>
      </w:r>
      <w:r w:rsidR="00EB3AC0">
        <w:rPr>
          <w:rFonts w:ascii="Verdana" w:hAnsi="Verdana"/>
          <w:sz w:val="20"/>
          <w:szCs w:val="20"/>
        </w:rPr>
        <w:t>todos los anteriores</w:t>
      </w:r>
      <w:r w:rsidR="005E258A">
        <w:rPr>
          <w:rFonts w:ascii="Verdana" w:hAnsi="Verdana"/>
          <w:sz w:val="20"/>
          <w:szCs w:val="20"/>
        </w:rPr>
        <w:t xml:space="preserve">. </w:t>
      </w:r>
    </w:p>
    <w:p w14:paraId="60F33817" w14:textId="77777777" w:rsidR="00047F09" w:rsidRPr="00741EB1" w:rsidRDefault="00047F09" w:rsidP="009B05C8">
      <w:pPr>
        <w:pStyle w:val="Prrafodelista"/>
        <w:tabs>
          <w:tab w:val="left" w:pos="0"/>
        </w:tabs>
        <w:autoSpaceDE w:val="0"/>
        <w:autoSpaceDN w:val="0"/>
        <w:adjustRightInd w:val="0"/>
        <w:spacing w:after="0" w:line="240" w:lineRule="auto"/>
        <w:ind w:left="0" w:right="96"/>
        <w:contextualSpacing w:val="0"/>
        <w:jc w:val="both"/>
        <w:rPr>
          <w:rFonts w:ascii="Verdana" w:hAnsi="Verdana" w:cs="Arial"/>
          <w:sz w:val="20"/>
          <w:szCs w:val="20"/>
          <w:lang w:val="es-MX"/>
        </w:rPr>
      </w:pPr>
    </w:p>
    <w:p w14:paraId="6DBBBAF8" w14:textId="77777777" w:rsidR="00657800" w:rsidRPr="009B05C8" w:rsidRDefault="00EB3AC0" w:rsidP="009B05C8">
      <w:pPr>
        <w:pStyle w:val="Prrafodelista"/>
        <w:numPr>
          <w:ilvl w:val="0"/>
          <w:numId w:val="3"/>
        </w:numPr>
        <w:tabs>
          <w:tab w:val="left" w:pos="0"/>
        </w:tabs>
        <w:autoSpaceDE w:val="0"/>
        <w:autoSpaceDN w:val="0"/>
        <w:adjustRightInd w:val="0"/>
        <w:spacing w:after="0" w:line="240" w:lineRule="auto"/>
        <w:ind w:left="0" w:right="96" w:firstLine="0"/>
        <w:contextualSpacing w:val="0"/>
        <w:jc w:val="both"/>
        <w:rPr>
          <w:rFonts w:ascii="Verdana" w:hAnsi="Verdana" w:cs="Arial"/>
          <w:sz w:val="20"/>
          <w:szCs w:val="20"/>
          <w:lang w:val="es-MX"/>
        </w:rPr>
      </w:pPr>
      <w:bookmarkStart w:id="19" w:name="_Ref21680219"/>
      <w:r>
        <w:rPr>
          <w:rFonts w:ascii="Verdana" w:hAnsi="Verdana"/>
          <w:sz w:val="20"/>
          <w:szCs w:val="20"/>
        </w:rPr>
        <w:t>E</w:t>
      </w:r>
      <w:r w:rsidR="005A587C">
        <w:rPr>
          <w:rFonts w:ascii="Verdana" w:hAnsi="Verdana"/>
          <w:sz w:val="20"/>
          <w:szCs w:val="20"/>
        </w:rPr>
        <w:t>l 27 de</w:t>
      </w:r>
      <w:r w:rsidR="004D7C63">
        <w:rPr>
          <w:rFonts w:ascii="Verdana" w:hAnsi="Verdana"/>
          <w:sz w:val="20"/>
          <w:szCs w:val="20"/>
        </w:rPr>
        <w:t xml:space="preserve"> agosto de 2018 M.</w:t>
      </w:r>
      <w:r w:rsidR="005A587C">
        <w:rPr>
          <w:rFonts w:ascii="Verdana" w:hAnsi="Verdana"/>
          <w:sz w:val="20"/>
          <w:szCs w:val="20"/>
        </w:rPr>
        <w:t xml:space="preserve"> efectuó una presentación judicial ante el referido </w:t>
      </w:r>
      <w:r w:rsidR="003C413F" w:rsidRPr="00F51C61">
        <w:rPr>
          <w:rFonts w:ascii="Verdana" w:hAnsi="Verdana"/>
          <w:sz w:val="20"/>
          <w:szCs w:val="20"/>
        </w:rPr>
        <w:t xml:space="preserve">Juez </w:t>
      </w:r>
      <w:r w:rsidR="003C413F" w:rsidRPr="005A587C">
        <w:rPr>
          <w:rFonts w:ascii="Verdana" w:hAnsi="Verdana" w:cs="Arial"/>
          <w:sz w:val="20"/>
          <w:szCs w:val="20"/>
          <w:lang w:val="es-MX"/>
        </w:rPr>
        <w:t xml:space="preserve">de </w:t>
      </w:r>
      <w:r w:rsidR="003C413F" w:rsidRPr="005A587C">
        <w:rPr>
          <w:rFonts w:ascii="Verdana" w:hAnsi="Verdana"/>
          <w:sz w:val="20"/>
          <w:szCs w:val="20"/>
        </w:rPr>
        <w:t>Familia, Civil y Penal de Menores de Victoria</w:t>
      </w:r>
      <w:r w:rsidR="005A587C">
        <w:rPr>
          <w:rFonts w:ascii="Verdana" w:hAnsi="Verdana"/>
          <w:sz w:val="20"/>
          <w:szCs w:val="20"/>
        </w:rPr>
        <w:t>, en la cual manifestó que, “</w:t>
      </w:r>
      <w:proofErr w:type="spellStart"/>
      <w:r w:rsidR="005A587C">
        <w:rPr>
          <w:rFonts w:ascii="Verdana" w:hAnsi="Verdana"/>
          <w:sz w:val="20"/>
          <w:szCs w:val="20"/>
        </w:rPr>
        <w:t>atent</w:t>
      </w:r>
      <w:proofErr w:type="spellEnd"/>
      <w:r w:rsidR="007430FB">
        <w:rPr>
          <w:rFonts w:ascii="Verdana" w:hAnsi="Verdana"/>
          <w:sz w:val="20"/>
          <w:szCs w:val="20"/>
        </w:rPr>
        <w:t>[a]</w:t>
      </w:r>
      <w:r w:rsidR="005A587C">
        <w:rPr>
          <w:rFonts w:ascii="Verdana" w:hAnsi="Verdana"/>
          <w:sz w:val="20"/>
          <w:szCs w:val="20"/>
        </w:rPr>
        <w:t xml:space="preserve"> a que el día 16 de </w:t>
      </w:r>
      <w:r w:rsidR="00112AE1">
        <w:rPr>
          <w:rFonts w:ascii="Verdana" w:hAnsi="Verdana"/>
          <w:sz w:val="20"/>
          <w:szCs w:val="20"/>
        </w:rPr>
        <w:t>[</w:t>
      </w:r>
      <w:r w:rsidR="005A587C">
        <w:rPr>
          <w:rFonts w:ascii="Verdana" w:hAnsi="Verdana"/>
          <w:sz w:val="20"/>
          <w:szCs w:val="20"/>
        </w:rPr>
        <w:t>j</w:t>
      </w:r>
      <w:r w:rsidR="00112AE1">
        <w:rPr>
          <w:rFonts w:ascii="Verdana" w:hAnsi="Verdana"/>
          <w:sz w:val="20"/>
          <w:szCs w:val="20"/>
        </w:rPr>
        <w:t>]</w:t>
      </w:r>
      <w:proofErr w:type="spellStart"/>
      <w:r w:rsidR="005A587C">
        <w:rPr>
          <w:rFonts w:ascii="Verdana" w:hAnsi="Verdana"/>
          <w:sz w:val="20"/>
          <w:szCs w:val="20"/>
        </w:rPr>
        <w:t>unio</w:t>
      </w:r>
      <w:proofErr w:type="spellEnd"/>
      <w:r w:rsidR="005A587C">
        <w:rPr>
          <w:rFonts w:ascii="Verdana" w:hAnsi="Verdana"/>
          <w:sz w:val="20"/>
          <w:szCs w:val="20"/>
        </w:rPr>
        <w:t xml:space="preserve"> cumplió 18 años[,] llegando a la mayoría de edad conforme [al] ordenamiento jurídico [argentino], […] a partir de la fecha es </w:t>
      </w:r>
      <w:r w:rsidR="00112AE1">
        <w:rPr>
          <w:rFonts w:ascii="Verdana" w:hAnsi="Verdana"/>
          <w:sz w:val="20"/>
          <w:szCs w:val="20"/>
        </w:rPr>
        <w:t xml:space="preserve">su </w:t>
      </w:r>
      <w:r w:rsidR="005A587C">
        <w:rPr>
          <w:rFonts w:ascii="Verdana" w:hAnsi="Verdana"/>
          <w:sz w:val="20"/>
          <w:szCs w:val="20"/>
        </w:rPr>
        <w:t xml:space="preserve">voluntad </w:t>
      </w:r>
      <w:r w:rsidR="00112AE1">
        <w:rPr>
          <w:rFonts w:ascii="Verdana" w:hAnsi="Verdana"/>
          <w:sz w:val="20"/>
          <w:szCs w:val="20"/>
        </w:rPr>
        <w:t xml:space="preserve">por el momento </w:t>
      </w:r>
      <w:r w:rsidR="005A587C">
        <w:rPr>
          <w:rFonts w:ascii="Verdana" w:hAnsi="Verdana"/>
          <w:sz w:val="20"/>
          <w:szCs w:val="20"/>
        </w:rPr>
        <w:t xml:space="preserve">suspender toda clase de contacto con el señor Fornerón”, y solicitó, entre otros, que su decisión fuera comunicada </w:t>
      </w:r>
      <w:r w:rsidR="003C413F">
        <w:rPr>
          <w:rFonts w:ascii="Verdana" w:hAnsi="Verdana"/>
          <w:sz w:val="20"/>
          <w:szCs w:val="20"/>
        </w:rPr>
        <w:t xml:space="preserve">al señor Fornerón y </w:t>
      </w:r>
      <w:r w:rsidR="005A587C">
        <w:rPr>
          <w:rFonts w:ascii="Verdana" w:hAnsi="Verdana"/>
          <w:sz w:val="20"/>
          <w:szCs w:val="20"/>
        </w:rPr>
        <w:t>a las autoridades y organismos que correspond</w:t>
      </w:r>
      <w:r w:rsidR="00332F69">
        <w:rPr>
          <w:rFonts w:ascii="Verdana" w:hAnsi="Verdana"/>
          <w:sz w:val="20"/>
          <w:szCs w:val="20"/>
        </w:rPr>
        <w:t>ier</w:t>
      </w:r>
      <w:r w:rsidR="005A587C">
        <w:rPr>
          <w:rFonts w:ascii="Verdana" w:hAnsi="Verdana"/>
          <w:sz w:val="20"/>
          <w:szCs w:val="20"/>
        </w:rPr>
        <w:t xml:space="preserve">a. </w:t>
      </w:r>
      <w:r w:rsidR="005A587C" w:rsidRPr="00741EB1">
        <w:rPr>
          <w:rFonts w:ascii="Verdana" w:hAnsi="Verdana"/>
          <w:sz w:val="20"/>
          <w:szCs w:val="20"/>
        </w:rPr>
        <w:t xml:space="preserve">En virtud de tal manifestación, la SENAF </w:t>
      </w:r>
      <w:r w:rsidR="003C413F" w:rsidRPr="005A587C">
        <w:rPr>
          <w:rFonts w:ascii="Verdana" w:hAnsi="Verdana"/>
          <w:sz w:val="20"/>
          <w:szCs w:val="20"/>
        </w:rPr>
        <w:t>di</w:t>
      </w:r>
      <w:r w:rsidR="003C413F">
        <w:rPr>
          <w:rFonts w:ascii="Verdana" w:hAnsi="Verdana"/>
          <w:sz w:val="20"/>
          <w:szCs w:val="20"/>
        </w:rPr>
        <w:t>o</w:t>
      </w:r>
      <w:r w:rsidR="003C413F" w:rsidRPr="005A587C">
        <w:rPr>
          <w:rFonts w:ascii="Verdana" w:hAnsi="Verdana"/>
          <w:sz w:val="20"/>
          <w:szCs w:val="20"/>
        </w:rPr>
        <w:t xml:space="preserve"> por finalizada su intervención en la implementación de esta medida</w:t>
      </w:r>
      <w:r w:rsidR="003C413F">
        <w:rPr>
          <w:rFonts w:ascii="Verdana" w:hAnsi="Verdana"/>
          <w:sz w:val="20"/>
          <w:szCs w:val="20"/>
        </w:rPr>
        <w:t>, y e</w:t>
      </w:r>
      <w:r w:rsidR="005A587C" w:rsidRPr="00741EB1">
        <w:rPr>
          <w:rFonts w:ascii="Verdana" w:hAnsi="Verdana"/>
          <w:sz w:val="20"/>
          <w:szCs w:val="20"/>
        </w:rPr>
        <w:t xml:space="preserve">l </w:t>
      </w:r>
      <w:r w:rsidR="003C413F">
        <w:rPr>
          <w:rFonts w:ascii="Verdana" w:hAnsi="Verdana"/>
          <w:sz w:val="20"/>
          <w:szCs w:val="20"/>
        </w:rPr>
        <w:t xml:space="preserve">referido juez concluyó que “la </w:t>
      </w:r>
      <w:r w:rsidR="00595DA4">
        <w:rPr>
          <w:rFonts w:ascii="Verdana" w:hAnsi="Verdana"/>
          <w:sz w:val="20"/>
          <w:szCs w:val="20"/>
        </w:rPr>
        <w:t>[</w:t>
      </w:r>
      <w:r w:rsidR="003C413F">
        <w:rPr>
          <w:rFonts w:ascii="Verdana" w:hAnsi="Verdana"/>
          <w:sz w:val="20"/>
          <w:szCs w:val="20"/>
        </w:rPr>
        <w:t>S</w:t>
      </w:r>
      <w:r w:rsidR="00595DA4">
        <w:rPr>
          <w:rFonts w:ascii="Verdana" w:hAnsi="Verdana"/>
          <w:sz w:val="20"/>
          <w:szCs w:val="20"/>
        </w:rPr>
        <w:t>]</w:t>
      </w:r>
      <w:r w:rsidR="003C413F">
        <w:rPr>
          <w:rFonts w:ascii="Verdana" w:hAnsi="Verdana"/>
          <w:sz w:val="20"/>
          <w:szCs w:val="20"/>
        </w:rPr>
        <w:t xml:space="preserve">entencia </w:t>
      </w:r>
      <w:r w:rsidR="00595DA4">
        <w:rPr>
          <w:rFonts w:ascii="Verdana" w:hAnsi="Verdana"/>
          <w:sz w:val="20"/>
          <w:szCs w:val="20"/>
        </w:rPr>
        <w:t>dictada</w:t>
      </w:r>
      <w:r w:rsidR="003C413F">
        <w:rPr>
          <w:rFonts w:ascii="Verdana" w:hAnsi="Verdana"/>
          <w:sz w:val="20"/>
          <w:szCs w:val="20"/>
        </w:rPr>
        <w:t xml:space="preserve"> por la Corte Interamericana de Derechos Humanos se ha cumplido en </w:t>
      </w:r>
      <w:r w:rsidR="00595DA4">
        <w:rPr>
          <w:rFonts w:ascii="Verdana" w:hAnsi="Verdana"/>
          <w:sz w:val="20"/>
          <w:szCs w:val="20"/>
        </w:rPr>
        <w:t xml:space="preserve">su </w:t>
      </w:r>
      <w:r w:rsidR="003C413F">
        <w:rPr>
          <w:rFonts w:ascii="Verdana" w:hAnsi="Verdana"/>
          <w:sz w:val="20"/>
          <w:szCs w:val="20"/>
        </w:rPr>
        <w:t>totalidad en cuan</w:t>
      </w:r>
      <w:r w:rsidR="00332F69">
        <w:rPr>
          <w:rFonts w:ascii="Verdana" w:hAnsi="Verdana"/>
          <w:sz w:val="20"/>
          <w:szCs w:val="20"/>
        </w:rPr>
        <w:t>t</w:t>
      </w:r>
      <w:r w:rsidR="003C413F">
        <w:rPr>
          <w:rFonts w:ascii="Verdana" w:hAnsi="Verdana"/>
          <w:sz w:val="20"/>
          <w:szCs w:val="20"/>
        </w:rPr>
        <w:t xml:space="preserve">o a lo que </w:t>
      </w:r>
      <w:proofErr w:type="spellStart"/>
      <w:r w:rsidR="003C413F">
        <w:rPr>
          <w:rFonts w:ascii="Verdana" w:hAnsi="Verdana"/>
          <w:sz w:val="20"/>
          <w:szCs w:val="20"/>
        </w:rPr>
        <w:t>depend</w:t>
      </w:r>
      <w:proofErr w:type="spellEnd"/>
      <w:r w:rsidR="003C413F">
        <w:rPr>
          <w:rFonts w:ascii="Verdana" w:hAnsi="Verdana"/>
          <w:sz w:val="20"/>
          <w:szCs w:val="20"/>
        </w:rPr>
        <w:t>[</w:t>
      </w:r>
      <w:proofErr w:type="spellStart"/>
      <w:r w:rsidR="003C413F">
        <w:rPr>
          <w:rFonts w:ascii="Verdana" w:hAnsi="Verdana"/>
          <w:sz w:val="20"/>
          <w:szCs w:val="20"/>
        </w:rPr>
        <w:t>ía</w:t>
      </w:r>
      <w:proofErr w:type="spellEnd"/>
      <w:r w:rsidR="003C413F">
        <w:rPr>
          <w:rFonts w:ascii="Verdana" w:hAnsi="Verdana"/>
          <w:sz w:val="20"/>
          <w:szCs w:val="20"/>
        </w:rPr>
        <w:t xml:space="preserve">] de [su] juzgado”. </w:t>
      </w:r>
      <w:bookmarkEnd w:id="19"/>
    </w:p>
    <w:p w14:paraId="5600BC85" w14:textId="77777777" w:rsidR="00047F09" w:rsidRPr="00D37FD9" w:rsidRDefault="00047F09" w:rsidP="009B05C8">
      <w:pPr>
        <w:pStyle w:val="Prrafodelista"/>
        <w:tabs>
          <w:tab w:val="left" w:pos="0"/>
        </w:tabs>
        <w:autoSpaceDE w:val="0"/>
        <w:autoSpaceDN w:val="0"/>
        <w:adjustRightInd w:val="0"/>
        <w:spacing w:after="0" w:line="240" w:lineRule="auto"/>
        <w:ind w:left="0" w:right="96"/>
        <w:contextualSpacing w:val="0"/>
        <w:jc w:val="both"/>
        <w:rPr>
          <w:rFonts w:ascii="Verdana" w:hAnsi="Verdana" w:cs="Arial"/>
          <w:sz w:val="20"/>
          <w:szCs w:val="20"/>
          <w:lang w:val="es-MX"/>
        </w:rPr>
      </w:pPr>
    </w:p>
    <w:p w14:paraId="754D210A" w14:textId="4EB9AA91" w:rsidR="000A63A7" w:rsidRDefault="003C413F" w:rsidP="009B05C8">
      <w:pPr>
        <w:pStyle w:val="Prrafodelista"/>
        <w:numPr>
          <w:ilvl w:val="0"/>
          <w:numId w:val="3"/>
        </w:numPr>
        <w:tabs>
          <w:tab w:val="left" w:pos="0"/>
        </w:tabs>
        <w:autoSpaceDE w:val="0"/>
        <w:autoSpaceDN w:val="0"/>
        <w:adjustRightInd w:val="0"/>
        <w:spacing w:after="0" w:line="240" w:lineRule="auto"/>
        <w:ind w:left="0" w:right="96" w:firstLine="0"/>
        <w:contextualSpacing w:val="0"/>
        <w:jc w:val="both"/>
        <w:rPr>
          <w:rFonts w:ascii="Verdana" w:hAnsi="Verdana" w:cs="Arial"/>
          <w:sz w:val="20"/>
          <w:szCs w:val="20"/>
          <w:lang w:val="es-MX"/>
        </w:rPr>
      </w:pPr>
      <w:r w:rsidRPr="00741EB1">
        <w:rPr>
          <w:rFonts w:ascii="Verdana" w:hAnsi="Verdana"/>
          <w:sz w:val="20"/>
          <w:szCs w:val="20"/>
        </w:rPr>
        <w:t>Al respecto</w:t>
      </w:r>
      <w:r w:rsidR="000A63A7">
        <w:rPr>
          <w:rFonts w:ascii="Verdana" w:hAnsi="Verdana"/>
          <w:sz w:val="20"/>
          <w:szCs w:val="20"/>
        </w:rPr>
        <w:t xml:space="preserve"> de dicha solicitud</w:t>
      </w:r>
      <w:r w:rsidR="00332F69">
        <w:rPr>
          <w:rFonts w:ascii="Verdana" w:hAnsi="Verdana"/>
          <w:sz w:val="20"/>
          <w:szCs w:val="20"/>
        </w:rPr>
        <w:t xml:space="preserve"> de M.</w:t>
      </w:r>
      <w:r w:rsidRPr="00741EB1">
        <w:rPr>
          <w:rFonts w:ascii="Verdana" w:hAnsi="Verdana"/>
          <w:sz w:val="20"/>
          <w:szCs w:val="20"/>
        </w:rPr>
        <w:t xml:space="preserve">, </w:t>
      </w:r>
      <w:r w:rsidR="00657800">
        <w:rPr>
          <w:rFonts w:ascii="Verdana" w:hAnsi="Verdana"/>
          <w:i/>
          <w:sz w:val="20"/>
          <w:szCs w:val="20"/>
        </w:rPr>
        <w:t xml:space="preserve">el Estado </w:t>
      </w:r>
      <w:r w:rsidR="004A5C40">
        <w:rPr>
          <w:rFonts w:ascii="Verdana" w:hAnsi="Verdana" w:cs="Arial"/>
          <w:sz w:val="20"/>
          <w:szCs w:val="20"/>
          <w:lang w:val="es-MX"/>
        </w:rPr>
        <w:t>pidió</w:t>
      </w:r>
      <w:r w:rsidR="00212197">
        <w:rPr>
          <w:rFonts w:ascii="Verdana" w:hAnsi="Verdana" w:cs="Arial"/>
          <w:sz w:val="20"/>
          <w:szCs w:val="20"/>
          <w:lang w:val="es-MX"/>
        </w:rPr>
        <w:t xml:space="preserve"> a </w:t>
      </w:r>
      <w:r w:rsidR="00050BDE">
        <w:rPr>
          <w:rFonts w:ascii="Verdana" w:hAnsi="Verdana" w:cs="Arial"/>
          <w:sz w:val="20"/>
          <w:szCs w:val="20"/>
          <w:lang w:val="es-MX"/>
        </w:rPr>
        <w:t>esta</w:t>
      </w:r>
      <w:r w:rsidR="00212197">
        <w:rPr>
          <w:rFonts w:ascii="Verdana" w:hAnsi="Verdana" w:cs="Arial"/>
          <w:sz w:val="20"/>
          <w:szCs w:val="20"/>
          <w:lang w:val="es-MX"/>
        </w:rPr>
        <w:t xml:space="preserve"> Corte que “t</w:t>
      </w:r>
      <w:r w:rsidR="000A63A7">
        <w:rPr>
          <w:rFonts w:ascii="Verdana" w:hAnsi="Verdana" w:cs="Arial"/>
          <w:sz w:val="20"/>
          <w:szCs w:val="20"/>
          <w:lang w:val="es-MX"/>
        </w:rPr>
        <w:t>[</w:t>
      </w:r>
      <w:proofErr w:type="spellStart"/>
      <w:r w:rsidR="000A63A7">
        <w:rPr>
          <w:rFonts w:ascii="Verdana" w:hAnsi="Verdana" w:cs="Arial"/>
          <w:sz w:val="20"/>
          <w:szCs w:val="20"/>
          <w:lang w:val="es-MX"/>
        </w:rPr>
        <w:t>uviera</w:t>
      </w:r>
      <w:proofErr w:type="spellEnd"/>
      <w:r w:rsidR="000A63A7">
        <w:rPr>
          <w:rFonts w:ascii="Verdana" w:hAnsi="Verdana" w:cs="Arial"/>
          <w:sz w:val="20"/>
          <w:szCs w:val="20"/>
          <w:lang w:val="es-MX"/>
        </w:rPr>
        <w:t>]</w:t>
      </w:r>
      <w:r w:rsidR="00212197">
        <w:rPr>
          <w:rFonts w:ascii="Verdana" w:hAnsi="Verdana" w:cs="Arial"/>
          <w:sz w:val="20"/>
          <w:szCs w:val="20"/>
          <w:lang w:val="es-MX"/>
        </w:rPr>
        <w:t xml:space="preserve"> por efectuada la declaración” requerida en la Resolución de noviembre de 2018 (</w:t>
      </w:r>
      <w:r w:rsidR="00212197" w:rsidRPr="00D37FD9">
        <w:rPr>
          <w:rFonts w:ascii="Verdana" w:hAnsi="Verdana" w:cs="Arial"/>
          <w:i/>
          <w:sz w:val="20"/>
          <w:szCs w:val="20"/>
          <w:lang w:val="es-MX"/>
        </w:rPr>
        <w:t>supra</w:t>
      </w:r>
      <w:r w:rsidR="00212197">
        <w:rPr>
          <w:rFonts w:ascii="Verdana" w:hAnsi="Verdana" w:cs="Arial"/>
          <w:sz w:val="20"/>
          <w:szCs w:val="20"/>
          <w:lang w:val="es-MX"/>
        </w:rPr>
        <w:t xml:space="preserve"> Considerando </w:t>
      </w:r>
      <w:r w:rsidR="00595DA4">
        <w:rPr>
          <w:rFonts w:ascii="Verdana" w:hAnsi="Verdana" w:cs="Arial"/>
          <w:sz w:val="20"/>
          <w:szCs w:val="20"/>
          <w:lang w:val="es-MX"/>
        </w:rPr>
        <w:fldChar w:fldCharType="begin"/>
      </w:r>
      <w:r w:rsidR="00595DA4">
        <w:rPr>
          <w:rFonts w:ascii="Verdana" w:hAnsi="Verdana" w:cs="Arial"/>
          <w:sz w:val="20"/>
          <w:szCs w:val="20"/>
          <w:lang w:val="es-MX"/>
        </w:rPr>
        <w:instrText xml:space="preserve"> REF _Ref21679250 \r \h </w:instrText>
      </w:r>
      <w:r w:rsidR="00316C26">
        <w:rPr>
          <w:rFonts w:ascii="Verdana" w:hAnsi="Verdana" w:cs="Arial"/>
          <w:sz w:val="20"/>
          <w:szCs w:val="20"/>
          <w:lang w:val="es-MX"/>
        </w:rPr>
        <w:instrText xml:space="preserve"> \* MERGEFORMAT </w:instrText>
      </w:r>
      <w:r w:rsidR="00595DA4">
        <w:rPr>
          <w:rFonts w:ascii="Verdana" w:hAnsi="Verdana" w:cs="Arial"/>
          <w:sz w:val="20"/>
          <w:szCs w:val="20"/>
          <w:lang w:val="es-MX"/>
        </w:rPr>
      </w:r>
      <w:r w:rsidR="00595DA4">
        <w:rPr>
          <w:rFonts w:ascii="Verdana" w:hAnsi="Verdana" w:cs="Arial"/>
          <w:sz w:val="20"/>
          <w:szCs w:val="20"/>
          <w:lang w:val="es-MX"/>
        </w:rPr>
        <w:fldChar w:fldCharType="separate"/>
      </w:r>
      <w:r w:rsidR="007B61B6">
        <w:rPr>
          <w:rFonts w:ascii="Verdana" w:hAnsi="Verdana" w:cs="Arial"/>
          <w:sz w:val="20"/>
          <w:szCs w:val="20"/>
          <w:lang w:val="es-MX"/>
        </w:rPr>
        <w:t>7</w:t>
      </w:r>
      <w:r w:rsidR="00595DA4">
        <w:rPr>
          <w:rFonts w:ascii="Verdana" w:hAnsi="Verdana" w:cs="Arial"/>
          <w:sz w:val="20"/>
          <w:szCs w:val="20"/>
          <w:lang w:val="es-MX"/>
        </w:rPr>
        <w:fldChar w:fldCharType="end"/>
      </w:r>
      <w:r w:rsidR="00212197">
        <w:rPr>
          <w:rFonts w:ascii="Verdana" w:hAnsi="Verdana" w:cs="Arial"/>
          <w:sz w:val="20"/>
          <w:szCs w:val="20"/>
          <w:lang w:val="es-MX"/>
        </w:rPr>
        <w:t xml:space="preserve">) y </w:t>
      </w:r>
      <w:r w:rsidR="000A63A7">
        <w:rPr>
          <w:rFonts w:ascii="Verdana" w:hAnsi="Verdana" w:cs="Arial"/>
          <w:sz w:val="20"/>
          <w:szCs w:val="20"/>
          <w:lang w:val="es-MX"/>
        </w:rPr>
        <w:t xml:space="preserve">que </w:t>
      </w:r>
      <w:r w:rsidR="00636E18">
        <w:rPr>
          <w:rFonts w:ascii="Verdana" w:hAnsi="Verdana" w:cs="Arial"/>
          <w:sz w:val="20"/>
          <w:szCs w:val="20"/>
          <w:lang w:val="es-MX"/>
        </w:rPr>
        <w:t>se declar</w:t>
      </w:r>
      <w:r w:rsidR="00332F69">
        <w:rPr>
          <w:rFonts w:ascii="Verdana" w:hAnsi="Verdana" w:cs="Arial"/>
          <w:sz w:val="20"/>
          <w:szCs w:val="20"/>
          <w:lang w:val="es-MX"/>
        </w:rPr>
        <w:t>ara</w:t>
      </w:r>
      <w:r w:rsidR="00636E18">
        <w:rPr>
          <w:rFonts w:ascii="Verdana" w:hAnsi="Verdana" w:cs="Arial"/>
          <w:sz w:val="20"/>
          <w:szCs w:val="20"/>
          <w:lang w:val="es-MX"/>
        </w:rPr>
        <w:t xml:space="preserve"> “la conclusión de [la] supervisión de [esta] medida” de reparación. </w:t>
      </w:r>
      <w:r w:rsidR="000A63A7" w:rsidRPr="00D37FD9">
        <w:rPr>
          <w:rFonts w:ascii="Verdana" w:hAnsi="Verdana" w:cs="Arial"/>
          <w:sz w:val="20"/>
          <w:szCs w:val="20"/>
          <w:lang w:val="es-MX"/>
        </w:rPr>
        <w:t>En la audiencia privada de supervisión de cumplimiento</w:t>
      </w:r>
      <w:r w:rsidR="009032B5">
        <w:rPr>
          <w:rFonts w:ascii="Verdana" w:hAnsi="Verdana" w:cs="Arial"/>
          <w:sz w:val="20"/>
          <w:szCs w:val="20"/>
          <w:lang w:val="es-MX"/>
        </w:rPr>
        <w:t xml:space="preserve"> (</w:t>
      </w:r>
      <w:r w:rsidR="009032B5">
        <w:rPr>
          <w:rFonts w:ascii="Verdana" w:hAnsi="Verdana" w:cs="Arial"/>
          <w:i/>
          <w:sz w:val="20"/>
          <w:szCs w:val="20"/>
          <w:lang w:val="es-MX"/>
        </w:rPr>
        <w:t xml:space="preserve">supra </w:t>
      </w:r>
      <w:r w:rsidR="009032B5">
        <w:rPr>
          <w:rFonts w:ascii="Verdana" w:hAnsi="Verdana" w:cs="Arial"/>
          <w:sz w:val="20"/>
          <w:szCs w:val="20"/>
          <w:lang w:val="es-MX"/>
        </w:rPr>
        <w:t xml:space="preserve">Visto </w:t>
      </w:r>
      <w:r w:rsidR="009032B5">
        <w:rPr>
          <w:rFonts w:ascii="Verdana" w:hAnsi="Verdana" w:cs="Arial"/>
          <w:sz w:val="20"/>
          <w:szCs w:val="20"/>
          <w:lang w:val="es-MX"/>
        </w:rPr>
        <w:fldChar w:fldCharType="begin"/>
      </w:r>
      <w:r w:rsidR="009032B5">
        <w:rPr>
          <w:rFonts w:ascii="Verdana" w:hAnsi="Verdana" w:cs="Arial"/>
          <w:sz w:val="20"/>
          <w:szCs w:val="20"/>
          <w:lang w:val="es-MX"/>
        </w:rPr>
        <w:instrText xml:space="preserve"> REF _Ref21531736 \r \h </w:instrText>
      </w:r>
      <w:r w:rsidR="00316C26">
        <w:rPr>
          <w:rFonts w:ascii="Verdana" w:hAnsi="Verdana" w:cs="Arial"/>
          <w:sz w:val="20"/>
          <w:szCs w:val="20"/>
          <w:lang w:val="es-MX"/>
        </w:rPr>
        <w:instrText xml:space="preserve"> \* MERGEFORMAT </w:instrText>
      </w:r>
      <w:r w:rsidR="009032B5">
        <w:rPr>
          <w:rFonts w:ascii="Verdana" w:hAnsi="Verdana" w:cs="Arial"/>
          <w:sz w:val="20"/>
          <w:szCs w:val="20"/>
          <w:lang w:val="es-MX"/>
        </w:rPr>
      </w:r>
      <w:r w:rsidR="009032B5">
        <w:rPr>
          <w:rFonts w:ascii="Verdana" w:hAnsi="Verdana" w:cs="Arial"/>
          <w:sz w:val="20"/>
          <w:szCs w:val="20"/>
          <w:lang w:val="es-MX"/>
        </w:rPr>
        <w:fldChar w:fldCharType="separate"/>
      </w:r>
      <w:r w:rsidR="007B61B6">
        <w:rPr>
          <w:rFonts w:ascii="Verdana" w:hAnsi="Verdana" w:cs="Arial"/>
          <w:sz w:val="20"/>
          <w:szCs w:val="20"/>
          <w:lang w:val="es-MX"/>
        </w:rPr>
        <w:t>6</w:t>
      </w:r>
      <w:r w:rsidR="009032B5">
        <w:rPr>
          <w:rFonts w:ascii="Verdana" w:hAnsi="Verdana" w:cs="Arial"/>
          <w:sz w:val="20"/>
          <w:szCs w:val="20"/>
          <w:lang w:val="es-MX"/>
        </w:rPr>
        <w:fldChar w:fldCharType="end"/>
      </w:r>
      <w:r w:rsidR="009032B5">
        <w:rPr>
          <w:rFonts w:ascii="Verdana" w:hAnsi="Verdana" w:cs="Arial"/>
          <w:sz w:val="20"/>
          <w:szCs w:val="20"/>
          <w:lang w:val="es-MX"/>
        </w:rPr>
        <w:t>)</w:t>
      </w:r>
      <w:r w:rsidR="000A63A7" w:rsidRPr="00D37FD9">
        <w:rPr>
          <w:rFonts w:ascii="Verdana" w:hAnsi="Verdana" w:cs="Arial"/>
          <w:sz w:val="20"/>
          <w:szCs w:val="20"/>
          <w:lang w:val="es-MX"/>
        </w:rPr>
        <w:t xml:space="preserve">, </w:t>
      </w:r>
      <w:r w:rsidR="000A63A7">
        <w:rPr>
          <w:rFonts w:ascii="Verdana" w:hAnsi="Verdana" w:cs="Arial"/>
          <w:sz w:val="20"/>
          <w:szCs w:val="20"/>
          <w:lang w:val="es-MX"/>
        </w:rPr>
        <w:t>e</w:t>
      </w:r>
      <w:r w:rsidR="000A63A7" w:rsidRPr="00D37FD9">
        <w:rPr>
          <w:rFonts w:ascii="Verdana" w:hAnsi="Verdana" w:cs="Arial"/>
          <w:i/>
          <w:sz w:val="20"/>
          <w:szCs w:val="20"/>
          <w:lang w:val="es-MX"/>
        </w:rPr>
        <w:t xml:space="preserve">l señor </w:t>
      </w:r>
      <w:proofErr w:type="spellStart"/>
      <w:r w:rsidR="000A63A7" w:rsidRPr="00D37FD9">
        <w:rPr>
          <w:rFonts w:ascii="Verdana" w:hAnsi="Verdana" w:cs="Arial"/>
          <w:i/>
          <w:sz w:val="20"/>
          <w:szCs w:val="20"/>
          <w:lang w:val="es-MX"/>
        </w:rPr>
        <w:t>Fornerón</w:t>
      </w:r>
      <w:proofErr w:type="spellEnd"/>
      <w:r w:rsidR="000A63A7" w:rsidRPr="00D37FD9">
        <w:rPr>
          <w:rFonts w:ascii="Verdana" w:hAnsi="Verdana" w:cs="Arial"/>
          <w:i/>
          <w:sz w:val="20"/>
          <w:szCs w:val="20"/>
          <w:lang w:val="es-MX"/>
        </w:rPr>
        <w:t xml:space="preserve"> y sus representantes</w:t>
      </w:r>
      <w:r w:rsidR="000A63A7">
        <w:rPr>
          <w:rFonts w:ascii="Verdana" w:hAnsi="Verdana" w:cs="Arial"/>
          <w:sz w:val="20"/>
          <w:szCs w:val="20"/>
          <w:lang w:val="es-MX"/>
        </w:rPr>
        <w:t xml:space="preserve"> </w:t>
      </w:r>
      <w:r w:rsidR="000A63A7" w:rsidRPr="000A63A7">
        <w:rPr>
          <w:rFonts w:ascii="Verdana" w:hAnsi="Verdana" w:cs="Arial"/>
          <w:sz w:val="20"/>
          <w:szCs w:val="20"/>
          <w:lang w:val="es-MX"/>
        </w:rPr>
        <w:t xml:space="preserve">realizaron observaciones </w:t>
      </w:r>
      <w:r w:rsidR="000A63A7">
        <w:rPr>
          <w:rFonts w:ascii="Verdana" w:hAnsi="Verdana" w:cs="Arial"/>
          <w:sz w:val="20"/>
          <w:szCs w:val="20"/>
          <w:lang w:val="es-MX"/>
        </w:rPr>
        <w:t xml:space="preserve">relativas a la falta de resultados del proceso de vinculación. Además, el </w:t>
      </w:r>
      <w:r w:rsidR="000A63A7" w:rsidRPr="00D37FD9">
        <w:rPr>
          <w:rFonts w:ascii="Verdana" w:hAnsi="Verdana" w:cs="Arial"/>
          <w:i/>
          <w:sz w:val="20"/>
          <w:szCs w:val="20"/>
          <w:lang w:val="es-MX"/>
        </w:rPr>
        <w:t>señor Fornerón</w:t>
      </w:r>
      <w:r w:rsidR="000A63A7">
        <w:rPr>
          <w:rFonts w:ascii="Verdana" w:hAnsi="Verdana" w:cs="Arial"/>
          <w:sz w:val="20"/>
          <w:szCs w:val="20"/>
          <w:lang w:val="es-MX"/>
        </w:rPr>
        <w:t xml:space="preserve"> indicó </w:t>
      </w:r>
      <w:proofErr w:type="gramStart"/>
      <w:r w:rsidR="000A63A7">
        <w:rPr>
          <w:rFonts w:ascii="Verdana" w:hAnsi="Verdana" w:cs="Arial"/>
          <w:sz w:val="20"/>
          <w:szCs w:val="20"/>
          <w:lang w:val="es-MX"/>
        </w:rPr>
        <w:t>que</w:t>
      </w:r>
      <w:proofErr w:type="gramEnd"/>
      <w:r w:rsidR="000A63A7">
        <w:rPr>
          <w:rFonts w:ascii="Verdana" w:hAnsi="Verdana" w:cs="Arial"/>
          <w:sz w:val="20"/>
          <w:szCs w:val="20"/>
          <w:lang w:val="es-MX"/>
        </w:rPr>
        <w:t xml:space="preserve"> si bien esta situación lo hacía sentir “frustrado”, “</w:t>
      </w:r>
      <w:proofErr w:type="spellStart"/>
      <w:r w:rsidR="000A63A7">
        <w:rPr>
          <w:rFonts w:ascii="Verdana" w:hAnsi="Verdana" w:cs="Arial"/>
          <w:sz w:val="20"/>
          <w:szCs w:val="20"/>
          <w:lang w:val="es-MX"/>
        </w:rPr>
        <w:t>respet</w:t>
      </w:r>
      <w:proofErr w:type="spellEnd"/>
      <w:r w:rsidR="000A63A7">
        <w:rPr>
          <w:rFonts w:ascii="Verdana" w:hAnsi="Verdana" w:cs="Arial"/>
          <w:sz w:val="20"/>
          <w:szCs w:val="20"/>
          <w:lang w:val="es-MX"/>
        </w:rPr>
        <w:t>[aba] a [su] hija [M.]</w:t>
      </w:r>
      <w:r w:rsidR="005F5E06">
        <w:rPr>
          <w:rFonts w:ascii="Verdana" w:hAnsi="Verdana" w:cs="Arial"/>
          <w:sz w:val="20"/>
          <w:szCs w:val="20"/>
          <w:lang w:val="es-MX"/>
        </w:rPr>
        <w:t>,</w:t>
      </w:r>
      <w:r w:rsidR="000A63A7">
        <w:rPr>
          <w:rFonts w:ascii="Verdana" w:hAnsi="Verdana" w:cs="Arial"/>
          <w:sz w:val="20"/>
          <w:szCs w:val="20"/>
          <w:lang w:val="es-MX"/>
        </w:rPr>
        <w:t xml:space="preserve"> que es mayor de edad” y sostuvo que “cuando [ella] </w:t>
      </w:r>
      <w:proofErr w:type="spellStart"/>
      <w:r w:rsidR="000A63A7">
        <w:rPr>
          <w:rFonts w:ascii="Verdana" w:hAnsi="Verdana" w:cs="Arial"/>
          <w:sz w:val="20"/>
          <w:szCs w:val="20"/>
          <w:lang w:val="es-MX"/>
        </w:rPr>
        <w:t>est</w:t>
      </w:r>
      <w:proofErr w:type="spellEnd"/>
      <w:r w:rsidR="000A63A7">
        <w:rPr>
          <w:rFonts w:ascii="Verdana" w:hAnsi="Verdana" w:cs="Arial"/>
          <w:sz w:val="20"/>
          <w:szCs w:val="20"/>
          <w:lang w:val="es-MX"/>
        </w:rPr>
        <w:t>[</w:t>
      </w:r>
      <w:proofErr w:type="spellStart"/>
      <w:r w:rsidR="000A63A7">
        <w:rPr>
          <w:rFonts w:ascii="Verdana" w:hAnsi="Verdana" w:cs="Arial"/>
          <w:sz w:val="20"/>
          <w:szCs w:val="20"/>
          <w:lang w:val="es-MX"/>
        </w:rPr>
        <w:t>uviera</w:t>
      </w:r>
      <w:proofErr w:type="spellEnd"/>
      <w:r w:rsidR="000A63A7">
        <w:rPr>
          <w:rFonts w:ascii="Verdana" w:hAnsi="Verdana" w:cs="Arial"/>
          <w:sz w:val="20"/>
          <w:szCs w:val="20"/>
          <w:lang w:val="es-MX"/>
        </w:rPr>
        <w:t xml:space="preserve">] dispuesta [a conocer lo que pasó] las puertas de [su] casa esta[rían] abiertas”. Por su parte, la </w:t>
      </w:r>
      <w:r w:rsidR="000A63A7" w:rsidRPr="00D37FD9">
        <w:rPr>
          <w:rFonts w:ascii="Verdana" w:hAnsi="Verdana" w:cs="Arial"/>
          <w:i/>
          <w:sz w:val="20"/>
          <w:szCs w:val="20"/>
          <w:lang w:val="es-MX"/>
        </w:rPr>
        <w:t>Comisión Interamericana</w:t>
      </w:r>
      <w:r w:rsidR="000A63A7">
        <w:rPr>
          <w:rFonts w:ascii="Verdana" w:hAnsi="Verdana" w:cs="Arial"/>
          <w:sz w:val="20"/>
          <w:szCs w:val="20"/>
          <w:lang w:val="es-MX"/>
        </w:rPr>
        <w:t xml:space="preserve"> reconoció </w:t>
      </w:r>
      <w:r w:rsidR="000A63A7" w:rsidRPr="000A63A7">
        <w:rPr>
          <w:rFonts w:ascii="Verdana" w:hAnsi="Verdana" w:cs="Arial"/>
          <w:sz w:val="20"/>
          <w:szCs w:val="20"/>
          <w:lang w:val="es-MX"/>
        </w:rPr>
        <w:t xml:space="preserve">la “valentía, </w:t>
      </w:r>
      <w:r w:rsidR="009032B5">
        <w:rPr>
          <w:rFonts w:ascii="Verdana" w:hAnsi="Verdana" w:cs="Arial"/>
          <w:sz w:val="20"/>
          <w:szCs w:val="20"/>
          <w:lang w:val="es-MX"/>
        </w:rPr>
        <w:t xml:space="preserve">la </w:t>
      </w:r>
      <w:r w:rsidR="000A63A7" w:rsidRPr="000A63A7">
        <w:rPr>
          <w:rFonts w:ascii="Verdana" w:hAnsi="Verdana" w:cs="Arial"/>
          <w:sz w:val="20"/>
          <w:szCs w:val="20"/>
          <w:lang w:val="es-MX"/>
        </w:rPr>
        <w:t>persistencia y los esfuerzos desplegados por el señor Fornerón durante todos estos años</w:t>
      </w:r>
      <w:r w:rsidR="000A63A7">
        <w:rPr>
          <w:rFonts w:ascii="Verdana" w:hAnsi="Verdana" w:cs="Arial"/>
          <w:sz w:val="20"/>
          <w:szCs w:val="20"/>
          <w:lang w:val="es-MX"/>
        </w:rPr>
        <w:t>”</w:t>
      </w:r>
      <w:r w:rsidR="00EC474F">
        <w:rPr>
          <w:rFonts w:ascii="Verdana" w:hAnsi="Verdana" w:cs="Arial"/>
          <w:sz w:val="20"/>
          <w:szCs w:val="20"/>
          <w:lang w:val="es-MX"/>
        </w:rPr>
        <w:t xml:space="preserve">, y </w:t>
      </w:r>
      <w:r w:rsidR="000A63A7" w:rsidRPr="000A63A7">
        <w:rPr>
          <w:rFonts w:ascii="Verdana" w:hAnsi="Verdana" w:cs="Arial"/>
          <w:sz w:val="20"/>
          <w:szCs w:val="20"/>
          <w:lang w:val="es-MX"/>
        </w:rPr>
        <w:t>“</w:t>
      </w:r>
      <w:proofErr w:type="spellStart"/>
      <w:proofErr w:type="gramStart"/>
      <w:r w:rsidR="000A63A7" w:rsidRPr="000A63A7">
        <w:rPr>
          <w:rFonts w:ascii="Verdana" w:hAnsi="Verdana" w:cs="Arial"/>
          <w:sz w:val="20"/>
          <w:szCs w:val="20"/>
          <w:lang w:val="es-MX"/>
        </w:rPr>
        <w:t>lament</w:t>
      </w:r>
      <w:proofErr w:type="spellEnd"/>
      <w:r w:rsidR="000A63A7" w:rsidRPr="000A63A7">
        <w:rPr>
          <w:rFonts w:ascii="Verdana" w:hAnsi="Verdana" w:cs="Arial"/>
          <w:sz w:val="20"/>
          <w:szCs w:val="20"/>
          <w:lang w:val="es-MX"/>
        </w:rPr>
        <w:t>[</w:t>
      </w:r>
      <w:proofErr w:type="spellStart"/>
      <w:proofErr w:type="gramEnd"/>
      <w:r w:rsidR="000A63A7" w:rsidRPr="000A63A7">
        <w:rPr>
          <w:rFonts w:ascii="Verdana" w:hAnsi="Verdana" w:cs="Arial"/>
          <w:sz w:val="20"/>
          <w:szCs w:val="20"/>
          <w:lang w:val="es-MX"/>
        </w:rPr>
        <w:t>ó</w:t>
      </w:r>
      <w:proofErr w:type="spellEnd"/>
      <w:r w:rsidR="000A63A7" w:rsidRPr="000A63A7">
        <w:rPr>
          <w:rFonts w:ascii="Verdana" w:hAnsi="Verdana" w:cs="Arial"/>
          <w:sz w:val="20"/>
          <w:szCs w:val="20"/>
          <w:lang w:val="es-MX"/>
        </w:rPr>
        <w:t xml:space="preserve"> …] no se […] logra[</w:t>
      </w:r>
      <w:proofErr w:type="spellStart"/>
      <w:r w:rsidR="000A63A7" w:rsidRPr="000A63A7">
        <w:rPr>
          <w:rFonts w:ascii="Verdana" w:hAnsi="Verdana" w:cs="Arial"/>
          <w:sz w:val="20"/>
          <w:szCs w:val="20"/>
          <w:lang w:val="es-MX"/>
        </w:rPr>
        <w:t>ra</w:t>
      </w:r>
      <w:proofErr w:type="spellEnd"/>
      <w:r w:rsidR="000A63A7" w:rsidRPr="000A63A7">
        <w:rPr>
          <w:rFonts w:ascii="Verdana" w:hAnsi="Verdana" w:cs="Arial"/>
          <w:sz w:val="20"/>
          <w:szCs w:val="20"/>
          <w:lang w:val="es-MX"/>
        </w:rPr>
        <w:t>] establecer ese vínculo”</w:t>
      </w:r>
      <w:r w:rsidR="00EC474F">
        <w:rPr>
          <w:rFonts w:ascii="Verdana" w:hAnsi="Verdana" w:cs="Arial"/>
          <w:sz w:val="20"/>
          <w:szCs w:val="20"/>
          <w:lang w:val="es-MX"/>
        </w:rPr>
        <w:t xml:space="preserve">. </w:t>
      </w:r>
      <w:r w:rsidR="000A63A7">
        <w:rPr>
          <w:rFonts w:ascii="Verdana" w:hAnsi="Verdana" w:cs="Arial"/>
          <w:sz w:val="20"/>
          <w:szCs w:val="20"/>
          <w:lang w:val="es-MX"/>
        </w:rPr>
        <w:t>N</w:t>
      </w:r>
      <w:r w:rsidR="000A63A7" w:rsidRPr="000A63A7">
        <w:rPr>
          <w:rFonts w:ascii="Verdana" w:hAnsi="Verdana" w:cs="Arial"/>
          <w:sz w:val="20"/>
          <w:szCs w:val="20"/>
          <w:lang w:val="es-MX"/>
        </w:rPr>
        <w:t>o obstante</w:t>
      </w:r>
      <w:r w:rsidR="000A63A7">
        <w:rPr>
          <w:rFonts w:ascii="Verdana" w:hAnsi="Verdana" w:cs="Arial"/>
          <w:sz w:val="20"/>
          <w:szCs w:val="20"/>
          <w:lang w:val="es-MX"/>
        </w:rPr>
        <w:t>,</w:t>
      </w:r>
      <w:r w:rsidR="007430FB">
        <w:rPr>
          <w:rFonts w:ascii="Verdana" w:hAnsi="Verdana" w:cs="Arial"/>
          <w:sz w:val="20"/>
          <w:szCs w:val="20"/>
          <w:lang w:val="es-MX"/>
        </w:rPr>
        <w:t xml:space="preserve"> “</w:t>
      </w:r>
      <w:proofErr w:type="spellStart"/>
      <w:r w:rsidR="007430FB">
        <w:rPr>
          <w:rFonts w:ascii="Verdana" w:hAnsi="Verdana" w:cs="Arial"/>
          <w:sz w:val="20"/>
          <w:szCs w:val="20"/>
          <w:lang w:val="es-MX"/>
        </w:rPr>
        <w:t>consider</w:t>
      </w:r>
      <w:proofErr w:type="spellEnd"/>
      <w:r w:rsidR="007430FB">
        <w:rPr>
          <w:rFonts w:ascii="Verdana" w:hAnsi="Verdana" w:cs="Arial"/>
          <w:sz w:val="20"/>
          <w:szCs w:val="20"/>
          <w:lang w:val="es-MX"/>
        </w:rPr>
        <w:t>[</w:t>
      </w:r>
      <w:proofErr w:type="spellStart"/>
      <w:r w:rsidR="007430FB">
        <w:rPr>
          <w:rFonts w:ascii="Verdana" w:hAnsi="Verdana" w:cs="Arial"/>
          <w:sz w:val="20"/>
          <w:szCs w:val="20"/>
          <w:lang w:val="es-MX"/>
        </w:rPr>
        <w:t>ó</w:t>
      </w:r>
      <w:proofErr w:type="spellEnd"/>
      <w:r w:rsidR="007430FB">
        <w:rPr>
          <w:rFonts w:ascii="Verdana" w:hAnsi="Verdana" w:cs="Arial"/>
          <w:sz w:val="20"/>
          <w:szCs w:val="20"/>
          <w:lang w:val="es-MX"/>
        </w:rPr>
        <w:t xml:space="preserve"> …] </w:t>
      </w:r>
      <w:r w:rsidR="000A63A7" w:rsidRPr="000A63A7">
        <w:rPr>
          <w:rFonts w:ascii="Verdana" w:hAnsi="Verdana" w:cs="Arial"/>
          <w:sz w:val="20"/>
          <w:szCs w:val="20"/>
          <w:lang w:val="es-MX"/>
        </w:rPr>
        <w:t>necesario aceptar la voluntad de [M.]”</w:t>
      </w:r>
      <w:r w:rsidR="000A63A7">
        <w:rPr>
          <w:rFonts w:ascii="Verdana" w:hAnsi="Verdana" w:cs="Arial"/>
          <w:sz w:val="20"/>
          <w:szCs w:val="20"/>
          <w:lang w:val="es-MX"/>
        </w:rPr>
        <w:t xml:space="preserve">, y </w:t>
      </w:r>
      <w:r w:rsidR="000A63A7" w:rsidRPr="000A63A7">
        <w:rPr>
          <w:rFonts w:ascii="Verdana" w:hAnsi="Verdana" w:cs="Arial"/>
          <w:sz w:val="20"/>
          <w:szCs w:val="20"/>
          <w:lang w:val="es-MX"/>
        </w:rPr>
        <w:t>“</w:t>
      </w:r>
      <w:proofErr w:type="spellStart"/>
      <w:r w:rsidR="000A63A7" w:rsidRPr="000A63A7">
        <w:rPr>
          <w:rFonts w:ascii="Verdana" w:hAnsi="Verdana" w:cs="Arial"/>
          <w:sz w:val="20"/>
          <w:szCs w:val="20"/>
          <w:lang w:val="es-MX"/>
        </w:rPr>
        <w:t>sugi</w:t>
      </w:r>
      <w:proofErr w:type="spellEnd"/>
      <w:r w:rsidR="000A63A7" w:rsidRPr="000A63A7">
        <w:rPr>
          <w:rFonts w:ascii="Verdana" w:hAnsi="Verdana" w:cs="Arial"/>
          <w:sz w:val="20"/>
          <w:szCs w:val="20"/>
          <w:lang w:val="es-MX"/>
        </w:rPr>
        <w:t>[</w:t>
      </w:r>
      <w:proofErr w:type="spellStart"/>
      <w:r w:rsidR="000A63A7" w:rsidRPr="000A63A7">
        <w:rPr>
          <w:rFonts w:ascii="Verdana" w:hAnsi="Verdana" w:cs="Arial"/>
          <w:sz w:val="20"/>
          <w:szCs w:val="20"/>
          <w:lang w:val="es-MX"/>
        </w:rPr>
        <w:t>rió</w:t>
      </w:r>
      <w:proofErr w:type="spellEnd"/>
      <w:r w:rsidR="000A63A7" w:rsidRPr="000A63A7">
        <w:rPr>
          <w:rFonts w:ascii="Verdana" w:hAnsi="Verdana" w:cs="Arial"/>
          <w:sz w:val="20"/>
          <w:szCs w:val="20"/>
          <w:lang w:val="es-MX"/>
        </w:rPr>
        <w:t xml:space="preserve">] a la Corte […] </w:t>
      </w:r>
      <w:proofErr w:type="spellStart"/>
      <w:r w:rsidR="000A63A7" w:rsidRPr="000A63A7">
        <w:rPr>
          <w:rFonts w:ascii="Verdana" w:hAnsi="Verdana" w:cs="Arial"/>
          <w:sz w:val="20"/>
          <w:szCs w:val="20"/>
          <w:lang w:val="es-MX"/>
        </w:rPr>
        <w:t>confirm</w:t>
      </w:r>
      <w:proofErr w:type="spellEnd"/>
      <w:r w:rsidR="000A63A7" w:rsidRPr="000A63A7">
        <w:rPr>
          <w:rFonts w:ascii="Verdana" w:hAnsi="Verdana" w:cs="Arial"/>
          <w:sz w:val="20"/>
          <w:szCs w:val="20"/>
          <w:lang w:val="es-MX"/>
        </w:rPr>
        <w:t xml:space="preserve">[ar] que efectivamente [M.] tiene conocimiento de la verdad </w:t>
      </w:r>
      <w:r w:rsidR="00EC474F">
        <w:rPr>
          <w:rFonts w:ascii="Verdana" w:hAnsi="Verdana" w:cs="Arial"/>
          <w:sz w:val="20"/>
          <w:szCs w:val="20"/>
          <w:lang w:val="es-MX"/>
        </w:rPr>
        <w:t>[…</w:t>
      </w:r>
      <w:r w:rsidR="000A63A7" w:rsidRPr="000A63A7">
        <w:rPr>
          <w:rFonts w:ascii="Verdana" w:hAnsi="Verdana" w:cs="Arial"/>
          <w:sz w:val="20"/>
          <w:szCs w:val="20"/>
          <w:lang w:val="es-MX"/>
        </w:rPr>
        <w:t xml:space="preserve"> de</w:t>
      </w:r>
      <w:r w:rsidR="009032B5">
        <w:rPr>
          <w:rFonts w:ascii="Verdana" w:hAnsi="Verdana" w:cs="Arial"/>
          <w:sz w:val="20"/>
          <w:szCs w:val="20"/>
          <w:lang w:val="es-MX"/>
        </w:rPr>
        <w:t>]</w:t>
      </w:r>
      <w:r w:rsidR="000A63A7" w:rsidRPr="000A63A7">
        <w:rPr>
          <w:rFonts w:ascii="Verdana" w:hAnsi="Verdana" w:cs="Arial"/>
          <w:sz w:val="20"/>
          <w:szCs w:val="20"/>
          <w:lang w:val="es-MX"/>
        </w:rPr>
        <w:t xml:space="preserve"> lo que le sucedió y que el Estado se asegure de proporcionarle toda la información, no sólo del señor Fornerón, sino de sus hermanos y de su familia biológica para que</w:t>
      </w:r>
      <w:r w:rsidR="00332F69">
        <w:rPr>
          <w:rFonts w:ascii="Verdana" w:hAnsi="Verdana" w:cs="Arial"/>
          <w:sz w:val="20"/>
          <w:szCs w:val="20"/>
          <w:lang w:val="es-MX"/>
        </w:rPr>
        <w:t>,</w:t>
      </w:r>
      <w:r w:rsidR="000A63A7" w:rsidRPr="000A63A7">
        <w:rPr>
          <w:rFonts w:ascii="Verdana" w:hAnsi="Verdana" w:cs="Arial"/>
          <w:sz w:val="20"/>
          <w:szCs w:val="20"/>
          <w:lang w:val="es-MX"/>
        </w:rPr>
        <w:t xml:space="preserve"> en caso que en un futuro sienta la necesidad de acercarse</w:t>
      </w:r>
      <w:r w:rsidR="00332F69">
        <w:rPr>
          <w:rFonts w:ascii="Verdana" w:hAnsi="Verdana" w:cs="Arial"/>
          <w:sz w:val="20"/>
          <w:szCs w:val="20"/>
          <w:lang w:val="es-MX"/>
        </w:rPr>
        <w:t>,</w:t>
      </w:r>
      <w:r w:rsidR="000A63A7" w:rsidRPr="000A63A7">
        <w:rPr>
          <w:rFonts w:ascii="Verdana" w:hAnsi="Verdana" w:cs="Arial"/>
          <w:sz w:val="20"/>
          <w:szCs w:val="20"/>
          <w:lang w:val="es-MX"/>
        </w:rPr>
        <w:t xml:space="preserve"> tenga todos estos elementos”. </w:t>
      </w:r>
    </w:p>
    <w:p w14:paraId="2AF97DF6" w14:textId="77777777" w:rsidR="00047F09" w:rsidRDefault="00047F09" w:rsidP="009B05C8">
      <w:pPr>
        <w:pStyle w:val="Prrafodelista"/>
        <w:tabs>
          <w:tab w:val="left" w:pos="0"/>
        </w:tabs>
        <w:autoSpaceDE w:val="0"/>
        <w:autoSpaceDN w:val="0"/>
        <w:adjustRightInd w:val="0"/>
        <w:spacing w:after="0" w:line="240" w:lineRule="auto"/>
        <w:ind w:left="0" w:right="96"/>
        <w:contextualSpacing w:val="0"/>
        <w:jc w:val="both"/>
        <w:rPr>
          <w:rFonts w:ascii="Verdana" w:hAnsi="Verdana" w:cs="Arial"/>
          <w:sz w:val="20"/>
          <w:szCs w:val="20"/>
          <w:lang w:val="es-MX"/>
        </w:rPr>
      </w:pPr>
    </w:p>
    <w:p w14:paraId="40620DA0" w14:textId="2DAEA3AF" w:rsidR="00EC474F" w:rsidRPr="007430FB" w:rsidRDefault="00243A3E" w:rsidP="009B05C8">
      <w:pPr>
        <w:pStyle w:val="Prrafodelista"/>
        <w:numPr>
          <w:ilvl w:val="0"/>
          <w:numId w:val="3"/>
        </w:numPr>
        <w:tabs>
          <w:tab w:val="left" w:pos="0"/>
        </w:tabs>
        <w:autoSpaceDE w:val="0"/>
        <w:autoSpaceDN w:val="0"/>
        <w:adjustRightInd w:val="0"/>
        <w:spacing w:after="0" w:line="240" w:lineRule="auto"/>
        <w:ind w:left="0" w:right="96" w:firstLine="0"/>
        <w:jc w:val="both"/>
        <w:rPr>
          <w:rFonts w:ascii="Verdana" w:hAnsi="Verdana" w:cs="Arial"/>
          <w:sz w:val="20"/>
          <w:szCs w:val="20"/>
          <w:lang w:val="es-MX"/>
        </w:rPr>
      </w:pPr>
      <w:r w:rsidRPr="007430FB">
        <w:rPr>
          <w:rFonts w:ascii="Verdana" w:hAnsi="Verdana" w:cs="Arial"/>
          <w:sz w:val="20"/>
          <w:szCs w:val="20"/>
          <w:lang w:val="es-MX"/>
        </w:rPr>
        <w:t>L</w:t>
      </w:r>
      <w:r w:rsidR="00EC474F" w:rsidRPr="007430FB">
        <w:rPr>
          <w:rFonts w:ascii="Verdana" w:hAnsi="Verdana" w:cs="Arial"/>
          <w:sz w:val="20"/>
          <w:szCs w:val="20"/>
          <w:lang w:val="es-MX"/>
        </w:rPr>
        <w:t>a Corte lamenta que esta medida no haya tenido el efecto reparador que el señor Fornerón esperaba</w:t>
      </w:r>
      <w:r w:rsidR="004A5C40" w:rsidRPr="007430FB">
        <w:rPr>
          <w:rFonts w:ascii="Verdana" w:hAnsi="Verdana" w:cs="Arial"/>
          <w:sz w:val="20"/>
          <w:szCs w:val="20"/>
          <w:lang w:val="es-MX"/>
        </w:rPr>
        <w:t xml:space="preserve">. </w:t>
      </w:r>
      <w:r w:rsidR="00712695">
        <w:rPr>
          <w:rFonts w:ascii="Verdana" w:hAnsi="Verdana" w:cs="Arial"/>
          <w:sz w:val="20"/>
          <w:szCs w:val="20"/>
          <w:lang w:val="es-MX"/>
        </w:rPr>
        <w:t>A este resultado se llega por todas las violaciones a derechos humanos constatadas en la Sentencia del presente caso, que ocurrieron desde el nacimiento de M</w:t>
      </w:r>
      <w:r w:rsidR="005F5E06">
        <w:rPr>
          <w:rFonts w:ascii="Verdana" w:hAnsi="Verdana" w:cs="Arial"/>
          <w:sz w:val="20"/>
          <w:szCs w:val="20"/>
          <w:lang w:val="es-MX"/>
        </w:rPr>
        <w:t>.</w:t>
      </w:r>
      <w:r w:rsidR="00332F69">
        <w:rPr>
          <w:rFonts w:ascii="Verdana" w:hAnsi="Verdana" w:cs="Arial"/>
          <w:sz w:val="20"/>
          <w:szCs w:val="20"/>
          <w:lang w:val="es-MX"/>
        </w:rPr>
        <w:t xml:space="preserve"> (</w:t>
      </w:r>
      <w:r w:rsidR="00332F69">
        <w:rPr>
          <w:rFonts w:ascii="Verdana" w:hAnsi="Verdana" w:cs="Arial"/>
          <w:i/>
          <w:sz w:val="20"/>
          <w:szCs w:val="20"/>
          <w:lang w:val="es-MX"/>
        </w:rPr>
        <w:t xml:space="preserve">supra </w:t>
      </w:r>
      <w:r w:rsidR="00332F69">
        <w:rPr>
          <w:rFonts w:ascii="Verdana" w:hAnsi="Verdana" w:cs="Arial"/>
          <w:sz w:val="20"/>
          <w:szCs w:val="20"/>
          <w:lang w:val="es-MX"/>
        </w:rPr>
        <w:t xml:space="preserve">Visto </w:t>
      </w:r>
      <w:r w:rsidR="00332F69">
        <w:rPr>
          <w:rFonts w:ascii="Verdana" w:hAnsi="Verdana" w:cs="Arial"/>
          <w:sz w:val="20"/>
          <w:szCs w:val="20"/>
          <w:lang w:val="es-MX"/>
        </w:rPr>
        <w:fldChar w:fldCharType="begin"/>
      </w:r>
      <w:r w:rsidR="00332F69">
        <w:rPr>
          <w:rFonts w:ascii="Verdana" w:hAnsi="Verdana" w:cs="Arial"/>
          <w:sz w:val="20"/>
          <w:szCs w:val="20"/>
          <w:lang w:val="es-MX"/>
        </w:rPr>
        <w:instrText xml:space="preserve"> REF _Ref21531402 \r \h </w:instrText>
      </w:r>
      <w:r w:rsidR="00332F69">
        <w:rPr>
          <w:rFonts w:ascii="Verdana" w:hAnsi="Verdana" w:cs="Arial"/>
          <w:sz w:val="20"/>
          <w:szCs w:val="20"/>
          <w:lang w:val="es-MX"/>
        </w:rPr>
      </w:r>
      <w:r w:rsidR="00332F69">
        <w:rPr>
          <w:rFonts w:ascii="Verdana" w:hAnsi="Verdana" w:cs="Arial"/>
          <w:sz w:val="20"/>
          <w:szCs w:val="20"/>
          <w:lang w:val="es-MX"/>
        </w:rPr>
        <w:fldChar w:fldCharType="separate"/>
      </w:r>
      <w:r w:rsidR="007B61B6">
        <w:rPr>
          <w:rFonts w:ascii="Verdana" w:hAnsi="Verdana" w:cs="Arial"/>
          <w:sz w:val="20"/>
          <w:szCs w:val="20"/>
          <w:lang w:val="es-MX"/>
        </w:rPr>
        <w:t>1</w:t>
      </w:r>
      <w:r w:rsidR="00332F69">
        <w:rPr>
          <w:rFonts w:ascii="Verdana" w:hAnsi="Verdana" w:cs="Arial"/>
          <w:sz w:val="20"/>
          <w:szCs w:val="20"/>
          <w:lang w:val="es-MX"/>
        </w:rPr>
        <w:fldChar w:fldCharType="end"/>
      </w:r>
      <w:r w:rsidR="00332F69">
        <w:rPr>
          <w:rFonts w:ascii="Verdana" w:hAnsi="Verdana" w:cs="Arial"/>
          <w:sz w:val="20"/>
          <w:szCs w:val="20"/>
          <w:lang w:val="es-MX"/>
        </w:rPr>
        <w:t>)</w:t>
      </w:r>
      <w:r w:rsidR="00712695">
        <w:rPr>
          <w:rFonts w:ascii="Verdana" w:hAnsi="Verdana" w:cs="Arial"/>
          <w:sz w:val="20"/>
          <w:szCs w:val="20"/>
          <w:lang w:val="es-MX"/>
        </w:rPr>
        <w:t xml:space="preserve">. Como consecuencia de </w:t>
      </w:r>
      <w:r w:rsidR="005F5E06">
        <w:rPr>
          <w:rFonts w:ascii="Verdana" w:hAnsi="Verdana" w:cs="Arial"/>
          <w:sz w:val="20"/>
          <w:szCs w:val="20"/>
          <w:lang w:val="es-MX"/>
        </w:rPr>
        <w:t>dichas violaciones</w:t>
      </w:r>
      <w:r w:rsidR="00712695">
        <w:rPr>
          <w:rFonts w:ascii="Verdana" w:hAnsi="Verdana" w:cs="Arial"/>
          <w:sz w:val="20"/>
          <w:szCs w:val="20"/>
          <w:lang w:val="es-MX"/>
        </w:rPr>
        <w:t xml:space="preserve">, el proceso de vinculación entre el señor Fornerón y su hija M. inició, por orden de este Tribunal, recién cuando M. tenía 12 años. Por consiguiente, </w:t>
      </w:r>
      <w:r w:rsidR="003C2BA9" w:rsidRPr="007430FB">
        <w:rPr>
          <w:rFonts w:ascii="Verdana" w:hAnsi="Verdana" w:cs="Arial"/>
          <w:sz w:val="20"/>
          <w:szCs w:val="20"/>
          <w:lang w:val="es-MX"/>
        </w:rPr>
        <w:t>el transcurso del tiempo</w:t>
      </w:r>
      <w:r w:rsidR="00712695">
        <w:rPr>
          <w:rFonts w:ascii="Verdana" w:hAnsi="Verdana" w:cs="Arial"/>
          <w:sz w:val="20"/>
          <w:szCs w:val="20"/>
          <w:lang w:val="es-MX"/>
        </w:rPr>
        <w:t>, imputable al Estado,</w:t>
      </w:r>
      <w:r w:rsidR="003C2BA9" w:rsidRPr="007430FB">
        <w:rPr>
          <w:rFonts w:ascii="Verdana" w:hAnsi="Verdana" w:cs="Arial"/>
          <w:sz w:val="20"/>
          <w:szCs w:val="20"/>
          <w:lang w:val="es-MX"/>
        </w:rPr>
        <w:t xml:space="preserve"> tuvo un </w:t>
      </w:r>
      <w:r w:rsidRPr="007430FB">
        <w:rPr>
          <w:rFonts w:ascii="Verdana" w:hAnsi="Verdana" w:cs="Arial"/>
          <w:sz w:val="20"/>
          <w:szCs w:val="20"/>
          <w:lang w:val="es-MX"/>
        </w:rPr>
        <w:t>impacto negativo en el desarrollo de</w:t>
      </w:r>
      <w:r w:rsidR="00712695">
        <w:rPr>
          <w:rFonts w:ascii="Verdana" w:hAnsi="Verdana" w:cs="Arial"/>
          <w:sz w:val="20"/>
          <w:szCs w:val="20"/>
          <w:lang w:val="es-MX"/>
        </w:rPr>
        <w:t xml:space="preserve"> dicho</w:t>
      </w:r>
      <w:r w:rsidRPr="007430FB">
        <w:rPr>
          <w:rFonts w:ascii="Verdana" w:hAnsi="Verdana" w:cs="Arial"/>
          <w:sz w:val="20"/>
          <w:szCs w:val="20"/>
          <w:lang w:val="es-MX"/>
        </w:rPr>
        <w:t xml:space="preserve"> vínculo</w:t>
      </w:r>
      <w:r w:rsidR="00712695">
        <w:rPr>
          <w:rFonts w:ascii="Verdana" w:hAnsi="Verdana" w:cs="Arial"/>
          <w:sz w:val="20"/>
          <w:szCs w:val="20"/>
          <w:lang w:val="es-MX"/>
        </w:rPr>
        <w:t>.</w:t>
      </w:r>
      <w:r w:rsidRPr="007430FB">
        <w:rPr>
          <w:rFonts w:ascii="Verdana" w:hAnsi="Verdana" w:cs="Arial"/>
          <w:sz w:val="20"/>
          <w:szCs w:val="20"/>
        </w:rPr>
        <w:t xml:space="preserve"> </w:t>
      </w:r>
      <w:r w:rsidR="00712695">
        <w:rPr>
          <w:rFonts w:ascii="Verdana" w:hAnsi="Verdana" w:cs="Arial"/>
          <w:sz w:val="20"/>
          <w:szCs w:val="20"/>
        </w:rPr>
        <w:t>N</w:t>
      </w:r>
      <w:r w:rsidRPr="007430FB">
        <w:rPr>
          <w:rFonts w:ascii="Verdana" w:hAnsi="Verdana" w:cs="Arial"/>
          <w:sz w:val="20"/>
          <w:szCs w:val="20"/>
        </w:rPr>
        <w:t>o</w:t>
      </w:r>
      <w:r w:rsidR="00332F69">
        <w:rPr>
          <w:rFonts w:ascii="Verdana" w:hAnsi="Verdana" w:cs="Arial"/>
          <w:sz w:val="20"/>
          <w:szCs w:val="20"/>
        </w:rPr>
        <w:t xml:space="preserve"> </w:t>
      </w:r>
      <w:proofErr w:type="gramStart"/>
      <w:r w:rsidR="00332F69">
        <w:rPr>
          <w:rFonts w:ascii="Verdana" w:hAnsi="Verdana" w:cs="Arial"/>
          <w:sz w:val="20"/>
          <w:szCs w:val="20"/>
        </w:rPr>
        <w:t>o</w:t>
      </w:r>
      <w:r w:rsidRPr="007430FB">
        <w:rPr>
          <w:rFonts w:ascii="Verdana" w:hAnsi="Verdana" w:cs="Arial"/>
          <w:sz w:val="20"/>
          <w:szCs w:val="20"/>
        </w:rPr>
        <w:t>bstante</w:t>
      </w:r>
      <w:proofErr w:type="gramEnd"/>
      <w:r w:rsidRPr="007430FB">
        <w:rPr>
          <w:rFonts w:ascii="Verdana" w:hAnsi="Verdana" w:cs="Arial"/>
          <w:sz w:val="20"/>
          <w:szCs w:val="20"/>
        </w:rPr>
        <w:t xml:space="preserve"> lo anterior, </w:t>
      </w:r>
      <w:r w:rsidR="00EC474F" w:rsidRPr="007430FB">
        <w:rPr>
          <w:rFonts w:ascii="Verdana" w:hAnsi="Verdana" w:cs="Arial"/>
          <w:sz w:val="20"/>
          <w:szCs w:val="20"/>
          <w:lang w:val="es-MX"/>
        </w:rPr>
        <w:t xml:space="preserve">es importante destacar que parte fundamental de </w:t>
      </w:r>
      <w:r w:rsidRPr="007430FB">
        <w:rPr>
          <w:rFonts w:ascii="Verdana" w:hAnsi="Verdana" w:cs="Arial"/>
          <w:sz w:val="20"/>
          <w:szCs w:val="20"/>
          <w:lang w:val="es-MX"/>
        </w:rPr>
        <w:t>la</w:t>
      </w:r>
      <w:r w:rsidR="00EC474F" w:rsidRPr="007430FB">
        <w:rPr>
          <w:rFonts w:ascii="Verdana" w:hAnsi="Verdana" w:cs="Arial"/>
          <w:sz w:val="20"/>
          <w:szCs w:val="20"/>
          <w:lang w:val="es-MX"/>
        </w:rPr>
        <w:t xml:space="preserve"> implementación </w:t>
      </w:r>
      <w:r w:rsidRPr="007430FB">
        <w:rPr>
          <w:rFonts w:ascii="Verdana" w:hAnsi="Verdana" w:cs="Arial"/>
          <w:sz w:val="20"/>
          <w:szCs w:val="20"/>
          <w:lang w:val="es-MX"/>
        </w:rPr>
        <w:t xml:space="preserve">de esta medida </w:t>
      </w:r>
      <w:r w:rsidR="00EC474F" w:rsidRPr="007430FB">
        <w:rPr>
          <w:rFonts w:ascii="Verdana" w:hAnsi="Verdana" w:cs="Arial"/>
          <w:sz w:val="20"/>
          <w:szCs w:val="20"/>
          <w:lang w:val="es-MX"/>
        </w:rPr>
        <w:t>era respetar la voluntad y opinión de M., la cual</w:t>
      </w:r>
      <w:r w:rsidR="00A220C1" w:rsidRPr="007430FB">
        <w:rPr>
          <w:rFonts w:ascii="Verdana" w:hAnsi="Verdana" w:cs="Arial"/>
          <w:sz w:val="20"/>
          <w:szCs w:val="20"/>
          <w:lang w:val="es-MX"/>
        </w:rPr>
        <w:t>,</w:t>
      </w:r>
      <w:r w:rsidR="00EC474F" w:rsidRPr="007430FB">
        <w:rPr>
          <w:rFonts w:ascii="Verdana" w:hAnsi="Verdana" w:cs="Arial"/>
          <w:sz w:val="20"/>
          <w:szCs w:val="20"/>
          <w:lang w:val="es-MX"/>
        </w:rPr>
        <w:t xml:space="preserve"> en este momento</w:t>
      </w:r>
      <w:r w:rsidR="00A220C1" w:rsidRPr="007430FB">
        <w:rPr>
          <w:rFonts w:ascii="Verdana" w:hAnsi="Verdana" w:cs="Arial"/>
          <w:sz w:val="20"/>
          <w:szCs w:val="20"/>
          <w:lang w:val="es-MX"/>
        </w:rPr>
        <w:t>, al haber cumplido la mayoría de edad es suspender su ejecución (</w:t>
      </w:r>
      <w:r w:rsidR="00A220C1" w:rsidRPr="007430FB">
        <w:rPr>
          <w:rFonts w:ascii="Verdana" w:hAnsi="Verdana" w:cs="Arial"/>
          <w:i/>
          <w:sz w:val="20"/>
          <w:szCs w:val="20"/>
          <w:lang w:val="es-MX"/>
        </w:rPr>
        <w:t>supra</w:t>
      </w:r>
      <w:r w:rsidR="00A220C1" w:rsidRPr="007430FB">
        <w:rPr>
          <w:rFonts w:ascii="Verdana" w:hAnsi="Verdana" w:cs="Arial"/>
          <w:sz w:val="20"/>
          <w:szCs w:val="20"/>
          <w:lang w:val="es-MX"/>
        </w:rPr>
        <w:t xml:space="preserve"> Considerando </w:t>
      </w:r>
      <w:r w:rsidR="009032B5">
        <w:rPr>
          <w:rFonts w:ascii="Verdana" w:hAnsi="Verdana" w:cs="Arial"/>
          <w:sz w:val="20"/>
          <w:szCs w:val="20"/>
          <w:lang w:val="es-MX"/>
        </w:rPr>
        <w:fldChar w:fldCharType="begin"/>
      </w:r>
      <w:r w:rsidR="009032B5">
        <w:rPr>
          <w:rFonts w:ascii="Verdana" w:hAnsi="Verdana" w:cs="Arial"/>
          <w:sz w:val="20"/>
          <w:szCs w:val="20"/>
          <w:lang w:val="es-MX"/>
        </w:rPr>
        <w:instrText xml:space="preserve"> REF _Ref21680219 \r \h </w:instrText>
      </w:r>
      <w:r w:rsidR="00316C26">
        <w:rPr>
          <w:rFonts w:ascii="Verdana" w:hAnsi="Verdana" w:cs="Arial"/>
          <w:sz w:val="20"/>
          <w:szCs w:val="20"/>
          <w:lang w:val="es-MX"/>
        </w:rPr>
        <w:instrText xml:space="preserve"> \* MERGEFORMAT </w:instrText>
      </w:r>
      <w:r w:rsidR="009032B5">
        <w:rPr>
          <w:rFonts w:ascii="Verdana" w:hAnsi="Verdana" w:cs="Arial"/>
          <w:sz w:val="20"/>
          <w:szCs w:val="20"/>
          <w:lang w:val="es-MX"/>
        </w:rPr>
      </w:r>
      <w:r w:rsidR="009032B5">
        <w:rPr>
          <w:rFonts w:ascii="Verdana" w:hAnsi="Verdana" w:cs="Arial"/>
          <w:sz w:val="20"/>
          <w:szCs w:val="20"/>
          <w:lang w:val="es-MX"/>
        </w:rPr>
        <w:fldChar w:fldCharType="separate"/>
      </w:r>
      <w:r w:rsidR="007B61B6">
        <w:rPr>
          <w:rFonts w:ascii="Verdana" w:hAnsi="Verdana" w:cs="Arial"/>
          <w:sz w:val="20"/>
          <w:szCs w:val="20"/>
          <w:lang w:val="es-MX"/>
        </w:rPr>
        <w:t>10</w:t>
      </w:r>
      <w:r w:rsidR="009032B5">
        <w:rPr>
          <w:rFonts w:ascii="Verdana" w:hAnsi="Verdana" w:cs="Arial"/>
          <w:sz w:val="20"/>
          <w:szCs w:val="20"/>
          <w:lang w:val="es-MX"/>
        </w:rPr>
        <w:fldChar w:fldCharType="end"/>
      </w:r>
      <w:r w:rsidR="00A220C1" w:rsidRPr="007430FB">
        <w:rPr>
          <w:rFonts w:ascii="Verdana" w:hAnsi="Verdana" w:cs="Arial"/>
          <w:sz w:val="20"/>
          <w:szCs w:val="20"/>
          <w:lang w:val="es-MX"/>
        </w:rPr>
        <w:t>). Dicha voluntad debe ser respetada también por este Tribunal.</w:t>
      </w:r>
    </w:p>
    <w:p w14:paraId="0CB18301" w14:textId="77777777" w:rsidR="00EC474F" w:rsidRDefault="00EC474F" w:rsidP="009B05C8">
      <w:pPr>
        <w:pStyle w:val="Prrafodelista"/>
        <w:tabs>
          <w:tab w:val="left" w:pos="0"/>
        </w:tabs>
        <w:autoSpaceDE w:val="0"/>
        <w:autoSpaceDN w:val="0"/>
        <w:adjustRightInd w:val="0"/>
        <w:spacing w:after="0" w:line="240" w:lineRule="auto"/>
        <w:ind w:left="0" w:right="96"/>
        <w:jc w:val="both"/>
        <w:rPr>
          <w:rFonts w:ascii="Verdana" w:hAnsi="Verdana" w:cs="Arial"/>
          <w:sz w:val="20"/>
          <w:szCs w:val="20"/>
          <w:lang w:val="es-MX"/>
        </w:rPr>
      </w:pPr>
    </w:p>
    <w:p w14:paraId="10FB629B" w14:textId="1E6445A6" w:rsidR="000A63A7" w:rsidRDefault="00A220C1" w:rsidP="009B05C8">
      <w:pPr>
        <w:pStyle w:val="Prrafodelista"/>
        <w:numPr>
          <w:ilvl w:val="0"/>
          <w:numId w:val="3"/>
        </w:numPr>
        <w:tabs>
          <w:tab w:val="left" w:pos="0"/>
        </w:tabs>
        <w:autoSpaceDE w:val="0"/>
        <w:autoSpaceDN w:val="0"/>
        <w:adjustRightInd w:val="0"/>
        <w:spacing w:after="0" w:line="240" w:lineRule="auto"/>
        <w:ind w:left="0" w:right="96" w:firstLine="0"/>
        <w:jc w:val="both"/>
        <w:rPr>
          <w:rFonts w:ascii="Verdana" w:hAnsi="Verdana" w:cs="Arial"/>
          <w:sz w:val="20"/>
          <w:szCs w:val="20"/>
          <w:lang w:val="es-MX"/>
        </w:rPr>
      </w:pPr>
      <w:bookmarkStart w:id="20" w:name="_Ref21681646"/>
      <w:r w:rsidRPr="00A220C1">
        <w:rPr>
          <w:rFonts w:ascii="Verdana" w:hAnsi="Verdana" w:cs="Arial"/>
          <w:sz w:val="20"/>
          <w:szCs w:val="20"/>
          <w:lang w:val="es-MX"/>
        </w:rPr>
        <w:t xml:space="preserve">En el entendido de que la obligación estatal era </w:t>
      </w:r>
      <w:r w:rsidR="00332F69">
        <w:rPr>
          <w:rFonts w:ascii="Verdana" w:hAnsi="Verdana" w:cs="Arial"/>
          <w:sz w:val="20"/>
          <w:szCs w:val="20"/>
          <w:lang w:val="es-MX"/>
        </w:rPr>
        <w:t xml:space="preserve">la </w:t>
      </w:r>
      <w:r w:rsidRPr="00A220C1">
        <w:rPr>
          <w:rFonts w:ascii="Verdana" w:hAnsi="Verdana" w:cs="Arial"/>
          <w:sz w:val="20"/>
          <w:szCs w:val="20"/>
          <w:lang w:val="es-MX"/>
        </w:rPr>
        <w:t>de brindar los medios para el desarrollo de los vínculos familiares entre el señor Fornerón y M., no la de asegurar que con la implementaci</w:t>
      </w:r>
      <w:r w:rsidRPr="00D37FD9">
        <w:rPr>
          <w:rFonts w:ascii="Verdana" w:hAnsi="Verdana" w:cs="Arial"/>
          <w:sz w:val="20"/>
          <w:szCs w:val="20"/>
          <w:lang w:val="es-MX"/>
        </w:rPr>
        <w:t>ón del procedimiento se alcanzaran determinados resultados</w:t>
      </w:r>
      <w:r>
        <w:rPr>
          <w:rFonts w:ascii="Verdana" w:hAnsi="Verdana" w:cs="Arial"/>
          <w:sz w:val="20"/>
          <w:szCs w:val="20"/>
          <w:lang w:val="es-MX"/>
        </w:rPr>
        <w:t xml:space="preserve"> (</w:t>
      </w:r>
      <w:r w:rsidRPr="009B05C8">
        <w:rPr>
          <w:rFonts w:ascii="Verdana" w:hAnsi="Verdana" w:cs="Arial"/>
          <w:i/>
          <w:sz w:val="20"/>
          <w:szCs w:val="20"/>
          <w:lang w:val="es-MX"/>
        </w:rPr>
        <w:t>supra</w:t>
      </w:r>
      <w:r>
        <w:rPr>
          <w:rFonts w:ascii="Verdana" w:hAnsi="Verdana" w:cs="Arial"/>
          <w:sz w:val="20"/>
          <w:szCs w:val="20"/>
          <w:lang w:val="es-MX"/>
        </w:rPr>
        <w:t xml:space="preserve"> Considerando</w:t>
      </w:r>
      <w:r w:rsidR="00332F69">
        <w:rPr>
          <w:rFonts w:ascii="Verdana" w:hAnsi="Verdana" w:cs="Arial"/>
          <w:sz w:val="20"/>
          <w:szCs w:val="20"/>
          <w:lang w:val="es-MX"/>
        </w:rPr>
        <w:t xml:space="preserve">s </w:t>
      </w:r>
      <w:r w:rsidR="00332F69">
        <w:rPr>
          <w:rFonts w:ascii="Verdana" w:hAnsi="Verdana" w:cs="Arial"/>
          <w:sz w:val="20"/>
          <w:szCs w:val="20"/>
          <w:lang w:val="es-MX"/>
        </w:rPr>
        <w:fldChar w:fldCharType="begin"/>
      </w:r>
      <w:r w:rsidR="00332F69">
        <w:rPr>
          <w:rFonts w:ascii="Verdana" w:hAnsi="Verdana" w:cs="Arial"/>
          <w:sz w:val="20"/>
          <w:szCs w:val="20"/>
          <w:lang w:val="es-MX"/>
        </w:rPr>
        <w:instrText xml:space="preserve"> REF _Ref21531431 \r \h </w:instrText>
      </w:r>
      <w:r w:rsidR="00332F69">
        <w:rPr>
          <w:rFonts w:ascii="Verdana" w:hAnsi="Verdana" w:cs="Arial"/>
          <w:sz w:val="20"/>
          <w:szCs w:val="20"/>
          <w:lang w:val="es-MX"/>
        </w:rPr>
      </w:r>
      <w:r w:rsidR="00332F69">
        <w:rPr>
          <w:rFonts w:ascii="Verdana" w:hAnsi="Verdana" w:cs="Arial"/>
          <w:sz w:val="20"/>
          <w:szCs w:val="20"/>
          <w:lang w:val="es-MX"/>
        </w:rPr>
        <w:fldChar w:fldCharType="separate"/>
      </w:r>
      <w:r w:rsidR="007B61B6">
        <w:rPr>
          <w:rFonts w:ascii="Verdana" w:hAnsi="Verdana" w:cs="Arial"/>
          <w:sz w:val="20"/>
          <w:szCs w:val="20"/>
          <w:lang w:val="es-MX"/>
        </w:rPr>
        <w:t>4</w:t>
      </w:r>
      <w:r w:rsidR="00332F69">
        <w:rPr>
          <w:rFonts w:ascii="Verdana" w:hAnsi="Verdana" w:cs="Arial"/>
          <w:sz w:val="20"/>
          <w:szCs w:val="20"/>
          <w:lang w:val="es-MX"/>
        </w:rPr>
        <w:fldChar w:fldCharType="end"/>
      </w:r>
      <w:r w:rsidR="00332F69">
        <w:rPr>
          <w:rFonts w:ascii="Verdana" w:hAnsi="Verdana" w:cs="Arial"/>
          <w:sz w:val="20"/>
          <w:szCs w:val="20"/>
          <w:lang w:val="es-MX"/>
        </w:rPr>
        <w:t xml:space="preserve"> y</w:t>
      </w:r>
      <w:r>
        <w:rPr>
          <w:rFonts w:ascii="Verdana" w:hAnsi="Verdana" w:cs="Arial"/>
          <w:sz w:val="20"/>
          <w:szCs w:val="20"/>
          <w:lang w:val="es-MX"/>
        </w:rPr>
        <w:t xml:space="preserve"> </w:t>
      </w:r>
      <w:r w:rsidR="007D52B4">
        <w:rPr>
          <w:rFonts w:ascii="Verdana" w:hAnsi="Verdana" w:cs="Arial"/>
          <w:sz w:val="20"/>
          <w:szCs w:val="20"/>
          <w:lang w:val="es-MX"/>
        </w:rPr>
        <w:fldChar w:fldCharType="begin"/>
      </w:r>
      <w:r w:rsidR="007D52B4">
        <w:rPr>
          <w:rFonts w:ascii="Verdana" w:hAnsi="Verdana" w:cs="Arial"/>
          <w:sz w:val="20"/>
          <w:szCs w:val="20"/>
          <w:lang w:val="es-MX"/>
        </w:rPr>
        <w:instrText xml:space="preserve"> REF _Ref21680283 \r \h </w:instrText>
      </w:r>
      <w:r w:rsidR="00316C26">
        <w:rPr>
          <w:rFonts w:ascii="Verdana" w:hAnsi="Verdana" w:cs="Arial"/>
          <w:sz w:val="20"/>
          <w:szCs w:val="20"/>
          <w:lang w:val="es-MX"/>
        </w:rPr>
        <w:instrText xml:space="preserve"> \* MERGEFORMAT </w:instrText>
      </w:r>
      <w:r w:rsidR="007D52B4">
        <w:rPr>
          <w:rFonts w:ascii="Verdana" w:hAnsi="Verdana" w:cs="Arial"/>
          <w:sz w:val="20"/>
          <w:szCs w:val="20"/>
          <w:lang w:val="es-MX"/>
        </w:rPr>
      </w:r>
      <w:r w:rsidR="007D52B4">
        <w:rPr>
          <w:rFonts w:ascii="Verdana" w:hAnsi="Verdana" w:cs="Arial"/>
          <w:sz w:val="20"/>
          <w:szCs w:val="20"/>
          <w:lang w:val="es-MX"/>
        </w:rPr>
        <w:fldChar w:fldCharType="separate"/>
      </w:r>
      <w:r w:rsidR="007B61B6">
        <w:rPr>
          <w:rFonts w:ascii="Verdana" w:hAnsi="Verdana" w:cs="Arial"/>
          <w:sz w:val="20"/>
          <w:szCs w:val="20"/>
          <w:lang w:val="es-MX"/>
        </w:rPr>
        <w:t>5</w:t>
      </w:r>
      <w:r w:rsidR="007D52B4">
        <w:rPr>
          <w:rFonts w:ascii="Verdana" w:hAnsi="Verdana" w:cs="Arial"/>
          <w:sz w:val="20"/>
          <w:szCs w:val="20"/>
          <w:lang w:val="es-MX"/>
        </w:rPr>
        <w:fldChar w:fldCharType="end"/>
      </w:r>
      <w:r>
        <w:rPr>
          <w:rFonts w:ascii="Verdana" w:hAnsi="Verdana" w:cs="Arial"/>
          <w:sz w:val="20"/>
          <w:szCs w:val="20"/>
          <w:lang w:val="es-MX"/>
        </w:rPr>
        <w:t>)</w:t>
      </w:r>
      <w:r w:rsidRPr="00A220C1">
        <w:rPr>
          <w:rFonts w:ascii="Verdana" w:hAnsi="Verdana" w:cs="Arial"/>
          <w:sz w:val="20"/>
          <w:szCs w:val="20"/>
          <w:lang w:val="es-MX"/>
        </w:rPr>
        <w:t>, la Corte considera</w:t>
      </w:r>
      <w:r w:rsidR="00D37FD9">
        <w:rPr>
          <w:rFonts w:ascii="Verdana" w:hAnsi="Verdana" w:cs="Arial"/>
          <w:sz w:val="20"/>
          <w:szCs w:val="20"/>
          <w:lang w:val="es-MX"/>
        </w:rPr>
        <w:t>,</w:t>
      </w:r>
      <w:r>
        <w:rPr>
          <w:rFonts w:ascii="Verdana" w:hAnsi="Verdana" w:cs="Arial"/>
          <w:sz w:val="20"/>
          <w:szCs w:val="20"/>
          <w:lang w:val="es-MX"/>
        </w:rPr>
        <w:t xml:space="preserve"> con base en</w:t>
      </w:r>
      <w:r w:rsidR="00EC474F" w:rsidRPr="00A220C1">
        <w:rPr>
          <w:rFonts w:ascii="Verdana" w:hAnsi="Verdana" w:cs="Arial"/>
          <w:sz w:val="20"/>
          <w:szCs w:val="20"/>
          <w:lang w:val="es-MX"/>
        </w:rPr>
        <w:t xml:space="preserve"> </w:t>
      </w:r>
      <w:r>
        <w:rPr>
          <w:rFonts w:ascii="Verdana" w:hAnsi="Verdana" w:cs="Arial"/>
          <w:sz w:val="20"/>
          <w:szCs w:val="20"/>
          <w:lang w:val="es-MX"/>
        </w:rPr>
        <w:t>toda</w:t>
      </w:r>
      <w:r w:rsidR="00EC474F" w:rsidRPr="00A220C1">
        <w:rPr>
          <w:rFonts w:ascii="Verdana" w:hAnsi="Verdana" w:cs="Arial"/>
          <w:sz w:val="20"/>
          <w:szCs w:val="20"/>
          <w:lang w:val="es-MX"/>
        </w:rPr>
        <w:t xml:space="preserve"> la información que ha sido aportada durante la etapa de supervisión de cumplimiento, que el Estado de Argentin</w:t>
      </w:r>
      <w:r>
        <w:rPr>
          <w:rFonts w:ascii="Verdana" w:hAnsi="Verdana" w:cs="Arial"/>
          <w:sz w:val="20"/>
          <w:szCs w:val="20"/>
          <w:lang w:val="es-MX"/>
        </w:rPr>
        <w:t xml:space="preserve">a ha dado cumplimiento total a la </w:t>
      </w:r>
      <w:r w:rsidR="00EC474F" w:rsidRPr="00A220C1">
        <w:rPr>
          <w:rFonts w:ascii="Verdana" w:hAnsi="Verdana" w:cs="Arial"/>
          <w:sz w:val="20"/>
          <w:szCs w:val="20"/>
          <w:lang w:val="es-MX"/>
        </w:rPr>
        <w:t>medida de reparación</w:t>
      </w:r>
      <w:r>
        <w:rPr>
          <w:rFonts w:ascii="Verdana" w:hAnsi="Verdana" w:cs="Arial"/>
          <w:sz w:val="20"/>
          <w:szCs w:val="20"/>
          <w:lang w:val="es-MX"/>
        </w:rPr>
        <w:t xml:space="preserve"> ordenada en el punto dispositivo sexto de la Sentencia</w:t>
      </w:r>
      <w:r w:rsidRPr="00D37FD9">
        <w:rPr>
          <w:rFonts w:ascii="Verdana" w:hAnsi="Verdana" w:cs="Arial"/>
          <w:sz w:val="20"/>
          <w:szCs w:val="20"/>
          <w:lang w:val="es-MX"/>
        </w:rPr>
        <w:t>,</w:t>
      </w:r>
      <w:r w:rsidRPr="00D37FD9">
        <w:rPr>
          <w:rFonts w:ascii="Verdana" w:hAnsi="Verdana"/>
          <w:sz w:val="20"/>
          <w:szCs w:val="20"/>
        </w:rPr>
        <w:t xml:space="preserve"> según los lineamientos dispuestos en la misma. Ello, debido a </w:t>
      </w:r>
      <w:r w:rsidRPr="00D37FD9">
        <w:rPr>
          <w:rFonts w:ascii="Verdana" w:hAnsi="Verdana"/>
          <w:sz w:val="20"/>
          <w:szCs w:val="20"/>
        </w:rPr>
        <w:lastRenderedPageBreak/>
        <w:t>que estableció e implementó durante más de siete años un procedimiento de apoyo para el desarrollo progresivo del vínculo entre el señor Fornerón y su hija M., en el cual se tuvo en cuenta el parecer del señor Fornerón y la voluntad y opinión de M.</w:t>
      </w:r>
      <w:r w:rsidRPr="00D37FD9">
        <w:rPr>
          <w:rFonts w:ascii="Verdana" w:hAnsi="Verdana" w:cs="Arial"/>
          <w:sz w:val="20"/>
          <w:szCs w:val="20"/>
          <w:lang w:val="es-MX"/>
        </w:rPr>
        <w:t>, y se aseguró</w:t>
      </w:r>
      <w:r w:rsidR="00332F69">
        <w:rPr>
          <w:rFonts w:ascii="Verdana" w:hAnsi="Verdana" w:cs="Arial"/>
          <w:sz w:val="20"/>
          <w:szCs w:val="20"/>
          <w:lang w:val="es-MX"/>
        </w:rPr>
        <w:t>,</w:t>
      </w:r>
      <w:r w:rsidRPr="00D37FD9">
        <w:rPr>
          <w:rFonts w:ascii="Verdana" w:hAnsi="Verdana" w:cs="Arial"/>
          <w:sz w:val="20"/>
          <w:szCs w:val="20"/>
          <w:lang w:val="es-MX"/>
        </w:rPr>
        <w:t xml:space="preserve"> a través de diversas acciones, que ésta última conociera la verdad de lo ocurrido</w:t>
      </w:r>
      <w:r w:rsidR="00D37FD9" w:rsidRPr="00D37FD9">
        <w:rPr>
          <w:rStyle w:val="Refdenotaalpie"/>
          <w:rFonts w:ascii="Verdana" w:hAnsi="Verdana" w:cs="Arial"/>
          <w:sz w:val="20"/>
          <w:szCs w:val="20"/>
          <w:lang w:val="es-MX"/>
        </w:rPr>
        <w:footnoteReference w:id="27"/>
      </w:r>
      <w:r w:rsidRPr="00D37FD9">
        <w:rPr>
          <w:rFonts w:ascii="Verdana" w:hAnsi="Verdana" w:cs="Arial"/>
          <w:sz w:val="20"/>
          <w:szCs w:val="20"/>
          <w:lang w:val="es-MX"/>
        </w:rPr>
        <w:t>.</w:t>
      </w:r>
      <w:bookmarkEnd w:id="20"/>
    </w:p>
    <w:p w14:paraId="1702925A" w14:textId="77777777" w:rsidR="00D37FD9" w:rsidRDefault="00D37FD9" w:rsidP="009B05C8">
      <w:pPr>
        <w:pStyle w:val="Prrafodelista"/>
        <w:spacing w:after="0" w:line="240" w:lineRule="auto"/>
        <w:rPr>
          <w:rFonts w:ascii="Verdana" w:hAnsi="Verdana" w:cs="Arial"/>
          <w:sz w:val="20"/>
          <w:szCs w:val="20"/>
          <w:lang w:val="es-MX"/>
        </w:rPr>
      </w:pPr>
    </w:p>
    <w:p w14:paraId="58B54975" w14:textId="77777777" w:rsidR="003401BB" w:rsidRPr="00CA38EE" w:rsidRDefault="003401BB" w:rsidP="009B05C8">
      <w:pPr>
        <w:pStyle w:val="Default"/>
        <w:numPr>
          <w:ilvl w:val="0"/>
          <w:numId w:val="24"/>
        </w:numPr>
        <w:jc w:val="both"/>
        <w:outlineLvl w:val="0"/>
        <w:rPr>
          <w:b/>
          <w:sz w:val="20"/>
          <w:szCs w:val="20"/>
        </w:rPr>
      </w:pPr>
      <w:bookmarkStart w:id="21" w:name="_Toc511996345"/>
      <w:bookmarkStart w:id="22" w:name="_Toc511996395"/>
      <w:bookmarkStart w:id="23" w:name="_Toc19625953"/>
      <w:bookmarkEnd w:id="10"/>
      <w:r w:rsidRPr="00CA38EE">
        <w:rPr>
          <w:b/>
          <w:i/>
          <w:sz w:val="20"/>
          <w:szCs w:val="20"/>
        </w:rPr>
        <w:t>Pago de indemnizaciones por concepto de daños materiales e inmateriales y reintegro de costas y gastos</w:t>
      </w:r>
      <w:bookmarkEnd w:id="21"/>
      <w:bookmarkEnd w:id="22"/>
      <w:bookmarkEnd w:id="23"/>
    </w:p>
    <w:p w14:paraId="3DCFE146" w14:textId="77777777" w:rsidR="00047F09" w:rsidRDefault="00047F09" w:rsidP="009B05C8">
      <w:pPr>
        <w:spacing w:after="0" w:line="240" w:lineRule="auto"/>
        <w:ind w:left="720"/>
        <w:jc w:val="both"/>
        <w:rPr>
          <w:rFonts w:ascii="Verdana" w:hAnsi="Verdana"/>
          <w:i/>
          <w:sz w:val="20"/>
          <w:szCs w:val="20"/>
        </w:rPr>
      </w:pPr>
    </w:p>
    <w:p w14:paraId="6B02171D" w14:textId="77777777" w:rsidR="00492CF3" w:rsidRDefault="003401BB" w:rsidP="009B05C8">
      <w:pPr>
        <w:spacing w:after="0" w:line="240" w:lineRule="auto"/>
        <w:ind w:left="720"/>
        <w:jc w:val="both"/>
        <w:rPr>
          <w:rFonts w:ascii="Verdana" w:hAnsi="Verdana"/>
          <w:i/>
          <w:sz w:val="20"/>
          <w:szCs w:val="20"/>
        </w:rPr>
      </w:pPr>
      <w:r>
        <w:rPr>
          <w:rFonts w:ascii="Verdana" w:hAnsi="Verdana"/>
          <w:i/>
          <w:sz w:val="20"/>
          <w:szCs w:val="20"/>
        </w:rPr>
        <w:t>B</w:t>
      </w:r>
      <w:r w:rsidRPr="00CA38EE">
        <w:rPr>
          <w:rFonts w:ascii="Verdana" w:hAnsi="Verdana"/>
          <w:i/>
          <w:sz w:val="20"/>
          <w:szCs w:val="20"/>
        </w:rPr>
        <w:t>.1. Medidas ordenadas por la Corte</w:t>
      </w:r>
      <w:r w:rsidR="00126590">
        <w:rPr>
          <w:rFonts w:ascii="Verdana" w:hAnsi="Verdana"/>
          <w:i/>
          <w:sz w:val="20"/>
          <w:szCs w:val="20"/>
        </w:rPr>
        <w:t xml:space="preserve"> y supervisión realizada en resolución anterior</w:t>
      </w:r>
    </w:p>
    <w:p w14:paraId="4A3DA7D3" w14:textId="77777777" w:rsidR="00047F09" w:rsidRPr="00CA38EE" w:rsidRDefault="00047F09" w:rsidP="009B05C8">
      <w:pPr>
        <w:spacing w:after="0" w:line="240" w:lineRule="auto"/>
        <w:ind w:left="720"/>
        <w:jc w:val="both"/>
        <w:rPr>
          <w:rFonts w:ascii="Verdana" w:hAnsi="Verdana"/>
          <w:i/>
          <w:sz w:val="20"/>
          <w:szCs w:val="20"/>
        </w:rPr>
      </w:pPr>
    </w:p>
    <w:p w14:paraId="3A5C1FE5" w14:textId="77777777" w:rsidR="003401BB" w:rsidRDefault="003401BB" w:rsidP="009B05C8">
      <w:pPr>
        <w:pStyle w:val="Prrafodelista"/>
        <w:numPr>
          <w:ilvl w:val="0"/>
          <w:numId w:val="3"/>
        </w:numPr>
        <w:spacing w:after="0" w:line="240" w:lineRule="auto"/>
        <w:ind w:left="0" w:firstLine="0"/>
        <w:jc w:val="both"/>
        <w:rPr>
          <w:rFonts w:ascii="Verdana" w:hAnsi="Verdana"/>
          <w:sz w:val="20"/>
          <w:szCs w:val="20"/>
        </w:rPr>
      </w:pPr>
      <w:bookmarkStart w:id="24" w:name="_Ref21531434"/>
      <w:r w:rsidRPr="00CB4A68">
        <w:rPr>
          <w:rFonts w:ascii="Verdana" w:hAnsi="Verdana"/>
          <w:sz w:val="20"/>
          <w:szCs w:val="20"/>
        </w:rPr>
        <w:t>En el punto dispositivo séptimo de la Sentencia se dispuso que</w:t>
      </w:r>
      <w:r w:rsidR="00332F69">
        <w:rPr>
          <w:rFonts w:ascii="Verdana" w:hAnsi="Verdana"/>
          <w:sz w:val="20"/>
          <w:szCs w:val="20"/>
        </w:rPr>
        <w:t>,</w:t>
      </w:r>
      <w:r w:rsidRPr="00CB4A68">
        <w:rPr>
          <w:rFonts w:ascii="Verdana" w:hAnsi="Verdana"/>
          <w:sz w:val="20"/>
          <w:szCs w:val="20"/>
        </w:rPr>
        <w:t xml:space="preserve"> en el plazo de un año, contado a partir de la notificación de la misma, el Estado debía pagar las cantidades fijadas en los párrafos 191, 192, 197 y 204 a 206 del Fallo, por concepto de:</w:t>
      </w:r>
      <w:bookmarkEnd w:id="24"/>
      <w:r w:rsidRPr="00CB4A68">
        <w:rPr>
          <w:rFonts w:ascii="Verdana" w:hAnsi="Verdana"/>
          <w:sz w:val="20"/>
          <w:szCs w:val="20"/>
        </w:rPr>
        <w:t xml:space="preserve"> </w:t>
      </w:r>
    </w:p>
    <w:p w14:paraId="7B4070A6" w14:textId="77777777" w:rsidR="00047F09" w:rsidRPr="00CB4A68" w:rsidRDefault="00047F09" w:rsidP="009B05C8">
      <w:pPr>
        <w:pStyle w:val="Prrafodelista"/>
        <w:spacing w:after="0" w:line="240" w:lineRule="auto"/>
        <w:ind w:left="0"/>
        <w:jc w:val="both"/>
        <w:rPr>
          <w:rFonts w:ascii="Verdana" w:hAnsi="Verdana"/>
          <w:sz w:val="20"/>
          <w:szCs w:val="20"/>
        </w:rPr>
      </w:pPr>
    </w:p>
    <w:p w14:paraId="722E960D" w14:textId="77777777" w:rsidR="003401BB" w:rsidRPr="00CA38EE" w:rsidRDefault="003401BB" w:rsidP="009B05C8">
      <w:pPr>
        <w:numPr>
          <w:ilvl w:val="0"/>
          <w:numId w:val="26"/>
        </w:numPr>
        <w:spacing w:after="0" w:line="240" w:lineRule="auto"/>
        <w:ind w:hanging="654"/>
        <w:jc w:val="both"/>
        <w:rPr>
          <w:rFonts w:ascii="Verdana" w:hAnsi="Verdana"/>
          <w:sz w:val="20"/>
          <w:szCs w:val="20"/>
        </w:rPr>
      </w:pPr>
      <w:r w:rsidRPr="00CA38EE">
        <w:rPr>
          <w:rFonts w:ascii="Verdana" w:hAnsi="Verdana"/>
          <w:sz w:val="20"/>
          <w:szCs w:val="20"/>
        </w:rPr>
        <w:t>indemnización por daño material e inmaterial a favor del señor Fornerón;</w:t>
      </w:r>
    </w:p>
    <w:p w14:paraId="003F5368" w14:textId="77777777" w:rsidR="003401BB" w:rsidRDefault="003401BB" w:rsidP="009B05C8">
      <w:pPr>
        <w:numPr>
          <w:ilvl w:val="0"/>
          <w:numId w:val="26"/>
        </w:numPr>
        <w:spacing w:after="0" w:line="240" w:lineRule="auto"/>
        <w:ind w:hanging="654"/>
        <w:jc w:val="both"/>
        <w:rPr>
          <w:rFonts w:ascii="Verdana" w:hAnsi="Verdana"/>
          <w:sz w:val="20"/>
          <w:szCs w:val="20"/>
        </w:rPr>
      </w:pPr>
      <w:r w:rsidRPr="00CA38EE">
        <w:rPr>
          <w:rFonts w:ascii="Verdana" w:hAnsi="Verdana"/>
          <w:sz w:val="20"/>
          <w:szCs w:val="20"/>
        </w:rPr>
        <w:t>indemnización por daño inmaterial a favor de M.</w:t>
      </w:r>
      <w:r w:rsidRPr="00CA38EE">
        <w:rPr>
          <w:rStyle w:val="Refdenotaalpie"/>
          <w:rFonts w:ascii="Verdana" w:hAnsi="Verdana"/>
          <w:sz w:val="20"/>
          <w:szCs w:val="20"/>
        </w:rPr>
        <w:footnoteReference w:id="28"/>
      </w:r>
      <w:r w:rsidRPr="00CA38EE">
        <w:rPr>
          <w:rFonts w:ascii="Verdana" w:hAnsi="Verdana"/>
          <w:sz w:val="20"/>
          <w:szCs w:val="20"/>
        </w:rPr>
        <w:t xml:space="preserve">, y </w:t>
      </w:r>
    </w:p>
    <w:p w14:paraId="186F78CD" w14:textId="77777777" w:rsidR="003401BB" w:rsidRPr="00722A5F" w:rsidRDefault="003401BB" w:rsidP="009B05C8">
      <w:pPr>
        <w:numPr>
          <w:ilvl w:val="0"/>
          <w:numId w:val="26"/>
        </w:numPr>
        <w:spacing w:after="0" w:line="240" w:lineRule="auto"/>
        <w:ind w:left="1134" w:hanging="708"/>
        <w:jc w:val="both"/>
        <w:rPr>
          <w:rFonts w:ascii="Verdana" w:hAnsi="Verdana"/>
          <w:sz w:val="20"/>
          <w:szCs w:val="20"/>
        </w:rPr>
      </w:pPr>
      <w:r w:rsidRPr="00722A5F">
        <w:rPr>
          <w:rFonts w:ascii="Verdana" w:hAnsi="Verdana"/>
          <w:sz w:val="20"/>
          <w:szCs w:val="20"/>
        </w:rPr>
        <w:t xml:space="preserve">reintegro de costas y gastos a favor del señor </w:t>
      </w:r>
      <w:proofErr w:type="spellStart"/>
      <w:r w:rsidRPr="00722A5F">
        <w:rPr>
          <w:rFonts w:ascii="Verdana" w:hAnsi="Verdana"/>
          <w:sz w:val="20"/>
          <w:szCs w:val="20"/>
        </w:rPr>
        <w:t>Fornerón</w:t>
      </w:r>
      <w:proofErr w:type="spellEnd"/>
      <w:r w:rsidRPr="00722A5F">
        <w:rPr>
          <w:rFonts w:ascii="Verdana" w:hAnsi="Verdana"/>
          <w:sz w:val="20"/>
          <w:szCs w:val="20"/>
        </w:rPr>
        <w:t xml:space="preserve">, del señor </w:t>
      </w:r>
      <w:proofErr w:type="spellStart"/>
      <w:r w:rsidRPr="00722A5F">
        <w:rPr>
          <w:rFonts w:ascii="Verdana" w:hAnsi="Verdana"/>
          <w:sz w:val="20"/>
          <w:szCs w:val="20"/>
        </w:rPr>
        <w:t>Baridón</w:t>
      </w:r>
      <w:proofErr w:type="spellEnd"/>
      <w:r w:rsidRPr="00722A5F">
        <w:rPr>
          <w:rFonts w:ascii="Verdana" w:hAnsi="Verdana"/>
          <w:sz w:val="20"/>
          <w:szCs w:val="20"/>
        </w:rPr>
        <w:t xml:space="preserve">, </w:t>
      </w:r>
      <w:r>
        <w:rPr>
          <w:rFonts w:ascii="Verdana" w:hAnsi="Verdana"/>
          <w:sz w:val="20"/>
          <w:szCs w:val="20"/>
        </w:rPr>
        <w:t xml:space="preserve">abogado </w:t>
      </w:r>
      <w:r w:rsidRPr="00722A5F">
        <w:rPr>
          <w:rFonts w:ascii="Verdana" w:hAnsi="Verdana"/>
          <w:sz w:val="20"/>
          <w:szCs w:val="20"/>
        </w:rPr>
        <w:t>que asistió al señor Fornerón en el trámite interno del presente caso, y de sus representantes en el trámite del caso ante el Sistema Interamericano.</w:t>
      </w:r>
    </w:p>
    <w:p w14:paraId="077A16E9" w14:textId="77777777" w:rsidR="00047F09" w:rsidRDefault="00047F09" w:rsidP="009B05C8">
      <w:pPr>
        <w:pStyle w:val="Prrafodelista"/>
        <w:spacing w:after="0" w:line="240" w:lineRule="auto"/>
        <w:ind w:left="0"/>
        <w:contextualSpacing w:val="0"/>
        <w:jc w:val="both"/>
        <w:rPr>
          <w:rFonts w:ascii="Verdana" w:hAnsi="Verdana"/>
          <w:sz w:val="20"/>
          <w:szCs w:val="20"/>
        </w:rPr>
      </w:pPr>
    </w:p>
    <w:p w14:paraId="71CDA098" w14:textId="77777777" w:rsidR="008F0BCA" w:rsidRPr="00FC0418" w:rsidRDefault="003401BB" w:rsidP="009B05C8">
      <w:pPr>
        <w:pStyle w:val="Prrafodelista"/>
        <w:numPr>
          <w:ilvl w:val="0"/>
          <w:numId w:val="3"/>
        </w:numPr>
        <w:spacing w:after="0" w:line="240" w:lineRule="auto"/>
        <w:ind w:left="0" w:firstLine="0"/>
        <w:contextualSpacing w:val="0"/>
        <w:jc w:val="both"/>
        <w:rPr>
          <w:rFonts w:ascii="Verdana" w:hAnsi="Verdana"/>
          <w:sz w:val="20"/>
          <w:szCs w:val="20"/>
        </w:rPr>
      </w:pPr>
      <w:r w:rsidRPr="00492CF3">
        <w:rPr>
          <w:rFonts w:ascii="Verdana" w:hAnsi="Verdana"/>
          <w:sz w:val="20"/>
          <w:szCs w:val="20"/>
        </w:rPr>
        <w:t xml:space="preserve">En la Resolución emitida en noviembre de 2018, la Corte declaró el cumplimiento parcial de </w:t>
      </w:r>
      <w:r w:rsidR="005F5E06">
        <w:rPr>
          <w:rFonts w:ascii="Verdana" w:hAnsi="Verdana"/>
          <w:sz w:val="20"/>
          <w:szCs w:val="20"/>
        </w:rPr>
        <w:t>esta</w:t>
      </w:r>
      <w:r w:rsidRPr="00492CF3">
        <w:rPr>
          <w:rFonts w:ascii="Verdana" w:hAnsi="Verdana"/>
          <w:sz w:val="20"/>
          <w:szCs w:val="20"/>
        </w:rPr>
        <w:t xml:space="preserve"> medida, </w:t>
      </w:r>
      <w:r w:rsidR="005F5E06">
        <w:rPr>
          <w:rFonts w:ascii="Verdana" w:hAnsi="Verdana"/>
          <w:sz w:val="20"/>
          <w:szCs w:val="20"/>
        </w:rPr>
        <w:t>debido a que</w:t>
      </w:r>
      <w:r w:rsidRPr="00492CF3">
        <w:rPr>
          <w:rFonts w:ascii="Verdana" w:hAnsi="Verdana"/>
          <w:sz w:val="20"/>
          <w:szCs w:val="20"/>
        </w:rPr>
        <w:t xml:space="preserve"> el Estado “pagó los montos ordenados en la Sentencia por concepto de indemnización por daño material e inmaterial y reintegro de costas y gastos a favor del señor Fornerón y reintegró las costas y gastos al señor </w:t>
      </w:r>
      <w:proofErr w:type="spellStart"/>
      <w:r w:rsidRPr="00492CF3">
        <w:rPr>
          <w:rFonts w:ascii="Verdana" w:hAnsi="Verdana"/>
          <w:sz w:val="20"/>
          <w:szCs w:val="20"/>
        </w:rPr>
        <w:t>Baridón</w:t>
      </w:r>
      <w:proofErr w:type="spellEnd"/>
      <w:r w:rsidRPr="00492CF3">
        <w:rPr>
          <w:rFonts w:ascii="Verdana" w:hAnsi="Verdana"/>
          <w:sz w:val="20"/>
          <w:szCs w:val="20"/>
        </w:rPr>
        <w:t xml:space="preserve"> y a las representantes del señor Fornerón en el presente proceso internacional”, y </w:t>
      </w:r>
      <w:r w:rsidR="005F5E06">
        <w:rPr>
          <w:rFonts w:ascii="Verdana" w:hAnsi="Verdana"/>
          <w:sz w:val="20"/>
          <w:szCs w:val="20"/>
        </w:rPr>
        <w:t>a</w:t>
      </w:r>
      <w:r w:rsidR="005F5E06" w:rsidRPr="00492CF3">
        <w:rPr>
          <w:rFonts w:ascii="Verdana" w:hAnsi="Verdana"/>
          <w:sz w:val="20"/>
          <w:szCs w:val="20"/>
        </w:rPr>
        <w:t xml:space="preserve"> </w:t>
      </w:r>
      <w:r w:rsidRPr="00492CF3">
        <w:rPr>
          <w:rFonts w:ascii="Verdana" w:hAnsi="Verdana"/>
          <w:sz w:val="20"/>
          <w:szCs w:val="20"/>
        </w:rPr>
        <w:t xml:space="preserve">que estaba pendiente el pago de la indemnización por </w:t>
      </w:r>
      <w:r w:rsidR="008F0BCA">
        <w:rPr>
          <w:rFonts w:ascii="Verdana" w:hAnsi="Verdana"/>
          <w:sz w:val="20"/>
          <w:szCs w:val="20"/>
        </w:rPr>
        <w:t xml:space="preserve">concepto de </w:t>
      </w:r>
      <w:r w:rsidRPr="00492CF3">
        <w:rPr>
          <w:rFonts w:ascii="Verdana" w:hAnsi="Verdana"/>
          <w:sz w:val="20"/>
          <w:szCs w:val="20"/>
        </w:rPr>
        <w:t>daño inmaterial a M.</w:t>
      </w:r>
      <w:r w:rsidR="003174E3">
        <w:rPr>
          <w:rStyle w:val="Refdenotaalpie"/>
          <w:rFonts w:ascii="Verdana" w:hAnsi="Verdana"/>
          <w:sz w:val="20"/>
          <w:szCs w:val="20"/>
        </w:rPr>
        <w:footnoteReference w:id="29"/>
      </w:r>
      <w:r w:rsidR="00027201">
        <w:rPr>
          <w:rFonts w:ascii="Verdana" w:hAnsi="Verdana"/>
          <w:sz w:val="20"/>
          <w:szCs w:val="20"/>
        </w:rPr>
        <w:t>.</w:t>
      </w:r>
      <w:r w:rsidR="00FC0418">
        <w:rPr>
          <w:rFonts w:ascii="Verdana" w:hAnsi="Verdana"/>
          <w:sz w:val="20"/>
          <w:szCs w:val="20"/>
        </w:rPr>
        <w:t xml:space="preserve"> </w:t>
      </w:r>
      <w:r w:rsidR="008F0BCA" w:rsidRPr="00FC0418">
        <w:rPr>
          <w:rFonts w:ascii="Verdana" w:hAnsi="Verdana"/>
          <w:sz w:val="20"/>
          <w:szCs w:val="20"/>
        </w:rPr>
        <w:t xml:space="preserve">Al respecto, </w:t>
      </w:r>
      <w:r w:rsidR="00332F69">
        <w:rPr>
          <w:rFonts w:ascii="Verdana" w:hAnsi="Verdana"/>
          <w:sz w:val="20"/>
          <w:szCs w:val="20"/>
        </w:rPr>
        <w:t>el Tribunal</w:t>
      </w:r>
      <w:r w:rsidR="008F0BCA" w:rsidRPr="00FC0418">
        <w:rPr>
          <w:rFonts w:ascii="Verdana" w:hAnsi="Verdana"/>
          <w:sz w:val="20"/>
          <w:szCs w:val="20"/>
        </w:rPr>
        <w:t xml:space="preserve"> requirió a Argentina que remitiera información actualizada sobre el estado en el que se encontraba </w:t>
      </w:r>
      <w:r w:rsidR="00FC0418">
        <w:rPr>
          <w:rFonts w:ascii="Verdana" w:hAnsi="Verdana"/>
          <w:sz w:val="20"/>
          <w:szCs w:val="20"/>
        </w:rPr>
        <w:t xml:space="preserve">dicho </w:t>
      </w:r>
      <w:r w:rsidR="008F0BCA" w:rsidRPr="00FC0418">
        <w:rPr>
          <w:rFonts w:ascii="Verdana" w:hAnsi="Verdana"/>
          <w:sz w:val="20"/>
          <w:szCs w:val="20"/>
        </w:rPr>
        <w:t>pago y, en caso que éste ya hubiera sido realizado, remitiera el soporte probatorio correspondiente</w:t>
      </w:r>
      <w:r w:rsidR="008F0BCA">
        <w:rPr>
          <w:rStyle w:val="Refdenotaalpie"/>
          <w:rFonts w:ascii="Verdana" w:hAnsi="Verdana"/>
          <w:sz w:val="20"/>
          <w:szCs w:val="20"/>
        </w:rPr>
        <w:footnoteReference w:id="30"/>
      </w:r>
      <w:r w:rsidR="008F0BCA" w:rsidRPr="00FC0418">
        <w:rPr>
          <w:rFonts w:ascii="Verdana" w:hAnsi="Verdana"/>
          <w:sz w:val="20"/>
          <w:szCs w:val="20"/>
        </w:rPr>
        <w:t>.</w:t>
      </w:r>
    </w:p>
    <w:p w14:paraId="7896E334" w14:textId="77777777" w:rsidR="00CB4A68" w:rsidRDefault="00CB4A68" w:rsidP="009B05C8">
      <w:pPr>
        <w:spacing w:after="0" w:line="240" w:lineRule="auto"/>
        <w:jc w:val="both"/>
        <w:rPr>
          <w:rFonts w:ascii="Verdana" w:hAnsi="Verdana"/>
          <w:i/>
          <w:sz w:val="20"/>
          <w:szCs w:val="20"/>
        </w:rPr>
      </w:pPr>
    </w:p>
    <w:p w14:paraId="4F973B33" w14:textId="77777777" w:rsidR="003401BB" w:rsidRDefault="003401BB" w:rsidP="009B05C8">
      <w:pPr>
        <w:spacing w:after="0" w:line="240" w:lineRule="auto"/>
        <w:ind w:left="720"/>
        <w:jc w:val="both"/>
        <w:rPr>
          <w:rFonts w:ascii="Verdana" w:hAnsi="Verdana"/>
          <w:i/>
          <w:sz w:val="20"/>
          <w:szCs w:val="20"/>
        </w:rPr>
      </w:pPr>
      <w:r>
        <w:rPr>
          <w:rFonts w:ascii="Verdana" w:hAnsi="Verdana"/>
          <w:i/>
          <w:sz w:val="20"/>
          <w:szCs w:val="20"/>
        </w:rPr>
        <w:t>B</w:t>
      </w:r>
      <w:r w:rsidRPr="00CA38EE">
        <w:rPr>
          <w:rFonts w:ascii="Verdana" w:hAnsi="Verdana"/>
          <w:i/>
          <w:sz w:val="20"/>
          <w:szCs w:val="20"/>
        </w:rPr>
        <w:t>.2. Consideraciones de la Corte</w:t>
      </w:r>
    </w:p>
    <w:p w14:paraId="77C6F05C" w14:textId="77777777" w:rsidR="0098791D" w:rsidRPr="00CA38EE" w:rsidRDefault="0098791D" w:rsidP="009B05C8">
      <w:pPr>
        <w:spacing w:after="0" w:line="240" w:lineRule="auto"/>
        <w:ind w:left="720"/>
        <w:jc w:val="both"/>
        <w:rPr>
          <w:rFonts w:ascii="Verdana" w:hAnsi="Verdana"/>
          <w:i/>
          <w:sz w:val="20"/>
          <w:szCs w:val="20"/>
        </w:rPr>
      </w:pPr>
    </w:p>
    <w:p w14:paraId="25FFFBA6" w14:textId="77777777" w:rsidR="003174E3" w:rsidRDefault="00243A3E" w:rsidP="009B05C8">
      <w:pPr>
        <w:pStyle w:val="Prrafodelista"/>
        <w:numPr>
          <w:ilvl w:val="0"/>
          <w:numId w:val="3"/>
        </w:numPr>
        <w:tabs>
          <w:tab w:val="left" w:pos="0"/>
        </w:tabs>
        <w:autoSpaceDE w:val="0"/>
        <w:autoSpaceDN w:val="0"/>
        <w:adjustRightInd w:val="0"/>
        <w:spacing w:after="0" w:line="240" w:lineRule="auto"/>
        <w:ind w:left="0" w:right="99" w:firstLine="0"/>
        <w:contextualSpacing w:val="0"/>
        <w:jc w:val="both"/>
        <w:rPr>
          <w:rFonts w:ascii="Verdana" w:hAnsi="Verdana" w:cs="Verdana"/>
          <w:bCs/>
          <w:sz w:val="20"/>
          <w:szCs w:val="20"/>
        </w:rPr>
      </w:pPr>
      <w:r>
        <w:rPr>
          <w:rFonts w:ascii="Verdana" w:hAnsi="Verdana" w:cs="Verdana"/>
          <w:bCs/>
          <w:sz w:val="20"/>
          <w:szCs w:val="20"/>
        </w:rPr>
        <w:t xml:space="preserve">Con base en </w:t>
      </w:r>
      <w:r w:rsidR="00303B66">
        <w:rPr>
          <w:rFonts w:ascii="Verdana" w:hAnsi="Verdana" w:cs="Verdana"/>
          <w:bCs/>
          <w:sz w:val="20"/>
          <w:szCs w:val="20"/>
        </w:rPr>
        <w:t xml:space="preserve">la información y </w:t>
      </w:r>
      <w:r>
        <w:rPr>
          <w:rFonts w:ascii="Verdana" w:hAnsi="Verdana" w:cs="Verdana"/>
          <w:bCs/>
          <w:sz w:val="20"/>
          <w:szCs w:val="20"/>
        </w:rPr>
        <w:t>el comprobante aportado por el Estado</w:t>
      </w:r>
      <w:r>
        <w:rPr>
          <w:rStyle w:val="Refdenotaalpie"/>
          <w:rFonts w:ascii="Verdana" w:hAnsi="Verdana" w:cs="Verdana"/>
          <w:bCs/>
          <w:sz w:val="20"/>
          <w:szCs w:val="20"/>
        </w:rPr>
        <w:footnoteReference w:id="31"/>
      </w:r>
      <w:r>
        <w:rPr>
          <w:rFonts w:ascii="Verdana" w:hAnsi="Verdana" w:cs="Verdana"/>
          <w:bCs/>
          <w:sz w:val="20"/>
          <w:szCs w:val="20"/>
        </w:rPr>
        <w:t>, l</w:t>
      </w:r>
      <w:r w:rsidR="008650AB">
        <w:rPr>
          <w:rFonts w:ascii="Verdana" w:hAnsi="Verdana" w:cs="Verdana"/>
          <w:bCs/>
          <w:sz w:val="20"/>
          <w:szCs w:val="20"/>
        </w:rPr>
        <w:t xml:space="preserve">a Corte constata que </w:t>
      </w:r>
      <w:r w:rsidR="003174E3">
        <w:rPr>
          <w:rFonts w:ascii="Verdana" w:hAnsi="Verdana" w:cs="Verdana"/>
          <w:bCs/>
          <w:sz w:val="20"/>
          <w:szCs w:val="20"/>
        </w:rPr>
        <w:t xml:space="preserve">el </w:t>
      </w:r>
      <w:r w:rsidR="00303B66">
        <w:rPr>
          <w:rFonts w:ascii="Verdana" w:hAnsi="Verdana" w:cs="Verdana"/>
          <w:bCs/>
          <w:sz w:val="20"/>
          <w:szCs w:val="20"/>
        </w:rPr>
        <w:t xml:space="preserve">5 </w:t>
      </w:r>
      <w:r w:rsidR="003174E3">
        <w:rPr>
          <w:rFonts w:ascii="Verdana" w:hAnsi="Verdana" w:cs="Verdana"/>
          <w:bCs/>
          <w:sz w:val="20"/>
          <w:szCs w:val="20"/>
        </w:rPr>
        <w:t xml:space="preserve">de </w:t>
      </w:r>
      <w:r w:rsidR="00303B66">
        <w:rPr>
          <w:rFonts w:ascii="Verdana" w:hAnsi="Verdana" w:cs="Verdana"/>
          <w:bCs/>
          <w:sz w:val="20"/>
          <w:szCs w:val="20"/>
        </w:rPr>
        <w:t xml:space="preserve">noviembre </w:t>
      </w:r>
      <w:r w:rsidR="003174E3">
        <w:rPr>
          <w:rFonts w:ascii="Verdana" w:hAnsi="Verdana" w:cs="Verdana"/>
          <w:bCs/>
          <w:sz w:val="20"/>
          <w:szCs w:val="20"/>
        </w:rPr>
        <w:t xml:space="preserve">de 2018 </w:t>
      </w:r>
      <w:r w:rsidR="003C78B5">
        <w:rPr>
          <w:rFonts w:ascii="Verdana" w:hAnsi="Verdana" w:cs="Verdana"/>
          <w:bCs/>
          <w:sz w:val="20"/>
          <w:szCs w:val="20"/>
        </w:rPr>
        <w:t xml:space="preserve">se efectuó el pago de la indemnización </w:t>
      </w:r>
      <w:r w:rsidR="003174E3">
        <w:rPr>
          <w:rFonts w:ascii="Verdana" w:hAnsi="Verdana" w:cs="Verdana"/>
          <w:bCs/>
          <w:sz w:val="20"/>
          <w:szCs w:val="20"/>
        </w:rPr>
        <w:t>ordenada a favor de</w:t>
      </w:r>
      <w:r w:rsidR="003C78B5">
        <w:rPr>
          <w:rFonts w:ascii="Verdana" w:hAnsi="Verdana" w:cs="Verdana"/>
          <w:bCs/>
          <w:sz w:val="20"/>
          <w:szCs w:val="20"/>
        </w:rPr>
        <w:t xml:space="preserve"> M. </w:t>
      </w:r>
      <w:r w:rsidR="003174E3">
        <w:rPr>
          <w:rFonts w:ascii="Verdana" w:hAnsi="Verdana" w:cs="Verdana"/>
          <w:bCs/>
          <w:sz w:val="20"/>
          <w:szCs w:val="20"/>
        </w:rPr>
        <w:t>L</w:t>
      </w:r>
      <w:r w:rsidR="008650AB">
        <w:rPr>
          <w:rFonts w:ascii="Verdana" w:hAnsi="Verdana" w:cs="Verdana"/>
          <w:bCs/>
          <w:sz w:val="20"/>
          <w:szCs w:val="20"/>
        </w:rPr>
        <w:t>a Comisión</w:t>
      </w:r>
      <w:r w:rsidR="003174E3">
        <w:rPr>
          <w:rFonts w:ascii="Verdana" w:hAnsi="Verdana" w:cs="Verdana"/>
          <w:bCs/>
          <w:sz w:val="20"/>
          <w:szCs w:val="20"/>
        </w:rPr>
        <w:t xml:space="preserve"> Interamericana</w:t>
      </w:r>
      <w:r w:rsidR="008650AB">
        <w:rPr>
          <w:rFonts w:ascii="Verdana" w:hAnsi="Verdana" w:cs="Verdana"/>
          <w:bCs/>
          <w:sz w:val="20"/>
          <w:szCs w:val="20"/>
        </w:rPr>
        <w:t xml:space="preserve"> </w:t>
      </w:r>
      <w:r w:rsidR="003174E3">
        <w:rPr>
          <w:rFonts w:ascii="Verdana" w:hAnsi="Verdana" w:cs="Verdana"/>
          <w:bCs/>
          <w:sz w:val="20"/>
          <w:szCs w:val="20"/>
        </w:rPr>
        <w:t xml:space="preserve">y </w:t>
      </w:r>
      <w:r w:rsidR="008650AB">
        <w:rPr>
          <w:rFonts w:ascii="Verdana" w:hAnsi="Verdana" w:cs="Verdana"/>
          <w:bCs/>
          <w:sz w:val="20"/>
          <w:szCs w:val="20"/>
        </w:rPr>
        <w:t>l</w:t>
      </w:r>
      <w:r w:rsidR="003174E3">
        <w:rPr>
          <w:rFonts w:ascii="Verdana" w:hAnsi="Verdana" w:cs="Verdana"/>
          <w:bCs/>
          <w:sz w:val="20"/>
          <w:szCs w:val="20"/>
        </w:rPr>
        <w:t>a</w:t>
      </w:r>
      <w:r w:rsidR="008650AB">
        <w:rPr>
          <w:rFonts w:ascii="Verdana" w:hAnsi="Verdana" w:cs="Verdana"/>
          <w:bCs/>
          <w:sz w:val="20"/>
          <w:szCs w:val="20"/>
        </w:rPr>
        <w:t xml:space="preserve">s representantes </w:t>
      </w:r>
      <w:r w:rsidR="003174E3">
        <w:rPr>
          <w:rFonts w:ascii="Verdana" w:hAnsi="Verdana" w:cs="Verdana"/>
          <w:bCs/>
          <w:sz w:val="20"/>
          <w:szCs w:val="20"/>
        </w:rPr>
        <w:t xml:space="preserve">del señor Fornerón no </w:t>
      </w:r>
      <w:r w:rsidR="008650AB">
        <w:rPr>
          <w:rFonts w:ascii="Verdana" w:hAnsi="Verdana" w:cs="Verdana"/>
          <w:bCs/>
          <w:sz w:val="20"/>
          <w:szCs w:val="20"/>
        </w:rPr>
        <w:t xml:space="preserve">presentaron observaciones al respecto. </w:t>
      </w:r>
    </w:p>
    <w:p w14:paraId="6865DD74" w14:textId="77777777" w:rsidR="0098791D" w:rsidRDefault="0098791D"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Cs/>
          <w:sz w:val="20"/>
          <w:szCs w:val="20"/>
        </w:rPr>
      </w:pPr>
    </w:p>
    <w:p w14:paraId="26ED964A" w14:textId="77777777" w:rsidR="006461A0" w:rsidRDefault="008650AB" w:rsidP="009B05C8">
      <w:pPr>
        <w:pStyle w:val="Prrafodelista"/>
        <w:numPr>
          <w:ilvl w:val="0"/>
          <w:numId w:val="3"/>
        </w:numPr>
        <w:tabs>
          <w:tab w:val="left" w:pos="0"/>
        </w:tabs>
        <w:autoSpaceDE w:val="0"/>
        <w:autoSpaceDN w:val="0"/>
        <w:adjustRightInd w:val="0"/>
        <w:spacing w:after="0" w:line="240" w:lineRule="auto"/>
        <w:ind w:left="0" w:right="99" w:firstLine="0"/>
        <w:contextualSpacing w:val="0"/>
        <w:jc w:val="both"/>
        <w:rPr>
          <w:rFonts w:ascii="Verdana" w:hAnsi="Verdana" w:cs="Verdana"/>
          <w:bCs/>
          <w:sz w:val="20"/>
          <w:szCs w:val="20"/>
        </w:rPr>
      </w:pPr>
      <w:bookmarkStart w:id="25" w:name="_Ref21681651"/>
      <w:r>
        <w:rPr>
          <w:rFonts w:ascii="Verdana" w:hAnsi="Verdana" w:cs="Verdana"/>
          <w:bCs/>
          <w:sz w:val="20"/>
          <w:szCs w:val="20"/>
        </w:rPr>
        <w:lastRenderedPageBreak/>
        <w:t xml:space="preserve">En consecuencia, este Tribunal considera que el Estado ha dado cumplimiento total a la medida de reparación </w:t>
      </w:r>
      <w:r w:rsidR="003174E3">
        <w:rPr>
          <w:rFonts w:ascii="Verdana" w:hAnsi="Verdana" w:cs="Verdana"/>
          <w:bCs/>
          <w:sz w:val="20"/>
          <w:szCs w:val="20"/>
        </w:rPr>
        <w:t>ordenada en el punto dispo</w:t>
      </w:r>
      <w:r w:rsidR="007430FB">
        <w:rPr>
          <w:rFonts w:ascii="Verdana" w:hAnsi="Verdana" w:cs="Verdana"/>
          <w:bCs/>
          <w:sz w:val="20"/>
          <w:szCs w:val="20"/>
        </w:rPr>
        <w:t>sitivo séptimo de la Sentencia,</w:t>
      </w:r>
      <w:r w:rsidR="003174E3">
        <w:rPr>
          <w:rFonts w:ascii="Verdana" w:hAnsi="Verdana" w:cs="Verdana"/>
          <w:bCs/>
          <w:sz w:val="20"/>
          <w:szCs w:val="20"/>
        </w:rPr>
        <w:t xml:space="preserve"> </w:t>
      </w:r>
      <w:r>
        <w:rPr>
          <w:rFonts w:ascii="Verdana" w:hAnsi="Verdana" w:cs="Verdana"/>
          <w:bCs/>
          <w:sz w:val="20"/>
          <w:szCs w:val="20"/>
        </w:rPr>
        <w:t>relativa al pago de la</w:t>
      </w:r>
      <w:r w:rsidR="003174E3">
        <w:rPr>
          <w:rFonts w:ascii="Verdana" w:hAnsi="Verdana" w:cs="Verdana"/>
          <w:bCs/>
          <w:sz w:val="20"/>
          <w:szCs w:val="20"/>
        </w:rPr>
        <w:t xml:space="preserve">s cantidades dispuestas en la Sentencia por concepto de </w:t>
      </w:r>
      <w:r>
        <w:rPr>
          <w:rFonts w:ascii="Verdana" w:hAnsi="Verdana" w:cs="Verdana"/>
          <w:bCs/>
          <w:sz w:val="20"/>
          <w:szCs w:val="20"/>
        </w:rPr>
        <w:t>indemnizaci</w:t>
      </w:r>
      <w:r w:rsidR="00027201">
        <w:rPr>
          <w:rFonts w:ascii="Verdana" w:hAnsi="Verdana" w:cs="Verdana"/>
          <w:bCs/>
          <w:sz w:val="20"/>
          <w:szCs w:val="20"/>
        </w:rPr>
        <w:t>ones</w:t>
      </w:r>
      <w:r>
        <w:rPr>
          <w:rFonts w:ascii="Verdana" w:hAnsi="Verdana" w:cs="Verdana"/>
          <w:bCs/>
          <w:sz w:val="20"/>
          <w:szCs w:val="20"/>
        </w:rPr>
        <w:t xml:space="preserve"> por daño material </w:t>
      </w:r>
      <w:r w:rsidR="003174E3">
        <w:rPr>
          <w:rFonts w:ascii="Verdana" w:hAnsi="Verdana" w:cs="Verdana"/>
          <w:bCs/>
          <w:sz w:val="20"/>
          <w:szCs w:val="20"/>
        </w:rPr>
        <w:t>e inmaterial y por reintegro de costas y gastos</w:t>
      </w:r>
      <w:r>
        <w:rPr>
          <w:rFonts w:ascii="Verdana" w:hAnsi="Verdana" w:cs="Verdana"/>
          <w:bCs/>
          <w:sz w:val="20"/>
          <w:szCs w:val="20"/>
        </w:rPr>
        <w:t>.</w:t>
      </w:r>
      <w:bookmarkEnd w:id="25"/>
      <w:r>
        <w:rPr>
          <w:rFonts w:ascii="Verdana" w:hAnsi="Verdana" w:cs="Verdana"/>
          <w:bCs/>
          <w:sz w:val="20"/>
          <w:szCs w:val="20"/>
        </w:rPr>
        <w:t xml:space="preserve"> </w:t>
      </w:r>
    </w:p>
    <w:p w14:paraId="03AB64FC" w14:textId="77777777" w:rsidR="0014372A" w:rsidRPr="0014372A" w:rsidRDefault="0014372A" w:rsidP="0014372A">
      <w:pPr>
        <w:pStyle w:val="Prrafodelista"/>
        <w:rPr>
          <w:rFonts w:ascii="Verdana" w:hAnsi="Verdana" w:cs="Verdana"/>
          <w:bCs/>
          <w:sz w:val="20"/>
          <w:szCs w:val="20"/>
        </w:rPr>
      </w:pPr>
    </w:p>
    <w:p w14:paraId="614DD1B1" w14:textId="77777777" w:rsidR="00720224" w:rsidRPr="009B05C8" w:rsidRDefault="00720224" w:rsidP="009B05C8">
      <w:pPr>
        <w:pStyle w:val="Default"/>
        <w:numPr>
          <w:ilvl w:val="0"/>
          <w:numId w:val="24"/>
        </w:numPr>
        <w:jc w:val="both"/>
        <w:outlineLvl w:val="0"/>
        <w:rPr>
          <w:b/>
          <w:sz w:val="20"/>
          <w:szCs w:val="20"/>
        </w:rPr>
      </w:pPr>
      <w:bookmarkStart w:id="26" w:name="_Toc19625954"/>
      <w:r>
        <w:rPr>
          <w:b/>
          <w:i/>
          <w:sz w:val="20"/>
          <w:szCs w:val="20"/>
        </w:rPr>
        <w:t>Solicitud de información sobre las reparaciones pendientes de cumplimiento</w:t>
      </w:r>
      <w:bookmarkEnd w:id="26"/>
    </w:p>
    <w:p w14:paraId="01724B58" w14:textId="77777777" w:rsidR="009B05C8" w:rsidRPr="00CA38EE" w:rsidRDefault="009B05C8" w:rsidP="009B05C8">
      <w:pPr>
        <w:pStyle w:val="Default"/>
        <w:ind w:left="360"/>
        <w:jc w:val="both"/>
        <w:outlineLvl w:val="0"/>
        <w:rPr>
          <w:b/>
          <w:sz w:val="20"/>
          <w:szCs w:val="20"/>
        </w:rPr>
      </w:pPr>
    </w:p>
    <w:p w14:paraId="18C132DB" w14:textId="258FFACF" w:rsidR="00720224" w:rsidRDefault="00720224" w:rsidP="009B05C8">
      <w:pPr>
        <w:pStyle w:val="Prrafodelista"/>
        <w:numPr>
          <w:ilvl w:val="0"/>
          <w:numId w:val="3"/>
        </w:numPr>
        <w:tabs>
          <w:tab w:val="left" w:pos="0"/>
        </w:tabs>
        <w:autoSpaceDE w:val="0"/>
        <w:autoSpaceDN w:val="0"/>
        <w:adjustRightInd w:val="0"/>
        <w:spacing w:after="0" w:line="240" w:lineRule="auto"/>
        <w:ind w:left="0" w:right="99" w:firstLine="0"/>
        <w:contextualSpacing w:val="0"/>
        <w:jc w:val="both"/>
        <w:rPr>
          <w:rFonts w:ascii="Verdana" w:hAnsi="Verdana" w:cs="Verdana"/>
          <w:bCs/>
          <w:sz w:val="20"/>
          <w:szCs w:val="20"/>
        </w:rPr>
      </w:pPr>
      <w:bookmarkStart w:id="27" w:name="_Ref21531500"/>
      <w:r>
        <w:rPr>
          <w:rFonts w:ascii="Verdana" w:hAnsi="Verdana" w:cs="Verdana"/>
          <w:bCs/>
          <w:sz w:val="20"/>
          <w:szCs w:val="20"/>
        </w:rPr>
        <w:t>De conformidad con lo resuelto en la Resolución de noviembre de 2018 (</w:t>
      </w:r>
      <w:r w:rsidRPr="00FC0418">
        <w:rPr>
          <w:rFonts w:ascii="Verdana" w:hAnsi="Verdana" w:cs="Verdana"/>
          <w:bCs/>
          <w:i/>
          <w:iCs/>
          <w:sz w:val="20"/>
          <w:szCs w:val="20"/>
        </w:rPr>
        <w:t xml:space="preserve">supra </w:t>
      </w:r>
      <w:r>
        <w:rPr>
          <w:rFonts w:ascii="Verdana" w:hAnsi="Verdana" w:cs="Verdana"/>
          <w:bCs/>
          <w:sz w:val="20"/>
          <w:szCs w:val="20"/>
        </w:rPr>
        <w:t>Considerando</w:t>
      </w:r>
      <w:r w:rsidR="0014372A">
        <w:rPr>
          <w:rFonts w:ascii="Verdana" w:hAnsi="Verdana" w:cs="Verdana"/>
          <w:bCs/>
          <w:sz w:val="20"/>
          <w:szCs w:val="20"/>
        </w:rPr>
        <w:t xml:space="preserve"> 1</w:t>
      </w:r>
      <w:r>
        <w:rPr>
          <w:rFonts w:ascii="Verdana" w:hAnsi="Verdana" w:cs="Verdana"/>
          <w:bCs/>
          <w:sz w:val="20"/>
          <w:szCs w:val="20"/>
        </w:rPr>
        <w:t>) y en esta oportunidad (</w:t>
      </w:r>
      <w:r w:rsidRPr="00FC0418">
        <w:rPr>
          <w:rFonts w:ascii="Verdana" w:hAnsi="Verdana" w:cs="Verdana"/>
          <w:bCs/>
          <w:i/>
          <w:iCs/>
          <w:sz w:val="20"/>
          <w:szCs w:val="20"/>
        </w:rPr>
        <w:t xml:space="preserve">supra </w:t>
      </w:r>
      <w:r>
        <w:rPr>
          <w:rFonts w:ascii="Verdana" w:hAnsi="Verdana" w:cs="Verdana"/>
          <w:bCs/>
          <w:sz w:val="20"/>
          <w:szCs w:val="20"/>
        </w:rPr>
        <w:t xml:space="preserve">Considerandos </w:t>
      </w:r>
      <w:r w:rsidR="0098791D">
        <w:rPr>
          <w:rFonts w:ascii="Verdana" w:hAnsi="Verdana" w:cs="Verdana"/>
          <w:bCs/>
          <w:sz w:val="20"/>
          <w:szCs w:val="20"/>
        </w:rPr>
        <w:fldChar w:fldCharType="begin"/>
      </w:r>
      <w:r w:rsidR="0098791D">
        <w:rPr>
          <w:rFonts w:ascii="Verdana" w:hAnsi="Verdana" w:cs="Verdana"/>
          <w:bCs/>
          <w:sz w:val="20"/>
          <w:szCs w:val="20"/>
        </w:rPr>
        <w:instrText xml:space="preserve"> REF _Ref21681646 \r \h </w:instrText>
      </w:r>
      <w:r w:rsidR="00316C26">
        <w:rPr>
          <w:rFonts w:ascii="Verdana" w:hAnsi="Verdana" w:cs="Verdana"/>
          <w:bCs/>
          <w:sz w:val="20"/>
          <w:szCs w:val="20"/>
        </w:rPr>
        <w:instrText xml:space="preserve"> \* MERGEFORMAT </w:instrText>
      </w:r>
      <w:r w:rsidR="0098791D">
        <w:rPr>
          <w:rFonts w:ascii="Verdana" w:hAnsi="Verdana" w:cs="Verdana"/>
          <w:bCs/>
          <w:sz w:val="20"/>
          <w:szCs w:val="20"/>
        </w:rPr>
      </w:r>
      <w:r w:rsidR="0098791D">
        <w:rPr>
          <w:rFonts w:ascii="Verdana" w:hAnsi="Verdana" w:cs="Verdana"/>
          <w:bCs/>
          <w:sz w:val="20"/>
          <w:szCs w:val="20"/>
        </w:rPr>
        <w:fldChar w:fldCharType="separate"/>
      </w:r>
      <w:r w:rsidR="007B61B6">
        <w:rPr>
          <w:rFonts w:ascii="Verdana" w:hAnsi="Verdana" w:cs="Verdana"/>
          <w:bCs/>
          <w:sz w:val="20"/>
          <w:szCs w:val="20"/>
        </w:rPr>
        <w:t>13</w:t>
      </w:r>
      <w:r w:rsidR="0098791D">
        <w:rPr>
          <w:rFonts w:ascii="Verdana" w:hAnsi="Verdana" w:cs="Verdana"/>
          <w:bCs/>
          <w:sz w:val="20"/>
          <w:szCs w:val="20"/>
        </w:rPr>
        <w:fldChar w:fldCharType="end"/>
      </w:r>
      <w:r w:rsidR="0098791D">
        <w:rPr>
          <w:rFonts w:ascii="Verdana" w:hAnsi="Verdana" w:cs="Verdana"/>
          <w:bCs/>
          <w:sz w:val="20"/>
          <w:szCs w:val="20"/>
        </w:rPr>
        <w:t xml:space="preserve"> y </w:t>
      </w:r>
      <w:r w:rsidR="0098791D">
        <w:rPr>
          <w:rFonts w:ascii="Verdana" w:hAnsi="Verdana" w:cs="Verdana"/>
          <w:bCs/>
          <w:sz w:val="20"/>
          <w:szCs w:val="20"/>
        </w:rPr>
        <w:fldChar w:fldCharType="begin"/>
      </w:r>
      <w:r w:rsidR="0098791D">
        <w:rPr>
          <w:rFonts w:ascii="Verdana" w:hAnsi="Verdana" w:cs="Verdana"/>
          <w:bCs/>
          <w:sz w:val="20"/>
          <w:szCs w:val="20"/>
        </w:rPr>
        <w:instrText xml:space="preserve"> REF _Ref21681651 \r \h </w:instrText>
      </w:r>
      <w:r w:rsidR="00316C26">
        <w:rPr>
          <w:rFonts w:ascii="Verdana" w:hAnsi="Verdana" w:cs="Verdana"/>
          <w:bCs/>
          <w:sz w:val="20"/>
          <w:szCs w:val="20"/>
        </w:rPr>
        <w:instrText xml:space="preserve"> \* MERGEFORMAT </w:instrText>
      </w:r>
      <w:r w:rsidR="0098791D">
        <w:rPr>
          <w:rFonts w:ascii="Verdana" w:hAnsi="Verdana" w:cs="Verdana"/>
          <w:bCs/>
          <w:sz w:val="20"/>
          <w:szCs w:val="20"/>
        </w:rPr>
      </w:r>
      <w:r w:rsidR="0098791D">
        <w:rPr>
          <w:rFonts w:ascii="Verdana" w:hAnsi="Verdana" w:cs="Verdana"/>
          <w:bCs/>
          <w:sz w:val="20"/>
          <w:szCs w:val="20"/>
        </w:rPr>
        <w:fldChar w:fldCharType="separate"/>
      </w:r>
      <w:r w:rsidR="007B61B6">
        <w:rPr>
          <w:rFonts w:ascii="Verdana" w:hAnsi="Verdana" w:cs="Verdana"/>
          <w:bCs/>
          <w:sz w:val="20"/>
          <w:szCs w:val="20"/>
        </w:rPr>
        <w:t>17</w:t>
      </w:r>
      <w:r w:rsidR="0098791D">
        <w:rPr>
          <w:rFonts w:ascii="Verdana" w:hAnsi="Verdana" w:cs="Verdana"/>
          <w:bCs/>
          <w:sz w:val="20"/>
          <w:szCs w:val="20"/>
        </w:rPr>
        <w:fldChar w:fldCharType="end"/>
      </w:r>
      <w:r>
        <w:rPr>
          <w:rFonts w:ascii="Verdana" w:hAnsi="Verdana" w:cs="Verdana"/>
          <w:bCs/>
          <w:sz w:val="20"/>
          <w:szCs w:val="20"/>
        </w:rPr>
        <w:t>), en el presente caso se encuentran pendientes de cumplimiento solamente dos medidas de reparación:</w:t>
      </w:r>
      <w:bookmarkEnd w:id="27"/>
      <w:r>
        <w:rPr>
          <w:rFonts w:ascii="Verdana" w:hAnsi="Verdana" w:cs="Verdana"/>
          <w:bCs/>
          <w:sz w:val="20"/>
          <w:szCs w:val="20"/>
        </w:rPr>
        <w:t xml:space="preserve"> </w:t>
      </w:r>
    </w:p>
    <w:p w14:paraId="46C8C4C4" w14:textId="77777777" w:rsidR="00047F09" w:rsidRDefault="00047F09"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Cs/>
          <w:sz w:val="20"/>
          <w:szCs w:val="20"/>
        </w:rPr>
      </w:pPr>
    </w:p>
    <w:p w14:paraId="1F3163F1" w14:textId="77777777" w:rsidR="00720224" w:rsidRDefault="0014372A" w:rsidP="00B74118">
      <w:pPr>
        <w:pStyle w:val="Prrafodelista"/>
        <w:numPr>
          <w:ilvl w:val="0"/>
          <w:numId w:val="31"/>
        </w:numPr>
        <w:tabs>
          <w:tab w:val="left" w:pos="0"/>
        </w:tabs>
        <w:autoSpaceDE w:val="0"/>
        <w:autoSpaceDN w:val="0"/>
        <w:adjustRightInd w:val="0"/>
        <w:spacing w:after="0" w:line="240" w:lineRule="auto"/>
        <w:ind w:left="1003" w:right="113"/>
        <w:contextualSpacing w:val="0"/>
        <w:jc w:val="both"/>
        <w:rPr>
          <w:rFonts w:ascii="Verdana" w:hAnsi="Verdana" w:cs="Verdana"/>
          <w:bCs/>
          <w:sz w:val="20"/>
          <w:szCs w:val="20"/>
        </w:rPr>
      </w:pPr>
      <w:bookmarkStart w:id="28" w:name="_Ref21681754"/>
      <w:r>
        <w:rPr>
          <w:rFonts w:ascii="Verdana" w:hAnsi="Verdana" w:cs="Verdana"/>
          <w:bCs/>
          <w:sz w:val="20"/>
          <w:szCs w:val="20"/>
        </w:rPr>
        <w:t>“</w:t>
      </w:r>
      <w:r w:rsidR="005B76FD">
        <w:rPr>
          <w:rFonts w:ascii="Verdana" w:hAnsi="Verdana" w:cs="Verdana"/>
          <w:bCs/>
          <w:sz w:val="20"/>
          <w:szCs w:val="20"/>
        </w:rPr>
        <w:t>v</w:t>
      </w:r>
      <w:r w:rsidR="00720224">
        <w:rPr>
          <w:rFonts w:ascii="Verdana" w:hAnsi="Verdana" w:cs="Verdana"/>
          <w:bCs/>
          <w:sz w:val="20"/>
          <w:szCs w:val="20"/>
        </w:rPr>
        <w:t xml:space="preserve">erificar </w:t>
      </w:r>
      <w:r>
        <w:rPr>
          <w:rFonts w:ascii="Verdana" w:hAnsi="Verdana" w:cs="Verdana"/>
          <w:bCs/>
          <w:sz w:val="20"/>
          <w:szCs w:val="20"/>
        </w:rPr>
        <w:t xml:space="preserve">[…] </w:t>
      </w:r>
      <w:r w:rsidR="00720224">
        <w:rPr>
          <w:rFonts w:ascii="Verdana" w:hAnsi="Verdana" w:cs="Verdana"/>
          <w:bCs/>
          <w:sz w:val="20"/>
          <w:szCs w:val="20"/>
        </w:rPr>
        <w:t xml:space="preserve">la conformidad a derecho </w:t>
      </w:r>
      <w:r w:rsidR="005B76FD">
        <w:rPr>
          <w:rFonts w:ascii="Verdana" w:hAnsi="Verdana" w:cs="Verdana"/>
          <w:bCs/>
          <w:sz w:val="20"/>
          <w:szCs w:val="20"/>
        </w:rPr>
        <w:t xml:space="preserve">de la conducta de los funcionarios que intervinieron en los distintos procesos internos relacionados con el presente caso y, en su caso, </w:t>
      </w:r>
      <w:r>
        <w:rPr>
          <w:rFonts w:ascii="Verdana" w:hAnsi="Verdana" w:cs="Verdana"/>
          <w:bCs/>
          <w:sz w:val="20"/>
          <w:szCs w:val="20"/>
        </w:rPr>
        <w:t xml:space="preserve">establecer </w:t>
      </w:r>
      <w:r w:rsidR="005B76FD">
        <w:rPr>
          <w:rFonts w:ascii="Verdana" w:hAnsi="Verdana" w:cs="Verdana"/>
          <w:bCs/>
          <w:sz w:val="20"/>
          <w:szCs w:val="20"/>
        </w:rPr>
        <w:t>las responsabilidades que correspondan</w:t>
      </w:r>
      <w:r>
        <w:rPr>
          <w:rFonts w:ascii="Verdana" w:hAnsi="Verdana" w:cs="Verdana"/>
          <w:bCs/>
          <w:sz w:val="20"/>
          <w:szCs w:val="20"/>
        </w:rPr>
        <w:t>”</w:t>
      </w:r>
      <w:r w:rsidR="005B76FD">
        <w:rPr>
          <w:rFonts w:ascii="Verdana" w:hAnsi="Verdana" w:cs="Verdana"/>
          <w:bCs/>
          <w:sz w:val="20"/>
          <w:szCs w:val="20"/>
        </w:rPr>
        <w:t xml:space="preserve"> (</w:t>
      </w:r>
      <w:r w:rsidR="005B76FD" w:rsidRPr="00FC0418">
        <w:rPr>
          <w:rFonts w:ascii="Verdana" w:hAnsi="Verdana" w:cs="Verdana"/>
          <w:bCs/>
          <w:i/>
          <w:iCs/>
          <w:sz w:val="20"/>
          <w:szCs w:val="20"/>
        </w:rPr>
        <w:t>punto dispositivo tercero de la Sentencia</w:t>
      </w:r>
      <w:r w:rsidR="005B76FD">
        <w:rPr>
          <w:rFonts w:ascii="Verdana" w:hAnsi="Verdana" w:cs="Verdana"/>
          <w:bCs/>
          <w:sz w:val="20"/>
          <w:szCs w:val="20"/>
        </w:rPr>
        <w:t>), y</w:t>
      </w:r>
      <w:bookmarkEnd w:id="28"/>
    </w:p>
    <w:p w14:paraId="44D3D058" w14:textId="77777777" w:rsidR="0014372A" w:rsidRDefault="0014372A" w:rsidP="0014372A">
      <w:pPr>
        <w:pStyle w:val="Prrafodelista"/>
        <w:tabs>
          <w:tab w:val="left" w:pos="0"/>
        </w:tabs>
        <w:autoSpaceDE w:val="0"/>
        <w:autoSpaceDN w:val="0"/>
        <w:adjustRightInd w:val="0"/>
        <w:spacing w:after="0" w:line="240" w:lineRule="auto"/>
        <w:ind w:left="1003" w:right="113"/>
        <w:contextualSpacing w:val="0"/>
        <w:jc w:val="both"/>
        <w:rPr>
          <w:rFonts w:ascii="Verdana" w:hAnsi="Verdana" w:cs="Verdana"/>
          <w:bCs/>
          <w:sz w:val="20"/>
          <w:szCs w:val="20"/>
        </w:rPr>
      </w:pPr>
    </w:p>
    <w:p w14:paraId="0CEC97DD" w14:textId="77777777" w:rsidR="005B76FD" w:rsidRDefault="0014372A" w:rsidP="009B05C8">
      <w:pPr>
        <w:pStyle w:val="Prrafodelista"/>
        <w:numPr>
          <w:ilvl w:val="0"/>
          <w:numId w:val="31"/>
        </w:numPr>
        <w:tabs>
          <w:tab w:val="left" w:pos="0"/>
        </w:tabs>
        <w:autoSpaceDE w:val="0"/>
        <w:autoSpaceDN w:val="0"/>
        <w:adjustRightInd w:val="0"/>
        <w:spacing w:after="0" w:line="240" w:lineRule="auto"/>
        <w:ind w:right="99"/>
        <w:contextualSpacing w:val="0"/>
        <w:jc w:val="both"/>
        <w:rPr>
          <w:rFonts w:ascii="Verdana" w:hAnsi="Verdana" w:cs="Verdana"/>
          <w:bCs/>
          <w:sz w:val="20"/>
          <w:szCs w:val="20"/>
        </w:rPr>
      </w:pPr>
      <w:bookmarkStart w:id="29" w:name="_Ref21684561"/>
      <w:r>
        <w:rPr>
          <w:rFonts w:ascii="Verdana" w:hAnsi="Verdana" w:cs="Verdana"/>
          <w:bCs/>
          <w:sz w:val="20"/>
          <w:szCs w:val="20"/>
        </w:rPr>
        <w:t>“</w:t>
      </w:r>
      <w:r w:rsidR="005B76FD">
        <w:rPr>
          <w:rFonts w:ascii="Verdana" w:hAnsi="Verdana" w:cs="Verdana"/>
          <w:bCs/>
          <w:sz w:val="20"/>
          <w:szCs w:val="20"/>
        </w:rPr>
        <w:t>adoptar las medidas que sean necesarias para tipificar la venta de niños y niñas, de manera que el acto de entregar un niño o niña a cambio de una retribución o cualquier otra compensación, cualquiera que sea su forma o fin, constituya una infracción penal</w:t>
      </w:r>
      <w:r>
        <w:rPr>
          <w:rFonts w:ascii="Verdana" w:hAnsi="Verdana" w:cs="Verdana"/>
          <w:bCs/>
          <w:sz w:val="20"/>
          <w:szCs w:val="20"/>
        </w:rPr>
        <w:t>, de conformidad con los estándares internacionales y lo establecido en […] la Sentencia”</w:t>
      </w:r>
      <w:r w:rsidR="005B76FD">
        <w:rPr>
          <w:rFonts w:ascii="Verdana" w:hAnsi="Verdana" w:cs="Verdana"/>
          <w:bCs/>
          <w:sz w:val="20"/>
          <w:szCs w:val="20"/>
        </w:rPr>
        <w:t xml:space="preserve"> (</w:t>
      </w:r>
      <w:r w:rsidR="005B76FD" w:rsidRPr="00FC0418">
        <w:rPr>
          <w:rFonts w:ascii="Verdana" w:hAnsi="Verdana" w:cs="Verdana"/>
          <w:bCs/>
          <w:i/>
          <w:iCs/>
          <w:sz w:val="20"/>
          <w:szCs w:val="20"/>
        </w:rPr>
        <w:t>punto dispositivo cuarto de la Sentencia</w:t>
      </w:r>
      <w:r w:rsidR="005B76FD">
        <w:rPr>
          <w:rFonts w:ascii="Verdana" w:hAnsi="Verdana" w:cs="Verdana"/>
          <w:bCs/>
          <w:sz w:val="20"/>
          <w:szCs w:val="20"/>
        </w:rPr>
        <w:t>).</w:t>
      </w:r>
      <w:bookmarkEnd w:id="29"/>
    </w:p>
    <w:p w14:paraId="6B8AAF3B" w14:textId="77777777" w:rsidR="00047F09" w:rsidRDefault="00047F09"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Cs/>
          <w:sz w:val="20"/>
          <w:szCs w:val="20"/>
        </w:rPr>
      </w:pPr>
      <w:bookmarkStart w:id="30" w:name="_Ref21696805"/>
    </w:p>
    <w:p w14:paraId="4271623E" w14:textId="59EBCBD6" w:rsidR="00720224" w:rsidRDefault="00A76646" w:rsidP="009B05C8">
      <w:pPr>
        <w:pStyle w:val="Prrafodelista"/>
        <w:numPr>
          <w:ilvl w:val="0"/>
          <w:numId w:val="3"/>
        </w:numPr>
        <w:tabs>
          <w:tab w:val="left" w:pos="0"/>
        </w:tabs>
        <w:autoSpaceDE w:val="0"/>
        <w:autoSpaceDN w:val="0"/>
        <w:adjustRightInd w:val="0"/>
        <w:spacing w:after="0" w:line="240" w:lineRule="auto"/>
        <w:ind w:left="0" w:right="99" w:firstLine="0"/>
        <w:contextualSpacing w:val="0"/>
        <w:jc w:val="both"/>
        <w:rPr>
          <w:rFonts w:ascii="Verdana" w:hAnsi="Verdana" w:cs="Verdana"/>
          <w:bCs/>
          <w:sz w:val="20"/>
          <w:szCs w:val="20"/>
        </w:rPr>
      </w:pPr>
      <w:r>
        <w:rPr>
          <w:rFonts w:ascii="Verdana" w:hAnsi="Verdana" w:cs="Verdana"/>
          <w:bCs/>
          <w:sz w:val="20"/>
          <w:szCs w:val="20"/>
        </w:rPr>
        <w:t>En cuanto a la primera medida, relativa a la determinación de responsabilidades (</w:t>
      </w:r>
      <w:r w:rsidRPr="00FC0418">
        <w:rPr>
          <w:rFonts w:ascii="Verdana" w:hAnsi="Verdana" w:cs="Verdana"/>
          <w:bCs/>
          <w:i/>
          <w:iCs/>
          <w:sz w:val="20"/>
          <w:szCs w:val="20"/>
        </w:rPr>
        <w:t xml:space="preserve">supra </w:t>
      </w:r>
      <w:r>
        <w:rPr>
          <w:rFonts w:ascii="Verdana" w:hAnsi="Verdana" w:cs="Verdana"/>
          <w:bCs/>
          <w:sz w:val="20"/>
          <w:szCs w:val="20"/>
        </w:rPr>
        <w:t xml:space="preserve">Considerando </w:t>
      </w:r>
      <w:r w:rsidR="0098791D">
        <w:rPr>
          <w:rFonts w:ascii="Verdana" w:hAnsi="Verdana" w:cs="Verdana"/>
          <w:bCs/>
          <w:sz w:val="20"/>
          <w:szCs w:val="20"/>
        </w:rPr>
        <w:fldChar w:fldCharType="begin"/>
      </w:r>
      <w:r w:rsidR="0098791D">
        <w:rPr>
          <w:rFonts w:ascii="Verdana" w:hAnsi="Verdana" w:cs="Verdana"/>
          <w:bCs/>
          <w:sz w:val="20"/>
          <w:szCs w:val="20"/>
        </w:rPr>
        <w:instrText xml:space="preserve"> REF _Ref21531500 \r \h </w:instrText>
      </w:r>
      <w:r w:rsidR="00316C26">
        <w:rPr>
          <w:rFonts w:ascii="Verdana" w:hAnsi="Verdana" w:cs="Verdana"/>
          <w:bCs/>
          <w:sz w:val="20"/>
          <w:szCs w:val="20"/>
        </w:rPr>
        <w:instrText xml:space="preserve"> \* MERGEFORMAT </w:instrText>
      </w:r>
      <w:r w:rsidR="0098791D">
        <w:rPr>
          <w:rFonts w:ascii="Verdana" w:hAnsi="Verdana" w:cs="Verdana"/>
          <w:bCs/>
          <w:sz w:val="20"/>
          <w:szCs w:val="20"/>
        </w:rPr>
      </w:r>
      <w:r w:rsidR="0098791D">
        <w:rPr>
          <w:rFonts w:ascii="Verdana" w:hAnsi="Verdana" w:cs="Verdana"/>
          <w:bCs/>
          <w:sz w:val="20"/>
          <w:szCs w:val="20"/>
        </w:rPr>
        <w:fldChar w:fldCharType="separate"/>
      </w:r>
      <w:r w:rsidR="007B61B6">
        <w:rPr>
          <w:rFonts w:ascii="Verdana" w:hAnsi="Verdana" w:cs="Verdana"/>
          <w:bCs/>
          <w:sz w:val="20"/>
          <w:szCs w:val="20"/>
        </w:rPr>
        <w:t>18</w:t>
      </w:r>
      <w:r w:rsidR="0098791D">
        <w:rPr>
          <w:rFonts w:ascii="Verdana" w:hAnsi="Verdana" w:cs="Verdana"/>
          <w:bCs/>
          <w:sz w:val="20"/>
          <w:szCs w:val="20"/>
        </w:rPr>
        <w:fldChar w:fldCharType="end"/>
      </w:r>
      <w:r w:rsidR="0098791D">
        <w:rPr>
          <w:rFonts w:ascii="Verdana" w:hAnsi="Verdana" w:cs="Verdana"/>
          <w:bCs/>
          <w:sz w:val="20"/>
          <w:szCs w:val="20"/>
        </w:rPr>
        <w:t>.</w:t>
      </w:r>
      <w:r w:rsidR="0098791D">
        <w:rPr>
          <w:rFonts w:ascii="Verdana" w:hAnsi="Verdana" w:cs="Verdana"/>
          <w:bCs/>
          <w:sz w:val="20"/>
          <w:szCs w:val="20"/>
        </w:rPr>
        <w:fldChar w:fldCharType="begin"/>
      </w:r>
      <w:r w:rsidR="0098791D">
        <w:rPr>
          <w:rFonts w:ascii="Verdana" w:hAnsi="Verdana" w:cs="Verdana"/>
          <w:bCs/>
          <w:sz w:val="20"/>
          <w:szCs w:val="20"/>
        </w:rPr>
        <w:instrText xml:space="preserve"> REF _Ref21681754 \r \h </w:instrText>
      </w:r>
      <w:r w:rsidR="00316C26">
        <w:rPr>
          <w:rFonts w:ascii="Verdana" w:hAnsi="Verdana" w:cs="Verdana"/>
          <w:bCs/>
          <w:sz w:val="20"/>
          <w:szCs w:val="20"/>
        </w:rPr>
        <w:instrText xml:space="preserve"> \* MERGEFORMAT </w:instrText>
      </w:r>
      <w:r w:rsidR="0098791D">
        <w:rPr>
          <w:rFonts w:ascii="Verdana" w:hAnsi="Verdana" w:cs="Verdana"/>
          <w:bCs/>
          <w:sz w:val="20"/>
          <w:szCs w:val="20"/>
        </w:rPr>
      </w:r>
      <w:r w:rsidR="0098791D">
        <w:rPr>
          <w:rFonts w:ascii="Verdana" w:hAnsi="Verdana" w:cs="Verdana"/>
          <w:bCs/>
          <w:sz w:val="20"/>
          <w:szCs w:val="20"/>
        </w:rPr>
        <w:fldChar w:fldCharType="separate"/>
      </w:r>
      <w:r w:rsidR="007B61B6">
        <w:rPr>
          <w:rFonts w:ascii="Verdana" w:hAnsi="Verdana" w:cs="Verdana"/>
          <w:bCs/>
          <w:sz w:val="20"/>
          <w:szCs w:val="20"/>
        </w:rPr>
        <w:t>i</w:t>
      </w:r>
      <w:r w:rsidR="0098791D">
        <w:rPr>
          <w:rFonts w:ascii="Verdana" w:hAnsi="Verdana" w:cs="Verdana"/>
          <w:bCs/>
          <w:sz w:val="20"/>
          <w:szCs w:val="20"/>
        </w:rPr>
        <w:fldChar w:fldCharType="end"/>
      </w:r>
      <w:r w:rsidR="0014372A">
        <w:rPr>
          <w:rFonts w:ascii="Verdana" w:hAnsi="Verdana" w:cs="Verdana"/>
          <w:bCs/>
          <w:sz w:val="20"/>
          <w:szCs w:val="20"/>
        </w:rPr>
        <w:t>.</w:t>
      </w:r>
      <w:r>
        <w:rPr>
          <w:rFonts w:ascii="Verdana" w:hAnsi="Verdana" w:cs="Verdana"/>
          <w:bCs/>
          <w:sz w:val="20"/>
          <w:szCs w:val="20"/>
        </w:rPr>
        <w:t>), la Corte const</w:t>
      </w:r>
      <w:r w:rsidR="00563320">
        <w:rPr>
          <w:rFonts w:ascii="Verdana" w:hAnsi="Verdana" w:cs="Verdana"/>
          <w:bCs/>
          <w:sz w:val="20"/>
          <w:szCs w:val="20"/>
        </w:rPr>
        <w:t>at</w:t>
      </w:r>
      <w:r>
        <w:rPr>
          <w:rFonts w:ascii="Verdana" w:hAnsi="Verdana" w:cs="Verdana"/>
          <w:bCs/>
          <w:sz w:val="20"/>
          <w:szCs w:val="20"/>
        </w:rPr>
        <w:t>ó en la Resolución de noviembre de 2018</w:t>
      </w:r>
      <w:r w:rsidR="00F07C6A">
        <w:rPr>
          <w:rStyle w:val="Refdenotaalpie"/>
          <w:rFonts w:ascii="Verdana" w:hAnsi="Verdana" w:cs="Verdana"/>
          <w:bCs/>
          <w:sz w:val="20"/>
          <w:szCs w:val="20"/>
        </w:rPr>
        <w:footnoteReference w:id="32"/>
      </w:r>
      <w:r w:rsidR="00F07C6A">
        <w:rPr>
          <w:rFonts w:ascii="Verdana" w:hAnsi="Verdana" w:cs="Verdana"/>
          <w:bCs/>
          <w:sz w:val="20"/>
          <w:szCs w:val="20"/>
        </w:rPr>
        <w:t>,</w:t>
      </w:r>
      <w:r>
        <w:rPr>
          <w:rFonts w:ascii="Verdana" w:hAnsi="Verdana" w:cs="Verdana"/>
          <w:bCs/>
          <w:sz w:val="20"/>
          <w:szCs w:val="20"/>
        </w:rPr>
        <w:t xml:space="preserve"> entre otros aspectos, que estaba en curso una causa penal (Causa No. 45.132/2009), en la cual en febrero de 2018 se imputó a nueve personas como coautores del delito de sustracción de menor de diez años</w:t>
      </w:r>
      <w:r w:rsidR="004F0308">
        <w:rPr>
          <w:rStyle w:val="Refdenotaalpie"/>
          <w:rFonts w:ascii="Verdana" w:hAnsi="Verdana" w:cs="Verdana"/>
          <w:bCs/>
          <w:sz w:val="20"/>
          <w:szCs w:val="20"/>
        </w:rPr>
        <w:footnoteReference w:id="33"/>
      </w:r>
      <w:r>
        <w:rPr>
          <w:rFonts w:ascii="Verdana" w:hAnsi="Verdana" w:cs="Verdana"/>
          <w:bCs/>
          <w:sz w:val="20"/>
          <w:szCs w:val="20"/>
        </w:rPr>
        <w:t xml:space="preserve"> y que, posteriormente, en junio de 2018 se había resuelto el sobreseimiento de seis de ellos</w:t>
      </w:r>
      <w:r w:rsidR="004F0308">
        <w:rPr>
          <w:rStyle w:val="Refdenotaalpie"/>
          <w:rFonts w:ascii="Verdana" w:hAnsi="Verdana" w:cs="Verdana"/>
          <w:bCs/>
          <w:sz w:val="20"/>
          <w:szCs w:val="20"/>
        </w:rPr>
        <w:footnoteReference w:id="34"/>
      </w:r>
      <w:r w:rsidR="004F0308">
        <w:rPr>
          <w:rFonts w:ascii="Verdana" w:hAnsi="Verdana" w:cs="Verdana"/>
          <w:bCs/>
          <w:sz w:val="20"/>
          <w:szCs w:val="20"/>
        </w:rPr>
        <w:t xml:space="preserve"> y que no había </w:t>
      </w:r>
      <w:r w:rsidR="00027201">
        <w:rPr>
          <w:rFonts w:ascii="Verdana" w:hAnsi="Verdana" w:cs="Verdana"/>
          <w:bCs/>
          <w:sz w:val="20"/>
          <w:szCs w:val="20"/>
        </w:rPr>
        <w:t>mérito</w:t>
      </w:r>
      <w:r w:rsidR="004F0308">
        <w:rPr>
          <w:rFonts w:ascii="Verdana" w:hAnsi="Verdana" w:cs="Verdana"/>
          <w:bCs/>
          <w:sz w:val="20"/>
          <w:szCs w:val="20"/>
        </w:rPr>
        <w:t xml:space="preserve"> para</w:t>
      </w:r>
      <w:r w:rsidR="00DA7AA8">
        <w:rPr>
          <w:rFonts w:ascii="Verdana" w:hAnsi="Verdana" w:cs="Verdana"/>
          <w:bCs/>
          <w:sz w:val="20"/>
          <w:szCs w:val="20"/>
        </w:rPr>
        <w:t xml:space="preserve"> procesar ni sobreseer a los otr</w:t>
      </w:r>
      <w:r w:rsidR="00C51121">
        <w:rPr>
          <w:rFonts w:ascii="Verdana" w:hAnsi="Verdana" w:cs="Verdana"/>
          <w:bCs/>
          <w:sz w:val="20"/>
          <w:szCs w:val="20"/>
        </w:rPr>
        <w:t>os cuatro</w:t>
      </w:r>
      <w:r>
        <w:rPr>
          <w:rFonts w:ascii="Verdana" w:hAnsi="Verdana" w:cs="Verdana"/>
          <w:bCs/>
          <w:sz w:val="20"/>
          <w:szCs w:val="20"/>
        </w:rPr>
        <w:t xml:space="preserve">, ante lo cual el señor Fornerón </w:t>
      </w:r>
      <w:r w:rsidR="00075DA5">
        <w:rPr>
          <w:rFonts w:ascii="Verdana" w:hAnsi="Verdana" w:cs="Verdana"/>
          <w:bCs/>
          <w:sz w:val="20"/>
          <w:szCs w:val="20"/>
        </w:rPr>
        <w:t xml:space="preserve">y la Fiscalía </w:t>
      </w:r>
      <w:r>
        <w:rPr>
          <w:rFonts w:ascii="Verdana" w:hAnsi="Verdana" w:cs="Verdana"/>
          <w:bCs/>
          <w:sz w:val="20"/>
          <w:szCs w:val="20"/>
        </w:rPr>
        <w:t>había</w:t>
      </w:r>
      <w:r w:rsidR="00075DA5">
        <w:rPr>
          <w:rFonts w:ascii="Verdana" w:hAnsi="Verdana" w:cs="Verdana"/>
          <w:bCs/>
          <w:sz w:val="20"/>
          <w:szCs w:val="20"/>
        </w:rPr>
        <w:t>n</w:t>
      </w:r>
      <w:r>
        <w:rPr>
          <w:rFonts w:ascii="Verdana" w:hAnsi="Verdana" w:cs="Verdana"/>
          <w:bCs/>
          <w:sz w:val="20"/>
          <w:szCs w:val="20"/>
        </w:rPr>
        <w:t xml:space="preserve"> interpuesto un recurso de casación que </w:t>
      </w:r>
      <w:r w:rsidR="00A93E75">
        <w:rPr>
          <w:rFonts w:ascii="Verdana" w:hAnsi="Verdana" w:cs="Verdana"/>
          <w:bCs/>
          <w:sz w:val="20"/>
          <w:szCs w:val="20"/>
        </w:rPr>
        <w:t>estaba pendiente de ser resuelto. Este Tribunal requirió a Argentina que presentara información actualizada y detallada respecto del trámite de dicha causa penal.</w:t>
      </w:r>
      <w:bookmarkEnd w:id="30"/>
    </w:p>
    <w:p w14:paraId="12D2CF73" w14:textId="77777777" w:rsidR="00047F09" w:rsidRDefault="00047F09"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Cs/>
          <w:sz w:val="20"/>
          <w:szCs w:val="20"/>
        </w:rPr>
      </w:pPr>
    </w:p>
    <w:p w14:paraId="3C6D29F9" w14:textId="772E8532" w:rsidR="00A93E75" w:rsidRDefault="00A93E75" w:rsidP="009B05C8">
      <w:pPr>
        <w:pStyle w:val="Prrafodelista"/>
        <w:numPr>
          <w:ilvl w:val="0"/>
          <w:numId w:val="3"/>
        </w:numPr>
        <w:tabs>
          <w:tab w:val="left" w:pos="0"/>
        </w:tabs>
        <w:autoSpaceDE w:val="0"/>
        <w:autoSpaceDN w:val="0"/>
        <w:adjustRightInd w:val="0"/>
        <w:spacing w:after="0" w:line="240" w:lineRule="auto"/>
        <w:ind w:left="0" w:right="99" w:firstLine="0"/>
        <w:contextualSpacing w:val="0"/>
        <w:jc w:val="both"/>
        <w:rPr>
          <w:rFonts w:ascii="Verdana" w:hAnsi="Verdana" w:cs="Verdana"/>
          <w:bCs/>
          <w:sz w:val="20"/>
          <w:szCs w:val="20"/>
        </w:rPr>
      </w:pPr>
      <w:r>
        <w:rPr>
          <w:rFonts w:ascii="Verdana" w:hAnsi="Verdana" w:cs="Verdana"/>
          <w:bCs/>
          <w:sz w:val="20"/>
          <w:szCs w:val="20"/>
        </w:rPr>
        <w:t xml:space="preserve">Tanto por escrito como en la audiencia de supervisión de cumplimiento, </w:t>
      </w:r>
      <w:r w:rsidRPr="00FC0418">
        <w:rPr>
          <w:rFonts w:ascii="Verdana" w:hAnsi="Verdana" w:cs="Verdana"/>
          <w:bCs/>
          <w:i/>
          <w:iCs/>
          <w:sz w:val="20"/>
          <w:szCs w:val="20"/>
        </w:rPr>
        <w:t>las partes</w:t>
      </w:r>
      <w:r>
        <w:rPr>
          <w:rFonts w:ascii="Verdana" w:hAnsi="Verdana" w:cs="Verdana"/>
          <w:bCs/>
          <w:sz w:val="20"/>
          <w:szCs w:val="20"/>
        </w:rPr>
        <w:t xml:space="preserve"> informaron que </w:t>
      </w:r>
      <w:r w:rsidR="00075DA5">
        <w:rPr>
          <w:rFonts w:ascii="Verdana" w:hAnsi="Verdana" w:cs="Verdana"/>
          <w:bCs/>
          <w:sz w:val="20"/>
          <w:szCs w:val="20"/>
        </w:rPr>
        <w:t>el 8 de mayo de 2019 se había realizado una audiencia</w:t>
      </w:r>
      <w:r w:rsidR="00C67A02">
        <w:rPr>
          <w:rFonts w:ascii="Verdana" w:hAnsi="Verdana" w:cs="Verdana"/>
          <w:bCs/>
          <w:sz w:val="20"/>
          <w:szCs w:val="20"/>
        </w:rPr>
        <w:t xml:space="preserve"> ante la Cámara Nacional de Casación Penal en lo Criminal y Correccional</w:t>
      </w:r>
      <w:r w:rsidR="009E5169">
        <w:rPr>
          <w:rFonts w:ascii="Verdana" w:hAnsi="Verdana" w:cs="Verdana"/>
          <w:bCs/>
          <w:sz w:val="20"/>
          <w:szCs w:val="20"/>
        </w:rPr>
        <w:t>,</w:t>
      </w:r>
      <w:r w:rsidR="00C67A02">
        <w:rPr>
          <w:rFonts w:ascii="Verdana" w:hAnsi="Verdana" w:cs="Verdana"/>
          <w:bCs/>
          <w:sz w:val="20"/>
          <w:szCs w:val="20"/>
        </w:rPr>
        <w:t xml:space="preserve"> </w:t>
      </w:r>
      <w:r w:rsidR="00075DA5">
        <w:rPr>
          <w:rFonts w:ascii="Verdana" w:hAnsi="Verdana" w:cs="Verdana"/>
          <w:bCs/>
          <w:sz w:val="20"/>
          <w:szCs w:val="20"/>
        </w:rPr>
        <w:t xml:space="preserve"> para tratar el recurso de casación interpuesto. Las representantes aportaron el a</w:t>
      </w:r>
      <w:r w:rsidR="00C67A02">
        <w:rPr>
          <w:rFonts w:ascii="Verdana" w:hAnsi="Verdana" w:cs="Verdana"/>
          <w:bCs/>
          <w:sz w:val="20"/>
          <w:szCs w:val="20"/>
        </w:rPr>
        <w:t>udio de dicha audiencia (</w:t>
      </w:r>
      <w:r w:rsidR="00C67A02" w:rsidRPr="00FC0418">
        <w:rPr>
          <w:rFonts w:ascii="Verdana" w:hAnsi="Verdana" w:cs="Verdana"/>
          <w:bCs/>
          <w:i/>
          <w:iCs/>
          <w:sz w:val="20"/>
          <w:szCs w:val="20"/>
        </w:rPr>
        <w:t>supra</w:t>
      </w:r>
      <w:r w:rsidR="00C67A02">
        <w:rPr>
          <w:rFonts w:ascii="Verdana" w:hAnsi="Verdana" w:cs="Verdana"/>
          <w:bCs/>
          <w:sz w:val="20"/>
          <w:szCs w:val="20"/>
        </w:rPr>
        <w:t xml:space="preserve"> Visto </w:t>
      </w:r>
      <w:r w:rsidR="00563320">
        <w:rPr>
          <w:rFonts w:ascii="Verdana" w:hAnsi="Verdana" w:cs="Verdana"/>
          <w:bCs/>
          <w:sz w:val="20"/>
          <w:szCs w:val="20"/>
        </w:rPr>
        <w:fldChar w:fldCharType="begin"/>
      </w:r>
      <w:r w:rsidR="00563320">
        <w:rPr>
          <w:rFonts w:ascii="Verdana" w:hAnsi="Verdana" w:cs="Verdana"/>
          <w:bCs/>
          <w:sz w:val="20"/>
          <w:szCs w:val="20"/>
        </w:rPr>
        <w:instrText xml:space="preserve"> REF _Ref21684519 \r \h </w:instrText>
      </w:r>
      <w:r w:rsidR="00316C26">
        <w:rPr>
          <w:rFonts w:ascii="Verdana" w:hAnsi="Verdana" w:cs="Verdana"/>
          <w:bCs/>
          <w:sz w:val="20"/>
          <w:szCs w:val="20"/>
        </w:rPr>
        <w:instrText xml:space="preserve"> \* MERGEFORMAT </w:instrText>
      </w:r>
      <w:r w:rsidR="00563320">
        <w:rPr>
          <w:rFonts w:ascii="Verdana" w:hAnsi="Verdana" w:cs="Verdana"/>
          <w:bCs/>
          <w:sz w:val="20"/>
          <w:szCs w:val="20"/>
        </w:rPr>
      </w:r>
      <w:r w:rsidR="00563320">
        <w:rPr>
          <w:rFonts w:ascii="Verdana" w:hAnsi="Verdana" w:cs="Verdana"/>
          <w:bCs/>
          <w:sz w:val="20"/>
          <w:szCs w:val="20"/>
        </w:rPr>
        <w:fldChar w:fldCharType="separate"/>
      </w:r>
      <w:r w:rsidR="007B61B6">
        <w:rPr>
          <w:rFonts w:ascii="Verdana" w:hAnsi="Verdana" w:cs="Verdana"/>
          <w:bCs/>
          <w:sz w:val="20"/>
          <w:szCs w:val="20"/>
        </w:rPr>
        <w:t>7</w:t>
      </w:r>
      <w:r w:rsidR="00563320">
        <w:rPr>
          <w:rFonts w:ascii="Verdana" w:hAnsi="Verdana" w:cs="Verdana"/>
          <w:bCs/>
          <w:sz w:val="20"/>
          <w:szCs w:val="20"/>
        </w:rPr>
        <w:fldChar w:fldCharType="end"/>
      </w:r>
      <w:r w:rsidR="00C67A02">
        <w:rPr>
          <w:rFonts w:ascii="Verdana" w:hAnsi="Verdana" w:cs="Verdana"/>
          <w:bCs/>
          <w:sz w:val="20"/>
          <w:szCs w:val="20"/>
        </w:rPr>
        <w:t>).</w:t>
      </w:r>
      <w:r w:rsidR="00B440E5">
        <w:rPr>
          <w:rFonts w:ascii="Verdana" w:hAnsi="Verdana" w:cs="Verdana"/>
          <w:bCs/>
          <w:sz w:val="20"/>
          <w:szCs w:val="20"/>
        </w:rPr>
        <w:t xml:space="preserve"> Al respecto, se solicita a Argentina que presente información actualizada y detallada sobre el estado actual de esta causa penal. En particular, sobre si ya fue resuelto el referido recurso de casación y su resultado.  </w:t>
      </w:r>
    </w:p>
    <w:p w14:paraId="42EFFBF7" w14:textId="77777777" w:rsidR="00047F09" w:rsidRDefault="00047F09"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Cs/>
          <w:sz w:val="20"/>
          <w:szCs w:val="20"/>
        </w:rPr>
      </w:pPr>
    </w:p>
    <w:p w14:paraId="0BA209A7" w14:textId="77777777" w:rsidR="004A5930" w:rsidRDefault="004A5930"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Cs/>
          <w:sz w:val="20"/>
          <w:szCs w:val="20"/>
        </w:rPr>
      </w:pPr>
    </w:p>
    <w:p w14:paraId="6258F3C1" w14:textId="4C85AF44" w:rsidR="00A93E75" w:rsidRDefault="00A93E75" w:rsidP="009B05C8">
      <w:pPr>
        <w:pStyle w:val="Prrafodelista"/>
        <w:numPr>
          <w:ilvl w:val="0"/>
          <w:numId w:val="3"/>
        </w:numPr>
        <w:tabs>
          <w:tab w:val="left" w:pos="0"/>
        </w:tabs>
        <w:autoSpaceDE w:val="0"/>
        <w:autoSpaceDN w:val="0"/>
        <w:adjustRightInd w:val="0"/>
        <w:spacing w:after="0" w:line="240" w:lineRule="auto"/>
        <w:ind w:left="0" w:right="99" w:firstLine="0"/>
        <w:contextualSpacing w:val="0"/>
        <w:jc w:val="both"/>
        <w:rPr>
          <w:rFonts w:ascii="Verdana" w:hAnsi="Verdana" w:cs="Verdana"/>
          <w:bCs/>
          <w:sz w:val="20"/>
          <w:szCs w:val="20"/>
        </w:rPr>
      </w:pPr>
      <w:bookmarkStart w:id="31" w:name="_Ref21696807"/>
      <w:r>
        <w:rPr>
          <w:rFonts w:ascii="Verdana" w:hAnsi="Verdana" w:cs="Verdana"/>
          <w:bCs/>
          <w:sz w:val="20"/>
          <w:szCs w:val="20"/>
        </w:rPr>
        <w:lastRenderedPageBreak/>
        <w:t>Respecto de la segunda medida, que concierne la tipificación del delito de venta de niños y niñas (</w:t>
      </w:r>
      <w:r w:rsidRPr="00FC0418">
        <w:rPr>
          <w:rFonts w:ascii="Verdana" w:hAnsi="Verdana" w:cs="Verdana"/>
          <w:bCs/>
          <w:i/>
          <w:iCs/>
          <w:sz w:val="20"/>
          <w:szCs w:val="20"/>
        </w:rPr>
        <w:t>supra</w:t>
      </w:r>
      <w:r>
        <w:rPr>
          <w:rFonts w:ascii="Verdana" w:hAnsi="Verdana" w:cs="Verdana"/>
          <w:bCs/>
          <w:sz w:val="20"/>
          <w:szCs w:val="20"/>
        </w:rPr>
        <w:t xml:space="preserve"> Considerando </w:t>
      </w:r>
      <w:r w:rsidR="00563320">
        <w:rPr>
          <w:rFonts w:ascii="Verdana" w:hAnsi="Verdana" w:cs="Verdana"/>
          <w:bCs/>
          <w:sz w:val="20"/>
          <w:szCs w:val="20"/>
        </w:rPr>
        <w:fldChar w:fldCharType="begin"/>
      </w:r>
      <w:r w:rsidR="00563320">
        <w:rPr>
          <w:rFonts w:ascii="Verdana" w:hAnsi="Verdana" w:cs="Verdana"/>
          <w:bCs/>
          <w:sz w:val="20"/>
          <w:szCs w:val="20"/>
        </w:rPr>
        <w:instrText xml:space="preserve"> REF _Ref21531500 \r \h </w:instrText>
      </w:r>
      <w:r w:rsidR="00316C26">
        <w:rPr>
          <w:rFonts w:ascii="Verdana" w:hAnsi="Verdana" w:cs="Verdana"/>
          <w:bCs/>
          <w:sz w:val="20"/>
          <w:szCs w:val="20"/>
        </w:rPr>
        <w:instrText xml:space="preserve"> \* MERGEFORMAT </w:instrText>
      </w:r>
      <w:r w:rsidR="00563320">
        <w:rPr>
          <w:rFonts w:ascii="Verdana" w:hAnsi="Verdana" w:cs="Verdana"/>
          <w:bCs/>
          <w:sz w:val="20"/>
          <w:szCs w:val="20"/>
        </w:rPr>
      </w:r>
      <w:r w:rsidR="00563320">
        <w:rPr>
          <w:rFonts w:ascii="Verdana" w:hAnsi="Verdana" w:cs="Verdana"/>
          <w:bCs/>
          <w:sz w:val="20"/>
          <w:szCs w:val="20"/>
        </w:rPr>
        <w:fldChar w:fldCharType="separate"/>
      </w:r>
      <w:r w:rsidR="007B61B6">
        <w:rPr>
          <w:rFonts w:ascii="Verdana" w:hAnsi="Verdana" w:cs="Verdana"/>
          <w:bCs/>
          <w:sz w:val="20"/>
          <w:szCs w:val="20"/>
        </w:rPr>
        <w:t>18</w:t>
      </w:r>
      <w:r w:rsidR="00563320">
        <w:rPr>
          <w:rFonts w:ascii="Verdana" w:hAnsi="Verdana" w:cs="Verdana"/>
          <w:bCs/>
          <w:sz w:val="20"/>
          <w:szCs w:val="20"/>
        </w:rPr>
        <w:fldChar w:fldCharType="end"/>
      </w:r>
      <w:r w:rsidR="00563320">
        <w:rPr>
          <w:rFonts w:ascii="Verdana" w:hAnsi="Verdana" w:cs="Verdana"/>
          <w:bCs/>
          <w:sz w:val="20"/>
          <w:szCs w:val="20"/>
        </w:rPr>
        <w:t>.</w:t>
      </w:r>
      <w:r w:rsidR="00563320">
        <w:rPr>
          <w:rFonts w:ascii="Verdana" w:hAnsi="Verdana" w:cs="Verdana"/>
          <w:bCs/>
          <w:sz w:val="20"/>
          <w:szCs w:val="20"/>
        </w:rPr>
        <w:fldChar w:fldCharType="begin"/>
      </w:r>
      <w:r w:rsidR="00563320">
        <w:rPr>
          <w:rFonts w:ascii="Verdana" w:hAnsi="Verdana" w:cs="Verdana"/>
          <w:bCs/>
          <w:sz w:val="20"/>
          <w:szCs w:val="20"/>
        </w:rPr>
        <w:instrText xml:space="preserve"> REF _Ref21684561 \r \h </w:instrText>
      </w:r>
      <w:r w:rsidR="00316C26">
        <w:rPr>
          <w:rFonts w:ascii="Verdana" w:hAnsi="Verdana" w:cs="Verdana"/>
          <w:bCs/>
          <w:sz w:val="20"/>
          <w:szCs w:val="20"/>
        </w:rPr>
        <w:instrText xml:space="preserve"> \* MERGEFORMAT </w:instrText>
      </w:r>
      <w:r w:rsidR="00563320">
        <w:rPr>
          <w:rFonts w:ascii="Verdana" w:hAnsi="Verdana" w:cs="Verdana"/>
          <w:bCs/>
          <w:sz w:val="20"/>
          <w:szCs w:val="20"/>
        </w:rPr>
      </w:r>
      <w:r w:rsidR="00563320">
        <w:rPr>
          <w:rFonts w:ascii="Verdana" w:hAnsi="Verdana" w:cs="Verdana"/>
          <w:bCs/>
          <w:sz w:val="20"/>
          <w:szCs w:val="20"/>
        </w:rPr>
        <w:fldChar w:fldCharType="separate"/>
      </w:r>
      <w:r w:rsidR="007B61B6">
        <w:rPr>
          <w:rFonts w:ascii="Verdana" w:hAnsi="Verdana" w:cs="Verdana"/>
          <w:bCs/>
          <w:sz w:val="20"/>
          <w:szCs w:val="20"/>
        </w:rPr>
        <w:t>ii</w:t>
      </w:r>
      <w:r w:rsidR="00563320">
        <w:rPr>
          <w:rFonts w:ascii="Verdana" w:hAnsi="Verdana" w:cs="Verdana"/>
          <w:bCs/>
          <w:sz w:val="20"/>
          <w:szCs w:val="20"/>
        </w:rPr>
        <w:fldChar w:fldCharType="end"/>
      </w:r>
      <w:r w:rsidR="0014372A">
        <w:rPr>
          <w:rFonts w:ascii="Verdana" w:hAnsi="Verdana" w:cs="Verdana"/>
          <w:bCs/>
          <w:sz w:val="20"/>
          <w:szCs w:val="20"/>
        </w:rPr>
        <w:t>.</w:t>
      </w:r>
      <w:r w:rsidR="009128A5">
        <w:rPr>
          <w:rFonts w:ascii="Verdana" w:hAnsi="Verdana" w:cs="Verdana"/>
          <w:bCs/>
          <w:sz w:val="20"/>
          <w:szCs w:val="20"/>
        </w:rPr>
        <w:t>), en la Resolución de noviembre de 2018</w:t>
      </w:r>
      <w:r w:rsidR="00F07C6A">
        <w:rPr>
          <w:rStyle w:val="Refdenotaalpie"/>
          <w:rFonts w:ascii="Verdana" w:hAnsi="Verdana" w:cs="Verdana"/>
          <w:bCs/>
          <w:sz w:val="20"/>
          <w:szCs w:val="20"/>
        </w:rPr>
        <w:footnoteReference w:id="35"/>
      </w:r>
      <w:r w:rsidR="009128A5">
        <w:rPr>
          <w:rFonts w:ascii="Verdana" w:hAnsi="Verdana" w:cs="Verdana"/>
          <w:bCs/>
          <w:sz w:val="20"/>
          <w:szCs w:val="20"/>
        </w:rPr>
        <w:t xml:space="preserve"> este Tribunal hizo constar que el Estado había informado sobre proyectos de ley que se encontraban en trámite legislativo</w:t>
      </w:r>
      <w:r w:rsidR="00F07C6A">
        <w:rPr>
          <w:rFonts w:ascii="Verdana" w:hAnsi="Verdana" w:cs="Verdana"/>
          <w:bCs/>
          <w:sz w:val="20"/>
          <w:szCs w:val="20"/>
        </w:rPr>
        <w:t xml:space="preserve">, con el fin de reformar el artículo 139 </w:t>
      </w:r>
      <w:r w:rsidR="00F07C6A" w:rsidRPr="00FC0418">
        <w:rPr>
          <w:rFonts w:ascii="Verdana" w:hAnsi="Verdana" w:cs="Verdana"/>
          <w:bCs/>
          <w:i/>
          <w:iCs/>
          <w:sz w:val="20"/>
          <w:szCs w:val="20"/>
        </w:rPr>
        <w:t xml:space="preserve">bis </w:t>
      </w:r>
      <w:r w:rsidR="00F07C6A">
        <w:rPr>
          <w:rFonts w:ascii="Verdana" w:hAnsi="Verdana" w:cs="Verdana"/>
          <w:bCs/>
          <w:sz w:val="20"/>
          <w:szCs w:val="20"/>
        </w:rPr>
        <w:t>del Código Penal de la Nación, comprendido en el capítulo relativo a los delitos de “supresión y suposición del estado civil y de la identidad”. La Corte recordó los estándares desarrollados en la Sentencia para una adecuada tipificación del delito de venta de niños y niñas, e instó al Estado a que fueran tomados en cuenta para asegurar que el trámite legislativo no culminara con la aprobación de una norma que no cumpliera con dichos estándares. Asimismo, se solicitó a Argentina información actualizada sobre las medidas emprendidas para dar cumplimiento a esta reparación</w:t>
      </w:r>
      <w:bookmarkStart w:id="32" w:name="_Ref21696826"/>
      <w:r w:rsidR="00F07C6A">
        <w:rPr>
          <w:rStyle w:val="Refdenotaalpie"/>
          <w:rFonts w:ascii="Verdana" w:hAnsi="Verdana" w:cs="Verdana"/>
          <w:bCs/>
          <w:sz w:val="20"/>
          <w:szCs w:val="20"/>
        </w:rPr>
        <w:footnoteReference w:id="36"/>
      </w:r>
      <w:bookmarkEnd w:id="32"/>
      <w:r w:rsidR="00F07C6A">
        <w:rPr>
          <w:rFonts w:ascii="Verdana" w:hAnsi="Verdana" w:cs="Verdana"/>
          <w:bCs/>
          <w:sz w:val="20"/>
          <w:szCs w:val="20"/>
        </w:rPr>
        <w:t>.</w:t>
      </w:r>
      <w:bookmarkEnd w:id="31"/>
    </w:p>
    <w:p w14:paraId="098C13C6" w14:textId="77777777" w:rsidR="00047F09" w:rsidRDefault="00047F09"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Cs/>
          <w:sz w:val="20"/>
          <w:szCs w:val="20"/>
        </w:rPr>
      </w:pPr>
    </w:p>
    <w:p w14:paraId="5DDF528B" w14:textId="1D719F51" w:rsidR="006E5272" w:rsidRDefault="00075DA5" w:rsidP="009B05C8">
      <w:pPr>
        <w:pStyle w:val="Prrafodelista"/>
        <w:numPr>
          <w:ilvl w:val="0"/>
          <w:numId w:val="3"/>
        </w:numPr>
        <w:tabs>
          <w:tab w:val="left" w:pos="0"/>
        </w:tabs>
        <w:autoSpaceDE w:val="0"/>
        <w:autoSpaceDN w:val="0"/>
        <w:adjustRightInd w:val="0"/>
        <w:spacing w:after="0" w:line="240" w:lineRule="auto"/>
        <w:ind w:left="0" w:right="99" w:firstLine="0"/>
        <w:contextualSpacing w:val="0"/>
        <w:jc w:val="both"/>
        <w:rPr>
          <w:rFonts w:ascii="Verdana" w:hAnsi="Verdana" w:cs="Verdana"/>
          <w:bCs/>
          <w:sz w:val="20"/>
          <w:szCs w:val="20"/>
        </w:rPr>
      </w:pPr>
      <w:r>
        <w:rPr>
          <w:rFonts w:ascii="Verdana" w:hAnsi="Verdana" w:cs="Verdana"/>
          <w:bCs/>
          <w:sz w:val="20"/>
          <w:szCs w:val="20"/>
        </w:rPr>
        <w:t xml:space="preserve">En </w:t>
      </w:r>
      <w:r w:rsidR="0060773C">
        <w:rPr>
          <w:rFonts w:ascii="Verdana" w:hAnsi="Verdana" w:cs="Verdana"/>
          <w:bCs/>
          <w:sz w:val="20"/>
          <w:szCs w:val="20"/>
        </w:rPr>
        <w:t>su informe de</w:t>
      </w:r>
      <w:r w:rsidR="0014372A">
        <w:rPr>
          <w:rFonts w:ascii="Verdana" w:hAnsi="Verdana" w:cs="Verdana"/>
          <w:bCs/>
          <w:sz w:val="20"/>
          <w:szCs w:val="20"/>
        </w:rPr>
        <w:t xml:space="preserve"> 29 de</w:t>
      </w:r>
      <w:r w:rsidR="0060773C">
        <w:rPr>
          <w:rFonts w:ascii="Verdana" w:hAnsi="Verdana" w:cs="Verdana"/>
          <w:bCs/>
          <w:sz w:val="20"/>
          <w:szCs w:val="20"/>
        </w:rPr>
        <w:t xml:space="preserve"> marzo </w:t>
      </w:r>
      <w:r w:rsidR="000E1BD7">
        <w:rPr>
          <w:rFonts w:ascii="Verdana" w:hAnsi="Verdana" w:cs="Verdana"/>
          <w:bCs/>
          <w:sz w:val="20"/>
          <w:szCs w:val="20"/>
        </w:rPr>
        <w:t xml:space="preserve">de 2019 </w:t>
      </w:r>
      <w:r w:rsidR="0060773C">
        <w:rPr>
          <w:rFonts w:ascii="Verdana" w:hAnsi="Verdana" w:cs="Verdana"/>
          <w:bCs/>
          <w:sz w:val="20"/>
          <w:szCs w:val="20"/>
        </w:rPr>
        <w:t xml:space="preserve">y en la audiencia de supervisión de cumplimiento </w:t>
      </w:r>
      <w:r w:rsidR="0060773C" w:rsidRPr="00FC0418">
        <w:rPr>
          <w:rFonts w:ascii="Verdana" w:hAnsi="Verdana" w:cs="Verdana"/>
          <w:bCs/>
          <w:i/>
          <w:iCs/>
          <w:sz w:val="20"/>
          <w:szCs w:val="20"/>
        </w:rPr>
        <w:t>Argentina</w:t>
      </w:r>
      <w:r w:rsidR="0060773C">
        <w:rPr>
          <w:rFonts w:ascii="Verdana" w:hAnsi="Verdana" w:cs="Verdana"/>
          <w:bCs/>
          <w:sz w:val="20"/>
          <w:szCs w:val="20"/>
        </w:rPr>
        <w:t xml:space="preserve"> i</w:t>
      </w:r>
      <w:r>
        <w:rPr>
          <w:rFonts w:ascii="Verdana" w:hAnsi="Verdana" w:cs="Verdana"/>
          <w:bCs/>
          <w:sz w:val="20"/>
          <w:szCs w:val="20"/>
        </w:rPr>
        <w:t>nfor</w:t>
      </w:r>
      <w:r w:rsidR="0060773C">
        <w:rPr>
          <w:rFonts w:ascii="Verdana" w:hAnsi="Verdana" w:cs="Verdana"/>
          <w:bCs/>
          <w:sz w:val="20"/>
          <w:szCs w:val="20"/>
        </w:rPr>
        <w:t>mó</w:t>
      </w:r>
      <w:r>
        <w:rPr>
          <w:rFonts w:ascii="Verdana" w:hAnsi="Verdana" w:cs="Verdana"/>
          <w:bCs/>
          <w:sz w:val="20"/>
          <w:szCs w:val="20"/>
        </w:rPr>
        <w:t xml:space="preserve"> que</w:t>
      </w:r>
      <w:r w:rsidR="007C4D7E">
        <w:rPr>
          <w:rFonts w:ascii="Verdana" w:hAnsi="Verdana" w:cs="Verdana"/>
          <w:bCs/>
          <w:sz w:val="20"/>
          <w:szCs w:val="20"/>
        </w:rPr>
        <w:t xml:space="preserve"> </w:t>
      </w:r>
      <w:r w:rsidR="000E1BD7">
        <w:rPr>
          <w:rFonts w:ascii="Verdana" w:hAnsi="Verdana" w:cs="Verdana"/>
          <w:bCs/>
          <w:sz w:val="20"/>
          <w:szCs w:val="20"/>
        </w:rPr>
        <w:t xml:space="preserve">“[e]l día 25 de marzo de 2019, el Presidente de la Nación envió al Congreso de la Nación el Anteproyecto del Código Penal para su consideración”, “en el que está, específicamente tipificada la venta de niños y niñas”. Agregó que para mayo de 2019 el proyecto de ley estaba en debate ante la Comisión de Justicia de la Cámara de Diputados de la Nación. </w:t>
      </w:r>
      <w:r w:rsidR="00AD4D0D">
        <w:rPr>
          <w:rFonts w:ascii="Verdana" w:hAnsi="Verdana" w:cs="Verdana"/>
          <w:bCs/>
          <w:sz w:val="20"/>
          <w:szCs w:val="20"/>
        </w:rPr>
        <w:t xml:space="preserve">Las </w:t>
      </w:r>
      <w:r w:rsidR="00AD4D0D" w:rsidRPr="00FC0418">
        <w:rPr>
          <w:rFonts w:ascii="Verdana" w:hAnsi="Verdana" w:cs="Verdana"/>
          <w:bCs/>
          <w:i/>
          <w:iCs/>
          <w:sz w:val="20"/>
          <w:szCs w:val="20"/>
        </w:rPr>
        <w:t>representantes</w:t>
      </w:r>
      <w:r w:rsidR="00AD4D0D">
        <w:rPr>
          <w:rFonts w:ascii="Verdana" w:hAnsi="Verdana" w:cs="Verdana"/>
          <w:bCs/>
          <w:sz w:val="20"/>
          <w:szCs w:val="20"/>
        </w:rPr>
        <w:t xml:space="preserve"> observaron en </w:t>
      </w:r>
      <w:r w:rsidR="00E805F6">
        <w:rPr>
          <w:rFonts w:ascii="Verdana" w:hAnsi="Verdana" w:cs="Verdana"/>
          <w:bCs/>
          <w:sz w:val="20"/>
          <w:szCs w:val="20"/>
        </w:rPr>
        <w:t xml:space="preserve">dicha </w:t>
      </w:r>
      <w:r w:rsidR="00AD4D0D">
        <w:rPr>
          <w:rFonts w:ascii="Verdana" w:hAnsi="Verdana" w:cs="Verdana"/>
          <w:bCs/>
          <w:sz w:val="20"/>
          <w:szCs w:val="20"/>
        </w:rPr>
        <w:t>audiencia que “después de diecinueve años se ha decidido tipificar el delito de compra-venta” de niños y niñas</w:t>
      </w:r>
      <w:r w:rsidR="001B2F7C">
        <w:rPr>
          <w:rFonts w:ascii="Verdana" w:hAnsi="Verdana" w:cs="Verdana"/>
          <w:bCs/>
          <w:sz w:val="20"/>
          <w:szCs w:val="20"/>
        </w:rPr>
        <w:t>.</w:t>
      </w:r>
      <w:r w:rsidR="00AD4D0D">
        <w:rPr>
          <w:rFonts w:ascii="Verdana" w:hAnsi="Verdana" w:cs="Verdana"/>
          <w:bCs/>
          <w:sz w:val="20"/>
          <w:szCs w:val="20"/>
        </w:rPr>
        <w:t xml:space="preserve"> </w:t>
      </w:r>
      <w:r w:rsidR="001B2F7C">
        <w:rPr>
          <w:rFonts w:ascii="Verdana" w:hAnsi="Verdana" w:cs="Verdana"/>
          <w:bCs/>
          <w:sz w:val="20"/>
          <w:szCs w:val="20"/>
        </w:rPr>
        <w:t>L</w:t>
      </w:r>
      <w:r w:rsidR="00AD4D0D">
        <w:rPr>
          <w:rFonts w:ascii="Verdana" w:hAnsi="Verdana" w:cs="Verdana"/>
          <w:bCs/>
          <w:sz w:val="20"/>
          <w:szCs w:val="20"/>
        </w:rPr>
        <w:t xml:space="preserve">a </w:t>
      </w:r>
      <w:r w:rsidR="00AD4D0D" w:rsidRPr="00FC0418">
        <w:rPr>
          <w:rFonts w:ascii="Verdana" w:hAnsi="Verdana" w:cs="Verdana"/>
          <w:bCs/>
          <w:i/>
          <w:iCs/>
          <w:sz w:val="20"/>
          <w:szCs w:val="20"/>
        </w:rPr>
        <w:t>Comisión</w:t>
      </w:r>
      <w:r w:rsidR="00AD4D0D">
        <w:rPr>
          <w:rFonts w:ascii="Verdana" w:hAnsi="Verdana" w:cs="Verdana"/>
          <w:bCs/>
          <w:sz w:val="20"/>
          <w:szCs w:val="20"/>
        </w:rPr>
        <w:t xml:space="preserve"> hizo notar que a siete años de emitida la Sentencia</w:t>
      </w:r>
      <w:r w:rsidR="001B2F7C">
        <w:rPr>
          <w:rFonts w:ascii="Verdana" w:hAnsi="Verdana" w:cs="Verdana"/>
          <w:bCs/>
          <w:sz w:val="20"/>
          <w:szCs w:val="20"/>
        </w:rPr>
        <w:t>,</w:t>
      </w:r>
      <w:r w:rsidR="00AD4D0D">
        <w:rPr>
          <w:rFonts w:ascii="Verdana" w:hAnsi="Verdana" w:cs="Verdana"/>
          <w:bCs/>
          <w:sz w:val="20"/>
          <w:szCs w:val="20"/>
        </w:rPr>
        <w:t xml:space="preserve"> el Estado no había avanzado en el cumplimiento de esta garantía de no repetición y que</w:t>
      </w:r>
      <w:r w:rsidR="006E5272">
        <w:rPr>
          <w:rFonts w:ascii="Verdana" w:hAnsi="Verdana" w:cs="Verdana"/>
          <w:bCs/>
          <w:sz w:val="20"/>
          <w:szCs w:val="20"/>
        </w:rPr>
        <w:t xml:space="preserve"> </w:t>
      </w:r>
      <w:r w:rsidR="00AD4D0D">
        <w:rPr>
          <w:rFonts w:ascii="Verdana" w:hAnsi="Verdana" w:cs="Verdana"/>
          <w:bCs/>
          <w:sz w:val="20"/>
          <w:szCs w:val="20"/>
        </w:rPr>
        <w:t>no había dado respuesta a los cuestionamientos efectuados por la Corte en su Resolución de noviembre de 2018 (</w:t>
      </w:r>
      <w:r w:rsidR="00AD4D0D" w:rsidRPr="00FC0418">
        <w:rPr>
          <w:rFonts w:ascii="Verdana" w:hAnsi="Verdana" w:cs="Verdana"/>
          <w:bCs/>
          <w:i/>
          <w:iCs/>
          <w:sz w:val="20"/>
          <w:szCs w:val="20"/>
        </w:rPr>
        <w:t xml:space="preserve">supra </w:t>
      </w:r>
      <w:r w:rsidR="00AD4D0D">
        <w:rPr>
          <w:rFonts w:ascii="Verdana" w:hAnsi="Verdana" w:cs="Verdana"/>
          <w:bCs/>
          <w:sz w:val="20"/>
          <w:szCs w:val="20"/>
        </w:rPr>
        <w:t>Considerando</w:t>
      </w:r>
      <w:r w:rsidR="003D40D7">
        <w:rPr>
          <w:rFonts w:ascii="Verdana" w:hAnsi="Verdana" w:cs="Verdana"/>
          <w:bCs/>
          <w:sz w:val="20"/>
          <w:szCs w:val="20"/>
        </w:rPr>
        <w:t xml:space="preserve"> </w:t>
      </w:r>
      <w:r w:rsidR="003D40D7">
        <w:rPr>
          <w:rFonts w:ascii="Verdana" w:hAnsi="Verdana" w:cs="Verdana"/>
          <w:bCs/>
          <w:sz w:val="20"/>
          <w:szCs w:val="20"/>
        </w:rPr>
        <w:fldChar w:fldCharType="begin"/>
      </w:r>
      <w:r w:rsidR="003D40D7">
        <w:rPr>
          <w:rFonts w:ascii="Verdana" w:hAnsi="Verdana" w:cs="Verdana"/>
          <w:bCs/>
          <w:sz w:val="20"/>
          <w:szCs w:val="20"/>
        </w:rPr>
        <w:instrText xml:space="preserve"> REF _Ref21696807 \r \h </w:instrText>
      </w:r>
      <w:r w:rsidR="00316C26">
        <w:rPr>
          <w:rFonts w:ascii="Verdana" w:hAnsi="Verdana" w:cs="Verdana"/>
          <w:bCs/>
          <w:sz w:val="20"/>
          <w:szCs w:val="20"/>
        </w:rPr>
        <w:instrText xml:space="preserve"> \* MERGEFORMAT </w:instrText>
      </w:r>
      <w:r w:rsidR="003D40D7">
        <w:rPr>
          <w:rFonts w:ascii="Verdana" w:hAnsi="Verdana" w:cs="Verdana"/>
          <w:bCs/>
          <w:sz w:val="20"/>
          <w:szCs w:val="20"/>
        </w:rPr>
      </w:r>
      <w:r w:rsidR="003D40D7">
        <w:rPr>
          <w:rFonts w:ascii="Verdana" w:hAnsi="Verdana" w:cs="Verdana"/>
          <w:bCs/>
          <w:sz w:val="20"/>
          <w:szCs w:val="20"/>
        </w:rPr>
        <w:fldChar w:fldCharType="separate"/>
      </w:r>
      <w:r w:rsidR="007B61B6">
        <w:rPr>
          <w:rFonts w:ascii="Verdana" w:hAnsi="Verdana" w:cs="Verdana"/>
          <w:bCs/>
          <w:sz w:val="20"/>
          <w:szCs w:val="20"/>
        </w:rPr>
        <w:t>21</w:t>
      </w:r>
      <w:r w:rsidR="003D40D7">
        <w:rPr>
          <w:rFonts w:ascii="Verdana" w:hAnsi="Verdana" w:cs="Verdana"/>
          <w:bCs/>
          <w:sz w:val="20"/>
          <w:szCs w:val="20"/>
        </w:rPr>
        <w:fldChar w:fldCharType="end"/>
      </w:r>
      <w:r w:rsidR="00AD4D0D">
        <w:rPr>
          <w:rFonts w:ascii="Verdana" w:hAnsi="Verdana" w:cs="Verdana"/>
          <w:bCs/>
          <w:sz w:val="20"/>
          <w:szCs w:val="20"/>
        </w:rPr>
        <w:t xml:space="preserve"> y nota al pie </w:t>
      </w:r>
      <w:r w:rsidR="003D40D7">
        <w:rPr>
          <w:rFonts w:ascii="Verdana" w:hAnsi="Verdana" w:cs="Verdana"/>
          <w:bCs/>
          <w:sz w:val="20"/>
          <w:szCs w:val="20"/>
        </w:rPr>
        <w:fldChar w:fldCharType="begin"/>
      </w:r>
      <w:r w:rsidR="003D40D7">
        <w:rPr>
          <w:rFonts w:ascii="Verdana" w:hAnsi="Verdana" w:cs="Verdana"/>
          <w:bCs/>
          <w:sz w:val="20"/>
          <w:szCs w:val="20"/>
        </w:rPr>
        <w:instrText xml:space="preserve"> NOTEREF _Ref21696826 \h </w:instrText>
      </w:r>
      <w:r w:rsidR="00316C26">
        <w:rPr>
          <w:rFonts w:ascii="Verdana" w:hAnsi="Verdana" w:cs="Verdana"/>
          <w:bCs/>
          <w:sz w:val="20"/>
          <w:szCs w:val="20"/>
        </w:rPr>
        <w:instrText xml:space="preserve"> \* MERGEFORMAT </w:instrText>
      </w:r>
      <w:r w:rsidR="003D40D7">
        <w:rPr>
          <w:rFonts w:ascii="Verdana" w:hAnsi="Verdana" w:cs="Verdana"/>
          <w:bCs/>
          <w:sz w:val="20"/>
          <w:szCs w:val="20"/>
        </w:rPr>
      </w:r>
      <w:r w:rsidR="003D40D7">
        <w:rPr>
          <w:rFonts w:ascii="Verdana" w:hAnsi="Verdana" w:cs="Verdana"/>
          <w:bCs/>
          <w:sz w:val="20"/>
          <w:szCs w:val="20"/>
        </w:rPr>
        <w:fldChar w:fldCharType="separate"/>
      </w:r>
      <w:r w:rsidR="007B61B6">
        <w:rPr>
          <w:rFonts w:ascii="Verdana" w:hAnsi="Verdana" w:cs="Verdana"/>
          <w:bCs/>
          <w:sz w:val="20"/>
          <w:szCs w:val="20"/>
        </w:rPr>
        <w:t>36</w:t>
      </w:r>
      <w:r w:rsidR="003D40D7">
        <w:rPr>
          <w:rFonts w:ascii="Verdana" w:hAnsi="Verdana" w:cs="Verdana"/>
          <w:bCs/>
          <w:sz w:val="20"/>
          <w:szCs w:val="20"/>
        </w:rPr>
        <w:fldChar w:fldCharType="end"/>
      </w:r>
      <w:r w:rsidR="00AD4D0D">
        <w:rPr>
          <w:rFonts w:ascii="Verdana" w:hAnsi="Verdana" w:cs="Verdana"/>
          <w:bCs/>
          <w:sz w:val="20"/>
          <w:szCs w:val="20"/>
        </w:rPr>
        <w:t xml:space="preserve">). </w:t>
      </w:r>
    </w:p>
    <w:p w14:paraId="5B6E8080" w14:textId="77777777" w:rsidR="00047F09" w:rsidRDefault="00047F09"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Cs/>
          <w:sz w:val="20"/>
          <w:szCs w:val="20"/>
        </w:rPr>
      </w:pPr>
    </w:p>
    <w:p w14:paraId="39449ED1" w14:textId="77777777" w:rsidR="00075DA5" w:rsidRPr="006461A0" w:rsidRDefault="00AD4D0D" w:rsidP="009B05C8">
      <w:pPr>
        <w:pStyle w:val="Prrafodelista"/>
        <w:numPr>
          <w:ilvl w:val="0"/>
          <w:numId w:val="3"/>
        </w:numPr>
        <w:tabs>
          <w:tab w:val="left" w:pos="0"/>
        </w:tabs>
        <w:autoSpaceDE w:val="0"/>
        <w:autoSpaceDN w:val="0"/>
        <w:adjustRightInd w:val="0"/>
        <w:spacing w:after="0" w:line="240" w:lineRule="auto"/>
        <w:ind w:left="0" w:right="99" w:firstLine="0"/>
        <w:contextualSpacing w:val="0"/>
        <w:jc w:val="both"/>
        <w:rPr>
          <w:rFonts w:ascii="Verdana" w:hAnsi="Verdana" w:cs="Verdana"/>
          <w:bCs/>
          <w:sz w:val="20"/>
          <w:szCs w:val="20"/>
        </w:rPr>
      </w:pPr>
      <w:bookmarkStart w:id="33" w:name="_Ref21697215"/>
      <w:r>
        <w:rPr>
          <w:rFonts w:ascii="Verdana" w:hAnsi="Verdana" w:cs="Verdana"/>
          <w:bCs/>
          <w:sz w:val="20"/>
          <w:szCs w:val="20"/>
        </w:rPr>
        <w:t>Al respecto, este Tribunal estima necesario que Argentina informe sobre el estado en el que se encuentra el trámite legislativo del ante proyecto de</w:t>
      </w:r>
      <w:r w:rsidR="004536BE">
        <w:rPr>
          <w:rFonts w:ascii="Verdana" w:hAnsi="Verdana" w:cs="Verdana"/>
          <w:bCs/>
          <w:sz w:val="20"/>
          <w:szCs w:val="20"/>
        </w:rPr>
        <w:t xml:space="preserve"> reforma al</w:t>
      </w:r>
      <w:r>
        <w:rPr>
          <w:rFonts w:ascii="Verdana" w:hAnsi="Verdana" w:cs="Verdana"/>
          <w:bCs/>
          <w:sz w:val="20"/>
          <w:szCs w:val="20"/>
        </w:rPr>
        <w:t xml:space="preserve"> Código Penal y explique cómo las reformas propuestas a los artículos 138 y 139 </w:t>
      </w:r>
      <w:r w:rsidRPr="009B05C8">
        <w:rPr>
          <w:rFonts w:ascii="Verdana" w:hAnsi="Verdana" w:cs="Verdana"/>
          <w:bCs/>
          <w:i/>
          <w:sz w:val="20"/>
          <w:szCs w:val="20"/>
        </w:rPr>
        <w:t>bis</w:t>
      </w:r>
      <w:r>
        <w:rPr>
          <w:rFonts w:ascii="Verdana" w:hAnsi="Verdana" w:cs="Verdana"/>
          <w:bCs/>
          <w:sz w:val="20"/>
          <w:szCs w:val="20"/>
        </w:rPr>
        <w:t xml:space="preserve"> vigentes cumplen con los estándares internacionales en materia de tipificación de la venta de niñas y niños, desarrollados por la Corte en los párrafos 129 a 144 de la Sentencia.</w:t>
      </w:r>
      <w:bookmarkEnd w:id="33"/>
    </w:p>
    <w:p w14:paraId="188D9C7B" w14:textId="77777777" w:rsidR="00720224" w:rsidRDefault="00720224"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p>
    <w:p w14:paraId="0BB8EB63" w14:textId="77777777" w:rsidR="00C672E4" w:rsidRDefault="00C672E4"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p>
    <w:p w14:paraId="502ADA21" w14:textId="77777777" w:rsidR="004A5930" w:rsidRDefault="004A5930"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p>
    <w:p w14:paraId="16FF016D" w14:textId="77777777" w:rsidR="004A5930" w:rsidRDefault="004A5930"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p>
    <w:p w14:paraId="4FE6797B" w14:textId="77777777" w:rsidR="00D46C1F" w:rsidRDefault="00D46C1F"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r w:rsidRPr="00D46C1F">
        <w:rPr>
          <w:rFonts w:ascii="Verdana" w:hAnsi="Verdana" w:cs="Verdana"/>
          <w:b/>
          <w:bCs/>
          <w:sz w:val="20"/>
          <w:szCs w:val="20"/>
        </w:rPr>
        <w:t xml:space="preserve">POR TANTO: </w:t>
      </w:r>
    </w:p>
    <w:p w14:paraId="57CF3714" w14:textId="77777777" w:rsidR="004536BE" w:rsidRPr="00D46C1F" w:rsidRDefault="004536BE"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p>
    <w:p w14:paraId="4380DA79" w14:textId="77777777" w:rsidR="009133DC" w:rsidRDefault="00D46C1F"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r w:rsidRPr="00D46C1F">
        <w:rPr>
          <w:rFonts w:ascii="Verdana" w:hAnsi="Verdana" w:cs="Verdana"/>
          <w:b/>
          <w:bCs/>
          <w:sz w:val="20"/>
          <w:szCs w:val="20"/>
        </w:rPr>
        <w:t>LA CORTE INTERAMERICAN</w:t>
      </w:r>
      <w:r>
        <w:rPr>
          <w:rFonts w:ascii="Verdana" w:hAnsi="Verdana" w:cs="Verdana"/>
          <w:b/>
          <w:bCs/>
          <w:sz w:val="20"/>
          <w:szCs w:val="20"/>
        </w:rPr>
        <w:t>A</w:t>
      </w:r>
      <w:r w:rsidRPr="00D46C1F">
        <w:rPr>
          <w:rFonts w:ascii="Verdana" w:hAnsi="Verdana" w:cs="Verdana"/>
          <w:b/>
          <w:bCs/>
          <w:sz w:val="20"/>
          <w:szCs w:val="20"/>
        </w:rPr>
        <w:t xml:space="preserve"> DE DERECHOS HUMANOS, </w:t>
      </w:r>
    </w:p>
    <w:p w14:paraId="414A367D" w14:textId="77777777" w:rsidR="004536BE" w:rsidRDefault="004536BE"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p>
    <w:p w14:paraId="57192DC7" w14:textId="77777777" w:rsidR="009133DC" w:rsidRPr="009133DC" w:rsidRDefault="009133DC"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r>
        <w:rPr>
          <w:rFonts w:ascii="Verdana" w:hAnsi="Verdana"/>
          <w:sz w:val="20"/>
          <w:szCs w:val="20"/>
        </w:rPr>
        <w:t>e</w:t>
      </w:r>
      <w:r w:rsidRPr="00CA38EE">
        <w:rPr>
          <w:rFonts w:ascii="Verdana" w:hAnsi="Verdana"/>
          <w:sz w:val="20"/>
          <w:szCs w:val="20"/>
        </w:rPr>
        <w:t>n el ejercicio de sus atribuciones de supervisión del cumplimiento de sus decisiones, de conformidad con los artículos 33, 62.1, 62.3, 65, 67 y 68.1 de la Convención Americana sobre Derechos Humanos, 24, 25 y 30 del Estatuto, y 31.2 y 69 de su Reglamento,</w:t>
      </w:r>
    </w:p>
    <w:p w14:paraId="7BFE195C" w14:textId="77777777" w:rsidR="00CC4B19" w:rsidRDefault="00CC4B19"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p>
    <w:p w14:paraId="5E1FD81B" w14:textId="77777777" w:rsidR="004A5930" w:rsidRDefault="004A5930"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p>
    <w:p w14:paraId="06B25D0D" w14:textId="77777777" w:rsidR="002C6178" w:rsidRDefault="002C6178"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p>
    <w:p w14:paraId="03A87C04" w14:textId="77777777" w:rsidR="004A5930" w:rsidRDefault="004A5930"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p>
    <w:p w14:paraId="71AA5315" w14:textId="77777777" w:rsidR="00D46C1F" w:rsidRDefault="00D46C1F"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r>
        <w:rPr>
          <w:rFonts w:ascii="Verdana" w:hAnsi="Verdana" w:cs="Verdana"/>
          <w:b/>
          <w:bCs/>
          <w:sz w:val="20"/>
          <w:szCs w:val="20"/>
        </w:rPr>
        <w:lastRenderedPageBreak/>
        <w:t>RESUELVE:</w:t>
      </w:r>
    </w:p>
    <w:p w14:paraId="2E423E39" w14:textId="77777777" w:rsidR="004536BE" w:rsidRDefault="004536BE"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b/>
          <w:bCs/>
          <w:sz w:val="20"/>
          <w:szCs w:val="20"/>
        </w:rPr>
      </w:pPr>
    </w:p>
    <w:p w14:paraId="3E59D245" w14:textId="3FF5C22A" w:rsidR="004536BE" w:rsidRDefault="00CB4A68" w:rsidP="009B05C8">
      <w:pPr>
        <w:pStyle w:val="Prrafodelista"/>
        <w:numPr>
          <w:ilvl w:val="0"/>
          <w:numId w:val="17"/>
        </w:numPr>
        <w:tabs>
          <w:tab w:val="left" w:pos="0"/>
        </w:tabs>
        <w:autoSpaceDE w:val="0"/>
        <w:autoSpaceDN w:val="0"/>
        <w:adjustRightInd w:val="0"/>
        <w:spacing w:after="0" w:line="240" w:lineRule="auto"/>
        <w:ind w:left="0" w:right="99" w:firstLine="0"/>
        <w:jc w:val="both"/>
        <w:rPr>
          <w:rFonts w:ascii="Verdana" w:hAnsi="Verdana" w:cs="Verdana"/>
          <w:sz w:val="20"/>
          <w:szCs w:val="20"/>
        </w:rPr>
      </w:pPr>
      <w:r w:rsidRPr="00CB4A68">
        <w:rPr>
          <w:rFonts w:ascii="Verdana" w:hAnsi="Verdana" w:cs="Verdana"/>
          <w:sz w:val="20"/>
          <w:szCs w:val="20"/>
        </w:rPr>
        <w:t xml:space="preserve">Declarar, de conformidad con lo señalado en </w:t>
      </w:r>
      <w:r w:rsidR="00BF0D7C">
        <w:rPr>
          <w:rFonts w:ascii="Verdana" w:hAnsi="Verdana" w:cs="Verdana"/>
          <w:sz w:val="20"/>
          <w:szCs w:val="20"/>
        </w:rPr>
        <w:t xml:space="preserve">los </w:t>
      </w:r>
      <w:r w:rsidRPr="00CB4A68">
        <w:rPr>
          <w:rFonts w:ascii="Verdana" w:hAnsi="Verdana" w:cs="Verdana"/>
          <w:sz w:val="20"/>
          <w:szCs w:val="20"/>
        </w:rPr>
        <w:t>Considerando</w:t>
      </w:r>
      <w:r w:rsidR="00BF0D7C">
        <w:rPr>
          <w:rFonts w:ascii="Verdana" w:hAnsi="Verdana" w:cs="Verdana"/>
          <w:sz w:val="20"/>
          <w:szCs w:val="20"/>
        </w:rPr>
        <w:t>s</w:t>
      </w:r>
      <w:r w:rsidRPr="00CB4A68">
        <w:rPr>
          <w:rFonts w:ascii="Verdana" w:hAnsi="Verdana" w:cs="Verdana"/>
          <w:sz w:val="20"/>
          <w:szCs w:val="20"/>
        </w:rPr>
        <w:t xml:space="preserve"> </w:t>
      </w:r>
      <w:r w:rsidR="004536BE">
        <w:rPr>
          <w:rFonts w:ascii="Verdana" w:hAnsi="Verdana" w:cs="Verdana"/>
          <w:sz w:val="20"/>
          <w:szCs w:val="20"/>
        </w:rPr>
        <w:fldChar w:fldCharType="begin"/>
      </w:r>
      <w:r w:rsidR="004536BE">
        <w:rPr>
          <w:rFonts w:ascii="Verdana" w:hAnsi="Verdana" w:cs="Verdana"/>
          <w:sz w:val="20"/>
          <w:szCs w:val="20"/>
        </w:rPr>
        <w:instrText xml:space="preserve"> REF _Ref21681646 \r \h </w:instrText>
      </w:r>
      <w:r w:rsidR="004536BE">
        <w:rPr>
          <w:rFonts w:ascii="Verdana" w:hAnsi="Verdana" w:cs="Verdana"/>
          <w:sz w:val="20"/>
          <w:szCs w:val="20"/>
        </w:rPr>
      </w:r>
      <w:r w:rsidR="004536BE">
        <w:rPr>
          <w:rFonts w:ascii="Verdana" w:hAnsi="Verdana" w:cs="Verdana"/>
          <w:sz w:val="20"/>
          <w:szCs w:val="20"/>
        </w:rPr>
        <w:fldChar w:fldCharType="separate"/>
      </w:r>
      <w:r w:rsidR="007B61B6">
        <w:rPr>
          <w:rFonts w:ascii="Verdana" w:hAnsi="Verdana" w:cs="Verdana"/>
          <w:sz w:val="20"/>
          <w:szCs w:val="20"/>
        </w:rPr>
        <w:t>13</w:t>
      </w:r>
      <w:r w:rsidR="004536BE">
        <w:rPr>
          <w:rFonts w:ascii="Verdana" w:hAnsi="Verdana" w:cs="Verdana"/>
          <w:sz w:val="20"/>
          <w:szCs w:val="20"/>
        </w:rPr>
        <w:fldChar w:fldCharType="end"/>
      </w:r>
      <w:r w:rsidRPr="00CB4A68">
        <w:rPr>
          <w:rFonts w:ascii="Verdana" w:hAnsi="Verdana" w:cs="Verdana"/>
          <w:sz w:val="20"/>
          <w:szCs w:val="20"/>
        </w:rPr>
        <w:t xml:space="preserve"> </w:t>
      </w:r>
      <w:r w:rsidR="00BF0D7C">
        <w:rPr>
          <w:rFonts w:ascii="Verdana" w:hAnsi="Verdana" w:cs="Verdana"/>
          <w:sz w:val="20"/>
          <w:szCs w:val="20"/>
        </w:rPr>
        <w:t xml:space="preserve">y </w:t>
      </w:r>
      <w:r w:rsidR="004536BE">
        <w:rPr>
          <w:rFonts w:ascii="Verdana" w:hAnsi="Verdana" w:cs="Verdana"/>
          <w:sz w:val="20"/>
          <w:szCs w:val="20"/>
        </w:rPr>
        <w:fldChar w:fldCharType="begin"/>
      </w:r>
      <w:r w:rsidR="004536BE">
        <w:rPr>
          <w:rFonts w:ascii="Verdana" w:hAnsi="Verdana" w:cs="Verdana"/>
          <w:sz w:val="20"/>
          <w:szCs w:val="20"/>
        </w:rPr>
        <w:instrText xml:space="preserve"> REF _Ref21681651 \r \h </w:instrText>
      </w:r>
      <w:r w:rsidR="004536BE">
        <w:rPr>
          <w:rFonts w:ascii="Verdana" w:hAnsi="Verdana" w:cs="Verdana"/>
          <w:sz w:val="20"/>
          <w:szCs w:val="20"/>
        </w:rPr>
      </w:r>
      <w:r w:rsidR="004536BE">
        <w:rPr>
          <w:rFonts w:ascii="Verdana" w:hAnsi="Verdana" w:cs="Verdana"/>
          <w:sz w:val="20"/>
          <w:szCs w:val="20"/>
        </w:rPr>
        <w:fldChar w:fldCharType="separate"/>
      </w:r>
      <w:r w:rsidR="007B61B6">
        <w:rPr>
          <w:rFonts w:ascii="Verdana" w:hAnsi="Verdana" w:cs="Verdana"/>
          <w:sz w:val="20"/>
          <w:szCs w:val="20"/>
        </w:rPr>
        <w:t>17</w:t>
      </w:r>
      <w:r w:rsidR="004536BE">
        <w:rPr>
          <w:rFonts w:ascii="Verdana" w:hAnsi="Verdana" w:cs="Verdana"/>
          <w:sz w:val="20"/>
          <w:szCs w:val="20"/>
        </w:rPr>
        <w:fldChar w:fldCharType="end"/>
      </w:r>
      <w:r w:rsidR="00BF0D7C">
        <w:rPr>
          <w:rFonts w:ascii="Verdana" w:hAnsi="Verdana" w:cs="Verdana"/>
          <w:sz w:val="20"/>
          <w:szCs w:val="20"/>
        </w:rPr>
        <w:t xml:space="preserve"> </w:t>
      </w:r>
      <w:r w:rsidRPr="00CB4A68">
        <w:rPr>
          <w:rFonts w:ascii="Verdana" w:hAnsi="Verdana" w:cs="Verdana"/>
          <w:sz w:val="20"/>
          <w:szCs w:val="20"/>
        </w:rPr>
        <w:t xml:space="preserve">de la presente Resolución, que </w:t>
      </w:r>
      <w:r w:rsidR="002E6EC5">
        <w:rPr>
          <w:rFonts w:ascii="Verdana" w:hAnsi="Verdana" w:cs="Verdana"/>
          <w:sz w:val="20"/>
          <w:szCs w:val="20"/>
        </w:rPr>
        <w:t xml:space="preserve">el Estado </w:t>
      </w:r>
      <w:r w:rsidRPr="00CB4A68">
        <w:rPr>
          <w:rFonts w:ascii="Verdana" w:hAnsi="Verdana" w:cs="Verdana"/>
          <w:sz w:val="20"/>
          <w:szCs w:val="20"/>
        </w:rPr>
        <w:t xml:space="preserve">ha </w:t>
      </w:r>
      <w:r w:rsidR="002E6EC5">
        <w:rPr>
          <w:rFonts w:ascii="Verdana" w:hAnsi="Verdana" w:cs="Verdana"/>
          <w:sz w:val="20"/>
          <w:szCs w:val="20"/>
        </w:rPr>
        <w:t>dado cumplimiento total</w:t>
      </w:r>
      <w:r w:rsidRPr="00CB4A68">
        <w:rPr>
          <w:rFonts w:ascii="Verdana" w:hAnsi="Verdana" w:cs="Verdana"/>
          <w:sz w:val="20"/>
          <w:szCs w:val="20"/>
        </w:rPr>
        <w:t xml:space="preserve"> </w:t>
      </w:r>
      <w:r w:rsidR="002E6EC5">
        <w:rPr>
          <w:rFonts w:ascii="Verdana" w:hAnsi="Verdana" w:cs="Verdana"/>
          <w:sz w:val="20"/>
          <w:szCs w:val="20"/>
        </w:rPr>
        <w:t xml:space="preserve">a </w:t>
      </w:r>
      <w:r w:rsidRPr="00CB4A68">
        <w:rPr>
          <w:rFonts w:ascii="Verdana" w:hAnsi="Verdana" w:cs="Verdana"/>
          <w:sz w:val="20"/>
          <w:szCs w:val="20"/>
        </w:rPr>
        <w:t>la</w:t>
      </w:r>
      <w:r w:rsidR="002E6EC5">
        <w:rPr>
          <w:rFonts w:ascii="Verdana" w:hAnsi="Verdana" w:cs="Verdana"/>
          <w:sz w:val="20"/>
          <w:szCs w:val="20"/>
        </w:rPr>
        <w:t>s siguientes</w:t>
      </w:r>
      <w:r w:rsidRPr="00CB4A68">
        <w:rPr>
          <w:rFonts w:ascii="Verdana" w:hAnsi="Verdana" w:cs="Verdana"/>
          <w:sz w:val="20"/>
          <w:szCs w:val="20"/>
        </w:rPr>
        <w:t xml:space="preserve"> medida</w:t>
      </w:r>
      <w:r w:rsidR="002E6EC5">
        <w:rPr>
          <w:rFonts w:ascii="Verdana" w:hAnsi="Verdana" w:cs="Verdana"/>
          <w:sz w:val="20"/>
          <w:szCs w:val="20"/>
        </w:rPr>
        <w:t>s</w:t>
      </w:r>
      <w:r w:rsidRPr="00CB4A68">
        <w:rPr>
          <w:rFonts w:ascii="Verdana" w:hAnsi="Verdana" w:cs="Verdana"/>
          <w:sz w:val="20"/>
          <w:szCs w:val="20"/>
        </w:rPr>
        <w:t xml:space="preserve"> de reparación</w:t>
      </w:r>
      <w:r w:rsidR="002E6EC5">
        <w:rPr>
          <w:rFonts w:ascii="Verdana" w:hAnsi="Verdana" w:cs="Verdana"/>
          <w:sz w:val="20"/>
          <w:szCs w:val="20"/>
        </w:rPr>
        <w:t>:</w:t>
      </w:r>
      <w:r w:rsidRPr="00CB4A68">
        <w:rPr>
          <w:rFonts w:ascii="Verdana" w:hAnsi="Verdana" w:cs="Verdana"/>
          <w:sz w:val="20"/>
          <w:szCs w:val="20"/>
        </w:rPr>
        <w:t xml:space="preserve"> </w:t>
      </w:r>
    </w:p>
    <w:p w14:paraId="16E47870" w14:textId="77777777" w:rsidR="004536BE" w:rsidRPr="004536BE" w:rsidRDefault="004536BE" w:rsidP="009B05C8">
      <w:pPr>
        <w:pStyle w:val="Prrafodelista"/>
        <w:tabs>
          <w:tab w:val="left" w:pos="0"/>
        </w:tabs>
        <w:autoSpaceDE w:val="0"/>
        <w:autoSpaceDN w:val="0"/>
        <w:adjustRightInd w:val="0"/>
        <w:spacing w:after="0" w:line="240" w:lineRule="auto"/>
        <w:ind w:left="0" w:right="99"/>
        <w:jc w:val="both"/>
        <w:rPr>
          <w:rFonts w:ascii="Verdana" w:hAnsi="Verdana" w:cs="Verdana"/>
          <w:sz w:val="20"/>
          <w:szCs w:val="20"/>
        </w:rPr>
      </w:pPr>
    </w:p>
    <w:p w14:paraId="55ED0C38" w14:textId="77777777" w:rsidR="002E6EC5" w:rsidRDefault="00CB4A68" w:rsidP="009B05C8">
      <w:pPr>
        <w:pStyle w:val="Prrafodelista"/>
        <w:numPr>
          <w:ilvl w:val="0"/>
          <w:numId w:val="32"/>
        </w:numPr>
        <w:tabs>
          <w:tab w:val="left" w:pos="0"/>
        </w:tabs>
        <w:autoSpaceDE w:val="0"/>
        <w:autoSpaceDN w:val="0"/>
        <w:adjustRightInd w:val="0"/>
        <w:spacing w:after="0" w:line="240" w:lineRule="auto"/>
        <w:ind w:right="99"/>
        <w:jc w:val="both"/>
        <w:rPr>
          <w:rFonts w:ascii="Verdana" w:hAnsi="Verdana" w:cs="Verdana"/>
          <w:sz w:val="20"/>
          <w:szCs w:val="20"/>
        </w:rPr>
      </w:pPr>
      <w:r w:rsidRPr="00CB4A68">
        <w:rPr>
          <w:rFonts w:ascii="Verdana" w:hAnsi="Verdana" w:cs="Verdana"/>
          <w:sz w:val="20"/>
          <w:szCs w:val="20"/>
        </w:rPr>
        <w:t>establecer de manera inmediata un procedimiento orientado a la efectiva vinculación entre el señor Fornerón y su hija M</w:t>
      </w:r>
      <w:r>
        <w:rPr>
          <w:rFonts w:ascii="Verdana" w:hAnsi="Verdana" w:cs="Verdana"/>
          <w:sz w:val="20"/>
          <w:szCs w:val="20"/>
        </w:rPr>
        <w:t xml:space="preserve">. </w:t>
      </w:r>
      <w:r w:rsidR="002E6EC5">
        <w:rPr>
          <w:rFonts w:ascii="Verdana" w:hAnsi="Verdana" w:cs="Verdana"/>
          <w:sz w:val="20"/>
          <w:szCs w:val="20"/>
        </w:rPr>
        <w:t>(</w:t>
      </w:r>
      <w:r w:rsidRPr="00FC0418">
        <w:rPr>
          <w:rFonts w:ascii="Verdana" w:hAnsi="Verdana" w:cs="Verdana"/>
          <w:i/>
          <w:iCs/>
          <w:sz w:val="20"/>
          <w:szCs w:val="20"/>
        </w:rPr>
        <w:t xml:space="preserve">punto </w:t>
      </w:r>
      <w:r w:rsidR="002E6EC5" w:rsidRPr="00FC0418">
        <w:rPr>
          <w:rFonts w:ascii="Verdana" w:hAnsi="Verdana" w:cs="Verdana"/>
          <w:i/>
          <w:iCs/>
          <w:sz w:val="20"/>
          <w:szCs w:val="20"/>
        </w:rPr>
        <w:t xml:space="preserve">dispositivo </w:t>
      </w:r>
      <w:r w:rsidRPr="00FC0418">
        <w:rPr>
          <w:rFonts w:ascii="Verdana" w:hAnsi="Verdana" w:cs="Verdana"/>
          <w:i/>
          <w:iCs/>
          <w:sz w:val="20"/>
          <w:szCs w:val="20"/>
        </w:rPr>
        <w:t>segundo de la Sentencia</w:t>
      </w:r>
      <w:r w:rsidR="002E6EC5">
        <w:rPr>
          <w:rFonts w:ascii="Verdana" w:hAnsi="Verdana" w:cs="Verdana"/>
          <w:sz w:val="20"/>
          <w:szCs w:val="20"/>
        </w:rPr>
        <w:t>), y</w:t>
      </w:r>
    </w:p>
    <w:p w14:paraId="01FAAEA4" w14:textId="77777777" w:rsidR="00E805F6" w:rsidRDefault="00E805F6" w:rsidP="00E805F6">
      <w:pPr>
        <w:pStyle w:val="Prrafodelista"/>
        <w:tabs>
          <w:tab w:val="left" w:pos="0"/>
        </w:tabs>
        <w:autoSpaceDE w:val="0"/>
        <w:autoSpaceDN w:val="0"/>
        <w:adjustRightInd w:val="0"/>
        <w:spacing w:after="0" w:line="240" w:lineRule="auto"/>
        <w:ind w:right="99"/>
        <w:jc w:val="both"/>
        <w:rPr>
          <w:rFonts w:ascii="Verdana" w:hAnsi="Verdana" w:cs="Verdana"/>
          <w:sz w:val="20"/>
          <w:szCs w:val="20"/>
        </w:rPr>
      </w:pPr>
    </w:p>
    <w:p w14:paraId="090A8B72" w14:textId="77777777" w:rsidR="00D46C1F" w:rsidRDefault="002E6EC5" w:rsidP="009B05C8">
      <w:pPr>
        <w:pStyle w:val="Prrafodelista"/>
        <w:numPr>
          <w:ilvl w:val="0"/>
          <w:numId w:val="32"/>
        </w:numPr>
        <w:tabs>
          <w:tab w:val="left" w:pos="0"/>
        </w:tabs>
        <w:autoSpaceDE w:val="0"/>
        <w:autoSpaceDN w:val="0"/>
        <w:adjustRightInd w:val="0"/>
        <w:spacing w:after="0" w:line="240" w:lineRule="auto"/>
        <w:ind w:right="99"/>
        <w:jc w:val="both"/>
        <w:rPr>
          <w:rFonts w:ascii="Verdana" w:hAnsi="Verdana" w:cs="Verdana"/>
          <w:sz w:val="20"/>
          <w:szCs w:val="20"/>
        </w:rPr>
      </w:pPr>
      <w:r>
        <w:rPr>
          <w:rFonts w:ascii="Verdana" w:hAnsi="Verdana" w:cs="Verdana"/>
          <w:sz w:val="20"/>
          <w:szCs w:val="20"/>
        </w:rPr>
        <w:t>pagar la indemnización por concepto de daño inmaterial a M. (</w:t>
      </w:r>
      <w:r w:rsidRPr="00695A02">
        <w:rPr>
          <w:rFonts w:ascii="Verdana" w:hAnsi="Verdana" w:cs="Verdana"/>
          <w:i/>
          <w:iCs/>
          <w:sz w:val="20"/>
          <w:szCs w:val="20"/>
        </w:rPr>
        <w:t xml:space="preserve">punto dispositivo </w:t>
      </w:r>
      <w:r>
        <w:rPr>
          <w:rFonts w:ascii="Verdana" w:hAnsi="Verdana" w:cs="Verdana"/>
          <w:i/>
          <w:iCs/>
          <w:sz w:val="20"/>
          <w:szCs w:val="20"/>
        </w:rPr>
        <w:t>séptimo</w:t>
      </w:r>
      <w:r w:rsidRPr="00695A02">
        <w:rPr>
          <w:rFonts w:ascii="Verdana" w:hAnsi="Verdana" w:cs="Verdana"/>
          <w:i/>
          <w:iCs/>
          <w:sz w:val="20"/>
          <w:szCs w:val="20"/>
        </w:rPr>
        <w:t xml:space="preserve"> de la Sentencia</w:t>
      </w:r>
      <w:r>
        <w:rPr>
          <w:rFonts w:ascii="Verdana" w:hAnsi="Verdana" w:cs="Verdana"/>
          <w:i/>
          <w:iCs/>
          <w:sz w:val="20"/>
          <w:szCs w:val="20"/>
        </w:rPr>
        <w:t>)</w:t>
      </w:r>
      <w:r w:rsidR="004536BE">
        <w:rPr>
          <w:rFonts w:ascii="Verdana" w:hAnsi="Verdana" w:cs="Verdana"/>
          <w:iCs/>
          <w:sz w:val="20"/>
          <w:szCs w:val="20"/>
        </w:rPr>
        <w:t>.</w:t>
      </w:r>
      <w:r w:rsidR="00CB4A68">
        <w:rPr>
          <w:rFonts w:ascii="Verdana" w:hAnsi="Verdana" w:cs="Verdana"/>
          <w:sz w:val="20"/>
          <w:szCs w:val="20"/>
        </w:rPr>
        <w:t xml:space="preserve"> </w:t>
      </w:r>
    </w:p>
    <w:p w14:paraId="74943AED" w14:textId="77777777" w:rsidR="00CB4A68" w:rsidRDefault="00CB4A68" w:rsidP="009B05C8">
      <w:pPr>
        <w:pStyle w:val="Prrafodelista"/>
        <w:tabs>
          <w:tab w:val="left" w:pos="0"/>
        </w:tabs>
        <w:autoSpaceDE w:val="0"/>
        <w:autoSpaceDN w:val="0"/>
        <w:adjustRightInd w:val="0"/>
        <w:spacing w:after="0" w:line="240" w:lineRule="auto"/>
        <w:ind w:left="0" w:right="99"/>
        <w:jc w:val="both"/>
        <w:rPr>
          <w:rFonts w:ascii="Verdana" w:hAnsi="Verdana" w:cs="Verdana"/>
          <w:sz w:val="20"/>
          <w:szCs w:val="20"/>
        </w:rPr>
      </w:pPr>
    </w:p>
    <w:p w14:paraId="75A594DD" w14:textId="77777777" w:rsidR="00C672E4" w:rsidRDefault="00C672E4" w:rsidP="009B05C8">
      <w:pPr>
        <w:pStyle w:val="Prrafodelista"/>
        <w:tabs>
          <w:tab w:val="left" w:pos="0"/>
        </w:tabs>
        <w:autoSpaceDE w:val="0"/>
        <w:autoSpaceDN w:val="0"/>
        <w:adjustRightInd w:val="0"/>
        <w:spacing w:after="0" w:line="240" w:lineRule="auto"/>
        <w:ind w:left="0" w:right="99"/>
        <w:jc w:val="both"/>
        <w:rPr>
          <w:rFonts w:ascii="Verdana" w:hAnsi="Verdana" w:cs="Verdana"/>
          <w:sz w:val="20"/>
          <w:szCs w:val="20"/>
        </w:rPr>
      </w:pPr>
    </w:p>
    <w:p w14:paraId="6C4CE03D" w14:textId="77777777" w:rsidR="00CB4A68" w:rsidRPr="004536BE" w:rsidRDefault="00CB4A68" w:rsidP="009B05C8">
      <w:pPr>
        <w:pStyle w:val="Prrafodelista"/>
        <w:numPr>
          <w:ilvl w:val="0"/>
          <w:numId w:val="17"/>
        </w:numPr>
        <w:tabs>
          <w:tab w:val="left" w:pos="0"/>
        </w:tabs>
        <w:autoSpaceDE w:val="0"/>
        <w:autoSpaceDN w:val="0"/>
        <w:adjustRightInd w:val="0"/>
        <w:spacing w:after="0" w:line="240" w:lineRule="auto"/>
        <w:ind w:left="0" w:right="99" w:firstLine="0"/>
        <w:jc w:val="both"/>
        <w:rPr>
          <w:rFonts w:ascii="Verdana" w:hAnsi="Verdana" w:cs="Verdana"/>
          <w:sz w:val="20"/>
          <w:szCs w:val="20"/>
        </w:rPr>
      </w:pPr>
      <w:bookmarkStart w:id="34" w:name="_Ref21531449"/>
      <w:r w:rsidRPr="00CB4A68">
        <w:rPr>
          <w:rFonts w:ascii="Verdana" w:hAnsi="Verdana"/>
          <w:sz w:val="20"/>
          <w:szCs w:val="20"/>
        </w:rPr>
        <w:t>Mantener abierto el procedimiento de supervisión de cumplimiento de las siguientes medidas de reparación:</w:t>
      </w:r>
      <w:bookmarkEnd w:id="34"/>
    </w:p>
    <w:p w14:paraId="5C436B09" w14:textId="77777777" w:rsidR="004536BE" w:rsidRPr="00CB4A68" w:rsidRDefault="004536BE" w:rsidP="009B05C8">
      <w:pPr>
        <w:pStyle w:val="Prrafodelista"/>
        <w:tabs>
          <w:tab w:val="left" w:pos="0"/>
        </w:tabs>
        <w:autoSpaceDE w:val="0"/>
        <w:autoSpaceDN w:val="0"/>
        <w:adjustRightInd w:val="0"/>
        <w:spacing w:after="0" w:line="240" w:lineRule="auto"/>
        <w:ind w:left="0" w:right="99"/>
        <w:jc w:val="both"/>
        <w:rPr>
          <w:rFonts w:ascii="Verdana" w:hAnsi="Verdana" w:cs="Verdana"/>
          <w:sz w:val="20"/>
          <w:szCs w:val="20"/>
        </w:rPr>
      </w:pPr>
    </w:p>
    <w:p w14:paraId="216E213F" w14:textId="77777777" w:rsidR="00CB4A68" w:rsidRDefault="00CB4A68" w:rsidP="00E805F6">
      <w:pPr>
        <w:pStyle w:val="Prrafodelista"/>
        <w:numPr>
          <w:ilvl w:val="0"/>
          <w:numId w:val="33"/>
        </w:numPr>
        <w:tabs>
          <w:tab w:val="left" w:pos="0"/>
        </w:tabs>
        <w:autoSpaceDE w:val="0"/>
        <w:autoSpaceDN w:val="0"/>
        <w:adjustRightInd w:val="0"/>
        <w:spacing w:after="0" w:line="240" w:lineRule="auto"/>
        <w:ind w:right="99"/>
        <w:jc w:val="both"/>
        <w:rPr>
          <w:rFonts w:ascii="Verdana" w:hAnsi="Verdana"/>
          <w:sz w:val="20"/>
          <w:szCs w:val="20"/>
        </w:rPr>
      </w:pPr>
      <w:r w:rsidRPr="00CA38EE">
        <w:rPr>
          <w:rFonts w:ascii="Verdana" w:hAnsi="Verdana"/>
          <w:sz w:val="20"/>
          <w:szCs w:val="20"/>
        </w:rPr>
        <w:t xml:space="preserve">verificar la conformidad a derecho de la conducta de los funcionarios que intervinieron en los distintos procesos internos relacionados con el presente caso y, en su caso, establecer las responsabilidades que correspondan </w:t>
      </w:r>
      <w:r w:rsidRPr="00CA38EE">
        <w:rPr>
          <w:rFonts w:ascii="Verdana" w:hAnsi="Verdana"/>
          <w:i/>
          <w:sz w:val="20"/>
          <w:szCs w:val="20"/>
        </w:rPr>
        <w:t>(punto dispositivo tercero de la Sentencia)</w:t>
      </w:r>
      <w:r>
        <w:rPr>
          <w:rFonts w:ascii="Verdana" w:hAnsi="Verdana"/>
          <w:sz w:val="20"/>
          <w:szCs w:val="20"/>
        </w:rPr>
        <w:t>, y</w:t>
      </w:r>
    </w:p>
    <w:p w14:paraId="18FE33B9" w14:textId="77777777" w:rsidR="00E805F6" w:rsidRDefault="00E805F6" w:rsidP="00B74118">
      <w:pPr>
        <w:pStyle w:val="Prrafodelista"/>
        <w:tabs>
          <w:tab w:val="left" w:pos="0"/>
        </w:tabs>
        <w:autoSpaceDE w:val="0"/>
        <w:autoSpaceDN w:val="0"/>
        <w:adjustRightInd w:val="0"/>
        <w:spacing w:after="0" w:line="240" w:lineRule="auto"/>
        <w:ind w:right="99"/>
        <w:jc w:val="both"/>
        <w:rPr>
          <w:rFonts w:ascii="Verdana" w:hAnsi="Verdana"/>
          <w:sz w:val="20"/>
          <w:szCs w:val="20"/>
        </w:rPr>
      </w:pPr>
    </w:p>
    <w:p w14:paraId="6B12FEC5" w14:textId="77777777" w:rsidR="00CB4A68" w:rsidRPr="00CB4A68" w:rsidRDefault="00CB4A68" w:rsidP="00E805F6">
      <w:pPr>
        <w:pStyle w:val="Prrafodelista"/>
        <w:numPr>
          <w:ilvl w:val="0"/>
          <w:numId w:val="33"/>
        </w:numPr>
        <w:tabs>
          <w:tab w:val="left" w:pos="0"/>
        </w:tabs>
        <w:autoSpaceDE w:val="0"/>
        <w:autoSpaceDN w:val="0"/>
        <w:adjustRightInd w:val="0"/>
        <w:spacing w:after="0" w:line="240" w:lineRule="auto"/>
        <w:ind w:right="99"/>
        <w:jc w:val="both"/>
        <w:rPr>
          <w:rFonts w:ascii="Verdana" w:hAnsi="Verdana"/>
          <w:sz w:val="20"/>
          <w:szCs w:val="20"/>
        </w:rPr>
      </w:pPr>
      <w:r w:rsidRPr="00CB4A68">
        <w:rPr>
          <w:rFonts w:ascii="Verdana" w:hAnsi="Verdana"/>
          <w:sz w:val="20"/>
          <w:szCs w:val="20"/>
        </w:rPr>
        <w:t>adoptar las medidas que sean necesarias para tipificar la venta de niños y niñas, de manera que el acto de entregar a un niño o niña a cambio de una retribución o cualquier otra compensación, cualquiera que sea su forma o fin, constituya una infracción penal</w:t>
      </w:r>
      <w:r w:rsidR="00E805F6">
        <w:rPr>
          <w:rFonts w:ascii="Verdana" w:hAnsi="Verdana"/>
          <w:sz w:val="20"/>
          <w:szCs w:val="20"/>
        </w:rPr>
        <w:t>, de conformidad con los estándares internacionales y lo establecido en la Sentencia</w:t>
      </w:r>
      <w:r w:rsidRPr="00CB4A68">
        <w:rPr>
          <w:rFonts w:ascii="Verdana" w:hAnsi="Verdana"/>
          <w:sz w:val="20"/>
          <w:szCs w:val="20"/>
        </w:rPr>
        <w:t xml:space="preserve"> </w:t>
      </w:r>
      <w:r w:rsidRPr="00CB4A68">
        <w:rPr>
          <w:rFonts w:ascii="Verdana" w:hAnsi="Verdana"/>
          <w:i/>
          <w:sz w:val="20"/>
          <w:szCs w:val="20"/>
        </w:rPr>
        <w:t>(punto dispositivo cuarto de la Sentencia</w:t>
      </w:r>
      <w:r>
        <w:rPr>
          <w:rFonts w:ascii="Verdana" w:hAnsi="Verdana"/>
          <w:i/>
          <w:sz w:val="20"/>
          <w:szCs w:val="20"/>
        </w:rPr>
        <w:t xml:space="preserve">). </w:t>
      </w:r>
    </w:p>
    <w:p w14:paraId="52C4BF1B" w14:textId="77777777" w:rsidR="004536BE" w:rsidRPr="004536BE" w:rsidRDefault="004536BE"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sz w:val="20"/>
          <w:szCs w:val="20"/>
        </w:rPr>
      </w:pPr>
    </w:p>
    <w:p w14:paraId="60E44C3E" w14:textId="77777777" w:rsidR="00CB4A68" w:rsidRPr="004536BE" w:rsidRDefault="00CB4A68" w:rsidP="009B05C8">
      <w:pPr>
        <w:pStyle w:val="Prrafodelista"/>
        <w:numPr>
          <w:ilvl w:val="0"/>
          <w:numId w:val="17"/>
        </w:numPr>
        <w:tabs>
          <w:tab w:val="left" w:pos="0"/>
        </w:tabs>
        <w:autoSpaceDE w:val="0"/>
        <w:autoSpaceDN w:val="0"/>
        <w:adjustRightInd w:val="0"/>
        <w:spacing w:after="0" w:line="240" w:lineRule="auto"/>
        <w:ind w:left="0" w:right="99" w:firstLine="0"/>
        <w:contextualSpacing w:val="0"/>
        <w:jc w:val="both"/>
        <w:rPr>
          <w:rFonts w:ascii="Verdana" w:hAnsi="Verdana" w:cs="Verdana"/>
          <w:sz w:val="20"/>
          <w:szCs w:val="20"/>
        </w:rPr>
      </w:pPr>
      <w:bookmarkStart w:id="35" w:name="_Ref21697235"/>
      <w:r w:rsidRPr="00CA38EE">
        <w:rPr>
          <w:rFonts w:ascii="Verdana" w:hAnsi="Verdana"/>
          <w:sz w:val="20"/>
          <w:szCs w:val="20"/>
        </w:rPr>
        <w:t xml:space="preserve">Disponer que el Estado adopte, en definitiva y a la mayor brevedad, las medidas que sean necesarias para dar efectivo y pronto cumplimiento a los </w:t>
      </w:r>
      <w:r w:rsidR="002E6EC5">
        <w:rPr>
          <w:rFonts w:ascii="Verdana" w:hAnsi="Verdana"/>
          <w:sz w:val="20"/>
          <w:szCs w:val="20"/>
        </w:rPr>
        <w:t xml:space="preserve">dos </w:t>
      </w:r>
      <w:r w:rsidRPr="00CA38EE">
        <w:rPr>
          <w:rFonts w:ascii="Verdana" w:hAnsi="Verdana"/>
          <w:sz w:val="20"/>
          <w:szCs w:val="20"/>
        </w:rPr>
        <w:t>puntos pendientes de la Sentencia de fondo, reparaciones y costas emitida en el presente caso, de acuerdo con lo considerado en la presente Resolución, y con lo estipulado en el artículo 68.1 de la Convención A</w:t>
      </w:r>
      <w:r>
        <w:rPr>
          <w:rFonts w:ascii="Verdana" w:hAnsi="Verdana"/>
          <w:sz w:val="20"/>
          <w:szCs w:val="20"/>
        </w:rPr>
        <w:t>mericana sobre Derechos Humanos.</w:t>
      </w:r>
      <w:bookmarkEnd w:id="35"/>
    </w:p>
    <w:p w14:paraId="314DD3C5" w14:textId="77777777" w:rsidR="004536BE" w:rsidRPr="00CB4A68" w:rsidRDefault="004536BE"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sz w:val="20"/>
          <w:szCs w:val="20"/>
        </w:rPr>
      </w:pPr>
    </w:p>
    <w:p w14:paraId="11C1FFF7" w14:textId="10D02721" w:rsidR="00CB4A68" w:rsidRPr="004536BE" w:rsidRDefault="00CB4A68" w:rsidP="009B05C8">
      <w:pPr>
        <w:pStyle w:val="Prrafodelista"/>
        <w:numPr>
          <w:ilvl w:val="0"/>
          <w:numId w:val="17"/>
        </w:numPr>
        <w:tabs>
          <w:tab w:val="left" w:pos="0"/>
        </w:tabs>
        <w:autoSpaceDE w:val="0"/>
        <w:autoSpaceDN w:val="0"/>
        <w:adjustRightInd w:val="0"/>
        <w:spacing w:after="0" w:line="240" w:lineRule="auto"/>
        <w:ind w:left="0" w:right="99" w:firstLine="0"/>
        <w:contextualSpacing w:val="0"/>
        <w:jc w:val="both"/>
        <w:rPr>
          <w:rFonts w:ascii="Verdana" w:hAnsi="Verdana" w:cs="Verdana"/>
          <w:sz w:val="20"/>
          <w:szCs w:val="20"/>
        </w:rPr>
      </w:pPr>
      <w:r w:rsidRPr="00CB4A68">
        <w:rPr>
          <w:rFonts w:ascii="Verdana" w:hAnsi="Verdana"/>
          <w:sz w:val="20"/>
          <w:szCs w:val="20"/>
        </w:rPr>
        <w:t xml:space="preserve">Disponer que el Estado presente a la Corte Interamericana de Derechos Humanos, a más tardar el </w:t>
      </w:r>
      <w:r w:rsidR="001B2F7C">
        <w:rPr>
          <w:rFonts w:ascii="Verdana" w:hAnsi="Verdana"/>
          <w:sz w:val="20"/>
          <w:szCs w:val="20"/>
        </w:rPr>
        <w:t>3</w:t>
      </w:r>
      <w:r w:rsidR="00E805F6">
        <w:rPr>
          <w:rFonts w:ascii="Verdana" w:hAnsi="Verdana"/>
          <w:sz w:val="20"/>
          <w:szCs w:val="20"/>
        </w:rPr>
        <w:t>1</w:t>
      </w:r>
      <w:r w:rsidR="001B2F7C" w:rsidRPr="00CB4A68">
        <w:rPr>
          <w:rFonts w:ascii="Verdana" w:hAnsi="Verdana"/>
          <w:sz w:val="20"/>
          <w:szCs w:val="20"/>
        </w:rPr>
        <w:t xml:space="preserve"> </w:t>
      </w:r>
      <w:r w:rsidRPr="00CB4A68">
        <w:rPr>
          <w:rFonts w:ascii="Verdana" w:hAnsi="Verdana"/>
          <w:sz w:val="20"/>
          <w:szCs w:val="20"/>
        </w:rPr>
        <w:t xml:space="preserve">de </w:t>
      </w:r>
      <w:r w:rsidR="00E805F6">
        <w:rPr>
          <w:rFonts w:ascii="Verdana" w:hAnsi="Verdana"/>
          <w:sz w:val="20"/>
          <w:szCs w:val="20"/>
        </w:rPr>
        <w:t>marzo</w:t>
      </w:r>
      <w:r w:rsidR="00E805F6" w:rsidRPr="00CB4A68">
        <w:rPr>
          <w:rFonts w:ascii="Verdana" w:hAnsi="Verdana"/>
          <w:sz w:val="20"/>
          <w:szCs w:val="20"/>
        </w:rPr>
        <w:t xml:space="preserve"> </w:t>
      </w:r>
      <w:r w:rsidRPr="00CB4A68">
        <w:rPr>
          <w:rFonts w:ascii="Verdana" w:hAnsi="Verdana"/>
          <w:sz w:val="20"/>
          <w:szCs w:val="20"/>
        </w:rPr>
        <w:t xml:space="preserve">de </w:t>
      </w:r>
      <w:r w:rsidR="001B2F7C">
        <w:rPr>
          <w:rFonts w:ascii="Verdana" w:hAnsi="Verdana"/>
          <w:sz w:val="20"/>
          <w:szCs w:val="20"/>
        </w:rPr>
        <w:t>2020,</w:t>
      </w:r>
      <w:r w:rsidR="001B2F7C" w:rsidRPr="00CB4A68">
        <w:rPr>
          <w:rFonts w:ascii="Verdana" w:hAnsi="Verdana"/>
          <w:sz w:val="20"/>
          <w:szCs w:val="20"/>
        </w:rPr>
        <w:t xml:space="preserve"> </w:t>
      </w:r>
      <w:r w:rsidRPr="00CB4A68">
        <w:rPr>
          <w:rFonts w:ascii="Verdana" w:hAnsi="Verdana"/>
          <w:sz w:val="20"/>
          <w:szCs w:val="20"/>
        </w:rPr>
        <w:t xml:space="preserve">un informe en el cual indique todas las medidas adoptadas para cumplir con las reparaciones ordenadas por esta Corte que se encuentran pendientes de cumplimiento, de conformidad con los Considerandos </w:t>
      </w:r>
      <w:r w:rsidR="004536BE">
        <w:rPr>
          <w:rFonts w:ascii="Verdana" w:hAnsi="Verdana"/>
          <w:sz w:val="20"/>
          <w:szCs w:val="20"/>
        </w:rPr>
        <w:fldChar w:fldCharType="begin"/>
      </w:r>
      <w:r w:rsidR="004536BE">
        <w:rPr>
          <w:rFonts w:ascii="Verdana" w:hAnsi="Verdana"/>
          <w:sz w:val="20"/>
          <w:szCs w:val="20"/>
        </w:rPr>
        <w:instrText xml:space="preserve"> REF _Ref21531500 \r \h </w:instrText>
      </w:r>
      <w:r w:rsidR="004536BE">
        <w:rPr>
          <w:rFonts w:ascii="Verdana" w:hAnsi="Verdana"/>
          <w:sz w:val="20"/>
          <w:szCs w:val="20"/>
        </w:rPr>
      </w:r>
      <w:r w:rsidR="004536BE">
        <w:rPr>
          <w:rFonts w:ascii="Verdana" w:hAnsi="Verdana"/>
          <w:sz w:val="20"/>
          <w:szCs w:val="20"/>
        </w:rPr>
        <w:fldChar w:fldCharType="separate"/>
      </w:r>
      <w:r w:rsidR="007B61B6">
        <w:rPr>
          <w:rFonts w:ascii="Verdana" w:hAnsi="Verdana"/>
          <w:sz w:val="20"/>
          <w:szCs w:val="20"/>
        </w:rPr>
        <w:t>18</w:t>
      </w:r>
      <w:r w:rsidR="004536BE">
        <w:rPr>
          <w:rFonts w:ascii="Verdana" w:hAnsi="Verdana"/>
          <w:sz w:val="20"/>
          <w:szCs w:val="20"/>
        </w:rPr>
        <w:fldChar w:fldCharType="end"/>
      </w:r>
      <w:r w:rsidR="001B2F7C">
        <w:rPr>
          <w:rFonts w:ascii="Verdana" w:hAnsi="Verdana"/>
          <w:sz w:val="20"/>
          <w:szCs w:val="20"/>
        </w:rPr>
        <w:t xml:space="preserve"> a</w:t>
      </w:r>
      <w:r w:rsidR="004536BE">
        <w:rPr>
          <w:rFonts w:ascii="Verdana" w:hAnsi="Verdana"/>
          <w:sz w:val="20"/>
          <w:szCs w:val="20"/>
        </w:rPr>
        <w:t xml:space="preserve"> </w:t>
      </w:r>
      <w:r w:rsidR="004536BE">
        <w:rPr>
          <w:rFonts w:ascii="Verdana" w:hAnsi="Verdana"/>
          <w:sz w:val="20"/>
          <w:szCs w:val="20"/>
        </w:rPr>
        <w:fldChar w:fldCharType="begin"/>
      </w:r>
      <w:r w:rsidR="004536BE">
        <w:rPr>
          <w:rFonts w:ascii="Verdana" w:hAnsi="Verdana"/>
          <w:sz w:val="20"/>
          <w:szCs w:val="20"/>
        </w:rPr>
        <w:instrText xml:space="preserve"> REF _Ref21697215 \r \h </w:instrText>
      </w:r>
      <w:r w:rsidR="004536BE">
        <w:rPr>
          <w:rFonts w:ascii="Verdana" w:hAnsi="Verdana"/>
          <w:sz w:val="20"/>
          <w:szCs w:val="20"/>
        </w:rPr>
      </w:r>
      <w:r w:rsidR="004536BE">
        <w:rPr>
          <w:rFonts w:ascii="Verdana" w:hAnsi="Verdana"/>
          <w:sz w:val="20"/>
          <w:szCs w:val="20"/>
        </w:rPr>
        <w:fldChar w:fldCharType="separate"/>
      </w:r>
      <w:r w:rsidR="007B61B6">
        <w:rPr>
          <w:rFonts w:ascii="Verdana" w:hAnsi="Verdana"/>
          <w:sz w:val="20"/>
          <w:szCs w:val="20"/>
        </w:rPr>
        <w:t>23</w:t>
      </w:r>
      <w:r w:rsidR="004536BE">
        <w:rPr>
          <w:rFonts w:ascii="Verdana" w:hAnsi="Verdana"/>
          <w:sz w:val="20"/>
          <w:szCs w:val="20"/>
        </w:rPr>
        <w:fldChar w:fldCharType="end"/>
      </w:r>
      <w:r w:rsidR="001B2F7C">
        <w:rPr>
          <w:rFonts w:ascii="Verdana" w:hAnsi="Verdana"/>
          <w:sz w:val="20"/>
          <w:szCs w:val="20"/>
        </w:rPr>
        <w:t>,</w:t>
      </w:r>
      <w:r w:rsidRPr="00CB4A68">
        <w:rPr>
          <w:rFonts w:ascii="Verdana" w:hAnsi="Verdana"/>
          <w:sz w:val="20"/>
          <w:szCs w:val="20"/>
        </w:rPr>
        <w:t xml:space="preserve"> así como con </w:t>
      </w:r>
      <w:r w:rsidR="00E805F6">
        <w:rPr>
          <w:rFonts w:ascii="Verdana" w:hAnsi="Verdana"/>
          <w:sz w:val="20"/>
          <w:szCs w:val="20"/>
        </w:rPr>
        <w:t>los</w:t>
      </w:r>
      <w:r w:rsidR="00E805F6" w:rsidRPr="00CB4A68">
        <w:rPr>
          <w:rFonts w:ascii="Verdana" w:hAnsi="Verdana"/>
          <w:sz w:val="20"/>
          <w:szCs w:val="20"/>
        </w:rPr>
        <w:t xml:space="preserve"> </w:t>
      </w:r>
      <w:r w:rsidRPr="00CB4A68">
        <w:rPr>
          <w:rFonts w:ascii="Verdana" w:hAnsi="Verdana"/>
          <w:sz w:val="20"/>
          <w:szCs w:val="20"/>
        </w:rPr>
        <w:t>punto</w:t>
      </w:r>
      <w:r w:rsidR="00E805F6">
        <w:rPr>
          <w:rFonts w:ascii="Verdana" w:hAnsi="Verdana"/>
          <w:sz w:val="20"/>
          <w:szCs w:val="20"/>
        </w:rPr>
        <w:t>s</w:t>
      </w:r>
      <w:r w:rsidRPr="00CB4A68">
        <w:rPr>
          <w:rFonts w:ascii="Verdana" w:hAnsi="Verdana"/>
          <w:sz w:val="20"/>
          <w:szCs w:val="20"/>
        </w:rPr>
        <w:t xml:space="preserve"> resolutivo</w:t>
      </w:r>
      <w:r w:rsidR="00E805F6">
        <w:rPr>
          <w:rFonts w:ascii="Verdana" w:hAnsi="Verdana"/>
          <w:sz w:val="20"/>
          <w:szCs w:val="20"/>
        </w:rPr>
        <w:t>s 2 y</w:t>
      </w:r>
      <w:r w:rsidRPr="00CB4A68">
        <w:rPr>
          <w:rFonts w:ascii="Verdana" w:hAnsi="Verdana"/>
          <w:sz w:val="20"/>
          <w:szCs w:val="20"/>
        </w:rPr>
        <w:t xml:space="preserve"> </w:t>
      </w:r>
      <w:r w:rsidR="004536BE">
        <w:rPr>
          <w:rFonts w:ascii="Verdana" w:hAnsi="Verdana"/>
          <w:sz w:val="20"/>
          <w:szCs w:val="20"/>
        </w:rPr>
        <w:fldChar w:fldCharType="begin"/>
      </w:r>
      <w:r w:rsidR="004536BE">
        <w:rPr>
          <w:rFonts w:ascii="Verdana" w:hAnsi="Verdana"/>
          <w:sz w:val="20"/>
          <w:szCs w:val="20"/>
        </w:rPr>
        <w:instrText xml:space="preserve"> REF _Ref21697235 \r \h </w:instrText>
      </w:r>
      <w:r w:rsidR="004536BE">
        <w:rPr>
          <w:rFonts w:ascii="Verdana" w:hAnsi="Verdana"/>
          <w:sz w:val="20"/>
          <w:szCs w:val="20"/>
        </w:rPr>
      </w:r>
      <w:r w:rsidR="004536BE">
        <w:rPr>
          <w:rFonts w:ascii="Verdana" w:hAnsi="Verdana"/>
          <w:sz w:val="20"/>
          <w:szCs w:val="20"/>
        </w:rPr>
        <w:fldChar w:fldCharType="separate"/>
      </w:r>
      <w:r w:rsidR="007B61B6">
        <w:rPr>
          <w:rFonts w:ascii="Verdana" w:hAnsi="Verdana"/>
          <w:sz w:val="20"/>
          <w:szCs w:val="20"/>
        </w:rPr>
        <w:t>3</w:t>
      </w:r>
      <w:r w:rsidR="004536BE">
        <w:rPr>
          <w:rFonts w:ascii="Verdana" w:hAnsi="Verdana"/>
          <w:sz w:val="20"/>
          <w:szCs w:val="20"/>
        </w:rPr>
        <w:fldChar w:fldCharType="end"/>
      </w:r>
      <w:r w:rsidRPr="00CB4A68">
        <w:rPr>
          <w:rFonts w:ascii="Verdana" w:hAnsi="Verdana"/>
          <w:sz w:val="20"/>
          <w:szCs w:val="20"/>
        </w:rPr>
        <w:t xml:space="preserve"> de esta Resolución. </w:t>
      </w:r>
    </w:p>
    <w:p w14:paraId="5A856093" w14:textId="77777777" w:rsidR="004536BE" w:rsidRPr="00CB4A68" w:rsidRDefault="004536BE"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sz w:val="20"/>
          <w:szCs w:val="20"/>
        </w:rPr>
      </w:pPr>
    </w:p>
    <w:p w14:paraId="49D6C9EF" w14:textId="77777777" w:rsidR="00CB4A68" w:rsidRPr="004536BE" w:rsidRDefault="00CB4A68" w:rsidP="009B05C8">
      <w:pPr>
        <w:pStyle w:val="Prrafodelista"/>
        <w:numPr>
          <w:ilvl w:val="0"/>
          <w:numId w:val="17"/>
        </w:numPr>
        <w:tabs>
          <w:tab w:val="left" w:pos="0"/>
        </w:tabs>
        <w:autoSpaceDE w:val="0"/>
        <w:autoSpaceDN w:val="0"/>
        <w:adjustRightInd w:val="0"/>
        <w:spacing w:after="0" w:line="240" w:lineRule="auto"/>
        <w:ind w:left="0" w:right="99" w:firstLine="0"/>
        <w:contextualSpacing w:val="0"/>
        <w:jc w:val="both"/>
        <w:rPr>
          <w:rFonts w:ascii="Verdana" w:hAnsi="Verdana" w:cs="Verdana"/>
          <w:sz w:val="20"/>
          <w:szCs w:val="20"/>
        </w:rPr>
      </w:pPr>
      <w:r w:rsidRPr="00CB4A68">
        <w:rPr>
          <w:rFonts w:ascii="Verdana" w:hAnsi="Verdana"/>
          <w:sz w:val="20"/>
          <w:szCs w:val="20"/>
        </w:rPr>
        <w:t>Disponer que las representantes de la víctima Leonardo Fornerón y la Comisión Interamericana de Derechos Humanos presenten observaciones al informe del Estado mencionado en el punto resolutivo anterior, en los plazos de cuatro y seis semanas, respectivamente, contados a partir de la recepción del informe.</w:t>
      </w:r>
    </w:p>
    <w:p w14:paraId="500DAA31" w14:textId="77777777" w:rsidR="004536BE" w:rsidRPr="00CB4A68" w:rsidRDefault="004536BE" w:rsidP="009B05C8">
      <w:pPr>
        <w:pStyle w:val="Prrafodelista"/>
        <w:tabs>
          <w:tab w:val="left" w:pos="0"/>
        </w:tabs>
        <w:autoSpaceDE w:val="0"/>
        <w:autoSpaceDN w:val="0"/>
        <w:adjustRightInd w:val="0"/>
        <w:spacing w:after="0" w:line="240" w:lineRule="auto"/>
        <w:ind w:left="0" w:right="99"/>
        <w:contextualSpacing w:val="0"/>
        <w:jc w:val="both"/>
        <w:rPr>
          <w:rFonts w:ascii="Verdana" w:hAnsi="Verdana" w:cs="Verdana"/>
          <w:sz w:val="20"/>
          <w:szCs w:val="20"/>
        </w:rPr>
      </w:pPr>
    </w:p>
    <w:p w14:paraId="374707DF" w14:textId="77777777" w:rsidR="00E575AE" w:rsidRDefault="00CB4A68" w:rsidP="009B05C8">
      <w:pPr>
        <w:pStyle w:val="Prrafodelista"/>
        <w:numPr>
          <w:ilvl w:val="0"/>
          <w:numId w:val="17"/>
        </w:numPr>
        <w:tabs>
          <w:tab w:val="left" w:pos="0"/>
        </w:tabs>
        <w:autoSpaceDE w:val="0"/>
        <w:autoSpaceDN w:val="0"/>
        <w:adjustRightInd w:val="0"/>
        <w:spacing w:after="0" w:line="240" w:lineRule="auto"/>
        <w:ind w:left="0" w:right="99" w:firstLine="0"/>
        <w:contextualSpacing w:val="0"/>
        <w:jc w:val="both"/>
        <w:rPr>
          <w:rFonts w:ascii="Verdana" w:hAnsi="Verdana"/>
          <w:sz w:val="20"/>
          <w:szCs w:val="20"/>
        </w:rPr>
      </w:pPr>
      <w:r w:rsidRPr="00CB4A68">
        <w:rPr>
          <w:rFonts w:ascii="Verdana" w:hAnsi="Verdana"/>
          <w:sz w:val="20"/>
          <w:szCs w:val="20"/>
        </w:rPr>
        <w:t>Disponer que la Secretaría de la Corte notifique la presente Resolución al Estado, a las representantes de la víctima Leonardo Fornerón y a la Comisión Interamericana de Derechos Humanos.</w:t>
      </w:r>
    </w:p>
    <w:p w14:paraId="3B05C955" w14:textId="77777777" w:rsidR="00E575AE" w:rsidRDefault="00E575AE">
      <w:pPr>
        <w:spacing w:after="160" w:line="259" w:lineRule="auto"/>
        <w:rPr>
          <w:rFonts w:ascii="Verdana" w:hAnsi="Verdana"/>
          <w:sz w:val="20"/>
          <w:szCs w:val="20"/>
        </w:rPr>
      </w:pPr>
      <w:r>
        <w:rPr>
          <w:rFonts w:ascii="Verdana" w:hAnsi="Verdana"/>
          <w:sz w:val="20"/>
          <w:szCs w:val="20"/>
        </w:rPr>
        <w:br w:type="page"/>
      </w:r>
    </w:p>
    <w:p w14:paraId="68099B1E" w14:textId="77777777" w:rsidR="00CB4A68" w:rsidRDefault="00CB4A68" w:rsidP="0088481F">
      <w:pPr>
        <w:pStyle w:val="Prrafodelista"/>
        <w:tabs>
          <w:tab w:val="left" w:pos="0"/>
        </w:tabs>
        <w:autoSpaceDE w:val="0"/>
        <w:autoSpaceDN w:val="0"/>
        <w:adjustRightInd w:val="0"/>
        <w:spacing w:after="0" w:line="240" w:lineRule="auto"/>
        <w:ind w:left="0" w:right="99"/>
        <w:contextualSpacing w:val="0"/>
        <w:jc w:val="both"/>
        <w:rPr>
          <w:rFonts w:ascii="Verdana" w:hAnsi="Verdana" w:cs="Verdana"/>
          <w:sz w:val="20"/>
          <w:szCs w:val="20"/>
        </w:rPr>
      </w:pPr>
    </w:p>
    <w:p w14:paraId="5390B48D" w14:textId="77777777" w:rsidR="0088481F" w:rsidRPr="00847B73" w:rsidRDefault="0088481F" w:rsidP="0088481F">
      <w:pPr>
        <w:keepNext/>
        <w:spacing w:after="0" w:line="240" w:lineRule="auto"/>
        <w:jc w:val="both"/>
        <w:outlineLvl w:val="0"/>
        <w:rPr>
          <w:rFonts w:ascii="Verdana" w:hAnsi="Verdana" w:cs="Verdana"/>
          <w:b/>
          <w:bCs/>
          <w:sz w:val="20"/>
          <w:lang w:val="es-ES"/>
        </w:rPr>
      </w:pPr>
      <w:r w:rsidRPr="00847B73">
        <w:rPr>
          <w:rFonts w:ascii="Verdana" w:hAnsi="Verdana" w:cs="Courier New"/>
          <w:noProof/>
          <w:sz w:val="20"/>
          <w:lang w:val="es-AR"/>
        </w:rPr>
        <w:t xml:space="preserve">Corte IDH. </w:t>
      </w:r>
      <w:r w:rsidRPr="00847B73">
        <w:rPr>
          <w:rFonts w:ascii="Verdana" w:hAnsi="Verdana"/>
          <w:bCs/>
          <w:i/>
          <w:sz w:val="20"/>
        </w:rPr>
        <w:t xml:space="preserve">Caso </w:t>
      </w:r>
      <w:proofErr w:type="spellStart"/>
      <w:r>
        <w:rPr>
          <w:rFonts w:ascii="Verdana" w:hAnsi="Verdana"/>
          <w:bCs/>
          <w:i/>
          <w:sz w:val="20"/>
        </w:rPr>
        <w:t>Fornerón</w:t>
      </w:r>
      <w:proofErr w:type="spellEnd"/>
      <w:r>
        <w:rPr>
          <w:rFonts w:ascii="Verdana" w:hAnsi="Verdana"/>
          <w:bCs/>
          <w:i/>
          <w:sz w:val="20"/>
        </w:rPr>
        <w:t xml:space="preserve"> e Hija Vs. Argentina.</w:t>
      </w:r>
      <w:r w:rsidRPr="00847B73">
        <w:rPr>
          <w:rFonts w:ascii="Verdana" w:hAnsi="Verdana"/>
          <w:bCs/>
          <w:i/>
          <w:sz w:val="20"/>
        </w:rPr>
        <w:t xml:space="preserve"> </w:t>
      </w:r>
      <w:r>
        <w:rPr>
          <w:rFonts w:ascii="Verdana" w:hAnsi="Verdana" w:cs="Arial"/>
          <w:sz w:val="20"/>
        </w:rPr>
        <w:t>Supervisión de Cumplimiento de Sentencia.</w:t>
      </w:r>
      <w:r>
        <w:rPr>
          <w:rFonts w:ascii="Verdana" w:hAnsi="Verdana" w:cs="Arial"/>
          <w:i/>
          <w:sz w:val="20"/>
        </w:rPr>
        <w:t xml:space="preserve"> </w:t>
      </w:r>
      <w:r w:rsidRPr="00847B73">
        <w:rPr>
          <w:rFonts w:ascii="Verdana" w:hAnsi="Verdana"/>
          <w:sz w:val="20"/>
          <w:lang w:val="es-ES"/>
        </w:rPr>
        <w:t xml:space="preserve">Resolución de la Corte Interamericana de Derechos Humanos de </w:t>
      </w:r>
      <w:r>
        <w:rPr>
          <w:rFonts w:ascii="Verdana" w:hAnsi="Verdana"/>
          <w:sz w:val="20"/>
          <w:lang w:val="es-ES"/>
        </w:rPr>
        <w:t>7</w:t>
      </w:r>
      <w:r w:rsidRPr="00847B73">
        <w:rPr>
          <w:rFonts w:ascii="Verdana" w:hAnsi="Verdana"/>
          <w:sz w:val="20"/>
        </w:rPr>
        <w:t xml:space="preserve"> de </w:t>
      </w:r>
      <w:r>
        <w:rPr>
          <w:rFonts w:ascii="Verdana" w:hAnsi="Verdana"/>
          <w:sz w:val="20"/>
        </w:rPr>
        <w:t xml:space="preserve">octubre </w:t>
      </w:r>
      <w:r w:rsidRPr="00847B73">
        <w:rPr>
          <w:rFonts w:ascii="Verdana" w:hAnsi="Verdana"/>
          <w:sz w:val="20"/>
        </w:rPr>
        <w:t>de 2019</w:t>
      </w:r>
      <w:r w:rsidRPr="00847B73">
        <w:rPr>
          <w:rFonts w:ascii="Verdana" w:hAnsi="Verdana"/>
          <w:sz w:val="20"/>
          <w:lang w:val="es-ES"/>
        </w:rPr>
        <w:t xml:space="preserve">. </w:t>
      </w:r>
    </w:p>
    <w:p w14:paraId="716B5937" w14:textId="77777777" w:rsidR="0088481F" w:rsidRPr="0098238C" w:rsidRDefault="0088481F" w:rsidP="0088481F">
      <w:pPr>
        <w:spacing w:after="0" w:line="240" w:lineRule="auto"/>
        <w:jc w:val="center"/>
        <w:rPr>
          <w:rFonts w:ascii="Verdana" w:hAnsi="Verdana"/>
          <w:b/>
          <w:sz w:val="20"/>
          <w:lang w:val="es-ES"/>
        </w:rPr>
      </w:pPr>
    </w:p>
    <w:p w14:paraId="3E4A8492" w14:textId="77777777" w:rsidR="0088481F" w:rsidRDefault="0088481F" w:rsidP="0088481F">
      <w:pPr>
        <w:spacing w:after="0" w:line="240" w:lineRule="auto"/>
        <w:jc w:val="center"/>
        <w:rPr>
          <w:rFonts w:ascii="Verdana" w:hAnsi="Verdana"/>
          <w:sz w:val="20"/>
          <w:lang w:val="es-ES"/>
        </w:rPr>
      </w:pPr>
    </w:p>
    <w:p w14:paraId="4BCCBCF7" w14:textId="77777777" w:rsidR="0088481F" w:rsidRPr="00D31312" w:rsidRDefault="0088481F" w:rsidP="0088481F">
      <w:pPr>
        <w:spacing w:after="0" w:line="240" w:lineRule="auto"/>
        <w:jc w:val="center"/>
        <w:rPr>
          <w:rFonts w:ascii="Verdana" w:hAnsi="Verdana"/>
          <w:sz w:val="20"/>
          <w:lang w:val="es-CO"/>
        </w:rPr>
      </w:pPr>
    </w:p>
    <w:p w14:paraId="087A271A" w14:textId="77777777" w:rsidR="0088481F" w:rsidRPr="00847B73" w:rsidRDefault="0088481F" w:rsidP="0088481F">
      <w:pPr>
        <w:spacing w:after="0" w:line="240" w:lineRule="auto"/>
        <w:jc w:val="center"/>
        <w:rPr>
          <w:rFonts w:ascii="Verdana" w:hAnsi="Verdana"/>
          <w:sz w:val="20"/>
          <w:lang w:val="es-ES"/>
        </w:rPr>
      </w:pPr>
    </w:p>
    <w:p w14:paraId="513ABBFA" w14:textId="77777777" w:rsidR="0088481F" w:rsidRPr="00847B73" w:rsidRDefault="0088481F" w:rsidP="0088481F">
      <w:pPr>
        <w:spacing w:after="0" w:line="240" w:lineRule="auto"/>
        <w:rPr>
          <w:rFonts w:ascii="Verdana" w:hAnsi="Verdana"/>
          <w:sz w:val="20"/>
          <w:lang w:val="es-ES"/>
        </w:rPr>
      </w:pPr>
    </w:p>
    <w:p w14:paraId="554A541D" w14:textId="77777777" w:rsidR="0088481F" w:rsidRPr="00847B73" w:rsidRDefault="0088481F" w:rsidP="0088481F">
      <w:pPr>
        <w:spacing w:after="0" w:line="240" w:lineRule="auto"/>
        <w:jc w:val="center"/>
        <w:rPr>
          <w:rFonts w:ascii="Verdana" w:hAnsi="Verdana"/>
          <w:sz w:val="20"/>
          <w:lang w:val="pt-BR"/>
        </w:rPr>
      </w:pPr>
      <w:r w:rsidRPr="00847B73">
        <w:rPr>
          <w:rFonts w:ascii="Verdana" w:hAnsi="Verdana"/>
          <w:sz w:val="20"/>
          <w:lang w:val="pt-BR"/>
        </w:rPr>
        <w:t xml:space="preserve">Eduardo Ferrer Mac-Gregor Poisot </w:t>
      </w:r>
    </w:p>
    <w:p w14:paraId="1F89C4C3" w14:textId="77777777" w:rsidR="0088481F" w:rsidRPr="00847B73" w:rsidRDefault="0088481F" w:rsidP="0088481F">
      <w:pPr>
        <w:spacing w:after="0" w:line="240" w:lineRule="auto"/>
        <w:jc w:val="center"/>
        <w:rPr>
          <w:rFonts w:ascii="Verdana" w:hAnsi="Verdana"/>
          <w:sz w:val="20"/>
          <w:lang w:val="pt-BR"/>
        </w:rPr>
      </w:pPr>
      <w:r w:rsidRPr="00847B73">
        <w:rPr>
          <w:rFonts w:ascii="Verdana" w:hAnsi="Verdana"/>
          <w:sz w:val="20"/>
          <w:lang w:val="pt-BR"/>
        </w:rPr>
        <w:t>Presidente</w:t>
      </w:r>
    </w:p>
    <w:p w14:paraId="034E39B8" w14:textId="77777777" w:rsidR="0088481F" w:rsidRPr="00847B73" w:rsidRDefault="0088481F" w:rsidP="0088481F">
      <w:pPr>
        <w:spacing w:after="0" w:line="240" w:lineRule="auto"/>
        <w:jc w:val="both"/>
        <w:rPr>
          <w:rFonts w:ascii="Verdana" w:hAnsi="Verdana"/>
          <w:sz w:val="20"/>
          <w:lang w:val="pt-BR"/>
        </w:rPr>
      </w:pPr>
    </w:p>
    <w:p w14:paraId="6B090941" w14:textId="77777777" w:rsidR="0088481F" w:rsidRPr="00847B73" w:rsidRDefault="0088481F" w:rsidP="0088481F">
      <w:pPr>
        <w:spacing w:after="0" w:line="240" w:lineRule="auto"/>
        <w:jc w:val="both"/>
        <w:rPr>
          <w:rFonts w:ascii="Verdana" w:hAnsi="Verdana"/>
          <w:sz w:val="20"/>
          <w:lang w:val="pt-BR"/>
        </w:rPr>
      </w:pPr>
    </w:p>
    <w:p w14:paraId="54B4F268" w14:textId="77777777" w:rsidR="0088481F" w:rsidRPr="00847B73" w:rsidRDefault="0088481F" w:rsidP="0088481F">
      <w:pPr>
        <w:spacing w:after="0" w:line="240" w:lineRule="auto"/>
        <w:jc w:val="both"/>
        <w:rPr>
          <w:rFonts w:ascii="Verdana" w:hAnsi="Verdana"/>
          <w:sz w:val="20"/>
          <w:lang w:val="pt-BR"/>
        </w:rPr>
      </w:pPr>
    </w:p>
    <w:p w14:paraId="3CC47100" w14:textId="77777777" w:rsidR="0088481F" w:rsidRDefault="0088481F" w:rsidP="0088481F">
      <w:pPr>
        <w:spacing w:after="0" w:line="240" w:lineRule="auto"/>
        <w:jc w:val="both"/>
        <w:rPr>
          <w:rFonts w:ascii="Verdana" w:hAnsi="Verdana"/>
          <w:sz w:val="20"/>
          <w:lang w:val="pt-BR"/>
        </w:rPr>
      </w:pPr>
    </w:p>
    <w:p w14:paraId="572FD215" w14:textId="77777777" w:rsidR="0088481F" w:rsidRPr="00847B73" w:rsidRDefault="0088481F" w:rsidP="0088481F">
      <w:pPr>
        <w:spacing w:after="0" w:line="240" w:lineRule="auto"/>
        <w:jc w:val="both"/>
        <w:rPr>
          <w:rFonts w:ascii="Verdana" w:hAnsi="Verdana"/>
          <w:sz w:val="20"/>
          <w:lang w:val="pt-BR"/>
        </w:rPr>
      </w:pPr>
    </w:p>
    <w:p w14:paraId="609B5B99" w14:textId="77777777" w:rsidR="0088481F" w:rsidRDefault="0088481F" w:rsidP="0088481F">
      <w:pPr>
        <w:spacing w:after="0" w:line="240" w:lineRule="auto"/>
        <w:rPr>
          <w:rFonts w:ascii="Verdana" w:hAnsi="Verdana"/>
          <w:sz w:val="20"/>
          <w:lang w:val="pt-BR"/>
        </w:rPr>
      </w:pPr>
      <w:r w:rsidRPr="00847B73">
        <w:rPr>
          <w:rFonts w:ascii="Verdana" w:hAnsi="Verdana"/>
          <w:sz w:val="20"/>
          <w:lang w:val="pt-BR"/>
        </w:rPr>
        <w:t>Eduardo Vio Grossi</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H</w:t>
      </w:r>
      <w:r>
        <w:rPr>
          <w:rFonts w:ascii="Verdana" w:hAnsi="Verdana"/>
          <w:sz w:val="20"/>
          <w:lang w:val="pt-BR"/>
        </w:rPr>
        <w:t>umberto Antonio Sierra Porto</w:t>
      </w:r>
    </w:p>
    <w:p w14:paraId="4315F2F8" w14:textId="77777777" w:rsidR="0088481F" w:rsidRDefault="0088481F" w:rsidP="0088481F">
      <w:pPr>
        <w:spacing w:after="0" w:line="240" w:lineRule="auto"/>
        <w:rPr>
          <w:rFonts w:ascii="Verdana" w:hAnsi="Verdana"/>
          <w:sz w:val="20"/>
          <w:lang w:val="pt-BR"/>
        </w:rPr>
      </w:pPr>
    </w:p>
    <w:p w14:paraId="3C16EDA2" w14:textId="77777777" w:rsidR="0088481F" w:rsidRDefault="0088481F" w:rsidP="0088481F">
      <w:pPr>
        <w:spacing w:after="0" w:line="240" w:lineRule="auto"/>
        <w:rPr>
          <w:rFonts w:ascii="Verdana" w:hAnsi="Verdana"/>
          <w:sz w:val="20"/>
          <w:lang w:val="pt-BR"/>
        </w:rPr>
      </w:pPr>
    </w:p>
    <w:p w14:paraId="56A73C03" w14:textId="77777777" w:rsidR="0088481F" w:rsidRDefault="0088481F" w:rsidP="0088481F">
      <w:pPr>
        <w:spacing w:after="0" w:line="240" w:lineRule="auto"/>
        <w:rPr>
          <w:rFonts w:ascii="Verdana" w:hAnsi="Verdana"/>
          <w:sz w:val="20"/>
          <w:lang w:val="pt-BR"/>
        </w:rPr>
      </w:pPr>
    </w:p>
    <w:p w14:paraId="68B628F6" w14:textId="77777777" w:rsidR="0088481F" w:rsidRPr="00847B73" w:rsidRDefault="0088481F" w:rsidP="0088481F">
      <w:pPr>
        <w:spacing w:after="0" w:line="240" w:lineRule="auto"/>
        <w:rPr>
          <w:rFonts w:ascii="Verdana" w:hAnsi="Verdana"/>
          <w:sz w:val="20"/>
          <w:lang w:val="pt-BR"/>
        </w:rPr>
      </w:pPr>
    </w:p>
    <w:p w14:paraId="2F4E5875" w14:textId="77777777" w:rsidR="0088481F" w:rsidRPr="00847B73" w:rsidRDefault="0088481F" w:rsidP="0088481F">
      <w:pPr>
        <w:spacing w:after="0" w:line="240" w:lineRule="auto"/>
        <w:jc w:val="both"/>
        <w:rPr>
          <w:rFonts w:ascii="Verdana" w:hAnsi="Verdana"/>
          <w:sz w:val="20"/>
          <w:lang w:val="pt-BR"/>
        </w:rPr>
      </w:pPr>
    </w:p>
    <w:p w14:paraId="6BA45A57" w14:textId="77777777" w:rsidR="0088481F" w:rsidRPr="00847B73" w:rsidRDefault="0088481F" w:rsidP="0088481F">
      <w:pPr>
        <w:spacing w:after="0" w:line="240" w:lineRule="auto"/>
        <w:rPr>
          <w:rFonts w:ascii="Verdana" w:hAnsi="Verdana"/>
          <w:sz w:val="20"/>
          <w:lang w:val="pt-BR"/>
        </w:rPr>
      </w:pPr>
      <w:r>
        <w:rPr>
          <w:rFonts w:ascii="Verdana" w:hAnsi="Verdana"/>
          <w:sz w:val="20"/>
          <w:lang w:val="pt-BR"/>
        </w:rPr>
        <w:t xml:space="preserve">Elizabeth Odio Benito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sidRPr="00847B73">
        <w:rPr>
          <w:rFonts w:ascii="Verdana" w:hAnsi="Verdana"/>
          <w:sz w:val="20"/>
          <w:lang w:val="pt-BR"/>
        </w:rPr>
        <w:t xml:space="preserve">L. Patricio Pazmiño Freire </w:t>
      </w:r>
    </w:p>
    <w:p w14:paraId="1B2AB3A5" w14:textId="77777777" w:rsidR="0088481F" w:rsidRPr="00847B73" w:rsidRDefault="0088481F" w:rsidP="0088481F">
      <w:pPr>
        <w:spacing w:after="0" w:line="240" w:lineRule="auto"/>
        <w:rPr>
          <w:rFonts w:ascii="Verdana" w:hAnsi="Verdana"/>
          <w:sz w:val="20"/>
          <w:lang w:val="pt-BR"/>
        </w:rPr>
      </w:pPr>
    </w:p>
    <w:p w14:paraId="503A741E" w14:textId="77777777" w:rsidR="0088481F" w:rsidRDefault="0088481F" w:rsidP="0088481F">
      <w:pPr>
        <w:spacing w:after="0" w:line="240" w:lineRule="auto"/>
        <w:rPr>
          <w:rFonts w:ascii="Verdana" w:hAnsi="Verdana"/>
          <w:sz w:val="20"/>
          <w:lang w:val="pt-BR"/>
        </w:rPr>
      </w:pPr>
    </w:p>
    <w:p w14:paraId="6D857F0F" w14:textId="77777777" w:rsidR="0088481F" w:rsidRPr="00847B73" w:rsidRDefault="0088481F" w:rsidP="0088481F">
      <w:pPr>
        <w:spacing w:after="0" w:line="240" w:lineRule="auto"/>
        <w:rPr>
          <w:rFonts w:ascii="Verdana" w:hAnsi="Verdana"/>
          <w:sz w:val="20"/>
          <w:lang w:val="pt-BR"/>
        </w:rPr>
      </w:pPr>
    </w:p>
    <w:p w14:paraId="35684C53" w14:textId="77777777" w:rsidR="0088481F" w:rsidRPr="00847B73" w:rsidRDefault="0088481F" w:rsidP="0088481F">
      <w:pPr>
        <w:spacing w:after="0" w:line="240" w:lineRule="auto"/>
        <w:rPr>
          <w:rFonts w:ascii="Verdana" w:hAnsi="Verdana"/>
          <w:sz w:val="20"/>
          <w:lang w:val="pt-BR"/>
        </w:rPr>
      </w:pPr>
    </w:p>
    <w:p w14:paraId="7D44D8F3" w14:textId="77777777" w:rsidR="0088481F" w:rsidRPr="00847B73" w:rsidRDefault="0088481F" w:rsidP="0088481F">
      <w:pPr>
        <w:spacing w:after="0" w:line="240" w:lineRule="auto"/>
        <w:rPr>
          <w:rFonts w:ascii="Verdana" w:hAnsi="Verdana"/>
          <w:sz w:val="20"/>
          <w:lang w:val="pt-BR"/>
        </w:rPr>
      </w:pPr>
    </w:p>
    <w:p w14:paraId="5543E972" w14:textId="77777777" w:rsidR="0088481F" w:rsidRPr="00847B73" w:rsidRDefault="0088481F" w:rsidP="0088481F">
      <w:pPr>
        <w:spacing w:after="0" w:line="240" w:lineRule="auto"/>
        <w:jc w:val="center"/>
        <w:rPr>
          <w:rFonts w:ascii="Verdana" w:hAnsi="Verdana"/>
          <w:sz w:val="20"/>
        </w:rPr>
      </w:pPr>
      <w:r w:rsidRPr="00847B73">
        <w:rPr>
          <w:rFonts w:ascii="Verdana" w:hAnsi="Verdana"/>
          <w:sz w:val="20"/>
        </w:rPr>
        <w:t>Ricardo C. Pérez Manrique</w:t>
      </w:r>
    </w:p>
    <w:p w14:paraId="295FAE54" w14:textId="77777777" w:rsidR="0088481F" w:rsidRPr="00847B73" w:rsidRDefault="0088481F" w:rsidP="0088481F">
      <w:pPr>
        <w:spacing w:after="0" w:line="240" w:lineRule="auto"/>
        <w:jc w:val="both"/>
        <w:rPr>
          <w:rFonts w:ascii="Verdana" w:hAnsi="Verdana"/>
          <w:sz w:val="20"/>
        </w:rPr>
      </w:pPr>
    </w:p>
    <w:p w14:paraId="56AFA647" w14:textId="77777777" w:rsidR="0088481F" w:rsidRDefault="0088481F" w:rsidP="0088481F">
      <w:pPr>
        <w:spacing w:after="0" w:line="240" w:lineRule="auto"/>
        <w:jc w:val="both"/>
        <w:rPr>
          <w:rFonts w:ascii="Verdana" w:hAnsi="Verdana"/>
          <w:sz w:val="20"/>
          <w:lang w:val="pt-BR"/>
        </w:rPr>
      </w:pPr>
    </w:p>
    <w:p w14:paraId="2B8AE2DD" w14:textId="77777777" w:rsidR="0088481F" w:rsidRPr="00847B73" w:rsidRDefault="0088481F" w:rsidP="0088481F">
      <w:pPr>
        <w:spacing w:after="0" w:line="240" w:lineRule="auto"/>
        <w:jc w:val="both"/>
        <w:rPr>
          <w:rFonts w:ascii="Verdana" w:hAnsi="Verdana"/>
          <w:sz w:val="20"/>
          <w:lang w:val="pt-BR"/>
        </w:rPr>
      </w:pPr>
    </w:p>
    <w:p w14:paraId="0A2DEF70" w14:textId="77777777" w:rsidR="0088481F" w:rsidRPr="00847B73" w:rsidRDefault="0088481F" w:rsidP="0088481F">
      <w:pPr>
        <w:spacing w:after="0" w:line="240" w:lineRule="auto"/>
        <w:jc w:val="both"/>
        <w:rPr>
          <w:rFonts w:ascii="Verdana" w:hAnsi="Verdana"/>
          <w:sz w:val="20"/>
          <w:lang w:val="pt-BR"/>
        </w:rPr>
      </w:pPr>
    </w:p>
    <w:p w14:paraId="1F47432D" w14:textId="77777777" w:rsidR="0088481F" w:rsidRPr="00847B73" w:rsidRDefault="0088481F" w:rsidP="0088481F">
      <w:pPr>
        <w:spacing w:after="0" w:line="240" w:lineRule="auto"/>
        <w:jc w:val="both"/>
        <w:rPr>
          <w:rFonts w:ascii="Verdana" w:hAnsi="Verdana"/>
          <w:sz w:val="20"/>
          <w:lang w:val="pt-BR"/>
        </w:rPr>
      </w:pPr>
    </w:p>
    <w:p w14:paraId="0BE8E4A0" w14:textId="77777777" w:rsidR="0088481F" w:rsidRPr="00847B73" w:rsidRDefault="0088481F" w:rsidP="0088481F">
      <w:pPr>
        <w:spacing w:after="0" w:line="240" w:lineRule="auto"/>
        <w:jc w:val="center"/>
        <w:rPr>
          <w:rFonts w:ascii="Verdana" w:hAnsi="Verdana"/>
          <w:sz w:val="20"/>
          <w:lang w:val="pt-BR"/>
        </w:rPr>
      </w:pPr>
      <w:r w:rsidRPr="00847B73">
        <w:rPr>
          <w:rFonts w:ascii="Verdana" w:hAnsi="Verdana"/>
          <w:sz w:val="20"/>
          <w:lang w:val="pt-BR"/>
        </w:rPr>
        <w:t>Pablo Saavedra Alessandri</w:t>
      </w:r>
    </w:p>
    <w:p w14:paraId="00978859" w14:textId="77777777" w:rsidR="0088481F" w:rsidRPr="00847B73" w:rsidRDefault="0088481F" w:rsidP="0088481F">
      <w:pPr>
        <w:spacing w:after="0" w:line="240" w:lineRule="auto"/>
        <w:jc w:val="center"/>
        <w:rPr>
          <w:rFonts w:ascii="Verdana" w:hAnsi="Verdana"/>
          <w:sz w:val="20"/>
          <w:lang w:val="pt-BR"/>
        </w:rPr>
      </w:pPr>
      <w:r w:rsidRPr="00847B73">
        <w:rPr>
          <w:rFonts w:ascii="Verdana" w:hAnsi="Verdana"/>
          <w:sz w:val="20"/>
          <w:lang w:val="pt-BR"/>
        </w:rPr>
        <w:t>Secretario</w:t>
      </w:r>
    </w:p>
    <w:p w14:paraId="505676FA" w14:textId="77777777" w:rsidR="0088481F" w:rsidRPr="00847B73" w:rsidRDefault="0088481F" w:rsidP="0088481F">
      <w:pPr>
        <w:spacing w:after="0" w:line="240" w:lineRule="auto"/>
        <w:rPr>
          <w:rFonts w:ascii="Verdana" w:hAnsi="Verdana"/>
          <w:sz w:val="20"/>
          <w:lang w:val="pt-BR"/>
        </w:rPr>
      </w:pPr>
    </w:p>
    <w:p w14:paraId="201F3AF3" w14:textId="77777777" w:rsidR="0088481F" w:rsidRDefault="0088481F" w:rsidP="0088481F">
      <w:pPr>
        <w:pStyle w:val="Textonotapie"/>
        <w:rPr>
          <w:rFonts w:ascii="Verdana" w:hAnsi="Verdana"/>
          <w:lang w:val="pt-BR"/>
        </w:rPr>
      </w:pPr>
    </w:p>
    <w:p w14:paraId="69255152" w14:textId="77777777" w:rsidR="0088481F" w:rsidRPr="00847B73" w:rsidRDefault="0088481F" w:rsidP="0088481F">
      <w:pPr>
        <w:pStyle w:val="Textonotapie"/>
        <w:rPr>
          <w:rFonts w:ascii="Verdana" w:hAnsi="Verdana"/>
          <w:lang w:val="pt-BR"/>
        </w:rPr>
      </w:pPr>
    </w:p>
    <w:p w14:paraId="57AD96D9" w14:textId="77777777" w:rsidR="0088481F" w:rsidRPr="00847B73" w:rsidRDefault="0088481F" w:rsidP="0088481F">
      <w:pPr>
        <w:spacing w:after="0" w:line="240" w:lineRule="auto"/>
        <w:jc w:val="both"/>
        <w:rPr>
          <w:rFonts w:ascii="Verdana" w:hAnsi="Verdana"/>
          <w:sz w:val="20"/>
          <w:lang w:val="pt-BR"/>
        </w:rPr>
      </w:pPr>
      <w:r w:rsidRPr="00847B73">
        <w:rPr>
          <w:rFonts w:ascii="Verdana" w:hAnsi="Verdana"/>
          <w:sz w:val="20"/>
          <w:lang w:val="pt-BR"/>
        </w:rPr>
        <w:t>Comuníquese y ejecútese,</w:t>
      </w:r>
    </w:p>
    <w:p w14:paraId="3980D76D" w14:textId="77777777" w:rsidR="0088481F" w:rsidRPr="00847B73" w:rsidRDefault="0088481F" w:rsidP="0088481F">
      <w:pPr>
        <w:spacing w:after="0" w:line="240" w:lineRule="auto"/>
        <w:jc w:val="both"/>
        <w:rPr>
          <w:rFonts w:ascii="Verdana" w:hAnsi="Verdana"/>
          <w:sz w:val="20"/>
          <w:lang w:val="pt-BR"/>
        </w:rPr>
      </w:pPr>
    </w:p>
    <w:p w14:paraId="1ED54D36" w14:textId="77777777" w:rsidR="0088481F" w:rsidRPr="00847B73" w:rsidRDefault="0088481F" w:rsidP="0088481F">
      <w:pPr>
        <w:spacing w:after="0" w:line="240" w:lineRule="auto"/>
        <w:jc w:val="both"/>
        <w:rPr>
          <w:rFonts w:ascii="Verdana" w:hAnsi="Verdana"/>
          <w:sz w:val="20"/>
          <w:lang w:val="pt-BR"/>
        </w:rPr>
      </w:pPr>
    </w:p>
    <w:p w14:paraId="77FFD792" w14:textId="77777777" w:rsidR="0088481F" w:rsidRPr="00847B73" w:rsidRDefault="0088481F" w:rsidP="0088481F">
      <w:pPr>
        <w:spacing w:after="0" w:line="240" w:lineRule="auto"/>
        <w:jc w:val="both"/>
        <w:rPr>
          <w:rFonts w:ascii="Verdana" w:hAnsi="Verdana"/>
          <w:sz w:val="20"/>
          <w:lang w:val="pt-BR"/>
        </w:rPr>
      </w:pPr>
    </w:p>
    <w:p w14:paraId="2CFDFCC4" w14:textId="77777777" w:rsidR="0088481F" w:rsidRDefault="0088481F" w:rsidP="0088481F">
      <w:pPr>
        <w:spacing w:after="0" w:line="240" w:lineRule="auto"/>
        <w:jc w:val="both"/>
        <w:rPr>
          <w:rFonts w:ascii="Verdana" w:hAnsi="Verdana"/>
          <w:sz w:val="20"/>
          <w:lang w:val="pt-BR"/>
        </w:rPr>
      </w:pPr>
    </w:p>
    <w:p w14:paraId="26D6C771" w14:textId="77777777" w:rsidR="0088481F" w:rsidRPr="00847B73" w:rsidRDefault="0088481F" w:rsidP="0088481F">
      <w:pPr>
        <w:spacing w:after="0" w:line="240" w:lineRule="auto"/>
        <w:jc w:val="both"/>
        <w:rPr>
          <w:rFonts w:ascii="Verdana" w:hAnsi="Verdana"/>
          <w:sz w:val="20"/>
          <w:lang w:val="pt-BR"/>
        </w:rPr>
      </w:pPr>
    </w:p>
    <w:p w14:paraId="18AE0488" w14:textId="77777777" w:rsidR="0088481F" w:rsidRPr="00847B73" w:rsidRDefault="0088481F" w:rsidP="0088481F">
      <w:pPr>
        <w:spacing w:after="0" w:line="240" w:lineRule="auto"/>
        <w:ind w:left="4956"/>
        <w:jc w:val="center"/>
        <w:rPr>
          <w:rFonts w:ascii="Verdana" w:hAnsi="Verdana"/>
          <w:sz w:val="20"/>
          <w:lang w:val="pt-BR"/>
        </w:rPr>
      </w:pPr>
      <w:r w:rsidRPr="00847B73">
        <w:rPr>
          <w:rFonts w:ascii="Verdana" w:hAnsi="Verdana"/>
          <w:sz w:val="20"/>
          <w:lang w:val="pt-BR"/>
        </w:rPr>
        <w:t xml:space="preserve">Eduardo Ferrer Mac-Gregor Poisot </w:t>
      </w:r>
    </w:p>
    <w:p w14:paraId="66F09E02" w14:textId="77777777" w:rsidR="0088481F" w:rsidRPr="00847B73" w:rsidRDefault="0088481F" w:rsidP="0088481F">
      <w:pPr>
        <w:spacing w:after="0" w:line="240" w:lineRule="auto"/>
        <w:ind w:left="4956"/>
        <w:jc w:val="center"/>
        <w:rPr>
          <w:rFonts w:ascii="Verdana" w:hAnsi="Verdana"/>
          <w:sz w:val="20"/>
          <w:lang w:val="pt-BR"/>
        </w:rPr>
      </w:pPr>
      <w:r w:rsidRPr="00847B73">
        <w:rPr>
          <w:rFonts w:ascii="Verdana" w:hAnsi="Verdana"/>
          <w:sz w:val="20"/>
          <w:lang w:val="pt-BR"/>
        </w:rPr>
        <w:t>Presidente</w:t>
      </w:r>
    </w:p>
    <w:p w14:paraId="37EAB34E" w14:textId="77777777" w:rsidR="0088481F" w:rsidRDefault="0088481F" w:rsidP="0088481F">
      <w:pPr>
        <w:spacing w:after="0" w:line="240" w:lineRule="auto"/>
        <w:jc w:val="both"/>
        <w:rPr>
          <w:rFonts w:ascii="Verdana" w:hAnsi="Verdana"/>
          <w:sz w:val="20"/>
          <w:lang w:val="pt-BR"/>
        </w:rPr>
      </w:pPr>
    </w:p>
    <w:p w14:paraId="41ED857D" w14:textId="77777777" w:rsidR="0088481F" w:rsidRPr="00847B73" w:rsidRDefault="0088481F" w:rsidP="0088481F">
      <w:pPr>
        <w:spacing w:after="0" w:line="240" w:lineRule="auto"/>
        <w:jc w:val="both"/>
        <w:rPr>
          <w:rFonts w:ascii="Verdana" w:hAnsi="Verdana"/>
          <w:sz w:val="20"/>
          <w:lang w:val="pt-BR"/>
        </w:rPr>
      </w:pPr>
    </w:p>
    <w:p w14:paraId="5026D132" w14:textId="77777777" w:rsidR="0088481F" w:rsidRPr="00847B73" w:rsidRDefault="0088481F" w:rsidP="0088481F">
      <w:pPr>
        <w:spacing w:after="0" w:line="240" w:lineRule="auto"/>
        <w:jc w:val="both"/>
        <w:rPr>
          <w:rFonts w:ascii="Verdana" w:hAnsi="Verdana"/>
          <w:sz w:val="20"/>
          <w:lang w:val="pt-BR"/>
        </w:rPr>
      </w:pPr>
    </w:p>
    <w:p w14:paraId="7C343B42" w14:textId="77777777" w:rsidR="0088481F" w:rsidRPr="00847B73" w:rsidRDefault="0088481F" w:rsidP="0088481F">
      <w:pPr>
        <w:spacing w:after="0" w:line="240" w:lineRule="auto"/>
        <w:jc w:val="both"/>
        <w:rPr>
          <w:rFonts w:ascii="Verdana" w:hAnsi="Verdana"/>
          <w:sz w:val="20"/>
          <w:lang w:val="pt-BR"/>
        </w:rPr>
      </w:pPr>
    </w:p>
    <w:p w14:paraId="7AD259D8" w14:textId="77777777" w:rsidR="0088481F" w:rsidRPr="00847B73" w:rsidRDefault="0088481F" w:rsidP="0088481F">
      <w:pPr>
        <w:spacing w:after="0" w:line="240" w:lineRule="auto"/>
        <w:jc w:val="both"/>
        <w:rPr>
          <w:rFonts w:ascii="Verdana" w:hAnsi="Verdana"/>
          <w:sz w:val="20"/>
          <w:lang w:val="es-ES"/>
        </w:rPr>
      </w:pPr>
      <w:r w:rsidRPr="00847B73">
        <w:rPr>
          <w:rFonts w:ascii="Verdana" w:hAnsi="Verdana"/>
          <w:sz w:val="20"/>
          <w:lang w:val="es-ES"/>
        </w:rPr>
        <w:t>Pablo Saavedra Alessandri</w:t>
      </w:r>
    </w:p>
    <w:p w14:paraId="72CDB1DF" w14:textId="77777777" w:rsidR="00E575AE" w:rsidRPr="0088481F" w:rsidRDefault="0088481F" w:rsidP="0088481F">
      <w:pPr>
        <w:spacing w:after="0" w:line="240" w:lineRule="auto"/>
        <w:rPr>
          <w:rFonts w:ascii="Verdana" w:hAnsi="Verdana"/>
          <w:sz w:val="20"/>
        </w:rPr>
      </w:pPr>
      <w:r w:rsidRPr="00847B73">
        <w:rPr>
          <w:rFonts w:ascii="Verdana" w:hAnsi="Verdana"/>
          <w:sz w:val="20"/>
          <w:lang w:val="es-ES"/>
        </w:rPr>
        <w:tab/>
      </w:r>
      <w:r w:rsidRPr="00847B73">
        <w:rPr>
          <w:rFonts w:ascii="Verdana" w:hAnsi="Verdana"/>
          <w:sz w:val="20"/>
        </w:rPr>
        <w:t>Secretario</w:t>
      </w:r>
    </w:p>
    <w:sectPr w:rsidR="00E575AE" w:rsidRPr="0088481F" w:rsidSect="00E575AE">
      <w:foot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7D0E" w14:textId="77777777" w:rsidR="002B6EA5" w:rsidRDefault="002B6EA5" w:rsidP="00CE43A6">
      <w:pPr>
        <w:spacing w:after="0" w:line="240" w:lineRule="auto"/>
      </w:pPr>
      <w:r>
        <w:separator/>
      </w:r>
    </w:p>
  </w:endnote>
  <w:endnote w:type="continuationSeparator" w:id="0">
    <w:p w14:paraId="5B44CB6C" w14:textId="77777777" w:rsidR="002B6EA5" w:rsidRDefault="002B6EA5" w:rsidP="00CE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460372"/>
      <w:docPartObj>
        <w:docPartGallery w:val="Page Numbers (Bottom of Page)"/>
        <w:docPartUnique/>
      </w:docPartObj>
    </w:sdtPr>
    <w:sdtEndPr>
      <w:rPr>
        <w:rFonts w:ascii="Verdana" w:hAnsi="Verdana"/>
        <w:sz w:val="20"/>
        <w:szCs w:val="20"/>
      </w:rPr>
    </w:sdtEndPr>
    <w:sdtContent>
      <w:p w14:paraId="2B7296F9" w14:textId="77777777" w:rsidR="002101C2" w:rsidRPr="00202488" w:rsidRDefault="002101C2">
        <w:pPr>
          <w:pStyle w:val="Piedepgina"/>
          <w:jc w:val="center"/>
          <w:rPr>
            <w:rFonts w:ascii="Verdana" w:hAnsi="Verdana"/>
            <w:sz w:val="20"/>
            <w:szCs w:val="20"/>
          </w:rPr>
        </w:pPr>
        <w:r w:rsidRPr="00202488">
          <w:rPr>
            <w:rFonts w:ascii="Verdana" w:hAnsi="Verdana"/>
            <w:sz w:val="20"/>
            <w:szCs w:val="20"/>
          </w:rPr>
          <w:t>-</w:t>
        </w:r>
        <w:r w:rsidRPr="00202488">
          <w:rPr>
            <w:rFonts w:ascii="Verdana" w:hAnsi="Verdana"/>
            <w:sz w:val="20"/>
            <w:szCs w:val="20"/>
          </w:rPr>
          <w:fldChar w:fldCharType="begin"/>
        </w:r>
        <w:r w:rsidRPr="00202488">
          <w:rPr>
            <w:rFonts w:ascii="Verdana" w:hAnsi="Verdana"/>
            <w:sz w:val="20"/>
            <w:szCs w:val="20"/>
          </w:rPr>
          <w:instrText>PAGE   \* MERGEFORMAT</w:instrText>
        </w:r>
        <w:r w:rsidRPr="00202488">
          <w:rPr>
            <w:rFonts w:ascii="Verdana" w:hAnsi="Verdana"/>
            <w:sz w:val="20"/>
            <w:szCs w:val="20"/>
          </w:rPr>
          <w:fldChar w:fldCharType="separate"/>
        </w:r>
        <w:r w:rsidR="0088481F" w:rsidRPr="0088481F">
          <w:rPr>
            <w:rFonts w:ascii="Verdana" w:hAnsi="Verdana"/>
            <w:noProof/>
            <w:sz w:val="20"/>
            <w:szCs w:val="20"/>
            <w:lang w:val="es-ES"/>
          </w:rPr>
          <w:t>11</w:t>
        </w:r>
        <w:r w:rsidRPr="00202488">
          <w:rPr>
            <w:rFonts w:ascii="Verdana" w:hAnsi="Verdana"/>
            <w:sz w:val="20"/>
            <w:szCs w:val="20"/>
          </w:rPr>
          <w:fldChar w:fldCharType="end"/>
        </w:r>
        <w:r w:rsidRPr="00202488">
          <w:rPr>
            <w:rFonts w:ascii="Verdana" w:hAnsi="Verdana"/>
            <w:sz w:val="20"/>
            <w:szCs w:val="20"/>
          </w:rPr>
          <w:t>-</w:t>
        </w:r>
      </w:p>
    </w:sdtContent>
  </w:sdt>
  <w:p w14:paraId="66169A82" w14:textId="77777777" w:rsidR="002101C2" w:rsidRDefault="002101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DA255" w14:textId="77777777" w:rsidR="002B6EA5" w:rsidRDefault="002B6EA5" w:rsidP="00CE43A6">
      <w:pPr>
        <w:spacing w:after="0" w:line="240" w:lineRule="auto"/>
      </w:pPr>
      <w:r>
        <w:separator/>
      </w:r>
    </w:p>
  </w:footnote>
  <w:footnote w:type="continuationSeparator" w:id="0">
    <w:p w14:paraId="0E75E2DC" w14:textId="77777777" w:rsidR="002B6EA5" w:rsidRDefault="002B6EA5" w:rsidP="00CE43A6">
      <w:pPr>
        <w:spacing w:after="0" w:line="240" w:lineRule="auto"/>
      </w:pPr>
      <w:r>
        <w:continuationSeparator/>
      </w:r>
    </w:p>
  </w:footnote>
  <w:footnote w:id="1">
    <w:p w14:paraId="6FE43FC6" w14:textId="77777777" w:rsidR="002101C2" w:rsidRPr="00FC0418" w:rsidRDefault="002101C2" w:rsidP="00FC0418">
      <w:pPr>
        <w:pStyle w:val="Textonotapie"/>
        <w:tabs>
          <w:tab w:val="left" w:pos="426"/>
          <w:tab w:val="left" w:pos="567"/>
        </w:tabs>
        <w:jc w:val="both"/>
        <w:rPr>
          <w:rFonts w:ascii="Verdana" w:hAnsi="Verdana"/>
          <w:sz w:val="16"/>
          <w:szCs w:val="16"/>
        </w:rPr>
      </w:pPr>
      <w:r w:rsidRPr="00FC0418">
        <w:rPr>
          <w:rFonts w:ascii="Verdana" w:hAnsi="Verdana"/>
          <w:sz w:val="16"/>
          <w:szCs w:val="16"/>
        </w:rPr>
        <w:t>*</w:t>
      </w:r>
      <w:r w:rsidRPr="00FC0418">
        <w:rPr>
          <w:rFonts w:ascii="Verdana" w:hAnsi="Verdana"/>
          <w:sz w:val="16"/>
          <w:szCs w:val="16"/>
        </w:rPr>
        <w:tab/>
        <w:t>El Juez Eugenio Raúl Zaffaroni, de nacionalidad argentina, no participó en el conocimiento y deliberación de la presente Resolución, de conformidad con lo dispuesto en el artículo 19.1 del Reglamento de la Corte.</w:t>
      </w:r>
    </w:p>
    <w:p w14:paraId="226F7CDB" w14:textId="77777777" w:rsidR="002101C2" w:rsidRPr="00FC0418" w:rsidRDefault="002101C2" w:rsidP="00FC0418">
      <w:pPr>
        <w:pStyle w:val="Textonotapie"/>
        <w:tabs>
          <w:tab w:val="left" w:pos="426"/>
          <w:tab w:val="left" w:pos="567"/>
        </w:tabs>
        <w:jc w:val="both"/>
        <w:rPr>
          <w:rFonts w:ascii="Verdana" w:hAnsi="Verdana"/>
          <w:b/>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r>
      <w:r w:rsidRPr="00FC0418">
        <w:rPr>
          <w:rFonts w:ascii="Verdana" w:hAnsi="Verdana"/>
          <w:i/>
          <w:sz w:val="16"/>
          <w:szCs w:val="16"/>
        </w:rPr>
        <w:t xml:space="preserve">Cfr. </w:t>
      </w:r>
      <w:r w:rsidRPr="00FC0418">
        <w:rPr>
          <w:rStyle w:val="Textoennegrita"/>
          <w:rFonts w:ascii="Verdana" w:hAnsi="Verdana"/>
          <w:b w:val="0"/>
          <w:i/>
          <w:sz w:val="16"/>
          <w:szCs w:val="16"/>
          <w:shd w:val="clear" w:color="auto" w:fill="FFFFFF"/>
        </w:rPr>
        <w:t xml:space="preserve">Caso Fornerón e hija Vs. Argentina. Fondo, Reparaciones y Costas. </w:t>
      </w:r>
      <w:r w:rsidRPr="00FC0418">
        <w:rPr>
          <w:rStyle w:val="Textoennegrita"/>
          <w:rFonts w:ascii="Verdana" w:hAnsi="Verdana"/>
          <w:b w:val="0"/>
          <w:sz w:val="16"/>
          <w:szCs w:val="16"/>
          <w:shd w:val="clear" w:color="auto" w:fill="FFFFFF"/>
        </w:rPr>
        <w:t xml:space="preserve">Sentencia de 27 de abril de 2012. Serie C No. 242. </w:t>
      </w:r>
      <w:r w:rsidR="005F5E06">
        <w:rPr>
          <w:rFonts w:ascii="Verdana" w:hAnsi="Verdana"/>
          <w:sz w:val="16"/>
          <w:szCs w:val="16"/>
        </w:rPr>
        <w:t>D</w:t>
      </w:r>
      <w:r w:rsidRPr="00FC0418">
        <w:rPr>
          <w:rFonts w:ascii="Verdana" w:hAnsi="Verdana"/>
          <w:sz w:val="16"/>
          <w:szCs w:val="16"/>
        </w:rPr>
        <w:t xml:space="preserve">isponible en: </w:t>
      </w:r>
      <w:hyperlink r:id="rId1" w:history="1">
        <w:r w:rsidRPr="00FC0418">
          <w:rPr>
            <w:rStyle w:val="Hipervnculo"/>
            <w:rFonts w:ascii="Verdana" w:hAnsi="Verdana"/>
            <w:sz w:val="16"/>
            <w:szCs w:val="16"/>
          </w:rPr>
          <w:t>http://corteidh.or.cr/docs/casos/articulos/seriec_242_esp.pdf</w:t>
        </w:r>
      </w:hyperlink>
      <w:r w:rsidRPr="00FC0418">
        <w:rPr>
          <w:rFonts w:ascii="Verdana" w:hAnsi="Verdana"/>
          <w:sz w:val="16"/>
          <w:szCs w:val="16"/>
        </w:rPr>
        <w:t xml:space="preserve">. </w:t>
      </w:r>
      <w:r w:rsidR="00674D88" w:rsidRPr="00FC0418">
        <w:rPr>
          <w:rFonts w:ascii="Verdana" w:hAnsi="Verdana" w:cs="Arial"/>
          <w:sz w:val="16"/>
          <w:szCs w:val="16"/>
        </w:rPr>
        <w:t>La Sentencia fue notificada el 1 de junio de 2012.</w:t>
      </w:r>
    </w:p>
  </w:footnote>
  <w:footnote w:id="2">
    <w:p w14:paraId="2A159395" w14:textId="77777777" w:rsidR="002101C2" w:rsidRPr="00FC0418" w:rsidRDefault="002101C2" w:rsidP="00FC0418">
      <w:pPr>
        <w:pStyle w:val="Textonotapie"/>
        <w:tabs>
          <w:tab w:val="left" w:pos="426"/>
        </w:tabs>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lang w:val="es-ES_tradnl"/>
        </w:rPr>
        <w:tab/>
        <w:t xml:space="preserve">Por inobservancia de requisitos legales, omisiones probatorias, estereotipos en la fundamentación de decisiones y demora en el proceso.  </w:t>
      </w:r>
      <w:r w:rsidRPr="00FC0418">
        <w:rPr>
          <w:rFonts w:ascii="Verdana" w:hAnsi="Verdana"/>
          <w:i/>
          <w:sz w:val="16"/>
          <w:szCs w:val="16"/>
        </w:rPr>
        <w:t xml:space="preserve">Cfr. </w:t>
      </w:r>
      <w:r w:rsidRPr="00FC0418">
        <w:rPr>
          <w:rStyle w:val="Textoennegrita"/>
          <w:rFonts w:ascii="Verdana" w:hAnsi="Verdana"/>
          <w:b w:val="0"/>
          <w:i/>
          <w:sz w:val="16"/>
          <w:szCs w:val="16"/>
          <w:shd w:val="clear" w:color="auto" w:fill="FFFFFF"/>
        </w:rPr>
        <w:t xml:space="preserve">Caso Fornerón e hija Vs. Argentina, supra </w:t>
      </w:r>
      <w:r w:rsidRPr="00FC0418">
        <w:rPr>
          <w:rStyle w:val="Textoennegrita"/>
          <w:rFonts w:ascii="Verdana" w:hAnsi="Verdana"/>
          <w:b w:val="0"/>
          <w:sz w:val="16"/>
          <w:szCs w:val="16"/>
          <w:shd w:val="clear" w:color="auto" w:fill="FFFFFF"/>
        </w:rPr>
        <w:t>nota 1, párrs. 78 a 106.</w:t>
      </w:r>
    </w:p>
  </w:footnote>
  <w:footnote w:id="3">
    <w:p w14:paraId="18CB938C" w14:textId="77777777" w:rsidR="002101C2" w:rsidRPr="00FC0418" w:rsidRDefault="002101C2" w:rsidP="00FC0418">
      <w:pPr>
        <w:pStyle w:val="Textonotapie"/>
        <w:tabs>
          <w:tab w:val="left" w:pos="426"/>
        </w:tabs>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t>En la Sentencia, la Corte se refirió a la niña como M. y al matrimonio adoptante como B-Z con el fin de proteger la identidad de aquella.</w:t>
      </w:r>
    </w:p>
  </w:footnote>
  <w:footnote w:id="4">
    <w:p w14:paraId="54E82239" w14:textId="77777777" w:rsidR="002101C2" w:rsidRPr="00FC0418" w:rsidRDefault="002101C2" w:rsidP="00FC0418">
      <w:pPr>
        <w:pStyle w:val="Textonotapie"/>
        <w:tabs>
          <w:tab w:val="left" w:pos="426"/>
        </w:tabs>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t xml:space="preserve">Durante ese tiempo M. y el señor Fornerón tuvieron un único encuentro, cuando la niña tenía cinco años y cuatro meses de edad, por un tiempo de cuarenta y cinco minutos. </w:t>
      </w:r>
      <w:r w:rsidRPr="00FC0418">
        <w:rPr>
          <w:rFonts w:ascii="Verdana" w:hAnsi="Verdana"/>
          <w:i/>
          <w:sz w:val="16"/>
          <w:szCs w:val="16"/>
        </w:rPr>
        <w:t xml:space="preserve">Cfr. </w:t>
      </w:r>
      <w:r w:rsidRPr="00FC0418">
        <w:rPr>
          <w:rStyle w:val="Textoennegrita"/>
          <w:rFonts w:ascii="Verdana" w:hAnsi="Verdana"/>
          <w:b w:val="0"/>
          <w:i/>
          <w:sz w:val="16"/>
          <w:szCs w:val="16"/>
          <w:shd w:val="clear" w:color="auto" w:fill="FFFFFF"/>
        </w:rPr>
        <w:t xml:space="preserve">Caso Fornerón e hija Vs. Argentina, supra </w:t>
      </w:r>
      <w:r w:rsidRPr="00FC0418">
        <w:rPr>
          <w:rStyle w:val="Textoennegrita"/>
          <w:rFonts w:ascii="Verdana" w:hAnsi="Verdana"/>
          <w:b w:val="0"/>
          <w:sz w:val="16"/>
          <w:szCs w:val="16"/>
          <w:shd w:val="clear" w:color="auto" w:fill="FFFFFF"/>
        </w:rPr>
        <w:t>nota 1, párr. 40.</w:t>
      </w:r>
    </w:p>
  </w:footnote>
  <w:footnote w:id="5">
    <w:p w14:paraId="6875BFAB" w14:textId="77777777" w:rsidR="002101C2" w:rsidRPr="00FC0418" w:rsidRDefault="002101C2" w:rsidP="00FC0418">
      <w:pPr>
        <w:pStyle w:val="Textonotapie"/>
        <w:tabs>
          <w:tab w:val="left" w:pos="426"/>
        </w:tabs>
        <w:jc w:val="both"/>
        <w:rPr>
          <w:rFonts w:ascii="Verdana" w:hAnsi="Verdana"/>
          <w:b/>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r>
      <w:r w:rsidRPr="00FC0418">
        <w:rPr>
          <w:rFonts w:ascii="Verdana" w:hAnsi="Verdana"/>
          <w:sz w:val="16"/>
          <w:szCs w:val="16"/>
        </w:rPr>
        <w:tab/>
      </w:r>
      <w:r w:rsidRPr="00FC0418">
        <w:rPr>
          <w:rFonts w:ascii="Verdana" w:hAnsi="Verdana"/>
          <w:i/>
          <w:sz w:val="16"/>
          <w:szCs w:val="16"/>
        </w:rPr>
        <w:t>Cfr. Casos Torres Millacura y otros, Fornerón e hija, Furlan y familiares, Mohamed y Mendoza y otros Vs. Argentina. Reintegro al Fondo de Asistencia Legal de Víctimas.</w:t>
      </w:r>
      <w:r w:rsidRPr="00FC0418">
        <w:rPr>
          <w:rFonts w:ascii="Verdana" w:hAnsi="Verdana"/>
          <w:sz w:val="16"/>
          <w:szCs w:val="16"/>
        </w:rPr>
        <w:t xml:space="preserve"> Resolución de la Corte Interamericana de Derechos Humanos de 26 de enero de 2015</w:t>
      </w:r>
      <w:r w:rsidR="005F5E06">
        <w:rPr>
          <w:rFonts w:ascii="Verdana" w:hAnsi="Verdana"/>
          <w:sz w:val="16"/>
          <w:szCs w:val="16"/>
        </w:rPr>
        <w:t>.</w:t>
      </w:r>
      <w:r w:rsidRPr="00FC0418">
        <w:rPr>
          <w:rFonts w:ascii="Verdana" w:hAnsi="Verdana"/>
          <w:sz w:val="16"/>
          <w:szCs w:val="16"/>
        </w:rPr>
        <w:t xml:space="preserve"> </w:t>
      </w:r>
      <w:r w:rsidR="005F5E06">
        <w:rPr>
          <w:rFonts w:ascii="Verdana" w:hAnsi="Verdana"/>
          <w:sz w:val="16"/>
          <w:szCs w:val="16"/>
        </w:rPr>
        <w:t>D</w:t>
      </w:r>
      <w:r w:rsidR="005F5E06" w:rsidRPr="00FC0418">
        <w:rPr>
          <w:rFonts w:ascii="Verdana" w:hAnsi="Verdana"/>
          <w:sz w:val="16"/>
          <w:szCs w:val="16"/>
        </w:rPr>
        <w:t xml:space="preserve">isponible </w:t>
      </w:r>
      <w:r w:rsidRPr="00FC0418">
        <w:rPr>
          <w:rFonts w:ascii="Verdana" w:hAnsi="Verdana"/>
          <w:sz w:val="16"/>
          <w:szCs w:val="16"/>
        </w:rPr>
        <w:t xml:space="preserve">en </w:t>
      </w:r>
      <w:hyperlink r:id="rId2" w:history="1">
        <w:r w:rsidRPr="00FC0418">
          <w:rPr>
            <w:rStyle w:val="Hipervnculo"/>
            <w:rFonts w:ascii="Verdana" w:hAnsi="Verdana"/>
            <w:sz w:val="16"/>
            <w:szCs w:val="16"/>
          </w:rPr>
          <w:t>http://www.corteidh.or.cr/docs/asuntos/torres_forneron_furlan_mohamed_fv_2015.pdf</w:t>
        </w:r>
      </w:hyperlink>
      <w:r w:rsidRPr="00FC0418">
        <w:rPr>
          <w:rFonts w:ascii="Verdana" w:hAnsi="Verdana"/>
          <w:sz w:val="16"/>
          <w:szCs w:val="16"/>
        </w:rPr>
        <w:t>.</w:t>
      </w:r>
    </w:p>
  </w:footnote>
  <w:footnote w:id="6">
    <w:p w14:paraId="0846F098" w14:textId="77777777" w:rsidR="002101C2" w:rsidRPr="00FC0418" w:rsidRDefault="002101C2" w:rsidP="00FC0418">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r>
      <w:r w:rsidR="00674D88">
        <w:rPr>
          <w:rFonts w:ascii="Verdana" w:hAnsi="Verdana"/>
          <w:i/>
          <w:sz w:val="16"/>
          <w:szCs w:val="16"/>
        </w:rPr>
        <w:t>Cfr.</w:t>
      </w:r>
      <w:r w:rsidR="00674D88" w:rsidRPr="009B05C8">
        <w:rPr>
          <w:rFonts w:ascii="Verdana" w:hAnsi="Verdana"/>
          <w:i/>
          <w:sz w:val="16"/>
          <w:szCs w:val="16"/>
        </w:rPr>
        <w:t xml:space="preserve"> Caso Fornerón e hija Vs. Argentina. Supervisión de Cumplimiento de Sentencia.</w:t>
      </w:r>
      <w:r w:rsidR="00674D88" w:rsidRPr="00674D88">
        <w:rPr>
          <w:rFonts w:ascii="Verdana" w:hAnsi="Verdana"/>
          <w:sz w:val="16"/>
          <w:szCs w:val="16"/>
        </w:rPr>
        <w:t xml:space="preserve"> Resolución de la Corte Interamericana de Derechos Humanos de 28 de noviembre de 2018.</w:t>
      </w:r>
      <w:r w:rsidR="00674D88">
        <w:rPr>
          <w:rFonts w:ascii="Verdana" w:hAnsi="Verdana"/>
          <w:sz w:val="16"/>
          <w:szCs w:val="16"/>
        </w:rPr>
        <w:t xml:space="preserve"> </w:t>
      </w:r>
      <w:r w:rsidRPr="00FC0418">
        <w:rPr>
          <w:rFonts w:ascii="Verdana" w:hAnsi="Verdana"/>
          <w:sz w:val="16"/>
          <w:szCs w:val="16"/>
        </w:rPr>
        <w:t xml:space="preserve">Disponible en: </w:t>
      </w:r>
      <w:hyperlink r:id="rId3" w:history="1">
        <w:r w:rsidRPr="00FC0418">
          <w:rPr>
            <w:rStyle w:val="Hipervnculo"/>
            <w:rFonts w:ascii="Verdana" w:hAnsi="Verdana"/>
            <w:sz w:val="16"/>
            <w:szCs w:val="16"/>
          </w:rPr>
          <w:t>http://www.corteidh.or.cr/docs/supervisiones/forneron_28_11_18.pdf</w:t>
        </w:r>
      </w:hyperlink>
      <w:r w:rsidRPr="00FC0418">
        <w:rPr>
          <w:rFonts w:ascii="Verdana" w:hAnsi="Verdana"/>
          <w:sz w:val="16"/>
          <w:szCs w:val="16"/>
        </w:rPr>
        <w:t xml:space="preserve">. </w:t>
      </w:r>
    </w:p>
  </w:footnote>
  <w:footnote w:id="7">
    <w:p w14:paraId="2488B928" w14:textId="77777777" w:rsidR="002101C2" w:rsidRPr="00FC0418" w:rsidRDefault="002101C2" w:rsidP="00FC0418">
      <w:pPr>
        <w:pStyle w:val="Textonotapie"/>
        <w:tabs>
          <w:tab w:val="left" w:pos="426"/>
        </w:tabs>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r>
      <w:r w:rsidR="00CF184C">
        <w:rPr>
          <w:rFonts w:ascii="Verdana" w:hAnsi="Verdana"/>
          <w:sz w:val="16"/>
          <w:szCs w:val="16"/>
        </w:rPr>
        <w:tab/>
      </w:r>
      <w:r w:rsidRPr="00FC0418">
        <w:rPr>
          <w:rFonts w:ascii="Verdana" w:hAnsi="Verdana"/>
          <w:sz w:val="16"/>
          <w:szCs w:val="16"/>
        </w:rPr>
        <w:t xml:space="preserve">Las señoras Margarita Rosa </w:t>
      </w:r>
      <w:proofErr w:type="spellStart"/>
      <w:r w:rsidRPr="00FC0418">
        <w:rPr>
          <w:rFonts w:ascii="Verdana" w:hAnsi="Verdana"/>
          <w:sz w:val="16"/>
          <w:szCs w:val="16"/>
        </w:rPr>
        <w:t>Nicoliche</w:t>
      </w:r>
      <w:proofErr w:type="spellEnd"/>
      <w:r w:rsidRPr="00FC0418">
        <w:rPr>
          <w:rFonts w:ascii="Verdana" w:hAnsi="Verdana"/>
          <w:sz w:val="16"/>
          <w:szCs w:val="16"/>
        </w:rPr>
        <w:t xml:space="preserve"> y Susana Ana María </w:t>
      </w:r>
      <w:proofErr w:type="spellStart"/>
      <w:r w:rsidRPr="00FC0418">
        <w:rPr>
          <w:rFonts w:ascii="Verdana" w:hAnsi="Verdana"/>
          <w:sz w:val="16"/>
          <w:szCs w:val="16"/>
        </w:rPr>
        <w:t>Terenzi</w:t>
      </w:r>
      <w:proofErr w:type="spellEnd"/>
      <w:r w:rsidRPr="00FC0418">
        <w:rPr>
          <w:rFonts w:ascii="Verdana" w:hAnsi="Verdana"/>
          <w:sz w:val="16"/>
          <w:szCs w:val="16"/>
        </w:rPr>
        <w:t>, del Centro de Estudios Sociales y Políticos para el Desarrollo Humano (CESPPEDH).</w:t>
      </w:r>
    </w:p>
  </w:footnote>
  <w:footnote w:id="8">
    <w:p w14:paraId="2C340761" w14:textId="77777777" w:rsidR="002101C2" w:rsidRPr="00FC0418" w:rsidRDefault="002101C2" w:rsidP="00FC0418">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t>A esta audiencia comparecieron: a) por el Estado: Ramiro Badia, Director de Asuntos Jurídicos Internacionales de la Secretaría de Derechos Humanos y Pluralismo Cultural de la Nación; Belma Moro, Asesora Legal de la Secretaría de Derechos Humanos y Pluralismo Cultural de la Nación; Julia Loreto, Asesora Legal de la Dirección Contencioso Internacional en Materia de Derechos Humanos del Ministerio de Relaciones Exteriores y Culto de la Nación; Juan Eduardo L</w:t>
      </w:r>
      <w:r w:rsidR="00CF184C">
        <w:rPr>
          <w:rFonts w:ascii="Verdana" w:hAnsi="Verdana"/>
          <w:sz w:val="16"/>
          <w:szCs w:val="16"/>
        </w:rPr>
        <w:t>l</w:t>
      </w:r>
      <w:r w:rsidRPr="00FC0418">
        <w:rPr>
          <w:rFonts w:ascii="Verdana" w:hAnsi="Verdana"/>
          <w:sz w:val="16"/>
          <w:szCs w:val="16"/>
        </w:rPr>
        <w:t xml:space="preserve">overas, Juez de Familia, Civil y Penal de Victoria, Provincia de Entre Ríos; Pablo </w:t>
      </w:r>
      <w:proofErr w:type="spellStart"/>
      <w:r w:rsidRPr="00FC0418">
        <w:rPr>
          <w:rFonts w:ascii="Verdana" w:hAnsi="Verdana"/>
          <w:sz w:val="16"/>
          <w:szCs w:val="16"/>
        </w:rPr>
        <w:t>Biaggini</w:t>
      </w:r>
      <w:proofErr w:type="spellEnd"/>
      <w:r w:rsidRPr="00FC0418">
        <w:rPr>
          <w:rFonts w:ascii="Verdana" w:hAnsi="Verdana"/>
          <w:sz w:val="16"/>
          <w:szCs w:val="16"/>
        </w:rPr>
        <w:t>, Secretario de Justicia de la Provincia de Entre Ríos; Gonzalo García, Director de la Secretaría de Justicia de la Provincia de Entre Ríos</w:t>
      </w:r>
      <w:r w:rsidR="005F5E06">
        <w:rPr>
          <w:rFonts w:ascii="Verdana" w:hAnsi="Verdana"/>
          <w:sz w:val="16"/>
          <w:szCs w:val="16"/>
        </w:rPr>
        <w:t>, y</w:t>
      </w:r>
      <w:r w:rsidRPr="00FC0418">
        <w:rPr>
          <w:rFonts w:ascii="Verdana" w:hAnsi="Verdana"/>
          <w:sz w:val="16"/>
          <w:szCs w:val="16"/>
        </w:rPr>
        <w:t xml:space="preserve"> Patricia Alonso, Alejo Torres de la Puerta y Arnoldo </w:t>
      </w:r>
      <w:proofErr w:type="spellStart"/>
      <w:r w:rsidRPr="00FC0418">
        <w:rPr>
          <w:rFonts w:ascii="Verdana" w:hAnsi="Verdana"/>
          <w:sz w:val="16"/>
          <w:szCs w:val="16"/>
        </w:rPr>
        <w:t>Scherrer</w:t>
      </w:r>
      <w:proofErr w:type="spellEnd"/>
      <w:r w:rsidRPr="00FC0418">
        <w:rPr>
          <w:rFonts w:ascii="Verdana" w:hAnsi="Verdana"/>
          <w:sz w:val="16"/>
          <w:szCs w:val="16"/>
        </w:rPr>
        <w:t xml:space="preserve"> Vito, funcionarios de la Secretaría Nacional de la Niñez, Adolescencia y Familia; b) por l</w:t>
      </w:r>
      <w:r w:rsidR="004536BE">
        <w:rPr>
          <w:rFonts w:ascii="Verdana" w:hAnsi="Verdana"/>
          <w:sz w:val="16"/>
          <w:szCs w:val="16"/>
        </w:rPr>
        <w:t>a</w:t>
      </w:r>
      <w:r w:rsidRPr="00FC0418">
        <w:rPr>
          <w:rFonts w:ascii="Verdana" w:hAnsi="Verdana"/>
          <w:sz w:val="16"/>
          <w:szCs w:val="16"/>
        </w:rPr>
        <w:t xml:space="preserve">s representantes de la víctima: Leonardo Aníbal Javier Fornerón, víctima del caso; Susana </w:t>
      </w:r>
      <w:proofErr w:type="spellStart"/>
      <w:r w:rsidRPr="00FC0418">
        <w:rPr>
          <w:rFonts w:ascii="Verdana" w:hAnsi="Verdana"/>
          <w:sz w:val="16"/>
          <w:szCs w:val="16"/>
        </w:rPr>
        <w:t>Terenzi</w:t>
      </w:r>
      <w:proofErr w:type="spellEnd"/>
      <w:r w:rsidRPr="00FC0418">
        <w:rPr>
          <w:rFonts w:ascii="Verdana" w:hAnsi="Verdana"/>
          <w:sz w:val="16"/>
          <w:szCs w:val="16"/>
        </w:rPr>
        <w:t xml:space="preserve"> y Margarita </w:t>
      </w:r>
      <w:proofErr w:type="spellStart"/>
      <w:r w:rsidRPr="00FC0418">
        <w:rPr>
          <w:rFonts w:ascii="Verdana" w:hAnsi="Verdana"/>
          <w:sz w:val="16"/>
          <w:szCs w:val="16"/>
        </w:rPr>
        <w:t>Nicoliche</w:t>
      </w:r>
      <w:proofErr w:type="spellEnd"/>
      <w:r w:rsidRPr="00FC0418">
        <w:rPr>
          <w:rFonts w:ascii="Verdana" w:hAnsi="Verdana"/>
          <w:sz w:val="16"/>
          <w:szCs w:val="16"/>
        </w:rPr>
        <w:t xml:space="preserve">, representantes legales del </w:t>
      </w:r>
      <w:r w:rsidR="005F5E06">
        <w:rPr>
          <w:rFonts w:ascii="Verdana" w:hAnsi="Verdana"/>
          <w:sz w:val="16"/>
          <w:szCs w:val="16"/>
        </w:rPr>
        <w:t>CESPPEDH</w:t>
      </w:r>
      <w:r w:rsidRPr="00FC0418">
        <w:rPr>
          <w:rFonts w:ascii="Verdana" w:hAnsi="Verdana"/>
          <w:sz w:val="16"/>
          <w:szCs w:val="16"/>
        </w:rPr>
        <w:t xml:space="preserve">; Gustavo </w:t>
      </w:r>
      <w:proofErr w:type="spellStart"/>
      <w:r w:rsidRPr="00FC0418">
        <w:rPr>
          <w:rFonts w:ascii="Verdana" w:hAnsi="Verdana"/>
          <w:sz w:val="16"/>
          <w:szCs w:val="16"/>
        </w:rPr>
        <w:t>Baridón</w:t>
      </w:r>
      <w:proofErr w:type="spellEnd"/>
      <w:r w:rsidRPr="00FC0418">
        <w:rPr>
          <w:rFonts w:ascii="Verdana" w:hAnsi="Verdana"/>
          <w:sz w:val="16"/>
          <w:szCs w:val="16"/>
        </w:rPr>
        <w:t xml:space="preserve">; Liliana </w:t>
      </w:r>
      <w:proofErr w:type="spellStart"/>
      <w:r w:rsidRPr="00FC0418">
        <w:rPr>
          <w:rFonts w:ascii="Verdana" w:hAnsi="Verdana"/>
          <w:sz w:val="16"/>
          <w:szCs w:val="16"/>
        </w:rPr>
        <w:t>Ronconi</w:t>
      </w:r>
      <w:proofErr w:type="spellEnd"/>
      <w:r w:rsidRPr="00FC0418">
        <w:rPr>
          <w:rFonts w:ascii="Verdana" w:hAnsi="Verdana"/>
          <w:sz w:val="16"/>
          <w:szCs w:val="16"/>
        </w:rPr>
        <w:t xml:space="preserve"> y Santiago </w:t>
      </w:r>
      <w:proofErr w:type="spellStart"/>
      <w:r w:rsidRPr="00FC0418">
        <w:rPr>
          <w:rFonts w:ascii="Verdana" w:hAnsi="Verdana"/>
          <w:sz w:val="16"/>
          <w:szCs w:val="16"/>
        </w:rPr>
        <w:t>Bertinat</w:t>
      </w:r>
      <w:proofErr w:type="spellEnd"/>
      <w:r w:rsidRPr="00FC0418">
        <w:rPr>
          <w:rFonts w:ascii="Verdana" w:hAnsi="Verdana"/>
          <w:sz w:val="16"/>
          <w:szCs w:val="16"/>
        </w:rPr>
        <w:t>, y c) por la Comisión Interamericana, Paulina Corominas Etchegaray, Asesora de la Secretaría Ejecutiva.</w:t>
      </w:r>
    </w:p>
  </w:footnote>
  <w:footnote w:id="9">
    <w:p w14:paraId="630BD187" w14:textId="77777777" w:rsidR="002101C2" w:rsidRPr="005116CA" w:rsidRDefault="002101C2">
      <w:pPr>
        <w:pStyle w:val="Textonotapie"/>
        <w:rPr>
          <w:rFonts w:ascii="Verdana" w:hAnsi="Verdana"/>
          <w:sz w:val="16"/>
          <w:szCs w:val="16"/>
          <w:lang w:val="es-ES_tradnl"/>
        </w:rPr>
      </w:pPr>
      <w:r w:rsidRPr="005116CA">
        <w:rPr>
          <w:rStyle w:val="Refdenotaalpie"/>
          <w:rFonts w:ascii="Verdana" w:hAnsi="Verdana"/>
          <w:sz w:val="16"/>
          <w:szCs w:val="16"/>
        </w:rPr>
        <w:footnoteRef/>
      </w:r>
      <w:r w:rsidRPr="005116CA">
        <w:rPr>
          <w:rFonts w:ascii="Verdana" w:hAnsi="Verdana"/>
          <w:sz w:val="16"/>
          <w:szCs w:val="16"/>
        </w:rPr>
        <w:t xml:space="preserve"> </w:t>
      </w:r>
      <w:r w:rsidRPr="005116CA">
        <w:rPr>
          <w:rFonts w:ascii="Verdana" w:hAnsi="Verdana"/>
          <w:sz w:val="16"/>
          <w:szCs w:val="16"/>
          <w:lang w:val="es-ES_tradnl"/>
        </w:rPr>
        <w:tab/>
      </w:r>
      <w:r w:rsidRPr="005116CA">
        <w:rPr>
          <w:rFonts w:ascii="Verdana" w:hAnsi="Verdana"/>
          <w:sz w:val="16"/>
          <w:szCs w:val="16"/>
        </w:rPr>
        <w:t>Aportaron un disco compacto titulado “Audiencia c/n 45132/09”.</w:t>
      </w:r>
    </w:p>
  </w:footnote>
  <w:footnote w:id="10">
    <w:p w14:paraId="57721836" w14:textId="77777777" w:rsidR="002101C2" w:rsidRPr="00FC0418" w:rsidRDefault="002101C2" w:rsidP="00FC0418">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t>Facultad que además se desprende de lo dispuesto en los artículos 33, 62.1, 62.3 y 65 de la Convención Americana</w:t>
      </w:r>
      <w:r w:rsidR="005F5E06">
        <w:rPr>
          <w:rFonts w:ascii="Verdana" w:hAnsi="Verdana"/>
          <w:sz w:val="16"/>
          <w:szCs w:val="16"/>
        </w:rPr>
        <w:t xml:space="preserve"> sobre Derechos Humanos</w:t>
      </w:r>
      <w:r w:rsidRPr="00FC0418">
        <w:rPr>
          <w:rFonts w:ascii="Verdana" w:hAnsi="Verdana"/>
          <w:sz w:val="16"/>
          <w:szCs w:val="16"/>
        </w:rPr>
        <w:t xml:space="preserve"> y 30 de su Estatuto y se encuentra regulada en el artículo 69 de su Reglamento.</w:t>
      </w:r>
    </w:p>
  </w:footnote>
  <w:footnote w:id="11">
    <w:p w14:paraId="4F17A63C" w14:textId="77777777" w:rsidR="002101C2" w:rsidRPr="00FC0418" w:rsidRDefault="002101C2" w:rsidP="00FC0418">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t>Punto dispositivo séptimo de la Sentencia.</w:t>
      </w:r>
    </w:p>
  </w:footnote>
  <w:footnote w:id="12">
    <w:p w14:paraId="595124BC" w14:textId="77777777" w:rsidR="002101C2" w:rsidRPr="00FC0418" w:rsidRDefault="002101C2" w:rsidP="00FC0418">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t xml:space="preserve">Dio cumplimiento total a: i) implementar un programa o curso obligatorio dirigido a operadores judiciales, incluyendo jueces, defensores, fiscales, asesores y demás funcionarios de la Provincia de Entre Ríos vinculados a la administración de justicia respecto de niños y niñas que contemple, entre otros, los estándares internacionales en derechos humanos, particularmente, en materia de los derechos de los niños y niñas y su interés superior y el principio de no discriminación </w:t>
      </w:r>
      <w:r w:rsidRPr="00FC0418">
        <w:rPr>
          <w:rFonts w:ascii="Verdana" w:hAnsi="Verdana"/>
          <w:i/>
          <w:sz w:val="16"/>
          <w:szCs w:val="16"/>
        </w:rPr>
        <w:t>(punto dispositivo quinto de la Sentencia)</w:t>
      </w:r>
      <w:r w:rsidRPr="00FC0418">
        <w:rPr>
          <w:rFonts w:ascii="Verdana" w:hAnsi="Verdana"/>
          <w:sz w:val="16"/>
          <w:szCs w:val="16"/>
        </w:rPr>
        <w:t xml:space="preserve">, y ii) realizar las publicaciones del resumen oficial de la Sentencia elaborado por la Corte en el Boletín Oficial y en el Boletín de la Provincia de Entre Ríos </w:t>
      </w:r>
      <w:r w:rsidRPr="00FC0418">
        <w:rPr>
          <w:rFonts w:ascii="Verdana" w:hAnsi="Verdana"/>
          <w:i/>
          <w:sz w:val="16"/>
          <w:szCs w:val="16"/>
        </w:rPr>
        <w:t>(punto dispositivo sexto de la Sentencia)</w:t>
      </w:r>
      <w:r w:rsidRPr="00FC0418">
        <w:rPr>
          <w:rFonts w:ascii="Verdana" w:hAnsi="Verdana"/>
          <w:sz w:val="16"/>
          <w:szCs w:val="16"/>
        </w:rPr>
        <w:t>.</w:t>
      </w:r>
    </w:p>
  </w:footnote>
  <w:footnote w:id="13">
    <w:p w14:paraId="18FB3171" w14:textId="77777777" w:rsidR="002101C2" w:rsidRPr="00FC0418" w:rsidRDefault="002101C2" w:rsidP="00FC0418">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t>Ha dado cumplimiento parcial a la medida relativa a pagar las cantidades fijadas en la Sentencia por concepto de indemnización por daño material e inmaterial y por reintegro de costas y gastos, quedando pendiente únicamente que el Estado remit</w:t>
      </w:r>
      <w:r w:rsidR="00674D88">
        <w:rPr>
          <w:rFonts w:ascii="Verdana" w:hAnsi="Verdana"/>
          <w:sz w:val="16"/>
          <w:szCs w:val="16"/>
        </w:rPr>
        <w:t>ier</w:t>
      </w:r>
      <w:r w:rsidRPr="00FC0418">
        <w:rPr>
          <w:rFonts w:ascii="Verdana" w:hAnsi="Verdana"/>
          <w:sz w:val="16"/>
          <w:szCs w:val="16"/>
        </w:rPr>
        <w:t xml:space="preserve">a información sobre el pago de la indemnización por daño inmaterial a M. </w:t>
      </w:r>
      <w:r w:rsidRPr="00FC0418">
        <w:rPr>
          <w:rFonts w:ascii="Verdana" w:hAnsi="Verdana"/>
          <w:i/>
          <w:sz w:val="16"/>
          <w:szCs w:val="16"/>
        </w:rPr>
        <w:t>(punto dispositivo séptimo de la Sentencia)</w:t>
      </w:r>
      <w:r w:rsidRPr="00FC0418">
        <w:rPr>
          <w:rFonts w:ascii="Verdana" w:hAnsi="Verdana"/>
          <w:sz w:val="16"/>
          <w:szCs w:val="16"/>
        </w:rPr>
        <w:t>.</w:t>
      </w:r>
    </w:p>
  </w:footnote>
  <w:footnote w:id="14">
    <w:p w14:paraId="77A47A2A" w14:textId="77777777" w:rsidR="002101C2" w:rsidRPr="00FC0418" w:rsidRDefault="002101C2" w:rsidP="00FC0418">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t>Se trata de la reparación relativa a establecer un procedimiento orientado a la efectiva vinculación entre el señor Fornerón y su hija M. (</w:t>
      </w:r>
      <w:r w:rsidRPr="00FC0418">
        <w:rPr>
          <w:rFonts w:ascii="Verdana" w:hAnsi="Verdana"/>
          <w:i/>
          <w:sz w:val="16"/>
          <w:szCs w:val="16"/>
        </w:rPr>
        <w:t>punto dispositivo segundo de la Sentencia</w:t>
      </w:r>
      <w:r w:rsidRPr="00FC0418">
        <w:rPr>
          <w:rFonts w:ascii="Verdana" w:hAnsi="Verdana"/>
          <w:sz w:val="16"/>
          <w:szCs w:val="16"/>
        </w:rPr>
        <w:t>).</w:t>
      </w:r>
    </w:p>
  </w:footnote>
  <w:footnote w:id="15">
    <w:p w14:paraId="7BEF8D59" w14:textId="77777777" w:rsidR="002101C2" w:rsidRPr="00FC0418" w:rsidRDefault="002101C2" w:rsidP="00FC0418">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r>
      <w:r w:rsidRPr="00FC0418">
        <w:rPr>
          <w:rFonts w:ascii="Verdana" w:hAnsi="Verdana"/>
          <w:i/>
          <w:sz w:val="16"/>
          <w:szCs w:val="16"/>
        </w:rPr>
        <w:t>Cfr. Caso Cinco Pensionistas Vs. Perú. Supervisión de Cumplimiento de Sentencia.</w:t>
      </w:r>
      <w:r w:rsidRPr="00FC0418">
        <w:rPr>
          <w:rFonts w:ascii="Verdana" w:hAnsi="Verdana"/>
          <w:sz w:val="16"/>
          <w:szCs w:val="16"/>
        </w:rPr>
        <w:t xml:space="preserve"> Resolución de la Corte Interamericana de Derechos Humanos de 17 de noviembre de 2004, Considerando 5, y </w:t>
      </w:r>
      <w:r w:rsidRPr="00FC0418">
        <w:rPr>
          <w:rFonts w:ascii="Verdana" w:hAnsi="Verdana"/>
          <w:i/>
          <w:sz w:val="16"/>
          <w:szCs w:val="16"/>
        </w:rPr>
        <w:t>Caso Comunidad Indígena Yakye Axa Vs. Paraguay. Supervisión de Cumplimiento de Sentencia.</w:t>
      </w:r>
      <w:r w:rsidRPr="00FC0418">
        <w:rPr>
          <w:rFonts w:ascii="Verdana" w:hAnsi="Verdana"/>
          <w:sz w:val="16"/>
          <w:szCs w:val="16"/>
        </w:rPr>
        <w:t xml:space="preserve"> Resolución de la Corte Interamericana de Derechos Humanos de 14 de mayo de 2019, Considerando 2.</w:t>
      </w:r>
    </w:p>
  </w:footnote>
  <w:footnote w:id="16">
    <w:p w14:paraId="300E8558" w14:textId="77777777" w:rsidR="002101C2" w:rsidRPr="00FC0418" w:rsidRDefault="002101C2" w:rsidP="00FC0418">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r>
      <w:r w:rsidRPr="00FC0418">
        <w:rPr>
          <w:rFonts w:ascii="Verdana" w:hAnsi="Verdana"/>
          <w:i/>
          <w:sz w:val="16"/>
          <w:szCs w:val="16"/>
        </w:rPr>
        <w:t xml:space="preserve">Cfr. Caso </w:t>
      </w:r>
      <w:proofErr w:type="spellStart"/>
      <w:r w:rsidRPr="00FC0418">
        <w:rPr>
          <w:rFonts w:ascii="Verdana" w:hAnsi="Verdana"/>
          <w:i/>
          <w:sz w:val="16"/>
          <w:szCs w:val="16"/>
        </w:rPr>
        <w:t>Ivcher</w:t>
      </w:r>
      <w:proofErr w:type="spellEnd"/>
      <w:r w:rsidRPr="00FC0418">
        <w:rPr>
          <w:rFonts w:ascii="Verdana" w:hAnsi="Verdana"/>
          <w:i/>
          <w:sz w:val="16"/>
          <w:szCs w:val="16"/>
        </w:rPr>
        <w:t xml:space="preserve"> </w:t>
      </w:r>
      <w:proofErr w:type="spellStart"/>
      <w:r w:rsidRPr="00FC0418">
        <w:rPr>
          <w:rFonts w:ascii="Verdana" w:hAnsi="Verdana"/>
          <w:i/>
          <w:sz w:val="16"/>
          <w:szCs w:val="16"/>
        </w:rPr>
        <w:t>Bronstein</w:t>
      </w:r>
      <w:proofErr w:type="spellEnd"/>
      <w:r w:rsidRPr="00FC0418">
        <w:rPr>
          <w:rFonts w:ascii="Verdana" w:hAnsi="Verdana"/>
          <w:i/>
          <w:sz w:val="16"/>
          <w:szCs w:val="16"/>
        </w:rPr>
        <w:t xml:space="preserve"> Vs. Perú. Competencia.</w:t>
      </w:r>
      <w:r w:rsidRPr="00FC0418">
        <w:rPr>
          <w:rFonts w:ascii="Verdana" w:hAnsi="Verdana"/>
          <w:sz w:val="16"/>
          <w:szCs w:val="16"/>
        </w:rPr>
        <w:t xml:space="preserve"> Sentencia de la Corte Interamericana de Derechos Humanos de 24 de septiembre de 1999. Serie C No. 54, párr. 37, y </w:t>
      </w:r>
      <w:r w:rsidRPr="00FC0418">
        <w:rPr>
          <w:rFonts w:ascii="Verdana" w:hAnsi="Verdana"/>
          <w:i/>
          <w:sz w:val="16"/>
          <w:szCs w:val="16"/>
        </w:rPr>
        <w:t>Caso de la Comunidad Indígena Yakye Axa Vs. Paraguay,</w:t>
      </w:r>
      <w:r w:rsidRPr="00FC0418">
        <w:rPr>
          <w:rFonts w:ascii="Verdana" w:hAnsi="Verdana"/>
          <w:sz w:val="16"/>
          <w:szCs w:val="16"/>
        </w:rPr>
        <w:t xml:space="preserve"> </w:t>
      </w:r>
      <w:r w:rsidRPr="00FC0418">
        <w:rPr>
          <w:rFonts w:ascii="Verdana" w:hAnsi="Verdana"/>
          <w:i/>
          <w:sz w:val="16"/>
          <w:szCs w:val="16"/>
        </w:rPr>
        <w:t xml:space="preserve">supra </w:t>
      </w:r>
      <w:r w:rsidRPr="00FC0418">
        <w:rPr>
          <w:rFonts w:ascii="Verdana" w:hAnsi="Verdana"/>
          <w:sz w:val="16"/>
          <w:szCs w:val="16"/>
        </w:rPr>
        <w:t xml:space="preserve">nota </w:t>
      </w:r>
      <w:r w:rsidR="005F5E06" w:rsidRPr="00FC0418">
        <w:rPr>
          <w:rFonts w:ascii="Verdana" w:hAnsi="Verdana"/>
          <w:sz w:val="16"/>
          <w:szCs w:val="16"/>
        </w:rPr>
        <w:t>1</w:t>
      </w:r>
      <w:r w:rsidR="005F5E06">
        <w:rPr>
          <w:rFonts w:ascii="Verdana" w:hAnsi="Verdana"/>
          <w:sz w:val="16"/>
          <w:szCs w:val="16"/>
        </w:rPr>
        <w:t>5</w:t>
      </w:r>
      <w:r w:rsidRPr="00FC0418">
        <w:rPr>
          <w:rFonts w:ascii="Verdana" w:hAnsi="Verdana"/>
          <w:sz w:val="16"/>
          <w:szCs w:val="16"/>
        </w:rPr>
        <w:t xml:space="preserve">, Considerando 2. </w:t>
      </w:r>
    </w:p>
  </w:footnote>
  <w:footnote w:id="17">
    <w:p w14:paraId="381E5E1B" w14:textId="77777777" w:rsidR="002101C2" w:rsidRPr="00FC0418" w:rsidRDefault="002101C2" w:rsidP="00FC0418">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t xml:space="preserve">En términos de: i) el nombramiento de persona(s) experta(s) para guiar e implementar el proceso de vinculación; ii) el apoyo terapéutico permanente que debía ser provisto al señor Fornerón y a M.; iii) la provisión de recursos materiales y condiciones que determinen los expertos para que se produzca el proceso de vinculación; iv) la adopción </w:t>
      </w:r>
      <w:r w:rsidR="00CF184C">
        <w:rPr>
          <w:rFonts w:ascii="Verdana" w:hAnsi="Verdana"/>
          <w:sz w:val="16"/>
          <w:szCs w:val="16"/>
        </w:rPr>
        <w:t xml:space="preserve">de </w:t>
      </w:r>
      <w:r w:rsidRPr="00FC0418">
        <w:rPr>
          <w:rFonts w:ascii="Verdana" w:hAnsi="Verdana"/>
          <w:sz w:val="16"/>
          <w:szCs w:val="16"/>
        </w:rPr>
        <w:t>medidas judiciales, legales y administrativas para que el proceso de vinculación se lleve a cabo y la remoción de obstáculos que impidan su desarrollo y para garantizar que la familia adoptiva de M. facilite, colabore y participe en el proceso; v) la consideración de la voluntad y opinión de M. en cada momento del proceso, al margen de los intereses o interferencias de terceros; vi) la consideración de mecanismos idóneos dentro del proceso para que el señor Fornerón se involucre en la vida de M., y vii) la presentación de informes a este Tribunal en relación con las características, el desarrollo y los avances del proceso de vinculación.</w:t>
      </w:r>
    </w:p>
  </w:footnote>
  <w:footnote w:id="18">
    <w:p w14:paraId="000D032F" w14:textId="77777777" w:rsidR="002101C2" w:rsidRPr="00FC0418" w:rsidRDefault="002101C2" w:rsidP="00FC0418">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r>
      <w:r w:rsidRPr="00FC0418">
        <w:rPr>
          <w:rFonts w:ascii="Verdana" w:hAnsi="Verdana"/>
          <w:i/>
          <w:sz w:val="16"/>
          <w:szCs w:val="16"/>
        </w:rPr>
        <w:t>Cfr</w:t>
      </w:r>
      <w:r w:rsidRPr="00FC0418">
        <w:rPr>
          <w:rFonts w:ascii="Verdana" w:hAnsi="Verdana"/>
          <w:sz w:val="16"/>
          <w:szCs w:val="16"/>
        </w:rPr>
        <w:t xml:space="preserve">. </w:t>
      </w:r>
      <w:r w:rsidR="00CF184C" w:rsidRPr="007611BA">
        <w:rPr>
          <w:rFonts w:ascii="Verdana" w:hAnsi="Verdana"/>
          <w:i/>
          <w:sz w:val="16"/>
          <w:szCs w:val="16"/>
        </w:rPr>
        <w:t>Caso Fornerón e hija Vs. Argentina,</w:t>
      </w:r>
      <w:r w:rsidR="005F5E06">
        <w:rPr>
          <w:rFonts w:ascii="Verdana" w:hAnsi="Verdana"/>
          <w:i/>
          <w:sz w:val="16"/>
          <w:szCs w:val="16"/>
        </w:rPr>
        <w:t xml:space="preserve"> supra</w:t>
      </w:r>
      <w:r w:rsidR="005F5E06">
        <w:rPr>
          <w:rFonts w:ascii="Verdana" w:hAnsi="Verdana"/>
          <w:sz w:val="16"/>
          <w:szCs w:val="16"/>
        </w:rPr>
        <w:t xml:space="preserve"> nota 6,</w:t>
      </w:r>
      <w:r w:rsidR="00CF184C">
        <w:rPr>
          <w:rFonts w:ascii="Verdana" w:hAnsi="Verdana"/>
          <w:i/>
          <w:sz w:val="16"/>
          <w:szCs w:val="16"/>
        </w:rPr>
        <w:t xml:space="preserve"> </w:t>
      </w:r>
      <w:r w:rsidRPr="00FC0418">
        <w:rPr>
          <w:rFonts w:ascii="Verdana" w:hAnsi="Verdana"/>
          <w:sz w:val="16"/>
          <w:szCs w:val="16"/>
        </w:rPr>
        <w:t>Considerando 31.</w:t>
      </w:r>
    </w:p>
  </w:footnote>
  <w:footnote w:id="19">
    <w:p w14:paraId="0E3FDF98" w14:textId="77777777" w:rsidR="002101C2" w:rsidRPr="00FC0418" w:rsidRDefault="002101C2" w:rsidP="00FC0418">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r>
      <w:r w:rsidRPr="00FC0418">
        <w:rPr>
          <w:rFonts w:ascii="Verdana" w:hAnsi="Verdana"/>
          <w:i/>
          <w:sz w:val="16"/>
          <w:szCs w:val="16"/>
        </w:rPr>
        <w:t>Cfr</w:t>
      </w:r>
      <w:r w:rsidRPr="00FC0418">
        <w:rPr>
          <w:rFonts w:ascii="Verdana" w:hAnsi="Verdana"/>
          <w:sz w:val="16"/>
          <w:szCs w:val="16"/>
        </w:rPr>
        <w:t xml:space="preserve">. </w:t>
      </w:r>
      <w:r w:rsidR="00CF184C" w:rsidRPr="007611BA">
        <w:rPr>
          <w:rFonts w:ascii="Verdana" w:hAnsi="Verdana"/>
          <w:i/>
          <w:sz w:val="16"/>
          <w:szCs w:val="16"/>
        </w:rPr>
        <w:t>Caso Fornerón</w:t>
      </w:r>
      <w:r w:rsidR="00CF184C">
        <w:rPr>
          <w:rFonts w:ascii="Verdana" w:hAnsi="Verdana"/>
          <w:i/>
          <w:sz w:val="16"/>
          <w:szCs w:val="16"/>
        </w:rPr>
        <w:t xml:space="preserve"> e hija Vs. Argentina, supra </w:t>
      </w:r>
      <w:r w:rsidR="00CF184C">
        <w:rPr>
          <w:rFonts w:ascii="Verdana" w:hAnsi="Verdana"/>
          <w:sz w:val="16"/>
          <w:szCs w:val="16"/>
        </w:rPr>
        <w:t>nota</w:t>
      </w:r>
      <w:r w:rsidR="00B74118">
        <w:rPr>
          <w:rFonts w:ascii="Verdana" w:hAnsi="Verdana"/>
          <w:sz w:val="16"/>
          <w:szCs w:val="16"/>
        </w:rPr>
        <w:t xml:space="preserve"> </w:t>
      </w:r>
      <w:r w:rsidR="005F5E06">
        <w:rPr>
          <w:rFonts w:ascii="Verdana" w:hAnsi="Verdana"/>
          <w:sz w:val="16"/>
          <w:szCs w:val="16"/>
        </w:rPr>
        <w:t>6</w:t>
      </w:r>
      <w:r w:rsidR="00CF184C">
        <w:rPr>
          <w:rFonts w:ascii="Verdana" w:hAnsi="Verdana"/>
          <w:sz w:val="16"/>
          <w:szCs w:val="16"/>
        </w:rPr>
        <w:t xml:space="preserve">, </w:t>
      </w:r>
      <w:r w:rsidRPr="00FC0418">
        <w:rPr>
          <w:rFonts w:ascii="Verdana" w:hAnsi="Verdana"/>
          <w:sz w:val="16"/>
          <w:szCs w:val="16"/>
        </w:rPr>
        <w:t>Considerandos 12 a 29.</w:t>
      </w:r>
    </w:p>
  </w:footnote>
  <w:footnote w:id="20">
    <w:p w14:paraId="43718291" w14:textId="77777777" w:rsidR="002101C2" w:rsidRPr="00FC0418" w:rsidRDefault="002101C2" w:rsidP="00FC0418">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r>
      <w:r w:rsidRPr="00FC0418">
        <w:rPr>
          <w:rFonts w:ascii="Verdana" w:hAnsi="Verdana"/>
          <w:i/>
          <w:sz w:val="16"/>
          <w:szCs w:val="16"/>
        </w:rPr>
        <w:t>Cfr</w:t>
      </w:r>
      <w:r w:rsidRPr="00FC0418">
        <w:rPr>
          <w:rFonts w:ascii="Verdana" w:hAnsi="Verdana"/>
          <w:sz w:val="16"/>
          <w:szCs w:val="16"/>
        </w:rPr>
        <w:t xml:space="preserve">. </w:t>
      </w:r>
      <w:r w:rsidR="00CF184C" w:rsidRPr="007611BA">
        <w:rPr>
          <w:rFonts w:ascii="Verdana" w:hAnsi="Verdana"/>
          <w:i/>
          <w:sz w:val="16"/>
          <w:szCs w:val="16"/>
        </w:rPr>
        <w:t>Caso Fornerón</w:t>
      </w:r>
      <w:r w:rsidR="00CF184C">
        <w:rPr>
          <w:rFonts w:ascii="Verdana" w:hAnsi="Verdana"/>
          <w:i/>
          <w:sz w:val="16"/>
          <w:szCs w:val="16"/>
        </w:rPr>
        <w:t xml:space="preserve"> e hija Vs. Argentina, supra </w:t>
      </w:r>
      <w:r w:rsidR="00CF184C">
        <w:rPr>
          <w:rFonts w:ascii="Verdana" w:hAnsi="Verdana"/>
          <w:sz w:val="16"/>
          <w:szCs w:val="16"/>
        </w:rPr>
        <w:t>nota</w:t>
      </w:r>
      <w:r w:rsidR="00B74118">
        <w:rPr>
          <w:rFonts w:ascii="Verdana" w:hAnsi="Verdana"/>
          <w:sz w:val="16"/>
          <w:szCs w:val="16"/>
        </w:rPr>
        <w:t xml:space="preserve"> </w:t>
      </w:r>
      <w:r w:rsidR="005F5E06">
        <w:rPr>
          <w:rFonts w:ascii="Verdana" w:hAnsi="Verdana"/>
          <w:sz w:val="16"/>
          <w:szCs w:val="16"/>
        </w:rPr>
        <w:t>6</w:t>
      </w:r>
      <w:r w:rsidR="00CF184C">
        <w:rPr>
          <w:rFonts w:ascii="Verdana" w:hAnsi="Verdana"/>
          <w:sz w:val="16"/>
          <w:szCs w:val="16"/>
        </w:rPr>
        <w:t xml:space="preserve">, </w:t>
      </w:r>
      <w:r w:rsidRPr="00FC0418">
        <w:rPr>
          <w:rFonts w:ascii="Verdana" w:hAnsi="Verdana"/>
          <w:sz w:val="16"/>
          <w:szCs w:val="16"/>
        </w:rPr>
        <w:t>Considerando 30.</w:t>
      </w:r>
    </w:p>
  </w:footnote>
  <w:footnote w:id="21">
    <w:p w14:paraId="74AACC95" w14:textId="77777777" w:rsidR="002101C2" w:rsidRPr="00FC0418" w:rsidRDefault="002101C2" w:rsidP="00FC0418">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t xml:space="preserve">Al respecto, la Corte determinó que “lo importante es que el Estado implementara las acciones necesarias para establecer un procedimiento progresivo que pusiera a disposición de ambas víctimas las condiciones y apoyo necesarios para el desarrollo de un vínculo afectivo, no que garantizara que con dicho procedimiento se obtuviera el resultado deseado en cuanto a la construcción y fortalecimiento del mismo”. </w:t>
      </w:r>
      <w:r w:rsidRPr="00FC0418">
        <w:rPr>
          <w:rFonts w:ascii="Verdana" w:hAnsi="Verdana"/>
          <w:i/>
          <w:sz w:val="16"/>
          <w:szCs w:val="16"/>
        </w:rPr>
        <w:t>Cfr</w:t>
      </w:r>
      <w:r w:rsidRPr="00FC0418">
        <w:rPr>
          <w:rFonts w:ascii="Verdana" w:hAnsi="Verdana"/>
          <w:sz w:val="16"/>
          <w:szCs w:val="16"/>
        </w:rPr>
        <w:t xml:space="preserve">. </w:t>
      </w:r>
      <w:r w:rsidR="00316C26" w:rsidRPr="007611BA">
        <w:rPr>
          <w:rFonts w:ascii="Verdana" w:hAnsi="Verdana"/>
          <w:i/>
          <w:sz w:val="16"/>
          <w:szCs w:val="16"/>
        </w:rPr>
        <w:t>Caso Fornerón</w:t>
      </w:r>
      <w:r w:rsidR="00316C26">
        <w:rPr>
          <w:rFonts w:ascii="Verdana" w:hAnsi="Verdana"/>
          <w:i/>
          <w:sz w:val="16"/>
          <w:szCs w:val="16"/>
        </w:rPr>
        <w:t xml:space="preserve"> e hija Vs. Argentina, supra </w:t>
      </w:r>
      <w:r w:rsidR="00316C26">
        <w:rPr>
          <w:rFonts w:ascii="Verdana" w:hAnsi="Verdana"/>
          <w:sz w:val="16"/>
          <w:szCs w:val="16"/>
        </w:rPr>
        <w:t>nota</w:t>
      </w:r>
      <w:r w:rsidR="00B74118">
        <w:rPr>
          <w:rFonts w:ascii="Verdana" w:hAnsi="Verdana"/>
          <w:sz w:val="16"/>
          <w:szCs w:val="16"/>
        </w:rPr>
        <w:t xml:space="preserve"> </w:t>
      </w:r>
      <w:r w:rsidR="005F5E06">
        <w:rPr>
          <w:rFonts w:ascii="Verdana" w:hAnsi="Verdana"/>
          <w:sz w:val="16"/>
          <w:szCs w:val="16"/>
        </w:rPr>
        <w:t>6</w:t>
      </w:r>
      <w:r w:rsidR="00316C26">
        <w:rPr>
          <w:rFonts w:ascii="Verdana" w:hAnsi="Verdana"/>
          <w:sz w:val="16"/>
          <w:szCs w:val="16"/>
        </w:rPr>
        <w:t xml:space="preserve">, </w:t>
      </w:r>
      <w:r w:rsidRPr="00FC0418">
        <w:rPr>
          <w:rFonts w:ascii="Verdana" w:hAnsi="Verdana"/>
          <w:sz w:val="16"/>
          <w:szCs w:val="16"/>
        </w:rPr>
        <w:t>Considerandos 11 y 30.</w:t>
      </w:r>
    </w:p>
  </w:footnote>
  <w:footnote w:id="22">
    <w:p w14:paraId="57776AEF" w14:textId="77777777" w:rsidR="002101C2" w:rsidRPr="00FC0418" w:rsidRDefault="002101C2" w:rsidP="00FC0418">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i/>
          <w:sz w:val="16"/>
          <w:szCs w:val="16"/>
        </w:rPr>
        <w:tab/>
        <w:t>Cfr.</w:t>
      </w:r>
      <w:r w:rsidRPr="00FC0418">
        <w:rPr>
          <w:rFonts w:ascii="Verdana" w:hAnsi="Verdana"/>
          <w:sz w:val="16"/>
          <w:szCs w:val="16"/>
        </w:rPr>
        <w:t xml:space="preserve"> </w:t>
      </w:r>
      <w:r w:rsidR="00CF184C" w:rsidRPr="007611BA">
        <w:rPr>
          <w:rFonts w:ascii="Verdana" w:hAnsi="Verdana"/>
          <w:i/>
          <w:sz w:val="16"/>
          <w:szCs w:val="16"/>
        </w:rPr>
        <w:t>Caso Fornerón</w:t>
      </w:r>
      <w:r w:rsidR="00CF184C">
        <w:rPr>
          <w:rFonts w:ascii="Verdana" w:hAnsi="Verdana"/>
          <w:i/>
          <w:sz w:val="16"/>
          <w:szCs w:val="16"/>
        </w:rPr>
        <w:t xml:space="preserve"> e hija Vs. Argentina, supra </w:t>
      </w:r>
      <w:r w:rsidR="00CF184C">
        <w:rPr>
          <w:rFonts w:ascii="Verdana" w:hAnsi="Verdana"/>
          <w:sz w:val="16"/>
          <w:szCs w:val="16"/>
        </w:rPr>
        <w:t>nota</w:t>
      </w:r>
      <w:r w:rsidR="00B74118">
        <w:rPr>
          <w:rFonts w:ascii="Verdana" w:hAnsi="Verdana"/>
          <w:sz w:val="16"/>
          <w:szCs w:val="16"/>
        </w:rPr>
        <w:t xml:space="preserve"> </w:t>
      </w:r>
      <w:r w:rsidR="005F5E06">
        <w:rPr>
          <w:rFonts w:ascii="Verdana" w:hAnsi="Verdana"/>
          <w:sz w:val="16"/>
          <w:szCs w:val="16"/>
        </w:rPr>
        <w:t>6</w:t>
      </w:r>
      <w:r w:rsidR="00CF184C">
        <w:rPr>
          <w:rFonts w:ascii="Verdana" w:hAnsi="Verdana"/>
          <w:sz w:val="16"/>
          <w:szCs w:val="16"/>
        </w:rPr>
        <w:t xml:space="preserve">, </w:t>
      </w:r>
      <w:r w:rsidRPr="00FC0418">
        <w:rPr>
          <w:rFonts w:ascii="Verdana" w:hAnsi="Verdana"/>
          <w:sz w:val="16"/>
          <w:szCs w:val="16"/>
        </w:rPr>
        <w:t>Considerando 31.</w:t>
      </w:r>
    </w:p>
  </w:footnote>
  <w:footnote w:id="23">
    <w:p w14:paraId="1B4E47F1" w14:textId="07DD7B4E" w:rsidR="006F020F" w:rsidRPr="00FC0418" w:rsidRDefault="006F020F" w:rsidP="006F020F">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r>
      <w:r w:rsidRPr="00FC0418">
        <w:rPr>
          <w:rFonts w:ascii="Verdana" w:hAnsi="Verdana"/>
          <w:i/>
          <w:sz w:val="16"/>
          <w:szCs w:val="16"/>
        </w:rPr>
        <w:t xml:space="preserve">Cfr. </w:t>
      </w:r>
      <w:r w:rsidR="00CF184C" w:rsidRPr="007611BA">
        <w:rPr>
          <w:rFonts w:ascii="Verdana" w:hAnsi="Verdana"/>
          <w:i/>
          <w:sz w:val="16"/>
          <w:szCs w:val="16"/>
        </w:rPr>
        <w:t>Caso Fornerón</w:t>
      </w:r>
      <w:r w:rsidR="00CF184C">
        <w:rPr>
          <w:rFonts w:ascii="Verdana" w:hAnsi="Verdana"/>
          <w:i/>
          <w:sz w:val="16"/>
          <w:szCs w:val="16"/>
        </w:rPr>
        <w:t xml:space="preserve"> e hija Vs. Argentina, supra </w:t>
      </w:r>
      <w:r w:rsidR="00CF184C">
        <w:rPr>
          <w:rFonts w:ascii="Verdana" w:hAnsi="Verdana"/>
          <w:sz w:val="16"/>
          <w:szCs w:val="16"/>
        </w:rPr>
        <w:t xml:space="preserve">nota </w:t>
      </w:r>
      <w:r w:rsidR="00CF184C">
        <w:rPr>
          <w:rFonts w:ascii="Verdana" w:hAnsi="Verdana"/>
          <w:sz w:val="16"/>
          <w:szCs w:val="16"/>
        </w:rPr>
        <w:fldChar w:fldCharType="begin"/>
      </w:r>
      <w:r w:rsidR="00CF184C">
        <w:rPr>
          <w:rFonts w:ascii="Verdana" w:hAnsi="Verdana"/>
          <w:sz w:val="16"/>
          <w:szCs w:val="16"/>
        </w:rPr>
        <w:instrText xml:space="preserve"> NOTEREF _Ref21531678 \h </w:instrText>
      </w:r>
      <w:r w:rsidR="00CF184C">
        <w:rPr>
          <w:rFonts w:ascii="Verdana" w:hAnsi="Verdana"/>
          <w:sz w:val="16"/>
          <w:szCs w:val="16"/>
        </w:rPr>
      </w:r>
      <w:r w:rsidR="00CF184C">
        <w:rPr>
          <w:rFonts w:ascii="Verdana" w:hAnsi="Verdana"/>
          <w:sz w:val="16"/>
          <w:szCs w:val="16"/>
        </w:rPr>
        <w:fldChar w:fldCharType="separate"/>
      </w:r>
      <w:r w:rsidR="007B61B6">
        <w:rPr>
          <w:rFonts w:ascii="Verdana" w:hAnsi="Verdana"/>
          <w:sz w:val="16"/>
          <w:szCs w:val="16"/>
        </w:rPr>
        <w:t>18</w:t>
      </w:r>
      <w:r w:rsidR="00CF184C">
        <w:rPr>
          <w:rFonts w:ascii="Verdana" w:hAnsi="Verdana"/>
          <w:sz w:val="16"/>
          <w:szCs w:val="16"/>
        </w:rPr>
        <w:fldChar w:fldCharType="end"/>
      </w:r>
      <w:r w:rsidR="005F5E06">
        <w:rPr>
          <w:rFonts w:ascii="Verdana" w:hAnsi="Verdana"/>
          <w:sz w:val="16"/>
          <w:szCs w:val="16"/>
        </w:rPr>
        <w:t>6</w:t>
      </w:r>
      <w:r w:rsidR="00CF184C">
        <w:rPr>
          <w:rFonts w:ascii="Verdana" w:hAnsi="Verdana"/>
          <w:sz w:val="16"/>
          <w:szCs w:val="16"/>
        </w:rPr>
        <w:t xml:space="preserve">, </w:t>
      </w:r>
      <w:r w:rsidRPr="00FC0418">
        <w:rPr>
          <w:rFonts w:ascii="Verdana" w:hAnsi="Verdana"/>
          <w:sz w:val="16"/>
          <w:szCs w:val="16"/>
        </w:rPr>
        <w:t xml:space="preserve">Considerando 17. </w:t>
      </w:r>
    </w:p>
  </w:footnote>
  <w:footnote w:id="24">
    <w:p w14:paraId="252A985B" w14:textId="77777777" w:rsidR="002101C2" w:rsidRPr="00FC0418" w:rsidRDefault="002101C2" w:rsidP="00FC0418">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r>
      <w:r w:rsidRPr="00FC0418">
        <w:rPr>
          <w:rFonts w:ascii="Verdana" w:hAnsi="Verdana"/>
          <w:i/>
          <w:sz w:val="16"/>
          <w:szCs w:val="16"/>
        </w:rPr>
        <w:t xml:space="preserve">Cfr. </w:t>
      </w:r>
      <w:r w:rsidR="007D52B4" w:rsidRPr="007611BA">
        <w:rPr>
          <w:rFonts w:ascii="Verdana" w:hAnsi="Verdana"/>
          <w:i/>
          <w:sz w:val="16"/>
          <w:szCs w:val="16"/>
        </w:rPr>
        <w:t>Caso Fornerón</w:t>
      </w:r>
      <w:r w:rsidR="007D52B4">
        <w:rPr>
          <w:rFonts w:ascii="Verdana" w:hAnsi="Verdana"/>
          <w:i/>
          <w:sz w:val="16"/>
          <w:szCs w:val="16"/>
        </w:rPr>
        <w:t xml:space="preserve"> e hija Vs. Argentina, supra </w:t>
      </w:r>
      <w:r w:rsidR="007D52B4">
        <w:rPr>
          <w:rFonts w:ascii="Verdana" w:hAnsi="Verdana"/>
          <w:sz w:val="16"/>
          <w:szCs w:val="16"/>
        </w:rPr>
        <w:t>nota</w:t>
      </w:r>
      <w:r w:rsidR="00B74118">
        <w:rPr>
          <w:rFonts w:ascii="Verdana" w:hAnsi="Verdana"/>
          <w:sz w:val="16"/>
          <w:szCs w:val="16"/>
        </w:rPr>
        <w:t xml:space="preserve"> </w:t>
      </w:r>
      <w:r w:rsidR="005F5E06">
        <w:rPr>
          <w:rFonts w:ascii="Verdana" w:hAnsi="Verdana"/>
          <w:sz w:val="16"/>
          <w:szCs w:val="16"/>
        </w:rPr>
        <w:t>6</w:t>
      </w:r>
      <w:r w:rsidR="007D52B4">
        <w:rPr>
          <w:rFonts w:ascii="Verdana" w:hAnsi="Verdana"/>
          <w:sz w:val="16"/>
          <w:szCs w:val="16"/>
        </w:rPr>
        <w:t xml:space="preserve">, </w:t>
      </w:r>
      <w:r w:rsidRPr="00FC0418">
        <w:rPr>
          <w:rFonts w:ascii="Verdana" w:hAnsi="Verdana"/>
          <w:sz w:val="16"/>
          <w:szCs w:val="16"/>
        </w:rPr>
        <w:t>Considerando 32.</w:t>
      </w:r>
    </w:p>
  </w:footnote>
  <w:footnote w:id="25">
    <w:p w14:paraId="6E23B08D" w14:textId="055D9F09" w:rsidR="002101C2" w:rsidRPr="00FC0418" w:rsidRDefault="002101C2" w:rsidP="00FC0418">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t>Junto con su escrito de</w:t>
      </w:r>
      <w:r w:rsidRPr="00FC0418">
        <w:rPr>
          <w:rFonts w:ascii="Verdana" w:hAnsi="Verdana"/>
          <w:i/>
          <w:sz w:val="16"/>
          <w:szCs w:val="16"/>
        </w:rPr>
        <w:t xml:space="preserve"> </w:t>
      </w:r>
      <w:r w:rsidRPr="00FC0418">
        <w:rPr>
          <w:rFonts w:ascii="Verdana" w:hAnsi="Verdana"/>
          <w:sz w:val="16"/>
          <w:szCs w:val="16"/>
        </w:rPr>
        <w:t>7 de marzo de 2019 el Estado aportó un informe, de fecha 14 de febrero</w:t>
      </w:r>
      <w:r w:rsidR="00FC10FE">
        <w:rPr>
          <w:rFonts w:ascii="Verdana" w:hAnsi="Verdana"/>
          <w:sz w:val="16"/>
          <w:szCs w:val="16"/>
        </w:rPr>
        <w:t xml:space="preserve"> </w:t>
      </w:r>
      <w:r w:rsidR="006838C8">
        <w:rPr>
          <w:rFonts w:ascii="Verdana" w:hAnsi="Verdana"/>
          <w:sz w:val="16"/>
          <w:szCs w:val="16"/>
        </w:rPr>
        <w:t>de 2019</w:t>
      </w:r>
      <w:r w:rsidRPr="00FC0418">
        <w:rPr>
          <w:rFonts w:ascii="Verdana" w:hAnsi="Verdana"/>
          <w:sz w:val="16"/>
          <w:szCs w:val="16"/>
        </w:rPr>
        <w:t>, elaborado por el Juez Juan E. Lloveras, Juez de Familia, Civil y Penal de Victoria, quien ha acompañado el procedimiento de vinculación entre el señor Fornerón y M. En dicho informe, el juez transcribió las actas de las audiencias realizadas en diciembre de 2017</w:t>
      </w:r>
      <w:r w:rsidR="005F5E06">
        <w:rPr>
          <w:rFonts w:ascii="Verdana" w:hAnsi="Verdana"/>
          <w:sz w:val="16"/>
          <w:szCs w:val="16"/>
        </w:rPr>
        <w:t>;</w:t>
      </w:r>
      <w:r w:rsidRPr="00FC0418">
        <w:rPr>
          <w:rFonts w:ascii="Verdana" w:hAnsi="Verdana"/>
          <w:sz w:val="16"/>
          <w:szCs w:val="16"/>
        </w:rPr>
        <w:t xml:space="preserve"> da cuenta de los informes elaborados por la SENAF respecto de los encuentros que se realizaron entre el señor Fornerón y M. en el 2018, y transcribe su decisión de dar por concluida su intervención en este proceso. Además, en la audiencia privada </w:t>
      </w:r>
      <w:r w:rsidR="00332F69">
        <w:rPr>
          <w:rFonts w:ascii="Verdana" w:hAnsi="Verdana"/>
          <w:sz w:val="16"/>
          <w:szCs w:val="16"/>
        </w:rPr>
        <w:t>de supervisión de cumplimiento de sentencia (</w:t>
      </w:r>
      <w:r w:rsidR="00332F69">
        <w:rPr>
          <w:rFonts w:ascii="Verdana" w:hAnsi="Verdana"/>
          <w:i/>
          <w:sz w:val="16"/>
          <w:szCs w:val="16"/>
        </w:rPr>
        <w:t xml:space="preserve">supra </w:t>
      </w:r>
      <w:r w:rsidR="00332F69">
        <w:rPr>
          <w:rFonts w:ascii="Verdana" w:hAnsi="Verdana"/>
          <w:sz w:val="16"/>
          <w:szCs w:val="16"/>
        </w:rPr>
        <w:t xml:space="preserve">Visto </w:t>
      </w:r>
      <w:r w:rsidR="00332F69">
        <w:rPr>
          <w:rFonts w:ascii="Verdana" w:hAnsi="Verdana"/>
          <w:sz w:val="16"/>
          <w:szCs w:val="16"/>
        </w:rPr>
        <w:fldChar w:fldCharType="begin"/>
      </w:r>
      <w:r w:rsidR="00332F69">
        <w:rPr>
          <w:rFonts w:ascii="Verdana" w:hAnsi="Verdana"/>
          <w:sz w:val="16"/>
          <w:szCs w:val="16"/>
        </w:rPr>
        <w:instrText xml:space="preserve"> REF _Ref21531736 \r \h </w:instrText>
      </w:r>
      <w:r w:rsidR="00332F69">
        <w:rPr>
          <w:rFonts w:ascii="Verdana" w:hAnsi="Verdana"/>
          <w:sz w:val="16"/>
          <w:szCs w:val="16"/>
        </w:rPr>
      </w:r>
      <w:r w:rsidR="00332F69">
        <w:rPr>
          <w:rFonts w:ascii="Verdana" w:hAnsi="Verdana"/>
          <w:sz w:val="16"/>
          <w:szCs w:val="16"/>
        </w:rPr>
        <w:fldChar w:fldCharType="separate"/>
      </w:r>
      <w:r w:rsidR="007B61B6">
        <w:rPr>
          <w:rFonts w:ascii="Verdana" w:hAnsi="Verdana"/>
          <w:sz w:val="16"/>
          <w:szCs w:val="16"/>
        </w:rPr>
        <w:t>6</w:t>
      </w:r>
      <w:r w:rsidR="00332F69">
        <w:rPr>
          <w:rFonts w:ascii="Verdana" w:hAnsi="Verdana"/>
          <w:sz w:val="16"/>
          <w:szCs w:val="16"/>
        </w:rPr>
        <w:fldChar w:fldCharType="end"/>
      </w:r>
      <w:r w:rsidR="00332F69">
        <w:rPr>
          <w:rFonts w:ascii="Verdana" w:hAnsi="Verdana"/>
          <w:sz w:val="16"/>
          <w:szCs w:val="16"/>
        </w:rPr>
        <w:t xml:space="preserve">) </w:t>
      </w:r>
      <w:r w:rsidR="00332F69" w:rsidRPr="00FC0418">
        <w:rPr>
          <w:rFonts w:ascii="Verdana" w:hAnsi="Verdana"/>
          <w:sz w:val="16"/>
          <w:szCs w:val="16"/>
        </w:rPr>
        <w:t>particip</w:t>
      </w:r>
      <w:r w:rsidR="00332F69">
        <w:rPr>
          <w:rFonts w:ascii="Verdana" w:hAnsi="Verdana"/>
          <w:sz w:val="16"/>
          <w:szCs w:val="16"/>
        </w:rPr>
        <w:t>aron</w:t>
      </w:r>
      <w:r w:rsidR="00332F69" w:rsidRPr="00FC0418">
        <w:rPr>
          <w:rFonts w:ascii="Verdana" w:hAnsi="Verdana"/>
          <w:sz w:val="16"/>
          <w:szCs w:val="16"/>
        </w:rPr>
        <w:t xml:space="preserve"> </w:t>
      </w:r>
      <w:r w:rsidRPr="00FC0418">
        <w:rPr>
          <w:rFonts w:ascii="Verdana" w:hAnsi="Verdana"/>
          <w:sz w:val="16"/>
          <w:szCs w:val="16"/>
        </w:rPr>
        <w:t>el referido juez y funcionarios de la SENAF.</w:t>
      </w:r>
    </w:p>
  </w:footnote>
  <w:footnote w:id="26">
    <w:p w14:paraId="6A38F4BA" w14:textId="77777777" w:rsidR="002101C2" w:rsidRPr="00FC0418" w:rsidRDefault="002101C2" w:rsidP="00FC0418">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t xml:space="preserve">En esta audiencia se trataron diversas “cuestiones tales como [la] identidad [de M.], la acusación penal a sus padres [adoptivos], los alcances de la </w:t>
      </w:r>
      <w:r w:rsidR="00FC10FE">
        <w:rPr>
          <w:rFonts w:ascii="Verdana" w:hAnsi="Verdana"/>
          <w:sz w:val="16"/>
          <w:szCs w:val="16"/>
        </w:rPr>
        <w:t>[</w:t>
      </w:r>
      <w:r w:rsidRPr="00FC0418">
        <w:rPr>
          <w:rFonts w:ascii="Verdana" w:hAnsi="Verdana"/>
          <w:sz w:val="16"/>
          <w:szCs w:val="16"/>
        </w:rPr>
        <w:t>S</w:t>
      </w:r>
      <w:r w:rsidR="00FC10FE">
        <w:rPr>
          <w:rFonts w:ascii="Verdana" w:hAnsi="Verdana"/>
          <w:sz w:val="16"/>
          <w:szCs w:val="16"/>
        </w:rPr>
        <w:t>]</w:t>
      </w:r>
      <w:r w:rsidRPr="00FC0418">
        <w:rPr>
          <w:rFonts w:ascii="Verdana" w:hAnsi="Verdana"/>
          <w:sz w:val="16"/>
          <w:szCs w:val="16"/>
        </w:rPr>
        <w:t>entencia de la Corte Interamericana de Derechos Humanos, su tratamiento terapéutico y otros aspectos relacionados al proceso”</w:t>
      </w:r>
      <w:r w:rsidR="005F5E06">
        <w:rPr>
          <w:rFonts w:ascii="Verdana" w:hAnsi="Verdana"/>
          <w:sz w:val="16"/>
          <w:szCs w:val="16"/>
        </w:rPr>
        <w:t xml:space="preserve"> de vinculación</w:t>
      </w:r>
      <w:r w:rsidRPr="00FC0418">
        <w:rPr>
          <w:rFonts w:ascii="Verdana" w:hAnsi="Verdana"/>
          <w:sz w:val="16"/>
          <w:szCs w:val="16"/>
        </w:rPr>
        <w:t xml:space="preserve">. Además, M. expresó su parecer con respecto al proceso de vinculación y su relación con el señor Fornerón. </w:t>
      </w:r>
    </w:p>
  </w:footnote>
  <w:footnote w:id="27">
    <w:p w14:paraId="261165CE" w14:textId="77777777" w:rsidR="002101C2" w:rsidRPr="00FC0418" w:rsidRDefault="002101C2" w:rsidP="00FC0418">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r>
      <w:r w:rsidR="007D52B4">
        <w:rPr>
          <w:rFonts w:ascii="Verdana" w:hAnsi="Verdana"/>
          <w:i/>
          <w:sz w:val="16"/>
          <w:szCs w:val="16"/>
        </w:rPr>
        <w:t xml:space="preserve">Cfr. </w:t>
      </w:r>
      <w:r w:rsidR="007D52B4" w:rsidRPr="007611BA">
        <w:rPr>
          <w:rFonts w:ascii="Verdana" w:hAnsi="Verdana"/>
          <w:i/>
          <w:sz w:val="16"/>
          <w:szCs w:val="16"/>
        </w:rPr>
        <w:t>Caso Fornerón</w:t>
      </w:r>
      <w:r w:rsidR="007D52B4">
        <w:rPr>
          <w:rFonts w:ascii="Verdana" w:hAnsi="Verdana"/>
          <w:i/>
          <w:sz w:val="16"/>
          <w:szCs w:val="16"/>
        </w:rPr>
        <w:t xml:space="preserve"> e hija Vs. Argentina, supra </w:t>
      </w:r>
      <w:r w:rsidR="007D52B4">
        <w:rPr>
          <w:rFonts w:ascii="Verdana" w:hAnsi="Verdana"/>
          <w:sz w:val="16"/>
          <w:szCs w:val="16"/>
        </w:rPr>
        <w:t>nota</w:t>
      </w:r>
      <w:r w:rsidR="004A5930">
        <w:rPr>
          <w:rFonts w:ascii="Verdana" w:hAnsi="Verdana"/>
          <w:sz w:val="16"/>
          <w:szCs w:val="16"/>
        </w:rPr>
        <w:t xml:space="preserve"> </w:t>
      </w:r>
      <w:r w:rsidR="00303B66">
        <w:rPr>
          <w:rFonts w:ascii="Verdana" w:hAnsi="Verdana"/>
          <w:sz w:val="16"/>
          <w:szCs w:val="16"/>
        </w:rPr>
        <w:t>6</w:t>
      </w:r>
      <w:r w:rsidR="007D52B4">
        <w:rPr>
          <w:rFonts w:ascii="Verdana" w:hAnsi="Verdana"/>
          <w:sz w:val="16"/>
          <w:szCs w:val="16"/>
        </w:rPr>
        <w:t xml:space="preserve">, </w:t>
      </w:r>
      <w:r w:rsidRPr="00FC0418">
        <w:rPr>
          <w:rFonts w:ascii="Verdana" w:hAnsi="Verdana"/>
          <w:sz w:val="16"/>
          <w:szCs w:val="16"/>
        </w:rPr>
        <w:t>Considerando 26</w:t>
      </w:r>
      <w:r w:rsidR="00303B66">
        <w:rPr>
          <w:rFonts w:ascii="Verdana" w:hAnsi="Verdana"/>
          <w:sz w:val="16"/>
          <w:szCs w:val="16"/>
        </w:rPr>
        <w:t>,</w:t>
      </w:r>
      <w:r w:rsidRPr="00FC0418">
        <w:rPr>
          <w:rFonts w:ascii="Verdana" w:hAnsi="Verdana"/>
          <w:sz w:val="16"/>
          <w:szCs w:val="16"/>
        </w:rPr>
        <w:t xml:space="preserve"> y Considerando </w:t>
      </w:r>
      <w:r w:rsidR="00303B66">
        <w:rPr>
          <w:rFonts w:ascii="Verdana" w:hAnsi="Verdana"/>
          <w:sz w:val="16"/>
          <w:szCs w:val="16"/>
        </w:rPr>
        <w:t>8</w:t>
      </w:r>
      <w:r w:rsidR="00303B66" w:rsidRPr="00FC0418">
        <w:rPr>
          <w:rFonts w:ascii="Verdana" w:hAnsi="Verdana"/>
          <w:sz w:val="16"/>
          <w:szCs w:val="16"/>
        </w:rPr>
        <w:t xml:space="preserve"> </w:t>
      </w:r>
      <w:r w:rsidRPr="00FC0418">
        <w:rPr>
          <w:rFonts w:ascii="Verdana" w:hAnsi="Verdana"/>
          <w:sz w:val="16"/>
          <w:szCs w:val="16"/>
        </w:rPr>
        <w:t>de la presente Resolución.</w:t>
      </w:r>
    </w:p>
  </w:footnote>
  <w:footnote w:id="28">
    <w:p w14:paraId="047B4856" w14:textId="77777777" w:rsidR="002101C2" w:rsidRPr="00FC0418" w:rsidRDefault="002101C2" w:rsidP="00FC0418">
      <w:pPr>
        <w:pStyle w:val="Textonotapie"/>
        <w:tabs>
          <w:tab w:val="left" w:pos="426"/>
        </w:tabs>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t xml:space="preserve">Respecto a la indemnización por concepto de daño inmaterial </w:t>
      </w:r>
      <w:r w:rsidR="00332F69">
        <w:rPr>
          <w:rFonts w:ascii="Verdana" w:hAnsi="Verdana"/>
          <w:sz w:val="16"/>
          <w:szCs w:val="16"/>
        </w:rPr>
        <w:t xml:space="preserve">a favor </w:t>
      </w:r>
      <w:r w:rsidRPr="00FC0418">
        <w:rPr>
          <w:rFonts w:ascii="Verdana" w:hAnsi="Verdana"/>
          <w:sz w:val="16"/>
          <w:szCs w:val="16"/>
        </w:rPr>
        <w:t>de M., en el párrafo 197 de la Sentencia, la Corte “</w:t>
      </w:r>
      <w:proofErr w:type="spellStart"/>
      <w:r w:rsidRPr="00FC0418">
        <w:rPr>
          <w:rFonts w:ascii="Verdana" w:hAnsi="Verdana"/>
          <w:sz w:val="16"/>
          <w:szCs w:val="16"/>
        </w:rPr>
        <w:t>fij</w:t>
      </w:r>
      <w:proofErr w:type="spellEnd"/>
      <w:r w:rsidRPr="00FC0418">
        <w:rPr>
          <w:rFonts w:ascii="Verdana" w:hAnsi="Verdana"/>
          <w:sz w:val="16"/>
          <w:szCs w:val="16"/>
        </w:rPr>
        <w:t>[</w:t>
      </w:r>
      <w:proofErr w:type="spellStart"/>
      <w:r w:rsidRPr="00FC0418">
        <w:rPr>
          <w:rFonts w:ascii="Verdana" w:hAnsi="Verdana"/>
          <w:sz w:val="16"/>
          <w:szCs w:val="16"/>
        </w:rPr>
        <w:t>ó</w:t>
      </w:r>
      <w:proofErr w:type="spellEnd"/>
      <w:r w:rsidRPr="00FC0418">
        <w:rPr>
          <w:rFonts w:ascii="Verdana" w:hAnsi="Verdana"/>
          <w:sz w:val="16"/>
          <w:szCs w:val="16"/>
        </w:rPr>
        <w:t xml:space="preserve">], en equidad, […] la suma de US$ 40.000,00 (cuarenta mil dólares </w:t>
      </w:r>
      <w:r w:rsidR="007D52B4">
        <w:rPr>
          <w:rFonts w:ascii="Verdana" w:hAnsi="Verdana"/>
          <w:sz w:val="16"/>
          <w:szCs w:val="16"/>
        </w:rPr>
        <w:t>[</w:t>
      </w:r>
      <w:r w:rsidRPr="00FC0418">
        <w:rPr>
          <w:rFonts w:ascii="Verdana" w:hAnsi="Verdana"/>
          <w:sz w:val="16"/>
          <w:szCs w:val="16"/>
        </w:rPr>
        <w:t>de los Estados Unidos de América</w:t>
      </w:r>
      <w:r w:rsidR="007D52B4">
        <w:rPr>
          <w:rFonts w:ascii="Verdana" w:hAnsi="Verdana"/>
          <w:sz w:val="16"/>
          <w:szCs w:val="16"/>
        </w:rPr>
        <w:t>]</w:t>
      </w:r>
      <w:r w:rsidRPr="00FC0418">
        <w:rPr>
          <w:rFonts w:ascii="Verdana" w:hAnsi="Verdana"/>
          <w:sz w:val="16"/>
          <w:szCs w:val="16"/>
        </w:rPr>
        <w:t xml:space="preserve">)”. </w:t>
      </w:r>
    </w:p>
  </w:footnote>
  <w:footnote w:id="29">
    <w:p w14:paraId="0892BD13" w14:textId="77777777" w:rsidR="002101C2" w:rsidRPr="00FC0418" w:rsidRDefault="002101C2" w:rsidP="00FC0418">
      <w:pPr>
        <w:pStyle w:val="Textonotapie"/>
        <w:jc w:val="both"/>
        <w:rPr>
          <w:rFonts w:ascii="Verdana" w:hAnsi="Verdana"/>
          <w:sz w:val="16"/>
          <w:szCs w:val="16"/>
          <w:lang w:val="es-ES"/>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lang w:val="es-ES"/>
        </w:rPr>
        <w:tab/>
      </w:r>
      <w:r w:rsidR="007D52B4">
        <w:rPr>
          <w:rFonts w:ascii="Verdana" w:hAnsi="Verdana"/>
          <w:i/>
          <w:sz w:val="16"/>
          <w:szCs w:val="16"/>
          <w:lang w:val="es-ES"/>
        </w:rPr>
        <w:t xml:space="preserve">Cfr. </w:t>
      </w:r>
      <w:r w:rsidR="007D52B4" w:rsidRPr="007611BA">
        <w:rPr>
          <w:rFonts w:ascii="Verdana" w:hAnsi="Verdana"/>
          <w:i/>
          <w:sz w:val="16"/>
          <w:szCs w:val="16"/>
        </w:rPr>
        <w:t>Caso Fornerón</w:t>
      </w:r>
      <w:r w:rsidR="007D52B4">
        <w:rPr>
          <w:rFonts w:ascii="Verdana" w:hAnsi="Verdana"/>
          <w:i/>
          <w:sz w:val="16"/>
          <w:szCs w:val="16"/>
        </w:rPr>
        <w:t xml:space="preserve"> e hija Vs. Argentina, supra </w:t>
      </w:r>
      <w:r w:rsidR="007D52B4">
        <w:rPr>
          <w:rFonts w:ascii="Verdana" w:hAnsi="Verdana"/>
          <w:sz w:val="16"/>
          <w:szCs w:val="16"/>
        </w:rPr>
        <w:t>nota</w:t>
      </w:r>
      <w:r w:rsidR="004A5930">
        <w:rPr>
          <w:rFonts w:ascii="Verdana" w:hAnsi="Verdana"/>
          <w:sz w:val="16"/>
          <w:szCs w:val="16"/>
        </w:rPr>
        <w:t xml:space="preserve"> </w:t>
      </w:r>
      <w:r w:rsidR="00303B66">
        <w:rPr>
          <w:rFonts w:ascii="Verdana" w:hAnsi="Verdana"/>
          <w:sz w:val="16"/>
          <w:szCs w:val="16"/>
        </w:rPr>
        <w:t>6</w:t>
      </w:r>
      <w:r w:rsidR="007D52B4">
        <w:rPr>
          <w:rFonts w:ascii="Verdana" w:hAnsi="Verdana"/>
          <w:sz w:val="16"/>
          <w:szCs w:val="16"/>
        </w:rPr>
        <w:t xml:space="preserve">, </w:t>
      </w:r>
      <w:r w:rsidRPr="00FC0418">
        <w:rPr>
          <w:rFonts w:ascii="Verdana" w:hAnsi="Verdana"/>
          <w:sz w:val="16"/>
          <w:szCs w:val="16"/>
          <w:lang w:val="es-ES"/>
        </w:rPr>
        <w:t>Considerandos 72 a 77.</w:t>
      </w:r>
    </w:p>
  </w:footnote>
  <w:footnote w:id="30">
    <w:p w14:paraId="006C2D5D" w14:textId="77777777" w:rsidR="002101C2" w:rsidRPr="00FC0418" w:rsidRDefault="002101C2" w:rsidP="00FC0418">
      <w:pPr>
        <w:pStyle w:val="Textonotapie"/>
        <w:jc w:val="both"/>
        <w:rPr>
          <w:rFonts w:ascii="Verdana" w:hAnsi="Verdana"/>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r>
      <w:r w:rsidR="0098791D">
        <w:rPr>
          <w:rFonts w:ascii="Verdana" w:hAnsi="Verdana"/>
          <w:i/>
          <w:sz w:val="16"/>
          <w:szCs w:val="16"/>
          <w:lang w:val="es-ES"/>
        </w:rPr>
        <w:t xml:space="preserve">Cfr. </w:t>
      </w:r>
      <w:r w:rsidR="0098791D" w:rsidRPr="007611BA">
        <w:rPr>
          <w:rFonts w:ascii="Verdana" w:hAnsi="Verdana"/>
          <w:i/>
          <w:sz w:val="16"/>
          <w:szCs w:val="16"/>
        </w:rPr>
        <w:t>Caso Fornerón</w:t>
      </w:r>
      <w:r w:rsidR="0098791D">
        <w:rPr>
          <w:rFonts w:ascii="Verdana" w:hAnsi="Verdana"/>
          <w:i/>
          <w:sz w:val="16"/>
          <w:szCs w:val="16"/>
        </w:rPr>
        <w:t xml:space="preserve"> e hija Vs. Argentina, supra </w:t>
      </w:r>
      <w:r w:rsidR="0098791D">
        <w:rPr>
          <w:rFonts w:ascii="Verdana" w:hAnsi="Verdana"/>
          <w:sz w:val="16"/>
          <w:szCs w:val="16"/>
        </w:rPr>
        <w:t>nota</w:t>
      </w:r>
      <w:r w:rsidR="004A5930">
        <w:rPr>
          <w:rFonts w:ascii="Verdana" w:hAnsi="Verdana"/>
          <w:sz w:val="16"/>
          <w:szCs w:val="16"/>
        </w:rPr>
        <w:t xml:space="preserve"> </w:t>
      </w:r>
      <w:r w:rsidR="00303B66">
        <w:rPr>
          <w:rFonts w:ascii="Verdana" w:hAnsi="Verdana"/>
          <w:sz w:val="16"/>
          <w:szCs w:val="16"/>
        </w:rPr>
        <w:t>6</w:t>
      </w:r>
      <w:r w:rsidR="0098791D">
        <w:rPr>
          <w:rFonts w:ascii="Verdana" w:hAnsi="Verdana"/>
          <w:sz w:val="16"/>
          <w:szCs w:val="16"/>
        </w:rPr>
        <w:t xml:space="preserve">, </w:t>
      </w:r>
      <w:r w:rsidRPr="00FC0418">
        <w:rPr>
          <w:rFonts w:ascii="Verdana" w:hAnsi="Verdana"/>
          <w:sz w:val="16"/>
          <w:szCs w:val="16"/>
        </w:rPr>
        <w:t>Considerando 76.</w:t>
      </w:r>
    </w:p>
  </w:footnote>
  <w:footnote w:id="31">
    <w:p w14:paraId="511509BF" w14:textId="77777777" w:rsidR="002101C2" w:rsidRPr="00FC0418" w:rsidRDefault="002101C2" w:rsidP="00FC0418">
      <w:pPr>
        <w:pStyle w:val="Textonotapie"/>
        <w:jc w:val="both"/>
        <w:rPr>
          <w:rFonts w:ascii="Verdana" w:hAnsi="Verdana"/>
          <w:b/>
          <w:sz w:val="16"/>
          <w:szCs w:val="16"/>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r>
      <w:r w:rsidR="002A1381">
        <w:rPr>
          <w:rFonts w:ascii="Verdana" w:hAnsi="Verdana"/>
          <w:sz w:val="16"/>
          <w:szCs w:val="16"/>
        </w:rPr>
        <w:t>Junto con su informe de 29 de marzo de 2019 el Estado “</w:t>
      </w:r>
      <w:proofErr w:type="spellStart"/>
      <w:r w:rsidR="002A1381">
        <w:rPr>
          <w:rFonts w:ascii="Verdana" w:hAnsi="Verdana"/>
          <w:sz w:val="16"/>
          <w:szCs w:val="16"/>
        </w:rPr>
        <w:t>acompañ</w:t>
      </w:r>
      <w:proofErr w:type="spellEnd"/>
      <w:r w:rsidR="002A1381">
        <w:rPr>
          <w:rFonts w:ascii="Verdana" w:hAnsi="Verdana"/>
          <w:sz w:val="16"/>
          <w:szCs w:val="16"/>
        </w:rPr>
        <w:t>[</w:t>
      </w:r>
      <w:proofErr w:type="spellStart"/>
      <w:r w:rsidR="002A1381">
        <w:rPr>
          <w:rFonts w:ascii="Verdana" w:hAnsi="Verdana"/>
          <w:sz w:val="16"/>
          <w:szCs w:val="16"/>
        </w:rPr>
        <w:t>ó</w:t>
      </w:r>
      <w:proofErr w:type="spellEnd"/>
      <w:r w:rsidR="002A1381">
        <w:rPr>
          <w:rFonts w:ascii="Verdana" w:hAnsi="Verdana"/>
          <w:sz w:val="16"/>
          <w:szCs w:val="16"/>
        </w:rPr>
        <w:t>] una comunicación remitida por la Dirección de Obligaciones a cargo del Tesoro del Ministerio de Hacienda de la Nación, mediante la cual informa que se dio debido cumplimiento a la totalidad de las reparaciones pecuniarias, habiendo sido efectuado el pago de la indemnización correspondiente a la niña M.”. Además, e</w:t>
      </w:r>
      <w:r w:rsidRPr="00FC0418">
        <w:rPr>
          <w:rFonts w:ascii="Verdana" w:hAnsi="Verdana"/>
          <w:sz w:val="16"/>
          <w:szCs w:val="16"/>
        </w:rPr>
        <w:t>l Estado aportó una planilla</w:t>
      </w:r>
      <w:r w:rsidR="002A1381">
        <w:rPr>
          <w:rFonts w:ascii="Verdana" w:hAnsi="Verdana"/>
          <w:sz w:val="16"/>
          <w:szCs w:val="16"/>
        </w:rPr>
        <w:t xml:space="preserve"> que detalla</w:t>
      </w:r>
      <w:r w:rsidRPr="00FC0418">
        <w:rPr>
          <w:rFonts w:ascii="Verdana" w:hAnsi="Verdana"/>
          <w:sz w:val="16"/>
          <w:szCs w:val="16"/>
        </w:rPr>
        <w:t xml:space="preserve"> la información de</w:t>
      </w:r>
      <w:r w:rsidR="002A1381">
        <w:rPr>
          <w:rFonts w:ascii="Verdana" w:hAnsi="Verdana"/>
          <w:sz w:val="16"/>
          <w:szCs w:val="16"/>
        </w:rPr>
        <w:t xml:space="preserve"> las fechas en que fueron efectuados</w:t>
      </w:r>
      <w:r w:rsidRPr="00FC0418">
        <w:rPr>
          <w:rFonts w:ascii="Verdana" w:hAnsi="Verdana"/>
          <w:sz w:val="16"/>
          <w:szCs w:val="16"/>
        </w:rPr>
        <w:t xml:space="preserve"> los pagos a los beneficiarios de la Sentencia,</w:t>
      </w:r>
      <w:r w:rsidR="002A1381">
        <w:rPr>
          <w:rFonts w:ascii="Verdana" w:hAnsi="Verdana"/>
          <w:sz w:val="16"/>
          <w:szCs w:val="16"/>
        </w:rPr>
        <w:t xml:space="preserve"> las tasas de intereses y cambiarias utilizadas y los montos pagados. En dicha planilla </w:t>
      </w:r>
      <w:r w:rsidRPr="00FC0418">
        <w:rPr>
          <w:rFonts w:ascii="Verdana" w:hAnsi="Verdana"/>
          <w:sz w:val="16"/>
          <w:szCs w:val="16"/>
        </w:rPr>
        <w:t xml:space="preserve">se incluyó </w:t>
      </w:r>
      <w:r w:rsidR="002A1381">
        <w:rPr>
          <w:rFonts w:ascii="Verdana" w:hAnsi="Verdana"/>
          <w:sz w:val="16"/>
          <w:szCs w:val="16"/>
        </w:rPr>
        <w:t>la información relativa a</w:t>
      </w:r>
      <w:r w:rsidRPr="00FC0418">
        <w:rPr>
          <w:rFonts w:ascii="Verdana" w:hAnsi="Verdana"/>
          <w:sz w:val="16"/>
          <w:szCs w:val="16"/>
        </w:rPr>
        <w:t xml:space="preserve">l pago </w:t>
      </w:r>
      <w:r w:rsidR="002A1381">
        <w:rPr>
          <w:rFonts w:ascii="Verdana" w:hAnsi="Verdana"/>
          <w:sz w:val="16"/>
          <w:szCs w:val="16"/>
        </w:rPr>
        <w:t>a</w:t>
      </w:r>
      <w:r w:rsidR="002A1381" w:rsidRPr="00FC0418">
        <w:rPr>
          <w:rFonts w:ascii="Verdana" w:hAnsi="Verdana"/>
          <w:sz w:val="16"/>
          <w:szCs w:val="16"/>
        </w:rPr>
        <w:t xml:space="preserve"> </w:t>
      </w:r>
      <w:r w:rsidRPr="00FC0418">
        <w:rPr>
          <w:rFonts w:ascii="Verdana" w:hAnsi="Verdana"/>
          <w:sz w:val="16"/>
          <w:szCs w:val="16"/>
        </w:rPr>
        <w:t>M.</w:t>
      </w:r>
      <w:r w:rsidR="002A1381">
        <w:rPr>
          <w:rFonts w:ascii="Verdana" w:hAnsi="Verdana"/>
          <w:sz w:val="16"/>
          <w:szCs w:val="16"/>
        </w:rPr>
        <w:t xml:space="preserve"> Por estos motivos, Argentina “</w:t>
      </w:r>
      <w:proofErr w:type="spellStart"/>
      <w:r w:rsidR="002A1381">
        <w:rPr>
          <w:rFonts w:ascii="Verdana" w:hAnsi="Verdana"/>
          <w:sz w:val="16"/>
          <w:szCs w:val="16"/>
        </w:rPr>
        <w:t>solicit</w:t>
      </w:r>
      <w:proofErr w:type="spellEnd"/>
      <w:r w:rsidR="002A1381">
        <w:rPr>
          <w:rFonts w:ascii="Verdana" w:hAnsi="Verdana"/>
          <w:sz w:val="16"/>
          <w:szCs w:val="16"/>
        </w:rPr>
        <w:t>[</w:t>
      </w:r>
      <w:proofErr w:type="spellStart"/>
      <w:r w:rsidR="002A1381">
        <w:rPr>
          <w:rFonts w:ascii="Verdana" w:hAnsi="Verdana"/>
          <w:sz w:val="16"/>
          <w:szCs w:val="16"/>
        </w:rPr>
        <w:t>ó</w:t>
      </w:r>
      <w:proofErr w:type="spellEnd"/>
      <w:r w:rsidR="002A1381">
        <w:rPr>
          <w:rFonts w:ascii="Verdana" w:hAnsi="Verdana"/>
          <w:sz w:val="16"/>
          <w:szCs w:val="16"/>
        </w:rPr>
        <w:t>] la conclusión de la supervisión de sentencia con relación a [esta] medida […] de reparación”.</w:t>
      </w:r>
    </w:p>
  </w:footnote>
  <w:footnote w:id="32">
    <w:p w14:paraId="2F23D0BC" w14:textId="77777777" w:rsidR="002101C2" w:rsidRPr="00FC0418" w:rsidRDefault="002101C2" w:rsidP="00FC0418">
      <w:pPr>
        <w:pStyle w:val="Textonotapie"/>
        <w:jc w:val="both"/>
        <w:rPr>
          <w:rFonts w:ascii="Verdana" w:hAnsi="Verdana"/>
          <w:sz w:val="16"/>
          <w:szCs w:val="16"/>
          <w:lang w:val="es-ES"/>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lang w:val="es-ES"/>
        </w:rPr>
        <w:tab/>
      </w:r>
      <w:r w:rsidR="00563320">
        <w:rPr>
          <w:rFonts w:ascii="Verdana" w:hAnsi="Verdana"/>
          <w:i/>
          <w:sz w:val="16"/>
          <w:szCs w:val="16"/>
          <w:lang w:val="es-ES"/>
        </w:rPr>
        <w:t xml:space="preserve">Cfr. </w:t>
      </w:r>
      <w:r w:rsidR="00563320" w:rsidRPr="007611BA">
        <w:rPr>
          <w:rFonts w:ascii="Verdana" w:hAnsi="Verdana"/>
          <w:i/>
          <w:sz w:val="16"/>
          <w:szCs w:val="16"/>
        </w:rPr>
        <w:t>Caso Fornerón</w:t>
      </w:r>
      <w:r w:rsidR="00563320">
        <w:rPr>
          <w:rFonts w:ascii="Verdana" w:hAnsi="Verdana"/>
          <w:i/>
          <w:sz w:val="16"/>
          <w:szCs w:val="16"/>
        </w:rPr>
        <w:t xml:space="preserve"> e hija Vs. Argentina, supra </w:t>
      </w:r>
      <w:r w:rsidR="00563320">
        <w:rPr>
          <w:rFonts w:ascii="Verdana" w:hAnsi="Verdana"/>
          <w:sz w:val="16"/>
          <w:szCs w:val="16"/>
        </w:rPr>
        <w:t>nota</w:t>
      </w:r>
      <w:r w:rsidR="004A5930">
        <w:rPr>
          <w:rFonts w:ascii="Verdana" w:hAnsi="Verdana"/>
          <w:sz w:val="16"/>
          <w:szCs w:val="16"/>
        </w:rPr>
        <w:t xml:space="preserve"> </w:t>
      </w:r>
      <w:r w:rsidR="0014372A">
        <w:rPr>
          <w:rFonts w:ascii="Verdana" w:hAnsi="Verdana"/>
          <w:sz w:val="16"/>
          <w:szCs w:val="16"/>
        </w:rPr>
        <w:t>6</w:t>
      </w:r>
      <w:r w:rsidR="00563320">
        <w:rPr>
          <w:rFonts w:ascii="Verdana" w:hAnsi="Verdana"/>
          <w:sz w:val="16"/>
          <w:szCs w:val="16"/>
        </w:rPr>
        <w:t xml:space="preserve">, </w:t>
      </w:r>
      <w:r w:rsidRPr="00FC0418">
        <w:rPr>
          <w:rFonts w:ascii="Verdana" w:hAnsi="Verdana"/>
          <w:sz w:val="16"/>
          <w:szCs w:val="16"/>
          <w:lang w:val="es-ES"/>
        </w:rPr>
        <w:t xml:space="preserve">Considerandos 33 a 48. </w:t>
      </w:r>
    </w:p>
  </w:footnote>
  <w:footnote w:id="33">
    <w:p w14:paraId="0C0B9444" w14:textId="7986745A" w:rsidR="002101C2" w:rsidRPr="00FC0418" w:rsidRDefault="002101C2" w:rsidP="00FC0418">
      <w:pPr>
        <w:pStyle w:val="Textonotapie"/>
        <w:jc w:val="both"/>
        <w:rPr>
          <w:rFonts w:ascii="Verdana" w:hAnsi="Verdana"/>
          <w:sz w:val="16"/>
          <w:szCs w:val="16"/>
          <w:lang w:val="es-ES"/>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lang w:val="es-ES"/>
        </w:rPr>
        <w:tab/>
        <w:t xml:space="preserve">Los imputados fueron </w:t>
      </w:r>
      <w:r w:rsidR="00563320">
        <w:rPr>
          <w:rFonts w:ascii="Verdana" w:hAnsi="Verdana"/>
          <w:sz w:val="16"/>
          <w:szCs w:val="16"/>
          <w:lang w:val="es-ES"/>
        </w:rPr>
        <w:t>“</w:t>
      </w:r>
      <w:r w:rsidRPr="00FC0418">
        <w:rPr>
          <w:rFonts w:ascii="Verdana" w:hAnsi="Verdana"/>
          <w:sz w:val="16"/>
          <w:szCs w:val="16"/>
          <w:lang w:val="es-ES"/>
        </w:rPr>
        <w:t xml:space="preserve">funcionarios estatales que intervinieron en los distintos procesos relacionados con la guarda y adopción de M. e intermediarios que tuvieron participación en </w:t>
      </w:r>
      <w:r w:rsidR="00563320">
        <w:rPr>
          <w:rFonts w:ascii="Verdana" w:hAnsi="Verdana"/>
          <w:sz w:val="16"/>
          <w:szCs w:val="16"/>
          <w:lang w:val="es-ES"/>
        </w:rPr>
        <w:t xml:space="preserve">los </w:t>
      </w:r>
      <w:r w:rsidRPr="00FC0418">
        <w:rPr>
          <w:rFonts w:ascii="Verdana" w:hAnsi="Verdana"/>
          <w:sz w:val="16"/>
          <w:szCs w:val="16"/>
          <w:lang w:val="es-ES"/>
        </w:rPr>
        <w:t xml:space="preserve">distintos </w:t>
      </w:r>
      <w:r w:rsidR="00563320">
        <w:rPr>
          <w:rFonts w:ascii="Verdana" w:hAnsi="Verdana"/>
          <w:sz w:val="16"/>
          <w:szCs w:val="16"/>
          <w:lang w:val="es-ES"/>
        </w:rPr>
        <w:t>procesos</w:t>
      </w:r>
      <w:r w:rsidRPr="00FC0418">
        <w:rPr>
          <w:rFonts w:ascii="Verdana" w:hAnsi="Verdana"/>
          <w:sz w:val="16"/>
          <w:szCs w:val="16"/>
          <w:lang w:val="es-ES"/>
        </w:rPr>
        <w:t>,</w:t>
      </w:r>
      <w:r w:rsidR="00563320">
        <w:rPr>
          <w:rFonts w:ascii="Verdana" w:hAnsi="Verdana"/>
          <w:sz w:val="16"/>
          <w:szCs w:val="16"/>
          <w:lang w:val="es-ES"/>
        </w:rPr>
        <w:t xml:space="preserve"> […]</w:t>
      </w:r>
      <w:r w:rsidR="0014372A">
        <w:rPr>
          <w:rFonts w:ascii="Verdana" w:hAnsi="Verdana"/>
          <w:sz w:val="16"/>
          <w:szCs w:val="16"/>
          <w:lang w:val="es-ES"/>
        </w:rPr>
        <w:t xml:space="preserve"> </w:t>
      </w:r>
      <w:r w:rsidRPr="00FC0418">
        <w:rPr>
          <w:rFonts w:ascii="Verdana" w:hAnsi="Verdana"/>
          <w:sz w:val="16"/>
          <w:szCs w:val="16"/>
          <w:lang w:val="es-ES"/>
        </w:rPr>
        <w:t>el matrimonio adoptivo B-Z</w:t>
      </w:r>
      <w:r w:rsidR="00563320" w:rsidRPr="00563320">
        <w:rPr>
          <w:rFonts w:ascii="Verdana" w:hAnsi="Verdana"/>
          <w:sz w:val="16"/>
          <w:szCs w:val="16"/>
          <w:lang w:val="es-ES"/>
        </w:rPr>
        <w:t xml:space="preserve"> </w:t>
      </w:r>
      <w:r w:rsidR="00563320" w:rsidRPr="00FC0418">
        <w:rPr>
          <w:rFonts w:ascii="Verdana" w:hAnsi="Verdana"/>
          <w:sz w:val="16"/>
          <w:szCs w:val="16"/>
          <w:lang w:val="es-ES"/>
        </w:rPr>
        <w:t>y</w:t>
      </w:r>
      <w:r w:rsidR="00563320" w:rsidRPr="00563320">
        <w:rPr>
          <w:rFonts w:ascii="Verdana" w:hAnsi="Verdana"/>
          <w:sz w:val="16"/>
          <w:szCs w:val="16"/>
          <w:lang w:val="es-ES"/>
        </w:rPr>
        <w:t xml:space="preserve"> </w:t>
      </w:r>
      <w:r w:rsidR="00563320" w:rsidRPr="00FC0418">
        <w:rPr>
          <w:rFonts w:ascii="Verdana" w:hAnsi="Verdana"/>
          <w:sz w:val="16"/>
          <w:szCs w:val="16"/>
          <w:lang w:val="es-ES"/>
        </w:rPr>
        <w:t>la madre biológica de M</w:t>
      </w:r>
      <w:r w:rsidR="00563320">
        <w:rPr>
          <w:rFonts w:ascii="Verdana" w:hAnsi="Verdana"/>
          <w:sz w:val="16"/>
          <w:szCs w:val="16"/>
          <w:lang w:val="es-ES"/>
        </w:rPr>
        <w:t>.”</w:t>
      </w:r>
      <w:r w:rsidR="0014372A">
        <w:rPr>
          <w:rFonts w:ascii="Verdana" w:hAnsi="Verdana"/>
          <w:sz w:val="16"/>
          <w:szCs w:val="16"/>
          <w:lang w:val="es-ES"/>
        </w:rPr>
        <w:t>.</w:t>
      </w:r>
      <w:r w:rsidR="00563320">
        <w:rPr>
          <w:rFonts w:ascii="Verdana" w:hAnsi="Verdana"/>
          <w:sz w:val="16"/>
          <w:szCs w:val="16"/>
          <w:lang w:val="es-ES"/>
        </w:rPr>
        <w:t xml:space="preserve"> </w:t>
      </w:r>
      <w:r w:rsidR="00563320">
        <w:rPr>
          <w:rFonts w:ascii="Verdana" w:hAnsi="Verdana"/>
          <w:i/>
          <w:sz w:val="16"/>
          <w:szCs w:val="16"/>
          <w:lang w:val="es-ES"/>
        </w:rPr>
        <w:t xml:space="preserve">Cfr. </w:t>
      </w:r>
      <w:r w:rsidR="00563320" w:rsidRPr="007611BA">
        <w:rPr>
          <w:rFonts w:ascii="Verdana" w:hAnsi="Verdana"/>
          <w:i/>
          <w:sz w:val="16"/>
          <w:szCs w:val="16"/>
        </w:rPr>
        <w:t>Caso Fornerón</w:t>
      </w:r>
      <w:r w:rsidR="00563320">
        <w:rPr>
          <w:rFonts w:ascii="Verdana" w:hAnsi="Verdana"/>
          <w:i/>
          <w:sz w:val="16"/>
          <w:szCs w:val="16"/>
        </w:rPr>
        <w:t xml:space="preserve"> e hija Vs. Argentina, supra </w:t>
      </w:r>
      <w:r w:rsidR="00563320">
        <w:rPr>
          <w:rFonts w:ascii="Verdana" w:hAnsi="Verdana"/>
          <w:sz w:val="16"/>
          <w:szCs w:val="16"/>
        </w:rPr>
        <w:t xml:space="preserve">nota </w:t>
      </w:r>
      <w:r w:rsidR="00563320">
        <w:rPr>
          <w:rFonts w:ascii="Verdana" w:hAnsi="Verdana"/>
          <w:sz w:val="16"/>
          <w:szCs w:val="16"/>
        </w:rPr>
        <w:fldChar w:fldCharType="begin"/>
      </w:r>
      <w:r w:rsidR="00563320">
        <w:rPr>
          <w:rFonts w:ascii="Verdana" w:hAnsi="Verdana"/>
          <w:sz w:val="16"/>
          <w:szCs w:val="16"/>
        </w:rPr>
        <w:instrText xml:space="preserve"> NOTEREF _Ref21531678 \h </w:instrText>
      </w:r>
      <w:r w:rsidR="00563320">
        <w:rPr>
          <w:rFonts w:ascii="Verdana" w:hAnsi="Verdana"/>
          <w:sz w:val="16"/>
          <w:szCs w:val="16"/>
        </w:rPr>
      </w:r>
      <w:r w:rsidR="00563320">
        <w:rPr>
          <w:rFonts w:ascii="Verdana" w:hAnsi="Verdana"/>
          <w:sz w:val="16"/>
          <w:szCs w:val="16"/>
        </w:rPr>
        <w:fldChar w:fldCharType="separate"/>
      </w:r>
      <w:r w:rsidR="007B61B6">
        <w:rPr>
          <w:rFonts w:ascii="Verdana" w:hAnsi="Verdana"/>
          <w:sz w:val="16"/>
          <w:szCs w:val="16"/>
        </w:rPr>
        <w:t>18</w:t>
      </w:r>
      <w:r w:rsidR="00563320">
        <w:rPr>
          <w:rFonts w:ascii="Verdana" w:hAnsi="Verdana"/>
          <w:sz w:val="16"/>
          <w:szCs w:val="16"/>
        </w:rPr>
        <w:fldChar w:fldCharType="end"/>
      </w:r>
      <w:r w:rsidR="0014372A">
        <w:rPr>
          <w:rFonts w:ascii="Verdana" w:hAnsi="Verdana"/>
          <w:sz w:val="16"/>
          <w:szCs w:val="16"/>
        </w:rPr>
        <w:t>6</w:t>
      </w:r>
      <w:r w:rsidR="00563320">
        <w:rPr>
          <w:rFonts w:ascii="Verdana" w:hAnsi="Verdana"/>
          <w:sz w:val="16"/>
          <w:szCs w:val="16"/>
        </w:rPr>
        <w:t xml:space="preserve">, </w:t>
      </w:r>
      <w:r w:rsidR="00563320" w:rsidRPr="00FC0418">
        <w:rPr>
          <w:rFonts w:ascii="Verdana" w:hAnsi="Verdana"/>
          <w:sz w:val="16"/>
          <w:szCs w:val="16"/>
          <w:lang w:val="es-ES"/>
        </w:rPr>
        <w:t>Considerando</w:t>
      </w:r>
      <w:r w:rsidR="00563320">
        <w:rPr>
          <w:rFonts w:ascii="Verdana" w:hAnsi="Verdana"/>
          <w:sz w:val="16"/>
          <w:szCs w:val="16"/>
          <w:lang w:val="es-ES"/>
        </w:rPr>
        <w:t xml:space="preserve"> 45</w:t>
      </w:r>
      <w:r w:rsidRPr="00FC0418">
        <w:rPr>
          <w:rFonts w:ascii="Verdana" w:hAnsi="Verdana"/>
          <w:sz w:val="16"/>
          <w:szCs w:val="16"/>
          <w:lang w:val="es-ES"/>
        </w:rPr>
        <w:t xml:space="preserve">. </w:t>
      </w:r>
    </w:p>
  </w:footnote>
  <w:footnote w:id="34">
    <w:p w14:paraId="3343B19F" w14:textId="77777777" w:rsidR="002101C2" w:rsidRPr="00FC0418" w:rsidRDefault="002101C2" w:rsidP="00FC0418">
      <w:pPr>
        <w:pStyle w:val="Textonotapie"/>
        <w:jc w:val="both"/>
        <w:rPr>
          <w:rFonts w:ascii="Verdana" w:hAnsi="Verdana"/>
          <w:sz w:val="16"/>
          <w:szCs w:val="16"/>
          <w:lang w:val="es-ES"/>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lang w:val="es-ES"/>
        </w:rPr>
        <w:tab/>
        <w:t xml:space="preserve">Entre ellos la madre biológica de M. y el matrimonio adoptivo B-Z. </w:t>
      </w:r>
    </w:p>
  </w:footnote>
  <w:footnote w:id="35">
    <w:p w14:paraId="4701EE16" w14:textId="77777777" w:rsidR="002101C2" w:rsidRPr="00FC0418" w:rsidRDefault="002101C2" w:rsidP="00FC0418">
      <w:pPr>
        <w:pStyle w:val="Textonotapie"/>
        <w:jc w:val="both"/>
        <w:rPr>
          <w:rFonts w:ascii="Verdana" w:hAnsi="Verdana"/>
          <w:sz w:val="16"/>
          <w:szCs w:val="16"/>
          <w:lang w:val="es-ES"/>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lang w:val="es-ES"/>
        </w:rPr>
        <w:tab/>
      </w:r>
      <w:r w:rsidR="00AC3D2A">
        <w:rPr>
          <w:rFonts w:ascii="Verdana" w:hAnsi="Verdana"/>
          <w:i/>
          <w:sz w:val="16"/>
          <w:szCs w:val="16"/>
          <w:lang w:val="es-ES"/>
        </w:rPr>
        <w:t xml:space="preserve">Cfr. </w:t>
      </w:r>
      <w:r w:rsidR="00AC3D2A" w:rsidRPr="007611BA">
        <w:rPr>
          <w:rFonts w:ascii="Verdana" w:hAnsi="Verdana"/>
          <w:i/>
          <w:sz w:val="16"/>
          <w:szCs w:val="16"/>
        </w:rPr>
        <w:t>Caso Fornerón</w:t>
      </w:r>
      <w:r w:rsidR="00AC3D2A">
        <w:rPr>
          <w:rFonts w:ascii="Verdana" w:hAnsi="Verdana"/>
          <w:i/>
          <w:sz w:val="16"/>
          <w:szCs w:val="16"/>
        </w:rPr>
        <w:t xml:space="preserve"> e hija Vs. Argentina, supra </w:t>
      </w:r>
      <w:r w:rsidR="00AC3D2A">
        <w:rPr>
          <w:rFonts w:ascii="Verdana" w:hAnsi="Verdana"/>
          <w:sz w:val="16"/>
          <w:szCs w:val="16"/>
        </w:rPr>
        <w:t>nota</w:t>
      </w:r>
      <w:r w:rsidR="004A5930">
        <w:rPr>
          <w:rFonts w:ascii="Verdana" w:hAnsi="Verdana"/>
          <w:sz w:val="16"/>
          <w:szCs w:val="16"/>
        </w:rPr>
        <w:t xml:space="preserve"> </w:t>
      </w:r>
      <w:r w:rsidR="00E805F6">
        <w:rPr>
          <w:rFonts w:ascii="Verdana" w:hAnsi="Verdana"/>
          <w:sz w:val="16"/>
          <w:szCs w:val="16"/>
        </w:rPr>
        <w:t>6</w:t>
      </w:r>
      <w:r w:rsidR="00AC3D2A">
        <w:rPr>
          <w:rFonts w:ascii="Verdana" w:hAnsi="Verdana"/>
          <w:sz w:val="16"/>
          <w:szCs w:val="16"/>
        </w:rPr>
        <w:t xml:space="preserve">, </w:t>
      </w:r>
      <w:r w:rsidRPr="00FC0418">
        <w:rPr>
          <w:rFonts w:ascii="Verdana" w:hAnsi="Verdana"/>
          <w:sz w:val="16"/>
          <w:szCs w:val="16"/>
          <w:lang w:val="es-ES"/>
        </w:rPr>
        <w:t>Considerandos 49 a 56.</w:t>
      </w:r>
    </w:p>
  </w:footnote>
  <w:footnote w:id="36">
    <w:p w14:paraId="3017AD37" w14:textId="77777777" w:rsidR="002101C2" w:rsidRPr="00FC0418" w:rsidRDefault="002101C2" w:rsidP="00FC0418">
      <w:pPr>
        <w:pStyle w:val="Textonotapie"/>
        <w:jc w:val="both"/>
        <w:rPr>
          <w:rFonts w:ascii="Verdana" w:hAnsi="Verdana"/>
          <w:sz w:val="16"/>
          <w:szCs w:val="16"/>
          <w:lang w:val="es-ES"/>
        </w:rPr>
      </w:pPr>
      <w:r w:rsidRPr="00FC0418">
        <w:rPr>
          <w:rStyle w:val="Refdenotaalpie"/>
          <w:rFonts w:ascii="Verdana" w:hAnsi="Verdana"/>
          <w:sz w:val="16"/>
          <w:szCs w:val="16"/>
        </w:rPr>
        <w:footnoteRef/>
      </w:r>
      <w:r w:rsidRPr="00FC0418">
        <w:rPr>
          <w:rFonts w:ascii="Verdana" w:hAnsi="Verdana"/>
          <w:sz w:val="16"/>
          <w:szCs w:val="16"/>
        </w:rPr>
        <w:t xml:space="preserve"> </w:t>
      </w:r>
      <w:r w:rsidRPr="00FC0418">
        <w:rPr>
          <w:rFonts w:ascii="Verdana" w:hAnsi="Verdana"/>
          <w:sz w:val="16"/>
          <w:szCs w:val="16"/>
        </w:rPr>
        <w:tab/>
        <w:t xml:space="preserve">En particular, se requirió a Argentina que explicara </w:t>
      </w:r>
      <w:r w:rsidR="003D40D7">
        <w:rPr>
          <w:rFonts w:ascii="Verdana" w:hAnsi="Verdana"/>
          <w:sz w:val="16"/>
          <w:szCs w:val="16"/>
        </w:rPr>
        <w:t>“</w:t>
      </w:r>
      <w:r w:rsidRPr="00FC0418">
        <w:rPr>
          <w:rFonts w:ascii="Verdana" w:hAnsi="Verdana"/>
          <w:sz w:val="16"/>
          <w:szCs w:val="16"/>
        </w:rPr>
        <w:t>cómo pretende tipificar la venta de niños y niñas para otros fines distintos a una pretendida relación de filiación o un proceso de adopción ilegal</w:t>
      </w:r>
      <w:r w:rsidR="003D40D7">
        <w:rPr>
          <w:rFonts w:ascii="Verdana" w:hAnsi="Verdana"/>
          <w:sz w:val="16"/>
          <w:szCs w:val="16"/>
        </w:rPr>
        <w:t>”</w:t>
      </w:r>
      <w:r w:rsidRPr="00FC0418">
        <w:rPr>
          <w:rFonts w:ascii="Verdana" w:hAnsi="Verdana"/>
          <w:sz w:val="16"/>
          <w:szCs w:val="16"/>
        </w:rPr>
        <w:t xml:space="preserve">, y que se refiriera a las </w:t>
      </w:r>
      <w:r w:rsidR="003D40D7">
        <w:rPr>
          <w:rFonts w:ascii="Verdana" w:hAnsi="Verdana"/>
          <w:sz w:val="16"/>
          <w:szCs w:val="16"/>
        </w:rPr>
        <w:t>“</w:t>
      </w:r>
      <w:r w:rsidRPr="00FC0418">
        <w:rPr>
          <w:rFonts w:ascii="Verdana" w:hAnsi="Verdana"/>
          <w:sz w:val="16"/>
          <w:szCs w:val="16"/>
        </w:rPr>
        <w:t>excluyentes de responsabilidad penal previstas en los proyectos de ley</w:t>
      </w:r>
      <w:r w:rsidR="003D40D7">
        <w:rPr>
          <w:rFonts w:ascii="Verdana" w:hAnsi="Verdana"/>
          <w:sz w:val="16"/>
          <w:szCs w:val="16"/>
        </w:rPr>
        <w:t>”</w:t>
      </w:r>
      <w:r w:rsidRPr="00FC0418">
        <w:rPr>
          <w:rFonts w:ascii="Verdana" w:hAnsi="Verdana"/>
          <w:sz w:val="16"/>
          <w:szCs w:val="16"/>
        </w:rPr>
        <w:t xml:space="preserve"> sobre los cuales informó, y </w:t>
      </w:r>
      <w:r w:rsidR="003D40D7">
        <w:rPr>
          <w:rFonts w:ascii="Verdana" w:hAnsi="Verdana"/>
          <w:sz w:val="16"/>
          <w:szCs w:val="16"/>
        </w:rPr>
        <w:t>“</w:t>
      </w:r>
      <w:r w:rsidRPr="00FC0418">
        <w:rPr>
          <w:rFonts w:ascii="Verdana" w:hAnsi="Verdana"/>
          <w:sz w:val="16"/>
          <w:szCs w:val="16"/>
        </w:rPr>
        <w:t>cómo estas excepciones o limitaciones se adecuarían a los estándares internacionales de tipificación de venta de niños y niñas</w:t>
      </w:r>
      <w:r w:rsidR="003D40D7">
        <w:rPr>
          <w:rFonts w:ascii="Verdana" w:hAnsi="Verdana"/>
          <w:sz w:val="16"/>
          <w:szCs w:val="16"/>
        </w:rPr>
        <w:t>”</w:t>
      </w:r>
      <w:r w:rsidRPr="00FC0418">
        <w:rPr>
          <w:rFonts w:ascii="Verdana" w:hAnsi="Verdana"/>
          <w:sz w:val="16"/>
          <w:szCs w:val="16"/>
        </w:rPr>
        <w:t xml:space="preserve"> contenidos en la Sentencia</w:t>
      </w:r>
      <w:r w:rsidR="003D40D7">
        <w:rPr>
          <w:rFonts w:ascii="Verdana" w:hAnsi="Verdana"/>
          <w:sz w:val="16"/>
          <w:szCs w:val="16"/>
        </w:rPr>
        <w:t>.</w:t>
      </w:r>
      <w:r w:rsidR="003D40D7" w:rsidRPr="003D40D7">
        <w:rPr>
          <w:rFonts w:ascii="Verdana" w:hAnsi="Verdana"/>
          <w:i/>
          <w:sz w:val="16"/>
          <w:szCs w:val="16"/>
          <w:lang w:val="es-ES"/>
        </w:rPr>
        <w:t xml:space="preserve"> </w:t>
      </w:r>
      <w:r w:rsidR="003D40D7">
        <w:rPr>
          <w:rFonts w:ascii="Verdana" w:hAnsi="Verdana"/>
          <w:i/>
          <w:sz w:val="16"/>
          <w:szCs w:val="16"/>
          <w:lang w:val="es-ES"/>
        </w:rPr>
        <w:t xml:space="preserve">Cfr. </w:t>
      </w:r>
      <w:r w:rsidR="003D40D7" w:rsidRPr="007611BA">
        <w:rPr>
          <w:rFonts w:ascii="Verdana" w:hAnsi="Verdana"/>
          <w:i/>
          <w:sz w:val="16"/>
          <w:szCs w:val="16"/>
        </w:rPr>
        <w:t>Caso Fornerón</w:t>
      </w:r>
      <w:r w:rsidR="003D40D7">
        <w:rPr>
          <w:rFonts w:ascii="Verdana" w:hAnsi="Verdana"/>
          <w:i/>
          <w:sz w:val="16"/>
          <w:szCs w:val="16"/>
        </w:rPr>
        <w:t xml:space="preserve"> e hija Vs. Argentina, supra </w:t>
      </w:r>
      <w:r w:rsidR="003D40D7">
        <w:rPr>
          <w:rFonts w:ascii="Verdana" w:hAnsi="Verdana"/>
          <w:sz w:val="16"/>
          <w:szCs w:val="16"/>
        </w:rPr>
        <w:t>nota</w:t>
      </w:r>
      <w:r w:rsidR="004A5930">
        <w:rPr>
          <w:rFonts w:ascii="Verdana" w:hAnsi="Verdana"/>
          <w:sz w:val="16"/>
          <w:szCs w:val="16"/>
        </w:rPr>
        <w:t xml:space="preserve"> </w:t>
      </w:r>
      <w:r w:rsidR="00E805F6">
        <w:rPr>
          <w:rFonts w:ascii="Verdana" w:hAnsi="Verdana"/>
          <w:sz w:val="16"/>
          <w:szCs w:val="16"/>
        </w:rPr>
        <w:t>6</w:t>
      </w:r>
      <w:r w:rsidR="003D40D7">
        <w:rPr>
          <w:rFonts w:ascii="Verdana" w:hAnsi="Verdana"/>
          <w:sz w:val="16"/>
          <w:szCs w:val="16"/>
        </w:rPr>
        <w:t>, Considerando 54</w:t>
      </w:r>
      <w:r w:rsidRPr="00FC0418">
        <w:rPr>
          <w:rFonts w:ascii="Verdana" w:hAnsi="Verdana"/>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EA0"/>
    <w:multiLevelType w:val="hybridMultilevel"/>
    <w:tmpl w:val="C456A8F4"/>
    <w:lvl w:ilvl="0" w:tplc="5566B49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45975AF"/>
    <w:multiLevelType w:val="hybridMultilevel"/>
    <w:tmpl w:val="769A8C74"/>
    <w:lvl w:ilvl="0" w:tplc="BF4A1162">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E57391"/>
    <w:multiLevelType w:val="hybridMultilevel"/>
    <w:tmpl w:val="BDA87D80"/>
    <w:lvl w:ilvl="0" w:tplc="F4C247CA">
      <w:start w:val="1"/>
      <w:numFmt w:val="decimal"/>
      <w:lvlText w:val="%1."/>
      <w:lvlJc w:val="left"/>
      <w:pPr>
        <w:ind w:left="720" w:hanging="360"/>
      </w:pPr>
      <w:rPr>
        <w:rFonts w:ascii="Verdana" w:hAnsi="Verdan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F555699"/>
    <w:multiLevelType w:val="hybridMultilevel"/>
    <w:tmpl w:val="6D76AA7C"/>
    <w:lvl w:ilvl="0" w:tplc="E610A7D2">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FFF21A0"/>
    <w:multiLevelType w:val="hybridMultilevel"/>
    <w:tmpl w:val="922E8DB2"/>
    <w:lvl w:ilvl="0" w:tplc="FF10B30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1EF7E60"/>
    <w:multiLevelType w:val="hybridMultilevel"/>
    <w:tmpl w:val="E7EE5104"/>
    <w:lvl w:ilvl="0" w:tplc="172A26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944D71"/>
    <w:multiLevelType w:val="hybridMultilevel"/>
    <w:tmpl w:val="769A8C74"/>
    <w:lvl w:ilvl="0" w:tplc="BF4A1162">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6B078C3"/>
    <w:multiLevelType w:val="hybridMultilevel"/>
    <w:tmpl w:val="143200FA"/>
    <w:lvl w:ilvl="0" w:tplc="DB8AB648">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03E2"/>
    <w:multiLevelType w:val="hybridMultilevel"/>
    <w:tmpl w:val="F5B821BC"/>
    <w:lvl w:ilvl="0" w:tplc="30D0FA70">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2D27152"/>
    <w:multiLevelType w:val="hybridMultilevel"/>
    <w:tmpl w:val="922E8DB2"/>
    <w:lvl w:ilvl="0" w:tplc="FF10B30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C414D38"/>
    <w:multiLevelType w:val="hybridMultilevel"/>
    <w:tmpl w:val="46DE27E4"/>
    <w:lvl w:ilvl="0" w:tplc="5BE84A3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CA545C2"/>
    <w:multiLevelType w:val="hybridMultilevel"/>
    <w:tmpl w:val="645699D6"/>
    <w:lvl w:ilvl="0" w:tplc="DB8AB648">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A2D9B"/>
    <w:multiLevelType w:val="hybridMultilevel"/>
    <w:tmpl w:val="22BCDA36"/>
    <w:lvl w:ilvl="0" w:tplc="FFCCD182">
      <w:start w:val="1"/>
      <w:numFmt w:val="decimal"/>
      <w:lvlText w:val="%1."/>
      <w:lvlJc w:val="left"/>
      <w:pPr>
        <w:ind w:left="360" w:hanging="360"/>
      </w:pPr>
      <w:rPr>
        <w:rFonts w:ascii="Verdana" w:hAnsi="Verdana"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31955B8"/>
    <w:multiLevelType w:val="hybridMultilevel"/>
    <w:tmpl w:val="75B8A852"/>
    <w:lvl w:ilvl="0" w:tplc="140A0017">
      <w:start w:val="1"/>
      <w:numFmt w:val="lowerLetter"/>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70B4581"/>
    <w:multiLevelType w:val="hybridMultilevel"/>
    <w:tmpl w:val="C03EA0F6"/>
    <w:lvl w:ilvl="0" w:tplc="BF4A116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8396D7B"/>
    <w:multiLevelType w:val="hybridMultilevel"/>
    <w:tmpl w:val="FF421822"/>
    <w:lvl w:ilvl="0" w:tplc="5770F51E">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98F257B"/>
    <w:multiLevelType w:val="hybridMultilevel"/>
    <w:tmpl w:val="D6C60E8E"/>
    <w:lvl w:ilvl="0" w:tplc="140A001B">
      <w:start w:val="1"/>
      <w:numFmt w:val="low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3E7B10"/>
    <w:multiLevelType w:val="hybridMultilevel"/>
    <w:tmpl w:val="F5B821BC"/>
    <w:lvl w:ilvl="0" w:tplc="30D0FA70">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BE0E90"/>
    <w:multiLevelType w:val="hybridMultilevel"/>
    <w:tmpl w:val="68A4D502"/>
    <w:lvl w:ilvl="0" w:tplc="838AAB90">
      <w:start w:val="1"/>
      <w:numFmt w:val="decimal"/>
      <w:lvlText w:val="%1."/>
      <w:lvlJc w:val="left"/>
      <w:pPr>
        <w:ind w:left="2487"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C675C9F"/>
    <w:multiLevelType w:val="hybridMultilevel"/>
    <w:tmpl w:val="D0BAEABA"/>
    <w:lvl w:ilvl="0" w:tplc="6A56DE10">
      <w:start w:val="1"/>
      <w:numFmt w:val="lowerRoman"/>
      <w:lvlText w:val="%1)"/>
      <w:lvlJc w:val="left"/>
      <w:pPr>
        <w:ind w:left="1428" w:hanging="720"/>
      </w:pPr>
      <w:rPr>
        <w:rFonts w:hint="default"/>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0" w15:restartNumberingAfterBreak="0">
    <w:nsid w:val="4ECD4BC6"/>
    <w:multiLevelType w:val="hybridMultilevel"/>
    <w:tmpl w:val="D0BAEABA"/>
    <w:lvl w:ilvl="0" w:tplc="6A56DE10">
      <w:start w:val="1"/>
      <w:numFmt w:val="lowerRoman"/>
      <w:lvlText w:val="%1)"/>
      <w:lvlJc w:val="left"/>
      <w:pPr>
        <w:ind w:left="1428" w:hanging="720"/>
      </w:pPr>
      <w:rPr>
        <w:rFonts w:hint="default"/>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1" w15:restartNumberingAfterBreak="0">
    <w:nsid w:val="5B1C7A63"/>
    <w:multiLevelType w:val="hybridMultilevel"/>
    <w:tmpl w:val="922E8DB2"/>
    <w:lvl w:ilvl="0" w:tplc="FF10B30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DE56BFD"/>
    <w:multiLevelType w:val="hybridMultilevel"/>
    <w:tmpl w:val="7A105A9C"/>
    <w:lvl w:ilvl="0" w:tplc="140A0017">
      <w:start w:val="1"/>
      <w:numFmt w:val="lowerLetter"/>
      <w:lvlText w:val="%1)"/>
      <w:lvlJc w:val="left"/>
      <w:pPr>
        <w:ind w:left="1080" w:hanging="72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E692BFE"/>
    <w:multiLevelType w:val="hybridMultilevel"/>
    <w:tmpl w:val="005C2F30"/>
    <w:lvl w:ilvl="0" w:tplc="BF4A1162">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65A5C6F"/>
    <w:multiLevelType w:val="hybridMultilevel"/>
    <w:tmpl w:val="63149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A1D96"/>
    <w:multiLevelType w:val="hybridMultilevel"/>
    <w:tmpl w:val="1248ADD0"/>
    <w:lvl w:ilvl="0" w:tplc="97E83616">
      <w:start w:val="1"/>
      <w:numFmt w:val="decimal"/>
      <w:lvlText w:val="%1."/>
      <w:lvlJc w:val="left"/>
      <w:pPr>
        <w:ind w:left="6314" w:hanging="360"/>
      </w:pPr>
      <w:rPr>
        <w:rFonts w:ascii="Verdana" w:hAnsi="Verdana" w:hint="default"/>
        <w:b w:val="0"/>
        <w:i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AE36050"/>
    <w:multiLevelType w:val="hybridMultilevel"/>
    <w:tmpl w:val="F4889BD4"/>
    <w:lvl w:ilvl="0" w:tplc="C38EB18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B17326A"/>
    <w:multiLevelType w:val="hybridMultilevel"/>
    <w:tmpl w:val="769A8C74"/>
    <w:lvl w:ilvl="0" w:tplc="BF4A1162">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BD754B7"/>
    <w:multiLevelType w:val="hybridMultilevel"/>
    <w:tmpl w:val="8BA4777A"/>
    <w:lvl w:ilvl="0" w:tplc="BF4A116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58F365A"/>
    <w:multiLevelType w:val="hybridMultilevel"/>
    <w:tmpl w:val="C03EA0F6"/>
    <w:lvl w:ilvl="0" w:tplc="BF4A116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712735"/>
    <w:multiLevelType w:val="hybridMultilevel"/>
    <w:tmpl w:val="6F187C08"/>
    <w:lvl w:ilvl="0" w:tplc="5566B49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C121A9D"/>
    <w:multiLevelType w:val="hybridMultilevel"/>
    <w:tmpl w:val="F17CB6A4"/>
    <w:lvl w:ilvl="0" w:tplc="6C883648">
      <w:start w:val="1"/>
      <w:numFmt w:val="decimal"/>
      <w:lvlText w:val="%1."/>
      <w:lvlJc w:val="left"/>
      <w:pPr>
        <w:ind w:left="360" w:hanging="360"/>
      </w:pPr>
      <w:rPr>
        <w:rFonts w:ascii="Verdana" w:hAnsi="Verdana" w:hint="default"/>
        <w:b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E6D61DF"/>
    <w:multiLevelType w:val="hybridMultilevel"/>
    <w:tmpl w:val="15641662"/>
    <w:lvl w:ilvl="0" w:tplc="BEE84FB2">
      <w:start w:val="1"/>
      <w:numFmt w:val="decimal"/>
      <w:lvlText w:val="%1."/>
      <w:lvlJc w:val="left"/>
      <w:pPr>
        <w:ind w:left="1080" w:hanging="720"/>
      </w:pPr>
      <w:rPr>
        <w:rFonts w:hint="default"/>
        <w:b w:val="0"/>
        <w:color w:val="auto"/>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1"/>
  </w:num>
  <w:num w:numId="4">
    <w:abstractNumId w:val="12"/>
  </w:num>
  <w:num w:numId="5">
    <w:abstractNumId w:val="20"/>
  </w:num>
  <w:num w:numId="6">
    <w:abstractNumId w:val="13"/>
  </w:num>
  <w:num w:numId="7">
    <w:abstractNumId w:val="4"/>
  </w:num>
  <w:num w:numId="8">
    <w:abstractNumId w:val="6"/>
  </w:num>
  <w:num w:numId="9">
    <w:abstractNumId w:val="27"/>
  </w:num>
  <w:num w:numId="10">
    <w:abstractNumId w:val="19"/>
  </w:num>
  <w:num w:numId="11">
    <w:abstractNumId w:val="15"/>
  </w:num>
  <w:num w:numId="12">
    <w:abstractNumId w:val="1"/>
  </w:num>
  <w:num w:numId="13">
    <w:abstractNumId w:val="9"/>
  </w:num>
  <w:num w:numId="14">
    <w:abstractNumId w:val="21"/>
  </w:num>
  <w:num w:numId="15">
    <w:abstractNumId w:val="5"/>
  </w:num>
  <w:num w:numId="16">
    <w:abstractNumId w:val="32"/>
  </w:num>
  <w:num w:numId="17">
    <w:abstractNumId w:val="26"/>
  </w:num>
  <w:num w:numId="18">
    <w:abstractNumId w:val="30"/>
  </w:num>
  <w:num w:numId="19">
    <w:abstractNumId w:val="0"/>
  </w:num>
  <w:num w:numId="20">
    <w:abstractNumId w:val="28"/>
  </w:num>
  <w:num w:numId="21">
    <w:abstractNumId w:val="29"/>
  </w:num>
  <w:num w:numId="22">
    <w:abstractNumId w:val="14"/>
  </w:num>
  <w:num w:numId="23">
    <w:abstractNumId w:val="18"/>
  </w:num>
  <w:num w:numId="24">
    <w:abstractNumId w:val="7"/>
  </w:num>
  <w:num w:numId="25">
    <w:abstractNumId w:val="25"/>
  </w:num>
  <w:num w:numId="26">
    <w:abstractNumId w:val="22"/>
  </w:num>
  <w:num w:numId="27">
    <w:abstractNumId w:val="3"/>
  </w:num>
  <w:num w:numId="28">
    <w:abstractNumId w:val="23"/>
  </w:num>
  <w:num w:numId="29">
    <w:abstractNumId w:val="24"/>
  </w:num>
  <w:num w:numId="30">
    <w:abstractNumId w:val="11"/>
  </w:num>
  <w:num w:numId="31">
    <w:abstractNumId w:val="16"/>
  </w:num>
  <w:num w:numId="32">
    <w:abstractNumId w:val="17"/>
  </w:num>
  <w:num w:numId="3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A6"/>
    <w:rsid w:val="0000040C"/>
    <w:rsid w:val="00004A51"/>
    <w:rsid w:val="000068D5"/>
    <w:rsid w:val="00010A98"/>
    <w:rsid w:val="00011D33"/>
    <w:rsid w:val="000165BD"/>
    <w:rsid w:val="000165EB"/>
    <w:rsid w:val="00020990"/>
    <w:rsid w:val="00026AA1"/>
    <w:rsid w:val="00027201"/>
    <w:rsid w:val="00027599"/>
    <w:rsid w:val="000276EF"/>
    <w:rsid w:val="00043671"/>
    <w:rsid w:val="000466B1"/>
    <w:rsid w:val="000474FA"/>
    <w:rsid w:val="00047F09"/>
    <w:rsid w:val="00050BDE"/>
    <w:rsid w:val="00063386"/>
    <w:rsid w:val="00064EAB"/>
    <w:rsid w:val="000725E7"/>
    <w:rsid w:val="00073256"/>
    <w:rsid w:val="00075B90"/>
    <w:rsid w:val="00075DA5"/>
    <w:rsid w:val="00087550"/>
    <w:rsid w:val="00090A93"/>
    <w:rsid w:val="000917CE"/>
    <w:rsid w:val="000946B1"/>
    <w:rsid w:val="000973AE"/>
    <w:rsid w:val="000A1727"/>
    <w:rsid w:val="000A36AD"/>
    <w:rsid w:val="000A4009"/>
    <w:rsid w:val="000A63A7"/>
    <w:rsid w:val="000B2655"/>
    <w:rsid w:val="000B2701"/>
    <w:rsid w:val="000B30E5"/>
    <w:rsid w:val="000C2D1A"/>
    <w:rsid w:val="000C57AF"/>
    <w:rsid w:val="000D3A30"/>
    <w:rsid w:val="000D481E"/>
    <w:rsid w:val="000E0FC8"/>
    <w:rsid w:val="000E1BD7"/>
    <w:rsid w:val="000E3B5E"/>
    <w:rsid w:val="000E6932"/>
    <w:rsid w:val="000F0FDE"/>
    <w:rsid w:val="000F46A6"/>
    <w:rsid w:val="000F4D8D"/>
    <w:rsid w:val="001027E8"/>
    <w:rsid w:val="00105240"/>
    <w:rsid w:val="00106ECB"/>
    <w:rsid w:val="00112AE1"/>
    <w:rsid w:val="0011507D"/>
    <w:rsid w:val="00117048"/>
    <w:rsid w:val="00121116"/>
    <w:rsid w:val="00121C1D"/>
    <w:rsid w:val="001258AC"/>
    <w:rsid w:val="00126590"/>
    <w:rsid w:val="001315B7"/>
    <w:rsid w:val="00137375"/>
    <w:rsid w:val="00137555"/>
    <w:rsid w:val="0014372A"/>
    <w:rsid w:val="00143FFF"/>
    <w:rsid w:val="0014538A"/>
    <w:rsid w:val="001511D0"/>
    <w:rsid w:val="00151A88"/>
    <w:rsid w:val="00151D78"/>
    <w:rsid w:val="0015218E"/>
    <w:rsid w:val="00157E4F"/>
    <w:rsid w:val="00162E9D"/>
    <w:rsid w:val="001634CE"/>
    <w:rsid w:val="001662BD"/>
    <w:rsid w:val="0016741D"/>
    <w:rsid w:val="0017087F"/>
    <w:rsid w:val="0017184F"/>
    <w:rsid w:val="00171CDB"/>
    <w:rsid w:val="0017642D"/>
    <w:rsid w:val="00184D33"/>
    <w:rsid w:val="00192803"/>
    <w:rsid w:val="001A0D9B"/>
    <w:rsid w:val="001B1BA6"/>
    <w:rsid w:val="001B2F7C"/>
    <w:rsid w:val="001B428C"/>
    <w:rsid w:val="001B605D"/>
    <w:rsid w:val="001C3092"/>
    <w:rsid w:val="001C7977"/>
    <w:rsid w:val="001D27B1"/>
    <w:rsid w:val="001D3CD2"/>
    <w:rsid w:val="001E6705"/>
    <w:rsid w:val="001E6BF9"/>
    <w:rsid w:val="001F158C"/>
    <w:rsid w:val="00202488"/>
    <w:rsid w:val="002101C2"/>
    <w:rsid w:val="00212197"/>
    <w:rsid w:val="00212866"/>
    <w:rsid w:val="00221B53"/>
    <w:rsid w:val="00231D73"/>
    <w:rsid w:val="00234E19"/>
    <w:rsid w:val="00235141"/>
    <w:rsid w:val="00243A3E"/>
    <w:rsid w:val="00250A85"/>
    <w:rsid w:val="00256F89"/>
    <w:rsid w:val="00260745"/>
    <w:rsid w:val="002642BE"/>
    <w:rsid w:val="00264F7D"/>
    <w:rsid w:val="002718F9"/>
    <w:rsid w:val="00276C5E"/>
    <w:rsid w:val="00276C90"/>
    <w:rsid w:val="00281039"/>
    <w:rsid w:val="0028292E"/>
    <w:rsid w:val="002960A0"/>
    <w:rsid w:val="002A1381"/>
    <w:rsid w:val="002A2216"/>
    <w:rsid w:val="002A4F24"/>
    <w:rsid w:val="002B6EA5"/>
    <w:rsid w:val="002C1BC1"/>
    <w:rsid w:val="002C35EC"/>
    <w:rsid w:val="002C6178"/>
    <w:rsid w:val="002D1524"/>
    <w:rsid w:val="002D720B"/>
    <w:rsid w:val="002D7383"/>
    <w:rsid w:val="002D7F3D"/>
    <w:rsid w:val="002E4792"/>
    <w:rsid w:val="002E4B2E"/>
    <w:rsid w:val="002E6EC5"/>
    <w:rsid w:val="00303B66"/>
    <w:rsid w:val="003057A1"/>
    <w:rsid w:val="00307A1C"/>
    <w:rsid w:val="00314939"/>
    <w:rsid w:val="00316C26"/>
    <w:rsid w:val="003174E3"/>
    <w:rsid w:val="0032054F"/>
    <w:rsid w:val="00330B46"/>
    <w:rsid w:val="00332F69"/>
    <w:rsid w:val="00337240"/>
    <w:rsid w:val="003401BB"/>
    <w:rsid w:val="0034091B"/>
    <w:rsid w:val="0034122A"/>
    <w:rsid w:val="00362948"/>
    <w:rsid w:val="00362F56"/>
    <w:rsid w:val="003843DE"/>
    <w:rsid w:val="003A0683"/>
    <w:rsid w:val="003A19BB"/>
    <w:rsid w:val="003A7F33"/>
    <w:rsid w:val="003B1EC6"/>
    <w:rsid w:val="003B4622"/>
    <w:rsid w:val="003B7E80"/>
    <w:rsid w:val="003C2077"/>
    <w:rsid w:val="003C27D9"/>
    <w:rsid w:val="003C2BA9"/>
    <w:rsid w:val="003C3BC4"/>
    <w:rsid w:val="003C413F"/>
    <w:rsid w:val="003C78B5"/>
    <w:rsid w:val="003D1230"/>
    <w:rsid w:val="003D40D7"/>
    <w:rsid w:val="003D673B"/>
    <w:rsid w:val="003E04F4"/>
    <w:rsid w:val="00403B3B"/>
    <w:rsid w:val="00404202"/>
    <w:rsid w:val="00404D1D"/>
    <w:rsid w:val="004073E5"/>
    <w:rsid w:val="00407453"/>
    <w:rsid w:val="00422F7E"/>
    <w:rsid w:val="00434930"/>
    <w:rsid w:val="004536BE"/>
    <w:rsid w:val="00456D3F"/>
    <w:rsid w:val="004571EC"/>
    <w:rsid w:val="00460227"/>
    <w:rsid w:val="00462F70"/>
    <w:rsid w:val="0046457E"/>
    <w:rsid w:val="00473873"/>
    <w:rsid w:val="004769E8"/>
    <w:rsid w:val="00484DB9"/>
    <w:rsid w:val="004858E4"/>
    <w:rsid w:val="00491F8A"/>
    <w:rsid w:val="00492CF3"/>
    <w:rsid w:val="004A1D1A"/>
    <w:rsid w:val="004A4E86"/>
    <w:rsid w:val="004A5930"/>
    <w:rsid w:val="004A5C40"/>
    <w:rsid w:val="004A7E66"/>
    <w:rsid w:val="004B1B5D"/>
    <w:rsid w:val="004B6197"/>
    <w:rsid w:val="004C24B0"/>
    <w:rsid w:val="004C5816"/>
    <w:rsid w:val="004D2BB1"/>
    <w:rsid w:val="004D4215"/>
    <w:rsid w:val="004D7C63"/>
    <w:rsid w:val="004E0DD4"/>
    <w:rsid w:val="004F0308"/>
    <w:rsid w:val="004F46C6"/>
    <w:rsid w:val="00503DD1"/>
    <w:rsid w:val="005116CA"/>
    <w:rsid w:val="00513B57"/>
    <w:rsid w:val="005140D1"/>
    <w:rsid w:val="00522275"/>
    <w:rsid w:val="005349B3"/>
    <w:rsid w:val="005353D5"/>
    <w:rsid w:val="0053657D"/>
    <w:rsid w:val="00546046"/>
    <w:rsid w:val="00550964"/>
    <w:rsid w:val="00554C1F"/>
    <w:rsid w:val="00556011"/>
    <w:rsid w:val="00562AB5"/>
    <w:rsid w:val="00563320"/>
    <w:rsid w:val="0056595A"/>
    <w:rsid w:val="00567615"/>
    <w:rsid w:val="00571CB7"/>
    <w:rsid w:val="0058211B"/>
    <w:rsid w:val="00583A05"/>
    <w:rsid w:val="00585DBA"/>
    <w:rsid w:val="00586203"/>
    <w:rsid w:val="00586E74"/>
    <w:rsid w:val="00590B5B"/>
    <w:rsid w:val="00593FCE"/>
    <w:rsid w:val="0059423C"/>
    <w:rsid w:val="00595979"/>
    <w:rsid w:val="00595DA4"/>
    <w:rsid w:val="005A2F18"/>
    <w:rsid w:val="005A587C"/>
    <w:rsid w:val="005A6EB4"/>
    <w:rsid w:val="005B1459"/>
    <w:rsid w:val="005B1BA2"/>
    <w:rsid w:val="005B47C9"/>
    <w:rsid w:val="005B6D86"/>
    <w:rsid w:val="005B76FD"/>
    <w:rsid w:val="005C0450"/>
    <w:rsid w:val="005C1CD5"/>
    <w:rsid w:val="005C74F7"/>
    <w:rsid w:val="005D1BB8"/>
    <w:rsid w:val="005D5B3C"/>
    <w:rsid w:val="005D792E"/>
    <w:rsid w:val="005E258A"/>
    <w:rsid w:val="005E630A"/>
    <w:rsid w:val="005E663D"/>
    <w:rsid w:val="005F5E06"/>
    <w:rsid w:val="005F7CBD"/>
    <w:rsid w:val="00603BE7"/>
    <w:rsid w:val="0060637B"/>
    <w:rsid w:val="0060722F"/>
    <w:rsid w:val="0060773C"/>
    <w:rsid w:val="00611342"/>
    <w:rsid w:val="006247B5"/>
    <w:rsid w:val="00636E18"/>
    <w:rsid w:val="0064124B"/>
    <w:rsid w:val="00644C7F"/>
    <w:rsid w:val="006461A0"/>
    <w:rsid w:val="006471EB"/>
    <w:rsid w:val="00652909"/>
    <w:rsid w:val="006556B9"/>
    <w:rsid w:val="00657800"/>
    <w:rsid w:val="00657CF1"/>
    <w:rsid w:val="00657F34"/>
    <w:rsid w:val="006672EC"/>
    <w:rsid w:val="00674D88"/>
    <w:rsid w:val="00676DE8"/>
    <w:rsid w:val="006838C8"/>
    <w:rsid w:val="00686C80"/>
    <w:rsid w:val="00687CC8"/>
    <w:rsid w:val="006A0A57"/>
    <w:rsid w:val="006B4A73"/>
    <w:rsid w:val="006C4A5D"/>
    <w:rsid w:val="006D5C1C"/>
    <w:rsid w:val="006E1368"/>
    <w:rsid w:val="006E1E17"/>
    <w:rsid w:val="006E5272"/>
    <w:rsid w:val="006E5E0E"/>
    <w:rsid w:val="006E68DF"/>
    <w:rsid w:val="006E6CA3"/>
    <w:rsid w:val="006E772C"/>
    <w:rsid w:val="006F020F"/>
    <w:rsid w:val="006F1420"/>
    <w:rsid w:val="006F1C7D"/>
    <w:rsid w:val="00703B92"/>
    <w:rsid w:val="00704091"/>
    <w:rsid w:val="00712695"/>
    <w:rsid w:val="007201C3"/>
    <w:rsid w:val="00720224"/>
    <w:rsid w:val="00725B1E"/>
    <w:rsid w:val="00726255"/>
    <w:rsid w:val="00732EFD"/>
    <w:rsid w:val="0073410A"/>
    <w:rsid w:val="007347D5"/>
    <w:rsid w:val="00740EA4"/>
    <w:rsid w:val="00741EB1"/>
    <w:rsid w:val="007430FB"/>
    <w:rsid w:val="0074597A"/>
    <w:rsid w:val="00747448"/>
    <w:rsid w:val="00753405"/>
    <w:rsid w:val="00757AE9"/>
    <w:rsid w:val="00761C37"/>
    <w:rsid w:val="00764C29"/>
    <w:rsid w:val="00767267"/>
    <w:rsid w:val="00771E8F"/>
    <w:rsid w:val="00781D79"/>
    <w:rsid w:val="007821F4"/>
    <w:rsid w:val="00793017"/>
    <w:rsid w:val="007B61B6"/>
    <w:rsid w:val="007C4D7E"/>
    <w:rsid w:val="007C5137"/>
    <w:rsid w:val="007D09ED"/>
    <w:rsid w:val="007D40D1"/>
    <w:rsid w:val="007D52B4"/>
    <w:rsid w:val="007D7DAA"/>
    <w:rsid w:val="007E64CD"/>
    <w:rsid w:val="007F7725"/>
    <w:rsid w:val="008002E4"/>
    <w:rsid w:val="00802B40"/>
    <w:rsid w:val="00805B97"/>
    <w:rsid w:val="00825907"/>
    <w:rsid w:val="00834908"/>
    <w:rsid w:val="0084365E"/>
    <w:rsid w:val="00844510"/>
    <w:rsid w:val="00847C10"/>
    <w:rsid w:val="00852ED1"/>
    <w:rsid w:val="00861C0E"/>
    <w:rsid w:val="008650AB"/>
    <w:rsid w:val="00882B13"/>
    <w:rsid w:val="0088481F"/>
    <w:rsid w:val="00884FC1"/>
    <w:rsid w:val="008943DD"/>
    <w:rsid w:val="00895587"/>
    <w:rsid w:val="008A341F"/>
    <w:rsid w:val="008A7301"/>
    <w:rsid w:val="008A7D45"/>
    <w:rsid w:val="008B0D51"/>
    <w:rsid w:val="008B2000"/>
    <w:rsid w:val="008B7E8C"/>
    <w:rsid w:val="008C166D"/>
    <w:rsid w:val="008C7A88"/>
    <w:rsid w:val="008E3B0A"/>
    <w:rsid w:val="008F0BCA"/>
    <w:rsid w:val="008F11AB"/>
    <w:rsid w:val="008F24B2"/>
    <w:rsid w:val="008F409D"/>
    <w:rsid w:val="008F49ED"/>
    <w:rsid w:val="008F74A5"/>
    <w:rsid w:val="009032B5"/>
    <w:rsid w:val="0090778A"/>
    <w:rsid w:val="009100DF"/>
    <w:rsid w:val="009118AA"/>
    <w:rsid w:val="00911D41"/>
    <w:rsid w:val="009128A5"/>
    <w:rsid w:val="009133DC"/>
    <w:rsid w:val="00913E76"/>
    <w:rsid w:val="00922BF9"/>
    <w:rsid w:val="009351E6"/>
    <w:rsid w:val="00944B2A"/>
    <w:rsid w:val="00946229"/>
    <w:rsid w:val="0095218C"/>
    <w:rsid w:val="009553EB"/>
    <w:rsid w:val="00955481"/>
    <w:rsid w:val="00957CB7"/>
    <w:rsid w:val="00961400"/>
    <w:rsid w:val="00975940"/>
    <w:rsid w:val="00986596"/>
    <w:rsid w:val="00986A62"/>
    <w:rsid w:val="0098791D"/>
    <w:rsid w:val="0099752C"/>
    <w:rsid w:val="009A339E"/>
    <w:rsid w:val="009A59B6"/>
    <w:rsid w:val="009A7584"/>
    <w:rsid w:val="009B05C8"/>
    <w:rsid w:val="009B2E70"/>
    <w:rsid w:val="009B723B"/>
    <w:rsid w:val="009B7B87"/>
    <w:rsid w:val="009C0591"/>
    <w:rsid w:val="009D0DFF"/>
    <w:rsid w:val="009D13F7"/>
    <w:rsid w:val="009D7A98"/>
    <w:rsid w:val="009E343B"/>
    <w:rsid w:val="009E46AF"/>
    <w:rsid w:val="009E5169"/>
    <w:rsid w:val="009E724B"/>
    <w:rsid w:val="009E72B5"/>
    <w:rsid w:val="009F3835"/>
    <w:rsid w:val="009F55B9"/>
    <w:rsid w:val="00A00633"/>
    <w:rsid w:val="00A06BC5"/>
    <w:rsid w:val="00A11CD5"/>
    <w:rsid w:val="00A126B6"/>
    <w:rsid w:val="00A220C1"/>
    <w:rsid w:val="00A2350B"/>
    <w:rsid w:val="00A2476A"/>
    <w:rsid w:val="00A24F56"/>
    <w:rsid w:val="00A27126"/>
    <w:rsid w:val="00A31BD7"/>
    <w:rsid w:val="00A35A4E"/>
    <w:rsid w:val="00A61DF2"/>
    <w:rsid w:val="00A6312A"/>
    <w:rsid w:val="00A63FFE"/>
    <w:rsid w:val="00A72B51"/>
    <w:rsid w:val="00A73BAC"/>
    <w:rsid w:val="00A76646"/>
    <w:rsid w:val="00A86659"/>
    <w:rsid w:val="00A93E75"/>
    <w:rsid w:val="00AA2C74"/>
    <w:rsid w:val="00AA4CEA"/>
    <w:rsid w:val="00AB243E"/>
    <w:rsid w:val="00AB6653"/>
    <w:rsid w:val="00AC3D2A"/>
    <w:rsid w:val="00AC4FBD"/>
    <w:rsid w:val="00AD4D0D"/>
    <w:rsid w:val="00AE3E92"/>
    <w:rsid w:val="00AE5F6E"/>
    <w:rsid w:val="00AE7D4E"/>
    <w:rsid w:val="00AF097D"/>
    <w:rsid w:val="00AF444A"/>
    <w:rsid w:val="00B04B66"/>
    <w:rsid w:val="00B118E6"/>
    <w:rsid w:val="00B210B4"/>
    <w:rsid w:val="00B31C94"/>
    <w:rsid w:val="00B33373"/>
    <w:rsid w:val="00B36404"/>
    <w:rsid w:val="00B36758"/>
    <w:rsid w:val="00B415A8"/>
    <w:rsid w:val="00B419B0"/>
    <w:rsid w:val="00B440E5"/>
    <w:rsid w:val="00B553FF"/>
    <w:rsid w:val="00B626F8"/>
    <w:rsid w:val="00B649ED"/>
    <w:rsid w:val="00B65FEB"/>
    <w:rsid w:val="00B716FC"/>
    <w:rsid w:val="00B72DFC"/>
    <w:rsid w:val="00B731C9"/>
    <w:rsid w:val="00B74118"/>
    <w:rsid w:val="00B87BF5"/>
    <w:rsid w:val="00B91CD5"/>
    <w:rsid w:val="00BA1095"/>
    <w:rsid w:val="00BA1174"/>
    <w:rsid w:val="00BA5DBA"/>
    <w:rsid w:val="00BB23AC"/>
    <w:rsid w:val="00BD28DE"/>
    <w:rsid w:val="00BD45D4"/>
    <w:rsid w:val="00BD68C1"/>
    <w:rsid w:val="00BE2356"/>
    <w:rsid w:val="00BE4715"/>
    <w:rsid w:val="00BE7219"/>
    <w:rsid w:val="00BE7728"/>
    <w:rsid w:val="00BF0D7C"/>
    <w:rsid w:val="00BF388F"/>
    <w:rsid w:val="00BF711D"/>
    <w:rsid w:val="00C02FCA"/>
    <w:rsid w:val="00C05963"/>
    <w:rsid w:val="00C05F7A"/>
    <w:rsid w:val="00C06FB1"/>
    <w:rsid w:val="00C1084B"/>
    <w:rsid w:val="00C171D1"/>
    <w:rsid w:val="00C32E4D"/>
    <w:rsid w:val="00C347DF"/>
    <w:rsid w:val="00C37EA4"/>
    <w:rsid w:val="00C4013E"/>
    <w:rsid w:val="00C434FA"/>
    <w:rsid w:val="00C43FC2"/>
    <w:rsid w:val="00C4613B"/>
    <w:rsid w:val="00C4793B"/>
    <w:rsid w:val="00C51121"/>
    <w:rsid w:val="00C558FB"/>
    <w:rsid w:val="00C60F4D"/>
    <w:rsid w:val="00C65640"/>
    <w:rsid w:val="00C672E4"/>
    <w:rsid w:val="00C67A02"/>
    <w:rsid w:val="00C70640"/>
    <w:rsid w:val="00C73342"/>
    <w:rsid w:val="00C8147E"/>
    <w:rsid w:val="00CA1170"/>
    <w:rsid w:val="00CA4041"/>
    <w:rsid w:val="00CA5549"/>
    <w:rsid w:val="00CA6A66"/>
    <w:rsid w:val="00CA7F0D"/>
    <w:rsid w:val="00CB001B"/>
    <w:rsid w:val="00CB19AC"/>
    <w:rsid w:val="00CB4A68"/>
    <w:rsid w:val="00CB7492"/>
    <w:rsid w:val="00CC2148"/>
    <w:rsid w:val="00CC4B19"/>
    <w:rsid w:val="00CC70C4"/>
    <w:rsid w:val="00CD1EBB"/>
    <w:rsid w:val="00CD6408"/>
    <w:rsid w:val="00CE43A6"/>
    <w:rsid w:val="00CE4CA2"/>
    <w:rsid w:val="00CE6A12"/>
    <w:rsid w:val="00CF162A"/>
    <w:rsid w:val="00CF184C"/>
    <w:rsid w:val="00CF1F2B"/>
    <w:rsid w:val="00CF365F"/>
    <w:rsid w:val="00CF62B0"/>
    <w:rsid w:val="00D02501"/>
    <w:rsid w:val="00D05FAE"/>
    <w:rsid w:val="00D0721B"/>
    <w:rsid w:val="00D16912"/>
    <w:rsid w:val="00D26E11"/>
    <w:rsid w:val="00D305FF"/>
    <w:rsid w:val="00D309C9"/>
    <w:rsid w:val="00D31EE3"/>
    <w:rsid w:val="00D34C52"/>
    <w:rsid w:val="00D34F7A"/>
    <w:rsid w:val="00D37FD9"/>
    <w:rsid w:val="00D424EC"/>
    <w:rsid w:val="00D469AB"/>
    <w:rsid w:val="00D46C1F"/>
    <w:rsid w:val="00D633EB"/>
    <w:rsid w:val="00D6370F"/>
    <w:rsid w:val="00D73527"/>
    <w:rsid w:val="00D8484B"/>
    <w:rsid w:val="00D87835"/>
    <w:rsid w:val="00D92013"/>
    <w:rsid w:val="00D93322"/>
    <w:rsid w:val="00DA7AA8"/>
    <w:rsid w:val="00DB1F83"/>
    <w:rsid w:val="00DC4437"/>
    <w:rsid w:val="00DC5366"/>
    <w:rsid w:val="00DC7E2D"/>
    <w:rsid w:val="00DE2ED3"/>
    <w:rsid w:val="00DF0B56"/>
    <w:rsid w:val="00DF37FE"/>
    <w:rsid w:val="00DF4926"/>
    <w:rsid w:val="00DF5D91"/>
    <w:rsid w:val="00E025A3"/>
    <w:rsid w:val="00E0385C"/>
    <w:rsid w:val="00E05C3B"/>
    <w:rsid w:val="00E129D0"/>
    <w:rsid w:val="00E138EA"/>
    <w:rsid w:val="00E14E23"/>
    <w:rsid w:val="00E15D6D"/>
    <w:rsid w:val="00E31C4E"/>
    <w:rsid w:val="00E3296F"/>
    <w:rsid w:val="00E36F12"/>
    <w:rsid w:val="00E4018B"/>
    <w:rsid w:val="00E4372E"/>
    <w:rsid w:val="00E4777E"/>
    <w:rsid w:val="00E5177C"/>
    <w:rsid w:val="00E538EE"/>
    <w:rsid w:val="00E5423B"/>
    <w:rsid w:val="00E575AE"/>
    <w:rsid w:val="00E61F22"/>
    <w:rsid w:val="00E652DA"/>
    <w:rsid w:val="00E805F6"/>
    <w:rsid w:val="00E81E07"/>
    <w:rsid w:val="00E82141"/>
    <w:rsid w:val="00E8361E"/>
    <w:rsid w:val="00E85B51"/>
    <w:rsid w:val="00E8694B"/>
    <w:rsid w:val="00E9171A"/>
    <w:rsid w:val="00E93E65"/>
    <w:rsid w:val="00E9420D"/>
    <w:rsid w:val="00E96EE9"/>
    <w:rsid w:val="00E97C13"/>
    <w:rsid w:val="00EA32CA"/>
    <w:rsid w:val="00EB3088"/>
    <w:rsid w:val="00EB3AC0"/>
    <w:rsid w:val="00EB6C40"/>
    <w:rsid w:val="00EB70D6"/>
    <w:rsid w:val="00EC00B5"/>
    <w:rsid w:val="00EC3C08"/>
    <w:rsid w:val="00EC474F"/>
    <w:rsid w:val="00ED2B1F"/>
    <w:rsid w:val="00EE32EC"/>
    <w:rsid w:val="00EF0C24"/>
    <w:rsid w:val="00EF0FE4"/>
    <w:rsid w:val="00EF1483"/>
    <w:rsid w:val="00EF5AC4"/>
    <w:rsid w:val="00F02CEC"/>
    <w:rsid w:val="00F03123"/>
    <w:rsid w:val="00F07C6A"/>
    <w:rsid w:val="00F152DE"/>
    <w:rsid w:val="00F23B04"/>
    <w:rsid w:val="00F34F42"/>
    <w:rsid w:val="00F3588C"/>
    <w:rsid w:val="00F513DD"/>
    <w:rsid w:val="00F6067F"/>
    <w:rsid w:val="00F61F75"/>
    <w:rsid w:val="00F66E8D"/>
    <w:rsid w:val="00F66F21"/>
    <w:rsid w:val="00F765E0"/>
    <w:rsid w:val="00F8071F"/>
    <w:rsid w:val="00F84D35"/>
    <w:rsid w:val="00F85543"/>
    <w:rsid w:val="00F8575C"/>
    <w:rsid w:val="00FA4561"/>
    <w:rsid w:val="00FA469C"/>
    <w:rsid w:val="00FB03A0"/>
    <w:rsid w:val="00FB0732"/>
    <w:rsid w:val="00FB0B24"/>
    <w:rsid w:val="00FB472A"/>
    <w:rsid w:val="00FB7242"/>
    <w:rsid w:val="00FB7EBE"/>
    <w:rsid w:val="00FC0418"/>
    <w:rsid w:val="00FC10FE"/>
    <w:rsid w:val="00FC528E"/>
    <w:rsid w:val="00FC582F"/>
    <w:rsid w:val="00FC6ECF"/>
    <w:rsid w:val="00FC7B3A"/>
    <w:rsid w:val="00FD3454"/>
    <w:rsid w:val="00FE44C0"/>
    <w:rsid w:val="00FF0F47"/>
    <w:rsid w:val="00FF5183"/>
    <w:rsid w:val="00FF5F4F"/>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95DCE"/>
  <w15:docId w15:val="{DF0F134C-C709-4B83-92D6-DAFC9DE0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3A6"/>
    <w:pPr>
      <w:spacing w:after="200" w:line="276" w:lineRule="auto"/>
    </w:pPr>
  </w:style>
  <w:style w:type="paragraph" w:styleId="Ttulo1">
    <w:name w:val="heading 1"/>
    <w:aliases w:val="Título Verdana"/>
    <w:basedOn w:val="Normal"/>
    <w:next w:val="Normal"/>
    <w:link w:val="Ttulo1Car1"/>
    <w:autoRedefine/>
    <w:qFormat/>
    <w:rsid w:val="00CE43A6"/>
    <w:pPr>
      <w:keepNext/>
      <w:shd w:val="clear" w:color="auto" w:fill="FFFFFF"/>
      <w:spacing w:after="0" w:line="240" w:lineRule="auto"/>
      <w:jc w:val="both"/>
      <w:outlineLvl w:val="0"/>
    </w:pPr>
    <w:rPr>
      <w:rFonts w:ascii="Verdana" w:eastAsia="Batang" w:hAnsi="Verdana" w:cs="Times New Roman"/>
      <w:bCs/>
      <w:kern w:val="32"/>
      <w:sz w:val="16"/>
      <w:szCs w:val="16"/>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CE43A6"/>
    <w:rPr>
      <w:rFonts w:asciiTheme="majorHAnsi" w:eastAsiaTheme="majorEastAsia" w:hAnsiTheme="majorHAnsi" w:cstheme="majorBidi"/>
      <w:color w:val="2E74B5" w:themeColor="accent1" w:themeShade="BF"/>
      <w:sz w:val="32"/>
      <w:szCs w:val="32"/>
    </w:rPr>
  </w:style>
  <w:style w:type="paragraph" w:styleId="Prrafodelista">
    <w:name w:val="List Paragraph"/>
    <w:aliases w:val="Footnote,Párrafo de lista1,Colorful List - Accent 11,Cuadrícula clara - Énfasis 31,List Paragraph1,List Paragraph2,Lista vistosa - Énfasis 11,Lista clara - Énfasis 51"/>
    <w:basedOn w:val="Normal"/>
    <w:link w:val="PrrafodelistaCar"/>
    <w:uiPriority w:val="34"/>
    <w:qFormat/>
    <w:rsid w:val="00CE43A6"/>
    <w:pPr>
      <w:ind w:left="720"/>
      <w:contextualSpacing/>
    </w:pPr>
  </w:style>
  <w:style w:type="paragraph" w:styleId="Textonotapie">
    <w:name w:val="footnote text"/>
    <w:aliases w:val="FA Fu,Footnote Text Char Char Char Char Char,Footnote Text Char Char Char Char,Footnote reference,Footnote Text Char Char Char,Footnote Text Cha,FA Fußnotentext,FA Fuﬂnotentext,Footnote Text Char Char,FA Fu Car,Ca,ft,C,FA Fu?notentext"/>
    <w:basedOn w:val="Normal"/>
    <w:link w:val="TextonotapieCar"/>
    <w:unhideWhenUsed/>
    <w:qFormat/>
    <w:rsid w:val="00CE43A6"/>
    <w:pPr>
      <w:spacing w:after="0" w:line="240" w:lineRule="auto"/>
    </w:pPr>
    <w:rPr>
      <w:sz w:val="20"/>
      <w:szCs w:val="20"/>
    </w:rPr>
  </w:style>
  <w:style w:type="character" w:customStyle="1" w:styleId="TextonotapieCar">
    <w:name w:val="Texto nota pie Car"/>
    <w:aliases w:val="FA Fu Car1,Footnote Text Char Char Char Char Char Car,Footnote Text Char Char Char Char Car,Footnote reference Car,Footnote Text Char Char Char Car,Footnote Text Cha Car,FA Fußnotentext Car,FA Fuﬂnotentext Car,FA Fu Car Car,Ca Car"/>
    <w:basedOn w:val="Fuentedeprrafopredeter"/>
    <w:link w:val="Textonotapie"/>
    <w:qFormat/>
    <w:rsid w:val="00CE43A6"/>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CE43A6"/>
    <w:rPr>
      <w:vertAlign w:val="superscript"/>
    </w:rPr>
  </w:style>
  <w:style w:type="character" w:styleId="Hipervnculo">
    <w:name w:val="Hyperlink"/>
    <w:basedOn w:val="Fuentedeprrafopredeter"/>
    <w:uiPriority w:val="99"/>
    <w:unhideWhenUsed/>
    <w:rsid w:val="00CE43A6"/>
    <w:rPr>
      <w:color w:val="0563C1" w:themeColor="hyperlink"/>
      <w:u w:val="single"/>
    </w:rPr>
  </w:style>
  <w:style w:type="character" w:customStyle="1" w:styleId="PrrafodelistaCar">
    <w:name w:val="Párrafo de lista Car"/>
    <w:aliases w:val="Footnote Car,Párrafo de lista1 Car,Colorful List - Accent 11 Car,Cuadrícula clara - Énfasis 31 Car,List Paragraph1 Car,List Paragraph2 Car,Lista vistosa - Énfasis 11 Car,Lista clara - Énfasis 51 Car"/>
    <w:link w:val="Prrafodelista"/>
    <w:uiPriority w:val="34"/>
    <w:locked/>
    <w:rsid w:val="00CE43A6"/>
  </w:style>
  <w:style w:type="character" w:styleId="Textoennegrita">
    <w:name w:val="Strong"/>
    <w:basedOn w:val="Fuentedeprrafopredeter"/>
    <w:uiPriority w:val="22"/>
    <w:qFormat/>
    <w:rsid w:val="00CE43A6"/>
    <w:rPr>
      <w:b/>
      <w:bCs/>
    </w:rPr>
  </w:style>
  <w:style w:type="character" w:styleId="Refdecomentario">
    <w:name w:val="annotation reference"/>
    <w:basedOn w:val="Fuentedeprrafopredeter"/>
    <w:uiPriority w:val="99"/>
    <w:semiHidden/>
    <w:unhideWhenUsed/>
    <w:rsid w:val="00CE43A6"/>
    <w:rPr>
      <w:sz w:val="16"/>
      <w:szCs w:val="16"/>
    </w:rPr>
  </w:style>
  <w:style w:type="paragraph" w:styleId="Textocomentario">
    <w:name w:val="annotation text"/>
    <w:basedOn w:val="Normal"/>
    <w:link w:val="TextocomentarioCar"/>
    <w:uiPriority w:val="99"/>
    <w:semiHidden/>
    <w:unhideWhenUsed/>
    <w:rsid w:val="00CE43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43A6"/>
    <w:rPr>
      <w:sz w:val="20"/>
      <w:szCs w:val="20"/>
    </w:rPr>
  </w:style>
  <w:style w:type="paragraph" w:styleId="Asuntodelcomentario">
    <w:name w:val="annotation subject"/>
    <w:basedOn w:val="Textocomentario"/>
    <w:next w:val="Textocomentario"/>
    <w:link w:val="AsuntodelcomentarioCar"/>
    <w:uiPriority w:val="99"/>
    <w:semiHidden/>
    <w:unhideWhenUsed/>
    <w:rsid w:val="00CE43A6"/>
    <w:rPr>
      <w:b/>
      <w:bCs/>
    </w:rPr>
  </w:style>
  <w:style w:type="character" w:customStyle="1" w:styleId="AsuntodelcomentarioCar">
    <w:name w:val="Asunto del comentario Car"/>
    <w:basedOn w:val="TextocomentarioCar"/>
    <w:link w:val="Asuntodelcomentario"/>
    <w:uiPriority w:val="99"/>
    <w:semiHidden/>
    <w:rsid w:val="00CE43A6"/>
    <w:rPr>
      <w:b/>
      <w:bCs/>
      <w:sz w:val="20"/>
      <w:szCs w:val="20"/>
    </w:rPr>
  </w:style>
  <w:style w:type="paragraph" w:styleId="Textodeglobo">
    <w:name w:val="Balloon Text"/>
    <w:basedOn w:val="Normal"/>
    <w:link w:val="TextodegloboCar"/>
    <w:uiPriority w:val="99"/>
    <w:semiHidden/>
    <w:unhideWhenUsed/>
    <w:rsid w:val="00CE43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3A6"/>
    <w:rPr>
      <w:rFonts w:ascii="Tahoma" w:hAnsi="Tahoma" w:cs="Tahoma"/>
      <w:sz w:val="16"/>
      <w:szCs w:val="16"/>
    </w:rPr>
  </w:style>
  <w:style w:type="paragraph" w:customStyle="1" w:styleId="Default">
    <w:name w:val="Default"/>
    <w:rsid w:val="00CE43A6"/>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CE43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43A6"/>
  </w:style>
  <w:style w:type="paragraph" w:styleId="Piedepgina">
    <w:name w:val="footer"/>
    <w:basedOn w:val="Normal"/>
    <w:link w:val="PiedepginaCar"/>
    <w:uiPriority w:val="99"/>
    <w:unhideWhenUsed/>
    <w:rsid w:val="00CE43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3A6"/>
  </w:style>
  <w:style w:type="character" w:styleId="Nmerodelnea">
    <w:name w:val="line number"/>
    <w:basedOn w:val="Fuentedeprrafopredeter"/>
    <w:uiPriority w:val="99"/>
    <w:semiHidden/>
    <w:unhideWhenUsed/>
    <w:rsid w:val="00CE43A6"/>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E43A6"/>
    <w:pPr>
      <w:spacing w:after="0" w:line="240" w:lineRule="auto"/>
      <w:jc w:val="both"/>
    </w:pPr>
    <w:rPr>
      <w:vertAlign w:val="superscript"/>
    </w:rPr>
  </w:style>
  <w:style w:type="character" w:styleId="Hipervnculovisitado">
    <w:name w:val="FollowedHyperlink"/>
    <w:basedOn w:val="Fuentedeprrafopredeter"/>
    <w:uiPriority w:val="99"/>
    <w:semiHidden/>
    <w:unhideWhenUsed/>
    <w:rsid w:val="00CE43A6"/>
    <w:rPr>
      <w:color w:val="954F72" w:themeColor="followedHyperlink"/>
      <w:u w:val="single"/>
    </w:rPr>
  </w:style>
  <w:style w:type="character" w:customStyle="1" w:styleId="apple-converted-space">
    <w:name w:val="apple-converted-space"/>
    <w:basedOn w:val="Fuentedeprrafopredeter"/>
    <w:rsid w:val="00CE43A6"/>
  </w:style>
  <w:style w:type="character" w:styleId="nfasis">
    <w:name w:val="Emphasis"/>
    <w:basedOn w:val="Fuentedeprrafopredeter"/>
    <w:uiPriority w:val="20"/>
    <w:qFormat/>
    <w:rsid w:val="00CE43A6"/>
    <w:rPr>
      <w:i/>
      <w:iCs/>
    </w:rPr>
  </w:style>
  <w:style w:type="character" w:customStyle="1" w:styleId="Ttulo1Car1">
    <w:name w:val="Título 1 Car1"/>
    <w:aliases w:val="Título Verdana Car"/>
    <w:basedOn w:val="Fuentedeprrafopredeter"/>
    <w:link w:val="Ttulo1"/>
    <w:rsid w:val="00CE43A6"/>
    <w:rPr>
      <w:rFonts w:ascii="Verdana" w:eastAsia="Batang" w:hAnsi="Verdana" w:cs="Times New Roman"/>
      <w:bCs/>
      <w:kern w:val="32"/>
      <w:sz w:val="16"/>
      <w:szCs w:val="16"/>
      <w:shd w:val="clear" w:color="auto" w:fill="FFFFFF"/>
      <w:lang w:val="es-AR"/>
    </w:rPr>
  </w:style>
  <w:style w:type="paragraph" w:styleId="Textonotaalfinal">
    <w:name w:val="endnote text"/>
    <w:basedOn w:val="Normal"/>
    <w:link w:val="TextonotaalfinalCar"/>
    <w:uiPriority w:val="99"/>
    <w:semiHidden/>
    <w:unhideWhenUsed/>
    <w:rsid w:val="00CE43A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E43A6"/>
    <w:rPr>
      <w:sz w:val="20"/>
      <w:szCs w:val="20"/>
    </w:rPr>
  </w:style>
  <w:style w:type="character" w:styleId="Refdenotaalfinal">
    <w:name w:val="endnote reference"/>
    <w:basedOn w:val="Fuentedeprrafopredeter"/>
    <w:uiPriority w:val="99"/>
    <w:semiHidden/>
    <w:unhideWhenUsed/>
    <w:rsid w:val="00CE43A6"/>
    <w:rPr>
      <w:vertAlign w:val="superscript"/>
    </w:rPr>
  </w:style>
  <w:style w:type="character" w:styleId="nfasisintenso">
    <w:name w:val="Intense Emphasis"/>
    <w:basedOn w:val="Fuentedeprrafopredeter"/>
    <w:uiPriority w:val="21"/>
    <w:qFormat/>
    <w:rsid w:val="00151A88"/>
    <w:rPr>
      <w:i/>
      <w:iCs/>
      <w:color w:val="5B9BD5" w:themeColor="accent1"/>
    </w:rPr>
  </w:style>
  <w:style w:type="character" w:styleId="Textodelmarcadordeposicin">
    <w:name w:val="Placeholder Text"/>
    <w:basedOn w:val="Fuentedeprrafopredeter"/>
    <w:uiPriority w:val="99"/>
    <w:semiHidden/>
    <w:rsid w:val="004B6197"/>
    <w:rPr>
      <w:color w:val="808080"/>
    </w:rPr>
  </w:style>
  <w:style w:type="character" w:customStyle="1" w:styleId="eacep">
    <w:name w:val="eacep"/>
    <w:basedOn w:val="Fuentedeprrafopredeter"/>
    <w:rsid w:val="00E5423B"/>
  </w:style>
  <w:style w:type="paragraph" w:styleId="NormalWeb">
    <w:name w:val="Normal (Web)"/>
    <w:basedOn w:val="Normal"/>
    <w:uiPriority w:val="99"/>
    <w:semiHidden/>
    <w:unhideWhenUsed/>
    <w:rsid w:val="00A61D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unhideWhenUsed/>
    <w:rsid w:val="005E663D"/>
    <w:pPr>
      <w:spacing w:after="100"/>
    </w:pPr>
  </w:style>
  <w:style w:type="paragraph" w:styleId="Revisin">
    <w:name w:val="Revision"/>
    <w:hidden/>
    <w:uiPriority w:val="99"/>
    <w:semiHidden/>
    <w:rsid w:val="00CF1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5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forneron_28_11_18.pdf" TargetMode="External"/><Relationship Id="rId2" Type="http://schemas.openxmlformats.org/officeDocument/2006/relationships/hyperlink" Target="http://www.corteidh.or.cr/docs/asuntos/torres_forneron_furlan_mohamed_fv_2015.pdf" TargetMode="External"/><Relationship Id="rId1" Type="http://schemas.openxmlformats.org/officeDocument/2006/relationships/hyperlink" Target="http://corteidh.or.cr/docs/casos/articulos/seriec_242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A3C0D-8244-45E1-9A6D-210ABB97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4245</Words>
  <Characters>23351</Characters>
  <Application>Microsoft Office Word</Application>
  <DocSecurity>0</DocSecurity>
  <Lines>194</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Magda Ramirez</cp:lastModifiedBy>
  <cp:revision>3</cp:revision>
  <cp:lastPrinted>2019-12-06T23:12:00Z</cp:lastPrinted>
  <dcterms:created xsi:type="dcterms:W3CDTF">2019-12-06T23:12:00Z</dcterms:created>
  <dcterms:modified xsi:type="dcterms:W3CDTF">2019-12-06T23:13:00Z</dcterms:modified>
</cp:coreProperties>
</file>