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41EE" w14:textId="77777777" w:rsidR="00B63805" w:rsidRDefault="00B63805" w:rsidP="00A12C39">
      <w:pPr>
        <w:tabs>
          <w:tab w:val="left" w:pos="567"/>
        </w:tabs>
        <w:spacing w:after="0" w:line="240" w:lineRule="auto"/>
        <w:ind w:right="4"/>
        <w:jc w:val="center"/>
        <w:rPr>
          <w:rFonts w:ascii="Verdana" w:hAnsi="Verdana"/>
          <w:b/>
          <w:smallCaps/>
          <w:sz w:val="20"/>
          <w:szCs w:val="20"/>
        </w:rPr>
      </w:pPr>
      <w:bookmarkStart w:id="0" w:name="_GoBack"/>
      <w:bookmarkEnd w:id="0"/>
    </w:p>
    <w:p w14:paraId="7D865A8C" w14:textId="77777777" w:rsidR="00062E66" w:rsidRDefault="00062E66" w:rsidP="00A12C39">
      <w:pPr>
        <w:tabs>
          <w:tab w:val="left" w:pos="567"/>
        </w:tabs>
        <w:spacing w:after="0" w:line="240" w:lineRule="auto"/>
        <w:ind w:right="4"/>
        <w:jc w:val="center"/>
        <w:rPr>
          <w:rFonts w:ascii="Verdana" w:hAnsi="Verdana"/>
          <w:b/>
          <w:smallCaps/>
          <w:sz w:val="20"/>
          <w:szCs w:val="20"/>
        </w:rPr>
      </w:pPr>
    </w:p>
    <w:p w14:paraId="76353643" w14:textId="77777777" w:rsidR="008C2E26" w:rsidRDefault="008C2E26" w:rsidP="00A12C39">
      <w:pPr>
        <w:tabs>
          <w:tab w:val="left" w:pos="567"/>
        </w:tabs>
        <w:spacing w:after="0" w:line="240" w:lineRule="auto"/>
        <w:ind w:right="4"/>
        <w:jc w:val="center"/>
        <w:rPr>
          <w:rFonts w:ascii="Verdana" w:hAnsi="Verdana"/>
          <w:b/>
          <w:smallCaps/>
          <w:sz w:val="20"/>
          <w:szCs w:val="20"/>
        </w:rPr>
      </w:pPr>
    </w:p>
    <w:p w14:paraId="07BB8D3E" w14:textId="77777777" w:rsidR="008C2E26" w:rsidRDefault="008C2E26" w:rsidP="00A12C39">
      <w:pPr>
        <w:tabs>
          <w:tab w:val="left" w:pos="567"/>
        </w:tabs>
        <w:spacing w:after="0" w:line="240" w:lineRule="auto"/>
        <w:ind w:right="4"/>
        <w:jc w:val="center"/>
        <w:rPr>
          <w:rFonts w:ascii="Verdana" w:hAnsi="Verdana"/>
          <w:b/>
          <w:smallCaps/>
          <w:sz w:val="20"/>
          <w:szCs w:val="20"/>
        </w:rPr>
      </w:pPr>
    </w:p>
    <w:p w14:paraId="39738044" w14:textId="77777777" w:rsidR="00062E66" w:rsidRDefault="00062E66" w:rsidP="00A12C39">
      <w:pPr>
        <w:tabs>
          <w:tab w:val="left" w:pos="567"/>
        </w:tabs>
        <w:spacing w:after="0" w:line="240" w:lineRule="auto"/>
        <w:ind w:right="4"/>
        <w:jc w:val="center"/>
        <w:rPr>
          <w:rFonts w:ascii="Verdana" w:hAnsi="Verdana"/>
          <w:b/>
          <w:smallCaps/>
          <w:sz w:val="20"/>
          <w:szCs w:val="20"/>
        </w:rPr>
      </w:pPr>
    </w:p>
    <w:p w14:paraId="79155888" w14:textId="77777777" w:rsidR="00062E66" w:rsidRDefault="00062E66" w:rsidP="00A12C39">
      <w:pPr>
        <w:tabs>
          <w:tab w:val="left" w:pos="567"/>
        </w:tabs>
        <w:spacing w:after="0" w:line="240" w:lineRule="auto"/>
        <w:ind w:right="4"/>
        <w:jc w:val="center"/>
        <w:rPr>
          <w:rFonts w:ascii="Verdana" w:hAnsi="Verdana"/>
          <w:b/>
          <w:smallCaps/>
          <w:sz w:val="20"/>
          <w:szCs w:val="20"/>
        </w:rPr>
      </w:pPr>
    </w:p>
    <w:p w14:paraId="759B57A9" w14:textId="77777777" w:rsidR="0061188E" w:rsidRDefault="0061188E" w:rsidP="00A12C39">
      <w:pPr>
        <w:tabs>
          <w:tab w:val="left" w:pos="567"/>
        </w:tabs>
        <w:spacing w:after="0" w:line="240" w:lineRule="auto"/>
        <w:ind w:right="4"/>
        <w:jc w:val="center"/>
        <w:rPr>
          <w:rFonts w:ascii="Verdana" w:hAnsi="Verdana"/>
          <w:b/>
          <w:smallCaps/>
          <w:sz w:val="20"/>
          <w:szCs w:val="20"/>
        </w:rPr>
      </w:pPr>
    </w:p>
    <w:p w14:paraId="20075D2A" w14:textId="77777777" w:rsidR="00062E66" w:rsidRPr="00DF7E56" w:rsidRDefault="00062E66" w:rsidP="00A12C39">
      <w:pPr>
        <w:tabs>
          <w:tab w:val="left" w:pos="567"/>
        </w:tabs>
        <w:spacing w:after="0" w:line="240" w:lineRule="auto"/>
        <w:ind w:right="4"/>
        <w:jc w:val="center"/>
        <w:rPr>
          <w:rFonts w:ascii="Verdana" w:hAnsi="Verdana"/>
          <w:b/>
          <w:smallCaps/>
          <w:sz w:val="20"/>
          <w:szCs w:val="20"/>
        </w:rPr>
      </w:pPr>
    </w:p>
    <w:p w14:paraId="460B64BC" w14:textId="77777777" w:rsidR="000216D0" w:rsidRPr="00DF7E56" w:rsidRDefault="000216D0" w:rsidP="00A12C39">
      <w:pPr>
        <w:tabs>
          <w:tab w:val="left" w:pos="567"/>
        </w:tabs>
        <w:spacing w:after="0" w:line="240" w:lineRule="auto"/>
        <w:ind w:right="4"/>
        <w:jc w:val="center"/>
        <w:rPr>
          <w:rFonts w:ascii="Verdana" w:hAnsi="Verdana"/>
          <w:b/>
          <w:smallCaps/>
          <w:sz w:val="20"/>
          <w:szCs w:val="20"/>
        </w:rPr>
      </w:pPr>
      <w:r w:rsidRPr="00DF7E56">
        <w:rPr>
          <w:rFonts w:ascii="Verdana" w:hAnsi="Verdana"/>
          <w:b/>
          <w:smallCaps/>
          <w:sz w:val="20"/>
          <w:szCs w:val="20"/>
        </w:rPr>
        <w:t xml:space="preserve">RESOLUCIÓN DE LA </w:t>
      </w:r>
    </w:p>
    <w:p w14:paraId="3E245843" w14:textId="5C0579B6" w:rsidR="000216D0" w:rsidRPr="00DF7E56" w:rsidRDefault="000216D0" w:rsidP="00A12C39">
      <w:pPr>
        <w:tabs>
          <w:tab w:val="left" w:pos="567"/>
        </w:tabs>
        <w:spacing w:after="0" w:line="240" w:lineRule="auto"/>
        <w:ind w:right="4"/>
        <w:jc w:val="center"/>
        <w:rPr>
          <w:rFonts w:ascii="Verdana" w:hAnsi="Verdana"/>
          <w:b/>
          <w:smallCaps/>
          <w:sz w:val="20"/>
          <w:szCs w:val="20"/>
        </w:rPr>
      </w:pPr>
      <w:r w:rsidRPr="00DF7E56">
        <w:rPr>
          <w:rFonts w:ascii="Verdana" w:hAnsi="Verdana"/>
          <w:b/>
          <w:smallCaps/>
          <w:sz w:val="20"/>
          <w:szCs w:val="20"/>
        </w:rPr>
        <w:t>CORTE INTERAMERICANA DE DERECHOS HUMANOS</w:t>
      </w:r>
      <w:r w:rsidR="005359A2" w:rsidRPr="00DF7E56">
        <w:rPr>
          <w:rStyle w:val="FootnoteReference"/>
          <w:rFonts w:ascii="Verdana" w:hAnsi="Verdana"/>
          <w:b/>
          <w:smallCaps/>
          <w:sz w:val="20"/>
          <w:szCs w:val="20"/>
        </w:rPr>
        <w:footnoteReference w:customMarkFollows="1" w:id="1"/>
        <w:t>*</w:t>
      </w:r>
    </w:p>
    <w:p w14:paraId="0642055D" w14:textId="77777777" w:rsidR="00A12C39" w:rsidRDefault="00A12C39" w:rsidP="00A12C39">
      <w:pPr>
        <w:tabs>
          <w:tab w:val="left" w:pos="567"/>
        </w:tabs>
        <w:spacing w:after="0" w:line="240" w:lineRule="auto"/>
        <w:ind w:right="4"/>
        <w:jc w:val="center"/>
        <w:rPr>
          <w:rFonts w:ascii="Verdana" w:hAnsi="Verdana"/>
          <w:b/>
          <w:smallCaps/>
          <w:sz w:val="20"/>
          <w:szCs w:val="20"/>
        </w:rPr>
      </w:pPr>
    </w:p>
    <w:p w14:paraId="637EE2D5" w14:textId="77777777" w:rsidR="0061188E" w:rsidRPr="00DF7E56" w:rsidRDefault="0061188E" w:rsidP="00A12C39">
      <w:pPr>
        <w:tabs>
          <w:tab w:val="left" w:pos="567"/>
        </w:tabs>
        <w:spacing w:after="0" w:line="240" w:lineRule="auto"/>
        <w:ind w:right="4"/>
        <w:jc w:val="center"/>
        <w:rPr>
          <w:rFonts w:ascii="Verdana" w:hAnsi="Verdana"/>
          <w:b/>
          <w:smallCaps/>
          <w:sz w:val="20"/>
          <w:szCs w:val="20"/>
        </w:rPr>
      </w:pPr>
    </w:p>
    <w:p w14:paraId="2127D217" w14:textId="17C1395B" w:rsidR="000216D0" w:rsidRPr="00DF7E56" w:rsidRDefault="00A12C39" w:rsidP="00A12C39">
      <w:pPr>
        <w:tabs>
          <w:tab w:val="left" w:pos="567"/>
        </w:tabs>
        <w:spacing w:after="0" w:line="240" w:lineRule="auto"/>
        <w:ind w:right="4"/>
        <w:jc w:val="center"/>
        <w:rPr>
          <w:rFonts w:ascii="Verdana" w:hAnsi="Verdana"/>
          <w:b/>
          <w:smallCaps/>
          <w:sz w:val="20"/>
          <w:szCs w:val="20"/>
        </w:rPr>
      </w:pPr>
      <w:r w:rsidRPr="00DF7E56">
        <w:rPr>
          <w:rFonts w:ascii="Verdana" w:hAnsi="Verdana"/>
          <w:b/>
          <w:smallCaps/>
          <w:sz w:val="20"/>
          <w:szCs w:val="20"/>
        </w:rPr>
        <w:t xml:space="preserve">DE </w:t>
      </w:r>
      <w:r w:rsidR="00CE0127">
        <w:rPr>
          <w:rFonts w:ascii="Verdana" w:hAnsi="Verdana"/>
          <w:b/>
          <w:smallCaps/>
          <w:sz w:val="20"/>
          <w:szCs w:val="20"/>
        </w:rPr>
        <w:t>1</w:t>
      </w:r>
      <w:r w:rsidRPr="00DF7E56">
        <w:rPr>
          <w:rFonts w:ascii="Verdana" w:hAnsi="Verdana"/>
          <w:b/>
          <w:smallCaps/>
          <w:sz w:val="20"/>
          <w:szCs w:val="20"/>
        </w:rPr>
        <w:t xml:space="preserve"> </w:t>
      </w:r>
      <w:r w:rsidR="000216D0" w:rsidRPr="00DF7E56">
        <w:rPr>
          <w:rFonts w:ascii="Verdana" w:hAnsi="Verdana"/>
          <w:b/>
          <w:smallCaps/>
          <w:sz w:val="20"/>
          <w:szCs w:val="20"/>
        </w:rPr>
        <w:t xml:space="preserve">DE </w:t>
      </w:r>
      <w:r w:rsidR="00786C37">
        <w:rPr>
          <w:rFonts w:ascii="Verdana" w:hAnsi="Verdana"/>
          <w:b/>
          <w:smallCaps/>
          <w:sz w:val="20"/>
          <w:szCs w:val="20"/>
        </w:rPr>
        <w:t>SEPTIEMBRE</w:t>
      </w:r>
      <w:r w:rsidR="000216D0" w:rsidRPr="00DF7E56">
        <w:rPr>
          <w:rFonts w:ascii="Verdana" w:hAnsi="Verdana"/>
          <w:b/>
          <w:smallCaps/>
          <w:sz w:val="20"/>
          <w:szCs w:val="20"/>
        </w:rPr>
        <w:t xml:space="preserve"> DE 2016</w:t>
      </w:r>
    </w:p>
    <w:p w14:paraId="4B2CA8EC" w14:textId="77777777" w:rsidR="00A12C39" w:rsidRDefault="00A12C39" w:rsidP="00A12C39">
      <w:pPr>
        <w:tabs>
          <w:tab w:val="left" w:pos="567"/>
        </w:tabs>
        <w:spacing w:after="0" w:line="240" w:lineRule="auto"/>
        <w:ind w:right="4"/>
        <w:jc w:val="center"/>
        <w:rPr>
          <w:rFonts w:ascii="Verdana" w:hAnsi="Verdana"/>
          <w:b/>
          <w:smallCaps/>
          <w:sz w:val="20"/>
          <w:szCs w:val="20"/>
        </w:rPr>
      </w:pPr>
    </w:p>
    <w:p w14:paraId="15D0E990" w14:textId="77777777" w:rsidR="0061188E" w:rsidRPr="00DF7E56" w:rsidRDefault="0061188E" w:rsidP="00A12C39">
      <w:pPr>
        <w:tabs>
          <w:tab w:val="left" w:pos="567"/>
        </w:tabs>
        <w:spacing w:after="0" w:line="240" w:lineRule="auto"/>
        <w:ind w:right="4"/>
        <w:jc w:val="center"/>
        <w:rPr>
          <w:rFonts w:ascii="Verdana" w:hAnsi="Verdana"/>
          <w:b/>
          <w:smallCaps/>
          <w:sz w:val="20"/>
          <w:szCs w:val="20"/>
        </w:rPr>
      </w:pPr>
    </w:p>
    <w:p w14:paraId="7470F20B" w14:textId="77777777" w:rsidR="000216D0" w:rsidRPr="00DF7E56" w:rsidRDefault="000216D0" w:rsidP="00A12C39">
      <w:pPr>
        <w:tabs>
          <w:tab w:val="left" w:pos="567"/>
        </w:tabs>
        <w:spacing w:after="0" w:line="240" w:lineRule="auto"/>
        <w:ind w:right="4"/>
        <w:jc w:val="center"/>
        <w:rPr>
          <w:rFonts w:ascii="Verdana" w:hAnsi="Verdana"/>
          <w:b/>
          <w:bCs/>
          <w:smallCaps/>
          <w:sz w:val="20"/>
          <w:szCs w:val="20"/>
          <w:lang w:val="es-ES_tradnl"/>
        </w:rPr>
      </w:pPr>
      <w:r w:rsidRPr="00DF7E56">
        <w:rPr>
          <w:rFonts w:ascii="Verdana" w:hAnsi="Verdana"/>
          <w:b/>
          <w:bCs/>
          <w:smallCaps/>
          <w:sz w:val="20"/>
          <w:szCs w:val="20"/>
          <w:lang w:val="es-ES_tradnl"/>
        </w:rPr>
        <w:t xml:space="preserve">CASO </w:t>
      </w:r>
      <w:r w:rsidR="00DA23AB" w:rsidRPr="00DF7E56">
        <w:rPr>
          <w:rFonts w:ascii="Verdana" w:hAnsi="Verdana"/>
          <w:b/>
          <w:sz w:val="20"/>
          <w:szCs w:val="20"/>
        </w:rPr>
        <w:t>GARCÍA CRUZ Y SÁNCHEZ SILVESTRE VS. ESTADOS UNIDOS MEXICANOS</w:t>
      </w:r>
    </w:p>
    <w:p w14:paraId="2C0292BF" w14:textId="77777777" w:rsidR="000216D0" w:rsidRDefault="000216D0" w:rsidP="00A12C39">
      <w:pPr>
        <w:tabs>
          <w:tab w:val="left" w:pos="567"/>
        </w:tabs>
        <w:spacing w:after="0" w:line="240" w:lineRule="auto"/>
        <w:ind w:right="4"/>
        <w:jc w:val="center"/>
        <w:rPr>
          <w:rFonts w:ascii="Verdana" w:hAnsi="Verdana"/>
          <w:bCs/>
          <w:iCs/>
          <w:smallCaps/>
          <w:sz w:val="20"/>
          <w:szCs w:val="20"/>
          <w:lang w:val="es-ES_tradnl"/>
        </w:rPr>
      </w:pPr>
    </w:p>
    <w:p w14:paraId="0A9CE72C" w14:textId="77777777" w:rsidR="0061188E" w:rsidRPr="00DF7E56" w:rsidRDefault="0061188E" w:rsidP="00A12C39">
      <w:pPr>
        <w:tabs>
          <w:tab w:val="left" w:pos="567"/>
        </w:tabs>
        <w:spacing w:after="0" w:line="240" w:lineRule="auto"/>
        <w:ind w:right="4"/>
        <w:jc w:val="center"/>
        <w:rPr>
          <w:rFonts w:ascii="Verdana" w:hAnsi="Verdana"/>
          <w:bCs/>
          <w:iCs/>
          <w:smallCaps/>
          <w:sz w:val="20"/>
          <w:szCs w:val="20"/>
          <w:lang w:val="es-ES_tradnl"/>
        </w:rPr>
      </w:pPr>
    </w:p>
    <w:p w14:paraId="79C481E0" w14:textId="77777777" w:rsidR="000216D0" w:rsidRPr="00DF7E56" w:rsidRDefault="000216D0" w:rsidP="00A12C39">
      <w:pPr>
        <w:tabs>
          <w:tab w:val="left" w:pos="567"/>
        </w:tabs>
        <w:spacing w:after="0" w:line="240" w:lineRule="auto"/>
        <w:ind w:right="4"/>
        <w:jc w:val="center"/>
        <w:rPr>
          <w:rFonts w:ascii="Verdana" w:hAnsi="Verdana"/>
          <w:b/>
          <w:smallCaps/>
          <w:sz w:val="20"/>
          <w:szCs w:val="20"/>
        </w:rPr>
      </w:pPr>
      <w:r w:rsidRPr="00DF7E56">
        <w:rPr>
          <w:rFonts w:ascii="Verdana" w:hAnsi="Verdana"/>
          <w:b/>
          <w:smallCaps/>
          <w:sz w:val="20"/>
          <w:szCs w:val="20"/>
        </w:rPr>
        <w:t>SUPERVISIÓN DE CUMPLIMIENTO DE SENTENCIA</w:t>
      </w:r>
    </w:p>
    <w:p w14:paraId="7B57D963" w14:textId="77777777" w:rsidR="00A12C39" w:rsidRPr="00DF7E56" w:rsidRDefault="00A12C39" w:rsidP="00A12C39">
      <w:pPr>
        <w:spacing w:after="0" w:line="240" w:lineRule="auto"/>
        <w:ind w:right="4"/>
        <w:jc w:val="both"/>
        <w:rPr>
          <w:rFonts w:ascii="Verdana" w:hAnsi="Verdana"/>
          <w:b/>
          <w:sz w:val="20"/>
          <w:szCs w:val="20"/>
        </w:rPr>
      </w:pPr>
    </w:p>
    <w:p w14:paraId="62F97815" w14:textId="77777777" w:rsidR="000216D0" w:rsidRPr="00DF7E56" w:rsidRDefault="000216D0" w:rsidP="00A12C39">
      <w:pPr>
        <w:spacing w:after="0" w:line="240" w:lineRule="auto"/>
        <w:ind w:right="4"/>
        <w:jc w:val="both"/>
        <w:rPr>
          <w:rFonts w:ascii="Verdana" w:hAnsi="Verdana"/>
          <w:b/>
          <w:sz w:val="20"/>
          <w:szCs w:val="20"/>
        </w:rPr>
      </w:pPr>
      <w:r w:rsidRPr="00DF7E56">
        <w:rPr>
          <w:rFonts w:ascii="Verdana" w:hAnsi="Verdana"/>
          <w:b/>
          <w:sz w:val="20"/>
          <w:szCs w:val="20"/>
        </w:rPr>
        <w:t>VISTO:</w:t>
      </w:r>
    </w:p>
    <w:p w14:paraId="33486DE7" w14:textId="77777777" w:rsidR="00BE1231" w:rsidRPr="00DF7E56" w:rsidRDefault="00BE1231" w:rsidP="00A12C39">
      <w:pPr>
        <w:spacing w:after="0" w:line="240" w:lineRule="auto"/>
        <w:ind w:right="4"/>
        <w:jc w:val="both"/>
        <w:rPr>
          <w:rFonts w:ascii="Verdana" w:hAnsi="Verdana"/>
          <w:b/>
          <w:sz w:val="20"/>
          <w:szCs w:val="20"/>
        </w:rPr>
      </w:pPr>
    </w:p>
    <w:p w14:paraId="410EA76F" w14:textId="6E5FD1DF" w:rsidR="001926E8" w:rsidRPr="00DF7E56" w:rsidRDefault="000216D0" w:rsidP="00AA53BA">
      <w:pPr>
        <w:pStyle w:val="ListParagraph"/>
        <w:numPr>
          <w:ilvl w:val="0"/>
          <w:numId w:val="3"/>
        </w:numPr>
        <w:spacing w:after="0" w:line="240" w:lineRule="auto"/>
        <w:ind w:left="0" w:firstLine="0"/>
        <w:jc w:val="both"/>
        <w:rPr>
          <w:rFonts w:ascii="Verdana" w:hAnsi="Verdana"/>
          <w:b/>
          <w:sz w:val="20"/>
          <w:szCs w:val="20"/>
          <w:lang w:val="es-ES"/>
        </w:rPr>
      </w:pPr>
      <w:r w:rsidRPr="00DF7E56">
        <w:rPr>
          <w:rFonts w:ascii="Verdana" w:hAnsi="Verdana"/>
          <w:sz w:val="20"/>
          <w:szCs w:val="20"/>
        </w:rPr>
        <w:t xml:space="preserve">La Sentencia de fondo, reparaciones y costas (en adelante “la Sentencia”) </w:t>
      </w:r>
      <w:r w:rsidR="0097331D" w:rsidRPr="00DF7E56">
        <w:rPr>
          <w:rFonts w:ascii="Verdana" w:hAnsi="Verdana"/>
          <w:sz w:val="20"/>
          <w:szCs w:val="20"/>
        </w:rPr>
        <w:t>emitida</w:t>
      </w:r>
      <w:r w:rsidRPr="00DF7E56">
        <w:rPr>
          <w:rFonts w:ascii="Verdana" w:hAnsi="Verdana"/>
          <w:sz w:val="20"/>
          <w:szCs w:val="20"/>
        </w:rPr>
        <w:t xml:space="preserve"> por la Corte Interamericana de Derechos Humanos (en adelante “la Corte Interamericana”, “</w:t>
      </w:r>
      <w:r w:rsidR="00DA23AB" w:rsidRPr="00DF7E56">
        <w:rPr>
          <w:rFonts w:ascii="Verdana" w:hAnsi="Verdana"/>
          <w:sz w:val="20"/>
          <w:szCs w:val="20"/>
        </w:rPr>
        <w:t>la Corte” o “el Tribunal”) el 26</w:t>
      </w:r>
      <w:r w:rsidRPr="00DF7E56">
        <w:rPr>
          <w:rFonts w:ascii="Verdana" w:hAnsi="Verdana"/>
          <w:sz w:val="20"/>
          <w:szCs w:val="20"/>
        </w:rPr>
        <w:t xml:space="preserve"> de </w:t>
      </w:r>
      <w:r w:rsidR="00DA23AB" w:rsidRPr="00DF7E56">
        <w:rPr>
          <w:rFonts w:ascii="Verdana" w:hAnsi="Verdana"/>
          <w:sz w:val="20"/>
          <w:szCs w:val="20"/>
        </w:rPr>
        <w:t>noviemb</w:t>
      </w:r>
      <w:r w:rsidRPr="00DF7E56">
        <w:rPr>
          <w:rFonts w:ascii="Verdana" w:hAnsi="Verdana"/>
          <w:sz w:val="20"/>
          <w:szCs w:val="20"/>
        </w:rPr>
        <w:t>re de 201</w:t>
      </w:r>
      <w:r w:rsidR="00DA23AB" w:rsidRPr="00DF7E56">
        <w:rPr>
          <w:rFonts w:ascii="Verdana" w:hAnsi="Verdana"/>
          <w:sz w:val="20"/>
          <w:szCs w:val="20"/>
        </w:rPr>
        <w:t>3</w:t>
      </w:r>
      <w:r w:rsidRPr="00DF7E56">
        <w:rPr>
          <w:rStyle w:val="FootnoteReference"/>
          <w:rFonts w:ascii="Verdana" w:hAnsi="Verdana"/>
          <w:sz w:val="20"/>
          <w:szCs w:val="20"/>
        </w:rPr>
        <w:footnoteReference w:id="2"/>
      </w:r>
      <w:r w:rsidRPr="00DF7E56">
        <w:rPr>
          <w:rFonts w:ascii="Verdana" w:hAnsi="Verdana"/>
          <w:sz w:val="20"/>
          <w:szCs w:val="20"/>
        </w:rPr>
        <w:t xml:space="preserve">. </w:t>
      </w:r>
      <w:r w:rsidR="00AA53BA" w:rsidRPr="00DF7E56">
        <w:rPr>
          <w:rFonts w:ascii="Verdana" w:hAnsi="Verdana"/>
          <w:sz w:val="20"/>
          <w:szCs w:val="20"/>
        </w:rPr>
        <w:t xml:space="preserve">La Corte </w:t>
      </w:r>
      <w:r w:rsidR="002731EA" w:rsidRPr="00DF7E56">
        <w:rPr>
          <w:rFonts w:ascii="Verdana" w:hAnsi="Verdana"/>
          <w:sz w:val="20"/>
          <w:szCs w:val="20"/>
        </w:rPr>
        <w:t>homologó</w:t>
      </w:r>
      <w:r w:rsidR="00AA53BA" w:rsidRPr="00DF7E56">
        <w:rPr>
          <w:rFonts w:ascii="Verdana" w:hAnsi="Verdana"/>
          <w:sz w:val="20"/>
          <w:szCs w:val="20"/>
        </w:rPr>
        <w:t xml:space="preserve"> el “Acuerdo de solución amistosa y reconocimiento</w:t>
      </w:r>
      <w:r w:rsidR="002731EA" w:rsidRPr="00DF7E56">
        <w:rPr>
          <w:rFonts w:ascii="Verdana" w:hAnsi="Verdana"/>
          <w:sz w:val="20"/>
          <w:szCs w:val="20"/>
        </w:rPr>
        <w:t xml:space="preserve"> de responsabilidad del Estado”</w:t>
      </w:r>
      <w:r w:rsidR="00AA53BA" w:rsidRPr="00DF7E56">
        <w:rPr>
          <w:rFonts w:ascii="Verdana" w:hAnsi="Verdana"/>
          <w:sz w:val="20"/>
          <w:szCs w:val="20"/>
        </w:rPr>
        <w:t xml:space="preserve"> suscrito por </w:t>
      </w:r>
      <w:r w:rsidR="002731EA" w:rsidRPr="00DF7E56">
        <w:rPr>
          <w:rFonts w:ascii="Verdana" w:hAnsi="Verdana"/>
          <w:sz w:val="20"/>
          <w:szCs w:val="20"/>
        </w:rPr>
        <w:t>las partes y aceptó</w:t>
      </w:r>
      <w:r w:rsidR="00AA53BA" w:rsidRPr="00DF7E56">
        <w:rPr>
          <w:rFonts w:ascii="Verdana" w:hAnsi="Verdana"/>
          <w:sz w:val="20"/>
          <w:szCs w:val="20"/>
        </w:rPr>
        <w:t xml:space="preserve"> el reconocimiento total de responsabilidad internacional efectuado por </w:t>
      </w:r>
      <w:r w:rsidR="002731EA" w:rsidRPr="00DF7E56">
        <w:rPr>
          <w:rFonts w:ascii="Verdana" w:hAnsi="Verdana"/>
          <w:color w:val="000000" w:themeColor="text1"/>
          <w:sz w:val="20"/>
          <w:szCs w:val="20"/>
        </w:rPr>
        <w:t>los Estados Unidos Mexicanos (en adelante “el Estado” o “México”)</w:t>
      </w:r>
      <w:r w:rsidR="00AA53BA" w:rsidRPr="00DF7E56">
        <w:rPr>
          <w:rFonts w:ascii="Verdana" w:hAnsi="Verdana"/>
          <w:sz w:val="20"/>
          <w:szCs w:val="20"/>
        </w:rPr>
        <w:t>.</w:t>
      </w:r>
      <w:r w:rsidR="004C4E8C" w:rsidRPr="00DF7E56">
        <w:rPr>
          <w:rFonts w:ascii="Verdana" w:hAnsi="Verdana"/>
          <w:sz w:val="20"/>
          <w:szCs w:val="20"/>
        </w:rPr>
        <w:t xml:space="preserve"> </w:t>
      </w:r>
      <w:r w:rsidR="002731EA" w:rsidRPr="00DF7E56">
        <w:rPr>
          <w:rFonts w:ascii="Verdana" w:hAnsi="Verdana"/>
          <w:sz w:val="20"/>
          <w:szCs w:val="20"/>
        </w:rPr>
        <w:t>En consecuencia, se</w:t>
      </w:r>
      <w:r w:rsidR="002731EA" w:rsidRPr="00DF7E56">
        <w:rPr>
          <w:rFonts w:ascii="Verdana" w:hAnsi="Verdana"/>
          <w:color w:val="000000" w:themeColor="text1"/>
          <w:sz w:val="20"/>
          <w:szCs w:val="20"/>
        </w:rPr>
        <w:t xml:space="preserve"> </w:t>
      </w:r>
      <w:r w:rsidRPr="00DF7E56">
        <w:rPr>
          <w:rFonts w:ascii="Verdana" w:hAnsi="Verdana"/>
          <w:color w:val="000000" w:themeColor="text1"/>
          <w:sz w:val="20"/>
          <w:szCs w:val="20"/>
        </w:rPr>
        <w:t xml:space="preserve">declaró </w:t>
      </w:r>
      <w:r w:rsidR="002731EA" w:rsidRPr="00DF7E56">
        <w:rPr>
          <w:rFonts w:ascii="Verdana" w:hAnsi="Verdana"/>
          <w:color w:val="000000" w:themeColor="text1"/>
          <w:sz w:val="20"/>
          <w:szCs w:val="20"/>
        </w:rPr>
        <w:t xml:space="preserve">a México </w:t>
      </w:r>
      <w:r w:rsidRPr="00DF7E56">
        <w:rPr>
          <w:rFonts w:ascii="Verdana" w:hAnsi="Verdana"/>
          <w:color w:val="000000" w:themeColor="text1"/>
          <w:sz w:val="20"/>
          <w:szCs w:val="20"/>
        </w:rPr>
        <w:t>responsable</w:t>
      </w:r>
      <w:r w:rsidR="002731EA" w:rsidRPr="00DF7E56">
        <w:rPr>
          <w:rFonts w:ascii="Verdana" w:hAnsi="Verdana"/>
          <w:color w:val="000000" w:themeColor="text1"/>
          <w:sz w:val="20"/>
          <w:szCs w:val="20"/>
        </w:rPr>
        <w:t>, entre otras violaciones,</w:t>
      </w:r>
      <w:r w:rsidRPr="00DF7E56">
        <w:rPr>
          <w:rFonts w:ascii="Verdana" w:hAnsi="Verdana"/>
          <w:color w:val="000000" w:themeColor="text1"/>
          <w:sz w:val="20"/>
          <w:szCs w:val="20"/>
        </w:rPr>
        <w:t xml:space="preserve"> </w:t>
      </w:r>
      <w:r w:rsidR="00DE4FDE" w:rsidRPr="00DF7E56">
        <w:rPr>
          <w:rFonts w:ascii="Verdana" w:hAnsi="Verdana"/>
          <w:color w:val="000000" w:themeColor="text1"/>
          <w:sz w:val="20"/>
          <w:szCs w:val="20"/>
        </w:rPr>
        <w:t>por</w:t>
      </w:r>
      <w:r w:rsidR="00027E62" w:rsidRPr="00DF7E56">
        <w:rPr>
          <w:rFonts w:ascii="Verdana" w:hAnsi="Verdana"/>
          <w:color w:val="000000" w:themeColor="text1"/>
          <w:sz w:val="20"/>
          <w:szCs w:val="20"/>
        </w:rPr>
        <w:t xml:space="preserve">: i) </w:t>
      </w:r>
      <w:r w:rsidR="00027E62" w:rsidRPr="00DF7E56">
        <w:rPr>
          <w:rFonts w:ascii="Verdana" w:hAnsi="Verdana"/>
          <w:color w:val="000000" w:themeColor="text1"/>
          <w:sz w:val="20"/>
          <w:szCs w:val="20"/>
          <w:lang w:val="es-ES"/>
        </w:rPr>
        <w:t xml:space="preserve">la tortura que sufrieron los señores Juan García Cruz y Santiago Sánchez Silvestre </w:t>
      </w:r>
      <w:r w:rsidR="002731EA" w:rsidRPr="00DF7E56">
        <w:rPr>
          <w:rFonts w:ascii="Verdana" w:hAnsi="Verdana"/>
          <w:color w:val="000000" w:themeColor="text1"/>
          <w:sz w:val="20"/>
          <w:szCs w:val="20"/>
          <w:lang w:val="es-ES"/>
        </w:rPr>
        <w:t xml:space="preserve">durante su detención </w:t>
      </w:r>
      <w:r w:rsidR="00027E62" w:rsidRPr="00DF7E56">
        <w:rPr>
          <w:rFonts w:ascii="Verdana" w:hAnsi="Verdana"/>
          <w:color w:val="000000" w:themeColor="text1"/>
          <w:sz w:val="20"/>
          <w:szCs w:val="20"/>
          <w:lang w:val="es-ES"/>
        </w:rPr>
        <w:t>por la Policía Judicial del Distrito Federal en junio de 1997</w:t>
      </w:r>
      <w:r w:rsidR="002F4CA2" w:rsidRPr="00DF7E56">
        <w:rPr>
          <w:rFonts w:ascii="Verdana" w:hAnsi="Verdana"/>
          <w:color w:val="000000" w:themeColor="text1"/>
          <w:sz w:val="20"/>
          <w:szCs w:val="20"/>
          <w:lang w:val="es-ES"/>
        </w:rPr>
        <w:t>,</w:t>
      </w:r>
      <w:r w:rsidR="00027E62" w:rsidRPr="00DF7E56">
        <w:rPr>
          <w:rFonts w:ascii="Verdana" w:hAnsi="Verdana"/>
          <w:color w:val="000000" w:themeColor="text1"/>
          <w:sz w:val="20"/>
          <w:szCs w:val="20"/>
          <w:lang w:val="es-ES"/>
        </w:rPr>
        <w:t xml:space="preserve"> así como </w:t>
      </w:r>
      <w:r w:rsidR="00BE1231" w:rsidRPr="00DF7E56">
        <w:rPr>
          <w:rFonts w:ascii="Verdana" w:hAnsi="Verdana"/>
          <w:color w:val="000000" w:themeColor="text1"/>
          <w:sz w:val="20"/>
          <w:szCs w:val="20"/>
          <w:lang w:val="es-ES"/>
        </w:rPr>
        <w:t>por</w:t>
      </w:r>
      <w:r w:rsidR="00027E62" w:rsidRPr="00DF7E56">
        <w:rPr>
          <w:rFonts w:ascii="Verdana" w:hAnsi="Verdana"/>
          <w:color w:val="000000" w:themeColor="text1"/>
          <w:sz w:val="20"/>
          <w:szCs w:val="20"/>
          <w:lang w:val="es-ES"/>
        </w:rPr>
        <w:t xml:space="preserve"> la falta de investigación de tales hechos; ii) las declaraciones inculpatorias que fueron obligados a rendir ante el Ministerio Público</w:t>
      </w:r>
      <w:r w:rsidR="004D569F" w:rsidRPr="00DF7E56">
        <w:rPr>
          <w:rFonts w:ascii="Verdana" w:hAnsi="Verdana"/>
          <w:color w:val="000000" w:themeColor="text1"/>
          <w:sz w:val="20"/>
          <w:szCs w:val="20"/>
          <w:lang w:val="es-ES"/>
        </w:rPr>
        <w:t xml:space="preserve"> y el valor probatorio que se les otorgó a las mismas en los procesos penales</w:t>
      </w:r>
      <w:r w:rsidR="00BB2615" w:rsidRPr="00DF7E56">
        <w:rPr>
          <w:rFonts w:ascii="Verdana" w:hAnsi="Verdana"/>
          <w:color w:val="000000" w:themeColor="text1"/>
          <w:sz w:val="20"/>
          <w:szCs w:val="20"/>
          <w:lang w:val="es-ES"/>
        </w:rPr>
        <w:t xml:space="preserve"> en que se les condenó</w:t>
      </w:r>
      <w:r w:rsidR="008E4D2A" w:rsidRPr="00DF7E56">
        <w:rPr>
          <w:rFonts w:ascii="Verdana" w:hAnsi="Verdana"/>
          <w:color w:val="000000" w:themeColor="text1"/>
          <w:sz w:val="20"/>
          <w:szCs w:val="20"/>
          <w:lang w:val="es-ES"/>
        </w:rPr>
        <w:t xml:space="preserve"> </w:t>
      </w:r>
      <w:r w:rsidR="00BB2615" w:rsidRPr="00DF7E56">
        <w:rPr>
          <w:rFonts w:ascii="Verdana" w:hAnsi="Verdana"/>
          <w:color w:val="000000" w:themeColor="text1"/>
          <w:sz w:val="20"/>
          <w:szCs w:val="20"/>
          <w:lang w:val="es-ES"/>
        </w:rPr>
        <w:t xml:space="preserve">a </w:t>
      </w:r>
      <w:r w:rsidR="00027E62" w:rsidRPr="00DF7E56">
        <w:rPr>
          <w:rFonts w:ascii="Verdana" w:hAnsi="Verdana"/>
          <w:color w:val="000000" w:themeColor="text1"/>
          <w:sz w:val="20"/>
          <w:szCs w:val="20"/>
          <w:lang w:val="es-ES"/>
        </w:rPr>
        <w:t xml:space="preserve">penas de 3 y 40 años de prisión en violación de garantías del debido proceso. </w:t>
      </w:r>
      <w:r w:rsidRPr="00DF7E56">
        <w:rPr>
          <w:rFonts w:ascii="Verdana" w:hAnsi="Verdana"/>
          <w:sz w:val="20"/>
          <w:szCs w:val="20"/>
        </w:rPr>
        <w:t xml:space="preserve">El Tribunal estableció que su Sentencia constituye </w:t>
      </w:r>
      <w:r w:rsidR="00C63BA2" w:rsidRPr="00C63BA2">
        <w:rPr>
          <w:rFonts w:ascii="Verdana" w:hAnsi="Verdana"/>
          <w:sz w:val="20"/>
          <w:szCs w:val="20"/>
        </w:rPr>
        <w:t>por sí misma</w:t>
      </w:r>
      <w:r w:rsidRPr="00DF7E56">
        <w:rPr>
          <w:rFonts w:ascii="Verdana" w:hAnsi="Verdana"/>
          <w:sz w:val="20"/>
          <w:szCs w:val="20"/>
        </w:rPr>
        <w:t xml:space="preserve"> una forma de reparación y, adicionalmente, ordenó al Estado determinadas medidas de reparación</w:t>
      </w:r>
      <w:r w:rsidR="00027E62" w:rsidRPr="00DF7E56">
        <w:rPr>
          <w:rFonts w:ascii="Verdana" w:hAnsi="Verdana"/>
          <w:sz w:val="20"/>
          <w:szCs w:val="20"/>
        </w:rPr>
        <w:t xml:space="preserve"> </w:t>
      </w:r>
      <w:r w:rsidR="00AF366A" w:rsidRPr="00DF7E56">
        <w:rPr>
          <w:rFonts w:ascii="Verdana" w:hAnsi="Verdana"/>
          <w:sz w:val="20"/>
          <w:szCs w:val="20"/>
        </w:rPr>
        <w:t xml:space="preserve">de conformidad con </w:t>
      </w:r>
      <w:r w:rsidR="0047558E" w:rsidRPr="00DF7E56">
        <w:rPr>
          <w:rFonts w:ascii="Verdana" w:hAnsi="Verdana"/>
          <w:sz w:val="20"/>
          <w:szCs w:val="20"/>
        </w:rPr>
        <w:t xml:space="preserve">lo </w:t>
      </w:r>
      <w:r w:rsidR="00AF366A" w:rsidRPr="00DF7E56">
        <w:rPr>
          <w:rFonts w:ascii="Verdana" w:hAnsi="Verdana"/>
          <w:sz w:val="20"/>
          <w:szCs w:val="20"/>
        </w:rPr>
        <w:t xml:space="preserve">convenido en dicho acuerdo de solución amistosa </w:t>
      </w:r>
      <w:r w:rsidR="00027E62" w:rsidRPr="00DF7E56">
        <w:rPr>
          <w:rFonts w:ascii="Verdana" w:hAnsi="Verdana"/>
          <w:sz w:val="20"/>
          <w:szCs w:val="20"/>
        </w:rPr>
        <w:t>(</w:t>
      </w:r>
      <w:r w:rsidR="00027E62" w:rsidRPr="00DF7E56">
        <w:rPr>
          <w:rFonts w:ascii="Verdana" w:hAnsi="Verdana"/>
          <w:i/>
          <w:sz w:val="20"/>
          <w:szCs w:val="20"/>
        </w:rPr>
        <w:t xml:space="preserve">infra </w:t>
      </w:r>
      <w:r w:rsidR="00027E62" w:rsidRPr="00DF7E56">
        <w:rPr>
          <w:rFonts w:ascii="Verdana" w:hAnsi="Verdana"/>
          <w:sz w:val="20"/>
          <w:szCs w:val="20"/>
        </w:rPr>
        <w:t xml:space="preserve">Considerando 1). </w:t>
      </w:r>
    </w:p>
    <w:p w14:paraId="21493CF8" w14:textId="77777777" w:rsidR="00AA53BA" w:rsidRPr="00DF7E56" w:rsidRDefault="00AA53BA" w:rsidP="00AA53BA">
      <w:pPr>
        <w:pStyle w:val="Default"/>
      </w:pPr>
    </w:p>
    <w:p w14:paraId="63E09CEE" w14:textId="21FA3130" w:rsidR="001926E8" w:rsidRPr="00DF7E56" w:rsidRDefault="00422E62" w:rsidP="00A12C39">
      <w:pPr>
        <w:pStyle w:val="ListParagraph"/>
        <w:numPr>
          <w:ilvl w:val="0"/>
          <w:numId w:val="3"/>
        </w:numPr>
        <w:spacing w:after="0" w:line="240" w:lineRule="auto"/>
        <w:ind w:left="0" w:firstLine="0"/>
        <w:jc w:val="both"/>
        <w:rPr>
          <w:rFonts w:ascii="Verdana" w:hAnsi="Verdana"/>
          <w:sz w:val="20"/>
          <w:szCs w:val="20"/>
          <w:lang w:val="es-ES"/>
        </w:rPr>
      </w:pPr>
      <w:r w:rsidRPr="00DF7E56">
        <w:rPr>
          <w:rFonts w:ascii="Verdana" w:hAnsi="Verdana"/>
          <w:sz w:val="20"/>
          <w:szCs w:val="20"/>
          <w:lang w:val="es-ES"/>
        </w:rPr>
        <w:t xml:space="preserve">Los </w:t>
      </w:r>
      <w:r w:rsidR="00CE62BF" w:rsidRPr="00DF7E56">
        <w:rPr>
          <w:rFonts w:ascii="Verdana" w:hAnsi="Verdana"/>
          <w:sz w:val="20"/>
          <w:szCs w:val="20"/>
          <w:lang w:val="es-ES"/>
        </w:rPr>
        <w:t>cuatro</w:t>
      </w:r>
      <w:r w:rsidR="00E579CF" w:rsidRPr="00DF7E56">
        <w:rPr>
          <w:rFonts w:ascii="Verdana" w:hAnsi="Verdana"/>
          <w:sz w:val="20"/>
          <w:szCs w:val="20"/>
          <w:lang w:val="es-ES"/>
        </w:rPr>
        <w:t xml:space="preserve"> informe</w:t>
      </w:r>
      <w:r w:rsidRPr="00DF7E56">
        <w:rPr>
          <w:rFonts w:ascii="Verdana" w:hAnsi="Verdana"/>
          <w:sz w:val="20"/>
          <w:szCs w:val="20"/>
          <w:lang w:val="es-ES"/>
        </w:rPr>
        <w:t>s</w:t>
      </w:r>
      <w:r w:rsidR="00E579CF" w:rsidRPr="00DF7E56">
        <w:rPr>
          <w:rFonts w:ascii="Verdana" w:hAnsi="Verdana"/>
          <w:sz w:val="20"/>
          <w:szCs w:val="20"/>
          <w:lang w:val="es-ES"/>
        </w:rPr>
        <w:t xml:space="preserve"> </w:t>
      </w:r>
      <w:r w:rsidR="00612CE6" w:rsidRPr="00DF7E56">
        <w:rPr>
          <w:rFonts w:ascii="Verdana" w:hAnsi="Verdana"/>
          <w:sz w:val="20"/>
          <w:szCs w:val="20"/>
          <w:lang w:val="es-ES"/>
        </w:rPr>
        <w:t xml:space="preserve">presentados por </w:t>
      </w:r>
      <w:r w:rsidR="00CE62BF" w:rsidRPr="00DF7E56">
        <w:rPr>
          <w:rFonts w:ascii="Verdana" w:hAnsi="Verdana"/>
          <w:sz w:val="20"/>
          <w:lang w:val="es-MX"/>
        </w:rPr>
        <w:t xml:space="preserve">el Estado </w:t>
      </w:r>
      <w:r w:rsidR="00612CE6" w:rsidRPr="00DF7E56">
        <w:rPr>
          <w:rFonts w:ascii="Verdana" w:hAnsi="Verdana"/>
          <w:sz w:val="20"/>
          <w:lang w:val="es-MX"/>
        </w:rPr>
        <w:t>entre diciembre de 2014 y febrero de 2016</w:t>
      </w:r>
      <w:r w:rsidR="00CE62BF" w:rsidRPr="00DF7E56">
        <w:rPr>
          <w:rStyle w:val="FootnoteReference"/>
          <w:rFonts w:ascii="Verdana" w:hAnsi="Verdana"/>
          <w:sz w:val="20"/>
          <w:lang w:val="es-MX"/>
        </w:rPr>
        <w:footnoteReference w:id="3"/>
      </w:r>
      <w:r w:rsidR="00CB16D0" w:rsidRPr="00DF7E56">
        <w:rPr>
          <w:rFonts w:ascii="Verdana" w:hAnsi="Verdana"/>
          <w:sz w:val="20"/>
          <w:lang w:val="es-MX"/>
        </w:rPr>
        <w:t>, en respuesta a solicitudes efectuadas por el Presidente mediante notas de la Secretaría</w:t>
      </w:r>
      <w:r w:rsidR="00CE62BF" w:rsidRPr="00DF7E56">
        <w:rPr>
          <w:rFonts w:ascii="Verdana" w:hAnsi="Verdana"/>
          <w:sz w:val="20"/>
          <w:lang w:val="es-MX"/>
        </w:rPr>
        <w:t>.</w:t>
      </w:r>
    </w:p>
    <w:p w14:paraId="27996EC7" w14:textId="77777777" w:rsidR="00CE62BF" w:rsidRDefault="00CE62BF" w:rsidP="00CE62BF">
      <w:pPr>
        <w:pStyle w:val="ListParagraph"/>
        <w:spacing w:after="0" w:line="240" w:lineRule="auto"/>
        <w:ind w:left="0"/>
        <w:jc w:val="both"/>
        <w:rPr>
          <w:rFonts w:ascii="Verdana" w:hAnsi="Verdana"/>
          <w:sz w:val="20"/>
          <w:szCs w:val="20"/>
          <w:lang w:val="es-ES"/>
        </w:rPr>
      </w:pPr>
    </w:p>
    <w:p w14:paraId="405D3CC1" w14:textId="77777777" w:rsidR="0061188E" w:rsidRPr="00DF7E56" w:rsidRDefault="0061188E" w:rsidP="00CE62BF">
      <w:pPr>
        <w:pStyle w:val="ListParagraph"/>
        <w:spacing w:after="0" w:line="240" w:lineRule="auto"/>
        <w:ind w:left="0"/>
        <w:jc w:val="both"/>
        <w:rPr>
          <w:rFonts w:ascii="Verdana" w:hAnsi="Verdana"/>
          <w:sz w:val="20"/>
          <w:szCs w:val="20"/>
          <w:lang w:val="es-ES"/>
        </w:rPr>
      </w:pPr>
    </w:p>
    <w:p w14:paraId="316ADFF7" w14:textId="39E6F322" w:rsidR="001926E8" w:rsidRPr="00DF7E56" w:rsidRDefault="003A1678" w:rsidP="00A12C39">
      <w:pPr>
        <w:pStyle w:val="ListParagraph"/>
        <w:numPr>
          <w:ilvl w:val="0"/>
          <w:numId w:val="3"/>
        </w:numPr>
        <w:spacing w:after="0" w:line="240" w:lineRule="auto"/>
        <w:ind w:left="0" w:firstLine="0"/>
        <w:jc w:val="both"/>
        <w:rPr>
          <w:rFonts w:ascii="Verdana" w:hAnsi="Verdana"/>
          <w:sz w:val="20"/>
          <w:szCs w:val="20"/>
          <w:lang w:val="es-ES"/>
        </w:rPr>
      </w:pPr>
      <w:r w:rsidRPr="00DF7E56">
        <w:rPr>
          <w:rFonts w:ascii="Verdana" w:hAnsi="Verdana"/>
          <w:sz w:val="20"/>
          <w:lang w:val="es-MX"/>
        </w:rPr>
        <w:lastRenderedPageBreak/>
        <w:t>Los tres escritos de observaciones presentados por los representantes de las víctimas</w:t>
      </w:r>
      <w:r w:rsidR="00612CE6" w:rsidRPr="00DF7E56">
        <w:rPr>
          <w:rFonts w:ascii="Verdana" w:hAnsi="Verdana"/>
          <w:sz w:val="20"/>
          <w:lang w:val="es-MX"/>
        </w:rPr>
        <w:t xml:space="preserve"> entre febrero de 2015 y abril de 2016</w:t>
      </w:r>
      <w:r w:rsidRPr="00DF7E56">
        <w:rPr>
          <w:rStyle w:val="FootnoteReference"/>
          <w:rFonts w:ascii="Verdana" w:hAnsi="Verdana"/>
          <w:lang w:val="es-MX"/>
        </w:rPr>
        <w:footnoteReference w:id="4"/>
      </w:r>
      <w:r w:rsidRPr="00DF7E56">
        <w:rPr>
          <w:rFonts w:ascii="Verdana" w:hAnsi="Verdana"/>
          <w:sz w:val="20"/>
          <w:lang w:val="es-MX"/>
        </w:rPr>
        <w:t>.</w:t>
      </w:r>
    </w:p>
    <w:p w14:paraId="05FF86F6" w14:textId="77777777" w:rsidR="003A1678" w:rsidRPr="00DF7E56" w:rsidRDefault="003A1678" w:rsidP="003A1678">
      <w:pPr>
        <w:pStyle w:val="ListParagraph"/>
        <w:spacing w:after="0" w:line="240" w:lineRule="auto"/>
        <w:ind w:left="0"/>
        <w:jc w:val="both"/>
        <w:rPr>
          <w:rFonts w:ascii="Verdana" w:hAnsi="Verdana"/>
          <w:sz w:val="20"/>
          <w:szCs w:val="20"/>
          <w:lang w:val="es-ES"/>
        </w:rPr>
      </w:pPr>
    </w:p>
    <w:p w14:paraId="0FF7DCCD" w14:textId="37D56CEB" w:rsidR="00E579CF" w:rsidRPr="00DF7E56" w:rsidRDefault="003A1678" w:rsidP="00A12C39">
      <w:pPr>
        <w:pStyle w:val="ListParagraph"/>
        <w:numPr>
          <w:ilvl w:val="0"/>
          <w:numId w:val="3"/>
        </w:numPr>
        <w:spacing w:after="0" w:line="240" w:lineRule="auto"/>
        <w:ind w:left="0" w:firstLine="0"/>
        <w:jc w:val="both"/>
        <w:rPr>
          <w:rFonts w:ascii="Verdana" w:hAnsi="Verdana"/>
          <w:b/>
          <w:sz w:val="20"/>
          <w:szCs w:val="20"/>
          <w:lang w:val="es-ES"/>
        </w:rPr>
      </w:pPr>
      <w:r w:rsidRPr="00DF7E56">
        <w:rPr>
          <w:rFonts w:ascii="Verdana" w:hAnsi="Verdana"/>
          <w:sz w:val="20"/>
          <w:lang w:val="es-MX"/>
        </w:rPr>
        <w:t>Los escritos de observaciones presentados por la Comisión Interamericana de Derechos Humanos (en adelante la “Comisión Interamericana” o la “Comisión”)</w:t>
      </w:r>
      <w:r w:rsidR="00612CE6" w:rsidRPr="00DF7E56">
        <w:rPr>
          <w:rFonts w:ascii="Verdana" w:hAnsi="Verdana"/>
          <w:sz w:val="20"/>
          <w:lang w:val="es-MX"/>
        </w:rPr>
        <w:t xml:space="preserve"> el 10 de abril de 2015 y 22 de abril de 2016</w:t>
      </w:r>
      <w:r w:rsidRPr="00DF7E56">
        <w:rPr>
          <w:rFonts w:ascii="Verdana" w:hAnsi="Verdana"/>
          <w:sz w:val="20"/>
          <w:lang w:val="es-MX"/>
        </w:rPr>
        <w:t>.</w:t>
      </w:r>
    </w:p>
    <w:p w14:paraId="1728B3B8" w14:textId="77777777" w:rsidR="000216D0" w:rsidRDefault="000216D0" w:rsidP="00A12C39">
      <w:pPr>
        <w:tabs>
          <w:tab w:val="left" w:pos="567"/>
        </w:tabs>
        <w:spacing w:after="0" w:line="240" w:lineRule="auto"/>
        <w:ind w:right="4"/>
        <w:contextualSpacing/>
        <w:jc w:val="both"/>
        <w:rPr>
          <w:rFonts w:ascii="Verdana" w:hAnsi="Verdana"/>
          <w:noProof/>
          <w:sz w:val="20"/>
          <w:szCs w:val="20"/>
          <w:lang w:val="es-ES"/>
        </w:rPr>
      </w:pPr>
    </w:p>
    <w:p w14:paraId="53F093AD" w14:textId="77777777" w:rsidR="0061188E" w:rsidRPr="00DF7E56" w:rsidRDefault="0061188E" w:rsidP="00A12C39">
      <w:pPr>
        <w:tabs>
          <w:tab w:val="left" w:pos="567"/>
        </w:tabs>
        <w:spacing w:after="0" w:line="240" w:lineRule="auto"/>
        <w:ind w:right="4"/>
        <w:contextualSpacing/>
        <w:jc w:val="both"/>
        <w:rPr>
          <w:rFonts w:ascii="Verdana" w:hAnsi="Verdana"/>
          <w:noProof/>
          <w:sz w:val="20"/>
          <w:szCs w:val="20"/>
          <w:lang w:val="es-ES"/>
        </w:rPr>
      </w:pPr>
    </w:p>
    <w:p w14:paraId="0F8358F0" w14:textId="77777777" w:rsidR="000216D0" w:rsidRPr="00DF7E56" w:rsidRDefault="000216D0" w:rsidP="00A12C39">
      <w:pPr>
        <w:spacing w:after="0" w:line="240" w:lineRule="auto"/>
        <w:ind w:right="4"/>
        <w:rPr>
          <w:rFonts w:ascii="Verdana" w:hAnsi="Verdana"/>
          <w:b/>
          <w:sz w:val="20"/>
          <w:szCs w:val="20"/>
        </w:rPr>
      </w:pPr>
      <w:r w:rsidRPr="00DF7E56">
        <w:rPr>
          <w:rFonts w:ascii="Verdana" w:hAnsi="Verdana"/>
          <w:b/>
          <w:sz w:val="20"/>
          <w:szCs w:val="20"/>
        </w:rPr>
        <w:t>CONSIDERANDO QUE:</w:t>
      </w:r>
    </w:p>
    <w:p w14:paraId="3CF7A06A" w14:textId="77777777" w:rsidR="00A9092A" w:rsidRPr="00DF7E56" w:rsidRDefault="00A9092A" w:rsidP="00A12C39">
      <w:pPr>
        <w:spacing w:after="0" w:line="240" w:lineRule="auto"/>
        <w:rPr>
          <w:rFonts w:ascii="Verdana" w:hAnsi="Verdana"/>
        </w:rPr>
      </w:pPr>
    </w:p>
    <w:p w14:paraId="6E5E5B3A" w14:textId="77777777" w:rsidR="00C63BA2" w:rsidRPr="00C63BA2" w:rsidRDefault="000216D0" w:rsidP="00A12C39">
      <w:pPr>
        <w:pStyle w:val="ListParagraph"/>
        <w:numPr>
          <w:ilvl w:val="0"/>
          <w:numId w:val="2"/>
        </w:numPr>
        <w:spacing w:after="0" w:line="240" w:lineRule="auto"/>
        <w:ind w:left="0" w:right="4" w:firstLine="0"/>
        <w:jc w:val="both"/>
        <w:rPr>
          <w:rFonts w:ascii="Verdana" w:hAnsi="Verdana"/>
          <w:sz w:val="20"/>
          <w:szCs w:val="20"/>
          <w:lang w:val="es-ES"/>
        </w:rPr>
      </w:pPr>
      <w:r w:rsidRPr="00C63BA2">
        <w:rPr>
          <w:rFonts w:ascii="Verdana" w:hAnsi="Verdana"/>
          <w:sz w:val="20"/>
          <w:szCs w:val="20"/>
          <w:lang w:val="es-ES"/>
        </w:rPr>
        <w:t>En el ejercicio de su función jurisdiccional de supervisar el cumplimiento de sus</w:t>
      </w:r>
      <w:r w:rsidR="00452D9D" w:rsidRPr="00C63BA2">
        <w:rPr>
          <w:rFonts w:ascii="Verdana" w:hAnsi="Verdana"/>
          <w:sz w:val="20"/>
          <w:szCs w:val="20"/>
          <w:lang w:val="es-ES"/>
        </w:rPr>
        <w:t xml:space="preserve"> decisiones</w:t>
      </w:r>
      <w:r w:rsidR="00A93775" w:rsidRPr="00DF7E56">
        <w:rPr>
          <w:rStyle w:val="FootnoteReference"/>
          <w:rFonts w:ascii="Verdana" w:hAnsi="Verdana"/>
        </w:rPr>
        <w:footnoteReference w:id="5"/>
      </w:r>
      <w:r w:rsidR="00452D9D" w:rsidRPr="00C63BA2">
        <w:rPr>
          <w:rFonts w:ascii="Verdana" w:hAnsi="Verdana"/>
          <w:sz w:val="20"/>
          <w:szCs w:val="20"/>
          <w:lang w:val="es-ES"/>
        </w:rPr>
        <w:t xml:space="preserve">, la Corte ha venido supervisando la ejecución de la Sentencia emitida </w:t>
      </w:r>
      <w:r w:rsidR="00452D9D" w:rsidRPr="00C63BA2">
        <w:rPr>
          <w:rFonts w:ascii="Verdana" w:hAnsi="Verdana"/>
          <w:sz w:val="20"/>
          <w:szCs w:val="20"/>
          <w:lang w:val="es-MX"/>
        </w:rPr>
        <w:t>en el presente caso</w:t>
      </w:r>
      <w:r w:rsidR="00452D9D" w:rsidRPr="00C63BA2">
        <w:rPr>
          <w:rFonts w:ascii="Verdana" w:hAnsi="Verdana"/>
          <w:i/>
          <w:sz w:val="20"/>
          <w:szCs w:val="20"/>
          <w:lang w:val="es-MX"/>
        </w:rPr>
        <w:t xml:space="preserve"> </w:t>
      </w:r>
      <w:r w:rsidR="00177380" w:rsidRPr="00C63BA2">
        <w:rPr>
          <w:rFonts w:ascii="Verdana" w:hAnsi="Verdana"/>
          <w:sz w:val="20"/>
          <w:szCs w:val="20"/>
          <w:lang w:val="es-MX"/>
        </w:rPr>
        <w:t>en noviembre de 2013</w:t>
      </w:r>
      <w:r w:rsidR="00452D9D" w:rsidRPr="00C63BA2">
        <w:rPr>
          <w:rFonts w:ascii="Verdana" w:hAnsi="Verdana"/>
          <w:sz w:val="20"/>
          <w:szCs w:val="20"/>
          <w:lang w:val="es-MX"/>
        </w:rPr>
        <w:t xml:space="preserve"> (</w:t>
      </w:r>
      <w:r w:rsidR="00452D9D" w:rsidRPr="00C63BA2">
        <w:rPr>
          <w:rFonts w:ascii="Verdana" w:hAnsi="Verdana"/>
          <w:i/>
          <w:sz w:val="20"/>
          <w:szCs w:val="20"/>
          <w:lang w:val="es-MX"/>
        </w:rPr>
        <w:t>supra</w:t>
      </w:r>
      <w:r w:rsidR="00452D9D" w:rsidRPr="00C63BA2">
        <w:rPr>
          <w:rFonts w:ascii="Verdana" w:hAnsi="Verdana"/>
          <w:sz w:val="20"/>
          <w:szCs w:val="20"/>
          <w:lang w:val="es-MX"/>
        </w:rPr>
        <w:t xml:space="preserve"> Visto 1)</w:t>
      </w:r>
      <w:r w:rsidR="00C719FE" w:rsidRPr="00C63BA2">
        <w:rPr>
          <w:rFonts w:ascii="Verdana" w:hAnsi="Verdana"/>
          <w:sz w:val="20"/>
          <w:szCs w:val="20"/>
          <w:lang w:val="es-MX"/>
        </w:rPr>
        <w:t xml:space="preserve">, en la cual se ordenaron las catorce reparaciones convenidas entre las partes en el acuerdo de </w:t>
      </w:r>
      <w:r w:rsidR="00543B56" w:rsidRPr="00C63BA2">
        <w:rPr>
          <w:rFonts w:ascii="Verdana" w:hAnsi="Verdana"/>
          <w:sz w:val="20"/>
          <w:szCs w:val="20"/>
          <w:lang w:val="es-MX"/>
        </w:rPr>
        <w:t>solución amistosa.</w:t>
      </w:r>
      <w:r w:rsidR="00C63BA2">
        <w:rPr>
          <w:rFonts w:ascii="Verdana" w:hAnsi="Verdana"/>
          <w:sz w:val="20"/>
          <w:szCs w:val="20"/>
          <w:lang w:val="es-MX"/>
        </w:rPr>
        <w:t xml:space="preserve"> </w:t>
      </w:r>
    </w:p>
    <w:p w14:paraId="5BDA24C5" w14:textId="77777777" w:rsidR="00C63BA2" w:rsidRDefault="00C63BA2" w:rsidP="00C63BA2">
      <w:pPr>
        <w:pStyle w:val="ListParagraph"/>
        <w:spacing w:after="0" w:line="240" w:lineRule="auto"/>
        <w:ind w:left="0" w:right="4"/>
        <w:jc w:val="both"/>
        <w:rPr>
          <w:rFonts w:ascii="Verdana" w:hAnsi="Verdana"/>
          <w:sz w:val="20"/>
          <w:szCs w:val="20"/>
          <w:lang w:val="es-ES"/>
        </w:rPr>
      </w:pPr>
    </w:p>
    <w:p w14:paraId="7CA8E544" w14:textId="08087857" w:rsidR="002F7469" w:rsidRPr="00C63BA2" w:rsidRDefault="00BD33C8" w:rsidP="002F7469">
      <w:pPr>
        <w:pStyle w:val="ListParagraph"/>
        <w:numPr>
          <w:ilvl w:val="0"/>
          <w:numId w:val="2"/>
        </w:numPr>
        <w:spacing w:after="0" w:line="240" w:lineRule="auto"/>
        <w:ind w:left="0" w:right="4" w:firstLine="0"/>
        <w:jc w:val="both"/>
        <w:rPr>
          <w:rFonts w:ascii="Verdana" w:hAnsi="Verdana"/>
          <w:sz w:val="20"/>
          <w:szCs w:val="20"/>
          <w:lang w:val="es-ES"/>
        </w:rPr>
      </w:pPr>
      <w:r w:rsidRPr="00C63BA2">
        <w:rPr>
          <w:rFonts w:ascii="Verdana" w:hAnsi="Verdana"/>
          <w:sz w:val="20"/>
          <w:szCs w:val="20"/>
          <w:lang w:val="es-ES"/>
        </w:rPr>
        <w:t xml:space="preserve">De </w:t>
      </w:r>
      <w:r w:rsidR="00452D9D" w:rsidRPr="00C63BA2">
        <w:rPr>
          <w:rFonts w:ascii="Verdana" w:hAnsi="Verdana"/>
          <w:sz w:val="20"/>
          <w:szCs w:val="20"/>
        </w:rPr>
        <w:t xml:space="preserve">conformidad con lo establecido en el artículo </w:t>
      </w:r>
      <w:r w:rsidR="00452D9D" w:rsidRPr="00C63BA2">
        <w:rPr>
          <w:rFonts w:ascii="Verdana" w:hAnsi="Verdana"/>
          <w:color w:val="000000"/>
          <w:sz w:val="20"/>
          <w:szCs w:val="20"/>
          <w:lang w:val="es-CO"/>
        </w:rPr>
        <w:t>68.1 de la Convención Americana, “[l]os Estados Partes en la Convención se comprometen a cumplir la decisión de la Corte en todo caso en que sean partes”</w:t>
      </w:r>
      <w:r w:rsidR="00452D9D" w:rsidRPr="00C63BA2">
        <w:rPr>
          <w:rFonts w:ascii="Verdana" w:hAnsi="Verdana" w:cs="Verdana"/>
          <w:sz w:val="20"/>
          <w:szCs w:val="20"/>
        </w:rPr>
        <w:t xml:space="preserve">. </w:t>
      </w:r>
      <w:r w:rsidR="00452D9D" w:rsidRPr="00C63BA2">
        <w:rPr>
          <w:rFonts w:ascii="Verdana" w:hAnsi="Verdana"/>
          <w:sz w:val="20"/>
          <w:szCs w:val="20"/>
        </w:rPr>
        <w:t>Esta obligación incluye el deber del Estado de informar a la Corte sobre las medidas adoptadas para cumplir cada uno de los puntos ordenados, lo cual es fundamental para evaluar el estado de cumplimiento de la Sentencia en su conjunto.</w:t>
      </w:r>
      <w:r w:rsidR="00C63BA2">
        <w:rPr>
          <w:rFonts w:ascii="Verdana" w:hAnsi="Verdana"/>
          <w:sz w:val="20"/>
          <w:szCs w:val="20"/>
        </w:rPr>
        <w:t xml:space="preserve"> </w:t>
      </w:r>
      <w:r w:rsidR="0084765F" w:rsidRPr="00C63BA2">
        <w:rPr>
          <w:rFonts w:ascii="Verdana" w:hAnsi="Verdana"/>
          <w:sz w:val="20"/>
          <w:szCs w:val="20"/>
          <w:lang w:val="es-ES"/>
        </w:rPr>
        <w:t>Los Estados Parte en la Convención deben garantizar el cumplimiento de las disposiciones convencionales y sus efectos propios (</w:t>
      </w:r>
      <w:proofErr w:type="spellStart"/>
      <w:r w:rsidR="0084765F" w:rsidRPr="00C63BA2">
        <w:rPr>
          <w:rFonts w:ascii="Verdana" w:hAnsi="Verdana"/>
          <w:i/>
          <w:sz w:val="20"/>
          <w:szCs w:val="20"/>
          <w:lang w:val="es-ES"/>
        </w:rPr>
        <w:t>effet</w:t>
      </w:r>
      <w:proofErr w:type="spellEnd"/>
      <w:r w:rsidR="0084765F" w:rsidRPr="00C63BA2">
        <w:rPr>
          <w:rFonts w:ascii="Verdana" w:hAnsi="Verdana"/>
          <w:i/>
          <w:sz w:val="20"/>
          <w:szCs w:val="20"/>
          <w:lang w:val="es-ES"/>
        </w:rPr>
        <w:t xml:space="preserve"> </w:t>
      </w:r>
      <w:proofErr w:type="spellStart"/>
      <w:r w:rsidR="0084765F" w:rsidRPr="00C63BA2">
        <w:rPr>
          <w:rFonts w:ascii="Verdana" w:hAnsi="Verdana"/>
          <w:i/>
          <w:sz w:val="20"/>
          <w:szCs w:val="20"/>
          <w:lang w:val="es-ES"/>
        </w:rPr>
        <w:t>utile</w:t>
      </w:r>
      <w:proofErr w:type="spellEnd"/>
      <w:r w:rsidR="0084765F" w:rsidRPr="00C63BA2">
        <w:rPr>
          <w:rFonts w:ascii="Verdana" w:hAnsi="Verdana"/>
          <w:sz w:val="20"/>
          <w:szCs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84765F" w:rsidRPr="00DF7E56">
        <w:rPr>
          <w:rStyle w:val="FootnoteReference"/>
          <w:rFonts w:ascii="Verdana" w:hAnsi="Verdana" w:cs="Verdana"/>
        </w:rPr>
        <w:footnoteReference w:id="6"/>
      </w:r>
      <w:r w:rsidR="0084765F" w:rsidRPr="00C63BA2">
        <w:rPr>
          <w:rFonts w:ascii="Verdana" w:hAnsi="Verdana"/>
          <w:sz w:val="20"/>
          <w:szCs w:val="20"/>
          <w:lang w:val="es-ES"/>
        </w:rPr>
        <w:t>.</w:t>
      </w:r>
    </w:p>
    <w:p w14:paraId="220DDA20" w14:textId="77777777" w:rsidR="002F7469" w:rsidRPr="00DF7E56" w:rsidRDefault="002F7469" w:rsidP="002F7469">
      <w:pPr>
        <w:pStyle w:val="ListParagraph"/>
        <w:ind w:left="0"/>
        <w:rPr>
          <w:rFonts w:ascii="Verdana" w:hAnsi="Verdana"/>
          <w:sz w:val="20"/>
          <w:szCs w:val="20"/>
        </w:rPr>
      </w:pPr>
    </w:p>
    <w:p w14:paraId="5F4DD02E" w14:textId="36762B0D" w:rsidR="00F349B5" w:rsidRPr="00DF7E56" w:rsidRDefault="007568C5" w:rsidP="00AC139B">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E</w:t>
      </w:r>
      <w:r w:rsidR="0084765F" w:rsidRPr="00DF7E56">
        <w:rPr>
          <w:rFonts w:ascii="Verdana" w:hAnsi="Verdana"/>
          <w:sz w:val="20"/>
          <w:szCs w:val="20"/>
        </w:rPr>
        <w:t xml:space="preserve">l Tribunal se pronunciará sobre </w:t>
      </w:r>
      <w:r w:rsidR="00F349B5" w:rsidRPr="00DF7E56">
        <w:rPr>
          <w:rFonts w:ascii="Verdana" w:hAnsi="Verdana"/>
          <w:sz w:val="20"/>
          <w:szCs w:val="20"/>
        </w:rPr>
        <w:t xml:space="preserve">siete </w:t>
      </w:r>
      <w:r w:rsidR="0084765F" w:rsidRPr="00DF7E56">
        <w:rPr>
          <w:rFonts w:ascii="Verdana" w:hAnsi="Verdana"/>
          <w:sz w:val="20"/>
          <w:szCs w:val="20"/>
        </w:rPr>
        <w:t xml:space="preserve">medidas de reparación </w:t>
      </w:r>
      <w:r w:rsidR="00F349B5" w:rsidRPr="00DF7E56">
        <w:rPr>
          <w:rFonts w:ascii="Verdana" w:hAnsi="Verdana"/>
          <w:sz w:val="20"/>
          <w:szCs w:val="20"/>
        </w:rPr>
        <w:t>que considera que el Estado ha cumplido total o parcialmente (</w:t>
      </w:r>
      <w:r w:rsidR="00F349B5" w:rsidRPr="00DF7E56">
        <w:rPr>
          <w:rFonts w:ascii="Verdana" w:hAnsi="Verdana"/>
          <w:i/>
          <w:sz w:val="20"/>
          <w:szCs w:val="20"/>
        </w:rPr>
        <w:t>infra</w:t>
      </w:r>
      <w:r w:rsidR="00C63BA2">
        <w:rPr>
          <w:rFonts w:ascii="Verdana" w:hAnsi="Verdana"/>
          <w:sz w:val="20"/>
          <w:szCs w:val="20"/>
        </w:rPr>
        <w:t xml:space="preserve"> Considerando 4</w:t>
      </w:r>
      <w:r w:rsidR="00F349B5" w:rsidRPr="00DF7E56">
        <w:rPr>
          <w:rFonts w:ascii="Verdana" w:hAnsi="Verdana"/>
          <w:sz w:val="20"/>
          <w:szCs w:val="20"/>
        </w:rPr>
        <w:t xml:space="preserve">). </w:t>
      </w:r>
      <w:r w:rsidR="0084765F" w:rsidRPr="00DF7E56">
        <w:rPr>
          <w:rFonts w:ascii="Verdana" w:hAnsi="Verdana"/>
          <w:sz w:val="20"/>
          <w:szCs w:val="20"/>
        </w:rPr>
        <w:t>En una posterior resolución</w:t>
      </w:r>
      <w:r w:rsidR="00F349B5" w:rsidRPr="00DF7E56">
        <w:rPr>
          <w:rFonts w:ascii="Verdana" w:hAnsi="Verdana"/>
          <w:sz w:val="20"/>
          <w:szCs w:val="20"/>
        </w:rPr>
        <w:t>,</w:t>
      </w:r>
      <w:r w:rsidR="0084765F" w:rsidRPr="00DF7E56">
        <w:rPr>
          <w:rFonts w:ascii="Verdana" w:hAnsi="Verdana"/>
          <w:sz w:val="20"/>
          <w:szCs w:val="20"/>
        </w:rPr>
        <w:t xml:space="preserve"> esta Corte se pronunciará sobre las otras </w:t>
      </w:r>
      <w:r w:rsidRPr="00DF7E56">
        <w:rPr>
          <w:rFonts w:ascii="Verdana" w:hAnsi="Verdana"/>
          <w:sz w:val="20"/>
          <w:szCs w:val="20"/>
        </w:rPr>
        <w:t xml:space="preserve">siete </w:t>
      </w:r>
      <w:r w:rsidR="0084765F" w:rsidRPr="00DF7E56">
        <w:rPr>
          <w:rFonts w:ascii="Verdana" w:hAnsi="Verdana"/>
          <w:sz w:val="20"/>
          <w:szCs w:val="20"/>
        </w:rPr>
        <w:t>reparaciones pendientes de cumplimiento</w:t>
      </w:r>
      <w:r w:rsidRPr="00DF7E56">
        <w:rPr>
          <w:rStyle w:val="FootnoteReference"/>
          <w:rFonts w:ascii="Verdana" w:hAnsi="Verdana"/>
          <w:sz w:val="20"/>
          <w:szCs w:val="20"/>
        </w:rPr>
        <w:footnoteReference w:id="7"/>
      </w:r>
      <w:r w:rsidR="0084765F" w:rsidRPr="00DF7E56">
        <w:rPr>
          <w:rFonts w:ascii="Verdana" w:hAnsi="Verdana"/>
          <w:sz w:val="20"/>
          <w:szCs w:val="20"/>
        </w:rPr>
        <w:t>.</w:t>
      </w:r>
      <w:r w:rsidR="005851E9" w:rsidRPr="00DF7E56">
        <w:rPr>
          <w:rFonts w:ascii="Verdana" w:hAnsi="Verdana"/>
          <w:sz w:val="20"/>
          <w:szCs w:val="20"/>
        </w:rPr>
        <w:t xml:space="preserve"> </w:t>
      </w:r>
    </w:p>
    <w:p w14:paraId="77FAC6F6" w14:textId="77777777" w:rsidR="00F349B5" w:rsidRPr="00DF7E56" w:rsidRDefault="00F349B5" w:rsidP="00F349B5">
      <w:pPr>
        <w:pStyle w:val="ListParagraph"/>
        <w:tabs>
          <w:tab w:val="left" w:pos="567"/>
        </w:tabs>
        <w:spacing w:after="0" w:line="240" w:lineRule="auto"/>
        <w:ind w:left="0" w:right="4"/>
        <w:jc w:val="both"/>
        <w:rPr>
          <w:rFonts w:ascii="Verdana" w:hAnsi="Verdana"/>
          <w:sz w:val="20"/>
          <w:szCs w:val="20"/>
        </w:rPr>
      </w:pPr>
    </w:p>
    <w:p w14:paraId="2197AB08" w14:textId="47386E3F" w:rsidR="00AC139B" w:rsidRPr="00DF7E56" w:rsidRDefault="00F349B5" w:rsidP="00AC139B">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E</w:t>
      </w:r>
      <w:r w:rsidR="005851E9" w:rsidRPr="00DF7E56">
        <w:rPr>
          <w:rFonts w:ascii="Verdana" w:hAnsi="Verdana"/>
          <w:sz w:val="20"/>
          <w:szCs w:val="20"/>
        </w:rPr>
        <w:t>l Tribunal estructurará sus consideraciones en el siguiente orden:</w:t>
      </w:r>
    </w:p>
    <w:p w14:paraId="120CA722" w14:textId="4352D3DD" w:rsidR="00AC139B" w:rsidRDefault="00AC139B" w:rsidP="00AC139B">
      <w:pPr>
        <w:pStyle w:val="ListParagraph"/>
        <w:tabs>
          <w:tab w:val="left" w:pos="567"/>
        </w:tabs>
        <w:spacing w:after="0" w:line="240" w:lineRule="auto"/>
        <w:ind w:left="0" w:right="4"/>
        <w:jc w:val="both"/>
        <w:rPr>
          <w:rFonts w:ascii="Verdana" w:hAnsi="Verdana"/>
          <w:sz w:val="20"/>
          <w:szCs w:val="20"/>
        </w:rPr>
      </w:pPr>
    </w:p>
    <w:sdt>
      <w:sdtPr>
        <w:id w:val="-1951160246"/>
        <w:docPartObj>
          <w:docPartGallery w:val="Table of Contents"/>
          <w:docPartUnique/>
        </w:docPartObj>
      </w:sdtPr>
      <w:sdtEndPr>
        <w:rPr>
          <w:rFonts w:ascii="Verdana" w:hAnsi="Verdana"/>
          <w:b/>
          <w:bCs/>
          <w:i/>
          <w:noProof/>
          <w:sz w:val="18"/>
          <w:szCs w:val="18"/>
        </w:rPr>
      </w:sdtEndPr>
      <w:sdtContent>
        <w:p w14:paraId="78B54AC7" w14:textId="11C828BE" w:rsidR="00C03FC3" w:rsidRPr="00E61DA6" w:rsidRDefault="00C03FC3" w:rsidP="00492FC5">
          <w:pPr>
            <w:pStyle w:val="TOC1"/>
            <w:rPr>
              <w:i/>
              <w:noProof/>
            </w:rPr>
          </w:pPr>
          <w:r w:rsidRPr="00E61DA6">
            <w:rPr>
              <w:i/>
            </w:rPr>
            <w:fldChar w:fldCharType="begin"/>
          </w:r>
          <w:r w:rsidRPr="00E61DA6">
            <w:rPr>
              <w:i/>
            </w:rPr>
            <w:instrText xml:space="preserve"> TOC \o "1-3" \h \z \u </w:instrText>
          </w:r>
          <w:r w:rsidRPr="00E61DA6">
            <w:rPr>
              <w:i/>
            </w:rPr>
            <w:fldChar w:fldCharType="separate"/>
          </w:r>
          <w:hyperlink w:anchor="_Toc461464219" w:history="1">
            <w:r w:rsidRPr="00E61DA6">
              <w:rPr>
                <w:rStyle w:val="Hyperlink"/>
                <w:rFonts w:ascii="Verdana" w:hAnsi="Verdana"/>
                <w:i/>
                <w:noProof/>
                <w:sz w:val="18"/>
                <w:szCs w:val="18"/>
                <w:u w:val="none"/>
              </w:rPr>
              <w:t>Realizar las publicaciones establecidas en la Sentencia</w:t>
            </w:r>
            <w:r w:rsidRPr="00E61DA6">
              <w:rPr>
                <w:i/>
                <w:noProof/>
                <w:webHidden/>
              </w:rPr>
              <w:tab/>
            </w:r>
            <w:r w:rsidRPr="00E61DA6">
              <w:rPr>
                <w:i/>
                <w:noProof/>
                <w:webHidden/>
              </w:rPr>
              <w:fldChar w:fldCharType="begin"/>
            </w:r>
            <w:r w:rsidRPr="00E61DA6">
              <w:rPr>
                <w:i/>
                <w:noProof/>
                <w:webHidden/>
              </w:rPr>
              <w:instrText xml:space="preserve"> PAGEREF _Toc461464219 \h </w:instrText>
            </w:r>
            <w:r w:rsidRPr="00E61DA6">
              <w:rPr>
                <w:i/>
                <w:noProof/>
                <w:webHidden/>
              </w:rPr>
            </w:r>
            <w:r w:rsidRPr="00E61DA6">
              <w:rPr>
                <w:i/>
                <w:noProof/>
                <w:webHidden/>
              </w:rPr>
              <w:fldChar w:fldCharType="separate"/>
            </w:r>
            <w:r w:rsidR="006B145B">
              <w:rPr>
                <w:i/>
                <w:noProof/>
                <w:webHidden/>
              </w:rPr>
              <w:t>3</w:t>
            </w:r>
            <w:r w:rsidRPr="00E61DA6">
              <w:rPr>
                <w:i/>
                <w:noProof/>
                <w:webHidden/>
              </w:rPr>
              <w:fldChar w:fldCharType="end"/>
            </w:r>
          </w:hyperlink>
        </w:p>
        <w:p w14:paraId="5E02B325" w14:textId="0EAFE45B" w:rsidR="00C03FC3" w:rsidRPr="00E61DA6" w:rsidRDefault="00E97412" w:rsidP="00492FC5">
          <w:pPr>
            <w:pStyle w:val="TOC1"/>
            <w:rPr>
              <w:i/>
              <w:noProof/>
            </w:rPr>
          </w:pPr>
          <w:hyperlink w:anchor="_Toc461464220" w:history="1">
            <w:r w:rsidR="00C03FC3" w:rsidRPr="00E61DA6">
              <w:rPr>
                <w:rStyle w:val="Hyperlink"/>
                <w:rFonts w:ascii="Verdana" w:hAnsi="Verdana"/>
                <w:i/>
                <w:noProof/>
                <w:sz w:val="18"/>
                <w:szCs w:val="18"/>
                <w:u w:val="none"/>
              </w:rPr>
              <w:t>Garantizar becas de estudio</w:t>
            </w:r>
            <w:r w:rsidR="00C03FC3" w:rsidRPr="00E61DA6">
              <w:rPr>
                <w:i/>
                <w:noProof/>
                <w:webHidden/>
              </w:rPr>
              <w:tab/>
            </w:r>
            <w:r w:rsidR="00C03FC3" w:rsidRPr="00E61DA6">
              <w:rPr>
                <w:i/>
                <w:noProof/>
                <w:webHidden/>
              </w:rPr>
              <w:fldChar w:fldCharType="begin"/>
            </w:r>
            <w:r w:rsidR="00C03FC3" w:rsidRPr="00E61DA6">
              <w:rPr>
                <w:i/>
                <w:noProof/>
                <w:webHidden/>
              </w:rPr>
              <w:instrText xml:space="preserve"> PAGEREF _Toc461464220 \h </w:instrText>
            </w:r>
            <w:r w:rsidR="00C03FC3" w:rsidRPr="00E61DA6">
              <w:rPr>
                <w:i/>
                <w:noProof/>
                <w:webHidden/>
              </w:rPr>
            </w:r>
            <w:r w:rsidR="00C03FC3" w:rsidRPr="00E61DA6">
              <w:rPr>
                <w:i/>
                <w:noProof/>
                <w:webHidden/>
              </w:rPr>
              <w:fldChar w:fldCharType="separate"/>
            </w:r>
            <w:r w:rsidR="006B145B">
              <w:rPr>
                <w:i/>
                <w:noProof/>
                <w:webHidden/>
              </w:rPr>
              <w:t>5</w:t>
            </w:r>
            <w:r w:rsidR="00C03FC3" w:rsidRPr="00E61DA6">
              <w:rPr>
                <w:i/>
                <w:noProof/>
                <w:webHidden/>
              </w:rPr>
              <w:fldChar w:fldCharType="end"/>
            </w:r>
          </w:hyperlink>
        </w:p>
        <w:p w14:paraId="289F8037" w14:textId="1327AE3B" w:rsidR="00C03FC3" w:rsidRPr="00E61DA6" w:rsidRDefault="00E97412" w:rsidP="00492FC5">
          <w:pPr>
            <w:pStyle w:val="TOC1"/>
            <w:rPr>
              <w:i/>
              <w:noProof/>
            </w:rPr>
          </w:pPr>
          <w:hyperlink w:anchor="_Toc461464221" w:history="1">
            <w:r w:rsidR="00C03FC3" w:rsidRPr="00E61DA6">
              <w:rPr>
                <w:rStyle w:val="Hyperlink"/>
                <w:rFonts w:ascii="Verdana" w:hAnsi="Verdana"/>
                <w:i/>
                <w:noProof/>
                <w:sz w:val="18"/>
                <w:szCs w:val="18"/>
                <w:u w:val="none"/>
              </w:rPr>
              <w:t>Entrega en propiedad de viviendas en el Distrito Federal</w:t>
            </w:r>
            <w:r w:rsidR="00C03FC3" w:rsidRPr="00E61DA6">
              <w:rPr>
                <w:i/>
                <w:noProof/>
                <w:webHidden/>
              </w:rPr>
              <w:tab/>
            </w:r>
            <w:r w:rsidR="00C03FC3" w:rsidRPr="00E61DA6">
              <w:rPr>
                <w:i/>
                <w:noProof/>
                <w:webHidden/>
              </w:rPr>
              <w:fldChar w:fldCharType="begin"/>
            </w:r>
            <w:r w:rsidR="00C03FC3" w:rsidRPr="00E61DA6">
              <w:rPr>
                <w:i/>
                <w:noProof/>
                <w:webHidden/>
              </w:rPr>
              <w:instrText xml:space="preserve"> PAGEREF _Toc461464221 \h </w:instrText>
            </w:r>
            <w:r w:rsidR="00C03FC3" w:rsidRPr="00E61DA6">
              <w:rPr>
                <w:i/>
                <w:noProof/>
                <w:webHidden/>
              </w:rPr>
            </w:r>
            <w:r w:rsidR="00C03FC3" w:rsidRPr="00E61DA6">
              <w:rPr>
                <w:i/>
                <w:noProof/>
                <w:webHidden/>
              </w:rPr>
              <w:fldChar w:fldCharType="separate"/>
            </w:r>
            <w:r w:rsidR="006B145B">
              <w:rPr>
                <w:i/>
                <w:noProof/>
                <w:webHidden/>
              </w:rPr>
              <w:t>7</w:t>
            </w:r>
            <w:r w:rsidR="00C03FC3" w:rsidRPr="00E61DA6">
              <w:rPr>
                <w:i/>
                <w:noProof/>
                <w:webHidden/>
              </w:rPr>
              <w:fldChar w:fldCharType="end"/>
            </w:r>
          </w:hyperlink>
        </w:p>
        <w:p w14:paraId="0A06756E" w14:textId="3EA9BB14" w:rsidR="00C03FC3" w:rsidRPr="00E61DA6" w:rsidRDefault="00E97412" w:rsidP="00492FC5">
          <w:pPr>
            <w:pStyle w:val="TOC1"/>
            <w:rPr>
              <w:i/>
              <w:noProof/>
            </w:rPr>
          </w:pPr>
          <w:hyperlink w:anchor="_Toc461464222" w:history="1">
            <w:r w:rsidR="00C03FC3" w:rsidRPr="00E61DA6">
              <w:rPr>
                <w:rStyle w:val="Hyperlink"/>
                <w:rFonts w:ascii="Verdana" w:hAnsi="Verdana"/>
                <w:i/>
                <w:noProof/>
                <w:sz w:val="18"/>
                <w:szCs w:val="18"/>
                <w:u w:val="none"/>
              </w:rPr>
              <w:t>Indemnizaciones por concepto de daños materiales e inmateriales y reintegro de costas y gastos</w:t>
            </w:r>
            <w:r w:rsidR="00C03FC3" w:rsidRPr="00E61DA6">
              <w:rPr>
                <w:i/>
                <w:noProof/>
                <w:webHidden/>
              </w:rPr>
              <w:tab/>
            </w:r>
            <w:r w:rsidR="00C03FC3" w:rsidRPr="00E61DA6">
              <w:rPr>
                <w:i/>
                <w:noProof/>
                <w:webHidden/>
              </w:rPr>
              <w:fldChar w:fldCharType="begin"/>
            </w:r>
            <w:r w:rsidR="00C03FC3" w:rsidRPr="00E61DA6">
              <w:rPr>
                <w:i/>
                <w:noProof/>
                <w:webHidden/>
              </w:rPr>
              <w:instrText xml:space="preserve"> PAGEREF _Toc461464222 \h </w:instrText>
            </w:r>
            <w:r w:rsidR="00C03FC3" w:rsidRPr="00E61DA6">
              <w:rPr>
                <w:i/>
                <w:noProof/>
                <w:webHidden/>
              </w:rPr>
            </w:r>
            <w:r w:rsidR="00C03FC3" w:rsidRPr="00E61DA6">
              <w:rPr>
                <w:i/>
                <w:noProof/>
                <w:webHidden/>
              </w:rPr>
              <w:fldChar w:fldCharType="separate"/>
            </w:r>
            <w:r w:rsidR="006B145B">
              <w:rPr>
                <w:i/>
                <w:noProof/>
                <w:webHidden/>
              </w:rPr>
              <w:t>9</w:t>
            </w:r>
            <w:r w:rsidR="00C03FC3" w:rsidRPr="00E61DA6">
              <w:rPr>
                <w:i/>
                <w:noProof/>
                <w:webHidden/>
              </w:rPr>
              <w:fldChar w:fldCharType="end"/>
            </w:r>
          </w:hyperlink>
        </w:p>
        <w:p w14:paraId="67121299" w14:textId="34D3C053" w:rsidR="00C03FC3" w:rsidRPr="00E61DA6" w:rsidRDefault="00C03FC3" w:rsidP="00492FC5">
          <w:pPr>
            <w:rPr>
              <w:rFonts w:ascii="Verdana" w:hAnsi="Verdana"/>
              <w:b/>
              <w:i/>
              <w:sz w:val="18"/>
              <w:szCs w:val="18"/>
            </w:rPr>
          </w:pPr>
          <w:r w:rsidRPr="00E61DA6">
            <w:rPr>
              <w:rFonts w:ascii="Verdana" w:hAnsi="Verdana"/>
              <w:b/>
              <w:bCs/>
              <w:i/>
              <w:noProof/>
              <w:sz w:val="18"/>
              <w:szCs w:val="18"/>
            </w:rPr>
            <w:fldChar w:fldCharType="end"/>
          </w:r>
        </w:p>
      </w:sdtContent>
    </w:sdt>
    <w:p w14:paraId="1864A1C1" w14:textId="1AF9D7E5" w:rsidR="00AC139B" w:rsidRPr="00C03FC3" w:rsidRDefault="00A444A8" w:rsidP="00C03FC3">
      <w:pPr>
        <w:pStyle w:val="Title"/>
        <w:rPr>
          <w:b/>
          <w:i/>
        </w:rPr>
      </w:pPr>
      <w:bookmarkStart w:id="1" w:name="_Toc461464219"/>
      <w:r w:rsidRPr="00C03FC3">
        <w:rPr>
          <w:b/>
          <w:i/>
        </w:rPr>
        <w:t>A.</w:t>
      </w:r>
      <w:r w:rsidRPr="00C03FC3">
        <w:rPr>
          <w:b/>
          <w:i/>
        </w:rPr>
        <w:tab/>
      </w:r>
      <w:r w:rsidR="00647AEC" w:rsidRPr="00C03FC3">
        <w:rPr>
          <w:b/>
          <w:i/>
        </w:rPr>
        <w:t>Realizar las p</w:t>
      </w:r>
      <w:r w:rsidRPr="00C03FC3">
        <w:rPr>
          <w:b/>
          <w:i/>
        </w:rPr>
        <w:t>ublicacio</w:t>
      </w:r>
      <w:r w:rsidR="00AC139B" w:rsidRPr="00C03FC3">
        <w:rPr>
          <w:b/>
          <w:i/>
        </w:rPr>
        <w:t>n</w:t>
      </w:r>
      <w:r w:rsidRPr="00C03FC3">
        <w:rPr>
          <w:b/>
          <w:i/>
        </w:rPr>
        <w:t xml:space="preserve">es </w:t>
      </w:r>
      <w:r w:rsidR="00585D1F" w:rsidRPr="00C03FC3">
        <w:rPr>
          <w:b/>
          <w:i/>
        </w:rPr>
        <w:t>establecidas en</w:t>
      </w:r>
      <w:r w:rsidR="00647AEC" w:rsidRPr="00C03FC3">
        <w:rPr>
          <w:b/>
          <w:i/>
        </w:rPr>
        <w:t xml:space="preserve"> </w:t>
      </w:r>
      <w:r w:rsidRPr="00C03FC3">
        <w:rPr>
          <w:b/>
          <w:i/>
        </w:rPr>
        <w:t>la S</w:t>
      </w:r>
      <w:r w:rsidR="00AC139B" w:rsidRPr="00C03FC3">
        <w:rPr>
          <w:b/>
          <w:i/>
        </w:rPr>
        <w:t>entencia</w:t>
      </w:r>
      <w:bookmarkEnd w:id="1"/>
    </w:p>
    <w:p w14:paraId="679E1A44" w14:textId="77777777" w:rsidR="00AC139B" w:rsidRPr="00DF7E56" w:rsidRDefault="00AC139B" w:rsidP="006322A8">
      <w:pPr>
        <w:spacing w:after="0" w:line="240" w:lineRule="auto"/>
        <w:ind w:left="720" w:hanging="360"/>
        <w:jc w:val="both"/>
        <w:rPr>
          <w:rFonts w:ascii="Verdana" w:hAnsi="Verdana"/>
          <w:i/>
          <w:sz w:val="20"/>
          <w:szCs w:val="20"/>
          <w:lang w:val="es-ES_tradnl"/>
        </w:rPr>
      </w:pPr>
    </w:p>
    <w:p w14:paraId="3762828A" w14:textId="23F288C4" w:rsidR="00AC139B" w:rsidRPr="00DF7E56" w:rsidRDefault="00AC139B" w:rsidP="009E1D2C">
      <w:pPr>
        <w:spacing w:after="0" w:line="240" w:lineRule="auto"/>
        <w:ind w:left="1080" w:hanging="360"/>
        <w:jc w:val="both"/>
        <w:rPr>
          <w:rFonts w:ascii="Verdana" w:hAnsi="Verdana"/>
          <w:i/>
          <w:sz w:val="20"/>
          <w:szCs w:val="20"/>
        </w:rPr>
      </w:pPr>
      <w:r w:rsidRPr="00DF7E56">
        <w:rPr>
          <w:rFonts w:ascii="Verdana" w:hAnsi="Verdana"/>
          <w:i/>
          <w:sz w:val="20"/>
          <w:szCs w:val="20"/>
        </w:rPr>
        <w:t>A</w:t>
      </w:r>
      <w:r w:rsidR="00D9326E" w:rsidRPr="00DF7E56">
        <w:rPr>
          <w:rFonts w:ascii="Verdana" w:hAnsi="Verdana"/>
          <w:i/>
          <w:sz w:val="20"/>
          <w:szCs w:val="20"/>
        </w:rPr>
        <w:t>.1</w:t>
      </w:r>
      <w:r w:rsidRPr="00DF7E56">
        <w:rPr>
          <w:rFonts w:ascii="Verdana" w:hAnsi="Verdana"/>
          <w:i/>
          <w:sz w:val="20"/>
          <w:szCs w:val="20"/>
        </w:rPr>
        <w:t>) Medida</w:t>
      </w:r>
      <w:r w:rsidR="00A444A8" w:rsidRPr="00DF7E56">
        <w:rPr>
          <w:rFonts w:ascii="Verdana" w:hAnsi="Verdana"/>
          <w:i/>
          <w:sz w:val="20"/>
          <w:szCs w:val="20"/>
        </w:rPr>
        <w:t>s</w:t>
      </w:r>
      <w:r w:rsidRPr="00DF7E56">
        <w:rPr>
          <w:rFonts w:ascii="Verdana" w:hAnsi="Verdana"/>
          <w:i/>
          <w:sz w:val="20"/>
          <w:szCs w:val="20"/>
        </w:rPr>
        <w:t xml:space="preserve"> ordenada</w:t>
      </w:r>
      <w:r w:rsidR="00A444A8" w:rsidRPr="00DF7E56">
        <w:rPr>
          <w:rFonts w:ascii="Verdana" w:hAnsi="Verdana"/>
          <w:i/>
          <w:sz w:val="20"/>
          <w:szCs w:val="20"/>
        </w:rPr>
        <w:t>s</w:t>
      </w:r>
      <w:r w:rsidRPr="00DF7E56">
        <w:rPr>
          <w:rFonts w:ascii="Verdana" w:hAnsi="Verdana"/>
          <w:i/>
          <w:sz w:val="20"/>
          <w:szCs w:val="20"/>
        </w:rPr>
        <w:t xml:space="preserve"> por la Corte</w:t>
      </w:r>
    </w:p>
    <w:p w14:paraId="2432C398" w14:textId="77777777" w:rsidR="00AC139B" w:rsidRPr="00DF7E56" w:rsidRDefault="00AC139B" w:rsidP="00AC139B">
      <w:pPr>
        <w:pStyle w:val="ListParagraph"/>
        <w:tabs>
          <w:tab w:val="left" w:pos="567"/>
        </w:tabs>
        <w:spacing w:after="0" w:line="240" w:lineRule="auto"/>
        <w:ind w:left="0" w:right="4"/>
        <w:jc w:val="both"/>
        <w:rPr>
          <w:rFonts w:ascii="Verdana" w:hAnsi="Verdana"/>
          <w:sz w:val="20"/>
          <w:szCs w:val="20"/>
        </w:rPr>
      </w:pPr>
    </w:p>
    <w:p w14:paraId="49980179" w14:textId="169F1E90" w:rsidR="00980742" w:rsidRPr="00DF7E56" w:rsidRDefault="00BC2F28" w:rsidP="00980742">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E</w:t>
      </w:r>
      <w:r w:rsidR="007E2AE4" w:rsidRPr="00DF7E56">
        <w:rPr>
          <w:rFonts w:ascii="Verdana" w:hAnsi="Verdana"/>
          <w:sz w:val="20"/>
          <w:szCs w:val="20"/>
        </w:rPr>
        <w:t xml:space="preserve">n el punto </w:t>
      </w:r>
      <w:r w:rsidR="00830DF5" w:rsidRPr="00DF7E56">
        <w:rPr>
          <w:rFonts w:ascii="Verdana" w:hAnsi="Verdana"/>
          <w:sz w:val="20"/>
          <w:szCs w:val="20"/>
        </w:rPr>
        <w:t>dispositivo</w:t>
      </w:r>
      <w:r w:rsidR="007E2AE4" w:rsidRPr="00DF7E56">
        <w:rPr>
          <w:rFonts w:ascii="Verdana" w:hAnsi="Verdana"/>
          <w:sz w:val="20"/>
          <w:szCs w:val="20"/>
        </w:rPr>
        <w:t xml:space="preserve"> sexto</w:t>
      </w:r>
      <w:r w:rsidR="0076587F" w:rsidRPr="00DF7E56">
        <w:rPr>
          <w:rFonts w:ascii="Verdana" w:hAnsi="Verdana"/>
          <w:sz w:val="20"/>
          <w:szCs w:val="20"/>
        </w:rPr>
        <w:t xml:space="preserve"> inciso</w:t>
      </w:r>
      <w:r w:rsidR="007E2AE4" w:rsidRPr="00DF7E56">
        <w:rPr>
          <w:rFonts w:ascii="Verdana" w:hAnsi="Verdana"/>
          <w:sz w:val="20"/>
          <w:szCs w:val="20"/>
        </w:rPr>
        <w:t xml:space="preserve"> f) </w:t>
      </w:r>
      <w:r w:rsidR="00830DF5" w:rsidRPr="00DF7E56">
        <w:rPr>
          <w:rFonts w:ascii="Verdana" w:hAnsi="Verdana"/>
          <w:sz w:val="20"/>
          <w:szCs w:val="20"/>
        </w:rPr>
        <w:t xml:space="preserve">y </w:t>
      </w:r>
      <w:r w:rsidR="0076587F" w:rsidRPr="00DF7E56">
        <w:rPr>
          <w:rFonts w:ascii="Verdana" w:hAnsi="Verdana"/>
          <w:sz w:val="20"/>
          <w:szCs w:val="20"/>
        </w:rPr>
        <w:t xml:space="preserve">en los </w:t>
      </w:r>
      <w:r w:rsidR="00830DF5" w:rsidRPr="00DF7E56">
        <w:rPr>
          <w:rFonts w:ascii="Verdana" w:hAnsi="Verdana"/>
          <w:sz w:val="20"/>
          <w:szCs w:val="20"/>
        </w:rPr>
        <w:t xml:space="preserve">párrafos 86 y 87 </w:t>
      </w:r>
      <w:r w:rsidR="007E2AE4" w:rsidRPr="00DF7E56">
        <w:rPr>
          <w:rFonts w:ascii="Verdana" w:hAnsi="Verdana"/>
          <w:sz w:val="20"/>
          <w:szCs w:val="20"/>
        </w:rPr>
        <w:t xml:space="preserve">de la Sentencia, </w:t>
      </w:r>
      <w:r w:rsidR="00EE1024" w:rsidRPr="00DF7E56">
        <w:rPr>
          <w:rFonts w:ascii="Verdana" w:hAnsi="Verdana"/>
          <w:sz w:val="20"/>
          <w:szCs w:val="20"/>
        </w:rPr>
        <w:t xml:space="preserve">se dispuso que el Estado debía </w:t>
      </w:r>
      <w:r w:rsidR="00830DF5" w:rsidRPr="00DF7E56">
        <w:rPr>
          <w:rFonts w:ascii="Verdana" w:hAnsi="Verdana"/>
          <w:sz w:val="20"/>
          <w:szCs w:val="20"/>
        </w:rPr>
        <w:t>publicar: i) “en el Diario Oficial de la Federación y en otro diario de amplia circulación nacional, por una sola vez, [e]l resumen oficial de la [S]</w:t>
      </w:r>
      <w:proofErr w:type="spellStart"/>
      <w:r w:rsidR="00830DF5" w:rsidRPr="00DF7E56">
        <w:rPr>
          <w:rFonts w:ascii="Verdana" w:hAnsi="Verdana"/>
          <w:sz w:val="20"/>
          <w:szCs w:val="20"/>
        </w:rPr>
        <w:t>entencia</w:t>
      </w:r>
      <w:proofErr w:type="spellEnd"/>
      <w:r w:rsidR="00830DF5" w:rsidRPr="00DF7E56">
        <w:rPr>
          <w:rFonts w:ascii="Verdana" w:hAnsi="Verdana"/>
          <w:sz w:val="20"/>
          <w:szCs w:val="20"/>
        </w:rPr>
        <w:t xml:space="preserve"> […]</w:t>
      </w:r>
      <w:r w:rsidR="00482FEF" w:rsidRPr="00DF7E56">
        <w:rPr>
          <w:rFonts w:ascii="Verdana" w:hAnsi="Verdana"/>
          <w:sz w:val="20"/>
          <w:szCs w:val="20"/>
        </w:rPr>
        <w:t xml:space="preserve"> </w:t>
      </w:r>
      <w:r w:rsidR="00830DF5" w:rsidRPr="00DF7E56">
        <w:rPr>
          <w:rFonts w:ascii="Verdana" w:hAnsi="Verdana"/>
          <w:sz w:val="20"/>
          <w:szCs w:val="20"/>
        </w:rPr>
        <w:t xml:space="preserve">en el plazo de seis meses contado a partir de que [la misma </w:t>
      </w:r>
      <w:r w:rsidR="00C63F34" w:rsidRPr="00DF7E56">
        <w:rPr>
          <w:rFonts w:ascii="Verdana" w:hAnsi="Verdana"/>
          <w:sz w:val="20"/>
          <w:szCs w:val="20"/>
        </w:rPr>
        <w:t>fuera</w:t>
      </w:r>
      <w:r w:rsidR="00830DF5" w:rsidRPr="00DF7E56">
        <w:rPr>
          <w:rFonts w:ascii="Verdana" w:hAnsi="Verdana"/>
          <w:sz w:val="20"/>
          <w:szCs w:val="20"/>
        </w:rPr>
        <w:t>] notificada”</w:t>
      </w:r>
      <w:r w:rsidR="00EE1024" w:rsidRPr="00DF7E56">
        <w:rPr>
          <w:rFonts w:ascii="Verdana" w:hAnsi="Verdana"/>
          <w:sz w:val="20"/>
          <w:szCs w:val="20"/>
        </w:rPr>
        <w:t>,</w:t>
      </w:r>
      <w:r w:rsidR="00830DF5" w:rsidRPr="00DF7E56">
        <w:rPr>
          <w:rFonts w:ascii="Verdana" w:hAnsi="Verdana"/>
          <w:sz w:val="20"/>
          <w:szCs w:val="20"/>
        </w:rPr>
        <w:t xml:space="preserve"> y ii) publicar “la [S]</w:t>
      </w:r>
      <w:proofErr w:type="spellStart"/>
      <w:r w:rsidR="00830DF5" w:rsidRPr="00DF7E56">
        <w:rPr>
          <w:rFonts w:ascii="Verdana" w:hAnsi="Verdana"/>
          <w:sz w:val="20"/>
          <w:szCs w:val="20"/>
        </w:rPr>
        <w:t>entencia</w:t>
      </w:r>
      <w:proofErr w:type="spellEnd"/>
      <w:r w:rsidR="00830DF5" w:rsidRPr="00DF7E56">
        <w:rPr>
          <w:rFonts w:ascii="Verdana" w:hAnsi="Verdana"/>
          <w:sz w:val="20"/>
          <w:szCs w:val="20"/>
        </w:rPr>
        <w:t xml:space="preserve"> […]</w:t>
      </w:r>
      <w:r w:rsidR="00C476DC" w:rsidRPr="00DF7E56">
        <w:rPr>
          <w:rFonts w:ascii="Verdana" w:hAnsi="Verdana"/>
          <w:sz w:val="20"/>
          <w:szCs w:val="20"/>
        </w:rPr>
        <w:t xml:space="preserve"> </w:t>
      </w:r>
      <w:r w:rsidR="00830DF5" w:rsidRPr="00DF7E56">
        <w:rPr>
          <w:rFonts w:ascii="Verdana" w:hAnsi="Verdana"/>
          <w:sz w:val="20"/>
          <w:szCs w:val="20"/>
        </w:rPr>
        <w:t>por espacio de un año, en la página web de la Secretaría de Relaciones Exteriores”.</w:t>
      </w:r>
    </w:p>
    <w:p w14:paraId="3C6E398E" w14:textId="77777777" w:rsidR="00980742" w:rsidRPr="00DF7E56" w:rsidRDefault="00980742" w:rsidP="00980742">
      <w:pPr>
        <w:pStyle w:val="ListParagraph"/>
        <w:tabs>
          <w:tab w:val="left" w:pos="567"/>
        </w:tabs>
        <w:spacing w:after="0" w:line="240" w:lineRule="auto"/>
        <w:ind w:left="0" w:right="4"/>
        <w:jc w:val="both"/>
        <w:rPr>
          <w:rFonts w:ascii="Verdana" w:hAnsi="Verdana"/>
          <w:sz w:val="20"/>
          <w:szCs w:val="20"/>
        </w:rPr>
      </w:pPr>
    </w:p>
    <w:p w14:paraId="15B612F0" w14:textId="547D93E8" w:rsidR="006B7955" w:rsidRPr="00DF7E56" w:rsidRDefault="00980742" w:rsidP="006B7955">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 xml:space="preserve">Asimismo, en el punto dispositivo sexto </w:t>
      </w:r>
      <w:r w:rsidR="00627DAE" w:rsidRPr="00DF7E56">
        <w:rPr>
          <w:rFonts w:ascii="Verdana" w:hAnsi="Verdana"/>
          <w:sz w:val="20"/>
          <w:szCs w:val="20"/>
        </w:rPr>
        <w:t>inciso</w:t>
      </w:r>
      <w:r w:rsidRPr="00DF7E56">
        <w:rPr>
          <w:rFonts w:ascii="Verdana" w:hAnsi="Verdana"/>
          <w:sz w:val="20"/>
          <w:szCs w:val="20"/>
        </w:rPr>
        <w:t xml:space="preserve"> k) y </w:t>
      </w:r>
      <w:r w:rsidR="00BD0F56" w:rsidRPr="00DF7E56">
        <w:rPr>
          <w:rFonts w:ascii="Verdana" w:hAnsi="Verdana"/>
          <w:sz w:val="20"/>
          <w:szCs w:val="20"/>
        </w:rPr>
        <w:t xml:space="preserve">en los </w:t>
      </w:r>
      <w:r w:rsidRPr="00DF7E56">
        <w:rPr>
          <w:rFonts w:ascii="Verdana" w:hAnsi="Verdana"/>
          <w:sz w:val="20"/>
          <w:szCs w:val="20"/>
        </w:rPr>
        <w:t xml:space="preserve">párrafos 90 y 91 de la Sentencia, la Corte homologó la medida </w:t>
      </w:r>
      <w:r w:rsidR="00EE3505" w:rsidRPr="00DF7E56">
        <w:rPr>
          <w:rFonts w:ascii="Verdana" w:hAnsi="Verdana"/>
          <w:sz w:val="20"/>
          <w:szCs w:val="20"/>
        </w:rPr>
        <w:t>de</w:t>
      </w:r>
      <w:r w:rsidRPr="00DF7E56">
        <w:rPr>
          <w:rFonts w:ascii="Verdana" w:hAnsi="Verdana"/>
          <w:sz w:val="20"/>
          <w:szCs w:val="20"/>
        </w:rPr>
        <w:t xml:space="preserve"> publicar “en el Diario Oficial de la Federación y en otro diario de amplia circulación nacional, por una sola vez, […] un resumen de [la sentencia del juicio de amparo 778/2012], previamente acordado con las víctimas y sus representantes”. En el acuerdo de solución amistosa (</w:t>
      </w:r>
      <w:r w:rsidRPr="00DF7E56">
        <w:rPr>
          <w:rFonts w:ascii="Verdana" w:hAnsi="Verdana"/>
          <w:i/>
          <w:sz w:val="20"/>
          <w:szCs w:val="20"/>
        </w:rPr>
        <w:t xml:space="preserve">supra </w:t>
      </w:r>
      <w:r w:rsidRPr="00DF7E56">
        <w:rPr>
          <w:rFonts w:ascii="Verdana" w:hAnsi="Verdana"/>
          <w:sz w:val="20"/>
          <w:szCs w:val="20"/>
        </w:rPr>
        <w:t>Visto 1), se dispuso esta medida en razón de “la importancia que tuvo la sentencia del juicio de amparo 778/2012 para</w:t>
      </w:r>
      <w:r w:rsidR="001B26F1" w:rsidRPr="00DF7E56">
        <w:rPr>
          <w:rFonts w:ascii="Verdana" w:hAnsi="Verdana"/>
          <w:sz w:val="20"/>
          <w:szCs w:val="20"/>
        </w:rPr>
        <w:t xml:space="preserve"> el trámite del presente asunto”</w:t>
      </w:r>
      <w:r w:rsidR="00AF0DAD">
        <w:rPr>
          <w:rFonts w:ascii="Verdana" w:hAnsi="Verdana"/>
          <w:sz w:val="20"/>
          <w:szCs w:val="20"/>
        </w:rPr>
        <w:t>,</w:t>
      </w:r>
      <w:r w:rsidR="005503A1" w:rsidRPr="00DF7E56">
        <w:rPr>
          <w:rFonts w:ascii="Verdana" w:hAnsi="Verdana"/>
          <w:sz w:val="20"/>
          <w:szCs w:val="20"/>
        </w:rPr>
        <w:t xml:space="preserve"> ya que mediante dicho fallo s</w:t>
      </w:r>
      <w:r w:rsidR="001B26F1" w:rsidRPr="00DF7E56">
        <w:rPr>
          <w:rFonts w:ascii="Verdana" w:hAnsi="Verdana"/>
          <w:sz w:val="20"/>
          <w:szCs w:val="20"/>
        </w:rPr>
        <w:t>e “concedió el amparo directo penal promovido por las víctimas”</w:t>
      </w:r>
      <w:r w:rsidR="00F977A4" w:rsidRPr="00DF7E56">
        <w:rPr>
          <w:rFonts w:ascii="Verdana" w:hAnsi="Verdana"/>
          <w:sz w:val="20"/>
          <w:szCs w:val="20"/>
        </w:rPr>
        <w:t xml:space="preserve"> y se </w:t>
      </w:r>
      <w:r w:rsidR="001B26F1" w:rsidRPr="00DF7E56">
        <w:rPr>
          <w:rFonts w:ascii="Verdana" w:hAnsi="Verdana"/>
          <w:sz w:val="20"/>
          <w:szCs w:val="20"/>
        </w:rPr>
        <w:t xml:space="preserve">determinó que </w:t>
      </w:r>
      <w:r w:rsidR="005503A1" w:rsidRPr="00DF7E56">
        <w:rPr>
          <w:rFonts w:ascii="Verdana" w:hAnsi="Verdana"/>
          <w:sz w:val="20"/>
          <w:szCs w:val="20"/>
        </w:rPr>
        <w:t>la sentencia</w:t>
      </w:r>
      <w:r w:rsidR="001B26F1" w:rsidRPr="00DF7E56">
        <w:rPr>
          <w:rFonts w:ascii="Verdana" w:hAnsi="Verdana"/>
          <w:sz w:val="20"/>
          <w:szCs w:val="20"/>
        </w:rPr>
        <w:t xml:space="preserve"> </w:t>
      </w:r>
      <w:r w:rsidR="00F977A4" w:rsidRPr="00DF7E56">
        <w:rPr>
          <w:rFonts w:ascii="Verdana" w:hAnsi="Verdana"/>
          <w:sz w:val="20"/>
          <w:szCs w:val="20"/>
        </w:rPr>
        <w:t xml:space="preserve">penal condenatoria de </w:t>
      </w:r>
      <w:r w:rsidR="001B26F1" w:rsidRPr="00DF7E56">
        <w:rPr>
          <w:rFonts w:ascii="Verdana" w:hAnsi="Verdana"/>
          <w:color w:val="000000" w:themeColor="text1"/>
          <w:sz w:val="20"/>
          <w:szCs w:val="20"/>
          <w:lang w:val="es-ES"/>
        </w:rPr>
        <w:t>los señores García Cruz y Sánchez Silvestre estaba “‘</w:t>
      </w:r>
      <w:r w:rsidR="001B26F1" w:rsidRPr="00DF7E56">
        <w:rPr>
          <w:rFonts w:ascii="Verdana" w:hAnsi="Verdana"/>
          <w:sz w:val="20"/>
          <w:szCs w:val="20"/>
        </w:rPr>
        <w:t>sustentada en declaraciones obtenidas mediante […] coacción’ y era ‘atentatoria de los principios constitucionales de no autoincriminación, presunción de inocencia y defensa adecuada, por sustentar una decisión de condena en una prueba ilícita obtenida en contravención a los criterios constitucionales y</w:t>
      </w:r>
      <w:r w:rsidR="001B26F1" w:rsidRPr="00DF7E56">
        <w:rPr>
          <w:rFonts w:ascii="Verdana" w:hAnsi="Verdana"/>
          <w:color w:val="000000" w:themeColor="text1"/>
          <w:sz w:val="20"/>
          <w:szCs w:val="20"/>
          <w:lang w:val="es-ES"/>
        </w:rPr>
        <w:t xml:space="preserve"> </w:t>
      </w:r>
      <w:r w:rsidR="001B26F1" w:rsidRPr="00DF7E56">
        <w:rPr>
          <w:rFonts w:ascii="Verdana" w:hAnsi="Verdana"/>
          <w:sz w:val="20"/>
          <w:szCs w:val="20"/>
        </w:rPr>
        <w:t>legales contenida tanto en normas internas como supranacionales’”</w:t>
      </w:r>
      <w:r w:rsidR="001B26F1" w:rsidRPr="00DF7E56">
        <w:rPr>
          <w:rStyle w:val="FootnoteReference"/>
          <w:rFonts w:ascii="Verdana" w:hAnsi="Verdana"/>
          <w:sz w:val="20"/>
          <w:szCs w:val="20"/>
        </w:rPr>
        <w:footnoteReference w:id="8"/>
      </w:r>
      <w:r w:rsidRPr="00DF7E56">
        <w:rPr>
          <w:rFonts w:ascii="Verdana" w:hAnsi="Verdana"/>
          <w:sz w:val="20"/>
          <w:szCs w:val="20"/>
        </w:rPr>
        <w:t>.</w:t>
      </w:r>
      <w:r w:rsidR="00BE02DB" w:rsidRPr="00DF7E56">
        <w:rPr>
          <w:rFonts w:ascii="Verdana" w:hAnsi="Verdana"/>
          <w:sz w:val="20"/>
          <w:szCs w:val="20"/>
        </w:rPr>
        <w:t xml:space="preserve"> </w:t>
      </w:r>
      <w:r w:rsidR="004A427A" w:rsidRPr="00DF7E56">
        <w:rPr>
          <w:rFonts w:ascii="Verdana" w:hAnsi="Verdana"/>
          <w:sz w:val="20"/>
          <w:szCs w:val="20"/>
        </w:rPr>
        <w:t>E</w:t>
      </w:r>
      <w:r w:rsidR="00BE02DB" w:rsidRPr="00DF7E56">
        <w:rPr>
          <w:rFonts w:ascii="Verdana" w:hAnsi="Verdana"/>
          <w:sz w:val="20"/>
          <w:szCs w:val="20"/>
        </w:rPr>
        <w:t xml:space="preserve">l Estado </w:t>
      </w:r>
      <w:r w:rsidR="004A427A" w:rsidRPr="00DF7E56">
        <w:rPr>
          <w:rFonts w:ascii="Verdana" w:hAnsi="Verdana"/>
          <w:sz w:val="20"/>
          <w:szCs w:val="20"/>
        </w:rPr>
        <w:t xml:space="preserve">también </w:t>
      </w:r>
      <w:r w:rsidR="00BE02DB" w:rsidRPr="00DF7E56">
        <w:rPr>
          <w:rFonts w:ascii="Verdana" w:hAnsi="Verdana"/>
          <w:sz w:val="20"/>
          <w:szCs w:val="20"/>
        </w:rPr>
        <w:t xml:space="preserve">“se </w:t>
      </w:r>
      <w:proofErr w:type="spellStart"/>
      <w:proofErr w:type="gramStart"/>
      <w:r w:rsidR="00BE02DB" w:rsidRPr="00DF7E56">
        <w:rPr>
          <w:rFonts w:ascii="Verdana" w:hAnsi="Verdana"/>
          <w:sz w:val="20"/>
          <w:szCs w:val="20"/>
        </w:rPr>
        <w:t>compromet</w:t>
      </w:r>
      <w:proofErr w:type="spellEnd"/>
      <w:r w:rsidR="00BE02DB" w:rsidRPr="00DF7E56">
        <w:rPr>
          <w:rFonts w:ascii="Verdana" w:hAnsi="Verdana"/>
          <w:sz w:val="20"/>
          <w:szCs w:val="20"/>
        </w:rPr>
        <w:t>[</w:t>
      </w:r>
      <w:proofErr w:type="spellStart"/>
      <w:proofErr w:type="gramEnd"/>
      <w:r w:rsidR="00BE02DB" w:rsidRPr="00DF7E56">
        <w:rPr>
          <w:rFonts w:ascii="Verdana" w:hAnsi="Verdana"/>
          <w:sz w:val="20"/>
          <w:szCs w:val="20"/>
        </w:rPr>
        <w:t>ió</w:t>
      </w:r>
      <w:proofErr w:type="spellEnd"/>
      <w:r w:rsidR="00BE02DB" w:rsidRPr="00DF7E56">
        <w:rPr>
          <w:rFonts w:ascii="Verdana" w:hAnsi="Verdana"/>
          <w:sz w:val="20"/>
          <w:szCs w:val="20"/>
        </w:rPr>
        <w:t xml:space="preserve">] a solicitar a la Suprema Corte de Justicia de la Nación que </w:t>
      </w:r>
      <w:r w:rsidR="004A427A" w:rsidRPr="00DF7E56">
        <w:rPr>
          <w:rFonts w:ascii="Verdana" w:hAnsi="Verdana"/>
          <w:sz w:val="20"/>
          <w:szCs w:val="20"/>
        </w:rPr>
        <w:t>publicara […]</w:t>
      </w:r>
      <w:r w:rsidR="00BE02DB" w:rsidRPr="00DF7E56">
        <w:rPr>
          <w:rFonts w:ascii="Verdana" w:hAnsi="Verdana"/>
          <w:sz w:val="20"/>
          <w:szCs w:val="20"/>
        </w:rPr>
        <w:t xml:space="preserve"> la sentencia [del juicio de amparo], por espacio de un año, en su página web”</w:t>
      </w:r>
      <w:r w:rsidR="004F47BA">
        <w:rPr>
          <w:rStyle w:val="FootnoteReference"/>
          <w:rFonts w:ascii="Verdana" w:hAnsi="Verdana"/>
          <w:sz w:val="20"/>
          <w:szCs w:val="20"/>
        </w:rPr>
        <w:footnoteReference w:id="9"/>
      </w:r>
      <w:r w:rsidR="00BE02DB" w:rsidRPr="00DF7E56">
        <w:rPr>
          <w:rFonts w:ascii="Verdana" w:hAnsi="Verdana"/>
          <w:sz w:val="20"/>
          <w:szCs w:val="20"/>
        </w:rPr>
        <w:t>.</w:t>
      </w:r>
    </w:p>
    <w:p w14:paraId="30C9DA21" w14:textId="77777777" w:rsidR="006B7955" w:rsidRDefault="006B7955" w:rsidP="006B7955">
      <w:pPr>
        <w:pStyle w:val="ListParagraph"/>
        <w:spacing w:after="0"/>
        <w:rPr>
          <w:rFonts w:ascii="Verdana" w:hAnsi="Verdana"/>
          <w:sz w:val="20"/>
          <w:szCs w:val="20"/>
        </w:rPr>
      </w:pPr>
    </w:p>
    <w:p w14:paraId="4F5E2C56" w14:textId="77777777" w:rsidR="0061188E" w:rsidRPr="00DF7E56" w:rsidRDefault="0061188E" w:rsidP="006B7955">
      <w:pPr>
        <w:pStyle w:val="ListParagraph"/>
        <w:spacing w:after="0"/>
        <w:rPr>
          <w:rFonts w:ascii="Verdana" w:hAnsi="Verdana"/>
          <w:sz w:val="20"/>
          <w:szCs w:val="20"/>
        </w:rPr>
      </w:pPr>
    </w:p>
    <w:p w14:paraId="3E545BA3" w14:textId="5F87994E" w:rsidR="006B7955" w:rsidRPr="00DF7E56" w:rsidRDefault="006B7955" w:rsidP="009E1D2C">
      <w:pPr>
        <w:spacing w:after="0" w:line="240" w:lineRule="auto"/>
        <w:ind w:left="1080" w:hanging="360"/>
        <w:rPr>
          <w:rFonts w:ascii="Verdana" w:hAnsi="Verdana"/>
          <w:i/>
          <w:sz w:val="20"/>
          <w:szCs w:val="20"/>
        </w:rPr>
      </w:pPr>
      <w:r w:rsidRPr="00DF7E56">
        <w:rPr>
          <w:rFonts w:ascii="Verdana" w:hAnsi="Verdana"/>
          <w:i/>
          <w:sz w:val="20"/>
          <w:szCs w:val="20"/>
        </w:rPr>
        <w:t>A.2) Consideraciones de la Corte</w:t>
      </w:r>
    </w:p>
    <w:p w14:paraId="2C22FCC3" w14:textId="77777777" w:rsidR="006B7955" w:rsidRPr="00DF7E56" w:rsidRDefault="006B7955" w:rsidP="006B7955">
      <w:pPr>
        <w:pStyle w:val="ListParagraph"/>
        <w:spacing w:after="0"/>
        <w:rPr>
          <w:rFonts w:ascii="Verdana" w:hAnsi="Verdana"/>
          <w:sz w:val="20"/>
          <w:szCs w:val="20"/>
        </w:rPr>
      </w:pPr>
    </w:p>
    <w:p w14:paraId="3AB29A49" w14:textId="662BE76C" w:rsidR="007F6EEC" w:rsidRPr="00DF7E56" w:rsidRDefault="0053143E" w:rsidP="006B7955">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 xml:space="preserve">Con base en los comprobantes aportados por el Estado, </w:t>
      </w:r>
      <w:r w:rsidR="00696F0C" w:rsidRPr="00DF7E56">
        <w:rPr>
          <w:rFonts w:ascii="Verdana" w:hAnsi="Verdana"/>
          <w:sz w:val="20"/>
          <w:szCs w:val="20"/>
        </w:rPr>
        <w:t>l</w:t>
      </w:r>
      <w:r w:rsidR="00980742" w:rsidRPr="00DF7E56">
        <w:rPr>
          <w:rFonts w:ascii="Verdana" w:hAnsi="Verdana"/>
          <w:sz w:val="20"/>
          <w:szCs w:val="20"/>
        </w:rPr>
        <w:t xml:space="preserve">a Corte ha constatado que </w:t>
      </w:r>
      <w:r w:rsidR="00696F0C" w:rsidRPr="00DF7E56">
        <w:rPr>
          <w:rFonts w:ascii="Verdana" w:hAnsi="Verdana"/>
          <w:sz w:val="20"/>
          <w:szCs w:val="20"/>
        </w:rPr>
        <w:t>éste</w:t>
      </w:r>
      <w:r w:rsidR="001D0553" w:rsidRPr="00DF7E56">
        <w:rPr>
          <w:rFonts w:ascii="Verdana" w:hAnsi="Verdana"/>
          <w:sz w:val="20"/>
          <w:szCs w:val="20"/>
        </w:rPr>
        <w:t xml:space="preserve"> </w:t>
      </w:r>
      <w:r w:rsidR="00980742" w:rsidRPr="00DF7E56">
        <w:rPr>
          <w:rFonts w:ascii="Verdana" w:hAnsi="Verdana"/>
          <w:sz w:val="20"/>
          <w:szCs w:val="20"/>
        </w:rPr>
        <w:t>public</w:t>
      </w:r>
      <w:r w:rsidR="001D0553" w:rsidRPr="00DF7E56">
        <w:rPr>
          <w:rFonts w:ascii="Verdana" w:hAnsi="Verdana"/>
          <w:sz w:val="20"/>
          <w:szCs w:val="20"/>
        </w:rPr>
        <w:t xml:space="preserve">ó </w:t>
      </w:r>
      <w:r w:rsidR="00980742" w:rsidRPr="00DF7E56">
        <w:rPr>
          <w:rFonts w:ascii="Verdana" w:hAnsi="Verdana"/>
          <w:sz w:val="20"/>
          <w:szCs w:val="20"/>
        </w:rPr>
        <w:t>el resumen oficial de la Sentencia elaborado por la Corte</w:t>
      </w:r>
      <w:r w:rsidR="00FE2E32" w:rsidRPr="00DF7E56">
        <w:rPr>
          <w:rFonts w:ascii="Verdana" w:hAnsi="Verdana"/>
          <w:sz w:val="20"/>
          <w:szCs w:val="20"/>
        </w:rPr>
        <w:t xml:space="preserve"> y un resumen de la sentencia del juicio de amparo 778/2012</w:t>
      </w:r>
      <w:r w:rsidR="007F6EEC" w:rsidRPr="00DF7E56">
        <w:rPr>
          <w:rFonts w:ascii="Verdana" w:hAnsi="Verdana"/>
          <w:sz w:val="20"/>
          <w:szCs w:val="20"/>
        </w:rPr>
        <w:t>,</w:t>
      </w:r>
      <w:r w:rsidR="008809BB" w:rsidRPr="00DF7E56">
        <w:rPr>
          <w:rFonts w:ascii="Verdana" w:hAnsi="Verdana"/>
          <w:sz w:val="20"/>
          <w:szCs w:val="20"/>
        </w:rPr>
        <w:t xml:space="preserve"> </w:t>
      </w:r>
      <w:r w:rsidR="00451C45" w:rsidRPr="00DF7E56">
        <w:rPr>
          <w:rFonts w:ascii="Verdana" w:hAnsi="Verdana"/>
          <w:sz w:val="20"/>
          <w:szCs w:val="20"/>
        </w:rPr>
        <w:t xml:space="preserve">tanto </w:t>
      </w:r>
      <w:r w:rsidR="008809BB" w:rsidRPr="00DF7E56">
        <w:rPr>
          <w:rFonts w:ascii="Verdana" w:hAnsi="Verdana"/>
          <w:sz w:val="20"/>
          <w:szCs w:val="20"/>
        </w:rPr>
        <w:t>en el diario oficial</w:t>
      </w:r>
      <w:r w:rsidR="00980742" w:rsidRPr="00DF7E56">
        <w:rPr>
          <w:rFonts w:ascii="Verdana" w:hAnsi="Verdana"/>
          <w:sz w:val="20"/>
          <w:szCs w:val="20"/>
        </w:rPr>
        <w:t xml:space="preserve"> </w:t>
      </w:r>
      <w:r w:rsidR="00451C45" w:rsidRPr="00DF7E56">
        <w:rPr>
          <w:rFonts w:ascii="Verdana" w:hAnsi="Verdana"/>
          <w:sz w:val="20"/>
          <w:szCs w:val="20"/>
        </w:rPr>
        <w:t>como</w:t>
      </w:r>
      <w:r w:rsidR="008809BB" w:rsidRPr="00DF7E56">
        <w:rPr>
          <w:rFonts w:ascii="Verdana" w:hAnsi="Verdana"/>
          <w:sz w:val="20"/>
          <w:szCs w:val="20"/>
        </w:rPr>
        <w:t xml:space="preserve"> en un diario de amplia circulación nacional a través de</w:t>
      </w:r>
      <w:r w:rsidR="00980742" w:rsidRPr="00DF7E56">
        <w:rPr>
          <w:rFonts w:ascii="Verdana" w:hAnsi="Verdana"/>
          <w:sz w:val="20"/>
          <w:szCs w:val="20"/>
        </w:rPr>
        <w:t xml:space="preserve"> la</w:t>
      </w:r>
      <w:r w:rsidR="00FE2E32" w:rsidRPr="00DF7E56">
        <w:rPr>
          <w:rFonts w:ascii="Verdana" w:hAnsi="Verdana"/>
          <w:sz w:val="20"/>
          <w:szCs w:val="20"/>
        </w:rPr>
        <w:t>s publicacio</w:t>
      </w:r>
      <w:r w:rsidR="00980742" w:rsidRPr="00DF7E56">
        <w:rPr>
          <w:rFonts w:ascii="Verdana" w:hAnsi="Verdana"/>
          <w:sz w:val="20"/>
          <w:szCs w:val="20"/>
        </w:rPr>
        <w:t>n</w:t>
      </w:r>
      <w:r w:rsidR="00FE2E32" w:rsidRPr="00DF7E56">
        <w:rPr>
          <w:rFonts w:ascii="Verdana" w:hAnsi="Verdana"/>
          <w:sz w:val="20"/>
          <w:szCs w:val="20"/>
        </w:rPr>
        <w:t>es</w:t>
      </w:r>
      <w:r w:rsidR="00980742" w:rsidRPr="00DF7E56">
        <w:rPr>
          <w:rFonts w:ascii="Verdana" w:hAnsi="Verdana"/>
          <w:sz w:val="20"/>
          <w:szCs w:val="20"/>
        </w:rPr>
        <w:t xml:space="preserve"> efectuada</w:t>
      </w:r>
      <w:r w:rsidR="00FE2E32" w:rsidRPr="00DF7E56">
        <w:rPr>
          <w:rFonts w:ascii="Verdana" w:hAnsi="Verdana"/>
          <w:sz w:val="20"/>
          <w:szCs w:val="20"/>
        </w:rPr>
        <w:t>s</w:t>
      </w:r>
      <w:r w:rsidR="00980742" w:rsidRPr="00DF7E56">
        <w:rPr>
          <w:rFonts w:ascii="Verdana" w:hAnsi="Verdana"/>
          <w:sz w:val="20"/>
          <w:szCs w:val="20"/>
        </w:rPr>
        <w:t xml:space="preserve"> en el “Diario Oficial de </w:t>
      </w:r>
      <w:r w:rsidR="00980742" w:rsidRPr="00DF7E56">
        <w:rPr>
          <w:rFonts w:ascii="Verdana" w:hAnsi="Verdana"/>
          <w:sz w:val="20"/>
          <w:szCs w:val="20"/>
        </w:rPr>
        <w:lastRenderedPageBreak/>
        <w:t>la Federación” el 3 de octubre de 2014</w:t>
      </w:r>
      <w:r w:rsidR="008809BB" w:rsidRPr="00DF7E56">
        <w:rPr>
          <w:rFonts w:ascii="Verdana" w:hAnsi="Verdana"/>
          <w:sz w:val="20"/>
          <w:szCs w:val="20"/>
        </w:rPr>
        <w:t xml:space="preserve"> y en </w:t>
      </w:r>
      <w:r w:rsidR="00980742" w:rsidRPr="00DF7E56">
        <w:rPr>
          <w:rFonts w:ascii="Verdana" w:hAnsi="Verdana"/>
          <w:sz w:val="20"/>
          <w:szCs w:val="20"/>
        </w:rPr>
        <w:t>el periódico “</w:t>
      </w:r>
      <w:proofErr w:type="spellStart"/>
      <w:r w:rsidR="00980742" w:rsidRPr="00DF7E56">
        <w:rPr>
          <w:rFonts w:ascii="Verdana" w:hAnsi="Verdana"/>
          <w:sz w:val="20"/>
          <w:szCs w:val="20"/>
        </w:rPr>
        <w:t>Excelsior</w:t>
      </w:r>
      <w:proofErr w:type="spellEnd"/>
      <w:r w:rsidR="00980742" w:rsidRPr="00DF7E56">
        <w:rPr>
          <w:rFonts w:ascii="Verdana" w:hAnsi="Verdana"/>
          <w:sz w:val="20"/>
          <w:szCs w:val="20"/>
        </w:rPr>
        <w:t>”</w:t>
      </w:r>
      <w:r w:rsidR="008809BB" w:rsidRPr="00DF7E56">
        <w:rPr>
          <w:rFonts w:ascii="Verdana" w:hAnsi="Verdana"/>
          <w:sz w:val="20"/>
          <w:szCs w:val="20"/>
        </w:rPr>
        <w:t xml:space="preserve"> el 8 de octubre de 2014</w:t>
      </w:r>
      <w:r w:rsidR="0062585A" w:rsidRPr="00DF7E56">
        <w:rPr>
          <w:rStyle w:val="FootnoteReference"/>
          <w:rFonts w:ascii="Verdana" w:hAnsi="Verdana"/>
          <w:sz w:val="20"/>
          <w:szCs w:val="20"/>
        </w:rPr>
        <w:footnoteReference w:id="10"/>
      </w:r>
      <w:r w:rsidR="00980742" w:rsidRPr="00DF7E56">
        <w:rPr>
          <w:rFonts w:ascii="Verdana" w:hAnsi="Verdana"/>
          <w:sz w:val="20"/>
          <w:szCs w:val="20"/>
        </w:rPr>
        <w:t xml:space="preserve">. </w:t>
      </w:r>
      <w:r w:rsidR="007F6EEC" w:rsidRPr="00DF7E56">
        <w:rPr>
          <w:rFonts w:ascii="Verdana" w:hAnsi="Verdana"/>
          <w:sz w:val="20"/>
          <w:szCs w:val="20"/>
        </w:rPr>
        <w:t>Los representantes de las víctimas y la Comisión reconocieron que el Estado habría realizado las referidas publicaciones.</w:t>
      </w:r>
      <w:r w:rsidR="001368EC" w:rsidRPr="00AF0DAD">
        <w:rPr>
          <w:rFonts w:ascii="Verdana" w:hAnsi="Verdana"/>
          <w:sz w:val="20"/>
          <w:szCs w:val="20"/>
        </w:rPr>
        <w:t xml:space="preserve"> </w:t>
      </w:r>
      <w:r w:rsidR="001368EC" w:rsidRPr="00AF0DAD">
        <w:rPr>
          <w:rFonts w:ascii="Verdana" w:hAnsi="Verdana"/>
          <w:i/>
          <w:sz w:val="20"/>
          <w:szCs w:val="20"/>
        </w:rPr>
        <w:t>México</w:t>
      </w:r>
      <w:r w:rsidR="001368EC" w:rsidRPr="00DF7E56">
        <w:rPr>
          <w:rFonts w:ascii="Verdana" w:hAnsi="Verdana"/>
          <w:sz w:val="20"/>
          <w:szCs w:val="20"/>
        </w:rPr>
        <w:t xml:space="preserve"> solicitó a la Corte que declare cumplidas las medidas.</w:t>
      </w:r>
      <w:r w:rsidR="001368EC" w:rsidRPr="00DF7E56">
        <w:rPr>
          <w:rFonts w:ascii="Verdana" w:hAnsi="Verdana"/>
          <w:b/>
          <w:sz w:val="20"/>
          <w:szCs w:val="20"/>
        </w:rPr>
        <w:t xml:space="preserve"> </w:t>
      </w:r>
    </w:p>
    <w:p w14:paraId="0C229E78" w14:textId="77777777" w:rsidR="007F6EEC" w:rsidRPr="00DF7E56" w:rsidRDefault="007F6EEC" w:rsidP="007F6EEC">
      <w:pPr>
        <w:pStyle w:val="ListParagraph"/>
        <w:tabs>
          <w:tab w:val="left" w:pos="567"/>
        </w:tabs>
        <w:spacing w:after="0" w:line="240" w:lineRule="auto"/>
        <w:ind w:left="0" w:right="4"/>
        <w:jc w:val="both"/>
        <w:rPr>
          <w:rFonts w:ascii="Verdana" w:hAnsi="Verdana"/>
          <w:sz w:val="20"/>
          <w:szCs w:val="20"/>
        </w:rPr>
      </w:pPr>
    </w:p>
    <w:p w14:paraId="6F276EFD" w14:textId="0F52465E" w:rsidR="006B7955" w:rsidRPr="000B6810" w:rsidRDefault="007F6EEC" w:rsidP="006B7955">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 xml:space="preserve">No obstante, en cuanto a las publicaciones efectuadas en el referido diario de circulación nacional, </w:t>
      </w:r>
      <w:r w:rsidR="00482FEF" w:rsidRPr="00DF7E56">
        <w:rPr>
          <w:rFonts w:ascii="Verdana" w:hAnsi="Verdana"/>
          <w:sz w:val="20"/>
          <w:szCs w:val="20"/>
        </w:rPr>
        <w:t xml:space="preserve">los </w:t>
      </w:r>
      <w:r w:rsidR="00482FEF" w:rsidRPr="00AF0DAD">
        <w:rPr>
          <w:rFonts w:ascii="Verdana" w:hAnsi="Verdana"/>
          <w:i/>
          <w:sz w:val="20"/>
          <w:szCs w:val="20"/>
        </w:rPr>
        <w:t>representantes</w:t>
      </w:r>
      <w:r w:rsidR="00482FEF" w:rsidRPr="00DF7E56">
        <w:rPr>
          <w:rFonts w:ascii="Verdana" w:hAnsi="Verdana"/>
          <w:sz w:val="20"/>
          <w:szCs w:val="20"/>
        </w:rPr>
        <w:t xml:space="preserve"> </w:t>
      </w:r>
      <w:r w:rsidRPr="00DF7E56">
        <w:rPr>
          <w:rFonts w:ascii="Verdana" w:hAnsi="Verdana"/>
          <w:sz w:val="20"/>
          <w:szCs w:val="20"/>
        </w:rPr>
        <w:t>consideraron</w:t>
      </w:r>
      <w:r w:rsidR="00621B10" w:rsidRPr="00DF7E56">
        <w:rPr>
          <w:rFonts w:ascii="Verdana" w:hAnsi="Verdana"/>
          <w:sz w:val="20"/>
          <w:szCs w:val="20"/>
        </w:rPr>
        <w:t xml:space="preserve"> que</w:t>
      </w:r>
      <w:r w:rsidRPr="00DF7E56">
        <w:rPr>
          <w:rFonts w:ascii="Verdana" w:hAnsi="Verdana"/>
          <w:sz w:val="20"/>
          <w:szCs w:val="20"/>
        </w:rPr>
        <w:t xml:space="preserve"> éstas</w:t>
      </w:r>
      <w:r w:rsidR="00621B10" w:rsidRPr="00DF7E56">
        <w:rPr>
          <w:rFonts w:ascii="Verdana" w:hAnsi="Verdana"/>
          <w:sz w:val="20"/>
          <w:szCs w:val="20"/>
        </w:rPr>
        <w:t xml:space="preserve"> </w:t>
      </w:r>
      <w:r w:rsidR="00980742" w:rsidRPr="00DF7E56">
        <w:rPr>
          <w:rFonts w:ascii="Verdana" w:hAnsi="Verdana"/>
          <w:sz w:val="20"/>
          <w:szCs w:val="20"/>
        </w:rPr>
        <w:t>“tiene</w:t>
      </w:r>
      <w:r w:rsidR="00FE2E32" w:rsidRPr="00DF7E56">
        <w:rPr>
          <w:rFonts w:ascii="Verdana" w:hAnsi="Verdana"/>
          <w:sz w:val="20"/>
          <w:szCs w:val="20"/>
        </w:rPr>
        <w:t>[n]</w:t>
      </w:r>
      <w:r w:rsidR="00980742" w:rsidRPr="00DF7E56">
        <w:rPr>
          <w:rFonts w:ascii="Verdana" w:hAnsi="Verdana"/>
          <w:sz w:val="20"/>
          <w:szCs w:val="20"/>
        </w:rPr>
        <w:t xml:space="preserve"> una resolución muy baja y </w:t>
      </w:r>
      <w:r w:rsidR="00FE2E32" w:rsidRPr="00DF7E56">
        <w:rPr>
          <w:rFonts w:ascii="Verdana" w:hAnsi="Verdana"/>
          <w:sz w:val="20"/>
          <w:szCs w:val="20"/>
        </w:rPr>
        <w:t>l</w:t>
      </w:r>
      <w:r w:rsidR="00980742" w:rsidRPr="00DF7E56">
        <w:rPr>
          <w:rFonts w:ascii="Verdana" w:hAnsi="Verdana"/>
          <w:sz w:val="20"/>
          <w:szCs w:val="20"/>
        </w:rPr>
        <w:t xml:space="preserve">a letra es sumamente pequeña, haciendo imposible realizar una lectura de la publicación” y, por tanto, solicitaron “que se ordene publicar nuevamente </w:t>
      </w:r>
      <w:r w:rsidR="00FE2E32" w:rsidRPr="00DF7E56">
        <w:rPr>
          <w:rFonts w:ascii="Verdana" w:hAnsi="Verdana"/>
          <w:sz w:val="20"/>
          <w:szCs w:val="20"/>
        </w:rPr>
        <w:t>los resúmenes correspondientes</w:t>
      </w:r>
      <w:r w:rsidR="00980742" w:rsidRPr="00DF7E56">
        <w:rPr>
          <w:rFonts w:ascii="Verdana" w:hAnsi="Verdana"/>
          <w:sz w:val="20"/>
          <w:szCs w:val="20"/>
        </w:rPr>
        <w:t xml:space="preserve"> en un diario de circulación nacional”</w:t>
      </w:r>
      <w:r w:rsidR="00214EAC" w:rsidRPr="00DF7E56">
        <w:rPr>
          <w:rStyle w:val="FootnoteReference"/>
          <w:rFonts w:ascii="Verdana" w:hAnsi="Verdana"/>
          <w:sz w:val="20"/>
          <w:szCs w:val="20"/>
        </w:rPr>
        <w:footnoteReference w:id="11"/>
      </w:r>
      <w:r w:rsidR="00FC4CAA" w:rsidRPr="00DF7E56">
        <w:rPr>
          <w:rFonts w:ascii="Verdana" w:hAnsi="Verdana"/>
          <w:sz w:val="20"/>
          <w:szCs w:val="20"/>
        </w:rPr>
        <w:t>.</w:t>
      </w:r>
      <w:r w:rsidR="003F3362" w:rsidRPr="00DF7E56">
        <w:rPr>
          <w:rFonts w:ascii="Verdana" w:hAnsi="Verdana"/>
          <w:sz w:val="20"/>
          <w:szCs w:val="20"/>
        </w:rPr>
        <w:t xml:space="preserve"> Por su parte, la </w:t>
      </w:r>
      <w:r w:rsidR="00FE2E32" w:rsidRPr="00F07DAF">
        <w:rPr>
          <w:rFonts w:ascii="Verdana" w:hAnsi="Verdana"/>
          <w:i/>
          <w:sz w:val="20"/>
          <w:szCs w:val="20"/>
        </w:rPr>
        <w:t>Comisión</w:t>
      </w:r>
      <w:r w:rsidR="00FE2E32" w:rsidRPr="00DF7E56">
        <w:rPr>
          <w:rFonts w:ascii="Verdana" w:hAnsi="Verdana"/>
          <w:sz w:val="20"/>
          <w:szCs w:val="20"/>
        </w:rPr>
        <w:t xml:space="preserve"> </w:t>
      </w:r>
      <w:r w:rsidR="003F3362" w:rsidRPr="00DF7E56">
        <w:rPr>
          <w:rFonts w:ascii="Verdana" w:hAnsi="Verdana"/>
          <w:sz w:val="20"/>
          <w:szCs w:val="20"/>
        </w:rPr>
        <w:t xml:space="preserve">señaló que las medidas no cumplirían con “el fin requerido si </w:t>
      </w:r>
      <w:r w:rsidR="009F17D3" w:rsidRPr="00DF7E56">
        <w:rPr>
          <w:rFonts w:ascii="Verdana" w:hAnsi="Verdana"/>
          <w:sz w:val="20"/>
          <w:szCs w:val="20"/>
        </w:rPr>
        <w:t>[…]</w:t>
      </w:r>
      <w:r w:rsidR="003F3362" w:rsidRPr="00DF7E56">
        <w:rPr>
          <w:rFonts w:ascii="Verdana" w:hAnsi="Verdana"/>
          <w:sz w:val="20"/>
          <w:szCs w:val="20"/>
        </w:rPr>
        <w:t xml:space="preserve"> no </w:t>
      </w:r>
      <w:r w:rsidR="004F6365">
        <w:rPr>
          <w:rFonts w:ascii="Verdana" w:hAnsi="Verdana"/>
          <w:sz w:val="20"/>
          <w:szCs w:val="20"/>
        </w:rPr>
        <w:t>[</w:t>
      </w:r>
      <w:r w:rsidR="003F3362" w:rsidRPr="00DF7E56">
        <w:rPr>
          <w:rFonts w:ascii="Verdana" w:hAnsi="Verdana"/>
          <w:sz w:val="20"/>
          <w:szCs w:val="20"/>
        </w:rPr>
        <w:t>se</w:t>
      </w:r>
      <w:r w:rsidR="004F6365">
        <w:rPr>
          <w:rFonts w:ascii="Verdana" w:hAnsi="Verdana"/>
          <w:sz w:val="20"/>
          <w:szCs w:val="20"/>
        </w:rPr>
        <w:t>]</w:t>
      </w:r>
      <w:r w:rsidR="003F3362" w:rsidRPr="00DF7E56">
        <w:rPr>
          <w:rFonts w:ascii="Verdana" w:hAnsi="Verdana"/>
          <w:sz w:val="20"/>
          <w:szCs w:val="20"/>
        </w:rPr>
        <w:t xml:space="preserve"> permite que el contenido de la sentencia pueda leerse y ser difundido”</w:t>
      </w:r>
      <w:r w:rsidR="00772DF4" w:rsidRPr="00DF7E56">
        <w:rPr>
          <w:rStyle w:val="FootnoteReference"/>
          <w:rFonts w:ascii="Verdana" w:hAnsi="Verdana"/>
          <w:sz w:val="20"/>
          <w:szCs w:val="20"/>
        </w:rPr>
        <w:footnoteReference w:id="12"/>
      </w:r>
      <w:r w:rsidR="00FC4CAA" w:rsidRPr="00DF7E56">
        <w:rPr>
          <w:rFonts w:ascii="Verdana" w:hAnsi="Verdana"/>
          <w:sz w:val="20"/>
          <w:szCs w:val="20"/>
        </w:rPr>
        <w:t>.</w:t>
      </w:r>
      <w:r w:rsidR="003F3362" w:rsidRPr="00DF7E56">
        <w:rPr>
          <w:rFonts w:ascii="Verdana" w:hAnsi="Verdana"/>
          <w:sz w:val="20"/>
          <w:szCs w:val="20"/>
        </w:rPr>
        <w:t xml:space="preserve"> </w:t>
      </w:r>
      <w:r w:rsidR="0052105E" w:rsidRPr="00DF7E56">
        <w:rPr>
          <w:rFonts w:ascii="Verdana" w:hAnsi="Verdana"/>
          <w:sz w:val="20"/>
          <w:szCs w:val="20"/>
        </w:rPr>
        <w:t xml:space="preserve">En el informe presentado posteriormente por </w:t>
      </w:r>
      <w:r w:rsidR="0052105E" w:rsidRPr="00F07DAF">
        <w:rPr>
          <w:rFonts w:ascii="Verdana" w:hAnsi="Verdana"/>
          <w:i/>
          <w:sz w:val="20"/>
          <w:szCs w:val="20"/>
        </w:rPr>
        <w:t>México</w:t>
      </w:r>
      <w:r w:rsidR="0052105E" w:rsidRPr="00DF7E56">
        <w:rPr>
          <w:rFonts w:ascii="Verdana" w:hAnsi="Verdana"/>
          <w:sz w:val="20"/>
          <w:szCs w:val="20"/>
        </w:rPr>
        <w:t>, éste se limitó a afirmar que las publicaciones “cumple</w:t>
      </w:r>
      <w:r w:rsidR="004F6365">
        <w:rPr>
          <w:rFonts w:ascii="Verdana" w:hAnsi="Verdana"/>
          <w:sz w:val="20"/>
          <w:szCs w:val="20"/>
        </w:rPr>
        <w:t>[</w:t>
      </w:r>
      <w:r w:rsidR="0052105E" w:rsidRPr="00DF7E56">
        <w:rPr>
          <w:rFonts w:ascii="Verdana" w:hAnsi="Verdana"/>
          <w:sz w:val="20"/>
          <w:szCs w:val="20"/>
        </w:rPr>
        <w:t>n</w:t>
      </w:r>
      <w:r w:rsidR="004F6365">
        <w:rPr>
          <w:rFonts w:ascii="Verdana" w:hAnsi="Verdana"/>
          <w:sz w:val="20"/>
          <w:szCs w:val="20"/>
        </w:rPr>
        <w:t>]</w:t>
      </w:r>
      <w:r w:rsidR="0052105E" w:rsidRPr="00DF7E56">
        <w:rPr>
          <w:rFonts w:ascii="Verdana" w:hAnsi="Verdana"/>
          <w:sz w:val="20"/>
          <w:szCs w:val="20"/>
        </w:rPr>
        <w:t xml:space="preserve"> con el requisito de ser de amplia circulación nacional”, sin referirse a la objeción de la falta de legibilidad de las mismas. </w:t>
      </w:r>
      <w:r w:rsidR="00F95145" w:rsidRPr="00DF7E56">
        <w:rPr>
          <w:rFonts w:ascii="Verdana" w:hAnsi="Verdana"/>
          <w:sz w:val="20"/>
          <w:szCs w:val="20"/>
        </w:rPr>
        <w:t xml:space="preserve">Al respecto, </w:t>
      </w:r>
      <w:r w:rsidR="0020345C" w:rsidRPr="00DF7E56">
        <w:rPr>
          <w:rFonts w:ascii="Verdana" w:hAnsi="Verdana"/>
          <w:sz w:val="20"/>
          <w:szCs w:val="20"/>
        </w:rPr>
        <w:t xml:space="preserve">la Corte </w:t>
      </w:r>
      <w:r w:rsidR="0052105E" w:rsidRPr="00DF7E56">
        <w:rPr>
          <w:rFonts w:ascii="Verdana" w:hAnsi="Verdana"/>
          <w:sz w:val="20"/>
          <w:szCs w:val="20"/>
        </w:rPr>
        <w:t>hace notar que</w:t>
      </w:r>
      <w:r w:rsidR="004944FF" w:rsidRPr="00DF7E56">
        <w:rPr>
          <w:rFonts w:ascii="Verdana" w:hAnsi="Verdana"/>
          <w:sz w:val="20"/>
          <w:szCs w:val="20"/>
        </w:rPr>
        <w:t>, en cuanto a los comprobantes aportados, no fue presentado</w:t>
      </w:r>
      <w:r w:rsidR="0052105E" w:rsidRPr="00DF7E56">
        <w:rPr>
          <w:rFonts w:ascii="Verdana" w:hAnsi="Verdana"/>
          <w:sz w:val="20"/>
          <w:szCs w:val="20"/>
        </w:rPr>
        <w:t xml:space="preserve"> un ejemplar original de la publicación, sino una copia de tamaño reducido </w:t>
      </w:r>
      <w:r w:rsidR="000F29EC" w:rsidRPr="00DF7E56">
        <w:rPr>
          <w:rFonts w:ascii="Verdana" w:hAnsi="Verdana"/>
          <w:sz w:val="20"/>
          <w:szCs w:val="20"/>
        </w:rPr>
        <w:t>de las páginas correspondientes a la referida publicación así como la dirección electrónica que permite consultar la versión digital</w:t>
      </w:r>
      <w:r w:rsidR="0052105E" w:rsidRPr="00DF7E56">
        <w:rPr>
          <w:rFonts w:ascii="Verdana" w:hAnsi="Verdana"/>
          <w:sz w:val="20"/>
          <w:szCs w:val="20"/>
        </w:rPr>
        <w:t xml:space="preserve"> </w:t>
      </w:r>
      <w:r w:rsidR="000F29EC" w:rsidRPr="00DF7E56">
        <w:rPr>
          <w:rFonts w:ascii="Verdana" w:hAnsi="Verdana"/>
          <w:sz w:val="20"/>
          <w:szCs w:val="20"/>
        </w:rPr>
        <w:t xml:space="preserve">del ejemplar completo </w:t>
      </w:r>
      <w:r w:rsidR="0052105E" w:rsidRPr="00DF7E56">
        <w:rPr>
          <w:rFonts w:ascii="Verdana" w:hAnsi="Verdana"/>
          <w:sz w:val="20"/>
          <w:szCs w:val="20"/>
        </w:rPr>
        <w:t xml:space="preserve">en la página </w:t>
      </w:r>
      <w:r w:rsidR="0052105E" w:rsidRPr="00DF7E56">
        <w:rPr>
          <w:rFonts w:ascii="Verdana" w:hAnsi="Verdana"/>
          <w:i/>
          <w:sz w:val="20"/>
          <w:szCs w:val="20"/>
        </w:rPr>
        <w:t>web</w:t>
      </w:r>
      <w:r w:rsidR="0052105E" w:rsidRPr="00DF7E56">
        <w:rPr>
          <w:rFonts w:ascii="Verdana" w:hAnsi="Verdana"/>
          <w:sz w:val="20"/>
          <w:szCs w:val="20"/>
        </w:rPr>
        <w:t xml:space="preserve"> de dicho periódico</w:t>
      </w:r>
      <w:r w:rsidR="00406646" w:rsidRPr="00DF7E56">
        <w:rPr>
          <w:rStyle w:val="FootnoteReference"/>
          <w:rFonts w:ascii="Verdana" w:hAnsi="Verdana"/>
          <w:sz w:val="20"/>
          <w:szCs w:val="20"/>
        </w:rPr>
        <w:footnoteReference w:id="13"/>
      </w:r>
      <w:r w:rsidR="0052105E" w:rsidRPr="00DF7E56">
        <w:rPr>
          <w:rFonts w:ascii="Verdana" w:hAnsi="Verdana"/>
          <w:sz w:val="20"/>
          <w:szCs w:val="20"/>
        </w:rPr>
        <w:t xml:space="preserve">. </w:t>
      </w:r>
      <w:r w:rsidR="004944FF" w:rsidRPr="00DF7E56">
        <w:rPr>
          <w:rFonts w:ascii="Verdana" w:hAnsi="Verdana"/>
          <w:sz w:val="20"/>
          <w:szCs w:val="20"/>
        </w:rPr>
        <w:t xml:space="preserve">Si bien </w:t>
      </w:r>
      <w:r w:rsidR="00792523" w:rsidRPr="00DF7E56">
        <w:rPr>
          <w:rFonts w:ascii="Verdana" w:hAnsi="Verdana"/>
          <w:sz w:val="20"/>
          <w:szCs w:val="20"/>
        </w:rPr>
        <w:t xml:space="preserve">el Tribunal </w:t>
      </w:r>
      <w:r w:rsidR="004944FF" w:rsidRPr="00DF7E56">
        <w:rPr>
          <w:rFonts w:ascii="Verdana" w:hAnsi="Verdana"/>
          <w:sz w:val="20"/>
          <w:szCs w:val="20"/>
        </w:rPr>
        <w:t xml:space="preserve">nota que la letra utilizada para la publicación de los resúmenes ordenados en la Sentencia es de un tamaño menor a la de los artículos publicados en ese mismo ejemplar del periódico, el Tribunal no </w:t>
      </w:r>
      <w:r w:rsidR="00061C4F" w:rsidRPr="00DF7E56">
        <w:rPr>
          <w:rFonts w:ascii="Verdana" w:hAnsi="Verdana"/>
          <w:sz w:val="20"/>
          <w:szCs w:val="20"/>
        </w:rPr>
        <w:t xml:space="preserve">considera </w:t>
      </w:r>
      <w:r w:rsidR="004944FF" w:rsidRPr="00DF7E56">
        <w:rPr>
          <w:rFonts w:ascii="Verdana" w:hAnsi="Verdana"/>
          <w:sz w:val="20"/>
          <w:szCs w:val="20"/>
        </w:rPr>
        <w:t xml:space="preserve">pertinente </w:t>
      </w:r>
      <w:r w:rsidR="00061C4F" w:rsidRPr="00DF7E56">
        <w:rPr>
          <w:rFonts w:ascii="Verdana" w:hAnsi="Verdana"/>
          <w:sz w:val="20"/>
          <w:szCs w:val="20"/>
        </w:rPr>
        <w:t>disponer que el Estado realice una nueva publicación</w:t>
      </w:r>
      <w:r w:rsidR="00F07DAF">
        <w:rPr>
          <w:rFonts w:ascii="Verdana" w:hAnsi="Verdana"/>
          <w:sz w:val="20"/>
          <w:szCs w:val="20"/>
        </w:rPr>
        <w:t>,</w:t>
      </w:r>
      <w:r w:rsidR="00F07DAF" w:rsidRPr="00F07DAF">
        <w:rPr>
          <w:rFonts w:ascii="Verdana" w:hAnsi="Verdana"/>
          <w:sz w:val="20"/>
          <w:szCs w:val="20"/>
        </w:rPr>
        <w:t xml:space="preserve"> </w:t>
      </w:r>
      <w:r w:rsidR="00F07DAF" w:rsidRPr="00DF7E56">
        <w:rPr>
          <w:rFonts w:ascii="Verdana" w:hAnsi="Verdana"/>
          <w:sz w:val="20"/>
          <w:szCs w:val="20"/>
        </w:rPr>
        <w:t>debido a que es posible realizar la lectura de los mismos y a que fue realizada en un diario de amplia circulación nacional</w:t>
      </w:r>
      <w:r w:rsidR="00061C4F" w:rsidRPr="00DF7E56">
        <w:rPr>
          <w:rFonts w:ascii="Verdana" w:hAnsi="Verdana"/>
          <w:sz w:val="20"/>
          <w:szCs w:val="20"/>
        </w:rPr>
        <w:t xml:space="preserve">. </w:t>
      </w:r>
    </w:p>
    <w:p w14:paraId="126C1553" w14:textId="77777777" w:rsidR="006B7955" w:rsidRPr="00DF7E56" w:rsidRDefault="006B7955" w:rsidP="006B7955">
      <w:pPr>
        <w:pStyle w:val="ListParagraph"/>
        <w:tabs>
          <w:tab w:val="left" w:pos="567"/>
        </w:tabs>
        <w:spacing w:after="0" w:line="240" w:lineRule="auto"/>
        <w:ind w:left="0" w:right="4"/>
        <w:jc w:val="both"/>
        <w:rPr>
          <w:rFonts w:ascii="Verdana" w:hAnsi="Verdana"/>
          <w:sz w:val="20"/>
          <w:szCs w:val="20"/>
        </w:rPr>
      </w:pPr>
    </w:p>
    <w:p w14:paraId="4256E1B2" w14:textId="015A6BC3" w:rsidR="00146BA9" w:rsidRPr="00DF7E56" w:rsidRDefault="000F407C" w:rsidP="00146BA9">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color w:val="000000" w:themeColor="text1"/>
          <w:sz w:val="20"/>
          <w:szCs w:val="20"/>
        </w:rPr>
        <w:t xml:space="preserve">Por otra parte, </w:t>
      </w:r>
      <w:r w:rsidR="00C76E2B" w:rsidRPr="00DF7E56">
        <w:rPr>
          <w:rFonts w:ascii="Verdana" w:hAnsi="Verdana"/>
          <w:color w:val="000000" w:themeColor="text1"/>
          <w:sz w:val="20"/>
          <w:szCs w:val="20"/>
        </w:rPr>
        <w:t>fue aportado el comprobante de que el Estado realizó la publicación de la sentencia de amparo 778/2012 en el sitio web de la Suprema Corte de Justicia de la Nación</w:t>
      </w:r>
      <w:r w:rsidR="00A957D4" w:rsidRPr="00DF7E56">
        <w:rPr>
          <w:rFonts w:ascii="Verdana" w:hAnsi="Verdana"/>
          <w:color w:val="000000" w:themeColor="text1"/>
          <w:sz w:val="20"/>
          <w:szCs w:val="20"/>
        </w:rPr>
        <w:t>. Según lo afirmado por el Estado, y no objetado</w:t>
      </w:r>
      <w:r w:rsidR="006C54DF" w:rsidRPr="00DF7E56">
        <w:rPr>
          <w:rFonts w:ascii="Verdana" w:hAnsi="Verdana"/>
          <w:color w:val="000000" w:themeColor="text1"/>
          <w:sz w:val="20"/>
          <w:szCs w:val="20"/>
        </w:rPr>
        <w:t xml:space="preserve"> por los representantes ni la Comisión</w:t>
      </w:r>
      <w:r w:rsidR="00A957D4" w:rsidRPr="00DF7E56">
        <w:rPr>
          <w:rFonts w:ascii="Verdana" w:hAnsi="Verdana"/>
          <w:color w:val="000000" w:themeColor="text1"/>
          <w:sz w:val="20"/>
          <w:szCs w:val="20"/>
        </w:rPr>
        <w:t xml:space="preserve">, tal publicación se hizo </w:t>
      </w:r>
      <w:r w:rsidR="00C76E2B" w:rsidRPr="00DF7E56">
        <w:rPr>
          <w:rFonts w:ascii="Verdana" w:hAnsi="Verdana"/>
          <w:color w:val="000000" w:themeColor="text1"/>
          <w:sz w:val="20"/>
          <w:szCs w:val="20"/>
        </w:rPr>
        <w:t>a partir del 27 de mayo del 2014</w:t>
      </w:r>
      <w:r w:rsidR="004F6365" w:rsidRPr="00DF7E56">
        <w:rPr>
          <w:rStyle w:val="FootnoteReference"/>
          <w:rFonts w:ascii="Verdana" w:hAnsi="Verdana"/>
          <w:color w:val="000000" w:themeColor="text1"/>
          <w:sz w:val="20"/>
          <w:szCs w:val="20"/>
        </w:rPr>
        <w:footnoteReference w:id="14"/>
      </w:r>
      <w:r w:rsidR="00C76E2B" w:rsidRPr="00DF7E56">
        <w:rPr>
          <w:rFonts w:ascii="Verdana" w:hAnsi="Verdana"/>
          <w:color w:val="000000" w:themeColor="text1"/>
          <w:sz w:val="20"/>
          <w:szCs w:val="20"/>
        </w:rPr>
        <w:t xml:space="preserve">. </w:t>
      </w:r>
    </w:p>
    <w:p w14:paraId="0DAC35F1" w14:textId="77777777" w:rsidR="00146BA9" w:rsidRPr="00DF7E56" w:rsidRDefault="00146BA9" w:rsidP="00146BA9">
      <w:pPr>
        <w:pStyle w:val="ListParagraph"/>
        <w:rPr>
          <w:rFonts w:ascii="Verdana" w:hAnsi="Verdana"/>
          <w:color w:val="000000" w:themeColor="text1"/>
          <w:sz w:val="20"/>
          <w:szCs w:val="20"/>
        </w:rPr>
      </w:pPr>
    </w:p>
    <w:p w14:paraId="7CC77464" w14:textId="54531333" w:rsidR="00D12B74" w:rsidRPr="00DF7E56" w:rsidRDefault="00A957D4" w:rsidP="00146BA9">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color w:val="000000" w:themeColor="text1"/>
          <w:sz w:val="20"/>
          <w:szCs w:val="20"/>
        </w:rPr>
        <w:t>E</w:t>
      </w:r>
      <w:r w:rsidR="008619FD" w:rsidRPr="00DF7E56">
        <w:rPr>
          <w:rFonts w:ascii="Verdana" w:hAnsi="Verdana"/>
          <w:color w:val="000000" w:themeColor="text1"/>
          <w:sz w:val="20"/>
          <w:szCs w:val="20"/>
        </w:rPr>
        <w:t xml:space="preserve">n lo que respecta a la publicación </w:t>
      </w:r>
      <w:r w:rsidR="00312657" w:rsidRPr="00DF7E56">
        <w:rPr>
          <w:rFonts w:ascii="Verdana" w:hAnsi="Verdana"/>
          <w:color w:val="000000" w:themeColor="text1"/>
          <w:sz w:val="20"/>
          <w:szCs w:val="20"/>
        </w:rPr>
        <w:t xml:space="preserve">de la </w:t>
      </w:r>
      <w:r w:rsidR="00BE02DB" w:rsidRPr="00DF7E56">
        <w:rPr>
          <w:rFonts w:ascii="Verdana" w:hAnsi="Verdana"/>
          <w:color w:val="000000" w:themeColor="text1"/>
          <w:sz w:val="20"/>
          <w:szCs w:val="20"/>
        </w:rPr>
        <w:t xml:space="preserve">Sentencia en la página </w:t>
      </w:r>
      <w:r w:rsidR="000079C2" w:rsidRPr="00DF7E56">
        <w:rPr>
          <w:rFonts w:ascii="Verdana" w:hAnsi="Verdana"/>
          <w:i/>
          <w:color w:val="000000" w:themeColor="text1"/>
          <w:sz w:val="20"/>
          <w:szCs w:val="20"/>
        </w:rPr>
        <w:t>web</w:t>
      </w:r>
      <w:r w:rsidR="000079C2" w:rsidRPr="00DF7E56">
        <w:rPr>
          <w:rFonts w:ascii="Verdana" w:hAnsi="Verdana"/>
          <w:color w:val="000000" w:themeColor="text1"/>
          <w:sz w:val="20"/>
          <w:szCs w:val="20"/>
        </w:rPr>
        <w:t xml:space="preserve"> </w:t>
      </w:r>
      <w:r w:rsidR="00BE02DB" w:rsidRPr="00DF7E56">
        <w:rPr>
          <w:rFonts w:ascii="Verdana" w:hAnsi="Verdana"/>
          <w:color w:val="000000" w:themeColor="text1"/>
          <w:sz w:val="20"/>
          <w:szCs w:val="20"/>
        </w:rPr>
        <w:t>oficial de la Secretaría de Relaciones Exteriores</w:t>
      </w:r>
      <w:r w:rsidR="008619FD" w:rsidRPr="00DF7E56">
        <w:rPr>
          <w:rFonts w:ascii="Verdana" w:hAnsi="Verdana"/>
          <w:color w:val="000000" w:themeColor="text1"/>
          <w:sz w:val="20"/>
          <w:szCs w:val="20"/>
        </w:rPr>
        <w:t>,</w:t>
      </w:r>
      <w:r w:rsidR="0011482B" w:rsidRPr="00DF7E56">
        <w:rPr>
          <w:rFonts w:ascii="Verdana" w:hAnsi="Verdana"/>
          <w:color w:val="000000" w:themeColor="text1"/>
          <w:sz w:val="20"/>
          <w:szCs w:val="20"/>
        </w:rPr>
        <w:t xml:space="preserve"> </w:t>
      </w:r>
      <w:r w:rsidR="00483CB7" w:rsidRPr="00DF7E56">
        <w:rPr>
          <w:rFonts w:ascii="Verdana" w:hAnsi="Verdana"/>
          <w:color w:val="000000" w:themeColor="text1"/>
          <w:sz w:val="20"/>
          <w:szCs w:val="20"/>
        </w:rPr>
        <w:t>según l</w:t>
      </w:r>
      <w:r w:rsidR="00197D61" w:rsidRPr="00DF7E56">
        <w:rPr>
          <w:rFonts w:ascii="Verdana" w:hAnsi="Verdana"/>
          <w:color w:val="000000" w:themeColor="text1"/>
          <w:sz w:val="20"/>
          <w:szCs w:val="20"/>
        </w:rPr>
        <w:t>o indicado por las partes</w:t>
      </w:r>
      <w:r w:rsidR="00483CB7" w:rsidRPr="00DF7E56">
        <w:rPr>
          <w:rFonts w:ascii="Verdana" w:hAnsi="Verdana"/>
          <w:color w:val="000000" w:themeColor="text1"/>
          <w:sz w:val="20"/>
          <w:szCs w:val="20"/>
        </w:rPr>
        <w:t xml:space="preserve">, la misma se efectuó en </w:t>
      </w:r>
      <w:r w:rsidR="00146BA9" w:rsidRPr="00DF7E56">
        <w:rPr>
          <w:rFonts w:ascii="Verdana" w:hAnsi="Verdana"/>
          <w:color w:val="000000" w:themeColor="text1"/>
          <w:sz w:val="20"/>
          <w:szCs w:val="20"/>
        </w:rPr>
        <w:t>la sección</w:t>
      </w:r>
      <w:r w:rsidR="00483CB7" w:rsidRPr="00DF7E56">
        <w:rPr>
          <w:rFonts w:ascii="Verdana" w:hAnsi="Verdana"/>
          <w:color w:val="000000" w:themeColor="text1"/>
          <w:sz w:val="20"/>
          <w:szCs w:val="20"/>
        </w:rPr>
        <w:t xml:space="preserve"> de la Dirección de Derechos Humanos de </w:t>
      </w:r>
      <w:r w:rsidR="00146BA9" w:rsidRPr="00DF7E56">
        <w:rPr>
          <w:rFonts w:ascii="Verdana" w:hAnsi="Verdana"/>
          <w:color w:val="000000" w:themeColor="text1"/>
          <w:sz w:val="20"/>
          <w:szCs w:val="20"/>
        </w:rPr>
        <w:t xml:space="preserve">la referida página de </w:t>
      </w:r>
      <w:r w:rsidR="00483CB7" w:rsidRPr="00DF7E56">
        <w:rPr>
          <w:rFonts w:ascii="Verdana" w:hAnsi="Verdana"/>
          <w:color w:val="000000" w:themeColor="text1"/>
          <w:sz w:val="20"/>
          <w:szCs w:val="20"/>
        </w:rPr>
        <w:t xml:space="preserve">dicha Secretaría </w:t>
      </w:r>
      <w:r w:rsidR="00E51BD1" w:rsidRPr="00DF7E56">
        <w:rPr>
          <w:rFonts w:ascii="Verdana" w:hAnsi="Verdana"/>
          <w:color w:val="000000" w:themeColor="text1"/>
          <w:sz w:val="20"/>
          <w:szCs w:val="20"/>
        </w:rPr>
        <w:t>a partir del 3 de enero de 2014</w:t>
      </w:r>
      <w:r w:rsidR="00483CB7" w:rsidRPr="00DF7E56">
        <w:rPr>
          <w:rFonts w:ascii="Verdana" w:hAnsi="Verdana"/>
          <w:color w:val="000000" w:themeColor="text1"/>
          <w:sz w:val="20"/>
          <w:szCs w:val="20"/>
        </w:rPr>
        <w:t xml:space="preserve"> y se mantuvo por más de un año</w:t>
      </w:r>
      <w:r w:rsidR="00483CB7" w:rsidRPr="00DF7E56">
        <w:rPr>
          <w:rStyle w:val="FootnoteReference"/>
          <w:rFonts w:ascii="Verdana" w:hAnsi="Verdana"/>
          <w:color w:val="000000" w:themeColor="text1"/>
          <w:sz w:val="20"/>
          <w:szCs w:val="20"/>
        </w:rPr>
        <w:footnoteReference w:id="15"/>
      </w:r>
      <w:r w:rsidR="001368EC" w:rsidRPr="00DF7E56">
        <w:rPr>
          <w:rFonts w:ascii="Verdana" w:hAnsi="Verdana"/>
          <w:color w:val="000000" w:themeColor="text1"/>
          <w:sz w:val="20"/>
          <w:szCs w:val="20"/>
        </w:rPr>
        <w:t>.</w:t>
      </w:r>
      <w:r w:rsidR="00483CB7" w:rsidRPr="00DF7E56">
        <w:rPr>
          <w:rFonts w:ascii="Verdana" w:hAnsi="Verdana"/>
          <w:color w:val="000000" w:themeColor="text1"/>
          <w:sz w:val="20"/>
          <w:szCs w:val="20"/>
        </w:rPr>
        <w:t xml:space="preserve"> </w:t>
      </w:r>
      <w:r w:rsidR="0088343D" w:rsidRPr="00DF7E56">
        <w:rPr>
          <w:rFonts w:ascii="Verdana" w:hAnsi="Verdana"/>
          <w:sz w:val="20"/>
          <w:szCs w:val="20"/>
        </w:rPr>
        <w:t>Sin embargo, l</w:t>
      </w:r>
      <w:r w:rsidR="00385FA3" w:rsidRPr="00DF7E56">
        <w:rPr>
          <w:rFonts w:ascii="Verdana" w:hAnsi="Verdana"/>
          <w:sz w:val="20"/>
          <w:szCs w:val="20"/>
        </w:rPr>
        <w:t xml:space="preserve">os </w:t>
      </w:r>
      <w:r w:rsidR="00385FA3" w:rsidRPr="00F07DAF">
        <w:rPr>
          <w:rFonts w:ascii="Verdana" w:hAnsi="Verdana"/>
          <w:i/>
          <w:sz w:val="20"/>
          <w:szCs w:val="20"/>
        </w:rPr>
        <w:t>representantes</w:t>
      </w:r>
      <w:r w:rsidR="00385FA3" w:rsidRPr="00DF7E56">
        <w:rPr>
          <w:rFonts w:ascii="Verdana" w:hAnsi="Verdana"/>
          <w:sz w:val="20"/>
          <w:szCs w:val="20"/>
        </w:rPr>
        <w:t xml:space="preserve"> s</w:t>
      </w:r>
      <w:r w:rsidR="00D75654" w:rsidRPr="00DF7E56">
        <w:rPr>
          <w:rFonts w:ascii="Verdana" w:hAnsi="Verdana"/>
          <w:sz w:val="20"/>
          <w:szCs w:val="20"/>
        </w:rPr>
        <w:t>olicitaron que no se declare cumplida esta medida “hasta tanto no se incorpore el vínculo de la [S]</w:t>
      </w:r>
      <w:proofErr w:type="spellStart"/>
      <w:r w:rsidR="00D75654" w:rsidRPr="00DF7E56">
        <w:rPr>
          <w:rFonts w:ascii="Verdana" w:hAnsi="Verdana"/>
          <w:sz w:val="20"/>
          <w:szCs w:val="20"/>
        </w:rPr>
        <w:t>entencia</w:t>
      </w:r>
      <w:proofErr w:type="spellEnd"/>
      <w:r w:rsidR="00D75654" w:rsidRPr="00DF7E56">
        <w:rPr>
          <w:rFonts w:ascii="Verdana" w:hAnsi="Verdana"/>
          <w:sz w:val="20"/>
          <w:szCs w:val="20"/>
        </w:rPr>
        <w:t xml:space="preserve"> del caso […] en la portada principal de la página </w:t>
      </w:r>
      <w:r w:rsidR="00720E07" w:rsidRPr="00DF7E56">
        <w:rPr>
          <w:rFonts w:ascii="Verdana" w:hAnsi="Verdana"/>
          <w:sz w:val="20"/>
          <w:szCs w:val="20"/>
        </w:rPr>
        <w:t>[</w:t>
      </w:r>
      <w:r w:rsidR="00D75654" w:rsidRPr="00DF7E56">
        <w:rPr>
          <w:rFonts w:ascii="Verdana" w:hAnsi="Verdana"/>
          <w:i/>
          <w:sz w:val="20"/>
          <w:szCs w:val="20"/>
        </w:rPr>
        <w:t>web</w:t>
      </w:r>
      <w:r w:rsidR="00720E07" w:rsidRPr="00DF7E56">
        <w:rPr>
          <w:rFonts w:ascii="Verdana" w:hAnsi="Verdana"/>
          <w:sz w:val="20"/>
          <w:szCs w:val="20"/>
        </w:rPr>
        <w:t>]</w:t>
      </w:r>
      <w:r w:rsidR="00D75654" w:rsidRPr="00DF7E56">
        <w:rPr>
          <w:rFonts w:ascii="Verdana" w:hAnsi="Verdana"/>
          <w:sz w:val="20"/>
          <w:szCs w:val="20"/>
        </w:rPr>
        <w:t xml:space="preserve"> de la [</w:t>
      </w:r>
      <w:r w:rsidR="00D80963" w:rsidRPr="00DF7E56">
        <w:rPr>
          <w:rFonts w:ascii="Verdana" w:hAnsi="Verdana"/>
          <w:sz w:val="20"/>
          <w:szCs w:val="20"/>
        </w:rPr>
        <w:t xml:space="preserve">referida </w:t>
      </w:r>
      <w:r w:rsidR="00D75654" w:rsidRPr="00DF7E56">
        <w:rPr>
          <w:rFonts w:ascii="Verdana" w:hAnsi="Verdana"/>
          <w:sz w:val="20"/>
          <w:szCs w:val="20"/>
        </w:rPr>
        <w:t>Secretaría</w:t>
      </w:r>
      <w:r w:rsidR="00D80963" w:rsidRPr="00DF7E56">
        <w:rPr>
          <w:rFonts w:ascii="Verdana" w:hAnsi="Verdana"/>
          <w:sz w:val="20"/>
          <w:szCs w:val="20"/>
        </w:rPr>
        <w:t>]”</w:t>
      </w:r>
      <w:r w:rsidR="008B1EDC" w:rsidRPr="00DF7E56">
        <w:rPr>
          <w:rStyle w:val="FootnoteReference"/>
          <w:rFonts w:ascii="Verdana" w:hAnsi="Verdana"/>
          <w:sz w:val="20"/>
          <w:szCs w:val="20"/>
        </w:rPr>
        <w:footnoteReference w:id="16"/>
      </w:r>
      <w:r w:rsidR="00385FA3" w:rsidRPr="00DF7E56">
        <w:rPr>
          <w:rFonts w:ascii="Verdana" w:hAnsi="Verdana"/>
          <w:sz w:val="20"/>
          <w:szCs w:val="20"/>
        </w:rPr>
        <w:t>, ya que consideran que a</w:t>
      </w:r>
      <w:r w:rsidR="00AA00EA" w:rsidRPr="00DF7E56">
        <w:rPr>
          <w:rFonts w:ascii="Verdana" w:hAnsi="Verdana"/>
          <w:sz w:val="20"/>
          <w:szCs w:val="20"/>
        </w:rPr>
        <w:t xml:space="preserve">l haberse tenido que ingresar al </w:t>
      </w:r>
      <w:r w:rsidR="00AA00EA" w:rsidRPr="00DF7E56">
        <w:rPr>
          <w:rFonts w:ascii="Verdana" w:hAnsi="Verdana"/>
          <w:sz w:val="20"/>
          <w:szCs w:val="20"/>
        </w:rPr>
        <w:lastRenderedPageBreak/>
        <w:t xml:space="preserve">enlace </w:t>
      </w:r>
      <w:r w:rsidR="00385FA3" w:rsidRPr="00DF7E56">
        <w:rPr>
          <w:rFonts w:ascii="Verdana" w:hAnsi="Verdana"/>
          <w:sz w:val="20"/>
          <w:szCs w:val="20"/>
        </w:rPr>
        <w:t xml:space="preserve">de la Dirección de Derechos Humanos “no [se] </w:t>
      </w:r>
      <w:proofErr w:type="spellStart"/>
      <w:r w:rsidR="00385FA3" w:rsidRPr="00DF7E56">
        <w:rPr>
          <w:rFonts w:ascii="Verdana" w:hAnsi="Verdana"/>
          <w:sz w:val="20"/>
          <w:szCs w:val="20"/>
        </w:rPr>
        <w:t>garantiz</w:t>
      </w:r>
      <w:proofErr w:type="spellEnd"/>
      <w:r w:rsidR="00385FA3" w:rsidRPr="00DF7E56">
        <w:rPr>
          <w:rFonts w:ascii="Verdana" w:hAnsi="Verdana"/>
          <w:sz w:val="20"/>
          <w:szCs w:val="20"/>
        </w:rPr>
        <w:t>[</w:t>
      </w:r>
      <w:proofErr w:type="spellStart"/>
      <w:r w:rsidR="00385FA3" w:rsidRPr="00DF7E56">
        <w:rPr>
          <w:rFonts w:ascii="Verdana" w:hAnsi="Verdana"/>
          <w:sz w:val="20"/>
          <w:szCs w:val="20"/>
        </w:rPr>
        <w:t>ó</w:t>
      </w:r>
      <w:proofErr w:type="spellEnd"/>
      <w:r w:rsidR="00385FA3" w:rsidRPr="00DF7E56">
        <w:rPr>
          <w:rFonts w:ascii="Verdana" w:hAnsi="Verdana"/>
          <w:sz w:val="20"/>
          <w:szCs w:val="20"/>
        </w:rPr>
        <w:t>] el fácil acceso […] ni la publicidad necesaria”</w:t>
      </w:r>
      <w:r w:rsidR="001D6C76" w:rsidRPr="00DF7E56">
        <w:rPr>
          <w:rFonts w:ascii="Verdana" w:hAnsi="Verdana"/>
          <w:sz w:val="20"/>
          <w:szCs w:val="20"/>
        </w:rPr>
        <w:t>.</w:t>
      </w:r>
      <w:r w:rsidR="009B2654" w:rsidRPr="00DF7E56">
        <w:rPr>
          <w:rFonts w:ascii="Verdana" w:hAnsi="Verdana"/>
          <w:sz w:val="20"/>
          <w:szCs w:val="20"/>
        </w:rPr>
        <w:t xml:space="preserve"> </w:t>
      </w:r>
      <w:r w:rsidR="00720E07" w:rsidRPr="00DF7E56">
        <w:rPr>
          <w:rFonts w:ascii="Verdana" w:hAnsi="Verdana"/>
          <w:sz w:val="20"/>
          <w:szCs w:val="20"/>
        </w:rPr>
        <w:t xml:space="preserve">Este Tribunal coincide con los representantes en cuanto a la importancia de que la publicación se </w:t>
      </w:r>
      <w:r w:rsidR="00856F1D" w:rsidRPr="00DF7E56">
        <w:rPr>
          <w:rFonts w:ascii="Verdana" w:hAnsi="Verdana"/>
          <w:sz w:val="20"/>
          <w:szCs w:val="20"/>
        </w:rPr>
        <w:t>realice</w:t>
      </w:r>
      <w:r w:rsidR="00720E07" w:rsidRPr="00DF7E56">
        <w:rPr>
          <w:rFonts w:ascii="Verdana" w:hAnsi="Verdana"/>
          <w:sz w:val="20"/>
          <w:szCs w:val="20"/>
        </w:rPr>
        <w:t xml:space="preserve"> de manera tal que </w:t>
      </w:r>
      <w:r w:rsidR="00856F1D" w:rsidRPr="00DF7E56">
        <w:rPr>
          <w:rFonts w:ascii="Verdana" w:hAnsi="Verdana"/>
          <w:sz w:val="20"/>
          <w:szCs w:val="20"/>
        </w:rPr>
        <w:t>permita su difusión</w:t>
      </w:r>
      <w:r w:rsidR="00720E07" w:rsidRPr="00DF7E56">
        <w:rPr>
          <w:rFonts w:ascii="Verdana" w:hAnsi="Verdana"/>
          <w:sz w:val="20"/>
          <w:szCs w:val="20"/>
        </w:rPr>
        <w:t>. Sin embargo, al evaluar el cumplimiento de la publicación, la Corte debe tomar en cuenta que la Sentencia no dispuso que la publicación debía realizar</w:t>
      </w:r>
      <w:r w:rsidR="007C6F27" w:rsidRPr="00DF7E56">
        <w:rPr>
          <w:rFonts w:ascii="Verdana" w:hAnsi="Verdana"/>
          <w:sz w:val="20"/>
          <w:szCs w:val="20"/>
        </w:rPr>
        <w:t>se</w:t>
      </w:r>
      <w:r w:rsidR="00720E07" w:rsidRPr="00DF7E56">
        <w:rPr>
          <w:rFonts w:ascii="Verdana" w:hAnsi="Verdana"/>
          <w:sz w:val="20"/>
          <w:szCs w:val="20"/>
        </w:rPr>
        <w:t xml:space="preserve"> en la portada principal de la </w:t>
      </w:r>
      <w:r w:rsidR="007C6F27" w:rsidRPr="00DF7E56">
        <w:rPr>
          <w:rFonts w:ascii="Verdana" w:hAnsi="Verdana"/>
          <w:sz w:val="20"/>
          <w:szCs w:val="20"/>
        </w:rPr>
        <w:t xml:space="preserve">referida </w:t>
      </w:r>
      <w:r w:rsidR="00720E07" w:rsidRPr="00DF7E56">
        <w:rPr>
          <w:rFonts w:ascii="Verdana" w:hAnsi="Verdana"/>
          <w:sz w:val="20"/>
          <w:szCs w:val="20"/>
        </w:rPr>
        <w:t xml:space="preserve">página </w:t>
      </w:r>
      <w:r w:rsidR="00720E07" w:rsidRPr="00DF7E56">
        <w:rPr>
          <w:rFonts w:ascii="Verdana" w:hAnsi="Verdana"/>
          <w:i/>
          <w:sz w:val="20"/>
          <w:szCs w:val="20"/>
        </w:rPr>
        <w:t>web</w:t>
      </w:r>
      <w:r w:rsidR="00720E07" w:rsidRPr="00DF7E56">
        <w:rPr>
          <w:rFonts w:ascii="Verdana" w:hAnsi="Verdana"/>
          <w:sz w:val="20"/>
          <w:szCs w:val="20"/>
        </w:rPr>
        <w:t xml:space="preserve">. </w:t>
      </w:r>
      <w:r w:rsidR="00256053" w:rsidRPr="00DF7E56">
        <w:rPr>
          <w:rFonts w:ascii="Verdana" w:hAnsi="Verdana"/>
          <w:sz w:val="20"/>
          <w:szCs w:val="20"/>
        </w:rPr>
        <w:t>Por tanto, este Tribunal no encuentra motivos para considerar que la referida publicación no cumpla con lo dispuesto en la Sentencia.</w:t>
      </w:r>
    </w:p>
    <w:p w14:paraId="31A953FD" w14:textId="77777777" w:rsidR="00256053" w:rsidRPr="00DF7E56" w:rsidRDefault="00256053" w:rsidP="00256053">
      <w:pPr>
        <w:pStyle w:val="ListParagraph"/>
        <w:tabs>
          <w:tab w:val="left" w:pos="567"/>
        </w:tabs>
        <w:spacing w:after="0" w:line="240" w:lineRule="auto"/>
        <w:ind w:left="0" w:right="4"/>
        <w:jc w:val="both"/>
        <w:rPr>
          <w:rFonts w:ascii="Verdana" w:hAnsi="Verdana"/>
          <w:sz w:val="20"/>
          <w:szCs w:val="20"/>
        </w:rPr>
      </w:pPr>
    </w:p>
    <w:p w14:paraId="467F7329" w14:textId="62622F3B" w:rsidR="00C1269D" w:rsidRPr="00C453EC" w:rsidRDefault="00134FE7" w:rsidP="00C1269D">
      <w:pPr>
        <w:pStyle w:val="ListParagraph"/>
        <w:numPr>
          <w:ilvl w:val="0"/>
          <w:numId w:val="6"/>
        </w:numPr>
        <w:tabs>
          <w:tab w:val="left" w:pos="567"/>
        </w:tabs>
        <w:spacing w:after="0" w:line="240" w:lineRule="auto"/>
        <w:ind w:left="0" w:right="4" w:firstLine="0"/>
        <w:jc w:val="both"/>
        <w:rPr>
          <w:rFonts w:ascii="Verdana" w:hAnsi="Verdana"/>
          <w:sz w:val="20"/>
          <w:szCs w:val="20"/>
        </w:rPr>
      </w:pPr>
      <w:r w:rsidRPr="00C453EC">
        <w:rPr>
          <w:rFonts w:ascii="Verdana" w:hAnsi="Verdana"/>
          <w:sz w:val="20"/>
          <w:szCs w:val="20"/>
        </w:rPr>
        <w:t>En razón de lo anterior, la Corte considera que el Esta</w:t>
      </w:r>
      <w:r w:rsidR="00AF0DAD" w:rsidRPr="00C453EC">
        <w:rPr>
          <w:rFonts w:ascii="Verdana" w:hAnsi="Verdana"/>
          <w:sz w:val="20"/>
          <w:szCs w:val="20"/>
        </w:rPr>
        <w:t xml:space="preserve">do ha dado cumplimiento total a </w:t>
      </w:r>
      <w:r w:rsidR="00C453EC">
        <w:rPr>
          <w:rFonts w:ascii="Verdana" w:hAnsi="Verdana"/>
          <w:sz w:val="20"/>
          <w:szCs w:val="20"/>
        </w:rPr>
        <w:t xml:space="preserve">las medidas relativas a </w:t>
      </w:r>
      <w:r w:rsidR="00AF0DAD" w:rsidRPr="00C453EC">
        <w:rPr>
          <w:rFonts w:ascii="Verdana" w:hAnsi="Verdana"/>
          <w:sz w:val="20"/>
          <w:szCs w:val="20"/>
        </w:rPr>
        <w:t xml:space="preserve">realizar </w:t>
      </w:r>
      <w:r w:rsidRPr="00C453EC">
        <w:rPr>
          <w:rFonts w:ascii="Verdana" w:hAnsi="Verdana"/>
          <w:sz w:val="20"/>
          <w:szCs w:val="20"/>
        </w:rPr>
        <w:t>la</w:t>
      </w:r>
      <w:r w:rsidR="00AF0DAD" w:rsidRPr="00C453EC">
        <w:rPr>
          <w:rFonts w:ascii="Verdana" w:hAnsi="Verdana"/>
          <w:sz w:val="20"/>
          <w:szCs w:val="20"/>
        </w:rPr>
        <w:t xml:space="preserve"> publicación en el Diario Oficial de la Federación y en otro diario de amplia circulación nacional, por una sola vez, del resumen oficial de la Sentencia, así </w:t>
      </w:r>
      <w:r w:rsidR="00F07DAF">
        <w:rPr>
          <w:rFonts w:ascii="Verdana" w:hAnsi="Verdana"/>
          <w:sz w:val="20"/>
          <w:szCs w:val="20"/>
        </w:rPr>
        <w:t xml:space="preserve">como </w:t>
      </w:r>
      <w:r w:rsidR="00C453EC">
        <w:rPr>
          <w:rFonts w:ascii="Verdana" w:hAnsi="Verdana"/>
          <w:sz w:val="20"/>
          <w:szCs w:val="20"/>
        </w:rPr>
        <w:t>publicar</w:t>
      </w:r>
      <w:r w:rsidR="00AF0DAD" w:rsidRPr="00C453EC">
        <w:rPr>
          <w:rFonts w:ascii="Verdana" w:hAnsi="Verdana"/>
          <w:sz w:val="20"/>
          <w:szCs w:val="20"/>
        </w:rPr>
        <w:t xml:space="preserve"> de la Sentencia, por espacio de un año, en la página web de la Secretaría de Relaciones Exteriores, según fue ordenado</w:t>
      </w:r>
      <w:r w:rsidRPr="00C453EC">
        <w:rPr>
          <w:rFonts w:ascii="Verdana" w:hAnsi="Verdana"/>
          <w:sz w:val="20"/>
          <w:szCs w:val="20"/>
        </w:rPr>
        <w:t xml:space="preserve"> en el punto dispositivo </w:t>
      </w:r>
      <w:r w:rsidR="006B7955" w:rsidRPr="00C453EC">
        <w:rPr>
          <w:rFonts w:ascii="Verdana" w:hAnsi="Verdana"/>
          <w:sz w:val="20"/>
          <w:szCs w:val="20"/>
        </w:rPr>
        <w:t xml:space="preserve">sexto </w:t>
      </w:r>
      <w:r w:rsidR="00627DAE" w:rsidRPr="00C453EC">
        <w:rPr>
          <w:rFonts w:ascii="Verdana" w:hAnsi="Verdana"/>
          <w:sz w:val="20"/>
          <w:szCs w:val="20"/>
        </w:rPr>
        <w:t>inciso</w:t>
      </w:r>
      <w:r w:rsidR="006B7955" w:rsidRPr="00C453EC">
        <w:rPr>
          <w:rFonts w:ascii="Verdana" w:hAnsi="Verdana"/>
          <w:sz w:val="20"/>
          <w:szCs w:val="20"/>
        </w:rPr>
        <w:t xml:space="preserve"> f)</w:t>
      </w:r>
      <w:r w:rsidRPr="00C453EC">
        <w:rPr>
          <w:rFonts w:ascii="Verdana" w:hAnsi="Verdana"/>
          <w:sz w:val="20"/>
          <w:szCs w:val="20"/>
        </w:rPr>
        <w:t xml:space="preserve"> y </w:t>
      </w:r>
      <w:r w:rsidR="007C6F27" w:rsidRPr="00C453EC">
        <w:rPr>
          <w:rFonts w:ascii="Verdana" w:hAnsi="Verdana"/>
          <w:sz w:val="20"/>
          <w:szCs w:val="20"/>
        </w:rPr>
        <w:t xml:space="preserve">en </w:t>
      </w:r>
      <w:r w:rsidR="006B7955" w:rsidRPr="00C453EC">
        <w:rPr>
          <w:rFonts w:ascii="Verdana" w:hAnsi="Verdana"/>
          <w:sz w:val="20"/>
          <w:szCs w:val="20"/>
        </w:rPr>
        <w:t>los</w:t>
      </w:r>
      <w:r w:rsidRPr="00C453EC">
        <w:rPr>
          <w:rFonts w:ascii="Verdana" w:hAnsi="Verdana"/>
          <w:sz w:val="20"/>
          <w:szCs w:val="20"/>
        </w:rPr>
        <w:t xml:space="preserve"> párrafo</w:t>
      </w:r>
      <w:r w:rsidR="00973A63" w:rsidRPr="00C453EC">
        <w:rPr>
          <w:rFonts w:ascii="Verdana" w:hAnsi="Verdana"/>
          <w:sz w:val="20"/>
          <w:szCs w:val="20"/>
        </w:rPr>
        <w:t>s</w:t>
      </w:r>
      <w:r w:rsidRPr="00C453EC">
        <w:rPr>
          <w:rFonts w:ascii="Verdana" w:hAnsi="Verdana"/>
          <w:sz w:val="20"/>
          <w:szCs w:val="20"/>
        </w:rPr>
        <w:t xml:space="preserve"> </w:t>
      </w:r>
      <w:r w:rsidR="00973A63" w:rsidRPr="00C453EC">
        <w:rPr>
          <w:rFonts w:ascii="Verdana" w:hAnsi="Verdana"/>
          <w:sz w:val="20"/>
          <w:szCs w:val="20"/>
        </w:rPr>
        <w:t>86</w:t>
      </w:r>
      <w:r w:rsidR="006B7955" w:rsidRPr="00C453EC">
        <w:rPr>
          <w:rFonts w:ascii="Verdana" w:hAnsi="Verdana"/>
          <w:sz w:val="20"/>
          <w:szCs w:val="20"/>
        </w:rPr>
        <w:t xml:space="preserve"> y 87</w:t>
      </w:r>
      <w:r w:rsidRPr="00C453EC">
        <w:rPr>
          <w:rFonts w:ascii="Verdana" w:hAnsi="Verdana"/>
          <w:sz w:val="20"/>
          <w:szCs w:val="20"/>
        </w:rPr>
        <w:t xml:space="preserve"> de la misma</w:t>
      </w:r>
      <w:r w:rsidR="00C453EC" w:rsidRPr="00C453EC">
        <w:rPr>
          <w:rFonts w:ascii="Verdana" w:hAnsi="Verdana"/>
          <w:sz w:val="20"/>
          <w:szCs w:val="20"/>
        </w:rPr>
        <w:t>. México también dio cumplimiento total a</w:t>
      </w:r>
      <w:r w:rsidR="00C453EC">
        <w:rPr>
          <w:rFonts w:ascii="Verdana" w:hAnsi="Verdana"/>
          <w:sz w:val="20"/>
          <w:szCs w:val="20"/>
        </w:rPr>
        <w:t xml:space="preserve"> las medidas relativas a realizar</w:t>
      </w:r>
      <w:r w:rsidR="00C453EC" w:rsidRPr="00C453EC">
        <w:rPr>
          <w:rFonts w:ascii="Verdana" w:hAnsi="Verdana"/>
          <w:sz w:val="20"/>
          <w:szCs w:val="20"/>
        </w:rPr>
        <w:t xml:space="preserve"> la publicación en el Diario Oficial de la Federación y en otro diario de amplia circulación nacional, por una sola vez, de un resumen de la sentencia del juicio de amparo 778/2012, previamente acordado con las víctimas y sus representantes, así como </w:t>
      </w:r>
      <w:r w:rsidR="00C453EC">
        <w:rPr>
          <w:rFonts w:ascii="Verdana" w:hAnsi="Verdana"/>
          <w:sz w:val="20"/>
          <w:szCs w:val="20"/>
        </w:rPr>
        <w:t>publicar</w:t>
      </w:r>
      <w:r w:rsidR="00C453EC" w:rsidRPr="00C453EC">
        <w:rPr>
          <w:rFonts w:ascii="Verdana" w:hAnsi="Verdana"/>
          <w:sz w:val="20"/>
          <w:szCs w:val="20"/>
        </w:rPr>
        <w:t xml:space="preserve"> dicha sentencia, por espacio de un año, en la página web de la Suprema Corte de Justicia de la Nación, </w:t>
      </w:r>
      <w:r w:rsidR="00312657" w:rsidRPr="00C453EC">
        <w:rPr>
          <w:rFonts w:ascii="Verdana" w:hAnsi="Verdana"/>
          <w:sz w:val="20"/>
          <w:szCs w:val="20"/>
        </w:rPr>
        <w:t>seg</w:t>
      </w:r>
      <w:r w:rsidR="00DD738F" w:rsidRPr="00C453EC">
        <w:rPr>
          <w:rFonts w:ascii="Verdana" w:hAnsi="Verdana"/>
          <w:sz w:val="20"/>
          <w:szCs w:val="20"/>
        </w:rPr>
        <w:t xml:space="preserve">ún fue ordenado </w:t>
      </w:r>
      <w:r w:rsidR="006B7955" w:rsidRPr="00C453EC">
        <w:rPr>
          <w:rFonts w:ascii="Verdana" w:hAnsi="Verdana"/>
          <w:sz w:val="20"/>
          <w:szCs w:val="20"/>
        </w:rPr>
        <w:t xml:space="preserve">en el punto dispositivo sexto </w:t>
      </w:r>
      <w:r w:rsidR="00627DAE" w:rsidRPr="00C453EC">
        <w:rPr>
          <w:rFonts w:ascii="Verdana" w:hAnsi="Verdana"/>
          <w:sz w:val="20"/>
          <w:szCs w:val="20"/>
        </w:rPr>
        <w:t>inciso</w:t>
      </w:r>
      <w:r w:rsidR="006B7955" w:rsidRPr="00C453EC">
        <w:rPr>
          <w:rFonts w:ascii="Verdana" w:hAnsi="Verdana"/>
          <w:sz w:val="20"/>
          <w:szCs w:val="20"/>
        </w:rPr>
        <w:t xml:space="preserve"> k) y </w:t>
      </w:r>
      <w:r w:rsidR="007C6F27" w:rsidRPr="00C453EC">
        <w:rPr>
          <w:rFonts w:ascii="Verdana" w:hAnsi="Verdana"/>
          <w:sz w:val="20"/>
          <w:szCs w:val="20"/>
        </w:rPr>
        <w:t xml:space="preserve">en </w:t>
      </w:r>
      <w:r w:rsidR="006B7955" w:rsidRPr="00C453EC">
        <w:rPr>
          <w:rFonts w:ascii="Verdana" w:hAnsi="Verdana"/>
          <w:sz w:val="20"/>
          <w:szCs w:val="20"/>
        </w:rPr>
        <w:t>los párrafos 90 y 91 de la Sentencia.</w:t>
      </w:r>
    </w:p>
    <w:p w14:paraId="6AD7CCEF" w14:textId="77777777" w:rsidR="0061188E" w:rsidRDefault="0061188E" w:rsidP="0061188E">
      <w:pPr>
        <w:spacing w:after="0"/>
        <w:rPr>
          <w:rFonts w:ascii="Verdana" w:hAnsi="Verdana"/>
          <w:sz w:val="20"/>
          <w:szCs w:val="20"/>
        </w:rPr>
      </w:pPr>
    </w:p>
    <w:p w14:paraId="21718C08" w14:textId="77777777" w:rsidR="00FE52DD" w:rsidRPr="0061188E" w:rsidRDefault="00FE52DD" w:rsidP="0061188E">
      <w:pPr>
        <w:spacing w:after="0"/>
        <w:rPr>
          <w:rFonts w:ascii="Verdana" w:hAnsi="Verdana"/>
          <w:sz w:val="20"/>
          <w:szCs w:val="20"/>
        </w:rPr>
      </w:pPr>
    </w:p>
    <w:p w14:paraId="13AE2BD9" w14:textId="49EF540D" w:rsidR="008242B7" w:rsidRPr="00C03FC3" w:rsidRDefault="008242B7" w:rsidP="00C03FC3">
      <w:pPr>
        <w:pStyle w:val="Title"/>
        <w:rPr>
          <w:b/>
          <w:i/>
        </w:rPr>
      </w:pPr>
      <w:bookmarkStart w:id="2" w:name="_Toc461464220"/>
      <w:r w:rsidRPr="00C03FC3">
        <w:rPr>
          <w:b/>
          <w:i/>
        </w:rPr>
        <w:t>B.</w:t>
      </w:r>
      <w:r w:rsidRPr="00C03FC3">
        <w:rPr>
          <w:b/>
          <w:i/>
        </w:rPr>
        <w:tab/>
      </w:r>
      <w:r w:rsidR="003F6B25" w:rsidRPr="00C03FC3">
        <w:rPr>
          <w:b/>
          <w:i/>
        </w:rPr>
        <w:t>Garantizar b</w:t>
      </w:r>
      <w:r w:rsidRPr="00C03FC3">
        <w:rPr>
          <w:b/>
          <w:i/>
        </w:rPr>
        <w:t xml:space="preserve">ecas </w:t>
      </w:r>
      <w:r w:rsidR="003E7874" w:rsidRPr="00C03FC3">
        <w:rPr>
          <w:b/>
          <w:i/>
        </w:rPr>
        <w:t>de estudio</w:t>
      </w:r>
      <w:bookmarkEnd w:id="2"/>
    </w:p>
    <w:p w14:paraId="6BC8C101" w14:textId="77777777" w:rsidR="008242B7" w:rsidRDefault="008242B7" w:rsidP="008242B7">
      <w:pPr>
        <w:pStyle w:val="ListParagraph"/>
        <w:spacing w:after="0"/>
        <w:rPr>
          <w:rFonts w:ascii="Verdana" w:hAnsi="Verdana"/>
          <w:b/>
          <w:i/>
          <w:sz w:val="20"/>
          <w:szCs w:val="20"/>
          <w:lang w:val="es-ES_tradnl"/>
        </w:rPr>
      </w:pPr>
    </w:p>
    <w:p w14:paraId="1C15CC46" w14:textId="77777777" w:rsidR="00FE52DD" w:rsidRPr="00DF7E56" w:rsidRDefault="00FE52DD" w:rsidP="008242B7">
      <w:pPr>
        <w:pStyle w:val="ListParagraph"/>
        <w:spacing w:after="0"/>
        <w:rPr>
          <w:rFonts w:ascii="Verdana" w:hAnsi="Verdana"/>
          <w:b/>
          <w:i/>
          <w:sz w:val="20"/>
          <w:szCs w:val="20"/>
          <w:lang w:val="es-ES_tradnl"/>
        </w:rPr>
      </w:pPr>
    </w:p>
    <w:p w14:paraId="10A9B87C" w14:textId="1CFE4E17" w:rsidR="008242B7" w:rsidRPr="00DF7E56" w:rsidRDefault="008242B7" w:rsidP="009E1D2C">
      <w:pPr>
        <w:pStyle w:val="ListParagraph"/>
        <w:ind w:left="1080" w:hanging="360"/>
        <w:rPr>
          <w:rFonts w:ascii="Verdana" w:hAnsi="Verdana"/>
          <w:i/>
          <w:sz w:val="20"/>
          <w:szCs w:val="20"/>
        </w:rPr>
      </w:pPr>
      <w:r w:rsidRPr="00DF7E56">
        <w:rPr>
          <w:rFonts w:ascii="Verdana" w:hAnsi="Verdana"/>
          <w:i/>
          <w:sz w:val="20"/>
          <w:szCs w:val="20"/>
        </w:rPr>
        <w:t>B.1) Medidas ordenadas por la Corte</w:t>
      </w:r>
    </w:p>
    <w:p w14:paraId="40435DDA" w14:textId="77777777" w:rsidR="001C5563" w:rsidRPr="00DF7E56" w:rsidRDefault="001C5563" w:rsidP="001C5563">
      <w:pPr>
        <w:pStyle w:val="ListParagraph"/>
        <w:rPr>
          <w:rFonts w:ascii="Verdana" w:hAnsi="Verdana"/>
          <w:sz w:val="20"/>
          <w:szCs w:val="20"/>
        </w:rPr>
      </w:pPr>
    </w:p>
    <w:p w14:paraId="2DEDE715" w14:textId="34E328EA" w:rsidR="00B4747F" w:rsidRPr="00DF7E56" w:rsidRDefault="0072451D" w:rsidP="00B4747F">
      <w:pPr>
        <w:pStyle w:val="ListParagraph"/>
        <w:numPr>
          <w:ilvl w:val="0"/>
          <w:numId w:val="6"/>
        </w:numPr>
        <w:tabs>
          <w:tab w:val="left" w:pos="567"/>
        </w:tabs>
        <w:spacing w:after="0" w:line="240" w:lineRule="auto"/>
        <w:ind w:left="0" w:right="4" w:firstLine="0"/>
        <w:jc w:val="both"/>
        <w:rPr>
          <w:rFonts w:ascii="Verdana" w:hAnsi="Verdana"/>
          <w:sz w:val="20"/>
          <w:szCs w:val="20"/>
          <w:lang w:val="es-ES"/>
        </w:rPr>
      </w:pPr>
      <w:r w:rsidRPr="00DF7E56">
        <w:rPr>
          <w:rFonts w:ascii="Verdana" w:hAnsi="Verdana"/>
          <w:sz w:val="20"/>
        </w:rPr>
        <w:t xml:space="preserve">En el punto dispositivo sexto </w:t>
      </w:r>
      <w:r w:rsidR="00627DAE" w:rsidRPr="00DF7E56">
        <w:rPr>
          <w:rFonts w:ascii="Verdana" w:hAnsi="Verdana"/>
          <w:sz w:val="20"/>
        </w:rPr>
        <w:t>inciso</w:t>
      </w:r>
      <w:r w:rsidRPr="00DF7E56">
        <w:rPr>
          <w:rFonts w:ascii="Verdana" w:hAnsi="Verdana"/>
          <w:sz w:val="20"/>
        </w:rPr>
        <w:t xml:space="preserve"> g) y los párrafos 81 a 83 de la Sentencia, la Corte </w:t>
      </w:r>
      <w:r w:rsidR="00B573F4" w:rsidRPr="00DF7E56">
        <w:rPr>
          <w:rFonts w:ascii="Verdana" w:hAnsi="Verdana"/>
          <w:sz w:val="20"/>
        </w:rPr>
        <w:t>homologó</w:t>
      </w:r>
      <w:r w:rsidRPr="00DF7E56">
        <w:rPr>
          <w:rFonts w:ascii="Verdana" w:hAnsi="Verdana"/>
          <w:sz w:val="20"/>
        </w:rPr>
        <w:t xml:space="preserve"> </w:t>
      </w:r>
      <w:r w:rsidR="00B573F4" w:rsidRPr="00DF7E56">
        <w:rPr>
          <w:rFonts w:ascii="Verdana" w:hAnsi="Verdana"/>
          <w:sz w:val="20"/>
        </w:rPr>
        <w:t>la medida relativa a “</w:t>
      </w:r>
      <w:r w:rsidR="00B573F4" w:rsidRPr="00DF7E56">
        <w:rPr>
          <w:rFonts w:ascii="Verdana" w:hAnsi="Verdana"/>
          <w:sz w:val="20"/>
          <w:szCs w:val="20"/>
          <w:lang w:val="es-ES"/>
        </w:rPr>
        <w:t xml:space="preserve">garantizar la educación de las víctimas hasta la conclusión de sus estudios universitarios o técnicos, según sea su </w:t>
      </w:r>
      <w:proofErr w:type="gramStart"/>
      <w:r w:rsidR="00B573F4" w:rsidRPr="00DF7E56">
        <w:rPr>
          <w:rFonts w:ascii="Verdana" w:hAnsi="Verdana"/>
          <w:sz w:val="20"/>
          <w:szCs w:val="20"/>
          <w:lang w:val="es-ES"/>
        </w:rPr>
        <w:t>interés[</w:t>
      </w:r>
      <w:proofErr w:type="gramEnd"/>
      <w:r w:rsidR="00B573F4" w:rsidRPr="00DF7E56">
        <w:rPr>
          <w:rFonts w:ascii="Verdana" w:hAnsi="Verdana"/>
          <w:sz w:val="20"/>
          <w:szCs w:val="20"/>
          <w:lang w:val="es-ES"/>
        </w:rPr>
        <w:t xml:space="preserve">, … a través del] pago de becas educativas”. </w:t>
      </w:r>
      <w:r w:rsidR="00B4747F" w:rsidRPr="00DF7E56">
        <w:rPr>
          <w:rFonts w:ascii="Verdana" w:hAnsi="Verdana"/>
          <w:sz w:val="20"/>
          <w:szCs w:val="20"/>
          <w:lang w:val="es-ES"/>
        </w:rPr>
        <w:t>En el acuerdo de solución amistosa (</w:t>
      </w:r>
      <w:r w:rsidR="00B4747F" w:rsidRPr="00DF7E56">
        <w:rPr>
          <w:rFonts w:ascii="Verdana" w:hAnsi="Verdana"/>
          <w:i/>
          <w:sz w:val="20"/>
          <w:szCs w:val="20"/>
          <w:lang w:val="es-ES"/>
        </w:rPr>
        <w:t xml:space="preserve">supra </w:t>
      </w:r>
      <w:r w:rsidR="00B4747F" w:rsidRPr="00DF7E56">
        <w:rPr>
          <w:rFonts w:ascii="Verdana" w:hAnsi="Verdana"/>
          <w:sz w:val="20"/>
          <w:szCs w:val="20"/>
          <w:lang w:val="es-ES"/>
        </w:rPr>
        <w:t xml:space="preserve">Visto 1), el Estado indicó que pagaría dichas becas educativas “a través del Fideicomiso para el Cumplimiento de Obligaciones en Materia de Derechos Humanos, de acuerdo </w:t>
      </w:r>
      <w:r w:rsidR="00E11B75" w:rsidRPr="00DF7E56">
        <w:rPr>
          <w:rFonts w:ascii="Verdana" w:hAnsi="Verdana"/>
          <w:sz w:val="20"/>
          <w:szCs w:val="20"/>
          <w:lang w:val="es-ES"/>
        </w:rPr>
        <w:t>[con]</w:t>
      </w:r>
      <w:r w:rsidR="00B4747F" w:rsidRPr="00DF7E56">
        <w:rPr>
          <w:rFonts w:ascii="Verdana" w:hAnsi="Verdana"/>
          <w:sz w:val="20"/>
          <w:szCs w:val="20"/>
          <w:lang w:val="es-ES"/>
        </w:rPr>
        <w:t xml:space="preserve"> lo establecido en las Reglas de Operación de dicho fideicomiso”</w:t>
      </w:r>
      <w:r w:rsidR="006734EC" w:rsidRPr="00DF7E56">
        <w:rPr>
          <w:rFonts w:ascii="Verdana" w:hAnsi="Verdana"/>
          <w:sz w:val="20"/>
          <w:szCs w:val="20"/>
          <w:lang w:val="es-ES"/>
        </w:rPr>
        <w:t>.</w:t>
      </w:r>
      <w:r w:rsidR="00B4747F" w:rsidRPr="00DF7E56">
        <w:rPr>
          <w:rFonts w:ascii="Verdana" w:hAnsi="Verdana"/>
          <w:sz w:val="20"/>
          <w:szCs w:val="20"/>
          <w:lang w:val="es-ES"/>
        </w:rPr>
        <w:t xml:space="preserve"> También se acordó que “[l]as víctimas se comprometen a iniciar o reanudar sus estudios dentro de los tres años siguientes a la notificación de la [… </w:t>
      </w:r>
      <w:proofErr w:type="gramStart"/>
      <w:r w:rsidR="00B4747F" w:rsidRPr="00DF7E56">
        <w:rPr>
          <w:rFonts w:ascii="Verdana" w:hAnsi="Verdana"/>
          <w:sz w:val="20"/>
          <w:szCs w:val="20"/>
          <w:lang w:val="es-ES"/>
        </w:rPr>
        <w:t>S]</w:t>
      </w:r>
      <w:proofErr w:type="spellStart"/>
      <w:r w:rsidR="00B4747F" w:rsidRPr="00DF7E56">
        <w:rPr>
          <w:rFonts w:ascii="Verdana" w:hAnsi="Verdana"/>
          <w:sz w:val="20"/>
          <w:szCs w:val="20"/>
          <w:lang w:val="es-ES"/>
        </w:rPr>
        <w:t>entencia</w:t>
      </w:r>
      <w:proofErr w:type="spellEnd"/>
      <w:proofErr w:type="gramEnd"/>
      <w:r w:rsidR="00B4747F" w:rsidRPr="00DF7E56">
        <w:rPr>
          <w:rFonts w:ascii="Verdana" w:hAnsi="Verdana"/>
          <w:sz w:val="20"/>
          <w:szCs w:val="20"/>
          <w:lang w:val="es-ES"/>
        </w:rPr>
        <w:t xml:space="preserve">”. </w:t>
      </w:r>
    </w:p>
    <w:p w14:paraId="02ED2E2C" w14:textId="2E0A0213" w:rsidR="00B4747F" w:rsidRPr="00DF7E56" w:rsidRDefault="00B4747F" w:rsidP="00B4747F">
      <w:pPr>
        <w:pStyle w:val="ListParagraph"/>
        <w:tabs>
          <w:tab w:val="left" w:pos="567"/>
        </w:tabs>
        <w:spacing w:after="0" w:line="240" w:lineRule="auto"/>
        <w:ind w:left="0" w:right="4"/>
        <w:jc w:val="both"/>
        <w:rPr>
          <w:rFonts w:ascii="Verdana" w:hAnsi="Verdana"/>
          <w:sz w:val="20"/>
          <w:szCs w:val="20"/>
          <w:lang w:val="es-ES"/>
        </w:rPr>
      </w:pPr>
    </w:p>
    <w:p w14:paraId="3F6F85F0" w14:textId="750BBE69" w:rsidR="00352EC5" w:rsidRPr="00DF7E56" w:rsidRDefault="00B4747F" w:rsidP="00352EC5">
      <w:pPr>
        <w:pStyle w:val="ListParagraph"/>
        <w:numPr>
          <w:ilvl w:val="0"/>
          <w:numId w:val="6"/>
        </w:numPr>
        <w:tabs>
          <w:tab w:val="left" w:pos="567"/>
        </w:tabs>
        <w:spacing w:after="0" w:line="240" w:lineRule="auto"/>
        <w:ind w:left="0" w:right="4" w:firstLine="0"/>
        <w:jc w:val="both"/>
        <w:rPr>
          <w:rFonts w:ascii="Verdana" w:hAnsi="Verdana"/>
          <w:sz w:val="20"/>
          <w:szCs w:val="20"/>
          <w:lang w:val="es-ES"/>
        </w:rPr>
      </w:pPr>
      <w:r w:rsidRPr="00DF7E56">
        <w:rPr>
          <w:rFonts w:ascii="Verdana" w:hAnsi="Verdana"/>
          <w:sz w:val="20"/>
          <w:szCs w:val="20"/>
          <w:lang w:val="es-ES"/>
        </w:rPr>
        <w:t xml:space="preserve">A su vez, en el </w:t>
      </w:r>
      <w:r w:rsidR="00F37F53" w:rsidRPr="00DF7E56">
        <w:rPr>
          <w:rFonts w:ascii="Verdana" w:hAnsi="Verdana"/>
          <w:sz w:val="20"/>
        </w:rPr>
        <w:t>punto dispositivo sexto</w:t>
      </w:r>
      <w:r w:rsidRPr="00DF7E56">
        <w:rPr>
          <w:rFonts w:ascii="Verdana" w:hAnsi="Verdana"/>
          <w:sz w:val="20"/>
        </w:rPr>
        <w:t xml:space="preserve"> </w:t>
      </w:r>
      <w:r w:rsidR="00627DAE" w:rsidRPr="00DF7E56">
        <w:rPr>
          <w:rFonts w:ascii="Verdana" w:hAnsi="Verdana"/>
          <w:sz w:val="20"/>
        </w:rPr>
        <w:t>inciso</w:t>
      </w:r>
      <w:r w:rsidRPr="00DF7E56">
        <w:rPr>
          <w:rFonts w:ascii="Verdana" w:hAnsi="Verdana"/>
          <w:sz w:val="20"/>
        </w:rPr>
        <w:t xml:space="preserve"> h) y los párrafos 82 </w:t>
      </w:r>
      <w:r w:rsidR="00D47104">
        <w:rPr>
          <w:rFonts w:ascii="Verdana" w:hAnsi="Verdana"/>
          <w:sz w:val="20"/>
        </w:rPr>
        <w:t>y</w:t>
      </w:r>
      <w:r w:rsidRPr="00DF7E56">
        <w:rPr>
          <w:rFonts w:ascii="Verdana" w:hAnsi="Verdana"/>
          <w:sz w:val="20"/>
        </w:rPr>
        <w:t xml:space="preserve"> 83 de la Sentencia, la Corte homologó la medida relativa a </w:t>
      </w:r>
      <w:r w:rsidRPr="00DF7E56">
        <w:rPr>
          <w:rFonts w:ascii="Verdana" w:hAnsi="Verdana"/>
          <w:sz w:val="20"/>
          <w:szCs w:val="20"/>
          <w:lang w:val="es-ES"/>
        </w:rPr>
        <w:t>“</w:t>
      </w:r>
      <w:r w:rsidR="00D47104">
        <w:rPr>
          <w:rFonts w:ascii="Verdana" w:hAnsi="Verdana"/>
          <w:sz w:val="20"/>
          <w:szCs w:val="20"/>
          <w:lang w:val="es-ES"/>
        </w:rPr>
        <w:t>‘</w:t>
      </w:r>
      <w:r w:rsidRPr="00DF7E56">
        <w:rPr>
          <w:rFonts w:ascii="Verdana" w:hAnsi="Verdana"/>
          <w:sz w:val="20"/>
          <w:szCs w:val="20"/>
          <w:lang w:val="es-ES"/>
        </w:rPr>
        <w:t>garantizar la educación de [… la hija del señor Santiago Sánchez Silvestre,] hasta la conclusión de sus estudios universitarios o técnicos, según sea el interés que en su momento tenga la misma</w:t>
      </w:r>
      <w:r w:rsidR="00D47104">
        <w:rPr>
          <w:rFonts w:ascii="Verdana" w:hAnsi="Verdana"/>
          <w:sz w:val="20"/>
          <w:szCs w:val="20"/>
          <w:lang w:val="es-ES"/>
        </w:rPr>
        <w:t>’</w:t>
      </w:r>
      <w:r w:rsidRPr="00DF7E56">
        <w:rPr>
          <w:rFonts w:ascii="Verdana" w:hAnsi="Verdana"/>
          <w:sz w:val="20"/>
          <w:szCs w:val="20"/>
          <w:lang w:val="es-ES"/>
        </w:rPr>
        <w:t xml:space="preserve">  a través de una </w:t>
      </w:r>
      <w:r w:rsidR="00D47104">
        <w:rPr>
          <w:rFonts w:ascii="Verdana" w:hAnsi="Verdana"/>
          <w:sz w:val="20"/>
          <w:szCs w:val="20"/>
          <w:lang w:val="es-ES"/>
        </w:rPr>
        <w:t>‘</w:t>
      </w:r>
      <w:r w:rsidRPr="00DF7E56">
        <w:rPr>
          <w:rFonts w:ascii="Verdana" w:hAnsi="Verdana"/>
          <w:sz w:val="20"/>
          <w:szCs w:val="20"/>
          <w:lang w:val="es-ES"/>
        </w:rPr>
        <w:t>beca escolar</w:t>
      </w:r>
      <w:r w:rsidR="00D47104">
        <w:rPr>
          <w:rFonts w:ascii="Verdana" w:hAnsi="Verdana"/>
          <w:sz w:val="20"/>
          <w:szCs w:val="20"/>
          <w:lang w:val="es-ES"/>
        </w:rPr>
        <w:t>’</w:t>
      </w:r>
      <w:r w:rsidRPr="00DF7E56">
        <w:rPr>
          <w:rFonts w:ascii="Verdana" w:hAnsi="Verdana"/>
          <w:sz w:val="20"/>
          <w:szCs w:val="20"/>
          <w:lang w:val="es-ES"/>
        </w:rPr>
        <w:t xml:space="preserve">”. </w:t>
      </w:r>
      <w:r w:rsidR="006E133A">
        <w:rPr>
          <w:rFonts w:ascii="Verdana" w:hAnsi="Verdana"/>
          <w:sz w:val="20"/>
          <w:szCs w:val="20"/>
          <w:lang w:val="es-ES"/>
        </w:rPr>
        <w:t>E</w:t>
      </w:r>
      <w:r w:rsidR="006E133A" w:rsidRPr="00DF7E56">
        <w:rPr>
          <w:rFonts w:ascii="Verdana" w:hAnsi="Verdana"/>
          <w:sz w:val="20"/>
          <w:szCs w:val="20"/>
          <w:lang w:val="es-ES"/>
        </w:rPr>
        <w:t xml:space="preserve">n la Sentencia </w:t>
      </w:r>
      <w:r w:rsidR="006E133A">
        <w:rPr>
          <w:rFonts w:ascii="Verdana" w:hAnsi="Verdana"/>
          <w:sz w:val="20"/>
          <w:szCs w:val="20"/>
          <w:lang w:val="es-ES"/>
        </w:rPr>
        <w:t>s</w:t>
      </w:r>
      <w:r w:rsidR="003B334C" w:rsidRPr="00DF7E56">
        <w:rPr>
          <w:rFonts w:ascii="Verdana" w:hAnsi="Verdana"/>
          <w:sz w:val="20"/>
          <w:szCs w:val="20"/>
          <w:lang w:val="es-ES"/>
        </w:rPr>
        <w:t>e</w:t>
      </w:r>
      <w:r w:rsidR="00352EC5" w:rsidRPr="00DF7E56">
        <w:rPr>
          <w:rFonts w:ascii="Verdana" w:hAnsi="Verdana"/>
          <w:sz w:val="20"/>
          <w:szCs w:val="20"/>
          <w:lang w:val="es-ES"/>
        </w:rPr>
        <w:t xml:space="preserve"> determinó que la referida beca </w:t>
      </w:r>
      <w:r w:rsidRPr="00DF7E56">
        <w:rPr>
          <w:rFonts w:ascii="Verdana" w:hAnsi="Verdana"/>
          <w:sz w:val="20"/>
          <w:szCs w:val="20"/>
          <w:lang w:val="es-ES"/>
        </w:rPr>
        <w:t>“se otorgará año con año en numerario una vez que se</w:t>
      </w:r>
      <w:r w:rsidR="00352EC5" w:rsidRPr="00DF7E56">
        <w:rPr>
          <w:rFonts w:ascii="Verdana" w:hAnsi="Verdana"/>
          <w:sz w:val="20"/>
          <w:szCs w:val="20"/>
          <w:lang w:val="es-ES"/>
        </w:rPr>
        <w:t xml:space="preserve"> </w:t>
      </w:r>
      <w:proofErr w:type="spellStart"/>
      <w:r w:rsidRPr="00DF7E56">
        <w:rPr>
          <w:rFonts w:ascii="Verdana" w:hAnsi="Verdana"/>
          <w:sz w:val="20"/>
          <w:szCs w:val="20"/>
          <w:lang w:val="es-ES"/>
        </w:rPr>
        <w:t>demuestr</w:t>
      </w:r>
      <w:proofErr w:type="spellEnd"/>
      <w:r w:rsidR="00D47104">
        <w:rPr>
          <w:rFonts w:ascii="Verdana" w:hAnsi="Verdana"/>
          <w:sz w:val="20"/>
          <w:szCs w:val="20"/>
          <w:lang w:val="es-ES"/>
        </w:rPr>
        <w:t>[e]</w:t>
      </w:r>
      <w:r w:rsidRPr="00DF7E56">
        <w:rPr>
          <w:rFonts w:ascii="Verdana" w:hAnsi="Verdana"/>
          <w:sz w:val="20"/>
          <w:szCs w:val="20"/>
          <w:lang w:val="es-ES"/>
        </w:rPr>
        <w:t xml:space="preserve"> que se ha acreditado el año escolar inmediato anterior de aquel para el que se</w:t>
      </w:r>
      <w:r w:rsidR="00352EC5" w:rsidRPr="00DF7E56">
        <w:rPr>
          <w:rFonts w:ascii="Verdana" w:hAnsi="Verdana"/>
          <w:sz w:val="20"/>
          <w:szCs w:val="20"/>
          <w:lang w:val="es-ES"/>
        </w:rPr>
        <w:t xml:space="preserve"> </w:t>
      </w:r>
      <w:r w:rsidRPr="00DF7E56">
        <w:rPr>
          <w:rFonts w:ascii="Verdana" w:hAnsi="Verdana"/>
          <w:sz w:val="20"/>
          <w:szCs w:val="20"/>
          <w:lang w:val="es-ES"/>
        </w:rPr>
        <w:t>solicite la beca del año correspondiente”</w:t>
      </w:r>
      <w:r w:rsidR="00B76185" w:rsidRPr="00DF7E56">
        <w:rPr>
          <w:rFonts w:ascii="Verdana" w:hAnsi="Verdana"/>
          <w:sz w:val="20"/>
          <w:szCs w:val="20"/>
          <w:lang w:val="es-ES"/>
        </w:rPr>
        <w:t>. También se acordó</w:t>
      </w:r>
      <w:r w:rsidRPr="00DF7E56">
        <w:rPr>
          <w:rFonts w:ascii="Verdana" w:hAnsi="Verdana"/>
          <w:sz w:val="20"/>
          <w:szCs w:val="20"/>
          <w:lang w:val="es-ES"/>
        </w:rPr>
        <w:t xml:space="preserve"> que “[e]l cálculo para el</w:t>
      </w:r>
      <w:r w:rsidR="00352EC5" w:rsidRPr="00DF7E56">
        <w:rPr>
          <w:rFonts w:ascii="Verdana" w:hAnsi="Verdana"/>
          <w:sz w:val="20"/>
          <w:szCs w:val="20"/>
          <w:lang w:val="es-ES"/>
        </w:rPr>
        <w:t xml:space="preserve"> </w:t>
      </w:r>
      <w:r w:rsidRPr="00DF7E56">
        <w:rPr>
          <w:rFonts w:ascii="Verdana" w:hAnsi="Verdana"/>
          <w:sz w:val="20"/>
          <w:szCs w:val="20"/>
          <w:lang w:val="es-ES"/>
        </w:rPr>
        <w:t>otorgamiento de la beca se determinará de conformidad con las Reglas de Operación del</w:t>
      </w:r>
      <w:r w:rsidR="00352EC5" w:rsidRPr="00DF7E56">
        <w:rPr>
          <w:rFonts w:ascii="Verdana" w:hAnsi="Verdana"/>
          <w:sz w:val="20"/>
          <w:szCs w:val="20"/>
          <w:lang w:val="es-ES"/>
        </w:rPr>
        <w:t xml:space="preserve"> </w:t>
      </w:r>
      <w:r w:rsidRPr="00DF7E56">
        <w:rPr>
          <w:rFonts w:ascii="Verdana" w:hAnsi="Verdana"/>
          <w:sz w:val="20"/>
          <w:szCs w:val="20"/>
          <w:lang w:val="es-ES"/>
        </w:rPr>
        <w:t>Fideicomiso para el Cumplimiento de Obligaciones en Materia de Derechos Humanos”</w:t>
      </w:r>
      <w:r w:rsidR="006734EC" w:rsidRPr="00DF7E56">
        <w:rPr>
          <w:rFonts w:ascii="Verdana" w:hAnsi="Verdana"/>
          <w:sz w:val="20"/>
          <w:szCs w:val="20"/>
          <w:lang w:val="es-ES"/>
        </w:rPr>
        <w:t>.</w:t>
      </w:r>
      <w:r w:rsidR="00352EC5" w:rsidRPr="00DF7E56">
        <w:rPr>
          <w:rFonts w:ascii="Verdana" w:hAnsi="Verdana"/>
          <w:sz w:val="20"/>
          <w:szCs w:val="20"/>
          <w:lang w:val="es-ES"/>
        </w:rPr>
        <w:t xml:space="preserve"> </w:t>
      </w:r>
    </w:p>
    <w:p w14:paraId="37B1B5BF" w14:textId="77777777" w:rsidR="0061188E" w:rsidRDefault="0061188E" w:rsidP="0061188E">
      <w:pPr>
        <w:rPr>
          <w:rFonts w:ascii="Verdana" w:hAnsi="Verdana"/>
          <w:sz w:val="20"/>
          <w:szCs w:val="20"/>
          <w:lang w:val="es-ES"/>
        </w:rPr>
      </w:pPr>
    </w:p>
    <w:p w14:paraId="5A9E4768" w14:textId="77777777" w:rsidR="0061188E" w:rsidRDefault="0061188E" w:rsidP="0061188E">
      <w:pPr>
        <w:rPr>
          <w:rFonts w:ascii="Verdana" w:hAnsi="Verdana"/>
          <w:sz w:val="20"/>
          <w:szCs w:val="20"/>
          <w:lang w:val="es-ES"/>
        </w:rPr>
      </w:pPr>
    </w:p>
    <w:p w14:paraId="2AE2468D" w14:textId="77777777" w:rsidR="0061188E" w:rsidRPr="0061188E" w:rsidRDefault="0061188E" w:rsidP="0061188E">
      <w:pPr>
        <w:rPr>
          <w:rFonts w:ascii="Verdana" w:hAnsi="Verdana"/>
          <w:sz w:val="20"/>
          <w:szCs w:val="20"/>
          <w:lang w:val="es-ES"/>
        </w:rPr>
      </w:pPr>
    </w:p>
    <w:p w14:paraId="2BBA2BEF" w14:textId="5D949798" w:rsidR="00760DA7" w:rsidRPr="00DF7E56" w:rsidRDefault="00760DA7" w:rsidP="009E1D2C">
      <w:pPr>
        <w:pStyle w:val="ListParagraph"/>
        <w:ind w:left="1080" w:hanging="360"/>
        <w:rPr>
          <w:rFonts w:ascii="Verdana" w:hAnsi="Verdana"/>
          <w:i/>
          <w:sz w:val="20"/>
          <w:szCs w:val="20"/>
        </w:rPr>
      </w:pPr>
      <w:r w:rsidRPr="00DF7E56">
        <w:rPr>
          <w:rFonts w:ascii="Verdana" w:hAnsi="Verdana"/>
          <w:i/>
          <w:sz w:val="20"/>
          <w:szCs w:val="20"/>
        </w:rPr>
        <w:lastRenderedPageBreak/>
        <w:t>B.2) Consideraciones de la Corte</w:t>
      </w:r>
    </w:p>
    <w:p w14:paraId="4B3C7C3F" w14:textId="77777777" w:rsidR="00760DA7" w:rsidRPr="00DF7E56" w:rsidRDefault="00760DA7" w:rsidP="00760DA7">
      <w:pPr>
        <w:pStyle w:val="ListParagraph"/>
        <w:rPr>
          <w:rFonts w:ascii="Verdana" w:hAnsi="Verdana"/>
          <w:sz w:val="20"/>
          <w:szCs w:val="20"/>
          <w:lang w:val="es-ES"/>
        </w:rPr>
      </w:pPr>
    </w:p>
    <w:p w14:paraId="08CC5165" w14:textId="0328E1FF" w:rsidR="00806406" w:rsidRPr="00DF7E56" w:rsidRDefault="00BB65FA" w:rsidP="00B4747F">
      <w:pPr>
        <w:pStyle w:val="ListParagraph"/>
        <w:numPr>
          <w:ilvl w:val="0"/>
          <w:numId w:val="6"/>
        </w:numPr>
        <w:tabs>
          <w:tab w:val="left" w:pos="567"/>
        </w:tabs>
        <w:spacing w:after="0" w:line="240" w:lineRule="auto"/>
        <w:ind w:left="0" w:right="4" w:firstLine="0"/>
        <w:jc w:val="both"/>
        <w:rPr>
          <w:rFonts w:ascii="Verdana" w:hAnsi="Verdana"/>
          <w:sz w:val="20"/>
          <w:szCs w:val="20"/>
          <w:lang w:val="es-ES"/>
        </w:rPr>
      </w:pPr>
      <w:r w:rsidRPr="00DF7E56">
        <w:rPr>
          <w:rFonts w:ascii="Verdana" w:hAnsi="Verdana"/>
          <w:sz w:val="20"/>
          <w:szCs w:val="20"/>
          <w:lang w:val="es-ES"/>
        </w:rPr>
        <w:t>Con base en la información aportada por el Estado</w:t>
      </w:r>
      <w:r w:rsidR="00C01519" w:rsidRPr="00DF7E56">
        <w:rPr>
          <w:rStyle w:val="FootnoteReference"/>
          <w:rFonts w:ascii="Verdana" w:hAnsi="Verdana"/>
          <w:sz w:val="20"/>
          <w:szCs w:val="20"/>
          <w:lang w:val="es-ES"/>
        </w:rPr>
        <w:footnoteReference w:id="17"/>
      </w:r>
      <w:r w:rsidR="00E210AC" w:rsidRPr="00DF7E56">
        <w:rPr>
          <w:rFonts w:ascii="Verdana" w:hAnsi="Verdana"/>
          <w:sz w:val="20"/>
          <w:szCs w:val="20"/>
          <w:lang w:val="es-ES"/>
        </w:rPr>
        <w:t xml:space="preserve"> </w:t>
      </w:r>
      <w:r w:rsidR="00631581" w:rsidRPr="00DF7E56">
        <w:rPr>
          <w:rFonts w:ascii="Verdana" w:hAnsi="Verdana"/>
          <w:sz w:val="20"/>
          <w:szCs w:val="20"/>
          <w:lang w:val="es-ES"/>
        </w:rPr>
        <w:t>y confirmada</w:t>
      </w:r>
      <w:r w:rsidRPr="00DF7E56">
        <w:rPr>
          <w:rFonts w:ascii="Verdana" w:hAnsi="Verdana"/>
          <w:sz w:val="20"/>
          <w:szCs w:val="20"/>
          <w:lang w:val="es-ES"/>
        </w:rPr>
        <w:t xml:space="preserve"> por los representantes de las víctimas</w:t>
      </w:r>
      <w:r w:rsidR="00C01519" w:rsidRPr="00DF7E56">
        <w:rPr>
          <w:rStyle w:val="FootnoteReference"/>
          <w:rFonts w:ascii="Verdana" w:hAnsi="Verdana"/>
          <w:sz w:val="20"/>
          <w:szCs w:val="20"/>
          <w:lang w:val="es-ES"/>
        </w:rPr>
        <w:footnoteReference w:id="18"/>
      </w:r>
      <w:r w:rsidR="00113AF8" w:rsidRPr="00DF7E56">
        <w:rPr>
          <w:rFonts w:ascii="Verdana" w:hAnsi="Verdana"/>
          <w:sz w:val="20"/>
          <w:szCs w:val="20"/>
          <w:lang w:val="es-ES"/>
        </w:rPr>
        <w:t>,</w:t>
      </w:r>
      <w:r w:rsidR="00E210AC" w:rsidRPr="00DF7E56">
        <w:rPr>
          <w:rFonts w:ascii="Verdana" w:hAnsi="Verdana"/>
          <w:sz w:val="20"/>
          <w:szCs w:val="20"/>
          <w:lang w:val="es-ES"/>
        </w:rPr>
        <w:t xml:space="preserve"> </w:t>
      </w:r>
      <w:r w:rsidRPr="00DF7E56">
        <w:rPr>
          <w:rFonts w:ascii="Verdana" w:hAnsi="Verdana"/>
          <w:sz w:val="20"/>
          <w:szCs w:val="20"/>
          <w:lang w:val="es-ES"/>
        </w:rPr>
        <w:t>la Corte constata que el Comité Técnico del Fideicomiso para el Cumplimiento de Obligaciones en Materia de Derechos Humanos aprobó los “pagos de obligaciones pecuniarias a cargo del Estado […] en el [presente] caso”</w:t>
      </w:r>
      <w:r w:rsidR="00E210AC" w:rsidRPr="00DF7E56">
        <w:rPr>
          <w:rFonts w:ascii="Verdana" w:hAnsi="Verdana"/>
          <w:sz w:val="20"/>
          <w:szCs w:val="20"/>
          <w:lang w:val="es-ES"/>
        </w:rPr>
        <w:t>, dentro de los cuales se encuentran los pagos “relativos a las becas educativas”</w:t>
      </w:r>
      <w:r w:rsidR="003D080B" w:rsidRPr="00DF7E56">
        <w:rPr>
          <w:rFonts w:ascii="Verdana" w:hAnsi="Verdana"/>
          <w:sz w:val="20"/>
          <w:szCs w:val="20"/>
          <w:lang w:val="es-ES"/>
        </w:rPr>
        <w:t xml:space="preserve"> y creó tres subcuentas a favor del señor García Cruz, el señor Sánchez Silvestre y la hija de este último</w:t>
      </w:r>
      <w:r w:rsidR="003D080B" w:rsidRPr="00DF7E56">
        <w:rPr>
          <w:rStyle w:val="FootnoteReference"/>
          <w:rFonts w:ascii="Verdana" w:hAnsi="Verdana"/>
          <w:sz w:val="20"/>
          <w:szCs w:val="20"/>
          <w:lang w:val="es-ES"/>
        </w:rPr>
        <w:footnoteReference w:id="19"/>
      </w:r>
      <w:r w:rsidR="00E210AC" w:rsidRPr="00DF7E56">
        <w:rPr>
          <w:rFonts w:ascii="Verdana" w:hAnsi="Verdana"/>
          <w:sz w:val="20"/>
          <w:szCs w:val="20"/>
          <w:lang w:val="es-ES"/>
        </w:rPr>
        <w:t xml:space="preserve">. El Estado </w:t>
      </w:r>
      <w:r w:rsidR="007A55E0" w:rsidRPr="00DF7E56">
        <w:rPr>
          <w:rFonts w:ascii="Verdana" w:hAnsi="Verdana"/>
          <w:sz w:val="20"/>
          <w:szCs w:val="20"/>
          <w:lang w:val="es-ES"/>
        </w:rPr>
        <w:t>señaló que pese a haber “informado en reiteradas ocasiones a los representantes legales de las víctimas</w:t>
      </w:r>
      <w:r w:rsidR="00694D0F" w:rsidRPr="00DF7E56">
        <w:rPr>
          <w:rFonts w:ascii="Verdana" w:hAnsi="Verdana"/>
          <w:sz w:val="20"/>
          <w:szCs w:val="20"/>
          <w:lang w:val="es-ES"/>
        </w:rPr>
        <w:t xml:space="preserve"> [… que</w:t>
      </w:r>
      <w:r w:rsidR="00D62B4B" w:rsidRPr="00DF7E56">
        <w:rPr>
          <w:rFonts w:ascii="Verdana" w:hAnsi="Verdana"/>
          <w:sz w:val="20"/>
          <w:szCs w:val="20"/>
          <w:lang w:val="es-ES"/>
        </w:rPr>
        <w:t>,</w:t>
      </w:r>
      <w:r w:rsidR="00694D0F" w:rsidRPr="00DF7E56">
        <w:rPr>
          <w:rFonts w:ascii="Verdana" w:hAnsi="Verdana"/>
          <w:sz w:val="20"/>
          <w:szCs w:val="20"/>
          <w:lang w:val="es-ES"/>
        </w:rPr>
        <w:t xml:space="preserve">] </w:t>
      </w:r>
      <w:r w:rsidR="007A55E0" w:rsidRPr="00DF7E56">
        <w:rPr>
          <w:rFonts w:ascii="Verdana" w:hAnsi="Verdana"/>
          <w:sz w:val="20"/>
          <w:szCs w:val="20"/>
          <w:lang w:val="es-ES"/>
        </w:rPr>
        <w:t xml:space="preserve">a efecto de entregar los montos correspondientes al año escolar de cada uno de los beneficiarios, es necesario que se entreguen los comprobantes que acrediten su inscripción en una institución educativa y aquellos que acrediten que cursó el ciclo escolar previo”, a </w:t>
      </w:r>
      <w:r w:rsidR="001605EF">
        <w:rPr>
          <w:rFonts w:ascii="Verdana" w:hAnsi="Verdana"/>
          <w:sz w:val="20"/>
          <w:szCs w:val="20"/>
          <w:lang w:val="es-ES"/>
        </w:rPr>
        <w:t>enero</w:t>
      </w:r>
      <w:r w:rsidR="001605EF" w:rsidRPr="00DF7E56">
        <w:rPr>
          <w:rFonts w:ascii="Verdana" w:hAnsi="Verdana"/>
          <w:sz w:val="20"/>
          <w:szCs w:val="20"/>
          <w:lang w:val="es-ES"/>
        </w:rPr>
        <w:t xml:space="preserve"> </w:t>
      </w:r>
      <w:r w:rsidR="00BC2B8E" w:rsidRPr="00DF7E56">
        <w:rPr>
          <w:rFonts w:ascii="Verdana" w:hAnsi="Verdana"/>
          <w:sz w:val="20"/>
          <w:szCs w:val="20"/>
          <w:lang w:val="es-ES"/>
        </w:rPr>
        <w:t>de 2016</w:t>
      </w:r>
      <w:r w:rsidR="007A55E0" w:rsidRPr="00DF7E56">
        <w:rPr>
          <w:rFonts w:ascii="Verdana" w:hAnsi="Verdana"/>
          <w:sz w:val="20"/>
          <w:szCs w:val="20"/>
          <w:lang w:val="es-ES"/>
        </w:rPr>
        <w:t xml:space="preserve"> no ha</w:t>
      </w:r>
      <w:r w:rsidR="00694D0F" w:rsidRPr="00DF7E56">
        <w:rPr>
          <w:rFonts w:ascii="Verdana" w:hAnsi="Verdana"/>
          <w:sz w:val="20"/>
          <w:szCs w:val="20"/>
          <w:lang w:val="es-ES"/>
        </w:rPr>
        <w:t>bía</w:t>
      </w:r>
      <w:r w:rsidR="007A55E0" w:rsidRPr="00DF7E56">
        <w:rPr>
          <w:rFonts w:ascii="Verdana" w:hAnsi="Verdana"/>
          <w:sz w:val="20"/>
          <w:szCs w:val="20"/>
          <w:lang w:val="es-ES"/>
        </w:rPr>
        <w:t xml:space="preserve"> recibido información alguna de parte de las víctimas o sus representantes</w:t>
      </w:r>
      <w:r w:rsidR="00113AF8" w:rsidRPr="00DF7E56">
        <w:rPr>
          <w:rFonts w:ascii="Verdana" w:hAnsi="Verdana"/>
          <w:sz w:val="20"/>
          <w:szCs w:val="20"/>
          <w:lang w:val="es-ES"/>
        </w:rPr>
        <w:t>.</w:t>
      </w:r>
      <w:r w:rsidR="007A55E0" w:rsidRPr="00DF7E56">
        <w:rPr>
          <w:rFonts w:ascii="Verdana" w:hAnsi="Verdana"/>
          <w:sz w:val="20"/>
          <w:szCs w:val="20"/>
          <w:lang w:val="es-ES"/>
        </w:rPr>
        <w:t xml:space="preserve"> Est</w:t>
      </w:r>
      <w:r w:rsidR="00A307C4" w:rsidRPr="00DF7E56">
        <w:rPr>
          <w:rFonts w:ascii="Verdana" w:hAnsi="Verdana"/>
          <w:sz w:val="20"/>
          <w:szCs w:val="20"/>
          <w:lang w:val="es-ES"/>
        </w:rPr>
        <w:t>o</w:t>
      </w:r>
      <w:r w:rsidR="007A55E0" w:rsidRPr="00DF7E56">
        <w:rPr>
          <w:rFonts w:ascii="Verdana" w:hAnsi="Verdana"/>
          <w:sz w:val="20"/>
          <w:szCs w:val="20"/>
          <w:lang w:val="es-ES"/>
        </w:rPr>
        <w:t xml:space="preserve"> no fue controvertid</w:t>
      </w:r>
      <w:r w:rsidR="00D62B4B" w:rsidRPr="00DF7E56">
        <w:rPr>
          <w:rFonts w:ascii="Verdana" w:hAnsi="Verdana"/>
          <w:sz w:val="20"/>
          <w:szCs w:val="20"/>
          <w:lang w:val="es-ES"/>
        </w:rPr>
        <w:t>o</w:t>
      </w:r>
      <w:r w:rsidR="007A55E0" w:rsidRPr="00DF7E56">
        <w:rPr>
          <w:rFonts w:ascii="Verdana" w:hAnsi="Verdana"/>
          <w:sz w:val="20"/>
          <w:szCs w:val="20"/>
          <w:lang w:val="es-ES"/>
        </w:rPr>
        <w:t xml:space="preserve"> por los representantes de las víctimas. El Estado también destacó que</w:t>
      </w:r>
      <w:r w:rsidR="00D62B4B" w:rsidRPr="00DF7E56">
        <w:rPr>
          <w:rFonts w:ascii="Verdana" w:hAnsi="Verdana"/>
          <w:sz w:val="20"/>
          <w:szCs w:val="20"/>
          <w:lang w:val="es-ES"/>
        </w:rPr>
        <w:t>,</w:t>
      </w:r>
      <w:r w:rsidR="00631581" w:rsidRPr="00DF7E56">
        <w:rPr>
          <w:rFonts w:ascii="Verdana" w:hAnsi="Verdana"/>
          <w:sz w:val="20"/>
          <w:szCs w:val="20"/>
          <w:lang w:val="es-ES"/>
        </w:rPr>
        <w:t xml:space="preserve"> “de conformidad con las [referidas</w:t>
      </w:r>
      <w:r w:rsidR="001605EF">
        <w:rPr>
          <w:rFonts w:ascii="Verdana" w:hAnsi="Verdana"/>
          <w:sz w:val="20"/>
          <w:szCs w:val="20"/>
          <w:lang w:val="es-ES"/>
        </w:rPr>
        <w:t>]</w:t>
      </w:r>
      <w:r w:rsidR="00631581" w:rsidRPr="00DF7E56">
        <w:rPr>
          <w:rFonts w:ascii="Verdana" w:hAnsi="Verdana"/>
          <w:sz w:val="20"/>
          <w:szCs w:val="20"/>
          <w:lang w:val="es-ES"/>
        </w:rPr>
        <w:t xml:space="preserve"> Reglas de Operación del Fideicomiso, los recursos económicos se encontrarán disponibles en las subcuentas abiertas a nombres de los beneficiarios por un periodo de cuatro años contados a partir del 24 de marzo de 2014, al término del cual, los recursos regresarán al patrimonio del fideicomiso”</w:t>
      </w:r>
      <w:r w:rsidR="00107613" w:rsidRPr="00DF7E56">
        <w:rPr>
          <w:rFonts w:ascii="Verdana" w:hAnsi="Verdana"/>
          <w:sz w:val="20"/>
          <w:szCs w:val="20"/>
          <w:lang w:val="es-ES"/>
        </w:rPr>
        <w:t>.</w:t>
      </w:r>
      <w:r w:rsidR="00631581" w:rsidRPr="00DF7E56">
        <w:rPr>
          <w:rFonts w:ascii="Verdana" w:hAnsi="Verdana"/>
          <w:sz w:val="20"/>
          <w:szCs w:val="20"/>
          <w:lang w:val="es-ES"/>
        </w:rPr>
        <w:t xml:space="preserve"> </w:t>
      </w:r>
      <w:r w:rsidR="007A55E0" w:rsidRPr="00DF7E56">
        <w:rPr>
          <w:rFonts w:ascii="Verdana" w:hAnsi="Verdana"/>
          <w:sz w:val="20"/>
          <w:szCs w:val="20"/>
          <w:lang w:val="es-ES"/>
        </w:rPr>
        <w:t xml:space="preserve">Al respecto, los representantes indicaron que </w:t>
      </w:r>
      <w:r w:rsidR="00107613" w:rsidRPr="00DF7E56">
        <w:rPr>
          <w:rFonts w:ascii="Verdana" w:hAnsi="Verdana"/>
          <w:sz w:val="20"/>
          <w:szCs w:val="20"/>
          <w:lang w:val="es-ES"/>
        </w:rPr>
        <w:t xml:space="preserve">consideran </w:t>
      </w:r>
      <w:r w:rsidR="007A55E0" w:rsidRPr="00DF7E56">
        <w:rPr>
          <w:rFonts w:ascii="Verdana" w:hAnsi="Verdana"/>
          <w:sz w:val="20"/>
          <w:szCs w:val="20"/>
          <w:lang w:val="es-ES"/>
        </w:rPr>
        <w:t>“indispensable que los recursos se encuentren disponibles en el momento en el que se realice la solicitud respectiva, sin que existan límites temporales que puedan afectar los derechos de las personas beneficiarias en su condición de víctimas”</w:t>
      </w:r>
      <w:r w:rsidR="00107613" w:rsidRPr="00DF7E56">
        <w:rPr>
          <w:rFonts w:ascii="Verdana" w:hAnsi="Verdana"/>
          <w:sz w:val="20"/>
          <w:szCs w:val="20"/>
          <w:lang w:val="es-ES"/>
        </w:rPr>
        <w:t>.</w:t>
      </w:r>
      <w:r w:rsidR="007A55E0" w:rsidRPr="00DF7E56">
        <w:rPr>
          <w:rFonts w:ascii="Verdana" w:hAnsi="Verdana"/>
          <w:sz w:val="20"/>
          <w:szCs w:val="20"/>
          <w:lang w:val="es-ES"/>
        </w:rPr>
        <w:t xml:space="preserve"> </w:t>
      </w:r>
    </w:p>
    <w:p w14:paraId="4C1C004D" w14:textId="77777777" w:rsidR="00806406" w:rsidRPr="00DF7E56" w:rsidRDefault="00806406" w:rsidP="00806406">
      <w:pPr>
        <w:pStyle w:val="ListParagraph"/>
        <w:tabs>
          <w:tab w:val="left" w:pos="567"/>
        </w:tabs>
        <w:spacing w:after="0" w:line="240" w:lineRule="auto"/>
        <w:ind w:left="0" w:right="4"/>
        <w:jc w:val="both"/>
        <w:rPr>
          <w:rFonts w:ascii="Verdana" w:hAnsi="Verdana"/>
          <w:sz w:val="20"/>
          <w:szCs w:val="20"/>
          <w:lang w:val="es-ES"/>
        </w:rPr>
      </w:pPr>
    </w:p>
    <w:p w14:paraId="77DC83AA" w14:textId="4C9B85CF" w:rsidR="007A55E0" w:rsidRPr="00DF7E56" w:rsidRDefault="00A818EB" w:rsidP="007A55E0">
      <w:pPr>
        <w:pStyle w:val="ListParagraph"/>
        <w:numPr>
          <w:ilvl w:val="0"/>
          <w:numId w:val="6"/>
        </w:numPr>
        <w:tabs>
          <w:tab w:val="left" w:pos="567"/>
        </w:tabs>
        <w:spacing w:after="0" w:line="240" w:lineRule="auto"/>
        <w:ind w:left="0" w:right="4" w:firstLine="0"/>
        <w:jc w:val="both"/>
        <w:rPr>
          <w:rFonts w:ascii="Verdana" w:hAnsi="Verdana"/>
          <w:sz w:val="20"/>
          <w:szCs w:val="20"/>
          <w:lang w:val="es-ES"/>
        </w:rPr>
      </w:pPr>
      <w:r w:rsidRPr="00DF7E56">
        <w:rPr>
          <w:rFonts w:ascii="Verdana" w:hAnsi="Verdana"/>
          <w:sz w:val="20"/>
          <w:szCs w:val="20"/>
          <w:lang w:val="es-ES"/>
        </w:rPr>
        <w:t xml:space="preserve">La Corte valora positivamente las acciones tomadas por el Estado para abrir las subcuentas a </w:t>
      </w:r>
      <w:r w:rsidR="00114DEF" w:rsidRPr="00DF7E56">
        <w:rPr>
          <w:rFonts w:ascii="Verdana" w:hAnsi="Verdana"/>
          <w:sz w:val="20"/>
          <w:szCs w:val="20"/>
          <w:lang w:val="es-ES"/>
        </w:rPr>
        <w:t>favor de los tres beneficiarios de la reparación (</w:t>
      </w:r>
      <w:r w:rsidR="00114DEF" w:rsidRPr="00DF7E56">
        <w:rPr>
          <w:rFonts w:ascii="Verdana" w:hAnsi="Verdana"/>
          <w:i/>
          <w:sz w:val="20"/>
          <w:szCs w:val="20"/>
          <w:lang w:val="es-ES"/>
        </w:rPr>
        <w:t>supra</w:t>
      </w:r>
      <w:r w:rsidR="00114DEF" w:rsidRPr="00DF7E56">
        <w:rPr>
          <w:rFonts w:ascii="Verdana" w:hAnsi="Verdana"/>
          <w:sz w:val="20"/>
          <w:szCs w:val="20"/>
          <w:lang w:val="es-ES"/>
        </w:rPr>
        <w:t xml:space="preserve"> Considerando </w:t>
      </w:r>
      <w:r w:rsidR="0062621D" w:rsidRPr="00DF7E56">
        <w:rPr>
          <w:rFonts w:ascii="Verdana" w:hAnsi="Verdana"/>
          <w:sz w:val="20"/>
          <w:szCs w:val="20"/>
          <w:lang w:val="es-ES"/>
        </w:rPr>
        <w:t>1</w:t>
      </w:r>
      <w:r w:rsidR="006E133A">
        <w:rPr>
          <w:rFonts w:ascii="Verdana" w:hAnsi="Verdana"/>
          <w:sz w:val="20"/>
          <w:szCs w:val="20"/>
          <w:lang w:val="es-ES"/>
        </w:rPr>
        <w:t>4</w:t>
      </w:r>
      <w:r w:rsidR="00922431">
        <w:rPr>
          <w:rFonts w:ascii="Verdana" w:hAnsi="Verdana"/>
          <w:sz w:val="20"/>
          <w:szCs w:val="20"/>
          <w:lang w:val="es-ES"/>
        </w:rPr>
        <w:t>).</w:t>
      </w:r>
      <w:r w:rsidR="009F3A4C" w:rsidRPr="00DF7E56">
        <w:rPr>
          <w:rFonts w:ascii="Verdana" w:hAnsi="Verdana"/>
          <w:sz w:val="20"/>
          <w:szCs w:val="20"/>
          <w:lang w:val="es-ES"/>
        </w:rPr>
        <w:t xml:space="preserve"> Respecto </w:t>
      </w:r>
      <w:r w:rsidR="00BF318A" w:rsidRPr="00DF7E56">
        <w:rPr>
          <w:rFonts w:ascii="Verdana" w:hAnsi="Verdana"/>
          <w:sz w:val="20"/>
          <w:szCs w:val="20"/>
          <w:lang w:val="es-ES"/>
        </w:rPr>
        <w:t xml:space="preserve">a </w:t>
      </w:r>
      <w:r w:rsidR="00F63E6B" w:rsidRPr="00DF7E56">
        <w:rPr>
          <w:rFonts w:ascii="Verdana" w:hAnsi="Verdana"/>
          <w:sz w:val="20"/>
          <w:szCs w:val="20"/>
          <w:lang w:val="es-ES"/>
        </w:rPr>
        <w:t>lo señalado por las partes</w:t>
      </w:r>
      <w:r w:rsidR="00632AC2" w:rsidRPr="00DF7E56">
        <w:rPr>
          <w:rFonts w:ascii="Verdana" w:hAnsi="Verdana"/>
          <w:sz w:val="20"/>
          <w:szCs w:val="20"/>
          <w:lang w:val="es-ES"/>
        </w:rPr>
        <w:t>,</w:t>
      </w:r>
      <w:r w:rsidR="009F3A4C" w:rsidRPr="00DF7E56">
        <w:rPr>
          <w:rFonts w:ascii="Verdana" w:hAnsi="Verdana"/>
          <w:sz w:val="20"/>
          <w:szCs w:val="20"/>
          <w:lang w:val="es-ES"/>
        </w:rPr>
        <w:t xml:space="preserve"> </w:t>
      </w:r>
      <w:r w:rsidR="00806406" w:rsidRPr="00DF7E56">
        <w:rPr>
          <w:rFonts w:ascii="Verdana" w:hAnsi="Verdana"/>
          <w:sz w:val="20"/>
          <w:szCs w:val="20"/>
          <w:lang w:val="es-ES"/>
        </w:rPr>
        <w:t>el Tribunal</w:t>
      </w:r>
      <w:r w:rsidR="009F3A4C" w:rsidRPr="00DF7E56">
        <w:rPr>
          <w:rFonts w:ascii="Verdana" w:hAnsi="Verdana"/>
          <w:sz w:val="20"/>
          <w:szCs w:val="20"/>
          <w:lang w:val="es-ES"/>
        </w:rPr>
        <w:t xml:space="preserve"> recuerda que en el acuerdo de solución amistosa</w:t>
      </w:r>
      <w:r w:rsidR="0057435E" w:rsidRPr="00DF7E56">
        <w:rPr>
          <w:rFonts w:ascii="Verdana" w:hAnsi="Verdana"/>
          <w:sz w:val="20"/>
          <w:szCs w:val="20"/>
          <w:lang w:val="es-ES"/>
        </w:rPr>
        <w:t xml:space="preserve"> (</w:t>
      </w:r>
      <w:r w:rsidR="0057435E" w:rsidRPr="00DF7E56">
        <w:rPr>
          <w:rFonts w:ascii="Verdana" w:hAnsi="Verdana"/>
          <w:i/>
          <w:sz w:val="20"/>
          <w:szCs w:val="20"/>
          <w:lang w:val="es-ES"/>
        </w:rPr>
        <w:t xml:space="preserve">supra </w:t>
      </w:r>
      <w:r w:rsidR="0057435E" w:rsidRPr="00DF7E56">
        <w:rPr>
          <w:rFonts w:ascii="Verdana" w:hAnsi="Verdana"/>
          <w:sz w:val="20"/>
          <w:szCs w:val="20"/>
          <w:lang w:val="es-ES"/>
        </w:rPr>
        <w:t>Visto 1)</w:t>
      </w:r>
      <w:r w:rsidR="009F3A4C" w:rsidRPr="00DF7E56">
        <w:rPr>
          <w:rFonts w:ascii="Verdana" w:hAnsi="Verdana"/>
          <w:sz w:val="20"/>
          <w:szCs w:val="20"/>
          <w:lang w:val="es-ES"/>
        </w:rPr>
        <w:t xml:space="preserve"> las partes suscribieron un compromiso, homologado por la Corte, relativo a que</w:t>
      </w:r>
      <w:r w:rsidR="0057435E" w:rsidRPr="00DF7E56">
        <w:rPr>
          <w:rFonts w:ascii="Verdana" w:hAnsi="Verdana"/>
          <w:sz w:val="20"/>
          <w:szCs w:val="20"/>
          <w:lang w:val="es-ES"/>
        </w:rPr>
        <w:t xml:space="preserve">: i) las becas de estudio se otorgarían “de acuerdo </w:t>
      </w:r>
      <w:r w:rsidR="001605EF">
        <w:rPr>
          <w:rFonts w:ascii="Verdana" w:hAnsi="Verdana"/>
          <w:sz w:val="20"/>
          <w:szCs w:val="20"/>
          <w:lang w:val="es-ES"/>
        </w:rPr>
        <w:t>[con]</w:t>
      </w:r>
      <w:r w:rsidR="0057435E" w:rsidRPr="00DF7E56">
        <w:rPr>
          <w:rFonts w:ascii="Verdana" w:hAnsi="Verdana"/>
          <w:sz w:val="20"/>
          <w:szCs w:val="20"/>
          <w:lang w:val="es-ES"/>
        </w:rPr>
        <w:t xml:space="preserve"> lo establecido en las Reglas de Operación</w:t>
      </w:r>
      <w:r w:rsidR="00107613" w:rsidRPr="00DF7E56">
        <w:rPr>
          <w:rFonts w:ascii="Verdana" w:hAnsi="Verdana"/>
          <w:sz w:val="20"/>
          <w:szCs w:val="20"/>
          <w:lang w:val="es-ES"/>
        </w:rPr>
        <w:t>”</w:t>
      </w:r>
      <w:r w:rsidR="0057435E" w:rsidRPr="00DF7E56">
        <w:rPr>
          <w:rFonts w:ascii="Verdana" w:hAnsi="Verdana"/>
          <w:sz w:val="20"/>
          <w:szCs w:val="20"/>
          <w:lang w:val="es-ES"/>
        </w:rPr>
        <w:t xml:space="preserve"> del Fideicomiso para el Cumplimiento de Obligaciones en Materia de Derechos Humanos, y ii) </w:t>
      </w:r>
      <w:r w:rsidR="009F3A4C" w:rsidRPr="00DF7E56">
        <w:rPr>
          <w:rFonts w:ascii="Verdana" w:hAnsi="Verdana"/>
          <w:sz w:val="20"/>
          <w:szCs w:val="20"/>
          <w:lang w:val="es-ES"/>
        </w:rPr>
        <w:t>los señores García y Cruz y Sánchez Silvestre se comprometían a “iniciar o reanudar” sus estudios dentro de los tres años siguientes a la notificación de la Sentencia (</w:t>
      </w:r>
      <w:r w:rsidR="009F3A4C" w:rsidRPr="00DF7E56">
        <w:rPr>
          <w:rFonts w:ascii="Verdana" w:hAnsi="Verdana"/>
          <w:i/>
          <w:sz w:val="20"/>
          <w:szCs w:val="20"/>
          <w:lang w:val="es-ES"/>
        </w:rPr>
        <w:t xml:space="preserve">supra </w:t>
      </w:r>
      <w:r w:rsidR="009F3A4C" w:rsidRPr="00DF7E56">
        <w:rPr>
          <w:rFonts w:ascii="Verdana" w:hAnsi="Verdana"/>
          <w:sz w:val="20"/>
          <w:szCs w:val="20"/>
          <w:lang w:val="es-ES"/>
        </w:rPr>
        <w:t xml:space="preserve">Considerando </w:t>
      </w:r>
      <w:r w:rsidR="0057435E" w:rsidRPr="00DF7E56">
        <w:rPr>
          <w:rFonts w:ascii="Verdana" w:hAnsi="Verdana"/>
          <w:sz w:val="20"/>
          <w:szCs w:val="20"/>
          <w:lang w:val="es-ES"/>
        </w:rPr>
        <w:t>1</w:t>
      </w:r>
      <w:r w:rsidR="006E133A">
        <w:rPr>
          <w:rFonts w:ascii="Verdana" w:hAnsi="Verdana"/>
          <w:sz w:val="20"/>
          <w:szCs w:val="20"/>
          <w:lang w:val="es-ES"/>
        </w:rPr>
        <w:t>2</w:t>
      </w:r>
      <w:r w:rsidR="0057435E" w:rsidRPr="00DF7E56">
        <w:rPr>
          <w:rFonts w:ascii="Verdana" w:hAnsi="Verdana"/>
          <w:sz w:val="20"/>
          <w:szCs w:val="20"/>
          <w:lang w:val="es-ES"/>
        </w:rPr>
        <w:t xml:space="preserve">), </w:t>
      </w:r>
      <w:r w:rsidR="00107613" w:rsidRPr="00DF7E56">
        <w:rPr>
          <w:rFonts w:ascii="Verdana" w:hAnsi="Verdana"/>
          <w:sz w:val="20"/>
          <w:szCs w:val="20"/>
          <w:lang w:val="es-ES"/>
        </w:rPr>
        <w:t xml:space="preserve">plazo que concluye </w:t>
      </w:r>
      <w:r w:rsidR="0057435E" w:rsidRPr="00DF7E56">
        <w:rPr>
          <w:rFonts w:ascii="Verdana" w:hAnsi="Verdana"/>
          <w:sz w:val="20"/>
          <w:szCs w:val="20"/>
          <w:lang w:val="es-ES"/>
        </w:rPr>
        <w:t xml:space="preserve">el 16 de diciembre de 2016. </w:t>
      </w:r>
    </w:p>
    <w:p w14:paraId="1AEA6CC6" w14:textId="77777777" w:rsidR="00B76866" w:rsidRPr="00DF7E56" w:rsidRDefault="00B76866" w:rsidP="00B76866">
      <w:pPr>
        <w:pStyle w:val="ListParagraph"/>
        <w:tabs>
          <w:tab w:val="left" w:pos="567"/>
        </w:tabs>
        <w:spacing w:after="0" w:line="240" w:lineRule="auto"/>
        <w:ind w:left="0" w:right="4"/>
        <w:jc w:val="both"/>
        <w:rPr>
          <w:rFonts w:ascii="Verdana" w:hAnsi="Verdana"/>
          <w:sz w:val="20"/>
          <w:szCs w:val="20"/>
          <w:lang w:val="es-ES"/>
        </w:rPr>
      </w:pPr>
    </w:p>
    <w:p w14:paraId="4A55CA7F" w14:textId="3F5E0B6C" w:rsidR="00806406" w:rsidRPr="00DF7E56" w:rsidRDefault="00806406" w:rsidP="00806406">
      <w:pPr>
        <w:pStyle w:val="ListParagraph"/>
        <w:numPr>
          <w:ilvl w:val="0"/>
          <w:numId w:val="6"/>
        </w:numPr>
        <w:tabs>
          <w:tab w:val="left" w:pos="567"/>
        </w:tabs>
        <w:spacing w:after="0" w:line="240" w:lineRule="auto"/>
        <w:ind w:left="0" w:right="4" w:firstLine="0"/>
        <w:jc w:val="both"/>
        <w:rPr>
          <w:rFonts w:ascii="Verdana" w:hAnsi="Verdana"/>
          <w:sz w:val="20"/>
          <w:szCs w:val="20"/>
          <w:lang w:val="es-ES"/>
        </w:rPr>
      </w:pPr>
      <w:r w:rsidRPr="00DF7E56">
        <w:rPr>
          <w:rFonts w:ascii="Verdana" w:hAnsi="Verdana"/>
          <w:sz w:val="20"/>
          <w:szCs w:val="20"/>
          <w:lang w:val="es-ES"/>
        </w:rPr>
        <w:t>En casos anteriores</w:t>
      </w:r>
      <w:r w:rsidRPr="00DF7E56">
        <w:rPr>
          <w:rStyle w:val="FootnoteReference"/>
          <w:rFonts w:ascii="Verdana" w:hAnsi="Verdana"/>
          <w:sz w:val="20"/>
          <w:szCs w:val="20"/>
          <w:lang w:val="es-ES"/>
        </w:rPr>
        <w:footnoteReference w:id="20"/>
      </w:r>
      <w:r w:rsidRPr="00DF7E56">
        <w:rPr>
          <w:rFonts w:ascii="Verdana" w:hAnsi="Verdana"/>
          <w:sz w:val="20"/>
          <w:szCs w:val="20"/>
          <w:lang w:val="es-ES"/>
        </w:rPr>
        <w:t xml:space="preserve">, la Corte ha valorado en detalle y de manera positiva el referido </w:t>
      </w:r>
      <w:r w:rsidR="0093067E" w:rsidRPr="00DF7E56">
        <w:rPr>
          <w:rFonts w:ascii="Verdana" w:hAnsi="Verdana"/>
          <w:sz w:val="20"/>
          <w:szCs w:val="20"/>
          <w:lang w:val="es-ES"/>
        </w:rPr>
        <w:t>“</w:t>
      </w:r>
      <w:r w:rsidRPr="00DF7E56">
        <w:rPr>
          <w:rFonts w:ascii="Verdana" w:hAnsi="Verdana"/>
          <w:sz w:val="20"/>
          <w:szCs w:val="20"/>
          <w:lang w:val="es-ES"/>
        </w:rPr>
        <w:t>Fideicomiso para el Cumplimiento de Obligaciones en Materia de Derechos Humanos</w:t>
      </w:r>
      <w:r w:rsidR="0093067E" w:rsidRPr="00DF7E56">
        <w:rPr>
          <w:rFonts w:ascii="Verdana" w:hAnsi="Verdana"/>
          <w:sz w:val="20"/>
          <w:szCs w:val="20"/>
          <w:lang w:val="es-ES"/>
        </w:rPr>
        <w:t>”</w:t>
      </w:r>
      <w:r w:rsidRPr="00DF7E56">
        <w:rPr>
          <w:rFonts w:ascii="Verdana" w:hAnsi="Verdana"/>
          <w:sz w:val="20"/>
          <w:szCs w:val="20"/>
          <w:lang w:val="es-ES"/>
        </w:rPr>
        <w:t xml:space="preserve"> para el cumplimiento de medidas relativas a la entrega de becas de estudios. </w:t>
      </w:r>
      <w:r w:rsidR="005A3332" w:rsidRPr="00DF7E56">
        <w:rPr>
          <w:rFonts w:ascii="Verdana" w:hAnsi="Verdana"/>
          <w:sz w:val="20"/>
          <w:szCs w:val="20"/>
          <w:lang w:val="es-ES"/>
        </w:rPr>
        <w:t>Considerando que en el presente cas</w:t>
      </w:r>
      <w:r w:rsidR="002C52F1" w:rsidRPr="00DF7E56">
        <w:rPr>
          <w:rFonts w:ascii="Verdana" w:hAnsi="Verdana"/>
          <w:sz w:val="20"/>
          <w:szCs w:val="20"/>
          <w:lang w:val="es-ES"/>
        </w:rPr>
        <w:t xml:space="preserve">o se encuentran disponibles </w:t>
      </w:r>
      <w:r w:rsidR="005A3332" w:rsidRPr="00DF7E56">
        <w:rPr>
          <w:rFonts w:ascii="Verdana" w:hAnsi="Verdana"/>
          <w:sz w:val="20"/>
          <w:szCs w:val="20"/>
          <w:lang w:val="es-ES"/>
        </w:rPr>
        <w:t xml:space="preserve">las subcuentas para las personas beneficiarias establecidas en la Sentencia, </w:t>
      </w:r>
      <w:r w:rsidR="002C52F1" w:rsidRPr="00DF7E56">
        <w:rPr>
          <w:rFonts w:ascii="Verdana" w:hAnsi="Verdana"/>
          <w:sz w:val="20"/>
          <w:szCs w:val="20"/>
          <w:lang w:val="es-ES"/>
        </w:rPr>
        <w:t xml:space="preserve">este Tribunal considera que </w:t>
      </w:r>
      <w:r w:rsidRPr="00DF7E56">
        <w:rPr>
          <w:rFonts w:ascii="Verdana" w:hAnsi="Verdana"/>
          <w:sz w:val="20"/>
          <w:szCs w:val="20"/>
          <w:lang w:val="es-ES"/>
        </w:rPr>
        <w:t xml:space="preserve">el Estado ha </w:t>
      </w:r>
      <w:r w:rsidR="00091A17" w:rsidRPr="00DF7E56">
        <w:rPr>
          <w:rFonts w:ascii="Verdana" w:hAnsi="Verdana"/>
          <w:sz w:val="20"/>
          <w:szCs w:val="20"/>
          <w:lang w:val="es-ES"/>
        </w:rPr>
        <w:t xml:space="preserve">venido </w:t>
      </w:r>
      <w:r w:rsidR="00091A17" w:rsidRPr="00DF7E56">
        <w:rPr>
          <w:rFonts w:ascii="Verdana" w:hAnsi="Verdana"/>
          <w:sz w:val="20"/>
          <w:szCs w:val="20"/>
          <w:lang w:val="es-ES"/>
        </w:rPr>
        <w:lastRenderedPageBreak/>
        <w:t>implementando las medidas a su alcance para dar</w:t>
      </w:r>
      <w:r w:rsidRPr="00DF7E56">
        <w:rPr>
          <w:rFonts w:ascii="Verdana" w:hAnsi="Verdana"/>
          <w:sz w:val="20"/>
          <w:szCs w:val="20"/>
          <w:lang w:val="es-ES"/>
        </w:rPr>
        <w:t xml:space="preserve"> cumplimiento </w:t>
      </w:r>
      <w:r w:rsidR="004C3D3F" w:rsidRPr="00DF7E56">
        <w:rPr>
          <w:rFonts w:ascii="Verdana" w:hAnsi="Verdana"/>
          <w:sz w:val="20"/>
          <w:szCs w:val="20"/>
          <w:lang w:val="es-ES"/>
        </w:rPr>
        <w:t xml:space="preserve">a </w:t>
      </w:r>
      <w:r w:rsidRPr="00DF7E56">
        <w:rPr>
          <w:rFonts w:ascii="Verdana" w:hAnsi="Verdana"/>
          <w:sz w:val="20"/>
          <w:szCs w:val="20"/>
          <w:lang w:val="es-ES"/>
        </w:rPr>
        <w:t>la reparación relativa a otorgar becas de</w:t>
      </w:r>
      <w:r w:rsidR="004C3D3F" w:rsidRPr="00DF7E56">
        <w:rPr>
          <w:rFonts w:ascii="Verdana" w:hAnsi="Verdana"/>
          <w:sz w:val="20"/>
          <w:szCs w:val="20"/>
          <w:lang w:val="es-ES"/>
        </w:rPr>
        <w:t xml:space="preserve"> </w:t>
      </w:r>
      <w:r w:rsidR="002C52F1" w:rsidRPr="00DF7E56">
        <w:rPr>
          <w:rFonts w:ascii="Verdana" w:hAnsi="Verdana"/>
          <w:sz w:val="20"/>
          <w:szCs w:val="20"/>
          <w:lang w:val="es-ES"/>
        </w:rPr>
        <w:t>e</w:t>
      </w:r>
      <w:r w:rsidRPr="00DF7E56">
        <w:rPr>
          <w:rFonts w:ascii="Verdana" w:hAnsi="Verdana"/>
          <w:sz w:val="20"/>
          <w:szCs w:val="20"/>
          <w:lang w:val="es-ES"/>
        </w:rPr>
        <w:t>studio</w:t>
      </w:r>
      <w:r w:rsidR="004C3D3F" w:rsidRPr="00DF7E56">
        <w:rPr>
          <w:rFonts w:ascii="Verdana" w:hAnsi="Verdana"/>
          <w:sz w:val="20"/>
          <w:szCs w:val="20"/>
          <w:lang w:val="es-ES"/>
        </w:rPr>
        <w:t xml:space="preserve">, quedando a la espera </w:t>
      </w:r>
      <w:r w:rsidR="00091A17" w:rsidRPr="00DF7E56">
        <w:rPr>
          <w:rFonts w:ascii="Verdana" w:hAnsi="Verdana"/>
          <w:sz w:val="20"/>
          <w:szCs w:val="20"/>
          <w:lang w:val="es-ES"/>
        </w:rPr>
        <w:t xml:space="preserve">de que las víctimas </w:t>
      </w:r>
      <w:r w:rsidR="0093067E" w:rsidRPr="00DF7E56">
        <w:rPr>
          <w:rFonts w:ascii="Verdana" w:hAnsi="Verdana"/>
          <w:sz w:val="20"/>
          <w:szCs w:val="20"/>
          <w:lang w:val="es-ES"/>
        </w:rPr>
        <w:t xml:space="preserve">y beneficiaria </w:t>
      </w:r>
      <w:r w:rsidR="004C3D3F" w:rsidRPr="00DF7E56">
        <w:rPr>
          <w:rFonts w:ascii="Verdana" w:hAnsi="Verdana"/>
          <w:sz w:val="20"/>
          <w:szCs w:val="20"/>
          <w:lang w:val="es-ES"/>
        </w:rPr>
        <w:t>presenten los comprobantes requeridos de conformidad con las Reglas de Operación del Fideicomiso</w:t>
      </w:r>
      <w:r w:rsidR="0093067E" w:rsidRPr="00DF7E56">
        <w:rPr>
          <w:rFonts w:ascii="Verdana" w:hAnsi="Verdana"/>
          <w:sz w:val="20"/>
          <w:szCs w:val="20"/>
          <w:lang w:val="es-ES"/>
        </w:rPr>
        <w:t xml:space="preserve"> para que el Estado pueda efectuar </w:t>
      </w:r>
      <w:r w:rsidR="004C3D3F" w:rsidRPr="00DF7E56">
        <w:rPr>
          <w:rFonts w:ascii="Verdana" w:hAnsi="Verdana"/>
          <w:sz w:val="20"/>
          <w:szCs w:val="20"/>
          <w:lang w:val="es-ES"/>
        </w:rPr>
        <w:t>los pagos</w:t>
      </w:r>
      <w:r w:rsidR="007E3438" w:rsidRPr="00DF7E56">
        <w:rPr>
          <w:rStyle w:val="FootnoteReference"/>
          <w:rFonts w:ascii="Verdana" w:hAnsi="Verdana"/>
          <w:sz w:val="20"/>
          <w:szCs w:val="20"/>
          <w:lang w:val="es-ES"/>
        </w:rPr>
        <w:footnoteReference w:id="21"/>
      </w:r>
      <w:r w:rsidR="004C3D3F" w:rsidRPr="00DF7E56">
        <w:rPr>
          <w:rFonts w:ascii="Verdana" w:hAnsi="Verdana"/>
          <w:sz w:val="20"/>
          <w:szCs w:val="20"/>
          <w:lang w:val="es-ES"/>
        </w:rPr>
        <w:t xml:space="preserve">. </w:t>
      </w:r>
      <w:r w:rsidR="0093067E" w:rsidRPr="00DF7E56">
        <w:rPr>
          <w:rFonts w:ascii="Verdana" w:hAnsi="Verdana"/>
          <w:sz w:val="20"/>
          <w:szCs w:val="20"/>
          <w:lang w:val="es-ES"/>
        </w:rPr>
        <w:t>Las partes deberán aportar al Tribunal información actualizada al respecto, de manera que pueda valorar el cumplimiento de esta reparación</w:t>
      </w:r>
      <w:r w:rsidRPr="00DF7E56">
        <w:rPr>
          <w:rFonts w:ascii="Verdana" w:hAnsi="Verdana"/>
          <w:sz w:val="20"/>
          <w:szCs w:val="20"/>
          <w:lang w:val="es-ES"/>
        </w:rPr>
        <w:t>.</w:t>
      </w:r>
    </w:p>
    <w:p w14:paraId="3CEF81B2" w14:textId="78CD14EF" w:rsidR="00CE235A" w:rsidRPr="00DF7E56" w:rsidRDefault="00CE235A" w:rsidP="00CE235A">
      <w:pPr>
        <w:pStyle w:val="ListParagraph"/>
        <w:tabs>
          <w:tab w:val="left" w:pos="567"/>
        </w:tabs>
        <w:spacing w:after="0" w:line="240" w:lineRule="auto"/>
        <w:ind w:left="0" w:right="4"/>
        <w:jc w:val="both"/>
        <w:rPr>
          <w:rFonts w:ascii="Verdana" w:hAnsi="Verdana"/>
          <w:sz w:val="20"/>
          <w:szCs w:val="20"/>
          <w:lang w:val="es-ES"/>
        </w:rPr>
      </w:pPr>
    </w:p>
    <w:p w14:paraId="309A274A" w14:textId="21FB9B22" w:rsidR="00CE235A" w:rsidRPr="00DF7E56" w:rsidRDefault="00CE235A" w:rsidP="00CE235A">
      <w:pPr>
        <w:pStyle w:val="ListParagraph"/>
        <w:numPr>
          <w:ilvl w:val="0"/>
          <w:numId w:val="6"/>
        </w:numPr>
        <w:tabs>
          <w:tab w:val="left" w:pos="567"/>
        </w:tabs>
        <w:spacing w:after="0" w:line="240" w:lineRule="auto"/>
        <w:ind w:left="0" w:right="4" w:firstLine="0"/>
        <w:jc w:val="both"/>
        <w:rPr>
          <w:rFonts w:ascii="Verdana" w:hAnsi="Verdana"/>
          <w:sz w:val="20"/>
          <w:szCs w:val="20"/>
          <w:lang w:val="es-ES"/>
        </w:rPr>
      </w:pPr>
      <w:r w:rsidRPr="00DF7E56">
        <w:rPr>
          <w:rFonts w:ascii="Verdana" w:hAnsi="Verdana"/>
          <w:sz w:val="20"/>
          <w:szCs w:val="20"/>
          <w:lang w:val="es-ES"/>
        </w:rPr>
        <w:t xml:space="preserve">En razón de lo anterior, la Corte considera que el Estado ha venido dando cumplimiento a las medidas de reparación relativas a </w:t>
      </w:r>
      <w:r w:rsidR="00BD5BEC">
        <w:rPr>
          <w:rFonts w:ascii="Verdana" w:hAnsi="Verdana"/>
          <w:sz w:val="20"/>
          <w:szCs w:val="20"/>
          <w:lang w:val="es-ES"/>
        </w:rPr>
        <w:t>“</w:t>
      </w:r>
      <w:r w:rsidR="00196B3D" w:rsidRPr="00DF7E56">
        <w:rPr>
          <w:rFonts w:ascii="Verdana" w:hAnsi="Verdana"/>
          <w:sz w:val="20"/>
          <w:szCs w:val="20"/>
          <w:lang w:val="es-ES"/>
        </w:rPr>
        <w:t>garantizar la educación</w:t>
      </w:r>
      <w:r w:rsidR="00BD5BEC">
        <w:rPr>
          <w:rFonts w:ascii="Verdana" w:hAnsi="Verdana"/>
          <w:sz w:val="20"/>
          <w:szCs w:val="20"/>
          <w:lang w:val="es-ES"/>
        </w:rPr>
        <w:t>”</w:t>
      </w:r>
      <w:r w:rsidR="00196B3D" w:rsidRPr="00DF7E56">
        <w:rPr>
          <w:rFonts w:ascii="Verdana" w:hAnsi="Verdana"/>
          <w:sz w:val="20"/>
          <w:szCs w:val="20"/>
          <w:lang w:val="es-ES"/>
        </w:rPr>
        <w:t xml:space="preserve"> de las víctimas y de la hija del señor Sánchez Silvestre hasta la conclusión de sus estudios universitarios o técnicos, según sea su interés, a través del pago de becas educativas, según fue ordenado en el punto </w:t>
      </w:r>
      <w:r w:rsidR="00196B3D" w:rsidRPr="00DF7E56">
        <w:rPr>
          <w:rFonts w:ascii="Verdana" w:hAnsi="Verdana"/>
          <w:sz w:val="20"/>
        </w:rPr>
        <w:t xml:space="preserve">dispositivo sexto </w:t>
      </w:r>
      <w:r w:rsidR="00627DAE" w:rsidRPr="00DF7E56">
        <w:rPr>
          <w:rFonts w:ascii="Verdana" w:hAnsi="Verdana"/>
          <w:sz w:val="20"/>
        </w:rPr>
        <w:t>inciso</w:t>
      </w:r>
      <w:r w:rsidR="00196B3D" w:rsidRPr="00DF7E56">
        <w:rPr>
          <w:rFonts w:ascii="Verdana" w:hAnsi="Verdana"/>
          <w:sz w:val="20"/>
        </w:rPr>
        <w:t>s g) y h) y los párrafos 8</w:t>
      </w:r>
      <w:r w:rsidR="001605EF">
        <w:rPr>
          <w:rFonts w:ascii="Verdana" w:hAnsi="Verdana"/>
          <w:sz w:val="20"/>
        </w:rPr>
        <w:t>1</w:t>
      </w:r>
      <w:r w:rsidR="00196B3D" w:rsidRPr="00DF7E56">
        <w:rPr>
          <w:rFonts w:ascii="Verdana" w:hAnsi="Verdana"/>
          <w:sz w:val="20"/>
        </w:rPr>
        <w:t xml:space="preserve"> a 83</w:t>
      </w:r>
      <w:r w:rsidR="00196B3D" w:rsidRPr="00DF7E56">
        <w:rPr>
          <w:rFonts w:ascii="Verdana" w:hAnsi="Verdana"/>
          <w:sz w:val="20"/>
          <w:szCs w:val="20"/>
          <w:lang w:val="es-ES"/>
        </w:rPr>
        <w:t xml:space="preserve"> de la Sentencia. </w:t>
      </w:r>
    </w:p>
    <w:p w14:paraId="22A73F65" w14:textId="038332E1" w:rsidR="00F328CB" w:rsidRPr="00DF7E56" w:rsidRDefault="00F328CB" w:rsidP="00CE235A">
      <w:pPr>
        <w:pStyle w:val="ListParagraph"/>
        <w:tabs>
          <w:tab w:val="left" w:pos="567"/>
        </w:tabs>
        <w:spacing w:after="0" w:line="240" w:lineRule="auto"/>
        <w:ind w:left="0" w:right="4"/>
        <w:jc w:val="both"/>
        <w:rPr>
          <w:rFonts w:ascii="Verdana" w:hAnsi="Verdana"/>
          <w:sz w:val="20"/>
          <w:szCs w:val="20"/>
          <w:lang w:val="es-ES"/>
        </w:rPr>
      </w:pPr>
    </w:p>
    <w:p w14:paraId="6F269942" w14:textId="43ED2078" w:rsidR="00C1269D" w:rsidRPr="00DF7E56" w:rsidRDefault="00301FD4" w:rsidP="00D063E2">
      <w:pPr>
        <w:pStyle w:val="Heading1"/>
        <w:ind w:hanging="360"/>
      </w:pPr>
      <w:bookmarkStart w:id="3" w:name="_Toc461464221"/>
      <w:r w:rsidRPr="00DF7E56">
        <w:t>C.</w:t>
      </w:r>
      <w:r w:rsidRPr="00DF7E56">
        <w:tab/>
      </w:r>
      <w:r w:rsidR="0031413A" w:rsidRPr="00C03FC3">
        <w:rPr>
          <w:rStyle w:val="TitleChar"/>
        </w:rPr>
        <w:t xml:space="preserve">Entrega </w:t>
      </w:r>
      <w:r w:rsidR="00E63FE8" w:rsidRPr="00C03FC3">
        <w:rPr>
          <w:rStyle w:val="TitleChar"/>
        </w:rPr>
        <w:t xml:space="preserve">en propiedad </w:t>
      </w:r>
      <w:r w:rsidR="0031413A" w:rsidRPr="00C03FC3">
        <w:rPr>
          <w:rStyle w:val="TitleChar"/>
        </w:rPr>
        <w:t>de viviendas</w:t>
      </w:r>
      <w:r w:rsidR="00724A50" w:rsidRPr="00C03FC3">
        <w:rPr>
          <w:rStyle w:val="TitleChar"/>
        </w:rPr>
        <w:t xml:space="preserve"> </w:t>
      </w:r>
      <w:r w:rsidR="0031413A" w:rsidRPr="00C03FC3">
        <w:rPr>
          <w:rStyle w:val="TitleChar"/>
        </w:rPr>
        <w:t>en el Distrito Federal</w:t>
      </w:r>
      <w:bookmarkEnd w:id="3"/>
    </w:p>
    <w:p w14:paraId="38F73160" w14:textId="77777777" w:rsidR="00D063E2" w:rsidRPr="00DF7E56" w:rsidRDefault="00D063E2" w:rsidP="00C1269D">
      <w:pPr>
        <w:spacing w:after="0" w:line="240" w:lineRule="auto"/>
        <w:ind w:left="720" w:right="4"/>
        <w:jc w:val="both"/>
        <w:rPr>
          <w:rFonts w:ascii="Verdana" w:hAnsi="Verdana"/>
          <w:i/>
          <w:sz w:val="20"/>
          <w:szCs w:val="20"/>
          <w:lang w:val="es-ES_tradnl"/>
        </w:rPr>
      </w:pPr>
    </w:p>
    <w:p w14:paraId="36D27A14" w14:textId="2221727E" w:rsidR="00C1269D" w:rsidRPr="00DF7E56" w:rsidRDefault="00D063E2" w:rsidP="00C1269D">
      <w:pPr>
        <w:spacing w:after="0" w:line="240" w:lineRule="auto"/>
        <w:ind w:left="720" w:right="4"/>
        <w:jc w:val="both"/>
        <w:rPr>
          <w:rFonts w:ascii="Verdana" w:hAnsi="Verdana"/>
          <w:i/>
          <w:sz w:val="20"/>
          <w:szCs w:val="20"/>
        </w:rPr>
      </w:pPr>
      <w:r w:rsidRPr="00DF7E56">
        <w:rPr>
          <w:rFonts w:ascii="Verdana" w:hAnsi="Verdana"/>
          <w:i/>
          <w:sz w:val="20"/>
          <w:szCs w:val="20"/>
        </w:rPr>
        <w:t>C.1</w:t>
      </w:r>
      <w:r w:rsidR="00C1269D" w:rsidRPr="00DF7E56">
        <w:rPr>
          <w:rFonts w:ascii="Verdana" w:hAnsi="Verdana"/>
          <w:i/>
          <w:sz w:val="20"/>
          <w:szCs w:val="20"/>
        </w:rPr>
        <w:t>) Medida ordenada por la Corte</w:t>
      </w:r>
    </w:p>
    <w:p w14:paraId="46463932" w14:textId="77777777" w:rsidR="00C1269D" w:rsidRPr="00DF7E56" w:rsidRDefault="00C1269D" w:rsidP="00C1269D">
      <w:pPr>
        <w:pStyle w:val="ListParagraph"/>
        <w:rPr>
          <w:rFonts w:ascii="Verdana" w:hAnsi="Verdana"/>
          <w:sz w:val="20"/>
          <w:szCs w:val="20"/>
        </w:rPr>
      </w:pPr>
    </w:p>
    <w:p w14:paraId="053ECEF6" w14:textId="3043580B" w:rsidR="00705644" w:rsidRPr="00DF7E56" w:rsidRDefault="00705644" w:rsidP="00C1269D">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 xml:space="preserve">En el punto resolutivo sexto </w:t>
      </w:r>
      <w:r w:rsidR="00627DAE" w:rsidRPr="00DF7E56">
        <w:rPr>
          <w:rFonts w:ascii="Verdana" w:hAnsi="Verdana"/>
          <w:sz w:val="20"/>
          <w:szCs w:val="20"/>
        </w:rPr>
        <w:t>inciso</w:t>
      </w:r>
      <w:r w:rsidRPr="00DF7E56">
        <w:rPr>
          <w:rFonts w:ascii="Verdana" w:hAnsi="Verdana"/>
          <w:sz w:val="20"/>
          <w:szCs w:val="20"/>
        </w:rPr>
        <w:t xml:space="preserve"> i)</w:t>
      </w:r>
      <w:r w:rsidR="00D063E2" w:rsidRPr="00DF7E56">
        <w:rPr>
          <w:rFonts w:ascii="Verdana" w:hAnsi="Verdana"/>
          <w:sz w:val="20"/>
          <w:szCs w:val="20"/>
        </w:rPr>
        <w:t xml:space="preserve"> y los párrafos 79 y 80</w:t>
      </w:r>
      <w:r w:rsidRPr="00DF7E56">
        <w:rPr>
          <w:rFonts w:ascii="Verdana" w:hAnsi="Verdana"/>
          <w:sz w:val="20"/>
          <w:szCs w:val="20"/>
        </w:rPr>
        <w:t xml:space="preserve"> de la Sentencia, la Corte dispuso que </w:t>
      </w:r>
      <w:r w:rsidR="00D063E2" w:rsidRPr="00DF7E56">
        <w:rPr>
          <w:rFonts w:ascii="Verdana" w:hAnsi="Verdana"/>
          <w:sz w:val="20"/>
          <w:szCs w:val="20"/>
        </w:rPr>
        <w:t xml:space="preserve">el Estado </w:t>
      </w:r>
      <w:r w:rsidRPr="00DF7E56">
        <w:rPr>
          <w:rFonts w:ascii="Verdana" w:hAnsi="Verdana"/>
          <w:sz w:val="20"/>
          <w:szCs w:val="20"/>
        </w:rPr>
        <w:t>debe “entregar en propie</w:t>
      </w:r>
      <w:r w:rsidR="007F2FF2" w:rsidRPr="00DF7E56">
        <w:rPr>
          <w:rFonts w:ascii="Verdana" w:hAnsi="Verdana"/>
          <w:sz w:val="20"/>
          <w:szCs w:val="20"/>
        </w:rPr>
        <w:t>dad una vivienda en el Distrito</w:t>
      </w:r>
      <w:r w:rsidR="007F2FF2" w:rsidRPr="00DF7E56">
        <w:rPr>
          <w:rFonts w:ascii="Verdana" w:hAnsi="Verdana"/>
          <w:sz w:val="20"/>
          <w:szCs w:val="20"/>
          <w:lang w:val="es-ES"/>
        </w:rPr>
        <w:t xml:space="preserve"> Federal a cada víctima</w:t>
      </w:r>
      <w:r w:rsidR="00D063E2" w:rsidRPr="00DF7E56">
        <w:rPr>
          <w:rFonts w:ascii="Verdana" w:hAnsi="Verdana"/>
          <w:sz w:val="20"/>
          <w:szCs w:val="20"/>
          <w:lang w:val="es-ES"/>
        </w:rPr>
        <w:t xml:space="preserve"> [a través del] </w:t>
      </w:r>
      <w:r w:rsidR="007F2FF2" w:rsidRPr="00DF7E56">
        <w:rPr>
          <w:rFonts w:ascii="Verdana" w:hAnsi="Verdana"/>
          <w:sz w:val="20"/>
          <w:szCs w:val="20"/>
          <w:lang w:val="es-ES"/>
        </w:rPr>
        <w:t>Programa de Vivienda Nueva en Conjunto a cargo del Instituto de Vivienda del Distrito Federal</w:t>
      </w:r>
      <w:r w:rsidR="00E321F0" w:rsidRPr="00DF7E56">
        <w:rPr>
          <w:rFonts w:ascii="Verdana" w:hAnsi="Verdana"/>
          <w:sz w:val="20"/>
          <w:szCs w:val="20"/>
          <w:lang w:val="es-ES"/>
        </w:rPr>
        <w:t>” (</w:t>
      </w:r>
      <w:r w:rsidR="00D063E2" w:rsidRPr="00DF7E56">
        <w:rPr>
          <w:rFonts w:ascii="Verdana" w:hAnsi="Verdana"/>
          <w:sz w:val="20"/>
          <w:szCs w:val="20"/>
          <w:lang w:val="es-ES"/>
        </w:rPr>
        <w:t xml:space="preserve">en adelante “el </w:t>
      </w:r>
      <w:r w:rsidR="00E321F0" w:rsidRPr="00DF7E56">
        <w:rPr>
          <w:rFonts w:ascii="Verdana" w:hAnsi="Verdana"/>
          <w:sz w:val="20"/>
          <w:szCs w:val="20"/>
          <w:lang w:val="es-ES"/>
        </w:rPr>
        <w:t>INVI</w:t>
      </w:r>
      <w:r w:rsidR="00D063E2" w:rsidRPr="00DF7E56">
        <w:rPr>
          <w:rFonts w:ascii="Verdana" w:hAnsi="Verdana"/>
          <w:sz w:val="20"/>
          <w:szCs w:val="20"/>
          <w:lang w:val="es-ES"/>
        </w:rPr>
        <w:t>”</w:t>
      </w:r>
      <w:r w:rsidR="00E321F0" w:rsidRPr="00DF7E56">
        <w:rPr>
          <w:rFonts w:ascii="Verdana" w:hAnsi="Verdana"/>
          <w:sz w:val="20"/>
          <w:szCs w:val="20"/>
          <w:lang w:val="es-ES"/>
        </w:rPr>
        <w:t>)</w:t>
      </w:r>
      <w:r w:rsidR="007F2FF2" w:rsidRPr="00DF7E56">
        <w:rPr>
          <w:rFonts w:ascii="Verdana" w:hAnsi="Verdana"/>
          <w:sz w:val="20"/>
          <w:szCs w:val="20"/>
        </w:rPr>
        <w:t xml:space="preserve">. </w:t>
      </w:r>
      <w:r w:rsidR="00BA545E" w:rsidRPr="00DF7E56">
        <w:rPr>
          <w:rFonts w:ascii="Verdana" w:hAnsi="Verdana"/>
          <w:sz w:val="20"/>
          <w:szCs w:val="20"/>
        </w:rPr>
        <w:t>En el acuerdo de solución amistosa homologado por la Corte (</w:t>
      </w:r>
      <w:r w:rsidR="00BA545E" w:rsidRPr="00DF7E56">
        <w:rPr>
          <w:rFonts w:ascii="Verdana" w:hAnsi="Verdana"/>
          <w:i/>
          <w:sz w:val="20"/>
          <w:szCs w:val="20"/>
        </w:rPr>
        <w:t xml:space="preserve">supra </w:t>
      </w:r>
      <w:r w:rsidR="00BA545E" w:rsidRPr="00DF7E56">
        <w:rPr>
          <w:rFonts w:ascii="Verdana" w:hAnsi="Verdana"/>
          <w:sz w:val="20"/>
          <w:szCs w:val="20"/>
        </w:rPr>
        <w:t xml:space="preserve">Visto 1) se estableció que </w:t>
      </w:r>
      <w:r w:rsidR="007F2FF2" w:rsidRPr="00DF7E56">
        <w:rPr>
          <w:rFonts w:ascii="Verdana" w:hAnsi="Verdana"/>
          <w:sz w:val="20"/>
          <w:szCs w:val="20"/>
          <w:lang w:val="es-ES"/>
        </w:rPr>
        <w:t>las viviendas “será</w:t>
      </w:r>
      <w:r w:rsidR="000F7670">
        <w:rPr>
          <w:rFonts w:ascii="Verdana" w:hAnsi="Verdana"/>
          <w:sz w:val="20"/>
          <w:szCs w:val="20"/>
          <w:lang w:val="es-ES"/>
        </w:rPr>
        <w:t>[</w:t>
      </w:r>
      <w:r w:rsidR="007F2FF2" w:rsidRPr="00DF7E56">
        <w:rPr>
          <w:rFonts w:ascii="Verdana" w:hAnsi="Verdana"/>
          <w:sz w:val="20"/>
          <w:szCs w:val="20"/>
          <w:lang w:val="es-ES"/>
        </w:rPr>
        <w:t>n</w:t>
      </w:r>
      <w:r w:rsidR="000F7670">
        <w:rPr>
          <w:rFonts w:ascii="Verdana" w:hAnsi="Verdana"/>
          <w:sz w:val="20"/>
          <w:szCs w:val="20"/>
          <w:lang w:val="es-ES"/>
        </w:rPr>
        <w:t>]</w:t>
      </w:r>
      <w:r w:rsidR="007F2FF2" w:rsidRPr="00DF7E56">
        <w:rPr>
          <w:rFonts w:ascii="Verdana" w:hAnsi="Verdana"/>
          <w:sz w:val="20"/>
          <w:szCs w:val="20"/>
          <w:lang w:val="es-ES"/>
        </w:rPr>
        <w:t xml:space="preserve"> entregada</w:t>
      </w:r>
      <w:r w:rsidR="000F7670">
        <w:rPr>
          <w:rFonts w:ascii="Verdana" w:hAnsi="Verdana"/>
          <w:sz w:val="20"/>
          <w:szCs w:val="20"/>
          <w:lang w:val="es-ES"/>
        </w:rPr>
        <w:t>[</w:t>
      </w:r>
      <w:r w:rsidR="007F2FF2" w:rsidRPr="00DF7E56">
        <w:rPr>
          <w:rFonts w:ascii="Verdana" w:hAnsi="Verdana"/>
          <w:sz w:val="20"/>
          <w:szCs w:val="20"/>
          <w:lang w:val="es-ES"/>
        </w:rPr>
        <w:t>s</w:t>
      </w:r>
      <w:r w:rsidR="000F7670">
        <w:rPr>
          <w:rFonts w:ascii="Verdana" w:hAnsi="Verdana"/>
          <w:sz w:val="20"/>
          <w:szCs w:val="20"/>
          <w:lang w:val="es-ES"/>
        </w:rPr>
        <w:t>]</w:t>
      </w:r>
      <w:r w:rsidR="007F2FF2" w:rsidRPr="00DF7E56">
        <w:rPr>
          <w:rFonts w:ascii="Verdana" w:hAnsi="Verdana"/>
          <w:sz w:val="20"/>
          <w:szCs w:val="20"/>
          <w:lang w:val="es-ES"/>
        </w:rPr>
        <w:t xml:space="preserve"> dentro del plazo de dos años contados a partir de la notificac</w:t>
      </w:r>
      <w:r w:rsidR="00BA545E" w:rsidRPr="00DF7E56">
        <w:rPr>
          <w:rFonts w:ascii="Verdana" w:hAnsi="Verdana"/>
          <w:sz w:val="20"/>
          <w:szCs w:val="20"/>
          <w:lang w:val="es-ES"/>
        </w:rPr>
        <w:t>ión de la [</w:t>
      </w:r>
      <w:r w:rsidR="00ED691C" w:rsidRPr="00DF7E56">
        <w:rPr>
          <w:rFonts w:ascii="Verdana" w:hAnsi="Verdana"/>
          <w:sz w:val="20"/>
          <w:szCs w:val="20"/>
          <w:lang w:val="es-ES"/>
        </w:rPr>
        <w:t>…</w:t>
      </w:r>
      <w:r w:rsidR="00BA545E" w:rsidRPr="00DF7E56">
        <w:rPr>
          <w:rFonts w:ascii="Verdana" w:hAnsi="Verdana"/>
          <w:sz w:val="20"/>
          <w:szCs w:val="20"/>
          <w:lang w:val="es-ES"/>
        </w:rPr>
        <w:t xml:space="preserve">] </w:t>
      </w:r>
      <w:r w:rsidR="000F7670">
        <w:rPr>
          <w:rFonts w:ascii="Verdana" w:hAnsi="Verdana"/>
          <w:sz w:val="20"/>
          <w:szCs w:val="20"/>
          <w:lang w:val="es-ES"/>
        </w:rPr>
        <w:t>S</w:t>
      </w:r>
      <w:r w:rsidR="00BA545E" w:rsidRPr="00DF7E56">
        <w:rPr>
          <w:rFonts w:ascii="Verdana" w:hAnsi="Verdana"/>
          <w:sz w:val="20"/>
          <w:szCs w:val="20"/>
          <w:lang w:val="es-ES"/>
        </w:rPr>
        <w:t xml:space="preserve">entencia” y que dicha </w:t>
      </w:r>
      <w:r w:rsidR="007F2FF2" w:rsidRPr="00DF7E56">
        <w:rPr>
          <w:rFonts w:ascii="Verdana" w:hAnsi="Verdana"/>
          <w:sz w:val="20"/>
          <w:szCs w:val="20"/>
          <w:lang w:val="es-ES"/>
        </w:rPr>
        <w:t>entrega será “a título gratuito, por lo que las víctimas no erogarán impuestos, contraprestación o aportación alguna”</w:t>
      </w:r>
      <w:r w:rsidR="00ED691C" w:rsidRPr="00DF7E56">
        <w:rPr>
          <w:rFonts w:ascii="Verdana" w:hAnsi="Verdana"/>
          <w:sz w:val="20"/>
          <w:szCs w:val="20"/>
          <w:lang w:val="es-ES"/>
        </w:rPr>
        <w:t>.</w:t>
      </w:r>
      <w:r w:rsidR="00BA545E" w:rsidRPr="00DF7E56">
        <w:rPr>
          <w:rFonts w:ascii="Verdana" w:hAnsi="Verdana"/>
          <w:sz w:val="20"/>
          <w:szCs w:val="20"/>
          <w:lang w:val="es-ES"/>
        </w:rPr>
        <w:t xml:space="preserve"> </w:t>
      </w:r>
    </w:p>
    <w:p w14:paraId="38B3C339" w14:textId="35DD01C9" w:rsidR="00052ADD" w:rsidRPr="00DF7E56" w:rsidRDefault="00052ADD" w:rsidP="00052ADD">
      <w:pPr>
        <w:pStyle w:val="ListParagraph"/>
        <w:tabs>
          <w:tab w:val="left" w:pos="567"/>
        </w:tabs>
        <w:spacing w:after="0" w:line="240" w:lineRule="auto"/>
        <w:ind w:left="0" w:right="4"/>
        <w:jc w:val="both"/>
        <w:rPr>
          <w:rFonts w:ascii="Verdana" w:hAnsi="Verdana"/>
          <w:sz w:val="20"/>
          <w:szCs w:val="20"/>
          <w:lang w:val="es-ES"/>
        </w:rPr>
      </w:pPr>
    </w:p>
    <w:p w14:paraId="62A469B9" w14:textId="1BFB4203" w:rsidR="00052ADD" w:rsidRPr="00DF7E56" w:rsidRDefault="00052ADD" w:rsidP="00052ADD">
      <w:pPr>
        <w:pStyle w:val="ListParagraph"/>
        <w:ind w:left="1080" w:hanging="360"/>
        <w:rPr>
          <w:rFonts w:ascii="Verdana" w:hAnsi="Verdana"/>
          <w:i/>
          <w:sz w:val="20"/>
          <w:szCs w:val="20"/>
        </w:rPr>
      </w:pPr>
      <w:r w:rsidRPr="00DF7E56">
        <w:rPr>
          <w:rFonts w:ascii="Verdana" w:hAnsi="Verdana"/>
          <w:i/>
          <w:sz w:val="20"/>
          <w:szCs w:val="20"/>
        </w:rPr>
        <w:t>C.2) Consideraciones de la Corte</w:t>
      </w:r>
    </w:p>
    <w:p w14:paraId="3C7C8349" w14:textId="77777777" w:rsidR="00052ADD" w:rsidRPr="00DF7E56" w:rsidRDefault="00052ADD" w:rsidP="00052ADD">
      <w:pPr>
        <w:pStyle w:val="ListParagraph"/>
        <w:tabs>
          <w:tab w:val="left" w:pos="567"/>
        </w:tabs>
        <w:spacing w:after="0" w:line="240" w:lineRule="auto"/>
        <w:ind w:left="0" w:right="4"/>
        <w:jc w:val="both"/>
        <w:rPr>
          <w:rFonts w:ascii="Verdana" w:hAnsi="Verdana"/>
          <w:sz w:val="20"/>
          <w:szCs w:val="20"/>
        </w:rPr>
      </w:pPr>
    </w:p>
    <w:p w14:paraId="1396B11E" w14:textId="65B0F756" w:rsidR="00C702AF" w:rsidRPr="00DF7E56" w:rsidRDefault="0091044A" w:rsidP="00362D15">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lang w:val="es-ES"/>
        </w:rPr>
        <w:t xml:space="preserve">La Corte </w:t>
      </w:r>
      <w:r w:rsidR="00C702AF" w:rsidRPr="00DF7E56">
        <w:rPr>
          <w:rFonts w:ascii="Verdana" w:hAnsi="Verdana"/>
          <w:sz w:val="20"/>
          <w:szCs w:val="20"/>
          <w:lang w:val="es-ES"/>
        </w:rPr>
        <w:t xml:space="preserve">constata </w:t>
      </w:r>
      <w:r w:rsidRPr="00DF7E56">
        <w:rPr>
          <w:rFonts w:ascii="Verdana" w:hAnsi="Verdana"/>
          <w:sz w:val="20"/>
          <w:szCs w:val="20"/>
          <w:lang w:val="es-ES"/>
        </w:rPr>
        <w:t xml:space="preserve">que el Estado ha realizado </w:t>
      </w:r>
      <w:r w:rsidR="00C702AF" w:rsidRPr="00DF7E56">
        <w:rPr>
          <w:rFonts w:ascii="Verdana" w:hAnsi="Verdana"/>
          <w:sz w:val="20"/>
          <w:szCs w:val="20"/>
          <w:lang w:val="es-ES"/>
        </w:rPr>
        <w:t>importantes</w:t>
      </w:r>
      <w:r w:rsidRPr="00DF7E56">
        <w:rPr>
          <w:rFonts w:ascii="Verdana" w:hAnsi="Verdana"/>
          <w:sz w:val="20"/>
          <w:szCs w:val="20"/>
          <w:lang w:val="es-ES"/>
        </w:rPr>
        <w:t xml:space="preserve"> gestiones para </w:t>
      </w:r>
      <w:r w:rsidR="00A80B09" w:rsidRPr="00DF7E56">
        <w:rPr>
          <w:rFonts w:ascii="Verdana" w:hAnsi="Verdana"/>
          <w:sz w:val="20"/>
          <w:szCs w:val="20"/>
          <w:lang w:val="es-ES"/>
        </w:rPr>
        <w:t>dar cumplimiento a esta medida</w:t>
      </w:r>
      <w:r w:rsidR="00C702AF" w:rsidRPr="00DF7E56">
        <w:rPr>
          <w:rFonts w:ascii="Verdana" w:hAnsi="Verdana"/>
          <w:sz w:val="20"/>
          <w:szCs w:val="20"/>
          <w:lang w:val="es-ES"/>
        </w:rPr>
        <w:t xml:space="preserve"> de reparación respecto de ambas víctimas</w:t>
      </w:r>
      <w:r w:rsidR="0062053D" w:rsidRPr="00DF7E56">
        <w:rPr>
          <w:rStyle w:val="FootnoteReference"/>
          <w:rFonts w:ascii="Verdana" w:hAnsi="Verdana"/>
          <w:sz w:val="20"/>
          <w:szCs w:val="20"/>
          <w:lang w:val="es-ES"/>
        </w:rPr>
        <w:footnoteReference w:id="22"/>
      </w:r>
      <w:r w:rsidR="000E088F" w:rsidRPr="00DF7E56">
        <w:rPr>
          <w:rFonts w:ascii="Verdana" w:hAnsi="Verdana"/>
          <w:sz w:val="20"/>
          <w:szCs w:val="20"/>
          <w:lang w:val="es-ES"/>
        </w:rPr>
        <w:t xml:space="preserve">. El </w:t>
      </w:r>
      <w:r w:rsidR="00A80B09" w:rsidRPr="00DF7E56">
        <w:rPr>
          <w:rFonts w:ascii="Verdana" w:hAnsi="Verdana"/>
          <w:sz w:val="20"/>
          <w:szCs w:val="20"/>
          <w:lang w:val="es-ES"/>
        </w:rPr>
        <w:t>23 de enero de 2015 el Consejo Directivo del INVI suscribió un acuerdo de autorización para “realizar las acciones necesarias que permitirían el cumplimiento [de la medida]”</w:t>
      </w:r>
      <w:r w:rsidR="000E088F" w:rsidRPr="00DF7E56">
        <w:rPr>
          <w:rFonts w:ascii="Verdana" w:hAnsi="Verdana"/>
          <w:sz w:val="20"/>
          <w:szCs w:val="20"/>
          <w:lang w:val="es-ES"/>
        </w:rPr>
        <w:t>. Posteriormente,</w:t>
      </w:r>
      <w:r w:rsidR="00A80B09" w:rsidRPr="00DF7E56">
        <w:rPr>
          <w:rFonts w:ascii="Verdana" w:hAnsi="Verdana"/>
          <w:sz w:val="20"/>
          <w:szCs w:val="20"/>
          <w:lang w:val="es-ES"/>
        </w:rPr>
        <w:t xml:space="preserve"> </w:t>
      </w:r>
      <w:r w:rsidR="00C7004C" w:rsidRPr="00DF7E56">
        <w:rPr>
          <w:rFonts w:ascii="Verdana" w:hAnsi="Verdana"/>
          <w:sz w:val="20"/>
          <w:szCs w:val="20"/>
          <w:lang w:val="es-ES"/>
        </w:rPr>
        <w:t xml:space="preserve">en </w:t>
      </w:r>
      <w:r w:rsidR="00E321F0" w:rsidRPr="00DF7E56">
        <w:rPr>
          <w:rFonts w:ascii="Verdana" w:hAnsi="Verdana"/>
          <w:sz w:val="20"/>
          <w:szCs w:val="20"/>
        </w:rPr>
        <w:t xml:space="preserve">marzo </w:t>
      </w:r>
      <w:r w:rsidR="00460ADF" w:rsidRPr="00DF7E56">
        <w:rPr>
          <w:rFonts w:ascii="Verdana" w:hAnsi="Verdana"/>
          <w:sz w:val="20"/>
          <w:szCs w:val="20"/>
        </w:rPr>
        <w:t xml:space="preserve">de </w:t>
      </w:r>
      <w:r w:rsidR="00C7004C" w:rsidRPr="00DF7E56">
        <w:rPr>
          <w:rFonts w:ascii="Verdana" w:hAnsi="Verdana"/>
          <w:sz w:val="20"/>
          <w:szCs w:val="20"/>
        </w:rPr>
        <w:t>ese año</w:t>
      </w:r>
      <w:r w:rsidR="00460ADF" w:rsidRPr="00DF7E56">
        <w:rPr>
          <w:rFonts w:ascii="Verdana" w:hAnsi="Verdana"/>
          <w:sz w:val="20"/>
          <w:szCs w:val="20"/>
        </w:rPr>
        <w:t xml:space="preserve">, </w:t>
      </w:r>
      <w:r w:rsidR="00E321F0" w:rsidRPr="00DF7E56">
        <w:rPr>
          <w:rFonts w:ascii="Verdana" w:hAnsi="Verdana"/>
          <w:sz w:val="20"/>
          <w:szCs w:val="20"/>
          <w:lang w:val="es-ES"/>
        </w:rPr>
        <w:t xml:space="preserve">el INVI comunicó a los señores García Cruz y Sánchez Silvestre </w:t>
      </w:r>
      <w:r w:rsidR="00460ADF" w:rsidRPr="00DF7E56">
        <w:rPr>
          <w:rFonts w:ascii="Verdana" w:hAnsi="Verdana"/>
          <w:sz w:val="20"/>
          <w:szCs w:val="20"/>
          <w:lang w:val="es-ES"/>
        </w:rPr>
        <w:t>“</w:t>
      </w:r>
      <w:r w:rsidR="00E321F0" w:rsidRPr="00DF7E56">
        <w:rPr>
          <w:rFonts w:ascii="Verdana" w:hAnsi="Verdana"/>
          <w:sz w:val="20"/>
          <w:szCs w:val="20"/>
          <w:lang w:val="es-ES"/>
        </w:rPr>
        <w:t xml:space="preserve">la oferta </w:t>
      </w:r>
      <w:r w:rsidR="00460ADF" w:rsidRPr="00DF7E56">
        <w:rPr>
          <w:rFonts w:ascii="Verdana" w:hAnsi="Verdana"/>
          <w:sz w:val="20"/>
          <w:szCs w:val="20"/>
          <w:lang w:val="es-ES"/>
        </w:rPr>
        <w:t>[</w:t>
      </w:r>
      <w:r w:rsidR="00E321F0" w:rsidRPr="00DF7E56">
        <w:rPr>
          <w:rFonts w:ascii="Verdana" w:hAnsi="Verdana"/>
          <w:sz w:val="20"/>
          <w:szCs w:val="20"/>
          <w:lang w:val="es-ES"/>
        </w:rPr>
        <w:t>de un proyecto de vivienda</w:t>
      </w:r>
      <w:r w:rsidR="00460ADF" w:rsidRPr="00DF7E56">
        <w:rPr>
          <w:rFonts w:ascii="Verdana" w:hAnsi="Verdana"/>
          <w:sz w:val="20"/>
          <w:szCs w:val="20"/>
          <w:lang w:val="es-ES"/>
        </w:rPr>
        <w:t>]</w:t>
      </w:r>
      <w:r w:rsidR="00E321F0" w:rsidRPr="00DF7E56">
        <w:rPr>
          <w:rFonts w:ascii="Verdana" w:hAnsi="Verdana"/>
          <w:sz w:val="20"/>
          <w:szCs w:val="20"/>
          <w:lang w:val="es-ES"/>
        </w:rPr>
        <w:t xml:space="preserve"> disponible </w:t>
      </w:r>
      <w:r w:rsidR="00460ADF" w:rsidRPr="00DF7E56">
        <w:rPr>
          <w:rFonts w:ascii="Verdana" w:hAnsi="Verdana"/>
          <w:sz w:val="20"/>
          <w:szCs w:val="20"/>
          <w:lang w:val="es-ES"/>
        </w:rPr>
        <w:t>[</w:t>
      </w:r>
      <w:r w:rsidR="00694D0F" w:rsidRPr="00DF7E56">
        <w:rPr>
          <w:rFonts w:ascii="Verdana" w:hAnsi="Verdana"/>
          <w:sz w:val="20"/>
          <w:szCs w:val="20"/>
          <w:lang w:val="es-ES"/>
        </w:rPr>
        <w:t>…</w:t>
      </w:r>
      <w:r w:rsidR="00460ADF" w:rsidRPr="00DF7E56">
        <w:rPr>
          <w:rFonts w:ascii="Verdana" w:hAnsi="Verdana"/>
          <w:sz w:val="20"/>
          <w:szCs w:val="20"/>
          <w:lang w:val="es-ES"/>
        </w:rPr>
        <w:t>]</w:t>
      </w:r>
      <w:r w:rsidR="00E321F0" w:rsidRPr="00DF7E56">
        <w:rPr>
          <w:rFonts w:ascii="Verdana" w:hAnsi="Verdana"/>
          <w:sz w:val="20"/>
          <w:szCs w:val="20"/>
          <w:lang w:val="es-ES"/>
        </w:rPr>
        <w:t xml:space="preserve"> en la ciudad de México</w:t>
      </w:r>
      <w:r w:rsidR="00460ADF" w:rsidRPr="00DF7E56">
        <w:rPr>
          <w:rFonts w:ascii="Verdana" w:hAnsi="Verdana"/>
          <w:sz w:val="20"/>
          <w:szCs w:val="20"/>
          <w:lang w:val="es-ES"/>
        </w:rPr>
        <w:t>”</w:t>
      </w:r>
      <w:r w:rsidR="000E088F" w:rsidRPr="00DF7E56">
        <w:rPr>
          <w:rFonts w:ascii="Verdana" w:hAnsi="Verdana"/>
          <w:sz w:val="20"/>
          <w:szCs w:val="20"/>
          <w:lang w:val="es-ES"/>
        </w:rPr>
        <w:t>.</w:t>
      </w:r>
      <w:r w:rsidR="00E321F0" w:rsidRPr="00DF7E56">
        <w:rPr>
          <w:rFonts w:ascii="Verdana" w:hAnsi="Verdana"/>
          <w:sz w:val="20"/>
          <w:szCs w:val="20"/>
          <w:lang w:val="es-ES"/>
        </w:rPr>
        <w:t xml:space="preserve"> </w:t>
      </w:r>
      <w:r w:rsidR="00C702AF" w:rsidRPr="00DF7E56">
        <w:rPr>
          <w:rFonts w:ascii="Verdana" w:hAnsi="Verdana"/>
          <w:sz w:val="20"/>
          <w:szCs w:val="20"/>
          <w:lang w:val="es-ES"/>
        </w:rPr>
        <w:t>La Corte nota que los posteriores avances en la efectiva ejecución de la medida difieren para cada una de las víctimas debido a su aceptación o no de lo ofrecido por el Estado.</w:t>
      </w:r>
    </w:p>
    <w:p w14:paraId="61C85560" w14:textId="77777777" w:rsidR="00C702AF" w:rsidRPr="00DF7E56" w:rsidRDefault="00C702AF" w:rsidP="00BF318A">
      <w:pPr>
        <w:pStyle w:val="ListParagraph"/>
        <w:tabs>
          <w:tab w:val="left" w:pos="567"/>
        </w:tabs>
        <w:spacing w:after="0" w:line="240" w:lineRule="auto"/>
        <w:ind w:left="0" w:right="4"/>
        <w:jc w:val="both"/>
        <w:rPr>
          <w:rFonts w:ascii="Verdana" w:hAnsi="Verdana"/>
          <w:sz w:val="20"/>
          <w:szCs w:val="20"/>
        </w:rPr>
      </w:pPr>
    </w:p>
    <w:p w14:paraId="07517EE8" w14:textId="77D86848" w:rsidR="00216198" w:rsidRPr="00DF7E56" w:rsidRDefault="00C702AF" w:rsidP="00362D15">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lang w:val="es-ES"/>
        </w:rPr>
        <w:t xml:space="preserve">En lo que respecta al señor García Cruz, </w:t>
      </w:r>
      <w:r w:rsidR="005E6CB8" w:rsidRPr="00DF7E56">
        <w:rPr>
          <w:rFonts w:ascii="Verdana" w:hAnsi="Verdana"/>
          <w:sz w:val="20"/>
          <w:szCs w:val="20"/>
          <w:lang w:val="es-ES"/>
        </w:rPr>
        <w:t>de acuerdo a la información aportada por las partes</w:t>
      </w:r>
      <w:r w:rsidR="005A2148" w:rsidRPr="00DF7E56">
        <w:rPr>
          <w:rStyle w:val="FootnoteReference"/>
          <w:rFonts w:ascii="Verdana" w:hAnsi="Verdana"/>
          <w:sz w:val="20"/>
          <w:szCs w:val="20"/>
          <w:lang w:val="es-ES"/>
        </w:rPr>
        <w:footnoteReference w:id="23"/>
      </w:r>
      <w:r w:rsidR="005E6CB8" w:rsidRPr="00DF7E56">
        <w:rPr>
          <w:rFonts w:ascii="Verdana" w:hAnsi="Verdana"/>
          <w:sz w:val="20"/>
          <w:szCs w:val="20"/>
          <w:lang w:val="es-ES"/>
        </w:rPr>
        <w:t xml:space="preserve">, </w:t>
      </w:r>
      <w:r w:rsidR="005A2148" w:rsidRPr="00DF7E56">
        <w:rPr>
          <w:rFonts w:ascii="Verdana" w:hAnsi="Verdana"/>
          <w:sz w:val="20"/>
          <w:szCs w:val="20"/>
          <w:lang w:val="es-ES"/>
        </w:rPr>
        <w:t xml:space="preserve">el Estado </w:t>
      </w:r>
      <w:r w:rsidR="00637BEC" w:rsidRPr="00DF7E56">
        <w:rPr>
          <w:rFonts w:ascii="Verdana" w:hAnsi="Verdana"/>
          <w:sz w:val="20"/>
          <w:szCs w:val="20"/>
          <w:lang w:val="es-ES"/>
        </w:rPr>
        <w:t>ya</w:t>
      </w:r>
      <w:r w:rsidR="00E35A36" w:rsidRPr="00DF7E56">
        <w:rPr>
          <w:rFonts w:ascii="Verdana" w:hAnsi="Verdana"/>
          <w:sz w:val="20"/>
          <w:szCs w:val="20"/>
          <w:lang w:val="es-ES"/>
        </w:rPr>
        <w:t xml:space="preserve"> realizó </w:t>
      </w:r>
      <w:r w:rsidRPr="00DF7E56">
        <w:rPr>
          <w:rFonts w:ascii="Verdana" w:hAnsi="Verdana"/>
          <w:sz w:val="20"/>
          <w:szCs w:val="20"/>
          <w:lang w:val="es-ES"/>
        </w:rPr>
        <w:t>el</w:t>
      </w:r>
      <w:r w:rsidR="0015276B" w:rsidRPr="00DF7E56">
        <w:rPr>
          <w:rFonts w:ascii="Verdana" w:hAnsi="Verdana"/>
          <w:sz w:val="20"/>
          <w:szCs w:val="20"/>
          <w:lang w:val="es-ES"/>
        </w:rPr>
        <w:t xml:space="preserve"> acto de entrega de la</w:t>
      </w:r>
      <w:r w:rsidR="005E6CB8" w:rsidRPr="00DF7E56">
        <w:rPr>
          <w:rFonts w:ascii="Verdana" w:hAnsi="Verdana"/>
          <w:sz w:val="20"/>
          <w:szCs w:val="20"/>
          <w:lang w:val="es-ES"/>
        </w:rPr>
        <w:t xml:space="preserve"> vivienda que </w:t>
      </w:r>
      <w:r w:rsidR="005A2148" w:rsidRPr="00DF7E56">
        <w:rPr>
          <w:rFonts w:ascii="Verdana" w:hAnsi="Verdana"/>
          <w:sz w:val="20"/>
          <w:szCs w:val="20"/>
          <w:lang w:val="es-ES"/>
        </w:rPr>
        <w:t xml:space="preserve">la víctima </w:t>
      </w:r>
      <w:r w:rsidR="005E6CB8" w:rsidRPr="00DF7E56">
        <w:rPr>
          <w:rFonts w:ascii="Verdana" w:hAnsi="Verdana"/>
          <w:sz w:val="20"/>
          <w:szCs w:val="20"/>
          <w:lang w:val="es-ES"/>
        </w:rPr>
        <w:t>aceptó recibir</w:t>
      </w:r>
      <w:r w:rsidR="00637BEC" w:rsidRPr="00DF7E56">
        <w:rPr>
          <w:rFonts w:ascii="Verdana" w:hAnsi="Verdana"/>
          <w:sz w:val="20"/>
          <w:szCs w:val="20"/>
          <w:lang w:val="es-ES"/>
        </w:rPr>
        <w:t xml:space="preserve"> </w:t>
      </w:r>
      <w:r w:rsidR="00637BEC" w:rsidRPr="00DF7E56">
        <w:rPr>
          <w:rFonts w:ascii="Verdana" w:hAnsi="Verdana"/>
          <w:sz w:val="20"/>
          <w:szCs w:val="20"/>
          <w:lang w:val="es-ES"/>
        </w:rPr>
        <w:lastRenderedPageBreak/>
        <w:t>en cumplimiento de la medida</w:t>
      </w:r>
      <w:r w:rsidR="005E6CB8" w:rsidRPr="00DF7E56">
        <w:rPr>
          <w:rFonts w:ascii="Verdana" w:hAnsi="Verdana"/>
          <w:sz w:val="20"/>
          <w:szCs w:val="20"/>
          <w:lang w:val="es-ES"/>
        </w:rPr>
        <w:t>.</w:t>
      </w:r>
      <w:r w:rsidR="0015276B" w:rsidRPr="00DF7E56">
        <w:rPr>
          <w:rFonts w:ascii="Verdana" w:hAnsi="Verdana"/>
          <w:sz w:val="20"/>
          <w:szCs w:val="20"/>
          <w:lang w:val="es-ES"/>
        </w:rPr>
        <w:t xml:space="preserve"> </w:t>
      </w:r>
      <w:r w:rsidR="005E6CB8" w:rsidRPr="00DF7E56">
        <w:rPr>
          <w:rFonts w:ascii="Verdana" w:hAnsi="Verdana"/>
          <w:sz w:val="20"/>
          <w:szCs w:val="20"/>
          <w:lang w:val="es-ES"/>
        </w:rPr>
        <w:t xml:space="preserve">Debido a que la vivienda fue entregada </w:t>
      </w:r>
      <w:r w:rsidR="00637BEC" w:rsidRPr="00DF7E56">
        <w:rPr>
          <w:rFonts w:ascii="Verdana" w:hAnsi="Verdana"/>
          <w:sz w:val="20"/>
          <w:szCs w:val="20"/>
          <w:lang w:val="es-ES"/>
        </w:rPr>
        <w:t>“</w:t>
      </w:r>
      <w:r w:rsidR="0015276B" w:rsidRPr="00DF7E56">
        <w:rPr>
          <w:rFonts w:ascii="Verdana" w:hAnsi="Verdana"/>
          <w:sz w:val="20"/>
          <w:szCs w:val="20"/>
          <w:lang w:val="es-ES"/>
        </w:rPr>
        <w:t>en depósito”</w:t>
      </w:r>
      <w:r w:rsidR="00BF318A" w:rsidRPr="00DF7E56">
        <w:rPr>
          <w:rFonts w:ascii="Verdana" w:hAnsi="Verdana"/>
          <w:sz w:val="20"/>
          <w:szCs w:val="20"/>
          <w:lang w:val="es-ES"/>
        </w:rPr>
        <w:t>,</w:t>
      </w:r>
      <w:r w:rsidR="0015276B" w:rsidRPr="00DF7E56">
        <w:rPr>
          <w:rFonts w:ascii="Verdana" w:hAnsi="Verdana"/>
          <w:sz w:val="20"/>
          <w:szCs w:val="20"/>
          <w:lang w:val="es-ES"/>
        </w:rPr>
        <w:t xml:space="preserve"> </w:t>
      </w:r>
      <w:r w:rsidR="005E6CB8" w:rsidRPr="00DF7E56">
        <w:rPr>
          <w:rFonts w:ascii="Verdana" w:hAnsi="Verdana"/>
          <w:sz w:val="20"/>
          <w:szCs w:val="20"/>
          <w:lang w:val="es-ES"/>
        </w:rPr>
        <w:t xml:space="preserve">se encuentra </w:t>
      </w:r>
      <w:r w:rsidR="0015276B" w:rsidRPr="00DF7E56">
        <w:rPr>
          <w:rFonts w:ascii="Verdana" w:hAnsi="Verdana"/>
          <w:sz w:val="20"/>
          <w:szCs w:val="20"/>
          <w:lang w:val="es-ES"/>
        </w:rPr>
        <w:t>pendiente finalizar el proceso formal de traspaso de propiedad</w:t>
      </w:r>
      <w:r w:rsidR="00C24CFC" w:rsidRPr="00DF7E56">
        <w:rPr>
          <w:rFonts w:ascii="Verdana" w:hAnsi="Verdana"/>
          <w:sz w:val="20"/>
          <w:szCs w:val="20"/>
          <w:lang w:val="es-ES"/>
        </w:rPr>
        <w:t xml:space="preserve">, para lo cual las partes han tratado de reunirse de manera que el Estado obtenga </w:t>
      </w:r>
      <w:r w:rsidR="00E92B73" w:rsidRPr="00DF7E56">
        <w:rPr>
          <w:rFonts w:ascii="Verdana" w:hAnsi="Verdana"/>
          <w:sz w:val="20"/>
          <w:szCs w:val="20"/>
          <w:lang w:val="es-ES"/>
        </w:rPr>
        <w:t xml:space="preserve">los datos </w:t>
      </w:r>
      <w:r w:rsidR="00C24CFC" w:rsidRPr="00DF7E56">
        <w:rPr>
          <w:rFonts w:ascii="Verdana" w:hAnsi="Verdana"/>
          <w:sz w:val="20"/>
          <w:szCs w:val="20"/>
          <w:lang w:val="es-ES"/>
        </w:rPr>
        <w:t>que requiere del señor García Cruz</w:t>
      </w:r>
      <w:r w:rsidR="000E088F" w:rsidRPr="00DF7E56">
        <w:rPr>
          <w:rFonts w:ascii="Verdana" w:hAnsi="Verdana"/>
          <w:sz w:val="20"/>
          <w:szCs w:val="20"/>
          <w:lang w:val="es-ES"/>
        </w:rPr>
        <w:t>.</w:t>
      </w:r>
      <w:r w:rsidR="0015276B" w:rsidRPr="00DF7E56">
        <w:rPr>
          <w:rFonts w:ascii="Verdana" w:hAnsi="Verdana"/>
          <w:sz w:val="20"/>
          <w:szCs w:val="20"/>
          <w:lang w:val="es-ES"/>
        </w:rPr>
        <w:t xml:space="preserve"> </w:t>
      </w:r>
      <w:r w:rsidR="005A2148" w:rsidRPr="00DF7E56">
        <w:rPr>
          <w:rFonts w:ascii="Verdana" w:hAnsi="Verdana"/>
          <w:sz w:val="20"/>
          <w:szCs w:val="20"/>
          <w:lang w:val="es-ES"/>
        </w:rPr>
        <w:t xml:space="preserve">Desde </w:t>
      </w:r>
      <w:r w:rsidR="00701A4F">
        <w:rPr>
          <w:rFonts w:ascii="Verdana" w:hAnsi="Verdana"/>
          <w:sz w:val="20"/>
          <w:szCs w:val="20"/>
          <w:lang w:val="es-ES"/>
        </w:rPr>
        <w:t>abril</w:t>
      </w:r>
      <w:r w:rsidR="00701A4F" w:rsidRPr="00DF7E56">
        <w:rPr>
          <w:rFonts w:ascii="Verdana" w:hAnsi="Verdana"/>
          <w:sz w:val="20"/>
          <w:szCs w:val="20"/>
          <w:lang w:val="es-ES"/>
        </w:rPr>
        <w:t xml:space="preserve"> </w:t>
      </w:r>
      <w:r w:rsidR="005A2148" w:rsidRPr="00DF7E56">
        <w:rPr>
          <w:rFonts w:ascii="Verdana" w:hAnsi="Verdana"/>
          <w:sz w:val="20"/>
          <w:szCs w:val="20"/>
          <w:lang w:val="es-ES"/>
        </w:rPr>
        <w:t>de</w:t>
      </w:r>
      <w:r w:rsidR="00E92B73" w:rsidRPr="00DF7E56">
        <w:rPr>
          <w:rFonts w:ascii="Verdana" w:hAnsi="Verdana"/>
          <w:sz w:val="20"/>
          <w:szCs w:val="20"/>
          <w:lang w:val="es-ES"/>
        </w:rPr>
        <w:t xml:space="preserve"> 2016</w:t>
      </w:r>
      <w:r w:rsidR="00AD120F" w:rsidRPr="00DF7E56">
        <w:rPr>
          <w:rFonts w:ascii="Verdana" w:hAnsi="Verdana"/>
          <w:sz w:val="20"/>
          <w:szCs w:val="20"/>
          <w:lang w:val="es-ES"/>
        </w:rPr>
        <w:t xml:space="preserve"> el Tribunal no ha recibido información actualizada </w:t>
      </w:r>
      <w:r w:rsidR="00E92B73" w:rsidRPr="00DF7E56">
        <w:rPr>
          <w:rFonts w:ascii="Verdana" w:hAnsi="Verdana"/>
          <w:sz w:val="20"/>
          <w:szCs w:val="20"/>
          <w:lang w:val="es-ES"/>
        </w:rPr>
        <w:t>al respecto</w:t>
      </w:r>
      <w:r w:rsidR="005A2148" w:rsidRPr="00DF7E56">
        <w:rPr>
          <w:rFonts w:ascii="Verdana" w:hAnsi="Verdana"/>
          <w:sz w:val="20"/>
          <w:szCs w:val="20"/>
          <w:lang w:val="es-ES"/>
        </w:rPr>
        <w:t xml:space="preserve">. </w:t>
      </w:r>
    </w:p>
    <w:p w14:paraId="62D6BF7F" w14:textId="77777777" w:rsidR="00216198" w:rsidRPr="00DF7E56" w:rsidRDefault="00216198" w:rsidP="00216198">
      <w:pPr>
        <w:pStyle w:val="ListParagraph"/>
        <w:rPr>
          <w:rFonts w:ascii="Verdana" w:hAnsi="Verdana"/>
          <w:color w:val="000000" w:themeColor="text1"/>
          <w:sz w:val="20"/>
          <w:szCs w:val="20"/>
          <w:lang w:val="es-ES"/>
        </w:rPr>
      </w:pPr>
    </w:p>
    <w:p w14:paraId="6A076145" w14:textId="6D1CD67D" w:rsidR="00637BEC" w:rsidRPr="00DF7E56" w:rsidRDefault="00820AB1" w:rsidP="009C0EA3">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En relación con el señor Sánchez Silvestre,</w:t>
      </w:r>
      <w:r w:rsidR="00F93DC9" w:rsidRPr="00DF7E56">
        <w:rPr>
          <w:rFonts w:ascii="Verdana" w:hAnsi="Verdana"/>
          <w:sz w:val="20"/>
          <w:szCs w:val="20"/>
          <w:lang w:val="es-ES"/>
        </w:rPr>
        <w:t xml:space="preserve"> </w:t>
      </w:r>
      <w:r w:rsidR="00F0750B" w:rsidRPr="00DF7E56">
        <w:rPr>
          <w:rFonts w:ascii="Verdana" w:hAnsi="Verdana"/>
          <w:sz w:val="20"/>
          <w:szCs w:val="20"/>
          <w:lang w:val="es-ES"/>
        </w:rPr>
        <w:t xml:space="preserve">la Corte valora positivamente las </w:t>
      </w:r>
      <w:r w:rsidR="00F93DC9" w:rsidRPr="00DF7E56">
        <w:rPr>
          <w:rFonts w:ascii="Verdana" w:hAnsi="Verdana"/>
          <w:sz w:val="20"/>
          <w:szCs w:val="20"/>
          <w:lang w:val="es-ES"/>
        </w:rPr>
        <w:t xml:space="preserve">diversas gestiones </w:t>
      </w:r>
      <w:r w:rsidR="0011762A" w:rsidRPr="00DF7E56">
        <w:rPr>
          <w:rFonts w:ascii="Verdana" w:hAnsi="Verdana"/>
          <w:sz w:val="20"/>
          <w:szCs w:val="20"/>
          <w:lang w:val="es-ES"/>
        </w:rPr>
        <w:t xml:space="preserve">realizadas </w:t>
      </w:r>
      <w:r w:rsidR="00F0750B" w:rsidRPr="00DF7E56">
        <w:rPr>
          <w:rFonts w:ascii="Verdana" w:hAnsi="Verdana"/>
          <w:sz w:val="20"/>
          <w:szCs w:val="20"/>
          <w:lang w:val="es-ES"/>
        </w:rPr>
        <w:t xml:space="preserve">por México </w:t>
      </w:r>
      <w:r w:rsidR="00F93DC9" w:rsidRPr="00DF7E56">
        <w:rPr>
          <w:rFonts w:ascii="Verdana" w:hAnsi="Verdana"/>
          <w:sz w:val="20"/>
          <w:szCs w:val="20"/>
          <w:lang w:val="es-ES"/>
        </w:rPr>
        <w:t>para entregar</w:t>
      </w:r>
      <w:r w:rsidRPr="00DF7E56">
        <w:rPr>
          <w:rFonts w:ascii="Verdana" w:hAnsi="Verdana"/>
          <w:sz w:val="20"/>
          <w:szCs w:val="20"/>
          <w:lang w:val="es-ES"/>
        </w:rPr>
        <w:t>le</w:t>
      </w:r>
      <w:r w:rsidR="00F93DC9" w:rsidRPr="00DF7E56">
        <w:rPr>
          <w:rFonts w:ascii="Verdana" w:hAnsi="Verdana"/>
          <w:sz w:val="20"/>
          <w:szCs w:val="20"/>
          <w:lang w:val="es-ES"/>
        </w:rPr>
        <w:t xml:space="preserve"> una vivienda</w:t>
      </w:r>
      <w:r w:rsidR="00F93DC9" w:rsidRPr="00DF7E56">
        <w:rPr>
          <w:rStyle w:val="FootnoteReference"/>
          <w:rFonts w:ascii="Verdana" w:hAnsi="Verdana"/>
          <w:sz w:val="20"/>
          <w:szCs w:val="20"/>
          <w:lang w:val="es-ES"/>
        </w:rPr>
        <w:footnoteReference w:id="24"/>
      </w:r>
      <w:r w:rsidR="00F0750B" w:rsidRPr="00DF7E56">
        <w:rPr>
          <w:rFonts w:ascii="Verdana" w:hAnsi="Verdana"/>
          <w:sz w:val="20"/>
          <w:szCs w:val="20"/>
          <w:lang w:val="es-ES"/>
        </w:rPr>
        <w:t>.</w:t>
      </w:r>
      <w:r w:rsidR="00F93DC9" w:rsidRPr="00DF7E56">
        <w:rPr>
          <w:rFonts w:ascii="Verdana" w:hAnsi="Verdana"/>
          <w:sz w:val="20"/>
          <w:szCs w:val="20"/>
          <w:lang w:val="es-ES"/>
        </w:rPr>
        <w:t xml:space="preserve"> </w:t>
      </w:r>
      <w:r w:rsidR="00F0750B" w:rsidRPr="00DF7E56">
        <w:rPr>
          <w:rFonts w:ascii="Verdana" w:hAnsi="Verdana"/>
          <w:sz w:val="20"/>
          <w:szCs w:val="20"/>
          <w:lang w:val="es-ES"/>
        </w:rPr>
        <w:t xml:space="preserve">Sin embargo, </w:t>
      </w:r>
      <w:r w:rsidR="00F93DC9" w:rsidRPr="00DF7E56">
        <w:rPr>
          <w:rFonts w:ascii="Verdana" w:hAnsi="Verdana"/>
          <w:sz w:val="20"/>
          <w:szCs w:val="20"/>
          <w:lang w:val="es-ES"/>
        </w:rPr>
        <w:t>ni el Estado ni los representantes han logrado establecer contacto con la víctima para obtener su parecer respecto a la ejecución de la reparación</w:t>
      </w:r>
      <w:r w:rsidR="00F0750B" w:rsidRPr="00DF7E56">
        <w:rPr>
          <w:rFonts w:ascii="Verdana" w:hAnsi="Verdana"/>
          <w:sz w:val="20"/>
          <w:szCs w:val="20"/>
          <w:lang w:val="es-ES"/>
        </w:rPr>
        <w:t xml:space="preserve"> y dar inicio a los respectivos trámites</w:t>
      </w:r>
      <w:r w:rsidR="00F93DC9" w:rsidRPr="00DF7E56">
        <w:rPr>
          <w:rFonts w:ascii="Verdana" w:hAnsi="Verdana"/>
          <w:sz w:val="20"/>
          <w:szCs w:val="20"/>
          <w:lang w:val="es-ES"/>
        </w:rPr>
        <w:t xml:space="preserve">. </w:t>
      </w:r>
      <w:r w:rsidR="00F0750B" w:rsidRPr="00DF7E56">
        <w:rPr>
          <w:rFonts w:ascii="Verdana" w:hAnsi="Verdana"/>
          <w:sz w:val="20"/>
          <w:szCs w:val="20"/>
          <w:lang w:val="es-ES"/>
        </w:rPr>
        <w:t>E</w:t>
      </w:r>
      <w:r w:rsidRPr="00DF7E56">
        <w:rPr>
          <w:rFonts w:ascii="Verdana" w:hAnsi="Verdana"/>
          <w:sz w:val="20"/>
          <w:szCs w:val="20"/>
          <w:lang w:val="es-ES"/>
        </w:rPr>
        <w:t>l Estado enfatizó que la participación del señor Sánchez Silvestre es indispensable para dar cumplimiento a la medida en cuestión y que “</w:t>
      </w:r>
      <w:r w:rsidRPr="00DF7E56">
        <w:rPr>
          <w:rFonts w:ascii="Verdana" w:hAnsi="Verdana"/>
          <w:sz w:val="20"/>
          <w:szCs w:val="20"/>
        </w:rPr>
        <w:t xml:space="preserve">no [se] debe </w:t>
      </w:r>
      <w:proofErr w:type="gramStart"/>
      <w:r w:rsidRPr="00DF7E56">
        <w:rPr>
          <w:rFonts w:ascii="Verdana" w:hAnsi="Verdana"/>
          <w:sz w:val="20"/>
          <w:szCs w:val="20"/>
        </w:rPr>
        <w:t>pon[</w:t>
      </w:r>
      <w:proofErr w:type="spellStart"/>
      <w:proofErr w:type="gramEnd"/>
      <w:r w:rsidRPr="00DF7E56">
        <w:rPr>
          <w:rFonts w:ascii="Verdana" w:hAnsi="Verdana"/>
          <w:sz w:val="20"/>
          <w:szCs w:val="20"/>
        </w:rPr>
        <w:t>er</w:t>
      </w:r>
      <w:proofErr w:type="spellEnd"/>
      <w:r w:rsidR="00232E22">
        <w:rPr>
          <w:rFonts w:ascii="Verdana" w:hAnsi="Verdana"/>
          <w:sz w:val="20"/>
          <w:szCs w:val="20"/>
        </w:rPr>
        <w:t xml:space="preserve"> al Estado</w:t>
      </w:r>
      <w:r w:rsidRPr="00DF7E56">
        <w:rPr>
          <w:rFonts w:ascii="Verdana" w:hAnsi="Verdana"/>
          <w:sz w:val="20"/>
          <w:szCs w:val="20"/>
        </w:rPr>
        <w:t>] una carga de subsanar este punto del acuerdo de solución amistosa, si [su ejecución] no es del interés de la víctima”</w:t>
      </w:r>
      <w:r w:rsidR="0020252B" w:rsidRPr="00DF7E56">
        <w:rPr>
          <w:rStyle w:val="FootnoteReference"/>
          <w:rFonts w:ascii="Verdana" w:hAnsi="Verdana"/>
          <w:sz w:val="20"/>
          <w:szCs w:val="20"/>
          <w:lang w:val="es-ES"/>
        </w:rPr>
        <w:footnoteReference w:id="25"/>
      </w:r>
      <w:r w:rsidRPr="00DF7E56">
        <w:rPr>
          <w:rFonts w:ascii="Verdana" w:hAnsi="Verdana"/>
          <w:sz w:val="20"/>
          <w:szCs w:val="20"/>
        </w:rPr>
        <w:t>.</w:t>
      </w:r>
      <w:r w:rsidRPr="00DF7E56">
        <w:rPr>
          <w:rFonts w:ascii="Verdana" w:hAnsi="Verdana"/>
          <w:sz w:val="20"/>
          <w:szCs w:val="20"/>
          <w:lang w:val="es-ES"/>
        </w:rPr>
        <w:t xml:space="preserve"> Por su parte, los representantes señalaron que “es necesario que el Estado disponga de los medios que sean necesarios para que en el momento que así lo decida [la víctima] pueda hacer exigible” la reparación. </w:t>
      </w:r>
    </w:p>
    <w:p w14:paraId="26C56B94" w14:textId="77777777" w:rsidR="00637BEC" w:rsidRPr="00DF7E56" w:rsidRDefault="00637BEC" w:rsidP="00637BEC">
      <w:pPr>
        <w:pStyle w:val="ListParagraph"/>
        <w:tabs>
          <w:tab w:val="left" w:pos="567"/>
        </w:tabs>
        <w:spacing w:after="0" w:line="240" w:lineRule="auto"/>
        <w:ind w:left="0" w:right="4"/>
        <w:jc w:val="both"/>
        <w:rPr>
          <w:rFonts w:ascii="Verdana" w:hAnsi="Verdana"/>
          <w:sz w:val="20"/>
          <w:szCs w:val="20"/>
        </w:rPr>
      </w:pPr>
    </w:p>
    <w:p w14:paraId="3B84700F" w14:textId="4780F300" w:rsidR="00820AB1" w:rsidRPr="00DF7E56" w:rsidRDefault="00D70EC5" w:rsidP="009C0EA3">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L</w:t>
      </w:r>
      <w:r w:rsidR="00820AB1" w:rsidRPr="00DF7E56">
        <w:rPr>
          <w:rFonts w:ascii="Verdana" w:hAnsi="Verdana"/>
          <w:sz w:val="20"/>
          <w:szCs w:val="20"/>
        </w:rPr>
        <w:t>a Corte considera pertinente requerir a los representantes que comuniquen, dentro del plazo de seis semanas, cuál es la voluntad del señor Sánchez Silvestre respecto a recibir en propiedad una vivienda en el Distrito</w:t>
      </w:r>
      <w:r w:rsidR="00820AB1" w:rsidRPr="00DF7E56">
        <w:rPr>
          <w:rFonts w:ascii="Verdana" w:hAnsi="Verdana"/>
          <w:sz w:val="20"/>
          <w:szCs w:val="20"/>
          <w:lang w:val="es-ES"/>
        </w:rPr>
        <w:t xml:space="preserve"> Federal a través del INVI o expliquen si existen motivos que le impidan tomar una decisión o problemas de comunicación con los representantes</w:t>
      </w:r>
      <w:r w:rsidRPr="00DF7E56">
        <w:rPr>
          <w:rFonts w:ascii="Verdana" w:hAnsi="Verdana"/>
          <w:sz w:val="20"/>
          <w:szCs w:val="20"/>
          <w:lang w:val="es-ES"/>
        </w:rPr>
        <w:t xml:space="preserve"> </w:t>
      </w:r>
      <w:r w:rsidR="009C0EA3" w:rsidRPr="00DF7E56">
        <w:rPr>
          <w:rFonts w:ascii="Verdana" w:hAnsi="Verdana"/>
          <w:sz w:val="20"/>
          <w:szCs w:val="20"/>
          <w:lang w:val="es-ES"/>
        </w:rPr>
        <w:t xml:space="preserve">que </w:t>
      </w:r>
      <w:r w:rsidR="00DC0FD5" w:rsidRPr="00DF7E56">
        <w:rPr>
          <w:rFonts w:ascii="Verdana" w:hAnsi="Verdana"/>
          <w:sz w:val="20"/>
          <w:szCs w:val="20"/>
          <w:lang w:val="es-ES"/>
        </w:rPr>
        <w:t xml:space="preserve">ameriten </w:t>
      </w:r>
      <w:r w:rsidR="009C0EA3" w:rsidRPr="00DF7E56">
        <w:rPr>
          <w:rFonts w:ascii="Verdana" w:hAnsi="Verdana"/>
          <w:sz w:val="20"/>
          <w:szCs w:val="20"/>
          <w:lang w:val="es-ES"/>
        </w:rPr>
        <w:t>brindar</w:t>
      </w:r>
      <w:r w:rsidR="00820AB1" w:rsidRPr="00DF7E56">
        <w:rPr>
          <w:rFonts w:ascii="Verdana" w:hAnsi="Verdana"/>
          <w:sz w:val="20"/>
          <w:szCs w:val="20"/>
          <w:lang w:val="es-ES"/>
        </w:rPr>
        <w:t xml:space="preserve"> un mayor plazo para que </w:t>
      </w:r>
      <w:r w:rsidR="00DC0FD5" w:rsidRPr="00DF7E56">
        <w:rPr>
          <w:rFonts w:ascii="Verdana" w:hAnsi="Verdana"/>
          <w:sz w:val="20"/>
          <w:szCs w:val="20"/>
          <w:lang w:val="es-ES"/>
        </w:rPr>
        <w:t xml:space="preserve">aquel </w:t>
      </w:r>
      <w:r w:rsidR="00820AB1" w:rsidRPr="00DF7E56">
        <w:rPr>
          <w:rFonts w:ascii="Verdana" w:hAnsi="Verdana"/>
          <w:sz w:val="20"/>
          <w:szCs w:val="20"/>
          <w:lang w:val="es-ES"/>
        </w:rPr>
        <w:t>formule su decisión.</w:t>
      </w:r>
    </w:p>
    <w:p w14:paraId="1EA7027E" w14:textId="77777777" w:rsidR="007E574A" w:rsidRPr="00DF7E56" w:rsidRDefault="007E574A" w:rsidP="007E574A">
      <w:pPr>
        <w:pStyle w:val="ListParagraph"/>
        <w:tabs>
          <w:tab w:val="left" w:pos="567"/>
        </w:tabs>
        <w:spacing w:after="0" w:line="240" w:lineRule="auto"/>
        <w:ind w:left="0" w:right="4"/>
        <w:jc w:val="both"/>
        <w:rPr>
          <w:rFonts w:ascii="Verdana" w:hAnsi="Verdana"/>
          <w:color w:val="000000" w:themeColor="text1"/>
          <w:sz w:val="20"/>
          <w:szCs w:val="20"/>
        </w:rPr>
      </w:pPr>
    </w:p>
    <w:p w14:paraId="48F5F4E4" w14:textId="168DA8F9" w:rsidR="000A42CB" w:rsidRPr="00DF7E56" w:rsidRDefault="0085797E" w:rsidP="00DE3639">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color w:val="000000" w:themeColor="text1"/>
          <w:sz w:val="20"/>
          <w:szCs w:val="20"/>
        </w:rPr>
        <w:t>E</w:t>
      </w:r>
      <w:r w:rsidR="007E574A" w:rsidRPr="00DF7E56">
        <w:rPr>
          <w:rFonts w:ascii="Verdana" w:hAnsi="Verdana"/>
          <w:color w:val="000000" w:themeColor="text1"/>
          <w:sz w:val="20"/>
          <w:szCs w:val="20"/>
        </w:rPr>
        <w:t xml:space="preserve">l Tribunal considera que el </w:t>
      </w:r>
      <w:r w:rsidR="00A047D4" w:rsidRPr="00DF7E56">
        <w:rPr>
          <w:rFonts w:ascii="Verdana" w:hAnsi="Verdana"/>
          <w:color w:val="000000" w:themeColor="text1"/>
          <w:sz w:val="20"/>
          <w:szCs w:val="20"/>
        </w:rPr>
        <w:t xml:space="preserve">Estado </w:t>
      </w:r>
      <w:r w:rsidR="00F07DE5" w:rsidRPr="00DF7E56">
        <w:rPr>
          <w:rFonts w:ascii="Verdana" w:hAnsi="Verdana"/>
          <w:color w:val="000000" w:themeColor="text1"/>
          <w:sz w:val="20"/>
          <w:szCs w:val="20"/>
        </w:rPr>
        <w:t>ha venido</w:t>
      </w:r>
      <w:r w:rsidR="00A047D4" w:rsidRPr="00DF7E56">
        <w:rPr>
          <w:rFonts w:ascii="Verdana" w:hAnsi="Verdana"/>
          <w:color w:val="000000" w:themeColor="text1"/>
          <w:sz w:val="20"/>
          <w:szCs w:val="20"/>
        </w:rPr>
        <w:t xml:space="preserve"> </w:t>
      </w:r>
      <w:r w:rsidRPr="00DF7E56">
        <w:rPr>
          <w:rFonts w:ascii="Verdana" w:hAnsi="Verdana"/>
          <w:color w:val="000000" w:themeColor="text1"/>
          <w:sz w:val="20"/>
          <w:szCs w:val="20"/>
        </w:rPr>
        <w:t xml:space="preserve">realizando gestiones para </w:t>
      </w:r>
      <w:r w:rsidR="00A047D4" w:rsidRPr="00DF7E56">
        <w:rPr>
          <w:rFonts w:ascii="Verdana" w:hAnsi="Verdana"/>
          <w:color w:val="000000" w:themeColor="text1"/>
          <w:sz w:val="20"/>
          <w:szCs w:val="20"/>
        </w:rPr>
        <w:t>da</w:t>
      </w:r>
      <w:r w:rsidRPr="00DF7E56">
        <w:rPr>
          <w:rFonts w:ascii="Verdana" w:hAnsi="Verdana"/>
          <w:color w:val="000000" w:themeColor="text1"/>
          <w:sz w:val="20"/>
          <w:szCs w:val="20"/>
        </w:rPr>
        <w:t>r</w:t>
      </w:r>
      <w:r w:rsidR="00A047D4" w:rsidRPr="00DF7E56">
        <w:rPr>
          <w:rFonts w:ascii="Verdana" w:hAnsi="Verdana"/>
          <w:color w:val="000000" w:themeColor="text1"/>
          <w:sz w:val="20"/>
          <w:szCs w:val="20"/>
        </w:rPr>
        <w:t xml:space="preserve"> cu</w:t>
      </w:r>
      <w:r w:rsidR="007E574A" w:rsidRPr="00DF7E56">
        <w:rPr>
          <w:rFonts w:ascii="Verdana" w:hAnsi="Verdana"/>
          <w:color w:val="000000" w:themeColor="text1"/>
          <w:sz w:val="20"/>
          <w:szCs w:val="20"/>
        </w:rPr>
        <w:t xml:space="preserve">mplimiento a la medida </w:t>
      </w:r>
      <w:r w:rsidR="000A42CB" w:rsidRPr="00DF7E56">
        <w:rPr>
          <w:rFonts w:ascii="Verdana" w:hAnsi="Verdana"/>
          <w:color w:val="000000" w:themeColor="text1"/>
          <w:sz w:val="20"/>
          <w:szCs w:val="20"/>
        </w:rPr>
        <w:t xml:space="preserve">de reparación relativa a </w:t>
      </w:r>
      <w:r w:rsidR="000A42CB" w:rsidRPr="00DF7E56">
        <w:rPr>
          <w:rFonts w:ascii="Verdana" w:hAnsi="Verdana"/>
          <w:sz w:val="20"/>
          <w:szCs w:val="20"/>
        </w:rPr>
        <w:t>entregar en propiedad una vivienda en el Distrito</w:t>
      </w:r>
      <w:r w:rsidR="000A42CB" w:rsidRPr="00DF7E56">
        <w:rPr>
          <w:rFonts w:ascii="Verdana" w:hAnsi="Verdana"/>
          <w:sz w:val="20"/>
          <w:szCs w:val="20"/>
          <w:lang w:val="es-ES"/>
        </w:rPr>
        <w:t xml:space="preserve"> Federal a cada víctima a través del INVI, según fue ordenado en el punto dispositivo sexto </w:t>
      </w:r>
      <w:r w:rsidR="00627DAE" w:rsidRPr="00DF7E56">
        <w:rPr>
          <w:rFonts w:ascii="Verdana" w:hAnsi="Verdana"/>
          <w:sz w:val="20"/>
          <w:szCs w:val="20"/>
          <w:lang w:val="es-ES"/>
        </w:rPr>
        <w:t>inciso</w:t>
      </w:r>
      <w:r w:rsidR="000A42CB" w:rsidRPr="00DF7E56">
        <w:rPr>
          <w:rFonts w:ascii="Verdana" w:hAnsi="Verdana"/>
          <w:sz w:val="20"/>
          <w:szCs w:val="20"/>
          <w:lang w:val="es-ES"/>
        </w:rPr>
        <w:t xml:space="preserve"> i) y los párrafos 79 y 80 de la Sentencia.</w:t>
      </w:r>
      <w:r w:rsidRPr="00DF7E56">
        <w:rPr>
          <w:rFonts w:ascii="Verdana" w:hAnsi="Verdana"/>
          <w:sz w:val="20"/>
          <w:szCs w:val="20"/>
          <w:lang w:val="es-ES"/>
        </w:rPr>
        <w:t xml:space="preserve"> Las partes deberán aportar al Tribunal </w:t>
      </w:r>
      <w:r w:rsidRPr="00DF7E56">
        <w:rPr>
          <w:rFonts w:ascii="Verdana" w:hAnsi="Verdana"/>
          <w:sz w:val="20"/>
          <w:szCs w:val="20"/>
          <w:lang w:val="es-ES"/>
        </w:rPr>
        <w:lastRenderedPageBreak/>
        <w:t>información actualizada al respecto, de manera que pueda valorar el cumplimiento de esta reparación.</w:t>
      </w:r>
    </w:p>
    <w:p w14:paraId="1A9894D6" w14:textId="77777777" w:rsidR="000A42CB" w:rsidRPr="00DF7E56" w:rsidRDefault="000A42CB" w:rsidP="00DE3639">
      <w:pPr>
        <w:tabs>
          <w:tab w:val="left" w:pos="567"/>
        </w:tabs>
        <w:spacing w:after="0" w:line="240" w:lineRule="auto"/>
        <w:ind w:right="4"/>
        <w:jc w:val="both"/>
        <w:rPr>
          <w:rFonts w:ascii="Verdana" w:hAnsi="Verdana"/>
          <w:sz w:val="20"/>
          <w:szCs w:val="20"/>
          <w:lang w:val="es-ES"/>
        </w:rPr>
      </w:pPr>
    </w:p>
    <w:p w14:paraId="700ECE72" w14:textId="6C87D2DD" w:rsidR="00DE3639" w:rsidRPr="00DF7E56" w:rsidRDefault="00DE3639" w:rsidP="00DE3639">
      <w:pPr>
        <w:pStyle w:val="Heading1"/>
        <w:ind w:hanging="360"/>
        <w:jc w:val="both"/>
      </w:pPr>
      <w:bookmarkStart w:id="4" w:name="_Toc461464222"/>
      <w:r w:rsidRPr="00DF7E56">
        <w:t>D.</w:t>
      </w:r>
      <w:r w:rsidRPr="00DF7E56">
        <w:tab/>
      </w:r>
      <w:r w:rsidR="00A95394" w:rsidRPr="00C03FC3">
        <w:rPr>
          <w:rStyle w:val="TitleChar"/>
        </w:rPr>
        <w:t xml:space="preserve">Indemnizaciones </w:t>
      </w:r>
      <w:r w:rsidRPr="00C03FC3">
        <w:rPr>
          <w:rStyle w:val="TitleChar"/>
        </w:rPr>
        <w:t>por concepto de daño</w:t>
      </w:r>
      <w:r w:rsidR="00A95394" w:rsidRPr="00C03FC3">
        <w:rPr>
          <w:rStyle w:val="TitleChar"/>
        </w:rPr>
        <w:t>s</w:t>
      </w:r>
      <w:r w:rsidRPr="00C03FC3">
        <w:rPr>
          <w:rStyle w:val="TitleChar"/>
        </w:rPr>
        <w:t xml:space="preserve"> material</w:t>
      </w:r>
      <w:r w:rsidR="00A95394" w:rsidRPr="00C03FC3">
        <w:rPr>
          <w:rStyle w:val="TitleChar"/>
        </w:rPr>
        <w:t>es</w:t>
      </w:r>
      <w:r w:rsidRPr="00C03FC3">
        <w:rPr>
          <w:rStyle w:val="TitleChar"/>
        </w:rPr>
        <w:t xml:space="preserve"> </w:t>
      </w:r>
      <w:r w:rsidR="00A95394" w:rsidRPr="00C03FC3">
        <w:rPr>
          <w:rStyle w:val="TitleChar"/>
        </w:rPr>
        <w:t xml:space="preserve">e </w:t>
      </w:r>
      <w:r w:rsidRPr="00C03FC3">
        <w:rPr>
          <w:rStyle w:val="TitleChar"/>
        </w:rPr>
        <w:t>inmaterial</w:t>
      </w:r>
      <w:r w:rsidR="00A95394" w:rsidRPr="00C03FC3">
        <w:rPr>
          <w:rStyle w:val="TitleChar"/>
        </w:rPr>
        <w:t>es</w:t>
      </w:r>
      <w:r w:rsidRPr="00C03FC3">
        <w:rPr>
          <w:rStyle w:val="TitleChar"/>
        </w:rPr>
        <w:t xml:space="preserve"> y reintegro de costas y gastos</w:t>
      </w:r>
      <w:bookmarkEnd w:id="4"/>
    </w:p>
    <w:p w14:paraId="0312E540" w14:textId="77777777" w:rsidR="00DE3639" w:rsidRPr="00DF7E56" w:rsidRDefault="00DE3639" w:rsidP="00DE3639">
      <w:pPr>
        <w:spacing w:after="0" w:line="240" w:lineRule="auto"/>
        <w:ind w:left="720" w:right="4"/>
        <w:jc w:val="both"/>
        <w:rPr>
          <w:rFonts w:ascii="Verdana" w:hAnsi="Verdana"/>
          <w:i/>
          <w:sz w:val="20"/>
          <w:szCs w:val="20"/>
        </w:rPr>
      </w:pPr>
    </w:p>
    <w:p w14:paraId="06F18911" w14:textId="2C14CE82" w:rsidR="00DE3639" w:rsidRPr="00DF7E56" w:rsidRDefault="00DE3639" w:rsidP="00DE3639">
      <w:pPr>
        <w:spacing w:after="0" w:line="240" w:lineRule="auto"/>
        <w:ind w:left="720" w:right="4"/>
        <w:jc w:val="both"/>
        <w:rPr>
          <w:rFonts w:ascii="Verdana" w:hAnsi="Verdana"/>
          <w:i/>
          <w:sz w:val="20"/>
          <w:szCs w:val="20"/>
        </w:rPr>
      </w:pPr>
      <w:r w:rsidRPr="00DF7E56">
        <w:rPr>
          <w:rFonts w:ascii="Verdana" w:hAnsi="Verdana"/>
          <w:i/>
          <w:sz w:val="20"/>
          <w:szCs w:val="20"/>
        </w:rPr>
        <w:t>D.1) Medida</w:t>
      </w:r>
      <w:r w:rsidR="00B4032C" w:rsidRPr="00DF7E56">
        <w:rPr>
          <w:rFonts w:ascii="Verdana" w:hAnsi="Verdana"/>
          <w:i/>
          <w:sz w:val="20"/>
          <w:szCs w:val="20"/>
        </w:rPr>
        <w:t>s</w:t>
      </w:r>
      <w:r w:rsidRPr="00DF7E56">
        <w:rPr>
          <w:rFonts w:ascii="Verdana" w:hAnsi="Verdana"/>
          <w:i/>
          <w:sz w:val="20"/>
          <w:szCs w:val="20"/>
        </w:rPr>
        <w:t xml:space="preserve"> ordenada</w:t>
      </w:r>
      <w:r w:rsidR="00B4032C" w:rsidRPr="00DF7E56">
        <w:rPr>
          <w:rFonts w:ascii="Verdana" w:hAnsi="Verdana"/>
          <w:i/>
          <w:sz w:val="20"/>
          <w:szCs w:val="20"/>
        </w:rPr>
        <w:t>s</w:t>
      </w:r>
      <w:r w:rsidRPr="00DF7E56">
        <w:rPr>
          <w:rFonts w:ascii="Verdana" w:hAnsi="Verdana"/>
          <w:i/>
          <w:sz w:val="20"/>
          <w:szCs w:val="20"/>
        </w:rPr>
        <w:t xml:space="preserve"> por la Corte</w:t>
      </w:r>
    </w:p>
    <w:p w14:paraId="7B240939" w14:textId="77777777" w:rsidR="00DE3639" w:rsidRPr="00DF7E56" w:rsidRDefault="00DE3639" w:rsidP="00DE3639">
      <w:pPr>
        <w:pStyle w:val="ListParagraph"/>
        <w:rPr>
          <w:rFonts w:ascii="Verdana" w:hAnsi="Verdana"/>
          <w:sz w:val="20"/>
          <w:szCs w:val="20"/>
        </w:rPr>
      </w:pPr>
    </w:p>
    <w:p w14:paraId="36833895" w14:textId="6FFF7ACC" w:rsidR="00105417" w:rsidRPr="00DF7E56" w:rsidRDefault="00DE3639" w:rsidP="00DE3639">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 xml:space="preserve">En </w:t>
      </w:r>
      <w:r w:rsidR="002B4345" w:rsidRPr="00DF7E56">
        <w:rPr>
          <w:rFonts w:ascii="Verdana" w:hAnsi="Verdana"/>
          <w:sz w:val="20"/>
          <w:szCs w:val="20"/>
        </w:rPr>
        <w:t>el</w:t>
      </w:r>
      <w:r w:rsidR="009C1D04" w:rsidRPr="00DF7E56">
        <w:rPr>
          <w:rFonts w:ascii="Verdana" w:hAnsi="Verdana"/>
          <w:sz w:val="20"/>
          <w:szCs w:val="20"/>
        </w:rPr>
        <w:t xml:space="preserve"> punto resolutivo sexto</w:t>
      </w:r>
      <w:r w:rsidRPr="00DF7E56">
        <w:rPr>
          <w:rFonts w:ascii="Verdana" w:hAnsi="Verdana"/>
          <w:sz w:val="20"/>
          <w:szCs w:val="20"/>
        </w:rPr>
        <w:t xml:space="preserve"> </w:t>
      </w:r>
      <w:r w:rsidR="00627DAE" w:rsidRPr="00DF7E56">
        <w:rPr>
          <w:rFonts w:ascii="Verdana" w:hAnsi="Verdana"/>
          <w:sz w:val="20"/>
          <w:szCs w:val="20"/>
        </w:rPr>
        <w:t>inciso</w:t>
      </w:r>
      <w:r w:rsidR="002B4345" w:rsidRPr="00DF7E56">
        <w:rPr>
          <w:rFonts w:ascii="Verdana" w:hAnsi="Verdana"/>
          <w:sz w:val="20"/>
          <w:szCs w:val="20"/>
        </w:rPr>
        <w:t xml:space="preserve"> m</w:t>
      </w:r>
      <w:r w:rsidRPr="00DF7E56">
        <w:rPr>
          <w:rFonts w:ascii="Verdana" w:hAnsi="Verdana"/>
          <w:sz w:val="20"/>
          <w:szCs w:val="20"/>
        </w:rPr>
        <w:t>) y</w:t>
      </w:r>
      <w:r w:rsidR="002B4345" w:rsidRPr="00DF7E56">
        <w:rPr>
          <w:rFonts w:ascii="Verdana" w:hAnsi="Verdana"/>
          <w:sz w:val="20"/>
          <w:szCs w:val="20"/>
        </w:rPr>
        <w:t xml:space="preserve"> </w:t>
      </w:r>
      <w:r w:rsidRPr="00DF7E56">
        <w:rPr>
          <w:rFonts w:ascii="Verdana" w:hAnsi="Verdana"/>
          <w:sz w:val="20"/>
          <w:szCs w:val="20"/>
        </w:rPr>
        <w:t xml:space="preserve">los párrafos </w:t>
      </w:r>
      <w:r w:rsidR="002B4345" w:rsidRPr="00DF7E56">
        <w:rPr>
          <w:rFonts w:ascii="Verdana" w:hAnsi="Verdana"/>
          <w:sz w:val="20"/>
          <w:szCs w:val="20"/>
        </w:rPr>
        <w:t>94</w:t>
      </w:r>
      <w:r w:rsidR="00105417" w:rsidRPr="00DF7E56">
        <w:rPr>
          <w:rFonts w:ascii="Verdana" w:hAnsi="Verdana"/>
          <w:sz w:val="20"/>
          <w:szCs w:val="20"/>
        </w:rPr>
        <w:t>, 96, 97, 99 y 100</w:t>
      </w:r>
      <w:r w:rsidRPr="00DF7E56">
        <w:rPr>
          <w:rFonts w:ascii="Verdana" w:hAnsi="Verdana"/>
          <w:sz w:val="20"/>
          <w:szCs w:val="20"/>
        </w:rPr>
        <w:t xml:space="preserve"> de la Sentencia, la Corte</w:t>
      </w:r>
      <w:r w:rsidR="00105417" w:rsidRPr="00DF7E56">
        <w:rPr>
          <w:rFonts w:ascii="Verdana" w:hAnsi="Verdana"/>
          <w:sz w:val="20"/>
          <w:szCs w:val="20"/>
        </w:rPr>
        <w:t xml:space="preserve"> homologó las</w:t>
      </w:r>
      <w:r w:rsidRPr="00DF7E56">
        <w:rPr>
          <w:rFonts w:ascii="Verdana" w:hAnsi="Verdana"/>
          <w:sz w:val="20"/>
          <w:szCs w:val="20"/>
        </w:rPr>
        <w:t xml:space="preserve"> </w:t>
      </w:r>
      <w:r w:rsidR="00105417" w:rsidRPr="00DF7E56">
        <w:rPr>
          <w:rFonts w:ascii="Verdana" w:hAnsi="Verdana"/>
          <w:sz w:val="20"/>
          <w:szCs w:val="20"/>
        </w:rPr>
        <w:t xml:space="preserve">indemnizaciones establecidas en el acuerdo de solución amistosa para los señores García Cruz y Sánchez Silvestre por concepto de daño inmaterial y “lucro cesante”. Asimismo, la Corte homologó en el </w:t>
      </w:r>
      <w:r w:rsidR="00627DAE" w:rsidRPr="00DF7E56">
        <w:rPr>
          <w:rFonts w:ascii="Verdana" w:hAnsi="Verdana"/>
          <w:sz w:val="20"/>
          <w:szCs w:val="20"/>
        </w:rPr>
        <w:t>inciso</w:t>
      </w:r>
      <w:r w:rsidR="00105417" w:rsidRPr="00DF7E56">
        <w:rPr>
          <w:rFonts w:ascii="Verdana" w:hAnsi="Verdana"/>
          <w:sz w:val="20"/>
          <w:szCs w:val="20"/>
        </w:rPr>
        <w:t xml:space="preserve"> n) del referido punto dispositivo y los párrafos 95, 96, 98, 99 y 100, el acuerdo relativo al reintegro de las costas y gastos “a la abogada María del Pilar Noriega García y […] a CEJIL [… por] las erogaciones realizadas en la gestión de este caso”. </w:t>
      </w:r>
      <w:r w:rsidR="003E420D" w:rsidRPr="00DF7E56">
        <w:rPr>
          <w:rFonts w:ascii="Verdana" w:hAnsi="Verdana"/>
          <w:sz w:val="20"/>
          <w:szCs w:val="20"/>
        </w:rPr>
        <w:t>En</w:t>
      </w:r>
      <w:r w:rsidR="00105417" w:rsidRPr="00DF7E56">
        <w:rPr>
          <w:rFonts w:ascii="Verdana" w:hAnsi="Verdana"/>
          <w:sz w:val="20"/>
          <w:szCs w:val="20"/>
        </w:rPr>
        <w:t xml:space="preserve"> el párrafo 96 de la Sentencia, la Corte indicó que</w:t>
      </w:r>
      <w:r w:rsidR="00065A4F" w:rsidRPr="00DF7E56">
        <w:rPr>
          <w:rFonts w:ascii="Verdana" w:hAnsi="Verdana"/>
          <w:sz w:val="20"/>
          <w:szCs w:val="20"/>
        </w:rPr>
        <w:t>,</w:t>
      </w:r>
      <w:r w:rsidR="00105417" w:rsidRPr="00DF7E56">
        <w:rPr>
          <w:rFonts w:ascii="Verdana" w:hAnsi="Verdana"/>
          <w:sz w:val="20"/>
          <w:szCs w:val="20"/>
        </w:rPr>
        <w:t xml:space="preserve"> según lo dispuesto en el acuerdo, dichas indemnizaciones y reintegro de costas y gastos</w:t>
      </w:r>
      <w:r w:rsidR="00065A4F" w:rsidRPr="00DF7E56">
        <w:rPr>
          <w:rFonts w:ascii="Verdana" w:hAnsi="Verdana"/>
          <w:sz w:val="20"/>
          <w:szCs w:val="20"/>
        </w:rPr>
        <w:t xml:space="preserve"> debían ser</w:t>
      </w:r>
      <w:r w:rsidR="00105417" w:rsidRPr="00DF7E56">
        <w:rPr>
          <w:rFonts w:ascii="Verdana" w:hAnsi="Verdana"/>
          <w:sz w:val="20"/>
          <w:szCs w:val="20"/>
        </w:rPr>
        <w:t xml:space="preserve"> pagadas por el Estado dentro de los 90 días naturales siguientes a la notificación de la S</w:t>
      </w:r>
      <w:r w:rsidR="00065A4F" w:rsidRPr="00DF7E56">
        <w:rPr>
          <w:rFonts w:ascii="Verdana" w:hAnsi="Verdana"/>
          <w:sz w:val="20"/>
          <w:szCs w:val="20"/>
        </w:rPr>
        <w:t>entencia</w:t>
      </w:r>
      <w:r w:rsidR="00105417" w:rsidRPr="00DF7E56">
        <w:rPr>
          <w:rFonts w:ascii="Verdana" w:hAnsi="Verdana"/>
          <w:sz w:val="20"/>
          <w:szCs w:val="20"/>
        </w:rPr>
        <w:t xml:space="preserve">. </w:t>
      </w:r>
      <w:r w:rsidR="003E420D" w:rsidRPr="00DF7E56">
        <w:rPr>
          <w:rFonts w:ascii="Verdana" w:hAnsi="Verdana"/>
          <w:sz w:val="20"/>
          <w:szCs w:val="20"/>
        </w:rPr>
        <w:t xml:space="preserve">A su vez, en el párrafo 99 de la Sentencia la Corte estimó procedente homologar lo dispuesto en el acuerdo respecto de la obligación de las partes de “guardar estricta confidencialidad de los montos correspondientes a las indemnizaciones económicas”, por lo cual omitió transcribirlos en la Sentencia. </w:t>
      </w:r>
    </w:p>
    <w:p w14:paraId="4CA76389" w14:textId="77777777" w:rsidR="00065A4F" w:rsidRPr="00DF7E56" w:rsidRDefault="00065A4F" w:rsidP="00065A4F">
      <w:pPr>
        <w:pStyle w:val="ListParagraph"/>
        <w:tabs>
          <w:tab w:val="left" w:pos="567"/>
        </w:tabs>
        <w:spacing w:after="0" w:line="240" w:lineRule="auto"/>
        <w:ind w:left="0" w:right="4"/>
        <w:jc w:val="both"/>
        <w:rPr>
          <w:rFonts w:ascii="Verdana" w:hAnsi="Verdana"/>
          <w:sz w:val="20"/>
          <w:szCs w:val="20"/>
        </w:rPr>
      </w:pPr>
    </w:p>
    <w:p w14:paraId="04FF027B" w14:textId="1355754A" w:rsidR="00DE3639" w:rsidRPr="00DF7E56" w:rsidRDefault="00DE3639" w:rsidP="00DE3639">
      <w:pPr>
        <w:pStyle w:val="ListParagraph"/>
        <w:ind w:left="1080" w:hanging="360"/>
        <w:rPr>
          <w:rFonts w:ascii="Verdana" w:hAnsi="Verdana"/>
          <w:i/>
          <w:sz w:val="20"/>
          <w:szCs w:val="20"/>
        </w:rPr>
      </w:pPr>
      <w:r w:rsidRPr="00DF7E56">
        <w:rPr>
          <w:rFonts w:ascii="Verdana" w:hAnsi="Verdana"/>
          <w:i/>
          <w:sz w:val="20"/>
          <w:szCs w:val="20"/>
        </w:rPr>
        <w:t>D.2) Consideraciones de la Corte</w:t>
      </w:r>
    </w:p>
    <w:p w14:paraId="4FED1920" w14:textId="77777777" w:rsidR="00DE3639" w:rsidRPr="00DF7E56" w:rsidRDefault="00DE3639" w:rsidP="00DE3639">
      <w:pPr>
        <w:pStyle w:val="ListParagraph"/>
        <w:tabs>
          <w:tab w:val="left" w:pos="567"/>
        </w:tabs>
        <w:spacing w:after="0" w:line="240" w:lineRule="auto"/>
        <w:ind w:left="0" w:right="4"/>
        <w:jc w:val="both"/>
        <w:rPr>
          <w:rFonts w:ascii="Verdana" w:hAnsi="Verdana"/>
          <w:sz w:val="20"/>
          <w:szCs w:val="20"/>
        </w:rPr>
      </w:pPr>
    </w:p>
    <w:p w14:paraId="3A7178CD" w14:textId="2135EEB7" w:rsidR="0084354B" w:rsidRPr="00DF7E56" w:rsidRDefault="007459C5" w:rsidP="0084354B">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 xml:space="preserve">Con base en la </w:t>
      </w:r>
      <w:r w:rsidR="0088094E" w:rsidRPr="00DF7E56">
        <w:rPr>
          <w:rFonts w:ascii="Verdana" w:hAnsi="Verdana"/>
          <w:sz w:val="20"/>
          <w:szCs w:val="20"/>
        </w:rPr>
        <w:t>información</w:t>
      </w:r>
      <w:r w:rsidRPr="00DF7E56">
        <w:rPr>
          <w:rFonts w:ascii="Verdana" w:hAnsi="Verdana"/>
          <w:sz w:val="20"/>
          <w:szCs w:val="20"/>
        </w:rPr>
        <w:t xml:space="preserve"> aportada por el Estado</w:t>
      </w:r>
      <w:r w:rsidR="00B85796" w:rsidRPr="00DF7E56">
        <w:rPr>
          <w:rStyle w:val="FootnoteReference"/>
          <w:rFonts w:ascii="Verdana" w:hAnsi="Verdana"/>
          <w:sz w:val="20"/>
          <w:szCs w:val="20"/>
        </w:rPr>
        <w:footnoteReference w:id="26"/>
      </w:r>
      <w:r w:rsidRPr="00DF7E56">
        <w:rPr>
          <w:rFonts w:ascii="Verdana" w:hAnsi="Verdana"/>
          <w:sz w:val="20"/>
          <w:szCs w:val="20"/>
        </w:rPr>
        <w:t xml:space="preserve">, </w:t>
      </w:r>
      <w:r w:rsidR="00061F11" w:rsidRPr="00DF7E56">
        <w:rPr>
          <w:rFonts w:ascii="Verdana" w:hAnsi="Verdana"/>
          <w:sz w:val="20"/>
          <w:szCs w:val="20"/>
        </w:rPr>
        <w:t>la cual no fue controvertida por los representantes de las víctimas</w:t>
      </w:r>
      <w:r w:rsidR="00760BC5" w:rsidRPr="00DF7E56">
        <w:rPr>
          <w:rStyle w:val="FootnoteReference"/>
          <w:rFonts w:ascii="Verdana" w:hAnsi="Verdana"/>
          <w:sz w:val="20"/>
          <w:szCs w:val="20"/>
        </w:rPr>
        <w:footnoteReference w:id="27"/>
      </w:r>
      <w:r w:rsidR="00061F11" w:rsidRPr="00DF7E56">
        <w:rPr>
          <w:rFonts w:ascii="Verdana" w:hAnsi="Verdana"/>
          <w:sz w:val="20"/>
          <w:szCs w:val="20"/>
        </w:rPr>
        <w:t>, la Corte observa que</w:t>
      </w:r>
      <w:r w:rsidR="00C3201D" w:rsidRPr="00DF7E56">
        <w:rPr>
          <w:rFonts w:ascii="Verdana" w:hAnsi="Verdana"/>
          <w:sz w:val="20"/>
          <w:szCs w:val="20"/>
        </w:rPr>
        <w:t xml:space="preserve"> el 16 de abril de 2014,</w:t>
      </w:r>
      <w:r w:rsidR="00061F11" w:rsidRPr="00DF7E56">
        <w:rPr>
          <w:rFonts w:ascii="Verdana" w:hAnsi="Verdana"/>
          <w:sz w:val="20"/>
          <w:szCs w:val="20"/>
        </w:rPr>
        <w:t xml:space="preserve"> mediante cheques</w:t>
      </w:r>
      <w:r w:rsidR="00670B07" w:rsidRPr="00DF7E56">
        <w:rPr>
          <w:rFonts w:ascii="Verdana" w:hAnsi="Verdana"/>
          <w:sz w:val="20"/>
          <w:szCs w:val="20"/>
        </w:rPr>
        <w:t xml:space="preserve"> de caja a favor de los señores García Cruz y Sánchez Silvestre,</w:t>
      </w:r>
      <w:r w:rsidR="00061F11" w:rsidRPr="00DF7E56">
        <w:rPr>
          <w:rFonts w:ascii="Verdana" w:hAnsi="Verdana"/>
          <w:sz w:val="20"/>
          <w:szCs w:val="20"/>
        </w:rPr>
        <w:t xml:space="preserve"> se hizo efectivo el pago de indemnizaciones por </w:t>
      </w:r>
      <w:r w:rsidR="0088094E" w:rsidRPr="00DF7E56">
        <w:rPr>
          <w:rFonts w:ascii="Verdana" w:hAnsi="Verdana"/>
          <w:sz w:val="20"/>
          <w:szCs w:val="20"/>
        </w:rPr>
        <w:t>“</w:t>
      </w:r>
      <w:r w:rsidR="00061F11" w:rsidRPr="00DF7E56">
        <w:rPr>
          <w:rFonts w:ascii="Verdana" w:hAnsi="Verdana"/>
          <w:sz w:val="20"/>
          <w:szCs w:val="20"/>
        </w:rPr>
        <w:t>daño material</w:t>
      </w:r>
      <w:r w:rsidR="0088094E" w:rsidRPr="00DF7E56">
        <w:rPr>
          <w:rFonts w:ascii="Verdana" w:hAnsi="Verdana"/>
          <w:sz w:val="20"/>
          <w:szCs w:val="20"/>
        </w:rPr>
        <w:t>”</w:t>
      </w:r>
      <w:r w:rsidR="00BA7A75" w:rsidRPr="00DF7E56">
        <w:rPr>
          <w:rStyle w:val="FootnoteReference"/>
          <w:rFonts w:ascii="Verdana" w:hAnsi="Verdana"/>
          <w:sz w:val="20"/>
          <w:szCs w:val="20"/>
        </w:rPr>
        <w:footnoteReference w:id="28"/>
      </w:r>
      <w:r w:rsidR="0088094E" w:rsidRPr="00DF7E56">
        <w:rPr>
          <w:rFonts w:ascii="Verdana" w:hAnsi="Verdana"/>
          <w:sz w:val="20"/>
          <w:szCs w:val="20"/>
        </w:rPr>
        <w:t xml:space="preserve"> y </w:t>
      </w:r>
      <w:r w:rsidR="007165DD" w:rsidRPr="00DF7E56">
        <w:rPr>
          <w:rFonts w:ascii="Verdana" w:hAnsi="Verdana"/>
          <w:sz w:val="20"/>
          <w:szCs w:val="20"/>
        </w:rPr>
        <w:t>“</w:t>
      </w:r>
      <w:r w:rsidR="0088094E" w:rsidRPr="00DF7E56">
        <w:rPr>
          <w:rFonts w:ascii="Verdana" w:hAnsi="Verdana"/>
          <w:sz w:val="20"/>
          <w:szCs w:val="20"/>
        </w:rPr>
        <w:t xml:space="preserve">daño </w:t>
      </w:r>
      <w:r w:rsidR="00061F11" w:rsidRPr="00DF7E56">
        <w:rPr>
          <w:rFonts w:ascii="Verdana" w:hAnsi="Verdana"/>
          <w:sz w:val="20"/>
          <w:szCs w:val="20"/>
        </w:rPr>
        <w:t>inmaterial</w:t>
      </w:r>
      <w:r w:rsidR="007165DD" w:rsidRPr="00DF7E56">
        <w:rPr>
          <w:rFonts w:ascii="Verdana" w:hAnsi="Verdana"/>
          <w:sz w:val="20"/>
          <w:szCs w:val="20"/>
        </w:rPr>
        <w:t>”</w:t>
      </w:r>
      <w:r w:rsidR="00BA7A75" w:rsidRPr="00DF7E56">
        <w:rPr>
          <w:rStyle w:val="FootnoteReference"/>
          <w:rFonts w:ascii="Verdana" w:hAnsi="Verdana"/>
          <w:sz w:val="20"/>
          <w:szCs w:val="20"/>
        </w:rPr>
        <w:footnoteReference w:id="29"/>
      </w:r>
      <w:r w:rsidR="009F538C" w:rsidRPr="00DF7E56">
        <w:rPr>
          <w:rFonts w:ascii="Verdana" w:hAnsi="Verdana"/>
          <w:sz w:val="20"/>
          <w:szCs w:val="20"/>
        </w:rPr>
        <w:t xml:space="preserve"> por determinadas cantidades que, en</w:t>
      </w:r>
      <w:r w:rsidR="008315BA" w:rsidRPr="00DF7E56">
        <w:rPr>
          <w:rFonts w:ascii="Verdana" w:hAnsi="Verdana"/>
          <w:sz w:val="20"/>
          <w:szCs w:val="20"/>
        </w:rPr>
        <w:t xml:space="preserve"> cumplimiento de la confidencialidad ordenada </w:t>
      </w:r>
      <w:r w:rsidR="007165DD" w:rsidRPr="00DF7E56">
        <w:rPr>
          <w:rFonts w:ascii="Verdana" w:hAnsi="Verdana"/>
          <w:sz w:val="20"/>
          <w:szCs w:val="20"/>
        </w:rPr>
        <w:t>en</w:t>
      </w:r>
      <w:r w:rsidR="008315BA" w:rsidRPr="00DF7E56">
        <w:rPr>
          <w:rFonts w:ascii="Verdana" w:hAnsi="Verdana"/>
          <w:sz w:val="20"/>
          <w:szCs w:val="20"/>
        </w:rPr>
        <w:t xml:space="preserve"> l</w:t>
      </w:r>
      <w:r w:rsidR="009F538C" w:rsidRPr="00DF7E56">
        <w:rPr>
          <w:rFonts w:ascii="Verdana" w:hAnsi="Verdana"/>
          <w:sz w:val="20"/>
          <w:szCs w:val="20"/>
        </w:rPr>
        <w:t>a Sentencia, quedarán reservadas</w:t>
      </w:r>
      <w:r w:rsidR="00670B07" w:rsidRPr="00DF7E56">
        <w:rPr>
          <w:rFonts w:ascii="Verdana" w:hAnsi="Verdana"/>
          <w:sz w:val="20"/>
          <w:szCs w:val="20"/>
          <w:lang w:val="es-ES"/>
        </w:rPr>
        <w:t xml:space="preserve">. </w:t>
      </w:r>
      <w:r w:rsidR="007165DD" w:rsidRPr="00DF7E56">
        <w:rPr>
          <w:rFonts w:ascii="Verdana" w:hAnsi="Verdana"/>
          <w:sz w:val="20"/>
          <w:szCs w:val="20"/>
          <w:lang w:val="es-ES"/>
        </w:rPr>
        <w:t xml:space="preserve">En esa misma fecha, el Estado señaló que </w:t>
      </w:r>
      <w:r w:rsidR="007165DD" w:rsidRPr="00DF7E56">
        <w:rPr>
          <w:rFonts w:ascii="Verdana" w:hAnsi="Verdana"/>
          <w:sz w:val="20"/>
          <w:szCs w:val="20"/>
        </w:rPr>
        <w:t xml:space="preserve">entregó a la abogada María del Pilar Noriega </w:t>
      </w:r>
      <w:r w:rsidR="007165DD" w:rsidRPr="00DF7E56">
        <w:rPr>
          <w:rFonts w:ascii="Verdana" w:hAnsi="Verdana"/>
          <w:sz w:val="20"/>
          <w:szCs w:val="20"/>
          <w:lang w:val="es-ES"/>
        </w:rPr>
        <w:t>García dos cheques de caja por concepto de reintegro de costas y gastos y, a su vez, realizó una transferencia electrónica a favor de CEJIL</w:t>
      </w:r>
      <w:r w:rsidR="008A220D" w:rsidRPr="00DF7E56">
        <w:rPr>
          <w:rFonts w:ascii="Verdana" w:hAnsi="Verdana"/>
          <w:sz w:val="20"/>
          <w:szCs w:val="20"/>
          <w:lang w:val="es-ES"/>
        </w:rPr>
        <w:t xml:space="preserve"> por el mismo concepto, quedando dichos montos también bajo confidencialidad. </w:t>
      </w:r>
      <w:r w:rsidR="007165DD" w:rsidRPr="00DF7E56">
        <w:rPr>
          <w:rFonts w:ascii="Verdana" w:hAnsi="Verdana"/>
          <w:sz w:val="20"/>
          <w:szCs w:val="20"/>
          <w:lang w:val="es-ES"/>
        </w:rPr>
        <w:t>Si bien</w:t>
      </w:r>
      <w:r w:rsidR="008315BA" w:rsidRPr="00DF7E56">
        <w:rPr>
          <w:rFonts w:ascii="Verdana" w:hAnsi="Verdana"/>
          <w:sz w:val="20"/>
          <w:szCs w:val="20"/>
          <w:lang w:val="es-ES"/>
        </w:rPr>
        <w:t xml:space="preserve"> el Estado no </w:t>
      </w:r>
      <w:r w:rsidR="007165DD" w:rsidRPr="00DF7E56">
        <w:rPr>
          <w:rFonts w:ascii="Verdana" w:hAnsi="Verdana"/>
          <w:sz w:val="20"/>
          <w:szCs w:val="20"/>
          <w:lang w:val="es-ES"/>
        </w:rPr>
        <w:t>aportó el respaldo documental de la entrega de los referidos cheques</w:t>
      </w:r>
      <w:r w:rsidR="008A220D" w:rsidRPr="00DF7E56">
        <w:rPr>
          <w:rFonts w:ascii="Verdana" w:hAnsi="Verdana"/>
          <w:sz w:val="20"/>
          <w:szCs w:val="20"/>
          <w:lang w:val="es-ES"/>
        </w:rPr>
        <w:t xml:space="preserve"> o transacción electrónica realizada</w:t>
      </w:r>
      <w:r w:rsidR="007165DD" w:rsidRPr="00DF7E56">
        <w:rPr>
          <w:rFonts w:ascii="Verdana" w:hAnsi="Verdana"/>
          <w:sz w:val="20"/>
          <w:szCs w:val="20"/>
          <w:lang w:val="es-ES"/>
        </w:rPr>
        <w:t xml:space="preserve">, </w:t>
      </w:r>
      <w:r w:rsidR="00AF544D" w:rsidRPr="00DF7E56">
        <w:rPr>
          <w:rFonts w:ascii="Verdana" w:hAnsi="Verdana"/>
          <w:sz w:val="20"/>
          <w:szCs w:val="20"/>
          <w:lang w:val="es-ES"/>
        </w:rPr>
        <w:t xml:space="preserve">los representantes de las víctimas </w:t>
      </w:r>
      <w:r w:rsidR="007165DD" w:rsidRPr="00DF7E56">
        <w:rPr>
          <w:rFonts w:ascii="Verdana" w:hAnsi="Verdana"/>
          <w:sz w:val="20"/>
          <w:szCs w:val="20"/>
          <w:lang w:val="es-ES"/>
        </w:rPr>
        <w:t>confirmaron “que el Estado ha cumplido con el pago de las indemnizaciones […</w:t>
      </w:r>
      <w:r w:rsidR="008A220D" w:rsidRPr="00DF7E56">
        <w:rPr>
          <w:rFonts w:ascii="Verdana" w:hAnsi="Verdana"/>
          <w:sz w:val="20"/>
          <w:szCs w:val="20"/>
          <w:lang w:val="es-ES"/>
        </w:rPr>
        <w:t xml:space="preserve"> y el reintegro de costas y gastos</w:t>
      </w:r>
      <w:r w:rsidR="007165DD" w:rsidRPr="00DF7E56">
        <w:rPr>
          <w:rFonts w:ascii="Verdana" w:hAnsi="Verdana"/>
          <w:sz w:val="20"/>
          <w:szCs w:val="20"/>
          <w:lang w:val="es-ES"/>
        </w:rPr>
        <w:t>]</w:t>
      </w:r>
      <w:r w:rsidR="008A220D" w:rsidRPr="00DF7E56">
        <w:rPr>
          <w:rFonts w:ascii="Verdana" w:hAnsi="Verdana"/>
          <w:sz w:val="20"/>
          <w:szCs w:val="20"/>
          <w:lang w:val="es-ES"/>
        </w:rPr>
        <w:t>”,</w:t>
      </w:r>
      <w:r w:rsidR="007165DD" w:rsidRPr="00DF7E56">
        <w:rPr>
          <w:rFonts w:ascii="Verdana" w:hAnsi="Verdana"/>
          <w:sz w:val="20"/>
          <w:szCs w:val="20"/>
          <w:lang w:val="es-ES"/>
        </w:rPr>
        <w:t xml:space="preserve"> por lo cual solicita</w:t>
      </w:r>
      <w:r w:rsidR="008A220D" w:rsidRPr="00DF7E56">
        <w:rPr>
          <w:rFonts w:ascii="Verdana" w:hAnsi="Verdana"/>
          <w:sz w:val="20"/>
          <w:szCs w:val="20"/>
          <w:lang w:val="es-ES"/>
        </w:rPr>
        <w:t>ron</w:t>
      </w:r>
      <w:r w:rsidR="007165DD" w:rsidRPr="00DF7E56">
        <w:rPr>
          <w:rFonts w:ascii="Verdana" w:hAnsi="Verdana"/>
          <w:sz w:val="20"/>
          <w:szCs w:val="20"/>
          <w:lang w:val="es-ES"/>
        </w:rPr>
        <w:t xml:space="preserve"> a la Corte </w:t>
      </w:r>
      <w:r w:rsidR="008A220D" w:rsidRPr="00DF7E56">
        <w:rPr>
          <w:rFonts w:ascii="Verdana" w:hAnsi="Verdana"/>
          <w:sz w:val="20"/>
          <w:szCs w:val="20"/>
          <w:lang w:val="es-ES"/>
        </w:rPr>
        <w:t>dar por cumplidas</w:t>
      </w:r>
      <w:r w:rsidR="007165DD" w:rsidRPr="00DF7E56">
        <w:rPr>
          <w:rFonts w:ascii="Verdana" w:hAnsi="Verdana"/>
          <w:sz w:val="20"/>
          <w:szCs w:val="20"/>
          <w:lang w:val="es-ES"/>
        </w:rPr>
        <w:t xml:space="preserve"> </w:t>
      </w:r>
      <w:r w:rsidR="008A220D" w:rsidRPr="00DF7E56">
        <w:rPr>
          <w:rFonts w:ascii="Verdana" w:hAnsi="Verdana"/>
          <w:sz w:val="20"/>
          <w:szCs w:val="20"/>
          <w:lang w:val="es-ES"/>
        </w:rPr>
        <w:t>estas medidas de reparación</w:t>
      </w:r>
      <w:r w:rsidR="00547854" w:rsidRPr="00DF7E56">
        <w:rPr>
          <w:rStyle w:val="FootnoteReference"/>
          <w:rFonts w:ascii="Verdana" w:hAnsi="Verdana"/>
          <w:sz w:val="20"/>
          <w:szCs w:val="20"/>
          <w:lang w:val="es-ES"/>
        </w:rPr>
        <w:footnoteReference w:id="30"/>
      </w:r>
      <w:r w:rsidR="008A220D" w:rsidRPr="00DF7E56">
        <w:rPr>
          <w:rFonts w:ascii="Verdana" w:hAnsi="Verdana"/>
          <w:sz w:val="20"/>
          <w:szCs w:val="20"/>
          <w:lang w:val="es-ES"/>
        </w:rPr>
        <w:t xml:space="preserve">. </w:t>
      </w:r>
    </w:p>
    <w:p w14:paraId="119604EB" w14:textId="77777777" w:rsidR="0084354B" w:rsidRPr="00DF7E56" w:rsidRDefault="0084354B" w:rsidP="0084354B">
      <w:pPr>
        <w:pStyle w:val="ListParagraph"/>
        <w:tabs>
          <w:tab w:val="left" w:pos="567"/>
        </w:tabs>
        <w:spacing w:after="0" w:line="240" w:lineRule="auto"/>
        <w:ind w:left="0" w:right="4"/>
        <w:jc w:val="both"/>
        <w:rPr>
          <w:rFonts w:ascii="Verdana" w:hAnsi="Verdana"/>
          <w:sz w:val="20"/>
          <w:szCs w:val="20"/>
        </w:rPr>
      </w:pPr>
    </w:p>
    <w:p w14:paraId="24DFC28C" w14:textId="54C03529" w:rsidR="00670B07" w:rsidRPr="00DF7E56" w:rsidRDefault="00670B07" w:rsidP="0084354B">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lang w:val="es-ES"/>
        </w:rPr>
        <w:lastRenderedPageBreak/>
        <w:t>Por lo anterior, la Corte considera que el Estado ha dado cumplimiento total a las medidas de reparación rela</w:t>
      </w:r>
      <w:r w:rsidR="0081624E" w:rsidRPr="00DF7E56">
        <w:rPr>
          <w:rFonts w:ascii="Verdana" w:hAnsi="Verdana"/>
          <w:sz w:val="20"/>
          <w:szCs w:val="20"/>
          <w:lang w:val="es-ES"/>
        </w:rPr>
        <w:t xml:space="preserve">tivas a los </w:t>
      </w:r>
      <w:r w:rsidR="0081624E" w:rsidRPr="00DF7E56">
        <w:rPr>
          <w:rFonts w:ascii="Verdana" w:hAnsi="Verdana"/>
          <w:sz w:val="20"/>
        </w:rPr>
        <w:t>pagos de las indemnizaciones por concepto de daños materiales e inmateriales y reintegro de costas y gastos</w:t>
      </w:r>
      <w:r w:rsidR="00DC6080" w:rsidRPr="00DF7E56">
        <w:rPr>
          <w:rFonts w:ascii="Verdana" w:hAnsi="Verdana"/>
          <w:sz w:val="20"/>
          <w:szCs w:val="20"/>
          <w:lang w:val="es-ES"/>
        </w:rPr>
        <w:t xml:space="preserve">, </w:t>
      </w:r>
      <w:r w:rsidR="0081624E" w:rsidRPr="00DF7E56">
        <w:rPr>
          <w:rFonts w:ascii="Verdana" w:hAnsi="Verdana"/>
          <w:sz w:val="20"/>
          <w:szCs w:val="20"/>
          <w:lang w:val="es-ES"/>
        </w:rPr>
        <w:t>según fueron ordenados</w:t>
      </w:r>
      <w:r w:rsidR="00DC6080" w:rsidRPr="00DF7E56">
        <w:rPr>
          <w:rFonts w:ascii="Verdana" w:hAnsi="Verdana"/>
          <w:sz w:val="20"/>
          <w:szCs w:val="20"/>
          <w:lang w:val="es-ES"/>
        </w:rPr>
        <w:t xml:space="preserve"> en e</w:t>
      </w:r>
      <w:r w:rsidRPr="00DF7E56">
        <w:rPr>
          <w:rFonts w:ascii="Verdana" w:hAnsi="Verdana"/>
          <w:sz w:val="20"/>
          <w:szCs w:val="20"/>
          <w:lang w:val="es-ES"/>
        </w:rPr>
        <w:t xml:space="preserve">l punto </w:t>
      </w:r>
      <w:r w:rsidR="0081624E" w:rsidRPr="00DF7E56">
        <w:rPr>
          <w:rFonts w:ascii="Verdana" w:hAnsi="Verdana"/>
          <w:sz w:val="20"/>
          <w:szCs w:val="20"/>
          <w:lang w:val="es-ES"/>
        </w:rPr>
        <w:t>dispositivo</w:t>
      </w:r>
      <w:r w:rsidR="00F37F53" w:rsidRPr="00DF7E56">
        <w:rPr>
          <w:rFonts w:ascii="Verdana" w:hAnsi="Verdana"/>
          <w:sz w:val="20"/>
          <w:szCs w:val="20"/>
          <w:lang w:val="es-ES"/>
        </w:rPr>
        <w:t xml:space="preserve"> sexto</w:t>
      </w:r>
      <w:r w:rsidRPr="00DF7E56">
        <w:rPr>
          <w:rFonts w:ascii="Verdana" w:hAnsi="Verdana"/>
          <w:sz w:val="20"/>
          <w:szCs w:val="20"/>
          <w:lang w:val="es-ES"/>
        </w:rPr>
        <w:t xml:space="preserve"> </w:t>
      </w:r>
      <w:r w:rsidR="00F37F53" w:rsidRPr="00DF7E56">
        <w:rPr>
          <w:rFonts w:ascii="Verdana" w:hAnsi="Verdana"/>
          <w:sz w:val="20"/>
          <w:szCs w:val="20"/>
          <w:lang w:val="es-ES"/>
        </w:rPr>
        <w:t>incisos</w:t>
      </w:r>
      <w:r w:rsidRPr="00DF7E56">
        <w:rPr>
          <w:rFonts w:ascii="Verdana" w:hAnsi="Verdana"/>
          <w:sz w:val="20"/>
          <w:szCs w:val="20"/>
          <w:lang w:val="es-ES"/>
        </w:rPr>
        <w:t xml:space="preserve"> m)</w:t>
      </w:r>
      <w:r w:rsidR="00DC6080" w:rsidRPr="00DF7E56">
        <w:rPr>
          <w:rFonts w:ascii="Verdana" w:hAnsi="Verdana"/>
          <w:sz w:val="20"/>
          <w:szCs w:val="20"/>
          <w:lang w:val="es-ES"/>
        </w:rPr>
        <w:t xml:space="preserve"> y n)</w:t>
      </w:r>
      <w:r w:rsidR="0081624E" w:rsidRPr="00DF7E56">
        <w:rPr>
          <w:rFonts w:ascii="Verdana" w:hAnsi="Verdana"/>
          <w:sz w:val="20"/>
          <w:szCs w:val="20"/>
          <w:lang w:val="es-ES"/>
        </w:rPr>
        <w:t xml:space="preserve"> y párrafos 94 a 100 de la Sentencia</w:t>
      </w:r>
      <w:r w:rsidRPr="00DF7E56">
        <w:rPr>
          <w:rFonts w:ascii="Verdana" w:hAnsi="Verdana"/>
          <w:sz w:val="20"/>
          <w:szCs w:val="20"/>
          <w:lang w:val="es-ES"/>
        </w:rPr>
        <w:t>.</w:t>
      </w:r>
    </w:p>
    <w:p w14:paraId="2473CA5F" w14:textId="77777777" w:rsidR="0071471C" w:rsidRPr="00DF7E56" w:rsidRDefault="0071471C" w:rsidP="00DB385A">
      <w:pPr>
        <w:spacing w:after="0" w:line="240" w:lineRule="auto"/>
        <w:jc w:val="both"/>
        <w:rPr>
          <w:rFonts w:ascii="Verdana" w:hAnsi="Verdana"/>
          <w:b/>
          <w:sz w:val="20"/>
          <w:szCs w:val="20"/>
        </w:rPr>
      </w:pPr>
    </w:p>
    <w:p w14:paraId="524732E6" w14:textId="77777777" w:rsidR="00DB385A" w:rsidRPr="00DF7E56" w:rsidRDefault="00DB385A" w:rsidP="00DB385A">
      <w:pPr>
        <w:pStyle w:val="BodyText"/>
        <w:tabs>
          <w:tab w:val="left" w:pos="360"/>
          <w:tab w:val="left" w:pos="567"/>
        </w:tabs>
        <w:spacing w:after="0"/>
        <w:ind w:right="48"/>
        <w:rPr>
          <w:rFonts w:ascii="Verdana" w:hAnsi="Verdana"/>
          <w:b/>
          <w:sz w:val="20"/>
        </w:rPr>
      </w:pPr>
      <w:r w:rsidRPr="00DF7E56">
        <w:rPr>
          <w:rFonts w:ascii="Verdana" w:hAnsi="Verdana"/>
          <w:b/>
          <w:sz w:val="20"/>
        </w:rPr>
        <w:t>POR TANTO:</w:t>
      </w:r>
    </w:p>
    <w:p w14:paraId="3716E0DE" w14:textId="77777777" w:rsidR="00877F85" w:rsidRDefault="00877F85" w:rsidP="00DB385A">
      <w:pPr>
        <w:pStyle w:val="BodyText"/>
        <w:tabs>
          <w:tab w:val="left" w:pos="360"/>
          <w:tab w:val="left" w:pos="567"/>
        </w:tabs>
        <w:spacing w:after="0"/>
        <w:ind w:right="48"/>
        <w:rPr>
          <w:rFonts w:ascii="Verdana" w:hAnsi="Verdana"/>
          <w:b/>
          <w:sz w:val="20"/>
        </w:rPr>
      </w:pPr>
    </w:p>
    <w:p w14:paraId="107871BB" w14:textId="77777777" w:rsidR="00DB385A" w:rsidRPr="00DF7E56" w:rsidRDefault="00DB385A" w:rsidP="00DB385A">
      <w:pPr>
        <w:pStyle w:val="BodyText"/>
        <w:tabs>
          <w:tab w:val="left" w:pos="360"/>
          <w:tab w:val="left" w:pos="567"/>
        </w:tabs>
        <w:spacing w:after="0"/>
        <w:ind w:right="48"/>
        <w:rPr>
          <w:rFonts w:ascii="Verdana" w:hAnsi="Verdana"/>
          <w:b/>
          <w:sz w:val="20"/>
        </w:rPr>
      </w:pPr>
      <w:r w:rsidRPr="00DF7E56">
        <w:rPr>
          <w:rFonts w:ascii="Verdana" w:hAnsi="Verdana"/>
          <w:b/>
          <w:sz w:val="20"/>
        </w:rPr>
        <w:t>LA CORTE INTERAMERICANA DE DERECHOS HUMANOS,</w:t>
      </w:r>
    </w:p>
    <w:p w14:paraId="77AFD40B" w14:textId="77777777" w:rsidR="00DB385A" w:rsidRPr="00DF7E56" w:rsidRDefault="00DB385A" w:rsidP="00DB385A">
      <w:pPr>
        <w:pStyle w:val="BodyText"/>
        <w:tabs>
          <w:tab w:val="left" w:pos="360"/>
          <w:tab w:val="left" w:pos="567"/>
        </w:tabs>
        <w:spacing w:after="0"/>
        <w:ind w:right="48"/>
        <w:rPr>
          <w:rFonts w:ascii="Verdana" w:hAnsi="Verdana"/>
          <w:b/>
          <w:sz w:val="20"/>
        </w:rPr>
      </w:pPr>
    </w:p>
    <w:p w14:paraId="2F66A448" w14:textId="77777777" w:rsidR="00DB385A" w:rsidRPr="00DF7E56" w:rsidRDefault="00DB385A" w:rsidP="00DB385A">
      <w:pPr>
        <w:tabs>
          <w:tab w:val="left" w:pos="567"/>
        </w:tabs>
        <w:spacing w:after="0" w:line="240" w:lineRule="auto"/>
        <w:ind w:right="48"/>
        <w:jc w:val="both"/>
        <w:rPr>
          <w:rFonts w:ascii="Verdana" w:hAnsi="Verdana"/>
          <w:sz w:val="20"/>
        </w:rPr>
      </w:pPr>
      <w:r w:rsidRPr="00DF7E56">
        <w:rPr>
          <w:rFonts w:ascii="Verdana" w:hAnsi="Verdana"/>
          <w:sz w:val="20"/>
        </w:rPr>
        <w:t>En el ejercicio de sus atribuciones de supervisión del cumplimiento de sus decisiones, de conformidad con los artículos 33, 62.1, 62.3, 65, 67 y 68.1 de la Convención Americana sobre Derechos Humanos, 24, 25 y 30 del Estatuto, y 31.2 y 69 de su Reglamento,</w:t>
      </w:r>
    </w:p>
    <w:p w14:paraId="12D6CDBE" w14:textId="77777777" w:rsidR="00DB385A" w:rsidRPr="00DF7E56" w:rsidRDefault="00DB385A" w:rsidP="00DB385A">
      <w:pPr>
        <w:tabs>
          <w:tab w:val="left" w:pos="567"/>
        </w:tabs>
        <w:spacing w:after="0" w:line="240" w:lineRule="auto"/>
        <w:ind w:right="48"/>
        <w:jc w:val="both"/>
        <w:rPr>
          <w:rFonts w:ascii="Verdana" w:hAnsi="Verdana"/>
          <w:sz w:val="20"/>
        </w:rPr>
      </w:pPr>
    </w:p>
    <w:p w14:paraId="4C6A288E" w14:textId="77777777" w:rsidR="00DB385A" w:rsidRPr="00DF7E56" w:rsidRDefault="00DB385A" w:rsidP="00DB385A">
      <w:pPr>
        <w:tabs>
          <w:tab w:val="left" w:pos="567"/>
        </w:tabs>
        <w:spacing w:after="0" w:line="240" w:lineRule="auto"/>
        <w:ind w:right="48"/>
        <w:jc w:val="both"/>
        <w:rPr>
          <w:rFonts w:ascii="Verdana" w:hAnsi="Verdana"/>
          <w:b/>
          <w:sz w:val="20"/>
        </w:rPr>
      </w:pPr>
      <w:r w:rsidRPr="00DF7E56">
        <w:rPr>
          <w:rFonts w:ascii="Verdana" w:hAnsi="Verdana"/>
          <w:b/>
          <w:sz w:val="20"/>
        </w:rPr>
        <w:t>RESUELVE:</w:t>
      </w:r>
    </w:p>
    <w:p w14:paraId="1FA2A694" w14:textId="77777777" w:rsidR="00DB385A" w:rsidRPr="00DF7E56" w:rsidRDefault="00DB385A" w:rsidP="00DB385A">
      <w:pPr>
        <w:spacing w:after="0" w:line="240" w:lineRule="auto"/>
        <w:jc w:val="both"/>
        <w:rPr>
          <w:rFonts w:ascii="Verdana" w:hAnsi="Verdana"/>
          <w:sz w:val="20"/>
        </w:rPr>
      </w:pPr>
    </w:p>
    <w:p w14:paraId="3DDD512F" w14:textId="2FD8E4BE" w:rsidR="00DB385A" w:rsidRPr="00DF7E56" w:rsidRDefault="00DB385A" w:rsidP="00DB385A">
      <w:pPr>
        <w:numPr>
          <w:ilvl w:val="0"/>
          <w:numId w:val="11"/>
        </w:numPr>
        <w:spacing w:after="0" w:line="240" w:lineRule="auto"/>
        <w:ind w:left="0" w:hanging="11"/>
        <w:jc w:val="both"/>
        <w:rPr>
          <w:rFonts w:ascii="Verdana" w:hAnsi="Verdana"/>
          <w:sz w:val="20"/>
        </w:rPr>
      </w:pPr>
      <w:r w:rsidRPr="00DF7E56">
        <w:rPr>
          <w:rFonts w:ascii="Verdana" w:hAnsi="Verdana"/>
          <w:sz w:val="20"/>
        </w:rPr>
        <w:t xml:space="preserve">Declarar, de conformidad con lo señalado en los Considerandos </w:t>
      </w:r>
      <w:r w:rsidR="00877F85">
        <w:rPr>
          <w:rFonts w:ascii="Verdana" w:hAnsi="Verdana"/>
          <w:sz w:val="20"/>
        </w:rPr>
        <w:t>7</w:t>
      </w:r>
      <w:r w:rsidRPr="00DF7E56">
        <w:rPr>
          <w:rFonts w:ascii="Verdana" w:hAnsi="Verdana"/>
          <w:sz w:val="20"/>
        </w:rPr>
        <w:t xml:space="preserve"> a </w:t>
      </w:r>
      <w:r w:rsidR="00877F85">
        <w:rPr>
          <w:rFonts w:ascii="Verdana" w:hAnsi="Verdana"/>
          <w:sz w:val="20"/>
        </w:rPr>
        <w:t>11</w:t>
      </w:r>
      <w:r w:rsidRPr="00DF7E56">
        <w:rPr>
          <w:rFonts w:ascii="Verdana" w:hAnsi="Verdana"/>
          <w:sz w:val="20"/>
        </w:rPr>
        <w:t xml:space="preserve"> de la presente Resolución, que el Estado ha dado cumplimiento total </w:t>
      </w:r>
      <w:r w:rsidR="00973A63" w:rsidRPr="00DF7E56">
        <w:rPr>
          <w:rFonts w:ascii="Verdana" w:hAnsi="Verdana"/>
          <w:sz w:val="20"/>
          <w:szCs w:val="20"/>
        </w:rPr>
        <w:t xml:space="preserve">a las medidas de publicación y difusión de la Sentencia y su resumen oficial ordenadas en el punto dispositivo sexto </w:t>
      </w:r>
      <w:r w:rsidR="00627DAE" w:rsidRPr="00DF7E56">
        <w:rPr>
          <w:rFonts w:ascii="Verdana" w:hAnsi="Verdana"/>
          <w:sz w:val="20"/>
          <w:szCs w:val="20"/>
        </w:rPr>
        <w:t>inciso</w:t>
      </w:r>
      <w:r w:rsidR="00973A63" w:rsidRPr="00DF7E56">
        <w:rPr>
          <w:rFonts w:ascii="Verdana" w:hAnsi="Verdana"/>
          <w:sz w:val="20"/>
          <w:szCs w:val="20"/>
        </w:rPr>
        <w:t xml:space="preserve"> f) y los párrafos 8</w:t>
      </w:r>
      <w:r w:rsidR="00A0733D" w:rsidRPr="00DF7E56">
        <w:rPr>
          <w:rFonts w:ascii="Verdana" w:hAnsi="Verdana"/>
          <w:sz w:val="20"/>
          <w:szCs w:val="20"/>
        </w:rPr>
        <w:t>6</w:t>
      </w:r>
      <w:r w:rsidR="00973A63" w:rsidRPr="00DF7E56">
        <w:rPr>
          <w:rFonts w:ascii="Verdana" w:hAnsi="Verdana"/>
          <w:sz w:val="20"/>
          <w:szCs w:val="20"/>
        </w:rPr>
        <w:t xml:space="preserve"> y 87 de la misma, así como a las medidas de publicación y difusión de la sentencia del juicio de amparo 778/2012 y su resumen acordado con las víctimas y sus representantes, según fue ordenado en el punto dispositivo sexto </w:t>
      </w:r>
      <w:r w:rsidR="00627DAE" w:rsidRPr="00DF7E56">
        <w:rPr>
          <w:rFonts w:ascii="Verdana" w:hAnsi="Verdana"/>
          <w:sz w:val="20"/>
          <w:szCs w:val="20"/>
        </w:rPr>
        <w:t>inciso</w:t>
      </w:r>
      <w:r w:rsidR="00973A63" w:rsidRPr="00DF7E56">
        <w:rPr>
          <w:rFonts w:ascii="Verdana" w:hAnsi="Verdana"/>
          <w:sz w:val="20"/>
          <w:szCs w:val="20"/>
        </w:rPr>
        <w:t xml:space="preserve"> k) y los párrafos 90 y 91 de la Sentencia.</w:t>
      </w:r>
      <w:r w:rsidRPr="00DF7E56">
        <w:rPr>
          <w:rFonts w:ascii="Verdana" w:hAnsi="Verdana"/>
          <w:sz w:val="20"/>
        </w:rPr>
        <w:t xml:space="preserve"> </w:t>
      </w:r>
    </w:p>
    <w:p w14:paraId="6E80549C" w14:textId="77777777" w:rsidR="00DB385A" w:rsidRPr="00DF7E56" w:rsidRDefault="00DB385A" w:rsidP="00DB385A">
      <w:pPr>
        <w:pStyle w:val="ListParagraph"/>
        <w:spacing w:after="0" w:line="240" w:lineRule="auto"/>
        <w:rPr>
          <w:rFonts w:ascii="Verdana" w:hAnsi="Verdana"/>
          <w:sz w:val="20"/>
        </w:rPr>
      </w:pPr>
    </w:p>
    <w:p w14:paraId="4C3ACB06" w14:textId="2E2977AB" w:rsidR="00DB385A" w:rsidRPr="00DF7E56" w:rsidRDefault="00DB385A" w:rsidP="00DB385A">
      <w:pPr>
        <w:numPr>
          <w:ilvl w:val="0"/>
          <w:numId w:val="11"/>
        </w:numPr>
        <w:spacing w:after="0" w:line="240" w:lineRule="auto"/>
        <w:ind w:left="0" w:hanging="11"/>
        <w:jc w:val="both"/>
        <w:rPr>
          <w:rFonts w:ascii="Verdana" w:hAnsi="Verdana"/>
          <w:b/>
          <w:sz w:val="20"/>
        </w:rPr>
      </w:pPr>
      <w:r w:rsidRPr="00DF7E56">
        <w:rPr>
          <w:rFonts w:ascii="Verdana" w:hAnsi="Verdana"/>
          <w:sz w:val="20"/>
        </w:rPr>
        <w:t xml:space="preserve">Declarar, de conformidad con lo señalado en los Considerandos </w:t>
      </w:r>
      <w:r w:rsidR="004203C8" w:rsidRPr="00DF7E56">
        <w:rPr>
          <w:rFonts w:ascii="Verdana" w:hAnsi="Verdana"/>
          <w:sz w:val="20"/>
        </w:rPr>
        <w:t>1</w:t>
      </w:r>
      <w:r w:rsidR="00877F85">
        <w:rPr>
          <w:rFonts w:ascii="Verdana" w:hAnsi="Verdana"/>
          <w:sz w:val="20"/>
        </w:rPr>
        <w:t>4</w:t>
      </w:r>
      <w:r w:rsidRPr="00DF7E56">
        <w:rPr>
          <w:rFonts w:ascii="Verdana" w:hAnsi="Verdana"/>
          <w:sz w:val="20"/>
        </w:rPr>
        <w:t xml:space="preserve"> a </w:t>
      </w:r>
      <w:r w:rsidR="004203C8" w:rsidRPr="00DF7E56">
        <w:rPr>
          <w:rFonts w:ascii="Verdana" w:hAnsi="Verdana"/>
          <w:sz w:val="20"/>
        </w:rPr>
        <w:t>1</w:t>
      </w:r>
      <w:r w:rsidR="00877F85">
        <w:rPr>
          <w:rFonts w:ascii="Verdana" w:hAnsi="Verdana"/>
          <w:sz w:val="20"/>
        </w:rPr>
        <w:t>7</w:t>
      </w:r>
      <w:r w:rsidRPr="00DF7E56">
        <w:rPr>
          <w:rFonts w:ascii="Verdana" w:hAnsi="Verdana"/>
          <w:sz w:val="20"/>
        </w:rPr>
        <w:t xml:space="preserve"> de la presente Resolución, que el Estado</w:t>
      </w:r>
      <w:r w:rsidR="002E6D42" w:rsidRPr="00DF7E56">
        <w:rPr>
          <w:rFonts w:ascii="Verdana" w:hAnsi="Verdana"/>
          <w:sz w:val="20"/>
        </w:rPr>
        <w:t xml:space="preserve"> </w:t>
      </w:r>
      <w:r w:rsidR="002E6D42" w:rsidRPr="00DF7E56">
        <w:rPr>
          <w:rFonts w:ascii="Verdana" w:hAnsi="Verdana"/>
          <w:sz w:val="20"/>
          <w:szCs w:val="20"/>
          <w:lang w:val="es-ES"/>
        </w:rPr>
        <w:t xml:space="preserve">ha venido dando cumplimiento a las medidas de reparación relativas a garantizar la educación de las víctimas y de la hija del señor Sánchez Silvestre hasta la conclusión de sus estudios universitarios o técnicos, según sea su interés, a través del pago de becas educativas, según fue ordenado en el punto </w:t>
      </w:r>
      <w:r w:rsidR="002E6D42" w:rsidRPr="00DF7E56">
        <w:rPr>
          <w:rFonts w:ascii="Verdana" w:hAnsi="Verdana"/>
          <w:sz w:val="20"/>
        </w:rPr>
        <w:t xml:space="preserve">dispositivo sexto </w:t>
      </w:r>
      <w:r w:rsidR="00627DAE" w:rsidRPr="00DF7E56">
        <w:rPr>
          <w:rFonts w:ascii="Verdana" w:hAnsi="Verdana"/>
          <w:sz w:val="20"/>
        </w:rPr>
        <w:t>inciso</w:t>
      </w:r>
      <w:r w:rsidR="002E6D42" w:rsidRPr="00DF7E56">
        <w:rPr>
          <w:rFonts w:ascii="Verdana" w:hAnsi="Verdana"/>
          <w:sz w:val="20"/>
        </w:rPr>
        <w:t>s g) y h) y los párrafos 8</w:t>
      </w:r>
      <w:r w:rsidR="00D83658">
        <w:rPr>
          <w:rFonts w:ascii="Verdana" w:hAnsi="Verdana"/>
          <w:sz w:val="20"/>
        </w:rPr>
        <w:t>1</w:t>
      </w:r>
      <w:r w:rsidR="002E6D42" w:rsidRPr="00DF7E56">
        <w:rPr>
          <w:rFonts w:ascii="Verdana" w:hAnsi="Verdana"/>
          <w:sz w:val="20"/>
        </w:rPr>
        <w:t xml:space="preserve"> a 83</w:t>
      </w:r>
      <w:r w:rsidR="002E6D42" w:rsidRPr="00DF7E56">
        <w:rPr>
          <w:rFonts w:ascii="Verdana" w:hAnsi="Verdana"/>
          <w:sz w:val="20"/>
          <w:szCs w:val="20"/>
          <w:lang w:val="es-ES"/>
        </w:rPr>
        <w:t xml:space="preserve"> de la Sentencia.</w:t>
      </w:r>
    </w:p>
    <w:p w14:paraId="068B83AB" w14:textId="77777777" w:rsidR="00DB385A" w:rsidRPr="00DF7E56" w:rsidRDefault="00DB385A" w:rsidP="00DB385A">
      <w:pPr>
        <w:pStyle w:val="ListParagraph"/>
        <w:spacing w:after="0" w:line="240" w:lineRule="auto"/>
        <w:rPr>
          <w:rFonts w:ascii="Verdana" w:hAnsi="Verdana"/>
          <w:sz w:val="20"/>
        </w:rPr>
      </w:pPr>
    </w:p>
    <w:p w14:paraId="7687C87D" w14:textId="2BA7197B" w:rsidR="00DB385A" w:rsidRPr="00DF7E56" w:rsidRDefault="00DB385A" w:rsidP="00DB385A">
      <w:pPr>
        <w:numPr>
          <w:ilvl w:val="0"/>
          <w:numId w:val="11"/>
        </w:numPr>
        <w:spacing w:after="0" w:line="240" w:lineRule="auto"/>
        <w:ind w:left="0" w:hanging="11"/>
        <w:jc w:val="both"/>
        <w:rPr>
          <w:rFonts w:ascii="Verdana" w:hAnsi="Verdana"/>
          <w:b/>
          <w:sz w:val="20"/>
        </w:rPr>
      </w:pPr>
      <w:r w:rsidRPr="00DF7E56">
        <w:rPr>
          <w:rFonts w:ascii="Verdana" w:hAnsi="Verdana"/>
          <w:sz w:val="20"/>
        </w:rPr>
        <w:t xml:space="preserve">Declarar, de conformidad con lo señalado en los Considerandos </w:t>
      </w:r>
      <w:r w:rsidR="00877F85">
        <w:rPr>
          <w:rFonts w:ascii="Verdana" w:hAnsi="Verdana"/>
          <w:sz w:val="20"/>
        </w:rPr>
        <w:t>19</w:t>
      </w:r>
      <w:r w:rsidRPr="00DF7E56">
        <w:rPr>
          <w:rFonts w:ascii="Verdana" w:hAnsi="Verdana"/>
          <w:sz w:val="20"/>
        </w:rPr>
        <w:t xml:space="preserve"> a </w:t>
      </w:r>
      <w:r w:rsidR="004203C8" w:rsidRPr="00DF7E56">
        <w:rPr>
          <w:rFonts w:ascii="Verdana" w:hAnsi="Verdana"/>
          <w:sz w:val="20"/>
        </w:rPr>
        <w:t>2</w:t>
      </w:r>
      <w:r w:rsidR="00877F85">
        <w:rPr>
          <w:rFonts w:ascii="Verdana" w:hAnsi="Verdana"/>
          <w:sz w:val="20"/>
        </w:rPr>
        <w:t>3</w:t>
      </w:r>
      <w:r w:rsidRPr="00DF7E56">
        <w:rPr>
          <w:rFonts w:ascii="Verdana" w:hAnsi="Verdana"/>
          <w:sz w:val="20"/>
        </w:rPr>
        <w:t xml:space="preserve"> de la presente Resolución, que el Estado</w:t>
      </w:r>
      <w:r w:rsidR="00F07DE5" w:rsidRPr="00DF7E56">
        <w:rPr>
          <w:rFonts w:ascii="Verdana" w:hAnsi="Verdana"/>
          <w:sz w:val="20"/>
        </w:rPr>
        <w:t xml:space="preserve"> ha venido</w:t>
      </w:r>
      <w:r w:rsidR="00F07DE5" w:rsidRPr="00DF7E56">
        <w:rPr>
          <w:rFonts w:ascii="Verdana" w:hAnsi="Verdana"/>
          <w:color w:val="000000" w:themeColor="text1"/>
          <w:sz w:val="20"/>
          <w:szCs w:val="20"/>
        </w:rPr>
        <w:t xml:space="preserve"> </w:t>
      </w:r>
      <w:r w:rsidR="004B4E67" w:rsidRPr="00DF7E56">
        <w:rPr>
          <w:rFonts w:ascii="Verdana" w:hAnsi="Verdana"/>
          <w:color w:val="000000" w:themeColor="text1"/>
          <w:sz w:val="20"/>
          <w:szCs w:val="20"/>
        </w:rPr>
        <w:t xml:space="preserve">realizando gestiones para </w:t>
      </w:r>
      <w:r w:rsidR="00F07DE5" w:rsidRPr="00DF7E56">
        <w:rPr>
          <w:rFonts w:ascii="Verdana" w:hAnsi="Verdana"/>
          <w:color w:val="000000" w:themeColor="text1"/>
          <w:sz w:val="20"/>
          <w:szCs w:val="20"/>
        </w:rPr>
        <w:t>da</w:t>
      </w:r>
      <w:r w:rsidR="004B4E67" w:rsidRPr="00DF7E56">
        <w:rPr>
          <w:rFonts w:ascii="Verdana" w:hAnsi="Verdana"/>
          <w:color w:val="000000" w:themeColor="text1"/>
          <w:sz w:val="20"/>
          <w:szCs w:val="20"/>
        </w:rPr>
        <w:t>r</w:t>
      </w:r>
      <w:r w:rsidR="00F07DE5" w:rsidRPr="00DF7E56">
        <w:rPr>
          <w:rFonts w:ascii="Verdana" w:hAnsi="Verdana"/>
          <w:color w:val="000000" w:themeColor="text1"/>
          <w:sz w:val="20"/>
          <w:szCs w:val="20"/>
        </w:rPr>
        <w:t xml:space="preserve"> cumplimiento a la medida de reparación relativa a </w:t>
      </w:r>
      <w:r w:rsidR="00F07DE5" w:rsidRPr="00DF7E56">
        <w:rPr>
          <w:rFonts w:ascii="Verdana" w:hAnsi="Verdana"/>
          <w:sz w:val="20"/>
          <w:szCs w:val="20"/>
        </w:rPr>
        <w:t>entregar en propiedad una vivienda en el Distrito</w:t>
      </w:r>
      <w:r w:rsidR="00F07DE5" w:rsidRPr="00DF7E56">
        <w:rPr>
          <w:rFonts w:ascii="Verdana" w:hAnsi="Verdana"/>
          <w:sz w:val="20"/>
          <w:szCs w:val="20"/>
          <w:lang w:val="es-ES"/>
        </w:rPr>
        <w:t xml:space="preserve"> Federal a cada víctima a través del INVI, según fue ordenad</w:t>
      </w:r>
      <w:r w:rsidR="0006046B" w:rsidRPr="00DF7E56">
        <w:rPr>
          <w:rFonts w:ascii="Verdana" w:hAnsi="Verdana"/>
          <w:sz w:val="20"/>
          <w:szCs w:val="20"/>
          <w:lang w:val="es-ES"/>
        </w:rPr>
        <w:t>o en el punto dispositivo sexto</w:t>
      </w:r>
      <w:r w:rsidR="00F07DE5" w:rsidRPr="00DF7E56">
        <w:rPr>
          <w:rFonts w:ascii="Verdana" w:hAnsi="Verdana"/>
          <w:sz w:val="20"/>
          <w:szCs w:val="20"/>
          <w:lang w:val="es-ES"/>
        </w:rPr>
        <w:t xml:space="preserve"> </w:t>
      </w:r>
      <w:r w:rsidR="00627DAE" w:rsidRPr="00DF7E56">
        <w:rPr>
          <w:rFonts w:ascii="Verdana" w:hAnsi="Verdana"/>
          <w:sz w:val="20"/>
          <w:szCs w:val="20"/>
          <w:lang w:val="es-ES"/>
        </w:rPr>
        <w:t>inciso</w:t>
      </w:r>
      <w:r w:rsidR="00F07DE5" w:rsidRPr="00DF7E56">
        <w:rPr>
          <w:rFonts w:ascii="Verdana" w:hAnsi="Verdana"/>
          <w:sz w:val="20"/>
          <w:szCs w:val="20"/>
          <w:lang w:val="es-ES"/>
        </w:rPr>
        <w:t xml:space="preserve"> i) y los párrafos 79 y 80 de la Sentencia</w:t>
      </w:r>
      <w:r w:rsidRPr="00DF7E56">
        <w:rPr>
          <w:rFonts w:ascii="Verdana" w:hAnsi="Verdana"/>
          <w:sz w:val="20"/>
        </w:rPr>
        <w:t>.</w:t>
      </w:r>
    </w:p>
    <w:p w14:paraId="5AFEE18F" w14:textId="77777777" w:rsidR="00636016" w:rsidRPr="00DF7E56" w:rsidRDefault="00636016" w:rsidP="00636016">
      <w:pPr>
        <w:spacing w:after="0" w:line="240" w:lineRule="auto"/>
        <w:jc w:val="both"/>
        <w:rPr>
          <w:rFonts w:ascii="Verdana" w:hAnsi="Verdana"/>
          <w:b/>
          <w:sz w:val="20"/>
        </w:rPr>
      </w:pPr>
    </w:p>
    <w:p w14:paraId="3CB77054" w14:textId="58E84759" w:rsidR="00DB385A" w:rsidRPr="00DF7E56" w:rsidRDefault="00DB385A" w:rsidP="00DB385A">
      <w:pPr>
        <w:numPr>
          <w:ilvl w:val="0"/>
          <w:numId w:val="11"/>
        </w:numPr>
        <w:spacing w:after="0" w:line="240" w:lineRule="auto"/>
        <w:ind w:left="0" w:hanging="11"/>
        <w:jc w:val="both"/>
        <w:rPr>
          <w:rFonts w:ascii="Verdana" w:hAnsi="Verdana"/>
          <w:b/>
          <w:sz w:val="20"/>
        </w:rPr>
      </w:pPr>
      <w:r w:rsidRPr="00DF7E56">
        <w:rPr>
          <w:rFonts w:ascii="Verdana" w:hAnsi="Verdana"/>
          <w:sz w:val="20"/>
        </w:rPr>
        <w:t xml:space="preserve">Declarar, de conformidad con lo señalado en los Considerandos </w:t>
      </w:r>
      <w:r w:rsidR="004203C8" w:rsidRPr="00DF7E56">
        <w:rPr>
          <w:rFonts w:ascii="Verdana" w:hAnsi="Verdana"/>
          <w:sz w:val="20"/>
        </w:rPr>
        <w:t>2</w:t>
      </w:r>
      <w:r w:rsidR="00877F85">
        <w:rPr>
          <w:rFonts w:ascii="Verdana" w:hAnsi="Verdana"/>
          <w:sz w:val="20"/>
        </w:rPr>
        <w:t>5</w:t>
      </w:r>
      <w:r w:rsidRPr="00DF7E56">
        <w:rPr>
          <w:rFonts w:ascii="Verdana" w:hAnsi="Verdana"/>
          <w:sz w:val="20"/>
        </w:rPr>
        <w:t xml:space="preserve"> a </w:t>
      </w:r>
      <w:r w:rsidR="004203C8" w:rsidRPr="00DF7E56">
        <w:rPr>
          <w:rFonts w:ascii="Verdana" w:hAnsi="Verdana"/>
          <w:sz w:val="20"/>
        </w:rPr>
        <w:t>2</w:t>
      </w:r>
      <w:r w:rsidR="00877F85">
        <w:rPr>
          <w:rFonts w:ascii="Verdana" w:hAnsi="Verdana"/>
          <w:sz w:val="20"/>
        </w:rPr>
        <w:t>6</w:t>
      </w:r>
      <w:r w:rsidRPr="00DF7E56">
        <w:rPr>
          <w:rFonts w:ascii="Verdana" w:hAnsi="Verdana"/>
          <w:sz w:val="20"/>
        </w:rPr>
        <w:t xml:space="preserve"> de la presente Resolución, que el Estado </w:t>
      </w:r>
      <w:r w:rsidR="0081624E" w:rsidRPr="00DF7E56">
        <w:rPr>
          <w:rFonts w:ascii="Verdana" w:hAnsi="Verdana"/>
          <w:sz w:val="20"/>
          <w:szCs w:val="20"/>
          <w:lang w:val="es-ES"/>
        </w:rPr>
        <w:t xml:space="preserve">ha dado cumplimiento total a las medidas de reparación relativas a los </w:t>
      </w:r>
      <w:r w:rsidR="0081624E" w:rsidRPr="00DF7E56">
        <w:rPr>
          <w:rFonts w:ascii="Verdana" w:hAnsi="Verdana"/>
          <w:sz w:val="20"/>
        </w:rPr>
        <w:t>pagos de las indemnizaciones por concepto de daños materiales e inmateriales y reintegro de costas y gastos</w:t>
      </w:r>
      <w:r w:rsidR="0081624E" w:rsidRPr="00DF7E56">
        <w:rPr>
          <w:rFonts w:ascii="Verdana" w:hAnsi="Verdana"/>
          <w:sz w:val="20"/>
          <w:szCs w:val="20"/>
          <w:lang w:val="es-ES"/>
        </w:rPr>
        <w:t>, según fueron ordenados en el punto dispositivo sexto</w:t>
      </w:r>
      <w:r w:rsidR="0006046B" w:rsidRPr="00DF7E56">
        <w:rPr>
          <w:rFonts w:ascii="Verdana" w:hAnsi="Verdana"/>
          <w:sz w:val="20"/>
          <w:szCs w:val="20"/>
          <w:lang w:val="es-ES"/>
        </w:rPr>
        <w:t xml:space="preserve"> incisos</w:t>
      </w:r>
      <w:r w:rsidR="0081624E" w:rsidRPr="00DF7E56">
        <w:rPr>
          <w:rFonts w:ascii="Verdana" w:hAnsi="Verdana"/>
          <w:sz w:val="20"/>
          <w:szCs w:val="20"/>
          <w:lang w:val="es-ES"/>
        </w:rPr>
        <w:t xml:space="preserve"> m) y n) y párrafos 94 a 100 de la Sentencia</w:t>
      </w:r>
      <w:r w:rsidRPr="00DF7E56">
        <w:rPr>
          <w:rFonts w:ascii="Verdana" w:hAnsi="Verdana"/>
          <w:sz w:val="20"/>
        </w:rPr>
        <w:t>.</w:t>
      </w:r>
    </w:p>
    <w:p w14:paraId="51C2A2FD" w14:textId="77777777" w:rsidR="00DB385A" w:rsidRPr="00DF7E56" w:rsidRDefault="00DB385A" w:rsidP="00DB385A">
      <w:pPr>
        <w:spacing w:after="0" w:line="240" w:lineRule="auto"/>
        <w:jc w:val="both"/>
        <w:rPr>
          <w:rFonts w:ascii="Verdana" w:hAnsi="Verdana"/>
          <w:b/>
          <w:sz w:val="20"/>
        </w:rPr>
      </w:pPr>
    </w:p>
    <w:p w14:paraId="3146EC79" w14:textId="407B9C92" w:rsidR="00DB385A" w:rsidRPr="00DF7E56" w:rsidRDefault="00DB385A" w:rsidP="00DB385A">
      <w:pPr>
        <w:numPr>
          <w:ilvl w:val="0"/>
          <w:numId w:val="11"/>
        </w:numPr>
        <w:spacing w:after="0" w:line="240" w:lineRule="auto"/>
        <w:ind w:left="0" w:hanging="11"/>
        <w:jc w:val="both"/>
        <w:rPr>
          <w:rFonts w:ascii="Verdana" w:hAnsi="Verdana"/>
          <w:b/>
          <w:sz w:val="20"/>
        </w:rPr>
      </w:pPr>
      <w:r w:rsidRPr="00DF7E56">
        <w:rPr>
          <w:rFonts w:ascii="Verdana" w:hAnsi="Verdana"/>
          <w:sz w:val="20"/>
        </w:rPr>
        <w:t xml:space="preserve">Mantener abierto el procedimiento de supervisión de cumplimiento respecto de las medidas de reparación pendientes ordenadas en la Sentencia, de conformidad con lo señalado en los Considerados </w:t>
      </w:r>
      <w:r w:rsidR="00877F85">
        <w:rPr>
          <w:rFonts w:ascii="Verdana" w:hAnsi="Verdana"/>
          <w:sz w:val="20"/>
        </w:rPr>
        <w:t>3</w:t>
      </w:r>
      <w:r w:rsidR="0084759D" w:rsidRPr="00DF7E56">
        <w:rPr>
          <w:rFonts w:ascii="Verdana" w:hAnsi="Verdana"/>
          <w:sz w:val="20"/>
        </w:rPr>
        <w:t>, 1</w:t>
      </w:r>
      <w:r w:rsidR="00877F85">
        <w:rPr>
          <w:rFonts w:ascii="Verdana" w:hAnsi="Verdana"/>
          <w:sz w:val="20"/>
        </w:rPr>
        <w:t>7</w:t>
      </w:r>
      <w:r w:rsidR="00673A27" w:rsidRPr="00DF7E56">
        <w:rPr>
          <w:rFonts w:ascii="Verdana" w:hAnsi="Verdana"/>
          <w:sz w:val="20"/>
        </w:rPr>
        <w:t xml:space="preserve"> y 2</w:t>
      </w:r>
      <w:r w:rsidR="00877F85">
        <w:rPr>
          <w:rFonts w:ascii="Verdana" w:hAnsi="Verdana"/>
          <w:sz w:val="20"/>
        </w:rPr>
        <w:t>3</w:t>
      </w:r>
      <w:r w:rsidRPr="00DF7E56">
        <w:rPr>
          <w:rFonts w:ascii="Verdana" w:hAnsi="Verdana"/>
          <w:sz w:val="20"/>
        </w:rPr>
        <w:t xml:space="preserve"> de la pre</w:t>
      </w:r>
      <w:r w:rsidR="007E3438" w:rsidRPr="00DF7E56">
        <w:rPr>
          <w:rFonts w:ascii="Verdana" w:hAnsi="Verdana"/>
          <w:sz w:val="20"/>
        </w:rPr>
        <w:t>sente Resolución:</w:t>
      </w:r>
      <w:r w:rsidRPr="00DF7E56">
        <w:rPr>
          <w:rFonts w:ascii="Verdana" w:hAnsi="Verdana"/>
          <w:sz w:val="20"/>
        </w:rPr>
        <w:t xml:space="preserve"> </w:t>
      </w:r>
    </w:p>
    <w:p w14:paraId="44F8790B" w14:textId="77777777" w:rsidR="005406DF" w:rsidRPr="00DF7E56" w:rsidRDefault="005406DF" w:rsidP="005406DF">
      <w:pPr>
        <w:spacing w:after="0" w:line="240" w:lineRule="auto"/>
        <w:jc w:val="both"/>
        <w:rPr>
          <w:rFonts w:ascii="Verdana" w:hAnsi="Verdana"/>
          <w:b/>
          <w:sz w:val="20"/>
        </w:rPr>
      </w:pPr>
    </w:p>
    <w:p w14:paraId="22EE6D18" w14:textId="0784AD18"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realizar y proseguir de modo diligente todas las investigaciones y actuaciones necesarias para deslindar responsabilidades y, en su caso, sancionar la</w:t>
      </w:r>
      <w:r w:rsidR="00877F85">
        <w:rPr>
          <w:rFonts w:ascii="Verdana" w:hAnsi="Verdana"/>
          <w:sz w:val="20"/>
          <w:szCs w:val="20"/>
        </w:rPr>
        <w:t xml:space="preserve"> comisión del delito de tortura</w:t>
      </w:r>
      <w:r w:rsidRPr="00590CE4">
        <w:rPr>
          <w:rFonts w:ascii="Verdana" w:hAnsi="Verdana"/>
          <w:sz w:val="20"/>
          <w:szCs w:val="20"/>
        </w:rPr>
        <w:t>, en perjuicio de los señores García Cruz y Sánchez Silvestre</w:t>
      </w:r>
      <w:r w:rsidR="00814DF0" w:rsidRPr="00590CE4">
        <w:rPr>
          <w:rFonts w:ascii="Verdana" w:hAnsi="Verdana"/>
          <w:sz w:val="20"/>
          <w:szCs w:val="20"/>
        </w:rPr>
        <w:t xml:space="preserve"> (</w:t>
      </w:r>
      <w:r w:rsidR="00814DF0" w:rsidRPr="00590CE4">
        <w:rPr>
          <w:rFonts w:ascii="Verdana" w:hAnsi="Verdana"/>
          <w:i/>
          <w:sz w:val="20"/>
          <w:szCs w:val="20"/>
        </w:rPr>
        <w:t>punto dispositivo sexto inciso a</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08250F60" w14:textId="78FDC72D"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eliminar los antecedentes penales que pudiesen existir en contra de los señores García Cruz y Sánchez Silvestre, en relación con los hechos del caso</w:t>
      </w:r>
      <w:r w:rsidR="00814DF0" w:rsidRPr="00590CE4">
        <w:rPr>
          <w:rFonts w:ascii="Verdana" w:hAnsi="Verdana"/>
          <w:sz w:val="20"/>
          <w:szCs w:val="20"/>
        </w:rPr>
        <w:t xml:space="preserve"> (</w:t>
      </w:r>
      <w:r w:rsidR="00814DF0" w:rsidRPr="00590CE4">
        <w:rPr>
          <w:rFonts w:ascii="Verdana" w:hAnsi="Verdana"/>
          <w:i/>
          <w:sz w:val="20"/>
          <w:szCs w:val="20"/>
        </w:rPr>
        <w:t>punto dispositivo sexto inciso b</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5A21A385" w14:textId="348B8DF0"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lastRenderedPageBreak/>
        <w:t>otorgar a las víctimas atención médica preferencial y gratuita a través del “Programa de Acceso Gratuito a los Servicios Médicos y Medicamentos a las Personas Residentes en el Distrito Federal que Carecen de Seguridad Social Laboral” y brindarles atención psicológica a través de la “Procuraduría Social de Atención a las Víctimas de Delitos”, en sus domicilios o en las instalaciones del Centro de Atención a Víctimas y Ofendidos más cercana al mismo, a elección de las víctimas</w:t>
      </w:r>
      <w:r w:rsidR="00814DF0" w:rsidRPr="00590CE4">
        <w:rPr>
          <w:rFonts w:ascii="Verdana" w:hAnsi="Verdana"/>
          <w:sz w:val="20"/>
          <w:szCs w:val="20"/>
        </w:rPr>
        <w:t xml:space="preserve"> (</w:t>
      </w:r>
      <w:r w:rsidR="00814DF0" w:rsidRPr="00590CE4">
        <w:rPr>
          <w:rFonts w:ascii="Verdana" w:hAnsi="Verdana"/>
          <w:i/>
          <w:sz w:val="20"/>
          <w:szCs w:val="20"/>
        </w:rPr>
        <w:t>punto dispositivo sexto inciso c</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0BA485E6" w14:textId="0D7593AD"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otorgar a la esposa del señor Sánchez Silvestre atención médica gratuita</w:t>
      </w:r>
      <w:r w:rsidR="00814DF0" w:rsidRPr="00590CE4">
        <w:rPr>
          <w:rFonts w:ascii="Verdana" w:hAnsi="Verdana"/>
          <w:sz w:val="20"/>
          <w:szCs w:val="20"/>
        </w:rPr>
        <w:t xml:space="preserve"> (</w:t>
      </w:r>
      <w:r w:rsidR="00814DF0" w:rsidRPr="00590CE4">
        <w:rPr>
          <w:rFonts w:ascii="Verdana" w:hAnsi="Verdana"/>
          <w:i/>
          <w:sz w:val="20"/>
          <w:szCs w:val="20"/>
        </w:rPr>
        <w:t>punto dispositivo sexto inciso d</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02E3183C" w14:textId="6BA37855"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realizar un acto público de reconocimiento de responsabilidad internacional y disculpa pública</w:t>
      </w:r>
      <w:r w:rsidR="00814DF0" w:rsidRPr="00590CE4">
        <w:rPr>
          <w:rFonts w:ascii="Verdana" w:hAnsi="Verdana"/>
          <w:sz w:val="20"/>
          <w:szCs w:val="20"/>
        </w:rPr>
        <w:t xml:space="preserve"> (</w:t>
      </w:r>
      <w:r w:rsidR="00814DF0" w:rsidRPr="00590CE4">
        <w:rPr>
          <w:rFonts w:ascii="Verdana" w:hAnsi="Verdana"/>
          <w:i/>
          <w:sz w:val="20"/>
          <w:szCs w:val="20"/>
        </w:rPr>
        <w:t>punto dispositivo sexto inciso e</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51455851" w14:textId="00157C0E"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garantizar la educación de las víctimas hasta la conclusión de sus estudios universitarios o técnicos, según sea su interés, a través del pago de becas educativas</w:t>
      </w:r>
      <w:r w:rsidR="00814DF0" w:rsidRPr="00590CE4">
        <w:rPr>
          <w:rFonts w:ascii="Verdana" w:hAnsi="Verdana"/>
          <w:sz w:val="20"/>
          <w:szCs w:val="20"/>
        </w:rPr>
        <w:t xml:space="preserve"> (</w:t>
      </w:r>
      <w:r w:rsidR="00814DF0" w:rsidRPr="00590CE4">
        <w:rPr>
          <w:rFonts w:ascii="Verdana" w:hAnsi="Verdana"/>
          <w:i/>
          <w:sz w:val="20"/>
          <w:szCs w:val="20"/>
        </w:rPr>
        <w:t>punto dispositivo sexto inciso g</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345B3253" w14:textId="13D01701"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garantizar la educación de la hija del señor Santiago Sánchez Silvestre, hasta la conclusión de sus estudios universitarios o técnicos, según sea el interés que en su momento tenga la misma, a través de una beca escolar</w:t>
      </w:r>
      <w:r w:rsidR="00814DF0" w:rsidRPr="00590CE4">
        <w:rPr>
          <w:rFonts w:ascii="Verdana" w:hAnsi="Verdana"/>
          <w:sz w:val="20"/>
          <w:szCs w:val="20"/>
        </w:rPr>
        <w:t xml:space="preserve"> (</w:t>
      </w:r>
      <w:r w:rsidR="00814DF0" w:rsidRPr="00590CE4">
        <w:rPr>
          <w:rFonts w:ascii="Verdana" w:hAnsi="Verdana"/>
          <w:i/>
          <w:sz w:val="20"/>
          <w:szCs w:val="20"/>
        </w:rPr>
        <w:t>punto dispositivo sexto inciso h</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29135EB8" w14:textId="328A09D3"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entregar en propiedad una vivienda en el Distrito Federal a cada víctima, a través del “Programa de Vivienda Nueva en Conjunto a cargo del Instituto de Vivienda del Distrito Federal”</w:t>
      </w:r>
      <w:r w:rsidR="00814DF0" w:rsidRPr="00590CE4">
        <w:rPr>
          <w:rFonts w:ascii="Verdana" w:hAnsi="Verdana"/>
          <w:sz w:val="20"/>
          <w:szCs w:val="20"/>
        </w:rPr>
        <w:t xml:space="preserve"> (</w:t>
      </w:r>
      <w:r w:rsidR="00814DF0" w:rsidRPr="00590CE4">
        <w:rPr>
          <w:rFonts w:ascii="Verdana" w:hAnsi="Verdana"/>
          <w:i/>
          <w:sz w:val="20"/>
          <w:szCs w:val="20"/>
        </w:rPr>
        <w:t>punto dispositivo sexto inciso i</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537FEE2C" w14:textId="62D5542B"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realizar un seminario con expertos para debatir la aplicación de la doctrina de la inmediatez procesal utilizada por la Suprema Corte de Justicia de la Nación y hacer llegar las conclusiones de dicho evento a diversos servidores públicos encargados de la defensoría de oficio, así como de la procuración e impartición de justicia</w:t>
      </w:r>
      <w:r w:rsidR="00814DF0" w:rsidRPr="00590CE4">
        <w:rPr>
          <w:rFonts w:ascii="Verdana" w:hAnsi="Verdana"/>
          <w:sz w:val="20"/>
          <w:szCs w:val="20"/>
        </w:rPr>
        <w:t xml:space="preserve"> (</w:t>
      </w:r>
      <w:r w:rsidR="00814DF0" w:rsidRPr="00590CE4">
        <w:rPr>
          <w:rFonts w:ascii="Verdana" w:hAnsi="Verdana"/>
          <w:i/>
          <w:sz w:val="20"/>
          <w:szCs w:val="20"/>
        </w:rPr>
        <w:t>punto dispositivo sexto inciso j</w:t>
      </w:r>
      <w:r w:rsidR="00877F85">
        <w:rPr>
          <w:rFonts w:ascii="Verdana" w:hAnsi="Verdana"/>
          <w:i/>
          <w:sz w:val="20"/>
          <w:szCs w:val="20"/>
        </w:rPr>
        <w:t xml:space="preserve"> de la Sentencia</w:t>
      </w:r>
      <w:r w:rsidR="00814DF0" w:rsidRPr="00590CE4">
        <w:rPr>
          <w:rFonts w:ascii="Verdana" w:hAnsi="Verdana"/>
          <w:sz w:val="20"/>
          <w:szCs w:val="20"/>
        </w:rPr>
        <w:t>)</w:t>
      </w:r>
      <w:r w:rsidR="009B2A82">
        <w:rPr>
          <w:rFonts w:ascii="Verdana" w:hAnsi="Verdana"/>
          <w:sz w:val="20"/>
          <w:szCs w:val="20"/>
        </w:rPr>
        <w:t>, y</w:t>
      </w:r>
      <w:r w:rsidRPr="00590CE4">
        <w:rPr>
          <w:rFonts w:ascii="Verdana" w:hAnsi="Verdana"/>
          <w:sz w:val="20"/>
          <w:szCs w:val="20"/>
        </w:rPr>
        <w:t xml:space="preserve"> </w:t>
      </w:r>
    </w:p>
    <w:p w14:paraId="19DCC176" w14:textId="136C6C0B" w:rsidR="007E3438" w:rsidRPr="00590CE4" w:rsidRDefault="007E3438" w:rsidP="007E3438">
      <w:pPr>
        <w:pStyle w:val="ListParagraph"/>
        <w:numPr>
          <w:ilvl w:val="0"/>
          <w:numId w:val="14"/>
        </w:numPr>
        <w:spacing w:after="0" w:line="240" w:lineRule="auto"/>
        <w:jc w:val="both"/>
        <w:rPr>
          <w:rFonts w:ascii="Verdana" w:hAnsi="Verdana"/>
          <w:sz w:val="20"/>
          <w:szCs w:val="20"/>
          <w:lang w:val="es-ES"/>
        </w:rPr>
      </w:pPr>
      <w:r w:rsidRPr="00590CE4">
        <w:rPr>
          <w:rFonts w:ascii="Verdana" w:hAnsi="Verdana"/>
          <w:sz w:val="20"/>
          <w:szCs w:val="20"/>
        </w:rPr>
        <w:t>efectuar un “Programa para operadores de justicia” para continuar otorgando capacitación a los servidores públicos encargados de la defensoría de oficio, así como de la procuración, e impartición de justicia bajo los estándares internacionales más altos, para que puedan identificar, reaccionar, prevenir, denunciar y sancionar, el uso de técnicas de tortura</w:t>
      </w:r>
      <w:r w:rsidR="00814DF0" w:rsidRPr="00590CE4">
        <w:rPr>
          <w:rFonts w:ascii="Verdana" w:hAnsi="Verdana"/>
          <w:sz w:val="20"/>
          <w:szCs w:val="20"/>
        </w:rPr>
        <w:t xml:space="preserve"> (</w:t>
      </w:r>
      <w:r w:rsidR="00814DF0" w:rsidRPr="00590CE4">
        <w:rPr>
          <w:rFonts w:ascii="Verdana" w:hAnsi="Verdana"/>
          <w:i/>
          <w:sz w:val="20"/>
          <w:szCs w:val="20"/>
        </w:rPr>
        <w:t>punto dispositivo sexto inciso l</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w:t>
      </w:r>
    </w:p>
    <w:p w14:paraId="0818FC9A" w14:textId="77777777" w:rsidR="007E3438" w:rsidRPr="00DF7E56" w:rsidRDefault="007E3438" w:rsidP="007E3438">
      <w:pPr>
        <w:pStyle w:val="ListParagraph"/>
        <w:spacing w:after="0" w:line="240" w:lineRule="auto"/>
        <w:jc w:val="both"/>
        <w:rPr>
          <w:rFonts w:ascii="Verdana" w:hAnsi="Verdana"/>
          <w:sz w:val="20"/>
          <w:lang w:val="es-ES"/>
        </w:rPr>
      </w:pPr>
    </w:p>
    <w:p w14:paraId="0BE7BDC6" w14:textId="2FB487CC" w:rsidR="0020252B" w:rsidRPr="00DF7E56" w:rsidRDefault="0020252B" w:rsidP="0020252B">
      <w:pPr>
        <w:numPr>
          <w:ilvl w:val="0"/>
          <w:numId w:val="11"/>
        </w:numPr>
        <w:tabs>
          <w:tab w:val="left" w:pos="567"/>
          <w:tab w:val="left" w:pos="851"/>
        </w:tabs>
        <w:spacing w:after="0" w:line="240" w:lineRule="auto"/>
        <w:ind w:left="0" w:right="48" w:hanging="11"/>
        <w:jc w:val="both"/>
        <w:rPr>
          <w:rFonts w:ascii="Verdana" w:hAnsi="Verdana"/>
          <w:sz w:val="20"/>
          <w:lang w:val="es-ES"/>
        </w:rPr>
      </w:pPr>
      <w:r w:rsidRPr="00DF7E56">
        <w:rPr>
          <w:rFonts w:ascii="Verdana" w:hAnsi="Verdana"/>
          <w:sz w:val="20"/>
          <w:lang w:val="es-ES"/>
        </w:rPr>
        <w:t>Requerir a los representantes de las víctimas que</w:t>
      </w:r>
      <w:r w:rsidR="00002984" w:rsidRPr="00DF7E56">
        <w:rPr>
          <w:rFonts w:ascii="Verdana" w:hAnsi="Verdana"/>
          <w:sz w:val="20"/>
          <w:lang w:val="es-ES"/>
        </w:rPr>
        <w:t>, dentro del plazo de seis semanas,</w:t>
      </w:r>
      <w:r w:rsidRPr="00DF7E56">
        <w:rPr>
          <w:rFonts w:ascii="Verdana" w:hAnsi="Verdana"/>
          <w:sz w:val="20"/>
          <w:lang w:val="es-ES"/>
        </w:rPr>
        <w:t xml:space="preserve"> presenten </w:t>
      </w:r>
      <w:r w:rsidR="00002984" w:rsidRPr="00DF7E56">
        <w:rPr>
          <w:rFonts w:ascii="Verdana" w:hAnsi="Verdana"/>
          <w:sz w:val="20"/>
          <w:lang w:val="es-ES"/>
        </w:rPr>
        <w:t xml:space="preserve">la información requerida en el </w:t>
      </w:r>
      <w:r w:rsidRPr="00DF7E56">
        <w:rPr>
          <w:rFonts w:ascii="Verdana" w:hAnsi="Verdana"/>
          <w:sz w:val="20"/>
          <w:lang w:val="es-ES"/>
        </w:rPr>
        <w:t xml:space="preserve">Considerando </w:t>
      </w:r>
      <w:r w:rsidR="00216198" w:rsidRPr="00DF7E56">
        <w:rPr>
          <w:rFonts w:ascii="Verdana" w:hAnsi="Verdana"/>
          <w:sz w:val="20"/>
          <w:lang w:val="es-ES"/>
        </w:rPr>
        <w:t>2</w:t>
      </w:r>
      <w:r w:rsidR="00CA6483" w:rsidRPr="00DF7E56">
        <w:rPr>
          <w:rFonts w:ascii="Verdana" w:hAnsi="Verdana"/>
          <w:sz w:val="20"/>
          <w:lang w:val="es-ES"/>
        </w:rPr>
        <w:t>3</w:t>
      </w:r>
      <w:r w:rsidRPr="00DF7E56">
        <w:rPr>
          <w:rFonts w:ascii="Verdana" w:hAnsi="Verdana"/>
          <w:sz w:val="20"/>
          <w:lang w:val="es-ES"/>
        </w:rPr>
        <w:t xml:space="preserve"> de la presente Resolución</w:t>
      </w:r>
      <w:r w:rsidR="00002984" w:rsidRPr="00DF7E56">
        <w:rPr>
          <w:rFonts w:ascii="Verdana" w:hAnsi="Verdana"/>
          <w:sz w:val="20"/>
          <w:lang w:val="es-ES"/>
        </w:rPr>
        <w:t xml:space="preserve"> sobre la reparación </w:t>
      </w:r>
      <w:r w:rsidR="00002984" w:rsidRPr="00DF7E56">
        <w:rPr>
          <w:rFonts w:ascii="Verdana" w:hAnsi="Verdana"/>
          <w:color w:val="000000" w:themeColor="text1"/>
          <w:sz w:val="20"/>
          <w:szCs w:val="20"/>
        </w:rPr>
        <w:t xml:space="preserve">relativa a </w:t>
      </w:r>
      <w:r w:rsidR="00002984" w:rsidRPr="00DF7E56">
        <w:rPr>
          <w:rFonts w:ascii="Verdana" w:hAnsi="Verdana"/>
          <w:sz w:val="20"/>
          <w:szCs w:val="20"/>
        </w:rPr>
        <w:t>entregar en propiedad una vivienda en el Distrito</w:t>
      </w:r>
      <w:r w:rsidR="00002984" w:rsidRPr="00DF7E56">
        <w:rPr>
          <w:rFonts w:ascii="Verdana" w:hAnsi="Verdana"/>
          <w:sz w:val="20"/>
          <w:szCs w:val="20"/>
          <w:lang w:val="es-ES"/>
        </w:rPr>
        <w:t xml:space="preserve"> Federal al señor Sánchez Silvestre</w:t>
      </w:r>
      <w:r w:rsidRPr="00DF7E56">
        <w:rPr>
          <w:rFonts w:ascii="Verdana" w:hAnsi="Verdana"/>
          <w:sz w:val="20"/>
          <w:lang w:val="es-ES"/>
        </w:rPr>
        <w:t>.</w:t>
      </w:r>
    </w:p>
    <w:p w14:paraId="2B90C7DA" w14:textId="1749AF23" w:rsidR="0020252B" w:rsidRPr="00DF7E56" w:rsidRDefault="0020252B" w:rsidP="0020252B">
      <w:pPr>
        <w:tabs>
          <w:tab w:val="left" w:pos="567"/>
          <w:tab w:val="left" w:pos="851"/>
        </w:tabs>
        <w:spacing w:after="0" w:line="240" w:lineRule="auto"/>
        <w:ind w:right="48"/>
        <w:jc w:val="both"/>
        <w:rPr>
          <w:rFonts w:ascii="Verdana" w:hAnsi="Verdana"/>
          <w:sz w:val="20"/>
          <w:lang w:val="es-ES"/>
        </w:rPr>
      </w:pPr>
    </w:p>
    <w:p w14:paraId="2BBD0B45" w14:textId="488020B3" w:rsidR="00DB385A" w:rsidRPr="00BF5B4A" w:rsidRDefault="00DB385A" w:rsidP="00DB385A">
      <w:pPr>
        <w:numPr>
          <w:ilvl w:val="0"/>
          <w:numId w:val="11"/>
        </w:numPr>
        <w:tabs>
          <w:tab w:val="left" w:pos="567"/>
          <w:tab w:val="left" w:pos="851"/>
        </w:tabs>
        <w:spacing w:after="0" w:line="240" w:lineRule="auto"/>
        <w:ind w:left="0" w:right="48" w:hanging="11"/>
        <w:jc w:val="both"/>
        <w:rPr>
          <w:rFonts w:ascii="Verdana" w:hAnsi="Verdana"/>
          <w:sz w:val="20"/>
          <w:lang w:val="es-ES"/>
        </w:rPr>
      </w:pPr>
      <w:r w:rsidRPr="00DF7E56">
        <w:rPr>
          <w:rFonts w:ascii="Verdana" w:hAnsi="Verdana"/>
          <w:sz w:val="20"/>
          <w:lang w:val="es-ES"/>
        </w:rPr>
        <w:t xml:space="preserve">Requerir al Estado que presente a la Corte Interamericana de Derechos Humanos, a más tardar el </w:t>
      </w:r>
      <w:r w:rsidR="00C462C7">
        <w:rPr>
          <w:rFonts w:ascii="Verdana" w:hAnsi="Verdana"/>
          <w:sz w:val="20"/>
          <w:lang w:val="es-ES"/>
        </w:rPr>
        <w:t>20</w:t>
      </w:r>
      <w:r w:rsidR="00C462C7" w:rsidRPr="00DF7E56">
        <w:rPr>
          <w:rFonts w:ascii="Verdana" w:hAnsi="Verdana"/>
          <w:sz w:val="20"/>
          <w:lang w:val="es-ES"/>
        </w:rPr>
        <w:t xml:space="preserve"> </w:t>
      </w:r>
      <w:r w:rsidRPr="00DF7E56">
        <w:rPr>
          <w:rFonts w:ascii="Verdana" w:hAnsi="Verdana"/>
          <w:sz w:val="20"/>
          <w:lang w:val="es-ES"/>
        </w:rPr>
        <w:t xml:space="preserve">de </w:t>
      </w:r>
      <w:r w:rsidR="00673A27" w:rsidRPr="00DF7E56">
        <w:rPr>
          <w:rFonts w:ascii="Verdana" w:hAnsi="Verdana"/>
          <w:sz w:val="20"/>
          <w:lang w:val="es-ES"/>
        </w:rPr>
        <w:t>febrero</w:t>
      </w:r>
      <w:r w:rsidRPr="00DF7E56">
        <w:rPr>
          <w:rFonts w:ascii="Verdana" w:hAnsi="Verdana"/>
          <w:sz w:val="20"/>
          <w:lang w:val="es-ES"/>
        </w:rPr>
        <w:t xml:space="preserve"> de </w:t>
      </w:r>
      <w:r w:rsidRPr="00BF5B4A">
        <w:rPr>
          <w:rFonts w:ascii="Verdana" w:hAnsi="Verdana"/>
          <w:sz w:val="20"/>
          <w:lang w:val="es-ES"/>
        </w:rPr>
        <w:t>201</w:t>
      </w:r>
      <w:r w:rsidR="00673A27" w:rsidRPr="00BF5B4A">
        <w:rPr>
          <w:rFonts w:ascii="Verdana" w:hAnsi="Verdana"/>
          <w:sz w:val="20"/>
          <w:lang w:val="es-ES"/>
        </w:rPr>
        <w:t>7</w:t>
      </w:r>
      <w:r w:rsidRPr="00BF5B4A">
        <w:rPr>
          <w:rFonts w:ascii="Verdana" w:hAnsi="Verdana"/>
          <w:sz w:val="20"/>
          <w:lang w:val="es-ES"/>
        </w:rPr>
        <w:t>, un informe en el cual indique las medidas adoptadas para cumplir con las reparaciones</w:t>
      </w:r>
      <w:r w:rsidR="00507107" w:rsidRPr="00BF5B4A">
        <w:rPr>
          <w:rFonts w:ascii="Verdana" w:hAnsi="Verdana"/>
          <w:sz w:val="20"/>
          <w:lang w:val="es-ES"/>
        </w:rPr>
        <w:t xml:space="preserve"> </w:t>
      </w:r>
      <w:r w:rsidR="00507107" w:rsidRPr="00BF5B4A">
        <w:rPr>
          <w:rFonts w:ascii="Verdana" w:hAnsi="Verdana"/>
          <w:sz w:val="20"/>
          <w:shd w:val="clear" w:color="auto" w:fill="FFFFFF" w:themeFill="background1"/>
          <w:lang w:val="es-ES"/>
        </w:rPr>
        <w:t>pendientes de cumplimiento</w:t>
      </w:r>
      <w:r w:rsidRPr="00BF5B4A">
        <w:rPr>
          <w:rFonts w:ascii="Verdana" w:hAnsi="Verdana"/>
          <w:sz w:val="20"/>
          <w:lang w:val="es-ES"/>
        </w:rPr>
        <w:t>.</w:t>
      </w:r>
    </w:p>
    <w:p w14:paraId="0E662DA9" w14:textId="77777777" w:rsidR="00DB385A" w:rsidRPr="00BF5B4A" w:rsidRDefault="00DB385A" w:rsidP="00DB385A">
      <w:pPr>
        <w:pStyle w:val="ListParagraph"/>
        <w:spacing w:after="0" w:line="240" w:lineRule="auto"/>
        <w:rPr>
          <w:rFonts w:ascii="Verdana" w:hAnsi="Verdana"/>
          <w:sz w:val="20"/>
          <w:lang w:val="es-ES"/>
        </w:rPr>
      </w:pPr>
    </w:p>
    <w:p w14:paraId="00F26CD6" w14:textId="72AF1362" w:rsidR="00DB385A" w:rsidRPr="00DF7E56" w:rsidRDefault="00DB385A" w:rsidP="00DB385A">
      <w:pPr>
        <w:numPr>
          <w:ilvl w:val="0"/>
          <w:numId w:val="11"/>
        </w:numPr>
        <w:tabs>
          <w:tab w:val="left" w:pos="567"/>
          <w:tab w:val="left" w:pos="851"/>
        </w:tabs>
        <w:spacing w:after="0" w:line="240" w:lineRule="auto"/>
        <w:ind w:left="0" w:right="48" w:hanging="11"/>
        <w:jc w:val="both"/>
        <w:rPr>
          <w:rFonts w:ascii="Verdana" w:hAnsi="Verdana"/>
          <w:sz w:val="20"/>
          <w:lang w:val="es-ES"/>
        </w:rPr>
      </w:pPr>
      <w:r w:rsidRPr="00BF5B4A">
        <w:rPr>
          <w:rFonts w:ascii="Verdana" w:hAnsi="Verdana"/>
          <w:sz w:val="20"/>
          <w:lang w:val="es-ES"/>
        </w:rPr>
        <w:t>Requerir a los representantes</w:t>
      </w:r>
      <w:r w:rsidRPr="00DF7E56">
        <w:rPr>
          <w:rFonts w:ascii="Verdana" w:hAnsi="Verdana"/>
          <w:sz w:val="20"/>
          <w:lang w:val="es-ES"/>
        </w:rPr>
        <w:t xml:space="preserve"> de las víctimas y a la Comisión Interamericana de Derechos Humanos que presenten observaciones al informe del Estado mencionado en el punto resolutivo anterior, en los plazos de cuatro y seis semanas, respectivamente, contados a partir de la recepción del informe.</w:t>
      </w:r>
    </w:p>
    <w:p w14:paraId="6F46094F" w14:textId="77777777" w:rsidR="00DB385A" w:rsidRPr="00DF7E56" w:rsidRDefault="00DB385A" w:rsidP="00DB385A">
      <w:pPr>
        <w:pStyle w:val="ListParagraph"/>
        <w:spacing w:after="0" w:line="240" w:lineRule="auto"/>
        <w:rPr>
          <w:rFonts w:ascii="Verdana" w:hAnsi="Verdana"/>
          <w:sz w:val="20"/>
          <w:lang w:val="es-ES"/>
        </w:rPr>
      </w:pPr>
    </w:p>
    <w:p w14:paraId="7A6FFD04" w14:textId="0DA928C0" w:rsidR="00DB385A" w:rsidRDefault="00DB385A" w:rsidP="00DB385A">
      <w:pPr>
        <w:numPr>
          <w:ilvl w:val="0"/>
          <w:numId w:val="11"/>
        </w:numPr>
        <w:tabs>
          <w:tab w:val="left" w:pos="567"/>
          <w:tab w:val="left" w:pos="851"/>
        </w:tabs>
        <w:spacing w:after="0" w:line="240" w:lineRule="auto"/>
        <w:ind w:left="0" w:right="48" w:hanging="11"/>
        <w:jc w:val="both"/>
        <w:rPr>
          <w:rFonts w:ascii="Verdana" w:hAnsi="Verdana"/>
          <w:sz w:val="20"/>
          <w:lang w:val="es-ES"/>
        </w:rPr>
      </w:pPr>
      <w:r w:rsidRPr="00DF7E56">
        <w:rPr>
          <w:rFonts w:ascii="Verdana" w:hAnsi="Verdana"/>
          <w:sz w:val="20"/>
          <w:lang w:val="es-ES"/>
        </w:rPr>
        <w:t xml:space="preserve">Requerir a la Secretaría de la Corte que notifique la presente Resolución al Estado, a los representantes de las víctimas y a la Comisión Interamericana de Derechos Humanos. </w:t>
      </w:r>
    </w:p>
    <w:p w14:paraId="17762E83" w14:textId="77777777" w:rsidR="006B145B" w:rsidRDefault="006B145B" w:rsidP="006B145B">
      <w:pPr>
        <w:pStyle w:val="ListParagraph"/>
        <w:rPr>
          <w:rFonts w:ascii="Verdana" w:hAnsi="Verdana"/>
          <w:sz w:val="20"/>
          <w:lang w:val="es-ES"/>
        </w:rPr>
      </w:pPr>
    </w:p>
    <w:p w14:paraId="5E2A4A6D" w14:textId="77777777" w:rsidR="006B145B" w:rsidRDefault="006B145B" w:rsidP="006B145B">
      <w:pPr>
        <w:tabs>
          <w:tab w:val="left" w:pos="567"/>
          <w:tab w:val="left" w:pos="851"/>
        </w:tabs>
        <w:spacing w:after="0" w:line="240" w:lineRule="auto"/>
        <w:ind w:right="48"/>
        <w:jc w:val="both"/>
        <w:rPr>
          <w:rFonts w:ascii="Verdana" w:hAnsi="Verdana"/>
          <w:sz w:val="20"/>
          <w:lang w:val="es-ES"/>
        </w:rPr>
      </w:pPr>
    </w:p>
    <w:p w14:paraId="2BE3152F" w14:textId="77777777" w:rsidR="006B145B" w:rsidRDefault="006B145B" w:rsidP="006B145B">
      <w:pPr>
        <w:tabs>
          <w:tab w:val="left" w:pos="567"/>
          <w:tab w:val="left" w:pos="851"/>
        </w:tabs>
        <w:spacing w:after="0" w:line="240" w:lineRule="auto"/>
        <w:ind w:right="48"/>
        <w:jc w:val="both"/>
        <w:rPr>
          <w:rFonts w:ascii="Verdana" w:hAnsi="Verdana"/>
          <w:sz w:val="20"/>
          <w:lang w:val="es-ES"/>
        </w:rPr>
      </w:pPr>
    </w:p>
    <w:p w14:paraId="41B06B64" w14:textId="77777777" w:rsidR="006B145B" w:rsidRDefault="006B145B" w:rsidP="006B145B">
      <w:pPr>
        <w:tabs>
          <w:tab w:val="left" w:pos="567"/>
          <w:tab w:val="left" w:pos="851"/>
        </w:tabs>
        <w:spacing w:after="0" w:line="240" w:lineRule="auto"/>
        <w:ind w:right="48"/>
        <w:jc w:val="both"/>
        <w:rPr>
          <w:rFonts w:ascii="Verdana" w:hAnsi="Verdana"/>
          <w:sz w:val="20"/>
          <w:lang w:val="es-ES"/>
        </w:rPr>
      </w:pPr>
    </w:p>
    <w:p w14:paraId="46C575C8" w14:textId="77777777" w:rsidR="006B145B" w:rsidRPr="006B145B" w:rsidRDefault="006B145B" w:rsidP="006B145B">
      <w:pPr>
        <w:keepNext/>
        <w:spacing w:after="0" w:line="240" w:lineRule="auto"/>
        <w:jc w:val="both"/>
        <w:outlineLvl w:val="0"/>
        <w:rPr>
          <w:rFonts w:ascii="Verdana" w:eastAsia="Times" w:hAnsi="Verdana"/>
          <w:sz w:val="20"/>
          <w:szCs w:val="20"/>
        </w:rPr>
      </w:pPr>
      <w:r w:rsidRPr="006B145B">
        <w:rPr>
          <w:rFonts w:ascii="Verdana" w:eastAsia="Times" w:hAnsi="Verdana"/>
          <w:sz w:val="20"/>
          <w:szCs w:val="20"/>
          <w:lang w:val="es-ES"/>
        </w:rPr>
        <w:lastRenderedPageBreak/>
        <w:t xml:space="preserve">Resolución de la Corte Interamericana de Derechos Humanos. </w:t>
      </w:r>
      <w:r w:rsidRPr="006B145B">
        <w:rPr>
          <w:rFonts w:ascii="Verdana" w:eastAsia="Times" w:hAnsi="Verdana"/>
          <w:iCs/>
          <w:sz w:val="20"/>
          <w:szCs w:val="20"/>
        </w:rPr>
        <w:t>Caso García Cruz y Sánchez Silvestre Vs. México</w:t>
      </w:r>
      <w:r w:rsidRPr="006B145B">
        <w:rPr>
          <w:rFonts w:ascii="Verdana" w:eastAsia="Times" w:hAnsi="Verdana"/>
          <w:sz w:val="20"/>
          <w:szCs w:val="20"/>
        </w:rPr>
        <w:t>. Supervisión de cumplimiento de sentencia.</w:t>
      </w:r>
    </w:p>
    <w:p w14:paraId="204454FF" w14:textId="77777777" w:rsidR="006B145B" w:rsidRPr="006B145B" w:rsidRDefault="006B145B" w:rsidP="006B145B">
      <w:pPr>
        <w:spacing w:before="120" w:after="0" w:line="240" w:lineRule="auto"/>
        <w:ind w:right="4"/>
        <w:rPr>
          <w:rFonts w:ascii="Verdana" w:eastAsia="Times" w:hAnsi="Verdana" w:cs="Verdana"/>
          <w:b/>
          <w:bCs/>
          <w:i/>
          <w:sz w:val="20"/>
          <w:szCs w:val="20"/>
          <w:lang w:val="es-ES"/>
        </w:rPr>
      </w:pPr>
    </w:p>
    <w:p w14:paraId="787D7E38" w14:textId="77777777" w:rsidR="006B145B" w:rsidRPr="006B145B" w:rsidRDefault="006B145B" w:rsidP="006B145B">
      <w:pPr>
        <w:spacing w:after="0" w:line="240" w:lineRule="auto"/>
        <w:jc w:val="center"/>
        <w:rPr>
          <w:rFonts w:ascii="Verdana" w:eastAsia="Times" w:hAnsi="Verdana"/>
          <w:sz w:val="20"/>
          <w:szCs w:val="20"/>
          <w:lang w:val="es-ES"/>
        </w:rPr>
      </w:pPr>
    </w:p>
    <w:p w14:paraId="01602468" w14:textId="77777777" w:rsidR="006B145B" w:rsidRPr="006B145B" w:rsidRDefault="006B145B" w:rsidP="006B145B">
      <w:pPr>
        <w:spacing w:after="0" w:line="240" w:lineRule="auto"/>
        <w:jc w:val="center"/>
        <w:rPr>
          <w:rFonts w:ascii="Verdana" w:eastAsia="Times" w:hAnsi="Verdana"/>
          <w:sz w:val="20"/>
          <w:szCs w:val="20"/>
          <w:lang w:val="es-ES"/>
        </w:rPr>
      </w:pPr>
    </w:p>
    <w:p w14:paraId="60615936" w14:textId="77777777" w:rsidR="006B145B" w:rsidRPr="006B145B" w:rsidRDefault="006B145B" w:rsidP="006B145B">
      <w:pPr>
        <w:spacing w:after="0" w:line="240" w:lineRule="auto"/>
        <w:jc w:val="center"/>
        <w:rPr>
          <w:rFonts w:ascii="Verdana" w:eastAsia="Times" w:hAnsi="Verdana"/>
          <w:sz w:val="20"/>
          <w:szCs w:val="20"/>
          <w:lang w:val="es-ES"/>
        </w:rPr>
      </w:pPr>
    </w:p>
    <w:p w14:paraId="11A845A3" w14:textId="77777777" w:rsidR="006B145B" w:rsidRPr="006B145B" w:rsidRDefault="006B145B" w:rsidP="006B145B">
      <w:pPr>
        <w:spacing w:after="0" w:line="240" w:lineRule="auto"/>
        <w:jc w:val="center"/>
        <w:rPr>
          <w:rFonts w:ascii="Verdana" w:eastAsia="Times" w:hAnsi="Verdana"/>
          <w:sz w:val="20"/>
          <w:szCs w:val="20"/>
          <w:lang w:val="es-ES"/>
        </w:rPr>
      </w:pPr>
    </w:p>
    <w:p w14:paraId="7F84350F" w14:textId="77777777" w:rsidR="006B145B" w:rsidRPr="006B145B" w:rsidRDefault="006B145B" w:rsidP="006B145B">
      <w:pPr>
        <w:spacing w:after="0" w:line="240" w:lineRule="auto"/>
        <w:jc w:val="center"/>
        <w:rPr>
          <w:rFonts w:ascii="Verdana" w:eastAsia="Times" w:hAnsi="Verdana"/>
          <w:sz w:val="20"/>
          <w:szCs w:val="20"/>
          <w:lang w:val="es-ES"/>
        </w:rPr>
      </w:pPr>
    </w:p>
    <w:p w14:paraId="0DF47F28" w14:textId="77777777" w:rsidR="006B145B" w:rsidRPr="006B145B" w:rsidRDefault="006B145B" w:rsidP="006B145B">
      <w:pPr>
        <w:spacing w:after="0" w:line="240" w:lineRule="auto"/>
        <w:jc w:val="center"/>
        <w:rPr>
          <w:rFonts w:ascii="Verdana" w:eastAsia="Times" w:hAnsi="Verdana"/>
          <w:sz w:val="20"/>
          <w:szCs w:val="20"/>
          <w:lang w:val="es-ES"/>
        </w:rPr>
      </w:pPr>
      <w:r w:rsidRPr="006B145B">
        <w:rPr>
          <w:rFonts w:ascii="Verdana" w:eastAsia="Times" w:hAnsi="Verdana"/>
          <w:sz w:val="20"/>
          <w:szCs w:val="20"/>
          <w:lang w:val="es-ES"/>
        </w:rPr>
        <w:t>Roberto F. Caldas</w:t>
      </w:r>
    </w:p>
    <w:p w14:paraId="77BEDB00" w14:textId="77777777" w:rsidR="006B145B" w:rsidRPr="006B145B" w:rsidRDefault="006B145B" w:rsidP="006B145B">
      <w:pPr>
        <w:spacing w:after="0" w:line="240" w:lineRule="auto"/>
        <w:jc w:val="center"/>
        <w:rPr>
          <w:rFonts w:ascii="Verdana" w:eastAsia="Times" w:hAnsi="Verdana"/>
          <w:sz w:val="20"/>
          <w:szCs w:val="20"/>
          <w:lang w:val="es-ES"/>
        </w:rPr>
      </w:pPr>
      <w:r w:rsidRPr="006B145B">
        <w:rPr>
          <w:rFonts w:ascii="Verdana" w:eastAsia="Times" w:hAnsi="Verdana"/>
          <w:sz w:val="20"/>
          <w:szCs w:val="20"/>
          <w:lang w:val="es-ES"/>
        </w:rPr>
        <w:t xml:space="preserve">Presidente </w:t>
      </w:r>
    </w:p>
    <w:p w14:paraId="6FE4750D" w14:textId="77777777" w:rsidR="006B145B" w:rsidRPr="006B145B" w:rsidRDefault="006B145B" w:rsidP="006B145B">
      <w:pPr>
        <w:spacing w:after="0" w:line="240" w:lineRule="auto"/>
        <w:jc w:val="both"/>
        <w:rPr>
          <w:rFonts w:ascii="Verdana" w:eastAsia="Times" w:hAnsi="Verdana"/>
          <w:sz w:val="20"/>
          <w:szCs w:val="20"/>
          <w:lang w:val="es-ES"/>
        </w:rPr>
      </w:pPr>
    </w:p>
    <w:p w14:paraId="2A6B5CB3" w14:textId="77777777" w:rsidR="006B145B" w:rsidRPr="006B145B" w:rsidRDefault="006B145B" w:rsidP="006B145B">
      <w:pPr>
        <w:tabs>
          <w:tab w:val="left" w:pos="1485"/>
        </w:tabs>
        <w:spacing w:after="0" w:line="240" w:lineRule="auto"/>
        <w:jc w:val="both"/>
        <w:rPr>
          <w:rFonts w:ascii="Verdana" w:eastAsia="Times" w:hAnsi="Verdana"/>
          <w:sz w:val="20"/>
          <w:szCs w:val="20"/>
          <w:lang w:val="es-ES"/>
        </w:rPr>
      </w:pPr>
      <w:r w:rsidRPr="006B145B">
        <w:rPr>
          <w:rFonts w:ascii="Verdana" w:eastAsia="Times" w:hAnsi="Verdana"/>
          <w:sz w:val="20"/>
          <w:szCs w:val="20"/>
          <w:lang w:val="es-ES"/>
        </w:rPr>
        <w:tab/>
      </w:r>
    </w:p>
    <w:p w14:paraId="73D004EF" w14:textId="77777777" w:rsidR="006B145B" w:rsidRPr="006B145B" w:rsidRDefault="006B145B" w:rsidP="006B145B">
      <w:pPr>
        <w:spacing w:after="0" w:line="240" w:lineRule="auto"/>
        <w:jc w:val="both"/>
        <w:rPr>
          <w:rFonts w:ascii="Verdana" w:eastAsia="Times" w:hAnsi="Verdana"/>
          <w:sz w:val="20"/>
          <w:szCs w:val="20"/>
          <w:lang w:val="es-ES"/>
        </w:rPr>
      </w:pPr>
    </w:p>
    <w:p w14:paraId="0E5A30B9" w14:textId="77777777" w:rsidR="006B145B" w:rsidRPr="006B145B" w:rsidRDefault="006B145B" w:rsidP="006B145B">
      <w:pPr>
        <w:spacing w:after="0" w:line="240" w:lineRule="auto"/>
        <w:jc w:val="both"/>
        <w:rPr>
          <w:rFonts w:ascii="Verdana" w:eastAsia="Times" w:hAnsi="Verdana"/>
          <w:sz w:val="20"/>
          <w:szCs w:val="20"/>
          <w:lang w:val="es-ES"/>
        </w:rPr>
      </w:pPr>
    </w:p>
    <w:p w14:paraId="350BF243" w14:textId="77777777" w:rsidR="006B145B" w:rsidRPr="006B145B" w:rsidRDefault="006B145B" w:rsidP="006B145B">
      <w:pPr>
        <w:spacing w:after="0" w:line="240" w:lineRule="auto"/>
        <w:jc w:val="both"/>
        <w:rPr>
          <w:rFonts w:ascii="Verdana" w:eastAsia="Times" w:hAnsi="Verdana"/>
          <w:sz w:val="20"/>
          <w:szCs w:val="20"/>
          <w:lang w:val="es-ES"/>
        </w:rPr>
      </w:pPr>
      <w:r w:rsidRPr="006B145B">
        <w:rPr>
          <w:rFonts w:ascii="Verdana" w:eastAsia="Times" w:hAnsi="Verdana"/>
          <w:sz w:val="20"/>
          <w:szCs w:val="20"/>
          <w:lang w:val="es-ES"/>
        </w:rPr>
        <w:t>Eduardo Vio Grossi</w:t>
      </w:r>
      <w:r w:rsidRPr="006B145B">
        <w:rPr>
          <w:rFonts w:ascii="Verdana" w:eastAsia="Times" w:hAnsi="Verdana"/>
          <w:sz w:val="20"/>
          <w:szCs w:val="20"/>
          <w:lang w:val="es-ES"/>
        </w:rPr>
        <w:tab/>
      </w:r>
      <w:r w:rsidRPr="006B145B">
        <w:rPr>
          <w:rFonts w:ascii="Verdana" w:eastAsia="Times" w:hAnsi="Verdana"/>
          <w:sz w:val="20"/>
          <w:szCs w:val="20"/>
          <w:lang w:val="es-ES"/>
        </w:rPr>
        <w:tab/>
      </w:r>
      <w:r w:rsidRPr="006B145B">
        <w:rPr>
          <w:rFonts w:ascii="Verdana" w:eastAsia="Times" w:hAnsi="Verdana"/>
          <w:sz w:val="20"/>
          <w:szCs w:val="20"/>
          <w:lang w:val="es-ES"/>
        </w:rPr>
        <w:tab/>
      </w:r>
      <w:r w:rsidRPr="006B145B">
        <w:rPr>
          <w:rFonts w:ascii="Verdana" w:eastAsia="Times" w:hAnsi="Verdana"/>
          <w:sz w:val="20"/>
          <w:szCs w:val="20"/>
          <w:lang w:val="es-ES"/>
        </w:rPr>
        <w:tab/>
      </w:r>
      <w:r w:rsidRPr="006B145B">
        <w:rPr>
          <w:rFonts w:ascii="Verdana" w:eastAsia="Times" w:hAnsi="Verdana"/>
          <w:sz w:val="20"/>
          <w:szCs w:val="20"/>
          <w:lang w:val="es-ES"/>
        </w:rPr>
        <w:tab/>
        <w:t xml:space="preserve">           Humberto Antonio Sierra Porto</w:t>
      </w:r>
    </w:p>
    <w:p w14:paraId="2659D201" w14:textId="77777777" w:rsidR="006B145B" w:rsidRPr="006B145B" w:rsidRDefault="006B145B" w:rsidP="006B145B">
      <w:pPr>
        <w:spacing w:after="0" w:line="240" w:lineRule="auto"/>
        <w:jc w:val="both"/>
        <w:rPr>
          <w:rFonts w:ascii="Verdana" w:eastAsia="Times" w:hAnsi="Verdana"/>
          <w:sz w:val="20"/>
          <w:szCs w:val="20"/>
          <w:lang w:val="es-ES"/>
        </w:rPr>
      </w:pPr>
    </w:p>
    <w:p w14:paraId="5EDA25C9" w14:textId="77777777" w:rsidR="006B145B" w:rsidRPr="006B145B" w:rsidRDefault="006B145B" w:rsidP="006B145B">
      <w:pPr>
        <w:spacing w:after="0" w:line="240" w:lineRule="auto"/>
        <w:jc w:val="both"/>
        <w:rPr>
          <w:rFonts w:ascii="Verdana" w:eastAsia="Times" w:hAnsi="Verdana"/>
          <w:sz w:val="20"/>
          <w:szCs w:val="20"/>
          <w:lang w:val="es-ES"/>
        </w:rPr>
      </w:pPr>
    </w:p>
    <w:p w14:paraId="71E87D6A" w14:textId="77777777" w:rsidR="006B145B" w:rsidRPr="006B145B" w:rsidRDefault="006B145B" w:rsidP="006B145B">
      <w:pPr>
        <w:spacing w:after="0" w:line="240" w:lineRule="auto"/>
        <w:jc w:val="both"/>
        <w:rPr>
          <w:rFonts w:ascii="Verdana" w:eastAsia="Times" w:hAnsi="Verdana"/>
          <w:sz w:val="20"/>
          <w:szCs w:val="20"/>
          <w:lang w:val="es-ES"/>
        </w:rPr>
      </w:pPr>
    </w:p>
    <w:p w14:paraId="7F202CD6" w14:textId="77777777" w:rsidR="006B145B" w:rsidRPr="006B145B" w:rsidRDefault="006B145B" w:rsidP="006B145B">
      <w:pPr>
        <w:spacing w:after="0" w:line="240" w:lineRule="auto"/>
        <w:jc w:val="both"/>
        <w:rPr>
          <w:rFonts w:ascii="Verdana" w:eastAsia="Times" w:hAnsi="Verdana"/>
          <w:sz w:val="20"/>
          <w:szCs w:val="20"/>
          <w:lang w:val="es-ES"/>
        </w:rPr>
      </w:pPr>
    </w:p>
    <w:p w14:paraId="10650C26" w14:textId="77777777" w:rsidR="006B145B" w:rsidRPr="006B145B" w:rsidRDefault="006B145B" w:rsidP="006B145B">
      <w:pPr>
        <w:spacing w:after="0" w:line="240" w:lineRule="auto"/>
        <w:jc w:val="both"/>
        <w:rPr>
          <w:rFonts w:ascii="Verdana" w:eastAsia="Times" w:hAnsi="Verdana"/>
          <w:sz w:val="20"/>
          <w:szCs w:val="20"/>
          <w:lang w:val="es-ES"/>
        </w:rPr>
      </w:pPr>
    </w:p>
    <w:p w14:paraId="0F8FD1C5" w14:textId="77777777" w:rsidR="006B145B" w:rsidRPr="006B145B" w:rsidRDefault="006B145B" w:rsidP="006B145B">
      <w:pPr>
        <w:spacing w:after="0" w:line="240" w:lineRule="auto"/>
        <w:jc w:val="both"/>
        <w:rPr>
          <w:rFonts w:ascii="Verdana" w:eastAsia="Times" w:hAnsi="Verdana"/>
          <w:sz w:val="20"/>
          <w:szCs w:val="20"/>
          <w:lang w:val="es-ES"/>
        </w:rPr>
      </w:pPr>
    </w:p>
    <w:p w14:paraId="1B6F1C61" w14:textId="77777777" w:rsidR="006B145B" w:rsidRPr="006B145B" w:rsidRDefault="006B145B" w:rsidP="006B145B">
      <w:pPr>
        <w:spacing w:after="0" w:line="240" w:lineRule="auto"/>
        <w:jc w:val="both"/>
        <w:rPr>
          <w:rFonts w:ascii="Verdana" w:eastAsia="Times" w:hAnsi="Verdana"/>
          <w:sz w:val="20"/>
          <w:szCs w:val="20"/>
          <w:lang w:val="es-ES"/>
        </w:rPr>
      </w:pPr>
    </w:p>
    <w:p w14:paraId="10A0765B" w14:textId="77777777" w:rsidR="006B145B" w:rsidRPr="006B145B" w:rsidRDefault="006B145B" w:rsidP="006B145B">
      <w:pPr>
        <w:spacing w:after="0" w:line="240" w:lineRule="auto"/>
        <w:jc w:val="both"/>
        <w:rPr>
          <w:rFonts w:ascii="Verdana" w:eastAsia="Times" w:hAnsi="Verdana"/>
          <w:sz w:val="20"/>
          <w:szCs w:val="20"/>
          <w:lang w:val="es-ES"/>
        </w:rPr>
      </w:pPr>
      <w:r w:rsidRPr="006B145B">
        <w:rPr>
          <w:rFonts w:ascii="Verdana" w:eastAsia="Times" w:hAnsi="Verdana"/>
          <w:sz w:val="20"/>
          <w:szCs w:val="20"/>
          <w:lang w:val="es-ES"/>
        </w:rPr>
        <w:t xml:space="preserve">Elizabeth Odio Benito </w:t>
      </w:r>
      <w:r w:rsidRPr="006B145B">
        <w:rPr>
          <w:rFonts w:ascii="Verdana" w:eastAsia="Times" w:hAnsi="Verdana"/>
          <w:sz w:val="20"/>
          <w:szCs w:val="20"/>
          <w:lang w:val="es-ES"/>
        </w:rPr>
        <w:tab/>
      </w:r>
      <w:r w:rsidRPr="006B145B">
        <w:rPr>
          <w:rFonts w:ascii="Verdana" w:eastAsia="Times" w:hAnsi="Verdana"/>
          <w:sz w:val="20"/>
          <w:szCs w:val="20"/>
          <w:lang w:val="es-ES"/>
        </w:rPr>
        <w:tab/>
      </w:r>
      <w:r w:rsidRPr="006B145B">
        <w:rPr>
          <w:rFonts w:ascii="Verdana" w:eastAsia="Times" w:hAnsi="Verdana"/>
          <w:sz w:val="20"/>
          <w:szCs w:val="20"/>
          <w:lang w:val="es-ES"/>
        </w:rPr>
        <w:tab/>
      </w:r>
      <w:r w:rsidRPr="006B145B">
        <w:rPr>
          <w:rFonts w:ascii="Verdana" w:eastAsia="Times" w:hAnsi="Verdana"/>
          <w:sz w:val="20"/>
          <w:szCs w:val="20"/>
          <w:lang w:val="es-ES"/>
        </w:rPr>
        <w:tab/>
      </w:r>
      <w:r w:rsidRPr="006B145B">
        <w:rPr>
          <w:rFonts w:ascii="Verdana" w:eastAsia="Times" w:hAnsi="Verdana"/>
          <w:sz w:val="20"/>
          <w:szCs w:val="20"/>
          <w:lang w:val="es-ES"/>
        </w:rPr>
        <w:tab/>
      </w:r>
      <w:r w:rsidRPr="006B145B">
        <w:rPr>
          <w:rFonts w:ascii="Verdana" w:eastAsia="Times" w:hAnsi="Verdana"/>
          <w:sz w:val="20"/>
          <w:szCs w:val="20"/>
          <w:lang w:val="es-ES"/>
        </w:rPr>
        <w:tab/>
        <w:t xml:space="preserve">  Eugenio Raúl </w:t>
      </w:r>
      <w:proofErr w:type="spellStart"/>
      <w:r w:rsidRPr="006B145B">
        <w:rPr>
          <w:rFonts w:ascii="Verdana" w:eastAsia="Times" w:hAnsi="Verdana"/>
          <w:sz w:val="20"/>
          <w:szCs w:val="20"/>
          <w:lang w:val="es-ES"/>
        </w:rPr>
        <w:t>Zaffaroni</w:t>
      </w:r>
      <w:proofErr w:type="spellEnd"/>
    </w:p>
    <w:p w14:paraId="76E92E9D" w14:textId="77777777" w:rsidR="006B145B" w:rsidRPr="006B145B" w:rsidRDefault="006B145B" w:rsidP="006B145B">
      <w:pPr>
        <w:spacing w:after="0" w:line="240" w:lineRule="auto"/>
        <w:jc w:val="both"/>
        <w:rPr>
          <w:rFonts w:ascii="Verdana" w:eastAsia="Times" w:hAnsi="Verdana"/>
          <w:sz w:val="20"/>
          <w:szCs w:val="20"/>
          <w:lang w:val="es-ES"/>
        </w:rPr>
      </w:pPr>
    </w:p>
    <w:p w14:paraId="6AAE27A8" w14:textId="77777777" w:rsidR="006B145B" w:rsidRPr="006B145B" w:rsidRDefault="006B145B" w:rsidP="006B145B">
      <w:pPr>
        <w:spacing w:after="0" w:line="240" w:lineRule="auto"/>
        <w:jc w:val="both"/>
        <w:rPr>
          <w:rFonts w:ascii="Verdana" w:eastAsia="Times" w:hAnsi="Verdana"/>
          <w:sz w:val="20"/>
          <w:szCs w:val="20"/>
          <w:lang w:val="es-ES"/>
        </w:rPr>
      </w:pPr>
    </w:p>
    <w:p w14:paraId="36344427" w14:textId="77777777" w:rsidR="006B145B" w:rsidRPr="006B145B" w:rsidRDefault="006B145B" w:rsidP="006B145B">
      <w:pPr>
        <w:spacing w:after="0" w:line="240" w:lineRule="auto"/>
        <w:jc w:val="both"/>
        <w:rPr>
          <w:rFonts w:ascii="Verdana" w:eastAsia="Times" w:hAnsi="Verdana"/>
          <w:sz w:val="20"/>
          <w:szCs w:val="20"/>
          <w:lang w:val="es-ES"/>
        </w:rPr>
      </w:pPr>
    </w:p>
    <w:p w14:paraId="0E276A22" w14:textId="77777777" w:rsidR="006B145B" w:rsidRPr="006B145B" w:rsidRDefault="006B145B" w:rsidP="006B145B">
      <w:pPr>
        <w:spacing w:after="0" w:line="240" w:lineRule="auto"/>
        <w:jc w:val="both"/>
        <w:rPr>
          <w:rFonts w:ascii="Verdana" w:eastAsia="Times" w:hAnsi="Verdana"/>
          <w:sz w:val="20"/>
          <w:szCs w:val="20"/>
          <w:lang w:val="es-ES"/>
        </w:rPr>
      </w:pPr>
    </w:p>
    <w:p w14:paraId="191F454A" w14:textId="77777777" w:rsidR="006B145B" w:rsidRPr="006B145B" w:rsidRDefault="006B145B" w:rsidP="006B145B">
      <w:pPr>
        <w:spacing w:after="0" w:line="240" w:lineRule="auto"/>
        <w:jc w:val="both"/>
        <w:rPr>
          <w:rFonts w:ascii="Verdana" w:eastAsia="Times" w:hAnsi="Verdana"/>
          <w:sz w:val="20"/>
          <w:szCs w:val="20"/>
          <w:lang w:val="es-ES"/>
        </w:rPr>
      </w:pPr>
    </w:p>
    <w:p w14:paraId="5FB1DE6E" w14:textId="77777777" w:rsidR="006B145B" w:rsidRPr="006B145B" w:rsidRDefault="006B145B" w:rsidP="006B145B">
      <w:pPr>
        <w:spacing w:after="0" w:line="240" w:lineRule="auto"/>
        <w:jc w:val="both"/>
        <w:rPr>
          <w:rFonts w:ascii="Verdana" w:eastAsia="Times" w:hAnsi="Verdana"/>
          <w:sz w:val="20"/>
          <w:szCs w:val="20"/>
          <w:lang w:val="es-ES"/>
        </w:rPr>
      </w:pPr>
    </w:p>
    <w:p w14:paraId="45AF04CB" w14:textId="77777777" w:rsidR="006B145B" w:rsidRPr="006B145B" w:rsidRDefault="006B145B" w:rsidP="006B145B">
      <w:pPr>
        <w:spacing w:after="0" w:line="240" w:lineRule="auto"/>
        <w:jc w:val="both"/>
        <w:rPr>
          <w:rFonts w:ascii="Verdana" w:eastAsia="Times" w:hAnsi="Verdana"/>
          <w:sz w:val="20"/>
          <w:szCs w:val="20"/>
          <w:lang w:val="es-ES"/>
        </w:rPr>
      </w:pPr>
    </w:p>
    <w:p w14:paraId="6657A9A0" w14:textId="77777777" w:rsidR="006B145B" w:rsidRPr="006B145B" w:rsidRDefault="006B145B" w:rsidP="006B145B">
      <w:pPr>
        <w:spacing w:after="0" w:line="240" w:lineRule="auto"/>
        <w:jc w:val="both"/>
        <w:rPr>
          <w:rFonts w:ascii="Verdana" w:eastAsia="Times" w:hAnsi="Verdana"/>
          <w:sz w:val="20"/>
          <w:szCs w:val="20"/>
        </w:rPr>
      </w:pPr>
    </w:p>
    <w:p w14:paraId="4C133CB6" w14:textId="77777777" w:rsidR="006B145B" w:rsidRPr="006B145B" w:rsidRDefault="006B145B" w:rsidP="006B145B">
      <w:pPr>
        <w:spacing w:after="0" w:line="240" w:lineRule="auto"/>
        <w:jc w:val="both"/>
        <w:rPr>
          <w:rFonts w:ascii="Verdana" w:eastAsia="Times" w:hAnsi="Verdana"/>
          <w:sz w:val="20"/>
          <w:szCs w:val="20"/>
          <w:lang w:val="es-ES"/>
        </w:rPr>
      </w:pPr>
    </w:p>
    <w:p w14:paraId="190CE6F0" w14:textId="77777777" w:rsidR="006B145B" w:rsidRPr="006B145B" w:rsidRDefault="006B145B" w:rsidP="006B145B">
      <w:pPr>
        <w:spacing w:after="0" w:line="240" w:lineRule="auto"/>
        <w:jc w:val="center"/>
        <w:rPr>
          <w:rFonts w:ascii="Verdana" w:eastAsia="Times" w:hAnsi="Verdana"/>
          <w:sz w:val="20"/>
          <w:szCs w:val="20"/>
          <w:lang w:val="es-ES"/>
        </w:rPr>
      </w:pPr>
      <w:r w:rsidRPr="006B145B">
        <w:rPr>
          <w:rFonts w:ascii="Verdana" w:eastAsia="Times" w:hAnsi="Verdana"/>
          <w:sz w:val="20"/>
          <w:szCs w:val="20"/>
          <w:lang w:val="es-ES"/>
        </w:rPr>
        <w:t>Pablo Saavedra Alessandri</w:t>
      </w:r>
    </w:p>
    <w:p w14:paraId="1F045058" w14:textId="77777777" w:rsidR="006B145B" w:rsidRPr="006B145B" w:rsidRDefault="006B145B" w:rsidP="006B145B">
      <w:pPr>
        <w:spacing w:after="0" w:line="240" w:lineRule="auto"/>
        <w:jc w:val="center"/>
        <w:rPr>
          <w:rFonts w:ascii="Verdana" w:eastAsia="Times" w:hAnsi="Verdana"/>
          <w:sz w:val="20"/>
          <w:szCs w:val="20"/>
          <w:lang w:val="es-ES"/>
        </w:rPr>
      </w:pPr>
      <w:r w:rsidRPr="006B145B">
        <w:rPr>
          <w:rFonts w:ascii="Verdana" w:eastAsia="Times" w:hAnsi="Verdana"/>
          <w:sz w:val="20"/>
          <w:szCs w:val="20"/>
          <w:lang w:val="es-ES"/>
        </w:rPr>
        <w:t>Secretario</w:t>
      </w:r>
    </w:p>
    <w:p w14:paraId="038AFA91" w14:textId="77777777" w:rsidR="006B145B" w:rsidRPr="006B145B" w:rsidRDefault="006B145B" w:rsidP="006B145B">
      <w:pPr>
        <w:spacing w:after="0" w:line="240" w:lineRule="auto"/>
        <w:rPr>
          <w:rFonts w:ascii="Verdana" w:eastAsia="Times" w:hAnsi="Verdana"/>
          <w:sz w:val="20"/>
          <w:szCs w:val="20"/>
          <w:lang w:val="es-ES"/>
        </w:rPr>
      </w:pPr>
    </w:p>
    <w:p w14:paraId="05BB41CE" w14:textId="77777777" w:rsidR="006B145B" w:rsidRPr="006B145B" w:rsidRDefault="006B145B" w:rsidP="006B145B">
      <w:pPr>
        <w:spacing w:after="0" w:line="240" w:lineRule="auto"/>
        <w:jc w:val="both"/>
        <w:rPr>
          <w:rFonts w:ascii="Verdana" w:eastAsia="Times" w:hAnsi="Verdana"/>
          <w:sz w:val="20"/>
          <w:szCs w:val="20"/>
          <w:lang w:val="es-ES"/>
        </w:rPr>
      </w:pPr>
    </w:p>
    <w:p w14:paraId="7BD826FE" w14:textId="77777777" w:rsidR="006B145B" w:rsidRPr="006B145B" w:rsidRDefault="006B145B" w:rsidP="006B145B">
      <w:pPr>
        <w:spacing w:after="0" w:line="240" w:lineRule="auto"/>
        <w:jc w:val="both"/>
        <w:rPr>
          <w:rFonts w:ascii="Verdana" w:eastAsia="Times" w:hAnsi="Verdana"/>
          <w:sz w:val="20"/>
          <w:szCs w:val="20"/>
          <w:lang w:val="es-ES"/>
        </w:rPr>
      </w:pPr>
      <w:r w:rsidRPr="006B145B">
        <w:rPr>
          <w:rFonts w:ascii="Verdana" w:eastAsia="Times" w:hAnsi="Verdana"/>
          <w:sz w:val="20"/>
          <w:szCs w:val="20"/>
          <w:lang w:val="es-ES"/>
        </w:rPr>
        <w:t>Comuníquese y ejecútese,</w:t>
      </w:r>
    </w:p>
    <w:p w14:paraId="2E5CD017" w14:textId="77777777" w:rsidR="006B145B" w:rsidRPr="006B145B" w:rsidRDefault="006B145B" w:rsidP="006B145B">
      <w:pPr>
        <w:spacing w:after="0" w:line="240" w:lineRule="auto"/>
        <w:jc w:val="both"/>
        <w:rPr>
          <w:rFonts w:ascii="Verdana" w:eastAsia="Times" w:hAnsi="Verdana"/>
          <w:sz w:val="20"/>
          <w:szCs w:val="20"/>
          <w:lang w:val="es-ES"/>
        </w:rPr>
      </w:pPr>
    </w:p>
    <w:p w14:paraId="39A7D8E6" w14:textId="77777777" w:rsidR="006B145B" w:rsidRPr="006B145B" w:rsidRDefault="006B145B" w:rsidP="006B145B">
      <w:pPr>
        <w:spacing w:after="0" w:line="240" w:lineRule="auto"/>
        <w:jc w:val="both"/>
        <w:rPr>
          <w:rFonts w:ascii="Verdana" w:eastAsia="Times" w:hAnsi="Verdana"/>
          <w:sz w:val="20"/>
          <w:szCs w:val="20"/>
          <w:lang w:val="es-ES"/>
        </w:rPr>
      </w:pPr>
    </w:p>
    <w:p w14:paraId="7738C186" w14:textId="77777777" w:rsidR="006B145B" w:rsidRPr="006B145B" w:rsidRDefault="006B145B" w:rsidP="006B145B">
      <w:pPr>
        <w:spacing w:after="0" w:line="240" w:lineRule="auto"/>
        <w:jc w:val="both"/>
        <w:rPr>
          <w:rFonts w:ascii="Verdana" w:eastAsia="Times" w:hAnsi="Verdana"/>
          <w:sz w:val="20"/>
          <w:szCs w:val="20"/>
          <w:lang w:val="es-ES"/>
        </w:rPr>
      </w:pPr>
    </w:p>
    <w:p w14:paraId="576526F1" w14:textId="77777777" w:rsidR="006B145B" w:rsidRPr="006B145B" w:rsidRDefault="006B145B" w:rsidP="006B145B">
      <w:pPr>
        <w:spacing w:after="0" w:line="240" w:lineRule="auto"/>
        <w:jc w:val="both"/>
        <w:rPr>
          <w:rFonts w:ascii="Verdana" w:eastAsia="Times" w:hAnsi="Verdana"/>
          <w:sz w:val="20"/>
          <w:szCs w:val="20"/>
          <w:lang w:val="es-ES"/>
        </w:rPr>
      </w:pPr>
    </w:p>
    <w:p w14:paraId="5E93CFBA" w14:textId="77777777" w:rsidR="006B145B" w:rsidRPr="006B145B" w:rsidRDefault="006B145B" w:rsidP="006B145B">
      <w:pPr>
        <w:spacing w:after="0" w:line="240" w:lineRule="auto"/>
        <w:ind w:left="4956" w:firstLine="708"/>
        <w:jc w:val="center"/>
        <w:rPr>
          <w:rFonts w:ascii="Verdana" w:eastAsia="Times" w:hAnsi="Verdana"/>
          <w:sz w:val="20"/>
          <w:szCs w:val="20"/>
          <w:lang w:val="es-ES"/>
        </w:rPr>
      </w:pPr>
      <w:r w:rsidRPr="006B145B">
        <w:rPr>
          <w:rFonts w:ascii="Verdana" w:eastAsia="Times" w:hAnsi="Verdana"/>
          <w:sz w:val="20"/>
          <w:szCs w:val="20"/>
          <w:lang w:val="es-ES"/>
        </w:rPr>
        <w:t>Roberto F. Caldas</w:t>
      </w:r>
    </w:p>
    <w:p w14:paraId="67950D27" w14:textId="77777777" w:rsidR="006B145B" w:rsidRPr="006B145B" w:rsidRDefault="006B145B" w:rsidP="006B145B">
      <w:pPr>
        <w:spacing w:after="0" w:line="240" w:lineRule="auto"/>
        <w:ind w:left="4956" w:firstLine="708"/>
        <w:jc w:val="center"/>
        <w:rPr>
          <w:rFonts w:ascii="Verdana" w:eastAsia="Times" w:hAnsi="Verdana"/>
          <w:sz w:val="20"/>
          <w:szCs w:val="20"/>
          <w:lang w:val="es-ES"/>
        </w:rPr>
      </w:pPr>
      <w:r w:rsidRPr="006B145B">
        <w:rPr>
          <w:rFonts w:ascii="Verdana" w:eastAsia="Times" w:hAnsi="Verdana"/>
          <w:sz w:val="20"/>
          <w:szCs w:val="20"/>
          <w:lang w:val="es-ES"/>
        </w:rPr>
        <w:t xml:space="preserve">Presidente </w:t>
      </w:r>
    </w:p>
    <w:p w14:paraId="5C26714D" w14:textId="77777777" w:rsidR="006B145B" w:rsidRPr="006B145B" w:rsidRDefault="006B145B" w:rsidP="006B145B">
      <w:pPr>
        <w:spacing w:after="0" w:line="240" w:lineRule="auto"/>
        <w:jc w:val="both"/>
        <w:rPr>
          <w:rFonts w:ascii="Verdana" w:eastAsia="Times" w:hAnsi="Verdana"/>
          <w:sz w:val="20"/>
          <w:szCs w:val="20"/>
          <w:lang w:val="es-ES"/>
        </w:rPr>
      </w:pPr>
    </w:p>
    <w:p w14:paraId="49D57289" w14:textId="77777777" w:rsidR="006B145B" w:rsidRPr="006B145B" w:rsidRDefault="006B145B" w:rsidP="006B145B">
      <w:pPr>
        <w:spacing w:after="0" w:line="240" w:lineRule="auto"/>
        <w:jc w:val="both"/>
        <w:rPr>
          <w:rFonts w:ascii="Verdana" w:eastAsia="Times" w:hAnsi="Verdana"/>
          <w:sz w:val="20"/>
          <w:szCs w:val="20"/>
          <w:lang w:val="es-ES"/>
        </w:rPr>
      </w:pPr>
    </w:p>
    <w:p w14:paraId="1C97CA43" w14:textId="77777777" w:rsidR="006B145B" w:rsidRPr="006B145B" w:rsidRDefault="006B145B" w:rsidP="006B145B">
      <w:pPr>
        <w:spacing w:after="0" w:line="240" w:lineRule="auto"/>
        <w:jc w:val="both"/>
        <w:rPr>
          <w:rFonts w:ascii="Verdana" w:eastAsia="Times" w:hAnsi="Verdana"/>
          <w:sz w:val="20"/>
          <w:szCs w:val="20"/>
          <w:lang w:val="es-ES"/>
        </w:rPr>
      </w:pPr>
    </w:p>
    <w:p w14:paraId="063733AD" w14:textId="77777777" w:rsidR="006B145B" w:rsidRPr="006B145B" w:rsidRDefault="006B145B" w:rsidP="006B145B">
      <w:pPr>
        <w:spacing w:after="0" w:line="240" w:lineRule="auto"/>
        <w:jc w:val="both"/>
        <w:rPr>
          <w:rFonts w:ascii="Verdana" w:eastAsia="Times" w:hAnsi="Verdana"/>
          <w:sz w:val="20"/>
          <w:szCs w:val="20"/>
          <w:lang w:val="es-ES"/>
        </w:rPr>
      </w:pPr>
    </w:p>
    <w:p w14:paraId="0EC62454" w14:textId="77777777" w:rsidR="006B145B" w:rsidRPr="006B145B" w:rsidRDefault="006B145B" w:rsidP="006B145B">
      <w:pPr>
        <w:spacing w:after="0" w:line="240" w:lineRule="auto"/>
        <w:jc w:val="both"/>
        <w:rPr>
          <w:rFonts w:ascii="Verdana" w:eastAsia="Times" w:hAnsi="Verdana"/>
          <w:sz w:val="20"/>
          <w:szCs w:val="20"/>
          <w:lang w:val="es-ES"/>
        </w:rPr>
      </w:pPr>
      <w:r w:rsidRPr="006B145B">
        <w:rPr>
          <w:rFonts w:ascii="Verdana" w:eastAsia="Times" w:hAnsi="Verdana"/>
          <w:sz w:val="20"/>
          <w:szCs w:val="20"/>
          <w:lang w:val="es-ES"/>
        </w:rPr>
        <w:t>Pablo Saavedra Alessandri</w:t>
      </w:r>
    </w:p>
    <w:p w14:paraId="626C71FF" w14:textId="77777777" w:rsidR="006B145B" w:rsidRPr="006B145B" w:rsidRDefault="006B145B" w:rsidP="006B145B">
      <w:pPr>
        <w:spacing w:after="0" w:line="240" w:lineRule="auto"/>
        <w:rPr>
          <w:rFonts w:ascii="Verdana" w:eastAsia="Times" w:hAnsi="Verdana"/>
          <w:sz w:val="20"/>
          <w:szCs w:val="20"/>
        </w:rPr>
      </w:pPr>
      <w:r w:rsidRPr="006B145B">
        <w:rPr>
          <w:rFonts w:ascii="Verdana" w:eastAsia="Times" w:hAnsi="Verdana"/>
          <w:sz w:val="20"/>
          <w:szCs w:val="20"/>
          <w:lang w:val="es-ES"/>
        </w:rPr>
        <w:tab/>
      </w:r>
      <w:r w:rsidRPr="006B145B">
        <w:rPr>
          <w:rFonts w:ascii="Verdana" w:eastAsia="Times" w:hAnsi="Verdana"/>
          <w:sz w:val="20"/>
          <w:szCs w:val="20"/>
        </w:rPr>
        <w:t>Secretario</w:t>
      </w:r>
    </w:p>
    <w:p w14:paraId="2814A176" w14:textId="77777777" w:rsidR="006B145B" w:rsidRDefault="006B145B" w:rsidP="006B145B">
      <w:pPr>
        <w:tabs>
          <w:tab w:val="left" w:pos="567"/>
          <w:tab w:val="left" w:pos="851"/>
        </w:tabs>
        <w:spacing w:after="0" w:line="240" w:lineRule="auto"/>
        <w:ind w:right="48"/>
        <w:jc w:val="both"/>
        <w:rPr>
          <w:rFonts w:ascii="Verdana" w:hAnsi="Verdana"/>
          <w:sz w:val="20"/>
          <w:lang w:val="es-ES"/>
        </w:rPr>
      </w:pPr>
    </w:p>
    <w:p w14:paraId="3A83064E" w14:textId="77777777" w:rsidR="006B145B" w:rsidRPr="00DF7E56" w:rsidRDefault="006B145B" w:rsidP="006B145B">
      <w:pPr>
        <w:tabs>
          <w:tab w:val="left" w:pos="567"/>
          <w:tab w:val="left" w:pos="851"/>
        </w:tabs>
        <w:spacing w:after="0" w:line="240" w:lineRule="auto"/>
        <w:ind w:right="48"/>
        <w:jc w:val="both"/>
        <w:rPr>
          <w:rFonts w:ascii="Verdana" w:hAnsi="Verdana"/>
          <w:sz w:val="20"/>
          <w:lang w:val="es-ES"/>
        </w:rPr>
      </w:pPr>
    </w:p>
    <w:sectPr w:rsidR="006B145B" w:rsidRPr="00DF7E56" w:rsidSect="00877AB5">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9AB90" w15:done="0"/>
  <w15:commentEx w15:paraId="69B78FEC" w15:done="0"/>
  <w15:commentEx w15:paraId="42193E0E" w15:done="0"/>
  <w15:commentEx w15:paraId="5D6E7973" w15:done="0"/>
  <w15:commentEx w15:paraId="72360C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43240" w14:textId="77777777" w:rsidR="00E97412" w:rsidRDefault="00E97412" w:rsidP="000216D0">
      <w:pPr>
        <w:spacing w:after="0" w:line="240" w:lineRule="auto"/>
      </w:pPr>
      <w:r>
        <w:separator/>
      </w:r>
    </w:p>
  </w:endnote>
  <w:endnote w:type="continuationSeparator" w:id="0">
    <w:p w14:paraId="566BC5B9" w14:textId="77777777" w:rsidR="00E97412" w:rsidRDefault="00E97412" w:rsidP="0002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53AA" w14:textId="77777777" w:rsidR="00E97412" w:rsidRDefault="00E97412" w:rsidP="000216D0">
      <w:pPr>
        <w:spacing w:after="0" w:line="240" w:lineRule="auto"/>
      </w:pPr>
      <w:r>
        <w:separator/>
      </w:r>
    </w:p>
  </w:footnote>
  <w:footnote w:type="continuationSeparator" w:id="0">
    <w:p w14:paraId="4C2FB3EA" w14:textId="77777777" w:rsidR="00E97412" w:rsidRDefault="00E97412" w:rsidP="000216D0">
      <w:pPr>
        <w:spacing w:after="0" w:line="240" w:lineRule="auto"/>
      </w:pPr>
      <w:r>
        <w:continuationSeparator/>
      </w:r>
    </w:p>
  </w:footnote>
  <w:footnote w:id="1">
    <w:p w14:paraId="591B1AF3" w14:textId="0A268D2A"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t>*</w:t>
      </w:r>
      <w:r w:rsidRPr="00DF7E56">
        <w:rPr>
          <w:rFonts w:ascii="Verdana" w:hAnsi="Verdana"/>
          <w:sz w:val="16"/>
          <w:szCs w:val="16"/>
        </w:rPr>
        <w:tab/>
        <w:t>El Juez Eduardo Ferrer Mac-</w:t>
      </w:r>
      <w:proofErr w:type="spellStart"/>
      <w:r w:rsidRPr="00DF7E56">
        <w:rPr>
          <w:rFonts w:ascii="Verdana" w:hAnsi="Verdana"/>
          <w:sz w:val="16"/>
          <w:szCs w:val="16"/>
        </w:rPr>
        <w:t>Gregor</w:t>
      </w:r>
      <w:proofErr w:type="spellEnd"/>
      <w:r w:rsidRPr="00DF7E56">
        <w:rPr>
          <w:rFonts w:ascii="Verdana" w:hAnsi="Verdana"/>
          <w:sz w:val="16"/>
          <w:szCs w:val="16"/>
        </w:rPr>
        <w:t xml:space="preserve"> </w:t>
      </w:r>
      <w:proofErr w:type="spellStart"/>
      <w:r w:rsidRPr="00DF7E56">
        <w:rPr>
          <w:rFonts w:ascii="Verdana" w:hAnsi="Verdana"/>
          <w:sz w:val="16"/>
          <w:szCs w:val="16"/>
        </w:rPr>
        <w:t>Poisot</w:t>
      </w:r>
      <w:proofErr w:type="spellEnd"/>
      <w:r w:rsidRPr="00DF7E56">
        <w:rPr>
          <w:rFonts w:ascii="Verdana" w:hAnsi="Verdana"/>
          <w:sz w:val="16"/>
          <w:szCs w:val="16"/>
        </w:rPr>
        <w:t>, de nacionalidad mexicana, no participó en la deliberación y firma de la Sentencia del presente caso, ni en el conocimiento y deliberación de la presente Resolución, de conformidad con lo dispuesto en el artículo 19.1 del Reglamento de la Corte.</w:t>
      </w:r>
      <w:r w:rsidR="00FF1546">
        <w:rPr>
          <w:rFonts w:ascii="Verdana" w:hAnsi="Verdana"/>
          <w:sz w:val="16"/>
          <w:szCs w:val="16"/>
        </w:rPr>
        <w:t xml:space="preserve"> </w:t>
      </w:r>
      <w:r w:rsidR="00FF1546" w:rsidRPr="00FF1546">
        <w:rPr>
          <w:rFonts w:ascii="Verdana" w:hAnsi="Verdana"/>
          <w:sz w:val="16"/>
          <w:szCs w:val="16"/>
        </w:rPr>
        <w:t>El Juez L. Patricio Pazmiño Freire no participó en la deliberación y firma de la presente Resolución por razones de fuerza mayor</w:t>
      </w:r>
      <w:r w:rsidR="00FF1546">
        <w:rPr>
          <w:rFonts w:ascii="Verdana" w:hAnsi="Verdana"/>
          <w:sz w:val="16"/>
          <w:szCs w:val="16"/>
        </w:rPr>
        <w:t>.</w:t>
      </w:r>
    </w:p>
  </w:footnote>
  <w:footnote w:id="2">
    <w:p w14:paraId="5B3D3DB4" w14:textId="77777777"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Pr="00DF7E56">
        <w:rPr>
          <w:rFonts w:ascii="Verdana" w:hAnsi="Verdana"/>
          <w:i/>
          <w:sz w:val="16"/>
          <w:szCs w:val="16"/>
        </w:rPr>
        <w:t>Cfr</w:t>
      </w:r>
      <w:r w:rsidRPr="00DF7E56">
        <w:rPr>
          <w:rFonts w:ascii="Verdana" w:hAnsi="Verdana"/>
          <w:sz w:val="16"/>
          <w:szCs w:val="16"/>
        </w:rPr>
        <w:t xml:space="preserve">. </w:t>
      </w:r>
      <w:r w:rsidRPr="00DF7E56">
        <w:rPr>
          <w:rFonts w:ascii="Verdana" w:hAnsi="Verdana"/>
          <w:i/>
          <w:sz w:val="16"/>
          <w:szCs w:val="16"/>
        </w:rPr>
        <w:t>Caso García Cruz y Sánchez Silvestre Vs. México. Fondo, Reparaciones y Costas</w:t>
      </w:r>
      <w:r w:rsidRPr="00DF7E56">
        <w:rPr>
          <w:rFonts w:ascii="Verdana" w:hAnsi="Verdana"/>
          <w:sz w:val="16"/>
          <w:szCs w:val="16"/>
        </w:rPr>
        <w:t xml:space="preserve">. Sentencia de 26 de noviembre de 2013. Serie C No. 273. El texto íntegro de la Sentencia se encuentra disponible en: </w:t>
      </w:r>
      <w:hyperlink r:id="rId1" w:history="1">
        <w:r w:rsidRPr="00DF7E56">
          <w:rPr>
            <w:rStyle w:val="Hyperlink"/>
            <w:rFonts w:ascii="Verdana" w:hAnsi="Verdana"/>
            <w:sz w:val="16"/>
            <w:szCs w:val="16"/>
          </w:rPr>
          <w:t>http://corteidh.or.cr/docs/casos/articulos/seriec_273_esp.pdf</w:t>
        </w:r>
      </w:hyperlink>
      <w:r w:rsidRPr="00DF7E56">
        <w:rPr>
          <w:rFonts w:ascii="Verdana" w:hAnsi="Verdana"/>
          <w:sz w:val="16"/>
          <w:szCs w:val="16"/>
        </w:rPr>
        <w:t xml:space="preserve">. La Sentencia fue notificada al Estado el 16 de diciembre de 2013. </w:t>
      </w:r>
    </w:p>
  </w:footnote>
  <w:footnote w:id="3">
    <w:p w14:paraId="5592C6A4" w14:textId="3450F4B8"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Escritos de 2</w:t>
      </w:r>
      <w:r w:rsidR="00867359">
        <w:rPr>
          <w:rFonts w:ascii="Verdana" w:hAnsi="Verdana"/>
          <w:sz w:val="16"/>
          <w:szCs w:val="16"/>
        </w:rPr>
        <w:t>6</w:t>
      </w:r>
      <w:r w:rsidRPr="00DF7E56">
        <w:rPr>
          <w:rFonts w:ascii="Verdana" w:hAnsi="Verdana"/>
          <w:sz w:val="16"/>
          <w:szCs w:val="16"/>
        </w:rPr>
        <w:t xml:space="preserve"> de diciembre de 2014, 1</w:t>
      </w:r>
      <w:r w:rsidR="00867359">
        <w:rPr>
          <w:rFonts w:ascii="Verdana" w:hAnsi="Verdana"/>
          <w:sz w:val="16"/>
          <w:szCs w:val="16"/>
        </w:rPr>
        <w:t>5</w:t>
      </w:r>
      <w:r w:rsidRPr="00DF7E56">
        <w:rPr>
          <w:rFonts w:ascii="Verdana" w:hAnsi="Verdana"/>
          <w:sz w:val="16"/>
          <w:szCs w:val="16"/>
        </w:rPr>
        <w:t xml:space="preserve"> de enero de 2015, 12 de enero y 5 de febrero de 2016.</w:t>
      </w:r>
    </w:p>
  </w:footnote>
  <w:footnote w:id="4">
    <w:p w14:paraId="3B8B65E3" w14:textId="35FB26F3"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Escritos de</w:t>
      </w:r>
      <w:r w:rsidRPr="00DF7E56">
        <w:rPr>
          <w:rFonts w:ascii="Verdana" w:hAnsi="Verdana"/>
          <w:sz w:val="16"/>
          <w:szCs w:val="16"/>
          <w:lang w:val="es-MX"/>
        </w:rPr>
        <w:t xml:space="preserve"> 26 de febrero de 2015, 22 de marzo y 28 de abril de 2016. Las organizaciones Servicios Legales e Investigación y Estudios Jurídicos (SLIEJ) y el Centro por la Justicia y el Derecho Internacional (CEJIL) representan a las víctimas en la presente etapa de supervisión de cumplimiento de sentencia. </w:t>
      </w:r>
    </w:p>
  </w:footnote>
  <w:footnote w:id="5">
    <w:p w14:paraId="06D3835B" w14:textId="77777777" w:rsidR="00AA00EA" w:rsidRPr="00DF7E56" w:rsidRDefault="00AA00EA" w:rsidP="008B1EDC">
      <w:pPr>
        <w:pStyle w:val="FootnoteText"/>
        <w:ind w:right="4"/>
        <w:jc w:val="both"/>
        <w:rPr>
          <w:rFonts w:ascii="Verdana" w:hAnsi="Verdana" w:cs="Times New Roman"/>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 xml:space="preserve">Facultad que además </w:t>
      </w:r>
      <w:r w:rsidRPr="00DF7E56">
        <w:rPr>
          <w:rFonts w:ascii="Verdana" w:hAnsi="Verdana"/>
          <w:sz w:val="16"/>
          <w:szCs w:val="16"/>
          <w:lang w:val="es-ES"/>
        </w:rPr>
        <w:t xml:space="preserve">se desprende de lo dispuesto en los artículos 33, 62.1, 62.3 y 65 de la Convención Americana y </w:t>
      </w:r>
      <w:r w:rsidRPr="00DF7E56">
        <w:rPr>
          <w:rFonts w:ascii="Verdana" w:hAnsi="Verdana"/>
          <w:sz w:val="16"/>
          <w:szCs w:val="16"/>
        </w:rPr>
        <w:t>30 de su Estatuto y se encuentra regulada en el artículo 69 de su Reglamento.</w:t>
      </w:r>
    </w:p>
  </w:footnote>
  <w:footnote w:id="6">
    <w:p w14:paraId="7EA04D49" w14:textId="09C01502" w:rsidR="00AA00EA" w:rsidRPr="00DF7E56" w:rsidRDefault="00AA00EA" w:rsidP="008B1EDC">
      <w:pPr>
        <w:pStyle w:val="FootnoteText"/>
        <w:tabs>
          <w:tab w:val="left" w:pos="567"/>
        </w:tabs>
        <w:ind w:right="48"/>
        <w:jc w:val="both"/>
        <w:rPr>
          <w:rFonts w:ascii="Verdana" w:hAnsi="Verdana"/>
          <w:bCs/>
          <w:sz w:val="16"/>
          <w:szCs w:val="16"/>
          <w:shd w:val="clear" w:color="auto" w:fill="FFFFFF"/>
          <w:lang w:val="es-ES_tradnl"/>
        </w:rPr>
      </w:pPr>
      <w:r w:rsidRPr="00DF7E56">
        <w:rPr>
          <w:rStyle w:val="FootnoteReference"/>
          <w:rFonts w:ascii="Verdana" w:hAnsi="Verdana"/>
          <w:sz w:val="16"/>
          <w:szCs w:val="16"/>
          <w:lang w:val="es-ES_tradnl"/>
        </w:rPr>
        <w:footnoteRef/>
      </w:r>
      <w:r w:rsidRPr="00DF7E56">
        <w:rPr>
          <w:rFonts w:ascii="Verdana" w:hAnsi="Verdana"/>
          <w:sz w:val="16"/>
          <w:szCs w:val="16"/>
          <w:lang w:val="es-ES_tradnl"/>
        </w:rPr>
        <w:t xml:space="preserve"> </w:t>
      </w:r>
      <w:r w:rsidRPr="00DF7E56">
        <w:rPr>
          <w:rFonts w:ascii="Verdana" w:hAnsi="Verdana"/>
          <w:sz w:val="16"/>
          <w:szCs w:val="16"/>
          <w:lang w:val="es-ES_tradnl"/>
        </w:rPr>
        <w:tab/>
      </w:r>
      <w:r w:rsidRPr="00DF7E56">
        <w:rPr>
          <w:rFonts w:ascii="Verdana" w:hAnsi="Verdana"/>
          <w:i/>
          <w:noProof/>
          <w:sz w:val="16"/>
          <w:szCs w:val="16"/>
          <w:lang w:val="es-ES_tradnl"/>
        </w:rPr>
        <w:t>Cfr. Caso Ivcher Bronstein Vs. Perú. Competencia.</w:t>
      </w:r>
      <w:r w:rsidRPr="00DF7E56">
        <w:rPr>
          <w:rFonts w:ascii="Verdana" w:hAnsi="Verdana"/>
          <w:noProof/>
          <w:sz w:val="16"/>
          <w:szCs w:val="16"/>
          <w:lang w:val="es-ES_tradnl"/>
        </w:rPr>
        <w:t xml:space="preserve"> Sentencia de la Corte Interamericana de Derechos Humanos de 24 de septiembre de 1999.</w:t>
      </w:r>
      <w:r w:rsidRPr="00DF7E56">
        <w:rPr>
          <w:rFonts w:ascii="Verdana" w:hAnsi="Verdana"/>
          <w:sz w:val="16"/>
          <w:szCs w:val="16"/>
          <w:lang w:val="es-ES_tradnl"/>
        </w:rPr>
        <w:t xml:space="preserve"> </w:t>
      </w:r>
      <w:r w:rsidRPr="00DF7E56">
        <w:rPr>
          <w:rFonts w:ascii="Verdana" w:hAnsi="Verdana"/>
          <w:noProof/>
          <w:sz w:val="16"/>
          <w:szCs w:val="16"/>
          <w:lang w:val="es-ES_tradnl"/>
        </w:rPr>
        <w:t xml:space="preserve">Serie C No. 54, párr. 37 </w:t>
      </w:r>
      <w:r w:rsidRPr="00DF7E56">
        <w:rPr>
          <w:rFonts w:ascii="Verdana" w:hAnsi="Verdana"/>
          <w:bCs/>
          <w:sz w:val="16"/>
          <w:szCs w:val="16"/>
          <w:lang w:val="es-ES_tradnl" w:bidi="en-US"/>
        </w:rPr>
        <w:t xml:space="preserve">y </w:t>
      </w:r>
      <w:r w:rsidRPr="00DF7E56">
        <w:rPr>
          <w:rFonts w:ascii="Verdana" w:hAnsi="Verdana"/>
          <w:i/>
          <w:sz w:val="16"/>
          <w:szCs w:val="16"/>
        </w:rPr>
        <w:t xml:space="preserve">Caso 19 Comerciantes Vs. Colombia. Supervisión de Cumplimiento de Sentencia. </w:t>
      </w:r>
      <w:r w:rsidRPr="00DF7E56">
        <w:rPr>
          <w:rFonts w:ascii="Verdana" w:hAnsi="Verdana"/>
          <w:sz w:val="16"/>
          <w:szCs w:val="16"/>
        </w:rPr>
        <w:t>Resolución de la Corte Interamericana de Derechos Humanos de 23 de junio de 2016, Considerando 3</w:t>
      </w:r>
      <w:r w:rsidRPr="00DF7E56">
        <w:rPr>
          <w:rStyle w:val="Strong"/>
          <w:rFonts w:ascii="Verdana" w:hAnsi="Verdana"/>
          <w:b w:val="0"/>
          <w:sz w:val="16"/>
          <w:szCs w:val="16"/>
          <w:lang w:val="es-ES_tradnl"/>
        </w:rPr>
        <w:t>.</w:t>
      </w:r>
    </w:p>
  </w:footnote>
  <w:footnote w:id="7">
    <w:p w14:paraId="73429B5C" w14:textId="7E9BD03F"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Relativas a: i) realizar y proseguir de modo diligente todas las investigaciones y actuaciones necesarias para deslindar responsabilidades y, en su caso, sancionar la comisión del delito de tortura, en perjuicio de los señores García Cruz y Sánchez Silvestre</w:t>
      </w:r>
      <w:r w:rsidR="00144864">
        <w:rPr>
          <w:rFonts w:ascii="Verdana" w:hAnsi="Verdana"/>
          <w:sz w:val="16"/>
          <w:szCs w:val="16"/>
        </w:rPr>
        <w:t xml:space="preserve"> (</w:t>
      </w:r>
      <w:r w:rsidR="00144864" w:rsidRPr="00144864">
        <w:rPr>
          <w:rFonts w:ascii="Verdana" w:hAnsi="Verdana"/>
          <w:i/>
          <w:sz w:val="16"/>
          <w:szCs w:val="16"/>
        </w:rPr>
        <w:t>punto dispositivo sexto inciso a) de la Sentencia</w:t>
      </w:r>
      <w:r w:rsidR="00144864">
        <w:rPr>
          <w:rFonts w:ascii="Verdana" w:hAnsi="Verdana"/>
          <w:sz w:val="16"/>
          <w:szCs w:val="16"/>
        </w:rPr>
        <w:t>)</w:t>
      </w:r>
      <w:r w:rsidRPr="00DF7E56">
        <w:rPr>
          <w:rFonts w:ascii="Verdana" w:hAnsi="Verdana"/>
          <w:sz w:val="16"/>
          <w:szCs w:val="16"/>
        </w:rPr>
        <w:t>; ii) eliminar los antecedentes penales que pudiesen existir en contra de los señores García Cruz y Sánchez Silvestre, en relación con los hechos del caso</w:t>
      </w:r>
      <w:r w:rsidR="00144864">
        <w:rPr>
          <w:rFonts w:ascii="Verdana" w:hAnsi="Verdana"/>
          <w:sz w:val="16"/>
          <w:szCs w:val="16"/>
        </w:rPr>
        <w:t xml:space="preserve"> (</w:t>
      </w:r>
      <w:r w:rsidR="00144864" w:rsidRPr="00144864">
        <w:rPr>
          <w:rFonts w:ascii="Verdana" w:hAnsi="Verdana"/>
          <w:i/>
          <w:sz w:val="16"/>
          <w:szCs w:val="16"/>
        </w:rPr>
        <w:t xml:space="preserve">punto dispositivo sexto inciso </w:t>
      </w:r>
      <w:r w:rsidR="00144864">
        <w:rPr>
          <w:rFonts w:ascii="Verdana" w:hAnsi="Verdana"/>
          <w:i/>
          <w:sz w:val="16"/>
          <w:szCs w:val="16"/>
        </w:rPr>
        <w:t>b</w:t>
      </w:r>
      <w:r w:rsidR="00144864" w:rsidRPr="00144864">
        <w:rPr>
          <w:rFonts w:ascii="Verdana" w:hAnsi="Verdana"/>
          <w:i/>
          <w:sz w:val="16"/>
          <w:szCs w:val="16"/>
        </w:rPr>
        <w:t>) de la Sentencia</w:t>
      </w:r>
      <w:r w:rsidR="00144864">
        <w:rPr>
          <w:rFonts w:ascii="Verdana" w:hAnsi="Verdana"/>
          <w:sz w:val="16"/>
          <w:szCs w:val="16"/>
        </w:rPr>
        <w:t>)</w:t>
      </w:r>
      <w:r w:rsidRPr="00DF7E56">
        <w:rPr>
          <w:rFonts w:ascii="Verdana" w:hAnsi="Verdana"/>
          <w:sz w:val="16"/>
          <w:szCs w:val="16"/>
        </w:rPr>
        <w:t>; iii) otorgar a las víctimas atención médica preferencial y gratuita a través del “Programa de Acceso Gratuito a los Servicios Médicos y Medicamentos a las Personas Residentes en el Distrito Federal que Carecen de Seguridad Social Laboral” y brindarles atención psicológica a través de la “Procuraduría Social de Atención a las Víctimas de Delitos”, en sus domicilios o en las instalaciones del Centro de Atención a Víctimas y Ofendidos más cercana al mismo, a elección de las víctimas</w:t>
      </w:r>
      <w:r w:rsidR="00144864">
        <w:rPr>
          <w:rFonts w:ascii="Verdana" w:hAnsi="Verdana"/>
          <w:sz w:val="16"/>
          <w:szCs w:val="16"/>
        </w:rPr>
        <w:t xml:space="preserve"> (</w:t>
      </w:r>
      <w:r w:rsidR="00144864">
        <w:rPr>
          <w:rFonts w:ascii="Verdana" w:hAnsi="Verdana"/>
          <w:i/>
          <w:sz w:val="16"/>
          <w:szCs w:val="16"/>
        </w:rPr>
        <w:t>punto dispositivo sexto inciso c</w:t>
      </w:r>
      <w:r w:rsidR="00144864" w:rsidRPr="00144864">
        <w:rPr>
          <w:rFonts w:ascii="Verdana" w:hAnsi="Verdana"/>
          <w:i/>
          <w:sz w:val="16"/>
          <w:szCs w:val="16"/>
        </w:rPr>
        <w:t>) de la Sentencia</w:t>
      </w:r>
      <w:r w:rsidR="00144864">
        <w:rPr>
          <w:rFonts w:ascii="Verdana" w:hAnsi="Verdana"/>
          <w:sz w:val="16"/>
          <w:szCs w:val="16"/>
        </w:rPr>
        <w:t>)</w:t>
      </w:r>
      <w:r w:rsidRPr="00DF7E56">
        <w:rPr>
          <w:rFonts w:ascii="Verdana" w:hAnsi="Verdana"/>
          <w:sz w:val="16"/>
          <w:szCs w:val="16"/>
        </w:rPr>
        <w:t>; iv) otorgar a la esposa del señor Sánchez Silvestre, atención médica gratuita</w:t>
      </w:r>
      <w:r w:rsidR="00144864">
        <w:rPr>
          <w:rFonts w:ascii="Verdana" w:hAnsi="Verdana"/>
          <w:sz w:val="16"/>
          <w:szCs w:val="16"/>
        </w:rPr>
        <w:t xml:space="preserve"> (</w:t>
      </w:r>
      <w:r w:rsidR="00144864" w:rsidRPr="00144864">
        <w:rPr>
          <w:rFonts w:ascii="Verdana" w:hAnsi="Verdana"/>
          <w:i/>
          <w:sz w:val="16"/>
          <w:szCs w:val="16"/>
        </w:rPr>
        <w:t xml:space="preserve">punto dispositivo sexto inciso </w:t>
      </w:r>
      <w:r w:rsidR="00144864">
        <w:rPr>
          <w:rFonts w:ascii="Verdana" w:hAnsi="Verdana"/>
          <w:i/>
          <w:sz w:val="16"/>
          <w:szCs w:val="16"/>
        </w:rPr>
        <w:t>d</w:t>
      </w:r>
      <w:r w:rsidR="00144864" w:rsidRPr="00144864">
        <w:rPr>
          <w:rFonts w:ascii="Verdana" w:hAnsi="Verdana"/>
          <w:i/>
          <w:sz w:val="16"/>
          <w:szCs w:val="16"/>
        </w:rPr>
        <w:t>) de la Sentencia</w:t>
      </w:r>
      <w:r w:rsidR="00144864">
        <w:rPr>
          <w:rFonts w:ascii="Verdana" w:hAnsi="Verdana"/>
          <w:sz w:val="16"/>
          <w:szCs w:val="16"/>
        </w:rPr>
        <w:t>)</w:t>
      </w:r>
      <w:r w:rsidRPr="00DF7E56">
        <w:rPr>
          <w:rFonts w:ascii="Verdana" w:hAnsi="Verdana"/>
          <w:sz w:val="16"/>
          <w:szCs w:val="16"/>
        </w:rPr>
        <w:t>; v) realizar un acto público de reconocimiento de responsabilidad internacional y disculpa pública</w:t>
      </w:r>
      <w:r w:rsidR="00144864">
        <w:rPr>
          <w:rFonts w:ascii="Verdana" w:hAnsi="Verdana"/>
          <w:sz w:val="16"/>
          <w:szCs w:val="16"/>
        </w:rPr>
        <w:t xml:space="preserve"> (</w:t>
      </w:r>
      <w:r w:rsidR="00144864" w:rsidRPr="00144864">
        <w:rPr>
          <w:rFonts w:ascii="Verdana" w:hAnsi="Verdana"/>
          <w:i/>
          <w:sz w:val="16"/>
          <w:szCs w:val="16"/>
        </w:rPr>
        <w:t xml:space="preserve">punto dispositivo sexto inciso </w:t>
      </w:r>
      <w:r w:rsidR="00144864">
        <w:rPr>
          <w:rFonts w:ascii="Verdana" w:hAnsi="Verdana"/>
          <w:i/>
          <w:sz w:val="16"/>
          <w:szCs w:val="16"/>
        </w:rPr>
        <w:t>e</w:t>
      </w:r>
      <w:r w:rsidR="00144864" w:rsidRPr="00144864">
        <w:rPr>
          <w:rFonts w:ascii="Verdana" w:hAnsi="Verdana"/>
          <w:i/>
          <w:sz w:val="16"/>
          <w:szCs w:val="16"/>
        </w:rPr>
        <w:t>) de la Sentencia</w:t>
      </w:r>
      <w:r w:rsidR="00144864">
        <w:rPr>
          <w:rFonts w:ascii="Verdana" w:hAnsi="Verdana"/>
          <w:sz w:val="16"/>
          <w:szCs w:val="16"/>
        </w:rPr>
        <w:t>)</w:t>
      </w:r>
      <w:r w:rsidRPr="00DF7E56">
        <w:rPr>
          <w:rFonts w:ascii="Verdana" w:hAnsi="Verdana"/>
          <w:sz w:val="16"/>
          <w:szCs w:val="16"/>
        </w:rPr>
        <w:t>; vi) realizar un seminario con expertos para debatir la aplicación de la doctrina de la inmediatez procesal utilizada por la Suprema Corte de Justicia de la Nación y hacer llegar las conclusiones de dicho evento a diversos servidores públicos encargados de la defensoría de oficio, así como de la procuración e impartición de justicia</w:t>
      </w:r>
      <w:r w:rsidR="00144864">
        <w:rPr>
          <w:rFonts w:ascii="Verdana" w:hAnsi="Verdana"/>
          <w:sz w:val="16"/>
          <w:szCs w:val="16"/>
        </w:rPr>
        <w:t xml:space="preserve"> (</w:t>
      </w:r>
      <w:r w:rsidR="00144864" w:rsidRPr="00144864">
        <w:rPr>
          <w:rFonts w:ascii="Verdana" w:hAnsi="Verdana"/>
          <w:i/>
          <w:sz w:val="16"/>
          <w:szCs w:val="16"/>
        </w:rPr>
        <w:t xml:space="preserve">punto dispositivo sexto inciso </w:t>
      </w:r>
      <w:r w:rsidR="00144864">
        <w:rPr>
          <w:rFonts w:ascii="Verdana" w:hAnsi="Verdana"/>
          <w:i/>
          <w:sz w:val="16"/>
          <w:szCs w:val="16"/>
        </w:rPr>
        <w:t>j</w:t>
      </w:r>
      <w:r w:rsidR="00144864" w:rsidRPr="00144864">
        <w:rPr>
          <w:rFonts w:ascii="Verdana" w:hAnsi="Verdana"/>
          <w:i/>
          <w:sz w:val="16"/>
          <w:szCs w:val="16"/>
        </w:rPr>
        <w:t>) de la Sentencia</w:t>
      </w:r>
      <w:r w:rsidR="00144864">
        <w:rPr>
          <w:rFonts w:ascii="Verdana" w:hAnsi="Verdana"/>
          <w:sz w:val="16"/>
          <w:szCs w:val="16"/>
        </w:rPr>
        <w:t>)</w:t>
      </w:r>
      <w:r w:rsidRPr="00DF7E56">
        <w:rPr>
          <w:rFonts w:ascii="Verdana" w:hAnsi="Verdana"/>
          <w:sz w:val="16"/>
          <w:szCs w:val="16"/>
        </w:rPr>
        <w:t>; y vii) efectuar un “Programa para operadores de justicia” para continuar otorgando capacitación a los servidores públicos encargados de la defensoría de oficio, así como de la procuración e impartición de justicia bajo los estándares internacionales más altos, para que puedan identificar, reaccionar, prevenir, denunciar y sancionar el uso de técnicas de tortura</w:t>
      </w:r>
      <w:r w:rsidR="00144864">
        <w:rPr>
          <w:rFonts w:ascii="Verdana" w:hAnsi="Verdana"/>
          <w:sz w:val="16"/>
          <w:szCs w:val="16"/>
        </w:rPr>
        <w:t xml:space="preserve"> (</w:t>
      </w:r>
      <w:r w:rsidR="00144864" w:rsidRPr="00144864">
        <w:rPr>
          <w:rFonts w:ascii="Verdana" w:hAnsi="Verdana"/>
          <w:i/>
          <w:sz w:val="16"/>
          <w:szCs w:val="16"/>
        </w:rPr>
        <w:t xml:space="preserve">punto dispositivo sexto inciso </w:t>
      </w:r>
      <w:r w:rsidR="00144864">
        <w:rPr>
          <w:rFonts w:ascii="Verdana" w:hAnsi="Verdana"/>
          <w:i/>
          <w:sz w:val="16"/>
          <w:szCs w:val="16"/>
        </w:rPr>
        <w:t>l</w:t>
      </w:r>
      <w:r w:rsidR="00144864" w:rsidRPr="00144864">
        <w:rPr>
          <w:rFonts w:ascii="Verdana" w:hAnsi="Verdana"/>
          <w:i/>
          <w:sz w:val="16"/>
          <w:szCs w:val="16"/>
        </w:rPr>
        <w:t>) de la Sentencia</w:t>
      </w:r>
      <w:r w:rsidR="00144864">
        <w:rPr>
          <w:rFonts w:ascii="Verdana" w:hAnsi="Verdana"/>
          <w:sz w:val="16"/>
          <w:szCs w:val="16"/>
        </w:rPr>
        <w:t>)</w:t>
      </w:r>
      <w:r w:rsidRPr="00DF7E56">
        <w:rPr>
          <w:rFonts w:ascii="Verdana" w:hAnsi="Verdana"/>
          <w:sz w:val="16"/>
          <w:szCs w:val="16"/>
        </w:rPr>
        <w:t>.</w:t>
      </w:r>
    </w:p>
  </w:footnote>
  <w:footnote w:id="8">
    <w:p w14:paraId="57B70BE5" w14:textId="11F7C2F6"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Pr="00DF7E56">
        <w:rPr>
          <w:rFonts w:ascii="Verdana" w:hAnsi="Verdana"/>
          <w:i/>
          <w:sz w:val="16"/>
          <w:szCs w:val="16"/>
        </w:rPr>
        <w:t xml:space="preserve">Cfr. Caso García Cruz y Sánchez Silvestre Vs. México, supra </w:t>
      </w:r>
      <w:r w:rsidRPr="00DF7E56">
        <w:rPr>
          <w:rFonts w:ascii="Verdana" w:hAnsi="Verdana"/>
          <w:sz w:val="16"/>
          <w:szCs w:val="16"/>
        </w:rPr>
        <w:t>nota 1, párr. 51.</w:t>
      </w:r>
    </w:p>
  </w:footnote>
  <w:footnote w:id="9">
    <w:p w14:paraId="00042CA0" w14:textId="7F0E4D41" w:rsidR="004F47BA" w:rsidRDefault="004F47BA">
      <w:pPr>
        <w:pStyle w:val="FootnoteText"/>
      </w:pPr>
      <w:r>
        <w:rPr>
          <w:rStyle w:val="FootnoteReference"/>
        </w:rPr>
        <w:footnoteRef/>
      </w:r>
      <w:r>
        <w:t xml:space="preserve"> </w:t>
      </w:r>
      <w:r>
        <w:tab/>
      </w:r>
      <w:r w:rsidRPr="00DF7E56">
        <w:rPr>
          <w:rFonts w:ascii="Verdana" w:hAnsi="Verdana"/>
          <w:i/>
          <w:sz w:val="16"/>
          <w:szCs w:val="16"/>
        </w:rPr>
        <w:t xml:space="preserve">Cfr. Caso García Cruz y Sánchez Silvestre Vs. México, supra </w:t>
      </w:r>
      <w:r w:rsidRPr="00DF7E56">
        <w:rPr>
          <w:rFonts w:ascii="Verdana" w:hAnsi="Verdana"/>
          <w:sz w:val="16"/>
          <w:szCs w:val="16"/>
        </w:rPr>
        <w:t xml:space="preserve">nota 1, párr. </w:t>
      </w:r>
      <w:r>
        <w:rPr>
          <w:rFonts w:ascii="Verdana" w:hAnsi="Verdana"/>
          <w:sz w:val="16"/>
          <w:szCs w:val="16"/>
        </w:rPr>
        <w:t>90</w:t>
      </w:r>
      <w:r w:rsidRPr="00DF7E56">
        <w:rPr>
          <w:rFonts w:ascii="Verdana" w:hAnsi="Verdana"/>
          <w:sz w:val="16"/>
          <w:szCs w:val="16"/>
        </w:rPr>
        <w:t>.</w:t>
      </w:r>
    </w:p>
  </w:footnote>
  <w:footnote w:id="10">
    <w:p w14:paraId="7E9164ED" w14:textId="3C8E3EC1"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00E4643B" w:rsidRPr="00E4643B">
        <w:rPr>
          <w:rFonts w:ascii="Verdana" w:hAnsi="Verdana"/>
          <w:i/>
          <w:sz w:val="16"/>
          <w:szCs w:val="16"/>
        </w:rPr>
        <w:t>Cfr</w:t>
      </w:r>
      <w:r w:rsidR="00E4643B">
        <w:rPr>
          <w:rFonts w:ascii="Verdana" w:hAnsi="Verdana"/>
          <w:sz w:val="16"/>
          <w:szCs w:val="16"/>
        </w:rPr>
        <w:t xml:space="preserve">. </w:t>
      </w:r>
      <w:r w:rsidRPr="00DF7E56">
        <w:rPr>
          <w:rFonts w:ascii="Verdana" w:hAnsi="Verdana"/>
          <w:sz w:val="16"/>
          <w:szCs w:val="16"/>
        </w:rPr>
        <w:t xml:space="preserve">Copia de la publicación en el Diario Oficial de 3 de octubre de 2014; copia de la publicación del resumen de la sentencia del juicio de amparo 778/2012 en el Diario Oficial de 3 de octubre de 2014; copia de la publicación en el Periódico </w:t>
      </w:r>
      <w:proofErr w:type="spellStart"/>
      <w:r w:rsidRPr="00DF7E56">
        <w:rPr>
          <w:rFonts w:ascii="Verdana" w:hAnsi="Verdana"/>
          <w:sz w:val="16"/>
          <w:szCs w:val="16"/>
        </w:rPr>
        <w:t>Excelsior</w:t>
      </w:r>
      <w:proofErr w:type="spellEnd"/>
      <w:r w:rsidRPr="00DF7E56">
        <w:rPr>
          <w:rFonts w:ascii="Verdana" w:hAnsi="Verdana"/>
          <w:sz w:val="16"/>
          <w:szCs w:val="16"/>
        </w:rPr>
        <w:t xml:space="preserve"> de fecha 8 de octubre de 2014 del resumen oficial de la Sentencia y del resumen de la sentenci</w:t>
      </w:r>
      <w:r w:rsidR="00E4643B">
        <w:rPr>
          <w:rFonts w:ascii="Verdana" w:hAnsi="Verdana"/>
          <w:sz w:val="16"/>
          <w:szCs w:val="16"/>
        </w:rPr>
        <w:t>a del juicio de amparo 778/2012 (a</w:t>
      </w:r>
      <w:r w:rsidRPr="00DF7E56">
        <w:rPr>
          <w:rFonts w:ascii="Verdana" w:hAnsi="Verdana"/>
          <w:sz w:val="16"/>
          <w:szCs w:val="16"/>
        </w:rPr>
        <w:t>nexos al informe estatal de 26 de diciembre de 2014</w:t>
      </w:r>
      <w:r w:rsidR="00E4643B">
        <w:rPr>
          <w:rFonts w:ascii="Verdana" w:hAnsi="Verdana"/>
          <w:sz w:val="16"/>
          <w:szCs w:val="16"/>
        </w:rPr>
        <w:t>)</w:t>
      </w:r>
      <w:r w:rsidRPr="00DF7E56">
        <w:rPr>
          <w:rFonts w:ascii="Verdana" w:hAnsi="Verdana"/>
          <w:sz w:val="16"/>
          <w:szCs w:val="16"/>
        </w:rPr>
        <w:t>.</w:t>
      </w:r>
    </w:p>
  </w:footnote>
  <w:footnote w:id="11">
    <w:p w14:paraId="260871A2" w14:textId="026C5201"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Escrito de observaciones de 26 de febrero de 2015.</w:t>
      </w:r>
    </w:p>
  </w:footnote>
  <w:footnote w:id="12">
    <w:p w14:paraId="3171EFA9" w14:textId="1F54EFAE"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Escrito de observaciones de 10 de abril de 2015.</w:t>
      </w:r>
    </w:p>
  </w:footnote>
  <w:footnote w:id="13">
    <w:p w14:paraId="23E20CF4" w14:textId="23D3D7BB" w:rsidR="00AA00EA" w:rsidRPr="00DF7E56" w:rsidRDefault="00AA00EA" w:rsidP="00406646">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Escrito de observaciones de 26 de febrero de 2015</w:t>
      </w:r>
      <w:r w:rsidR="004F6365">
        <w:rPr>
          <w:rFonts w:ascii="Verdana" w:hAnsi="Verdana"/>
          <w:sz w:val="16"/>
          <w:szCs w:val="16"/>
        </w:rPr>
        <w:t>, nota al pie 17</w:t>
      </w:r>
      <w:r w:rsidRPr="00DF7E56">
        <w:rPr>
          <w:rFonts w:ascii="Verdana" w:hAnsi="Verdana"/>
          <w:sz w:val="16"/>
          <w:szCs w:val="16"/>
        </w:rPr>
        <w:t xml:space="preserve">. </w:t>
      </w:r>
    </w:p>
  </w:footnote>
  <w:footnote w:id="14">
    <w:p w14:paraId="4239289D" w14:textId="63873273" w:rsidR="004F6365" w:rsidRPr="00DF7E56" w:rsidRDefault="004F6365" w:rsidP="004F6365">
      <w:pPr>
        <w:pStyle w:val="FootnoteText"/>
        <w:jc w:val="both"/>
        <w:rPr>
          <w:rFonts w:ascii="Verdana" w:hAnsi="Verdana"/>
          <w:b/>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00E4643B">
        <w:rPr>
          <w:rFonts w:ascii="Verdana" w:hAnsi="Verdana"/>
          <w:i/>
          <w:sz w:val="16"/>
          <w:szCs w:val="16"/>
        </w:rPr>
        <w:t xml:space="preserve">Cfr. </w:t>
      </w:r>
      <w:r w:rsidR="00E4643B">
        <w:rPr>
          <w:rFonts w:ascii="Verdana" w:hAnsi="Verdana"/>
          <w:sz w:val="16"/>
          <w:szCs w:val="16"/>
        </w:rPr>
        <w:t>I</w:t>
      </w:r>
      <w:r w:rsidRPr="00DF7E56">
        <w:rPr>
          <w:rFonts w:ascii="Verdana" w:hAnsi="Verdana"/>
          <w:sz w:val="16"/>
          <w:szCs w:val="16"/>
        </w:rPr>
        <w:t>nforme estatal de 26 de diciembre de 2014, escrito de observaciones de los representantes de las víctimas de 26 de febrero de 2015, escrito de observaciones de la Comisión</w:t>
      </w:r>
      <w:r>
        <w:rPr>
          <w:rFonts w:ascii="Verdana" w:hAnsi="Verdana"/>
          <w:sz w:val="16"/>
          <w:szCs w:val="16"/>
        </w:rPr>
        <w:t xml:space="preserve"> </w:t>
      </w:r>
      <w:r w:rsidR="00E4643B">
        <w:rPr>
          <w:rFonts w:ascii="Verdana" w:hAnsi="Verdana"/>
          <w:sz w:val="16"/>
          <w:szCs w:val="16"/>
        </w:rPr>
        <w:t>de 10 de abril de 2015, o</w:t>
      </w:r>
      <w:r w:rsidRPr="00DF7E56">
        <w:rPr>
          <w:rFonts w:ascii="Verdana" w:hAnsi="Verdana"/>
          <w:sz w:val="16"/>
          <w:szCs w:val="16"/>
        </w:rPr>
        <w:t>ficio CODHAP/0500/2014 de 3 de junio de 2014, mediante el cual se instruye la publicación de la sentencia 778/2012 en el portal web de la Suprema Corte de Justicia de la Nación</w:t>
      </w:r>
      <w:r w:rsidR="00E4643B">
        <w:rPr>
          <w:rFonts w:ascii="Verdana" w:hAnsi="Verdana"/>
          <w:sz w:val="16"/>
          <w:szCs w:val="16"/>
        </w:rPr>
        <w:t xml:space="preserve"> (anexo al </w:t>
      </w:r>
      <w:r w:rsidR="00E4643B" w:rsidRPr="00DF7E56">
        <w:rPr>
          <w:rFonts w:ascii="Verdana" w:hAnsi="Verdana"/>
          <w:sz w:val="16"/>
          <w:szCs w:val="16"/>
        </w:rPr>
        <w:t>informe estatal de 12 de enero de 2016</w:t>
      </w:r>
      <w:r w:rsidRPr="00DF7E56">
        <w:rPr>
          <w:rFonts w:ascii="Verdana" w:hAnsi="Verdana"/>
          <w:sz w:val="16"/>
          <w:szCs w:val="16"/>
        </w:rPr>
        <w:t xml:space="preserve">), informe estatal de 5 de febrero de 2016 y escrito de observaciones de los representantes de las víctimas de 22 de marzo de 2016. </w:t>
      </w:r>
    </w:p>
  </w:footnote>
  <w:footnote w:id="15">
    <w:p w14:paraId="19A2E9B8" w14:textId="5FCCC083" w:rsidR="00AA00EA" w:rsidRPr="00DF7E56" w:rsidRDefault="00AA00EA" w:rsidP="00483CB7">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 xml:space="preserve">El Estado explicó que </w:t>
      </w:r>
      <w:r w:rsidR="00146BA9" w:rsidRPr="00DF7E56">
        <w:rPr>
          <w:rFonts w:ascii="Verdana" w:hAnsi="Verdana"/>
          <w:sz w:val="16"/>
          <w:szCs w:val="16"/>
        </w:rPr>
        <w:t xml:space="preserve">dicha publicación </w:t>
      </w:r>
      <w:r w:rsidRPr="00DF7E56">
        <w:rPr>
          <w:rFonts w:ascii="Verdana" w:hAnsi="Verdana"/>
          <w:sz w:val="16"/>
          <w:szCs w:val="16"/>
        </w:rPr>
        <w:t>permaneció publicada en la página de la Secretaría de Relaciones Exteriores por más de un año y que, a partir de junio de 2015, se continuó garantizando su publicación, pasándola a un nuevo portal electrónico del gobierno</w:t>
      </w:r>
      <w:r w:rsidR="004F6365">
        <w:rPr>
          <w:rFonts w:ascii="Verdana" w:hAnsi="Verdana"/>
          <w:sz w:val="16"/>
          <w:szCs w:val="16"/>
        </w:rPr>
        <w:t>,</w:t>
      </w:r>
      <w:r w:rsidRPr="00DF7E56">
        <w:rPr>
          <w:rFonts w:ascii="Verdana" w:hAnsi="Verdana"/>
          <w:sz w:val="16"/>
          <w:szCs w:val="16"/>
        </w:rPr>
        <w:t xml:space="preserve"> ya que todos los portales electrónicos individuales de las Secretarías de Estado y la información contenida en éstos fueron migrados a ese nuevo portal, en el cual “todas las [S]</w:t>
      </w:r>
      <w:proofErr w:type="spellStart"/>
      <w:r w:rsidRPr="00DF7E56">
        <w:rPr>
          <w:rFonts w:ascii="Verdana" w:hAnsi="Verdana"/>
          <w:sz w:val="16"/>
          <w:szCs w:val="16"/>
        </w:rPr>
        <w:t>entencias</w:t>
      </w:r>
      <w:proofErr w:type="spellEnd"/>
      <w:r w:rsidRPr="00DF7E56">
        <w:rPr>
          <w:rFonts w:ascii="Verdana" w:hAnsi="Verdana"/>
          <w:sz w:val="16"/>
          <w:szCs w:val="16"/>
        </w:rPr>
        <w:t xml:space="preserve"> dictadas por la Corte […] en relación con </w:t>
      </w:r>
      <w:proofErr w:type="spellStart"/>
      <w:r w:rsidRPr="00DF7E56">
        <w:rPr>
          <w:rFonts w:ascii="Verdana" w:hAnsi="Verdana"/>
          <w:sz w:val="16"/>
          <w:szCs w:val="16"/>
        </w:rPr>
        <w:t>Méxic</w:t>
      </w:r>
      <w:proofErr w:type="spellEnd"/>
      <w:r w:rsidR="004F6365">
        <w:rPr>
          <w:rFonts w:ascii="Verdana" w:hAnsi="Verdana"/>
          <w:sz w:val="16"/>
          <w:szCs w:val="16"/>
        </w:rPr>
        <w:t>[</w:t>
      </w:r>
      <w:r w:rsidRPr="00DF7E56">
        <w:rPr>
          <w:rFonts w:ascii="Verdana" w:hAnsi="Verdana"/>
          <w:sz w:val="16"/>
          <w:szCs w:val="16"/>
        </w:rPr>
        <w:t>o</w:t>
      </w:r>
      <w:r w:rsidR="004F6365">
        <w:rPr>
          <w:rFonts w:ascii="Verdana" w:hAnsi="Verdana"/>
          <w:sz w:val="16"/>
          <w:szCs w:val="16"/>
        </w:rPr>
        <w:t>]</w:t>
      </w:r>
      <w:r w:rsidRPr="00DF7E56">
        <w:rPr>
          <w:rFonts w:ascii="Verdana" w:hAnsi="Verdana"/>
          <w:sz w:val="16"/>
          <w:szCs w:val="16"/>
        </w:rPr>
        <w:t xml:space="preserve"> se encuentran […] disponibles”, incluyendo la Sentencia del presente caso.</w:t>
      </w:r>
      <w:r w:rsidR="00146BA9" w:rsidRPr="00DF7E56">
        <w:rPr>
          <w:rFonts w:ascii="Verdana" w:hAnsi="Verdana"/>
          <w:sz w:val="16"/>
          <w:szCs w:val="16"/>
        </w:rPr>
        <w:t xml:space="preserve"> </w:t>
      </w:r>
      <w:r w:rsidR="00146BA9" w:rsidRPr="00DF7E56">
        <w:rPr>
          <w:rFonts w:ascii="Verdana" w:hAnsi="Verdana"/>
          <w:i/>
          <w:sz w:val="16"/>
          <w:szCs w:val="16"/>
        </w:rPr>
        <w:t xml:space="preserve">Cfr. </w:t>
      </w:r>
      <w:r w:rsidR="00146BA9" w:rsidRPr="00DF7E56">
        <w:rPr>
          <w:rFonts w:ascii="Verdana" w:hAnsi="Verdana"/>
          <w:sz w:val="16"/>
          <w:szCs w:val="16"/>
        </w:rPr>
        <w:t xml:space="preserve">Informe estatal de 5 de febrero de 2016. </w:t>
      </w:r>
    </w:p>
  </w:footnote>
  <w:footnote w:id="16">
    <w:p w14:paraId="4FC694F6" w14:textId="23FCAE78"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Escrito de observaciones de 26 de febrero de 2015</w:t>
      </w:r>
      <w:r w:rsidR="00DF7E56">
        <w:rPr>
          <w:rFonts w:ascii="Verdana" w:hAnsi="Verdana"/>
          <w:sz w:val="16"/>
          <w:szCs w:val="16"/>
        </w:rPr>
        <w:t>.</w:t>
      </w:r>
    </w:p>
  </w:footnote>
  <w:footnote w:id="17">
    <w:p w14:paraId="0A01D551" w14:textId="252B48BA"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00981C14">
        <w:rPr>
          <w:rFonts w:ascii="Verdana" w:hAnsi="Verdana"/>
          <w:sz w:val="16"/>
          <w:szCs w:val="16"/>
        </w:rPr>
        <w:t xml:space="preserve"> </w:t>
      </w:r>
      <w:r w:rsidR="00981C14">
        <w:rPr>
          <w:rFonts w:ascii="Verdana" w:hAnsi="Verdana"/>
          <w:sz w:val="16"/>
          <w:szCs w:val="16"/>
        </w:rPr>
        <w:tab/>
      </w:r>
      <w:r w:rsidR="00981C14">
        <w:rPr>
          <w:rFonts w:ascii="Verdana" w:hAnsi="Verdana"/>
          <w:i/>
          <w:sz w:val="16"/>
          <w:szCs w:val="16"/>
        </w:rPr>
        <w:t xml:space="preserve">Cfr. </w:t>
      </w:r>
      <w:r w:rsidR="00981C14" w:rsidRPr="00981C14">
        <w:rPr>
          <w:rFonts w:ascii="Verdana" w:hAnsi="Verdana"/>
          <w:sz w:val="16"/>
          <w:szCs w:val="16"/>
        </w:rPr>
        <w:t>i</w:t>
      </w:r>
      <w:r w:rsidR="00981C14">
        <w:rPr>
          <w:rFonts w:ascii="Verdana" w:hAnsi="Verdana"/>
          <w:sz w:val="16"/>
          <w:szCs w:val="16"/>
        </w:rPr>
        <w:t>nforme</w:t>
      </w:r>
      <w:r w:rsidRPr="00DF7E56">
        <w:rPr>
          <w:rFonts w:ascii="Verdana" w:hAnsi="Verdana"/>
          <w:sz w:val="16"/>
          <w:szCs w:val="16"/>
        </w:rPr>
        <w:t xml:space="preserve"> estatal de 26 de diciembre de 2014 y </w:t>
      </w:r>
      <w:r w:rsidR="00981C14">
        <w:rPr>
          <w:rFonts w:ascii="Verdana" w:hAnsi="Verdana"/>
          <w:sz w:val="16"/>
          <w:szCs w:val="16"/>
        </w:rPr>
        <w:t>o</w:t>
      </w:r>
      <w:r w:rsidRPr="00DF7E56">
        <w:rPr>
          <w:rFonts w:ascii="Verdana" w:hAnsi="Verdana"/>
          <w:sz w:val="16"/>
          <w:szCs w:val="16"/>
        </w:rPr>
        <w:t xml:space="preserve">ficio No. UDDH/911/DDGAEI/719/2015 de 9 de octubre de 2015 mediante el cual el Director General Adjunto de la Unidad para la Defensa de los Derechos Humanos de la Secretaría de Gobernación informa a los representantes de las </w:t>
      </w:r>
      <w:r w:rsidR="00D47104">
        <w:rPr>
          <w:rFonts w:ascii="Verdana" w:hAnsi="Verdana"/>
          <w:sz w:val="16"/>
          <w:szCs w:val="16"/>
        </w:rPr>
        <w:t>v</w:t>
      </w:r>
      <w:r w:rsidRPr="00DF7E56">
        <w:rPr>
          <w:rFonts w:ascii="Verdana" w:hAnsi="Verdana"/>
          <w:sz w:val="16"/>
          <w:szCs w:val="16"/>
        </w:rPr>
        <w:t>íctimas que “se estipuló el pago de becas educativas para garantizar la educación de las víctimas hasta la conclusión de sus estudios universitarios o técn</w:t>
      </w:r>
      <w:r w:rsidR="00981C14">
        <w:rPr>
          <w:rFonts w:ascii="Verdana" w:hAnsi="Verdana"/>
          <w:sz w:val="16"/>
          <w:szCs w:val="16"/>
        </w:rPr>
        <w:t xml:space="preserve">icos, según sea su interés” (anexo al informe estatal de </w:t>
      </w:r>
      <w:r w:rsidR="00981C14" w:rsidRPr="00DF7E56">
        <w:rPr>
          <w:rFonts w:ascii="Verdana" w:hAnsi="Verdana"/>
          <w:sz w:val="16"/>
          <w:szCs w:val="16"/>
        </w:rPr>
        <w:t>12 de enero de 2016</w:t>
      </w:r>
      <w:r w:rsidR="00981C14">
        <w:rPr>
          <w:rFonts w:ascii="Verdana" w:hAnsi="Verdana"/>
          <w:sz w:val="16"/>
          <w:szCs w:val="16"/>
        </w:rPr>
        <w:t>)</w:t>
      </w:r>
      <w:r w:rsidRPr="00DF7E56">
        <w:rPr>
          <w:rFonts w:ascii="Verdana" w:hAnsi="Verdana"/>
          <w:sz w:val="16"/>
          <w:szCs w:val="16"/>
        </w:rPr>
        <w:t xml:space="preserve">. </w:t>
      </w:r>
    </w:p>
  </w:footnote>
  <w:footnote w:id="18">
    <w:p w14:paraId="2E26AB8C" w14:textId="5E94BBFA"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Escrito</w:t>
      </w:r>
      <w:r w:rsidR="006E133A">
        <w:rPr>
          <w:rFonts w:ascii="Verdana" w:hAnsi="Verdana"/>
          <w:sz w:val="16"/>
          <w:szCs w:val="16"/>
        </w:rPr>
        <w:t>s</w:t>
      </w:r>
      <w:r w:rsidRPr="00DF7E56">
        <w:rPr>
          <w:rFonts w:ascii="Verdana" w:hAnsi="Verdana"/>
          <w:sz w:val="16"/>
          <w:szCs w:val="16"/>
        </w:rPr>
        <w:t xml:space="preserve"> de observaciones de los representantes de las víctimas de 26 de febrero de 2015 y 22 de marzo de 2016.</w:t>
      </w:r>
    </w:p>
  </w:footnote>
  <w:footnote w:id="19">
    <w:p w14:paraId="3E062809" w14:textId="26D9DCBA" w:rsidR="00AA00EA" w:rsidRPr="00DF7E56" w:rsidRDefault="00AA00EA" w:rsidP="003D080B">
      <w:pPr>
        <w:pStyle w:val="FootnoteText"/>
        <w:jc w:val="both"/>
        <w:rPr>
          <w:rFonts w:ascii="Verdana" w:hAnsi="Verdana"/>
          <w:b/>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t xml:space="preserve">El Estado señaló que el 24 de marzo de 2014 se “remitió [un] oficio a la delegada fiduciaria del Banco del Ahorro Nacional y Servicios Financieros […] mediante el cual se comunicaron las [siguientes] instrucciones de pago”: i) crear dos subcuentas a favor de los señores García Cruz y Sánchez Silvestre con </w:t>
      </w:r>
      <w:r w:rsidR="0062621D" w:rsidRPr="00DF7E56">
        <w:rPr>
          <w:rFonts w:ascii="Verdana" w:hAnsi="Verdana"/>
          <w:sz w:val="16"/>
          <w:szCs w:val="16"/>
        </w:rPr>
        <w:t xml:space="preserve">los </w:t>
      </w:r>
      <w:r w:rsidRPr="00DF7E56">
        <w:rPr>
          <w:rFonts w:ascii="Verdana" w:hAnsi="Verdana"/>
          <w:sz w:val="16"/>
          <w:szCs w:val="16"/>
        </w:rPr>
        <w:t xml:space="preserve">montos respectivos “para que en el momento en que cumplan con los requisitos correspondientes, se les puedan expedir los cheques por concepto de beca educativa, para el año escolar que cursen”, y ii) crear una subcuenta a favor de la hija del señor Sánchez Silvestre con </w:t>
      </w:r>
      <w:r w:rsidR="0062621D" w:rsidRPr="00DF7E56">
        <w:rPr>
          <w:rFonts w:ascii="Verdana" w:hAnsi="Verdana"/>
          <w:sz w:val="16"/>
          <w:szCs w:val="16"/>
        </w:rPr>
        <w:t>el</w:t>
      </w:r>
      <w:r w:rsidRPr="00DF7E56">
        <w:rPr>
          <w:rFonts w:ascii="Verdana" w:hAnsi="Verdana"/>
          <w:sz w:val="16"/>
          <w:szCs w:val="16"/>
        </w:rPr>
        <w:t xml:space="preserve"> monto </w:t>
      </w:r>
      <w:r w:rsidR="0062621D" w:rsidRPr="00DF7E56">
        <w:rPr>
          <w:rFonts w:ascii="Verdana" w:hAnsi="Verdana"/>
          <w:sz w:val="16"/>
          <w:szCs w:val="16"/>
        </w:rPr>
        <w:t>correspondiente</w:t>
      </w:r>
      <w:r w:rsidRPr="00DF7E56">
        <w:rPr>
          <w:rFonts w:ascii="Verdana" w:hAnsi="Verdana"/>
          <w:sz w:val="16"/>
          <w:szCs w:val="16"/>
        </w:rPr>
        <w:t xml:space="preserve"> “para efectos de garantizar su educación”. Informe estatal de 12 de enero de 2016</w:t>
      </w:r>
      <w:r w:rsidR="00BF5B4A">
        <w:rPr>
          <w:rFonts w:ascii="Verdana" w:hAnsi="Verdana"/>
          <w:sz w:val="16"/>
          <w:szCs w:val="16"/>
        </w:rPr>
        <w:t>.</w:t>
      </w:r>
      <w:r w:rsidRPr="00DF7E56">
        <w:rPr>
          <w:rFonts w:ascii="Verdana" w:hAnsi="Verdana"/>
          <w:sz w:val="16"/>
          <w:szCs w:val="16"/>
        </w:rPr>
        <w:t xml:space="preserve"> </w:t>
      </w:r>
    </w:p>
  </w:footnote>
  <w:footnote w:id="20">
    <w:p w14:paraId="11C67937" w14:textId="392A991E"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Pr="00DF7E56">
        <w:rPr>
          <w:rFonts w:ascii="Verdana" w:hAnsi="Verdana"/>
          <w:i/>
          <w:sz w:val="16"/>
          <w:szCs w:val="16"/>
        </w:rPr>
        <w:t>Cfr. Casos Fernández Ortega y otros y Rosendo Cantú y otra Vs. México. Supervisión de Cumplimiento de Sentencia</w:t>
      </w:r>
      <w:r w:rsidRPr="00DF7E56">
        <w:rPr>
          <w:rFonts w:ascii="Verdana" w:hAnsi="Verdana"/>
          <w:sz w:val="16"/>
          <w:szCs w:val="16"/>
        </w:rPr>
        <w:t>. Resolución de la Corte Interamericana de Derechos Humanos de 21 de noviembre de 2014, Considerandos 25 a 27.</w:t>
      </w:r>
    </w:p>
  </w:footnote>
  <w:footnote w:id="21">
    <w:p w14:paraId="266F0385" w14:textId="0C22B10D" w:rsidR="007E3438" w:rsidRPr="00DF7E56" w:rsidRDefault="007E3438" w:rsidP="007E3438">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Pr="00DF7E56">
        <w:rPr>
          <w:rFonts w:ascii="Verdana" w:hAnsi="Verdana"/>
          <w:i/>
          <w:sz w:val="16"/>
          <w:szCs w:val="16"/>
        </w:rPr>
        <w:t>Cfr. Casos Fernández Ortega y otros y Rosendo Cantú y otra Vs. México</w:t>
      </w:r>
      <w:r w:rsidRPr="00DF7E56">
        <w:rPr>
          <w:rFonts w:ascii="Verdana" w:hAnsi="Verdana"/>
          <w:sz w:val="16"/>
          <w:szCs w:val="16"/>
        </w:rPr>
        <w:t xml:space="preserve">, </w:t>
      </w:r>
      <w:r w:rsidR="001605EF">
        <w:rPr>
          <w:rFonts w:ascii="Verdana" w:hAnsi="Verdana"/>
          <w:i/>
          <w:sz w:val="16"/>
          <w:szCs w:val="16"/>
        </w:rPr>
        <w:t xml:space="preserve">supra </w:t>
      </w:r>
      <w:r w:rsidR="001605EF">
        <w:rPr>
          <w:rFonts w:ascii="Verdana" w:hAnsi="Verdana"/>
          <w:sz w:val="16"/>
          <w:szCs w:val="16"/>
        </w:rPr>
        <w:t>nota 1</w:t>
      </w:r>
      <w:r w:rsidR="006E133A">
        <w:rPr>
          <w:rFonts w:ascii="Verdana" w:hAnsi="Verdana"/>
          <w:sz w:val="16"/>
          <w:szCs w:val="16"/>
        </w:rPr>
        <w:t>9</w:t>
      </w:r>
      <w:r w:rsidR="0049337F">
        <w:rPr>
          <w:rFonts w:ascii="Verdana" w:hAnsi="Verdana"/>
          <w:sz w:val="16"/>
          <w:szCs w:val="16"/>
        </w:rPr>
        <w:t>,</w:t>
      </w:r>
      <w:r w:rsidRPr="00DF7E56">
        <w:rPr>
          <w:rFonts w:ascii="Verdana" w:hAnsi="Verdana"/>
          <w:sz w:val="16"/>
          <w:szCs w:val="16"/>
        </w:rPr>
        <w:t xml:space="preserve"> Considerando 27.</w:t>
      </w:r>
    </w:p>
  </w:footnote>
  <w:footnote w:id="22">
    <w:p w14:paraId="7395E544" w14:textId="6D768F39"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00F10362" w:rsidRPr="00F10362">
        <w:rPr>
          <w:rFonts w:ascii="Verdana" w:hAnsi="Verdana"/>
          <w:i/>
          <w:sz w:val="16"/>
          <w:szCs w:val="16"/>
        </w:rPr>
        <w:t>Cfr</w:t>
      </w:r>
      <w:r w:rsidR="00F10362">
        <w:rPr>
          <w:rFonts w:ascii="Verdana" w:hAnsi="Verdana"/>
          <w:sz w:val="16"/>
          <w:szCs w:val="16"/>
        </w:rPr>
        <w:t>.</w:t>
      </w:r>
      <w:r w:rsidRPr="00DF7E56">
        <w:rPr>
          <w:rFonts w:ascii="Verdana" w:hAnsi="Verdana"/>
          <w:sz w:val="16"/>
          <w:szCs w:val="16"/>
        </w:rPr>
        <w:t xml:space="preserve"> </w:t>
      </w:r>
      <w:r w:rsidR="00AE13B0">
        <w:rPr>
          <w:rFonts w:ascii="Verdana" w:hAnsi="Verdana"/>
          <w:sz w:val="16"/>
          <w:szCs w:val="16"/>
        </w:rPr>
        <w:t>Informe estatal</w:t>
      </w:r>
      <w:r w:rsidR="00AE13B0" w:rsidRPr="00DF7E56">
        <w:rPr>
          <w:rFonts w:ascii="Verdana" w:hAnsi="Verdana"/>
          <w:sz w:val="16"/>
          <w:szCs w:val="16"/>
        </w:rPr>
        <w:t xml:space="preserve"> de 26 de diciembre de 2014</w:t>
      </w:r>
      <w:r w:rsidR="00AE13B0">
        <w:rPr>
          <w:rFonts w:ascii="Verdana" w:hAnsi="Verdana"/>
          <w:sz w:val="16"/>
          <w:szCs w:val="16"/>
        </w:rPr>
        <w:t xml:space="preserve"> y </w:t>
      </w:r>
      <w:r w:rsidRPr="00DF7E56">
        <w:rPr>
          <w:rFonts w:ascii="Verdana" w:hAnsi="Verdana"/>
          <w:sz w:val="16"/>
          <w:szCs w:val="16"/>
        </w:rPr>
        <w:t xml:space="preserve">minuta de reunión sostenida </w:t>
      </w:r>
      <w:r w:rsidR="000F386C">
        <w:rPr>
          <w:rFonts w:ascii="Verdana" w:hAnsi="Verdana"/>
          <w:sz w:val="16"/>
          <w:szCs w:val="16"/>
        </w:rPr>
        <w:t xml:space="preserve">el </w:t>
      </w:r>
      <w:r w:rsidR="000F386C" w:rsidRPr="00DF7E56">
        <w:rPr>
          <w:rFonts w:ascii="Verdana" w:hAnsi="Verdana"/>
          <w:sz w:val="16"/>
          <w:szCs w:val="16"/>
        </w:rPr>
        <w:t xml:space="preserve">14 de noviembre de 2015 </w:t>
      </w:r>
      <w:r w:rsidRPr="00DF7E56">
        <w:rPr>
          <w:rFonts w:ascii="Verdana" w:hAnsi="Verdana"/>
          <w:sz w:val="16"/>
          <w:szCs w:val="16"/>
        </w:rPr>
        <w:t xml:space="preserve">por representantes del INVI y la Unidad </w:t>
      </w:r>
      <w:r w:rsidR="00701A4F">
        <w:rPr>
          <w:rFonts w:ascii="Verdana" w:hAnsi="Verdana"/>
          <w:sz w:val="16"/>
          <w:szCs w:val="16"/>
        </w:rPr>
        <w:t xml:space="preserve">para la Defensa </w:t>
      </w:r>
      <w:r w:rsidRPr="00DF7E56">
        <w:rPr>
          <w:rFonts w:ascii="Verdana" w:hAnsi="Verdana"/>
          <w:sz w:val="16"/>
          <w:szCs w:val="16"/>
        </w:rPr>
        <w:t>de</w:t>
      </w:r>
      <w:r w:rsidR="00701A4F">
        <w:rPr>
          <w:rFonts w:ascii="Verdana" w:hAnsi="Verdana"/>
          <w:sz w:val="16"/>
          <w:szCs w:val="16"/>
        </w:rPr>
        <w:t xml:space="preserve"> los</w:t>
      </w:r>
      <w:r w:rsidRPr="00DF7E56">
        <w:rPr>
          <w:rFonts w:ascii="Verdana" w:hAnsi="Verdana"/>
          <w:sz w:val="16"/>
          <w:szCs w:val="16"/>
        </w:rPr>
        <w:t xml:space="preserve"> Derechos Humanos de la Secretaría de Gobernación para </w:t>
      </w:r>
      <w:r w:rsidR="000F386C">
        <w:rPr>
          <w:rFonts w:ascii="Verdana" w:hAnsi="Verdana"/>
          <w:sz w:val="16"/>
          <w:szCs w:val="16"/>
        </w:rPr>
        <w:t xml:space="preserve"> </w:t>
      </w:r>
      <w:r w:rsidRPr="00DF7E56">
        <w:rPr>
          <w:rFonts w:ascii="Verdana" w:hAnsi="Verdana"/>
          <w:sz w:val="16"/>
          <w:szCs w:val="16"/>
        </w:rPr>
        <w:t xml:space="preserve">requerir al señor García Cruz </w:t>
      </w:r>
      <w:r w:rsidR="000F386C">
        <w:rPr>
          <w:rFonts w:ascii="Verdana" w:hAnsi="Verdana"/>
          <w:sz w:val="16"/>
          <w:szCs w:val="16"/>
        </w:rPr>
        <w:t>“</w:t>
      </w:r>
      <w:r w:rsidRPr="00DF7E56">
        <w:rPr>
          <w:rFonts w:ascii="Verdana" w:hAnsi="Verdana"/>
          <w:sz w:val="16"/>
          <w:szCs w:val="16"/>
        </w:rPr>
        <w:t>la suscripción de […] documentos” para “cumplimentar la documentación en [su] expediente individual […] a quien con fecha 05 de octubre d[e] 201</w:t>
      </w:r>
      <w:r w:rsidR="00CE1A3B">
        <w:rPr>
          <w:rFonts w:ascii="Verdana" w:hAnsi="Verdana"/>
          <w:sz w:val="16"/>
          <w:szCs w:val="16"/>
        </w:rPr>
        <w:t>5</w:t>
      </w:r>
      <w:r w:rsidRPr="00DF7E56">
        <w:rPr>
          <w:rFonts w:ascii="Verdana" w:hAnsi="Verdana"/>
          <w:sz w:val="16"/>
          <w:szCs w:val="16"/>
        </w:rPr>
        <w:t xml:space="preserve"> le fue entregada una vivienda”, así como la “minuta de entrega de vivienda” de 5 de octubre de 2015, suscrita por el señor García Cruz, su representante María del Pilar Noriega y representantes del INVI y la Procuraduría General de </w:t>
      </w:r>
      <w:r w:rsidR="000F386C">
        <w:rPr>
          <w:rFonts w:ascii="Verdana" w:hAnsi="Verdana"/>
          <w:sz w:val="16"/>
          <w:szCs w:val="16"/>
        </w:rPr>
        <w:t>Justicia del Distrito Federal</w:t>
      </w:r>
      <w:r w:rsidR="00F10362">
        <w:rPr>
          <w:rFonts w:ascii="Verdana" w:hAnsi="Verdana"/>
          <w:sz w:val="16"/>
          <w:szCs w:val="16"/>
        </w:rPr>
        <w:t xml:space="preserve">, entre otros (anexa al informe estatal de </w:t>
      </w:r>
      <w:r w:rsidR="00F10362" w:rsidRPr="00DF7E56">
        <w:rPr>
          <w:rFonts w:ascii="Verdana" w:hAnsi="Verdana"/>
          <w:sz w:val="16"/>
          <w:szCs w:val="16"/>
        </w:rPr>
        <w:t>12 de enero de 2016</w:t>
      </w:r>
      <w:r w:rsidR="00F10362">
        <w:rPr>
          <w:rFonts w:ascii="Verdana" w:hAnsi="Verdana"/>
          <w:sz w:val="16"/>
          <w:szCs w:val="16"/>
        </w:rPr>
        <w:t>)</w:t>
      </w:r>
      <w:r w:rsidRPr="00DF7E56">
        <w:rPr>
          <w:rFonts w:ascii="Verdana" w:hAnsi="Verdana"/>
          <w:sz w:val="16"/>
          <w:szCs w:val="16"/>
        </w:rPr>
        <w:t xml:space="preserve">. </w:t>
      </w:r>
    </w:p>
  </w:footnote>
  <w:footnote w:id="23">
    <w:p w14:paraId="7E083328" w14:textId="59FFD1DB" w:rsidR="00AA00EA" w:rsidRPr="00DF7E56" w:rsidRDefault="00AA00EA" w:rsidP="005A2148">
      <w:pPr>
        <w:pStyle w:val="FootnoteText"/>
        <w:jc w:val="both"/>
        <w:rPr>
          <w:rFonts w:ascii="Verdana" w:hAnsi="Verdana"/>
          <w:i/>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Pr="00DF7E56">
        <w:rPr>
          <w:rFonts w:ascii="Verdana" w:hAnsi="Verdana"/>
          <w:sz w:val="16"/>
          <w:szCs w:val="16"/>
          <w:lang w:val="es-ES"/>
        </w:rPr>
        <w:t>En mayo de 2015, el señor García Cruz realizó una “visita al predio ubicado en el lugar donde fue presentada la propuesta de vivienda” y</w:t>
      </w:r>
      <w:r w:rsidR="00CE1A3B">
        <w:rPr>
          <w:rFonts w:ascii="Verdana" w:hAnsi="Verdana"/>
          <w:sz w:val="16"/>
          <w:szCs w:val="16"/>
          <w:lang w:val="es-ES"/>
        </w:rPr>
        <w:t>,</w:t>
      </w:r>
      <w:r w:rsidRPr="00DF7E56">
        <w:rPr>
          <w:rFonts w:ascii="Verdana" w:hAnsi="Verdana"/>
          <w:sz w:val="16"/>
          <w:szCs w:val="16"/>
          <w:lang w:val="es-ES"/>
        </w:rPr>
        <w:t xml:space="preserve"> tras dicha visita, “manifestó por escrito la aceptación de la propuesta hecha por el INVI”. Una vez realizada la entrega de la vivienda en depósito, el Estado señaló que con el fin de “completar el expediente correspondiente [… con la suscripción de la] Cédula de Información Socioeconómica […] y el </w:t>
      </w:r>
      <w:r w:rsidR="00CE1A3B">
        <w:rPr>
          <w:rFonts w:ascii="Verdana" w:hAnsi="Verdana"/>
          <w:sz w:val="16"/>
          <w:szCs w:val="16"/>
          <w:lang w:val="es-ES"/>
        </w:rPr>
        <w:t>[</w:t>
      </w:r>
      <w:r w:rsidRPr="00DF7E56">
        <w:rPr>
          <w:rFonts w:ascii="Verdana" w:hAnsi="Verdana"/>
          <w:sz w:val="16"/>
          <w:szCs w:val="16"/>
          <w:lang w:val="es-ES"/>
        </w:rPr>
        <w:t>f</w:t>
      </w:r>
      <w:r w:rsidR="00CE1A3B">
        <w:rPr>
          <w:rFonts w:ascii="Verdana" w:hAnsi="Verdana"/>
          <w:sz w:val="16"/>
          <w:szCs w:val="16"/>
          <w:lang w:val="es-ES"/>
        </w:rPr>
        <w:t>]</w:t>
      </w:r>
      <w:proofErr w:type="spellStart"/>
      <w:r w:rsidRPr="00DF7E56">
        <w:rPr>
          <w:rFonts w:ascii="Verdana" w:hAnsi="Verdana"/>
          <w:sz w:val="16"/>
          <w:szCs w:val="16"/>
          <w:lang w:val="es-ES"/>
        </w:rPr>
        <w:t>ormato</w:t>
      </w:r>
      <w:proofErr w:type="spellEnd"/>
      <w:r w:rsidRPr="00DF7E56">
        <w:rPr>
          <w:rFonts w:ascii="Verdana" w:hAnsi="Verdana"/>
          <w:sz w:val="16"/>
          <w:szCs w:val="16"/>
          <w:lang w:val="es-ES"/>
        </w:rPr>
        <w:t xml:space="preserve"> de aceptación de la asignación de vivienda”, se convocó a una “reunión de trabajo” con la víctima y sus representantes para el 14 de diciembre de 2015. No obstante, los representantes de la víctima manifestaron que en razón de que la reunión fue convocada “con tan sólo 3 días de </w:t>
      </w:r>
      <w:r w:rsidR="00CE1A3B">
        <w:rPr>
          <w:rFonts w:ascii="Verdana" w:hAnsi="Verdana"/>
          <w:sz w:val="16"/>
          <w:szCs w:val="16"/>
          <w:lang w:val="es-ES"/>
        </w:rPr>
        <w:t>anticipación</w:t>
      </w:r>
      <w:r w:rsidRPr="00DF7E56">
        <w:rPr>
          <w:rFonts w:ascii="Verdana" w:hAnsi="Verdana"/>
          <w:sz w:val="16"/>
          <w:szCs w:val="16"/>
          <w:lang w:val="es-ES"/>
        </w:rPr>
        <w:t xml:space="preserve">” y considerando que el señor García Sánchez no reside en la Ciudad de México, no les fue posible asistir a dicha reunión. </w:t>
      </w:r>
      <w:r w:rsidRPr="00DF7E56">
        <w:rPr>
          <w:rFonts w:ascii="Verdana" w:hAnsi="Verdana"/>
          <w:i/>
          <w:sz w:val="16"/>
          <w:szCs w:val="16"/>
          <w:lang w:val="es-ES"/>
        </w:rPr>
        <w:t xml:space="preserve">Cfr. </w:t>
      </w:r>
      <w:r w:rsidR="003D102B">
        <w:rPr>
          <w:rFonts w:ascii="Verdana" w:hAnsi="Verdana"/>
          <w:sz w:val="16"/>
          <w:szCs w:val="16"/>
          <w:lang w:val="es-ES"/>
        </w:rPr>
        <w:t>O</w:t>
      </w:r>
      <w:r w:rsidRPr="00DF7E56">
        <w:rPr>
          <w:rFonts w:ascii="Verdana" w:hAnsi="Verdana"/>
          <w:sz w:val="16"/>
          <w:szCs w:val="16"/>
          <w:lang w:val="es-ES"/>
        </w:rPr>
        <w:t>ficio No. DG/DEPFPV/SSDV/002059/2015 de 15 de mayo de 2015, mediante el cual el señor García Cruz manifiesta por escrito su aceptac</w:t>
      </w:r>
      <w:r w:rsidR="003D102B">
        <w:rPr>
          <w:rFonts w:ascii="Verdana" w:hAnsi="Verdana"/>
          <w:sz w:val="16"/>
          <w:szCs w:val="16"/>
          <w:lang w:val="es-ES"/>
        </w:rPr>
        <w:t>ión de la propuesta de vivienda (anexo al i</w:t>
      </w:r>
      <w:r w:rsidR="003D102B" w:rsidRPr="00DF7E56">
        <w:rPr>
          <w:rFonts w:ascii="Verdana" w:hAnsi="Verdana"/>
          <w:sz w:val="16"/>
          <w:szCs w:val="16"/>
          <w:lang w:val="es-ES"/>
        </w:rPr>
        <w:t>nforme estatal de 12 de enero de 2016</w:t>
      </w:r>
      <w:r w:rsidR="003D102B">
        <w:rPr>
          <w:rFonts w:ascii="Verdana" w:hAnsi="Verdana"/>
          <w:sz w:val="16"/>
          <w:szCs w:val="16"/>
          <w:lang w:val="es-ES"/>
        </w:rPr>
        <w:t>)</w:t>
      </w:r>
      <w:r w:rsidRPr="00DF7E56">
        <w:rPr>
          <w:rFonts w:ascii="Verdana" w:hAnsi="Verdana"/>
          <w:sz w:val="16"/>
          <w:szCs w:val="16"/>
          <w:lang w:val="es-ES"/>
        </w:rPr>
        <w:t xml:space="preserve"> </w:t>
      </w:r>
      <w:r w:rsidR="003D102B">
        <w:rPr>
          <w:rFonts w:ascii="Verdana" w:hAnsi="Verdana"/>
          <w:sz w:val="16"/>
          <w:szCs w:val="16"/>
          <w:lang w:val="es-ES"/>
        </w:rPr>
        <w:t xml:space="preserve">y </w:t>
      </w:r>
      <w:r w:rsidRPr="00DF7E56">
        <w:rPr>
          <w:rFonts w:ascii="Verdana" w:hAnsi="Verdana"/>
          <w:sz w:val="16"/>
          <w:szCs w:val="16"/>
        </w:rPr>
        <w:t>“Convenio para la entrega de vivienda, en depósito, que celebran […el INVI y el señor] García Cru</w:t>
      </w:r>
      <w:r w:rsidR="003D102B">
        <w:rPr>
          <w:rFonts w:ascii="Verdana" w:hAnsi="Verdana"/>
          <w:sz w:val="16"/>
          <w:szCs w:val="16"/>
        </w:rPr>
        <w:t xml:space="preserve">z […]” de 5 de octubre de 2015 (anexo al </w:t>
      </w:r>
      <w:r w:rsidR="003D102B" w:rsidRPr="00DF7E56">
        <w:rPr>
          <w:rFonts w:ascii="Verdana" w:hAnsi="Verdana"/>
          <w:sz w:val="16"/>
          <w:szCs w:val="16"/>
          <w:lang w:val="es-ES"/>
        </w:rPr>
        <w:t>escrito</w:t>
      </w:r>
      <w:r w:rsidR="003D102B" w:rsidRPr="00DF7E56">
        <w:rPr>
          <w:rFonts w:ascii="Verdana" w:hAnsi="Verdana"/>
          <w:sz w:val="16"/>
          <w:szCs w:val="16"/>
        </w:rPr>
        <w:t xml:space="preserve"> de observaciones de los representantes de las víctimas de 22 de marzo de 2016</w:t>
      </w:r>
      <w:r w:rsidR="003D102B">
        <w:rPr>
          <w:rFonts w:ascii="Verdana" w:hAnsi="Verdana"/>
          <w:sz w:val="16"/>
          <w:szCs w:val="16"/>
        </w:rPr>
        <w:t>).</w:t>
      </w:r>
    </w:p>
  </w:footnote>
  <w:footnote w:id="24">
    <w:p w14:paraId="1FE23555" w14:textId="63EEA49D" w:rsidR="00AA00EA" w:rsidRPr="00DF7E56" w:rsidRDefault="00AA00EA" w:rsidP="00637BEC">
      <w:pPr>
        <w:pStyle w:val="FootnoteText"/>
        <w:jc w:val="both"/>
        <w:rPr>
          <w:rFonts w:ascii="Verdana" w:hAnsi="Verdana"/>
          <w:b/>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Pr="00DF7E56">
        <w:rPr>
          <w:rFonts w:ascii="Verdana" w:hAnsi="Verdana"/>
          <w:sz w:val="16"/>
          <w:szCs w:val="16"/>
          <w:lang w:val="es-ES"/>
        </w:rPr>
        <w:t>El Estado afirmó que procedió a “</w:t>
      </w:r>
      <w:proofErr w:type="spellStart"/>
      <w:proofErr w:type="gramStart"/>
      <w:r w:rsidRPr="00DF7E56">
        <w:rPr>
          <w:rFonts w:ascii="Verdana" w:hAnsi="Verdana"/>
          <w:sz w:val="16"/>
          <w:szCs w:val="16"/>
          <w:lang w:val="es-ES"/>
        </w:rPr>
        <w:t>inscrib</w:t>
      </w:r>
      <w:proofErr w:type="spellEnd"/>
      <w:r w:rsidRPr="00DF7E56">
        <w:rPr>
          <w:rFonts w:ascii="Verdana" w:hAnsi="Verdana"/>
          <w:sz w:val="16"/>
          <w:szCs w:val="16"/>
          <w:lang w:val="es-ES"/>
        </w:rPr>
        <w:t>[</w:t>
      </w:r>
      <w:proofErr w:type="gramEnd"/>
      <w:r w:rsidRPr="00DF7E56">
        <w:rPr>
          <w:rFonts w:ascii="Verdana" w:hAnsi="Verdana"/>
          <w:sz w:val="16"/>
          <w:szCs w:val="16"/>
          <w:lang w:val="es-ES"/>
        </w:rPr>
        <w:t>ir] al señor Sánchez Silvestre en la Bolsa de Vivienda de</w:t>
      </w:r>
      <w:r w:rsidR="007F2CF8">
        <w:rPr>
          <w:rFonts w:ascii="Verdana" w:hAnsi="Verdana"/>
          <w:sz w:val="16"/>
          <w:szCs w:val="16"/>
          <w:lang w:val="es-ES"/>
        </w:rPr>
        <w:t>[l INVI]</w:t>
      </w:r>
      <w:r w:rsidRPr="00DF7E56">
        <w:rPr>
          <w:rFonts w:ascii="Verdana" w:hAnsi="Verdana"/>
          <w:sz w:val="16"/>
          <w:szCs w:val="16"/>
          <w:lang w:val="es-ES"/>
        </w:rPr>
        <w:t xml:space="preserve"> como una medida precautoria, a fin de colaborar en el cumplimiento de [la medida]”. También informó que el </w:t>
      </w:r>
      <w:r w:rsidR="00CE1A3B">
        <w:rPr>
          <w:rFonts w:ascii="Verdana" w:hAnsi="Verdana"/>
          <w:sz w:val="16"/>
          <w:szCs w:val="16"/>
          <w:lang w:val="es-ES"/>
        </w:rPr>
        <w:t>25 de septiembre</w:t>
      </w:r>
      <w:r w:rsidRPr="00DF7E56">
        <w:rPr>
          <w:rFonts w:ascii="Verdana" w:hAnsi="Verdana"/>
          <w:sz w:val="16"/>
          <w:szCs w:val="16"/>
          <w:lang w:val="es-ES"/>
        </w:rPr>
        <w:t xml:space="preserve"> de 2015 convocaron al señor Sánchez Silvestre, a través de sus representantes, “para realizar la entrega de una vivienda en las mismas condiciones [que el señor García Cruz]”. Para este acto, el Estado señaló que “se informó que en caso de que el señor […] Sánchez [Silvestre] no fuera localizado para asistir a dicha entrega o ésta [fuera instrumentada] a través de [un] apoderado, el beneficiario debería expresar por escrito la aceptación de</w:t>
      </w:r>
      <w:r w:rsidR="00CE1A3B">
        <w:rPr>
          <w:rFonts w:ascii="Verdana" w:hAnsi="Verdana"/>
          <w:sz w:val="16"/>
          <w:szCs w:val="16"/>
          <w:lang w:val="es-ES"/>
        </w:rPr>
        <w:t xml:space="preserve"> la opción de</w:t>
      </w:r>
      <w:r w:rsidRPr="00DF7E56">
        <w:rPr>
          <w:rFonts w:ascii="Verdana" w:hAnsi="Verdana"/>
          <w:sz w:val="16"/>
          <w:szCs w:val="16"/>
          <w:lang w:val="es-ES"/>
        </w:rPr>
        <w:t xml:space="preserve"> vivienda ofertada a más tardar el 16 de octubre de 2015”. </w:t>
      </w:r>
      <w:r w:rsidRPr="00DF7E56">
        <w:rPr>
          <w:rFonts w:ascii="Verdana" w:hAnsi="Verdana"/>
          <w:i/>
          <w:sz w:val="16"/>
          <w:szCs w:val="16"/>
          <w:lang w:val="es-ES"/>
        </w:rPr>
        <w:t xml:space="preserve">Cfr. </w:t>
      </w:r>
      <w:r w:rsidR="0001159D" w:rsidRPr="0001159D">
        <w:rPr>
          <w:rFonts w:ascii="Verdana" w:hAnsi="Verdana"/>
          <w:sz w:val="16"/>
          <w:szCs w:val="16"/>
          <w:lang w:val="es-ES"/>
        </w:rPr>
        <w:t>O</w:t>
      </w:r>
      <w:r w:rsidRPr="00DF7E56">
        <w:rPr>
          <w:rFonts w:ascii="Verdana" w:hAnsi="Verdana"/>
          <w:sz w:val="16"/>
          <w:szCs w:val="16"/>
          <w:lang w:val="es-ES"/>
        </w:rPr>
        <w:t xml:space="preserve">ficio No. DG/DEAJI/000494/2015 de 23 de febrero de 2015 suscrito por la Directora Ejecutiva de Asunto Jurídicos e Inmobiliarios del INVI; minuta de reunión de seguimiento del caso García Cruz y Sánchez Silvestre de 11 de marzo de 2015, suscrita por representantes de la Unidad </w:t>
      </w:r>
      <w:r w:rsidR="0068664C">
        <w:rPr>
          <w:rFonts w:ascii="Verdana" w:hAnsi="Verdana"/>
          <w:sz w:val="16"/>
          <w:szCs w:val="16"/>
          <w:lang w:val="es-ES"/>
        </w:rPr>
        <w:t xml:space="preserve">para la Defensa </w:t>
      </w:r>
      <w:r w:rsidRPr="00DF7E56">
        <w:rPr>
          <w:rFonts w:ascii="Verdana" w:hAnsi="Verdana"/>
          <w:sz w:val="16"/>
          <w:szCs w:val="16"/>
          <w:lang w:val="es-ES"/>
        </w:rPr>
        <w:t xml:space="preserve">de </w:t>
      </w:r>
      <w:r w:rsidR="0068664C">
        <w:rPr>
          <w:rFonts w:ascii="Verdana" w:hAnsi="Verdana"/>
          <w:sz w:val="16"/>
          <w:szCs w:val="16"/>
          <w:lang w:val="es-ES"/>
        </w:rPr>
        <w:t xml:space="preserve">los </w:t>
      </w:r>
      <w:r w:rsidRPr="00DF7E56">
        <w:rPr>
          <w:rFonts w:ascii="Verdana" w:hAnsi="Verdana"/>
          <w:sz w:val="16"/>
          <w:szCs w:val="16"/>
          <w:lang w:val="es-ES"/>
        </w:rPr>
        <w:t>Derechos Humanos de la Secretaría de Gobernación y del INVI; oficio No. DG/DEPFPV/DISDV/SSDV/002060/2015</w:t>
      </w:r>
      <w:r w:rsidR="0068664C">
        <w:rPr>
          <w:rFonts w:ascii="Verdana" w:hAnsi="Verdana"/>
          <w:sz w:val="16"/>
          <w:szCs w:val="16"/>
          <w:lang w:val="es-ES"/>
        </w:rPr>
        <w:t xml:space="preserve"> de 25 de marzo de 2015</w:t>
      </w:r>
      <w:r w:rsidRPr="00DF7E56">
        <w:rPr>
          <w:rFonts w:ascii="Verdana" w:hAnsi="Verdana"/>
          <w:sz w:val="16"/>
          <w:szCs w:val="16"/>
          <w:lang w:val="es-ES"/>
        </w:rPr>
        <w:t xml:space="preserve"> suscrito por el Subdirector de Seguimiento de la Demanda del INVI mediante el cual se solicita al señor Sánchez Silvestre informar por escrito su aceptación del proyecto de vivienda disponible; oficio No. UDDH/911/DDGAEI/613/2015 de 25 de septiembre de 2015 suscrito por el Director General Adjunto de la Unidad para la Defensa de los Derechos Humanos de la Secretaría de Gobernación, mediante el cual se informa de la entrega de viviendas el 5 de octubre de 2015 para los señores García Cruz y Sánchez Silvestre; oficio No. UDDH/911/DDGAEI/638/2015 de 30 de septiembre de 2015 suscrito por el Director General Adjunto de la Unidad para la Defensa de los Derechos Humanos de la Secretaría de Gobernación, mediante el cual se informa que es necesaria la presencia del señor Sánchez Silvestre o un apoderado suyo para realizar la entrega de la vivienda; minuta de reunión de seguimiento del caso García Cruz y Sánchez Silvestre de 14 de noviembre de 2015, suscrita por representantes de la Unidad</w:t>
      </w:r>
      <w:r w:rsidR="0068664C">
        <w:rPr>
          <w:rFonts w:ascii="Verdana" w:hAnsi="Verdana"/>
          <w:sz w:val="16"/>
          <w:szCs w:val="16"/>
          <w:lang w:val="es-ES"/>
        </w:rPr>
        <w:t xml:space="preserve"> para la Defensa</w:t>
      </w:r>
      <w:r w:rsidRPr="00DF7E56">
        <w:rPr>
          <w:rFonts w:ascii="Verdana" w:hAnsi="Verdana"/>
          <w:sz w:val="16"/>
          <w:szCs w:val="16"/>
          <w:lang w:val="es-ES"/>
        </w:rPr>
        <w:t xml:space="preserve"> de </w:t>
      </w:r>
      <w:r w:rsidR="0068664C">
        <w:rPr>
          <w:rFonts w:ascii="Verdana" w:hAnsi="Verdana"/>
          <w:sz w:val="16"/>
          <w:szCs w:val="16"/>
          <w:lang w:val="es-ES"/>
        </w:rPr>
        <w:t xml:space="preserve">los </w:t>
      </w:r>
      <w:r w:rsidRPr="00DF7E56">
        <w:rPr>
          <w:rFonts w:ascii="Verdana" w:hAnsi="Verdana"/>
          <w:sz w:val="16"/>
          <w:szCs w:val="16"/>
          <w:lang w:val="es-ES"/>
        </w:rPr>
        <w:t>Derechos Humanos de la Secret</w:t>
      </w:r>
      <w:r w:rsidR="0001159D">
        <w:rPr>
          <w:rFonts w:ascii="Verdana" w:hAnsi="Verdana"/>
          <w:sz w:val="16"/>
          <w:szCs w:val="16"/>
          <w:lang w:val="es-ES"/>
        </w:rPr>
        <w:t>aría de Gobernación y del INVI (anexos al i</w:t>
      </w:r>
      <w:r w:rsidR="0001159D" w:rsidRPr="00DF7E56">
        <w:rPr>
          <w:rFonts w:ascii="Verdana" w:hAnsi="Verdana"/>
          <w:sz w:val="16"/>
          <w:szCs w:val="16"/>
          <w:lang w:val="es-ES"/>
        </w:rPr>
        <w:t>nforme estatal de 12 de enero de 2016</w:t>
      </w:r>
      <w:r w:rsidR="0001159D">
        <w:rPr>
          <w:rFonts w:ascii="Verdana" w:hAnsi="Verdana"/>
          <w:sz w:val="16"/>
          <w:szCs w:val="16"/>
          <w:lang w:val="es-ES"/>
        </w:rPr>
        <w:t>).</w:t>
      </w:r>
    </w:p>
  </w:footnote>
  <w:footnote w:id="25">
    <w:p w14:paraId="39A0D8DE" w14:textId="1618DC9F" w:rsidR="00AA00EA" w:rsidRPr="00DF7E56" w:rsidRDefault="00AA00EA" w:rsidP="0020252B">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008A0E4B">
        <w:rPr>
          <w:rFonts w:ascii="Verdana" w:hAnsi="Verdana"/>
          <w:i/>
          <w:sz w:val="16"/>
          <w:szCs w:val="16"/>
        </w:rPr>
        <w:t xml:space="preserve">Cfr. </w:t>
      </w:r>
      <w:r w:rsidRPr="00DF7E56">
        <w:rPr>
          <w:rFonts w:ascii="Verdana" w:hAnsi="Verdana"/>
          <w:sz w:val="16"/>
          <w:szCs w:val="16"/>
          <w:lang w:val="es-ES"/>
        </w:rPr>
        <w:t>Informe estatal de 12 de enero de 2016.</w:t>
      </w:r>
    </w:p>
  </w:footnote>
  <w:footnote w:id="26">
    <w:p w14:paraId="3040C711" w14:textId="308A1115"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00CF6017">
        <w:rPr>
          <w:rFonts w:ascii="Verdana" w:hAnsi="Verdana"/>
          <w:i/>
          <w:sz w:val="16"/>
          <w:szCs w:val="16"/>
        </w:rPr>
        <w:t xml:space="preserve">Cfr. </w:t>
      </w:r>
      <w:r w:rsidR="00CF6017">
        <w:rPr>
          <w:rFonts w:ascii="Verdana" w:hAnsi="Verdana"/>
          <w:sz w:val="16"/>
          <w:szCs w:val="16"/>
        </w:rPr>
        <w:t>O</w:t>
      </w:r>
      <w:r w:rsidRPr="00DF7E56">
        <w:rPr>
          <w:rFonts w:ascii="Verdana" w:hAnsi="Verdana"/>
          <w:sz w:val="16"/>
          <w:szCs w:val="16"/>
        </w:rPr>
        <w:t xml:space="preserve">ficio No. UDDH/911/1233/2014 de 24 de marzo de 2014 mediante el cual la Unidad </w:t>
      </w:r>
      <w:r w:rsidR="00166564">
        <w:rPr>
          <w:rFonts w:ascii="Verdana" w:hAnsi="Verdana"/>
          <w:sz w:val="16"/>
          <w:szCs w:val="16"/>
        </w:rPr>
        <w:t xml:space="preserve">para la Defensa </w:t>
      </w:r>
      <w:r w:rsidRPr="00DF7E56">
        <w:rPr>
          <w:rFonts w:ascii="Verdana" w:hAnsi="Verdana"/>
          <w:sz w:val="16"/>
          <w:szCs w:val="16"/>
        </w:rPr>
        <w:t xml:space="preserve">de </w:t>
      </w:r>
      <w:r w:rsidR="00166564">
        <w:rPr>
          <w:rFonts w:ascii="Verdana" w:hAnsi="Verdana"/>
          <w:sz w:val="16"/>
          <w:szCs w:val="16"/>
        </w:rPr>
        <w:t xml:space="preserve">los </w:t>
      </w:r>
      <w:r w:rsidRPr="00DF7E56">
        <w:rPr>
          <w:rFonts w:ascii="Verdana" w:hAnsi="Verdana"/>
          <w:sz w:val="16"/>
          <w:szCs w:val="16"/>
        </w:rPr>
        <w:t>Derechos Humanos de la Secretaría de Gobernación gir</w:t>
      </w:r>
      <w:r w:rsidR="00166564">
        <w:rPr>
          <w:rFonts w:ascii="Verdana" w:hAnsi="Verdana"/>
          <w:sz w:val="16"/>
          <w:szCs w:val="16"/>
        </w:rPr>
        <w:t>ó</w:t>
      </w:r>
      <w:r w:rsidRPr="00DF7E56">
        <w:rPr>
          <w:rFonts w:ascii="Verdana" w:hAnsi="Verdana"/>
          <w:sz w:val="16"/>
          <w:szCs w:val="16"/>
        </w:rPr>
        <w:t xml:space="preserve"> las instrucciones a la Delegada Fiduciaria del Banco del Ahorro Nacional y Servicios Financieros de realizar el “pago de obligaciones pecuniarias a cargo del Estado mexicano en el caso [García Cruz y Sánchez Silvestre]”; oficio No. UDDH/911/1575/2014 de 16 de abril de 201</w:t>
      </w:r>
      <w:r w:rsidR="00166564">
        <w:rPr>
          <w:rFonts w:ascii="Verdana" w:hAnsi="Verdana"/>
          <w:sz w:val="16"/>
          <w:szCs w:val="16"/>
        </w:rPr>
        <w:t>4</w:t>
      </w:r>
      <w:r w:rsidRPr="00DF7E56">
        <w:rPr>
          <w:rFonts w:ascii="Verdana" w:hAnsi="Verdana"/>
          <w:sz w:val="16"/>
          <w:szCs w:val="16"/>
        </w:rPr>
        <w:t xml:space="preserve"> mediante el cual se comunica a la Gerente Administradora Fiduciaria del Banco del Ahorro Nacional y Servicios Financieros que se llevó a cabo la entrega de cheques a las víctimas para el pago de indemnizaciones</w:t>
      </w:r>
      <w:r w:rsidR="00CF6017">
        <w:rPr>
          <w:rFonts w:ascii="Verdana" w:hAnsi="Verdana"/>
          <w:sz w:val="16"/>
          <w:szCs w:val="16"/>
        </w:rPr>
        <w:t xml:space="preserve"> (anexos al i</w:t>
      </w:r>
      <w:r w:rsidR="00CF6017" w:rsidRPr="00DF7E56">
        <w:rPr>
          <w:rFonts w:ascii="Verdana" w:hAnsi="Verdana"/>
          <w:sz w:val="16"/>
          <w:szCs w:val="16"/>
        </w:rPr>
        <w:t xml:space="preserve">nforme estatal </w:t>
      </w:r>
      <w:r w:rsidR="00CF6017">
        <w:rPr>
          <w:rFonts w:ascii="Verdana" w:hAnsi="Verdana"/>
          <w:sz w:val="16"/>
          <w:szCs w:val="16"/>
        </w:rPr>
        <w:t>de 12 de enero de 2016)</w:t>
      </w:r>
      <w:r w:rsidRPr="00DF7E56">
        <w:rPr>
          <w:rFonts w:ascii="Verdana" w:hAnsi="Verdana"/>
          <w:sz w:val="16"/>
          <w:szCs w:val="16"/>
        </w:rPr>
        <w:t>.</w:t>
      </w:r>
    </w:p>
  </w:footnote>
  <w:footnote w:id="27">
    <w:p w14:paraId="273B2E40" w14:textId="263906C2" w:rsidR="00AA00EA" w:rsidRPr="00DF7E56" w:rsidRDefault="00AA00EA" w:rsidP="008B1EDC">
      <w:pPr>
        <w:pStyle w:val="FootnoteText"/>
        <w:jc w:val="both"/>
        <w:rPr>
          <w:rFonts w:ascii="Verdana" w:hAnsi="Verdana"/>
          <w:sz w:val="16"/>
          <w:szCs w:val="16"/>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00321D6D">
        <w:rPr>
          <w:rFonts w:ascii="Verdana" w:hAnsi="Verdana"/>
          <w:i/>
          <w:sz w:val="16"/>
          <w:szCs w:val="16"/>
        </w:rPr>
        <w:t xml:space="preserve">Cfr. </w:t>
      </w:r>
      <w:r w:rsidRPr="00DF7E56">
        <w:rPr>
          <w:rFonts w:ascii="Verdana" w:hAnsi="Verdana"/>
          <w:sz w:val="16"/>
          <w:szCs w:val="16"/>
        </w:rPr>
        <w:t>Escrito de observaciones de los representantes de las víctimas de 22 de marzo de 2016.</w:t>
      </w:r>
    </w:p>
  </w:footnote>
  <w:footnote w:id="28">
    <w:p w14:paraId="6F60F874" w14:textId="01735FF3" w:rsidR="00AA00EA" w:rsidRPr="00DF7E56" w:rsidRDefault="00AA00EA" w:rsidP="008B1EDC">
      <w:pPr>
        <w:pStyle w:val="FootnoteText"/>
        <w:jc w:val="both"/>
        <w:rPr>
          <w:rFonts w:ascii="Verdana" w:hAnsi="Verdana"/>
          <w:color w:val="000000" w:themeColor="text1"/>
          <w:sz w:val="16"/>
          <w:szCs w:val="16"/>
          <w:lang w:val="es-US"/>
        </w:rPr>
      </w:pPr>
      <w:r w:rsidRPr="00DF7E56">
        <w:rPr>
          <w:rStyle w:val="FootnoteReference"/>
          <w:rFonts w:ascii="Verdana" w:hAnsi="Verdana"/>
          <w:sz w:val="16"/>
          <w:szCs w:val="16"/>
        </w:rPr>
        <w:footnoteRef/>
      </w:r>
      <w:r w:rsidRPr="00DF7E56">
        <w:rPr>
          <w:rFonts w:ascii="Verdana" w:hAnsi="Verdana"/>
          <w:sz w:val="16"/>
          <w:szCs w:val="16"/>
        </w:rPr>
        <w:t xml:space="preserve"> </w:t>
      </w:r>
      <w:r w:rsidRPr="00DF7E56">
        <w:rPr>
          <w:rFonts w:ascii="Verdana" w:hAnsi="Verdana"/>
          <w:sz w:val="16"/>
          <w:szCs w:val="16"/>
        </w:rPr>
        <w:tab/>
      </w:r>
      <w:r w:rsidR="00CF6017">
        <w:rPr>
          <w:rFonts w:ascii="Verdana" w:hAnsi="Verdana"/>
          <w:sz w:val="16"/>
          <w:szCs w:val="16"/>
        </w:rPr>
        <w:t xml:space="preserve">El Estado afirmó que pagó </w:t>
      </w:r>
      <w:r w:rsidRPr="00DF7E56">
        <w:rPr>
          <w:rFonts w:ascii="Verdana" w:hAnsi="Verdana"/>
          <w:sz w:val="16"/>
          <w:szCs w:val="16"/>
        </w:rPr>
        <w:t xml:space="preserve">a través de </w:t>
      </w:r>
      <w:r w:rsidRPr="00DF7E56">
        <w:rPr>
          <w:rFonts w:ascii="Verdana" w:hAnsi="Verdana"/>
          <w:sz w:val="16"/>
          <w:szCs w:val="16"/>
          <w:lang w:val="es-ES"/>
        </w:rPr>
        <w:t xml:space="preserve">cheques de caja número 0005055 y 0005060 a beneficio del señor Sánchez Silvestre, y de cheques de caja número 0005054 y 0005059 a beneficio del </w:t>
      </w:r>
      <w:r w:rsidRPr="00DF7E56">
        <w:rPr>
          <w:rFonts w:ascii="Verdana" w:hAnsi="Verdana"/>
          <w:color w:val="000000" w:themeColor="text1"/>
          <w:sz w:val="16"/>
          <w:szCs w:val="16"/>
          <w:lang w:val="es-ES"/>
        </w:rPr>
        <w:t>señor García Cruz.</w:t>
      </w:r>
      <w:r w:rsidR="00321D6D">
        <w:rPr>
          <w:rFonts w:ascii="Verdana" w:hAnsi="Verdana"/>
          <w:color w:val="000000" w:themeColor="text1"/>
          <w:sz w:val="16"/>
          <w:szCs w:val="16"/>
          <w:lang w:val="es-ES"/>
        </w:rPr>
        <w:t xml:space="preserve"> </w:t>
      </w:r>
      <w:r w:rsidR="00321D6D">
        <w:rPr>
          <w:rFonts w:ascii="Verdana" w:hAnsi="Verdana"/>
          <w:i/>
          <w:color w:val="000000" w:themeColor="text1"/>
          <w:sz w:val="16"/>
          <w:szCs w:val="16"/>
          <w:lang w:val="es-ES"/>
        </w:rPr>
        <w:t xml:space="preserve">Cfr. </w:t>
      </w:r>
      <w:r w:rsidRPr="00DF7E56">
        <w:rPr>
          <w:rFonts w:ascii="Verdana" w:hAnsi="Verdana"/>
          <w:color w:val="000000" w:themeColor="text1"/>
          <w:sz w:val="16"/>
          <w:szCs w:val="16"/>
          <w:lang w:val="es-ES"/>
        </w:rPr>
        <w:t>Informe estatal de 26 de diciembre de 2014.</w:t>
      </w:r>
    </w:p>
  </w:footnote>
  <w:footnote w:id="29">
    <w:p w14:paraId="2D8C090F" w14:textId="4234A8FF" w:rsidR="00AA00EA" w:rsidRPr="00DF7E56" w:rsidRDefault="00AA00EA" w:rsidP="008B1EDC">
      <w:pPr>
        <w:pStyle w:val="FootnoteText"/>
        <w:jc w:val="both"/>
        <w:rPr>
          <w:rFonts w:ascii="Verdana" w:hAnsi="Verdana"/>
          <w:b/>
          <w:color w:val="000000" w:themeColor="text1"/>
          <w:sz w:val="16"/>
          <w:szCs w:val="16"/>
          <w:lang w:val="es-US"/>
        </w:rPr>
      </w:pPr>
      <w:r w:rsidRPr="00DF7E56">
        <w:rPr>
          <w:rStyle w:val="FootnoteReference"/>
          <w:rFonts w:ascii="Verdana" w:hAnsi="Verdana"/>
          <w:color w:val="000000" w:themeColor="text1"/>
          <w:sz w:val="16"/>
          <w:szCs w:val="16"/>
        </w:rPr>
        <w:footnoteRef/>
      </w:r>
      <w:r w:rsidRPr="00DF7E56">
        <w:rPr>
          <w:rFonts w:ascii="Verdana" w:hAnsi="Verdana"/>
          <w:color w:val="000000" w:themeColor="text1"/>
          <w:sz w:val="16"/>
          <w:szCs w:val="16"/>
        </w:rPr>
        <w:t xml:space="preserve"> </w:t>
      </w:r>
      <w:r w:rsidRPr="00DF7E56">
        <w:rPr>
          <w:rFonts w:ascii="Verdana" w:hAnsi="Verdana"/>
          <w:color w:val="000000" w:themeColor="text1"/>
          <w:sz w:val="16"/>
          <w:szCs w:val="16"/>
        </w:rPr>
        <w:tab/>
      </w:r>
      <w:r w:rsidR="00CF6017">
        <w:rPr>
          <w:rFonts w:ascii="Verdana" w:hAnsi="Verdana"/>
          <w:sz w:val="16"/>
          <w:szCs w:val="16"/>
        </w:rPr>
        <w:t xml:space="preserve">El Estado afirmó que pagó </w:t>
      </w:r>
      <w:r w:rsidRPr="00DF7E56">
        <w:rPr>
          <w:rFonts w:ascii="Verdana" w:hAnsi="Verdana"/>
          <w:color w:val="000000" w:themeColor="text1"/>
          <w:sz w:val="16"/>
          <w:szCs w:val="16"/>
        </w:rPr>
        <w:t xml:space="preserve">a través de </w:t>
      </w:r>
      <w:r w:rsidRPr="00DF7E56">
        <w:rPr>
          <w:rFonts w:ascii="Verdana" w:hAnsi="Verdana"/>
          <w:color w:val="000000" w:themeColor="text1"/>
          <w:sz w:val="16"/>
          <w:szCs w:val="16"/>
          <w:lang w:val="es-ES"/>
        </w:rPr>
        <w:t xml:space="preserve">cheques de caja número 0005053 y 0005058 a beneficio del señor Sánchez Silvestre, y de cheques de caja número 0005052 y 0005057 a beneficio del señor García Cruz. </w:t>
      </w:r>
      <w:r w:rsidR="00321D6D" w:rsidRPr="00321D6D">
        <w:rPr>
          <w:rFonts w:ascii="Verdana" w:hAnsi="Verdana"/>
          <w:i/>
          <w:color w:val="000000" w:themeColor="text1"/>
          <w:sz w:val="16"/>
          <w:szCs w:val="16"/>
          <w:lang w:val="es-ES"/>
        </w:rPr>
        <w:t>Cfr</w:t>
      </w:r>
      <w:r w:rsidR="00321D6D">
        <w:rPr>
          <w:rFonts w:ascii="Verdana" w:hAnsi="Verdana"/>
          <w:color w:val="000000" w:themeColor="text1"/>
          <w:sz w:val="16"/>
          <w:szCs w:val="16"/>
          <w:lang w:val="es-ES"/>
        </w:rPr>
        <w:t xml:space="preserve">. </w:t>
      </w:r>
      <w:r w:rsidRPr="00DF7E56">
        <w:rPr>
          <w:rFonts w:ascii="Verdana" w:hAnsi="Verdana"/>
          <w:color w:val="000000" w:themeColor="text1"/>
          <w:sz w:val="16"/>
          <w:szCs w:val="16"/>
          <w:lang w:val="es-ES"/>
        </w:rPr>
        <w:t>Informe estatal de 26 de diciembre de 2014.</w:t>
      </w:r>
    </w:p>
  </w:footnote>
  <w:footnote w:id="30">
    <w:p w14:paraId="3811AB6C" w14:textId="26DD326A" w:rsidR="00AA00EA" w:rsidRPr="008B1EDC" w:rsidRDefault="00AA00EA" w:rsidP="008B1EDC">
      <w:pPr>
        <w:pStyle w:val="FootnoteText"/>
        <w:jc w:val="both"/>
        <w:rPr>
          <w:rFonts w:ascii="Verdana" w:hAnsi="Verdana"/>
          <w:b/>
          <w:sz w:val="16"/>
          <w:szCs w:val="16"/>
        </w:rPr>
      </w:pPr>
      <w:r w:rsidRPr="00DF7E56">
        <w:rPr>
          <w:rStyle w:val="FootnoteReference"/>
          <w:rFonts w:ascii="Verdana" w:hAnsi="Verdana"/>
          <w:color w:val="000000" w:themeColor="text1"/>
          <w:sz w:val="16"/>
          <w:szCs w:val="16"/>
        </w:rPr>
        <w:footnoteRef/>
      </w:r>
      <w:r w:rsidRPr="00DF7E56">
        <w:rPr>
          <w:rFonts w:ascii="Verdana" w:hAnsi="Verdana"/>
          <w:color w:val="000000" w:themeColor="text1"/>
          <w:sz w:val="16"/>
          <w:szCs w:val="16"/>
        </w:rPr>
        <w:t xml:space="preserve"> </w:t>
      </w:r>
      <w:r w:rsidRPr="00DF7E56">
        <w:rPr>
          <w:rFonts w:ascii="Verdana" w:hAnsi="Verdana"/>
          <w:color w:val="000000" w:themeColor="text1"/>
          <w:sz w:val="16"/>
          <w:szCs w:val="16"/>
        </w:rPr>
        <w:tab/>
        <w:t xml:space="preserve">Si bien el Estado no realizó los pagos dentro del plazo establecido en el párrafo 96 de la Sentencia, los representantes no presentaron objeciones al respecto. </w:t>
      </w:r>
      <w:r w:rsidR="005F2BCA">
        <w:rPr>
          <w:rFonts w:ascii="Verdana" w:hAnsi="Verdana"/>
          <w:i/>
          <w:color w:val="000000" w:themeColor="text1"/>
          <w:sz w:val="16"/>
          <w:szCs w:val="16"/>
        </w:rPr>
        <w:t xml:space="preserve">Cfr. </w:t>
      </w:r>
      <w:r w:rsidRPr="00DF7E56">
        <w:rPr>
          <w:rFonts w:ascii="Verdana" w:hAnsi="Verdana"/>
          <w:color w:val="000000" w:themeColor="text1"/>
          <w:sz w:val="16"/>
          <w:szCs w:val="16"/>
        </w:rPr>
        <w:t xml:space="preserve">Escrito de observaciones de 26 de febrero </w:t>
      </w:r>
      <w:r w:rsidRPr="00DF7E56">
        <w:rPr>
          <w:rFonts w:ascii="Verdana" w:hAnsi="Verdana"/>
          <w:sz w:val="16"/>
          <w:szCs w:val="16"/>
        </w:rPr>
        <w:t xml:space="preserve">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23542"/>
      <w:docPartObj>
        <w:docPartGallery w:val="Page Numbers (Top of Page)"/>
        <w:docPartUnique/>
      </w:docPartObj>
    </w:sdtPr>
    <w:sdtEndPr>
      <w:rPr>
        <w:noProof/>
      </w:rPr>
    </w:sdtEndPr>
    <w:sdtContent>
      <w:p w14:paraId="1E8EF847" w14:textId="7C3942B8" w:rsidR="00AA00EA" w:rsidRDefault="00AA00EA">
        <w:pPr>
          <w:pStyle w:val="Header"/>
          <w:jc w:val="center"/>
        </w:pPr>
        <w:r>
          <w:fldChar w:fldCharType="begin"/>
        </w:r>
        <w:r>
          <w:instrText xml:space="preserve"> PAGE   \* MERGEFORMAT </w:instrText>
        </w:r>
        <w:r>
          <w:fldChar w:fldCharType="separate"/>
        </w:r>
        <w:r w:rsidR="007D278B">
          <w:rPr>
            <w:noProof/>
          </w:rPr>
          <w:t>2</w:t>
        </w:r>
        <w:r>
          <w:rPr>
            <w:noProof/>
          </w:rPr>
          <w:fldChar w:fldCharType="end"/>
        </w:r>
      </w:p>
    </w:sdtContent>
  </w:sdt>
  <w:p w14:paraId="60622565" w14:textId="7A5EB692" w:rsidR="00AA00EA" w:rsidRPr="00AE1C07" w:rsidRDefault="00AA00EA" w:rsidP="00AE1C07">
    <w:pPr>
      <w:pStyle w:val="Header"/>
      <w:jc w:val="right"/>
      <w:rPr>
        <w:rFonts w:ascii="Garamond" w:hAnsi="Garamon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E72E" w14:textId="408453E3" w:rsidR="00AA00EA" w:rsidRPr="00DC7B35" w:rsidRDefault="00AA00EA" w:rsidP="00DC7B35">
    <w:pPr>
      <w:pStyle w:val="Header"/>
      <w:jc w:val="right"/>
      <w:rPr>
        <w:rFonts w:ascii="Garamond" w:hAnsi="Garamon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6DA"/>
    <w:multiLevelType w:val="hybridMultilevel"/>
    <w:tmpl w:val="8B34C6B4"/>
    <w:lvl w:ilvl="0" w:tplc="140A0015">
      <w:start w:val="1"/>
      <w:numFmt w:val="upp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
    <w:nsid w:val="0B806A7D"/>
    <w:multiLevelType w:val="hybridMultilevel"/>
    <w:tmpl w:val="790A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F166F"/>
    <w:multiLevelType w:val="hybridMultilevel"/>
    <w:tmpl w:val="26AE4732"/>
    <w:lvl w:ilvl="0" w:tplc="CBDC4E08">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3F211E34"/>
    <w:multiLevelType w:val="hybridMultilevel"/>
    <w:tmpl w:val="D498490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1A46133"/>
    <w:multiLevelType w:val="hybridMultilevel"/>
    <w:tmpl w:val="38A68A8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2520F18"/>
    <w:multiLevelType w:val="hybridMultilevel"/>
    <w:tmpl w:val="95B26EBE"/>
    <w:lvl w:ilvl="0" w:tplc="DE921C7E">
      <w:start w:val="4"/>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8216DC7"/>
    <w:multiLevelType w:val="hybridMultilevel"/>
    <w:tmpl w:val="0BBCA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D212D8"/>
    <w:multiLevelType w:val="hybridMultilevel"/>
    <w:tmpl w:val="AF40A2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144516A"/>
    <w:multiLevelType w:val="hybridMultilevel"/>
    <w:tmpl w:val="AB8EFA74"/>
    <w:lvl w:ilvl="0" w:tplc="AF0AACDA">
      <w:start w:val="1"/>
      <w:numFmt w:val="decimal"/>
      <w:lvlText w:val="%1."/>
      <w:lvlJc w:val="left"/>
      <w:pPr>
        <w:ind w:left="990" w:hanging="360"/>
      </w:pPr>
      <w:rPr>
        <w:rFonts w:hint="default"/>
      </w:rPr>
    </w:lvl>
    <w:lvl w:ilvl="1" w:tplc="140A0019" w:tentative="1">
      <w:start w:val="1"/>
      <w:numFmt w:val="lowerLetter"/>
      <w:lvlText w:val="%2."/>
      <w:lvlJc w:val="left"/>
      <w:pPr>
        <w:ind w:left="1710" w:hanging="360"/>
      </w:pPr>
    </w:lvl>
    <w:lvl w:ilvl="2" w:tplc="140A001B" w:tentative="1">
      <w:start w:val="1"/>
      <w:numFmt w:val="lowerRoman"/>
      <w:lvlText w:val="%3."/>
      <w:lvlJc w:val="right"/>
      <w:pPr>
        <w:ind w:left="2430" w:hanging="180"/>
      </w:pPr>
    </w:lvl>
    <w:lvl w:ilvl="3" w:tplc="140A000F" w:tentative="1">
      <w:start w:val="1"/>
      <w:numFmt w:val="decimal"/>
      <w:lvlText w:val="%4."/>
      <w:lvlJc w:val="left"/>
      <w:pPr>
        <w:ind w:left="3150" w:hanging="360"/>
      </w:pPr>
    </w:lvl>
    <w:lvl w:ilvl="4" w:tplc="140A0019" w:tentative="1">
      <w:start w:val="1"/>
      <w:numFmt w:val="lowerLetter"/>
      <w:lvlText w:val="%5."/>
      <w:lvlJc w:val="left"/>
      <w:pPr>
        <w:ind w:left="3870" w:hanging="360"/>
      </w:pPr>
    </w:lvl>
    <w:lvl w:ilvl="5" w:tplc="140A001B" w:tentative="1">
      <w:start w:val="1"/>
      <w:numFmt w:val="lowerRoman"/>
      <w:lvlText w:val="%6."/>
      <w:lvlJc w:val="right"/>
      <w:pPr>
        <w:ind w:left="4590" w:hanging="180"/>
      </w:pPr>
    </w:lvl>
    <w:lvl w:ilvl="6" w:tplc="140A000F" w:tentative="1">
      <w:start w:val="1"/>
      <w:numFmt w:val="decimal"/>
      <w:lvlText w:val="%7."/>
      <w:lvlJc w:val="left"/>
      <w:pPr>
        <w:ind w:left="5310" w:hanging="360"/>
      </w:pPr>
    </w:lvl>
    <w:lvl w:ilvl="7" w:tplc="140A0019" w:tentative="1">
      <w:start w:val="1"/>
      <w:numFmt w:val="lowerLetter"/>
      <w:lvlText w:val="%8."/>
      <w:lvlJc w:val="left"/>
      <w:pPr>
        <w:ind w:left="6030" w:hanging="360"/>
      </w:pPr>
    </w:lvl>
    <w:lvl w:ilvl="8" w:tplc="140A001B" w:tentative="1">
      <w:start w:val="1"/>
      <w:numFmt w:val="lowerRoman"/>
      <w:lvlText w:val="%9."/>
      <w:lvlJc w:val="right"/>
      <w:pPr>
        <w:ind w:left="6750" w:hanging="180"/>
      </w:pPr>
    </w:lvl>
  </w:abstractNum>
  <w:abstractNum w:abstractNumId="9">
    <w:nsid w:val="580B5CC2"/>
    <w:multiLevelType w:val="hybridMultilevel"/>
    <w:tmpl w:val="7DA8101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ABD564C"/>
    <w:multiLevelType w:val="hybridMultilevel"/>
    <w:tmpl w:val="2B32AC3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51127"/>
    <w:multiLevelType w:val="hybridMultilevel"/>
    <w:tmpl w:val="8D9E4F62"/>
    <w:lvl w:ilvl="0" w:tplc="D40C5122">
      <w:start w:val="1"/>
      <w:numFmt w:val="upperLetter"/>
      <w:lvlText w:val="%1."/>
      <w:lvlJc w:val="left"/>
      <w:pPr>
        <w:ind w:left="1080" w:hanging="360"/>
      </w:pPr>
      <w:rPr>
        <w:rFonts w:ascii="Verdana" w:hAnsi="Verdana" w:hint="default"/>
        <w:i/>
        <w:color w:val="0000FF"/>
        <w:sz w:val="18"/>
        <w:u w:val="single"/>
      </w:rPr>
    </w:lvl>
    <w:lvl w:ilvl="1" w:tplc="B2AAD63C">
      <w:start w:val="1"/>
      <w:numFmt w:val="upperLetter"/>
      <w:pStyle w:val="TOC1"/>
      <w:lvlText w:val="%2."/>
      <w:lvlJc w:val="left"/>
      <w:pPr>
        <w:ind w:left="1800" w:hanging="360"/>
      </w:pPr>
      <w:rPr>
        <w:rFonts w:ascii="Calibri" w:eastAsia="Calibri" w:hAnsi="Calibri" w:cs="Times New Roman"/>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7983635B"/>
    <w:multiLevelType w:val="hybridMultilevel"/>
    <w:tmpl w:val="E57687BC"/>
    <w:lvl w:ilvl="0" w:tplc="AC1C5414">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start w:val="1"/>
      <w:numFmt w:val="decimal"/>
      <w:lvlText w:val="%4."/>
      <w:lvlJc w:val="left"/>
      <w:pPr>
        <w:ind w:left="-6476" w:hanging="360"/>
      </w:pPr>
    </w:lvl>
    <w:lvl w:ilvl="4" w:tplc="140A0019">
      <w:start w:val="1"/>
      <w:numFmt w:val="lowerLetter"/>
      <w:lvlText w:val="%5."/>
      <w:lvlJc w:val="left"/>
      <w:pPr>
        <w:ind w:left="-5756" w:hanging="360"/>
      </w:pPr>
    </w:lvl>
    <w:lvl w:ilvl="5" w:tplc="140A001B">
      <w:start w:val="1"/>
      <w:numFmt w:val="lowerRoman"/>
      <w:lvlText w:val="%6."/>
      <w:lvlJc w:val="right"/>
      <w:pPr>
        <w:ind w:left="-5036" w:hanging="180"/>
      </w:pPr>
    </w:lvl>
    <w:lvl w:ilvl="6" w:tplc="140A000F">
      <w:start w:val="1"/>
      <w:numFmt w:val="decimal"/>
      <w:lvlText w:val="%7."/>
      <w:lvlJc w:val="left"/>
      <w:pPr>
        <w:ind w:left="-4316" w:hanging="360"/>
      </w:pPr>
    </w:lvl>
    <w:lvl w:ilvl="7" w:tplc="140A0019">
      <w:start w:val="1"/>
      <w:numFmt w:val="lowerLetter"/>
      <w:lvlText w:val="%8."/>
      <w:lvlJc w:val="left"/>
      <w:pPr>
        <w:ind w:left="-3596" w:hanging="360"/>
      </w:pPr>
    </w:lvl>
    <w:lvl w:ilvl="8" w:tplc="140A001B">
      <w:start w:val="1"/>
      <w:numFmt w:val="lowerRoman"/>
      <w:lvlText w:val="%9."/>
      <w:lvlJc w:val="right"/>
      <w:pPr>
        <w:ind w:left="-287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3"/>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ry">
    <w15:presenceInfo w15:providerId="None" w15:userId="Lei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D0"/>
    <w:rsid w:val="00000E40"/>
    <w:rsid w:val="00001CF6"/>
    <w:rsid w:val="00002984"/>
    <w:rsid w:val="000043E8"/>
    <w:rsid w:val="000053E5"/>
    <w:rsid w:val="00007060"/>
    <w:rsid w:val="000071FC"/>
    <w:rsid w:val="000079C2"/>
    <w:rsid w:val="00010BC5"/>
    <w:rsid w:val="0001159D"/>
    <w:rsid w:val="000169E3"/>
    <w:rsid w:val="000216D0"/>
    <w:rsid w:val="0002280A"/>
    <w:rsid w:val="0002366C"/>
    <w:rsid w:val="000259C0"/>
    <w:rsid w:val="00027E62"/>
    <w:rsid w:val="00030C66"/>
    <w:rsid w:val="000402DD"/>
    <w:rsid w:val="0004745D"/>
    <w:rsid w:val="00052ADD"/>
    <w:rsid w:val="0006046B"/>
    <w:rsid w:val="00061C4F"/>
    <w:rsid w:val="00061F11"/>
    <w:rsid w:val="00062E66"/>
    <w:rsid w:val="00065A4F"/>
    <w:rsid w:val="00067408"/>
    <w:rsid w:val="000726F4"/>
    <w:rsid w:val="00080251"/>
    <w:rsid w:val="00081CD6"/>
    <w:rsid w:val="00091A17"/>
    <w:rsid w:val="00091B64"/>
    <w:rsid w:val="000960C6"/>
    <w:rsid w:val="000A42CB"/>
    <w:rsid w:val="000B6810"/>
    <w:rsid w:val="000C3970"/>
    <w:rsid w:val="000C4584"/>
    <w:rsid w:val="000D5959"/>
    <w:rsid w:val="000E0486"/>
    <w:rsid w:val="000E088F"/>
    <w:rsid w:val="000E5211"/>
    <w:rsid w:val="000E6934"/>
    <w:rsid w:val="000F29EC"/>
    <w:rsid w:val="000F386C"/>
    <w:rsid w:val="000F407C"/>
    <w:rsid w:val="000F5C11"/>
    <w:rsid w:val="000F7670"/>
    <w:rsid w:val="00105417"/>
    <w:rsid w:val="0010667D"/>
    <w:rsid w:val="00107613"/>
    <w:rsid w:val="00110823"/>
    <w:rsid w:val="00113AF8"/>
    <w:rsid w:val="0011482B"/>
    <w:rsid w:val="00114DEF"/>
    <w:rsid w:val="0011762A"/>
    <w:rsid w:val="00130AEF"/>
    <w:rsid w:val="001315BA"/>
    <w:rsid w:val="001322B7"/>
    <w:rsid w:val="00134FE7"/>
    <w:rsid w:val="001368EC"/>
    <w:rsid w:val="00141284"/>
    <w:rsid w:val="0014309D"/>
    <w:rsid w:val="0014424E"/>
    <w:rsid w:val="00144864"/>
    <w:rsid w:val="00146BA9"/>
    <w:rsid w:val="0015276B"/>
    <w:rsid w:val="00155298"/>
    <w:rsid w:val="001605EF"/>
    <w:rsid w:val="00166564"/>
    <w:rsid w:val="0017164B"/>
    <w:rsid w:val="00177380"/>
    <w:rsid w:val="001926E8"/>
    <w:rsid w:val="00196247"/>
    <w:rsid w:val="00196B3D"/>
    <w:rsid w:val="00197D61"/>
    <w:rsid w:val="001A58B6"/>
    <w:rsid w:val="001A5D6F"/>
    <w:rsid w:val="001B26F1"/>
    <w:rsid w:val="001B51E5"/>
    <w:rsid w:val="001B60C9"/>
    <w:rsid w:val="001C5563"/>
    <w:rsid w:val="001C696D"/>
    <w:rsid w:val="001D0553"/>
    <w:rsid w:val="001D0DA3"/>
    <w:rsid w:val="001D26E9"/>
    <w:rsid w:val="001D6C76"/>
    <w:rsid w:val="001E4A3D"/>
    <w:rsid w:val="001F50E0"/>
    <w:rsid w:val="0020252B"/>
    <w:rsid w:val="0020345C"/>
    <w:rsid w:val="002068F0"/>
    <w:rsid w:val="0021440C"/>
    <w:rsid w:val="00214EAC"/>
    <w:rsid w:val="00216198"/>
    <w:rsid w:val="00220FFC"/>
    <w:rsid w:val="002216C8"/>
    <w:rsid w:val="00223154"/>
    <w:rsid w:val="00225843"/>
    <w:rsid w:val="002264F5"/>
    <w:rsid w:val="0023171E"/>
    <w:rsid w:val="00232E22"/>
    <w:rsid w:val="0023483C"/>
    <w:rsid w:val="00236DE7"/>
    <w:rsid w:val="00236F0E"/>
    <w:rsid w:val="00242923"/>
    <w:rsid w:val="00246662"/>
    <w:rsid w:val="002474F9"/>
    <w:rsid w:val="00255C09"/>
    <w:rsid w:val="00256053"/>
    <w:rsid w:val="00260A16"/>
    <w:rsid w:val="00262608"/>
    <w:rsid w:val="00262757"/>
    <w:rsid w:val="00264D48"/>
    <w:rsid w:val="00265AC4"/>
    <w:rsid w:val="00270495"/>
    <w:rsid w:val="002712F7"/>
    <w:rsid w:val="002731EA"/>
    <w:rsid w:val="00276143"/>
    <w:rsid w:val="00276E83"/>
    <w:rsid w:val="002808BD"/>
    <w:rsid w:val="00281335"/>
    <w:rsid w:val="0028202F"/>
    <w:rsid w:val="0028708F"/>
    <w:rsid w:val="002949F9"/>
    <w:rsid w:val="002973B5"/>
    <w:rsid w:val="002A04DB"/>
    <w:rsid w:val="002B4144"/>
    <w:rsid w:val="002B4345"/>
    <w:rsid w:val="002B74F4"/>
    <w:rsid w:val="002C52F1"/>
    <w:rsid w:val="002C5997"/>
    <w:rsid w:val="002C71F0"/>
    <w:rsid w:val="002D5793"/>
    <w:rsid w:val="002D5B12"/>
    <w:rsid w:val="002D7D4A"/>
    <w:rsid w:val="002E4C69"/>
    <w:rsid w:val="002E5FB0"/>
    <w:rsid w:val="002E6D42"/>
    <w:rsid w:val="002F21A5"/>
    <w:rsid w:val="002F22EC"/>
    <w:rsid w:val="002F4CA2"/>
    <w:rsid w:val="002F62B5"/>
    <w:rsid w:val="002F7469"/>
    <w:rsid w:val="00301FD4"/>
    <w:rsid w:val="00302848"/>
    <w:rsid w:val="00310452"/>
    <w:rsid w:val="00312657"/>
    <w:rsid w:val="003138F8"/>
    <w:rsid w:val="0031413A"/>
    <w:rsid w:val="00321D6D"/>
    <w:rsid w:val="00327689"/>
    <w:rsid w:val="00342649"/>
    <w:rsid w:val="003522D4"/>
    <w:rsid w:val="00352EC5"/>
    <w:rsid w:val="00357839"/>
    <w:rsid w:val="00360420"/>
    <w:rsid w:val="00362D15"/>
    <w:rsid w:val="00363A2A"/>
    <w:rsid w:val="0036519A"/>
    <w:rsid w:val="003717DA"/>
    <w:rsid w:val="0037414F"/>
    <w:rsid w:val="0037461C"/>
    <w:rsid w:val="00385FA3"/>
    <w:rsid w:val="00393B4E"/>
    <w:rsid w:val="00393CD5"/>
    <w:rsid w:val="003A1678"/>
    <w:rsid w:val="003B09EF"/>
    <w:rsid w:val="003B334C"/>
    <w:rsid w:val="003B3695"/>
    <w:rsid w:val="003B4B06"/>
    <w:rsid w:val="003B54C6"/>
    <w:rsid w:val="003D080B"/>
    <w:rsid w:val="003D102B"/>
    <w:rsid w:val="003D7D25"/>
    <w:rsid w:val="003E21F0"/>
    <w:rsid w:val="003E420D"/>
    <w:rsid w:val="003E7874"/>
    <w:rsid w:val="003F3362"/>
    <w:rsid w:val="003F4F7E"/>
    <w:rsid w:val="003F6B25"/>
    <w:rsid w:val="003F7723"/>
    <w:rsid w:val="00402E35"/>
    <w:rsid w:val="00406646"/>
    <w:rsid w:val="004145DC"/>
    <w:rsid w:val="004203C8"/>
    <w:rsid w:val="00422E62"/>
    <w:rsid w:val="0042510B"/>
    <w:rsid w:val="00425449"/>
    <w:rsid w:val="00432233"/>
    <w:rsid w:val="004348E4"/>
    <w:rsid w:val="00435384"/>
    <w:rsid w:val="00436123"/>
    <w:rsid w:val="00436A80"/>
    <w:rsid w:val="00437DC5"/>
    <w:rsid w:val="00442044"/>
    <w:rsid w:val="00446B85"/>
    <w:rsid w:val="00450A55"/>
    <w:rsid w:val="00451C45"/>
    <w:rsid w:val="00452D9D"/>
    <w:rsid w:val="0045504C"/>
    <w:rsid w:val="00460ADF"/>
    <w:rsid w:val="00462361"/>
    <w:rsid w:val="0047326E"/>
    <w:rsid w:val="0047558E"/>
    <w:rsid w:val="00482FEF"/>
    <w:rsid w:val="00483CB7"/>
    <w:rsid w:val="00485474"/>
    <w:rsid w:val="0048577C"/>
    <w:rsid w:val="00491C6F"/>
    <w:rsid w:val="00491E8F"/>
    <w:rsid w:val="00492FC5"/>
    <w:rsid w:val="0049337F"/>
    <w:rsid w:val="004944FF"/>
    <w:rsid w:val="00497476"/>
    <w:rsid w:val="004A427A"/>
    <w:rsid w:val="004B4E67"/>
    <w:rsid w:val="004C1414"/>
    <w:rsid w:val="004C3D3F"/>
    <w:rsid w:val="004C4E8C"/>
    <w:rsid w:val="004D114D"/>
    <w:rsid w:val="004D4BB5"/>
    <w:rsid w:val="004D569F"/>
    <w:rsid w:val="004F47BA"/>
    <w:rsid w:val="004F6365"/>
    <w:rsid w:val="00507107"/>
    <w:rsid w:val="00520498"/>
    <w:rsid w:val="0052105E"/>
    <w:rsid w:val="00521079"/>
    <w:rsid w:val="0052119C"/>
    <w:rsid w:val="00527711"/>
    <w:rsid w:val="0053143E"/>
    <w:rsid w:val="00531E75"/>
    <w:rsid w:val="005359A2"/>
    <w:rsid w:val="00536018"/>
    <w:rsid w:val="005406DF"/>
    <w:rsid w:val="00543B56"/>
    <w:rsid w:val="00547854"/>
    <w:rsid w:val="005503A1"/>
    <w:rsid w:val="00555C41"/>
    <w:rsid w:val="0056275F"/>
    <w:rsid w:val="00562D71"/>
    <w:rsid w:val="00564A96"/>
    <w:rsid w:val="00565BBD"/>
    <w:rsid w:val="00567859"/>
    <w:rsid w:val="00571919"/>
    <w:rsid w:val="0057435E"/>
    <w:rsid w:val="00575ABF"/>
    <w:rsid w:val="00582679"/>
    <w:rsid w:val="00583583"/>
    <w:rsid w:val="005851E9"/>
    <w:rsid w:val="00585D1F"/>
    <w:rsid w:val="00586A50"/>
    <w:rsid w:val="00590CE4"/>
    <w:rsid w:val="005969D3"/>
    <w:rsid w:val="005A2148"/>
    <w:rsid w:val="005A3332"/>
    <w:rsid w:val="005C6BF9"/>
    <w:rsid w:val="005E6CB8"/>
    <w:rsid w:val="005F001F"/>
    <w:rsid w:val="005F08C7"/>
    <w:rsid w:val="005F2BCA"/>
    <w:rsid w:val="005F4008"/>
    <w:rsid w:val="005F6A8A"/>
    <w:rsid w:val="00601FB6"/>
    <w:rsid w:val="00605C9C"/>
    <w:rsid w:val="00610252"/>
    <w:rsid w:val="0061188E"/>
    <w:rsid w:val="00612CE6"/>
    <w:rsid w:val="0062053D"/>
    <w:rsid w:val="00620B1D"/>
    <w:rsid w:val="00621B10"/>
    <w:rsid w:val="0062585A"/>
    <w:rsid w:val="0062621D"/>
    <w:rsid w:val="00627DAE"/>
    <w:rsid w:val="00631581"/>
    <w:rsid w:val="006322A8"/>
    <w:rsid w:val="00632413"/>
    <w:rsid w:val="006326E2"/>
    <w:rsid w:val="00632A33"/>
    <w:rsid w:val="00632AC2"/>
    <w:rsid w:val="00633B94"/>
    <w:rsid w:val="00636016"/>
    <w:rsid w:val="00636BA8"/>
    <w:rsid w:val="00637BEC"/>
    <w:rsid w:val="00642F17"/>
    <w:rsid w:val="00647AEC"/>
    <w:rsid w:val="006516E4"/>
    <w:rsid w:val="00655FC0"/>
    <w:rsid w:val="006617E1"/>
    <w:rsid w:val="00670B07"/>
    <w:rsid w:val="006734EC"/>
    <w:rsid w:val="00673A27"/>
    <w:rsid w:val="00681532"/>
    <w:rsid w:val="00685661"/>
    <w:rsid w:val="00685914"/>
    <w:rsid w:val="0068664C"/>
    <w:rsid w:val="00694D0F"/>
    <w:rsid w:val="00695E3B"/>
    <w:rsid w:val="00696F0C"/>
    <w:rsid w:val="006A3CA6"/>
    <w:rsid w:val="006A7E47"/>
    <w:rsid w:val="006B145B"/>
    <w:rsid w:val="006B3EF1"/>
    <w:rsid w:val="006B4BD0"/>
    <w:rsid w:val="006B7955"/>
    <w:rsid w:val="006C1D9D"/>
    <w:rsid w:val="006C23F6"/>
    <w:rsid w:val="006C54DF"/>
    <w:rsid w:val="006E133A"/>
    <w:rsid w:val="006E58F0"/>
    <w:rsid w:val="006E6FD0"/>
    <w:rsid w:val="006F195D"/>
    <w:rsid w:val="006F1B0F"/>
    <w:rsid w:val="006F333F"/>
    <w:rsid w:val="00701A4F"/>
    <w:rsid w:val="00704D7F"/>
    <w:rsid w:val="0070538C"/>
    <w:rsid w:val="00705644"/>
    <w:rsid w:val="007059D7"/>
    <w:rsid w:val="0071471C"/>
    <w:rsid w:val="00714FC6"/>
    <w:rsid w:val="007165DD"/>
    <w:rsid w:val="00720E07"/>
    <w:rsid w:val="007213E1"/>
    <w:rsid w:val="0072157C"/>
    <w:rsid w:val="007242EC"/>
    <w:rsid w:val="0072451D"/>
    <w:rsid w:val="00724554"/>
    <w:rsid w:val="00724A50"/>
    <w:rsid w:val="00733F43"/>
    <w:rsid w:val="007368D8"/>
    <w:rsid w:val="007459C5"/>
    <w:rsid w:val="007568C5"/>
    <w:rsid w:val="00760BC5"/>
    <w:rsid w:val="00760DA7"/>
    <w:rsid w:val="00763CE3"/>
    <w:rsid w:val="0076587F"/>
    <w:rsid w:val="00771D1B"/>
    <w:rsid w:val="00772DF4"/>
    <w:rsid w:val="007777A7"/>
    <w:rsid w:val="00786C37"/>
    <w:rsid w:val="00792523"/>
    <w:rsid w:val="007A46FA"/>
    <w:rsid w:val="007A55E0"/>
    <w:rsid w:val="007A63A6"/>
    <w:rsid w:val="007A6757"/>
    <w:rsid w:val="007C4ABF"/>
    <w:rsid w:val="007C6F27"/>
    <w:rsid w:val="007D278B"/>
    <w:rsid w:val="007D3281"/>
    <w:rsid w:val="007E2AE4"/>
    <w:rsid w:val="007E3438"/>
    <w:rsid w:val="007E3B80"/>
    <w:rsid w:val="007E574A"/>
    <w:rsid w:val="007F009A"/>
    <w:rsid w:val="007F2CF8"/>
    <w:rsid w:val="007F2FF2"/>
    <w:rsid w:val="007F41A1"/>
    <w:rsid w:val="007F44E7"/>
    <w:rsid w:val="007F6EEC"/>
    <w:rsid w:val="007F7C93"/>
    <w:rsid w:val="008018EF"/>
    <w:rsid w:val="00806406"/>
    <w:rsid w:val="00814DF0"/>
    <w:rsid w:val="0081624E"/>
    <w:rsid w:val="00820AB1"/>
    <w:rsid w:val="008216A8"/>
    <w:rsid w:val="008218E5"/>
    <w:rsid w:val="0082383F"/>
    <w:rsid w:val="008242B7"/>
    <w:rsid w:val="00830DF5"/>
    <w:rsid w:val="008315BA"/>
    <w:rsid w:val="00834792"/>
    <w:rsid w:val="00837548"/>
    <w:rsid w:val="0084047F"/>
    <w:rsid w:val="00841642"/>
    <w:rsid w:val="00842C5D"/>
    <w:rsid w:val="0084354B"/>
    <w:rsid w:val="0084759D"/>
    <w:rsid w:val="0084765F"/>
    <w:rsid w:val="00854A8F"/>
    <w:rsid w:val="00856F1D"/>
    <w:rsid w:val="0085706E"/>
    <w:rsid w:val="0085797E"/>
    <w:rsid w:val="008607F6"/>
    <w:rsid w:val="008619FD"/>
    <w:rsid w:val="00863083"/>
    <w:rsid w:val="00867359"/>
    <w:rsid w:val="0087062F"/>
    <w:rsid w:val="00870936"/>
    <w:rsid w:val="0087664D"/>
    <w:rsid w:val="00877AB5"/>
    <w:rsid w:val="00877F85"/>
    <w:rsid w:val="0088094E"/>
    <w:rsid w:val="008809BB"/>
    <w:rsid w:val="00880A65"/>
    <w:rsid w:val="0088343D"/>
    <w:rsid w:val="00895C0C"/>
    <w:rsid w:val="008A0E4B"/>
    <w:rsid w:val="008A220D"/>
    <w:rsid w:val="008A3342"/>
    <w:rsid w:val="008B088A"/>
    <w:rsid w:val="008B0E89"/>
    <w:rsid w:val="008B1EDC"/>
    <w:rsid w:val="008B514C"/>
    <w:rsid w:val="008B53BD"/>
    <w:rsid w:val="008C2E26"/>
    <w:rsid w:val="008C6AC2"/>
    <w:rsid w:val="008E0DAC"/>
    <w:rsid w:val="008E4D2A"/>
    <w:rsid w:val="008E6D30"/>
    <w:rsid w:val="008E7A66"/>
    <w:rsid w:val="008F0458"/>
    <w:rsid w:val="008F16E2"/>
    <w:rsid w:val="008F4960"/>
    <w:rsid w:val="008F612F"/>
    <w:rsid w:val="008F6449"/>
    <w:rsid w:val="008F7FA2"/>
    <w:rsid w:val="00900F0C"/>
    <w:rsid w:val="00902114"/>
    <w:rsid w:val="0091044A"/>
    <w:rsid w:val="00922431"/>
    <w:rsid w:val="00927E7F"/>
    <w:rsid w:val="00927F37"/>
    <w:rsid w:val="0093067E"/>
    <w:rsid w:val="009417A3"/>
    <w:rsid w:val="00943327"/>
    <w:rsid w:val="00947153"/>
    <w:rsid w:val="00954D5E"/>
    <w:rsid w:val="009700FD"/>
    <w:rsid w:val="0097331D"/>
    <w:rsid w:val="0097361C"/>
    <w:rsid w:val="00973A63"/>
    <w:rsid w:val="00974ECC"/>
    <w:rsid w:val="00975E6A"/>
    <w:rsid w:val="00980742"/>
    <w:rsid w:val="00981C14"/>
    <w:rsid w:val="00982A03"/>
    <w:rsid w:val="00983970"/>
    <w:rsid w:val="00984467"/>
    <w:rsid w:val="00997A7C"/>
    <w:rsid w:val="009A3BC1"/>
    <w:rsid w:val="009A41EF"/>
    <w:rsid w:val="009A4BDD"/>
    <w:rsid w:val="009A6CE7"/>
    <w:rsid w:val="009B2654"/>
    <w:rsid w:val="009B2A82"/>
    <w:rsid w:val="009B58D9"/>
    <w:rsid w:val="009C0EA3"/>
    <w:rsid w:val="009C1D04"/>
    <w:rsid w:val="009D06E4"/>
    <w:rsid w:val="009D41AE"/>
    <w:rsid w:val="009D62D2"/>
    <w:rsid w:val="009E1D2C"/>
    <w:rsid w:val="009E3C2C"/>
    <w:rsid w:val="009F17D3"/>
    <w:rsid w:val="009F1EBD"/>
    <w:rsid w:val="009F3A4C"/>
    <w:rsid w:val="009F42E9"/>
    <w:rsid w:val="009F538C"/>
    <w:rsid w:val="00A03F55"/>
    <w:rsid w:val="00A047D4"/>
    <w:rsid w:val="00A0733D"/>
    <w:rsid w:val="00A12C39"/>
    <w:rsid w:val="00A1382A"/>
    <w:rsid w:val="00A13DA2"/>
    <w:rsid w:val="00A2096A"/>
    <w:rsid w:val="00A27EB4"/>
    <w:rsid w:val="00A3052B"/>
    <w:rsid w:val="00A307C4"/>
    <w:rsid w:val="00A32EB8"/>
    <w:rsid w:val="00A34B9F"/>
    <w:rsid w:val="00A428F4"/>
    <w:rsid w:val="00A444A8"/>
    <w:rsid w:val="00A44691"/>
    <w:rsid w:val="00A46149"/>
    <w:rsid w:val="00A4793C"/>
    <w:rsid w:val="00A60B8B"/>
    <w:rsid w:val="00A71DA7"/>
    <w:rsid w:val="00A728DA"/>
    <w:rsid w:val="00A80B09"/>
    <w:rsid w:val="00A818EB"/>
    <w:rsid w:val="00A85AA7"/>
    <w:rsid w:val="00A9092A"/>
    <w:rsid w:val="00A90AE0"/>
    <w:rsid w:val="00A925AA"/>
    <w:rsid w:val="00A93775"/>
    <w:rsid w:val="00A93BC5"/>
    <w:rsid w:val="00A95394"/>
    <w:rsid w:val="00A957D4"/>
    <w:rsid w:val="00A957E8"/>
    <w:rsid w:val="00AA00EA"/>
    <w:rsid w:val="00AA53BA"/>
    <w:rsid w:val="00AB70A3"/>
    <w:rsid w:val="00AC139B"/>
    <w:rsid w:val="00AC1980"/>
    <w:rsid w:val="00AC3EAB"/>
    <w:rsid w:val="00AC7D66"/>
    <w:rsid w:val="00AD120F"/>
    <w:rsid w:val="00AD4B93"/>
    <w:rsid w:val="00AD7C5D"/>
    <w:rsid w:val="00AE0388"/>
    <w:rsid w:val="00AE13B0"/>
    <w:rsid w:val="00AE1C07"/>
    <w:rsid w:val="00AE4FF8"/>
    <w:rsid w:val="00AF0DAD"/>
    <w:rsid w:val="00AF366A"/>
    <w:rsid w:val="00AF544D"/>
    <w:rsid w:val="00B02C85"/>
    <w:rsid w:val="00B035D7"/>
    <w:rsid w:val="00B07D9F"/>
    <w:rsid w:val="00B07FAF"/>
    <w:rsid w:val="00B1707E"/>
    <w:rsid w:val="00B17800"/>
    <w:rsid w:val="00B2650F"/>
    <w:rsid w:val="00B36CB3"/>
    <w:rsid w:val="00B37187"/>
    <w:rsid w:val="00B4032C"/>
    <w:rsid w:val="00B464C8"/>
    <w:rsid w:val="00B47379"/>
    <w:rsid w:val="00B4747F"/>
    <w:rsid w:val="00B5208C"/>
    <w:rsid w:val="00B573F4"/>
    <w:rsid w:val="00B614A2"/>
    <w:rsid w:val="00B634D5"/>
    <w:rsid w:val="00B63805"/>
    <w:rsid w:val="00B664B7"/>
    <w:rsid w:val="00B72910"/>
    <w:rsid w:val="00B73244"/>
    <w:rsid w:val="00B76185"/>
    <w:rsid w:val="00B76866"/>
    <w:rsid w:val="00B81B3C"/>
    <w:rsid w:val="00B85796"/>
    <w:rsid w:val="00B8627B"/>
    <w:rsid w:val="00B864B6"/>
    <w:rsid w:val="00B95632"/>
    <w:rsid w:val="00BA2BEE"/>
    <w:rsid w:val="00BA545E"/>
    <w:rsid w:val="00BA7A75"/>
    <w:rsid w:val="00BB06F8"/>
    <w:rsid w:val="00BB1E0D"/>
    <w:rsid w:val="00BB2615"/>
    <w:rsid w:val="00BB65FA"/>
    <w:rsid w:val="00BC2B8E"/>
    <w:rsid w:val="00BC2F28"/>
    <w:rsid w:val="00BC4D8A"/>
    <w:rsid w:val="00BD0F56"/>
    <w:rsid w:val="00BD295A"/>
    <w:rsid w:val="00BD33C8"/>
    <w:rsid w:val="00BD473A"/>
    <w:rsid w:val="00BD5BEC"/>
    <w:rsid w:val="00BD5C96"/>
    <w:rsid w:val="00BE02DB"/>
    <w:rsid w:val="00BE1231"/>
    <w:rsid w:val="00BE21F0"/>
    <w:rsid w:val="00BE4116"/>
    <w:rsid w:val="00BE4417"/>
    <w:rsid w:val="00BE7F0F"/>
    <w:rsid w:val="00BF318A"/>
    <w:rsid w:val="00BF55EF"/>
    <w:rsid w:val="00BF5B4A"/>
    <w:rsid w:val="00C01519"/>
    <w:rsid w:val="00C03FC3"/>
    <w:rsid w:val="00C053EE"/>
    <w:rsid w:val="00C07A11"/>
    <w:rsid w:val="00C1269D"/>
    <w:rsid w:val="00C24557"/>
    <w:rsid w:val="00C24CFC"/>
    <w:rsid w:val="00C27522"/>
    <w:rsid w:val="00C30681"/>
    <w:rsid w:val="00C3201D"/>
    <w:rsid w:val="00C33037"/>
    <w:rsid w:val="00C35A4A"/>
    <w:rsid w:val="00C36ED0"/>
    <w:rsid w:val="00C453EC"/>
    <w:rsid w:val="00C462C7"/>
    <w:rsid w:val="00C476DC"/>
    <w:rsid w:val="00C54C4C"/>
    <w:rsid w:val="00C60DA2"/>
    <w:rsid w:val="00C63BA2"/>
    <w:rsid w:val="00C63F34"/>
    <w:rsid w:val="00C7004C"/>
    <w:rsid w:val="00C702AF"/>
    <w:rsid w:val="00C70CC5"/>
    <w:rsid w:val="00C719FE"/>
    <w:rsid w:val="00C76E2B"/>
    <w:rsid w:val="00C849FB"/>
    <w:rsid w:val="00C850CC"/>
    <w:rsid w:val="00CA3C95"/>
    <w:rsid w:val="00CA6483"/>
    <w:rsid w:val="00CB16D0"/>
    <w:rsid w:val="00CB185F"/>
    <w:rsid w:val="00CB5CEE"/>
    <w:rsid w:val="00CC0ED9"/>
    <w:rsid w:val="00CC6BE6"/>
    <w:rsid w:val="00CD10E8"/>
    <w:rsid w:val="00CD5B4F"/>
    <w:rsid w:val="00CD6888"/>
    <w:rsid w:val="00CE0127"/>
    <w:rsid w:val="00CE1A3B"/>
    <w:rsid w:val="00CE235A"/>
    <w:rsid w:val="00CE62BF"/>
    <w:rsid w:val="00CE6440"/>
    <w:rsid w:val="00CF22FE"/>
    <w:rsid w:val="00CF6017"/>
    <w:rsid w:val="00D02081"/>
    <w:rsid w:val="00D04322"/>
    <w:rsid w:val="00D063E2"/>
    <w:rsid w:val="00D12B74"/>
    <w:rsid w:val="00D20A6B"/>
    <w:rsid w:val="00D215DB"/>
    <w:rsid w:val="00D2475F"/>
    <w:rsid w:val="00D327C6"/>
    <w:rsid w:val="00D35D6E"/>
    <w:rsid w:val="00D373B0"/>
    <w:rsid w:val="00D42496"/>
    <w:rsid w:val="00D47104"/>
    <w:rsid w:val="00D50B1C"/>
    <w:rsid w:val="00D62B4B"/>
    <w:rsid w:val="00D6344C"/>
    <w:rsid w:val="00D639A3"/>
    <w:rsid w:val="00D658F8"/>
    <w:rsid w:val="00D67C22"/>
    <w:rsid w:val="00D70EC5"/>
    <w:rsid w:val="00D71B11"/>
    <w:rsid w:val="00D72C43"/>
    <w:rsid w:val="00D75654"/>
    <w:rsid w:val="00D80963"/>
    <w:rsid w:val="00D82B26"/>
    <w:rsid w:val="00D83658"/>
    <w:rsid w:val="00D849F9"/>
    <w:rsid w:val="00D872A8"/>
    <w:rsid w:val="00D90D61"/>
    <w:rsid w:val="00D9326E"/>
    <w:rsid w:val="00D93934"/>
    <w:rsid w:val="00D974AB"/>
    <w:rsid w:val="00DA23AB"/>
    <w:rsid w:val="00DA39E2"/>
    <w:rsid w:val="00DA6782"/>
    <w:rsid w:val="00DB2D53"/>
    <w:rsid w:val="00DB2DBB"/>
    <w:rsid w:val="00DB385A"/>
    <w:rsid w:val="00DC0FD5"/>
    <w:rsid w:val="00DC1FB9"/>
    <w:rsid w:val="00DC4722"/>
    <w:rsid w:val="00DC6080"/>
    <w:rsid w:val="00DC7B35"/>
    <w:rsid w:val="00DD1582"/>
    <w:rsid w:val="00DD7088"/>
    <w:rsid w:val="00DD738F"/>
    <w:rsid w:val="00DE3639"/>
    <w:rsid w:val="00DE4FDE"/>
    <w:rsid w:val="00DE505F"/>
    <w:rsid w:val="00DE6258"/>
    <w:rsid w:val="00DF0B1A"/>
    <w:rsid w:val="00DF5675"/>
    <w:rsid w:val="00DF7A67"/>
    <w:rsid w:val="00DF7E56"/>
    <w:rsid w:val="00E06859"/>
    <w:rsid w:val="00E11B75"/>
    <w:rsid w:val="00E15401"/>
    <w:rsid w:val="00E210AC"/>
    <w:rsid w:val="00E2126B"/>
    <w:rsid w:val="00E2205D"/>
    <w:rsid w:val="00E23413"/>
    <w:rsid w:val="00E309F1"/>
    <w:rsid w:val="00E321F0"/>
    <w:rsid w:val="00E35A36"/>
    <w:rsid w:val="00E361F9"/>
    <w:rsid w:val="00E40D45"/>
    <w:rsid w:val="00E41668"/>
    <w:rsid w:val="00E4643B"/>
    <w:rsid w:val="00E50A9A"/>
    <w:rsid w:val="00E51868"/>
    <w:rsid w:val="00E51BD1"/>
    <w:rsid w:val="00E52B8F"/>
    <w:rsid w:val="00E54583"/>
    <w:rsid w:val="00E579CF"/>
    <w:rsid w:val="00E61DA6"/>
    <w:rsid w:val="00E63FE8"/>
    <w:rsid w:val="00E81C01"/>
    <w:rsid w:val="00E82EAF"/>
    <w:rsid w:val="00E9186B"/>
    <w:rsid w:val="00E92B73"/>
    <w:rsid w:val="00E97412"/>
    <w:rsid w:val="00EA1A4D"/>
    <w:rsid w:val="00ED1B93"/>
    <w:rsid w:val="00ED691C"/>
    <w:rsid w:val="00EE1024"/>
    <w:rsid w:val="00EE3505"/>
    <w:rsid w:val="00EE5526"/>
    <w:rsid w:val="00F00F8B"/>
    <w:rsid w:val="00F04761"/>
    <w:rsid w:val="00F0750B"/>
    <w:rsid w:val="00F07DAF"/>
    <w:rsid w:val="00F07DE5"/>
    <w:rsid w:val="00F10362"/>
    <w:rsid w:val="00F137A5"/>
    <w:rsid w:val="00F20653"/>
    <w:rsid w:val="00F20BFA"/>
    <w:rsid w:val="00F23F95"/>
    <w:rsid w:val="00F243B5"/>
    <w:rsid w:val="00F308D8"/>
    <w:rsid w:val="00F328CB"/>
    <w:rsid w:val="00F349B5"/>
    <w:rsid w:val="00F35D58"/>
    <w:rsid w:val="00F373A7"/>
    <w:rsid w:val="00F37F53"/>
    <w:rsid w:val="00F415E7"/>
    <w:rsid w:val="00F55F29"/>
    <w:rsid w:val="00F63E6B"/>
    <w:rsid w:val="00F939DC"/>
    <w:rsid w:val="00F93DC9"/>
    <w:rsid w:val="00F95145"/>
    <w:rsid w:val="00F977A4"/>
    <w:rsid w:val="00FA4AED"/>
    <w:rsid w:val="00FB0F54"/>
    <w:rsid w:val="00FC228D"/>
    <w:rsid w:val="00FC4CAA"/>
    <w:rsid w:val="00FC62C6"/>
    <w:rsid w:val="00FC6CBB"/>
    <w:rsid w:val="00FD0C7C"/>
    <w:rsid w:val="00FD4EE1"/>
    <w:rsid w:val="00FD5B7E"/>
    <w:rsid w:val="00FE273C"/>
    <w:rsid w:val="00FE2E32"/>
    <w:rsid w:val="00FE52DD"/>
    <w:rsid w:val="00FF0275"/>
    <w:rsid w:val="00FF1546"/>
    <w:rsid w:val="00FF15E1"/>
    <w:rsid w:val="00FF5765"/>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3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0"/>
    <w:rPr>
      <w:rFonts w:ascii="Calibri" w:eastAsia="Calibri" w:hAnsi="Calibri" w:cs="Times New Roman"/>
      <w:lang w:val="es-CR"/>
    </w:rPr>
  </w:style>
  <w:style w:type="paragraph" w:styleId="Heading1">
    <w:name w:val="heading 1"/>
    <w:basedOn w:val="ListParagraph"/>
    <w:next w:val="Normal"/>
    <w:link w:val="Heading1Char"/>
    <w:uiPriority w:val="9"/>
    <w:qFormat/>
    <w:rsid w:val="000216D0"/>
    <w:pPr>
      <w:spacing w:after="0" w:line="240" w:lineRule="auto"/>
      <w:contextualSpacing w:val="0"/>
      <w:outlineLvl w:val="0"/>
    </w:pPr>
    <w:rPr>
      <w:rFonts w:ascii="Verdana" w:eastAsia="Times" w:hAnsi="Verdana"/>
      <w:b/>
      <w:i/>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6D0"/>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locked/>
    <w:rsid w:val="000216D0"/>
    <w:rPr>
      <w:lang w:val="es-C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0216D0"/>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0216D0"/>
    <w:rPr>
      <w:rFonts w:ascii="Calibri" w:eastAsia="Calibri" w:hAnsi="Calibri" w:cs="Times New Roman"/>
      <w:sz w:val="20"/>
      <w:szCs w:val="20"/>
      <w:lang w:val="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0216D0"/>
    <w:rPr>
      <w:vertAlign w:val="superscript"/>
    </w:rPr>
  </w:style>
  <w:style w:type="paragraph" w:styleId="ListParagraph">
    <w:name w:val="List Paragraph"/>
    <w:aliases w:val="Footnote,Párrafo de lista1"/>
    <w:basedOn w:val="Normal"/>
    <w:link w:val="ListParagraphChar"/>
    <w:uiPriority w:val="34"/>
    <w:qFormat/>
    <w:rsid w:val="000216D0"/>
    <w:pPr>
      <w:ind w:left="720"/>
      <w:contextualSpacing/>
    </w:pPr>
  </w:style>
  <w:style w:type="character" w:customStyle="1" w:styleId="ListParagraphChar">
    <w:name w:val="List Paragraph Char"/>
    <w:aliases w:val="Footnote Char,Párrafo de lista1 Char"/>
    <w:link w:val="ListParagraph"/>
    <w:uiPriority w:val="34"/>
    <w:locked/>
    <w:rsid w:val="000216D0"/>
    <w:rPr>
      <w:rFonts w:ascii="Calibri" w:eastAsia="Calibri" w:hAnsi="Calibri" w:cs="Times New Roman"/>
      <w:lang w:val="es-CR"/>
    </w:rPr>
  </w:style>
  <w:style w:type="character" w:customStyle="1" w:styleId="Heading1Char">
    <w:name w:val="Heading 1 Char"/>
    <w:basedOn w:val="DefaultParagraphFont"/>
    <w:link w:val="Heading1"/>
    <w:uiPriority w:val="9"/>
    <w:rsid w:val="000216D0"/>
    <w:rPr>
      <w:rFonts w:ascii="Verdana" w:eastAsia="Times" w:hAnsi="Verdana" w:cs="Times New Roman"/>
      <w:b/>
      <w:i/>
      <w:sz w:val="20"/>
      <w:szCs w:val="20"/>
      <w:lang w:val="es-ES_tradnl"/>
    </w:rPr>
  </w:style>
  <w:style w:type="character" w:styleId="FollowedHyperlink">
    <w:name w:val="FollowedHyperlink"/>
    <w:basedOn w:val="DefaultParagraphFont"/>
    <w:uiPriority w:val="99"/>
    <w:semiHidden/>
    <w:unhideWhenUsed/>
    <w:rsid w:val="00DA23AB"/>
    <w:rPr>
      <w:color w:val="800080" w:themeColor="followedHyperlink"/>
      <w:u w:val="single"/>
    </w:rPr>
  </w:style>
  <w:style w:type="character" w:styleId="CommentReference">
    <w:name w:val="annotation reference"/>
    <w:basedOn w:val="DefaultParagraphFont"/>
    <w:uiPriority w:val="99"/>
    <w:semiHidden/>
    <w:unhideWhenUsed/>
    <w:rsid w:val="00FD5B7E"/>
    <w:rPr>
      <w:sz w:val="16"/>
      <w:szCs w:val="16"/>
    </w:rPr>
  </w:style>
  <w:style w:type="paragraph" w:styleId="CommentText">
    <w:name w:val="annotation text"/>
    <w:basedOn w:val="Normal"/>
    <w:link w:val="CommentTextChar"/>
    <w:uiPriority w:val="99"/>
    <w:semiHidden/>
    <w:unhideWhenUsed/>
    <w:rsid w:val="00FD5B7E"/>
    <w:pPr>
      <w:spacing w:line="240" w:lineRule="auto"/>
    </w:pPr>
    <w:rPr>
      <w:sz w:val="20"/>
      <w:szCs w:val="20"/>
    </w:rPr>
  </w:style>
  <w:style w:type="character" w:customStyle="1" w:styleId="CommentTextChar">
    <w:name w:val="Comment Text Char"/>
    <w:basedOn w:val="DefaultParagraphFont"/>
    <w:link w:val="CommentText"/>
    <w:uiPriority w:val="99"/>
    <w:semiHidden/>
    <w:rsid w:val="00FD5B7E"/>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FD5B7E"/>
    <w:rPr>
      <w:b/>
      <w:bCs/>
    </w:rPr>
  </w:style>
  <w:style w:type="character" w:customStyle="1" w:styleId="CommentSubjectChar">
    <w:name w:val="Comment Subject Char"/>
    <w:basedOn w:val="CommentTextChar"/>
    <w:link w:val="CommentSubject"/>
    <w:uiPriority w:val="99"/>
    <w:semiHidden/>
    <w:rsid w:val="00FD5B7E"/>
    <w:rPr>
      <w:rFonts w:ascii="Calibri" w:eastAsia="Calibri" w:hAnsi="Calibri" w:cs="Times New Roman"/>
      <w:b/>
      <w:bCs/>
      <w:sz w:val="20"/>
      <w:szCs w:val="20"/>
      <w:lang w:val="es-CR"/>
    </w:rPr>
  </w:style>
  <w:style w:type="paragraph" w:styleId="BalloonText">
    <w:name w:val="Balloon Text"/>
    <w:basedOn w:val="Normal"/>
    <w:link w:val="BalloonTextChar"/>
    <w:uiPriority w:val="99"/>
    <w:semiHidden/>
    <w:unhideWhenUsed/>
    <w:rsid w:val="00FD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7E"/>
    <w:rPr>
      <w:rFonts w:ascii="Tahoma" w:eastAsia="Calibri" w:hAnsi="Tahoma" w:cs="Tahoma"/>
      <w:sz w:val="16"/>
      <w:szCs w:val="16"/>
      <w:lang w:val="es-CR"/>
    </w:rPr>
  </w:style>
  <w:style w:type="character" w:styleId="LineNumber">
    <w:name w:val="line number"/>
    <w:basedOn w:val="DefaultParagraphFont"/>
    <w:uiPriority w:val="99"/>
    <w:semiHidden/>
    <w:unhideWhenUsed/>
    <w:rsid w:val="00B63805"/>
  </w:style>
  <w:style w:type="paragraph" w:styleId="Header">
    <w:name w:val="header"/>
    <w:basedOn w:val="Normal"/>
    <w:link w:val="HeaderChar"/>
    <w:uiPriority w:val="99"/>
    <w:unhideWhenUsed/>
    <w:rsid w:val="00A1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39"/>
    <w:rPr>
      <w:rFonts w:ascii="Calibri" w:eastAsia="Calibri" w:hAnsi="Calibri" w:cs="Times New Roman"/>
      <w:lang w:val="es-CR"/>
    </w:rPr>
  </w:style>
  <w:style w:type="paragraph" w:styleId="Footer">
    <w:name w:val="footer"/>
    <w:basedOn w:val="Normal"/>
    <w:link w:val="FooterChar"/>
    <w:uiPriority w:val="99"/>
    <w:unhideWhenUsed/>
    <w:rsid w:val="00A1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39"/>
    <w:rPr>
      <w:rFonts w:ascii="Calibri" w:eastAsia="Calibri" w:hAnsi="Calibri" w:cs="Times New Roman"/>
      <w:lang w:val="es-CR"/>
    </w:rPr>
  </w:style>
  <w:style w:type="character" w:styleId="Strong">
    <w:name w:val="Strong"/>
    <w:uiPriority w:val="22"/>
    <w:qFormat/>
    <w:rsid w:val="0084765F"/>
    <w:rPr>
      <w:b/>
      <w:bCs/>
    </w:rPr>
  </w:style>
  <w:style w:type="paragraph" w:styleId="BodyText">
    <w:name w:val="Body Text"/>
    <w:basedOn w:val="Normal"/>
    <w:link w:val="BodyTextChar"/>
    <w:uiPriority w:val="99"/>
    <w:semiHidden/>
    <w:unhideWhenUsed/>
    <w:rsid w:val="00DB385A"/>
    <w:pPr>
      <w:spacing w:after="120" w:line="240" w:lineRule="auto"/>
    </w:pPr>
    <w:rPr>
      <w:rFonts w:ascii="Times" w:eastAsia="Times" w:hAnsi="Times"/>
      <w:sz w:val="24"/>
      <w:szCs w:val="20"/>
      <w:lang w:val="es-ES_tradnl"/>
    </w:rPr>
  </w:style>
  <w:style w:type="character" w:customStyle="1" w:styleId="BodyTextChar">
    <w:name w:val="Body Text Char"/>
    <w:basedOn w:val="DefaultParagraphFont"/>
    <w:link w:val="BodyText"/>
    <w:uiPriority w:val="99"/>
    <w:semiHidden/>
    <w:rsid w:val="00DB385A"/>
    <w:rPr>
      <w:rFonts w:ascii="Times" w:eastAsia="Times" w:hAnsi="Times" w:cs="Times New Roman"/>
      <w:sz w:val="24"/>
      <w:szCs w:val="20"/>
      <w:lang w:val="es-ES_tradnl"/>
    </w:rPr>
  </w:style>
  <w:style w:type="paragraph" w:customStyle="1" w:styleId="Default">
    <w:name w:val="Default"/>
    <w:rsid w:val="00AA53BA"/>
    <w:pPr>
      <w:autoSpaceDE w:val="0"/>
      <w:autoSpaceDN w:val="0"/>
      <w:adjustRightInd w:val="0"/>
      <w:spacing w:after="0" w:line="240" w:lineRule="auto"/>
    </w:pPr>
    <w:rPr>
      <w:rFonts w:ascii="Verdana" w:hAnsi="Verdana" w:cs="Verdana"/>
      <w:color w:val="000000"/>
      <w:sz w:val="24"/>
      <w:szCs w:val="24"/>
      <w:lang w:val="es-CR"/>
    </w:rPr>
  </w:style>
  <w:style w:type="paragraph" w:styleId="Revision">
    <w:name w:val="Revision"/>
    <w:hidden/>
    <w:uiPriority w:val="99"/>
    <w:semiHidden/>
    <w:rsid w:val="005E6CB8"/>
    <w:pPr>
      <w:spacing w:after="0" w:line="240" w:lineRule="auto"/>
    </w:pPr>
    <w:rPr>
      <w:rFonts w:ascii="Calibri" w:eastAsia="Calibri" w:hAnsi="Calibri" w:cs="Times New Roman"/>
      <w:lang w:val="es-CR"/>
    </w:rPr>
  </w:style>
  <w:style w:type="paragraph" w:styleId="Title">
    <w:name w:val="Title"/>
    <w:basedOn w:val="Heading1"/>
    <w:next w:val="Normal"/>
    <w:link w:val="TitleChar"/>
    <w:uiPriority w:val="10"/>
    <w:qFormat/>
    <w:rsid w:val="00C03FC3"/>
    <w:pPr>
      <w:ind w:hanging="360"/>
    </w:pPr>
    <w:rPr>
      <w:b w:val="0"/>
      <w:i w:val="0"/>
    </w:rPr>
  </w:style>
  <w:style w:type="character" w:customStyle="1" w:styleId="TitleChar">
    <w:name w:val="Title Char"/>
    <w:basedOn w:val="DefaultParagraphFont"/>
    <w:link w:val="Title"/>
    <w:uiPriority w:val="10"/>
    <w:rsid w:val="00C03FC3"/>
    <w:rPr>
      <w:rFonts w:ascii="Verdana" w:eastAsia="Times" w:hAnsi="Verdana" w:cs="Times New Roman"/>
      <w:sz w:val="20"/>
      <w:szCs w:val="20"/>
      <w:lang w:val="es-ES_tradnl"/>
    </w:rPr>
  </w:style>
  <w:style w:type="paragraph" w:styleId="TOCHeading">
    <w:name w:val="TOC Heading"/>
    <w:basedOn w:val="Heading1"/>
    <w:next w:val="Normal"/>
    <w:uiPriority w:val="39"/>
    <w:semiHidden/>
    <w:unhideWhenUsed/>
    <w:qFormat/>
    <w:rsid w:val="00C03FC3"/>
    <w:pPr>
      <w:keepNext/>
      <w:keepLines/>
      <w:spacing w:before="480" w:line="276" w:lineRule="auto"/>
      <w:ind w:left="0"/>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492FC5"/>
    <w:pPr>
      <w:numPr>
        <w:ilvl w:val="1"/>
        <w:numId w:val="15"/>
      </w:numPr>
      <w:tabs>
        <w:tab w:val="left" w:pos="0"/>
        <w:tab w:val="right" w:leader="dot" w:pos="935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0"/>
    <w:rPr>
      <w:rFonts w:ascii="Calibri" w:eastAsia="Calibri" w:hAnsi="Calibri" w:cs="Times New Roman"/>
      <w:lang w:val="es-CR"/>
    </w:rPr>
  </w:style>
  <w:style w:type="paragraph" w:styleId="Heading1">
    <w:name w:val="heading 1"/>
    <w:basedOn w:val="ListParagraph"/>
    <w:next w:val="Normal"/>
    <w:link w:val="Heading1Char"/>
    <w:uiPriority w:val="9"/>
    <w:qFormat/>
    <w:rsid w:val="000216D0"/>
    <w:pPr>
      <w:spacing w:after="0" w:line="240" w:lineRule="auto"/>
      <w:contextualSpacing w:val="0"/>
      <w:outlineLvl w:val="0"/>
    </w:pPr>
    <w:rPr>
      <w:rFonts w:ascii="Verdana" w:eastAsia="Times" w:hAnsi="Verdana"/>
      <w:b/>
      <w:i/>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6D0"/>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locked/>
    <w:rsid w:val="000216D0"/>
    <w:rPr>
      <w:lang w:val="es-C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0216D0"/>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0216D0"/>
    <w:rPr>
      <w:rFonts w:ascii="Calibri" w:eastAsia="Calibri" w:hAnsi="Calibri" w:cs="Times New Roman"/>
      <w:sz w:val="20"/>
      <w:szCs w:val="20"/>
      <w:lang w:val="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0216D0"/>
    <w:rPr>
      <w:vertAlign w:val="superscript"/>
    </w:rPr>
  </w:style>
  <w:style w:type="paragraph" w:styleId="ListParagraph">
    <w:name w:val="List Paragraph"/>
    <w:aliases w:val="Footnote,Párrafo de lista1"/>
    <w:basedOn w:val="Normal"/>
    <w:link w:val="ListParagraphChar"/>
    <w:uiPriority w:val="34"/>
    <w:qFormat/>
    <w:rsid w:val="000216D0"/>
    <w:pPr>
      <w:ind w:left="720"/>
      <w:contextualSpacing/>
    </w:pPr>
  </w:style>
  <w:style w:type="character" w:customStyle="1" w:styleId="ListParagraphChar">
    <w:name w:val="List Paragraph Char"/>
    <w:aliases w:val="Footnote Char,Párrafo de lista1 Char"/>
    <w:link w:val="ListParagraph"/>
    <w:uiPriority w:val="34"/>
    <w:locked/>
    <w:rsid w:val="000216D0"/>
    <w:rPr>
      <w:rFonts w:ascii="Calibri" w:eastAsia="Calibri" w:hAnsi="Calibri" w:cs="Times New Roman"/>
      <w:lang w:val="es-CR"/>
    </w:rPr>
  </w:style>
  <w:style w:type="character" w:customStyle="1" w:styleId="Heading1Char">
    <w:name w:val="Heading 1 Char"/>
    <w:basedOn w:val="DefaultParagraphFont"/>
    <w:link w:val="Heading1"/>
    <w:uiPriority w:val="9"/>
    <w:rsid w:val="000216D0"/>
    <w:rPr>
      <w:rFonts w:ascii="Verdana" w:eastAsia="Times" w:hAnsi="Verdana" w:cs="Times New Roman"/>
      <w:b/>
      <w:i/>
      <w:sz w:val="20"/>
      <w:szCs w:val="20"/>
      <w:lang w:val="es-ES_tradnl"/>
    </w:rPr>
  </w:style>
  <w:style w:type="character" w:styleId="FollowedHyperlink">
    <w:name w:val="FollowedHyperlink"/>
    <w:basedOn w:val="DefaultParagraphFont"/>
    <w:uiPriority w:val="99"/>
    <w:semiHidden/>
    <w:unhideWhenUsed/>
    <w:rsid w:val="00DA23AB"/>
    <w:rPr>
      <w:color w:val="800080" w:themeColor="followedHyperlink"/>
      <w:u w:val="single"/>
    </w:rPr>
  </w:style>
  <w:style w:type="character" w:styleId="CommentReference">
    <w:name w:val="annotation reference"/>
    <w:basedOn w:val="DefaultParagraphFont"/>
    <w:uiPriority w:val="99"/>
    <w:semiHidden/>
    <w:unhideWhenUsed/>
    <w:rsid w:val="00FD5B7E"/>
    <w:rPr>
      <w:sz w:val="16"/>
      <w:szCs w:val="16"/>
    </w:rPr>
  </w:style>
  <w:style w:type="paragraph" w:styleId="CommentText">
    <w:name w:val="annotation text"/>
    <w:basedOn w:val="Normal"/>
    <w:link w:val="CommentTextChar"/>
    <w:uiPriority w:val="99"/>
    <w:semiHidden/>
    <w:unhideWhenUsed/>
    <w:rsid w:val="00FD5B7E"/>
    <w:pPr>
      <w:spacing w:line="240" w:lineRule="auto"/>
    </w:pPr>
    <w:rPr>
      <w:sz w:val="20"/>
      <w:szCs w:val="20"/>
    </w:rPr>
  </w:style>
  <w:style w:type="character" w:customStyle="1" w:styleId="CommentTextChar">
    <w:name w:val="Comment Text Char"/>
    <w:basedOn w:val="DefaultParagraphFont"/>
    <w:link w:val="CommentText"/>
    <w:uiPriority w:val="99"/>
    <w:semiHidden/>
    <w:rsid w:val="00FD5B7E"/>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FD5B7E"/>
    <w:rPr>
      <w:b/>
      <w:bCs/>
    </w:rPr>
  </w:style>
  <w:style w:type="character" w:customStyle="1" w:styleId="CommentSubjectChar">
    <w:name w:val="Comment Subject Char"/>
    <w:basedOn w:val="CommentTextChar"/>
    <w:link w:val="CommentSubject"/>
    <w:uiPriority w:val="99"/>
    <w:semiHidden/>
    <w:rsid w:val="00FD5B7E"/>
    <w:rPr>
      <w:rFonts w:ascii="Calibri" w:eastAsia="Calibri" w:hAnsi="Calibri" w:cs="Times New Roman"/>
      <w:b/>
      <w:bCs/>
      <w:sz w:val="20"/>
      <w:szCs w:val="20"/>
      <w:lang w:val="es-CR"/>
    </w:rPr>
  </w:style>
  <w:style w:type="paragraph" w:styleId="BalloonText">
    <w:name w:val="Balloon Text"/>
    <w:basedOn w:val="Normal"/>
    <w:link w:val="BalloonTextChar"/>
    <w:uiPriority w:val="99"/>
    <w:semiHidden/>
    <w:unhideWhenUsed/>
    <w:rsid w:val="00FD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7E"/>
    <w:rPr>
      <w:rFonts w:ascii="Tahoma" w:eastAsia="Calibri" w:hAnsi="Tahoma" w:cs="Tahoma"/>
      <w:sz w:val="16"/>
      <w:szCs w:val="16"/>
      <w:lang w:val="es-CR"/>
    </w:rPr>
  </w:style>
  <w:style w:type="character" w:styleId="LineNumber">
    <w:name w:val="line number"/>
    <w:basedOn w:val="DefaultParagraphFont"/>
    <w:uiPriority w:val="99"/>
    <w:semiHidden/>
    <w:unhideWhenUsed/>
    <w:rsid w:val="00B63805"/>
  </w:style>
  <w:style w:type="paragraph" w:styleId="Header">
    <w:name w:val="header"/>
    <w:basedOn w:val="Normal"/>
    <w:link w:val="HeaderChar"/>
    <w:uiPriority w:val="99"/>
    <w:unhideWhenUsed/>
    <w:rsid w:val="00A1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39"/>
    <w:rPr>
      <w:rFonts w:ascii="Calibri" w:eastAsia="Calibri" w:hAnsi="Calibri" w:cs="Times New Roman"/>
      <w:lang w:val="es-CR"/>
    </w:rPr>
  </w:style>
  <w:style w:type="paragraph" w:styleId="Footer">
    <w:name w:val="footer"/>
    <w:basedOn w:val="Normal"/>
    <w:link w:val="FooterChar"/>
    <w:uiPriority w:val="99"/>
    <w:unhideWhenUsed/>
    <w:rsid w:val="00A1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39"/>
    <w:rPr>
      <w:rFonts w:ascii="Calibri" w:eastAsia="Calibri" w:hAnsi="Calibri" w:cs="Times New Roman"/>
      <w:lang w:val="es-CR"/>
    </w:rPr>
  </w:style>
  <w:style w:type="character" w:styleId="Strong">
    <w:name w:val="Strong"/>
    <w:uiPriority w:val="22"/>
    <w:qFormat/>
    <w:rsid w:val="0084765F"/>
    <w:rPr>
      <w:b/>
      <w:bCs/>
    </w:rPr>
  </w:style>
  <w:style w:type="paragraph" w:styleId="BodyText">
    <w:name w:val="Body Text"/>
    <w:basedOn w:val="Normal"/>
    <w:link w:val="BodyTextChar"/>
    <w:uiPriority w:val="99"/>
    <w:semiHidden/>
    <w:unhideWhenUsed/>
    <w:rsid w:val="00DB385A"/>
    <w:pPr>
      <w:spacing w:after="120" w:line="240" w:lineRule="auto"/>
    </w:pPr>
    <w:rPr>
      <w:rFonts w:ascii="Times" w:eastAsia="Times" w:hAnsi="Times"/>
      <w:sz w:val="24"/>
      <w:szCs w:val="20"/>
      <w:lang w:val="es-ES_tradnl"/>
    </w:rPr>
  </w:style>
  <w:style w:type="character" w:customStyle="1" w:styleId="BodyTextChar">
    <w:name w:val="Body Text Char"/>
    <w:basedOn w:val="DefaultParagraphFont"/>
    <w:link w:val="BodyText"/>
    <w:uiPriority w:val="99"/>
    <w:semiHidden/>
    <w:rsid w:val="00DB385A"/>
    <w:rPr>
      <w:rFonts w:ascii="Times" w:eastAsia="Times" w:hAnsi="Times" w:cs="Times New Roman"/>
      <w:sz w:val="24"/>
      <w:szCs w:val="20"/>
      <w:lang w:val="es-ES_tradnl"/>
    </w:rPr>
  </w:style>
  <w:style w:type="paragraph" w:customStyle="1" w:styleId="Default">
    <w:name w:val="Default"/>
    <w:rsid w:val="00AA53BA"/>
    <w:pPr>
      <w:autoSpaceDE w:val="0"/>
      <w:autoSpaceDN w:val="0"/>
      <w:adjustRightInd w:val="0"/>
      <w:spacing w:after="0" w:line="240" w:lineRule="auto"/>
    </w:pPr>
    <w:rPr>
      <w:rFonts w:ascii="Verdana" w:hAnsi="Verdana" w:cs="Verdana"/>
      <w:color w:val="000000"/>
      <w:sz w:val="24"/>
      <w:szCs w:val="24"/>
      <w:lang w:val="es-CR"/>
    </w:rPr>
  </w:style>
  <w:style w:type="paragraph" w:styleId="Revision">
    <w:name w:val="Revision"/>
    <w:hidden/>
    <w:uiPriority w:val="99"/>
    <w:semiHidden/>
    <w:rsid w:val="005E6CB8"/>
    <w:pPr>
      <w:spacing w:after="0" w:line="240" w:lineRule="auto"/>
    </w:pPr>
    <w:rPr>
      <w:rFonts w:ascii="Calibri" w:eastAsia="Calibri" w:hAnsi="Calibri" w:cs="Times New Roman"/>
      <w:lang w:val="es-CR"/>
    </w:rPr>
  </w:style>
  <w:style w:type="paragraph" w:styleId="Title">
    <w:name w:val="Title"/>
    <w:basedOn w:val="Heading1"/>
    <w:next w:val="Normal"/>
    <w:link w:val="TitleChar"/>
    <w:uiPriority w:val="10"/>
    <w:qFormat/>
    <w:rsid w:val="00C03FC3"/>
    <w:pPr>
      <w:ind w:hanging="360"/>
    </w:pPr>
    <w:rPr>
      <w:b w:val="0"/>
      <w:i w:val="0"/>
    </w:rPr>
  </w:style>
  <w:style w:type="character" w:customStyle="1" w:styleId="TitleChar">
    <w:name w:val="Title Char"/>
    <w:basedOn w:val="DefaultParagraphFont"/>
    <w:link w:val="Title"/>
    <w:uiPriority w:val="10"/>
    <w:rsid w:val="00C03FC3"/>
    <w:rPr>
      <w:rFonts w:ascii="Verdana" w:eastAsia="Times" w:hAnsi="Verdana" w:cs="Times New Roman"/>
      <w:sz w:val="20"/>
      <w:szCs w:val="20"/>
      <w:lang w:val="es-ES_tradnl"/>
    </w:rPr>
  </w:style>
  <w:style w:type="paragraph" w:styleId="TOCHeading">
    <w:name w:val="TOC Heading"/>
    <w:basedOn w:val="Heading1"/>
    <w:next w:val="Normal"/>
    <w:uiPriority w:val="39"/>
    <w:semiHidden/>
    <w:unhideWhenUsed/>
    <w:qFormat/>
    <w:rsid w:val="00C03FC3"/>
    <w:pPr>
      <w:keepNext/>
      <w:keepLines/>
      <w:spacing w:before="480" w:line="276" w:lineRule="auto"/>
      <w:ind w:left="0"/>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492FC5"/>
    <w:pPr>
      <w:numPr>
        <w:ilvl w:val="1"/>
        <w:numId w:val="15"/>
      </w:numPr>
      <w:tabs>
        <w:tab w:val="left" w:pos="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1616">
      <w:bodyDiv w:val="1"/>
      <w:marLeft w:val="0"/>
      <w:marRight w:val="0"/>
      <w:marTop w:val="0"/>
      <w:marBottom w:val="0"/>
      <w:divBdr>
        <w:top w:val="none" w:sz="0" w:space="0" w:color="auto"/>
        <w:left w:val="none" w:sz="0" w:space="0" w:color="auto"/>
        <w:bottom w:val="none" w:sz="0" w:space="0" w:color="auto"/>
        <w:right w:val="none" w:sz="0" w:space="0" w:color="auto"/>
      </w:divBdr>
    </w:div>
    <w:div w:id="531267568">
      <w:bodyDiv w:val="1"/>
      <w:marLeft w:val="0"/>
      <w:marRight w:val="0"/>
      <w:marTop w:val="0"/>
      <w:marBottom w:val="0"/>
      <w:divBdr>
        <w:top w:val="none" w:sz="0" w:space="0" w:color="auto"/>
        <w:left w:val="none" w:sz="0" w:space="0" w:color="auto"/>
        <w:bottom w:val="none" w:sz="0" w:space="0" w:color="auto"/>
        <w:right w:val="none" w:sz="0" w:space="0" w:color="auto"/>
      </w:divBdr>
    </w:div>
    <w:div w:id="11049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orteidh.or.cr/docs/casos/articulos/seriec_273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698C-18FC-405A-A1C9-F8298D00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4547</Words>
  <Characters>25014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2016-09-21T16:41:00Z</cp:lastPrinted>
  <dcterms:created xsi:type="dcterms:W3CDTF">2016-11-08T20:58:00Z</dcterms:created>
  <dcterms:modified xsi:type="dcterms:W3CDTF">2016-11-08T20:58:00Z</dcterms:modified>
</cp:coreProperties>
</file>