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5058" w14:textId="77777777" w:rsidR="008C2E26" w:rsidRDefault="008C2E26" w:rsidP="00A4635E">
      <w:pPr>
        <w:tabs>
          <w:tab w:val="left" w:pos="567"/>
        </w:tabs>
        <w:spacing w:after="0" w:line="240" w:lineRule="auto"/>
        <w:ind w:right="4"/>
        <w:jc w:val="center"/>
        <w:rPr>
          <w:rFonts w:ascii="Verdana" w:hAnsi="Verdana"/>
          <w:b/>
          <w:smallCaps/>
          <w:sz w:val="20"/>
          <w:szCs w:val="20"/>
        </w:rPr>
      </w:pPr>
    </w:p>
    <w:p w14:paraId="64B4026E" w14:textId="77777777" w:rsidR="00062E66" w:rsidRDefault="00062E66" w:rsidP="00A4635E">
      <w:pPr>
        <w:tabs>
          <w:tab w:val="left" w:pos="567"/>
        </w:tabs>
        <w:spacing w:after="0" w:line="240" w:lineRule="auto"/>
        <w:ind w:right="4"/>
        <w:jc w:val="center"/>
        <w:rPr>
          <w:rFonts w:ascii="Verdana" w:hAnsi="Verdana"/>
          <w:b/>
          <w:smallCaps/>
          <w:sz w:val="20"/>
          <w:szCs w:val="20"/>
        </w:rPr>
      </w:pPr>
    </w:p>
    <w:p w14:paraId="68CE1438" w14:textId="77777777" w:rsidR="00062E66" w:rsidRDefault="00062E66" w:rsidP="00A4635E">
      <w:pPr>
        <w:tabs>
          <w:tab w:val="left" w:pos="567"/>
        </w:tabs>
        <w:spacing w:after="0" w:line="240" w:lineRule="auto"/>
        <w:ind w:right="4"/>
        <w:jc w:val="center"/>
        <w:rPr>
          <w:rFonts w:ascii="Verdana" w:hAnsi="Verdana"/>
          <w:b/>
          <w:smallCaps/>
          <w:sz w:val="20"/>
          <w:szCs w:val="20"/>
        </w:rPr>
      </w:pPr>
    </w:p>
    <w:p w14:paraId="44EAA3E7" w14:textId="77777777" w:rsidR="0061188E" w:rsidRDefault="0061188E" w:rsidP="00A4635E">
      <w:pPr>
        <w:tabs>
          <w:tab w:val="left" w:pos="567"/>
        </w:tabs>
        <w:spacing w:after="0" w:line="240" w:lineRule="auto"/>
        <w:ind w:right="4"/>
        <w:jc w:val="center"/>
        <w:rPr>
          <w:rFonts w:ascii="Verdana" w:hAnsi="Verdana"/>
          <w:b/>
          <w:smallCaps/>
          <w:sz w:val="20"/>
          <w:szCs w:val="20"/>
        </w:rPr>
      </w:pPr>
    </w:p>
    <w:p w14:paraId="789E9C8C" w14:textId="77777777" w:rsidR="00062E66" w:rsidRDefault="00062E66" w:rsidP="00A4635E">
      <w:pPr>
        <w:tabs>
          <w:tab w:val="left" w:pos="567"/>
        </w:tabs>
        <w:spacing w:after="0" w:line="240" w:lineRule="auto"/>
        <w:ind w:right="4"/>
        <w:jc w:val="center"/>
        <w:rPr>
          <w:rFonts w:ascii="Verdana" w:hAnsi="Verdana"/>
          <w:b/>
          <w:smallCaps/>
          <w:sz w:val="20"/>
          <w:szCs w:val="20"/>
        </w:rPr>
      </w:pPr>
    </w:p>
    <w:p w14:paraId="77E89992" w14:textId="77777777" w:rsidR="00404F16" w:rsidRDefault="00404F16" w:rsidP="00A4635E">
      <w:pPr>
        <w:tabs>
          <w:tab w:val="left" w:pos="567"/>
        </w:tabs>
        <w:spacing w:after="0" w:line="240" w:lineRule="auto"/>
        <w:ind w:right="4"/>
        <w:jc w:val="center"/>
        <w:rPr>
          <w:rFonts w:ascii="Verdana" w:hAnsi="Verdana"/>
          <w:b/>
          <w:smallCaps/>
          <w:sz w:val="20"/>
          <w:szCs w:val="20"/>
        </w:rPr>
      </w:pPr>
    </w:p>
    <w:p w14:paraId="315879D7" w14:textId="77777777" w:rsidR="00404F16" w:rsidRPr="00DF7E56" w:rsidRDefault="00404F16" w:rsidP="00A4635E">
      <w:pPr>
        <w:tabs>
          <w:tab w:val="left" w:pos="567"/>
        </w:tabs>
        <w:spacing w:after="0" w:line="240" w:lineRule="auto"/>
        <w:ind w:right="4"/>
        <w:jc w:val="center"/>
        <w:rPr>
          <w:rFonts w:ascii="Verdana" w:hAnsi="Verdana"/>
          <w:b/>
          <w:smallCaps/>
          <w:sz w:val="20"/>
          <w:szCs w:val="20"/>
        </w:rPr>
      </w:pPr>
    </w:p>
    <w:p w14:paraId="2A46F410" w14:textId="77777777" w:rsidR="000216D0" w:rsidRDefault="000216D0" w:rsidP="00A4635E">
      <w:pPr>
        <w:tabs>
          <w:tab w:val="left" w:pos="567"/>
        </w:tabs>
        <w:spacing w:after="0" w:line="240" w:lineRule="auto"/>
        <w:ind w:right="4"/>
        <w:jc w:val="center"/>
        <w:rPr>
          <w:rFonts w:ascii="Verdana" w:hAnsi="Verdana"/>
          <w:b/>
          <w:smallCaps/>
          <w:sz w:val="20"/>
          <w:szCs w:val="20"/>
        </w:rPr>
      </w:pPr>
      <w:r w:rsidRPr="00DF7E56">
        <w:rPr>
          <w:rFonts w:ascii="Verdana" w:hAnsi="Verdana"/>
          <w:b/>
          <w:smallCaps/>
          <w:sz w:val="20"/>
          <w:szCs w:val="20"/>
        </w:rPr>
        <w:t xml:space="preserve">RESOLUCIÓN DE LA </w:t>
      </w:r>
    </w:p>
    <w:p w14:paraId="7F0DE42C" w14:textId="77777777" w:rsidR="00397530" w:rsidRPr="00DF7E56" w:rsidRDefault="00397530" w:rsidP="00A4635E">
      <w:pPr>
        <w:tabs>
          <w:tab w:val="left" w:pos="567"/>
        </w:tabs>
        <w:spacing w:after="0" w:line="240" w:lineRule="auto"/>
        <w:ind w:right="4"/>
        <w:jc w:val="center"/>
        <w:rPr>
          <w:rFonts w:ascii="Verdana" w:hAnsi="Verdana"/>
          <w:b/>
          <w:smallCaps/>
          <w:sz w:val="20"/>
          <w:szCs w:val="20"/>
        </w:rPr>
      </w:pPr>
    </w:p>
    <w:p w14:paraId="52F76E6F" w14:textId="77777777" w:rsidR="000216D0" w:rsidRPr="00404F16" w:rsidRDefault="000216D0" w:rsidP="00A4635E">
      <w:pPr>
        <w:tabs>
          <w:tab w:val="left" w:pos="567"/>
        </w:tabs>
        <w:spacing w:after="0" w:line="240" w:lineRule="auto"/>
        <w:ind w:right="4"/>
        <w:jc w:val="center"/>
        <w:rPr>
          <w:rFonts w:ascii="Verdana" w:hAnsi="Verdana"/>
          <w:b/>
          <w:smallCaps/>
          <w:sz w:val="20"/>
          <w:szCs w:val="20"/>
        </w:rPr>
      </w:pPr>
      <w:r w:rsidRPr="00DF7E56">
        <w:rPr>
          <w:rFonts w:ascii="Verdana" w:hAnsi="Verdana"/>
          <w:b/>
          <w:smallCaps/>
          <w:sz w:val="20"/>
          <w:szCs w:val="20"/>
        </w:rPr>
        <w:t xml:space="preserve">CORTE </w:t>
      </w:r>
      <w:r w:rsidRPr="00404F16">
        <w:rPr>
          <w:rFonts w:ascii="Verdana" w:hAnsi="Verdana"/>
          <w:b/>
          <w:smallCaps/>
          <w:sz w:val="20"/>
          <w:szCs w:val="20"/>
        </w:rPr>
        <w:t>INTERAMERICANA DE DERECHOS HUMANOS</w:t>
      </w:r>
      <w:r w:rsidR="005359A2" w:rsidRPr="00404F16">
        <w:rPr>
          <w:rStyle w:val="FootnoteReference"/>
          <w:rFonts w:ascii="Verdana" w:hAnsi="Verdana"/>
          <w:b/>
          <w:smallCaps/>
          <w:sz w:val="20"/>
          <w:szCs w:val="20"/>
        </w:rPr>
        <w:footnoteReference w:customMarkFollows="1" w:id="1"/>
        <w:t>*</w:t>
      </w:r>
    </w:p>
    <w:p w14:paraId="79547B4D" w14:textId="77777777" w:rsidR="00397530" w:rsidRPr="00404F16" w:rsidRDefault="00397530" w:rsidP="00A4635E">
      <w:pPr>
        <w:tabs>
          <w:tab w:val="left" w:pos="567"/>
        </w:tabs>
        <w:spacing w:after="0" w:line="240" w:lineRule="auto"/>
        <w:ind w:right="4"/>
        <w:jc w:val="center"/>
        <w:rPr>
          <w:rFonts w:ascii="Verdana" w:hAnsi="Verdana"/>
          <w:b/>
          <w:smallCaps/>
          <w:sz w:val="20"/>
          <w:szCs w:val="20"/>
        </w:rPr>
      </w:pPr>
    </w:p>
    <w:p w14:paraId="390B3727" w14:textId="77777777" w:rsidR="000216D0" w:rsidRPr="00404F16" w:rsidRDefault="003A7C60" w:rsidP="00A4635E">
      <w:pPr>
        <w:tabs>
          <w:tab w:val="left" w:pos="567"/>
        </w:tabs>
        <w:spacing w:after="0" w:line="240" w:lineRule="auto"/>
        <w:ind w:right="4"/>
        <w:jc w:val="center"/>
        <w:rPr>
          <w:rFonts w:ascii="Verdana" w:hAnsi="Verdana"/>
          <w:b/>
          <w:smallCaps/>
          <w:sz w:val="20"/>
          <w:szCs w:val="20"/>
        </w:rPr>
      </w:pPr>
      <w:r w:rsidRPr="00404F16">
        <w:rPr>
          <w:rFonts w:ascii="Verdana" w:hAnsi="Verdana"/>
          <w:b/>
          <w:smallCaps/>
          <w:sz w:val="20"/>
          <w:szCs w:val="20"/>
        </w:rPr>
        <w:t>27</w:t>
      </w:r>
      <w:r w:rsidR="00FE3797" w:rsidRPr="00404F16">
        <w:rPr>
          <w:rFonts w:ascii="Verdana" w:hAnsi="Verdana"/>
          <w:b/>
          <w:smallCaps/>
          <w:sz w:val="20"/>
          <w:szCs w:val="20"/>
        </w:rPr>
        <w:t xml:space="preserve"> </w:t>
      </w:r>
      <w:r w:rsidR="000216D0" w:rsidRPr="00404F16">
        <w:rPr>
          <w:rFonts w:ascii="Verdana" w:hAnsi="Verdana"/>
          <w:b/>
          <w:smallCaps/>
          <w:sz w:val="20"/>
          <w:szCs w:val="20"/>
        </w:rPr>
        <w:t xml:space="preserve">DE </w:t>
      </w:r>
      <w:r w:rsidRPr="00404F16">
        <w:rPr>
          <w:rFonts w:ascii="Verdana" w:hAnsi="Verdana"/>
          <w:b/>
          <w:smallCaps/>
          <w:sz w:val="20"/>
          <w:szCs w:val="20"/>
        </w:rPr>
        <w:t>NOVIEMBRE</w:t>
      </w:r>
      <w:r w:rsidR="00FE3797" w:rsidRPr="00404F16">
        <w:rPr>
          <w:rFonts w:ascii="Verdana" w:hAnsi="Verdana"/>
          <w:b/>
          <w:smallCaps/>
          <w:sz w:val="20"/>
          <w:szCs w:val="20"/>
        </w:rPr>
        <w:t xml:space="preserve"> DE 2018</w:t>
      </w:r>
    </w:p>
    <w:p w14:paraId="7E4FA882" w14:textId="77777777" w:rsidR="00A12C39" w:rsidRPr="00404F16" w:rsidRDefault="00A12C39" w:rsidP="00A4635E">
      <w:pPr>
        <w:tabs>
          <w:tab w:val="left" w:pos="567"/>
        </w:tabs>
        <w:spacing w:after="0" w:line="240" w:lineRule="auto"/>
        <w:ind w:right="4"/>
        <w:jc w:val="center"/>
        <w:rPr>
          <w:rFonts w:ascii="Verdana" w:hAnsi="Verdana"/>
          <w:b/>
          <w:smallCaps/>
          <w:sz w:val="20"/>
          <w:szCs w:val="20"/>
        </w:rPr>
      </w:pPr>
    </w:p>
    <w:p w14:paraId="51007F28" w14:textId="77777777" w:rsidR="000216D0" w:rsidRPr="00DF7E56" w:rsidRDefault="000216D0" w:rsidP="00A4635E">
      <w:pPr>
        <w:tabs>
          <w:tab w:val="left" w:pos="567"/>
        </w:tabs>
        <w:spacing w:after="0" w:line="240" w:lineRule="auto"/>
        <w:ind w:right="4"/>
        <w:jc w:val="center"/>
        <w:rPr>
          <w:rFonts w:ascii="Verdana" w:hAnsi="Verdana"/>
          <w:b/>
          <w:bCs/>
          <w:smallCaps/>
          <w:sz w:val="20"/>
          <w:szCs w:val="20"/>
          <w:lang w:val="es-ES_tradnl"/>
        </w:rPr>
      </w:pPr>
      <w:r w:rsidRPr="00404F16">
        <w:rPr>
          <w:rFonts w:ascii="Verdana" w:hAnsi="Verdana"/>
          <w:b/>
          <w:bCs/>
          <w:smallCaps/>
          <w:sz w:val="20"/>
          <w:szCs w:val="20"/>
          <w:lang w:val="es-ES_tradnl"/>
        </w:rPr>
        <w:t xml:space="preserve">CASO </w:t>
      </w:r>
      <w:r w:rsidR="00DA23AB" w:rsidRPr="00404F16">
        <w:rPr>
          <w:rFonts w:ascii="Verdana" w:hAnsi="Verdana"/>
          <w:b/>
          <w:sz w:val="20"/>
          <w:szCs w:val="20"/>
        </w:rPr>
        <w:t>GARCÍA CRUZ Y SÁNCHEZ SILVESTRE VS. ESTADOS UNIDOS MEXICANOS</w:t>
      </w:r>
    </w:p>
    <w:p w14:paraId="1B1B0C28" w14:textId="77777777" w:rsidR="000216D0" w:rsidRDefault="000216D0" w:rsidP="00A4635E">
      <w:pPr>
        <w:tabs>
          <w:tab w:val="left" w:pos="567"/>
        </w:tabs>
        <w:spacing w:after="0" w:line="240" w:lineRule="auto"/>
        <w:ind w:right="4"/>
        <w:jc w:val="center"/>
        <w:rPr>
          <w:rFonts w:ascii="Verdana" w:hAnsi="Verdana"/>
          <w:bCs/>
          <w:iCs/>
          <w:smallCaps/>
          <w:sz w:val="20"/>
          <w:szCs w:val="20"/>
          <w:lang w:val="es-ES_tradnl"/>
        </w:rPr>
      </w:pPr>
    </w:p>
    <w:p w14:paraId="77AE2036" w14:textId="77777777" w:rsidR="000216D0" w:rsidRDefault="000216D0" w:rsidP="00A4635E">
      <w:pPr>
        <w:tabs>
          <w:tab w:val="left" w:pos="567"/>
        </w:tabs>
        <w:spacing w:after="0" w:line="240" w:lineRule="auto"/>
        <w:ind w:right="4"/>
        <w:jc w:val="center"/>
        <w:rPr>
          <w:rFonts w:ascii="Verdana" w:hAnsi="Verdana"/>
          <w:b/>
          <w:smallCaps/>
          <w:sz w:val="20"/>
          <w:szCs w:val="20"/>
        </w:rPr>
      </w:pPr>
      <w:r w:rsidRPr="00DF7E56">
        <w:rPr>
          <w:rFonts w:ascii="Verdana" w:hAnsi="Verdana"/>
          <w:b/>
          <w:smallCaps/>
          <w:sz w:val="20"/>
          <w:szCs w:val="20"/>
        </w:rPr>
        <w:t>SUPERVISIÓN DE CUMPLIMIENTO DE SENTENCIA</w:t>
      </w:r>
    </w:p>
    <w:p w14:paraId="6E16B4F8" w14:textId="77777777" w:rsidR="00A12C39" w:rsidRPr="00DF7E56" w:rsidRDefault="00A12C39" w:rsidP="00A4635E">
      <w:pPr>
        <w:spacing w:after="0" w:line="240" w:lineRule="auto"/>
        <w:ind w:right="4"/>
        <w:jc w:val="both"/>
        <w:rPr>
          <w:rFonts w:ascii="Verdana" w:hAnsi="Verdana"/>
          <w:b/>
          <w:sz w:val="20"/>
          <w:szCs w:val="20"/>
        </w:rPr>
      </w:pPr>
    </w:p>
    <w:p w14:paraId="782989F2" w14:textId="77777777" w:rsidR="000216D0" w:rsidRPr="00DF7E56" w:rsidRDefault="000216D0" w:rsidP="00A4635E">
      <w:pPr>
        <w:spacing w:after="0" w:line="240" w:lineRule="auto"/>
        <w:ind w:right="4"/>
        <w:jc w:val="both"/>
        <w:rPr>
          <w:rFonts w:ascii="Verdana" w:hAnsi="Verdana"/>
          <w:b/>
          <w:sz w:val="20"/>
          <w:szCs w:val="20"/>
        </w:rPr>
      </w:pPr>
      <w:r w:rsidRPr="00DF7E56">
        <w:rPr>
          <w:rFonts w:ascii="Verdana" w:hAnsi="Verdana"/>
          <w:b/>
          <w:sz w:val="20"/>
          <w:szCs w:val="20"/>
        </w:rPr>
        <w:t>VISTO:</w:t>
      </w:r>
    </w:p>
    <w:p w14:paraId="6C9E12DB" w14:textId="77777777" w:rsidR="00BE1231" w:rsidRPr="00DF7E56" w:rsidRDefault="00BE1231" w:rsidP="00A4635E">
      <w:pPr>
        <w:spacing w:after="0" w:line="240" w:lineRule="auto"/>
        <w:ind w:right="4"/>
        <w:jc w:val="both"/>
        <w:rPr>
          <w:rFonts w:ascii="Verdana" w:hAnsi="Verdana"/>
          <w:b/>
          <w:sz w:val="20"/>
          <w:szCs w:val="20"/>
        </w:rPr>
      </w:pPr>
    </w:p>
    <w:p w14:paraId="074644D6" w14:textId="4D53BFE2" w:rsidR="001926E8" w:rsidRPr="0029297D" w:rsidRDefault="000216D0" w:rsidP="000A5110">
      <w:pPr>
        <w:pStyle w:val="ListParagraph"/>
        <w:numPr>
          <w:ilvl w:val="0"/>
          <w:numId w:val="3"/>
        </w:numPr>
        <w:spacing w:after="0" w:line="240" w:lineRule="auto"/>
        <w:ind w:left="0" w:firstLine="0"/>
        <w:jc w:val="both"/>
        <w:rPr>
          <w:rFonts w:ascii="Times" w:eastAsiaTheme="minorHAnsi" w:hAnsi="Times"/>
          <w:sz w:val="20"/>
          <w:szCs w:val="20"/>
        </w:rPr>
      </w:pPr>
      <w:r w:rsidRPr="00DF7E56">
        <w:rPr>
          <w:rFonts w:ascii="Verdana" w:hAnsi="Verdana"/>
          <w:sz w:val="20"/>
          <w:szCs w:val="20"/>
        </w:rPr>
        <w:t xml:space="preserve">La Sentencia de fondo, reparaciones y costas (en adelante “la Sentencia”) </w:t>
      </w:r>
      <w:r w:rsidR="0097331D" w:rsidRPr="00DF7E56">
        <w:rPr>
          <w:rFonts w:ascii="Verdana" w:hAnsi="Verdana"/>
          <w:sz w:val="20"/>
          <w:szCs w:val="20"/>
        </w:rPr>
        <w:t>emitida</w:t>
      </w:r>
      <w:r w:rsidRPr="00DF7E56">
        <w:rPr>
          <w:rFonts w:ascii="Verdana" w:hAnsi="Verdana"/>
          <w:sz w:val="20"/>
          <w:szCs w:val="20"/>
        </w:rPr>
        <w:t xml:space="preserve"> por la Corte Interamericana de Derechos Humanos (en adelante “la Corte Interamericana”, “</w:t>
      </w:r>
      <w:r w:rsidR="00DA23AB" w:rsidRPr="00DF7E56">
        <w:rPr>
          <w:rFonts w:ascii="Verdana" w:hAnsi="Verdana"/>
          <w:sz w:val="20"/>
          <w:szCs w:val="20"/>
        </w:rPr>
        <w:t>la Corte” o “el Tribunal”) el 26</w:t>
      </w:r>
      <w:r w:rsidRPr="00DF7E56">
        <w:rPr>
          <w:rFonts w:ascii="Verdana" w:hAnsi="Verdana"/>
          <w:sz w:val="20"/>
          <w:szCs w:val="20"/>
        </w:rPr>
        <w:t xml:space="preserve"> de </w:t>
      </w:r>
      <w:r w:rsidR="00DA23AB" w:rsidRPr="00DF7E56">
        <w:rPr>
          <w:rFonts w:ascii="Verdana" w:hAnsi="Verdana"/>
          <w:sz w:val="20"/>
          <w:szCs w:val="20"/>
        </w:rPr>
        <w:t>noviemb</w:t>
      </w:r>
      <w:r w:rsidRPr="00DF7E56">
        <w:rPr>
          <w:rFonts w:ascii="Verdana" w:hAnsi="Verdana"/>
          <w:sz w:val="20"/>
          <w:szCs w:val="20"/>
        </w:rPr>
        <w:t>re de 201</w:t>
      </w:r>
      <w:r w:rsidR="00DA23AB" w:rsidRPr="00DF7E56">
        <w:rPr>
          <w:rFonts w:ascii="Verdana" w:hAnsi="Verdana"/>
          <w:sz w:val="20"/>
          <w:szCs w:val="20"/>
        </w:rPr>
        <w:t>3</w:t>
      </w:r>
      <w:r w:rsidRPr="00DF7E56">
        <w:rPr>
          <w:rStyle w:val="FootnoteReference"/>
          <w:rFonts w:ascii="Verdana" w:hAnsi="Verdana"/>
          <w:sz w:val="20"/>
          <w:szCs w:val="20"/>
        </w:rPr>
        <w:footnoteReference w:id="2"/>
      </w:r>
      <w:r w:rsidRPr="00DF7E56">
        <w:rPr>
          <w:rFonts w:ascii="Verdana" w:hAnsi="Verdana"/>
          <w:sz w:val="20"/>
          <w:szCs w:val="20"/>
        </w:rPr>
        <w:t xml:space="preserve">. </w:t>
      </w:r>
      <w:r w:rsidR="00AA53BA" w:rsidRPr="00DF7E56">
        <w:rPr>
          <w:rFonts w:ascii="Verdana" w:hAnsi="Verdana"/>
          <w:sz w:val="20"/>
          <w:szCs w:val="20"/>
        </w:rPr>
        <w:t xml:space="preserve">La Corte </w:t>
      </w:r>
      <w:r w:rsidR="002731EA" w:rsidRPr="00DF7E56">
        <w:rPr>
          <w:rFonts w:ascii="Verdana" w:hAnsi="Verdana"/>
          <w:sz w:val="20"/>
          <w:szCs w:val="20"/>
        </w:rPr>
        <w:t>homologó</w:t>
      </w:r>
      <w:r w:rsidR="00AA53BA" w:rsidRPr="00DF7E56">
        <w:rPr>
          <w:rFonts w:ascii="Verdana" w:hAnsi="Verdana"/>
          <w:sz w:val="20"/>
          <w:szCs w:val="20"/>
        </w:rPr>
        <w:t xml:space="preserve"> el “Acuerdo de solución amistosa y reconocimiento</w:t>
      </w:r>
      <w:r w:rsidR="002731EA" w:rsidRPr="00DF7E56">
        <w:rPr>
          <w:rFonts w:ascii="Verdana" w:hAnsi="Verdana"/>
          <w:sz w:val="20"/>
          <w:szCs w:val="20"/>
        </w:rPr>
        <w:t xml:space="preserve"> de responsabilidad del Estado”</w:t>
      </w:r>
      <w:r w:rsidR="00AA53BA" w:rsidRPr="00DF7E56">
        <w:rPr>
          <w:rFonts w:ascii="Verdana" w:hAnsi="Verdana"/>
          <w:sz w:val="20"/>
          <w:szCs w:val="20"/>
        </w:rPr>
        <w:t xml:space="preserve"> suscrito por </w:t>
      </w:r>
      <w:r w:rsidR="002731EA" w:rsidRPr="00DF7E56">
        <w:rPr>
          <w:rFonts w:ascii="Verdana" w:hAnsi="Verdana"/>
          <w:sz w:val="20"/>
          <w:szCs w:val="20"/>
        </w:rPr>
        <w:t>las partes y aceptó</w:t>
      </w:r>
      <w:r w:rsidR="00AA53BA" w:rsidRPr="00DF7E56">
        <w:rPr>
          <w:rFonts w:ascii="Verdana" w:hAnsi="Verdana"/>
          <w:sz w:val="20"/>
          <w:szCs w:val="20"/>
        </w:rPr>
        <w:t xml:space="preserve"> el reconocimiento total de responsabilidad internacional efectuado por </w:t>
      </w:r>
      <w:r w:rsidR="002731EA" w:rsidRPr="00DF7E56">
        <w:rPr>
          <w:rFonts w:ascii="Verdana" w:hAnsi="Verdana"/>
          <w:color w:val="000000" w:themeColor="text1"/>
          <w:sz w:val="20"/>
          <w:szCs w:val="20"/>
        </w:rPr>
        <w:t>los Estados Unidos Mexicanos (en adelante “el Estado” o “México”)</w:t>
      </w:r>
      <w:r w:rsidR="00AA53BA" w:rsidRPr="00DF7E56">
        <w:rPr>
          <w:rFonts w:ascii="Verdana" w:hAnsi="Verdana"/>
          <w:sz w:val="20"/>
          <w:szCs w:val="20"/>
        </w:rPr>
        <w:t>.</w:t>
      </w:r>
      <w:r w:rsidR="004C4E8C" w:rsidRPr="00DF7E56">
        <w:rPr>
          <w:rFonts w:ascii="Verdana" w:hAnsi="Verdana"/>
          <w:sz w:val="20"/>
          <w:szCs w:val="20"/>
        </w:rPr>
        <w:t xml:space="preserve"> </w:t>
      </w:r>
      <w:r w:rsidR="002731EA" w:rsidRPr="00DF7E56">
        <w:rPr>
          <w:rFonts w:ascii="Verdana" w:hAnsi="Verdana"/>
          <w:sz w:val="20"/>
          <w:szCs w:val="20"/>
        </w:rPr>
        <w:t>En consecuencia, se</w:t>
      </w:r>
      <w:r w:rsidR="002731EA" w:rsidRPr="00DF7E56">
        <w:rPr>
          <w:rFonts w:ascii="Verdana" w:hAnsi="Verdana"/>
          <w:color w:val="000000" w:themeColor="text1"/>
          <w:sz w:val="20"/>
          <w:szCs w:val="20"/>
        </w:rPr>
        <w:t xml:space="preserve"> </w:t>
      </w:r>
      <w:r w:rsidRPr="00DF7E56">
        <w:rPr>
          <w:rFonts w:ascii="Verdana" w:hAnsi="Verdana"/>
          <w:color w:val="000000" w:themeColor="text1"/>
          <w:sz w:val="20"/>
          <w:szCs w:val="20"/>
        </w:rPr>
        <w:t xml:space="preserve">declaró </w:t>
      </w:r>
      <w:r w:rsidR="002731EA" w:rsidRPr="00DF7E56">
        <w:rPr>
          <w:rFonts w:ascii="Verdana" w:hAnsi="Verdana"/>
          <w:color w:val="000000" w:themeColor="text1"/>
          <w:sz w:val="20"/>
          <w:szCs w:val="20"/>
        </w:rPr>
        <w:t xml:space="preserve">a México </w:t>
      </w:r>
      <w:r w:rsidRPr="00DF7E56">
        <w:rPr>
          <w:rFonts w:ascii="Verdana" w:hAnsi="Verdana"/>
          <w:color w:val="000000" w:themeColor="text1"/>
          <w:sz w:val="20"/>
          <w:szCs w:val="20"/>
        </w:rPr>
        <w:t>responsable</w:t>
      </w:r>
      <w:r w:rsidR="002731EA" w:rsidRPr="00DF7E56">
        <w:rPr>
          <w:rFonts w:ascii="Verdana" w:hAnsi="Verdana"/>
          <w:color w:val="000000" w:themeColor="text1"/>
          <w:sz w:val="20"/>
          <w:szCs w:val="20"/>
        </w:rPr>
        <w:t>, entre otras violaciones,</w:t>
      </w:r>
      <w:r w:rsidRPr="00DF7E56">
        <w:rPr>
          <w:rFonts w:ascii="Verdana" w:hAnsi="Verdana"/>
          <w:color w:val="000000" w:themeColor="text1"/>
          <w:sz w:val="20"/>
          <w:szCs w:val="20"/>
        </w:rPr>
        <w:t xml:space="preserve"> </w:t>
      </w:r>
      <w:r w:rsidR="00DE4FDE" w:rsidRPr="00DF7E56">
        <w:rPr>
          <w:rFonts w:ascii="Verdana" w:hAnsi="Verdana"/>
          <w:color w:val="000000" w:themeColor="text1"/>
          <w:sz w:val="20"/>
          <w:szCs w:val="20"/>
        </w:rPr>
        <w:t>por</w:t>
      </w:r>
      <w:r w:rsidR="00027E62" w:rsidRPr="00DF7E56">
        <w:rPr>
          <w:rFonts w:ascii="Verdana" w:hAnsi="Verdana"/>
          <w:color w:val="000000" w:themeColor="text1"/>
          <w:sz w:val="20"/>
          <w:szCs w:val="20"/>
        </w:rPr>
        <w:t xml:space="preserve">: i) </w:t>
      </w:r>
      <w:r w:rsidR="00027E62" w:rsidRPr="00DF7E56">
        <w:rPr>
          <w:rFonts w:ascii="Verdana" w:hAnsi="Verdana"/>
          <w:color w:val="000000" w:themeColor="text1"/>
          <w:sz w:val="20"/>
          <w:szCs w:val="20"/>
          <w:lang w:val="es-ES"/>
        </w:rPr>
        <w:t>la tortura que sufrieron los señores Juan García Cruz y Santiago Sánchez Silvestre</w:t>
      </w:r>
      <w:r w:rsidR="00FC1C71">
        <w:rPr>
          <w:rStyle w:val="FootnoteReference"/>
          <w:rFonts w:ascii="Verdana" w:hAnsi="Verdana"/>
          <w:color w:val="000000" w:themeColor="text1"/>
          <w:sz w:val="20"/>
          <w:szCs w:val="20"/>
          <w:lang w:val="es-ES"/>
        </w:rPr>
        <w:footnoteReference w:id="3"/>
      </w:r>
      <w:r w:rsidR="00027E62" w:rsidRPr="00DF7E56">
        <w:rPr>
          <w:rFonts w:ascii="Verdana" w:hAnsi="Verdana"/>
          <w:color w:val="000000" w:themeColor="text1"/>
          <w:sz w:val="20"/>
          <w:szCs w:val="20"/>
          <w:lang w:val="es-ES"/>
        </w:rPr>
        <w:t xml:space="preserve"> </w:t>
      </w:r>
      <w:r w:rsidR="002731EA" w:rsidRPr="00DF7E56">
        <w:rPr>
          <w:rFonts w:ascii="Verdana" w:hAnsi="Verdana"/>
          <w:color w:val="000000" w:themeColor="text1"/>
          <w:sz w:val="20"/>
          <w:szCs w:val="20"/>
          <w:lang w:val="es-ES"/>
        </w:rPr>
        <w:t xml:space="preserve">durante su detención </w:t>
      </w:r>
      <w:r w:rsidR="00027E62" w:rsidRPr="00DF7E56">
        <w:rPr>
          <w:rFonts w:ascii="Verdana" w:hAnsi="Verdana"/>
          <w:color w:val="000000" w:themeColor="text1"/>
          <w:sz w:val="20"/>
          <w:szCs w:val="20"/>
          <w:lang w:val="es-ES"/>
        </w:rPr>
        <w:t>por la Policía Judicial del Distrito Federal en junio de 1997</w:t>
      </w:r>
      <w:r w:rsidR="002F4CA2" w:rsidRPr="00DF7E56">
        <w:rPr>
          <w:rFonts w:ascii="Verdana" w:hAnsi="Verdana"/>
          <w:color w:val="000000" w:themeColor="text1"/>
          <w:sz w:val="20"/>
          <w:szCs w:val="20"/>
          <w:lang w:val="es-ES"/>
        </w:rPr>
        <w:t>,</w:t>
      </w:r>
      <w:r w:rsidR="00027E62" w:rsidRPr="00DF7E56">
        <w:rPr>
          <w:rFonts w:ascii="Verdana" w:hAnsi="Verdana"/>
          <w:color w:val="000000" w:themeColor="text1"/>
          <w:sz w:val="20"/>
          <w:szCs w:val="20"/>
          <w:lang w:val="es-ES"/>
        </w:rPr>
        <w:t xml:space="preserve"> así como </w:t>
      </w:r>
      <w:r w:rsidR="00BE1231" w:rsidRPr="00DF7E56">
        <w:rPr>
          <w:rFonts w:ascii="Verdana" w:hAnsi="Verdana"/>
          <w:color w:val="000000" w:themeColor="text1"/>
          <w:sz w:val="20"/>
          <w:szCs w:val="20"/>
          <w:lang w:val="es-ES"/>
        </w:rPr>
        <w:t>por</w:t>
      </w:r>
      <w:r w:rsidR="00027E62" w:rsidRPr="00DF7E56">
        <w:rPr>
          <w:rFonts w:ascii="Verdana" w:hAnsi="Verdana"/>
          <w:color w:val="000000" w:themeColor="text1"/>
          <w:sz w:val="20"/>
          <w:szCs w:val="20"/>
          <w:lang w:val="es-ES"/>
        </w:rPr>
        <w:t xml:space="preserve"> la falta de investigación de tales hechos</w:t>
      </w:r>
      <w:r w:rsidR="00A75787">
        <w:rPr>
          <w:rFonts w:ascii="Verdana" w:hAnsi="Verdana"/>
          <w:color w:val="000000" w:themeColor="text1"/>
          <w:sz w:val="20"/>
          <w:szCs w:val="20"/>
          <w:lang w:val="es-ES"/>
        </w:rPr>
        <w:t>, y</w:t>
      </w:r>
      <w:r w:rsidR="00027E62" w:rsidRPr="00DF7E56">
        <w:rPr>
          <w:rFonts w:ascii="Verdana" w:hAnsi="Verdana"/>
          <w:color w:val="000000" w:themeColor="text1"/>
          <w:sz w:val="20"/>
          <w:szCs w:val="20"/>
          <w:lang w:val="es-ES"/>
        </w:rPr>
        <w:t xml:space="preserve"> ii) las declaraciones inculpatorias que fueron obligados a rendir ante el Ministerio Público</w:t>
      </w:r>
      <w:r w:rsidR="008552D3">
        <w:rPr>
          <w:rFonts w:ascii="Verdana" w:hAnsi="Verdana"/>
          <w:color w:val="000000" w:themeColor="text1"/>
          <w:sz w:val="20"/>
          <w:szCs w:val="20"/>
          <w:lang w:val="es-ES"/>
        </w:rPr>
        <w:t xml:space="preserve"> y el valor probatorio que se</w:t>
      </w:r>
      <w:r w:rsidR="004D569F" w:rsidRPr="00DF7E56">
        <w:rPr>
          <w:rFonts w:ascii="Verdana" w:hAnsi="Verdana"/>
          <w:color w:val="000000" w:themeColor="text1"/>
          <w:sz w:val="20"/>
          <w:szCs w:val="20"/>
          <w:lang w:val="es-ES"/>
        </w:rPr>
        <w:t xml:space="preserve"> otorgó a las mismas en los procesos penales</w:t>
      </w:r>
      <w:r w:rsidR="00BB2615" w:rsidRPr="00DF7E56">
        <w:rPr>
          <w:rFonts w:ascii="Verdana" w:hAnsi="Verdana"/>
          <w:color w:val="000000" w:themeColor="text1"/>
          <w:sz w:val="20"/>
          <w:szCs w:val="20"/>
          <w:lang w:val="es-ES"/>
        </w:rPr>
        <w:t xml:space="preserve"> en que se les condenó</w:t>
      </w:r>
      <w:r w:rsidR="008E4D2A" w:rsidRPr="00DF7E56">
        <w:rPr>
          <w:rFonts w:ascii="Verdana" w:hAnsi="Verdana"/>
          <w:color w:val="000000" w:themeColor="text1"/>
          <w:sz w:val="20"/>
          <w:szCs w:val="20"/>
          <w:lang w:val="es-ES"/>
        </w:rPr>
        <w:t xml:space="preserve"> </w:t>
      </w:r>
      <w:r w:rsidR="00BB2615" w:rsidRPr="00DF7E56">
        <w:rPr>
          <w:rFonts w:ascii="Verdana" w:hAnsi="Verdana"/>
          <w:color w:val="000000" w:themeColor="text1"/>
          <w:sz w:val="20"/>
          <w:szCs w:val="20"/>
          <w:lang w:val="es-ES"/>
        </w:rPr>
        <w:t xml:space="preserve">a </w:t>
      </w:r>
      <w:r w:rsidR="00027E62" w:rsidRPr="00DF7E56">
        <w:rPr>
          <w:rFonts w:ascii="Verdana" w:hAnsi="Verdana"/>
          <w:color w:val="000000" w:themeColor="text1"/>
          <w:sz w:val="20"/>
          <w:szCs w:val="20"/>
          <w:lang w:val="es-ES"/>
        </w:rPr>
        <w:t xml:space="preserve">penas de 3 y 40 años de prisión en violación de garantías del debido proceso. </w:t>
      </w:r>
      <w:r w:rsidR="000A5110" w:rsidRPr="002C7A4B">
        <w:rPr>
          <w:rFonts w:ascii="Verdana" w:eastAsiaTheme="minorHAnsi" w:hAnsi="Verdana"/>
          <w:sz w:val="20"/>
          <w:szCs w:val="20"/>
        </w:rPr>
        <w:t>Los señores García Cruz y Sánchez Silvestre permanecieron privados de su libertad durante 15 años, diez meses y 12 días, hasta que fueron puestos en libertad el 18 de abril de 2013 en cumplimiento de sentencias emitidas por tribunales internos con posterioridad al sometimiento del caso a la Corte Interamericana</w:t>
      </w:r>
      <w:r w:rsidR="000A5110" w:rsidRPr="0029297D">
        <w:rPr>
          <w:rFonts w:ascii="Verdana" w:eastAsiaTheme="minorHAnsi" w:hAnsi="Verdana"/>
          <w:sz w:val="20"/>
          <w:szCs w:val="20"/>
        </w:rPr>
        <w:t xml:space="preserve">. </w:t>
      </w:r>
      <w:r w:rsidRPr="000A5110">
        <w:rPr>
          <w:rFonts w:ascii="Verdana" w:hAnsi="Verdana"/>
          <w:sz w:val="20"/>
          <w:szCs w:val="20"/>
        </w:rPr>
        <w:t xml:space="preserve">El Tribunal estableció que su Sentencia constituye </w:t>
      </w:r>
      <w:r w:rsidR="00C63BA2" w:rsidRPr="000A5110">
        <w:rPr>
          <w:rFonts w:ascii="Verdana" w:hAnsi="Verdana"/>
          <w:sz w:val="20"/>
          <w:szCs w:val="20"/>
        </w:rPr>
        <w:t>por sí misma</w:t>
      </w:r>
      <w:r w:rsidRPr="000A5110">
        <w:rPr>
          <w:rFonts w:ascii="Verdana" w:hAnsi="Verdana"/>
          <w:sz w:val="20"/>
          <w:szCs w:val="20"/>
        </w:rPr>
        <w:t xml:space="preserve"> una forma de reparación y ordenó al Estado </w:t>
      </w:r>
      <w:r w:rsidR="00F83AB0">
        <w:rPr>
          <w:rFonts w:ascii="Verdana" w:hAnsi="Verdana"/>
          <w:sz w:val="20"/>
          <w:szCs w:val="20"/>
        </w:rPr>
        <w:t xml:space="preserve">la adopción de </w:t>
      </w:r>
      <w:r w:rsidRPr="000A5110">
        <w:rPr>
          <w:rFonts w:ascii="Verdana" w:hAnsi="Verdana"/>
          <w:sz w:val="20"/>
          <w:szCs w:val="20"/>
        </w:rPr>
        <w:t xml:space="preserve">medidas </w:t>
      </w:r>
      <w:r w:rsidR="00F83AB0">
        <w:rPr>
          <w:rFonts w:ascii="Verdana" w:hAnsi="Verdana"/>
          <w:sz w:val="20"/>
          <w:szCs w:val="20"/>
        </w:rPr>
        <w:t xml:space="preserve">adicionales </w:t>
      </w:r>
      <w:r w:rsidRPr="000A5110">
        <w:rPr>
          <w:rFonts w:ascii="Verdana" w:hAnsi="Verdana"/>
          <w:sz w:val="20"/>
          <w:szCs w:val="20"/>
        </w:rPr>
        <w:t>de reparación</w:t>
      </w:r>
      <w:r w:rsidR="00027E62" w:rsidRPr="000A5110">
        <w:rPr>
          <w:rFonts w:ascii="Verdana" w:hAnsi="Verdana"/>
          <w:sz w:val="20"/>
          <w:szCs w:val="20"/>
        </w:rPr>
        <w:t xml:space="preserve"> </w:t>
      </w:r>
      <w:r w:rsidR="00AF366A" w:rsidRPr="000A5110">
        <w:rPr>
          <w:rFonts w:ascii="Verdana" w:hAnsi="Verdana"/>
          <w:sz w:val="20"/>
          <w:szCs w:val="20"/>
        </w:rPr>
        <w:t xml:space="preserve">de conformidad con </w:t>
      </w:r>
      <w:r w:rsidR="0047558E" w:rsidRPr="000A5110">
        <w:rPr>
          <w:rFonts w:ascii="Verdana" w:hAnsi="Verdana"/>
          <w:sz w:val="20"/>
          <w:szCs w:val="20"/>
        </w:rPr>
        <w:t xml:space="preserve">lo </w:t>
      </w:r>
      <w:r w:rsidR="00AF366A" w:rsidRPr="000A5110">
        <w:rPr>
          <w:rFonts w:ascii="Verdana" w:hAnsi="Verdana"/>
          <w:sz w:val="20"/>
          <w:szCs w:val="20"/>
        </w:rPr>
        <w:t>convenido en dic</w:t>
      </w:r>
      <w:r w:rsidR="000F7573" w:rsidRPr="000A5110">
        <w:rPr>
          <w:rFonts w:ascii="Verdana" w:hAnsi="Verdana"/>
          <w:sz w:val="20"/>
          <w:szCs w:val="20"/>
        </w:rPr>
        <w:t>ho acuerdo de solución amistosa</w:t>
      </w:r>
      <w:r w:rsidR="00213BBF">
        <w:rPr>
          <w:rFonts w:ascii="Verdana" w:hAnsi="Verdana"/>
          <w:sz w:val="20"/>
          <w:szCs w:val="20"/>
        </w:rPr>
        <w:t xml:space="preserve"> (</w:t>
      </w:r>
      <w:r w:rsidR="005E4D2D">
        <w:rPr>
          <w:rFonts w:ascii="Verdana" w:hAnsi="Verdana"/>
          <w:i/>
          <w:sz w:val="20"/>
          <w:szCs w:val="20"/>
        </w:rPr>
        <w:t xml:space="preserve">infra </w:t>
      </w:r>
      <w:r w:rsidR="005E4D2D">
        <w:rPr>
          <w:rFonts w:ascii="Verdana" w:hAnsi="Verdana"/>
          <w:sz w:val="20"/>
          <w:szCs w:val="20"/>
        </w:rPr>
        <w:t>Considerando 1</w:t>
      </w:r>
      <w:r w:rsidR="00066DB0">
        <w:rPr>
          <w:rFonts w:ascii="Verdana" w:hAnsi="Verdana"/>
          <w:sz w:val="20"/>
          <w:szCs w:val="20"/>
        </w:rPr>
        <w:t>)</w:t>
      </w:r>
      <w:r w:rsidR="00027E62" w:rsidRPr="000A5110">
        <w:rPr>
          <w:rFonts w:ascii="Verdana" w:hAnsi="Verdana"/>
          <w:sz w:val="20"/>
          <w:szCs w:val="20"/>
        </w:rPr>
        <w:t xml:space="preserve">. </w:t>
      </w:r>
    </w:p>
    <w:p w14:paraId="2DCB8129" w14:textId="77777777" w:rsidR="00AA53BA" w:rsidRPr="00DF7E56" w:rsidRDefault="00AA53BA" w:rsidP="00A4635E">
      <w:pPr>
        <w:pStyle w:val="Default"/>
      </w:pPr>
    </w:p>
    <w:p w14:paraId="7326DD4E" w14:textId="0A24637C" w:rsidR="00892464" w:rsidRPr="005721B2" w:rsidRDefault="00892464" w:rsidP="00A4635E">
      <w:pPr>
        <w:pStyle w:val="ListParagraph"/>
        <w:numPr>
          <w:ilvl w:val="0"/>
          <w:numId w:val="3"/>
        </w:numPr>
        <w:spacing w:after="0" w:line="240" w:lineRule="auto"/>
        <w:ind w:left="0" w:firstLine="0"/>
        <w:jc w:val="both"/>
        <w:rPr>
          <w:rFonts w:ascii="Verdana" w:hAnsi="Verdana"/>
          <w:sz w:val="20"/>
          <w:szCs w:val="20"/>
          <w:lang w:val="es-ES"/>
        </w:rPr>
      </w:pPr>
      <w:r>
        <w:rPr>
          <w:rFonts w:ascii="Verdana" w:hAnsi="Verdana"/>
          <w:sz w:val="20"/>
          <w:szCs w:val="20"/>
          <w:lang w:val="es-ES"/>
        </w:rPr>
        <w:lastRenderedPageBreak/>
        <w:t xml:space="preserve">La resolución </w:t>
      </w:r>
      <w:r>
        <w:rPr>
          <w:rFonts w:ascii="Verdana" w:eastAsia="Times New Roman" w:hAnsi="Verdana"/>
          <w:sz w:val="20"/>
          <w:szCs w:val="20"/>
          <w:lang w:val="es-ES_tradnl"/>
        </w:rPr>
        <w:t>de supervisión de cumplimiento de</w:t>
      </w:r>
      <w:r w:rsidR="00050B0A">
        <w:rPr>
          <w:rFonts w:ascii="Verdana" w:eastAsia="Times New Roman" w:hAnsi="Verdana"/>
          <w:sz w:val="20"/>
          <w:szCs w:val="20"/>
          <w:lang w:val="es-ES_tradnl"/>
        </w:rPr>
        <w:t xml:space="preserve"> </w:t>
      </w:r>
      <w:r>
        <w:rPr>
          <w:rFonts w:ascii="Verdana" w:eastAsia="Times New Roman" w:hAnsi="Verdana"/>
          <w:sz w:val="20"/>
          <w:szCs w:val="20"/>
          <w:lang w:val="es-ES_tradnl"/>
        </w:rPr>
        <w:t>sentencia</w:t>
      </w:r>
      <w:r w:rsidR="00050B0A">
        <w:rPr>
          <w:rFonts w:ascii="Verdana" w:eastAsia="Times New Roman" w:hAnsi="Verdana"/>
          <w:sz w:val="20"/>
          <w:szCs w:val="20"/>
          <w:lang w:val="es-ES_tradnl"/>
        </w:rPr>
        <w:t xml:space="preserve"> emitida</w:t>
      </w:r>
      <w:r>
        <w:rPr>
          <w:rFonts w:ascii="Verdana" w:eastAsia="Times New Roman" w:hAnsi="Verdana"/>
          <w:sz w:val="20"/>
          <w:szCs w:val="20"/>
          <w:lang w:val="es-ES_tradnl"/>
        </w:rPr>
        <w:t xml:space="preserve"> </w:t>
      </w:r>
      <w:r w:rsidR="00050B0A">
        <w:rPr>
          <w:rFonts w:ascii="Verdana" w:eastAsia="Times New Roman" w:hAnsi="Verdana"/>
          <w:sz w:val="20"/>
          <w:szCs w:val="20"/>
          <w:lang w:val="es-ES_tradnl"/>
        </w:rPr>
        <w:t>el 1 de septiembre de 2016</w:t>
      </w:r>
      <w:r w:rsidR="00F841CB">
        <w:rPr>
          <w:rStyle w:val="FootnoteReference"/>
          <w:rFonts w:ascii="Verdana" w:eastAsia="Times New Roman" w:hAnsi="Verdana"/>
          <w:sz w:val="20"/>
          <w:szCs w:val="20"/>
          <w:lang w:val="es-ES_tradnl"/>
        </w:rPr>
        <w:footnoteReference w:id="4"/>
      </w:r>
      <w:r w:rsidR="004E49B4">
        <w:rPr>
          <w:rFonts w:ascii="Verdana" w:eastAsia="Times New Roman" w:hAnsi="Verdana"/>
          <w:sz w:val="20"/>
          <w:szCs w:val="20"/>
          <w:lang w:val="es-ES_tradnl"/>
        </w:rPr>
        <w:t>.</w:t>
      </w:r>
    </w:p>
    <w:p w14:paraId="3504EA41" w14:textId="77777777" w:rsidR="005721B2" w:rsidRPr="00892464" w:rsidRDefault="005721B2" w:rsidP="00A4635E">
      <w:pPr>
        <w:pStyle w:val="ListParagraph"/>
        <w:spacing w:after="0" w:line="240" w:lineRule="auto"/>
        <w:ind w:left="0"/>
        <w:jc w:val="both"/>
        <w:rPr>
          <w:rFonts w:ascii="Verdana" w:hAnsi="Verdana"/>
          <w:sz w:val="20"/>
          <w:szCs w:val="20"/>
          <w:lang w:val="es-ES"/>
        </w:rPr>
      </w:pPr>
    </w:p>
    <w:p w14:paraId="189B8F44" w14:textId="77777777" w:rsidR="001926E8" w:rsidRPr="00DF7E56" w:rsidRDefault="00422E62" w:rsidP="00A4635E">
      <w:pPr>
        <w:pStyle w:val="ListParagraph"/>
        <w:numPr>
          <w:ilvl w:val="0"/>
          <w:numId w:val="3"/>
        </w:numPr>
        <w:spacing w:after="0" w:line="240" w:lineRule="auto"/>
        <w:ind w:left="0" w:firstLine="0"/>
        <w:jc w:val="both"/>
        <w:rPr>
          <w:rFonts w:ascii="Verdana" w:hAnsi="Verdana"/>
          <w:sz w:val="20"/>
          <w:szCs w:val="20"/>
          <w:lang w:val="es-ES"/>
        </w:rPr>
      </w:pPr>
      <w:r w:rsidRPr="00DF7E56">
        <w:rPr>
          <w:rFonts w:ascii="Verdana" w:hAnsi="Verdana"/>
          <w:sz w:val="20"/>
          <w:szCs w:val="20"/>
          <w:lang w:val="es-ES"/>
        </w:rPr>
        <w:t xml:space="preserve">Los </w:t>
      </w:r>
      <w:r w:rsidR="009A2ECF">
        <w:rPr>
          <w:rFonts w:ascii="Verdana" w:hAnsi="Verdana"/>
          <w:sz w:val="20"/>
          <w:szCs w:val="20"/>
          <w:lang w:val="es-ES"/>
        </w:rPr>
        <w:t>siete</w:t>
      </w:r>
      <w:r w:rsidR="009A2ECF" w:rsidRPr="00DF7E56">
        <w:rPr>
          <w:rFonts w:ascii="Verdana" w:hAnsi="Verdana"/>
          <w:sz w:val="20"/>
          <w:szCs w:val="20"/>
          <w:lang w:val="es-ES"/>
        </w:rPr>
        <w:t xml:space="preserve"> </w:t>
      </w:r>
      <w:r w:rsidR="00E579CF" w:rsidRPr="00DF7E56">
        <w:rPr>
          <w:rFonts w:ascii="Verdana" w:hAnsi="Verdana"/>
          <w:sz w:val="20"/>
          <w:szCs w:val="20"/>
          <w:lang w:val="es-ES"/>
        </w:rPr>
        <w:t>informe</w:t>
      </w:r>
      <w:r w:rsidRPr="00DF7E56">
        <w:rPr>
          <w:rFonts w:ascii="Verdana" w:hAnsi="Verdana"/>
          <w:sz w:val="20"/>
          <w:szCs w:val="20"/>
          <w:lang w:val="es-ES"/>
        </w:rPr>
        <w:t>s</w:t>
      </w:r>
      <w:r w:rsidR="004E49B4">
        <w:rPr>
          <w:rFonts w:ascii="Verdana" w:hAnsi="Verdana"/>
          <w:sz w:val="20"/>
          <w:szCs w:val="20"/>
          <w:lang w:val="es-ES"/>
        </w:rPr>
        <w:t xml:space="preserve"> </w:t>
      </w:r>
      <w:r w:rsidR="00612CE6" w:rsidRPr="00DF7E56">
        <w:rPr>
          <w:rFonts w:ascii="Verdana" w:hAnsi="Verdana"/>
          <w:sz w:val="20"/>
          <w:szCs w:val="20"/>
          <w:lang w:val="es-ES"/>
        </w:rPr>
        <w:t xml:space="preserve">presentados por </w:t>
      </w:r>
      <w:r w:rsidR="00CE62BF" w:rsidRPr="00DF7E56">
        <w:rPr>
          <w:rFonts w:ascii="Verdana" w:hAnsi="Verdana"/>
          <w:sz w:val="20"/>
          <w:lang w:val="es-MX"/>
        </w:rPr>
        <w:t xml:space="preserve">el Estado </w:t>
      </w:r>
      <w:r w:rsidR="00612CE6" w:rsidRPr="00DF7E56">
        <w:rPr>
          <w:rFonts w:ascii="Verdana" w:hAnsi="Verdana"/>
          <w:sz w:val="20"/>
          <w:lang w:val="es-MX"/>
        </w:rPr>
        <w:t xml:space="preserve">entre </w:t>
      </w:r>
      <w:r w:rsidR="009A2ECF">
        <w:rPr>
          <w:rFonts w:ascii="Verdana" w:hAnsi="Verdana"/>
          <w:sz w:val="20"/>
          <w:lang w:val="es-MX"/>
        </w:rPr>
        <w:t xml:space="preserve">diciembre </w:t>
      </w:r>
      <w:r w:rsidR="00050B0A">
        <w:rPr>
          <w:rFonts w:ascii="Verdana" w:hAnsi="Verdana"/>
          <w:sz w:val="20"/>
          <w:lang w:val="es-MX"/>
        </w:rPr>
        <w:t>de 201</w:t>
      </w:r>
      <w:r w:rsidR="009A2ECF">
        <w:rPr>
          <w:rFonts w:ascii="Verdana" w:hAnsi="Verdana"/>
          <w:sz w:val="20"/>
          <w:lang w:val="es-MX"/>
        </w:rPr>
        <w:t>4</w:t>
      </w:r>
      <w:r w:rsidR="00612CE6" w:rsidRPr="00DF7E56">
        <w:rPr>
          <w:rFonts w:ascii="Verdana" w:hAnsi="Verdana"/>
          <w:sz w:val="20"/>
          <w:lang w:val="es-MX"/>
        </w:rPr>
        <w:t xml:space="preserve"> y </w:t>
      </w:r>
      <w:r w:rsidR="009A2ECF">
        <w:rPr>
          <w:rFonts w:ascii="Verdana" w:hAnsi="Verdana"/>
          <w:sz w:val="20"/>
          <w:lang w:val="es-MX"/>
        </w:rPr>
        <w:t xml:space="preserve">febrero </w:t>
      </w:r>
      <w:r w:rsidR="00050B0A">
        <w:rPr>
          <w:rFonts w:ascii="Verdana" w:hAnsi="Verdana"/>
          <w:sz w:val="20"/>
          <w:lang w:val="es-MX"/>
        </w:rPr>
        <w:t>de 2018</w:t>
      </w:r>
      <w:r w:rsidR="00CE62BF" w:rsidRPr="00DF7E56">
        <w:rPr>
          <w:rStyle w:val="FootnoteReference"/>
          <w:rFonts w:ascii="Verdana" w:hAnsi="Verdana"/>
          <w:sz w:val="20"/>
          <w:lang w:val="es-MX"/>
        </w:rPr>
        <w:footnoteReference w:id="5"/>
      </w:r>
      <w:r w:rsidR="009446A3">
        <w:rPr>
          <w:rFonts w:ascii="Verdana" w:hAnsi="Verdana"/>
          <w:sz w:val="20"/>
          <w:lang w:val="es-MX"/>
        </w:rPr>
        <w:t>.</w:t>
      </w:r>
    </w:p>
    <w:p w14:paraId="22D3DA67" w14:textId="77777777" w:rsidR="0061188E" w:rsidRPr="00DF7E56" w:rsidRDefault="0061188E" w:rsidP="00A4635E">
      <w:pPr>
        <w:pStyle w:val="ListParagraph"/>
        <w:spacing w:after="0" w:line="240" w:lineRule="auto"/>
        <w:ind w:left="0"/>
        <w:jc w:val="both"/>
        <w:rPr>
          <w:rFonts w:ascii="Verdana" w:hAnsi="Verdana"/>
          <w:sz w:val="20"/>
          <w:szCs w:val="20"/>
          <w:lang w:val="es-ES"/>
        </w:rPr>
      </w:pPr>
    </w:p>
    <w:p w14:paraId="346E6BD3" w14:textId="77777777" w:rsidR="001926E8" w:rsidRPr="00B94D3F" w:rsidRDefault="00050B0A" w:rsidP="00A4635E">
      <w:pPr>
        <w:pStyle w:val="ListParagraph"/>
        <w:numPr>
          <w:ilvl w:val="0"/>
          <w:numId w:val="3"/>
        </w:numPr>
        <w:spacing w:after="0" w:line="240" w:lineRule="auto"/>
        <w:ind w:left="0" w:firstLine="0"/>
        <w:jc w:val="both"/>
        <w:rPr>
          <w:rFonts w:ascii="Verdana" w:hAnsi="Verdana"/>
          <w:sz w:val="20"/>
          <w:szCs w:val="20"/>
          <w:lang w:val="es-ES"/>
        </w:rPr>
      </w:pPr>
      <w:r w:rsidRPr="00B94D3F">
        <w:rPr>
          <w:rFonts w:ascii="Verdana" w:hAnsi="Verdana"/>
          <w:sz w:val="20"/>
          <w:lang w:val="es-MX"/>
        </w:rPr>
        <w:t xml:space="preserve">Los </w:t>
      </w:r>
      <w:r w:rsidR="009A2ECF">
        <w:rPr>
          <w:rFonts w:ascii="Verdana" w:hAnsi="Verdana"/>
          <w:sz w:val="20"/>
          <w:lang w:val="es-MX"/>
        </w:rPr>
        <w:t>seis</w:t>
      </w:r>
      <w:r w:rsidR="009A2ECF" w:rsidRPr="00B94D3F">
        <w:rPr>
          <w:rFonts w:ascii="Verdana" w:hAnsi="Verdana"/>
          <w:sz w:val="20"/>
          <w:lang w:val="es-MX"/>
        </w:rPr>
        <w:t xml:space="preserve"> </w:t>
      </w:r>
      <w:r w:rsidR="003A1678" w:rsidRPr="00B94D3F">
        <w:rPr>
          <w:rFonts w:ascii="Verdana" w:hAnsi="Verdana"/>
          <w:sz w:val="20"/>
          <w:lang w:val="es-MX"/>
        </w:rPr>
        <w:t>escritos de observaciones presentados por los representantes de las víctimas</w:t>
      </w:r>
      <w:r w:rsidR="009446A3">
        <w:rPr>
          <w:rStyle w:val="FootnoteReference"/>
          <w:rFonts w:ascii="Verdana" w:hAnsi="Verdana"/>
          <w:sz w:val="20"/>
          <w:lang w:val="es-MX"/>
        </w:rPr>
        <w:footnoteReference w:id="6"/>
      </w:r>
      <w:r w:rsidR="00612CE6" w:rsidRPr="00B94D3F">
        <w:rPr>
          <w:rFonts w:ascii="Verdana" w:hAnsi="Verdana"/>
          <w:sz w:val="20"/>
          <w:lang w:val="es-MX"/>
        </w:rPr>
        <w:t xml:space="preserve"> entre </w:t>
      </w:r>
      <w:r w:rsidR="009A2ECF">
        <w:rPr>
          <w:rFonts w:ascii="Verdana" w:hAnsi="Verdana"/>
          <w:sz w:val="20"/>
          <w:lang w:val="es-MX"/>
        </w:rPr>
        <w:t>febrero</w:t>
      </w:r>
      <w:r w:rsidR="009A2ECF" w:rsidRPr="00B94D3F">
        <w:rPr>
          <w:rFonts w:ascii="Verdana" w:hAnsi="Verdana"/>
          <w:sz w:val="20"/>
          <w:lang w:val="es-MX"/>
        </w:rPr>
        <w:t xml:space="preserve"> </w:t>
      </w:r>
      <w:r w:rsidRPr="00B94D3F">
        <w:rPr>
          <w:rFonts w:ascii="Verdana" w:hAnsi="Verdana"/>
          <w:sz w:val="20"/>
          <w:lang w:val="es-MX"/>
        </w:rPr>
        <w:t>de 201</w:t>
      </w:r>
      <w:r w:rsidR="009A2ECF">
        <w:rPr>
          <w:rFonts w:ascii="Verdana" w:hAnsi="Verdana"/>
          <w:sz w:val="20"/>
          <w:lang w:val="es-MX"/>
        </w:rPr>
        <w:t>5</w:t>
      </w:r>
      <w:r w:rsidRPr="00B94D3F">
        <w:rPr>
          <w:rFonts w:ascii="Verdana" w:hAnsi="Verdana"/>
          <w:sz w:val="20"/>
          <w:lang w:val="es-MX"/>
        </w:rPr>
        <w:t xml:space="preserve"> y </w:t>
      </w:r>
      <w:r w:rsidR="009A2ECF">
        <w:rPr>
          <w:rFonts w:ascii="Verdana" w:hAnsi="Verdana"/>
          <w:sz w:val="20"/>
          <w:lang w:val="es-MX"/>
        </w:rPr>
        <w:t>mayo</w:t>
      </w:r>
      <w:r w:rsidR="009A2ECF" w:rsidRPr="00B94D3F">
        <w:rPr>
          <w:rFonts w:ascii="Verdana" w:hAnsi="Verdana"/>
          <w:sz w:val="20"/>
          <w:lang w:val="es-MX"/>
        </w:rPr>
        <w:t xml:space="preserve"> </w:t>
      </w:r>
      <w:r w:rsidRPr="00B94D3F">
        <w:rPr>
          <w:rFonts w:ascii="Verdana" w:hAnsi="Verdana"/>
          <w:sz w:val="20"/>
          <w:lang w:val="es-MX"/>
        </w:rPr>
        <w:t>de 2018</w:t>
      </w:r>
      <w:r w:rsidR="003A1678" w:rsidRPr="00B94D3F">
        <w:rPr>
          <w:rStyle w:val="FootnoteReference"/>
          <w:rFonts w:ascii="Verdana" w:hAnsi="Verdana"/>
          <w:lang w:val="es-MX"/>
        </w:rPr>
        <w:footnoteReference w:id="7"/>
      </w:r>
      <w:r w:rsidR="003A1678" w:rsidRPr="00B94D3F">
        <w:rPr>
          <w:rFonts w:ascii="Verdana" w:hAnsi="Verdana"/>
          <w:sz w:val="20"/>
          <w:lang w:val="es-MX"/>
        </w:rPr>
        <w:t>.</w:t>
      </w:r>
    </w:p>
    <w:p w14:paraId="0B2B3F4B" w14:textId="77777777" w:rsidR="003A1678" w:rsidRPr="00DF7E56" w:rsidRDefault="003A1678" w:rsidP="00A4635E">
      <w:pPr>
        <w:pStyle w:val="ListParagraph"/>
        <w:spacing w:after="0" w:line="240" w:lineRule="auto"/>
        <w:ind w:left="0"/>
        <w:jc w:val="both"/>
        <w:rPr>
          <w:rFonts w:ascii="Verdana" w:hAnsi="Verdana"/>
          <w:sz w:val="20"/>
          <w:szCs w:val="20"/>
          <w:lang w:val="es-ES"/>
        </w:rPr>
      </w:pPr>
    </w:p>
    <w:p w14:paraId="1527D838" w14:textId="77777777" w:rsidR="00E579CF" w:rsidRPr="00DF7E56" w:rsidRDefault="009A2ECF" w:rsidP="00A4635E">
      <w:pPr>
        <w:pStyle w:val="ListParagraph"/>
        <w:numPr>
          <w:ilvl w:val="0"/>
          <w:numId w:val="3"/>
        </w:numPr>
        <w:spacing w:after="0" w:line="240" w:lineRule="auto"/>
        <w:ind w:left="0" w:firstLine="0"/>
        <w:jc w:val="both"/>
        <w:rPr>
          <w:rFonts w:ascii="Verdana" w:hAnsi="Verdana"/>
          <w:b/>
          <w:sz w:val="20"/>
          <w:szCs w:val="20"/>
          <w:lang w:val="es-ES"/>
        </w:rPr>
      </w:pPr>
      <w:r>
        <w:rPr>
          <w:rFonts w:ascii="Verdana" w:hAnsi="Verdana"/>
          <w:sz w:val="20"/>
          <w:lang w:val="es-ES"/>
        </w:rPr>
        <w:t xml:space="preserve">Los cuatro </w:t>
      </w:r>
      <w:r w:rsidR="00050B0A">
        <w:rPr>
          <w:rFonts w:ascii="Verdana" w:hAnsi="Verdana"/>
          <w:sz w:val="20"/>
          <w:lang w:val="es-MX"/>
        </w:rPr>
        <w:t>escrito</w:t>
      </w:r>
      <w:r>
        <w:rPr>
          <w:rFonts w:ascii="Verdana" w:hAnsi="Verdana"/>
          <w:sz w:val="20"/>
          <w:lang w:val="es-MX"/>
        </w:rPr>
        <w:t>s</w:t>
      </w:r>
      <w:r w:rsidR="003A1678" w:rsidRPr="00DF7E56">
        <w:rPr>
          <w:rFonts w:ascii="Verdana" w:hAnsi="Verdana"/>
          <w:sz w:val="20"/>
          <w:lang w:val="es-MX"/>
        </w:rPr>
        <w:t xml:space="preserve"> de observaciones </w:t>
      </w:r>
      <w:r w:rsidR="00050B0A">
        <w:rPr>
          <w:rFonts w:ascii="Verdana" w:hAnsi="Verdana"/>
          <w:sz w:val="20"/>
          <w:lang w:val="es-MX"/>
        </w:rPr>
        <w:t>presentado</w:t>
      </w:r>
      <w:r>
        <w:rPr>
          <w:rFonts w:ascii="Verdana" w:hAnsi="Verdana"/>
          <w:sz w:val="20"/>
          <w:lang w:val="es-MX"/>
        </w:rPr>
        <w:t>s</w:t>
      </w:r>
      <w:r w:rsidR="003A1678" w:rsidRPr="00DF7E56">
        <w:rPr>
          <w:rFonts w:ascii="Verdana" w:hAnsi="Verdana"/>
          <w:sz w:val="20"/>
          <w:lang w:val="es-MX"/>
        </w:rPr>
        <w:t xml:space="preserve"> por la Comisión Interamericana de Derechos Humanos (en adelante la “Comisión Interamericana” o la “Comisión”)</w:t>
      </w:r>
      <w:r>
        <w:rPr>
          <w:rFonts w:ascii="Verdana" w:hAnsi="Verdana"/>
          <w:sz w:val="20"/>
          <w:lang w:val="es-MX"/>
        </w:rPr>
        <w:t xml:space="preserve"> entre</w:t>
      </w:r>
      <w:r w:rsidR="00612CE6" w:rsidRPr="00DF7E56">
        <w:rPr>
          <w:rFonts w:ascii="Verdana" w:hAnsi="Verdana"/>
          <w:sz w:val="20"/>
          <w:lang w:val="es-MX"/>
        </w:rPr>
        <w:t xml:space="preserve"> </w:t>
      </w:r>
      <w:r>
        <w:rPr>
          <w:rFonts w:ascii="Verdana" w:hAnsi="Verdana"/>
          <w:sz w:val="20"/>
          <w:lang w:val="es-MX"/>
        </w:rPr>
        <w:t>abril de 2015 y</w:t>
      </w:r>
      <w:r w:rsidR="00050B0A">
        <w:rPr>
          <w:rFonts w:ascii="Verdana" w:hAnsi="Verdana"/>
          <w:sz w:val="20"/>
          <w:lang w:val="es-MX"/>
        </w:rPr>
        <w:t xml:space="preserve"> </w:t>
      </w:r>
      <w:r>
        <w:rPr>
          <w:rFonts w:ascii="Verdana" w:hAnsi="Verdana"/>
          <w:sz w:val="20"/>
          <w:lang w:val="es-MX"/>
        </w:rPr>
        <w:t>octubre</w:t>
      </w:r>
      <w:r w:rsidR="00050B0A">
        <w:rPr>
          <w:rFonts w:ascii="Verdana" w:hAnsi="Verdana"/>
          <w:sz w:val="20"/>
          <w:lang w:val="es-MX"/>
        </w:rPr>
        <w:t xml:space="preserve"> de 201</w:t>
      </w:r>
      <w:r>
        <w:rPr>
          <w:rFonts w:ascii="Verdana" w:hAnsi="Verdana"/>
          <w:sz w:val="20"/>
          <w:lang w:val="es-MX"/>
        </w:rPr>
        <w:t>8</w:t>
      </w:r>
      <w:r>
        <w:rPr>
          <w:rStyle w:val="FootnoteReference"/>
          <w:rFonts w:ascii="Verdana" w:hAnsi="Verdana"/>
          <w:sz w:val="20"/>
          <w:lang w:val="es-MX"/>
        </w:rPr>
        <w:footnoteReference w:id="8"/>
      </w:r>
      <w:r w:rsidR="003A1678" w:rsidRPr="00DF7E56">
        <w:rPr>
          <w:rFonts w:ascii="Verdana" w:hAnsi="Verdana"/>
          <w:sz w:val="20"/>
          <w:lang w:val="es-MX"/>
        </w:rPr>
        <w:t>.</w:t>
      </w:r>
    </w:p>
    <w:p w14:paraId="349EAA1F" w14:textId="77777777" w:rsidR="0061188E" w:rsidRPr="00DF7E56" w:rsidRDefault="0061188E" w:rsidP="00A4635E">
      <w:pPr>
        <w:tabs>
          <w:tab w:val="left" w:pos="567"/>
        </w:tabs>
        <w:spacing w:after="0" w:line="240" w:lineRule="auto"/>
        <w:ind w:right="4"/>
        <w:contextualSpacing/>
        <w:jc w:val="both"/>
        <w:rPr>
          <w:rFonts w:ascii="Verdana" w:hAnsi="Verdana"/>
          <w:noProof/>
          <w:sz w:val="20"/>
          <w:szCs w:val="20"/>
          <w:lang w:val="es-ES"/>
        </w:rPr>
      </w:pPr>
    </w:p>
    <w:p w14:paraId="45F12F91" w14:textId="77777777" w:rsidR="000216D0" w:rsidRPr="00DF7E56" w:rsidRDefault="000216D0" w:rsidP="00A4635E">
      <w:pPr>
        <w:spacing w:after="0" w:line="240" w:lineRule="auto"/>
        <w:ind w:right="4"/>
        <w:rPr>
          <w:rFonts w:ascii="Verdana" w:hAnsi="Verdana"/>
          <w:b/>
          <w:sz w:val="20"/>
          <w:szCs w:val="20"/>
        </w:rPr>
      </w:pPr>
      <w:r w:rsidRPr="00DF7E56">
        <w:rPr>
          <w:rFonts w:ascii="Verdana" w:hAnsi="Verdana"/>
          <w:b/>
          <w:sz w:val="20"/>
          <w:szCs w:val="20"/>
        </w:rPr>
        <w:t>CONSIDERANDO QUE:</w:t>
      </w:r>
    </w:p>
    <w:p w14:paraId="50BAB261" w14:textId="77777777" w:rsidR="00A9092A" w:rsidRPr="00DF7E56" w:rsidRDefault="00A9092A" w:rsidP="00A4635E">
      <w:pPr>
        <w:spacing w:after="0" w:line="240" w:lineRule="auto"/>
        <w:rPr>
          <w:rFonts w:ascii="Verdana" w:hAnsi="Verdana"/>
        </w:rPr>
      </w:pPr>
    </w:p>
    <w:p w14:paraId="5CB70E94" w14:textId="107D45DA" w:rsidR="00A8510F" w:rsidRPr="009C4AE6" w:rsidRDefault="000216D0" w:rsidP="009C4AE6">
      <w:pPr>
        <w:pStyle w:val="ListParagraph"/>
        <w:numPr>
          <w:ilvl w:val="0"/>
          <w:numId w:val="2"/>
        </w:numPr>
        <w:spacing w:after="0" w:line="240" w:lineRule="auto"/>
        <w:ind w:left="0" w:right="4" w:firstLine="0"/>
        <w:jc w:val="both"/>
        <w:rPr>
          <w:rFonts w:ascii="Verdana" w:hAnsi="Verdana"/>
          <w:sz w:val="20"/>
          <w:szCs w:val="20"/>
          <w:lang w:val="es-ES"/>
        </w:rPr>
      </w:pPr>
      <w:r w:rsidRPr="009446A3">
        <w:rPr>
          <w:rFonts w:ascii="Verdana" w:hAnsi="Verdana"/>
          <w:sz w:val="20"/>
          <w:szCs w:val="20"/>
          <w:lang w:val="es-ES"/>
        </w:rPr>
        <w:t>En el ejercicio de su función jurisdiccional de supervisar el cumplimiento de sus</w:t>
      </w:r>
      <w:r w:rsidR="00452D9D" w:rsidRPr="009446A3">
        <w:rPr>
          <w:rFonts w:ascii="Verdana" w:hAnsi="Verdana"/>
          <w:sz w:val="20"/>
          <w:szCs w:val="20"/>
          <w:lang w:val="es-ES"/>
        </w:rPr>
        <w:t xml:space="preserve"> decisiones</w:t>
      </w:r>
      <w:r w:rsidR="00A93775" w:rsidRPr="00DF7E56">
        <w:rPr>
          <w:rStyle w:val="FootnoteReference"/>
          <w:rFonts w:ascii="Verdana" w:hAnsi="Verdana"/>
        </w:rPr>
        <w:footnoteReference w:id="9"/>
      </w:r>
      <w:r w:rsidR="00452D9D" w:rsidRPr="009446A3">
        <w:rPr>
          <w:rFonts w:ascii="Verdana" w:hAnsi="Verdana"/>
          <w:sz w:val="20"/>
          <w:szCs w:val="20"/>
          <w:lang w:val="es-ES"/>
        </w:rPr>
        <w:t xml:space="preserve">, la Corte ha venido supervisando la ejecución de la Sentencia emitida </w:t>
      </w:r>
      <w:r w:rsidR="00452D9D" w:rsidRPr="009446A3">
        <w:rPr>
          <w:rFonts w:ascii="Verdana" w:hAnsi="Verdana"/>
          <w:sz w:val="20"/>
          <w:szCs w:val="20"/>
          <w:lang w:val="es-MX"/>
        </w:rPr>
        <w:t>en el presente caso</w:t>
      </w:r>
      <w:r w:rsidR="00452D9D" w:rsidRPr="009446A3">
        <w:rPr>
          <w:rFonts w:ascii="Verdana" w:hAnsi="Verdana"/>
          <w:i/>
          <w:sz w:val="20"/>
          <w:szCs w:val="20"/>
          <w:lang w:val="es-MX"/>
        </w:rPr>
        <w:t xml:space="preserve"> </w:t>
      </w:r>
      <w:r w:rsidR="00177380" w:rsidRPr="009446A3">
        <w:rPr>
          <w:rFonts w:ascii="Verdana" w:hAnsi="Verdana"/>
          <w:sz w:val="20"/>
          <w:szCs w:val="20"/>
          <w:lang w:val="es-MX"/>
        </w:rPr>
        <w:t>en noviembre de 2013</w:t>
      </w:r>
      <w:r w:rsidR="00452D9D" w:rsidRPr="009446A3">
        <w:rPr>
          <w:rFonts w:ascii="Verdana" w:hAnsi="Verdana"/>
          <w:sz w:val="20"/>
          <w:szCs w:val="20"/>
          <w:lang w:val="es-MX"/>
        </w:rPr>
        <w:t xml:space="preserve"> (</w:t>
      </w:r>
      <w:r w:rsidR="00452D9D" w:rsidRPr="009446A3">
        <w:rPr>
          <w:rFonts w:ascii="Verdana" w:hAnsi="Verdana"/>
          <w:i/>
          <w:sz w:val="20"/>
          <w:szCs w:val="20"/>
          <w:lang w:val="es-MX"/>
        </w:rPr>
        <w:t>supra</w:t>
      </w:r>
      <w:r w:rsidR="00452D9D" w:rsidRPr="009446A3">
        <w:rPr>
          <w:rFonts w:ascii="Verdana" w:hAnsi="Verdana"/>
          <w:sz w:val="20"/>
          <w:szCs w:val="20"/>
          <w:lang w:val="es-MX"/>
        </w:rPr>
        <w:t xml:space="preserve"> Visto 1)</w:t>
      </w:r>
      <w:r w:rsidR="00543B56" w:rsidRPr="009A2ECF">
        <w:rPr>
          <w:rFonts w:ascii="Verdana" w:hAnsi="Verdana"/>
          <w:sz w:val="20"/>
          <w:szCs w:val="20"/>
          <w:lang w:val="es-MX"/>
        </w:rPr>
        <w:t>.</w:t>
      </w:r>
      <w:r w:rsidR="00C63BA2" w:rsidRPr="009A2ECF">
        <w:rPr>
          <w:rFonts w:ascii="Verdana" w:hAnsi="Verdana"/>
          <w:sz w:val="20"/>
          <w:szCs w:val="20"/>
          <w:lang w:val="es-MX"/>
        </w:rPr>
        <w:t xml:space="preserve"> </w:t>
      </w:r>
      <w:r w:rsidR="00C26B8E" w:rsidRPr="009A2ECF">
        <w:rPr>
          <w:rFonts w:ascii="Verdana" w:hAnsi="Verdana"/>
          <w:sz w:val="20"/>
          <w:szCs w:val="20"/>
          <w:lang w:val="es-MX"/>
        </w:rPr>
        <w:t xml:space="preserve">En la </w:t>
      </w:r>
      <w:r w:rsidR="00D22FE8" w:rsidRPr="00B70C71">
        <w:rPr>
          <w:rFonts w:ascii="Verdana" w:hAnsi="Verdana"/>
          <w:sz w:val="20"/>
          <w:szCs w:val="20"/>
          <w:lang w:val="es-MX"/>
        </w:rPr>
        <w:t>R</w:t>
      </w:r>
      <w:r w:rsidR="00C26B8E" w:rsidRPr="00B70C71">
        <w:rPr>
          <w:rFonts w:ascii="Verdana" w:hAnsi="Verdana"/>
          <w:sz w:val="20"/>
          <w:szCs w:val="20"/>
          <w:lang w:val="es-MX"/>
        </w:rPr>
        <w:t>esolución dictada por el Tribunal en septiembre de 2016</w:t>
      </w:r>
      <w:r w:rsidR="008A37BE">
        <w:rPr>
          <w:rStyle w:val="FootnoteReference"/>
          <w:rFonts w:ascii="Verdana" w:hAnsi="Verdana"/>
          <w:sz w:val="20"/>
          <w:szCs w:val="20"/>
          <w:lang w:val="es-MX"/>
        </w:rPr>
        <w:footnoteReference w:id="10"/>
      </w:r>
      <w:r w:rsidR="00C26B8E" w:rsidRPr="009446A3">
        <w:rPr>
          <w:rFonts w:ascii="Verdana" w:hAnsi="Verdana"/>
          <w:sz w:val="20"/>
          <w:szCs w:val="20"/>
          <w:lang w:val="es-MX"/>
        </w:rPr>
        <w:t xml:space="preserve">, </w:t>
      </w:r>
      <w:r w:rsidR="00D22FE8" w:rsidRPr="009446A3">
        <w:rPr>
          <w:rFonts w:ascii="Verdana" w:hAnsi="Verdana"/>
          <w:sz w:val="20"/>
          <w:szCs w:val="20"/>
          <w:lang w:val="es-MX"/>
        </w:rPr>
        <w:t>s</w:t>
      </w:r>
      <w:r w:rsidR="00C26B8E" w:rsidRPr="009446A3">
        <w:rPr>
          <w:rFonts w:ascii="Verdana" w:hAnsi="Verdana"/>
          <w:sz w:val="20"/>
          <w:szCs w:val="20"/>
          <w:lang w:val="es-MX"/>
        </w:rPr>
        <w:t>e declaró que el Estado</w:t>
      </w:r>
      <w:r w:rsidR="005C7B28">
        <w:rPr>
          <w:rFonts w:ascii="Verdana" w:hAnsi="Verdana"/>
          <w:sz w:val="20"/>
          <w:szCs w:val="20"/>
          <w:lang w:val="es-MX"/>
        </w:rPr>
        <w:t>: i)</w:t>
      </w:r>
      <w:r w:rsidR="00C26B8E" w:rsidRPr="009446A3">
        <w:rPr>
          <w:rFonts w:ascii="Verdana" w:hAnsi="Verdana"/>
          <w:sz w:val="20"/>
          <w:szCs w:val="20"/>
          <w:lang w:val="es-MX"/>
        </w:rPr>
        <w:t xml:space="preserve"> </w:t>
      </w:r>
      <w:r w:rsidR="00D22FE8" w:rsidRPr="009446A3">
        <w:rPr>
          <w:rFonts w:ascii="Verdana" w:hAnsi="Verdana"/>
          <w:sz w:val="20"/>
          <w:szCs w:val="20"/>
          <w:lang w:val="es-MX"/>
        </w:rPr>
        <w:t xml:space="preserve">dio </w:t>
      </w:r>
      <w:r w:rsidR="00C26B8E" w:rsidRPr="009446A3">
        <w:rPr>
          <w:rFonts w:ascii="Verdana" w:hAnsi="Verdana"/>
          <w:sz w:val="20"/>
          <w:szCs w:val="20"/>
          <w:lang w:val="es-MX"/>
        </w:rPr>
        <w:t xml:space="preserve">cumplimiento total a </w:t>
      </w:r>
      <w:r w:rsidR="00D06A45">
        <w:rPr>
          <w:rFonts w:ascii="Verdana" w:hAnsi="Verdana"/>
          <w:sz w:val="20"/>
          <w:szCs w:val="20"/>
          <w:lang w:val="es-MX"/>
        </w:rPr>
        <w:t>tres</w:t>
      </w:r>
      <w:r w:rsidR="00C26B8E" w:rsidRPr="009446A3">
        <w:rPr>
          <w:rFonts w:ascii="Verdana" w:hAnsi="Verdana"/>
          <w:sz w:val="20"/>
          <w:szCs w:val="20"/>
          <w:lang w:val="es-MX"/>
        </w:rPr>
        <w:t xml:space="preserve"> reparaciones</w:t>
      </w:r>
      <w:r w:rsidR="00C26B8E">
        <w:rPr>
          <w:rStyle w:val="FootnoteReference"/>
          <w:rFonts w:ascii="Verdana" w:hAnsi="Verdana"/>
          <w:sz w:val="20"/>
          <w:szCs w:val="20"/>
          <w:lang w:val="es-MX"/>
        </w:rPr>
        <w:footnoteReference w:id="11"/>
      </w:r>
      <w:r w:rsidR="005C7B28">
        <w:rPr>
          <w:rFonts w:ascii="Verdana" w:hAnsi="Verdana"/>
          <w:sz w:val="20"/>
          <w:szCs w:val="20"/>
          <w:lang w:val="es-MX"/>
        </w:rPr>
        <w:t xml:space="preserve">; ii) </w:t>
      </w:r>
      <w:r w:rsidR="00C26B8E" w:rsidRPr="009446A3">
        <w:rPr>
          <w:rFonts w:ascii="Verdana" w:hAnsi="Verdana"/>
          <w:sz w:val="20"/>
          <w:szCs w:val="20"/>
          <w:lang w:val="es-MX"/>
        </w:rPr>
        <w:t>ven</w:t>
      </w:r>
      <w:r w:rsidR="00D22FE8" w:rsidRPr="009446A3">
        <w:rPr>
          <w:rFonts w:ascii="Verdana" w:hAnsi="Verdana"/>
          <w:sz w:val="20"/>
          <w:szCs w:val="20"/>
          <w:lang w:val="es-MX"/>
        </w:rPr>
        <w:t>ía</w:t>
      </w:r>
      <w:r w:rsidR="00C26B8E" w:rsidRPr="009446A3">
        <w:rPr>
          <w:rFonts w:ascii="Verdana" w:hAnsi="Verdana"/>
          <w:sz w:val="20"/>
          <w:szCs w:val="20"/>
          <w:lang w:val="es-MX"/>
        </w:rPr>
        <w:t xml:space="preserve"> dando cumplimiento </w:t>
      </w:r>
      <w:r w:rsidR="00D22FE8" w:rsidRPr="009446A3">
        <w:rPr>
          <w:rFonts w:ascii="Verdana" w:hAnsi="Verdana"/>
          <w:sz w:val="20"/>
          <w:szCs w:val="20"/>
          <w:lang w:val="es-MX"/>
        </w:rPr>
        <w:t>a</w:t>
      </w:r>
      <w:r w:rsidR="00C26B8E" w:rsidRPr="009446A3">
        <w:rPr>
          <w:rFonts w:ascii="Verdana" w:hAnsi="Verdana"/>
          <w:sz w:val="20"/>
          <w:szCs w:val="20"/>
          <w:lang w:val="es-MX"/>
        </w:rPr>
        <w:t xml:space="preserve"> dos medidas</w:t>
      </w:r>
      <w:r w:rsidR="00C26B8E">
        <w:rPr>
          <w:rStyle w:val="FootnoteReference"/>
          <w:rFonts w:ascii="Verdana" w:hAnsi="Verdana"/>
          <w:sz w:val="20"/>
          <w:szCs w:val="20"/>
          <w:lang w:val="es-MX"/>
        </w:rPr>
        <w:footnoteReference w:id="12"/>
      </w:r>
      <w:r w:rsidR="005C7B28">
        <w:rPr>
          <w:rFonts w:ascii="Verdana" w:hAnsi="Verdana"/>
          <w:sz w:val="20"/>
          <w:szCs w:val="20"/>
          <w:lang w:val="es-MX"/>
        </w:rPr>
        <w:t>,</w:t>
      </w:r>
      <w:r w:rsidR="00B36AF6" w:rsidRPr="009446A3">
        <w:rPr>
          <w:rFonts w:ascii="Verdana" w:hAnsi="Verdana"/>
          <w:sz w:val="20"/>
          <w:szCs w:val="20"/>
          <w:lang w:val="es-MX"/>
        </w:rPr>
        <w:t xml:space="preserve"> y </w:t>
      </w:r>
      <w:r w:rsidR="005C7B28">
        <w:rPr>
          <w:rFonts w:ascii="Verdana" w:hAnsi="Verdana"/>
          <w:sz w:val="20"/>
          <w:szCs w:val="20"/>
          <w:lang w:val="es-MX"/>
        </w:rPr>
        <w:t>iii) tenía</w:t>
      </w:r>
      <w:r w:rsidR="00B36AF6" w:rsidRPr="009446A3">
        <w:rPr>
          <w:rFonts w:ascii="Verdana" w:hAnsi="Verdana"/>
          <w:sz w:val="20"/>
          <w:szCs w:val="20"/>
          <w:lang w:val="es-MX"/>
        </w:rPr>
        <w:t xml:space="preserve"> pendientes de cumplimiento </w:t>
      </w:r>
      <w:r w:rsidR="005C7B28">
        <w:rPr>
          <w:rFonts w:ascii="Verdana" w:hAnsi="Verdana"/>
          <w:sz w:val="20"/>
          <w:szCs w:val="20"/>
          <w:lang w:val="es-MX"/>
        </w:rPr>
        <w:t>diez</w:t>
      </w:r>
      <w:r w:rsidR="00B36AF6" w:rsidRPr="009446A3">
        <w:rPr>
          <w:rFonts w:ascii="Verdana" w:hAnsi="Verdana"/>
          <w:sz w:val="20"/>
          <w:szCs w:val="20"/>
          <w:lang w:val="es-MX"/>
        </w:rPr>
        <w:t xml:space="preserve"> medidas de reparación</w:t>
      </w:r>
      <w:r w:rsidR="00B36AF6">
        <w:rPr>
          <w:rStyle w:val="FootnoteReference"/>
          <w:rFonts w:ascii="Verdana" w:hAnsi="Verdana"/>
          <w:sz w:val="20"/>
          <w:szCs w:val="20"/>
          <w:lang w:val="es-MX"/>
        </w:rPr>
        <w:footnoteReference w:id="13"/>
      </w:r>
      <w:r w:rsidR="009446A3">
        <w:rPr>
          <w:rFonts w:ascii="Verdana" w:hAnsi="Verdana"/>
          <w:sz w:val="20"/>
          <w:szCs w:val="20"/>
          <w:lang w:val="es-MX"/>
        </w:rPr>
        <w:t>.</w:t>
      </w:r>
    </w:p>
    <w:p w14:paraId="75B729F7" w14:textId="77777777" w:rsidR="00C63BA2" w:rsidRDefault="00C63BA2" w:rsidP="00A4635E">
      <w:pPr>
        <w:pStyle w:val="ListParagraph"/>
        <w:spacing w:after="0" w:line="240" w:lineRule="auto"/>
        <w:ind w:left="0" w:right="4"/>
        <w:jc w:val="both"/>
        <w:rPr>
          <w:rFonts w:ascii="Verdana" w:hAnsi="Verdana"/>
          <w:sz w:val="20"/>
          <w:szCs w:val="20"/>
          <w:lang w:val="es-ES"/>
        </w:rPr>
      </w:pPr>
    </w:p>
    <w:p w14:paraId="0ED1DFA5" w14:textId="77777777" w:rsidR="002F7469" w:rsidRPr="00C63BA2" w:rsidRDefault="00BD33C8" w:rsidP="00A4635E">
      <w:pPr>
        <w:pStyle w:val="ListParagraph"/>
        <w:numPr>
          <w:ilvl w:val="0"/>
          <w:numId w:val="2"/>
        </w:numPr>
        <w:spacing w:after="0" w:line="240" w:lineRule="auto"/>
        <w:ind w:left="0" w:right="4" w:firstLine="0"/>
        <w:jc w:val="both"/>
        <w:rPr>
          <w:rFonts w:ascii="Verdana" w:hAnsi="Verdana"/>
          <w:sz w:val="20"/>
          <w:szCs w:val="20"/>
          <w:lang w:val="es-ES"/>
        </w:rPr>
      </w:pPr>
      <w:r w:rsidRPr="00C63BA2">
        <w:rPr>
          <w:rFonts w:ascii="Verdana" w:hAnsi="Verdana"/>
          <w:sz w:val="20"/>
          <w:szCs w:val="20"/>
          <w:lang w:val="es-ES"/>
        </w:rPr>
        <w:t xml:space="preserve">De </w:t>
      </w:r>
      <w:r w:rsidR="00452D9D" w:rsidRPr="00C63BA2">
        <w:rPr>
          <w:rFonts w:ascii="Verdana" w:hAnsi="Verdana"/>
          <w:sz w:val="20"/>
          <w:szCs w:val="20"/>
        </w:rPr>
        <w:t xml:space="preserve">conformidad con lo establecido en el artículo </w:t>
      </w:r>
      <w:r w:rsidR="00452D9D" w:rsidRPr="00C63BA2">
        <w:rPr>
          <w:rFonts w:ascii="Verdana" w:hAnsi="Verdana"/>
          <w:color w:val="000000"/>
          <w:sz w:val="20"/>
          <w:szCs w:val="20"/>
          <w:lang w:val="es-CO"/>
        </w:rPr>
        <w:t>68.1 de la Convención Americana, “[l]os Estados Partes en la Convención se comprometen a cumplir la decisión de la Corte en todo caso en que sean partes”</w:t>
      </w:r>
      <w:r w:rsidR="00452D9D" w:rsidRPr="00C63BA2">
        <w:rPr>
          <w:rFonts w:ascii="Verdana" w:hAnsi="Verdana" w:cs="Verdana"/>
          <w:sz w:val="20"/>
          <w:szCs w:val="20"/>
        </w:rPr>
        <w:t xml:space="preserve">. </w:t>
      </w:r>
      <w:r w:rsidR="00452D9D" w:rsidRPr="00C63BA2">
        <w:rPr>
          <w:rFonts w:ascii="Verdana" w:hAnsi="Verdana"/>
          <w:sz w:val="20"/>
          <w:szCs w:val="20"/>
        </w:rPr>
        <w:t>Esta obligación incluye el deber del Estado de informar a la Corte sobre las medidas adoptadas para cumplir cada uno de los puntos ordenados, lo cual es fundamental para evaluar el estado de cumplimiento de la Sentencia en su conjunto</w:t>
      </w:r>
      <w:r w:rsidR="00CD1D4F">
        <w:rPr>
          <w:rStyle w:val="FootnoteReference"/>
          <w:rFonts w:ascii="Verdana" w:hAnsi="Verdana"/>
          <w:sz w:val="20"/>
          <w:szCs w:val="20"/>
        </w:rPr>
        <w:footnoteReference w:id="14"/>
      </w:r>
      <w:r w:rsidR="00452D9D" w:rsidRPr="00C63BA2">
        <w:rPr>
          <w:rFonts w:ascii="Verdana" w:hAnsi="Verdana"/>
          <w:sz w:val="20"/>
          <w:szCs w:val="20"/>
        </w:rPr>
        <w:t>.</w:t>
      </w:r>
      <w:r w:rsidR="00C63BA2">
        <w:rPr>
          <w:rFonts w:ascii="Verdana" w:hAnsi="Verdana"/>
          <w:sz w:val="20"/>
          <w:szCs w:val="20"/>
        </w:rPr>
        <w:t xml:space="preserve"> </w:t>
      </w:r>
      <w:r w:rsidR="0084765F" w:rsidRPr="00C63BA2">
        <w:rPr>
          <w:rFonts w:ascii="Verdana" w:hAnsi="Verdana"/>
          <w:sz w:val="20"/>
          <w:szCs w:val="20"/>
          <w:lang w:val="es-ES"/>
        </w:rPr>
        <w:t>Los Estados Parte en la Convención deben garantizar el cumplimiento de las disposiciones convencionales y sus efectos propios (</w:t>
      </w:r>
      <w:r w:rsidR="0084765F" w:rsidRPr="00C63BA2">
        <w:rPr>
          <w:rFonts w:ascii="Verdana" w:hAnsi="Verdana"/>
          <w:i/>
          <w:sz w:val="20"/>
          <w:szCs w:val="20"/>
          <w:lang w:val="es-ES"/>
        </w:rPr>
        <w:t>effet utile</w:t>
      </w:r>
      <w:r w:rsidR="0084765F" w:rsidRPr="00C63BA2">
        <w:rPr>
          <w:rFonts w:ascii="Verdana" w:hAnsi="Verdana"/>
          <w:sz w:val="20"/>
          <w:szCs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84765F" w:rsidRPr="00DF7E56">
        <w:rPr>
          <w:rStyle w:val="FootnoteReference"/>
          <w:rFonts w:ascii="Verdana" w:hAnsi="Verdana" w:cs="Verdana"/>
        </w:rPr>
        <w:footnoteReference w:id="15"/>
      </w:r>
      <w:r w:rsidR="0084765F" w:rsidRPr="00C63BA2">
        <w:rPr>
          <w:rFonts w:ascii="Verdana" w:hAnsi="Verdana"/>
          <w:sz w:val="20"/>
          <w:szCs w:val="20"/>
          <w:lang w:val="es-ES"/>
        </w:rPr>
        <w:t>.</w:t>
      </w:r>
    </w:p>
    <w:p w14:paraId="247D7A9C" w14:textId="77777777" w:rsidR="00663721" w:rsidRPr="00DF7E56" w:rsidRDefault="00663721" w:rsidP="00A4635E">
      <w:pPr>
        <w:pStyle w:val="ListParagraph"/>
        <w:spacing w:after="0" w:line="240" w:lineRule="auto"/>
        <w:ind w:left="0"/>
        <w:rPr>
          <w:rFonts w:ascii="Verdana" w:hAnsi="Verdana"/>
          <w:sz w:val="20"/>
          <w:szCs w:val="20"/>
        </w:rPr>
      </w:pPr>
    </w:p>
    <w:p w14:paraId="7CD578F4" w14:textId="063CD0DF" w:rsidR="00C03FC3" w:rsidRPr="00237F93" w:rsidRDefault="007568C5" w:rsidP="001E3198">
      <w:pPr>
        <w:pStyle w:val="ListParagraph"/>
        <w:widowControl w:val="0"/>
        <w:numPr>
          <w:ilvl w:val="0"/>
          <w:numId w:val="6"/>
        </w:numPr>
        <w:tabs>
          <w:tab w:val="left" w:pos="567"/>
        </w:tabs>
        <w:spacing w:after="0" w:line="240" w:lineRule="auto"/>
        <w:ind w:left="0" w:right="4" w:firstLine="0"/>
        <w:jc w:val="both"/>
        <w:rPr>
          <w:rFonts w:ascii="Verdana" w:hAnsi="Verdana"/>
          <w:sz w:val="20"/>
          <w:szCs w:val="20"/>
        </w:rPr>
      </w:pPr>
      <w:r w:rsidRPr="00663721">
        <w:rPr>
          <w:rFonts w:ascii="Verdana" w:hAnsi="Verdana"/>
          <w:sz w:val="20"/>
          <w:szCs w:val="20"/>
        </w:rPr>
        <w:t>E</w:t>
      </w:r>
      <w:r w:rsidR="0084765F" w:rsidRPr="00663721">
        <w:rPr>
          <w:rFonts w:ascii="Verdana" w:hAnsi="Verdana"/>
          <w:sz w:val="20"/>
          <w:szCs w:val="20"/>
        </w:rPr>
        <w:t>l Tribunal se pronunciará sobre</w:t>
      </w:r>
      <w:r w:rsidR="00663721">
        <w:rPr>
          <w:rFonts w:ascii="Verdana" w:hAnsi="Verdana"/>
          <w:sz w:val="20"/>
          <w:szCs w:val="20"/>
        </w:rPr>
        <w:t xml:space="preserve"> todas</w:t>
      </w:r>
      <w:r w:rsidR="0084765F" w:rsidRPr="00663721">
        <w:rPr>
          <w:rFonts w:ascii="Verdana" w:hAnsi="Verdana"/>
          <w:sz w:val="20"/>
          <w:szCs w:val="20"/>
        </w:rPr>
        <w:t xml:space="preserve"> </w:t>
      </w:r>
      <w:r w:rsidR="00663721" w:rsidRPr="00663721">
        <w:rPr>
          <w:rFonts w:ascii="Verdana" w:hAnsi="Verdana"/>
          <w:sz w:val="20"/>
          <w:szCs w:val="20"/>
        </w:rPr>
        <w:t>las</w:t>
      </w:r>
      <w:r w:rsidR="00F349B5" w:rsidRPr="00663721">
        <w:rPr>
          <w:rFonts w:ascii="Verdana" w:hAnsi="Verdana"/>
          <w:sz w:val="20"/>
          <w:szCs w:val="20"/>
        </w:rPr>
        <w:t xml:space="preserve"> </w:t>
      </w:r>
      <w:r w:rsidR="0084765F" w:rsidRPr="00663721">
        <w:rPr>
          <w:rFonts w:ascii="Verdana" w:hAnsi="Verdana"/>
          <w:sz w:val="20"/>
          <w:szCs w:val="20"/>
        </w:rPr>
        <w:t xml:space="preserve">medidas de reparación </w:t>
      </w:r>
      <w:r w:rsidR="009B5E27">
        <w:rPr>
          <w:rFonts w:ascii="Verdana" w:hAnsi="Verdana"/>
          <w:sz w:val="20"/>
          <w:szCs w:val="20"/>
        </w:rPr>
        <w:t>que se encuentran pendientes de cumplimiento</w:t>
      </w:r>
      <w:r w:rsidR="00F349B5" w:rsidRPr="00663721">
        <w:rPr>
          <w:rFonts w:ascii="Verdana" w:hAnsi="Verdana"/>
          <w:sz w:val="20"/>
          <w:szCs w:val="20"/>
        </w:rPr>
        <w:t xml:space="preserve"> (</w:t>
      </w:r>
      <w:r w:rsidR="00CD1D4F">
        <w:rPr>
          <w:rFonts w:ascii="Verdana" w:hAnsi="Verdana"/>
          <w:i/>
          <w:sz w:val="20"/>
          <w:szCs w:val="20"/>
        </w:rPr>
        <w:t>supra</w:t>
      </w:r>
      <w:r w:rsidR="00CD1D4F" w:rsidRPr="00663721">
        <w:rPr>
          <w:rFonts w:ascii="Verdana" w:hAnsi="Verdana"/>
          <w:sz w:val="20"/>
          <w:szCs w:val="20"/>
        </w:rPr>
        <w:t xml:space="preserve"> </w:t>
      </w:r>
      <w:r w:rsidR="00663721" w:rsidRPr="00663721">
        <w:rPr>
          <w:rFonts w:ascii="Verdana" w:hAnsi="Verdana"/>
          <w:sz w:val="20"/>
          <w:szCs w:val="20"/>
        </w:rPr>
        <w:t xml:space="preserve">Considerando </w:t>
      </w:r>
      <w:r w:rsidR="00CD1D4F">
        <w:rPr>
          <w:rFonts w:ascii="Verdana" w:hAnsi="Verdana"/>
          <w:sz w:val="20"/>
          <w:szCs w:val="20"/>
        </w:rPr>
        <w:t>1</w:t>
      </w:r>
      <w:r w:rsidR="00F43EA7" w:rsidRPr="00663721">
        <w:rPr>
          <w:rFonts w:ascii="Verdana" w:hAnsi="Verdana"/>
          <w:sz w:val="20"/>
          <w:szCs w:val="20"/>
        </w:rPr>
        <w:t>)</w:t>
      </w:r>
      <w:r w:rsidR="00657A7F">
        <w:rPr>
          <w:rFonts w:ascii="Verdana" w:hAnsi="Verdana"/>
          <w:sz w:val="20"/>
          <w:szCs w:val="20"/>
        </w:rPr>
        <w:t xml:space="preserve">, para lo cual </w:t>
      </w:r>
      <w:r w:rsidR="005851E9" w:rsidRPr="00663721">
        <w:rPr>
          <w:rFonts w:ascii="Verdana" w:hAnsi="Verdana"/>
          <w:sz w:val="20"/>
          <w:szCs w:val="20"/>
        </w:rPr>
        <w:t xml:space="preserve">estructurará </w:t>
      </w:r>
      <w:r w:rsidR="009B5E27">
        <w:rPr>
          <w:rFonts w:ascii="Verdana" w:hAnsi="Verdana"/>
          <w:sz w:val="20"/>
          <w:szCs w:val="20"/>
        </w:rPr>
        <w:t>sus</w:t>
      </w:r>
      <w:r w:rsidR="005851E9" w:rsidRPr="00663721">
        <w:rPr>
          <w:rFonts w:ascii="Verdana" w:hAnsi="Verdana"/>
          <w:sz w:val="20"/>
          <w:szCs w:val="20"/>
        </w:rPr>
        <w:t xml:space="preserve"> consideraciones en el siguiente orden:</w:t>
      </w:r>
    </w:p>
    <w:bookmarkStart w:id="0" w:name="_Toc461464219" w:displacedByCustomXml="next"/>
    <w:sdt>
      <w:sdtPr>
        <w:rPr>
          <w:rFonts w:ascii="Calibri" w:eastAsia="Calibri" w:hAnsi="Calibri" w:cs="Times New Roman"/>
          <w:b w:val="0"/>
          <w:bCs w:val="0"/>
          <w:color w:val="auto"/>
          <w:sz w:val="22"/>
          <w:szCs w:val="22"/>
          <w:lang w:val="es-CR" w:eastAsia="en-US"/>
        </w:rPr>
        <w:id w:val="1631743594"/>
        <w:docPartObj>
          <w:docPartGallery w:val="Table of Contents"/>
          <w:docPartUnique/>
        </w:docPartObj>
      </w:sdtPr>
      <w:sdtEndPr>
        <w:rPr>
          <w:noProof/>
          <w:sz w:val="18"/>
          <w:szCs w:val="18"/>
        </w:rPr>
      </w:sdtEndPr>
      <w:sdtContent>
        <w:p w14:paraId="248E1105" w14:textId="77777777" w:rsidR="00A4635E" w:rsidRPr="00A4635E" w:rsidRDefault="00A4635E" w:rsidP="001E3198">
          <w:pPr>
            <w:pStyle w:val="TOCHeading"/>
            <w:keepNext w:val="0"/>
            <w:keepLines w:val="0"/>
            <w:widowControl w:val="0"/>
            <w:spacing w:before="0" w:line="240" w:lineRule="auto"/>
            <w:rPr>
              <w:sz w:val="16"/>
              <w:szCs w:val="16"/>
            </w:rPr>
          </w:pPr>
        </w:p>
        <w:p w14:paraId="792FA157" w14:textId="77777777" w:rsidR="00F34F09" w:rsidRPr="00404F16" w:rsidRDefault="00A4635E"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r w:rsidRPr="00404F16">
            <w:rPr>
              <w:rFonts w:ascii="Verdana" w:hAnsi="Verdana"/>
              <w:sz w:val="18"/>
              <w:szCs w:val="18"/>
            </w:rPr>
            <w:fldChar w:fldCharType="begin"/>
          </w:r>
          <w:r w:rsidRPr="00404F16">
            <w:rPr>
              <w:rFonts w:ascii="Verdana" w:hAnsi="Verdana"/>
              <w:sz w:val="18"/>
              <w:szCs w:val="18"/>
            </w:rPr>
            <w:instrText xml:space="preserve"> TOC \o "1-3" \h \z \u </w:instrText>
          </w:r>
          <w:r w:rsidRPr="00404F16">
            <w:rPr>
              <w:rFonts w:ascii="Verdana" w:hAnsi="Verdana"/>
              <w:sz w:val="18"/>
              <w:szCs w:val="18"/>
            </w:rPr>
            <w:fldChar w:fldCharType="separate"/>
          </w:r>
          <w:hyperlink w:anchor="_Toc524712407" w:history="1">
            <w:r w:rsidR="00F34F09" w:rsidRPr="00404F16">
              <w:rPr>
                <w:rStyle w:val="Hyperlink"/>
                <w:rFonts w:ascii="Verdana" w:hAnsi="Verdana"/>
                <w:noProof/>
                <w:sz w:val="18"/>
                <w:szCs w:val="18"/>
              </w:rPr>
              <w:t>Obligación de investigar los hechos de tortura</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_Toc524712407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3</w:t>
            </w:r>
            <w:r w:rsidR="00F34F09" w:rsidRPr="00404F16">
              <w:rPr>
                <w:rFonts w:ascii="Verdana" w:hAnsi="Verdana"/>
                <w:noProof/>
                <w:webHidden/>
                <w:sz w:val="18"/>
                <w:szCs w:val="18"/>
              </w:rPr>
              <w:fldChar w:fldCharType="end"/>
            </w:r>
          </w:hyperlink>
        </w:p>
        <w:p w14:paraId="334D6D1C" w14:textId="77777777" w:rsidR="00F34F09" w:rsidRPr="00404F16" w:rsidRDefault="000F0C82"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hyperlink w:anchor="_Toc524712408" w:history="1">
            <w:r w:rsidR="00F34F09" w:rsidRPr="00404F16">
              <w:rPr>
                <w:rStyle w:val="Hyperlink"/>
                <w:rFonts w:ascii="Verdana" w:hAnsi="Verdana"/>
                <w:noProof/>
                <w:sz w:val="18"/>
                <w:szCs w:val="18"/>
              </w:rPr>
              <w:t>Eliminación de antecedentes penales</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_Toc524712408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6</w:t>
            </w:r>
            <w:r w:rsidR="00F34F09" w:rsidRPr="00404F16">
              <w:rPr>
                <w:rFonts w:ascii="Verdana" w:hAnsi="Verdana"/>
                <w:noProof/>
                <w:webHidden/>
                <w:sz w:val="18"/>
                <w:szCs w:val="18"/>
              </w:rPr>
              <w:fldChar w:fldCharType="end"/>
            </w:r>
          </w:hyperlink>
        </w:p>
        <w:p w14:paraId="3C5F913B" w14:textId="77777777" w:rsidR="00F34F09" w:rsidRPr="00404F16" w:rsidRDefault="000F0C82"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hyperlink w:anchor="_Toc524712409" w:history="1">
            <w:r w:rsidR="00F34F09" w:rsidRPr="00404F16">
              <w:rPr>
                <w:rStyle w:val="Hyperlink"/>
                <w:rFonts w:ascii="Verdana" w:hAnsi="Verdana"/>
                <w:noProof/>
                <w:sz w:val="18"/>
                <w:szCs w:val="18"/>
              </w:rPr>
              <w:t>Otorgar atención médica y psicológica</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_Toc524712409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7</w:t>
            </w:r>
            <w:r w:rsidR="00F34F09" w:rsidRPr="00404F16">
              <w:rPr>
                <w:rFonts w:ascii="Verdana" w:hAnsi="Verdana"/>
                <w:noProof/>
                <w:webHidden/>
                <w:sz w:val="18"/>
                <w:szCs w:val="18"/>
              </w:rPr>
              <w:fldChar w:fldCharType="end"/>
            </w:r>
          </w:hyperlink>
        </w:p>
        <w:p w14:paraId="395357E8" w14:textId="77777777" w:rsidR="00F34F09" w:rsidRPr="00404F16" w:rsidRDefault="000F0C82"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hyperlink w:anchor="_Toc524712410" w:history="1">
            <w:r w:rsidR="00F34F09" w:rsidRPr="00404F16">
              <w:rPr>
                <w:rStyle w:val="Hyperlink"/>
                <w:rFonts w:ascii="Verdana" w:hAnsi="Verdana"/>
                <w:noProof/>
                <w:sz w:val="18"/>
                <w:szCs w:val="18"/>
              </w:rPr>
              <w:t>Acto público de reconocimiento de responsabilidad internacional</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_Toc524712410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10</w:t>
            </w:r>
            <w:r w:rsidR="00F34F09" w:rsidRPr="00404F16">
              <w:rPr>
                <w:rFonts w:ascii="Verdana" w:hAnsi="Verdana"/>
                <w:noProof/>
                <w:webHidden/>
                <w:sz w:val="18"/>
                <w:szCs w:val="18"/>
              </w:rPr>
              <w:fldChar w:fldCharType="end"/>
            </w:r>
          </w:hyperlink>
        </w:p>
        <w:p w14:paraId="4D602018" w14:textId="77777777" w:rsidR="00F34F09" w:rsidRPr="00404F16" w:rsidRDefault="000F0C82"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hyperlink w:anchor="_Toc524712411" w:history="1">
            <w:r w:rsidR="00F34F09" w:rsidRPr="00404F16">
              <w:rPr>
                <w:rStyle w:val="Hyperlink"/>
                <w:rFonts w:ascii="Verdana" w:hAnsi="Verdana"/>
                <w:noProof/>
                <w:sz w:val="18"/>
                <w:szCs w:val="18"/>
              </w:rPr>
              <w:t>Otorgamiento de “becas educativas”</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_Toc524712411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11</w:t>
            </w:r>
            <w:r w:rsidR="00F34F09" w:rsidRPr="00404F16">
              <w:rPr>
                <w:rFonts w:ascii="Verdana" w:hAnsi="Verdana"/>
                <w:noProof/>
                <w:webHidden/>
                <w:sz w:val="18"/>
                <w:szCs w:val="18"/>
              </w:rPr>
              <w:fldChar w:fldCharType="end"/>
            </w:r>
          </w:hyperlink>
        </w:p>
        <w:p w14:paraId="7BBC1720" w14:textId="77777777" w:rsidR="00F34F09" w:rsidRPr="00404F16" w:rsidRDefault="000F0C82"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hyperlink w:anchor="_Toc524712412" w:history="1">
            <w:r w:rsidR="00F34F09" w:rsidRPr="00404F16">
              <w:rPr>
                <w:rStyle w:val="Hyperlink"/>
                <w:rFonts w:ascii="Verdana" w:hAnsi="Verdana"/>
                <w:noProof/>
                <w:sz w:val="18"/>
                <w:szCs w:val="18"/>
              </w:rPr>
              <w:t>Entrega de vivienda a las víctimas</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_Toc524712412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13</w:t>
            </w:r>
            <w:r w:rsidR="00F34F09" w:rsidRPr="00404F16">
              <w:rPr>
                <w:rFonts w:ascii="Verdana" w:hAnsi="Verdana"/>
                <w:noProof/>
                <w:webHidden/>
                <w:sz w:val="18"/>
                <w:szCs w:val="18"/>
              </w:rPr>
              <w:fldChar w:fldCharType="end"/>
            </w:r>
          </w:hyperlink>
        </w:p>
        <w:p w14:paraId="79D021BB" w14:textId="77777777" w:rsidR="00F34F09" w:rsidRPr="00404F16" w:rsidRDefault="000F0C82"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hyperlink w:anchor="_Toc524712413" w:history="1">
            <w:r w:rsidR="00F34F09" w:rsidRPr="00404F16">
              <w:rPr>
                <w:rStyle w:val="Hyperlink"/>
                <w:rFonts w:ascii="Verdana" w:hAnsi="Verdana"/>
                <w:noProof/>
                <w:sz w:val="18"/>
                <w:szCs w:val="18"/>
              </w:rPr>
              <w:t>Realización de un seminario respecto de “la doctrina de la inmediatez procesal”</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_Toc524712413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15</w:t>
            </w:r>
            <w:r w:rsidR="00F34F09" w:rsidRPr="00404F16">
              <w:rPr>
                <w:rFonts w:ascii="Verdana" w:hAnsi="Verdana"/>
                <w:noProof/>
                <w:webHidden/>
                <w:sz w:val="18"/>
                <w:szCs w:val="18"/>
              </w:rPr>
              <w:fldChar w:fldCharType="end"/>
            </w:r>
          </w:hyperlink>
        </w:p>
        <w:p w14:paraId="40AAED8F" w14:textId="77777777" w:rsidR="00F34F09" w:rsidRPr="00404F16" w:rsidRDefault="000F0C82" w:rsidP="001E3198">
          <w:pPr>
            <w:pStyle w:val="TOC1"/>
            <w:widowControl w:val="0"/>
            <w:tabs>
              <w:tab w:val="clear" w:pos="1620"/>
              <w:tab w:val="clear" w:pos="9350"/>
              <w:tab w:val="left" w:pos="1260"/>
              <w:tab w:val="right" w:leader="dot" w:pos="9090"/>
            </w:tabs>
            <w:spacing w:after="0"/>
            <w:ind w:left="1260" w:right="270"/>
            <w:rPr>
              <w:rFonts w:ascii="Verdana" w:eastAsiaTheme="minorEastAsia" w:hAnsi="Verdana" w:cstheme="minorBidi"/>
              <w:noProof/>
              <w:sz w:val="18"/>
              <w:szCs w:val="18"/>
              <w:lang w:val="en-US"/>
            </w:rPr>
          </w:pPr>
          <w:hyperlink w:anchor="_Toc524712414" w:history="1">
            <w:r w:rsidR="00F34F09" w:rsidRPr="00404F16">
              <w:rPr>
                <w:rStyle w:val="Hyperlink"/>
                <w:rFonts w:ascii="Verdana" w:hAnsi="Verdana"/>
                <w:noProof/>
                <w:sz w:val="18"/>
                <w:szCs w:val="18"/>
              </w:rPr>
              <w:t>Capacitación a “operadores de justicia”</w:t>
            </w:r>
            <w:r w:rsidR="00F34F09" w:rsidRPr="00404F16">
              <w:rPr>
                <w:rFonts w:ascii="Verdana" w:hAnsi="Verdana"/>
                <w:noProof/>
                <w:webHidden/>
                <w:sz w:val="18"/>
                <w:szCs w:val="18"/>
              </w:rPr>
              <w:tab/>
            </w:r>
            <w:r w:rsidR="00F34F09" w:rsidRPr="00404F16">
              <w:rPr>
                <w:rFonts w:ascii="Verdana" w:hAnsi="Verdana"/>
                <w:noProof/>
                <w:webHidden/>
                <w:sz w:val="18"/>
                <w:szCs w:val="18"/>
              </w:rPr>
              <w:fldChar w:fldCharType="begin"/>
            </w:r>
            <w:r w:rsidR="00F34F09" w:rsidRPr="00404F16">
              <w:rPr>
                <w:rFonts w:ascii="Verdana" w:hAnsi="Verdana"/>
                <w:noProof/>
                <w:webHidden/>
                <w:sz w:val="18"/>
                <w:szCs w:val="18"/>
              </w:rPr>
              <w:instrText xml:space="preserve"> PAGEREF _Toc524712414 \h </w:instrText>
            </w:r>
            <w:r w:rsidR="00F34F09" w:rsidRPr="00404F16">
              <w:rPr>
                <w:rFonts w:ascii="Verdana" w:hAnsi="Verdana"/>
                <w:noProof/>
                <w:webHidden/>
                <w:sz w:val="18"/>
                <w:szCs w:val="18"/>
              </w:rPr>
            </w:r>
            <w:r w:rsidR="00F34F09" w:rsidRPr="00404F16">
              <w:rPr>
                <w:rFonts w:ascii="Verdana" w:hAnsi="Verdana"/>
                <w:noProof/>
                <w:webHidden/>
                <w:sz w:val="18"/>
                <w:szCs w:val="18"/>
              </w:rPr>
              <w:fldChar w:fldCharType="separate"/>
            </w:r>
            <w:r w:rsidR="00A023B7">
              <w:rPr>
                <w:rFonts w:ascii="Verdana" w:hAnsi="Verdana"/>
                <w:noProof/>
                <w:webHidden/>
                <w:sz w:val="18"/>
                <w:szCs w:val="18"/>
              </w:rPr>
              <w:t>16</w:t>
            </w:r>
            <w:r w:rsidR="00F34F09" w:rsidRPr="00404F16">
              <w:rPr>
                <w:rFonts w:ascii="Verdana" w:hAnsi="Verdana"/>
                <w:noProof/>
                <w:webHidden/>
                <w:sz w:val="18"/>
                <w:szCs w:val="18"/>
              </w:rPr>
              <w:fldChar w:fldCharType="end"/>
            </w:r>
          </w:hyperlink>
        </w:p>
        <w:p w14:paraId="78684CB4" w14:textId="77777777" w:rsidR="00A4635E" w:rsidRPr="00404F16" w:rsidRDefault="00A4635E" w:rsidP="001E3198">
          <w:pPr>
            <w:pStyle w:val="TOC1"/>
            <w:widowControl w:val="0"/>
            <w:numPr>
              <w:ilvl w:val="0"/>
              <w:numId w:val="0"/>
            </w:numPr>
            <w:spacing w:after="0"/>
            <w:rPr>
              <w:rFonts w:asciiTheme="minorHAnsi" w:eastAsiaTheme="minorEastAsia" w:hAnsiTheme="minorHAnsi" w:cstheme="minorBidi"/>
              <w:noProof/>
              <w:sz w:val="18"/>
              <w:szCs w:val="18"/>
              <w:lang w:val="en-US"/>
            </w:rPr>
          </w:pPr>
          <w:r w:rsidRPr="00404F16">
            <w:rPr>
              <w:rFonts w:ascii="Verdana" w:hAnsi="Verdana"/>
              <w:b/>
              <w:bCs/>
              <w:noProof/>
              <w:sz w:val="18"/>
              <w:szCs w:val="18"/>
            </w:rPr>
            <w:fldChar w:fldCharType="end"/>
          </w:r>
        </w:p>
      </w:sdtContent>
    </w:sdt>
    <w:p w14:paraId="545399B7" w14:textId="77777777" w:rsidR="00AC139B" w:rsidRPr="00046988" w:rsidRDefault="00046988" w:rsidP="00A4635E">
      <w:pPr>
        <w:pStyle w:val="Heading1"/>
        <w:numPr>
          <w:ilvl w:val="0"/>
          <w:numId w:val="26"/>
        </w:numPr>
      </w:pPr>
      <w:bookmarkStart w:id="1" w:name="_Toc524712407"/>
      <w:bookmarkEnd w:id="0"/>
      <w:r w:rsidRPr="00046988">
        <w:t>Obligación de investigar los hechos de tortura</w:t>
      </w:r>
      <w:bookmarkEnd w:id="1"/>
      <w:r w:rsidRPr="00046988">
        <w:t xml:space="preserve"> </w:t>
      </w:r>
    </w:p>
    <w:p w14:paraId="263CD2EE" w14:textId="77777777" w:rsidR="00AC139B" w:rsidRPr="00DF7E56" w:rsidRDefault="00AC139B" w:rsidP="00A4635E">
      <w:pPr>
        <w:spacing w:after="0" w:line="240" w:lineRule="auto"/>
        <w:ind w:left="720" w:hanging="360"/>
        <w:jc w:val="both"/>
        <w:rPr>
          <w:rFonts w:ascii="Verdana" w:hAnsi="Verdana"/>
          <w:i/>
          <w:sz w:val="20"/>
          <w:szCs w:val="20"/>
          <w:lang w:val="es-ES_tradnl"/>
        </w:rPr>
      </w:pPr>
    </w:p>
    <w:p w14:paraId="0674B8F3" w14:textId="14515C0D" w:rsidR="00AC139B" w:rsidRPr="00DF7E56" w:rsidRDefault="00AC139B" w:rsidP="00A4635E">
      <w:pPr>
        <w:spacing w:after="0" w:line="240" w:lineRule="auto"/>
        <w:ind w:left="1080" w:hanging="360"/>
        <w:jc w:val="both"/>
        <w:rPr>
          <w:rFonts w:ascii="Verdana" w:hAnsi="Verdana"/>
          <w:i/>
          <w:sz w:val="20"/>
          <w:szCs w:val="20"/>
        </w:rPr>
      </w:pPr>
      <w:r w:rsidRPr="00DF7E56">
        <w:rPr>
          <w:rFonts w:ascii="Verdana" w:hAnsi="Verdana"/>
          <w:i/>
          <w:sz w:val="20"/>
          <w:szCs w:val="20"/>
        </w:rPr>
        <w:t>A</w:t>
      </w:r>
      <w:r w:rsidR="00D9326E" w:rsidRPr="00DF7E56">
        <w:rPr>
          <w:rFonts w:ascii="Verdana" w:hAnsi="Verdana"/>
          <w:i/>
          <w:sz w:val="20"/>
          <w:szCs w:val="20"/>
        </w:rPr>
        <w:t>.1</w:t>
      </w:r>
      <w:r w:rsidR="00401729">
        <w:rPr>
          <w:rFonts w:ascii="Verdana" w:hAnsi="Verdana"/>
          <w:i/>
          <w:sz w:val="20"/>
          <w:szCs w:val="20"/>
        </w:rPr>
        <w:t>.</w:t>
      </w:r>
      <w:r w:rsidRPr="00DF7E56">
        <w:rPr>
          <w:rFonts w:ascii="Verdana" w:hAnsi="Verdana"/>
          <w:i/>
          <w:sz w:val="20"/>
          <w:szCs w:val="20"/>
        </w:rPr>
        <w:t xml:space="preserve"> Medida ordenada por la Corte</w:t>
      </w:r>
    </w:p>
    <w:p w14:paraId="46E7F681" w14:textId="77777777" w:rsidR="00AC139B" w:rsidRPr="00DF7E56" w:rsidRDefault="00AC139B" w:rsidP="00A4635E">
      <w:pPr>
        <w:pStyle w:val="ListParagraph"/>
        <w:tabs>
          <w:tab w:val="left" w:pos="567"/>
        </w:tabs>
        <w:spacing w:after="0" w:line="240" w:lineRule="auto"/>
        <w:ind w:left="0" w:right="4"/>
        <w:jc w:val="both"/>
        <w:rPr>
          <w:rFonts w:ascii="Verdana" w:hAnsi="Verdana"/>
          <w:sz w:val="20"/>
          <w:szCs w:val="20"/>
        </w:rPr>
      </w:pPr>
    </w:p>
    <w:p w14:paraId="4BE87D7E" w14:textId="4EDF35AE" w:rsidR="00980742" w:rsidRPr="00DF7E56" w:rsidRDefault="00BC2F28" w:rsidP="00A4635E">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E</w:t>
      </w:r>
      <w:r w:rsidR="007E2AE4" w:rsidRPr="00DF7E56">
        <w:rPr>
          <w:rFonts w:ascii="Verdana" w:hAnsi="Verdana"/>
          <w:sz w:val="20"/>
          <w:szCs w:val="20"/>
        </w:rPr>
        <w:t xml:space="preserve">n el punto </w:t>
      </w:r>
      <w:r w:rsidR="00830DF5" w:rsidRPr="00DF7E56">
        <w:rPr>
          <w:rFonts w:ascii="Verdana" w:hAnsi="Verdana"/>
          <w:sz w:val="20"/>
          <w:szCs w:val="20"/>
        </w:rPr>
        <w:t>dispositivo</w:t>
      </w:r>
      <w:r w:rsidR="007E2AE4" w:rsidRPr="00DF7E56">
        <w:rPr>
          <w:rFonts w:ascii="Verdana" w:hAnsi="Verdana"/>
          <w:sz w:val="20"/>
          <w:szCs w:val="20"/>
        </w:rPr>
        <w:t xml:space="preserve"> sexto</w:t>
      </w:r>
      <w:r w:rsidR="0076587F" w:rsidRPr="00DF7E56">
        <w:rPr>
          <w:rFonts w:ascii="Verdana" w:hAnsi="Verdana"/>
          <w:sz w:val="20"/>
          <w:szCs w:val="20"/>
        </w:rPr>
        <w:t xml:space="preserve"> inciso</w:t>
      </w:r>
      <w:r w:rsidR="00046988">
        <w:rPr>
          <w:rFonts w:ascii="Verdana" w:hAnsi="Verdana"/>
          <w:sz w:val="20"/>
          <w:szCs w:val="20"/>
        </w:rPr>
        <w:t xml:space="preserve"> a</w:t>
      </w:r>
      <w:r w:rsidR="007E2AE4" w:rsidRPr="00DF7E56">
        <w:rPr>
          <w:rFonts w:ascii="Verdana" w:hAnsi="Verdana"/>
          <w:sz w:val="20"/>
          <w:szCs w:val="20"/>
        </w:rPr>
        <w:t xml:space="preserve">) </w:t>
      </w:r>
      <w:r w:rsidR="00830DF5" w:rsidRPr="00DF7E56">
        <w:rPr>
          <w:rFonts w:ascii="Verdana" w:hAnsi="Verdana"/>
          <w:sz w:val="20"/>
          <w:szCs w:val="20"/>
        </w:rPr>
        <w:t xml:space="preserve">y </w:t>
      </w:r>
      <w:r w:rsidR="0076587F" w:rsidRPr="00DF7E56">
        <w:rPr>
          <w:rFonts w:ascii="Verdana" w:hAnsi="Verdana"/>
          <w:sz w:val="20"/>
          <w:szCs w:val="20"/>
        </w:rPr>
        <w:t xml:space="preserve">en los </w:t>
      </w:r>
      <w:r w:rsidR="00046988">
        <w:rPr>
          <w:rFonts w:ascii="Verdana" w:hAnsi="Verdana"/>
          <w:sz w:val="20"/>
          <w:szCs w:val="20"/>
        </w:rPr>
        <w:t>párrafos 69 a 71</w:t>
      </w:r>
      <w:r w:rsidR="00830DF5" w:rsidRPr="00DF7E56">
        <w:rPr>
          <w:rFonts w:ascii="Verdana" w:hAnsi="Verdana"/>
          <w:sz w:val="20"/>
          <w:szCs w:val="20"/>
        </w:rPr>
        <w:t xml:space="preserve"> </w:t>
      </w:r>
      <w:r w:rsidR="007E2AE4" w:rsidRPr="00DF7E56">
        <w:rPr>
          <w:rFonts w:ascii="Verdana" w:hAnsi="Verdana"/>
          <w:sz w:val="20"/>
          <w:szCs w:val="20"/>
        </w:rPr>
        <w:t xml:space="preserve">de la Sentencia, </w:t>
      </w:r>
      <w:r w:rsidR="005721B2">
        <w:rPr>
          <w:rFonts w:ascii="Verdana" w:hAnsi="Verdana"/>
          <w:sz w:val="20"/>
        </w:rPr>
        <w:t>la Corte homologó la medida</w:t>
      </w:r>
      <w:r w:rsidR="00AD24D6">
        <w:rPr>
          <w:rFonts w:ascii="Verdana" w:hAnsi="Verdana"/>
          <w:sz w:val="20"/>
        </w:rPr>
        <w:t xml:space="preserve"> relativa</w:t>
      </w:r>
      <w:r w:rsidR="005721B2" w:rsidRPr="00FE77B0">
        <w:rPr>
          <w:rFonts w:ascii="Verdana" w:hAnsi="Verdana"/>
          <w:sz w:val="20"/>
        </w:rPr>
        <w:t xml:space="preserve"> a</w:t>
      </w:r>
      <w:r w:rsidR="00046988">
        <w:rPr>
          <w:rFonts w:ascii="Verdana" w:hAnsi="Verdana"/>
          <w:sz w:val="20"/>
          <w:szCs w:val="20"/>
        </w:rPr>
        <w:t xml:space="preserve"> </w:t>
      </w:r>
      <w:r w:rsidR="00046988" w:rsidRPr="00A30780">
        <w:rPr>
          <w:rFonts w:ascii="Verdana" w:hAnsi="Verdana"/>
          <w:sz w:val="20"/>
          <w:szCs w:val="20"/>
          <w:lang w:val="es-ES"/>
        </w:rPr>
        <w:t>“realizar y proseguir de modo diligente todas las investigaciones y actuaciones necesarias para deslindar responsabilidades y[,] en su caso, sancionar la comisión del delito de tortura”</w:t>
      </w:r>
      <w:r w:rsidR="00046988">
        <w:rPr>
          <w:rFonts w:ascii="Verdana" w:hAnsi="Verdana"/>
          <w:sz w:val="20"/>
          <w:szCs w:val="20"/>
          <w:lang w:val="es-ES"/>
        </w:rPr>
        <w:t>,</w:t>
      </w:r>
      <w:r w:rsidR="00046988" w:rsidRPr="00A30780">
        <w:rPr>
          <w:rFonts w:ascii="Verdana" w:hAnsi="Verdana"/>
          <w:sz w:val="20"/>
          <w:szCs w:val="20"/>
          <w:lang w:val="es-ES"/>
        </w:rPr>
        <w:t xml:space="preserve"> en perjuicio de los señores García Cruz y Sánchez Silvestre</w:t>
      </w:r>
      <w:r w:rsidR="00830DF5" w:rsidRPr="00DF7E56">
        <w:rPr>
          <w:rFonts w:ascii="Verdana" w:hAnsi="Verdana"/>
          <w:sz w:val="20"/>
          <w:szCs w:val="20"/>
        </w:rPr>
        <w:t>.</w:t>
      </w:r>
      <w:r w:rsidR="00213BBF">
        <w:rPr>
          <w:rFonts w:ascii="Verdana" w:hAnsi="Verdana"/>
          <w:sz w:val="20"/>
          <w:szCs w:val="20"/>
        </w:rPr>
        <w:t xml:space="preserve"> </w:t>
      </w:r>
      <w:r w:rsidR="00066DB0">
        <w:rPr>
          <w:rFonts w:ascii="Verdana" w:hAnsi="Verdana"/>
          <w:sz w:val="20"/>
          <w:szCs w:val="20"/>
        </w:rPr>
        <w:t>En el párrafo 69 de la Sentencia constan las precisiones que, respecto a esta obligación, el Estado</w:t>
      </w:r>
      <w:r w:rsidR="006F003F">
        <w:rPr>
          <w:rFonts w:ascii="Verdana" w:hAnsi="Verdana"/>
          <w:sz w:val="20"/>
          <w:szCs w:val="20"/>
        </w:rPr>
        <w:t xml:space="preserve"> se comprometió</w:t>
      </w:r>
      <w:r w:rsidR="0090212B">
        <w:rPr>
          <w:rFonts w:ascii="Verdana" w:hAnsi="Verdana"/>
          <w:sz w:val="20"/>
          <w:szCs w:val="20"/>
        </w:rPr>
        <w:t xml:space="preserve"> a garantizar</w:t>
      </w:r>
      <w:r w:rsidR="00066DB0">
        <w:rPr>
          <w:rFonts w:ascii="Verdana" w:hAnsi="Verdana"/>
          <w:sz w:val="20"/>
          <w:szCs w:val="20"/>
        </w:rPr>
        <w:t>:</w:t>
      </w:r>
    </w:p>
    <w:p w14:paraId="31232151" w14:textId="77777777" w:rsidR="0061188E" w:rsidRDefault="0061188E" w:rsidP="00A4635E">
      <w:pPr>
        <w:pStyle w:val="ListParagraph"/>
        <w:spacing w:after="0" w:line="240" w:lineRule="auto"/>
        <w:rPr>
          <w:rFonts w:ascii="Verdana" w:hAnsi="Verdana"/>
          <w:sz w:val="20"/>
          <w:szCs w:val="20"/>
        </w:rPr>
      </w:pPr>
    </w:p>
    <w:p w14:paraId="6A88B2A4" w14:textId="77777777" w:rsidR="0090212B" w:rsidRDefault="0090212B" w:rsidP="00066DB0">
      <w:pPr>
        <w:pStyle w:val="ListParagraph"/>
        <w:numPr>
          <w:ilvl w:val="0"/>
          <w:numId w:val="32"/>
        </w:numPr>
        <w:autoSpaceDE w:val="0"/>
        <w:autoSpaceDN w:val="0"/>
        <w:adjustRightInd w:val="0"/>
        <w:spacing w:after="0" w:line="240" w:lineRule="auto"/>
        <w:jc w:val="both"/>
        <w:rPr>
          <w:rFonts w:ascii="Verdana" w:eastAsiaTheme="minorHAnsi" w:hAnsi="Verdana" w:cs="Verdana"/>
          <w:color w:val="000000"/>
          <w:sz w:val="20"/>
          <w:szCs w:val="20"/>
        </w:rPr>
      </w:pPr>
      <w:r w:rsidRPr="0090212B">
        <w:rPr>
          <w:rFonts w:ascii="Verdana" w:eastAsia="Times New Roman" w:hAnsi="Verdana"/>
          <w:sz w:val="19"/>
          <w:szCs w:val="19"/>
          <w:lang w:val="es-ES_tradnl"/>
        </w:rPr>
        <w:t>“a través de la Procuraduría General de la República […] a realizar y proseguir de modo diligente todas las investigaciones y actuaciones necesarias para deslindar responsabilidades y en su caso, sancionar la comisión del delito de tortura”, lo cual “incluye las acciones y omisiones que se realizaron en perjuicio de las víctimas y que generaron la responsabilidad internacional del Estado mexicano”. Asimismo, el Estado “[e]n cumplimiento de esta obligación […] debe remover todos los obstáculos, de facto y de jure, que mantengan la impunidad”</w:t>
      </w:r>
      <w:r>
        <w:rPr>
          <w:rFonts w:ascii="Verdana" w:eastAsiaTheme="minorHAnsi" w:hAnsi="Verdana" w:cs="Verdana"/>
          <w:color w:val="000000"/>
          <w:sz w:val="20"/>
          <w:szCs w:val="20"/>
        </w:rPr>
        <w:t>;</w:t>
      </w:r>
    </w:p>
    <w:p w14:paraId="2DAF73C6" w14:textId="7A68113D" w:rsidR="0090212B" w:rsidRDefault="0090212B" w:rsidP="00066DB0">
      <w:pPr>
        <w:pStyle w:val="ListParagraph"/>
        <w:numPr>
          <w:ilvl w:val="0"/>
          <w:numId w:val="32"/>
        </w:numPr>
        <w:autoSpaceDE w:val="0"/>
        <w:autoSpaceDN w:val="0"/>
        <w:adjustRightInd w:val="0"/>
        <w:spacing w:after="0" w:line="240" w:lineRule="auto"/>
        <w:jc w:val="both"/>
        <w:rPr>
          <w:rFonts w:ascii="Verdana" w:eastAsiaTheme="minorHAnsi" w:hAnsi="Verdana" w:cs="Verdana"/>
          <w:color w:val="000000"/>
          <w:sz w:val="20"/>
          <w:szCs w:val="20"/>
        </w:rPr>
      </w:pPr>
      <w:r w:rsidRPr="0090212B">
        <w:rPr>
          <w:rFonts w:ascii="Verdana" w:eastAsia="Times New Roman" w:hAnsi="Verdana"/>
          <w:sz w:val="19"/>
          <w:szCs w:val="19"/>
          <w:lang w:val="es-ES_tradnl"/>
        </w:rPr>
        <w:t xml:space="preserve">en cuanto al “acceso a la investigación y la participación de las víctimas […] en el proceso ministerial, el Estado reconoc[ió] su derecho irrestricto para acceder y </w:t>
      </w:r>
      <w:r w:rsidRPr="0090212B">
        <w:rPr>
          <w:rFonts w:ascii="Verdana" w:eastAsia="Times New Roman" w:hAnsi="Verdana"/>
          <w:sz w:val="19"/>
          <w:szCs w:val="19"/>
          <w:lang w:val="es-ES_tradnl"/>
        </w:rPr>
        <w:lastRenderedPageBreak/>
        <w:t>consultar, por sí o por sus representantes, el expediente de la investigación que se siga por el delito de tortura, para coadyuvar con el Ministerio Público Federal”. Asimismo, se señaló que “[e]ste derecho podrá ser ejercido en otros procesos penales que se inicien en función de la investigación de la totalidad de los hechos del caso”. Para ello, las partes “se reunirán cuantas veces sean necesarias con el Ministerio Público de la Federación a fin de plantear inquietudes y observaciones inherentes a la investigación del caso”</w:t>
      </w:r>
      <w:r>
        <w:rPr>
          <w:rFonts w:ascii="Verdana" w:eastAsia="Times New Roman" w:hAnsi="Verdana"/>
          <w:sz w:val="19"/>
          <w:szCs w:val="19"/>
          <w:lang w:val="es-ES_tradnl"/>
        </w:rPr>
        <w:t>;</w:t>
      </w:r>
      <w:r w:rsidRPr="00066DB0">
        <w:rPr>
          <w:rFonts w:ascii="Verdana" w:eastAsiaTheme="minorHAnsi" w:hAnsi="Verdana" w:cs="Verdana"/>
          <w:color w:val="000000"/>
          <w:sz w:val="20"/>
          <w:szCs w:val="20"/>
        </w:rPr>
        <w:t xml:space="preserve"> </w:t>
      </w:r>
    </w:p>
    <w:p w14:paraId="6353BF2C" w14:textId="77777777" w:rsidR="0090212B" w:rsidRDefault="0090212B" w:rsidP="00066DB0">
      <w:pPr>
        <w:pStyle w:val="ListParagraph"/>
        <w:numPr>
          <w:ilvl w:val="0"/>
          <w:numId w:val="32"/>
        </w:numPr>
        <w:autoSpaceDE w:val="0"/>
        <w:autoSpaceDN w:val="0"/>
        <w:adjustRightInd w:val="0"/>
        <w:spacing w:after="0" w:line="240" w:lineRule="auto"/>
        <w:jc w:val="both"/>
        <w:rPr>
          <w:rFonts w:ascii="Verdana" w:eastAsiaTheme="minorHAnsi" w:hAnsi="Verdana" w:cs="Verdana"/>
          <w:color w:val="000000"/>
          <w:sz w:val="20"/>
          <w:szCs w:val="20"/>
        </w:rPr>
      </w:pPr>
      <w:r w:rsidRPr="0090212B">
        <w:rPr>
          <w:rFonts w:ascii="Verdana" w:eastAsia="Times New Roman" w:hAnsi="Verdana"/>
          <w:sz w:val="19"/>
          <w:szCs w:val="19"/>
          <w:lang w:val="es-ES_tradnl"/>
        </w:rPr>
        <w:t>sobre los “hechos en materia de la investigación penal” se indicó que “[p]ara continuar con la investigación de los hechos del caso, sin prejuzgar sobre la probable responsabilidad de las personas que son investigadas, de las que resultaren involucradas, así como de aquellas que fueren sancionadas penal o administrativamente por los hechos relacionados con los delitos cometidos en perjuicio de las víctimas, el Estado mexicano reconoce que el Ministerio Público Federal debe tener en consideración la base fáctica reconocida en e[l] Acuerdo”</w:t>
      </w:r>
      <w:r>
        <w:rPr>
          <w:rFonts w:ascii="Verdana" w:eastAsia="Times New Roman" w:hAnsi="Verdana"/>
          <w:sz w:val="19"/>
          <w:szCs w:val="19"/>
          <w:lang w:val="es-ES_tradnl"/>
        </w:rPr>
        <w:t>, y</w:t>
      </w:r>
    </w:p>
    <w:p w14:paraId="2BC1F266" w14:textId="21959FC8" w:rsidR="00066DB0" w:rsidRDefault="00066DB0" w:rsidP="00066DB0">
      <w:pPr>
        <w:pStyle w:val="ListParagraph"/>
        <w:numPr>
          <w:ilvl w:val="0"/>
          <w:numId w:val="32"/>
        </w:numPr>
        <w:autoSpaceDE w:val="0"/>
        <w:autoSpaceDN w:val="0"/>
        <w:adjustRightInd w:val="0"/>
        <w:spacing w:after="0" w:line="240" w:lineRule="auto"/>
        <w:jc w:val="both"/>
        <w:rPr>
          <w:rFonts w:ascii="Verdana" w:eastAsiaTheme="minorHAnsi" w:hAnsi="Verdana" w:cs="Verdana"/>
          <w:color w:val="000000"/>
          <w:sz w:val="20"/>
          <w:szCs w:val="20"/>
        </w:rPr>
      </w:pPr>
      <w:r w:rsidRPr="00066DB0">
        <w:rPr>
          <w:rFonts w:ascii="Verdana" w:eastAsiaTheme="minorHAnsi" w:hAnsi="Verdana" w:cs="Verdana"/>
          <w:color w:val="000000"/>
          <w:sz w:val="20"/>
          <w:szCs w:val="20"/>
        </w:rPr>
        <w:t xml:space="preserve"> </w:t>
      </w:r>
      <w:r w:rsidR="0090212B" w:rsidRPr="0090212B">
        <w:rPr>
          <w:rFonts w:ascii="Verdana" w:eastAsia="Times New Roman" w:hAnsi="Verdana"/>
          <w:sz w:val="19"/>
          <w:szCs w:val="19"/>
          <w:lang w:val="es-ES_tradnl"/>
        </w:rPr>
        <w:t>en relación con la “obligación de investigar oficiosamente”, el Estado “reconoc[ió] que las investigaciones se deben llevar a cabo de acuerdo con todas las obligaciones establecidas en la Constitución Política de los Estados Unidos Mexicanos […] y en los tratados internacionales de los que el Estado mexicano es parte”</w:t>
      </w:r>
      <w:r w:rsidR="0090212B">
        <w:rPr>
          <w:rFonts w:ascii="Verdana" w:eastAsia="Times New Roman" w:hAnsi="Verdana"/>
          <w:sz w:val="19"/>
          <w:szCs w:val="19"/>
          <w:lang w:val="es-ES_tradnl"/>
        </w:rPr>
        <w:t>.</w:t>
      </w:r>
    </w:p>
    <w:p w14:paraId="2D1D819A" w14:textId="77777777" w:rsidR="0090212B" w:rsidRDefault="0090212B" w:rsidP="00A4635E">
      <w:pPr>
        <w:pStyle w:val="ListParagraph"/>
        <w:spacing w:after="0" w:line="240" w:lineRule="auto"/>
        <w:rPr>
          <w:rFonts w:ascii="Verdana" w:hAnsi="Verdana"/>
          <w:sz w:val="20"/>
          <w:szCs w:val="20"/>
        </w:rPr>
      </w:pPr>
    </w:p>
    <w:p w14:paraId="77EAA677" w14:textId="4994A7DF" w:rsidR="003052B8" w:rsidRPr="00AD24D6" w:rsidRDefault="006B7955" w:rsidP="00A4635E">
      <w:pPr>
        <w:spacing w:after="0" w:line="240" w:lineRule="auto"/>
        <w:ind w:left="1080" w:hanging="360"/>
        <w:rPr>
          <w:rFonts w:ascii="Verdana" w:hAnsi="Verdana"/>
          <w:i/>
          <w:sz w:val="20"/>
          <w:szCs w:val="20"/>
        </w:rPr>
      </w:pPr>
      <w:r w:rsidRPr="00AD24D6">
        <w:rPr>
          <w:rFonts w:ascii="Verdana" w:hAnsi="Verdana"/>
          <w:i/>
          <w:sz w:val="20"/>
          <w:szCs w:val="20"/>
        </w:rPr>
        <w:t>A.2</w:t>
      </w:r>
      <w:r w:rsidR="0090212B">
        <w:rPr>
          <w:rFonts w:ascii="Verdana" w:hAnsi="Verdana"/>
          <w:i/>
          <w:sz w:val="20"/>
          <w:szCs w:val="20"/>
        </w:rPr>
        <w:t>.</w:t>
      </w:r>
      <w:r w:rsidR="003052B8" w:rsidRPr="00AD24D6">
        <w:rPr>
          <w:rFonts w:ascii="Verdana" w:hAnsi="Verdana"/>
          <w:i/>
          <w:sz w:val="20"/>
          <w:szCs w:val="20"/>
        </w:rPr>
        <w:t xml:space="preserve"> </w:t>
      </w:r>
      <w:r w:rsidR="00816E7B">
        <w:rPr>
          <w:rFonts w:ascii="Verdana" w:hAnsi="Verdana"/>
          <w:i/>
          <w:sz w:val="20"/>
          <w:szCs w:val="20"/>
        </w:rPr>
        <w:t>Consideraciones de la Corte</w:t>
      </w:r>
    </w:p>
    <w:p w14:paraId="000124C9" w14:textId="77777777" w:rsidR="006B7955" w:rsidRPr="00AD24D6" w:rsidRDefault="006B7955" w:rsidP="00A4635E">
      <w:pPr>
        <w:spacing w:after="0" w:line="240" w:lineRule="auto"/>
        <w:ind w:left="1080" w:hanging="360"/>
        <w:rPr>
          <w:rFonts w:ascii="Verdana" w:hAnsi="Verdana"/>
          <w:i/>
          <w:sz w:val="20"/>
          <w:szCs w:val="20"/>
        </w:rPr>
      </w:pPr>
    </w:p>
    <w:p w14:paraId="46ECE8BE" w14:textId="6B615C9E" w:rsidR="002B0256" w:rsidRPr="000F7573" w:rsidRDefault="00AA6544" w:rsidP="00A4635E">
      <w:pPr>
        <w:pStyle w:val="ListParagraph"/>
        <w:numPr>
          <w:ilvl w:val="0"/>
          <w:numId w:val="6"/>
        </w:numPr>
        <w:tabs>
          <w:tab w:val="left" w:pos="567"/>
        </w:tabs>
        <w:spacing w:after="0" w:line="240" w:lineRule="auto"/>
        <w:ind w:left="0" w:right="4" w:firstLine="0"/>
        <w:jc w:val="both"/>
        <w:rPr>
          <w:rFonts w:ascii="Verdana" w:hAnsi="Verdana"/>
          <w:sz w:val="20"/>
          <w:szCs w:val="20"/>
        </w:rPr>
      </w:pPr>
      <w:r>
        <w:rPr>
          <w:rFonts w:ascii="Verdana" w:hAnsi="Verdana"/>
          <w:sz w:val="20"/>
          <w:szCs w:val="20"/>
        </w:rPr>
        <w:t xml:space="preserve">El </w:t>
      </w:r>
      <w:r w:rsidRPr="002D2B5B">
        <w:rPr>
          <w:rFonts w:ascii="Verdana" w:hAnsi="Verdana"/>
          <w:i/>
          <w:sz w:val="20"/>
          <w:szCs w:val="20"/>
        </w:rPr>
        <w:t>Estado</w:t>
      </w:r>
      <w:r>
        <w:rPr>
          <w:rFonts w:ascii="Verdana" w:hAnsi="Verdana"/>
          <w:sz w:val="20"/>
          <w:szCs w:val="20"/>
        </w:rPr>
        <w:t xml:space="preserve"> </w:t>
      </w:r>
      <w:r w:rsidR="00816E7B">
        <w:rPr>
          <w:rFonts w:ascii="Verdana" w:hAnsi="Verdana"/>
          <w:sz w:val="20"/>
          <w:szCs w:val="20"/>
        </w:rPr>
        <w:t>señaló</w:t>
      </w:r>
      <w:r w:rsidR="005721B2">
        <w:rPr>
          <w:rFonts w:ascii="Verdana" w:hAnsi="Verdana"/>
          <w:sz w:val="20"/>
          <w:szCs w:val="20"/>
        </w:rPr>
        <w:t xml:space="preserve"> en su informe </w:t>
      </w:r>
      <w:r w:rsidR="00F50667">
        <w:rPr>
          <w:rFonts w:ascii="Verdana" w:hAnsi="Verdana"/>
          <w:sz w:val="20"/>
          <w:szCs w:val="20"/>
        </w:rPr>
        <w:t>de</w:t>
      </w:r>
      <w:r w:rsidR="00347A95">
        <w:rPr>
          <w:rFonts w:ascii="Verdana" w:hAnsi="Verdana"/>
          <w:sz w:val="20"/>
          <w:szCs w:val="20"/>
        </w:rPr>
        <w:t xml:space="preserve"> marzo de 2017 </w:t>
      </w:r>
      <w:r w:rsidR="005721B2">
        <w:rPr>
          <w:rFonts w:ascii="Verdana" w:hAnsi="Verdana"/>
          <w:sz w:val="20"/>
          <w:szCs w:val="20"/>
        </w:rPr>
        <w:t>que “</w:t>
      </w:r>
      <w:r>
        <w:rPr>
          <w:rFonts w:ascii="Verdana" w:hAnsi="Verdana"/>
          <w:sz w:val="20"/>
          <w:szCs w:val="20"/>
        </w:rPr>
        <w:t>el 23 de mayo de 2013, la Procura</w:t>
      </w:r>
      <w:r w:rsidR="006F003F">
        <w:rPr>
          <w:rFonts w:ascii="Verdana" w:hAnsi="Verdana"/>
          <w:sz w:val="20"/>
          <w:szCs w:val="20"/>
        </w:rPr>
        <w:t>duría</w:t>
      </w:r>
      <w:r>
        <w:rPr>
          <w:rFonts w:ascii="Verdana" w:hAnsi="Verdana"/>
          <w:sz w:val="20"/>
          <w:szCs w:val="20"/>
        </w:rPr>
        <w:t xml:space="preserve"> General de la República (PGR) inició la indagatoria AP/PGR/DDF/</w:t>
      </w:r>
      <w:r w:rsidR="00F43EA7">
        <w:rPr>
          <w:rFonts w:ascii="Verdana" w:hAnsi="Verdana"/>
          <w:sz w:val="20"/>
          <w:szCs w:val="20"/>
        </w:rPr>
        <w:t xml:space="preserve">SPE-XI/2589/13-05, a efecto de dar cumplimiento al informe 138/11, respecto a los actos de tortura cometidos en agravio de las víctimas por parte de elementos de la Procuraduría General de </w:t>
      </w:r>
      <w:r w:rsidR="005721B2">
        <w:rPr>
          <w:rFonts w:ascii="Verdana" w:hAnsi="Verdana"/>
          <w:sz w:val="20"/>
          <w:szCs w:val="20"/>
        </w:rPr>
        <w:t>Justicia de la Ciudad de México</w:t>
      </w:r>
      <w:r w:rsidR="00F43EA7">
        <w:rPr>
          <w:rFonts w:ascii="Verdana" w:hAnsi="Verdana"/>
          <w:sz w:val="20"/>
          <w:szCs w:val="20"/>
        </w:rPr>
        <w:t>”</w:t>
      </w:r>
      <w:r w:rsidR="00C24384">
        <w:rPr>
          <w:rFonts w:ascii="Verdana" w:hAnsi="Verdana"/>
          <w:sz w:val="20"/>
          <w:szCs w:val="20"/>
        </w:rPr>
        <w:t xml:space="preserve">. </w:t>
      </w:r>
      <w:r w:rsidR="002D2B5B">
        <w:rPr>
          <w:rFonts w:ascii="Verdana" w:hAnsi="Verdana"/>
          <w:sz w:val="20"/>
          <w:szCs w:val="20"/>
        </w:rPr>
        <w:t>N</w:t>
      </w:r>
      <w:r w:rsidR="00F43EA7">
        <w:rPr>
          <w:rFonts w:ascii="Verdana" w:hAnsi="Verdana"/>
          <w:sz w:val="20"/>
          <w:szCs w:val="20"/>
        </w:rPr>
        <w:t>o obstante</w:t>
      </w:r>
      <w:r w:rsidR="00C24384">
        <w:rPr>
          <w:rFonts w:ascii="Verdana" w:hAnsi="Verdana"/>
          <w:sz w:val="20"/>
          <w:szCs w:val="20"/>
        </w:rPr>
        <w:t>,</w:t>
      </w:r>
      <w:r w:rsidR="002D2B5B">
        <w:rPr>
          <w:rFonts w:ascii="Verdana" w:hAnsi="Verdana"/>
          <w:sz w:val="20"/>
          <w:szCs w:val="20"/>
        </w:rPr>
        <w:t xml:space="preserve"> indicó que</w:t>
      </w:r>
      <w:r w:rsidR="00F43EA7">
        <w:rPr>
          <w:rFonts w:ascii="Verdana" w:hAnsi="Verdana"/>
          <w:sz w:val="20"/>
          <w:szCs w:val="20"/>
        </w:rPr>
        <w:t xml:space="preserve"> </w:t>
      </w:r>
      <w:r w:rsidR="000F6F4B">
        <w:rPr>
          <w:rFonts w:ascii="Verdana" w:hAnsi="Verdana"/>
          <w:sz w:val="20"/>
          <w:szCs w:val="20"/>
        </w:rPr>
        <w:t>“</w:t>
      </w:r>
      <w:r w:rsidR="005721B2">
        <w:rPr>
          <w:rFonts w:ascii="Verdana" w:hAnsi="Verdana"/>
          <w:sz w:val="20"/>
          <w:szCs w:val="20"/>
        </w:rPr>
        <w:t>[a]</w:t>
      </w:r>
      <w:r w:rsidR="000F6F4B">
        <w:rPr>
          <w:rFonts w:ascii="Verdana" w:hAnsi="Verdana"/>
          <w:sz w:val="20"/>
          <w:szCs w:val="20"/>
        </w:rPr>
        <w:t xml:space="preserve"> la fecha</w:t>
      </w:r>
      <w:r w:rsidR="006F003F">
        <w:rPr>
          <w:rFonts w:ascii="Verdana" w:hAnsi="Verdana"/>
          <w:sz w:val="20"/>
          <w:szCs w:val="20"/>
        </w:rPr>
        <w:t>,</w:t>
      </w:r>
      <w:r w:rsidR="000F6F4B">
        <w:rPr>
          <w:rFonts w:ascii="Verdana" w:hAnsi="Verdana"/>
          <w:sz w:val="20"/>
          <w:szCs w:val="20"/>
        </w:rPr>
        <w:t xml:space="preserve"> debido a la falta de contacto con las víctimas directas, Juan García Cruz y Santiago Sánchez Silvestre, se encuentra</w:t>
      </w:r>
      <w:r w:rsidR="006F003F">
        <w:rPr>
          <w:rFonts w:ascii="Verdana" w:hAnsi="Verdana"/>
          <w:sz w:val="20"/>
          <w:szCs w:val="20"/>
        </w:rPr>
        <w:t>n</w:t>
      </w:r>
      <w:r w:rsidR="000F6F4B">
        <w:rPr>
          <w:rFonts w:ascii="Verdana" w:hAnsi="Verdana"/>
          <w:sz w:val="20"/>
          <w:szCs w:val="20"/>
        </w:rPr>
        <w:t xml:space="preserve"> pendientes de desahogar diligencias necesarias para completar el dictamen en materia de medicina legal especializado para posibles casos de Maltrato y/o Tortura (Protocolo de Estambul). En tal virtud, al ser entrevistas de carácter personal las que se encuentran pendientes de realizar, la PGR no ha podido concluir y emitir las conclusiones correspondientes al Protocolo”</w:t>
      </w:r>
      <w:r w:rsidR="000F6F4B">
        <w:rPr>
          <w:rStyle w:val="FootnoteReference"/>
          <w:rFonts w:ascii="Verdana" w:hAnsi="Verdana"/>
          <w:sz w:val="20"/>
          <w:szCs w:val="20"/>
          <w:lang w:val="es-ES"/>
        </w:rPr>
        <w:footnoteReference w:id="16"/>
      </w:r>
      <w:r w:rsidR="000F6F4B">
        <w:rPr>
          <w:rFonts w:ascii="Verdana" w:hAnsi="Verdana"/>
          <w:sz w:val="20"/>
          <w:szCs w:val="20"/>
        </w:rPr>
        <w:t>.</w:t>
      </w:r>
      <w:r w:rsidR="000F7573">
        <w:rPr>
          <w:rFonts w:ascii="Verdana" w:hAnsi="Verdana"/>
          <w:sz w:val="20"/>
          <w:szCs w:val="20"/>
        </w:rPr>
        <w:t xml:space="preserve"> </w:t>
      </w:r>
      <w:r w:rsidR="00490652">
        <w:rPr>
          <w:rFonts w:ascii="Verdana" w:hAnsi="Verdana"/>
          <w:sz w:val="20"/>
          <w:szCs w:val="20"/>
        </w:rPr>
        <w:t xml:space="preserve">En su </w:t>
      </w:r>
      <w:r w:rsidR="000F6F4B" w:rsidRPr="000F7573">
        <w:rPr>
          <w:rFonts w:ascii="Verdana" w:hAnsi="Verdana"/>
          <w:sz w:val="20"/>
          <w:szCs w:val="20"/>
        </w:rPr>
        <w:t>informe</w:t>
      </w:r>
      <w:r w:rsidR="00490652">
        <w:rPr>
          <w:rFonts w:ascii="Verdana" w:hAnsi="Verdana"/>
          <w:sz w:val="20"/>
          <w:szCs w:val="20"/>
        </w:rPr>
        <w:t xml:space="preserve"> de</w:t>
      </w:r>
      <w:r w:rsidR="00347A95">
        <w:rPr>
          <w:rFonts w:ascii="Verdana" w:hAnsi="Verdana"/>
          <w:sz w:val="20"/>
          <w:szCs w:val="20"/>
        </w:rPr>
        <w:t xml:space="preserve"> febrero de 2018</w:t>
      </w:r>
      <w:r w:rsidR="002D2B5B">
        <w:rPr>
          <w:rFonts w:ascii="Verdana" w:hAnsi="Verdana"/>
          <w:sz w:val="20"/>
          <w:szCs w:val="20"/>
        </w:rPr>
        <w:t>, México</w:t>
      </w:r>
      <w:r w:rsidR="00490652">
        <w:rPr>
          <w:rFonts w:ascii="Verdana" w:hAnsi="Verdana"/>
          <w:sz w:val="20"/>
          <w:szCs w:val="20"/>
        </w:rPr>
        <w:t xml:space="preserve"> sostuvo </w:t>
      </w:r>
      <w:r w:rsidR="000F6F4B" w:rsidRPr="000F7573">
        <w:rPr>
          <w:rFonts w:ascii="Verdana" w:hAnsi="Verdana"/>
          <w:sz w:val="20"/>
          <w:szCs w:val="20"/>
        </w:rPr>
        <w:t xml:space="preserve">que dentro de la </w:t>
      </w:r>
      <w:r w:rsidR="00816E7B">
        <w:rPr>
          <w:rFonts w:ascii="Verdana" w:hAnsi="Verdana"/>
          <w:sz w:val="20"/>
          <w:szCs w:val="20"/>
        </w:rPr>
        <w:t>indagatoria se ha solicitado “</w:t>
      </w:r>
      <w:r w:rsidR="000F6F4B" w:rsidRPr="000F7573">
        <w:rPr>
          <w:rFonts w:ascii="Verdana" w:hAnsi="Verdana"/>
          <w:sz w:val="20"/>
          <w:szCs w:val="20"/>
        </w:rPr>
        <w:t>copia certifica</w:t>
      </w:r>
      <w:r w:rsidR="002B0256" w:rsidRPr="000F7573">
        <w:rPr>
          <w:rFonts w:ascii="Verdana" w:hAnsi="Verdana"/>
          <w:sz w:val="20"/>
          <w:szCs w:val="20"/>
        </w:rPr>
        <w:t>da de la cau</w:t>
      </w:r>
      <w:r w:rsidR="000F6F4B" w:rsidRPr="000F7573">
        <w:rPr>
          <w:rFonts w:ascii="Verdana" w:hAnsi="Verdana"/>
          <w:sz w:val="20"/>
          <w:szCs w:val="20"/>
        </w:rPr>
        <w:t>sa penal 66/77</w:t>
      </w:r>
      <w:r w:rsidR="002B0256" w:rsidRPr="000F7573">
        <w:rPr>
          <w:rFonts w:ascii="Verdana" w:hAnsi="Verdana"/>
          <w:sz w:val="20"/>
          <w:szCs w:val="20"/>
        </w:rPr>
        <w:t xml:space="preserve"> [instruida contra Santiago Sánchez Silvestre y Juan García Cruz, por el delito de portación de arma de fuego de uso exclusivo del ejército, armada y fuerza aérea], a fin de seguir integrando la averiguación previa AP/PGR/DDF/SPE-XI/2589/13-05, siendo cumplida dicha petición mediante oficio 3613 del 14 de agosto de 2015”</w:t>
      </w:r>
      <w:r w:rsidR="002B0256">
        <w:rPr>
          <w:rStyle w:val="FootnoteReference"/>
          <w:rFonts w:ascii="Verdana" w:hAnsi="Verdana"/>
          <w:sz w:val="20"/>
          <w:szCs w:val="20"/>
        </w:rPr>
        <w:footnoteReference w:id="17"/>
      </w:r>
      <w:r w:rsidR="00F841CB">
        <w:rPr>
          <w:rFonts w:ascii="Verdana" w:hAnsi="Verdana"/>
          <w:sz w:val="20"/>
          <w:szCs w:val="20"/>
        </w:rPr>
        <w:t>.</w:t>
      </w:r>
    </w:p>
    <w:p w14:paraId="09A9A3EF" w14:textId="77777777" w:rsidR="002B0256" w:rsidRPr="002B0256" w:rsidRDefault="002B0256" w:rsidP="00A4635E">
      <w:pPr>
        <w:pStyle w:val="ListParagraph"/>
        <w:spacing w:after="0" w:line="240" w:lineRule="auto"/>
        <w:rPr>
          <w:rFonts w:ascii="Verdana" w:hAnsi="Verdana"/>
          <w:sz w:val="20"/>
          <w:szCs w:val="20"/>
        </w:rPr>
      </w:pPr>
    </w:p>
    <w:p w14:paraId="4C02C02B" w14:textId="25611451" w:rsidR="00B94D3F" w:rsidRDefault="00B94D3F" w:rsidP="00A4635E">
      <w:pPr>
        <w:pStyle w:val="ListParagraph"/>
        <w:numPr>
          <w:ilvl w:val="0"/>
          <w:numId w:val="6"/>
        </w:numPr>
        <w:tabs>
          <w:tab w:val="left" w:pos="567"/>
        </w:tabs>
        <w:spacing w:after="0" w:line="240" w:lineRule="auto"/>
        <w:ind w:left="0" w:right="4" w:firstLine="0"/>
        <w:jc w:val="both"/>
        <w:rPr>
          <w:rFonts w:ascii="Verdana" w:hAnsi="Verdana"/>
          <w:sz w:val="20"/>
          <w:szCs w:val="20"/>
        </w:rPr>
      </w:pPr>
      <w:r>
        <w:rPr>
          <w:rFonts w:ascii="Verdana" w:hAnsi="Verdana"/>
          <w:sz w:val="20"/>
          <w:szCs w:val="20"/>
        </w:rPr>
        <w:t xml:space="preserve">Los </w:t>
      </w:r>
      <w:r w:rsidRPr="002D2B5B">
        <w:rPr>
          <w:rFonts w:ascii="Verdana" w:hAnsi="Verdana"/>
          <w:i/>
          <w:sz w:val="20"/>
          <w:szCs w:val="20"/>
        </w:rPr>
        <w:t>representantes de las víctimas</w:t>
      </w:r>
      <w:r w:rsidR="0095189C">
        <w:rPr>
          <w:rFonts w:ascii="Verdana" w:hAnsi="Verdana"/>
          <w:sz w:val="20"/>
          <w:szCs w:val="20"/>
        </w:rPr>
        <w:t>,</w:t>
      </w:r>
      <w:r w:rsidR="005721B2">
        <w:rPr>
          <w:rFonts w:ascii="Verdana" w:hAnsi="Verdana"/>
          <w:sz w:val="20"/>
          <w:szCs w:val="20"/>
        </w:rPr>
        <w:t xml:space="preserve"> por su parte</w:t>
      </w:r>
      <w:r w:rsidR="0095189C">
        <w:rPr>
          <w:rFonts w:ascii="Verdana" w:hAnsi="Verdana"/>
          <w:sz w:val="20"/>
          <w:szCs w:val="20"/>
        </w:rPr>
        <w:t>,</w:t>
      </w:r>
      <w:r>
        <w:rPr>
          <w:rFonts w:ascii="Verdana" w:hAnsi="Verdana"/>
          <w:sz w:val="20"/>
          <w:szCs w:val="20"/>
        </w:rPr>
        <w:t xml:space="preserve"> en </w:t>
      </w:r>
      <w:r w:rsidR="005721B2">
        <w:rPr>
          <w:rFonts w:ascii="Verdana" w:hAnsi="Verdana"/>
          <w:sz w:val="20"/>
          <w:szCs w:val="20"/>
        </w:rPr>
        <w:t>las</w:t>
      </w:r>
      <w:r>
        <w:rPr>
          <w:rFonts w:ascii="Verdana" w:hAnsi="Verdana"/>
          <w:sz w:val="20"/>
          <w:szCs w:val="20"/>
        </w:rPr>
        <w:t xml:space="preserve"> observaciones </w:t>
      </w:r>
      <w:r w:rsidR="0095189C">
        <w:rPr>
          <w:rFonts w:ascii="Verdana" w:hAnsi="Verdana"/>
          <w:sz w:val="20"/>
          <w:szCs w:val="20"/>
        </w:rPr>
        <w:t>de</w:t>
      </w:r>
      <w:r w:rsidR="004E016A">
        <w:rPr>
          <w:rFonts w:ascii="Verdana" w:hAnsi="Verdana"/>
          <w:sz w:val="20"/>
          <w:szCs w:val="20"/>
        </w:rPr>
        <w:t xml:space="preserve"> mayo de 201</w:t>
      </w:r>
      <w:r w:rsidR="006F003F">
        <w:rPr>
          <w:rFonts w:ascii="Verdana" w:hAnsi="Verdana"/>
          <w:sz w:val="20"/>
          <w:szCs w:val="20"/>
        </w:rPr>
        <w:t>7</w:t>
      </w:r>
      <w:r w:rsidR="002D2B5B">
        <w:rPr>
          <w:rFonts w:ascii="Verdana" w:hAnsi="Verdana"/>
          <w:sz w:val="20"/>
          <w:szCs w:val="20"/>
        </w:rPr>
        <w:t>,</w:t>
      </w:r>
      <w:r w:rsidR="004E016A">
        <w:rPr>
          <w:rFonts w:ascii="Verdana" w:hAnsi="Verdana"/>
          <w:sz w:val="20"/>
          <w:szCs w:val="20"/>
        </w:rPr>
        <w:t xml:space="preserve"> </w:t>
      </w:r>
      <w:r>
        <w:rPr>
          <w:rFonts w:ascii="Verdana" w:hAnsi="Verdana"/>
          <w:sz w:val="20"/>
          <w:szCs w:val="20"/>
        </w:rPr>
        <w:t>señala</w:t>
      </w:r>
      <w:r w:rsidR="002D2B5B">
        <w:rPr>
          <w:rFonts w:ascii="Verdana" w:hAnsi="Verdana"/>
          <w:sz w:val="20"/>
          <w:szCs w:val="20"/>
        </w:rPr>
        <w:t>ro</w:t>
      </w:r>
      <w:r>
        <w:rPr>
          <w:rFonts w:ascii="Verdana" w:hAnsi="Verdana"/>
          <w:sz w:val="20"/>
          <w:szCs w:val="20"/>
        </w:rPr>
        <w:t>n que “</w:t>
      </w:r>
      <w:r w:rsidR="006F003F">
        <w:rPr>
          <w:rFonts w:ascii="Verdana" w:hAnsi="Verdana"/>
          <w:sz w:val="20"/>
          <w:szCs w:val="20"/>
        </w:rPr>
        <w:t>en</w:t>
      </w:r>
      <w:r w:rsidR="00925B0E">
        <w:rPr>
          <w:rFonts w:ascii="Verdana" w:hAnsi="Verdana"/>
          <w:sz w:val="20"/>
          <w:szCs w:val="20"/>
        </w:rPr>
        <w:t xml:space="preserve"> su lugar de residencia</w:t>
      </w:r>
      <w:r>
        <w:rPr>
          <w:rFonts w:ascii="Verdana" w:hAnsi="Verdana"/>
          <w:sz w:val="20"/>
          <w:szCs w:val="20"/>
        </w:rPr>
        <w:t>[</w:t>
      </w:r>
      <w:r w:rsidR="00925B0E">
        <w:rPr>
          <w:rFonts w:ascii="Verdana" w:hAnsi="Verdana"/>
          <w:sz w:val="20"/>
          <w:szCs w:val="20"/>
        </w:rPr>
        <w:t xml:space="preserve">, </w:t>
      </w:r>
      <w:r w:rsidR="006F003F">
        <w:rPr>
          <w:rFonts w:ascii="Verdana" w:hAnsi="Verdana"/>
          <w:sz w:val="20"/>
          <w:szCs w:val="20"/>
        </w:rPr>
        <w:t xml:space="preserve">el </w:t>
      </w:r>
      <w:r>
        <w:rPr>
          <w:rFonts w:ascii="Verdana" w:hAnsi="Verdana"/>
          <w:sz w:val="20"/>
          <w:szCs w:val="20"/>
        </w:rPr>
        <w:t>señor García Cruz</w:t>
      </w:r>
      <w:r w:rsidRPr="002B0256">
        <w:rPr>
          <w:rFonts w:ascii="Verdana" w:hAnsi="Verdana"/>
          <w:sz w:val="20"/>
          <w:szCs w:val="20"/>
        </w:rPr>
        <w:t>]</w:t>
      </w:r>
      <w:r>
        <w:rPr>
          <w:rFonts w:ascii="Verdana" w:hAnsi="Verdana"/>
          <w:sz w:val="20"/>
          <w:szCs w:val="20"/>
        </w:rPr>
        <w:t xml:space="preserve"> no cuent</w:t>
      </w:r>
      <w:r w:rsidR="006F003F">
        <w:rPr>
          <w:rFonts w:ascii="Verdana" w:hAnsi="Verdana"/>
          <w:sz w:val="20"/>
          <w:szCs w:val="20"/>
        </w:rPr>
        <w:t>[</w:t>
      </w:r>
      <w:r>
        <w:rPr>
          <w:rFonts w:ascii="Verdana" w:hAnsi="Verdana"/>
          <w:sz w:val="20"/>
          <w:szCs w:val="20"/>
        </w:rPr>
        <w:t>a</w:t>
      </w:r>
      <w:r w:rsidR="006F003F">
        <w:rPr>
          <w:rFonts w:ascii="Verdana" w:hAnsi="Verdana"/>
          <w:sz w:val="20"/>
          <w:szCs w:val="20"/>
        </w:rPr>
        <w:t>]</w:t>
      </w:r>
      <w:r>
        <w:rPr>
          <w:rFonts w:ascii="Verdana" w:hAnsi="Verdana"/>
          <w:sz w:val="20"/>
          <w:szCs w:val="20"/>
        </w:rPr>
        <w:t xml:space="preserve"> con buen alcance de redes telefónicas y es </w:t>
      </w:r>
      <w:r w:rsidR="00C43D21">
        <w:rPr>
          <w:rFonts w:ascii="Verdana" w:hAnsi="Verdana"/>
          <w:sz w:val="20"/>
          <w:szCs w:val="20"/>
        </w:rPr>
        <w:t>[é]</w:t>
      </w:r>
      <w:r>
        <w:rPr>
          <w:rFonts w:ascii="Verdana" w:hAnsi="Verdana"/>
          <w:sz w:val="20"/>
          <w:szCs w:val="20"/>
        </w:rPr>
        <w:t xml:space="preserve">l quien se comunica con </w:t>
      </w:r>
      <w:r w:rsidR="006F003F">
        <w:rPr>
          <w:rFonts w:ascii="Verdana" w:hAnsi="Verdana"/>
          <w:sz w:val="20"/>
          <w:szCs w:val="20"/>
        </w:rPr>
        <w:t xml:space="preserve">[ellos] </w:t>
      </w:r>
      <w:r>
        <w:rPr>
          <w:rFonts w:ascii="Verdana" w:hAnsi="Verdana"/>
          <w:sz w:val="20"/>
          <w:szCs w:val="20"/>
        </w:rPr>
        <w:t>habitualmente, lo que no ha sucedido en esta ocasión</w:t>
      </w:r>
      <w:r w:rsidR="006F003F">
        <w:rPr>
          <w:rFonts w:ascii="Verdana" w:hAnsi="Verdana"/>
          <w:sz w:val="20"/>
          <w:szCs w:val="20"/>
        </w:rPr>
        <w:t>”</w:t>
      </w:r>
      <w:r>
        <w:rPr>
          <w:rFonts w:ascii="Verdana" w:hAnsi="Verdana"/>
          <w:sz w:val="20"/>
          <w:szCs w:val="20"/>
        </w:rPr>
        <w:t xml:space="preserve">. </w:t>
      </w:r>
      <w:r w:rsidR="00E53FA7">
        <w:rPr>
          <w:rFonts w:ascii="Verdana" w:hAnsi="Verdana"/>
          <w:sz w:val="20"/>
          <w:szCs w:val="20"/>
        </w:rPr>
        <w:t>Por otra parte, en</w:t>
      </w:r>
      <w:r>
        <w:rPr>
          <w:rFonts w:ascii="Verdana" w:hAnsi="Verdana"/>
          <w:sz w:val="20"/>
          <w:szCs w:val="20"/>
        </w:rPr>
        <w:t xml:space="preserve"> el caso del señor Sánchez Silvestre, </w:t>
      </w:r>
      <w:r w:rsidR="00C01C4D">
        <w:rPr>
          <w:rFonts w:ascii="Verdana" w:hAnsi="Verdana"/>
          <w:sz w:val="20"/>
          <w:szCs w:val="20"/>
        </w:rPr>
        <w:t xml:space="preserve">indicaron que, </w:t>
      </w:r>
      <w:r w:rsidR="006F003F">
        <w:rPr>
          <w:rFonts w:ascii="Verdana" w:hAnsi="Verdana"/>
          <w:sz w:val="20"/>
          <w:szCs w:val="20"/>
        </w:rPr>
        <w:t>“</w:t>
      </w:r>
      <w:r>
        <w:rPr>
          <w:rFonts w:ascii="Verdana" w:hAnsi="Verdana"/>
          <w:sz w:val="20"/>
          <w:szCs w:val="20"/>
        </w:rPr>
        <w:t xml:space="preserve">tal como se informó a la </w:t>
      </w:r>
      <w:r w:rsidR="006F003F">
        <w:rPr>
          <w:rFonts w:ascii="Verdana" w:hAnsi="Verdana"/>
          <w:sz w:val="20"/>
          <w:szCs w:val="20"/>
        </w:rPr>
        <w:t>[…]</w:t>
      </w:r>
      <w:r w:rsidR="00925B0E">
        <w:rPr>
          <w:rFonts w:ascii="Verdana" w:hAnsi="Verdana"/>
          <w:sz w:val="20"/>
          <w:szCs w:val="20"/>
        </w:rPr>
        <w:t xml:space="preserve"> </w:t>
      </w:r>
      <w:r>
        <w:rPr>
          <w:rFonts w:ascii="Verdana" w:hAnsi="Verdana"/>
          <w:sz w:val="20"/>
          <w:szCs w:val="20"/>
        </w:rPr>
        <w:t xml:space="preserve">Corte </w:t>
      </w:r>
      <w:r w:rsidRPr="00D45194">
        <w:rPr>
          <w:rFonts w:ascii="Verdana" w:hAnsi="Verdana"/>
          <w:sz w:val="20"/>
          <w:szCs w:val="20"/>
        </w:rPr>
        <w:t>oportunamente</w:t>
      </w:r>
      <w:r w:rsidRPr="004E016A">
        <w:rPr>
          <w:rFonts w:ascii="Verdana" w:hAnsi="Verdana"/>
          <w:sz w:val="20"/>
          <w:szCs w:val="20"/>
        </w:rPr>
        <w:t>,</w:t>
      </w:r>
      <w:r w:rsidRPr="00D45194">
        <w:rPr>
          <w:rFonts w:ascii="Verdana" w:hAnsi="Verdana"/>
          <w:sz w:val="20"/>
          <w:szCs w:val="20"/>
        </w:rPr>
        <w:t xml:space="preserve"> no ha</w:t>
      </w:r>
      <w:r w:rsidR="006F003F">
        <w:rPr>
          <w:rFonts w:ascii="Verdana" w:hAnsi="Verdana"/>
          <w:sz w:val="20"/>
          <w:szCs w:val="20"/>
        </w:rPr>
        <w:t>[n]</w:t>
      </w:r>
      <w:r w:rsidRPr="00D45194">
        <w:rPr>
          <w:rFonts w:ascii="Verdana" w:hAnsi="Verdana"/>
          <w:sz w:val="20"/>
          <w:szCs w:val="20"/>
        </w:rPr>
        <w:t xml:space="preserve"> podido tomar contacto </w:t>
      </w:r>
      <w:r w:rsidR="00925B0E">
        <w:rPr>
          <w:rFonts w:ascii="Verdana" w:hAnsi="Verdana"/>
          <w:sz w:val="20"/>
          <w:szCs w:val="20"/>
        </w:rPr>
        <w:t>con él”. N</w:t>
      </w:r>
      <w:r w:rsidR="005721B2" w:rsidRPr="00D45194">
        <w:rPr>
          <w:rFonts w:ascii="Verdana" w:hAnsi="Verdana"/>
          <w:sz w:val="20"/>
          <w:szCs w:val="20"/>
        </w:rPr>
        <w:t xml:space="preserve">o obstante lo </w:t>
      </w:r>
      <w:r w:rsidR="00925B0E">
        <w:rPr>
          <w:rFonts w:ascii="Verdana" w:hAnsi="Verdana"/>
          <w:sz w:val="20"/>
          <w:szCs w:val="20"/>
        </w:rPr>
        <w:t xml:space="preserve">anterior, </w:t>
      </w:r>
      <w:r w:rsidR="00E53FA7">
        <w:rPr>
          <w:rFonts w:ascii="Verdana" w:hAnsi="Verdana"/>
          <w:sz w:val="20"/>
          <w:szCs w:val="20"/>
        </w:rPr>
        <w:t xml:space="preserve">los </w:t>
      </w:r>
      <w:r w:rsidR="00E53FA7" w:rsidRPr="00E53FA7">
        <w:rPr>
          <w:rFonts w:ascii="Verdana" w:hAnsi="Verdana"/>
          <w:i/>
          <w:sz w:val="20"/>
          <w:szCs w:val="20"/>
        </w:rPr>
        <w:t xml:space="preserve">representantes </w:t>
      </w:r>
      <w:r w:rsidR="00925B0E">
        <w:rPr>
          <w:rFonts w:ascii="Verdana" w:hAnsi="Verdana"/>
          <w:sz w:val="20"/>
          <w:szCs w:val="20"/>
        </w:rPr>
        <w:t>señalaron que</w:t>
      </w:r>
      <w:r w:rsidR="005721B2" w:rsidRPr="00D45194">
        <w:rPr>
          <w:rFonts w:ascii="Verdana" w:hAnsi="Verdana"/>
          <w:sz w:val="20"/>
          <w:szCs w:val="20"/>
        </w:rPr>
        <w:t xml:space="preserve"> “</w:t>
      </w:r>
      <w:r w:rsidRPr="00D45194">
        <w:rPr>
          <w:rFonts w:ascii="Verdana" w:hAnsi="Verdana"/>
          <w:sz w:val="20"/>
          <w:szCs w:val="20"/>
        </w:rPr>
        <w:t>no considera</w:t>
      </w:r>
      <w:r w:rsidR="006F003F">
        <w:rPr>
          <w:rFonts w:ascii="Verdana" w:hAnsi="Verdana"/>
          <w:sz w:val="20"/>
          <w:szCs w:val="20"/>
        </w:rPr>
        <w:t>[</w:t>
      </w:r>
      <w:r w:rsidRPr="00D45194">
        <w:rPr>
          <w:rFonts w:ascii="Verdana" w:hAnsi="Verdana"/>
          <w:sz w:val="20"/>
          <w:szCs w:val="20"/>
        </w:rPr>
        <w:t>n</w:t>
      </w:r>
      <w:r w:rsidR="006F003F">
        <w:rPr>
          <w:rFonts w:ascii="Verdana" w:hAnsi="Verdana"/>
          <w:sz w:val="20"/>
          <w:szCs w:val="20"/>
        </w:rPr>
        <w:t>]</w:t>
      </w:r>
      <w:r w:rsidRPr="00D45194">
        <w:rPr>
          <w:rFonts w:ascii="Verdana" w:hAnsi="Verdana"/>
          <w:sz w:val="20"/>
          <w:szCs w:val="20"/>
        </w:rPr>
        <w:t xml:space="preserve"> admisible que</w:t>
      </w:r>
      <w:r>
        <w:rPr>
          <w:rFonts w:ascii="Verdana" w:hAnsi="Verdana"/>
          <w:sz w:val="20"/>
          <w:szCs w:val="20"/>
        </w:rPr>
        <w:t xml:space="preserve"> el Estado alegue la falta de prosecución en la investigación en un caso donde existe un reconocimiento de que los señores Juan García y Santiago Sánchez fueron víctimas de tortura e inclusive existe una sentencia interna que así lo reconoce</w:t>
      </w:r>
      <w:r w:rsidR="000E4C27">
        <w:rPr>
          <w:rFonts w:ascii="Verdana" w:hAnsi="Verdana"/>
          <w:sz w:val="20"/>
          <w:szCs w:val="20"/>
        </w:rPr>
        <w:t>”</w:t>
      </w:r>
      <w:r w:rsidR="000E4C27">
        <w:rPr>
          <w:rStyle w:val="FootnoteReference"/>
          <w:rFonts w:ascii="Verdana" w:hAnsi="Verdana"/>
          <w:sz w:val="20"/>
          <w:szCs w:val="20"/>
        </w:rPr>
        <w:footnoteReference w:id="18"/>
      </w:r>
      <w:r w:rsidR="000E4C27">
        <w:rPr>
          <w:rFonts w:ascii="Verdana" w:hAnsi="Verdana"/>
          <w:sz w:val="20"/>
          <w:szCs w:val="20"/>
        </w:rPr>
        <w:t xml:space="preserve">. </w:t>
      </w:r>
      <w:r w:rsidR="00DC3E6A">
        <w:rPr>
          <w:rFonts w:ascii="Verdana" w:hAnsi="Verdana"/>
          <w:sz w:val="20"/>
          <w:szCs w:val="20"/>
        </w:rPr>
        <w:t>Al respecto, en mayo de 2018 e</w:t>
      </w:r>
      <w:r w:rsidR="000E4C27" w:rsidRPr="000E4C27">
        <w:rPr>
          <w:rFonts w:ascii="Verdana" w:hAnsi="Verdana"/>
          <w:sz w:val="20"/>
          <w:szCs w:val="20"/>
        </w:rPr>
        <w:t xml:space="preserve">nfatizaron que el Estado </w:t>
      </w:r>
      <w:r w:rsidR="005721B2">
        <w:rPr>
          <w:rFonts w:ascii="Verdana" w:hAnsi="Verdana"/>
          <w:sz w:val="20"/>
          <w:szCs w:val="20"/>
        </w:rPr>
        <w:t>“</w:t>
      </w:r>
      <w:r w:rsidR="000E4C27">
        <w:rPr>
          <w:rFonts w:ascii="Verdana" w:hAnsi="Verdana"/>
          <w:sz w:val="20"/>
          <w:szCs w:val="20"/>
        </w:rPr>
        <w:t xml:space="preserve">no reporta la realización de </w:t>
      </w:r>
      <w:r w:rsidR="000E4C27">
        <w:rPr>
          <w:rFonts w:ascii="Verdana" w:hAnsi="Verdana"/>
          <w:sz w:val="20"/>
          <w:szCs w:val="20"/>
        </w:rPr>
        <w:lastRenderedPageBreak/>
        <w:t>diligencias concretas en los últimos dos años, lo cual denota falta de diligencia estatal en el caso”</w:t>
      </w:r>
      <w:r w:rsidR="000E4C27">
        <w:rPr>
          <w:rStyle w:val="FootnoteReference"/>
          <w:rFonts w:ascii="Verdana" w:hAnsi="Verdana"/>
          <w:sz w:val="20"/>
          <w:szCs w:val="20"/>
        </w:rPr>
        <w:footnoteReference w:id="19"/>
      </w:r>
      <w:r w:rsidR="000E4C27">
        <w:rPr>
          <w:rFonts w:ascii="Verdana" w:hAnsi="Verdana"/>
          <w:sz w:val="20"/>
          <w:szCs w:val="20"/>
        </w:rPr>
        <w:t>.</w:t>
      </w:r>
    </w:p>
    <w:p w14:paraId="2093223E" w14:textId="77777777" w:rsidR="000E4C27" w:rsidRPr="000E4C27" w:rsidRDefault="000E4C27" w:rsidP="00A4635E">
      <w:pPr>
        <w:pStyle w:val="ListParagraph"/>
        <w:spacing w:after="0" w:line="240" w:lineRule="auto"/>
        <w:rPr>
          <w:rFonts w:ascii="Verdana" w:hAnsi="Verdana"/>
          <w:sz w:val="20"/>
          <w:szCs w:val="20"/>
        </w:rPr>
      </w:pPr>
    </w:p>
    <w:p w14:paraId="47955839" w14:textId="260B429B" w:rsidR="00CF74D7" w:rsidRDefault="00FF214F" w:rsidP="00A4635E">
      <w:pPr>
        <w:pStyle w:val="ListParagraph"/>
        <w:numPr>
          <w:ilvl w:val="0"/>
          <w:numId w:val="6"/>
        </w:numPr>
        <w:tabs>
          <w:tab w:val="left" w:pos="567"/>
        </w:tabs>
        <w:spacing w:after="0" w:line="240" w:lineRule="auto"/>
        <w:ind w:left="0" w:right="4" w:firstLine="0"/>
        <w:jc w:val="both"/>
        <w:rPr>
          <w:rFonts w:ascii="Verdana" w:hAnsi="Verdana"/>
          <w:sz w:val="20"/>
          <w:szCs w:val="20"/>
        </w:rPr>
      </w:pPr>
      <w:r>
        <w:rPr>
          <w:rFonts w:ascii="Verdana" w:hAnsi="Verdana"/>
          <w:sz w:val="20"/>
          <w:szCs w:val="20"/>
        </w:rPr>
        <w:t>E</w:t>
      </w:r>
      <w:r w:rsidR="0014108A">
        <w:rPr>
          <w:rFonts w:ascii="Verdana" w:hAnsi="Verdana"/>
          <w:sz w:val="20"/>
          <w:szCs w:val="20"/>
        </w:rPr>
        <w:t xml:space="preserve">n </w:t>
      </w:r>
      <w:r w:rsidR="00A00BD0">
        <w:rPr>
          <w:rFonts w:ascii="Verdana" w:hAnsi="Verdana"/>
          <w:sz w:val="20"/>
          <w:szCs w:val="20"/>
        </w:rPr>
        <w:t>sus</w:t>
      </w:r>
      <w:r w:rsidR="0014108A">
        <w:rPr>
          <w:rFonts w:ascii="Verdana" w:hAnsi="Verdana"/>
          <w:sz w:val="20"/>
          <w:szCs w:val="20"/>
        </w:rPr>
        <w:t xml:space="preserve"> observaciones </w:t>
      </w:r>
      <w:r w:rsidR="00A00BD0">
        <w:rPr>
          <w:rFonts w:ascii="Verdana" w:hAnsi="Verdana"/>
          <w:sz w:val="20"/>
          <w:szCs w:val="20"/>
        </w:rPr>
        <w:t xml:space="preserve">de </w:t>
      </w:r>
      <w:r w:rsidR="004E016A">
        <w:rPr>
          <w:rFonts w:ascii="Verdana" w:hAnsi="Verdana"/>
          <w:sz w:val="20"/>
          <w:szCs w:val="20"/>
        </w:rPr>
        <w:t>septiembre de 2017</w:t>
      </w:r>
      <w:r>
        <w:rPr>
          <w:rFonts w:ascii="Verdana" w:hAnsi="Verdana"/>
          <w:sz w:val="20"/>
          <w:szCs w:val="20"/>
        </w:rPr>
        <w:t xml:space="preserve"> la </w:t>
      </w:r>
      <w:r w:rsidRPr="009D14FE">
        <w:rPr>
          <w:rFonts w:ascii="Verdana" w:hAnsi="Verdana"/>
          <w:i/>
          <w:sz w:val="20"/>
          <w:szCs w:val="20"/>
        </w:rPr>
        <w:t>Comisión</w:t>
      </w:r>
      <w:r>
        <w:rPr>
          <w:rFonts w:ascii="Verdana" w:hAnsi="Verdana"/>
          <w:sz w:val="20"/>
          <w:szCs w:val="20"/>
        </w:rPr>
        <w:t xml:space="preserve"> manifestó su</w:t>
      </w:r>
      <w:r w:rsidR="00A00BD0">
        <w:rPr>
          <w:rFonts w:ascii="Verdana" w:hAnsi="Verdana"/>
          <w:sz w:val="20"/>
          <w:szCs w:val="20"/>
        </w:rPr>
        <w:t xml:space="preserve"> </w:t>
      </w:r>
      <w:r w:rsidR="009D14FE">
        <w:rPr>
          <w:rFonts w:ascii="Verdana" w:hAnsi="Verdana"/>
          <w:sz w:val="20"/>
          <w:szCs w:val="20"/>
        </w:rPr>
        <w:t>“</w:t>
      </w:r>
      <w:r w:rsidR="0014108A">
        <w:rPr>
          <w:rFonts w:ascii="Verdana" w:hAnsi="Verdana"/>
          <w:sz w:val="20"/>
          <w:szCs w:val="20"/>
        </w:rPr>
        <w:t>preoc</w:t>
      </w:r>
      <w:r w:rsidR="005721B2">
        <w:rPr>
          <w:rFonts w:ascii="Verdana" w:hAnsi="Verdana"/>
          <w:sz w:val="20"/>
          <w:szCs w:val="20"/>
        </w:rPr>
        <w:t>upación</w:t>
      </w:r>
      <w:r w:rsidR="009D14FE">
        <w:rPr>
          <w:rFonts w:ascii="Verdana" w:hAnsi="Verdana"/>
          <w:sz w:val="20"/>
          <w:szCs w:val="20"/>
        </w:rPr>
        <w:t>”</w:t>
      </w:r>
      <w:r w:rsidR="005721B2">
        <w:rPr>
          <w:rFonts w:ascii="Verdana" w:hAnsi="Verdana"/>
          <w:sz w:val="20"/>
          <w:szCs w:val="20"/>
        </w:rPr>
        <w:t xml:space="preserve"> </w:t>
      </w:r>
      <w:r>
        <w:rPr>
          <w:rFonts w:ascii="Verdana" w:hAnsi="Verdana"/>
          <w:sz w:val="20"/>
          <w:szCs w:val="20"/>
        </w:rPr>
        <w:t xml:space="preserve">debido a </w:t>
      </w:r>
      <w:r w:rsidR="005721B2">
        <w:rPr>
          <w:rFonts w:ascii="Verdana" w:hAnsi="Verdana"/>
          <w:sz w:val="20"/>
          <w:szCs w:val="20"/>
        </w:rPr>
        <w:t>que la investigación “</w:t>
      </w:r>
      <w:r w:rsidR="0014108A">
        <w:rPr>
          <w:rFonts w:ascii="Verdana" w:hAnsi="Verdana"/>
          <w:sz w:val="20"/>
          <w:szCs w:val="20"/>
        </w:rPr>
        <w:t>no ha tenido mayores avances porque no se han podido realizar ciertas diligencias de tipo personal con las víctimas debido a la falta de contacto con éstas”, destacando qu</w:t>
      </w:r>
      <w:r w:rsidR="005721B2">
        <w:rPr>
          <w:rFonts w:ascii="Verdana" w:hAnsi="Verdana"/>
          <w:sz w:val="20"/>
          <w:szCs w:val="20"/>
        </w:rPr>
        <w:t>e “</w:t>
      </w:r>
      <w:r w:rsidR="0014108A">
        <w:rPr>
          <w:rFonts w:ascii="Verdana" w:hAnsi="Verdana"/>
          <w:sz w:val="20"/>
          <w:szCs w:val="20"/>
        </w:rPr>
        <w:t xml:space="preserve">la importancia de los estándares del Protocolo de Estambul, </w:t>
      </w:r>
      <w:r w:rsidR="00956E2D">
        <w:rPr>
          <w:rFonts w:ascii="Verdana" w:hAnsi="Verdana"/>
          <w:sz w:val="20"/>
          <w:szCs w:val="20"/>
        </w:rPr>
        <w:t>[…</w:t>
      </w:r>
      <w:r w:rsidR="00956E2D" w:rsidRPr="002B0256">
        <w:rPr>
          <w:rFonts w:ascii="Verdana" w:hAnsi="Verdana"/>
          <w:sz w:val="20"/>
          <w:szCs w:val="20"/>
        </w:rPr>
        <w:t>]</w:t>
      </w:r>
      <w:r w:rsidR="00956E2D">
        <w:rPr>
          <w:rFonts w:ascii="Verdana" w:hAnsi="Verdana"/>
          <w:sz w:val="20"/>
          <w:szCs w:val="20"/>
        </w:rPr>
        <w:t xml:space="preserve"> no pueden constituirse en carga para las víctimas de tortura, de forma que su ausencia impida el avance en las investigaciones y se les traslade la carga que recae en el Estado”</w:t>
      </w:r>
      <w:r w:rsidR="00956E2D">
        <w:rPr>
          <w:rStyle w:val="FootnoteReference"/>
          <w:rFonts w:ascii="Verdana" w:hAnsi="Verdana"/>
          <w:sz w:val="20"/>
          <w:szCs w:val="20"/>
        </w:rPr>
        <w:footnoteReference w:id="20"/>
      </w:r>
      <w:r w:rsidR="00956E2D">
        <w:rPr>
          <w:rFonts w:ascii="Verdana" w:hAnsi="Verdana"/>
          <w:sz w:val="20"/>
          <w:szCs w:val="20"/>
        </w:rPr>
        <w:t>.</w:t>
      </w:r>
    </w:p>
    <w:p w14:paraId="47666949" w14:textId="77777777" w:rsidR="00AD24D6" w:rsidRPr="00816E7B" w:rsidRDefault="00AD24D6" w:rsidP="00816E7B">
      <w:pPr>
        <w:spacing w:after="0" w:line="240" w:lineRule="auto"/>
        <w:rPr>
          <w:rFonts w:ascii="Verdana" w:hAnsi="Verdana" w:cs="Arial"/>
          <w:sz w:val="20"/>
          <w:szCs w:val="20"/>
        </w:rPr>
      </w:pPr>
    </w:p>
    <w:p w14:paraId="3EE1E28C" w14:textId="22B7EFDA" w:rsidR="00816E7B" w:rsidRPr="00816E7B" w:rsidRDefault="00956E2D" w:rsidP="00816E7B">
      <w:pPr>
        <w:pStyle w:val="ListParagraph"/>
        <w:numPr>
          <w:ilvl w:val="0"/>
          <w:numId w:val="6"/>
        </w:numPr>
        <w:tabs>
          <w:tab w:val="num" w:pos="540"/>
          <w:tab w:val="left" w:pos="567"/>
        </w:tabs>
        <w:spacing w:after="0" w:line="240" w:lineRule="auto"/>
        <w:ind w:left="0" w:right="4" w:firstLine="0"/>
        <w:jc w:val="both"/>
        <w:rPr>
          <w:rFonts w:ascii="Verdana" w:hAnsi="Verdana"/>
          <w:sz w:val="20"/>
        </w:rPr>
      </w:pPr>
      <w:r w:rsidRPr="00CF74D7">
        <w:rPr>
          <w:rFonts w:ascii="Verdana" w:hAnsi="Verdana" w:cs="Arial"/>
          <w:sz w:val="20"/>
          <w:szCs w:val="20"/>
        </w:rPr>
        <w:t xml:space="preserve">La Corte considera relevante destacar que </w:t>
      </w:r>
      <w:r w:rsidR="000D5281" w:rsidRPr="00CF74D7">
        <w:rPr>
          <w:rFonts w:ascii="Verdana" w:hAnsi="Verdana" w:cs="Arial"/>
          <w:sz w:val="20"/>
          <w:szCs w:val="20"/>
        </w:rPr>
        <w:t>esta medida de reparación devino d</w:t>
      </w:r>
      <w:r w:rsidRPr="00CF74D7">
        <w:rPr>
          <w:rFonts w:ascii="Verdana" w:hAnsi="Verdana" w:cs="Arial"/>
          <w:sz w:val="20"/>
          <w:szCs w:val="20"/>
        </w:rPr>
        <w:t>el incumplimiento de la obligación de investigar los hechos de tort</w:t>
      </w:r>
      <w:r w:rsidR="000D5281" w:rsidRPr="00CF74D7">
        <w:rPr>
          <w:rFonts w:ascii="Verdana" w:hAnsi="Verdana" w:cs="Arial"/>
          <w:sz w:val="20"/>
          <w:szCs w:val="20"/>
        </w:rPr>
        <w:t>ura en el presente caso</w:t>
      </w:r>
      <w:r w:rsidR="00FF592B">
        <w:rPr>
          <w:rFonts w:ascii="Verdana" w:hAnsi="Verdana" w:cs="Arial"/>
          <w:sz w:val="20"/>
          <w:szCs w:val="20"/>
        </w:rPr>
        <w:t>;</w:t>
      </w:r>
      <w:r w:rsidRPr="00CF74D7">
        <w:rPr>
          <w:rFonts w:ascii="Verdana" w:hAnsi="Verdana" w:cs="Arial"/>
          <w:sz w:val="20"/>
          <w:szCs w:val="20"/>
        </w:rPr>
        <w:t xml:space="preserve"> fundamentalmente, de la omisión de las autoridades estatales de iniciar una investigación penal para investigar esos hechos de forma independiente de los procesos penales seguidos contra las víctimas</w:t>
      </w:r>
      <w:r>
        <w:rPr>
          <w:rStyle w:val="FootnoteReference"/>
          <w:rFonts w:ascii="Verdana" w:hAnsi="Verdana" w:cs="Arial"/>
        </w:rPr>
        <w:footnoteReference w:id="21"/>
      </w:r>
      <w:r w:rsidR="000D5281" w:rsidRPr="00CF74D7">
        <w:rPr>
          <w:rFonts w:ascii="Verdana" w:hAnsi="Verdana" w:cs="Arial"/>
          <w:sz w:val="20"/>
          <w:szCs w:val="20"/>
        </w:rPr>
        <w:t xml:space="preserve">. </w:t>
      </w:r>
      <w:r w:rsidR="002762C9">
        <w:rPr>
          <w:rFonts w:ascii="Verdana" w:hAnsi="Verdana" w:cs="Arial"/>
          <w:sz w:val="20"/>
          <w:szCs w:val="20"/>
        </w:rPr>
        <w:t xml:space="preserve">Este Tribunal </w:t>
      </w:r>
      <w:r w:rsidR="000F7573" w:rsidRPr="0037618C">
        <w:rPr>
          <w:rFonts w:ascii="Verdana" w:hAnsi="Verdana"/>
          <w:sz w:val="20"/>
          <w:szCs w:val="20"/>
          <w:lang w:val="es-ES_tradnl"/>
        </w:rPr>
        <w:t>ha reiterado de manera constante que la obligación del Estado de investigar de manera adecuada y sancionar, en su caso, a los responsables, debe cumplirse diligentemente para evitar la impunidad y que este tipo de hechos vuelvan a repetirse</w:t>
      </w:r>
      <w:r w:rsidR="000F7573" w:rsidRPr="0037618C">
        <w:rPr>
          <w:rStyle w:val="FootnoteReference"/>
          <w:rFonts w:ascii="Verdana" w:hAnsi="Verdana"/>
          <w:sz w:val="20"/>
          <w:szCs w:val="20"/>
          <w:lang w:val="es-ES"/>
        </w:rPr>
        <w:footnoteReference w:id="22"/>
      </w:r>
      <w:r w:rsidR="000F7573" w:rsidRPr="0037618C">
        <w:rPr>
          <w:rFonts w:ascii="Verdana" w:hAnsi="Verdana"/>
          <w:sz w:val="20"/>
          <w:szCs w:val="20"/>
          <w:lang w:val="es-ES"/>
        </w:rPr>
        <w:t>.</w:t>
      </w:r>
      <w:r w:rsidR="000F7573">
        <w:rPr>
          <w:rFonts w:ascii="Verdana" w:hAnsi="Verdana"/>
          <w:sz w:val="20"/>
          <w:szCs w:val="20"/>
          <w:lang w:val="es-ES"/>
        </w:rPr>
        <w:t xml:space="preserve"> </w:t>
      </w:r>
      <w:r w:rsidR="00FF592B">
        <w:rPr>
          <w:rFonts w:ascii="Verdana" w:hAnsi="Verdana"/>
          <w:sz w:val="20"/>
          <w:szCs w:val="20"/>
          <w:lang w:val="es-ES"/>
        </w:rPr>
        <w:t xml:space="preserve">En este sentido, la Corte hace notar </w:t>
      </w:r>
      <w:r w:rsidR="00CF74D7" w:rsidRPr="00CF74D7">
        <w:rPr>
          <w:rFonts w:ascii="Verdana" w:hAnsi="Verdana"/>
          <w:sz w:val="20"/>
        </w:rPr>
        <w:t xml:space="preserve">que, a cinco años de dictada la Sentencia y más de </w:t>
      </w:r>
      <w:r w:rsidR="00AD4CC5">
        <w:rPr>
          <w:rFonts w:ascii="Verdana" w:hAnsi="Verdana"/>
          <w:sz w:val="20"/>
        </w:rPr>
        <w:t xml:space="preserve">veinte </w:t>
      </w:r>
      <w:r w:rsidR="00CF74D7" w:rsidRPr="00CF74D7">
        <w:rPr>
          <w:rFonts w:ascii="Verdana" w:hAnsi="Verdana"/>
          <w:sz w:val="20"/>
        </w:rPr>
        <w:t>años desde que ocurrieron los hechos del presente caso,</w:t>
      </w:r>
      <w:r w:rsidR="00CF74D7" w:rsidRPr="00CF74D7">
        <w:rPr>
          <w:rFonts w:ascii="Verdana" w:hAnsi="Verdana"/>
          <w:color w:val="000000"/>
          <w:sz w:val="20"/>
        </w:rPr>
        <w:t xml:space="preserve"> </w:t>
      </w:r>
      <w:r w:rsidR="00CF74D7" w:rsidRPr="00CF74D7">
        <w:rPr>
          <w:rFonts w:ascii="Verdana" w:hAnsi="Verdana"/>
          <w:sz w:val="20"/>
        </w:rPr>
        <w:t>no hay avances significativos en la investigación de las violaciones a los derechos humanos cometidas en agravio de los señores García Cruz y Sánchez Silvestre, dado que la causa</w:t>
      </w:r>
      <w:r w:rsidR="00DE2540">
        <w:rPr>
          <w:rFonts w:ascii="Verdana" w:hAnsi="Verdana"/>
          <w:sz w:val="20"/>
        </w:rPr>
        <w:t xml:space="preserve"> penal</w:t>
      </w:r>
      <w:r w:rsidR="00CF74D7" w:rsidRPr="00CF74D7">
        <w:rPr>
          <w:rFonts w:ascii="Verdana" w:hAnsi="Verdana"/>
          <w:sz w:val="20"/>
        </w:rPr>
        <w:t xml:space="preserve"> aún se encuentra en etapa de investigación </w:t>
      </w:r>
      <w:r w:rsidR="000F7573">
        <w:rPr>
          <w:rFonts w:ascii="Verdana" w:hAnsi="Verdana"/>
          <w:sz w:val="20"/>
        </w:rPr>
        <w:t xml:space="preserve">tal y como </w:t>
      </w:r>
      <w:r w:rsidR="005721B2">
        <w:rPr>
          <w:rFonts w:ascii="Verdana" w:hAnsi="Verdana"/>
          <w:sz w:val="20"/>
        </w:rPr>
        <w:t>el propio</w:t>
      </w:r>
      <w:r w:rsidR="00CF74D7" w:rsidRPr="00CF74D7">
        <w:rPr>
          <w:rFonts w:ascii="Verdana" w:hAnsi="Verdana"/>
          <w:sz w:val="20"/>
        </w:rPr>
        <w:t xml:space="preserve"> Estado</w:t>
      </w:r>
      <w:r w:rsidR="000F7573">
        <w:rPr>
          <w:rFonts w:ascii="Verdana" w:hAnsi="Verdana"/>
          <w:sz w:val="20"/>
        </w:rPr>
        <w:t xml:space="preserve"> lo </w:t>
      </w:r>
      <w:r w:rsidR="00357147">
        <w:rPr>
          <w:rFonts w:ascii="Verdana" w:hAnsi="Verdana"/>
          <w:sz w:val="20"/>
        </w:rPr>
        <w:t xml:space="preserve">reconoció </w:t>
      </w:r>
      <w:r w:rsidR="000F7573">
        <w:rPr>
          <w:rFonts w:ascii="Verdana" w:hAnsi="Verdana"/>
          <w:sz w:val="20"/>
        </w:rPr>
        <w:t xml:space="preserve">en sus </w:t>
      </w:r>
      <w:r w:rsidR="000F7573" w:rsidRPr="00816E7B">
        <w:rPr>
          <w:rFonts w:ascii="Verdana" w:hAnsi="Verdana"/>
          <w:sz w:val="20"/>
        </w:rPr>
        <w:t>informes</w:t>
      </w:r>
      <w:r w:rsidR="00D45194" w:rsidRPr="00816E7B">
        <w:rPr>
          <w:rFonts w:ascii="Verdana" w:hAnsi="Verdana"/>
          <w:sz w:val="20"/>
        </w:rPr>
        <w:t xml:space="preserve"> </w:t>
      </w:r>
      <w:r w:rsidR="00D45194" w:rsidRPr="00816E7B">
        <w:rPr>
          <w:rFonts w:ascii="Verdana" w:hAnsi="Verdana"/>
          <w:sz w:val="20"/>
          <w:szCs w:val="20"/>
        </w:rPr>
        <w:t>(</w:t>
      </w:r>
      <w:r w:rsidR="00357147">
        <w:rPr>
          <w:rFonts w:ascii="Verdana" w:hAnsi="Verdana"/>
          <w:i/>
          <w:sz w:val="20"/>
          <w:szCs w:val="20"/>
        </w:rPr>
        <w:t>supra</w:t>
      </w:r>
      <w:r w:rsidR="00357147">
        <w:rPr>
          <w:rFonts w:ascii="Verdana" w:hAnsi="Verdana"/>
          <w:sz w:val="20"/>
          <w:szCs w:val="20"/>
        </w:rPr>
        <w:t xml:space="preserve"> Considerando 5</w:t>
      </w:r>
      <w:r w:rsidR="00D45194" w:rsidRPr="00816E7B">
        <w:rPr>
          <w:rFonts w:ascii="Verdana" w:hAnsi="Verdana"/>
          <w:sz w:val="20"/>
          <w:szCs w:val="20"/>
        </w:rPr>
        <w:t>)</w:t>
      </w:r>
      <w:r w:rsidR="00CF74D7" w:rsidRPr="00816E7B">
        <w:rPr>
          <w:rFonts w:ascii="Verdana" w:hAnsi="Verdana"/>
          <w:sz w:val="20"/>
          <w:szCs w:val="20"/>
        </w:rPr>
        <w:t xml:space="preserve">. </w:t>
      </w:r>
    </w:p>
    <w:p w14:paraId="7ABCE435" w14:textId="77777777" w:rsidR="00CF74D7" w:rsidRPr="00CF74D7" w:rsidRDefault="00CF74D7" w:rsidP="00A4635E">
      <w:pPr>
        <w:pStyle w:val="ListParagraph"/>
        <w:spacing w:after="0" w:line="240" w:lineRule="auto"/>
        <w:rPr>
          <w:rFonts w:ascii="Verdana" w:hAnsi="Verdana"/>
          <w:sz w:val="20"/>
        </w:rPr>
      </w:pPr>
    </w:p>
    <w:p w14:paraId="3B8BACCE" w14:textId="717C92E6" w:rsidR="00CF74D7" w:rsidRDefault="00C91189" w:rsidP="00A4635E">
      <w:pPr>
        <w:pStyle w:val="ListParagraph"/>
        <w:numPr>
          <w:ilvl w:val="0"/>
          <w:numId w:val="6"/>
        </w:numPr>
        <w:tabs>
          <w:tab w:val="num" w:pos="540"/>
          <w:tab w:val="left" w:pos="567"/>
        </w:tabs>
        <w:spacing w:after="0" w:line="240" w:lineRule="auto"/>
        <w:ind w:left="0" w:right="4" w:firstLine="0"/>
        <w:jc w:val="both"/>
        <w:rPr>
          <w:rFonts w:ascii="Verdana" w:hAnsi="Verdana"/>
          <w:sz w:val="20"/>
        </w:rPr>
      </w:pPr>
      <w:r>
        <w:rPr>
          <w:rFonts w:ascii="Verdana" w:hAnsi="Verdana"/>
          <w:sz w:val="20"/>
        </w:rPr>
        <w:t>Este Tribunal considera que e</w:t>
      </w:r>
      <w:r w:rsidR="00CF74D7" w:rsidRPr="00CF74D7">
        <w:rPr>
          <w:rFonts w:ascii="Verdana" w:hAnsi="Verdana"/>
          <w:sz w:val="20"/>
        </w:rPr>
        <w:t>l Estado no puede atri</w:t>
      </w:r>
      <w:r w:rsidR="004935B6">
        <w:rPr>
          <w:rFonts w:ascii="Verdana" w:hAnsi="Verdana"/>
          <w:sz w:val="20"/>
        </w:rPr>
        <w:t xml:space="preserve">buir la falta de cumplimiento </w:t>
      </w:r>
      <w:r w:rsidR="00CF74D7" w:rsidRPr="00CF74D7">
        <w:rPr>
          <w:rFonts w:ascii="Verdana" w:hAnsi="Verdana"/>
          <w:sz w:val="20"/>
        </w:rPr>
        <w:t>o la dilación de sus obligaciones convencionales a la</w:t>
      </w:r>
      <w:r w:rsidR="00CF74D7">
        <w:rPr>
          <w:rFonts w:ascii="Verdana" w:hAnsi="Verdana"/>
          <w:sz w:val="20"/>
        </w:rPr>
        <w:t xml:space="preserve"> falta de comparecencia de las víctimas, máxime cuando existe una decisión judicial interna que</w:t>
      </w:r>
      <w:r w:rsidR="00A905AB">
        <w:rPr>
          <w:rFonts w:ascii="Verdana" w:hAnsi="Verdana"/>
          <w:sz w:val="20"/>
        </w:rPr>
        <w:t>, al conceder el amparo directo penal interpuesto por los señores García Cruz y Sánchez Silvestre,</w:t>
      </w:r>
      <w:r w:rsidR="00CF74D7">
        <w:rPr>
          <w:rFonts w:ascii="Verdana" w:hAnsi="Verdana"/>
          <w:sz w:val="20"/>
        </w:rPr>
        <w:t xml:space="preserve"> </w:t>
      </w:r>
      <w:r w:rsidR="00C40ACC">
        <w:rPr>
          <w:rFonts w:ascii="Verdana" w:hAnsi="Verdana"/>
          <w:sz w:val="20"/>
        </w:rPr>
        <w:t>consideró que agentes estatales</w:t>
      </w:r>
      <w:r w:rsidR="00C40ACC" w:rsidDel="00C40ACC">
        <w:rPr>
          <w:rFonts w:ascii="Verdana" w:hAnsi="Verdana"/>
          <w:sz w:val="20"/>
        </w:rPr>
        <w:t xml:space="preserve"> </w:t>
      </w:r>
      <w:r w:rsidR="00CF74D7">
        <w:rPr>
          <w:rFonts w:ascii="Verdana" w:hAnsi="Verdana"/>
          <w:sz w:val="20"/>
        </w:rPr>
        <w:t>cometi</w:t>
      </w:r>
      <w:r w:rsidR="00C40ACC">
        <w:rPr>
          <w:rFonts w:ascii="Verdana" w:hAnsi="Verdana"/>
          <w:sz w:val="20"/>
        </w:rPr>
        <w:t>eron</w:t>
      </w:r>
      <w:r w:rsidR="00CF74D7">
        <w:rPr>
          <w:rFonts w:ascii="Verdana" w:hAnsi="Verdana"/>
          <w:sz w:val="20"/>
        </w:rPr>
        <w:t xml:space="preserve"> actos de tortura </w:t>
      </w:r>
      <w:r w:rsidR="00C40ACC">
        <w:rPr>
          <w:rFonts w:ascii="Verdana" w:hAnsi="Verdana"/>
          <w:sz w:val="20"/>
        </w:rPr>
        <w:t>para obtener la confesión de aquellos</w:t>
      </w:r>
      <w:r w:rsidR="00CF74D7">
        <w:rPr>
          <w:rStyle w:val="FootnoteReference"/>
          <w:rFonts w:ascii="Verdana" w:hAnsi="Verdana"/>
          <w:sz w:val="20"/>
        </w:rPr>
        <w:footnoteReference w:id="23"/>
      </w:r>
      <w:r w:rsidR="00CF74D7">
        <w:rPr>
          <w:rFonts w:ascii="Verdana" w:hAnsi="Verdana"/>
          <w:sz w:val="20"/>
        </w:rPr>
        <w:t>.</w:t>
      </w:r>
      <w:r w:rsidR="007E59CA">
        <w:rPr>
          <w:rFonts w:ascii="Verdana" w:hAnsi="Verdana"/>
          <w:sz w:val="20"/>
        </w:rPr>
        <w:t xml:space="preserve"> </w:t>
      </w:r>
      <w:r w:rsidR="004935B6">
        <w:rPr>
          <w:rFonts w:ascii="Verdana" w:hAnsi="Verdana"/>
          <w:sz w:val="20"/>
        </w:rPr>
        <w:t xml:space="preserve">Por tanto, </w:t>
      </w:r>
      <w:r w:rsidR="008241BD">
        <w:rPr>
          <w:rFonts w:ascii="Verdana" w:hAnsi="Verdana"/>
          <w:sz w:val="20"/>
        </w:rPr>
        <w:t>esta Corte</w:t>
      </w:r>
      <w:r w:rsidR="007E59CA">
        <w:rPr>
          <w:rFonts w:ascii="Verdana" w:hAnsi="Verdana"/>
          <w:sz w:val="20"/>
        </w:rPr>
        <w:t xml:space="preserve"> considera que dicho alegato es inadmisible para justificar una demora en los procedimientos, ya que en la jurisdicción interna corresponde a los órganos competen</w:t>
      </w:r>
      <w:r w:rsidR="000F7573">
        <w:rPr>
          <w:rFonts w:ascii="Verdana" w:hAnsi="Verdana"/>
          <w:sz w:val="20"/>
        </w:rPr>
        <w:t>tes dirigir la investigación</w:t>
      </w:r>
      <w:r w:rsidR="007E59CA">
        <w:rPr>
          <w:rFonts w:ascii="Verdana" w:hAnsi="Verdana"/>
          <w:sz w:val="20"/>
        </w:rPr>
        <w:t>, sin que sean las víctimas o sus representantes quienes tengan la carga de asumir tal iniciativa</w:t>
      </w:r>
      <w:r w:rsidR="007E59CA">
        <w:rPr>
          <w:rStyle w:val="FootnoteReference"/>
          <w:rFonts w:ascii="Verdana" w:hAnsi="Verdana"/>
          <w:sz w:val="20"/>
        </w:rPr>
        <w:footnoteReference w:id="24"/>
      </w:r>
      <w:r w:rsidR="007E59CA">
        <w:rPr>
          <w:rFonts w:ascii="Verdana" w:hAnsi="Verdana"/>
          <w:sz w:val="20"/>
        </w:rPr>
        <w:t>.</w:t>
      </w:r>
    </w:p>
    <w:p w14:paraId="787135DF" w14:textId="77777777" w:rsidR="00CF74D7" w:rsidRPr="00CF74D7" w:rsidRDefault="00CF74D7" w:rsidP="00A4635E">
      <w:pPr>
        <w:pStyle w:val="ListParagraph"/>
        <w:spacing w:after="0" w:line="240" w:lineRule="auto"/>
        <w:rPr>
          <w:rFonts w:ascii="Verdana" w:hAnsi="Verdana"/>
          <w:sz w:val="20"/>
        </w:rPr>
      </w:pPr>
    </w:p>
    <w:p w14:paraId="53A1E628" w14:textId="6FDAC7C0" w:rsidR="0025659F" w:rsidRDefault="00CF74D7" w:rsidP="0025659F">
      <w:pPr>
        <w:pStyle w:val="ListParagraph"/>
        <w:numPr>
          <w:ilvl w:val="0"/>
          <w:numId w:val="6"/>
        </w:numPr>
        <w:tabs>
          <w:tab w:val="num" w:pos="540"/>
          <w:tab w:val="left" w:pos="567"/>
        </w:tabs>
        <w:spacing w:after="0" w:line="240" w:lineRule="auto"/>
        <w:ind w:left="0" w:right="4" w:firstLine="0"/>
        <w:jc w:val="both"/>
        <w:rPr>
          <w:rFonts w:ascii="Verdana" w:hAnsi="Verdana"/>
          <w:sz w:val="20"/>
        </w:rPr>
      </w:pPr>
      <w:r w:rsidRPr="00CF74D7">
        <w:rPr>
          <w:rFonts w:ascii="Verdana" w:hAnsi="Verdana"/>
          <w:sz w:val="20"/>
        </w:rPr>
        <w:t>La Corte r</w:t>
      </w:r>
      <w:r w:rsidR="00D45194">
        <w:rPr>
          <w:rFonts w:ascii="Verdana" w:hAnsi="Verdana"/>
          <w:sz w:val="20"/>
        </w:rPr>
        <w:t>ecuerda</w:t>
      </w:r>
      <w:r w:rsidRPr="00CF74D7">
        <w:rPr>
          <w:rFonts w:ascii="Verdana" w:hAnsi="Verdana"/>
          <w:sz w:val="20"/>
        </w:rPr>
        <w:t xml:space="preserve"> que corresponde al Estado realizar todas las gestiones concretas y pertinentes para cumplir con esta obligación y, en particular, adoptar las medidas necesarias para </w:t>
      </w:r>
      <w:r>
        <w:rPr>
          <w:rFonts w:ascii="Verdana" w:hAnsi="Verdana"/>
          <w:sz w:val="20"/>
        </w:rPr>
        <w:t>realizar todas las diligencias que</w:t>
      </w:r>
      <w:r w:rsidRPr="00CF74D7">
        <w:rPr>
          <w:rFonts w:ascii="Verdana" w:hAnsi="Verdana"/>
          <w:sz w:val="20"/>
        </w:rPr>
        <w:t xml:space="preserve"> pueda</w:t>
      </w:r>
      <w:r>
        <w:rPr>
          <w:rFonts w:ascii="Verdana" w:hAnsi="Verdana"/>
          <w:sz w:val="20"/>
        </w:rPr>
        <w:t>n</w:t>
      </w:r>
      <w:r w:rsidRPr="00CF74D7">
        <w:rPr>
          <w:rFonts w:ascii="Verdana" w:hAnsi="Verdana"/>
          <w:sz w:val="20"/>
        </w:rPr>
        <w:t xml:space="preserve"> contribuir a</w:t>
      </w:r>
      <w:r w:rsidR="007E59CA">
        <w:rPr>
          <w:rFonts w:ascii="Verdana" w:hAnsi="Verdana"/>
          <w:sz w:val="20"/>
        </w:rPr>
        <w:t>l avance de las investigaciones, juzgamiento y sanción.</w:t>
      </w:r>
      <w:r w:rsidRPr="00CF74D7">
        <w:rPr>
          <w:rFonts w:ascii="Verdana" w:hAnsi="Verdana"/>
          <w:sz w:val="20"/>
        </w:rPr>
        <w:t xml:space="preserve"> Por tanto, el Estado </w:t>
      </w:r>
      <w:r w:rsidR="008241BD">
        <w:rPr>
          <w:rFonts w:ascii="Verdana" w:hAnsi="Verdana"/>
          <w:sz w:val="20"/>
        </w:rPr>
        <w:t xml:space="preserve">deberá </w:t>
      </w:r>
      <w:r w:rsidRPr="00CF74D7">
        <w:rPr>
          <w:rFonts w:ascii="Verdana" w:hAnsi="Verdana"/>
          <w:sz w:val="20"/>
        </w:rPr>
        <w:t>arbitrar todos los medios disponibles</w:t>
      </w:r>
      <w:r w:rsidR="008241BD">
        <w:rPr>
          <w:rFonts w:ascii="Verdana" w:hAnsi="Verdana"/>
          <w:sz w:val="20"/>
        </w:rPr>
        <w:t xml:space="preserve"> </w:t>
      </w:r>
      <w:r w:rsidRPr="00CF74D7">
        <w:rPr>
          <w:rFonts w:ascii="Verdana" w:hAnsi="Verdana"/>
          <w:sz w:val="20"/>
        </w:rPr>
        <w:t>a fin de avanzar en la investigación, como así también evacuar</w:t>
      </w:r>
      <w:r w:rsidR="00FF214F">
        <w:rPr>
          <w:rFonts w:ascii="Verdana" w:hAnsi="Verdana"/>
          <w:sz w:val="20"/>
        </w:rPr>
        <w:t xml:space="preserve"> todas</w:t>
      </w:r>
      <w:r w:rsidRPr="00CF74D7">
        <w:rPr>
          <w:rFonts w:ascii="Verdana" w:hAnsi="Verdana"/>
          <w:sz w:val="20"/>
        </w:rPr>
        <w:t xml:space="preserve"> las </w:t>
      </w:r>
      <w:r w:rsidR="00FF214F">
        <w:rPr>
          <w:rFonts w:ascii="Verdana" w:hAnsi="Verdana"/>
          <w:sz w:val="20"/>
        </w:rPr>
        <w:t xml:space="preserve">demás </w:t>
      </w:r>
      <w:r w:rsidRPr="00CF74D7">
        <w:rPr>
          <w:rFonts w:ascii="Verdana" w:hAnsi="Verdana"/>
          <w:sz w:val="20"/>
        </w:rPr>
        <w:t>diligencias requeridas a tal efecto</w:t>
      </w:r>
      <w:r w:rsidR="00FF214F">
        <w:rPr>
          <w:rFonts w:ascii="Verdana" w:hAnsi="Verdana"/>
          <w:sz w:val="20"/>
        </w:rPr>
        <w:t xml:space="preserve"> que no requieran de la comparecencia de las víctimas</w:t>
      </w:r>
      <w:r w:rsidRPr="00CF74D7">
        <w:rPr>
          <w:rFonts w:ascii="Verdana" w:hAnsi="Verdana"/>
          <w:sz w:val="20"/>
        </w:rPr>
        <w:t xml:space="preserve">. Al respecto, </w:t>
      </w:r>
      <w:r w:rsidR="008241BD">
        <w:rPr>
          <w:rFonts w:ascii="Verdana" w:hAnsi="Verdana"/>
          <w:sz w:val="20"/>
        </w:rPr>
        <w:t>el Tribunal</w:t>
      </w:r>
      <w:r w:rsidRPr="00CF74D7">
        <w:rPr>
          <w:rFonts w:ascii="Verdana" w:hAnsi="Verdana"/>
          <w:sz w:val="20"/>
        </w:rPr>
        <w:t xml:space="preserve"> estima necesario requerir al Estado que presente información actualizada sobre dichas diligencias, en el plazo dispuesto en </w:t>
      </w:r>
      <w:r w:rsidR="008241BD">
        <w:rPr>
          <w:rFonts w:ascii="Verdana" w:hAnsi="Verdana"/>
          <w:sz w:val="20"/>
        </w:rPr>
        <w:t xml:space="preserve">el punto resolutivo </w:t>
      </w:r>
      <w:r w:rsidR="008241BD">
        <w:rPr>
          <w:rFonts w:ascii="Verdana" w:hAnsi="Verdana"/>
          <w:sz w:val="20"/>
        </w:rPr>
        <w:lastRenderedPageBreak/>
        <w:t>sexto</w:t>
      </w:r>
      <w:r w:rsidRPr="00CF74D7">
        <w:rPr>
          <w:rFonts w:ascii="Verdana" w:hAnsi="Verdana"/>
          <w:sz w:val="20"/>
        </w:rPr>
        <w:t xml:space="preserve"> de esta decisión, a efectos de valorar </w:t>
      </w:r>
      <w:r w:rsidR="003A4BF2">
        <w:rPr>
          <w:rFonts w:ascii="Verdana" w:hAnsi="Verdana"/>
          <w:sz w:val="20"/>
        </w:rPr>
        <w:t>el avance en la obligación de investigar, juzgar y, en su caso, sancionar</w:t>
      </w:r>
      <w:r w:rsidRPr="00CF74D7">
        <w:rPr>
          <w:rFonts w:ascii="Verdana" w:hAnsi="Verdana"/>
          <w:sz w:val="20"/>
        </w:rPr>
        <w:t>.</w:t>
      </w:r>
    </w:p>
    <w:p w14:paraId="0C056D1D" w14:textId="77777777" w:rsidR="0025659F" w:rsidRPr="0025659F" w:rsidRDefault="0025659F" w:rsidP="0025659F">
      <w:pPr>
        <w:tabs>
          <w:tab w:val="num" w:pos="540"/>
          <w:tab w:val="left" w:pos="567"/>
        </w:tabs>
        <w:spacing w:after="0" w:line="240" w:lineRule="auto"/>
        <w:ind w:right="4"/>
        <w:jc w:val="both"/>
        <w:rPr>
          <w:rFonts w:ascii="Verdana" w:hAnsi="Verdana"/>
          <w:sz w:val="20"/>
        </w:rPr>
      </w:pPr>
    </w:p>
    <w:p w14:paraId="4FD0E048" w14:textId="59E46D64" w:rsidR="005E6142" w:rsidRDefault="0025659F" w:rsidP="005E6142">
      <w:pPr>
        <w:pStyle w:val="ListParagraph"/>
        <w:numPr>
          <w:ilvl w:val="0"/>
          <w:numId w:val="6"/>
        </w:numPr>
        <w:tabs>
          <w:tab w:val="num" w:pos="540"/>
          <w:tab w:val="left" w:pos="567"/>
        </w:tabs>
        <w:spacing w:after="0" w:line="240" w:lineRule="auto"/>
        <w:ind w:left="0" w:right="4" w:firstLine="0"/>
        <w:jc w:val="both"/>
        <w:rPr>
          <w:rFonts w:ascii="Verdana" w:hAnsi="Verdana"/>
          <w:sz w:val="20"/>
          <w:szCs w:val="20"/>
        </w:rPr>
      </w:pPr>
      <w:r w:rsidRPr="0025659F">
        <w:rPr>
          <w:rFonts w:ascii="Verdana" w:eastAsia="Times New Roman" w:hAnsi="Verdana"/>
          <w:sz w:val="20"/>
          <w:szCs w:val="20"/>
          <w:lang w:val="es-ES_tradnl"/>
        </w:rPr>
        <w:t xml:space="preserve">Con base en las consideraciones expuestas, el Tribunal concluye que se encuentra pendiente de cumplimiento la medida de reparación relativa a </w:t>
      </w:r>
      <w:r w:rsidR="005E6142" w:rsidRPr="00A30780">
        <w:rPr>
          <w:rFonts w:ascii="Verdana" w:hAnsi="Verdana"/>
          <w:sz w:val="20"/>
          <w:szCs w:val="20"/>
          <w:lang w:val="es-ES"/>
        </w:rPr>
        <w:t>realizar y proseguir de modo diligente todas las investigaciones y actuaciones necesarias par</w:t>
      </w:r>
      <w:r w:rsidR="005E6142">
        <w:rPr>
          <w:rFonts w:ascii="Verdana" w:hAnsi="Verdana"/>
          <w:sz w:val="20"/>
          <w:szCs w:val="20"/>
          <w:lang w:val="es-ES"/>
        </w:rPr>
        <w:t>a deslindar responsabilidades y,</w:t>
      </w:r>
      <w:r w:rsidR="005E6142" w:rsidRPr="00A30780">
        <w:rPr>
          <w:rFonts w:ascii="Verdana" w:hAnsi="Verdana"/>
          <w:sz w:val="20"/>
          <w:szCs w:val="20"/>
          <w:lang w:val="es-ES"/>
        </w:rPr>
        <w:t xml:space="preserve"> en su caso, sancionar la</w:t>
      </w:r>
      <w:r w:rsidR="005E6142">
        <w:rPr>
          <w:rFonts w:ascii="Verdana" w:hAnsi="Verdana"/>
          <w:sz w:val="20"/>
          <w:szCs w:val="20"/>
          <w:lang w:val="es-ES"/>
        </w:rPr>
        <w:t xml:space="preserve"> comisión del delito de tortura,</w:t>
      </w:r>
      <w:r w:rsidR="005E6142" w:rsidRPr="00A30780">
        <w:rPr>
          <w:rFonts w:ascii="Verdana" w:hAnsi="Verdana"/>
          <w:sz w:val="20"/>
          <w:szCs w:val="20"/>
          <w:lang w:val="es-ES"/>
        </w:rPr>
        <w:t xml:space="preserve"> en perjuicio de los señores García Cruz y Sánchez Silvestre</w:t>
      </w:r>
      <w:r w:rsidRPr="0025659F">
        <w:rPr>
          <w:rFonts w:ascii="Verdana" w:eastAsia="Times New Roman" w:hAnsi="Verdana"/>
          <w:sz w:val="20"/>
          <w:szCs w:val="20"/>
          <w:lang w:val="es-ES_tradnl"/>
        </w:rPr>
        <w:t xml:space="preserve">, </w:t>
      </w:r>
      <w:r w:rsidR="0059491A">
        <w:rPr>
          <w:rFonts w:ascii="Verdana" w:eastAsia="Times New Roman" w:hAnsi="Verdana"/>
          <w:sz w:val="20"/>
          <w:szCs w:val="20"/>
          <w:lang w:val="es-ES_tradnl"/>
        </w:rPr>
        <w:t xml:space="preserve">dispuesta </w:t>
      </w:r>
      <w:r w:rsidR="005E6142">
        <w:rPr>
          <w:rFonts w:ascii="Verdana" w:hAnsi="Verdana"/>
          <w:sz w:val="20"/>
          <w:szCs w:val="20"/>
        </w:rPr>
        <w:t>e</w:t>
      </w:r>
      <w:r w:rsidR="005E6142" w:rsidRPr="00DF7E56">
        <w:rPr>
          <w:rFonts w:ascii="Verdana" w:hAnsi="Verdana"/>
          <w:sz w:val="20"/>
          <w:szCs w:val="20"/>
        </w:rPr>
        <w:t>n el punto dispositivo sexto inciso</w:t>
      </w:r>
      <w:r w:rsidR="005E6142">
        <w:rPr>
          <w:rFonts w:ascii="Verdana" w:hAnsi="Verdana"/>
          <w:sz w:val="20"/>
          <w:szCs w:val="20"/>
        </w:rPr>
        <w:t xml:space="preserve"> a</w:t>
      </w:r>
      <w:r w:rsidR="005E6142" w:rsidRPr="00DF7E56">
        <w:rPr>
          <w:rFonts w:ascii="Verdana" w:hAnsi="Verdana"/>
          <w:sz w:val="20"/>
          <w:szCs w:val="20"/>
        </w:rPr>
        <w:t xml:space="preserve">) y en los </w:t>
      </w:r>
      <w:r w:rsidR="005E6142">
        <w:rPr>
          <w:rFonts w:ascii="Verdana" w:hAnsi="Verdana"/>
          <w:sz w:val="20"/>
          <w:szCs w:val="20"/>
        </w:rPr>
        <w:t>párrafos 69 a 71</w:t>
      </w:r>
      <w:r w:rsidR="005E6142" w:rsidRPr="00DF7E56">
        <w:rPr>
          <w:rFonts w:ascii="Verdana" w:hAnsi="Verdana"/>
          <w:sz w:val="20"/>
          <w:szCs w:val="20"/>
        </w:rPr>
        <w:t xml:space="preserve"> de la Sentencia</w:t>
      </w:r>
      <w:r w:rsidR="005E6142">
        <w:rPr>
          <w:rFonts w:ascii="Verdana" w:hAnsi="Verdana"/>
          <w:sz w:val="20"/>
          <w:szCs w:val="20"/>
        </w:rPr>
        <w:t>.</w:t>
      </w:r>
    </w:p>
    <w:p w14:paraId="75D9999E" w14:textId="77777777" w:rsidR="005E6142" w:rsidRPr="005E6142" w:rsidRDefault="005E6142" w:rsidP="005E6142">
      <w:pPr>
        <w:tabs>
          <w:tab w:val="num" w:pos="540"/>
          <w:tab w:val="left" w:pos="567"/>
        </w:tabs>
        <w:spacing w:after="0" w:line="240" w:lineRule="auto"/>
        <w:ind w:right="4"/>
        <w:jc w:val="both"/>
        <w:rPr>
          <w:rFonts w:ascii="Verdana" w:hAnsi="Verdana"/>
          <w:sz w:val="20"/>
          <w:szCs w:val="20"/>
        </w:rPr>
      </w:pPr>
    </w:p>
    <w:p w14:paraId="0D14401C" w14:textId="1B39074B" w:rsidR="00397530" w:rsidRPr="00CF74D7" w:rsidRDefault="005E6142" w:rsidP="005E6142">
      <w:pPr>
        <w:pStyle w:val="ListParagraph"/>
        <w:tabs>
          <w:tab w:val="left" w:pos="567"/>
        </w:tabs>
        <w:spacing w:after="0" w:line="240" w:lineRule="auto"/>
        <w:ind w:left="0" w:right="4"/>
        <w:jc w:val="both"/>
        <w:rPr>
          <w:rFonts w:ascii="Verdana" w:hAnsi="Verdana"/>
          <w:sz w:val="20"/>
          <w:szCs w:val="20"/>
        </w:rPr>
      </w:pPr>
      <w:r w:rsidRPr="00CF74D7">
        <w:rPr>
          <w:rFonts w:ascii="Verdana" w:hAnsi="Verdana"/>
          <w:sz w:val="20"/>
          <w:szCs w:val="20"/>
        </w:rPr>
        <w:t xml:space="preserve"> </w:t>
      </w:r>
    </w:p>
    <w:p w14:paraId="5CEC2DF7" w14:textId="77777777" w:rsidR="00B94D3F" w:rsidRPr="00AD24D6" w:rsidRDefault="00A368A6" w:rsidP="00A4635E">
      <w:pPr>
        <w:pStyle w:val="Heading1"/>
        <w:numPr>
          <w:ilvl w:val="0"/>
          <w:numId w:val="26"/>
        </w:numPr>
      </w:pPr>
      <w:bookmarkStart w:id="2" w:name="_Toc524712408"/>
      <w:r>
        <w:t>E</w:t>
      </w:r>
      <w:r w:rsidR="000E24FC" w:rsidRPr="00AD24D6">
        <w:t>liminación de antecedentes</w:t>
      </w:r>
      <w:r>
        <w:t xml:space="preserve"> penales</w:t>
      </w:r>
      <w:bookmarkEnd w:id="2"/>
    </w:p>
    <w:p w14:paraId="6BAC349E" w14:textId="77777777" w:rsidR="00B94D3F" w:rsidRDefault="00B94D3F" w:rsidP="00A4635E">
      <w:pPr>
        <w:pStyle w:val="ListParagraph"/>
        <w:tabs>
          <w:tab w:val="left" w:pos="567"/>
        </w:tabs>
        <w:spacing w:after="0" w:line="240" w:lineRule="auto"/>
        <w:ind w:left="0" w:right="4"/>
        <w:jc w:val="both"/>
        <w:rPr>
          <w:rFonts w:ascii="Verdana" w:hAnsi="Verdana"/>
          <w:sz w:val="20"/>
          <w:szCs w:val="20"/>
        </w:rPr>
      </w:pPr>
    </w:p>
    <w:p w14:paraId="486B9413" w14:textId="07301EB5" w:rsidR="000E24FC" w:rsidRPr="00DF7E56" w:rsidRDefault="000E24FC" w:rsidP="00A4635E">
      <w:pPr>
        <w:spacing w:after="0" w:line="240" w:lineRule="auto"/>
        <w:ind w:left="1080" w:hanging="360"/>
        <w:jc w:val="both"/>
        <w:rPr>
          <w:rFonts w:ascii="Verdana" w:hAnsi="Verdana"/>
          <w:i/>
          <w:sz w:val="20"/>
          <w:szCs w:val="20"/>
        </w:rPr>
      </w:pPr>
      <w:r>
        <w:rPr>
          <w:rFonts w:ascii="Verdana" w:hAnsi="Verdana"/>
          <w:i/>
          <w:sz w:val="20"/>
          <w:szCs w:val="20"/>
        </w:rPr>
        <w:t>B</w:t>
      </w:r>
      <w:r w:rsidR="0084322F">
        <w:rPr>
          <w:rFonts w:ascii="Verdana" w:hAnsi="Verdana"/>
          <w:i/>
          <w:sz w:val="20"/>
          <w:szCs w:val="20"/>
        </w:rPr>
        <w:t>.1.</w:t>
      </w:r>
      <w:r w:rsidRPr="00DF7E56">
        <w:rPr>
          <w:rFonts w:ascii="Verdana" w:hAnsi="Verdana"/>
          <w:i/>
          <w:sz w:val="20"/>
          <w:szCs w:val="20"/>
        </w:rPr>
        <w:t xml:space="preserve"> Medida ordenada por la Corte</w:t>
      </w:r>
    </w:p>
    <w:p w14:paraId="621C6E59" w14:textId="77777777" w:rsidR="000E24FC" w:rsidRDefault="000E24FC" w:rsidP="00A4635E">
      <w:pPr>
        <w:pStyle w:val="ListParagraph"/>
        <w:tabs>
          <w:tab w:val="left" w:pos="567"/>
        </w:tabs>
        <w:spacing w:after="0" w:line="240" w:lineRule="auto"/>
        <w:ind w:left="0" w:right="4"/>
        <w:jc w:val="both"/>
        <w:rPr>
          <w:rFonts w:ascii="Verdana" w:hAnsi="Verdana"/>
          <w:sz w:val="20"/>
          <w:szCs w:val="20"/>
        </w:rPr>
      </w:pPr>
    </w:p>
    <w:p w14:paraId="52B6E6AD" w14:textId="4F0D954C" w:rsidR="000B1038" w:rsidRPr="00ED4C08" w:rsidRDefault="000E24FC" w:rsidP="00ED4C08">
      <w:pPr>
        <w:pStyle w:val="ListParagraph"/>
        <w:numPr>
          <w:ilvl w:val="0"/>
          <w:numId w:val="6"/>
        </w:numPr>
        <w:tabs>
          <w:tab w:val="left" w:pos="567"/>
        </w:tabs>
        <w:spacing w:after="0" w:line="240" w:lineRule="auto"/>
        <w:ind w:left="0" w:right="4" w:firstLine="0"/>
        <w:jc w:val="both"/>
        <w:rPr>
          <w:rFonts w:ascii="Verdana" w:hAnsi="Verdana"/>
          <w:sz w:val="20"/>
          <w:szCs w:val="20"/>
        </w:rPr>
      </w:pPr>
      <w:r w:rsidRPr="00DF7E56">
        <w:rPr>
          <w:rFonts w:ascii="Verdana" w:hAnsi="Verdana"/>
          <w:sz w:val="20"/>
          <w:szCs w:val="20"/>
        </w:rPr>
        <w:t>En el punto dispositivo sexto inciso</w:t>
      </w:r>
      <w:r>
        <w:rPr>
          <w:rFonts w:ascii="Verdana" w:hAnsi="Verdana"/>
          <w:sz w:val="20"/>
          <w:szCs w:val="20"/>
        </w:rPr>
        <w:t xml:space="preserve"> b</w:t>
      </w:r>
      <w:r w:rsidRPr="00DF7E56">
        <w:rPr>
          <w:rFonts w:ascii="Verdana" w:hAnsi="Verdana"/>
          <w:sz w:val="20"/>
          <w:szCs w:val="20"/>
        </w:rPr>
        <w:t xml:space="preserve">) y en los </w:t>
      </w:r>
      <w:r>
        <w:rPr>
          <w:rFonts w:ascii="Verdana" w:hAnsi="Verdana"/>
          <w:sz w:val="20"/>
          <w:szCs w:val="20"/>
        </w:rPr>
        <w:t>párrafos 72 y 73</w:t>
      </w:r>
      <w:r w:rsidRPr="00DF7E56">
        <w:rPr>
          <w:rFonts w:ascii="Verdana" w:hAnsi="Verdana"/>
          <w:sz w:val="20"/>
          <w:szCs w:val="20"/>
        </w:rPr>
        <w:t xml:space="preserve"> de la Sentencia, </w:t>
      </w:r>
      <w:r w:rsidR="00E072A5">
        <w:rPr>
          <w:rFonts w:ascii="Verdana" w:hAnsi="Verdana"/>
          <w:sz w:val="20"/>
        </w:rPr>
        <w:t>la Corte homologó la medida</w:t>
      </w:r>
      <w:r w:rsidR="00E072A5" w:rsidRPr="00FE77B0">
        <w:rPr>
          <w:rFonts w:ascii="Verdana" w:hAnsi="Verdana"/>
          <w:sz w:val="20"/>
        </w:rPr>
        <w:t xml:space="preserve"> relativa a</w:t>
      </w:r>
      <w:r w:rsidR="00E072A5">
        <w:rPr>
          <w:rFonts w:ascii="Verdana" w:hAnsi="Verdana"/>
          <w:sz w:val="20"/>
          <w:szCs w:val="20"/>
        </w:rPr>
        <w:t xml:space="preserve"> “</w:t>
      </w:r>
      <w:r w:rsidRPr="00A30780">
        <w:rPr>
          <w:rFonts w:ascii="Verdana" w:hAnsi="Verdana"/>
          <w:sz w:val="20"/>
          <w:szCs w:val="20"/>
        </w:rPr>
        <w:t>eliminar los antecedentes penales que pudiesen existir en contra de [los señores García Cruz y Sánchez Silvestre</w:t>
      </w:r>
      <w:r w:rsidR="00E072A5">
        <w:rPr>
          <w:rFonts w:ascii="Verdana" w:hAnsi="Verdana"/>
          <w:sz w:val="20"/>
          <w:szCs w:val="20"/>
        </w:rPr>
        <w:t>]”</w:t>
      </w:r>
      <w:r w:rsidRPr="00A30780">
        <w:rPr>
          <w:rFonts w:ascii="Verdana" w:hAnsi="Verdana"/>
          <w:sz w:val="20"/>
          <w:szCs w:val="20"/>
        </w:rPr>
        <w:t>, en relación c</w:t>
      </w:r>
      <w:r>
        <w:rPr>
          <w:rFonts w:ascii="Verdana" w:hAnsi="Verdana"/>
          <w:sz w:val="20"/>
          <w:szCs w:val="20"/>
        </w:rPr>
        <w:t>on los hechos del presente caso</w:t>
      </w:r>
      <w:r w:rsidR="00E072A5">
        <w:rPr>
          <w:rFonts w:ascii="Verdana" w:hAnsi="Verdana"/>
          <w:sz w:val="20"/>
          <w:szCs w:val="20"/>
        </w:rPr>
        <w:t>.</w:t>
      </w:r>
      <w:r w:rsidR="000B1038">
        <w:rPr>
          <w:rFonts w:ascii="Verdana" w:hAnsi="Verdana"/>
          <w:sz w:val="20"/>
          <w:szCs w:val="20"/>
        </w:rPr>
        <w:t xml:space="preserve"> </w:t>
      </w:r>
      <w:r w:rsidR="00051B59" w:rsidRPr="004E016A">
        <w:rPr>
          <w:rFonts w:ascii="Verdana" w:eastAsiaTheme="minorHAnsi" w:hAnsi="Verdana"/>
          <w:sz w:val="20"/>
          <w:szCs w:val="20"/>
        </w:rPr>
        <w:t xml:space="preserve">Se </w:t>
      </w:r>
      <w:r w:rsidR="001A01C2">
        <w:rPr>
          <w:rFonts w:ascii="Verdana" w:eastAsiaTheme="minorHAnsi" w:hAnsi="Verdana"/>
          <w:sz w:val="20"/>
          <w:szCs w:val="20"/>
        </w:rPr>
        <w:t>estipuló que esta medida “sera[ía]</w:t>
      </w:r>
      <w:r w:rsidR="00051B59" w:rsidRPr="004E016A">
        <w:rPr>
          <w:rFonts w:ascii="Verdana" w:eastAsiaTheme="minorHAnsi" w:hAnsi="Verdana"/>
          <w:sz w:val="20"/>
          <w:szCs w:val="20"/>
        </w:rPr>
        <w:t xml:space="preserve"> coordinada por la Unidad para la Defensa de los Derechos Humanos, de la Secretaría de Gobernación, y deber</w:t>
      </w:r>
      <w:r w:rsidR="001A01C2">
        <w:rPr>
          <w:rFonts w:ascii="Verdana" w:eastAsiaTheme="minorHAnsi" w:hAnsi="Verdana"/>
          <w:sz w:val="20"/>
          <w:szCs w:val="20"/>
        </w:rPr>
        <w:t>[ía]</w:t>
      </w:r>
      <w:r w:rsidR="00051B59" w:rsidRPr="004E016A">
        <w:rPr>
          <w:rFonts w:ascii="Verdana" w:eastAsiaTheme="minorHAnsi" w:hAnsi="Verdana"/>
          <w:sz w:val="20"/>
          <w:szCs w:val="20"/>
        </w:rPr>
        <w:t xml:space="preserve"> cumplirse en el plazo de un año a partir de la notificación de la […</w:t>
      </w:r>
      <w:r w:rsidR="00031D75">
        <w:rPr>
          <w:rFonts w:ascii="Verdana" w:eastAsiaTheme="minorHAnsi" w:hAnsi="Verdana"/>
          <w:sz w:val="20"/>
          <w:szCs w:val="20"/>
        </w:rPr>
        <w:t>]</w:t>
      </w:r>
      <w:r w:rsidR="00051B59" w:rsidRPr="004E016A">
        <w:rPr>
          <w:rFonts w:ascii="Verdana" w:eastAsiaTheme="minorHAnsi" w:hAnsi="Verdana"/>
          <w:sz w:val="20"/>
          <w:szCs w:val="20"/>
        </w:rPr>
        <w:t xml:space="preserve"> </w:t>
      </w:r>
      <w:r w:rsidR="00031D75">
        <w:rPr>
          <w:rFonts w:ascii="Verdana" w:eastAsiaTheme="minorHAnsi" w:hAnsi="Verdana"/>
          <w:sz w:val="20"/>
          <w:szCs w:val="20"/>
        </w:rPr>
        <w:t>S</w:t>
      </w:r>
      <w:r w:rsidR="00051B59" w:rsidRPr="004E016A">
        <w:rPr>
          <w:rFonts w:ascii="Verdana" w:eastAsiaTheme="minorHAnsi" w:hAnsi="Verdana"/>
          <w:sz w:val="20"/>
          <w:szCs w:val="20"/>
        </w:rPr>
        <w:t xml:space="preserve">entencia”. </w:t>
      </w:r>
      <w:r w:rsidR="00ED4C08">
        <w:rPr>
          <w:rFonts w:ascii="Verdana" w:hAnsi="Verdana"/>
          <w:sz w:val="20"/>
          <w:szCs w:val="20"/>
        </w:rPr>
        <w:t xml:space="preserve"> </w:t>
      </w:r>
      <w:r w:rsidR="001548CA">
        <w:rPr>
          <w:rFonts w:ascii="Verdana" w:hAnsi="Verdana"/>
          <w:sz w:val="20"/>
          <w:szCs w:val="20"/>
        </w:rPr>
        <w:t>E</w:t>
      </w:r>
      <w:r w:rsidR="00ED4C08">
        <w:rPr>
          <w:rFonts w:ascii="Verdana" w:hAnsi="Verdana"/>
          <w:sz w:val="20"/>
          <w:szCs w:val="20"/>
        </w:rPr>
        <w:t>l Tribunal</w:t>
      </w:r>
      <w:r w:rsidR="000B1038" w:rsidRPr="00ED4C08">
        <w:rPr>
          <w:rFonts w:ascii="Verdana" w:hAnsi="Verdana"/>
          <w:sz w:val="20"/>
          <w:szCs w:val="20"/>
        </w:rPr>
        <w:t xml:space="preserve"> </w:t>
      </w:r>
      <w:r w:rsidR="001548CA">
        <w:rPr>
          <w:rFonts w:ascii="Verdana" w:hAnsi="Verdana"/>
          <w:sz w:val="20"/>
          <w:szCs w:val="20"/>
        </w:rPr>
        <w:t xml:space="preserve">también </w:t>
      </w:r>
      <w:r w:rsidR="000B1038" w:rsidRPr="00ED4C08">
        <w:rPr>
          <w:rFonts w:ascii="Verdana" w:hAnsi="Verdana"/>
          <w:sz w:val="20"/>
          <w:szCs w:val="20"/>
        </w:rPr>
        <w:t>indicó que “</w:t>
      </w:r>
      <w:r w:rsidR="000B1038" w:rsidRPr="00ED4C08">
        <w:rPr>
          <w:rFonts w:ascii="Verdana" w:eastAsiaTheme="minorHAnsi" w:hAnsi="Verdana"/>
          <w:sz w:val="20"/>
          <w:szCs w:val="20"/>
        </w:rPr>
        <w:t>la ejecución de esta medida implica que deben suprimirse todos los antecedentes judiciales, administrativos, penales o policiales”, relativos “tanto a la sentencia penal condenatoria por el delito de portación de arma de fuego de uso exclusivo del Ejército, Armada y Fuerza Aérea, como a la sentencia condenatoria por los delitos de homicidio, lesiones, robo con violencia, delincuencia organizada y daño en los bienes”.</w:t>
      </w:r>
    </w:p>
    <w:p w14:paraId="4DBC586F" w14:textId="77777777" w:rsidR="000B1038" w:rsidRPr="00DF7E56" w:rsidRDefault="000B1038" w:rsidP="000B1038">
      <w:pPr>
        <w:pStyle w:val="ListParagraph"/>
        <w:tabs>
          <w:tab w:val="left" w:pos="567"/>
        </w:tabs>
        <w:spacing w:after="0" w:line="240" w:lineRule="auto"/>
        <w:ind w:left="0" w:right="4"/>
        <w:jc w:val="both"/>
        <w:rPr>
          <w:rFonts w:ascii="Verdana" w:hAnsi="Verdana"/>
          <w:sz w:val="20"/>
          <w:szCs w:val="20"/>
        </w:rPr>
      </w:pPr>
    </w:p>
    <w:p w14:paraId="4D996F24" w14:textId="07D3F07E" w:rsidR="00AD24D6" w:rsidRDefault="00AD24D6" w:rsidP="00A4635E">
      <w:pPr>
        <w:spacing w:after="0" w:line="240" w:lineRule="auto"/>
        <w:ind w:left="1080" w:hanging="360"/>
        <w:rPr>
          <w:rFonts w:ascii="Verdana" w:hAnsi="Verdana"/>
          <w:i/>
          <w:sz w:val="20"/>
          <w:szCs w:val="20"/>
        </w:rPr>
      </w:pPr>
      <w:r>
        <w:rPr>
          <w:rFonts w:ascii="Verdana" w:hAnsi="Verdana"/>
          <w:i/>
          <w:sz w:val="20"/>
          <w:szCs w:val="20"/>
        </w:rPr>
        <w:t>B</w:t>
      </w:r>
      <w:r w:rsidRPr="00AD24D6">
        <w:rPr>
          <w:rFonts w:ascii="Verdana" w:hAnsi="Verdana"/>
          <w:i/>
          <w:sz w:val="20"/>
          <w:szCs w:val="20"/>
        </w:rPr>
        <w:t>.2</w:t>
      </w:r>
      <w:r w:rsidR="001A3518">
        <w:rPr>
          <w:rFonts w:ascii="Verdana" w:hAnsi="Verdana"/>
          <w:i/>
          <w:sz w:val="20"/>
          <w:szCs w:val="20"/>
        </w:rPr>
        <w:t>.</w:t>
      </w:r>
      <w:r w:rsidRPr="00AD24D6">
        <w:rPr>
          <w:rFonts w:ascii="Verdana" w:hAnsi="Verdana"/>
          <w:i/>
          <w:sz w:val="20"/>
          <w:szCs w:val="20"/>
        </w:rPr>
        <w:t xml:space="preserve"> </w:t>
      </w:r>
      <w:r w:rsidR="00816E7B" w:rsidRPr="00DF7E56">
        <w:rPr>
          <w:rFonts w:ascii="Verdana" w:hAnsi="Verdana"/>
          <w:i/>
          <w:sz w:val="20"/>
          <w:szCs w:val="20"/>
        </w:rPr>
        <w:t>Consideraciones de la Corte</w:t>
      </w:r>
      <w:r w:rsidR="00816E7B" w:rsidRPr="00AD24D6">
        <w:rPr>
          <w:rFonts w:ascii="Verdana" w:hAnsi="Verdana"/>
          <w:i/>
          <w:sz w:val="20"/>
          <w:szCs w:val="20"/>
        </w:rPr>
        <w:t xml:space="preserve"> </w:t>
      </w:r>
    </w:p>
    <w:p w14:paraId="1249A999" w14:textId="77777777" w:rsidR="000E24FC" w:rsidRDefault="000E24FC" w:rsidP="00A4635E">
      <w:pPr>
        <w:pStyle w:val="ListParagraph"/>
        <w:tabs>
          <w:tab w:val="left" w:pos="567"/>
        </w:tabs>
        <w:spacing w:after="0" w:line="240" w:lineRule="auto"/>
        <w:ind w:left="0" w:right="4"/>
        <w:jc w:val="both"/>
        <w:rPr>
          <w:rFonts w:ascii="Verdana" w:hAnsi="Verdana"/>
          <w:sz w:val="20"/>
          <w:szCs w:val="20"/>
        </w:rPr>
      </w:pPr>
    </w:p>
    <w:p w14:paraId="2EFC0D2D" w14:textId="6EBBF047" w:rsidR="00C236DF" w:rsidRDefault="00EC1644" w:rsidP="00A4635E">
      <w:pPr>
        <w:pStyle w:val="ListParagraph"/>
        <w:numPr>
          <w:ilvl w:val="0"/>
          <w:numId w:val="6"/>
        </w:numPr>
        <w:tabs>
          <w:tab w:val="left" w:pos="567"/>
        </w:tabs>
        <w:spacing w:after="0" w:line="240" w:lineRule="auto"/>
        <w:ind w:left="0" w:right="4" w:firstLine="0"/>
        <w:jc w:val="both"/>
        <w:rPr>
          <w:rFonts w:ascii="Verdana" w:hAnsi="Verdana"/>
          <w:sz w:val="20"/>
          <w:szCs w:val="20"/>
        </w:rPr>
      </w:pPr>
      <w:r>
        <w:rPr>
          <w:rFonts w:ascii="Verdana" w:hAnsi="Verdana"/>
          <w:sz w:val="20"/>
          <w:szCs w:val="20"/>
        </w:rPr>
        <w:t xml:space="preserve">El </w:t>
      </w:r>
      <w:r w:rsidRPr="001A3518">
        <w:rPr>
          <w:rFonts w:ascii="Verdana" w:hAnsi="Verdana"/>
          <w:i/>
          <w:sz w:val="20"/>
          <w:szCs w:val="20"/>
        </w:rPr>
        <w:t>Estado</w:t>
      </w:r>
      <w:r>
        <w:rPr>
          <w:rFonts w:ascii="Verdana" w:hAnsi="Verdana"/>
          <w:sz w:val="20"/>
          <w:szCs w:val="20"/>
        </w:rPr>
        <w:t xml:space="preserve"> inform</w:t>
      </w:r>
      <w:r w:rsidR="007E59CA">
        <w:rPr>
          <w:rFonts w:ascii="Verdana" w:hAnsi="Verdana"/>
          <w:sz w:val="20"/>
          <w:szCs w:val="20"/>
        </w:rPr>
        <w:t>ó respecto a</w:t>
      </w:r>
      <w:r w:rsidR="00AD24D6">
        <w:rPr>
          <w:rFonts w:ascii="Verdana" w:hAnsi="Verdana"/>
          <w:sz w:val="20"/>
          <w:szCs w:val="20"/>
        </w:rPr>
        <w:t xml:space="preserve"> la entrega del</w:t>
      </w:r>
      <w:r w:rsidR="007E59CA">
        <w:rPr>
          <w:rFonts w:ascii="Verdana" w:hAnsi="Verdana"/>
          <w:sz w:val="20"/>
          <w:szCs w:val="20"/>
        </w:rPr>
        <w:t xml:space="preserve"> </w:t>
      </w:r>
      <w:r w:rsidR="001A3518">
        <w:rPr>
          <w:rFonts w:ascii="Verdana" w:hAnsi="Verdana"/>
          <w:sz w:val="20"/>
          <w:szCs w:val="20"/>
        </w:rPr>
        <w:t>certificado de eliminación de antecedente</w:t>
      </w:r>
      <w:r w:rsidR="007E59CA">
        <w:rPr>
          <w:rFonts w:ascii="Verdana" w:hAnsi="Verdana"/>
          <w:sz w:val="20"/>
          <w:szCs w:val="20"/>
        </w:rPr>
        <w:t xml:space="preserve"> penales que</w:t>
      </w:r>
      <w:r w:rsidR="001A3518">
        <w:rPr>
          <w:rFonts w:ascii="Verdana" w:hAnsi="Verdana"/>
          <w:sz w:val="20"/>
          <w:szCs w:val="20"/>
        </w:rPr>
        <w:t>,</w:t>
      </w:r>
      <w:r w:rsidR="00E072A5">
        <w:rPr>
          <w:rFonts w:ascii="Verdana" w:hAnsi="Verdana"/>
          <w:sz w:val="20"/>
          <w:szCs w:val="20"/>
        </w:rPr>
        <w:t xml:space="preserve"> “</w:t>
      </w:r>
      <w:r w:rsidR="00C236DF">
        <w:rPr>
          <w:rFonts w:ascii="Verdana" w:hAnsi="Verdana"/>
          <w:sz w:val="20"/>
          <w:szCs w:val="20"/>
        </w:rPr>
        <w:t>debido a la relevancia del caso en mérito y en razón de que así se solicitó en su momento, b</w:t>
      </w:r>
      <w:r w:rsidR="001A3518">
        <w:rPr>
          <w:rFonts w:ascii="Verdana" w:hAnsi="Verdana"/>
          <w:sz w:val="20"/>
          <w:szCs w:val="20"/>
        </w:rPr>
        <w:t>ajo la mayor discreción posible [… y]</w:t>
      </w:r>
      <w:r w:rsidR="00C236DF">
        <w:rPr>
          <w:rFonts w:ascii="Verdana" w:hAnsi="Verdana"/>
          <w:sz w:val="20"/>
          <w:szCs w:val="20"/>
        </w:rPr>
        <w:t xml:space="preserve"> con el fin de respetar la privacidad de las víctimas, el día 8 de julio de 2016 se le entregó de manera personal, al señor García Cruz, el único ejemplar”</w:t>
      </w:r>
      <w:r w:rsidR="001A3518">
        <w:rPr>
          <w:rFonts w:ascii="Verdana" w:hAnsi="Verdana"/>
          <w:sz w:val="20"/>
          <w:szCs w:val="20"/>
        </w:rPr>
        <w:t xml:space="preserve"> de dicho certificado</w:t>
      </w:r>
      <w:r w:rsidR="00C236DF">
        <w:rPr>
          <w:rFonts w:ascii="Verdana" w:hAnsi="Verdana"/>
          <w:sz w:val="20"/>
          <w:szCs w:val="20"/>
        </w:rPr>
        <w:t>.</w:t>
      </w:r>
      <w:r w:rsidR="007E59CA">
        <w:rPr>
          <w:rFonts w:ascii="Verdana" w:hAnsi="Verdana"/>
          <w:sz w:val="20"/>
          <w:szCs w:val="20"/>
        </w:rPr>
        <w:t xml:space="preserve"> </w:t>
      </w:r>
      <w:r w:rsidR="00D96D71">
        <w:rPr>
          <w:rFonts w:ascii="Verdana" w:hAnsi="Verdana"/>
          <w:sz w:val="20"/>
          <w:szCs w:val="20"/>
        </w:rPr>
        <w:t>R</w:t>
      </w:r>
      <w:r w:rsidR="00AD24D6">
        <w:rPr>
          <w:rFonts w:ascii="Verdana" w:hAnsi="Verdana"/>
          <w:sz w:val="20"/>
          <w:szCs w:val="20"/>
        </w:rPr>
        <w:t>especto</w:t>
      </w:r>
      <w:r w:rsidR="00C236DF">
        <w:rPr>
          <w:rFonts w:ascii="Verdana" w:hAnsi="Verdana"/>
          <w:sz w:val="20"/>
          <w:szCs w:val="20"/>
        </w:rPr>
        <w:t xml:space="preserve"> al</w:t>
      </w:r>
      <w:r w:rsidR="00AD24D6">
        <w:rPr>
          <w:rFonts w:ascii="Verdana" w:hAnsi="Verdana"/>
          <w:sz w:val="20"/>
          <w:szCs w:val="20"/>
        </w:rPr>
        <w:t xml:space="preserve"> </w:t>
      </w:r>
      <w:r w:rsidR="00C236DF">
        <w:rPr>
          <w:rFonts w:ascii="Verdana" w:hAnsi="Verdana"/>
          <w:sz w:val="20"/>
          <w:szCs w:val="20"/>
        </w:rPr>
        <w:t>señor Sán</w:t>
      </w:r>
      <w:r w:rsidR="00E072A5">
        <w:rPr>
          <w:rFonts w:ascii="Verdana" w:hAnsi="Verdana"/>
          <w:sz w:val="20"/>
          <w:szCs w:val="20"/>
        </w:rPr>
        <w:t>chez Silvestre</w:t>
      </w:r>
      <w:r w:rsidR="001A3518">
        <w:rPr>
          <w:rFonts w:ascii="Verdana" w:hAnsi="Verdana"/>
          <w:sz w:val="20"/>
          <w:szCs w:val="20"/>
        </w:rPr>
        <w:t xml:space="preserve">, </w:t>
      </w:r>
      <w:r w:rsidR="001A3518" w:rsidRPr="001A3518">
        <w:rPr>
          <w:rFonts w:ascii="Verdana" w:hAnsi="Verdana"/>
          <w:i/>
          <w:sz w:val="20"/>
          <w:szCs w:val="20"/>
        </w:rPr>
        <w:t>México</w:t>
      </w:r>
      <w:r w:rsidR="00E072A5">
        <w:rPr>
          <w:rFonts w:ascii="Verdana" w:hAnsi="Verdana"/>
          <w:sz w:val="20"/>
          <w:szCs w:val="20"/>
        </w:rPr>
        <w:t xml:space="preserve"> manifestó que</w:t>
      </w:r>
      <w:r w:rsidR="00D96D71">
        <w:rPr>
          <w:rFonts w:ascii="Verdana" w:hAnsi="Verdana"/>
          <w:sz w:val="20"/>
          <w:szCs w:val="20"/>
        </w:rPr>
        <w:t>,</w:t>
      </w:r>
      <w:r w:rsidR="00E072A5">
        <w:rPr>
          <w:rFonts w:ascii="Verdana" w:hAnsi="Verdana"/>
          <w:sz w:val="20"/>
          <w:szCs w:val="20"/>
        </w:rPr>
        <w:t xml:space="preserve"> “</w:t>
      </w:r>
      <w:r w:rsidR="00C236DF">
        <w:rPr>
          <w:rFonts w:ascii="Verdana" w:hAnsi="Verdana"/>
          <w:sz w:val="20"/>
          <w:szCs w:val="20"/>
        </w:rPr>
        <w:t>tal como lo hi</w:t>
      </w:r>
      <w:r w:rsidR="00AF117B">
        <w:rPr>
          <w:rFonts w:ascii="Verdana" w:hAnsi="Verdana"/>
          <w:sz w:val="20"/>
          <w:szCs w:val="20"/>
        </w:rPr>
        <w:t>[zo]</w:t>
      </w:r>
      <w:r w:rsidR="00C236DF">
        <w:rPr>
          <w:rFonts w:ascii="Verdana" w:hAnsi="Verdana"/>
          <w:sz w:val="20"/>
          <w:szCs w:val="20"/>
        </w:rPr>
        <w:t xml:space="preserve"> notar la representación en su último escrito de observaciones, desafortunadamente no se tiene contacto con éste, por lo que no es posible iniciar los trámites para emitir un certificado de antecedentes no penales, toda vez que es necesario contar con sus huellas digitales”</w:t>
      </w:r>
      <w:r w:rsidR="00C236DF">
        <w:rPr>
          <w:rStyle w:val="FootnoteReference"/>
          <w:rFonts w:ascii="Verdana" w:hAnsi="Verdana"/>
          <w:sz w:val="20"/>
          <w:szCs w:val="20"/>
        </w:rPr>
        <w:footnoteReference w:id="25"/>
      </w:r>
      <w:r w:rsidR="00C236DF">
        <w:rPr>
          <w:rFonts w:ascii="Verdana" w:hAnsi="Verdana"/>
          <w:sz w:val="20"/>
          <w:szCs w:val="20"/>
        </w:rPr>
        <w:t>.</w:t>
      </w:r>
    </w:p>
    <w:p w14:paraId="169252D7" w14:textId="77777777" w:rsidR="00C236DF" w:rsidRDefault="00C236DF" w:rsidP="00A4635E">
      <w:pPr>
        <w:pStyle w:val="ListParagraph"/>
        <w:tabs>
          <w:tab w:val="left" w:pos="567"/>
        </w:tabs>
        <w:spacing w:after="0" w:line="240" w:lineRule="auto"/>
        <w:ind w:left="0" w:right="4"/>
        <w:jc w:val="both"/>
        <w:rPr>
          <w:rFonts w:ascii="Verdana" w:hAnsi="Verdana"/>
          <w:sz w:val="20"/>
          <w:szCs w:val="20"/>
        </w:rPr>
      </w:pPr>
    </w:p>
    <w:p w14:paraId="0680AD45" w14:textId="6DCDFEF4" w:rsidR="00E12A80" w:rsidRDefault="00EC1644" w:rsidP="00A4635E">
      <w:pPr>
        <w:pStyle w:val="ListParagraph"/>
        <w:numPr>
          <w:ilvl w:val="0"/>
          <w:numId w:val="6"/>
        </w:numPr>
        <w:tabs>
          <w:tab w:val="left" w:pos="567"/>
        </w:tabs>
        <w:spacing w:after="0" w:line="240" w:lineRule="auto"/>
        <w:ind w:left="0" w:right="4" w:firstLine="0"/>
        <w:jc w:val="both"/>
        <w:rPr>
          <w:rFonts w:ascii="Verdana" w:hAnsi="Verdana"/>
          <w:sz w:val="20"/>
          <w:szCs w:val="20"/>
        </w:rPr>
      </w:pPr>
      <w:r>
        <w:rPr>
          <w:rFonts w:ascii="Verdana" w:hAnsi="Verdana"/>
          <w:sz w:val="20"/>
          <w:szCs w:val="20"/>
        </w:rPr>
        <w:t xml:space="preserve"> </w:t>
      </w:r>
      <w:r w:rsidR="00E12A80">
        <w:rPr>
          <w:rFonts w:ascii="Verdana" w:hAnsi="Verdana"/>
          <w:sz w:val="20"/>
          <w:szCs w:val="20"/>
        </w:rPr>
        <w:t xml:space="preserve">Los </w:t>
      </w:r>
      <w:r w:rsidR="00E12A80" w:rsidRPr="00FB2A71">
        <w:rPr>
          <w:rFonts w:ascii="Verdana" w:hAnsi="Verdana"/>
          <w:i/>
          <w:sz w:val="20"/>
          <w:szCs w:val="20"/>
        </w:rPr>
        <w:t>representantes de las víctimas</w:t>
      </w:r>
      <w:r w:rsidR="00E12A80">
        <w:rPr>
          <w:rFonts w:ascii="Verdana" w:hAnsi="Verdana"/>
          <w:sz w:val="20"/>
          <w:szCs w:val="20"/>
        </w:rPr>
        <w:t xml:space="preserve"> señalaron que</w:t>
      </w:r>
      <w:r w:rsidR="00FB2A71">
        <w:rPr>
          <w:rFonts w:ascii="Verdana" w:hAnsi="Verdana"/>
          <w:sz w:val="20"/>
          <w:szCs w:val="20"/>
        </w:rPr>
        <w:t xml:space="preserve"> si bien</w:t>
      </w:r>
      <w:r w:rsidR="00E12A80">
        <w:rPr>
          <w:rFonts w:ascii="Verdana" w:hAnsi="Verdana"/>
          <w:sz w:val="20"/>
          <w:szCs w:val="20"/>
        </w:rPr>
        <w:t xml:space="preserve"> el </w:t>
      </w:r>
      <w:r w:rsidR="00E12A80" w:rsidRPr="00FB2A71">
        <w:rPr>
          <w:rFonts w:ascii="Verdana" w:hAnsi="Verdana"/>
          <w:sz w:val="20"/>
          <w:szCs w:val="20"/>
        </w:rPr>
        <w:t>Estado</w:t>
      </w:r>
      <w:r w:rsidR="00E12A80">
        <w:rPr>
          <w:rFonts w:ascii="Verdana" w:hAnsi="Verdana"/>
          <w:sz w:val="20"/>
          <w:szCs w:val="20"/>
        </w:rPr>
        <w:t xml:space="preserve"> hizo referencia </w:t>
      </w:r>
      <w:r w:rsidR="00D96D71">
        <w:rPr>
          <w:rFonts w:ascii="Verdana" w:hAnsi="Verdana"/>
          <w:sz w:val="20"/>
          <w:szCs w:val="20"/>
        </w:rPr>
        <w:t xml:space="preserve">a </w:t>
      </w:r>
      <w:r w:rsidR="00E12A80">
        <w:rPr>
          <w:rFonts w:ascii="Verdana" w:hAnsi="Verdana"/>
          <w:sz w:val="20"/>
          <w:szCs w:val="20"/>
        </w:rPr>
        <w:t>la eliminación de los antecedente</w:t>
      </w:r>
      <w:r w:rsidR="00FB2A71">
        <w:rPr>
          <w:rFonts w:ascii="Verdana" w:hAnsi="Verdana"/>
          <w:sz w:val="20"/>
          <w:szCs w:val="20"/>
        </w:rPr>
        <w:t>s penales del señor García Cruz, “no [dio]</w:t>
      </w:r>
      <w:r w:rsidR="00E12A80">
        <w:rPr>
          <w:rFonts w:ascii="Verdana" w:hAnsi="Verdana"/>
          <w:sz w:val="20"/>
          <w:szCs w:val="20"/>
        </w:rPr>
        <w:t xml:space="preserve"> </w:t>
      </w:r>
      <w:r w:rsidR="00FB2A71" w:rsidRPr="00FB2A71">
        <w:rPr>
          <w:rFonts w:ascii="Verdana" w:hAnsi="Verdana"/>
          <w:sz w:val="20"/>
          <w:szCs w:val="20"/>
        </w:rPr>
        <w:t>cuenta de haber realizado o estar realizando alguna diligencia con la finalidad de la eliminación de los antecedentes penales del señor Sánchez Silvestre, aun sin la presencia de este para realizar el trámite</w:t>
      </w:r>
      <w:r w:rsidR="00FB2A71">
        <w:rPr>
          <w:rFonts w:ascii="Verdana" w:hAnsi="Verdana"/>
          <w:sz w:val="20"/>
          <w:szCs w:val="20"/>
        </w:rPr>
        <w:t>”. En razón de ello,</w:t>
      </w:r>
      <w:r w:rsidR="00E12A80">
        <w:rPr>
          <w:rFonts w:ascii="Verdana" w:hAnsi="Verdana"/>
          <w:sz w:val="20"/>
          <w:szCs w:val="20"/>
        </w:rPr>
        <w:t xml:space="preserve"> solicita</w:t>
      </w:r>
      <w:r w:rsidR="00FB2A71">
        <w:rPr>
          <w:rFonts w:ascii="Verdana" w:hAnsi="Verdana"/>
          <w:sz w:val="20"/>
          <w:szCs w:val="20"/>
        </w:rPr>
        <w:t>ro</w:t>
      </w:r>
      <w:r w:rsidR="00E12A80">
        <w:rPr>
          <w:rFonts w:ascii="Verdana" w:hAnsi="Verdana"/>
          <w:sz w:val="20"/>
          <w:szCs w:val="20"/>
        </w:rPr>
        <w:t>n a la Corte que se declare el cumplimiento parcial de esta medida respecto del señor García Cruz y se exhorte al Estado a rendir información respecto a las diligencias y otras acciones por parte de las autoridades encaminadas a la eliminación de los antecedentes penales del señor Sánchez Silvestre</w:t>
      </w:r>
      <w:r w:rsidR="00E12A80">
        <w:rPr>
          <w:rStyle w:val="FootnoteReference"/>
          <w:rFonts w:ascii="Verdana" w:hAnsi="Verdana"/>
          <w:sz w:val="20"/>
          <w:szCs w:val="20"/>
        </w:rPr>
        <w:footnoteReference w:id="26"/>
      </w:r>
      <w:r w:rsidR="00E12A80">
        <w:rPr>
          <w:rFonts w:ascii="Verdana" w:hAnsi="Verdana"/>
          <w:sz w:val="20"/>
          <w:szCs w:val="20"/>
        </w:rPr>
        <w:t>.</w:t>
      </w:r>
    </w:p>
    <w:p w14:paraId="1183D529" w14:textId="77777777" w:rsidR="00AD24D6" w:rsidRPr="00E12A80" w:rsidRDefault="00AD24D6" w:rsidP="00A4635E">
      <w:pPr>
        <w:pStyle w:val="ListParagraph"/>
        <w:spacing w:after="0" w:line="240" w:lineRule="auto"/>
        <w:rPr>
          <w:rFonts w:ascii="Verdana" w:hAnsi="Verdana"/>
          <w:sz w:val="20"/>
          <w:szCs w:val="20"/>
        </w:rPr>
      </w:pPr>
    </w:p>
    <w:p w14:paraId="4DDA1E62" w14:textId="550D88C0" w:rsidR="00A24AFF" w:rsidRPr="007071F7" w:rsidRDefault="002A596E" w:rsidP="007071F7">
      <w:pPr>
        <w:pStyle w:val="ListParagraph"/>
        <w:numPr>
          <w:ilvl w:val="0"/>
          <w:numId w:val="6"/>
        </w:numPr>
        <w:tabs>
          <w:tab w:val="left" w:pos="567"/>
        </w:tabs>
        <w:spacing w:after="0" w:line="240" w:lineRule="auto"/>
        <w:ind w:left="0" w:right="4" w:firstLine="0"/>
        <w:jc w:val="both"/>
        <w:rPr>
          <w:rFonts w:ascii="Verdana" w:hAnsi="Verdana"/>
          <w:sz w:val="20"/>
          <w:szCs w:val="20"/>
        </w:rPr>
      </w:pPr>
      <w:r>
        <w:rPr>
          <w:rFonts w:ascii="Verdana" w:hAnsi="Verdana"/>
          <w:sz w:val="20"/>
          <w:szCs w:val="20"/>
        </w:rPr>
        <w:lastRenderedPageBreak/>
        <w:t>Esta Corte constata, c</w:t>
      </w:r>
      <w:r w:rsidR="00E12A80" w:rsidRPr="00CC1B60">
        <w:rPr>
          <w:rFonts w:ascii="Verdana" w:hAnsi="Verdana"/>
          <w:sz w:val="20"/>
          <w:szCs w:val="20"/>
        </w:rPr>
        <w:t>on base en los documentos</w:t>
      </w:r>
      <w:r w:rsidR="0053143E" w:rsidRPr="00CC1B60">
        <w:rPr>
          <w:rFonts w:ascii="Verdana" w:hAnsi="Verdana"/>
          <w:sz w:val="20"/>
          <w:szCs w:val="20"/>
        </w:rPr>
        <w:t xml:space="preserve"> aportados por el Estado</w:t>
      </w:r>
      <w:r w:rsidR="00E12A80">
        <w:rPr>
          <w:rStyle w:val="FootnoteReference"/>
          <w:rFonts w:ascii="Verdana" w:hAnsi="Verdana"/>
          <w:sz w:val="20"/>
          <w:szCs w:val="20"/>
        </w:rPr>
        <w:footnoteReference w:id="27"/>
      </w:r>
      <w:r w:rsidR="00131277">
        <w:rPr>
          <w:rFonts w:ascii="Verdana" w:hAnsi="Verdana"/>
          <w:sz w:val="20"/>
          <w:szCs w:val="20"/>
        </w:rPr>
        <w:t xml:space="preserve"> y </w:t>
      </w:r>
      <w:r>
        <w:rPr>
          <w:rFonts w:ascii="Verdana" w:hAnsi="Verdana"/>
          <w:sz w:val="20"/>
          <w:szCs w:val="20"/>
        </w:rPr>
        <w:t>el reconocimiento realizado</w:t>
      </w:r>
      <w:r w:rsidR="00CC1B60" w:rsidRPr="00CC1B60">
        <w:rPr>
          <w:rFonts w:ascii="Verdana" w:hAnsi="Verdana"/>
          <w:sz w:val="20"/>
          <w:szCs w:val="20"/>
        </w:rPr>
        <w:t xml:space="preserve"> por los representantes de las víctimas,</w:t>
      </w:r>
      <w:r w:rsidR="0053143E" w:rsidRPr="00CC1B60">
        <w:rPr>
          <w:rFonts w:ascii="Verdana" w:hAnsi="Verdana"/>
          <w:sz w:val="20"/>
          <w:szCs w:val="20"/>
        </w:rPr>
        <w:t xml:space="preserve"> </w:t>
      </w:r>
      <w:r w:rsidR="00980742" w:rsidRPr="00CC1B60">
        <w:rPr>
          <w:rFonts w:ascii="Verdana" w:hAnsi="Verdana"/>
          <w:sz w:val="20"/>
          <w:szCs w:val="20"/>
        </w:rPr>
        <w:t xml:space="preserve">que </w:t>
      </w:r>
      <w:r>
        <w:rPr>
          <w:rFonts w:ascii="Verdana" w:hAnsi="Verdana"/>
          <w:sz w:val="20"/>
          <w:szCs w:val="20"/>
        </w:rPr>
        <w:t xml:space="preserve">efectivamente </w:t>
      </w:r>
      <w:r w:rsidR="00CC1B60" w:rsidRPr="00CC1B60">
        <w:rPr>
          <w:rFonts w:ascii="Verdana" w:hAnsi="Verdana"/>
          <w:sz w:val="20"/>
          <w:szCs w:val="20"/>
        </w:rPr>
        <w:t>se</w:t>
      </w:r>
      <w:r w:rsidR="001D0553" w:rsidRPr="00CC1B60">
        <w:rPr>
          <w:rFonts w:ascii="Verdana" w:hAnsi="Verdana"/>
          <w:sz w:val="20"/>
          <w:szCs w:val="20"/>
        </w:rPr>
        <w:t xml:space="preserve"> </w:t>
      </w:r>
      <w:r>
        <w:rPr>
          <w:rFonts w:ascii="Verdana" w:hAnsi="Verdana"/>
          <w:sz w:val="20"/>
          <w:szCs w:val="20"/>
        </w:rPr>
        <w:t>hizo entrega</w:t>
      </w:r>
      <w:r w:rsidR="00CC1B60" w:rsidRPr="00CC1B60">
        <w:rPr>
          <w:rFonts w:ascii="Verdana" w:hAnsi="Verdana"/>
          <w:sz w:val="20"/>
          <w:szCs w:val="20"/>
        </w:rPr>
        <w:t xml:space="preserve"> al señor García Cruz</w:t>
      </w:r>
      <w:r w:rsidR="000A0921">
        <w:rPr>
          <w:rFonts w:ascii="Verdana" w:hAnsi="Verdana"/>
          <w:sz w:val="20"/>
          <w:szCs w:val="20"/>
        </w:rPr>
        <w:t xml:space="preserve"> </w:t>
      </w:r>
      <w:r>
        <w:rPr>
          <w:rFonts w:ascii="Verdana" w:hAnsi="Verdana"/>
          <w:sz w:val="20"/>
          <w:szCs w:val="20"/>
        </w:rPr>
        <w:t xml:space="preserve">de </w:t>
      </w:r>
      <w:r w:rsidR="000A0921">
        <w:rPr>
          <w:rFonts w:ascii="Verdana" w:hAnsi="Verdana"/>
          <w:sz w:val="20"/>
          <w:szCs w:val="20"/>
        </w:rPr>
        <w:t xml:space="preserve">un certificado </w:t>
      </w:r>
      <w:r>
        <w:rPr>
          <w:rFonts w:ascii="Verdana" w:hAnsi="Verdana"/>
          <w:sz w:val="20"/>
          <w:szCs w:val="20"/>
        </w:rPr>
        <w:t>relativo a</w:t>
      </w:r>
      <w:r w:rsidR="000A0921">
        <w:rPr>
          <w:rFonts w:ascii="Verdana" w:hAnsi="Verdana"/>
          <w:sz w:val="20"/>
          <w:szCs w:val="20"/>
        </w:rPr>
        <w:t xml:space="preserve"> que no tiene antecedentes penales</w:t>
      </w:r>
      <w:r w:rsidR="00B4766E">
        <w:rPr>
          <w:rFonts w:ascii="Verdana" w:hAnsi="Verdana"/>
          <w:sz w:val="20"/>
          <w:szCs w:val="20"/>
        </w:rPr>
        <w:t xml:space="preserve">. En razón de ello, el Tribunal </w:t>
      </w:r>
      <w:r w:rsidR="00CC1B60">
        <w:rPr>
          <w:rFonts w:ascii="Verdana" w:hAnsi="Verdana"/>
          <w:sz w:val="20"/>
          <w:szCs w:val="20"/>
        </w:rPr>
        <w:t xml:space="preserve">declara el cumplimiento de la </w:t>
      </w:r>
      <w:r w:rsidR="00B4766E">
        <w:rPr>
          <w:rFonts w:ascii="Verdana" w:hAnsi="Verdana"/>
          <w:sz w:val="20"/>
          <w:szCs w:val="20"/>
        </w:rPr>
        <w:t xml:space="preserve">presente </w:t>
      </w:r>
      <w:r w:rsidR="00CC1B60">
        <w:rPr>
          <w:rFonts w:ascii="Verdana" w:hAnsi="Verdana"/>
          <w:sz w:val="20"/>
          <w:szCs w:val="20"/>
        </w:rPr>
        <w:t xml:space="preserve">medida </w:t>
      </w:r>
      <w:r w:rsidR="00B4766E">
        <w:rPr>
          <w:rFonts w:ascii="Verdana" w:hAnsi="Verdana"/>
          <w:sz w:val="20"/>
          <w:szCs w:val="20"/>
        </w:rPr>
        <w:t xml:space="preserve"> en relación con </w:t>
      </w:r>
      <w:r w:rsidR="00CC1B60">
        <w:rPr>
          <w:rFonts w:ascii="Verdana" w:hAnsi="Verdana"/>
          <w:sz w:val="20"/>
          <w:szCs w:val="20"/>
        </w:rPr>
        <w:t>el señor García Cruz.</w:t>
      </w:r>
      <w:r w:rsidR="007071F7">
        <w:rPr>
          <w:rFonts w:ascii="Verdana" w:hAnsi="Verdana"/>
          <w:sz w:val="20"/>
          <w:szCs w:val="20"/>
        </w:rPr>
        <w:t xml:space="preserve"> </w:t>
      </w:r>
      <w:r w:rsidR="007F6EEC" w:rsidRPr="007071F7">
        <w:rPr>
          <w:rFonts w:ascii="Verdana" w:hAnsi="Verdana"/>
          <w:sz w:val="20"/>
          <w:szCs w:val="20"/>
        </w:rPr>
        <w:t xml:space="preserve">No obstante, en </w:t>
      </w:r>
      <w:r w:rsidR="00CC1B60" w:rsidRPr="007071F7">
        <w:rPr>
          <w:rFonts w:ascii="Verdana" w:hAnsi="Verdana"/>
          <w:sz w:val="20"/>
          <w:szCs w:val="20"/>
        </w:rPr>
        <w:t xml:space="preserve">relación con el señor Sánchez Silvestre, </w:t>
      </w:r>
      <w:r w:rsidR="007071F7">
        <w:rPr>
          <w:rFonts w:ascii="Verdana" w:hAnsi="Verdana"/>
          <w:sz w:val="20"/>
          <w:szCs w:val="20"/>
        </w:rPr>
        <w:t xml:space="preserve">el Tribunal observa que </w:t>
      </w:r>
      <w:r w:rsidR="00F270A4" w:rsidRPr="007071F7">
        <w:rPr>
          <w:rFonts w:ascii="Verdana" w:hAnsi="Verdana"/>
          <w:sz w:val="20"/>
          <w:szCs w:val="20"/>
        </w:rPr>
        <w:t xml:space="preserve">el Estado </w:t>
      </w:r>
      <w:r w:rsidR="007071F7">
        <w:rPr>
          <w:rFonts w:ascii="Verdana" w:hAnsi="Verdana"/>
          <w:sz w:val="20"/>
          <w:szCs w:val="20"/>
        </w:rPr>
        <w:t xml:space="preserve">no </w:t>
      </w:r>
      <w:r w:rsidR="00F270A4" w:rsidRPr="007071F7">
        <w:rPr>
          <w:rFonts w:ascii="Verdana" w:hAnsi="Verdana"/>
          <w:sz w:val="20"/>
          <w:szCs w:val="20"/>
        </w:rPr>
        <w:t xml:space="preserve">indicó el motivo por el cual no puede iniciar el trámite para expedir el </w:t>
      </w:r>
      <w:r w:rsidR="007071F7">
        <w:rPr>
          <w:rFonts w:ascii="Verdana" w:hAnsi="Verdana"/>
          <w:sz w:val="20"/>
          <w:szCs w:val="20"/>
        </w:rPr>
        <w:t xml:space="preserve">respectivo </w:t>
      </w:r>
      <w:r w:rsidR="00F270A4" w:rsidRPr="007071F7">
        <w:rPr>
          <w:rFonts w:ascii="Verdana" w:hAnsi="Verdana"/>
          <w:sz w:val="20"/>
          <w:szCs w:val="20"/>
        </w:rPr>
        <w:t>certificado</w:t>
      </w:r>
      <w:r w:rsidR="007071F7">
        <w:rPr>
          <w:rFonts w:ascii="Verdana" w:hAnsi="Verdana"/>
          <w:sz w:val="20"/>
          <w:szCs w:val="20"/>
        </w:rPr>
        <w:t xml:space="preserve"> de eliminación de antecedentes penales</w:t>
      </w:r>
      <w:r w:rsidR="00F270A4" w:rsidRPr="007071F7">
        <w:rPr>
          <w:rFonts w:ascii="Verdana" w:hAnsi="Verdana"/>
          <w:sz w:val="20"/>
          <w:szCs w:val="20"/>
        </w:rPr>
        <w:t xml:space="preserve">. </w:t>
      </w:r>
      <w:r w:rsidR="007071F7">
        <w:rPr>
          <w:rFonts w:ascii="Verdana" w:hAnsi="Verdana"/>
          <w:sz w:val="20"/>
          <w:szCs w:val="20"/>
        </w:rPr>
        <w:t>Asimismo, la Corte hace notar que</w:t>
      </w:r>
      <w:r w:rsidR="00F270A4" w:rsidRPr="007071F7">
        <w:rPr>
          <w:rFonts w:ascii="Verdana" w:hAnsi="Verdana"/>
          <w:sz w:val="20"/>
          <w:szCs w:val="20"/>
        </w:rPr>
        <w:t xml:space="preserve"> de la información aportada</w:t>
      </w:r>
      <w:r w:rsidR="007071F7">
        <w:rPr>
          <w:rFonts w:ascii="Verdana" w:hAnsi="Verdana"/>
          <w:sz w:val="20"/>
          <w:szCs w:val="20"/>
        </w:rPr>
        <w:t xml:space="preserve"> (</w:t>
      </w:r>
      <w:r w:rsidR="007071F7">
        <w:rPr>
          <w:rFonts w:ascii="Verdana" w:hAnsi="Verdana"/>
          <w:i/>
          <w:sz w:val="20"/>
          <w:szCs w:val="20"/>
        </w:rPr>
        <w:t xml:space="preserve">supra </w:t>
      </w:r>
      <w:r w:rsidR="007071F7">
        <w:rPr>
          <w:rFonts w:ascii="Verdana" w:hAnsi="Verdana"/>
          <w:sz w:val="20"/>
          <w:szCs w:val="20"/>
        </w:rPr>
        <w:t>Considerandos 13 y 14)</w:t>
      </w:r>
      <w:r w:rsidR="00F270A4" w:rsidRPr="007071F7">
        <w:rPr>
          <w:rFonts w:ascii="Verdana" w:hAnsi="Verdana"/>
          <w:sz w:val="20"/>
          <w:szCs w:val="20"/>
        </w:rPr>
        <w:t xml:space="preserve"> no queda claro si el Estado ha realizado las acciones pertinentes para eliminar los antecedentes </w:t>
      </w:r>
      <w:r w:rsidR="007071F7">
        <w:rPr>
          <w:rFonts w:ascii="Verdana" w:hAnsi="Verdana"/>
          <w:sz w:val="20"/>
          <w:szCs w:val="20"/>
        </w:rPr>
        <w:t xml:space="preserve">penales del señor Sánchez Silvestre, </w:t>
      </w:r>
      <w:r w:rsidR="00F270A4" w:rsidRPr="007071F7">
        <w:rPr>
          <w:rFonts w:ascii="Verdana" w:hAnsi="Verdana"/>
          <w:sz w:val="20"/>
          <w:szCs w:val="20"/>
        </w:rPr>
        <w:t>o</w:t>
      </w:r>
      <w:r w:rsidR="007071F7">
        <w:rPr>
          <w:rFonts w:ascii="Verdana" w:hAnsi="Verdana"/>
          <w:sz w:val="20"/>
          <w:szCs w:val="20"/>
        </w:rPr>
        <w:t xml:space="preserve"> bien,</w:t>
      </w:r>
      <w:r w:rsidR="00F270A4" w:rsidRPr="007071F7">
        <w:rPr>
          <w:rFonts w:ascii="Verdana" w:hAnsi="Verdana"/>
          <w:sz w:val="20"/>
          <w:szCs w:val="20"/>
        </w:rPr>
        <w:t xml:space="preserve"> si dichas acciones dependen</w:t>
      </w:r>
      <w:r w:rsidR="007071F7">
        <w:rPr>
          <w:rFonts w:ascii="Verdana" w:hAnsi="Verdana"/>
          <w:sz w:val="20"/>
          <w:szCs w:val="20"/>
        </w:rPr>
        <w:t xml:space="preserve"> necesariamente</w:t>
      </w:r>
      <w:r w:rsidR="00F270A4" w:rsidRPr="007071F7">
        <w:rPr>
          <w:rFonts w:ascii="Verdana" w:hAnsi="Verdana"/>
          <w:sz w:val="20"/>
          <w:szCs w:val="20"/>
        </w:rPr>
        <w:t xml:space="preserve"> de obtener las h</w:t>
      </w:r>
      <w:r w:rsidR="00816E7B" w:rsidRPr="007071F7">
        <w:rPr>
          <w:rFonts w:ascii="Verdana" w:hAnsi="Verdana"/>
          <w:sz w:val="20"/>
          <w:szCs w:val="20"/>
        </w:rPr>
        <w:t>uellas digitales de la víctima.</w:t>
      </w:r>
    </w:p>
    <w:p w14:paraId="43CC7955" w14:textId="77777777" w:rsidR="00816E7B" w:rsidRPr="00816E7B" w:rsidRDefault="00816E7B" w:rsidP="00816E7B">
      <w:pPr>
        <w:pStyle w:val="ListParagraph"/>
        <w:tabs>
          <w:tab w:val="left" w:pos="567"/>
        </w:tabs>
        <w:spacing w:after="0" w:line="240" w:lineRule="auto"/>
        <w:ind w:left="0" w:right="4"/>
        <w:jc w:val="both"/>
        <w:rPr>
          <w:rFonts w:ascii="Verdana" w:hAnsi="Verdana"/>
          <w:sz w:val="20"/>
          <w:szCs w:val="20"/>
        </w:rPr>
      </w:pPr>
    </w:p>
    <w:p w14:paraId="165782A8" w14:textId="11B11CD8" w:rsidR="00A24AFF" w:rsidRPr="00A24AFF" w:rsidRDefault="00A24AFF" w:rsidP="00A4635E">
      <w:pPr>
        <w:pStyle w:val="ListParagraph"/>
        <w:numPr>
          <w:ilvl w:val="0"/>
          <w:numId w:val="6"/>
        </w:numPr>
        <w:spacing w:after="0" w:line="240" w:lineRule="auto"/>
        <w:ind w:left="0" w:firstLine="0"/>
        <w:jc w:val="both"/>
        <w:rPr>
          <w:rFonts w:ascii="Verdana" w:hAnsi="Verdana"/>
          <w:sz w:val="20"/>
        </w:rPr>
      </w:pPr>
      <w:r w:rsidRPr="00131277">
        <w:rPr>
          <w:rFonts w:ascii="Verdana" w:hAnsi="Verdana"/>
          <w:sz w:val="20"/>
          <w:szCs w:val="20"/>
          <w:lang w:val="es-ES"/>
        </w:rPr>
        <w:t xml:space="preserve">En razón de lo anterior, la Corte considera que el Estado ha </w:t>
      </w:r>
      <w:r>
        <w:rPr>
          <w:rFonts w:ascii="Verdana" w:hAnsi="Verdana"/>
          <w:sz w:val="20"/>
          <w:szCs w:val="20"/>
          <w:lang w:val="es-ES"/>
        </w:rPr>
        <w:t>cumplido parcialmente la medida de eliminación de antecedentes penales</w:t>
      </w:r>
      <w:r w:rsidR="00693DC5">
        <w:rPr>
          <w:rFonts w:ascii="Verdana" w:hAnsi="Verdana"/>
          <w:sz w:val="20"/>
          <w:szCs w:val="20"/>
          <w:lang w:val="es-ES"/>
        </w:rPr>
        <w:t xml:space="preserve"> con relación a los hechos del presente caso</w:t>
      </w:r>
      <w:r>
        <w:rPr>
          <w:rFonts w:ascii="Verdana" w:hAnsi="Verdana"/>
          <w:sz w:val="20"/>
          <w:szCs w:val="20"/>
          <w:lang w:val="es-ES"/>
        </w:rPr>
        <w:t xml:space="preserve"> en favor del señor García Cruz</w:t>
      </w:r>
      <w:r w:rsidRPr="00131277">
        <w:rPr>
          <w:rFonts w:ascii="Verdana" w:hAnsi="Verdana"/>
          <w:sz w:val="20"/>
          <w:szCs w:val="20"/>
          <w:lang w:val="es-ES"/>
        </w:rPr>
        <w:t>,</w:t>
      </w:r>
      <w:r>
        <w:rPr>
          <w:rFonts w:ascii="Verdana" w:hAnsi="Verdana"/>
          <w:sz w:val="20"/>
          <w:szCs w:val="20"/>
          <w:lang w:val="es-ES"/>
        </w:rPr>
        <w:t xml:space="preserve"> quedando pendiente la ejecución de esta medida en favor del señor Sánchez </w:t>
      </w:r>
      <w:r w:rsidR="00887235">
        <w:rPr>
          <w:rFonts w:ascii="Verdana" w:hAnsi="Verdana"/>
          <w:sz w:val="20"/>
          <w:szCs w:val="20"/>
          <w:lang w:val="es-ES"/>
        </w:rPr>
        <w:t>Silvestre</w:t>
      </w:r>
      <w:r w:rsidRPr="00131277">
        <w:rPr>
          <w:rFonts w:ascii="Verdana" w:hAnsi="Verdana"/>
          <w:sz w:val="20"/>
          <w:szCs w:val="20"/>
          <w:lang w:val="es-ES"/>
        </w:rPr>
        <w:t xml:space="preserve"> según fue ordenado en el punto </w:t>
      </w:r>
      <w:r w:rsidRPr="00131277">
        <w:rPr>
          <w:rFonts w:ascii="Verdana" w:hAnsi="Verdana"/>
          <w:sz w:val="20"/>
        </w:rPr>
        <w:t>dispositivo sexto inciso</w:t>
      </w:r>
      <w:r>
        <w:rPr>
          <w:rFonts w:ascii="Verdana" w:hAnsi="Verdana"/>
          <w:sz w:val="20"/>
        </w:rPr>
        <w:t xml:space="preserve"> b</w:t>
      </w:r>
      <w:r w:rsidRPr="00131277">
        <w:rPr>
          <w:rFonts w:ascii="Verdana" w:hAnsi="Verdana"/>
          <w:sz w:val="20"/>
        </w:rPr>
        <w:t xml:space="preserve">) y </w:t>
      </w:r>
      <w:r>
        <w:rPr>
          <w:rFonts w:ascii="Verdana" w:hAnsi="Verdana"/>
          <w:sz w:val="20"/>
        </w:rPr>
        <w:t>los párrafos 72 a 73</w:t>
      </w:r>
      <w:r w:rsidRPr="00131277">
        <w:rPr>
          <w:rFonts w:ascii="Verdana" w:hAnsi="Verdana"/>
          <w:sz w:val="20"/>
          <w:szCs w:val="20"/>
          <w:lang w:val="es-ES"/>
        </w:rPr>
        <w:t xml:space="preserve"> de la Sentenc</w:t>
      </w:r>
      <w:r w:rsidR="00011FED">
        <w:rPr>
          <w:rFonts w:ascii="Verdana" w:hAnsi="Verdana"/>
          <w:sz w:val="20"/>
          <w:szCs w:val="20"/>
          <w:lang w:val="es-ES"/>
        </w:rPr>
        <w:t xml:space="preserve">ia. El Tribunal </w:t>
      </w:r>
      <w:r w:rsidR="00887235" w:rsidRPr="00CF74D7">
        <w:rPr>
          <w:rFonts w:ascii="Verdana" w:hAnsi="Verdana"/>
          <w:sz w:val="20"/>
        </w:rPr>
        <w:t>estima necesario requerir al Estado que</w:t>
      </w:r>
      <w:r w:rsidR="00011FED">
        <w:rPr>
          <w:rFonts w:ascii="Verdana" w:hAnsi="Verdana"/>
          <w:sz w:val="20"/>
        </w:rPr>
        <w:t>, dentro del plazo establec</w:t>
      </w:r>
      <w:r w:rsidR="0059491A">
        <w:rPr>
          <w:rFonts w:ascii="Verdana" w:hAnsi="Verdana"/>
          <w:sz w:val="20"/>
        </w:rPr>
        <w:t>ido en el punto resolutivo séptimo</w:t>
      </w:r>
      <w:r w:rsidR="00011FED">
        <w:rPr>
          <w:rFonts w:ascii="Verdana" w:hAnsi="Verdana"/>
          <w:sz w:val="20"/>
        </w:rPr>
        <w:t xml:space="preserve"> de la presente Resolución,</w:t>
      </w:r>
      <w:r w:rsidR="00887235" w:rsidRPr="00CF74D7">
        <w:rPr>
          <w:rFonts w:ascii="Verdana" w:hAnsi="Verdana"/>
          <w:sz w:val="20"/>
        </w:rPr>
        <w:t xml:space="preserve"> </w:t>
      </w:r>
      <w:r w:rsidR="00011FED">
        <w:rPr>
          <w:rFonts w:ascii="Verdana" w:hAnsi="Verdana"/>
          <w:sz w:val="20"/>
        </w:rPr>
        <w:t>remita</w:t>
      </w:r>
      <w:r w:rsidR="00887235" w:rsidRPr="00CF74D7">
        <w:rPr>
          <w:rFonts w:ascii="Verdana" w:hAnsi="Verdana"/>
          <w:sz w:val="20"/>
        </w:rPr>
        <w:t xml:space="preserve"> información actualizada sobre </w:t>
      </w:r>
      <w:r w:rsidR="00887235">
        <w:rPr>
          <w:rFonts w:ascii="Verdana" w:hAnsi="Verdana"/>
          <w:sz w:val="20"/>
        </w:rPr>
        <w:t xml:space="preserve">las acciones concretas </w:t>
      </w:r>
      <w:r w:rsidR="00011FED">
        <w:rPr>
          <w:rFonts w:ascii="Verdana" w:hAnsi="Verdana"/>
          <w:sz w:val="20"/>
        </w:rPr>
        <w:t xml:space="preserve">que está realizando </w:t>
      </w:r>
      <w:r w:rsidR="00887235">
        <w:rPr>
          <w:rFonts w:ascii="Verdana" w:hAnsi="Verdana"/>
          <w:sz w:val="20"/>
        </w:rPr>
        <w:t>para eliminar los antecedentes penales del señor Sánchez Silvestre.</w:t>
      </w:r>
    </w:p>
    <w:p w14:paraId="363C132A" w14:textId="77777777" w:rsidR="00FE77B0" w:rsidRDefault="00FE77B0" w:rsidP="00A4635E">
      <w:pPr>
        <w:spacing w:after="0" w:line="240" w:lineRule="auto"/>
        <w:jc w:val="both"/>
        <w:rPr>
          <w:rFonts w:ascii="Verdana" w:hAnsi="Verdana" w:cs="Verdana"/>
          <w:b/>
          <w:i/>
          <w:sz w:val="20"/>
          <w:szCs w:val="20"/>
          <w:lang w:val="es-ES"/>
        </w:rPr>
      </w:pPr>
    </w:p>
    <w:p w14:paraId="39B80B93" w14:textId="77777777" w:rsidR="00FE77B0" w:rsidRPr="00131277" w:rsidRDefault="00357218" w:rsidP="00A4635E">
      <w:pPr>
        <w:pStyle w:val="Heading1"/>
        <w:numPr>
          <w:ilvl w:val="0"/>
          <w:numId w:val="26"/>
        </w:numPr>
      </w:pPr>
      <w:bookmarkStart w:id="3" w:name="_Toc524712409"/>
      <w:r>
        <w:t xml:space="preserve">Otorgar </w:t>
      </w:r>
      <w:r w:rsidR="00FE77B0" w:rsidRPr="00131277">
        <w:t>atención médica y psicológica</w:t>
      </w:r>
      <w:bookmarkEnd w:id="3"/>
    </w:p>
    <w:p w14:paraId="64A0CDA8" w14:textId="77777777" w:rsidR="00FE77B0" w:rsidRPr="00FE77B0" w:rsidRDefault="00FE77B0" w:rsidP="00A4635E">
      <w:pPr>
        <w:pStyle w:val="ListParagraph"/>
        <w:spacing w:after="0" w:line="240" w:lineRule="auto"/>
        <w:ind w:left="1440"/>
        <w:jc w:val="both"/>
        <w:rPr>
          <w:rFonts w:ascii="Verdana" w:hAnsi="Verdana" w:cs="Verdana"/>
          <w:b/>
          <w:i/>
          <w:sz w:val="20"/>
          <w:szCs w:val="20"/>
          <w:lang w:val="es-ES"/>
        </w:rPr>
      </w:pPr>
    </w:p>
    <w:p w14:paraId="07FE9C46" w14:textId="4EFD1DFA" w:rsidR="00FE52DD" w:rsidRDefault="00FE77B0" w:rsidP="00A4635E">
      <w:pPr>
        <w:pStyle w:val="ListParagraph"/>
        <w:spacing w:after="0" w:line="240" w:lineRule="auto"/>
        <w:ind w:left="1080" w:hanging="360"/>
        <w:rPr>
          <w:rFonts w:ascii="Verdana" w:hAnsi="Verdana"/>
          <w:i/>
          <w:sz w:val="20"/>
          <w:szCs w:val="20"/>
        </w:rPr>
      </w:pPr>
      <w:r>
        <w:rPr>
          <w:rFonts w:ascii="Verdana" w:hAnsi="Verdana"/>
          <w:i/>
          <w:sz w:val="20"/>
          <w:szCs w:val="20"/>
        </w:rPr>
        <w:t>C</w:t>
      </w:r>
      <w:r w:rsidR="00482576">
        <w:rPr>
          <w:rFonts w:ascii="Verdana" w:hAnsi="Verdana"/>
          <w:i/>
          <w:sz w:val="20"/>
          <w:szCs w:val="20"/>
        </w:rPr>
        <w:t>.1.</w:t>
      </w:r>
      <w:r>
        <w:rPr>
          <w:rFonts w:ascii="Verdana" w:hAnsi="Verdana"/>
          <w:i/>
          <w:sz w:val="20"/>
          <w:szCs w:val="20"/>
        </w:rPr>
        <w:t xml:space="preserve"> Medidas ordenadas por la Corte</w:t>
      </w:r>
    </w:p>
    <w:p w14:paraId="4DBDCEAB" w14:textId="77777777" w:rsidR="00FE77B0" w:rsidRPr="00FE77B0" w:rsidRDefault="00FE77B0" w:rsidP="00A4635E">
      <w:pPr>
        <w:pStyle w:val="ListParagraph"/>
        <w:spacing w:after="0" w:line="240" w:lineRule="auto"/>
        <w:ind w:left="1080" w:hanging="360"/>
        <w:rPr>
          <w:rFonts w:ascii="Verdana" w:hAnsi="Verdana"/>
          <w:i/>
          <w:sz w:val="20"/>
          <w:szCs w:val="20"/>
        </w:rPr>
      </w:pPr>
    </w:p>
    <w:p w14:paraId="05AE5A87" w14:textId="52AC345A" w:rsidR="00B06DF3" w:rsidRPr="00B06DF3" w:rsidRDefault="00FE77B0" w:rsidP="00060CC9">
      <w:pPr>
        <w:pStyle w:val="ListParagraph"/>
        <w:numPr>
          <w:ilvl w:val="0"/>
          <w:numId w:val="6"/>
        </w:numPr>
        <w:spacing w:after="0" w:line="240" w:lineRule="auto"/>
        <w:ind w:left="0" w:firstLine="0"/>
        <w:jc w:val="both"/>
        <w:rPr>
          <w:rFonts w:ascii="Verdana" w:hAnsi="Verdana"/>
          <w:sz w:val="20"/>
          <w:szCs w:val="20"/>
        </w:rPr>
      </w:pPr>
      <w:r w:rsidRPr="00FE77B0">
        <w:rPr>
          <w:rFonts w:ascii="Verdana" w:hAnsi="Verdana"/>
          <w:sz w:val="20"/>
        </w:rPr>
        <w:t>En el punto dispositivo sexto</w:t>
      </w:r>
      <w:r w:rsidR="004F3727">
        <w:rPr>
          <w:rFonts w:ascii="Verdana" w:hAnsi="Verdana"/>
          <w:sz w:val="20"/>
        </w:rPr>
        <w:t>,</w:t>
      </w:r>
      <w:r w:rsidRPr="00FE77B0">
        <w:rPr>
          <w:rFonts w:ascii="Verdana" w:hAnsi="Verdana"/>
          <w:sz w:val="20"/>
        </w:rPr>
        <w:t xml:space="preserve"> incisos c) y d) y los párrafos 74 a 78 de la Sentencia, la Corte homologó las medidas relativas a</w:t>
      </w:r>
      <w:r w:rsidR="00060CC9">
        <w:rPr>
          <w:rFonts w:ascii="Verdana" w:hAnsi="Verdana"/>
          <w:sz w:val="20"/>
        </w:rPr>
        <w:t xml:space="preserve"> </w:t>
      </w:r>
      <w:r w:rsidR="00060CC9" w:rsidRPr="009D0CC8">
        <w:rPr>
          <w:rFonts w:ascii="Verdana" w:eastAsiaTheme="minorHAnsi" w:hAnsi="Verdana"/>
          <w:sz w:val="20"/>
          <w:szCs w:val="20"/>
        </w:rPr>
        <w:t xml:space="preserve">brindar </w:t>
      </w:r>
      <w:r w:rsidR="00816E7B" w:rsidRPr="009D0CC8">
        <w:rPr>
          <w:rFonts w:ascii="Verdana" w:eastAsiaTheme="minorHAnsi" w:hAnsi="Verdana"/>
          <w:sz w:val="20"/>
          <w:szCs w:val="20"/>
        </w:rPr>
        <w:t>atención</w:t>
      </w:r>
      <w:r w:rsidR="00060CC9" w:rsidRPr="009D0CC8">
        <w:rPr>
          <w:rFonts w:ascii="Verdana" w:eastAsiaTheme="minorHAnsi" w:hAnsi="Verdana"/>
          <w:sz w:val="20"/>
          <w:szCs w:val="20"/>
        </w:rPr>
        <w:t xml:space="preserve"> </w:t>
      </w:r>
      <w:r w:rsidR="00816E7B" w:rsidRPr="009D0CC8">
        <w:rPr>
          <w:rFonts w:ascii="Verdana" w:eastAsiaTheme="minorHAnsi" w:hAnsi="Verdana"/>
          <w:sz w:val="20"/>
          <w:szCs w:val="20"/>
        </w:rPr>
        <w:t>medica</w:t>
      </w:r>
      <w:r w:rsidR="00060CC9" w:rsidRPr="009D0CC8">
        <w:rPr>
          <w:rFonts w:ascii="Verdana" w:eastAsiaTheme="minorHAnsi" w:hAnsi="Verdana"/>
          <w:sz w:val="20"/>
          <w:szCs w:val="20"/>
        </w:rPr>
        <w:t xml:space="preserve">, </w:t>
      </w:r>
      <w:r w:rsidR="00816E7B" w:rsidRPr="009D0CC8">
        <w:rPr>
          <w:rFonts w:ascii="Verdana" w:eastAsiaTheme="minorHAnsi" w:hAnsi="Verdana"/>
          <w:sz w:val="20"/>
          <w:szCs w:val="20"/>
        </w:rPr>
        <w:t>psicológica</w:t>
      </w:r>
      <w:r w:rsidR="00060CC9" w:rsidRPr="009D0CC8">
        <w:rPr>
          <w:rFonts w:ascii="Verdana" w:eastAsiaTheme="minorHAnsi" w:hAnsi="Verdana"/>
          <w:sz w:val="20"/>
          <w:szCs w:val="20"/>
        </w:rPr>
        <w:t xml:space="preserve"> y/o </w:t>
      </w:r>
      <w:r w:rsidR="00572863" w:rsidRPr="009D0CC8">
        <w:rPr>
          <w:rFonts w:ascii="Verdana" w:eastAsiaTheme="minorHAnsi" w:hAnsi="Verdana"/>
          <w:sz w:val="20"/>
          <w:szCs w:val="20"/>
        </w:rPr>
        <w:t>psiquiátrica</w:t>
      </w:r>
      <w:r w:rsidR="00060CC9" w:rsidRPr="009D0CC8">
        <w:rPr>
          <w:rFonts w:ascii="Verdana" w:eastAsiaTheme="minorHAnsi" w:hAnsi="Verdana"/>
          <w:sz w:val="20"/>
          <w:szCs w:val="20"/>
        </w:rPr>
        <w:t xml:space="preserve"> especializada en distintos niveles a los señores García Cruz y Sánchez Silvestre</w:t>
      </w:r>
      <w:r w:rsidR="00F26F8F">
        <w:rPr>
          <w:rFonts w:ascii="Verdana" w:eastAsiaTheme="minorHAnsi" w:hAnsi="Verdana"/>
          <w:sz w:val="20"/>
          <w:szCs w:val="20"/>
        </w:rPr>
        <w:t xml:space="preserve">, y atención médica a </w:t>
      </w:r>
      <w:r w:rsidR="00060CC9" w:rsidRPr="009D0CC8">
        <w:rPr>
          <w:rFonts w:ascii="Verdana" w:eastAsiaTheme="minorHAnsi" w:hAnsi="Verdana"/>
          <w:sz w:val="20"/>
          <w:szCs w:val="20"/>
        </w:rPr>
        <w:t xml:space="preserve">la esposa de este </w:t>
      </w:r>
      <w:r w:rsidR="00816E7B">
        <w:rPr>
          <w:rFonts w:ascii="Verdana" w:eastAsiaTheme="minorHAnsi" w:hAnsi="Verdana"/>
          <w:sz w:val="20"/>
          <w:szCs w:val="20"/>
        </w:rPr>
        <w:t>ú</w:t>
      </w:r>
      <w:r w:rsidR="00816E7B" w:rsidRPr="009D0CC8">
        <w:rPr>
          <w:rFonts w:ascii="Verdana" w:eastAsiaTheme="minorHAnsi" w:hAnsi="Verdana"/>
          <w:sz w:val="20"/>
          <w:szCs w:val="20"/>
        </w:rPr>
        <w:t>ltimo</w:t>
      </w:r>
      <w:r w:rsidR="00060CC9" w:rsidRPr="009D0CC8">
        <w:rPr>
          <w:rFonts w:ascii="Verdana" w:eastAsiaTheme="minorHAnsi" w:hAnsi="Verdana"/>
          <w:sz w:val="20"/>
          <w:szCs w:val="20"/>
        </w:rPr>
        <w:t xml:space="preserve">. </w:t>
      </w:r>
      <w:r w:rsidR="00B06DF3" w:rsidRPr="009D0CC8">
        <w:rPr>
          <w:rFonts w:ascii="Verdana" w:eastAsiaTheme="minorHAnsi" w:hAnsi="Verdana"/>
          <w:sz w:val="20"/>
          <w:szCs w:val="20"/>
        </w:rPr>
        <w:t>Entre las especificidades d</w:t>
      </w:r>
      <w:r w:rsidR="00E835FC">
        <w:rPr>
          <w:rFonts w:ascii="Verdana" w:eastAsiaTheme="minorHAnsi" w:hAnsi="Verdana"/>
          <w:sz w:val="20"/>
          <w:szCs w:val="20"/>
        </w:rPr>
        <w:t>e dicha atención se dispuso que, dentro de los seis mese</w:t>
      </w:r>
      <w:r w:rsidR="0059491A">
        <w:rPr>
          <w:rFonts w:ascii="Verdana" w:eastAsiaTheme="minorHAnsi" w:hAnsi="Verdana"/>
          <w:sz w:val="20"/>
          <w:szCs w:val="20"/>
        </w:rPr>
        <w:t>s</w:t>
      </w:r>
      <w:r w:rsidR="00E835FC">
        <w:rPr>
          <w:rFonts w:ascii="Verdana" w:eastAsiaTheme="minorHAnsi" w:hAnsi="Verdana"/>
          <w:sz w:val="20"/>
          <w:szCs w:val="20"/>
        </w:rPr>
        <w:t xml:space="preserve"> a partir de la notificación de la Sentencia, </w:t>
      </w:r>
      <w:r w:rsidR="00B06DF3" w:rsidRPr="009D0CC8">
        <w:rPr>
          <w:rFonts w:ascii="Verdana" w:eastAsiaTheme="minorHAnsi" w:hAnsi="Verdana"/>
          <w:sz w:val="20"/>
          <w:szCs w:val="20"/>
        </w:rPr>
        <w:t xml:space="preserve">México debía: </w:t>
      </w:r>
    </w:p>
    <w:p w14:paraId="5BE1A8C6" w14:textId="33614F24" w:rsidR="00E835FC" w:rsidRDefault="00C11181" w:rsidP="00E835FC">
      <w:pPr>
        <w:pStyle w:val="ListParagraph"/>
        <w:numPr>
          <w:ilvl w:val="0"/>
          <w:numId w:val="33"/>
        </w:numPr>
        <w:spacing w:after="0" w:line="240" w:lineRule="auto"/>
        <w:jc w:val="both"/>
        <w:rPr>
          <w:rFonts w:ascii="Verdana" w:hAnsi="Verdana"/>
          <w:sz w:val="20"/>
          <w:szCs w:val="20"/>
        </w:rPr>
      </w:pPr>
      <w:r>
        <w:rPr>
          <w:rFonts w:ascii="Verdana" w:hAnsi="Verdana"/>
          <w:sz w:val="20"/>
          <w:szCs w:val="20"/>
        </w:rPr>
        <w:t>“</w:t>
      </w:r>
      <w:r w:rsidR="00FE77B0" w:rsidRPr="00B06DF3">
        <w:rPr>
          <w:rFonts w:ascii="Verdana" w:hAnsi="Verdana"/>
          <w:sz w:val="20"/>
          <w:szCs w:val="20"/>
        </w:rPr>
        <w:t xml:space="preserve">otorgar a las víctimas atención médica preferencial y gratuita a través del </w:t>
      </w:r>
      <w:r w:rsidR="00FE77B0" w:rsidRPr="00C11181">
        <w:rPr>
          <w:rFonts w:ascii="Verdana" w:hAnsi="Verdana"/>
          <w:sz w:val="20"/>
          <w:szCs w:val="20"/>
        </w:rPr>
        <w:t>Programa de Acceso Gratuito a los Servicios Médicos y Medicamentos a las Personas Residentes en el Distrito Federal que Carecen de Seguridad Social Laboral</w:t>
      </w:r>
      <w:r w:rsidR="00FE77B0" w:rsidRPr="00B06DF3">
        <w:rPr>
          <w:rFonts w:ascii="Verdana" w:hAnsi="Verdana"/>
          <w:sz w:val="20"/>
          <w:szCs w:val="20"/>
        </w:rPr>
        <w:t>”</w:t>
      </w:r>
      <w:r w:rsidR="004F7E5A">
        <w:rPr>
          <w:rStyle w:val="FootnoteReference"/>
          <w:rFonts w:ascii="Verdana" w:eastAsia="Times New Roman" w:hAnsi="Verdana"/>
          <w:sz w:val="20"/>
          <w:szCs w:val="20"/>
          <w:lang w:val="es-ES_tradnl"/>
        </w:rPr>
        <w:footnoteReference w:id="28"/>
      </w:r>
      <w:r w:rsidR="00E835FC">
        <w:rPr>
          <w:rFonts w:ascii="Verdana" w:hAnsi="Verdana"/>
          <w:sz w:val="20"/>
          <w:szCs w:val="20"/>
        </w:rPr>
        <w:t xml:space="preserve">, </w:t>
      </w:r>
      <w:r w:rsidR="00E835FC" w:rsidRPr="00E835FC">
        <w:rPr>
          <w:rFonts w:ascii="Verdana" w:hAnsi="Verdana"/>
          <w:sz w:val="20"/>
          <w:szCs w:val="20"/>
        </w:rPr>
        <w:t>así como</w:t>
      </w:r>
      <w:r w:rsidR="00E835FC">
        <w:rPr>
          <w:rFonts w:ascii="Verdana" w:hAnsi="Verdana"/>
          <w:sz w:val="20"/>
          <w:szCs w:val="20"/>
        </w:rPr>
        <w:t xml:space="preserve"> </w:t>
      </w:r>
      <w:r w:rsidR="00E835FC" w:rsidRPr="00E835FC">
        <w:rPr>
          <w:rFonts w:ascii="Verdana" w:eastAsia="Times New Roman" w:hAnsi="Verdana"/>
          <w:sz w:val="20"/>
          <w:szCs w:val="20"/>
          <w:lang w:val="es-ES_tradnl"/>
        </w:rPr>
        <w:t xml:space="preserve">brindarles atención psicológica a través de “[l]a Procuraduría Social de Atención a las Víctimas de Delitos[, …] en sus domicilios o en las </w:t>
      </w:r>
      <w:r w:rsidR="00E835FC" w:rsidRPr="00E835FC">
        <w:rPr>
          <w:rFonts w:ascii="Verdana" w:eastAsia="Times New Roman" w:hAnsi="Verdana"/>
          <w:sz w:val="20"/>
          <w:szCs w:val="20"/>
          <w:lang w:val="es-ES_tradnl"/>
        </w:rPr>
        <w:lastRenderedPageBreak/>
        <w:t>instalaciones del Centro de Atención a Víctimas y Ofendidos más cercana al mismo, a elección de las víctimas”</w:t>
      </w:r>
      <w:r w:rsidR="004F7E5A">
        <w:rPr>
          <w:rStyle w:val="FootnoteReference"/>
          <w:rFonts w:ascii="Verdana" w:eastAsia="Times New Roman" w:hAnsi="Verdana"/>
          <w:sz w:val="20"/>
          <w:szCs w:val="20"/>
          <w:lang w:val="es-ES_tradnl"/>
        </w:rPr>
        <w:footnoteReference w:id="29"/>
      </w:r>
      <w:r w:rsidR="00E835FC">
        <w:rPr>
          <w:rFonts w:ascii="Verdana" w:hAnsi="Verdana"/>
          <w:sz w:val="20"/>
          <w:szCs w:val="20"/>
        </w:rPr>
        <w:t>, y</w:t>
      </w:r>
      <w:r w:rsidR="00E835FC" w:rsidRPr="00E835FC">
        <w:rPr>
          <w:rFonts w:ascii="Verdana" w:hAnsi="Verdana"/>
          <w:sz w:val="20"/>
          <w:szCs w:val="20"/>
        </w:rPr>
        <w:t xml:space="preserve"> </w:t>
      </w:r>
    </w:p>
    <w:p w14:paraId="20134A24" w14:textId="3725E7E1" w:rsidR="00E835FC" w:rsidRPr="00E835FC" w:rsidRDefault="00E835FC" w:rsidP="00E835FC">
      <w:pPr>
        <w:pStyle w:val="ListParagraph"/>
        <w:numPr>
          <w:ilvl w:val="0"/>
          <w:numId w:val="33"/>
        </w:numPr>
        <w:spacing w:after="0" w:line="240" w:lineRule="auto"/>
        <w:jc w:val="both"/>
        <w:rPr>
          <w:rFonts w:ascii="Verdana" w:hAnsi="Verdana"/>
          <w:sz w:val="20"/>
          <w:szCs w:val="20"/>
          <w:lang w:val="es-ES_tradnl"/>
        </w:rPr>
      </w:pPr>
      <w:r w:rsidRPr="00E835FC">
        <w:rPr>
          <w:rFonts w:ascii="Verdana" w:eastAsia="Times New Roman" w:hAnsi="Verdana"/>
          <w:sz w:val="20"/>
          <w:szCs w:val="20"/>
          <w:lang w:val="es-ES_tradnl"/>
        </w:rPr>
        <w:t>“otorgar a [… la esposa del señor Santiago Sánchez Silvestre,] atención médica gratuita a través del Programa de Acceso Gratuito a los Servicios Médicos y Medicamentos a las Personas Residentes en el Distrito Federal que Carecen de Seguridad Social Laboral”</w:t>
      </w:r>
      <w:r w:rsidR="0059491A">
        <w:rPr>
          <w:rFonts w:ascii="Verdana" w:eastAsia="Times New Roman" w:hAnsi="Verdana"/>
          <w:sz w:val="20"/>
          <w:szCs w:val="20"/>
          <w:lang w:val="es-ES_tradnl"/>
        </w:rPr>
        <w:t>.</w:t>
      </w:r>
    </w:p>
    <w:p w14:paraId="3C90E2D0" w14:textId="77777777" w:rsidR="00C11181" w:rsidRDefault="00C11181" w:rsidP="00A4635E">
      <w:pPr>
        <w:pStyle w:val="ListParagraph"/>
        <w:spacing w:after="0" w:line="240" w:lineRule="auto"/>
        <w:ind w:left="0"/>
        <w:jc w:val="both"/>
        <w:rPr>
          <w:rFonts w:ascii="Verdana" w:hAnsi="Verdana"/>
          <w:sz w:val="20"/>
          <w:szCs w:val="20"/>
        </w:rPr>
      </w:pPr>
    </w:p>
    <w:p w14:paraId="235DD831" w14:textId="77777777" w:rsidR="00A92D53" w:rsidRPr="00FE77B0" w:rsidRDefault="00A92D53" w:rsidP="00A4635E">
      <w:pPr>
        <w:pStyle w:val="ListParagraph"/>
        <w:spacing w:after="0" w:line="240" w:lineRule="auto"/>
        <w:ind w:left="0"/>
        <w:jc w:val="both"/>
        <w:rPr>
          <w:rFonts w:ascii="Verdana" w:hAnsi="Verdana"/>
          <w:sz w:val="20"/>
          <w:szCs w:val="20"/>
        </w:rPr>
      </w:pPr>
    </w:p>
    <w:p w14:paraId="16262F91" w14:textId="755B8FCE" w:rsidR="00B35A51" w:rsidRPr="00131277" w:rsidRDefault="00131277" w:rsidP="00B35A51">
      <w:pPr>
        <w:spacing w:after="0" w:line="240" w:lineRule="auto"/>
        <w:ind w:left="1080" w:hanging="360"/>
        <w:rPr>
          <w:rFonts w:ascii="Verdana" w:hAnsi="Verdana"/>
          <w:i/>
          <w:sz w:val="20"/>
          <w:szCs w:val="20"/>
        </w:rPr>
      </w:pPr>
      <w:r>
        <w:rPr>
          <w:rFonts w:ascii="Verdana" w:hAnsi="Verdana"/>
          <w:i/>
          <w:sz w:val="20"/>
          <w:szCs w:val="20"/>
        </w:rPr>
        <w:t>C</w:t>
      </w:r>
      <w:r w:rsidR="004B02A0">
        <w:rPr>
          <w:rFonts w:ascii="Verdana" w:hAnsi="Verdana"/>
          <w:i/>
          <w:sz w:val="20"/>
          <w:szCs w:val="20"/>
        </w:rPr>
        <w:t>.2.</w:t>
      </w:r>
      <w:r w:rsidRPr="00131277">
        <w:rPr>
          <w:rFonts w:ascii="Verdana" w:hAnsi="Verdana"/>
          <w:i/>
          <w:sz w:val="20"/>
          <w:szCs w:val="20"/>
        </w:rPr>
        <w:t xml:space="preserve"> </w:t>
      </w:r>
      <w:r w:rsidR="00B35A51" w:rsidRPr="00DF7E56">
        <w:rPr>
          <w:rFonts w:ascii="Verdana" w:hAnsi="Verdana"/>
          <w:i/>
          <w:sz w:val="20"/>
          <w:szCs w:val="20"/>
        </w:rPr>
        <w:t>Consideraciones de la Corte</w:t>
      </w:r>
    </w:p>
    <w:p w14:paraId="51FB7D8E" w14:textId="77777777" w:rsidR="00FE77B0" w:rsidRPr="00131277" w:rsidRDefault="00FE77B0" w:rsidP="00A4635E">
      <w:pPr>
        <w:spacing w:after="0" w:line="240" w:lineRule="auto"/>
        <w:ind w:left="1080" w:hanging="360"/>
        <w:rPr>
          <w:rFonts w:ascii="Verdana" w:hAnsi="Verdana"/>
          <w:i/>
          <w:sz w:val="20"/>
          <w:szCs w:val="20"/>
        </w:rPr>
      </w:pPr>
    </w:p>
    <w:p w14:paraId="380C8D0C" w14:textId="16F901A5" w:rsidR="005442E9" w:rsidRDefault="005442E9" w:rsidP="005442E9">
      <w:pPr>
        <w:pStyle w:val="ListParagraph"/>
        <w:numPr>
          <w:ilvl w:val="0"/>
          <w:numId w:val="6"/>
        </w:numPr>
        <w:spacing w:after="0" w:line="240" w:lineRule="auto"/>
        <w:ind w:left="0" w:firstLine="0"/>
        <w:jc w:val="both"/>
        <w:rPr>
          <w:rFonts w:ascii="Verdana" w:hAnsi="Verdana"/>
          <w:sz w:val="20"/>
        </w:rPr>
      </w:pPr>
      <w:r>
        <w:rPr>
          <w:rFonts w:ascii="Verdana" w:hAnsi="Verdana"/>
          <w:sz w:val="20"/>
        </w:rPr>
        <w:t xml:space="preserve">En su informe de marzo de 2017, el </w:t>
      </w:r>
      <w:r w:rsidRPr="007043B0">
        <w:rPr>
          <w:rFonts w:ascii="Verdana" w:hAnsi="Verdana"/>
          <w:i/>
          <w:sz w:val="20"/>
        </w:rPr>
        <w:t>Estado</w:t>
      </w:r>
      <w:r>
        <w:rPr>
          <w:rFonts w:ascii="Verdana" w:hAnsi="Verdana"/>
          <w:sz w:val="20"/>
        </w:rPr>
        <w:t xml:space="preserve"> se refirió a la atención psicológica e indicó que “los representantes manifestaron que </w:t>
      </w:r>
      <w:r w:rsidR="007E6F51">
        <w:rPr>
          <w:rFonts w:ascii="Verdana" w:hAnsi="Verdana"/>
          <w:sz w:val="20"/>
        </w:rPr>
        <w:t xml:space="preserve">en </w:t>
      </w:r>
      <w:r>
        <w:rPr>
          <w:rFonts w:ascii="Verdana" w:hAnsi="Verdana"/>
          <w:sz w:val="20"/>
        </w:rPr>
        <w:t>el momento en el que los señores García Cruz y Sánchez Silvestre requieran dicha atención se pondrán en contacto con las autoridades correspondientes para realizar las gestiones que sean necesarias”. Asimismo, indicó que “el 14 de noviembre de 2015, se llevó a cabo una reunión con personal adscrito a la [Comisión Ejecutiva de Atención a Víctimas], donde fueron convocados los representantes y se exteriorizó de nueva cuent</w:t>
      </w:r>
      <w:r w:rsidR="007E6F51">
        <w:rPr>
          <w:rFonts w:ascii="Verdana" w:hAnsi="Verdana"/>
          <w:sz w:val="20"/>
        </w:rPr>
        <w:t>a la disposición por parte de dicha</w:t>
      </w:r>
      <w:r>
        <w:rPr>
          <w:rFonts w:ascii="Verdana" w:hAnsi="Verdana"/>
          <w:sz w:val="20"/>
        </w:rPr>
        <w:t xml:space="preserve"> Comisión para que las víctimas informen a través de éstos si la atención psicológica que se propone, se realice en sus domicilio o bien, en alguna de las Delegaciones de la </w:t>
      </w:r>
      <w:r w:rsidR="00433BE7">
        <w:rPr>
          <w:rFonts w:ascii="Verdana" w:hAnsi="Verdana"/>
          <w:sz w:val="20"/>
        </w:rPr>
        <w:t>[Comisión Ejecutiva de Atención a Víctimas]</w:t>
      </w:r>
      <w:r>
        <w:rPr>
          <w:rFonts w:ascii="Verdana" w:hAnsi="Verdana"/>
          <w:sz w:val="20"/>
        </w:rPr>
        <w:t>”</w:t>
      </w:r>
      <w:r>
        <w:rPr>
          <w:rStyle w:val="FootnoteReference"/>
          <w:rFonts w:ascii="Verdana" w:hAnsi="Verdana"/>
          <w:sz w:val="20"/>
        </w:rPr>
        <w:footnoteReference w:id="30"/>
      </w:r>
      <w:r>
        <w:rPr>
          <w:rFonts w:ascii="Verdana" w:hAnsi="Verdana"/>
          <w:sz w:val="20"/>
        </w:rPr>
        <w:t xml:space="preserve">. </w:t>
      </w:r>
      <w:r w:rsidRPr="0048566F">
        <w:rPr>
          <w:rFonts w:ascii="Verdana" w:hAnsi="Verdana"/>
          <w:i/>
          <w:sz w:val="20"/>
        </w:rPr>
        <w:t>México</w:t>
      </w:r>
      <w:r>
        <w:rPr>
          <w:rFonts w:ascii="Verdana" w:hAnsi="Verdana"/>
          <w:sz w:val="20"/>
        </w:rPr>
        <w:t xml:space="preserve"> agregó que, “a la fecha, no se ha informado el lugar en el cual las víctimas desean recibir atención psicológica, por lo cual, una vez que se cuente con dicha información se hará del conocimiento de la </w:t>
      </w:r>
      <w:r w:rsidR="00433BE7">
        <w:rPr>
          <w:rFonts w:ascii="Verdana" w:hAnsi="Verdana"/>
          <w:sz w:val="20"/>
        </w:rPr>
        <w:t>[Comisión Ejecutiva de Atención a Víctimas]</w:t>
      </w:r>
      <w:r>
        <w:rPr>
          <w:rFonts w:ascii="Verdana" w:hAnsi="Verdana"/>
          <w:sz w:val="20"/>
        </w:rPr>
        <w:t>para que sea proporcionada dicha atención”</w:t>
      </w:r>
      <w:r>
        <w:rPr>
          <w:rStyle w:val="FootnoteReference"/>
          <w:rFonts w:ascii="Verdana" w:hAnsi="Verdana"/>
          <w:sz w:val="20"/>
        </w:rPr>
        <w:footnoteReference w:id="31"/>
      </w:r>
      <w:r>
        <w:rPr>
          <w:rFonts w:ascii="Verdana" w:hAnsi="Verdana"/>
          <w:sz w:val="20"/>
        </w:rPr>
        <w:t xml:space="preserve">. </w:t>
      </w:r>
    </w:p>
    <w:p w14:paraId="548BE4BE" w14:textId="69C0CB17" w:rsidR="005442E9" w:rsidRDefault="00433BE7" w:rsidP="00433BE7">
      <w:pPr>
        <w:pStyle w:val="ListParagraph"/>
        <w:tabs>
          <w:tab w:val="left" w:pos="5794"/>
        </w:tabs>
        <w:spacing w:after="0" w:line="240" w:lineRule="auto"/>
        <w:ind w:left="0"/>
        <w:jc w:val="both"/>
        <w:rPr>
          <w:rFonts w:ascii="Verdana" w:hAnsi="Verdana"/>
          <w:sz w:val="20"/>
        </w:rPr>
      </w:pPr>
      <w:r>
        <w:rPr>
          <w:rFonts w:ascii="Verdana" w:hAnsi="Verdana"/>
          <w:sz w:val="20"/>
        </w:rPr>
        <w:tab/>
      </w:r>
    </w:p>
    <w:p w14:paraId="15D32FA2" w14:textId="0C6A9394" w:rsidR="00E9384E" w:rsidRDefault="00433BE7" w:rsidP="00A4635E">
      <w:pPr>
        <w:pStyle w:val="ListParagraph"/>
        <w:numPr>
          <w:ilvl w:val="0"/>
          <w:numId w:val="6"/>
        </w:numPr>
        <w:spacing w:after="0" w:line="240" w:lineRule="auto"/>
        <w:ind w:left="0" w:firstLine="0"/>
        <w:jc w:val="both"/>
        <w:rPr>
          <w:rFonts w:ascii="Verdana" w:hAnsi="Verdana"/>
          <w:sz w:val="20"/>
        </w:rPr>
      </w:pPr>
      <w:r>
        <w:rPr>
          <w:rFonts w:ascii="Verdana" w:hAnsi="Verdana"/>
          <w:sz w:val="20"/>
        </w:rPr>
        <w:t>Por otra parte</w:t>
      </w:r>
      <w:r w:rsidR="005442E9">
        <w:rPr>
          <w:rFonts w:ascii="Verdana" w:hAnsi="Verdana"/>
          <w:sz w:val="20"/>
        </w:rPr>
        <w:t xml:space="preserve">, </w:t>
      </w:r>
      <w:r>
        <w:rPr>
          <w:rFonts w:ascii="Verdana" w:hAnsi="Verdana"/>
          <w:sz w:val="20"/>
        </w:rPr>
        <w:t xml:space="preserve">respecto a la atención médica, </w:t>
      </w:r>
      <w:r w:rsidR="00095B15">
        <w:rPr>
          <w:rFonts w:ascii="Verdana" w:hAnsi="Verdana"/>
          <w:sz w:val="20"/>
        </w:rPr>
        <w:t>en su informe</w:t>
      </w:r>
      <w:r w:rsidR="000F498D">
        <w:rPr>
          <w:rFonts w:ascii="Verdana" w:hAnsi="Verdana"/>
          <w:sz w:val="20"/>
        </w:rPr>
        <w:t xml:space="preserve"> de </w:t>
      </w:r>
      <w:r w:rsidR="00485C4C">
        <w:rPr>
          <w:rFonts w:ascii="Verdana" w:hAnsi="Verdana"/>
          <w:sz w:val="20"/>
        </w:rPr>
        <w:t>febrero de 2018</w:t>
      </w:r>
      <w:r w:rsidR="00095B15">
        <w:rPr>
          <w:rFonts w:ascii="Verdana" w:hAnsi="Verdana"/>
          <w:sz w:val="20"/>
        </w:rPr>
        <w:t xml:space="preserve"> </w:t>
      </w:r>
      <w:r w:rsidRPr="0048566F">
        <w:rPr>
          <w:rFonts w:ascii="Verdana" w:hAnsi="Verdana"/>
          <w:i/>
          <w:sz w:val="20"/>
        </w:rPr>
        <w:t>México</w:t>
      </w:r>
      <w:r>
        <w:rPr>
          <w:rFonts w:ascii="Verdana" w:hAnsi="Verdana"/>
          <w:sz w:val="20"/>
        </w:rPr>
        <w:t xml:space="preserve"> señaló </w:t>
      </w:r>
      <w:r w:rsidR="00E072A5">
        <w:rPr>
          <w:rFonts w:ascii="Verdana" w:hAnsi="Verdana"/>
          <w:sz w:val="20"/>
        </w:rPr>
        <w:t xml:space="preserve">que </w:t>
      </w:r>
      <w:r w:rsidR="00C22565">
        <w:rPr>
          <w:rFonts w:ascii="Verdana" w:hAnsi="Verdana"/>
          <w:sz w:val="20"/>
        </w:rPr>
        <w:t>el señor García Cruz</w:t>
      </w:r>
      <w:r w:rsidR="00C35491">
        <w:rPr>
          <w:rFonts w:ascii="Verdana" w:hAnsi="Verdana"/>
          <w:sz w:val="20"/>
        </w:rPr>
        <w:t xml:space="preserve"> se e</w:t>
      </w:r>
      <w:r w:rsidR="00095B15">
        <w:rPr>
          <w:rFonts w:ascii="Verdana" w:hAnsi="Verdana"/>
          <w:sz w:val="20"/>
        </w:rPr>
        <w:t>ncuentra afiliad</w:t>
      </w:r>
      <w:r w:rsidR="00C22565">
        <w:rPr>
          <w:rFonts w:ascii="Verdana" w:hAnsi="Verdana"/>
          <w:sz w:val="20"/>
        </w:rPr>
        <w:t>o</w:t>
      </w:r>
      <w:r w:rsidR="00095B15">
        <w:rPr>
          <w:rFonts w:ascii="Verdana" w:hAnsi="Verdana"/>
          <w:sz w:val="20"/>
        </w:rPr>
        <w:t xml:space="preserve"> al </w:t>
      </w:r>
      <w:r w:rsidR="001627C6">
        <w:rPr>
          <w:rFonts w:ascii="Verdana" w:hAnsi="Verdana"/>
          <w:sz w:val="20"/>
        </w:rPr>
        <w:t>“</w:t>
      </w:r>
      <w:r w:rsidR="00095B15">
        <w:rPr>
          <w:rFonts w:ascii="Verdana" w:hAnsi="Verdana"/>
          <w:sz w:val="20"/>
        </w:rPr>
        <w:t xml:space="preserve">Sistema de Protección Social en Salud </w:t>
      </w:r>
      <w:r w:rsidR="0060340A">
        <w:rPr>
          <w:rFonts w:ascii="Verdana" w:hAnsi="Verdana"/>
          <w:sz w:val="20"/>
          <w:szCs w:val="20"/>
        </w:rPr>
        <w:t>[</w:t>
      </w:r>
      <w:r w:rsidR="0060340A" w:rsidRPr="00B06DF3">
        <w:rPr>
          <w:rFonts w:ascii="Verdana" w:hAnsi="Verdana"/>
          <w:sz w:val="20"/>
          <w:szCs w:val="20"/>
        </w:rPr>
        <w:t>…</w:t>
      </w:r>
      <w:r w:rsidR="0060340A">
        <w:rPr>
          <w:rFonts w:ascii="Verdana" w:hAnsi="Verdana"/>
          <w:sz w:val="20"/>
          <w:szCs w:val="20"/>
        </w:rPr>
        <w:t>, y de acuerdo a su póliza …</w:t>
      </w:r>
      <w:r w:rsidR="0060340A" w:rsidRPr="00B06DF3">
        <w:rPr>
          <w:rFonts w:ascii="Verdana" w:hAnsi="Verdana"/>
          <w:sz w:val="20"/>
          <w:szCs w:val="20"/>
        </w:rPr>
        <w:t xml:space="preserve">] </w:t>
      </w:r>
      <w:r w:rsidR="00095B15">
        <w:rPr>
          <w:rFonts w:ascii="Verdana" w:hAnsi="Verdana"/>
          <w:sz w:val="20"/>
        </w:rPr>
        <w:t>podr</w:t>
      </w:r>
      <w:r w:rsidR="001627C6">
        <w:rPr>
          <w:rFonts w:ascii="Verdana" w:hAnsi="Verdana"/>
          <w:sz w:val="20"/>
        </w:rPr>
        <w:t>[á]</w:t>
      </w:r>
      <w:r w:rsidR="00095B15">
        <w:rPr>
          <w:rFonts w:ascii="Verdana" w:hAnsi="Verdana"/>
          <w:sz w:val="20"/>
        </w:rPr>
        <w:t xml:space="preserve"> recibir atención médica en la unidad de primer nivel que por su domicilio le corresponda y de ser el caso podrá ser referido a alguno de los Hospitales de los Servicios Estatales de Salud o de la red de Hospitales Federales</w:t>
      </w:r>
      <w:r w:rsidR="00096A9D">
        <w:rPr>
          <w:rFonts w:ascii="Verdana" w:hAnsi="Verdana"/>
          <w:sz w:val="20"/>
        </w:rPr>
        <w:t>”</w:t>
      </w:r>
      <w:r w:rsidR="00095B15">
        <w:rPr>
          <w:rFonts w:ascii="Verdana" w:hAnsi="Verdana"/>
          <w:sz w:val="20"/>
        </w:rPr>
        <w:t xml:space="preserve">. </w:t>
      </w:r>
      <w:r w:rsidR="00096A9D">
        <w:rPr>
          <w:rFonts w:ascii="Verdana" w:hAnsi="Verdana"/>
          <w:sz w:val="20"/>
        </w:rPr>
        <w:t>Agregó que “</w:t>
      </w:r>
      <w:r w:rsidR="005442E9">
        <w:rPr>
          <w:rFonts w:ascii="Verdana" w:hAnsi="Verdana"/>
          <w:sz w:val="20"/>
        </w:rPr>
        <w:t>[</w:t>
      </w:r>
      <w:r w:rsidR="00096A9D">
        <w:rPr>
          <w:rFonts w:ascii="Verdana" w:hAnsi="Verdana"/>
          <w:sz w:val="20"/>
        </w:rPr>
        <w:t>e</w:t>
      </w:r>
      <w:r w:rsidR="005442E9">
        <w:rPr>
          <w:rFonts w:ascii="Verdana" w:hAnsi="Verdana"/>
          <w:sz w:val="20"/>
        </w:rPr>
        <w:t>]</w:t>
      </w:r>
      <w:r w:rsidR="00095B15">
        <w:rPr>
          <w:rFonts w:ascii="Verdana" w:hAnsi="Verdana"/>
          <w:sz w:val="20"/>
        </w:rPr>
        <w:t xml:space="preserve">n caso de requerir atención médica derivada de alguna urgencia suscitada en otro estado, siempre que cuenta con su póliza vigente y de conformidad con los Convenios de Colaboración suscritos por la Comisión Nacional de Protección Social en Salud, se le brindará atención médica requerida en cualquiera de las Unidades Médicas de las 32 Entidades Federativas y los Hospitales e Institutos Federales incorporados al Sistema de Protección Social en Salud”. </w:t>
      </w:r>
      <w:r w:rsidR="00096A9D">
        <w:rPr>
          <w:rFonts w:ascii="Verdana" w:hAnsi="Verdana"/>
          <w:sz w:val="20"/>
        </w:rPr>
        <w:t>E</w:t>
      </w:r>
      <w:r w:rsidR="00E072A5">
        <w:rPr>
          <w:rFonts w:ascii="Verdana" w:hAnsi="Verdana"/>
          <w:sz w:val="20"/>
        </w:rPr>
        <w:t>n relación con e</w:t>
      </w:r>
      <w:r w:rsidR="00095B15">
        <w:rPr>
          <w:rFonts w:ascii="Verdana" w:hAnsi="Verdana"/>
          <w:sz w:val="20"/>
        </w:rPr>
        <w:t xml:space="preserve">l señor </w:t>
      </w:r>
      <w:r w:rsidR="001627C6">
        <w:rPr>
          <w:rFonts w:ascii="Verdana" w:hAnsi="Verdana"/>
          <w:sz w:val="20"/>
        </w:rPr>
        <w:t xml:space="preserve">Sánchez Silvestre, el </w:t>
      </w:r>
      <w:r w:rsidR="001627C6" w:rsidRPr="0048566F">
        <w:rPr>
          <w:rFonts w:ascii="Verdana" w:hAnsi="Verdana"/>
          <w:i/>
          <w:sz w:val="20"/>
        </w:rPr>
        <w:t>Estado</w:t>
      </w:r>
      <w:r w:rsidR="001627C6">
        <w:rPr>
          <w:rFonts w:ascii="Verdana" w:hAnsi="Verdana"/>
          <w:sz w:val="20"/>
        </w:rPr>
        <w:t xml:space="preserve"> </w:t>
      </w:r>
      <w:r w:rsidR="00E072A5">
        <w:rPr>
          <w:rFonts w:ascii="Verdana" w:hAnsi="Verdana"/>
          <w:sz w:val="20"/>
        </w:rPr>
        <w:t>señal</w:t>
      </w:r>
      <w:r w:rsidR="00096A9D">
        <w:rPr>
          <w:rFonts w:ascii="Verdana" w:hAnsi="Verdana"/>
          <w:sz w:val="20"/>
        </w:rPr>
        <w:t>ó</w:t>
      </w:r>
      <w:r w:rsidR="00E072A5">
        <w:rPr>
          <w:rFonts w:ascii="Verdana" w:hAnsi="Verdana"/>
          <w:sz w:val="20"/>
        </w:rPr>
        <w:t xml:space="preserve"> que</w:t>
      </w:r>
      <w:r w:rsidR="001627C6">
        <w:rPr>
          <w:rFonts w:ascii="Verdana" w:hAnsi="Verdana"/>
          <w:sz w:val="20"/>
        </w:rPr>
        <w:t xml:space="preserve"> dicha víctima</w:t>
      </w:r>
      <w:r w:rsidR="00E072A5">
        <w:rPr>
          <w:rFonts w:ascii="Verdana" w:hAnsi="Verdana"/>
          <w:sz w:val="20"/>
        </w:rPr>
        <w:t xml:space="preserve"> “</w:t>
      </w:r>
      <w:r w:rsidR="00095B15">
        <w:rPr>
          <w:rFonts w:ascii="Verdana" w:hAnsi="Verdana"/>
          <w:sz w:val="20"/>
        </w:rPr>
        <w:t>no ha acudido a que se le brinde la atención médica correspondiente y a la fecha no ha sido posible contactarlo</w:t>
      </w:r>
      <w:r w:rsidR="00E072A5">
        <w:rPr>
          <w:rFonts w:ascii="Verdana" w:hAnsi="Verdana"/>
          <w:sz w:val="20"/>
        </w:rPr>
        <w:t>”</w:t>
      </w:r>
      <w:r w:rsidR="00095B15">
        <w:rPr>
          <w:rFonts w:ascii="Verdana" w:hAnsi="Verdana"/>
          <w:sz w:val="20"/>
        </w:rPr>
        <w:t>,</w:t>
      </w:r>
      <w:r w:rsidR="00E072A5">
        <w:rPr>
          <w:rFonts w:ascii="Verdana" w:hAnsi="Verdana"/>
          <w:sz w:val="20"/>
        </w:rPr>
        <w:t xml:space="preserve"> razón por la cual tampoco “</w:t>
      </w:r>
      <w:r w:rsidR="00095B15">
        <w:rPr>
          <w:rFonts w:ascii="Verdana" w:hAnsi="Verdana"/>
          <w:sz w:val="20"/>
        </w:rPr>
        <w:t>ha sido posible afiliar a su esposa a los servici</w:t>
      </w:r>
      <w:r w:rsidR="00E9384E">
        <w:rPr>
          <w:rFonts w:ascii="Verdana" w:hAnsi="Verdana"/>
          <w:sz w:val="20"/>
        </w:rPr>
        <w:t>os gratu</w:t>
      </w:r>
      <w:r w:rsidR="00095B15">
        <w:rPr>
          <w:rFonts w:ascii="Verdana" w:hAnsi="Verdana"/>
          <w:sz w:val="20"/>
        </w:rPr>
        <w:t>itos que otorga la Secretaría de Salud”</w:t>
      </w:r>
      <w:r w:rsidR="00E9384E">
        <w:rPr>
          <w:rStyle w:val="FootnoteReference"/>
          <w:rFonts w:ascii="Verdana" w:hAnsi="Verdana"/>
          <w:sz w:val="20"/>
        </w:rPr>
        <w:footnoteReference w:id="32"/>
      </w:r>
      <w:r w:rsidR="00E9384E">
        <w:rPr>
          <w:rFonts w:ascii="Verdana" w:hAnsi="Verdana"/>
          <w:sz w:val="20"/>
        </w:rPr>
        <w:t>.</w:t>
      </w:r>
      <w:r w:rsidR="005442E9">
        <w:rPr>
          <w:rFonts w:ascii="Verdana" w:hAnsi="Verdana"/>
          <w:sz w:val="20"/>
        </w:rPr>
        <w:t xml:space="preserve"> Finalmente, México solicitó a la Corte “dé por cumplida la presente obligación, ya que el Estado ha puesto a disposición de los beneficiarios los medios necesarios para garantizar una atención médica preferencial y gratuita”</w:t>
      </w:r>
      <w:r w:rsidR="005442E9">
        <w:rPr>
          <w:rStyle w:val="FootnoteReference"/>
          <w:rFonts w:ascii="Verdana" w:hAnsi="Verdana"/>
          <w:sz w:val="20"/>
        </w:rPr>
        <w:footnoteReference w:id="33"/>
      </w:r>
      <w:r w:rsidR="005442E9">
        <w:rPr>
          <w:rFonts w:ascii="Verdana" w:hAnsi="Verdana"/>
          <w:sz w:val="20"/>
        </w:rPr>
        <w:t>.</w:t>
      </w:r>
    </w:p>
    <w:p w14:paraId="12609E9B" w14:textId="77777777" w:rsidR="00131277" w:rsidRPr="003D31C5" w:rsidRDefault="00131277" w:rsidP="003D31C5">
      <w:pPr>
        <w:spacing w:after="0" w:line="240" w:lineRule="auto"/>
        <w:rPr>
          <w:rFonts w:ascii="Verdana" w:hAnsi="Verdana"/>
          <w:sz w:val="20"/>
        </w:rPr>
      </w:pPr>
    </w:p>
    <w:p w14:paraId="1FB14DA4" w14:textId="64851A82" w:rsidR="005E097A" w:rsidRDefault="004F3727" w:rsidP="00A4635E">
      <w:pPr>
        <w:pStyle w:val="ListParagraph"/>
        <w:numPr>
          <w:ilvl w:val="0"/>
          <w:numId w:val="6"/>
        </w:numPr>
        <w:spacing w:after="0" w:line="240" w:lineRule="auto"/>
        <w:ind w:left="0" w:firstLine="0"/>
        <w:jc w:val="both"/>
        <w:rPr>
          <w:rFonts w:ascii="Verdana" w:hAnsi="Verdana"/>
          <w:sz w:val="20"/>
        </w:rPr>
      </w:pPr>
      <w:r>
        <w:rPr>
          <w:rFonts w:ascii="Verdana" w:hAnsi="Verdana"/>
          <w:sz w:val="20"/>
        </w:rPr>
        <w:t>Por su parte, l</w:t>
      </w:r>
      <w:r w:rsidR="005E097A">
        <w:rPr>
          <w:rFonts w:ascii="Verdana" w:hAnsi="Verdana"/>
          <w:sz w:val="20"/>
        </w:rPr>
        <w:t xml:space="preserve">os </w:t>
      </w:r>
      <w:r w:rsidR="005E097A" w:rsidRPr="0048566F">
        <w:rPr>
          <w:rFonts w:ascii="Verdana" w:hAnsi="Verdana"/>
          <w:i/>
          <w:sz w:val="20"/>
        </w:rPr>
        <w:t>representantes de las víctimas</w:t>
      </w:r>
      <w:r w:rsidR="00604518">
        <w:rPr>
          <w:rFonts w:ascii="Verdana" w:hAnsi="Verdana"/>
          <w:sz w:val="20"/>
        </w:rPr>
        <w:t xml:space="preserve"> “</w:t>
      </w:r>
      <w:r w:rsidR="005E097A">
        <w:rPr>
          <w:rFonts w:ascii="Verdana" w:hAnsi="Verdana"/>
          <w:sz w:val="20"/>
        </w:rPr>
        <w:t>reconoc</w:t>
      </w:r>
      <w:r w:rsidR="0048566F">
        <w:rPr>
          <w:rFonts w:ascii="Verdana" w:hAnsi="Verdana"/>
          <w:sz w:val="20"/>
        </w:rPr>
        <w:t>[ieron]</w:t>
      </w:r>
      <w:r w:rsidR="005E097A">
        <w:rPr>
          <w:rFonts w:ascii="Verdana" w:hAnsi="Verdana"/>
          <w:sz w:val="20"/>
        </w:rPr>
        <w:t xml:space="preserve"> el esfuerzo del Estado para dar cumplimiento </w:t>
      </w:r>
      <w:r w:rsidR="002D2966">
        <w:rPr>
          <w:rFonts w:ascii="Verdana" w:hAnsi="Verdana"/>
          <w:sz w:val="20"/>
        </w:rPr>
        <w:t>a esta medida, poniendo a disposición los servicios médicos para el señor García Cruz, siendo afiliado al denominado Seguro Popular</w:t>
      </w:r>
      <w:r w:rsidR="00092B0A">
        <w:rPr>
          <w:rFonts w:ascii="Verdana" w:hAnsi="Verdana"/>
          <w:sz w:val="20"/>
        </w:rPr>
        <w:t>”. Al respecto, enfatizaron “</w:t>
      </w:r>
      <w:r w:rsidR="002D2966">
        <w:rPr>
          <w:rFonts w:ascii="Verdana" w:hAnsi="Verdana"/>
          <w:sz w:val="20"/>
        </w:rPr>
        <w:t xml:space="preserve">la necesidad de que el Estado garantice la vigencia sostenida de </w:t>
      </w:r>
      <w:r w:rsidR="00092B0A">
        <w:rPr>
          <w:rFonts w:ascii="Verdana" w:hAnsi="Verdana"/>
          <w:sz w:val="20"/>
          <w:szCs w:val="20"/>
        </w:rPr>
        <w:t>[dicha</w:t>
      </w:r>
      <w:r w:rsidR="00092B0A" w:rsidRPr="00B06DF3">
        <w:rPr>
          <w:rFonts w:ascii="Verdana" w:hAnsi="Verdana"/>
          <w:sz w:val="20"/>
          <w:szCs w:val="20"/>
        </w:rPr>
        <w:t xml:space="preserve">] </w:t>
      </w:r>
      <w:r w:rsidR="002D2966">
        <w:rPr>
          <w:rFonts w:ascii="Verdana" w:hAnsi="Verdana"/>
          <w:sz w:val="20"/>
        </w:rPr>
        <w:t xml:space="preserve"> afiliación para que </w:t>
      </w:r>
      <w:r w:rsidR="00326322">
        <w:rPr>
          <w:rFonts w:ascii="Verdana" w:hAnsi="Verdana"/>
          <w:sz w:val="20"/>
        </w:rPr>
        <w:t>[la referida víctima]</w:t>
      </w:r>
      <w:r w:rsidR="002D2966">
        <w:rPr>
          <w:rFonts w:ascii="Verdana" w:hAnsi="Verdana"/>
          <w:sz w:val="20"/>
        </w:rPr>
        <w:t xml:space="preserve"> pueda acceder a los servicios de atención médica y </w:t>
      </w:r>
      <w:r w:rsidR="002D2966">
        <w:rPr>
          <w:rFonts w:ascii="Verdana" w:hAnsi="Verdana"/>
          <w:sz w:val="20"/>
        </w:rPr>
        <w:lastRenderedPageBreak/>
        <w:t>psicológica como medida de rehabilitación, dado que la naturaleza de la misma es de tracto sucesivo y permanente”</w:t>
      </w:r>
      <w:r w:rsidR="002D2966">
        <w:rPr>
          <w:rStyle w:val="FootnoteReference"/>
          <w:rFonts w:ascii="Verdana" w:hAnsi="Verdana"/>
          <w:sz w:val="20"/>
        </w:rPr>
        <w:footnoteReference w:id="34"/>
      </w:r>
      <w:r w:rsidR="00887235">
        <w:rPr>
          <w:rFonts w:ascii="Verdana" w:hAnsi="Verdana"/>
          <w:sz w:val="20"/>
        </w:rPr>
        <w:t>. Asimismo</w:t>
      </w:r>
      <w:r w:rsidR="00092B0A">
        <w:rPr>
          <w:rFonts w:ascii="Verdana" w:hAnsi="Verdana"/>
          <w:sz w:val="20"/>
        </w:rPr>
        <w:t>, expresaron que,</w:t>
      </w:r>
      <w:r w:rsidR="00887235">
        <w:rPr>
          <w:rFonts w:ascii="Verdana" w:hAnsi="Verdana"/>
          <w:sz w:val="20"/>
        </w:rPr>
        <w:t xml:space="preserve"> “</w:t>
      </w:r>
      <w:r w:rsidR="002D2966">
        <w:rPr>
          <w:rFonts w:ascii="Verdana" w:hAnsi="Verdana"/>
          <w:sz w:val="20"/>
        </w:rPr>
        <w:t>partiendo del compromiso que reitera el Estado en su informe sobre dar continuidad a brindar atención médica, es necesario que la medida de reparación siga vigente en sentido tal que permita que, en caso de que el señor Sánchez Silvestre quiera beneficiarse de ella en el futuro, pueda hacerlo”</w:t>
      </w:r>
      <w:r w:rsidR="00604518">
        <w:rPr>
          <w:rFonts w:ascii="Verdana" w:hAnsi="Verdana"/>
          <w:sz w:val="20"/>
        </w:rPr>
        <w:t>. En lo</w:t>
      </w:r>
      <w:r w:rsidR="002D2966">
        <w:rPr>
          <w:rFonts w:ascii="Verdana" w:hAnsi="Verdana"/>
          <w:sz w:val="20"/>
        </w:rPr>
        <w:t xml:space="preserve"> referente a la esposa del señor Sánchez Silvestre</w:t>
      </w:r>
      <w:r w:rsidR="00092B0A">
        <w:rPr>
          <w:rFonts w:ascii="Verdana" w:hAnsi="Verdana"/>
          <w:sz w:val="20"/>
        </w:rPr>
        <w:t>,</w:t>
      </w:r>
      <w:r w:rsidR="002D2966">
        <w:rPr>
          <w:rFonts w:ascii="Verdana" w:hAnsi="Verdana"/>
          <w:sz w:val="20"/>
        </w:rPr>
        <w:t xml:space="preserve"> solicita</w:t>
      </w:r>
      <w:r w:rsidR="00040E40">
        <w:rPr>
          <w:rFonts w:ascii="Verdana" w:hAnsi="Verdana"/>
          <w:sz w:val="20"/>
        </w:rPr>
        <w:t>ro</w:t>
      </w:r>
      <w:r w:rsidR="002D2966">
        <w:rPr>
          <w:rFonts w:ascii="Verdana" w:hAnsi="Verdana"/>
          <w:sz w:val="20"/>
        </w:rPr>
        <w:t>n que se orden</w:t>
      </w:r>
      <w:r w:rsidR="00092B0A">
        <w:rPr>
          <w:rFonts w:ascii="Verdana" w:hAnsi="Verdana"/>
          <w:sz w:val="20"/>
        </w:rPr>
        <w:t>e</w:t>
      </w:r>
      <w:r w:rsidR="002D2966">
        <w:rPr>
          <w:rFonts w:ascii="Verdana" w:hAnsi="Verdana"/>
          <w:sz w:val="20"/>
        </w:rPr>
        <w:t xml:space="preserve"> al Estado que proceda a </w:t>
      </w:r>
      <w:r w:rsidR="00092B0A">
        <w:rPr>
          <w:rFonts w:ascii="Verdana" w:hAnsi="Verdana"/>
          <w:sz w:val="20"/>
        </w:rPr>
        <w:t xml:space="preserve">su </w:t>
      </w:r>
      <w:r w:rsidR="002D2966">
        <w:rPr>
          <w:rFonts w:ascii="Verdana" w:hAnsi="Verdana"/>
          <w:sz w:val="20"/>
        </w:rPr>
        <w:t xml:space="preserve">inscripción </w:t>
      </w:r>
      <w:r w:rsidR="007E6F51">
        <w:rPr>
          <w:rFonts w:ascii="Verdana" w:hAnsi="Verdana"/>
          <w:sz w:val="20"/>
        </w:rPr>
        <w:t>en los términos indicados en la Sentencia</w:t>
      </w:r>
      <w:r w:rsidR="002D2966">
        <w:rPr>
          <w:rStyle w:val="FootnoteReference"/>
          <w:rFonts w:ascii="Verdana" w:hAnsi="Verdana"/>
          <w:sz w:val="20"/>
        </w:rPr>
        <w:footnoteReference w:id="35"/>
      </w:r>
      <w:r w:rsidR="002D2966">
        <w:rPr>
          <w:rFonts w:ascii="Verdana" w:hAnsi="Verdana"/>
          <w:sz w:val="20"/>
        </w:rPr>
        <w:t>.</w:t>
      </w:r>
    </w:p>
    <w:p w14:paraId="6FFC624B" w14:textId="77777777" w:rsidR="00131277" w:rsidRPr="004F3727" w:rsidRDefault="00131277" w:rsidP="00A4635E">
      <w:pPr>
        <w:pStyle w:val="ListParagraph"/>
        <w:spacing w:after="0" w:line="240" w:lineRule="auto"/>
        <w:rPr>
          <w:rFonts w:ascii="Verdana" w:hAnsi="Verdana"/>
          <w:sz w:val="20"/>
        </w:rPr>
      </w:pPr>
    </w:p>
    <w:p w14:paraId="4053CFA8" w14:textId="2271036C" w:rsidR="00091F33" w:rsidRPr="00131277" w:rsidRDefault="002E427D" w:rsidP="00A4635E">
      <w:pPr>
        <w:pStyle w:val="ListParagraph"/>
        <w:numPr>
          <w:ilvl w:val="0"/>
          <w:numId w:val="6"/>
        </w:numPr>
        <w:spacing w:after="0" w:line="240" w:lineRule="auto"/>
        <w:ind w:left="0" w:firstLine="0"/>
        <w:jc w:val="both"/>
        <w:rPr>
          <w:rFonts w:ascii="Verdana" w:hAnsi="Verdana"/>
          <w:sz w:val="20"/>
        </w:rPr>
      </w:pPr>
      <w:r>
        <w:rPr>
          <w:rFonts w:ascii="Verdana" w:hAnsi="Verdana"/>
          <w:sz w:val="20"/>
          <w:szCs w:val="20"/>
          <w:lang w:val="es-ES"/>
        </w:rPr>
        <w:t>Si bien l</w:t>
      </w:r>
      <w:r w:rsidR="00D6253C" w:rsidRPr="00131277">
        <w:rPr>
          <w:rFonts w:ascii="Verdana" w:hAnsi="Verdana"/>
          <w:sz w:val="20"/>
          <w:szCs w:val="20"/>
          <w:lang w:val="es-ES"/>
        </w:rPr>
        <w:t>a Corte valora</w:t>
      </w:r>
      <w:r w:rsidR="002D2966" w:rsidRPr="00131277">
        <w:rPr>
          <w:rFonts w:ascii="Verdana" w:hAnsi="Verdana"/>
          <w:sz w:val="20"/>
          <w:szCs w:val="20"/>
          <w:lang w:val="es-ES"/>
        </w:rPr>
        <w:t xml:space="preserve"> de manera positiva </w:t>
      </w:r>
      <w:r w:rsidR="00D6253C" w:rsidRPr="00131277">
        <w:rPr>
          <w:rFonts w:ascii="Verdana" w:hAnsi="Verdana"/>
          <w:sz w:val="20"/>
          <w:szCs w:val="20"/>
          <w:lang w:val="es-ES"/>
        </w:rPr>
        <w:t xml:space="preserve">las acciones estatales </w:t>
      </w:r>
      <w:r>
        <w:rPr>
          <w:rFonts w:ascii="Verdana" w:hAnsi="Verdana"/>
          <w:sz w:val="20"/>
          <w:szCs w:val="20"/>
          <w:lang w:val="es-ES"/>
        </w:rPr>
        <w:t>dirigidas a</w:t>
      </w:r>
      <w:r w:rsidR="00D6253C" w:rsidRPr="00131277">
        <w:rPr>
          <w:rFonts w:ascii="Verdana" w:hAnsi="Verdana"/>
          <w:sz w:val="20"/>
          <w:szCs w:val="20"/>
          <w:lang w:val="es-ES"/>
        </w:rPr>
        <w:t xml:space="preserve"> ejecutar esta medida, </w:t>
      </w:r>
      <w:r>
        <w:rPr>
          <w:rFonts w:ascii="Verdana" w:hAnsi="Verdana"/>
          <w:sz w:val="20"/>
          <w:szCs w:val="20"/>
          <w:lang w:val="es-ES"/>
        </w:rPr>
        <w:t xml:space="preserve">tal como afiliar al señor García Cruz </w:t>
      </w:r>
      <w:r w:rsidR="00B82871">
        <w:rPr>
          <w:rFonts w:ascii="Verdana" w:hAnsi="Verdana"/>
          <w:sz w:val="20"/>
          <w:szCs w:val="20"/>
          <w:lang w:val="es-ES"/>
        </w:rPr>
        <w:t>al</w:t>
      </w:r>
      <w:r w:rsidR="00DD69D4">
        <w:rPr>
          <w:rFonts w:ascii="Verdana" w:hAnsi="Verdana"/>
          <w:sz w:val="20"/>
          <w:szCs w:val="20"/>
          <w:lang w:val="es-ES"/>
        </w:rPr>
        <w:t xml:space="preserve"> </w:t>
      </w:r>
      <w:r w:rsidR="00DD69D4">
        <w:rPr>
          <w:rFonts w:ascii="Verdana" w:hAnsi="Verdana"/>
          <w:sz w:val="20"/>
        </w:rPr>
        <w:t xml:space="preserve">Sistema de Protección Social en Salud </w:t>
      </w:r>
      <w:r w:rsidR="003E2A2C">
        <w:rPr>
          <w:rFonts w:ascii="Verdana" w:hAnsi="Verdana"/>
          <w:sz w:val="20"/>
        </w:rPr>
        <w:t xml:space="preserve">y </w:t>
      </w:r>
      <w:r>
        <w:rPr>
          <w:rFonts w:ascii="Verdana" w:hAnsi="Verdana"/>
          <w:sz w:val="20"/>
        </w:rPr>
        <w:t>poner</w:t>
      </w:r>
      <w:r w:rsidR="00485C4C">
        <w:rPr>
          <w:rFonts w:ascii="Verdana" w:hAnsi="Verdana"/>
          <w:sz w:val="20"/>
        </w:rPr>
        <w:t xml:space="preserve"> a </w:t>
      </w:r>
      <w:r w:rsidR="00B82871">
        <w:rPr>
          <w:rFonts w:ascii="Verdana" w:hAnsi="Verdana"/>
          <w:sz w:val="20"/>
        </w:rPr>
        <w:t xml:space="preserve">su disposición los servicios de atención médica, </w:t>
      </w:r>
      <w:r w:rsidR="00F16DF0" w:rsidRPr="00131277">
        <w:rPr>
          <w:rFonts w:ascii="Verdana" w:hAnsi="Verdana"/>
          <w:sz w:val="20"/>
          <w:szCs w:val="20"/>
          <w:lang w:val="es-ES"/>
        </w:rPr>
        <w:t xml:space="preserve">advierte que es necesario que el Estado </w:t>
      </w:r>
      <w:r w:rsidR="00CB3379" w:rsidRPr="00131277">
        <w:rPr>
          <w:rFonts w:ascii="Verdana" w:hAnsi="Verdana"/>
          <w:sz w:val="20"/>
        </w:rPr>
        <w:t xml:space="preserve">garantice la vigencia sostenida de la afiliación para que </w:t>
      </w:r>
      <w:r w:rsidR="00555B6B">
        <w:rPr>
          <w:rFonts w:ascii="Verdana" w:hAnsi="Verdana"/>
          <w:sz w:val="20"/>
        </w:rPr>
        <w:t>ambas</w:t>
      </w:r>
      <w:r w:rsidR="00B82871">
        <w:rPr>
          <w:rFonts w:ascii="Verdana" w:hAnsi="Verdana"/>
          <w:sz w:val="20"/>
        </w:rPr>
        <w:t xml:space="preserve"> víctimas</w:t>
      </w:r>
      <w:r w:rsidR="00CB3379" w:rsidRPr="00131277">
        <w:rPr>
          <w:rFonts w:ascii="Verdana" w:hAnsi="Verdana"/>
          <w:sz w:val="20"/>
        </w:rPr>
        <w:t xml:space="preserve"> pueda</w:t>
      </w:r>
      <w:r w:rsidR="00B82871">
        <w:rPr>
          <w:rFonts w:ascii="Verdana" w:hAnsi="Verdana"/>
          <w:sz w:val="20"/>
        </w:rPr>
        <w:t>n</w:t>
      </w:r>
      <w:r w:rsidR="00CB3379" w:rsidRPr="00131277">
        <w:rPr>
          <w:rFonts w:ascii="Verdana" w:hAnsi="Verdana"/>
          <w:sz w:val="20"/>
        </w:rPr>
        <w:t xml:space="preserve"> acceder a los servicios de atención médica y psicológica </w:t>
      </w:r>
      <w:r w:rsidR="00091F33" w:rsidRPr="00131277">
        <w:rPr>
          <w:rFonts w:ascii="Verdana" w:hAnsi="Verdana"/>
          <w:sz w:val="20"/>
        </w:rPr>
        <w:t>de manera continua</w:t>
      </w:r>
      <w:r w:rsidR="00684BAF">
        <w:rPr>
          <w:rFonts w:ascii="Verdana" w:hAnsi="Verdana"/>
          <w:sz w:val="20"/>
        </w:rPr>
        <w:t>. En este sentido, el Tribunal observa que México solamente aportó</w:t>
      </w:r>
      <w:r w:rsidR="006A2CB5" w:rsidRPr="00131277">
        <w:rPr>
          <w:rFonts w:ascii="Verdana" w:hAnsi="Verdana"/>
          <w:sz w:val="20"/>
        </w:rPr>
        <w:t xml:space="preserve"> el oficio </w:t>
      </w:r>
      <w:r w:rsidR="00887235">
        <w:rPr>
          <w:rFonts w:ascii="Verdana" w:hAnsi="Verdana"/>
          <w:sz w:val="20"/>
        </w:rPr>
        <w:t xml:space="preserve">de la Secretaría de Salud, </w:t>
      </w:r>
      <w:r w:rsidR="006A2CB5" w:rsidRPr="00131277">
        <w:rPr>
          <w:rFonts w:ascii="Verdana" w:hAnsi="Verdana"/>
          <w:sz w:val="20"/>
        </w:rPr>
        <w:t>en el que se menciona que los señores García Cruz y Sánchez Silvestre “continúan afiliados al ‘Programa</w:t>
      </w:r>
      <w:r w:rsidR="009B656B" w:rsidRPr="00131277">
        <w:rPr>
          <w:rFonts w:ascii="Verdana" w:hAnsi="Verdana"/>
          <w:sz w:val="20"/>
        </w:rPr>
        <w:t xml:space="preserve"> de Acceso G</w:t>
      </w:r>
      <w:r w:rsidR="006A2CB5" w:rsidRPr="00131277">
        <w:rPr>
          <w:rFonts w:ascii="Verdana" w:hAnsi="Verdana"/>
          <w:sz w:val="20"/>
        </w:rPr>
        <w:t>ra</w:t>
      </w:r>
      <w:r w:rsidR="009B656B" w:rsidRPr="00131277">
        <w:rPr>
          <w:rFonts w:ascii="Verdana" w:hAnsi="Verdana"/>
          <w:sz w:val="20"/>
        </w:rPr>
        <w:t>t</w:t>
      </w:r>
      <w:r w:rsidR="006A2CB5" w:rsidRPr="00131277">
        <w:rPr>
          <w:rFonts w:ascii="Verdana" w:hAnsi="Verdana"/>
          <w:sz w:val="20"/>
        </w:rPr>
        <w:t>uito a los Servicios y Medicamentos a las Personas Residentes en el Distrito Federal que Carecen de Seguridad Social Laboral’”</w:t>
      </w:r>
      <w:r w:rsidR="009B656B" w:rsidRPr="00131277">
        <w:rPr>
          <w:rStyle w:val="FootnoteReference"/>
          <w:rFonts w:ascii="Verdana" w:hAnsi="Verdana"/>
          <w:sz w:val="20"/>
        </w:rPr>
        <w:footnoteReference w:id="36"/>
      </w:r>
      <w:r w:rsidR="00A92D53">
        <w:rPr>
          <w:rFonts w:ascii="Verdana" w:hAnsi="Verdana"/>
          <w:sz w:val="20"/>
        </w:rPr>
        <w:t>, sin que dicho oficio</w:t>
      </w:r>
      <w:r w:rsidR="00684BAF">
        <w:rPr>
          <w:rFonts w:ascii="Verdana" w:hAnsi="Verdana"/>
          <w:sz w:val="20"/>
        </w:rPr>
        <w:t xml:space="preserve"> permita a</w:t>
      </w:r>
      <w:r w:rsidR="009B656B" w:rsidRPr="00131277">
        <w:rPr>
          <w:rFonts w:ascii="Verdana" w:hAnsi="Verdana"/>
          <w:sz w:val="20"/>
        </w:rPr>
        <w:t xml:space="preserve"> la Corte</w:t>
      </w:r>
      <w:r w:rsidR="006A2CB5" w:rsidRPr="00131277">
        <w:rPr>
          <w:rFonts w:ascii="Verdana" w:hAnsi="Verdana"/>
          <w:sz w:val="20"/>
        </w:rPr>
        <w:t xml:space="preserve"> </w:t>
      </w:r>
      <w:r w:rsidR="00684BAF">
        <w:rPr>
          <w:rFonts w:ascii="Verdana" w:hAnsi="Verdana"/>
          <w:sz w:val="20"/>
        </w:rPr>
        <w:t>conocer</w:t>
      </w:r>
      <w:r w:rsidR="006A2CB5" w:rsidRPr="00131277">
        <w:rPr>
          <w:rFonts w:ascii="Verdana" w:hAnsi="Verdana"/>
          <w:sz w:val="20"/>
        </w:rPr>
        <w:t xml:space="preserve"> las características y requisitos para la continuidad de la prestación de</w:t>
      </w:r>
      <w:r w:rsidR="00131277" w:rsidRPr="00131277">
        <w:rPr>
          <w:rFonts w:ascii="Verdana" w:hAnsi="Verdana"/>
          <w:sz w:val="20"/>
        </w:rPr>
        <w:t xml:space="preserve"> los servicios de</w:t>
      </w:r>
      <w:r w:rsidR="006A2CB5" w:rsidRPr="00131277">
        <w:rPr>
          <w:rFonts w:ascii="Verdana" w:hAnsi="Verdana"/>
          <w:sz w:val="20"/>
        </w:rPr>
        <w:t xml:space="preserve"> </w:t>
      </w:r>
      <w:r w:rsidR="000F503D">
        <w:rPr>
          <w:rFonts w:ascii="Verdana" w:hAnsi="Verdana"/>
          <w:sz w:val="20"/>
        </w:rPr>
        <w:t>este programa, entre otros.</w:t>
      </w:r>
    </w:p>
    <w:p w14:paraId="6A5235F9" w14:textId="77777777" w:rsidR="00091F33" w:rsidRPr="00131277" w:rsidRDefault="00091F33" w:rsidP="00A4635E">
      <w:pPr>
        <w:pStyle w:val="ListParagraph"/>
        <w:spacing w:after="0" w:line="240" w:lineRule="auto"/>
        <w:rPr>
          <w:rFonts w:ascii="Verdana" w:hAnsi="Verdana"/>
          <w:sz w:val="20"/>
        </w:rPr>
      </w:pPr>
    </w:p>
    <w:p w14:paraId="27311DA7" w14:textId="33D4A2E4" w:rsidR="009F1662" w:rsidRPr="00C0525F" w:rsidRDefault="009B741A" w:rsidP="00C0525F">
      <w:pPr>
        <w:pStyle w:val="ListParagraph"/>
        <w:numPr>
          <w:ilvl w:val="0"/>
          <w:numId w:val="6"/>
        </w:numPr>
        <w:spacing w:after="0" w:line="240" w:lineRule="auto"/>
        <w:ind w:left="0" w:firstLine="0"/>
        <w:jc w:val="both"/>
        <w:rPr>
          <w:rFonts w:ascii="Verdana" w:hAnsi="Verdana"/>
          <w:sz w:val="20"/>
        </w:rPr>
      </w:pPr>
      <w:r>
        <w:rPr>
          <w:rFonts w:ascii="Verdana" w:hAnsi="Verdana"/>
          <w:sz w:val="20"/>
          <w:szCs w:val="20"/>
        </w:rPr>
        <w:t>Adicionalmente</w:t>
      </w:r>
      <w:r w:rsidR="00091F33" w:rsidRPr="00890CF1">
        <w:rPr>
          <w:rFonts w:ascii="Verdana" w:hAnsi="Verdana"/>
          <w:sz w:val="20"/>
          <w:szCs w:val="20"/>
        </w:rPr>
        <w:t>,</w:t>
      </w:r>
      <w:r w:rsidR="00091F33" w:rsidRPr="00890CF1">
        <w:rPr>
          <w:rFonts w:ascii="Verdana" w:hAnsi="Verdana"/>
          <w:sz w:val="20"/>
          <w:szCs w:val="20"/>
          <w:lang w:val="es-ES"/>
        </w:rPr>
        <w:t xml:space="preserve"> </w:t>
      </w:r>
      <w:r w:rsidR="00E375CF">
        <w:rPr>
          <w:rFonts w:ascii="Verdana" w:hAnsi="Verdana"/>
          <w:sz w:val="20"/>
          <w:szCs w:val="20"/>
          <w:lang w:val="es-ES"/>
        </w:rPr>
        <w:t xml:space="preserve">si bien </w:t>
      </w:r>
      <w:r w:rsidR="00091F33" w:rsidRPr="00890CF1">
        <w:rPr>
          <w:rFonts w:ascii="Verdana" w:hAnsi="Verdana"/>
          <w:sz w:val="20"/>
          <w:szCs w:val="20"/>
          <w:lang w:val="es-ES"/>
        </w:rPr>
        <w:t>la</w:t>
      </w:r>
      <w:r w:rsidR="00E375CF">
        <w:rPr>
          <w:rFonts w:ascii="Verdana" w:hAnsi="Verdana"/>
          <w:sz w:val="20"/>
          <w:szCs w:val="20"/>
          <w:lang w:val="es-ES"/>
        </w:rPr>
        <w:t xml:space="preserve"> Corte valora positivamente la dispos</w:t>
      </w:r>
      <w:r>
        <w:rPr>
          <w:rFonts w:ascii="Verdana" w:hAnsi="Verdana"/>
          <w:sz w:val="20"/>
          <w:szCs w:val="20"/>
          <w:lang w:val="es-ES"/>
        </w:rPr>
        <w:t xml:space="preserve">ición del Estado para brindar al </w:t>
      </w:r>
      <w:r w:rsidRPr="00890CF1">
        <w:rPr>
          <w:rFonts w:ascii="Verdana" w:hAnsi="Verdana"/>
          <w:sz w:val="20"/>
          <w:szCs w:val="20"/>
        </w:rPr>
        <w:t>señor Sánchez Silvestre y su esposa</w:t>
      </w:r>
      <w:r w:rsidR="00E375CF">
        <w:rPr>
          <w:rFonts w:ascii="Verdana" w:hAnsi="Verdana"/>
          <w:sz w:val="20"/>
          <w:szCs w:val="20"/>
          <w:lang w:val="es-ES"/>
        </w:rPr>
        <w:t xml:space="preserve"> la atención</w:t>
      </w:r>
      <w:r>
        <w:rPr>
          <w:rFonts w:ascii="Verdana" w:hAnsi="Verdana"/>
          <w:sz w:val="20"/>
          <w:szCs w:val="20"/>
          <w:lang w:val="es-ES"/>
        </w:rPr>
        <w:t xml:space="preserve"> médica y psicológica</w:t>
      </w:r>
      <w:r w:rsidR="00E375CF">
        <w:rPr>
          <w:rFonts w:ascii="Verdana" w:hAnsi="Verdana"/>
          <w:sz w:val="20"/>
          <w:szCs w:val="20"/>
          <w:lang w:val="es-ES"/>
        </w:rPr>
        <w:t xml:space="preserve"> respectiva,</w:t>
      </w:r>
      <w:r w:rsidR="00C332A4">
        <w:rPr>
          <w:rFonts w:ascii="Verdana" w:hAnsi="Verdana"/>
          <w:sz w:val="20"/>
          <w:szCs w:val="20"/>
          <w:lang w:val="es-ES"/>
        </w:rPr>
        <w:t xml:space="preserve"> observa que</w:t>
      </w:r>
      <w:r w:rsidR="00E375CF">
        <w:rPr>
          <w:rFonts w:ascii="Verdana" w:hAnsi="Verdana"/>
          <w:sz w:val="20"/>
          <w:szCs w:val="20"/>
          <w:lang w:val="es-ES"/>
        </w:rPr>
        <w:t xml:space="preserve"> </w:t>
      </w:r>
      <w:r w:rsidR="00091F33" w:rsidRPr="00890CF1">
        <w:rPr>
          <w:rFonts w:ascii="Verdana" w:hAnsi="Verdana"/>
          <w:sz w:val="20"/>
          <w:szCs w:val="20"/>
          <w:lang w:val="es-ES"/>
        </w:rPr>
        <w:t xml:space="preserve">ni </w:t>
      </w:r>
      <w:r w:rsidR="00E375CF">
        <w:rPr>
          <w:rFonts w:ascii="Verdana" w:hAnsi="Verdana"/>
          <w:sz w:val="20"/>
          <w:szCs w:val="20"/>
          <w:lang w:val="es-ES"/>
        </w:rPr>
        <w:t>México</w:t>
      </w:r>
      <w:r w:rsidR="00091F33" w:rsidRPr="00890CF1">
        <w:rPr>
          <w:rFonts w:ascii="Verdana" w:hAnsi="Verdana"/>
          <w:sz w:val="20"/>
          <w:szCs w:val="20"/>
          <w:lang w:val="es-ES"/>
        </w:rPr>
        <w:t xml:space="preserve"> ni los representantes han logrado establecer contacto con </w:t>
      </w:r>
      <w:r w:rsidR="00E375CF">
        <w:rPr>
          <w:rFonts w:ascii="Verdana" w:hAnsi="Verdana"/>
          <w:sz w:val="20"/>
          <w:szCs w:val="20"/>
          <w:lang w:val="es-ES"/>
        </w:rPr>
        <w:t>dicha</w:t>
      </w:r>
      <w:r w:rsidR="00091F33" w:rsidRPr="00890CF1">
        <w:rPr>
          <w:rFonts w:ascii="Verdana" w:hAnsi="Verdana"/>
          <w:sz w:val="20"/>
          <w:szCs w:val="20"/>
          <w:lang w:val="es-ES"/>
        </w:rPr>
        <w:t xml:space="preserve"> víctima y su esposa</w:t>
      </w:r>
      <w:r w:rsidR="00C332A4">
        <w:rPr>
          <w:rFonts w:ascii="Verdana" w:hAnsi="Verdana"/>
          <w:sz w:val="20"/>
          <w:szCs w:val="20"/>
          <w:lang w:val="es-ES"/>
        </w:rPr>
        <w:t xml:space="preserve"> y, por tanto, no han podido </w:t>
      </w:r>
      <w:r w:rsidR="00091F33" w:rsidRPr="00890CF1">
        <w:rPr>
          <w:rFonts w:ascii="Verdana" w:hAnsi="Verdana"/>
          <w:sz w:val="20"/>
          <w:szCs w:val="20"/>
          <w:lang w:val="es-ES"/>
        </w:rPr>
        <w:t>obtener su parecer respecto a la ejecución de la</w:t>
      </w:r>
      <w:r w:rsidR="00390429">
        <w:rPr>
          <w:rFonts w:ascii="Verdana" w:hAnsi="Verdana"/>
          <w:sz w:val="20"/>
          <w:szCs w:val="20"/>
          <w:lang w:val="es-ES"/>
        </w:rPr>
        <w:t xml:space="preserve"> presente reparación. </w:t>
      </w:r>
    </w:p>
    <w:p w14:paraId="2FBE40F4" w14:textId="77777777" w:rsidR="00C0525F" w:rsidRPr="00C0525F" w:rsidRDefault="00C0525F" w:rsidP="00C0525F">
      <w:pPr>
        <w:pStyle w:val="ListParagraph"/>
        <w:spacing w:after="0" w:line="240" w:lineRule="auto"/>
        <w:ind w:left="0"/>
        <w:jc w:val="both"/>
        <w:rPr>
          <w:rFonts w:ascii="Verdana" w:hAnsi="Verdana"/>
          <w:sz w:val="20"/>
        </w:rPr>
      </w:pPr>
    </w:p>
    <w:p w14:paraId="7144BB4D" w14:textId="1D2FB8AE" w:rsidR="00F22F75" w:rsidRPr="00F22F75" w:rsidRDefault="00424F82" w:rsidP="00F22F75">
      <w:pPr>
        <w:pStyle w:val="ListParagraph"/>
        <w:numPr>
          <w:ilvl w:val="0"/>
          <w:numId w:val="6"/>
        </w:numPr>
        <w:spacing w:after="0" w:line="240" w:lineRule="auto"/>
        <w:ind w:left="0" w:firstLine="0"/>
        <w:jc w:val="both"/>
        <w:rPr>
          <w:rFonts w:ascii="Verdana" w:hAnsi="Verdana"/>
          <w:sz w:val="20"/>
        </w:rPr>
      </w:pPr>
      <w:r>
        <w:rPr>
          <w:rFonts w:ascii="Verdana" w:hAnsi="Verdana"/>
          <w:sz w:val="20"/>
        </w:rPr>
        <w:t>Tomando en cuenta</w:t>
      </w:r>
      <w:r w:rsidR="009F1662">
        <w:rPr>
          <w:rFonts w:ascii="Verdana" w:hAnsi="Verdana"/>
          <w:sz w:val="20"/>
        </w:rPr>
        <w:t xml:space="preserve"> </w:t>
      </w:r>
      <w:r>
        <w:rPr>
          <w:rFonts w:ascii="Verdana" w:hAnsi="Verdana"/>
          <w:sz w:val="20"/>
        </w:rPr>
        <w:t>las graves violaciones que sufrieron las víctimas de este caso y los daños que les ocasionaron (</w:t>
      </w:r>
      <w:r w:rsidRPr="00C35491">
        <w:rPr>
          <w:rFonts w:ascii="Verdana" w:hAnsi="Verdana"/>
          <w:i/>
          <w:sz w:val="20"/>
        </w:rPr>
        <w:t>supra</w:t>
      </w:r>
      <w:r>
        <w:rPr>
          <w:rFonts w:ascii="Verdana" w:hAnsi="Verdana"/>
          <w:sz w:val="20"/>
        </w:rPr>
        <w:t xml:space="preserve"> Visto 1)</w:t>
      </w:r>
      <w:r w:rsidR="009F1662">
        <w:rPr>
          <w:rFonts w:ascii="Verdana" w:hAnsi="Verdana" w:cs="Verdana"/>
          <w:sz w:val="20"/>
          <w:szCs w:val="20"/>
        </w:rPr>
        <w:t xml:space="preserve">, </w:t>
      </w:r>
      <w:r>
        <w:rPr>
          <w:rFonts w:ascii="Verdana" w:hAnsi="Verdana" w:cs="Verdana"/>
          <w:sz w:val="20"/>
          <w:szCs w:val="20"/>
        </w:rPr>
        <w:t xml:space="preserve">la Corte </w:t>
      </w:r>
      <w:r w:rsidR="009F1662">
        <w:rPr>
          <w:rFonts w:ascii="Verdana" w:hAnsi="Verdana" w:cs="Verdana"/>
          <w:sz w:val="20"/>
          <w:szCs w:val="20"/>
        </w:rPr>
        <w:t xml:space="preserve">encuentra fundamental </w:t>
      </w:r>
      <w:r w:rsidR="00CE50A0">
        <w:rPr>
          <w:rFonts w:ascii="Verdana" w:hAnsi="Verdana" w:cs="Verdana"/>
          <w:sz w:val="20"/>
          <w:szCs w:val="20"/>
        </w:rPr>
        <w:t xml:space="preserve">que </w:t>
      </w:r>
      <w:r>
        <w:rPr>
          <w:rFonts w:ascii="Verdana" w:hAnsi="Verdana" w:cs="Verdana"/>
          <w:sz w:val="20"/>
          <w:szCs w:val="20"/>
        </w:rPr>
        <w:t xml:space="preserve">las partes </w:t>
      </w:r>
      <w:r w:rsidR="009F1662">
        <w:rPr>
          <w:rFonts w:ascii="Verdana" w:hAnsi="Verdana" w:cs="Verdana"/>
          <w:sz w:val="20"/>
          <w:szCs w:val="20"/>
        </w:rPr>
        <w:t>bus</w:t>
      </w:r>
      <w:r>
        <w:rPr>
          <w:rFonts w:ascii="Verdana" w:hAnsi="Verdana" w:cs="Verdana"/>
          <w:sz w:val="20"/>
          <w:szCs w:val="20"/>
        </w:rPr>
        <w:t>quen</w:t>
      </w:r>
      <w:r w:rsidR="009F1662">
        <w:rPr>
          <w:rFonts w:ascii="Verdana" w:hAnsi="Verdana" w:cs="Verdana"/>
          <w:sz w:val="20"/>
          <w:szCs w:val="20"/>
        </w:rPr>
        <w:t xml:space="preserve"> la </w:t>
      </w:r>
      <w:r>
        <w:rPr>
          <w:rFonts w:ascii="Verdana" w:hAnsi="Verdana" w:cs="Verdana"/>
          <w:sz w:val="20"/>
          <w:szCs w:val="20"/>
        </w:rPr>
        <w:t xml:space="preserve">forma de </w:t>
      </w:r>
      <w:r w:rsidR="002C42A2">
        <w:rPr>
          <w:rFonts w:ascii="Verdana" w:hAnsi="Verdana" w:cs="Verdana"/>
          <w:sz w:val="20"/>
          <w:szCs w:val="20"/>
        </w:rPr>
        <w:t xml:space="preserve">superar </w:t>
      </w:r>
      <w:r w:rsidR="00A92D53">
        <w:rPr>
          <w:rFonts w:ascii="Verdana" w:hAnsi="Verdana" w:cs="Verdana"/>
          <w:sz w:val="20"/>
          <w:szCs w:val="20"/>
        </w:rPr>
        <w:t>la situación de</w:t>
      </w:r>
      <w:r w:rsidR="002C42A2">
        <w:rPr>
          <w:rFonts w:ascii="Verdana" w:hAnsi="Verdana" w:cs="Verdana"/>
          <w:sz w:val="20"/>
          <w:szCs w:val="20"/>
        </w:rPr>
        <w:t xml:space="preserve"> </w:t>
      </w:r>
      <w:r>
        <w:rPr>
          <w:rFonts w:ascii="Verdana" w:hAnsi="Verdana" w:cs="Verdana"/>
          <w:sz w:val="20"/>
          <w:szCs w:val="20"/>
        </w:rPr>
        <w:t xml:space="preserve">falta de comunicación con el señor </w:t>
      </w:r>
      <w:r w:rsidR="002C42A2" w:rsidRPr="00890CF1">
        <w:rPr>
          <w:rFonts w:ascii="Verdana" w:hAnsi="Verdana"/>
          <w:sz w:val="20"/>
          <w:szCs w:val="20"/>
        </w:rPr>
        <w:t xml:space="preserve">Sánchez Silvestre </w:t>
      </w:r>
      <w:r w:rsidR="002C42A2">
        <w:rPr>
          <w:rFonts w:ascii="Verdana" w:hAnsi="Verdana"/>
          <w:sz w:val="20"/>
          <w:szCs w:val="20"/>
        </w:rPr>
        <w:t xml:space="preserve">y su esposa para </w:t>
      </w:r>
      <w:r w:rsidR="00F22F75">
        <w:rPr>
          <w:rFonts w:ascii="Verdana" w:hAnsi="Verdana"/>
          <w:sz w:val="20"/>
          <w:szCs w:val="20"/>
        </w:rPr>
        <w:t>coordinar la</w:t>
      </w:r>
      <w:r w:rsidR="00F930F4">
        <w:rPr>
          <w:rFonts w:ascii="Verdana" w:hAnsi="Verdana"/>
          <w:sz w:val="20"/>
          <w:szCs w:val="20"/>
        </w:rPr>
        <w:t xml:space="preserve"> </w:t>
      </w:r>
      <w:r w:rsidR="00F22F75">
        <w:rPr>
          <w:rFonts w:ascii="Verdana" w:hAnsi="Verdana" w:cs="Verdana"/>
          <w:sz w:val="20"/>
          <w:szCs w:val="20"/>
        </w:rPr>
        <w:t>ejecución de las p</w:t>
      </w:r>
      <w:r w:rsidR="00A92D53">
        <w:rPr>
          <w:rFonts w:ascii="Verdana" w:hAnsi="Verdana" w:cs="Verdana"/>
          <w:sz w:val="20"/>
          <w:szCs w:val="20"/>
        </w:rPr>
        <w:t>re</w:t>
      </w:r>
      <w:r w:rsidR="00F22F75">
        <w:rPr>
          <w:rFonts w:ascii="Verdana" w:hAnsi="Verdana" w:cs="Verdana"/>
          <w:sz w:val="20"/>
          <w:szCs w:val="20"/>
        </w:rPr>
        <w:t>sentes</w:t>
      </w:r>
      <w:r w:rsidR="009F1662">
        <w:rPr>
          <w:rFonts w:ascii="Verdana" w:hAnsi="Verdana" w:cs="Verdana"/>
          <w:sz w:val="20"/>
          <w:szCs w:val="20"/>
        </w:rPr>
        <w:t xml:space="preserve"> medidas de rehabilitación</w:t>
      </w:r>
      <w:r w:rsidR="00F22F75">
        <w:rPr>
          <w:rFonts w:ascii="Verdana" w:hAnsi="Verdana" w:cs="Verdana"/>
          <w:sz w:val="20"/>
          <w:szCs w:val="20"/>
        </w:rPr>
        <w:t>,</w:t>
      </w:r>
      <w:r w:rsidR="00F930F4">
        <w:rPr>
          <w:rFonts w:ascii="Verdana" w:hAnsi="Verdana" w:cs="Verdana"/>
          <w:sz w:val="20"/>
          <w:szCs w:val="20"/>
        </w:rPr>
        <w:t xml:space="preserve"> o</w:t>
      </w:r>
      <w:r w:rsidR="00F22F75">
        <w:rPr>
          <w:rFonts w:ascii="Verdana" w:hAnsi="Verdana" w:cs="Verdana"/>
          <w:sz w:val="20"/>
          <w:szCs w:val="20"/>
        </w:rPr>
        <w:t xml:space="preserve"> bien,</w:t>
      </w:r>
      <w:r w:rsidR="00F930F4">
        <w:rPr>
          <w:rFonts w:ascii="Verdana" w:hAnsi="Verdana" w:cs="Verdana"/>
          <w:sz w:val="20"/>
          <w:szCs w:val="20"/>
        </w:rPr>
        <w:t xml:space="preserve"> conocer si tienen algún temor con respecto a brindar información para su ejecución</w:t>
      </w:r>
      <w:r w:rsidR="009F1662">
        <w:rPr>
          <w:rFonts w:ascii="Verdana" w:hAnsi="Verdana" w:cs="Verdana"/>
          <w:sz w:val="20"/>
          <w:szCs w:val="20"/>
        </w:rPr>
        <w:t>.</w:t>
      </w:r>
      <w:r w:rsidR="00F930F4">
        <w:rPr>
          <w:rFonts w:ascii="Verdana" w:hAnsi="Verdana" w:cs="Verdana"/>
          <w:sz w:val="20"/>
          <w:szCs w:val="20"/>
        </w:rPr>
        <w:t xml:space="preserve"> Este Tribunal respetará su voluntad en caso de que no deseen beneficiarse de las medidas.</w:t>
      </w:r>
      <w:r w:rsidR="00F22F75">
        <w:rPr>
          <w:rFonts w:ascii="Verdana" w:hAnsi="Verdana" w:cs="Verdana"/>
          <w:sz w:val="20"/>
          <w:szCs w:val="20"/>
        </w:rPr>
        <w:t xml:space="preserve"> Por tanto, la</w:t>
      </w:r>
      <w:r w:rsidR="00F22F75" w:rsidRPr="00F22F75">
        <w:rPr>
          <w:rFonts w:ascii="Verdana" w:hAnsi="Verdana"/>
          <w:sz w:val="20"/>
          <w:szCs w:val="20"/>
          <w:lang w:val="es-ES"/>
        </w:rPr>
        <w:t xml:space="preserve"> Corte requiere </w:t>
      </w:r>
      <w:r w:rsidR="002115FB">
        <w:rPr>
          <w:rFonts w:ascii="Verdana" w:hAnsi="Verdana"/>
          <w:sz w:val="20"/>
          <w:szCs w:val="20"/>
          <w:lang w:val="es-ES"/>
        </w:rPr>
        <w:t xml:space="preserve">que las partes, dentro del plazo establecido en el punto resolutivo </w:t>
      </w:r>
      <w:r w:rsidR="00A92D53">
        <w:rPr>
          <w:rFonts w:ascii="Verdana" w:hAnsi="Verdana"/>
          <w:sz w:val="20"/>
          <w:szCs w:val="20"/>
          <w:lang w:val="es-ES"/>
        </w:rPr>
        <w:t>sexto</w:t>
      </w:r>
      <w:r w:rsidR="002115FB">
        <w:rPr>
          <w:rFonts w:ascii="Verdana" w:hAnsi="Verdana"/>
          <w:sz w:val="20"/>
          <w:szCs w:val="20"/>
          <w:lang w:val="es-ES"/>
        </w:rPr>
        <w:t xml:space="preserve"> de la presente Resolución, presenten </w:t>
      </w:r>
      <w:r w:rsidR="00F22F75" w:rsidRPr="00F22F75">
        <w:rPr>
          <w:rFonts w:ascii="Verdana" w:hAnsi="Verdana"/>
          <w:sz w:val="20"/>
          <w:szCs w:val="20"/>
          <w:lang w:val="es-ES"/>
        </w:rPr>
        <w:t>información sobre el deseo o</w:t>
      </w:r>
      <w:r w:rsidR="002115FB">
        <w:rPr>
          <w:rFonts w:ascii="Verdana" w:hAnsi="Verdana"/>
          <w:sz w:val="20"/>
          <w:szCs w:val="20"/>
          <w:lang w:val="es-ES"/>
        </w:rPr>
        <w:t xml:space="preserve"> no del señor Sánchez Silvestre</w:t>
      </w:r>
      <w:r w:rsidR="00F22F75" w:rsidRPr="00F22F75">
        <w:rPr>
          <w:rFonts w:ascii="Verdana" w:hAnsi="Verdana"/>
          <w:sz w:val="20"/>
          <w:szCs w:val="20"/>
          <w:lang w:val="es-ES"/>
        </w:rPr>
        <w:t xml:space="preserve"> </w:t>
      </w:r>
      <w:r w:rsidR="00A92D53">
        <w:rPr>
          <w:rFonts w:ascii="Verdana" w:hAnsi="Verdana"/>
          <w:sz w:val="20"/>
          <w:szCs w:val="20"/>
          <w:lang w:val="es-ES"/>
        </w:rPr>
        <w:t>y su esposa de beneficiarse de</w:t>
      </w:r>
      <w:r w:rsidR="002115FB">
        <w:rPr>
          <w:rFonts w:ascii="Verdana" w:hAnsi="Verdana"/>
          <w:sz w:val="20"/>
          <w:szCs w:val="20"/>
          <w:lang w:val="es-ES"/>
        </w:rPr>
        <w:t xml:space="preserve"> </w:t>
      </w:r>
      <w:r w:rsidR="00F22F75" w:rsidRPr="00F22F75">
        <w:rPr>
          <w:rFonts w:ascii="Verdana" w:hAnsi="Verdana"/>
          <w:sz w:val="20"/>
          <w:szCs w:val="20"/>
          <w:lang w:val="es-ES"/>
        </w:rPr>
        <w:t>esta medida de reparación</w:t>
      </w:r>
      <w:r w:rsidR="002115FB">
        <w:rPr>
          <w:rFonts w:ascii="Verdana" w:hAnsi="Verdana"/>
          <w:sz w:val="20"/>
          <w:szCs w:val="20"/>
          <w:lang w:val="es-ES"/>
        </w:rPr>
        <w:t>. Para ello,</w:t>
      </w:r>
      <w:r w:rsidR="00F22F75" w:rsidRPr="00F22F75">
        <w:rPr>
          <w:rFonts w:ascii="Verdana" w:hAnsi="Verdana"/>
          <w:sz w:val="20"/>
          <w:szCs w:val="20"/>
          <w:lang w:val="es-ES"/>
        </w:rPr>
        <w:t xml:space="preserve"> este Tribunal  solicita al Estado y los representantes que, a través del diálogo, busquen los mecanismos más eficaces para localizar a los beneficiarios de esta medida y conocer su voluntad respecto de la ejecución de la misma.</w:t>
      </w:r>
    </w:p>
    <w:p w14:paraId="3C2EFA4A" w14:textId="77777777" w:rsidR="00F22F75" w:rsidRPr="00131277" w:rsidRDefault="00F22F75" w:rsidP="00A4635E">
      <w:pPr>
        <w:pStyle w:val="ListParagraph"/>
        <w:spacing w:after="0" w:line="240" w:lineRule="auto"/>
        <w:rPr>
          <w:rFonts w:ascii="Verdana" w:hAnsi="Verdana"/>
          <w:sz w:val="20"/>
          <w:szCs w:val="20"/>
          <w:lang w:val="es-ES"/>
        </w:rPr>
      </w:pPr>
    </w:p>
    <w:p w14:paraId="5C0E1F35" w14:textId="4ACC9CE3" w:rsidR="00433C7F" w:rsidRDefault="002D2966" w:rsidP="00A4635E">
      <w:pPr>
        <w:pStyle w:val="ListParagraph"/>
        <w:numPr>
          <w:ilvl w:val="0"/>
          <w:numId w:val="6"/>
        </w:numPr>
        <w:spacing w:after="0" w:line="240" w:lineRule="auto"/>
        <w:ind w:left="0" w:firstLine="0"/>
        <w:jc w:val="both"/>
        <w:rPr>
          <w:rFonts w:ascii="Verdana" w:hAnsi="Verdana"/>
          <w:sz w:val="20"/>
        </w:rPr>
      </w:pPr>
      <w:r w:rsidRPr="00131277">
        <w:rPr>
          <w:rFonts w:ascii="Verdana" w:hAnsi="Verdana"/>
          <w:sz w:val="20"/>
          <w:szCs w:val="20"/>
          <w:lang w:val="es-ES"/>
        </w:rPr>
        <w:t xml:space="preserve">En razón de lo anterior, la Corte considera que el Estado ha venido dando cumplimiento </w:t>
      </w:r>
      <w:r w:rsidR="006A6CC8">
        <w:rPr>
          <w:rFonts w:ascii="Verdana" w:hAnsi="Verdana"/>
          <w:sz w:val="20"/>
          <w:szCs w:val="20"/>
          <w:lang w:val="es-ES"/>
        </w:rPr>
        <w:t>y debe continuar implementando</w:t>
      </w:r>
      <w:r w:rsidRPr="00131277">
        <w:rPr>
          <w:rFonts w:ascii="Verdana" w:hAnsi="Verdana"/>
          <w:sz w:val="20"/>
          <w:szCs w:val="20"/>
          <w:lang w:val="es-ES"/>
        </w:rPr>
        <w:t xml:space="preserve"> las medidas de reparación relativas a </w:t>
      </w:r>
      <w:r w:rsidR="00F16DF0" w:rsidRPr="00131277">
        <w:rPr>
          <w:rFonts w:ascii="Verdana" w:hAnsi="Verdana"/>
          <w:sz w:val="20"/>
          <w:szCs w:val="20"/>
          <w:lang w:val="es-ES"/>
        </w:rPr>
        <w:t xml:space="preserve">otorgar </w:t>
      </w:r>
      <w:r w:rsidRPr="00131277">
        <w:rPr>
          <w:rFonts w:ascii="Verdana" w:hAnsi="Verdana"/>
          <w:sz w:val="20"/>
          <w:szCs w:val="20"/>
          <w:lang w:val="es-ES"/>
        </w:rPr>
        <w:t>“</w:t>
      </w:r>
      <w:r w:rsidR="00F16DF0" w:rsidRPr="00131277">
        <w:rPr>
          <w:rFonts w:ascii="Verdana" w:hAnsi="Verdana"/>
          <w:sz w:val="20"/>
          <w:szCs w:val="20"/>
          <w:lang w:val="es-ES"/>
        </w:rPr>
        <w:t>atención médica y psicológica</w:t>
      </w:r>
      <w:r w:rsidRPr="00131277">
        <w:rPr>
          <w:rFonts w:ascii="Verdana" w:hAnsi="Verdana"/>
          <w:sz w:val="20"/>
          <w:szCs w:val="20"/>
          <w:lang w:val="es-ES"/>
        </w:rPr>
        <w:t xml:space="preserve">” </w:t>
      </w:r>
      <w:r w:rsidR="007E6F51">
        <w:rPr>
          <w:rFonts w:ascii="Verdana" w:hAnsi="Verdana"/>
          <w:sz w:val="20"/>
          <w:szCs w:val="20"/>
          <w:lang w:val="es-ES"/>
        </w:rPr>
        <w:t>a</w:t>
      </w:r>
      <w:r w:rsidRPr="00131277">
        <w:rPr>
          <w:rFonts w:ascii="Verdana" w:hAnsi="Verdana"/>
          <w:sz w:val="20"/>
          <w:szCs w:val="20"/>
          <w:lang w:val="es-ES"/>
        </w:rPr>
        <w:t xml:space="preserve"> las víctimas y </w:t>
      </w:r>
      <w:r w:rsidR="00A92D53">
        <w:rPr>
          <w:rFonts w:ascii="Verdana" w:hAnsi="Verdana"/>
          <w:sz w:val="20"/>
          <w:szCs w:val="20"/>
          <w:lang w:val="es-ES"/>
        </w:rPr>
        <w:t xml:space="preserve">a </w:t>
      </w:r>
      <w:r w:rsidRPr="00131277">
        <w:rPr>
          <w:rFonts w:ascii="Verdana" w:hAnsi="Verdana"/>
          <w:sz w:val="20"/>
          <w:szCs w:val="20"/>
          <w:lang w:val="es-ES"/>
        </w:rPr>
        <w:t xml:space="preserve">la </w:t>
      </w:r>
      <w:r w:rsidR="00F16DF0" w:rsidRPr="00131277">
        <w:rPr>
          <w:rFonts w:ascii="Verdana" w:hAnsi="Verdana"/>
          <w:sz w:val="20"/>
          <w:szCs w:val="20"/>
          <w:lang w:val="es-ES"/>
        </w:rPr>
        <w:t xml:space="preserve">esposa </w:t>
      </w:r>
      <w:r w:rsidRPr="00131277">
        <w:rPr>
          <w:rFonts w:ascii="Verdana" w:hAnsi="Verdana"/>
          <w:sz w:val="20"/>
          <w:szCs w:val="20"/>
          <w:lang w:val="es-ES"/>
        </w:rPr>
        <w:t xml:space="preserve">Sánchez Silvestre, según fue ordenado en el punto </w:t>
      </w:r>
      <w:r w:rsidR="00F16DF0" w:rsidRPr="00131277">
        <w:rPr>
          <w:rFonts w:ascii="Verdana" w:hAnsi="Verdana"/>
          <w:sz w:val="20"/>
        </w:rPr>
        <w:t>dispositivo sexto incisos c) y d) y los párrafos 74 a 78</w:t>
      </w:r>
      <w:r w:rsidRPr="00131277">
        <w:rPr>
          <w:rFonts w:ascii="Verdana" w:hAnsi="Verdana"/>
          <w:sz w:val="20"/>
          <w:szCs w:val="20"/>
          <w:lang w:val="es-ES"/>
        </w:rPr>
        <w:t xml:space="preserve"> de la Sentencia. </w:t>
      </w:r>
    </w:p>
    <w:p w14:paraId="24D02732" w14:textId="77777777" w:rsidR="00397530" w:rsidRDefault="00397530" w:rsidP="00A4635E">
      <w:pPr>
        <w:pStyle w:val="ListParagraph"/>
        <w:spacing w:after="0" w:line="240" w:lineRule="auto"/>
        <w:rPr>
          <w:rFonts w:ascii="Verdana" w:hAnsi="Verdana"/>
          <w:sz w:val="20"/>
          <w:szCs w:val="20"/>
        </w:rPr>
      </w:pPr>
    </w:p>
    <w:p w14:paraId="26AB9AB7" w14:textId="77777777" w:rsidR="00A92D53" w:rsidRDefault="00A92D53" w:rsidP="00A4635E">
      <w:pPr>
        <w:pStyle w:val="ListParagraph"/>
        <w:spacing w:after="0" w:line="240" w:lineRule="auto"/>
        <w:rPr>
          <w:rFonts w:ascii="Verdana" w:hAnsi="Verdana"/>
          <w:sz w:val="20"/>
          <w:szCs w:val="20"/>
        </w:rPr>
      </w:pPr>
    </w:p>
    <w:p w14:paraId="205B27B0" w14:textId="77777777" w:rsidR="00A92D53" w:rsidRDefault="00A92D53" w:rsidP="00A4635E">
      <w:pPr>
        <w:pStyle w:val="ListParagraph"/>
        <w:spacing w:after="0" w:line="240" w:lineRule="auto"/>
        <w:rPr>
          <w:rFonts w:ascii="Verdana" w:hAnsi="Verdana"/>
          <w:sz w:val="20"/>
          <w:szCs w:val="20"/>
        </w:rPr>
      </w:pPr>
    </w:p>
    <w:p w14:paraId="640E502B" w14:textId="77777777" w:rsidR="00A92D53" w:rsidRDefault="00A92D53" w:rsidP="00A4635E">
      <w:pPr>
        <w:pStyle w:val="ListParagraph"/>
        <w:spacing w:after="0" w:line="240" w:lineRule="auto"/>
        <w:rPr>
          <w:rFonts w:ascii="Verdana" w:hAnsi="Verdana"/>
          <w:sz w:val="20"/>
          <w:szCs w:val="20"/>
        </w:rPr>
      </w:pPr>
    </w:p>
    <w:p w14:paraId="14267B88" w14:textId="77777777" w:rsidR="00A92D53" w:rsidRDefault="00A92D53" w:rsidP="00A4635E">
      <w:pPr>
        <w:pStyle w:val="ListParagraph"/>
        <w:spacing w:after="0" w:line="240" w:lineRule="auto"/>
        <w:rPr>
          <w:rFonts w:ascii="Verdana" w:hAnsi="Verdana"/>
          <w:sz w:val="20"/>
          <w:szCs w:val="20"/>
        </w:rPr>
      </w:pPr>
    </w:p>
    <w:p w14:paraId="607C7511" w14:textId="77777777" w:rsidR="002B7A85" w:rsidRPr="00275CEA" w:rsidRDefault="009D0CC8" w:rsidP="009D0CC8">
      <w:pPr>
        <w:pStyle w:val="Heading1"/>
        <w:jc w:val="both"/>
      </w:pPr>
      <w:bookmarkStart w:id="4" w:name="_Toc524712410"/>
      <w:r>
        <w:t xml:space="preserve">D) </w:t>
      </w:r>
      <w:r w:rsidR="002B7A85" w:rsidRPr="00275CEA">
        <w:t>Acto público de reconocimiento de responsabilidad internacional</w:t>
      </w:r>
      <w:bookmarkEnd w:id="4"/>
    </w:p>
    <w:p w14:paraId="21A3E718" w14:textId="77777777" w:rsidR="002B7A85" w:rsidRPr="00275CEA" w:rsidRDefault="002B7A85" w:rsidP="00A4635E">
      <w:pPr>
        <w:pStyle w:val="ListParagraph"/>
        <w:spacing w:after="0" w:line="240" w:lineRule="auto"/>
        <w:rPr>
          <w:rFonts w:ascii="Verdana" w:hAnsi="Verdana"/>
          <w:sz w:val="20"/>
        </w:rPr>
      </w:pPr>
    </w:p>
    <w:p w14:paraId="27E535FF" w14:textId="4C47C87A" w:rsidR="002B7A85" w:rsidRPr="00275CEA" w:rsidRDefault="002B7A85" w:rsidP="00A4635E">
      <w:pPr>
        <w:pStyle w:val="ListParagraph"/>
        <w:spacing w:after="0" w:line="240" w:lineRule="auto"/>
        <w:ind w:left="1080" w:hanging="360"/>
        <w:rPr>
          <w:rFonts w:ascii="Verdana" w:hAnsi="Verdana"/>
          <w:i/>
          <w:sz w:val="20"/>
          <w:szCs w:val="20"/>
        </w:rPr>
      </w:pPr>
      <w:r w:rsidRPr="00275CEA">
        <w:rPr>
          <w:rFonts w:ascii="Verdana" w:hAnsi="Verdana"/>
          <w:i/>
          <w:sz w:val="20"/>
          <w:szCs w:val="20"/>
        </w:rPr>
        <w:t>D.1</w:t>
      </w:r>
      <w:r w:rsidR="008E2E52">
        <w:rPr>
          <w:rFonts w:ascii="Verdana" w:hAnsi="Verdana"/>
          <w:i/>
          <w:sz w:val="20"/>
          <w:szCs w:val="20"/>
        </w:rPr>
        <w:t>.</w:t>
      </w:r>
      <w:r w:rsidRPr="00275CEA">
        <w:rPr>
          <w:rFonts w:ascii="Verdana" w:hAnsi="Verdana"/>
          <w:i/>
          <w:sz w:val="20"/>
          <w:szCs w:val="20"/>
        </w:rPr>
        <w:t xml:space="preserve"> Medida ordenada por la Corte</w:t>
      </w:r>
    </w:p>
    <w:p w14:paraId="1F554CE8" w14:textId="77777777" w:rsidR="002B7A85" w:rsidRPr="00275CEA" w:rsidRDefault="002B7A85" w:rsidP="00A4635E">
      <w:pPr>
        <w:pStyle w:val="ListParagraph"/>
        <w:spacing w:after="0" w:line="240" w:lineRule="auto"/>
        <w:rPr>
          <w:rFonts w:ascii="Verdana" w:hAnsi="Verdana"/>
          <w:sz w:val="20"/>
        </w:rPr>
      </w:pPr>
    </w:p>
    <w:p w14:paraId="26742EE2" w14:textId="63D85751" w:rsidR="00E43B60" w:rsidRPr="00026393" w:rsidRDefault="002B7A85" w:rsidP="00026393">
      <w:pPr>
        <w:pStyle w:val="ListParagraph"/>
        <w:numPr>
          <w:ilvl w:val="0"/>
          <w:numId w:val="6"/>
        </w:numPr>
        <w:spacing w:after="0" w:line="240" w:lineRule="auto"/>
        <w:ind w:left="0" w:firstLine="0"/>
        <w:jc w:val="both"/>
        <w:rPr>
          <w:rFonts w:ascii="Verdana" w:hAnsi="Verdana"/>
          <w:sz w:val="20"/>
          <w:szCs w:val="20"/>
        </w:rPr>
      </w:pPr>
      <w:r w:rsidRPr="00275CEA">
        <w:rPr>
          <w:rFonts w:ascii="Verdana" w:hAnsi="Verdana"/>
          <w:sz w:val="20"/>
        </w:rPr>
        <w:t xml:space="preserve">En el </w:t>
      </w:r>
      <w:r w:rsidR="00205F17" w:rsidRPr="00275CEA">
        <w:rPr>
          <w:rFonts w:ascii="Verdana" w:hAnsi="Verdana"/>
          <w:sz w:val="20"/>
        </w:rPr>
        <w:t>punto dispositivo sexto inciso e</w:t>
      </w:r>
      <w:r w:rsidRPr="00275CEA">
        <w:rPr>
          <w:rFonts w:ascii="Verdana" w:hAnsi="Verdana"/>
          <w:sz w:val="20"/>
        </w:rPr>
        <w:t xml:space="preserve">) y los párrafos 84 a 85 de la Sentencia, la Corte homologó la medida relativa a realizar </w:t>
      </w:r>
      <w:r w:rsidRPr="00275CEA">
        <w:rPr>
          <w:rStyle w:val="apple-style-span"/>
          <w:rFonts w:ascii="Verdana" w:hAnsi="Verdana"/>
          <w:sz w:val="20"/>
          <w:szCs w:val="20"/>
        </w:rPr>
        <w:t>“</w:t>
      </w:r>
      <w:r w:rsidRPr="00275CEA">
        <w:rPr>
          <w:rFonts w:ascii="Verdana" w:hAnsi="Verdana"/>
          <w:sz w:val="20"/>
          <w:szCs w:val="20"/>
        </w:rPr>
        <w:t>un acto público de reconocimiento de responsabilidad [internacional] y disculpa pública” por los hechos del presente caso.</w:t>
      </w:r>
      <w:r w:rsidR="00E43B60">
        <w:rPr>
          <w:rFonts w:ascii="Verdana" w:hAnsi="Verdana"/>
          <w:sz w:val="20"/>
          <w:szCs w:val="20"/>
        </w:rPr>
        <w:t xml:space="preserve"> </w:t>
      </w:r>
      <w:r w:rsidR="00E43B60">
        <w:rPr>
          <w:rFonts w:ascii="Verdana" w:eastAsiaTheme="minorHAnsi" w:hAnsi="Verdana"/>
          <w:sz w:val="20"/>
          <w:szCs w:val="20"/>
        </w:rPr>
        <w:t xml:space="preserve">Entre las especificidades del acto </w:t>
      </w:r>
      <w:r w:rsidR="00026393">
        <w:rPr>
          <w:rFonts w:ascii="Verdana" w:eastAsiaTheme="minorHAnsi" w:hAnsi="Verdana"/>
          <w:sz w:val="20"/>
          <w:szCs w:val="20"/>
        </w:rPr>
        <w:t xml:space="preserve">se estableció que </w:t>
      </w:r>
      <w:r w:rsidR="00026393" w:rsidRPr="00026393">
        <w:rPr>
          <w:rFonts w:ascii="Verdana" w:hAnsi="Verdana"/>
          <w:sz w:val="20"/>
        </w:rPr>
        <w:t>“previo acuerdo libre e informado con</w:t>
      </w:r>
      <w:r w:rsidR="00026393">
        <w:rPr>
          <w:rFonts w:ascii="Verdana" w:hAnsi="Verdana"/>
          <w:sz w:val="20"/>
        </w:rPr>
        <w:t xml:space="preserve"> </w:t>
      </w:r>
      <w:r w:rsidR="00026393" w:rsidRPr="00026393">
        <w:rPr>
          <w:rFonts w:ascii="Verdana" w:hAnsi="Verdana"/>
          <w:sz w:val="20"/>
        </w:rPr>
        <w:t>las víctimas y sus representantes</w:t>
      </w:r>
      <w:r w:rsidR="00026393">
        <w:rPr>
          <w:rFonts w:ascii="Verdana" w:hAnsi="Verdana"/>
          <w:sz w:val="20"/>
        </w:rPr>
        <w:t>”</w:t>
      </w:r>
      <w:r w:rsidR="00026393" w:rsidRPr="00026393">
        <w:rPr>
          <w:rFonts w:ascii="Verdana" w:eastAsiaTheme="minorHAnsi" w:hAnsi="Verdana"/>
          <w:sz w:val="20"/>
          <w:szCs w:val="20"/>
        </w:rPr>
        <w:t xml:space="preserve"> </w:t>
      </w:r>
      <w:r w:rsidR="00E43B60" w:rsidRPr="00026393">
        <w:rPr>
          <w:rFonts w:ascii="Verdana" w:eastAsiaTheme="minorHAnsi" w:hAnsi="Verdana"/>
          <w:sz w:val="20"/>
          <w:szCs w:val="20"/>
        </w:rPr>
        <w:t>el Estado debía:</w:t>
      </w:r>
    </w:p>
    <w:p w14:paraId="52375C55" w14:textId="77777777" w:rsidR="00404F16" w:rsidRDefault="00404F16" w:rsidP="00B35A51">
      <w:pPr>
        <w:pStyle w:val="ListParagraph"/>
        <w:spacing w:after="0" w:line="240" w:lineRule="auto"/>
        <w:jc w:val="both"/>
        <w:rPr>
          <w:rFonts w:ascii="Verdana" w:hAnsi="Verdana"/>
          <w:sz w:val="20"/>
        </w:rPr>
      </w:pPr>
    </w:p>
    <w:p w14:paraId="30DE069E" w14:textId="4962D9EF" w:rsidR="002B7A85" w:rsidRDefault="007E6F51" w:rsidP="00404F16">
      <w:pPr>
        <w:pStyle w:val="ListParagraph"/>
        <w:numPr>
          <w:ilvl w:val="0"/>
          <w:numId w:val="38"/>
        </w:numPr>
        <w:spacing w:after="0" w:line="240" w:lineRule="auto"/>
        <w:jc w:val="both"/>
        <w:rPr>
          <w:rFonts w:ascii="Verdana" w:eastAsiaTheme="minorHAnsi" w:hAnsi="Verdana"/>
          <w:sz w:val="20"/>
          <w:szCs w:val="20"/>
        </w:rPr>
      </w:pPr>
      <w:r>
        <w:rPr>
          <w:rFonts w:ascii="Verdana" w:hAnsi="Verdana"/>
          <w:sz w:val="20"/>
          <w:szCs w:val="20"/>
          <w:lang w:val="es-ES"/>
        </w:rPr>
        <w:t>o</w:t>
      </w:r>
      <w:r w:rsidR="00E43B60">
        <w:rPr>
          <w:rFonts w:ascii="Verdana" w:hAnsi="Verdana"/>
          <w:sz w:val="20"/>
          <w:szCs w:val="20"/>
          <w:lang w:val="es-ES"/>
        </w:rPr>
        <w:t>rganizar</w:t>
      </w:r>
      <w:r w:rsidR="00E43B60" w:rsidRPr="00020CF5">
        <w:rPr>
          <w:rFonts w:ascii="Verdana" w:hAnsi="Verdana"/>
          <w:sz w:val="20"/>
          <w:szCs w:val="20"/>
          <w:lang w:val="es-ES"/>
        </w:rPr>
        <w:t xml:space="preserve"> un acto público de reconocimiento de responsabilidad y disculpa pública, efectuado por autoridades nacionales, que no tendrán nivel inferior al de </w:t>
      </w:r>
      <w:r w:rsidR="00E43B60">
        <w:rPr>
          <w:rFonts w:ascii="Verdana" w:hAnsi="Verdana"/>
          <w:sz w:val="20"/>
          <w:szCs w:val="20"/>
          <w:lang w:val="es-ES"/>
        </w:rPr>
        <w:t>Subsecretario de Estado”</w:t>
      </w:r>
      <w:r w:rsidR="00026393">
        <w:rPr>
          <w:rFonts w:ascii="Verdana" w:eastAsiaTheme="minorHAnsi" w:hAnsi="Verdana"/>
          <w:sz w:val="20"/>
          <w:szCs w:val="20"/>
        </w:rPr>
        <w:t>;</w:t>
      </w:r>
    </w:p>
    <w:p w14:paraId="50B097CA" w14:textId="77777777" w:rsidR="00E43B60" w:rsidRDefault="007E6F51" w:rsidP="00404F16">
      <w:pPr>
        <w:pStyle w:val="ListParagraph"/>
        <w:numPr>
          <w:ilvl w:val="0"/>
          <w:numId w:val="38"/>
        </w:numPr>
        <w:spacing w:after="0" w:line="240" w:lineRule="auto"/>
        <w:jc w:val="both"/>
        <w:rPr>
          <w:rFonts w:ascii="Verdana" w:hAnsi="Verdana"/>
          <w:sz w:val="20"/>
          <w:szCs w:val="20"/>
          <w:lang w:val="es-ES"/>
        </w:rPr>
      </w:pPr>
      <w:r>
        <w:rPr>
          <w:rFonts w:ascii="Verdana" w:eastAsiaTheme="minorHAnsi" w:hAnsi="Verdana"/>
          <w:sz w:val="20"/>
          <w:szCs w:val="20"/>
        </w:rPr>
        <w:t>c</w:t>
      </w:r>
      <w:r w:rsidR="00E43B60">
        <w:rPr>
          <w:rFonts w:ascii="Verdana" w:eastAsiaTheme="minorHAnsi" w:hAnsi="Verdana"/>
          <w:sz w:val="20"/>
          <w:szCs w:val="20"/>
        </w:rPr>
        <w:t xml:space="preserve">ontar con la presencia de </w:t>
      </w:r>
      <w:r w:rsidR="00E43B60" w:rsidRPr="00020CF5">
        <w:rPr>
          <w:rFonts w:ascii="Verdana" w:hAnsi="Verdana"/>
          <w:sz w:val="20"/>
          <w:szCs w:val="20"/>
          <w:lang w:val="es-ES"/>
        </w:rPr>
        <w:t>representantes del Poder Judicial de la Federación, la Secretaría de Gobernación y la Secretaría de Relaciones Exteriores</w:t>
      </w:r>
      <w:r w:rsidR="00E43B60">
        <w:rPr>
          <w:rFonts w:ascii="Verdana" w:hAnsi="Verdana"/>
          <w:sz w:val="20"/>
          <w:szCs w:val="20"/>
          <w:lang w:val="es-ES"/>
        </w:rPr>
        <w:t>, y</w:t>
      </w:r>
    </w:p>
    <w:p w14:paraId="21BC09A9" w14:textId="20E118E1" w:rsidR="00E43B60" w:rsidRPr="00275CEA" w:rsidRDefault="007E6F51" w:rsidP="00404F16">
      <w:pPr>
        <w:pStyle w:val="ListParagraph"/>
        <w:numPr>
          <w:ilvl w:val="0"/>
          <w:numId w:val="38"/>
        </w:numPr>
        <w:spacing w:after="0" w:line="240" w:lineRule="auto"/>
        <w:jc w:val="both"/>
        <w:rPr>
          <w:rFonts w:ascii="Verdana" w:hAnsi="Verdana"/>
          <w:sz w:val="20"/>
          <w:szCs w:val="20"/>
        </w:rPr>
      </w:pPr>
      <w:r>
        <w:rPr>
          <w:rFonts w:ascii="Verdana" w:hAnsi="Verdana"/>
          <w:sz w:val="20"/>
          <w:szCs w:val="20"/>
          <w:lang w:val="es-ES"/>
        </w:rPr>
        <w:t>c</w:t>
      </w:r>
      <w:r w:rsidR="00E43B60" w:rsidRPr="00020CF5">
        <w:rPr>
          <w:rFonts w:ascii="Verdana" w:hAnsi="Verdana"/>
          <w:sz w:val="20"/>
          <w:szCs w:val="20"/>
          <w:lang w:val="es-ES"/>
        </w:rPr>
        <w:t>elebrarse en el plazo de seis meses contados a partir de la</w:t>
      </w:r>
      <w:r w:rsidR="00E43B60">
        <w:rPr>
          <w:rFonts w:ascii="Verdana" w:hAnsi="Verdana"/>
          <w:sz w:val="20"/>
          <w:szCs w:val="20"/>
          <w:lang w:val="es-ES"/>
        </w:rPr>
        <w:t xml:space="preserve"> notificación de la S</w:t>
      </w:r>
      <w:r w:rsidR="00E43B60" w:rsidRPr="00020CF5">
        <w:rPr>
          <w:rFonts w:ascii="Verdana" w:hAnsi="Verdana"/>
          <w:sz w:val="20"/>
          <w:szCs w:val="20"/>
          <w:lang w:val="es-ES"/>
        </w:rPr>
        <w:t>entencia</w:t>
      </w:r>
      <w:r w:rsidR="00185B34">
        <w:rPr>
          <w:rFonts w:ascii="Verdana" w:hAnsi="Verdana"/>
          <w:sz w:val="20"/>
          <w:szCs w:val="20"/>
          <w:lang w:val="es-ES"/>
        </w:rPr>
        <w:t>.</w:t>
      </w:r>
    </w:p>
    <w:p w14:paraId="3BE27095" w14:textId="77777777" w:rsidR="00026393" w:rsidRPr="00026393" w:rsidRDefault="00026393" w:rsidP="00026393">
      <w:pPr>
        <w:spacing w:after="0" w:line="240" w:lineRule="auto"/>
        <w:rPr>
          <w:rFonts w:ascii="Verdana" w:hAnsi="Verdana"/>
          <w:sz w:val="20"/>
        </w:rPr>
      </w:pPr>
    </w:p>
    <w:p w14:paraId="24584E1B" w14:textId="336E9F1D" w:rsidR="00131277" w:rsidRPr="00275CEA" w:rsidRDefault="00131277" w:rsidP="00A4635E">
      <w:pPr>
        <w:pStyle w:val="ListParagraph"/>
        <w:spacing w:after="0" w:line="240" w:lineRule="auto"/>
        <w:ind w:left="1080" w:hanging="360"/>
        <w:rPr>
          <w:rFonts w:ascii="Verdana" w:hAnsi="Verdana"/>
          <w:i/>
          <w:sz w:val="20"/>
          <w:szCs w:val="20"/>
        </w:rPr>
      </w:pPr>
      <w:r w:rsidRPr="00275CEA">
        <w:rPr>
          <w:rFonts w:ascii="Verdana" w:hAnsi="Verdana"/>
          <w:i/>
          <w:sz w:val="20"/>
          <w:szCs w:val="20"/>
        </w:rPr>
        <w:t>D.</w:t>
      </w:r>
      <w:r w:rsidR="00A7783C">
        <w:rPr>
          <w:rFonts w:ascii="Verdana" w:hAnsi="Verdana"/>
          <w:i/>
          <w:sz w:val="20"/>
          <w:szCs w:val="20"/>
        </w:rPr>
        <w:t>2</w:t>
      </w:r>
      <w:r w:rsidR="00026393">
        <w:rPr>
          <w:rFonts w:ascii="Verdana" w:hAnsi="Verdana"/>
          <w:i/>
          <w:sz w:val="20"/>
          <w:szCs w:val="20"/>
        </w:rPr>
        <w:t>.</w:t>
      </w:r>
      <w:r w:rsidRPr="00275CEA">
        <w:rPr>
          <w:rFonts w:ascii="Verdana" w:hAnsi="Verdana"/>
          <w:i/>
          <w:sz w:val="20"/>
          <w:szCs w:val="20"/>
        </w:rPr>
        <w:t xml:space="preserve"> Consideraciones de la Corte</w:t>
      </w:r>
    </w:p>
    <w:p w14:paraId="6AB9307B" w14:textId="77777777" w:rsidR="00131277" w:rsidRPr="00275CEA" w:rsidRDefault="00131277" w:rsidP="00A4635E">
      <w:pPr>
        <w:spacing w:after="0" w:line="240" w:lineRule="auto"/>
        <w:rPr>
          <w:rFonts w:ascii="Verdana" w:hAnsi="Verdana"/>
          <w:sz w:val="20"/>
        </w:rPr>
      </w:pPr>
    </w:p>
    <w:p w14:paraId="3D8953A6" w14:textId="3B1B7EBC" w:rsidR="0084075D" w:rsidRPr="0084075D" w:rsidRDefault="003052B8" w:rsidP="008709AE">
      <w:pPr>
        <w:pStyle w:val="ListParagraph"/>
        <w:numPr>
          <w:ilvl w:val="0"/>
          <w:numId w:val="6"/>
        </w:numPr>
        <w:spacing w:after="0" w:line="240" w:lineRule="auto"/>
        <w:ind w:left="0" w:firstLine="0"/>
        <w:jc w:val="both"/>
        <w:rPr>
          <w:rFonts w:ascii="Verdana" w:hAnsi="Verdana"/>
          <w:sz w:val="20"/>
          <w:szCs w:val="20"/>
        </w:rPr>
      </w:pPr>
      <w:r w:rsidRPr="00275CEA">
        <w:rPr>
          <w:rFonts w:ascii="Verdana" w:hAnsi="Verdana"/>
          <w:sz w:val="20"/>
          <w:szCs w:val="20"/>
        </w:rPr>
        <w:t xml:space="preserve">Con base </w:t>
      </w:r>
      <w:r w:rsidR="00E302B7">
        <w:rPr>
          <w:rFonts w:ascii="Verdana" w:hAnsi="Verdana"/>
          <w:sz w:val="20"/>
          <w:szCs w:val="20"/>
        </w:rPr>
        <w:t>en lo informado por el Estado</w:t>
      </w:r>
      <w:r w:rsidRPr="00275CEA">
        <w:rPr>
          <w:rFonts w:ascii="Verdana" w:hAnsi="Verdana"/>
          <w:sz w:val="20"/>
          <w:szCs w:val="20"/>
        </w:rPr>
        <w:t xml:space="preserve"> y</w:t>
      </w:r>
      <w:r w:rsidR="00E302B7">
        <w:rPr>
          <w:rFonts w:ascii="Verdana" w:hAnsi="Verdana"/>
          <w:sz w:val="20"/>
          <w:szCs w:val="20"/>
        </w:rPr>
        <w:t xml:space="preserve"> reconocido por los representantes de las víctimas</w:t>
      </w:r>
      <w:r w:rsidR="00E302B7">
        <w:rPr>
          <w:rStyle w:val="FootnoteReference"/>
          <w:rFonts w:ascii="Verdana" w:hAnsi="Verdana"/>
          <w:sz w:val="20"/>
          <w:szCs w:val="20"/>
        </w:rPr>
        <w:footnoteReference w:id="37"/>
      </w:r>
      <w:r w:rsidR="00E302B7">
        <w:rPr>
          <w:rFonts w:ascii="Verdana" w:hAnsi="Verdana"/>
          <w:sz w:val="20"/>
          <w:szCs w:val="20"/>
        </w:rPr>
        <w:t>,</w:t>
      </w:r>
      <w:r w:rsidRPr="00275CEA">
        <w:rPr>
          <w:rFonts w:ascii="Verdana" w:hAnsi="Verdana"/>
          <w:sz w:val="20"/>
          <w:szCs w:val="20"/>
        </w:rPr>
        <w:t xml:space="preserve"> la Corte constata que </w:t>
      </w:r>
      <w:r w:rsidR="00835842">
        <w:rPr>
          <w:rFonts w:ascii="Verdana" w:hAnsi="Verdana"/>
          <w:sz w:val="20"/>
          <w:szCs w:val="20"/>
        </w:rPr>
        <w:t xml:space="preserve">el 8 de julio de 2016 </w:t>
      </w:r>
      <w:r w:rsidRPr="00275CEA">
        <w:rPr>
          <w:rFonts w:ascii="Verdana" w:hAnsi="Verdana"/>
          <w:sz w:val="20"/>
          <w:szCs w:val="20"/>
        </w:rPr>
        <w:t>se realizó</w:t>
      </w:r>
      <w:r w:rsidR="00835842">
        <w:rPr>
          <w:rFonts w:ascii="Verdana" w:hAnsi="Verdana"/>
          <w:sz w:val="20"/>
          <w:szCs w:val="20"/>
        </w:rPr>
        <w:t xml:space="preserve"> </w:t>
      </w:r>
      <w:r w:rsidR="00835842" w:rsidRPr="00835842">
        <w:rPr>
          <w:rFonts w:ascii="Verdana" w:hAnsi="Verdana"/>
          <w:sz w:val="20"/>
          <w:szCs w:val="20"/>
          <w:lang w:val="es-ES_tradnl"/>
        </w:rPr>
        <w:t xml:space="preserve">“el pedido de disculpas de forma privada al señor Juan García Cruz”, después de que el Estado y los representantes realizaran una </w:t>
      </w:r>
      <w:r w:rsidR="00655D44">
        <w:rPr>
          <w:rFonts w:ascii="Verdana" w:hAnsi="Verdana"/>
          <w:sz w:val="20"/>
          <w:szCs w:val="20"/>
          <w:lang w:val="es-ES_tradnl"/>
        </w:rPr>
        <w:t>reunió</w:t>
      </w:r>
      <w:r w:rsidR="00185B34">
        <w:rPr>
          <w:rFonts w:ascii="Verdana" w:hAnsi="Verdana"/>
          <w:sz w:val="20"/>
          <w:szCs w:val="20"/>
          <w:lang w:val="es-ES_tradnl"/>
        </w:rPr>
        <w:t>n de trabajo en j</w:t>
      </w:r>
      <w:r w:rsidR="00835842" w:rsidRPr="00835842">
        <w:rPr>
          <w:rFonts w:ascii="Verdana" w:hAnsi="Verdana"/>
          <w:sz w:val="20"/>
          <w:szCs w:val="20"/>
          <w:lang w:val="es-ES_tradnl"/>
        </w:rPr>
        <w:t>ulio de 2015, en la cual se acordó el esquema que se llevaría a cabo para el referido acto</w:t>
      </w:r>
      <w:r w:rsidR="008709AE">
        <w:rPr>
          <w:rStyle w:val="FootnoteReference"/>
          <w:rFonts w:ascii="Verdana" w:hAnsi="Verdana"/>
          <w:sz w:val="20"/>
          <w:szCs w:val="20"/>
          <w:lang w:val="es-ES_tradnl"/>
        </w:rPr>
        <w:footnoteReference w:id="38"/>
      </w:r>
      <w:r w:rsidR="00835842" w:rsidRPr="00835842">
        <w:rPr>
          <w:rFonts w:ascii="Verdana" w:hAnsi="Verdana"/>
          <w:sz w:val="20"/>
          <w:szCs w:val="20"/>
          <w:lang w:val="es-ES_tradnl"/>
        </w:rPr>
        <w:t xml:space="preserve">. </w:t>
      </w:r>
      <w:r w:rsidR="00835842">
        <w:rPr>
          <w:rFonts w:ascii="Verdana" w:hAnsi="Verdana"/>
          <w:sz w:val="20"/>
          <w:szCs w:val="20"/>
          <w:lang w:val="es-ES_tradnl"/>
        </w:rPr>
        <w:t>Dicho acto se realizó</w:t>
      </w:r>
      <w:r w:rsidR="00E43B60">
        <w:rPr>
          <w:rFonts w:ascii="Verdana" w:hAnsi="Verdana"/>
          <w:sz w:val="20"/>
          <w:szCs w:val="20"/>
        </w:rPr>
        <w:t xml:space="preserve"> en las </w:t>
      </w:r>
      <w:r w:rsidR="00E43B60" w:rsidRPr="00275CEA">
        <w:rPr>
          <w:rFonts w:ascii="Verdana" w:hAnsi="Verdana"/>
          <w:sz w:val="20"/>
        </w:rPr>
        <w:t>instalaciones de la Secretaría de Relaciones Exteriores</w:t>
      </w:r>
      <w:r w:rsidR="00835842">
        <w:rPr>
          <w:rFonts w:ascii="Verdana" w:hAnsi="Verdana"/>
          <w:sz w:val="20"/>
          <w:szCs w:val="20"/>
        </w:rPr>
        <w:t xml:space="preserve"> y contó con la presencia de: </w:t>
      </w:r>
      <w:r w:rsidR="00E43B60" w:rsidRPr="00275CEA">
        <w:rPr>
          <w:rFonts w:ascii="Verdana" w:hAnsi="Verdana"/>
          <w:sz w:val="20"/>
        </w:rPr>
        <w:t xml:space="preserve">representantes de la Cancillería Mexicana; </w:t>
      </w:r>
      <w:r w:rsidR="002206F3">
        <w:rPr>
          <w:rFonts w:ascii="Verdana" w:hAnsi="Verdana"/>
          <w:sz w:val="20"/>
        </w:rPr>
        <w:t>el señor García Cruz,</w:t>
      </w:r>
      <w:r w:rsidR="00E43B60" w:rsidRPr="00275CEA">
        <w:rPr>
          <w:rFonts w:ascii="Verdana" w:hAnsi="Verdana"/>
          <w:sz w:val="20"/>
        </w:rPr>
        <w:t xml:space="preserve"> sus familiares y sus representantes; la D</w:t>
      </w:r>
      <w:r w:rsidR="00AE06FB">
        <w:rPr>
          <w:rFonts w:ascii="Verdana" w:hAnsi="Verdana"/>
          <w:sz w:val="20"/>
        </w:rPr>
        <w:t>irectora</w:t>
      </w:r>
      <w:r w:rsidR="00E43B60" w:rsidRPr="00275CEA">
        <w:rPr>
          <w:rFonts w:ascii="Verdana" w:hAnsi="Verdana"/>
          <w:sz w:val="20"/>
        </w:rPr>
        <w:t xml:space="preserve"> General de Estudios</w:t>
      </w:r>
      <w:r w:rsidR="00AE06FB">
        <w:rPr>
          <w:rFonts w:ascii="Verdana" w:hAnsi="Verdana"/>
          <w:sz w:val="20"/>
        </w:rPr>
        <w:t>,</w:t>
      </w:r>
      <w:r w:rsidR="00E43B60" w:rsidRPr="00275CEA">
        <w:rPr>
          <w:rFonts w:ascii="Verdana" w:hAnsi="Verdana"/>
          <w:sz w:val="20"/>
        </w:rPr>
        <w:t xml:space="preserve"> Promoción y Desarrollo de Derechos Humanos de la Suprema Corte de Justicia de la Nación; el Subprocurador Jurídico del Poder Judicial del estado de México; </w:t>
      </w:r>
      <w:r w:rsidR="00835842">
        <w:rPr>
          <w:rFonts w:ascii="Verdana" w:hAnsi="Verdana"/>
          <w:sz w:val="20"/>
        </w:rPr>
        <w:t>la Titular de la Unidad para la Defensa de los Derechos Humanos y</w:t>
      </w:r>
      <w:r w:rsidR="00E43B60" w:rsidRPr="00275CEA">
        <w:rPr>
          <w:rFonts w:ascii="Verdana" w:hAnsi="Verdana"/>
          <w:sz w:val="20"/>
        </w:rPr>
        <w:t xml:space="preserve"> y el Subsecretario de Derechos Humanos de la Secretaría de la Gobernación</w:t>
      </w:r>
      <w:r w:rsidR="00835842">
        <w:rPr>
          <w:rFonts w:ascii="Verdana" w:hAnsi="Verdana"/>
          <w:sz w:val="20"/>
        </w:rPr>
        <w:t xml:space="preserve">, entre otros. </w:t>
      </w:r>
    </w:p>
    <w:p w14:paraId="31A4584E" w14:textId="77777777" w:rsidR="0084075D" w:rsidRPr="0084075D" w:rsidRDefault="0084075D" w:rsidP="0084075D">
      <w:pPr>
        <w:pStyle w:val="ListParagraph"/>
        <w:spacing w:after="0" w:line="240" w:lineRule="auto"/>
        <w:ind w:left="0"/>
        <w:jc w:val="both"/>
        <w:rPr>
          <w:rFonts w:ascii="Verdana" w:hAnsi="Verdana"/>
          <w:sz w:val="20"/>
          <w:szCs w:val="20"/>
        </w:rPr>
      </w:pPr>
    </w:p>
    <w:p w14:paraId="28CC67A2" w14:textId="585AE231" w:rsidR="00D84F27" w:rsidRDefault="008709AE" w:rsidP="008709AE">
      <w:pPr>
        <w:pStyle w:val="ListParagraph"/>
        <w:numPr>
          <w:ilvl w:val="0"/>
          <w:numId w:val="6"/>
        </w:numPr>
        <w:spacing w:after="0" w:line="240" w:lineRule="auto"/>
        <w:ind w:left="0" w:firstLine="0"/>
        <w:jc w:val="both"/>
        <w:rPr>
          <w:rFonts w:ascii="Verdana" w:hAnsi="Verdana"/>
          <w:sz w:val="20"/>
          <w:szCs w:val="20"/>
        </w:rPr>
      </w:pPr>
      <w:r w:rsidRPr="008709AE">
        <w:rPr>
          <w:rFonts w:ascii="Verdana" w:hAnsi="Verdana"/>
          <w:sz w:val="20"/>
          <w:szCs w:val="20"/>
          <w:lang w:val="es-ES"/>
        </w:rPr>
        <w:t>Al respecto, l</w:t>
      </w:r>
      <w:r w:rsidR="0012468D" w:rsidRPr="008709AE">
        <w:rPr>
          <w:rFonts w:ascii="Verdana" w:hAnsi="Verdana"/>
          <w:sz w:val="20"/>
          <w:szCs w:val="20"/>
          <w:lang w:val="es-ES"/>
        </w:rPr>
        <w:t>a C</w:t>
      </w:r>
      <w:r w:rsidR="00624B5A" w:rsidRPr="008709AE">
        <w:rPr>
          <w:rFonts w:ascii="Verdana" w:hAnsi="Verdana"/>
          <w:sz w:val="20"/>
          <w:szCs w:val="20"/>
          <w:lang w:val="es-ES"/>
        </w:rPr>
        <w:t>orte valora positivamente las acciones llevadas a cabo por el Estado</w:t>
      </w:r>
      <w:r w:rsidRPr="008709AE">
        <w:rPr>
          <w:rFonts w:ascii="Verdana" w:hAnsi="Verdana"/>
          <w:sz w:val="20"/>
          <w:szCs w:val="20"/>
          <w:lang w:val="es-ES"/>
        </w:rPr>
        <w:t xml:space="preserve"> para dar cumplimiento a la presente medida, incluyendo e</w:t>
      </w:r>
      <w:r w:rsidR="00624B5A" w:rsidRPr="008709AE">
        <w:rPr>
          <w:rFonts w:ascii="Verdana" w:hAnsi="Verdana"/>
          <w:sz w:val="20"/>
          <w:szCs w:val="20"/>
          <w:lang w:val="es-ES"/>
        </w:rPr>
        <w:t>l acuerdo previo al que se arribó</w:t>
      </w:r>
      <w:r w:rsidRPr="008709AE">
        <w:rPr>
          <w:rFonts w:ascii="Verdana" w:hAnsi="Verdana"/>
          <w:sz w:val="20"/>
          <w:szCs w:val="20"/>
          <w:lang w:val="es-ES"/>
        </w:rPr>
        <w:t xml:space="preserve"> con los representantes de las víctimas</w:t>
      </w:r>
      <w:r w:rsidR="00624B5A" w:rsidRPr="008709AE">
        <w:rPr>
          <w:rFonts w:ascii="Verdana" w:hAnsi="Verdana"/>
          <w:sz w:val="20"/>
          <w:szCs w:val="20"/>
          <w:lang w:val="es-ES"/>
        </w:rPr>
        <w:t xml:space="preserve"> para</w:t>
      </w:r>
      <w:r w:rsidRPr="008709AE">
        <w:rPr>
          <w:rFonts w:ascii="Verdana" w:hAnsi="Verdana"/>
          <w:sz w:val="20"/>
          <w:szCs w:val="20"/>
          <w:lang w:val="es-ES"/>
        </w:rPr>
        <w:t xml:space="preserve"> su ejecución, </w:t>
      </w:r>
      <w:r w:rsidRPr="008709AE">
        <w:rPr>
          <w:rFonts w:ascii="Verdana" w:hAnsi="Verdana"/>
          <w:sz w:val="20"/>
          <w:szCs w:val="20"/>
        </w:rPr>
        <w:t>así como la presencia de altas autoridades del Estado, la víctima señor García Cruz y sus representantes</w:t>
      </w:r>
      <w:r w:rsidRPr="008709AE">
        <w:rPr>
          <w:rFonts w:ascii="Verdana" w:hAnsi="Verdana"/>
          <w:sz w:val="20"/>
          <w:szCs w:val="20"/>
          <w:lang w:val="es-ES"/>
        </w:rPr>
        <w:t xml:space="preserve"> en el acto de referencia</w:t>
      </w:r>
      <w:r w:rsidR="00D84F27" w:rsidRPr="008709AE">
        <w:rPr>
          <w:rFonts w:ascii="Verdana" w:hAnsi="Verdana"/>
          <w:sz w:val="20"/>
          <w:szCs w:val="20"/>
        </w:rPr>
        <w:t>.</w:t>
      </w:r>
      <w:r w:rsidR="00140546" w:rsidRPr="008709AE">
        <w:rPr>
          <w:rFonts w:ascii="Verdana" w:hAnsi="Verdana"/>
          <w:sz w:val="20"/>
          <w:szCs w:val="20"/>
        </w:rPr>
        <w:t xml:space="preserve"> </w:t>
      </w:r>
    </w:p>
    <w:p w14:paraId="34308609" w14:textId="77777777" w:rsidR="008709AE" w:rsidRPr="008709AE" w:rsidRDefault="008709AE" w:rsidP="008709AE">
      <w:pPr>
        <w:pStyle w:val="ListParagraph"/>
        <w:spacing w:after="0" w:line="240" w:lineRule="auto"/>
        <w:ind w:left="0"/>
        <w:jc w:val="both"/>
        <w:rPr>
          <w:rFonts w:ascii="Verdana" w:hAnsi="Verdana"/>
          <w:sz w:val="20"/>
          <w:szCs w:val="20"/>
        </w:rPr>
      </w:pPr>
    </w:p>
    <w:p w14:paraId="3FF8047F" w14:textId="70414332" w:rsidR="00D84F27" w:rsidRPr="008709AE" w:rsidRDefault="008709AE" w:rsidP="008709AE">
      <w:pPr>
        <w:pStyle w:val="ListParagraph"/>
        <w:numPr>
          <w:ilvl w:val="0"/>
          <w:numId w:val="6"/>
        </w:numPr>
        <w:spacing w:after="0" w:line="240" w:lineRule="auto"/>
        <w:ind w:left="0" w:firstLine="0"/>
        <w:jc w:val="both"/>
        <w:rPr>
          <w:rFonts w:ascii="Verdana" w:hAnsi="Verdana"/>
          <w:sz w:val="20"/>
          <w:szCs w:val="20"/>
        </w:rPr>
      </w:pPr>
      <w:r w:rsidRPr="008709AE">
        <w:rPr>
          <w:rFonts w:ascii="Verdana" w:hAnsi="Verdana"/>
          <w:sz w:val="20"/>
        </w:rPr>
        <w:t>No obstante de valorar positivamente el acto llevado a cabo, los representantes de las víctimas solicitaron a la Corte que, al no haber estado presente el señor Sánchez Silvestre, se “continúe supervisando esta medida de cumplimiento”</w:t>
      </w:r>
      <w:r w:rsidRPr="00275CEA">
        <w:rPr>
          <w:rStyle w:val="FootnoteReference"/>
          <w:rFonts w:ascii="Verdana" w:hAnsi="Verdana"/>
          <w:sz w:val="20"/>
        </w:rPr>
        <w:footnoteReference w:id="39"/>
      </w:r>
      <w:r w:rsidRPr="008709AE">
        <w:rPr>
          <w:rFonts w:ascii="Verdana" w:hAnsi="Verdana"/>
          <w:sz w:val="20"/>
        </w:rPr>
        <w:t>.</w:t>
      </w:r>
      <w:r>
        <w:rPr>
          <w:rFonts w:ascii="Verdana" w:hAnsi="Verdana"/>
          <w:sz w:val="20"/>
        </w:rPr>
        <w:t xml:space="preserve"> </w:t>
      </w:r>
      <w:r w:rsidR="00652BA9" w:rsidRPr="008709AE">
        <w:rPr>
          <w:rFonts w:ascii="Verdana" w:hAnsi="Verdana"/>
          <w:sz w:val="20"/>
          <w:szCs w:val="20"/>
        </w:rPr>
        <w:t xml:space="preserve">Respecto a </w:t>
      </w:r>
      <w:r>
        <w:rPr>
          <w:rFonts w:ascii="Verdana" w:hAnsi="Verdana"/>
          <w:sz w:val="20"/>
          <w:szCs w:val="20"/>
        </w:rPr>
        <w:t>dicha</w:t>
      </w:r>
      <w:r w:rsidR="00652BA9" w:rsidRPr="008709AE">
        <w:rPr>
          <w:rFonts w:ascii="Verdana" w:hAnsi="Verdana"/>
          <w:sz w:val="20"/>
          <w:szCs w:val="20"/>
        </w:rPr>
        <w:t xml:space="preserve"> petición</w:t>
      </w:r>
      <w:r w:rsidR="00652BA9" w:rsidRPr="008709AE">
        <w:rPr>
          <w:rFonts w:ascii="Verdana" w:hAnsi="Verdana"/>
          <w:sz w:val="20"/>
        </w:rPr>
        <w:t xml:space="preserve">, </w:t>
      </w:r>
      <w:r w:rsidR="00275CEA" w:rsidRPr="008709AE">
        <w:rPr>
          <w:rFonts w:ascii="Verdana" w:hAnsi="Verdana"/>
          <w:sz w:val="20"/>
          <w:szCs w:val="20"/>
        </w:rPr>
        <w:t>como en ocasiones anteriores</w:t>
      </w:r>
      <w:r w:rsidR="00275CEA" w:rsidRPr="00652BA9">
        <w:rPr>
          <w:rStyle w:val="FootnoteReference"/>
          <w:rFonts w:ascii="Verdana" w:hAnsi="Verdana"/>
          <w:sz w:val="20"/>
          <w:szCs w:val="20"/>
        </w:rPr>
        <w:footnoteReference w:id="40"/>
      </w:r>
      <w:r w:rsidR="00275CEA" w:rsidRPr="008709AE">
        <w:rPr>
          <w:rFonts w:ascii="Verdana" w:hAnsi="Verdana"/>
          <w:sz w:val="20"/>
          <w:szCs w:val="20"/>
        </w:rPr>
        <w:t xml:space="preserve">, </w:t>
      </w:r>
      <w:r w:rsidRPr="008709AE">
        <w:rPr>
          <w:rFonts w:ascii="Verdana" w:hAnsi="Verdana"/>
          <w:sz w:val="20"/>
        </w:rPr>
        <w:t>la Corte</w:t>
      </w:r>
      <w:r w:rsidRPr="008709AE">
        <w:rPr>
          <w:rFonts w:ascii="Verdana" w:hAnsi="Verdana"/>
          <w:sz w:val="20"/>
          <w:szCs w:val="20"/>
        </w:rPr>
        <w:t xml:space="preserve"> </w:t>
      </w:r>
      <w:r w:rsidR="00D84F27" w:rsidRPr="008709AE">
        <w:rPr>
          <w:rFonts w:ascii="Verdana" w:hAnsi="Verdana"/>
          <w:sz w:val="20"/>
          <w:szCs w:val="20"/>
        </w:rPr>
        <w:t>no encuentra motivos para considerar</w:t>
      </w:r>
      <w:r w:rsidR="00652BA9" w:rsidRPr="008709AE">
        <w:rPr>
          <w:rFonts w:ascii="Verdana" w:hAnsi="Verdana"/>
          <w:sz w:val="20"/>
          <w:szCs w:val="20"/>
        </w:rPr>
        <w:t xml:space="preserve">la, </w:t>
      </w:r>
      <w:r w:rsidR="00652BA9" w:rsidRPr="008709AE">
        <w:rPr>
          <w:rFonts w:ascii="Verdana" w:hAnsi="Verdana"/>
          <w:sz w:val="20"/>
          <w:szCs w:val="20"/>
        </w:rPr>
        <w:lastRenderedPageBreak/>
        <w:t>en virtud de</w:t>
      </w:r>
      <w:r w:rsidR="00D84F27" w:rsidRPr="008709AE">
        <w:rPr>
          <w:rFonts w:ascii="Verdana" w:hAnsi="Verdana"/>
          <w:sz w:val="20"/>
          <w:szCs w:val="20"/>
        </w:rPr>
        <w:t xml:space="preserve"> que el mencionado a</w:t>
      </w:r>
      <w:r w:rsidR="00652BA9" w:rsidRPr="008709AE">
        <w:rPr>
          <w:rFonts w:ascii="Verdana" w:hAnsi="Verdana"/>
          <w:sz w:val="20"/>
          <w:szCs w:val="20"/>
        </w:rPr>
        <w:t>cto de reconocimiento cumplió</w:t>
      </w:r>
      <w:r w:rsidR="00D84F27" w:rsidRPr="008709AE">
        <w:rPr>
          <w:rFonts w:ascii="Verdana" w:hAnsi="Verdana"/>
          <w:sz w:val="20"/>
          <w:szCs w:val="20"/>
        </w:rPr>
        <w:t xml:space="preserve"> con lo dispuesto en la Sentencia</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Considerndo 26)</w:t>
      </w:r>
      <w:r w:rsidR="00D84F27" w:rsidRPr="008709AE">
        <w:rPr>
          <w:rFonts w:ascii="Verdana" w:hAnsi="Verdana"/>
          <w:sz w:val="20"/>
          <w:szCs w:val="20"/>
        </w:rPr>
        <w:t xml:space="preserve">. </w:t>
      </w:r>
    </w:p>
    <w:p w14:paraId="28D14E56" w14:textId="77777777" w:rsidR="00140546" w:rsidRPr="00275CEA" w:rsidRDefault="00140546" w:rsidP="00A4635E">
      <w:pPr>
        <w:pStyle w:val="ListParagraph"/>
        <w:spacing w:after="0" w:line="240" w:lineRule="auto"/>
        <w:ind w:left="0"/>
        <w:jc w:val="both"/>
        <w:rPr>
          <w:rFonts w:ascii="Verdana" w:hAnsi="Verdana"/>
          <w:sz w:val="20"/>
        </w:rPr>
      </w:pPr>
    </w:p>
    <w:p w14:paraId="00B6F6B0" w14:textId="17DFB31D" w:rsidR="00624B5A" w:rsidRPr="00275CEA" w:rsidRDefault="00140546" w:rsidP="00A4635E">
      <w:pPr>
        <w:pStyle w:val="ListParagraph"/>
        <w:numPr>
          <w:ilvl w:val="0"/>
          <w:numId w:val="6"/>
        </w:numPr>
        <w:spacing w:after="0" w:line="240" w:lineRule="auto"/>
        <w:ind w:left="0" w:firstLine="0"/>
        <w:jc w:val="both"/>
        <w:rPr>
          <w:rFonts w:ascii="Verdana" w:hAnsi="Verdana"/>
          <w:sz w:val="20"/>
        </w:rPr>
      </w:pPr>
      <w:r w:rsidRPr="00275CEA">
        <w:rPr>
          <w:rFonts w:ascii="Verdana" w:hAnsi="Verdana"/>
          <w:sz w:val="20"/>
        </w:rPr>
        <w:t xml:space="preserve">Por todo lo anterior, el Tribunal considera que el Estado ha dado cumplimiento total a la medida ordenada en el punto resolutivo sexto inciso e) de la Sentencia, relativa a realizar </w:t>
      </w:r>
      <w:r w:rsidRPr="00275CEA">
        <w:rPr>
          <w:rFonts w:ascii="Verdana" w:hAnsi="Verdana"/>
          <w:sz w:val="20"/>
          <w:szCs w:val="20"/>
        </w:rPr>
        <w:t>un acto público de rec</w:t>
      </w:r>
      <w:r w:rsidR="00F97212">
        <w:rPr>
          <w:rFonts w:ascii="Verdana" w:hAnsi="Verdana"/>
          <w:sz w:val="20"/>
          <w:szCs w:val="20"/>
        </w:rPr>
        <w:t>onocimiento de responsabilidad internacional</w:t>
      </w:r>
      <w:r w:rsidRPr="00275CEA">
        <w:rPr>
          <w:rFonts w:ascii="Verdana" w:hAnsi="Verdana"/>
          <w:sz w:val="20"/>
          <w:szCs w:val="20"/>
        </w:rPr>
        <w:t xml:space="preserve"> y disc</w:t>
      </w:r>
      <w:r w:rsidR="00F97212">
        <w:rPr>
          <w:rFonts w:ascii="Verdana" w:hAnsi="Verdana"/>
          <w:sz w:val="20"/>
          <w:szCs w:val="20"/>
        </w:rPr>
        <w:t>ulpa pública</w:t>
      </w:r>
      <w:r w:rsidRPr="00275CEA">
        <w:rPr>
          <w:rFonts w:ascii="Verdana" w:hAnsi="Verdana"/>
          <w:sz w:val="20"/>
          <w:szCs w:val="20"/>
        </w:rPr>
        <w:t xml:space="preserve"> por los hechos del presente caso.</w:t>
      </w:r>
    </w:p>
    <w:p w14:paraId="06226F52" w14:textId="77777777" w:rsidR="00140546" w:rsidRPr="00652BA9" w:rsidRDefault="00140546" w:rsidP="00A4635E">
      <w:pPr>
        <w:pStyle w:val="ListParagraph"/>
        <w:tabs>
          <w:tab w:val="left" w:pos="851"/>
        </w:tabs>
        <w:spacing w:after="0" w:line="240" w:lineRule="auto"/>
        <w:ind w:left="1440"/>
        <w:rPr>
          <w:rFonts w:ascii="Verdana" w:hAnsi="Verdana"/>
          <w:b/>
          <w:i/>
          <w:sz w:val="20"/>
          <w:szCs w:val="20"/>
        </w:rPr>
      </w:pPr>
    </w:p>
    <w:p w14:paraId="721544CD" w14:textId="77777777" w:rsidR="001B0608" w:rsidRPr="00D82517" w:rsidRDefault="001B0608" w:rsidP="00652BA9">
      <w:pPr>
        <w:pStyle w:val="Heading1"/>
        <w:numPr>
          <w:ilvl w:val="0"/>
          <w:numId w:val="34"/>
        </w:numPr>
      </w:pPr>
      <w:bookmarkStart w:id="5" w:name="_Toc524712411"/>
      <w:r w:rsidRPr="00D82517">
        <w:t>Otorgamiento de “becas educativas”</w:t>
      </w:r>
      <w:bookmarkEnd w:id="5"/>
    </w:p>
    <w:p w14:paraId="34FD51A9" w14:textId="77777777" w:rsidR="001B0608" w:rsidRPr="008363E3" w:rsidRDefault="001B0608" w:rsidP="00A4635E">
      <w:pPr>
        <w:spacing w:after="0" w:line="240" w:lineRule="auto"/>
        <w:rPr>
          <w:rFonts w:ascii="Verdana" w:hAnsi="Verdana"/>
          <w:b/>
          <w:i/>
          <w:sz w:val="20"/>
          <w:szCs w:val="20"/>
          <w:lang w:val="es-ES"/>
        </w:rPr>
      </w:pPr>
    </w:p>
    <w:p w14:paraId="75328B3F" w14:textId="6FDF7BDC" w:rsidR="001B0608" w:rsidRPr="00DF7E56" w:rsidRDefault="001B0608" w:rsidP="00A4635E">
      <w:pPr>
        <w:pStyle w:val="ListParagraph"/>
        <w:spacing w:after="0" w:line="240" w:lineRule="auto"/>
        <w:ind w:left="1080" w:hanging="360"/>
        <w:rPr>
          <w:rFonts w:ascii="Verdana" w:hAnsi="Verdana"/>
          <w:i/>
          <w:sz w:val="20"/>
          <w:szCs w:val="20"/>
        </w:rPr>
      </w:pPr>
      <w:r>
        <w:rPr>
          <w:rFonts w:ascii="Verdana" w:hAnsi="Verdana"/>
          <w:i/>
          <w:sz w:val="20"/>
          <w:szCs w:val="20"/>
        </w:rPr>
        <w:t>E</w:t>
      </w:r>
      <w:r w:rsidR="005427F5">
        <w:rPr>
          <w:rFonts w:ascii="Verdana" w:hAnsi="Verdana"/>
          <w:i/>
          <w:sz w:val="20"/>
          <w:szCs w:val="20"/>
        </w:rPr>
        <w:t>.1.</w:t>
      </w:r>
      <w:r w:rsidRPr="00DF7E56">
        <w:rPr>
          <w:rFonts w:ascii="Verdana" w:hAnsi="Verdana"/>
          <w:i/>
          <w:sz w:val="20"/>
          <w:szCs w:val="20"/>
        </w:rPr>
        <w:t xml:space="preserve"> Medida</w:t>
      </w:r>
      <w:r>
        <w:rPr>
          <w:rFonts w:ascii="Verdana" w:hAnsi="Verdana"/>
          <w:i/>
          <w:sz w:val="20"/>
          <w:szCs w:val="20"/>
        </w:rPr>
        <w:t>s</w:t>
      </w:r>
      <w:r w:rsidRPr="00DF7E56">
        <w:rPr>
          <w:rFonts w:ascii="Verdana" w:hAnsi="Verdana"/>
          <w:i/>
          <w:sz w:val="20"/>
          <w:szCs w:val="20"/>
        </w:rPr>
        <w:t xml:space="preserve"> ordenadas por la Corte</w:t>
      </w:r>
    </w:p>
    <w:p w14:paraId="2F14DB56" w14:textId="77777777" w:rsidR="001B0608" w:rsidRPr="00F16DF0" w:rsidRDefault="001B0608" w:rsidP="00A4635E">
      <w:pPr>
        <w:pStyle w:val="ListParagraph"/>
        <w:spacing w:after="0" w:line="240" w:lineRule="auto"/>
        <w:rPr>
          <w:rFonts w:ascii="Verdana" w:hAnsi="Verdana"/>
          <w:sz w:val="20"/>
        </w:rPr>
      </w:pPr>
    </w:p>
    <w:p w14:paraId="4E2F3800" w14:textId="2366A01A" w:rsidR="001B0608" w:rsidRDefault="001B0608" w:rsidP="00A4635E">
      <w:pPr>
        <w:pStyle w:val="ListParagraph"/>
        <w:numPr>
          <w:ilvl w:val="0"/>
          <w:numId w:val="6"/>
        </w:numPr>
        <w:spacing w:after="0" w:line="240" w:lineRule="auto"/>
        <w:ind w:left="0" w:firstLine="0"/>
        <w:jc w:val="both"/>
        <w:rPr>
          <w:rFonts w:ascii="Verdana" w:hAnsi="Verdana"/>
          <w:sz w:val="20"/>
        </w:rPr>
      </w:pPr>
      <w:r w:rsidRPr="00F16DF0">
        <w:rPr>
          <w:rFonts w:ascii="Verdana" w:hAnsi="Verdana"/>
          <w:sz w:val="20"/>
        </w:rPr>
        <w:t xml:space="preserve">En el punto dispositivo sexto inciso g) </w:t>
      </w:r>
      <w:r w:rsidR="00CD517A">
        <w:rPr>
          <w:rFonts w:ascii="Verdana" w:hAnsi="Verdana"/>
          <w:sz w:val="20"/>
        </w:rPr>
        <w:t xml:space="preserve">y </w:t>
      </w:r>
      <w:r w:rsidRPr="00F16DF0">
        <w:rPr>
          <w:rFonts w:ascii="Verdana" w:hAnsi="Verdana"/>
          <w:sz w:val="20"/>
        </w:rPr>
        <w:t>los párrafos 81 a 83 de la Sentencia, la Corte homologó la medida relativa a “</w:t>
      </w:r>
      <w:r w:rsidRPr="00F16DF0">
        <w:rPr>
          <w:rFonts w:ascii="Verdana" w:hAnsi="Verdana"/>
          <w:sz w:val="20"/>
          <w:szCs w:val="20"/>
          <w:lang w:val="es-ES"/>
        </w:rPr>
        <w:t>garantizar la educación de las víctimas hasta la conclusión de sus estudios universitarios o técnicos, según sea su interés [, … a través del] pago de becas educativas”. En el acuerdo de solución amistosa (</w:t>
      </w:r>
      <w:r w:rsidRPr="00F16DF0">
        <w:rPr>
          <w:rFonts w:ascii="Verdana" w:hAnsi="Verdana"/>
          <w:i/>
          <w:sz w:val="20"/>
          <w:szCs w:val="20"/>
          <w:lang w:val="es-ES"/>
        </w:rPr>
        <w:t xml:space="preserve">supra </w:t>
      </w:r>
      <w:r w:rsidRPr="00F16DF0">
        <w:rPr>
          <w:rFonts w:ascii="Verdana" w:hAnsi="Verdana"/>
          <w:sz w:val="20"/>
          <w:szCs w:val="20"/>
          <w:lang w:val="es-ES"/>
        </w:rPr>
        <w:t>Visto 1), el Estado indicó que pagaría dichas becas educativas “a través del Fideicomiso para el Cumplimiento de Obligaciones en Materia de Derechos Humanos, de acuerdo [con] lo establecido en las Reglas de Operación de dicho fideicomiso”. También se acordó q</w:t>
      </w:r>
      <w:r w:rsidR="0084075D">
        <w:rPr>
          <w:rFonts w:ascii="Verdana" w:hAnsi="Verdana"/>
          <w:sz w:val="20"/>
          <w:szCs w:val="20"/>
          <w:lang w:val="es-ES"/>
        </w:rPr>
        <w:t>ue “[l]as víctimas se compromet[ía]</w:t>
      </w:r>
      <w:r w:rsidRPr="00F16DF0">
        <w:rPr>
          <w:rFonts w:ascii="Verdana" w:hAnsi="Verdana"/>
          <w:sz w:val="20"/>
          <w:szCs w:val="20"/>
          <w:lang w:val="es-ES"/>
        </w:rPr>
        <w:t>n a iniciar o reanudar sus estudios dentro de los tres años siguientes a la notificación de la […</w:t>
      </w:r>
      <w:r w:rsidR="0084075D">
        <w:rPr>
          <w:rFonts w:ascii="Verdana" w:hAnsi="Verdana"/>
          <w:sz w:val="20"/>
          <w:szCs w:val="20"/>
          <w:lang w:val="es-ES"/>
        </w:rPr>
        <w:t>] S</w:t>
      </w:r>
      <w:r w:rsidRPr="00F16DF0">
        <w:rPr>
          <w:rFonts w:ascii="Verdana" w:hAnsi="Verdana"/>
          <w:sz w:val="20"/>
          <w:szCs w:val="20"/>
          <w:lang w:val="es-ES"/>
        </w:rPr>
        <w:t xml:space="preserve">entencia”. </w:t>
      </w:r>
    </w:p>
    <w:p w14:paraId="048435F7" w14:textId="77777777" w:rsidR="001B0608" w:rsidRDefault="001B0608" w:rsidP="00A4635E">
      <w:pPr>
        <w:pStyle w:val="ListParagraph"/>
        <w:spacing w:after="0" w:line="240" w:lineRule="auto"/>
        <w:ind w:left="0"/>
        <w:jc w:val="both"/>
        <w:rPr>
          <w:rFonts w:ascii="Verdana" w:hAnsi="Verdana"/>
          <w:sz w:val="20"/>
        </w:rPr>
      </w:pPr>
    </w:p>
    <w:p w14:paraId="5F16EFAA" w14:textId="1E640B5F" w:rsidR="001B0608" w:rsidRPr="00B576E8" w:rsidRDefault="001B0608" w:rsidP="00A4635E">
      <w:pPr>
        <w:pStyle w:val="ListParagraph"/>
        <w:numPr>
          <w:ilvl w:val="0"/>
          <w:numId w:val="6"/>
        </w:numPr>
        <w:spacing w:after="0" w:line="240" w:lineRule="auto"/>
        <w:ind w:left="0" w:firstLine="0"/>
        <w:jc w:val="both"/>
        <w:rPr>
          <w:rFonts w:ascii="Verdana" w:hAnsi="Verdana"/>
          <w:sz w:val="20"/>
        </w:rPr>
      </w:pPr>
      <w:r w:rsidRPr="00F16DF0">
        <w:rPr>
          <w:rFonts w:ascii="Verdana" w:hAnsi="Verdana"/>
          <w:sz w:val="20"/>
          <w:szCs w:val="20"/>
          <w:lang w:val="es-ES"/>
        </w:rPr>
        <w:t xml:space="preserve">A su vez, en el </w:t>
      </w:r>
      <w:r w:rsidRPr="00F16DF0">
        <w:rPr>
          <w:rFonts w:ascii="Verdana" w:hAnsi="Verdana"/>
          <w:sz w:val="20"/>
        </w:rPr>
        <w:t xml:space="preserve">punto dispositivo sexto inciso h) y los párrafos 82 y 83 de la Sentencia, la Corte homologó la medida relativa a </w:t>
      </w:r>
      <w:r w:rsidRPr="00F16DF0">
        <w:rPr>
          <w:rFonts w:ascii="Verdana" w:hAnsi="Verdana"/>
          <w:sz w:val="20"/>
          <w:szCs w:val="20"/>
          <w:lang w:val="es-ES"/>
        </w:rPr>
        <w:t>“‘garantizar la educación de [… la hija del señor Santiago Sánchez Silvestre,] hasta la conclusión de sus estudios universitarios o técnicos, según sea el interés que en su momento tenga la misma’ a través de una ‘beca escolar’”. En la Sentencia se determinó q</w:t>
      </w:r>
      <w:r w:rsidR="00AC3262">
        <w:rPr>
          <w:rFonts w:ascii="Verdana" w:hAnsi="Verdana"/>
          <w:sz w:val="20"/>
          <w:szCs w:val="20"/>
          <w:lang w:val="es-ES"/>
        </w:rPr>
        <w:t>ue la referida beca “se otorgar[ía]</w:t>
      </w:r>
      <w:r w:rsidRPr="00F16DF0">
        <w:rPr>
          <w:rFonts w:ascii="Verdana" w:hAnsi="Verdana"/>
          <w:sz w:val="20"/>
          <w:szCs w:val="20"/>
          <w:lang w:val="es-ES"/>
        </w:rPr>
        <w:t xml:space="preserve"> año con año en numerario una vez que se demuestr[e] que se ha acreditado el año escolar inmediato anterior de aquel para el que se solicite la beca del año correspondiente”. También se acordó que “[e]l cálculo para el otorgamiento de la beca se determinará de conformidad con las Reglas de Operación del Fideicomiso para el Cumplimiento de Obligaciones en Materia de Derechos Humanos”. </w:t>
      </w:r>
      <w:r w:rsidR="002E2D7A">
        <w:rPr>
          <w:rFonts w:ascii="Verdana" w:hAnsi="Verdana"/>
          <w:sz w:val="20"/>
          <w:szCs w:val="20"/>
          <w:lang w:val="es-ES"/>
        </w:rPr>
        <w:t xml:space="preserve">Asimismo, se detalló que “[e]l cumplimiento de esta medida estará a cargo de la Unidad para la Defensa de los Derechos Humanos de la Secretaría de Gobernación”. </w:t>
      </w:r>
    </w:p>
    <w:p w14:paraId="0DF529AC" w14:textId="77777777" w:rsidR="00652BA9" w:rsidRPr="00652BA9" w:rsidRDefault="00652BA9" w:rsidP="00652BA9">
      <w:pPr>
        <w:spacing w:after="0" w:line="240" w:lineRule="auto"/>
        <w:rPr>
          <w:rFonts w:ascii="Verdana" w:hAnsi="Verdana"/>
          <w:i/>
          <w:sz w:val="20"/>
          <w:szCs w:val="20"/>
        </w:rPr>
      </w:pPr>
    </w:p>
    <w:p w14:paraId="1C5A451C" w14:textId="1D79BEAF" w:rsidR="00CE0096" w:rsidRDefault="00D82517" w:rsidP="00A4635E">
      <w:pPr>
        <w:pStyle w:val="ListParagraph"/>
        <w:spacing w:after="0" w:line="240" w:lineRule="auto"/>
        <w:ind w:left="1080" w:hanging="360"/>
        <w:rPr>
          <w:rFonts w:ascii="Verdana" w:hAnsi="Verdana"/>
          <w:i/>
          <w:sz w:val="20"/>
          <w:szCs w:val="20"/>
        </w:rPr>
      </w:pPr>
      <w:r>
        <w:rPr>
          <w:rFonts w:ascii="Verdana" w:hAnsi="Verdana"/>
          <w:i/>
          <w:sz w:val="20"/>
          <w:szCs w:val="20"/>
        </w:rPr>
        <w:t>E.</w:t>
      </w:r>
      <w:r w:rsidR="00FA6862">
        <w:rPr>
          <w:rFonts w:ascii="Verdana" w:hAnsi="Verdana"/>
          <w:i/>
          <w:sz w:val="20"/>
          <w:szCs w:val="20"/>
        </w:rPr>
        <w:t>2</w:t>
      </w:r>
      <w:r w:rsidR="00AC3262">
        <w:rPr>
          <w:rFonts w:ascii="Verdana" w:hAnsi="Verdana"/>
          <w:i/>
          <w:sz w:val="20"/>
          <w:szCs w:val="20"/>
        </w:rPr>
        <w:t>.</w:t>
      </w:r>
      <w:r>
        <w:rPr>
          <w:rFonts w:ascii="Verdana" w:hAnsi="Verdana"/>
          <w:i/>
          <w:sz w:val="20"/>
          <w:szCs w:val="20"/>
        </w:rPr>
        <w:t xml:space="preserve"> </w:t>
      </w:r>
      <w:r w:rsidR="00CE0096">
        <w:rPr>
          <w:rFonts w:ascii="Verdana" w:hAnsi="Verdana"/>
          <w:i/>
          <w:sz w:val="20"/>
          <w:szCs w:val="20"/>
        </w:rPr>
        <w:t>Supervisión realizada en Resolución anterior</w:t>
      </w:r>
    </w:p>
    <w:p w14:paraId="3B3CC585" w14:textId="77777777" w:rsidR="001B0608" w:rsidRPr="00CE0096" w:rsidRDefault="001B0608" w:rsidP="00CE0096">
      <w:pPr>
        <w:spacing w:after="0" w:line="240" w:lineRule="auto"/>
        <w:rPr>
          <w:rFonts w:ascii="Verdana" w:hAnsi="Verdana"/>
          <w:sz w:val="20"/>
          <w:szCs w:val="20"/>
          <w:lang w:val="es-ES"/>
        </w:rPr>
      </w:pPr>
    </w:p>
    <w:p w14:paraId="25725CE7" w14:textId="690DE992" w:rsidR="002E2D7A" w:rsidRPr="001E2B84" w:rsidRDefault="001B0608" w:rsidP="00A4635E">
      <w:pPr>
        <w:pStyle w:val="ListParagraph"/>
        <w:numPr>
          <w:ilvl w:val="0"/>
          <w:numId w:val="6"/>
        </w:numPr>
        <w:spacing w:after="0" w:line="240" w:lineRule="auto"/>
        <w:ind w:left="0" w:firstLine="0"/>
        <w:jc w:val="both"/>
        <w:rPr>
          <w:rFonts w:ascii="Verdana" w:hAnsi="Verdana"/>
          <w:sz w:val="20"/>
        </w:rPr>
      </w:pPr>
      <w:r w:rsidRPr="0092528C">
        <w:rPr>
          <w:rFonts w:ascii="Verdana" w:hAnsi="Verdana"/>
          <w:sz w:val="20"/>
          <w:szCs w:val="20"/>
          <w:lang w:val="es-ES"/>
        </w:rPr>
        <w:t>La Corte c</w:t>
      </w:r>
      <w:r w:rsidR="00CE0096">
        <w:rPr>
          <w:rFonts w:ascii="Verdana" w:hAnsi="Verdana"/>
          <w:sz w:val="20"/>
          <w:szCs w:val="20"/>
          <w:lang w:val="es-ES"/>
        </w:rPr>
        <w:t>onstató mediante Resolución de s</w:t>
      </w:r>
      <w:r w:rsidRPr="0092528C">
        <w:rPr>
          <w:rFonts w:ascii="Verdana" w:hAnsi="Verdana"/>
          <w:sz w:val="20"/>
          <w:szCs w:val="20"/>
          <w:lang w:val="es-ES"/>
        </w:rPr>
        <w:t>upervisión de 1 de septiembre de 2016, que el Comité Técnico del Fideicomiso para el Cumplimiento de Obligaciones en Materia de Derechos Humanos aprobó los “pagos de obligaciones pecuniarias a cargo del Estado […] en el [presente] caso”, dentro de los cuales se encuentran los pagos “relativos a las becas educativas” y creó tres subcuentas a favor del señor García Cruz, el señor Sánchez Silvestre y la hija de este último</w:t>
      </w:r>
      <w:r w:rsidRPr="00DF7E56">
        <w:rPr>
          <w:rStyle w:val="FootnoteReference"/>
          <w:rFonts w:ascii="Verdana" w:hAnsi="Verdana"/>
          <w:sz w:val="20"/>
          <w:szCs w:val="20"/>
          <w:lang w:val="es-ES"/>
        </w:rPr>
        <w:footnoteReference w:id="41"/>
      </w:r>
      <w:r w:rsidR="00AC3262">
        <w:rPr>
          <w:rFonts w:ascii="Verdana" w:hAnsi="Verdana"/>
          <w:sz w:val="20"/>
          <w:szCs w:val="20"/>
          <w:lang w:val="es-ES"/>
        </w:rPr>
        <w:t>. E</w:t>
      </w:r>
      <w:r w:rsidR="00C15DEB">
        <w:rPr>
          <w:rFonts w:ascii="Verdana" w:hAnsi="Verdana"/>
          <w:sz w:val="20"/>
          <w:szCs w:val="20"/>
          <w:lang w:val="es-ES"/>
        </w:rPr>
        <w:t>n tal virtud declaró que el Estado “</w:t>
      </w:r>
      <w:r w:rsidR="00C15DEB" w:rsidRPr="00DF7E56">
        <w:rPr>
          <w:rFonts w:ascii="Verdana" w:hAnsi="Verdana"/>
          <w:sz w:val="20"/>
          <w:szCs w:val="20"/>
          <w:lang w:val="es-ES"/>
        </w:rPr>
        <w:t>ha venido dando cumplimiento a las medidas de reparación relativas a garantizar la educación de las víctimas y de la hija del señor Sánchez Silvestre hasta la conclusión de sus estudios universitarios o técnicos, según sea su interés, a través del pago de becas educativas</w:t>
      </w:r>
      <w:r w:rsidR="00C15DEB">
        <w:rPr>
          <w:rFonts w:ascii="Verdana" w:hAnsi="Verdana"/>
          <w:sz w:val="20"/>
          <w:szCs w:val="20"/>
          <w:lang w:val="es-ES"/>
        </w:rPr>
        <w:t xml:space="preserve">”. </w:t>
      </w:r>
    </w:p>
    <w:p w14:paraId="2F62DEBD" w14:textId="77777777" w:rsidR="002E2D7A" w:rsidRDefault="002E2D7A" w:rsidP="00CD0082">
      <w:pPr>
        <w:pStyle w:val="ListParagraph"/>
        <w:spacing w:after="0" w:line="240" w:lineRule="auto"/>
        <w:ind w:left="0"/>
        <w:jc w:val="both"/>
        <w:rPr>
          <w:rFonts w:ascii="Verdana" w:hAnsi="Verdana"/>
          <w:sz w:val="20"/>
        </w:rPr>
      </w:pPr>
    </w:p>
    <w:p w14:paraId="34686F4D" w14:textId="77777777" w:rsidR="00CE0096" w:rsidRDefault="00CE0096" w:rsidP="00CE0096">
      <w:pPr>
        <w:pStyle w:val="ListParagraph"/>
        <w:spacing w:after="0" w:line="240" w:lineRule="auto"/>
        <w:ind w:left="1080" w:hanging="360"/>
        <w:rPr>
          <w:rFonts w:ascii="Verdana" w:hAnsi="Verdana"/>
          <w:i/>
          <w:sz w:val="20"/>
          <w:szCs w:val="20"/>
        </w:rPr>
      </w:pPr>
    </w:p>
    <w:p w14:paraId="20C930F7" w14:textId="77777777" w:rsidR="00CE0096" w:rsidRDefault="00CE0096" w:rsidP="00CE0096">
      <w:pPr>
        <w:pStyle w:val="ListParagraph"/>
        <w:spacing w:after="0" w:line="240" w:lineRule="auto"/>
        <w:ind w:left="1080" w:hanging="360"/>
        <w:rPr>
          <w:rFonts w:ascii="Verdana" w:hAnsi="Verdana"/>
          <w:i/>
          <w:sz w:val="20"/>
          <w:szCs w:val="20"/>
        </w:rPr>
      </w:pPr>
    </w:p>
    <w:p w14:paraId="6168288E" w14:textId="77777777" w:rsidR="00CE0096" w:rsidRDefault="00CE0096" w:rsidP="00CE0096">
      <w:pPr>
        <w:pStyle w:val="ListParagraph"/>
        <w:spacing w:after="0" w:line="240" w:lineRule="auto"/>
        <w:ind w:left="1080" w:hanging="360"/>
        <w:rPr>
          <w:rFonts w:ascii="Verdana" w:hAnsi="Verdana"/>
          <w:i/>
          <w:sz w:val="20"/>
          <w:szCs w:val="20"/>
        </w:rPr>
      </w:pPr>
    </w:p>
    <w:p w14:paraId="2582AA3A" w14:textId="77777777" w:rsidR="00CE0096" w:rsidRPr="00DF7E56" w:rsidRDefault="00CE0096" w:rsidP="00CE0096">
      <w:pPr>
        <w:pStyle w:val="ListParagraph"/>
        <w:spacing w:after="0" w:line="240" w:lineRule="auto"/>
        <w:ind w:left="1080" w:hanging="360"/>
        <w:rPr>
          <w:rFonts w:ascii="Verdana" w:hAnsi="Verdana"/>
          <w:i/>
          <w:sz w:val="20"/>
          <w:szCs w:val="20"/>
        </w:rPr>
      </w:pPr>
      <w:r>
        <w:rPr>
          <w:rFonts w:ascii="Verdana" w:hAnsi="Verdana"/>
          <w:i/>
          <w:sz w:val="20"/>
          <w:szCs w:val="20"/>
        </w:rPr>
        <w:lastRenderedPageBreak/>
        <w:t>E.3</w:t>
      </w:r>
      <w:r>
        <w:rPr>
          <w:rFonts w:ascii="Verdana" w:hAnsi="Verdana"/>
          <w:i/>
          <w:sz w:val="20"/>
          <w:szCs w:val="20"/>
        </w:rPr>
        <w:tab/>
      </w:r>
      <w:r w:rsidRPr="00DF7E56">
        <w:rPr>
          <w:rFonts w:ascii="Verdana" w:hAnsi="Verdana"/>
          <w:i/>
          <w:sz w:val="20"/>
          <w:szCs w:val="20"/>
        </w:rPr>
        <w:t>Consideraciones de la Corte</w:t>
      </w:r>
    </w:p>
    <w:p w14:paraId="58B860DA" w14:textId="77777777" w:rsidR="00CE0096" w:rsidRPr="001E2B84" w:rsidRDefault="00CE0096" w:rsidP="00CD0082">
      <w:pPr>
        <w:pStyle w:val="ListParagraph"/>
        <w:spacing w:after="0" w:line="240" w:lineRule="auto"/>
        <w:ind w:left="0"/>
        <w:jc w:val="both"/>
        <w:rPr>
          <w:rFonts w:ascii="Verdana" w:hAnsi="Verdana"/>
          <w:sz w:val="20"/>
        </w:rPr>
      </w:pPr>
    </w:p>
    <w:p w14:paraId="7F07C3CF" w14:textId="23E40B5D" w:rsidR="001B0608" w:rsidRPr="0092528C" w:rsidRDefault="00CE0096" w:rsidP="00A4635E">
      <w:pPr>
        <w:pStyle w:val="ListParagraph"/>
        <w:numPr>
          <w:ilvl w:val="0"/>
          <w:numId w:val="6"/>
        </w:numPr>
        <w:spacing w:after="0" w:line="240" w:lineRule="auto"/>
        <w:ind w:left="0" w:firstLine="0"/>
        <w:jc w:val="both"/>
        <w:rPr>
          <w:rFonts w:ascii="Verdana" w:hAnsi="Verdana"/>
          <w:sz w:val="20"/>
        </w:rPr>
      </w:pPr>
      <w:r>
        <w:rPr>
          <w:rFonts w:ascii="Verdana" w:hAnsi="Verdana"/>
          <w:sz w:val="20"/>
          <w:szCs w:val="20"/>
        </w:rPr>
        <w:t>E</w:t>
      </w:r>
      <w:r w:rsidR="001B0608" w:rsidRPr="0092528C">
        <w:rPr>
          <w:rFonts w:ascii="Verdana" w:hAnsi="Verdana"/>
          <w:sz w:val="20"/>
          <w:szCs w:val="20"/>
          <w:lang w:val="es-ES"/>
        </w:rPr>
        <w:t xml:space="preserve">l </w:t>
      </w:r>
      <w:r w:rsidR="001B0608" w:rsidRPr="00083B0C">
        <w:rPr>
          <w:rFonts w:ascii="Verdana" w:hAnsi="Verdana"/>
          <w:i/>
          <w:sz w:val="20"/>
          <w:szCs w:val="20"/>
          <w:lang w:val="es-ES"/>
        </w:rPr>
        <w:t>Estado</w:t>
      </w:r>
      <w:r w:rsidR="001B0608" w:rsidRPr="0092528C">
        <w:rPr>
          <w:rFonts w:ascii="Verdana" w:hAnsi="Verdana"/>
          <w:sz w:val="20"/>
          <w:szCs w:val="20"/>
          <w:lang w:val="es-ES"/>
        </w:rPr>
        <w:t xml:space="preserve"> señaló</w:t>
      </w:r>
      <w:r w:rsidR="00652BA9">
        <w:rPr>
          <w:rFonts w:ascii="Verdana" w:hAnsi="Verdana"/>
          <w:sz w:val="20"/>
          <w:szCs w:val="20"/>
          <w:lang w:val="es-ES"/>
        </w:rPr>
        <w:t xml:space="preserve"> en sus informes de marzo de 2017 y febrero 2018</w:t>
      </w:r>
      <w:r w:rsidR="002E2D7A">
        <w:rPr>
          <w:rFonts w:ascii="Verdana" w:hAnsi="Verdana"/>
          <w:sz w:val="20"/>
          <w:szCs w:val="20"/>
          <w:lang w:val="es-ES"/>
        </w:rPr>
        <w:t>,</w:t>
      </w:r>
      <w:r w:rsidR="001B0608" w:rsidRPr="0092528C">
        <w:rPr>
          <w:rFonts w:ascii="Verdana" w:hAnsi="Verdana"/>
          <w:sz w:val="20"/>
          <w:szCs w:val="20"/>
          <w:lang w:val="es-ES"/>
        </w:rPr>
        <w:t xml:space="preserve"> que ha </w:t>
      </w:r>
      <w:r w:rsidR="002E2D7A">
        <w:rPr>
          <w:rFonts w:ascii="Verdana" w:hAnsi="Verdana"/>
          <w:sz w:val="20"/>
          <w:szCs w:val="20"/>
          <w:lang w:val="es-ES"/>
        </w:rPr>
        <w:t>comunicado</w:t>
      </w:r>
      <w:r w:rsidR="002E2D7A" w:rsidRPr="0092528C">
        <w:rPr>
          <w:rFonts w:ascii="Verdana" w:hAnsi="Verdana"/>
          <w:sz w:val="20"/>
          <w:szCs w:val="20"/>
          <w:lang w:val="es-ES"/>
        </w:rPr>
        <w:t xml:space="preserve"> </w:t>
      </w:r>
      <w:r w:rsidR="001B0608" w:rsidRPr="0092528C">
        <w:rPr>
          <w:rFonts w:ascii="Verdana" w:hAnsi="Verdana"/>
          <w:sz w:val="20"/>
          <w:szCs w:val="20"/>
          <w:lang w:val="es-ES"/>
        </w:rPr>
        <w:t xml:space="preserve">en reiteradas ocasiones a los representantes de las víctimas que a efecto de entregar los montos correspondientes al año escolar de cada uno de los beneficiarios, es necesario que se entreguen los comprobantes que acrediten su inscripción en una institución educativa y </w:t>
      </w:r>
      <w:r w:rsidR="00D74651" w:rsidRPr="0092528C">
        <w:rPr>
          <w:rFonts w:ascii="Verdana" w:hAnsi="Verdana"/>
          <w:sz w:val="20"/>
          <w:szCs w:val="20"/>
          <w:lang w:val="es-ES"/>
        </w:rPr>
        <w:t>justifiquen</w:t>
      </w:r>
      <w:r w:rsidR="001B0608" w:rsidRPr="0092528C">
        <w:rPr>
          <w:rFonts w:ascii="Verdana" w:hAnsi="Verdana"/>
          <w:sz w:val="20"/>
          <w:szCs w:val="20"/>
          <w:lang w:val="es-ES"/>
        </w:rPr>
        <w:t xml:space="preserve"> que</w:t>
      </w:r>
      <w:r w:rsidR="00D74651" w:rsidRPr="0092528C">
        <w:rPr>
          <w:rFonts w:ascii="Verdana" w:hAnsi="Verdana"/>
          <w:sz w:val="20"/>
          <w:szCs w:val="20"/>
          <w:lang w:val="es-ES"/>
        </w:rPr>
        <w:t xml:space="preserve"> se</w:t>
      </w:r>
      <w:r w:rsidR="001B0608" w:rsidRPr="0092528C">
        <w:rPr>
          <w:rFonts w:ascii="Verdana" w:hAnsi="Verdana"/>
          <w:sz w:val="20"/>
          <w:szCs w:val="20"/>
          <w:lang w:val="es-ES"/>
        </w:rPr>
        <w:t xml:space="preserve"> cursó el ciclo escolar previo. Sin embargo, </w:t>
      </w:r>
      <w:r w:rsidR="00435378" w:rsidRPr="00435378">
        <w:rPr>
          <w:rFonts w:ascii="Verdana" w:hAnsi="Verdana"/>
          <w:i/>
          <w:sz w:val="20"/>
          <w:szCs w:val="20"/>
          <w:lang w:val="es-ES"/>
        </w:rPr>
        <w:t>México</w:t>
      </w:r>
      <w:r w:rsidR="002E2D7A">
        <w:rPr>
          <w:rFonts w:ascii="Verdana" w:hAnsi="Verdana"/>
          <w:sz w:val="20"/>
          <w:szCs w:val="20"/>
          <w:lang w:val="es-ES"/>
        </w:rPr>
        <w:t xml:space="preserve"> indicó que </w:t>
      </w:r>
      <w:r w:rsidR="001B0608" w:rsidRPr="0092528C">
        <w:rPr>
          <w:rFonts w:ascii="Verdana" w:hAnsi="Verdana"/>
          <w:sz w:val="20"/>
          <w:szCs w:val="20"/>
          <w:lang w:val="es-ES"/>
        </w:rPr>
        <w:t xml:space="preserve">a la fecha no se ha recibido información alguna </w:t>
      </w:r>
      <w:r w:rsidR="00D24A1E">
        <w:rPr>
          <w:rFonts w:ascii="Verdana" w:hAnsi="Verdana"/>
          <w:sz w:val="20"/>
          <w:szCs w:val="20"/>
          <w:lang w:val="es-ES"/>
        </w:rPr>
        <w:t>por</w:t>
      </w:r>
      <w:r w:rsidR="001B0608" w:rsidRPr="0092528C">
        <w:rPr>
          <w:rFonts w:ascii="Verdana" w:hAnsi="Verdana"/>
          <w:sz w:val="20"/>
          <w:szCs w:val="20"/>
          <w:lang w:val="es-ES"/>
        </w:rPr>
        <w:t xml:space="preserve"> parte de las v</w:t>
      </w:r>
      <w:r w:rsidR="00D74651" w:rsidRPr="0092528C">
        <w:rPr>
          <w:rFonts w:ascii="Verdana" w:hAnsi="Verdana"/>
          <w:sz w:val="20"/>
          <w:szCs w:val="20"/>
          <w:lang w:val="es-ES"/>
        </w:rPr>
        <w:t xml:space="preserve">íctimas o de sus representantes respecto a su interés </w:t>
      </w:r>
      <w:r w:rsidR="00C827DB">
        <w:rPr>
          <w:rFonts w:ascii="Verdana" w:hAnsi="Verdana"/>
          <w:sz w:val="20"/>
          <w:szCs w:val="20"/>
          <w:lang w:val="es-ES"/>
        </w:rPr>
        <w:t xml:space="preserve">por acceder a las becas. El </w:t>
      </w:r>
      <w:r w:rsidR="00C827DB" w:rsidRPr="004171D0">
        <w:rPr>
          <w:rFonts w:ascii="Verdana" w:hAnsi="Verdana"/>
          <w:i/>
          <w:sz w:val="20"/>
          <w:szCs w:val="20"/>
          <w:lang w:val="es-ES"/>
        </w:rPr>
        <w:t>Estado</w:t>
      </w:r>
      <w:r w:rsidR="00C827DB">
        <w:rPr>
          <w:rFonts w:ascii="Verdana" w:hAnsi="Verdana"/>
          <w:sz w:val="20"/>
          <w:szCs w:val="20"/>
          <w:lang w:val="es-ES"/>
        </w:rPr>
        <w:t xml:space="preserve"> también señaló</w:t>
      </w:r>
      <w:r w:rsidR="00D74651" w:rsidRPr="0092528C">
        <w:rPr>
          <w:rFonts w:ascii="Verdana" w:hAnsi="Verdana"/>
          <w:sz w:val="20"/>
          <w:szCs w:val="20"/>
          <w:lang w:val="es-ES"/>
        </w:rPr>
        <w:t xml:space="preserve"> que “</w:t>
      </w:r>
      <w:r w:rsidR="001B0608" w:rsidRPr="0092528C">
        <w:rPr>
          <w:rFonts w:ascii="Verdana" w:hAnsi="Verdana"/>
          <w:sz w:val="20"/>
          <w:szCs w:val="20"/>
          <w:lang w:val="es-ES"/>
        </w:rPr>
        <w:t xml:space="preserve">de conformidad con lo dispuesto por el numeral 14 de las Reglas de Operación del Fideicomiso, los recursos económicos se encuentran garantizados en subcuentas bancarias </w:t>
      </w:r>
      <w:r w:rsidR="00A55CD9">
        <w:rPr>
          <w:rFonts w:ascii="Verdana" w:hAnsi="Verdana"/>
          <w:sz w:val="20"/>
          <w:szCs w:val="20"/>
          <w:lang w:val="es-ES"/>
        </w:rPr>
        <w:t>[…]</w:t>
      </w:r>
      <w:r w:rsidR="001B0608" w:rsidRPr="0092528C">
        <w:rPr>
          <w:rFonts w:ascii="Verdana" w:hAnsi="Verdana"/>
          <w:sz w:val="20"/>
          <w:szCs w:val="20"/>
          <w:lang w:val="es-ES"/>
        </w:rPr>
        <w:t xml:space="preserve"> a nombre d</w:t>
      </w:r>
      <w:r w:rsidR="00652BA9">
        <w:rPr>
          <w:rFonts w:ascii="Verdana" w:hAnsi="Verdana"/>
          <w:sz w:val="20"/>
          <w:szCs w:val="20"/>
          <w:lang w:val="es-ES"/>
        </w:rPr>
        <w:t>e</w:t>
      </w:r>
      <w:r w:rsidR="00A55CD9">
        <w:rPr>
          <w:rFonts w:ascii="Verdana" w:hAnsi="Verdana"/>
          <w:sz w:val="20"/>
          <w:szCs w:val="20"/>
          <w:lang w:val="es-ES"/>
        </w:rPr>
        <w:t xml:space="preserve"> cada uno de los beneficiarios” y enfatizó</w:t>
      </w:r>
      <w:r w:rsidR="00652BA9">
        <w:rPr>
          <w:rFonts w:ascii="Verdana" w:hAnsi="Verdana"/>
          <w:sz w:val="20"/>
          <w:szCs w:val="20"/>
          <w:lang w:val="es-ES"/>
        </w:rPr>
        <w:t xml:space="preserve"> que</w:t>
      </w:r>
      <w:r w:rsidR="00E4451C">
        <w:rPr>
          <w:rFonts w:ascii="Verdana" w:hAnsi="Verdana"/>
          <w:sz w:val="20"/>
          <w:szCs w:val="20"/>
          <w:lang w:val="es-ES"/>
        </w:rPr>
        <w:t>,</w:t>
      </w:r>
      <w:r w:rsidR="00652BA9">
        <w:rPr>
          <w:rFonts w:ascii="Verdana" w:hAnsi="Verdana"/>
          <w:sz w:val="20"/>
          <w:szCs w:val="20"/>
          <w:lang w:val="es-ES"/>
        </w:rPr>
        <w:t xml:space="preserve"> “</w:t>
      </w:r>
      <w:r w:rsidR="001B0608" w:rsidRPr="0092528C">
        <w:rPr>
          <w:rFonts w:ascii="Verdana" w:hAnsi="Verdana"/>
          <w:sz w:val="20"/>
          <w:szCs w:val="20"/>
          <w:lang w:val="es-ES"/>
        </w:rPr>
        <w:t>de conformidad con las citadas Reglas de Operación de Fideicomiso, los recursos económicos se encontrarán disponibles en las subcuentas abiertas a nombre de los beneficiarios por un período de cuatro años contados a partir del 24 de marzo de 2014, al término del cual, los recursos regresarán al patrimonio del fideicomiso”</w:t>
      </w:r>
      <w:r w:rsidR="001B0608">
        <w:rPr>
          <w:rStyle w:val="FootnoteReference"/>
          <w:rFonts w:ascii="Verdana" w:hAnsi="Verdana"/>
          <w:sz w:val="20"/>
          <w:szCs w:val="20"/>
          <w:lang w:val="es-ES"/>
        </w:rPr>
        <w:footnoteReference w:id="42"/>
      </w:r>
      <w:r w:rsidR="001B0608" w:rsidRPr="0092528C">
        <w:rPr>
          <w:rFonts w:ascii="Verdana" w:hAnsi="Verdana"/>
          <w:sz w:val="20"/>
          <w:szCs w:val="20"/>
          <w:lang w:val="es-ES"/>
        </w:rPr>
        <w:t>.</w:t>
      </w:r>
      <w:r w:rsidR="001B0608" w:rsidRPr="0092528C">
        <w:rPr>
          <w:rFonts w:ascii="Verdana" w:hAnsi="Verdana"/>
          <w:sz w:val="20"/>
        </w:rPr>
        <w:t xml:space="preserve"> </w:t>
      </w:r>
      <w:r w:rsidR="00E4451C">
        <w:rPr>
          <w:rFonts w:ascii="Verdana" w:hAnsi="Verdana"/>
          <w:sz w:val="20"/>
          <w:szCs w:val="20"/>
          <w:lang w:val="es-ES"/>
        </w:rPr>
        <w:t>Respecto a dicha información,</w:t>
      </w:r>
      <w:r w:rsidR="001B0608" w:rsidRPr="0092528C">
        <w:rPr>
          <w:rFonts w:ascii="Verdana" w:hAnsi="Verdana"/>
          <w:sz w:val="20"/>
          <w:szCs w:val="20"/>
          <w:lang w:val="es-ES"/>
        </w:rPr>
        <w:t xml:space="preserve"> los </w:t>
      </w:r>
      <w:r w:rsidR="001B0608" w:rsidRPr="00E4451C">
        <w:rPr>
          <w:rFonts w:ascii="Verdana" w:hAnsi="Verdana"/>
          <w:i/>
          <w:sz w:val="20"/>
          <w:szCs w:val="20"/>
          <w:lang w:val="es-ES"/>
        </w:rPr>
        <w:t xml:space="preserve">representantes </w:t>
      </w:r>
      <w:r w:rsidR="00E4451C" w:rsidRPr="00E4451C">
        <w:rPr>
          <w:rFonts w:ascii="Verdana" w:hAnsi="Verdana"/>
          <w:i/>
          <w:sz w:val="20"/>
          <w:szCs w:val="20"/>
          <w:lang w:val="es-ES"/>
        </w:rPr>
        <w:t xml:space="preserve">de las víctimas </w:t>
      </w:r>
      <w:r w:rsidR="001B0608" w:rsidRPr="0092528C">
        <w:rPr>
          <w:rFonts w:ascii="Verdana" w:hAnsi="Verdana"/>
          <w:sz w:val="20"/>
          <w:szCs w:val="20"/>
          <w:lang w:val="es-ES"/>
        </w:rPr>
        <w:t xml:space="preserve">indicaron que consideran </w:t>
      </w:r>
      <w:r w:rsidR="002E2D7A">
        <w:rPr>
          <w:rFonts w:ascii="Verdana" w:hAnsi="Verdana"/>
          <w:sz w:val="20"/>
          <w:szCs w:val="20"/>
          <w:lang w:val="es-ES"/>
        </w:rPr>
        <w:t>“</w:t>
      </w:r>
      <w:r w:rsidR="001B0608" w:rsidRPr="0092528C">
        <w:rPr>
          <w:rFonts w:ascii="Verdana" w:hAnsi="Verdana"/>
          <w:sz w:val="20"/>
          <w:szCs w:val="20"/>
          <w:lang w:val="es-ES"/>
        </w:rPr>
        <w:t>indispensable que los recursos se encuentren disponibles en el momento en el que se realice la solicitud respectiva, sin que existan límites temporales que puedan afectar los derechos de las personas beneficiarias en su condición de víctimas</w:t>
      </w:r>
      <w:r w:rsidR="0064572D">
        <w:rPr>
          <w:rFonts w:ascii="Verdana" w:hAnsi="Verdana"/>
          <w:sz w:val="20"/>
          <w:szCs w:val="20"/>
          <w:lang w:val="es-ES"/>
        </w:rPr>
        <w:t>”</w:t>
      </w:r>
      <w:r w:rsidR="001B0608">
        <w:rPr>
          <w:rStyle w:val="FootnoteReference"/>
          <w:rFonts w:ascii="Verdana" w:hAnsi="Verdana"/>
          <w:sz w:val="20"/>
          <w:szCs w:val="20"/>
          <w:lang w:val="es-ES"/>
        </w:rPr>
        <w:footnoteReference w:id="43"/>
      </w:r>
      <w:r w:rsidR="001B0608" w:rsidRPr="0092528C">
        <w:rPr>
          <w:rFonts w:ascii="Verdana" w:hAnsi="Verdana"/>
          <w:sz w:val="20"/>
          <w:szCs w:val="20"/>
          <w:lang w:val="es-ES"/>
        </w:rPr>
        <w:t xml:space="preserve">. </w:t>
      </w:r>
    </w:p>
    <w:p w14:paraId="67EFE385" w14:textId="77777777" w:rsidR="001B0608" w:rsidRDefault="001B0608" w:rsidP="00A4635E">
      <w:pPr>
        <w:pStyle w:val="ListParagraph"/>
        <w:spacing w:after="0" w:line="240" w:lineRule="auto"/>
        <w:ind w:left="0"/>
        <w:jc w:val="both"/>
        <w:rPr>
          <w:rFonts w:ascii="Verdana" w:hAnsi="Verdana"/>
          <w:sz w:val="20"/>
        </w:rPr>
      </w:pPr>
    </w:p>
    <w:p w14:paraId="78F840F3" w14:textId="7CCFDF08" w:rsidR="001B0608" w:rsidRPr="00760328" w:rsidRDefault="00652BA9" w:rsidP="00A4635E">
      <w:pPr>
        <w:pStyle w:val="ListParagraph"/>
        <w:numPr>
          <w:ilvl w:val="0"/>
          <w:numId w:val="6"/>
        </w:numPr>
        <w:spacing w:after="0" w:line="240" w:lineRule="auto"/>
        <w:ind w:left="0" w:firstLine="0"/>
        <w:jc w:val="both"/>
        <w:rPr>
          <w:rFonts w:ascii="Verdana" w:hAnsi="Verdana"/>
          <w:sz w:val="20"/>
        </w:rPr>
      </w:pPr>
      <w:r>
        <w:rPr>
          <w:rFonts w:ascii="Verdana" w:hAnsi="Verdana"/>
          <w:sz w:val="20"/>
          <w:szCs w:val="20"/>
          <w:lang w:val="es-ES"/>
        </w:rPr>
        <w:t>E</w:t>
      </w:r>
      <w:r w:rsidR="001B0608" w:rsidRPr="002A4ED1">
        <w:rPr>
          <w:rFonts w:ascii="Verdana" w:hAnsi="Verdana"/>
          <w:sz w:val="20"/>
          <w:szCs w:val="20"/>
          <w:lang w:val="es-ES"/>
        </w:rPr>
        <w:t>l Tribunal recuerda que en el acuerdo de solución amistosa (</w:t>
      </w:r>
      <w:r w:rsidR="001B0608" w:rsidRPr="002A4ED1">
        <w:rPr>
          <w:rFonts w:ascii="Verdana" w:hAnsi="Verdana"/>
          <w:i/>
          <w:sz w:val="20"/>
          <w:szCs w:val="20"/>
          <w:lang w:val="es-ES"/>
        </w:rPr>
        <w:t xml:space="preserve">supra </w:t>
      </w:r>
      <w:r w:rsidR="001B0608" w:rsidRPr="002A4ED1">
        <w:rPr>
          <w:rFonts w:ascii="Verdana" w:hAnsi="Verdana"/>
          <w:sz w:val="20"/>
          <w:szCs w:val="20"/>
          <w:lang w:val="es-ES"/>
        </w:rPr>
        <w:t>Visto 1) las partes suscribieron un compromiso, homologado por la Corte, relativo a que: i) las becas de estudio se otorgarían “de acuerdo [con] lo establecido en las Reglas de Operación” del Fideicomiso para el Cumplimiento de Obligaciones</w:t>
      </w:r>
      <w:r w:rsidR="004171D0">
        <w:rPr>
          <w:rFonts w:ascii="Verdana" w:hAnsi="Verdana"/>
          <w:sz w:val="20"/>
          <w:szCs w:val="20"/>
          <w:lang w:val="es-ES"/>
        </w:rPr>
        <w:t xml:space="preserve"> en Materia de Derechos Humanos</w:t>
      </w:r>
      <w:r w:rsidR="001B0608" w:rsidRPr="002A4ED1">
        <w:rPr>
          <w:rFonts w:ascii="Verdana" w:hAnsi="Verdana"/>
          <w:sz w:val="20"/>
          <w:szCs w:val="20"/>
          <w:lang w:val="es-ES"/>
        </w:rPr>
        <w:t xml:space="preserve"> y</w:t>
      </w:r>
      <w:r w:rsidR="004171D0">
        <w:rPr>
          <w:rFonts w:ascii="Verdana" w:hAnsi="Verdana"/>
          <w:sz w:val="20"/>
          <w:szCs w:val="20"/>
          <w:lang w:val="es-ES"/>
        </w:rPr>
        <w:t>, en particular,</w:t>
      </w:r>
      <w:r w:rsidR="001B0608" w:rsidRPr="002A4ED1">
        <w:rPr>
          <w:rFonts w:ascii="Verdana" w:hAnsi="Verdana"/>
          <w:sz w:val="20"/>
          <w:szCs w:val="20"/>
          <w:lang w:val="es-ES"/>
        </w:rPr>
        <w:t xml:space="preserve"> ii) </w:t>
      </w:r>
      <w:r w:rsidR="004171D0">
        <w:rPr>
          <w:rFonts w:ascii="Verdana" w:hAnsi="Verdana"/>
          <w:sz w:val="20"/>
          <w:szCs w:val="20"/>
          <w:lang w:val="es-ES"/>
        </w:rPr>
        <w:t xml:space="preserve">que </w:t>
      </w:r>
      <w:r w:rsidR="001B0608" w:rsidRPr="002A4ED1">
        <w:rPr>
          <w:rFonts w:ascii="Verdana" w:hAnsi="Verdana"/>
          <w:sz w:val="20"/>
          <w:szCs w:val="20"/>
          <w:lang w:val="es-ES"/>
        </w:rPr>
        <w:t>l</w:t>
      </w:r>
      <w:r w:rsidR="0092528C" w:rsidRPr="002A4ED1">
        <w:rPr>
          <w:rFonts w:ascii="Verdana" w:hAnsi="Verdana"/>
          <w:sz w:val="20"/>
          <w:szCs w:val="20"/>
          <w:lang w:val="es-ES"/>
        </w:rPr>
        <w:t>as víctimas</w:t>
      </w:r>
      <w:r w:rsidR="001B0608" w:rsidRPr="002A4ED1">
        <w:rPr>
          <w:rFonts w:ascii="Verdana" w:hAnsi="Verdana"/>
          <w:sz w:val="20"/>
          <w:szCs w:val="20"/>
          <w:lang w:val="es-ES"/>
        </w:rPr>
        <w:t xml:space="preserve"> se comprometían a “iniciar o reanudar” sus estudios dentro de los tres años </w:t>
      </w:r>
      <w:r w:rsidR="001B0608" w:rsidRPr="00760328">
        <w:rPr>
          <w:rFonts w:ascii="Verdana" w:hAnsi="Verdana"/>
          <w:sz w:val="20"/>
          <w:szCs w:val="20"/>
          <w:lang w:val="es-ES"/>
        </w:rPr>
        <w:t xml:space="preserve">siguientes a </w:t>
      </w:r>
      <w:r w:rsidR="0092528C" w:rsidRPr="00760328">
        <w:rPr>
          <w:rFonts w:ascii="Verdana" w:hAnsi="Verdana"/>
          <w:sz w:val="20"/>
          <w:szCs w:val="20"/>
          <w:lang w:val="es-ES"/>
        </w:rPr>
        <w:t xml:space="preserve">la notificación de </w:t>
      </w:r>
      <w:r w:rsidR="004171D0">
        <w:rPr>
          <w:rFonts w:ascii="Verdana" w:hAnsi="Verdana"/>
          <w:sz w:val="20"/>
          <w:szCs w:val="20"/>
          <w:lang w:val="es-ES"/>
        </w:rPr>
        <w:t>la Sentencia</w:t>
      </w:r>
      <w:r w:rsidR="00C675F7">
        <w:rPr>
          <w:rFonts w:ascii="Verdana" w:hAnsi="Verdana"/>
          <w:sz w:val="20"/>
          <w:szCs w:val="20"/>
        </w:rPr>
        <w:t>. Este</w:t>
      </w:r>
      <w:r w:rsidR="004171D0">
        <w:rPr>
          <w:rFonts w:ascii="Verdana" w:hAnsi="Verdana"/>
          <w:sz w:val="20"/>
          <w:szCs w:val="20"/>
        </w:rPr>
        <w:t xml:space="preserve"> último</w:t>
      </w:r>
      <w:r w:rsidR="001B0608" w:rsidRPr="00760328">
        <w:rPr>
          <w:rFonts w:ascii="Verdana" w:hAnsi="Verdana"/>
          <w:sz w:val="20"/>
          <w:szCs w:val="20"/>
          <w:lang w:val="es-ES"/>
        </w:rPr>
        <w:t xml:space="preserve"> plazo </w:t>
      </w:r>
      <w:r w:rsidR="00414441">
        <w:rPr>
          <w:rFonts w:ascii="Verdana" w:hAnsi="Verdana"/>
          <w:sz w:val="20"/>
          <w:szCs w:val="20"/>
          <w:lang w:val="es-ES"/>
        </w:rPr>
        <w:t>se cumplió</w:t>
      </w:r>
      <w:r w:rsidR="001B0608" w:rsidRPr="00760328">
        <w:rPr>
          <w:rFonts w:ascii="Verdana" w:hAnsi="Verdana"/>
          <w:sz w:val="20"/>
          <w:szCs w:val="20"/>
          <w:lang w:val="es-ES"/>
        </w:rPr>
        <w:t xml:space="preserve"> el 16 de diciembre de 2016. </w:t>
      </w:r>
    </w:p>
    <w:p w14:paraId="66E0B019" w14:textId="77777777" w:rsidR="001B0608" w:rsidRPr="00760328" w:rsidRDefault="001B0608" w:rsidP="00A4635E">
      <w:pPr>
        <w:pStyle w:val="ListParagraph"/>
        <w:spacing w:after="0" w:line="240" w:lineRule="auto"/>
        <w:rPr>
          <w:rFonts w:ascii="Verdana" w:hAnsi="Verdana"/>
          <w:sz w:val="20"/>
          <w:szCs w:val="20"/>
          <w:lang w:val="es-ES"/>
        </w:rPr>
      </w:pPr>
    </w:p>
    <w:p w14:paraId="54D098CE" w14:textId="4CC2CD47" w:rsidR="001B0608" w:rsidRPr="00760328" w:rsidRDefault="001B0608" w:rsidP="00A4635E">
      <w:pPr>
        <w:pStyle w:val="ListParagraph"/>
        <w:numPr>
          <w:ilvl w:val="0"/>
          <w:numId w:val="6"/>
        </w:numPr>
        <w:spacing w:after="0" w:line="240" w:lineRule="auto"/>
        <w:ind w:left="0" w:firstLine="0"/>
        <w:jc w:val="both"/>
        <w:rPr>
          <w:rFonts w:ascii="Verdana" w:hAnsi="Verdana"/>
          <w:sz w:val="20"/>
        </w:rPr>
      </w:pPr>
      <w:r w:rsidRPr="00760328">
        <w:rPr>
          <w:rFonts w:ascii="Verdana" w:hAnsi="Verdana"/>
          <w:sz w:val="20"/>
          <w:szCs w:val="20"/>
          <w:lang w:val="es-ES"/>
        </w:rPr>
        <w:t>En casos anteriores</w:t>
      </w:r>
      <w:r w:rsidRPr="00760328">
        <w:rPr>
          <w:rStyle w:val="FootnoteReference"/>
          <w:rFonts w:ascii="Verdana" w:hAnsi="Verdana"/>
          <w:sz w:val="20"/>
          <w:szCs w:val="20"/>
          <w:lang w:val="es-ES"/>
        </w:rPr>
        <w:footnoteReference w:id="44"/>
      </w:r>
      <w:r w:rsidRPr="00760328">
        <w:rPr>
          <w:rFonts w:ascii="Verdana" w:hAnsi="Verdana"/>
          <w:sz w:val="20"/>
          <w:szCs w:val="20"/>
          <w:lang w:val="es-ES"/>
        </w:rPr>
        <w:t xml:space="preserve">, la Corte ha valorado en detalle y de manera positiva el referido “Fideicomiso para el Cumplimiento de Obligaciones en Materia de Derechos Humanos” para el cumplimiento de medidas relativas a </w:t>
      </w:r>
      <w:r w:rsidR="00BB2712" w:rsidRPr="00760328">
        <w:rPr>
          <w:rFonts w:ascii="Verdana" w:hAnsi="Verdana"/>
          <w:sz w:val="20"/>
          <w:szCs w:val="20"/>
          <w:lang w:val="es-ES"/>
        </w:rPr>
        <w:t xml:space="preserve">la entrega de becas de estudios. </w:t>
      </w:r>
      <w:r w:rsidR="00254088">
        <w:rPr>
          <w:rFonts w:ascii="Verdana" w:hAnsi="Verdana"/>
          <w:sz w:val="20"/>
          <w:szCs w:val="20"/>
          <w:lang w:val="es-ES"/>
        </w:rPr>
        <w:t>Tomando en cuenta</w:t>
      </w:r>
      <w:r w:rsidRPr="00760328">
        <w:rPr>
          <w:rFonts w:ascii="Verdana" w:hAnsi="Verdana"/>
          <w:sz w:val="20"/>
          <w:szCs w:val="20"/>
          <w:lang w:val="es-ES"/>
        </w:rPr>
        <w:t xml:space="preserve"> que en el presente caso se encontraron disponibles las subcuentas para las personas beneficiarias establecidas en la Sentencia,</w:t>
      </w:r>
      <w:r w:rsidR="00E9252D" w:rsidRPr="00760328">
        <w:rPr>
          <w:rFonts w:ascii="Verdana" w:hAnsi="Verdana"/>
          <w:sz w:val="20"/>
          <w:szCs w:val="20"/>
          <w:lang w:val="es-ES"/>
        </w:rPr>
        <w:t xml:space="preserve"> </w:t>
      </w:r>
      <w:r w:rsidR="00C675F7">
        <w:rPr>
          <w:rFonts w:ascii="Verdana" w:hAnsi="Verdana"/>
          <w:sz w:val="20"/>
          <w:szCs w:val="20"/>
          <w:lang w:val="es-ES"/>
        </w:rPr>
        <w:t>incluso durante</w:t>
      </w:r>
      <w:r w:rsidR="00E9252D" w:rsidRPr="00760328">
        <w:rPr>
          <w:rFonts w:ascii="Verdana" w:hAnsi="Verdana"/>
          <w:sz w:val="20"/>
          <w:szCs w:val="20"/>
          <w:lang w:val="es-ES"/>
        </w:rPr>
        <w:t xml:space="preserve"> un período mayor al establecido en la </w:t>
      </w:r>
      <w:r w:rsidR="0064572D">
        <w:rPr>
          <w:rFonts w:ascii="Verdana" w:hAnsi="Verdana"/>
          <w:sz w:val="20"/>
          <w:szCs w:val="20"/>
          <w:lang w:val="es-ES"/>
        </w:rPr>
        <w:t>misma</w:t>
      </w:r>
      <w:r w:rsidR="00254088">
        <w:rPr>
          <w:rFonts w:ascii="Verdana" w:hAnsi="Verdana"/>
          <w:sz w:val="20"/>
          <w:szCs w:val="20"/>
          <w:lang w:val="es-ES"/>
        </w:rPr>
        <w:t>,</w:t>
      </w:r>
      <w:r w:rsidR="0064572D" w:rsidRPr="00760328">
        <w:rPr>
          <w:rFonts w:ascii="Verdana" w:hAnsi="Verdana"/>
          <w:sz w:val="20"/>
          <w:szCs w:val="20"/>
          <w:lang w:val="es-ES"/>
        </w:rPr>
        <w:t xml:space="preserve"> </w:t>
      </w:r>
      <w:r w:rsidRPr="00760328">
        <w:rPr>
          <w:rFonts w:ascii="Verdana" w:hAnsi="Verdana"/>
          <w:sz w:val="20"/>
          <w:szCs w:val="20"/>
          <w:lang w:val="es-ES"/>
        </w:rPr>
        <w:t xml:space="preserve">este Tribunal considera que el Estado ha </w:t>
      </w:r>
      <w:r w:rsidR="00D82517" w:rsidRPr="00760328">
        <w:rPr>
          <w:rFonts w:ascii="Verdana" w:hAnsi="Verdana"/>
          <w:sz w:val="20"/>
          <w:szCs w:val="20"/>
          <w:lang w:val="es-ES"/>
        </w:rPr>
        <w:t>implementado</w:t>
      </w:r>
      <w:r w:rsidRPr="00760328">
        <w:rPr>
          <w:rFonts w:ascii="Verdana" w:hAnsi="Verdana"/>
          <w:sz w:val="20"/>
          <w:szCs w:val="20"/>
          <w:lang w:val="es-ES"/>
        </w:rPr>
        <w:t xml:space="preserve"> las medidas a su alcance para dar cumplimiento a la </w:t>
      </w:r>
      <w:r w:rsidR="00192FD8">
        <w:rPr>
          <w:rFonts w:ascii="Verdana" w:hAnsi="Verdana"/>
          <w:sz w:val="20"/>
          <w:szCs w:val="20"/>
          <w:lang w:val="es-ES"/>
        </w:rPr>
        <w:t xml:space="preserve">presente reparación, </w:t>
      </w:r>
      <w:r w:rsidR="00E9252D" w:rsidRPr="00760328">
        <w:rPr>
          <w:rFonts w:ascii="Verdana" w:hAnsi="Verdana"/>
          <w:sz w:val="20"/>
          <w:szCs w:val="20"/>
          <w:lang w:val="es-ES"/>
        </w:rPr>
        <w:t>sin que los beneficiarios de esta medida</w:t>
      </w:r>
      <w:r w:rsidR="00192FD8">
        <w:rPr>
          <w:rFonts w:ascii="Verdana" w:hAnsi="Verdana"/>
          <w:sz w:val="20"/>
          <w:szCs w:val="20"/>
          <w:lang w:val="es-ES"/>
        </w:rPr>
        <w:t xml:space="preserve"> </w:t>
      </w:r>
      <w:r w:rsidR="002D1B0B">
        <w:rPr>
          <w:rFonts w:ascii="Verdana" w:hAnsi="Verdana"/>
          <w:sz w:val="20"/>
          <w:szCs w:val="20"/>
          <w:lang w:val="es-ES"/>
        </w:rPr>
        <w:t xml:space="preserve">tomaran las medidas requeridas para dar cumplimiento a </w:t>
      </w:r>
      <w:r w:rsidR="00192FD8">
        <w:rPr>
          <w:rFonts w:ascii="Verdana" w:hAnsi="Verdana"/>
          <w:sz w:val="20"/>
          <w:szCs w:val="20"/>
          <w:lang w:val="es-ES"/>
        </w:rPr>
        <w:t xml:space="preserve">la misma </w:t>
      </w:r>
      <w:r w:rsidR="002D1B0B">
        <w:rPr>
          <w:rFonts w:ascii="Verdana" w:hAnsi="Verdana"/>
          <w:sz w:val="20"/>
          <w:szCs w:val="20"/>
          <w:lang w:val="es-ES"/>
        </w:rPr>
        <w:t>dentro</w:t>
      </w:r>
      <w:r w:rsidR="00192FD8" w:rsidRPr="00760328">
        <w:rPr>
          <w:rFonts w:ascii="Verdana" w:hAnsi="Verdana"/>
          <w:sz w:val="20"/>
          <w:szCs w:val="20"/>
          <w:lang w:val="es-ES"/>
        </w:rPr>
        <w:t xml:space="preserve"> </w:t>
      </w:r>
      <w:r w:rsidR="002D1B0B">
        <w:rPr>
          <w:rFonts w:ascii="Verdana" w:hAnsi="Verdana"/>
          <w:sz w:val="20"/>
          <w:szCs w:val="20"/>
          <w:lang w:val="es-ES"/>
        </w:rPr>
        <w:t>d</w:t>
      </w:r>
      <w:r w:rsidR="00192FD8" w:rsidRPr="00760328">
        <w:rPr>
          <w:rFonts w:ascii="Verdana" w:hAnsi="Verdana"/>
          <w:sz w:val="20"/>
          <w:szCs w:val="20"/>
          <w:lang w:val="es-ES"/>
        </w:rPr>
        <w:t>el término previsto en la Sentencia</w:t>
      </w:r>
      <w:r w:rsidR="00192FD8">
        <w:rPr>
          <w:rFonts w:ascii="Verdana" w:hAnsi="Verdana"/>
          <w:sz w:val="20"/>
          <w:szCs w:val="20"/>
          <w:lang w:val="es-ES"/>
        </w:rPr>
        <w:t>.</w:t>
      </w:r>
    </w:p>
    <w:p w14:paraId="6182FBFD" w14:textId="77777777" w:rsidR="001B0608" w:rsidRPr="00760328" w:rsidRDefault="001B0608" w:rsidP="00A4635E">
      <w:pPr>
        <w:pStyle w:val="ListParagraph"/>
        <w:spacing w:after="0" w:line="240" w:lineRule="auto"/>
        <w:rPr>
          <w:rFonts w:ascii="Verdana" w:hAnsi="Verdana"/>
          <w:sz w:val="20"/>
          <w:szCs w:val="20"/>
          <w:lang w:val="es-ES"/>
        </w:rPr>
      </w:pPr>
    </w:p>
    <w:p w14:paraId="7909FAFD" w14:textId="72D631B7" w:rsidR="001B0608" w:rsidRPr="00760328" w:rsidRDefault="001B0608" w:rsidP="00A4635E">
      <w:pPr>
        <w:pStyle w:val="ListParagraph"/>
        <w:numPr>
          <w:ilvl w:val="0"/>
          <w:numId w:val="6"/>
        </w:numPr>
        <w:spacing w:after="0" w:line="240" w:lineRule="auto"/>
        <w:ind w:left="0" w:firstLine="0"/>
        <w:jc w:val="both"/>
        <w:rPr>
          <w:rFonts w:ascii="Verdana" w:hAnsi="Verdana"/>
          <w:sz w:val="20"/>
        </w:rPr>
      </w:pPr>
      <w:r w:rsidRPr="00760328">
        <w:rPr>
          <w:rFonts w:ascii="Verdana" w:hAnsi="Verdana"/>
          <w:sz w:val="20"/>
          <w:szCs w:val="20"/>
          <w:lang w:val="es-ES"/>
        </w:rPr>
        <w:t>En razón de lo anterior, la Corte considera que el Estado ha dado cumplimiento a las med</w:t>
      </w:r>
      <w:r w:rsidR="003477F5">
        <w:rPr>
          <w:rFonts w:ascii="Verdana" w:hAnsi="Verdana"/>
          <w:sz w:val="20"/>
          <w:szCs w:val="20"/>
          <w:lang w:val="es-ES"/>
        </w:rPr>
        <w:t xml:space="preserve">idas de reparación relativas a garantizar la educación de las víctimas y la hija del señor Sánchez Silvestre </w:t>
      </w:r>
      <w:r w:rsidRPr="00760328">
        <w:rPr>
          <w:rFonts w:ascii="Verdana" w:hAnsi="Verdana"/>
          <w:sz w:val="20"/>
          <w:szCs w:val="20"/>
          <w:lang w:val="es-ES"/>
        </w:rPr>
        <w:t xml:space="preserve">hasta la conclusión de sus estudios universitarios o técnicos, según sea su interés, a través del pago de becas educativas, según fue ordenado en el punto </w:t>
      </w:r>
      <w:r w:rsidRPr="00760328">
        <w:rPr>
          <w:rFonts w:ascii="Verdana" w:hAnsi="Verdana"/>
          <w:sz w:val="20"/>
        </w:rPr>
        <w:t>dispositivo sexto incisos g) y h) y los párrafos 81 a 83</w:t>
      </w:r>
      <w:r w:rsidRPr="00760328">
        <w:rPr>
          <w:rFonts w:ascii="Verdana" w:hAnsi="Verdana"/>
          <w:sz w:val="20"/>
          <w:szCs w:val="20"/>
          <w:lang w:val="es-ES"/>
        </w:rPr>
        <w:t xml:space="preserve"> de la Sentencia. </w:t>
      </w:r>
    </w:p>
    <w:p w14:paraId="0AEB8DD8" w14:textId="77777777" w:rsidR="003477F5" w:rsidRDefault="003477F5" w:rsidP="003477F5">
      <w:pPr>
        <w:tabs>
          <w:tab w:val="left" w:pos="851"/>
        </w:tabs>
        <w:spacing w:after="0" w:line="240" w:lineRule="auto"/>
        <w:rPr>
          <w:rFonts w:ascii="Verdana" w:hAnsi="Verdana"/>
          <w:b/>
          <w:i/>
          <w:sz w:val="20"/>
          <w:szCs w:val="20"/>
          <w:lang w:val="es-ES"/>
        </w:rPr>
      </w:pPr>
    </w:p>
    <w:p w14:paraId="1FC913F1" w14:textId="77777777" w:rsidR="00CE0096" w:rsidRDefault="00CE0096" w:rsidP="003477F5">
      <w:pPr>
        <w:tabs>
          <w:tab w:val="left" w:pos="851"/>
        </w:tabs>
        <w:spacing w:after="0" w:line="240" w:lineRule="auto"/>
        <w:rPr>
          <w:rFonts w:ascii="Verdana" w:hAnsi="Verdana"/>
          <w:b/>
          <w:i/>
          <w:sz w:val="20"/>
          <w:szCs w:val="20"/>
          <w:lang w:val="es-ES"/>
        </w:rPr>
      </w:pPr>
    </w:p>
    <w:p w14:paraId="000EBC60" w14:textId="77777777" w:rsidR="00CE0096" w:rsidRDefault="00CE0096" w:rsidP="003477F5">
      <w:pPr>
        <w:tabs>
          <w:tab w:val="left" w:pos="851"/>
        </w:tabs>
        <w:spacing w:after="0" w:line="240" w:lineRule="auto"/>
        <w:rPr>
          <w:rFonts w:ascii="Verdana" w:hAnsi="Verdana"/>
          <w:b/>
          <w:i/>
          <w:sz w:val="20"/>
          <w:szCs w:val="20"/>
          <w:lang w:val="es-ES"/>
        </w:rPr>
      </w:pPr>
    </w:p>
    <w:p w14:paraId="505D6EB7" w14:textId="77777777" w:rsidR="00CE0096" w:rsidRPr="003477F5" w:rsidRDefault="00CE0096" w:rsidP="003477F5">
      <w:pPr>
        <w:tabs>
          <w:tab w:val="left" w:pos="851"/>
        </w:tabs>
        <w:spacing w:after="0" w:line="240" w:lineRule="auto"/>
        <w:rPr>
          <w:rFonts w:ascii="Verdana" w:hAnsi="Verdana"/>
          <w:b/>
          <w:i/>
          <w:sz w:val="20"/>
          <w:szCs w:val="20"/>
          <w:lang w:val="es-ES"/>
        </w:rPr>
      </w:pPr>
    </w:p>
    <w:p w14:paraId="765D6598" w14:textId="77777777" w:rsidR="00433C7F" w:rsidRPr="007E5588" w:rsidRDefault="00FA6862" w:rsidP="00FA6862">
      <w:pPr>
        <w:pStyle w:val="Heading1"/>
      </w:pPr>
      <w:bookmarkStart w:id="6" w:name="_Toc524712412"/>
      <w:r>
        <w:lastRenderedPageBreak/>
        <w:t xml:space="preserve">F) </w:t>
      </w:r>
      <w:r w:rsidR="00433C7F" w:rsidRPr="007E5588">
        <w:t>Entrega de vivienda a las víctimas</w:t>
      </w:r>
      <w:bookmarkEnd w:id="6"/>
    </w:p>
    <w:p w14:paraId="780F6FA7" w14:textId="77777777" w:rsidR="00433C7F" w:rsidRPr="00DF7E56" w:rsidRDefault="00433C7F" w:rsidP="00A4635E">
      <w:pPr>
        <w:spacing w:after="0" w:line="240" w:lineRule="auto"/>
        <w:ind w:left="720"/>
        <w:jc w:val="both"/>
        <w:rPr>
          <w:rFonts w:ascii="Verdana" w:hAnsi="Verdana"/>
          <w:i/>
          <w:sz w:val="20"/>
          <w:szCs w:val="20"/>
          <w:lang w:val="es-ES_tradnl"/>
        </w:rPr>
      </w:pPr>
    </w:p>
    <w:p w14:paraId="033B4831" w14:textId="16A4F226" w:rsidR="00433C7F" w:rsidRPr="00DF7E56" w:rsidRDefault="007E5588" w:rsidP="00A4635E">
      <w:pPr>
        <w:spacing w:after="0" w:line="240" w:lineRule="auto"/>
        <w:ind w:left="720"/>
        <w:jc w:val="both"/>
        <w:rPr>
          <w:rFonts w:ascii="Verdana" w:hAnsi="Verdana"/>
          <w:i/>
          <w:sz w:val="20"/>
          <w:szCs w:val="20"/>
        </w:rPr>
      </w:pPr>
      <w:r>
        <w:rPr>
          <w:rFonts w:ascii="Verdana" w:hAnsi="Verdana"/>
          <w:i/>
          <w:sz w:val="20"/>
          <w:szCs w:val="20"/>
        </w:rPr>
        <w:t>F</w:t>
      </w:r>
      <w:r w:rsidR="009C7707">
        <w:rPr>
          <w:rFonts w:ascii="Verdana" w:hAnsi="Verdana"/>
          <w:i/>
          <w:sz w:val="20"/>
          <w:szCs w:val="20"/>
        </w:rPr>
        <w:t>.1.</w:t>
      </w:r>
      <w:r w:rsidR="00433C7F" w:rsidRPr="00DF7E56">
        <w:rPr>
          <w:rFonts w:ascii="Verdana" w:hAnsi="Verdana"/>
          <w:i/>
          <w:sz w:val="20"/>
          <w:szCs w:val="20"/>
        </w:rPr>
        <w:t xml:space="preserve"> Medida ordenada por la Corte</w:t>
      </w:r>
    </w:p>
    <w:p w14:paraId="144D3048" w14:textId="77777777" w:rsidR="00433C7F" w:rsidRPr="00433C7F" w:rsidRDefault="00433C7F" w:rsidP="00A4635E">
      <w:pPr>
        <w:pStyle w:val="ListParagraph"/>
        <w:spacing w:after="0" w:line="240" w:lineRule="auto"/>
        <w:rPr>
          <w:rFonts w:ascii="Verdana" w:hAnsi="Verdana"/>
          <w:sz w:val="20"/>
          <w:szCs w:val="20"/>
        </w:rPr>
      </w:pPr>
    </w:p>
    <w:p w14:paraId="704201A3" w14:textId="5E4EBF34" w:rsidR="00091F33" w:rsidRPr="00404145" w:rsidRDefault="00433C7F" w:rsidP="00A4635E">
      <w:pPr>
        <w:pStyle w:val="ListParagraph"/>
        <w:numPr>
          <w:ilvl w:val="0"/>
          <w:numId w:val="6"/>
        </w:numPr>
        <w:spacing w:after="0" w:line="240" w:lineRule="auto"/>
        <w:ind w:left="0" w:firstLine="0"/>
        <w:jc w:val="both"/>
        <w:rPr>
          <w:rFonts w:ascii="Verdana" w:hAnsi="Verdana"/>
          <w:sz w:val="20"/>
        </w:rPr>
      </w:pPr>
      <w:r w:rsidRPr="00433C7F">
        <w:rPr>
          <w:rFonts w:ascii="Verdana" w:hAnsi="Verdana"/>
          <w:sz w:val="20"/>
          <w:szCs w:val="20"/>
        </w:rPr>
        <w:t xml:space="preserve">En el punto resolutivo sexto inciso i) y los párrafos 79 y 80 de la Sentencia, la Corte </w:t>
      </w:r>
      <w:r w:rsidR="009B184D">
        <w:rPr>
          <w:rFonts w:ascii="Verdana" w:hAnsi="Verdana"/>
          <w:sz w:val="20"/>
          <w:szCs w:val="20"/>
        </w:rPr>
        <w:t>homologó la medida relativa a</w:t>
      </w:r>
      <w:r w:rsidRPr="00433C7F">
        <w:rPr>
          <w:rFonts w:ascii="Verdana" w:hAnsi="Verdana"/>
          <w:sz w:val="20"/>
          <w:szCs w:val="20"/>
        </w:rPr>
        <w:t xml:space="preserve"> que el Estado debe “entregar en propiedad una vivienda en el Distrito</w:t>
      </w:r>
      <w:r w:rsidRPr="00433C7F">
        <w:rPr>
          <w:rFonts w:ascii="Verdana" w:hAnsi="Verdana"/>
          <w:sz w:val="20"/>
          <w:szCs w:val="20"/>
          <w:lang w:val="es-ES"/>
        </w:rPr>
        <w:t xml:space="preserve"> Federal a cada víctima [a través del] Programa de Vivienda Nueva en Conjunto a cargo del Instituto de Vivienda del Distrito Federal” (en adelante “el INVI”)</w:t>
      </w:r>
      <w:r w:rsidRPr="00433C7F">
        <w:rPr>
          <w:rFonts w:ascii="Verdana" w:hAnsi="Verdana"/>
          <w:sz w:val="20"/>
          <w:szCs w:val="20"/>
        </w:rPr>
        <w:t>. En el acuerdo de solución amistosa homologado por la Corte (</w:t>
      </w:r>
      <w:r w:rsidRPr="00433C7F">
        <w:rPr>
          <w:rFonts w:ascii="Verdana" w:hAnsi="Verdana"/>
          <w:i/>
          <w:sz w:val="20"/>
          <w:szCs w:val="20"/>
        </w:rPr>
        <w:t xml:space="preserve">supra </w:t>
      </w:r>
      <w:r w:rsidRPr="00433C7F">
        <w:rPr>
          <w:rFonts w:ascii="Verdana" w:hAnsi="Verdana"/>
          <w:sz w:val="20"/>
          <w:szCs w:val="20"/>
        </w:rPr>
        <w:t xml:space="preserve">Visto 1) se estableció que </w:t>
      </w:r>
      <w:r w:rsidRPr="00433C7F">
        <w:rPr>
          <w:rFonts w:ascii="Verdana" w:hAnsi="Verdana"/>
          <w:sz w:val="20"/>
          <w:szCs w:val="20"/>
          <w:lang w:val="es-ES"/>
        </w:rPr>
        <w:t>las viviendas “será[n] entregada[s] dentro del plazo de dos años contados a partir de la notificación de la [… S</w:t>
      </w:r>
      <w:r w:rsidR="00614B99">
        <w:rPr>
          <w:rFonts w:ascii="Verdana" w:hAnsi="Verdana"/>
          <w:sz w:val="20"/>
          <w:szCs w:val="20"/>
          <w:lang w:val="es-ES"/>
        </w:rPr>
        <w:t>]</w:t>
      </w:r>
      <w:r w:rsidRPr="00433C7F">
        <w:rPr>
          <w:rFonts w:ascii="Verdana" w:hAnsi="Verdana"/>
          <w:sz w:val="20"/>
          <w:szCs w:val="20"/>
          <w:lang w:val="es-ES"/>
        </w:rPr>
        <w:t xml:space="preserve">entencia” y que dicha entrega será “a título gratuito, por lo que las víctimas no erogarán impuestos, contraprestación o aportación alguna”. </w:t>
      </w:r>
    </w:p>
    <w:p w14:paraId="2F45C5FF" w14:textId="77777777" w:rsidR="00760328" w:rsidRDefault="00760328" w:rsidP="00A4635E">
      <w:pPr>
        <w:pStyle w:val="ListParagraph"/>
        <w:spacing w:after="0" w:line="240" w:lineRule="auto"/>
        <w:ind w:left="360"/>
        <w:rPr>
          <w:rFonts w:ascii="Verdana" w:hAnsi="Verdana"/>
          <w:i/>
          <w:sz w:val="20"/>
          <w:szCs w:val="20"/>
        </w:rPr>
      </w:pPr>
    </w:p>
    <w:p w14:paraId="22C9A42D" w14:textId="55278A5C" w:rsidR="00760328" w:rsidRPr="00DF7E56" w:rsidRDefault="00404145" w:rsidP="00760328">
      <w:pPr>
        <w:pStyle w:val="ListParagraph"/>
        <w:spacing w:after="0" w:line="240" w:lineRule="auto"/>
        <w:ind w:left="1080" w:hanging="360"/>
        <w:rPr>
          <w:rFonts w:ascii="Verdana" w:hAnsi="Verdana"/>
          <w:i/>
          <w:sz w:val="20"/>
          <w:szCs w:val="20"/>
        </w:rPr>
      </w:pPr>
      <w:r>
        <w:rPr>
          <w:rFonts w:ascii="Verdana" w:hAnsi="Verdana"/>
          <w:i/>
          <w:sz w:val="20"/>
          <w:szCs w:val="20"/>
        </w:rPr>
        <w:t>F</w:t>
      </w:r>
      <w:r w:rsidR="0091563C">
        <w:rPr>
          <w:rFonts w:ascii="Verdana" w:hAnsi="Verdana"/>
          <w:i/>
          <w:sz w:val="20"/>
          <w:szCs w:val="20"/>
        </w:rPr>
        <w:t>.2.</w:t>
      </w:r>
      <w:r w:rsidRPr="00DF7E56">
        <w:rPr>
          <w:rFonts w:ascii="Verdana" w:hAnsi="Verdana"/>
          <w:i/>
          <w:sz w:val="20"/>
          <w:szCs w:val="20"/>
        </w:rPr>
        <w:t xml:space="preserve"> </w:t>
      </w:r>
      <w:r w:rsidR="00760328" w:rsidRPr="00DF7E56">
        <w:rPr>
          <w:rFonts w:ascii="Verdana" w:hAnsi="Verdana"/>
          <w:i/>
          <w:sz w:val="20"/>
          <w:szCs w:val="20"/>
        </w:rPr>
        <w:t>Consideraciones de la Corte</w:t>
      </w:r>
    </w:p>
    <w:p w14:paraId="2CAC1257" w14:textId="77777777" w:rsidR="00091F33" w:rsidRDefault="00091F33" w:rsidP="00A4635E">
      <w:pPr>
        <w:pStyle w:val="ListParagraph"/>
        <w:spacing w:after="0" w:line="240" w:lineRule="auto"/>
        <w:ind w:left="0"/>
        <w:jc w:val="both"/>
        <w:rPr>
          <w:rFonts w:ascii="Verdana" w:hAnsi="Verdana"/>
          <w:sz w:val="20"/>
        </w:rPr>
      </w:pPr>
    </w:p>
    <w:p w14:paraId="4B2AA911" w14:textId="5C666B45" w:rsidR="008848C6" w:rsidRPr="008848C6" w:rsidRDefault="00433C7F" w:rsidP="008848C6">
      <w:pPr>
        <w:pStyle w:val="ListParagraph"/>
        <w:numPr>
          <w:ilvl w:val="0"/>
          <w:numId w:val="6"/>
        </w:numPr>
        <w:spacing w:after="0" w:line="240" w:lineRule="auto"/>
        <w:ind w:left="0" w:firstLine="0"/>
        <w:jc w:val="both"/>
        <w:rPr>
          <w:rFonts w:ascii="Verdana" w:hAnsi="Verdana"/>
          <w:sz w:val="20"/>
        </w:rPr>
      </w:pPr>
      <w:r w:rsidRPr="00C15DEB">
        <w:rPr>
          <w:rFonts w:ascii="Verdana" w:hAnsi="Verdana"/>
          <w:sz w:val="20"/>
          <w:szCs w:val="20"/>
          <w:lang w:val="es-ES"/>
        </w:rPr>
        <w:t xml:space="preserve">La Corte </w:t>
      </w:r>
      <w:r w:rsidR="00091F33" w:rsidRPr="00C15DEB">
        <w:rPr>
          <w:rFonts w:ascii="Verdana" w:hAnsi="Verdana"/>
          <w:sz w:val="20"/>
          <w:szCs w:val="20"/>
          <w:lang w:val="es-ES"/>
        </w:rPr>
        <w:t>constató mediante Resolución de Supervisión</w:t>
      </w:r>
      <w:r w:rsidR="00363AB7" w:rsidRPr="00C15DEB">
        <w:rPr>
          <w:rFonts w:ascii="Verdana" w:hAnsi="Verdana"/>
          <w:sz w:val="20"/>
          <w:szCs w:val="20"/>
          <w:lang w:val="es-ES"/>
        </w:rPr>
        <w:t xml:space="preserve"> de 1 de septiembre de 2016,</w:t>
      </w:r>
      <w:r w:rsidRPr="00C15DEB">
        <w:rPr>
          <w:rFonts w:ascii="Verdana" w:hAnsi="Verdana"/>
          <w:sz w:val="20"/>
          <w:szCs w:val="20"/>
          <w:lang w:val="es-ES"/>
        </w:rPr>
        <w:t xml:space="preserve"> que el Estado ha</w:t>
      </w:r>
      <w:r w:rsidR="00FE1333">
        <w:rPr>
          <w:rFonts w:ascii="Verdana" w:hAnsi="Verdana"/>
          <w:sz w:val="20"/>
          <w:szCs w:val="20"/>
          <w:lang w:val="es-ES"/>
        </w:rPr>
        <w:t>bía</w:t>
      </w:r>
      <w:r w:rsidRPr="00C15DEB">
        <w:rPr>
          <w:rFonts w:ascii="Verdana" w:hAnsi="Verdana"/>
          <w:sz w:val="20"/>
          <w:szCs w:val="20"/>
          <w:lang w:val="es-ES"/>
        </w:rPr>
        <w:t xml:space="preserve"> realizado importantes gestiones para dar cumplimiento a esta medida de reparación respecto de ambas víctimas</w:t>
      </w:r>
      <w:r w:rsidRPr="00C15DEB">
        <w:rPr>
          <w:rStyle w:val="FootnoteReference"/>
          <w:rFonts w:ascii="Verdana" w:hAnsi="Verdana"/>
          <w:sz w:val="20"/>
          <w:szCs w:val="20"/>
          <w:lang w:val="es-ES"/>
        </w:rPr>
        <w:footnoteReference w:id="45"/>
      </w:r>
      <w:r w:rsidR="009274AC" w:rsidRPr="00C15DEB">
        <w:rPr>
          <w:rFonts w:ascii="Verdana" w:hAnsi="Verdana"/>
          <w:sz w:val="20"/>
          <w:szCs w:val="20"/>
          <w:lang w:val="es-ES"/>
        </w:rPr>
        <w:t>, puesto que e</w:t>
      </w:r>
      <w:r w:rsidRPr="00C15DEB">
        <w:rPr>
          <w:rFonts w:ascii="Verdana" w:hAnsi="Verdana"/>
          <w:sz w:val="20"/>
          <w:szCs w:val="20"/>
          <w:lang w:val="es-ES"/>
        </w:rPr>
        <w:t xml:space="preserve">l 23 de enero de 2015 el Consejo Directivo del INVI suscribió un acuerdo de autorización para “realizar las acciones necesarias que permitirían el cumplimiento [de la medida]”. Posteriormente, en </w:t>
      </w:r>
      <w:r w:rsidRPr="00C15DEB">
        <w:rPr>
          <w:rFonts w:ascii="Verdana" w:hAnsi="Verdana"/>
          <w:sz w:val="20"/>
          <w:szCs w:val="20"/>
        </w:rPr>
        <w:t xml:space="preserve">marzo de ese año, </w:t>
      </w:r>
      <w:r w:rsidRPr="00C15DEB">
        <w:rPr>
          <w:rFonts w:ascii="Verdana" w:hAnsi="Verdana"/>
          <w:sz w:val="20"/>
          <w:szCs w:val="20"/>
          <w:lang w:val="es-ES"/>
        </w:rPr>
        <w:t xml:space="preserve">el INVI comunicó a los señores García Cruz y Sánchez Silvestre “la oferta [de un proyecto de vivienda] disponible […] en la </w:t>
      </w:r>
      <w:r w:rsidR="00C15DEB" w:rsidRPr="00C15DEB">
        <w:rPr>
          <w:rFonts w:ascii="Verdana" w:hAnsi="Verdana"/>
          <w:sz w:val="20"/>
          <w:szCs w:val="20"/>
          <w:lang w:val="es-ES"/>
        </w:rPr>
        <w:t>ciudad de México”</w:t>
      </w:r>
      <w:r w:rsidR="00BD7D27">
        <w:rPr>
          <w:rFonts w:ascii="Verdana" w:hAnsi="Verdana"/>
          <w:sz w:val="20"/>
          <w:szCs w:val="20"/>
          <w:lang w:val="es-ES"/>
        </w:rPr>
        <w:t xml:space="preserve">. En virtud de ello, la Corte </w:t>
      </w:r>
      <w:r w:rsidR="00C15DEB" w:rsidRPr="00C15DEB">
        <w:rPr>
          <w:rFonts w:ascii="Verdana" w:hAnsi="Verdana"/>
          <w:sz w:val="20"/>
          <w:szCs w:val="20"/>
          <w:lang w:val="es-ES"/>
        </w:rPr>
        <w:t>declaró “</w:t>
      </w:r>
      <w:r w:rsidR="00C15DEB" w:rsidRPr="00C15DEB">
        <w:rPr>
          <w:rFonts w:ascii="Verdana" w:hAnsi="Verdana"/>
          <w:sz w:val="20"/>
        </w:rPr>
        <w:t>que el Estado ha venido</w:t>
      </w:r>
      <w:r w:rsidR="00C15DEB" w:rsidRPr="00C15DEB">
        <w:rPr>
          <w:rFonts w:ascii="Verdana" w:hAnsi="Verdana"/>
          <w:sz w:val="20"/>
          <w:szCs w:val="20"/>
        </w:rPr>
        <w:t xml:space="preserve"> realizando gestiones para dar cumplimiento a la medida de reparación relativa a entregar en propiedad una vivienda en el Distrito</w:t>
      </w:r>
      <w:r w:rsidR="00C15DEB" w:rsidRPr="00C15DEB">
        <w:rPr>
          <w:rFonts w:ascii="Verdana" w:hAnsi="Verdana"/>
          <w:sz w:val="20"/>
          <w:szCs w:val="20"/>
          <w:lang w:val="es-ES"/>
        </w:rPr>
        <w:t xml:space="preserve"> Federal a cada víctima”</w:t>
      </w:r>
      <w:r w:rsidR="00E66059">
        <w:rPr>
          <w:rStyle w:val="FootnoteReference"/>
          <w:rFonts w:ascii="Verdana" w:hAnsi="Verdana"/>
          <w:sz w:val="20"/>
          <w:szCs w:val="20"/>
          <w:lang w:val="es-ES"/>
        </w:rPr>
        <w:footnoteReference w:id="46"/>
      </w:r>
      <w:r w:rsidR="00E66059">
        <w:rPr>
          <w:rFonts w:ascii="Verdana" w:hAnsi="Verdana"/>
          <w:sz w:val="20"/>
          <w:szCs w:val="20"/>
          <w:lang w:val="es-ES"/>
        </w:rPr>
        <w:t>.</w:t>
      </w:r>
      <w:r w:rsidR="00C15DEB" w:rsidRPr="00C15DEB">
        <w:rPr>
          <w:rFonts w:ascii="Verdana" w:hAnsi="Verdana"/>
          <w:sz w:val="20"/>
          <w:szCs w:val="20"/>
          <w:lang w:val="es-ES"/>
        </w:rPr>
        <w:t xml:space="preserve"> </w:t>
      </w:r>
    </w:p>
    <w:p w14:paraId="547D1992" w14:textId="77777777" w:rsidR="008848C6" w:rsidRPr="008848C6" w:rsidRDefault="008848C6" w:rsidP="008848C6">
      <w:pPr>
        <w:pStyle w:val="ListParagraph"/>
        <w:spacing w:after="0" w:line="240" w:lineRule="auto"/>
        <w:ind w:left="0"/>
        <w:jc w:val="both"/>
        <w:rPr>
          <w:rFonts w:ascii="Verdana" w:hAnsi="Verdana"/>
          <w:sz w:val="20"/>
        </w:rPr>
      </w:pPr>
    </w:p>
    <w:p w14:paraId="71C78295" w14:textId="123E1ECA" w:rsidR="009764F1" w:rsidRPr="008848C6" w:rsidRDefault="00E66059" w:rsidP="008848C6">
      <w:pPr>
        <w:pStyle w:val="ListParagraph"/>
        <w:numPr>
          <w:ilvl w:val="0"/>
          <w:numId w:val="6"/>
        </w:numPr>
        <w:spacing w:after="0" w:line="240" w:lineRule="auto"/>
        <w:ind w:left="0" w:firstLine="0"/>
        <w:jc w:val="both"/>
        <w:rPr>
          <w:rFonts w:ascii="Verdana" w:hAnsi="Verdana"/>
          <w:sz w:val="20"/>
        </w:rPr>
      </w:pPr>
      <w:r w:rsidRPr="008848C6">
        <w:rPr>
          <w:rFonts w:ascii="Verdana" w:hAnsi="Verdana"/>
          <w:sz w:val="20"/>
          <w:szCs w:val="20"/>
          <w:lang w:val="es-ES"/>
        </w:rPr>
        <w:t xml:space="preserve">En lo que respecta al señor García Cruz, en la referida Resolución </w:t>
      </w:r>
      <w:r>
        <w:rPr>
          <w:rFonts w:ascii="Verdana" w:hAnsi="Verdana"/>
          <w:sz w:val="20"/>
          <w:szCs w:val="20"/>
          <w:lang w:val="es-ES"/>
        </w:rPr>
        <w:t xml:space="preserve">de septiembre de 2016 </w:t>
      </w:r>
      <w:r w:rsidRPr="008848C6">
        <w:rPr>
          <w:rFonts w:ascii="Verdana" w:hAnsi="Verdana"/>
          <w:sz w:val="20"/>
          <w:szCs w:val="20"/>
          <w:lang w:val="es-ES"/>
        </w:rPr>
        <w:t>la Corte determinó que el Estado había realizado el acto de entrega de la vivienda que la víctima aceptó recibir en cumplimiento de esta medida. Asimismo, la Corte constató entonces que dicha vivienda fue entregada “en depósito”.</w:t>
      </w:r>
      <w:r>
        <w:rPr>
          <w:rFonts w:ascii="Verdana" w:hAnsi="Verdana"/>
          <w:sz w:val="20"/>
          <w:szCs w:val="20"/>
          <w:lang w:val="es-ES"/>
        </w:rPr>
        <w:t xml:space="preserve"> </w:t>
      </w:r>
      <w:r w:rsidR="008848C6" w:rsidRPr="008848C6">
        <w:rPr>
          <w:rFonts w:ascii="Verdana" w:hAnsi="Verdana"/>
          <w:sz w:val="20"/>
          <w:szCs w:val="20"/>
          <w:lang w:val="es-ES"/>
        </w:rPr>
        <w:t xml:space="preserve">Con posterioridad, el </w:t>
      </w:r>
      <w:r w:rsidR="008848C6" w:rsidRPr="008848C6">
        <w:rPr>
          <w:rFonts w:ascii="Verdana" w:hAnsi="Verdana"/>
          <w:i/>
          <w:sz w:val="20"/>
          <w:szCs w:val="20"/>
          <w:lang w:val="es-ES"/>
        </w:rPr>
        <w:t>Estado</w:t>
      </w:r>
      <w:r w:rsidR="008848C6" w:rsidRPr="008848C6">
        <w:rPr>
          <w:rFonts w:ascii="Verdana" w:hAnsi="Verdana"/>
          <w:sz w:val="20"/>
          <w:szCs w:val="20"/>
          <w:lang w:val="es-ES"/>
        </w:rPr>
        <w:t xml:space="preserve"> indicó </w:t>
      </w:r>
      <w:r w:rsidR="00BD7D27" w:rsidRPr="008848C6">
        <w:rPr>
          <w:rFonts w:ascii="Verdana" w:hAnsi="Verdana"/>
          <w:sz w:val="20"/>
          <w:szCs w:val="20"/>
          <w:lang w:val="es-ES"/>
        </w:rPr>
        <w:t xml:space="preserve">en febrero de 2018 </w:t>
      </w:r>
      <w:r w:rsidR="009274AC" w:rsidRPr="008848C6">
        <w:rPr>
          <w:rFonts w:ascii="Verdana" w:hAnsi="Verdana"/>
          <w:sz w:val="20"/>
          <w:szCs w:val="20"/>
          <w:lang w:val="es-ES"/>
        </w:rPr>
        <w:t>que “</w:t>
      </w:r>
      <w:r w:rsidR="00363AB7" w:rsidRPr="008848C6">
        <w:rPr>
          <w:rFonts w:ascii="Verdana" w:hAnsi="Verdana"/>
          <w:sz w:val="20"/>
          <w:szCs w:val="20"/>
          <w:lang w:val="es-ES"/>
        </w:rPr>
        <w:t xml:space="preserve">se hizo del conocimiento de los representantes que se tienen todos los trámites para la formalización de la escrituración </w:t>
      </w:r>
      <w:r w:rsidR="009274AC" w:rsidRPr="008848C6">
        <w:rPr>
          <w:rFonts w:ascii="Verdana" w:hAnsi="Verdana"/>
          <w:sz w:val="20"/>
          <w:szCs w:val="20"/>
          <w:lang w:val="es-ES"/>
        </w:rPr>
        <w:t>[</w:t>
      </w:r>
      <w:r w:rsidR="008848C6">
        <w:rPr>
          <w:rFonts w:ascii="Verdana" w:hAnsi="Verdana"/>
          <w:sz w:val="20"/>
          <w:szCs w:val="20"/>
          <w:lang w:val="es-ES"/>
        </w:rPr>
        <w:t>de la vivienda</w:t>
      </w:r>
      <w:r w:rsidR="009274AC" w:rsidRPr="008848C6">
        <w:rPr>
          <w:rFonts w:ascii="Verdana" w:hAnsi="Verdana"/>
          <w:sz w:val="20"/>
          <w:szCs w:val="20"/>
          <w:lang w:val="es-ES"/>
        </w:rPr>
        <w:t>…]</w:t>
      </w:r>
      <w:r w:rsidR="008848C6">
        <w:rPr>
          <w:rFonts w:ascii="Verdana" w:hAnsi="Verdana"/>
          <w:sz w:val="20"/>
          <w:szCs w:val="20"/>
          <w:lang w:val="es-ES"/>
        </w:rPr>
        <w:t>”</w:t>
      </w:r>
      <w:r w:rsidR="00363AB7" w:rsidRPr="008848C6">
        <w:rPr>
          <w:rFonts w:ascii="Verdana" w:hAnsi="Verdana"/>
          <w:sz w:val="20"/>
          <w:szCs w:val="20"/>
          <w:lang w:val="es-ES"/>
        </w:rPr>
        <w:t xml:space="preserve">, en razón de lo cual se solicitó que señalaran una fecha </w:t>
      </w:r>
      <w:r w:rsidR="008848C6">
        <w:rPr>
          <w:rFonts w:ascii="Verdana" w:hAnsi="Verdana"/>
          <w:sz w:val="20"/>
          <w:szCs w:val="20"/>
          <w:lang w:val="es-ES"/>
        </w:rPr>
        <w:t>“</w:t>
      </w:r>
      <w:r w:rsidR="00363AB7" w:rsidRPr="008848C6">
        <w:rPr>
          <w:rFonts w:ascii="Verdana" w:hAnsi="Verdana"/>
          <w:sz w:val="20"/>
          <w:szCs w:val="20"/>
          <w:lang w:val="es-ES"/>
        </w:rPr>
        <w:t>anterior al 28 de julio de 2017</w:t>
      </w:r>
      <w:r w:rsidR="008848C6">
        <w:rPr>
          <w:rFonts w:ascii="Verdana" w:hAnsi="Verdana"/>
          <w:sz w:val="20"/>
          <w:szCs w:val="20"/>
          <w:lang w:val="es-ES"/>
        </w:rPr>
        <w:t>”</w:t>
      </w:r>
      <w:r w:rsidR="00363AB7" w:rsidRPr="008848C6">
        <w:rPr>
          <w:rFonts w:ascii="Verdana" w:hAnsi="Verdana"/>
          <w:sz w:val="20"/>
          <w:szCs w:val="20"/>
          <w:lang w:val="es-ES"/>
        </w:rPr>
        <w:t xml:space="preserve">, en el cual el </w:t>
      </w:r>
      <w:r w:rsidR="008848C6">
        <w:rPr>
          <w:rFonts w:ascii="Verdana" w:hAnsi="Verdana"/>
          <w:sz w:val="20"/>
          <w:szCs w:val="20"/>
          <w:lang w:val="es-ES"/>
        </w:rPr>
        <w:t>señor García Cruz</w:t>
      </w:r>
      <w:r w:rsidR="00363AB7" w:rsidRPr="008848C6">
        <w:rPr>
          <w:rFonts w:ascii="Verdana" w:hAnsi="Verdana"/>
          <w:sz w:val="20"/>
          <w:szCs w:val="20"/>
          <w:lang w:val="es-ES"/>
        </w:rPr>
        <w:t xml:space="preserve"> pudiera asistir acompañado de sus representantes a fin de concluir con dicho trámite.</w:t>
      </w:r>
      <w:r w:rsidR="009764F1" w:rsidRPr="008848C6">
        <w:rPr>
          <w:rFonts w:ascii="Verdana" w:hAnsi="Verdana"/>
          <w:sz w:val="20"/>
          <w:szCs w:val="20"/>
          <w:lang w:val="es-ES"/>
        </w:rPr>
        <w:t xml:space="preserve"> </w:t>
      </w:r>
      <w:r w:rsidR="00363AB7" w:rsidRPr="008848C6">
        <w:rPr>
          <w:rFonts w:ascii="Verdana" w:hAnsi="Verdana"/>
          <w:sz w:val="20"/>
          <w:szCs w:val="20"/>
          <w:lang w:val="es-ES"/>
        </w:rPr>
        <w:t xml:space="preserve">No obstante lo anterior, los representantes señalaron </w:t>
      </w:r>
      <w:r w:rsidR="008848C6">
        <w:rPr>
          <w:rFonts w:ascii="Verdana" w:hAnsi="Verdana"/>
          <w:sz w:val="20"/>
          <w:szCs w:val="20"/>
          <w:lang w:val="es-ES"/>
        </w:rPr>
        <w:t>en julio de ese</w:t>
      </w:r>
      <w:r w:rsidR="00363AB7" w:rsidRPr="008848C6">
        <w:rPr>
          <w:rFonts w:ascii="Verdana" w:hAnsi="Verdana"/>
          <w:sz w:val="20"/>
          <w:szCs w:val="20"/>
          <w:lang w:val="es-ES"/>
        </w:rPr>
        <w:t xml:space="preserve"> mismo año que no pudieron comunicarse con el </w:t>
      </w:r>
      <w:r w:rsidR="008848C6">
        <w:rPr>
          <w:rFonts w:ascii="Verdana" w:hAnsi="Verdana"/>
          <w:sz w:val="20"/>
          <w:szCs w:val="20"/>
          <w:lang w:val="es-ES"/>
        </w:rPr>
        <w:t>la referida víctima</w:t>
      </w:r>
      <w:r w:rsidR="00363AB7" w:rsidRPr="008848C6">
        <w:rPr>
          <w:rFonts w:ascii="Verdana" w:hAnsi="Verdana"/>
          <w:sz w:val="20"/>
          <w:szCs w:val="20"/>
          <w:lang w:val="es-ES"/>
        </w:rPr>
        <w:t xml:space="preserve"> dentro de los tiempos previstos</w:t>
      </w:r>
      <w:r w:rsidR="009E0A7D">
        <w:rPr>
          <w:rFonts w:ascii="Verdana" w:hAnsi="Verdana"/>
          <w:sz w:val="20"/>
          <w:szCs w:val="20"/>
          <w:lang w:val="es-ES"/>
        </w:rPr>
        <w:t xml:space="preserve"> por el Estado. En razón de ello, </w:t>
      </w:r>
      <w:r w:rsidR="009E0A7D" w:rsidRPr="009E0A7D">
        <w:rPr>
          <w:rFonts w:ascii="Verdana" w:hAnsi="Verdana"/>
          <w:i/>
          <w:sz w:val="20"/>
          <w:szCs w:val="20"/>
          <w:lang w:val="es-ES"/>
        </w:rPr>
        <w:t>México</w:t>
      </w:r>
      <w:r w:rsidR="009E0A7D">
        <w:rPr>
          <w:rFonts w:ascii="Verdana" w:hAnsi="Verdana"/>
          <w:sz w:val="20"/>
          <w:szCs w:val="20"/>
          <w:lang w:val="es-ES"/>
        </w:rPr>
        <w:t xml:space="preserve"> les señaló</w:t>
      </w:r>
      <w:r w:rsidR="009764F1" w:rsidRPr="008848C6">
        <w:rPr>
          <w:rFonts w:ascii="Verdana" w:hAnsi="Verdana"/>
          <w:sz w:val="20"/>
          <w:szCs w:val="20"/>
          <w:lang w:val="es-ES"/>
        </w:rPr>
        <w:t xml:space="preserve"> que </w:t>
      </w:r>
      <w:r w:rsidR="009E0A7D">
        <w:rPr>
          <w:rFonts w:ascii="Verdana" w:hAnsi="Verdana"/>
          <w:sz w:val="20"/>
          <w:szCs w:val="20"/>
          <w:lang w:val="es-ES"/>
        </w:rPr>
        <w:t xml:space="preserve">si bien </w:t>
      </w:r>
      <w:r w:rsidR="009764F1" w:rsidRPr="008848C6">
        <w:rPr>
          <w:rFonts w:ascii="Verdana" w:hAnsi="Verdana"/>
          <w:sz w:val="20"/>
          <w:szCs w:val="20"/>
          <w:lang w:val="es-ES"/>
        </w:rPr>
        <w:t>el crédito de la firma por concepto de escrituración fue ejerci</w:t>
      </w:r>
      <w:r w:rsidR="002D63E1" w:rsidRPr="008848C6">
        <w:rPr>
          <w:rFonts w:ascii="Verdana" w:hAnsi="Verdana"/>
          <w:sz w:val="20"/>
          <w:szCs w:val="20"/>
          <w:lang w:val="es-ES"/>
        </w:rPr>
        <w:t>d</w:t>
      </w:r>
      <w:r w:rsidR="009E0A7D">
        <w:rPr>
          <w:rFonts w:ascii="Verdana" w:hAnsi="Verdana"/>
          <w:sz w:val="20"/>
          <w:szCs w:val="20"/>
          <w:lang w:val="es-ES"/>
        </w:rPr>
        <w:t>o,</w:t>
      </w:r>
      <w:r w:rsidR="009764F1" w:rsidRPr="008848C6">
        <w:rPr>
          <w:rFonts w:ascii="Verdana" w:hAnsi="Verdana"/>
          <w:sz w:val="20"/>
          <w:szCs w:val="20"/>
          <w:lang w:val="es-ES"/>
        </w:rPr>
        <w:t xml:space="preserve"> al no haber acudido el beneficiario dentro de los plazos establecidos, el pago de honorarios notariales deber</w:t>
      </w:r>
      <w:r w:rsidR="009E0A7D">
        <w:rPr>
          <w:rFonts w:ascii="Verdana" w:hAnsi="Verdana"/>
          <w:sz w:val="20"/>
          <w:szCs w:val="20"/>
          <w:lang w:val="es-ES"/>
        </w:rPr>
        <w:t>ía</w:t>
      </w:r>
      <w:r w:rsidR="009764F1" w:rsidRPr="008848C6">
        <w:rPr>
          <w:rFonts w:ascii="Verdana" w:hAnsi="Verdana"/>
          <w:sz w:val="20"/>
          <w:szCs w:val="20"/>
          <w:lang w:val="es-ES"/>
        </w:rPr>
        <w:t xml:space="preserve"> ser cubierto por el </w:t>
      </w:r>
      <w:r w:rsidR="009E0A7D">
        <w:rPr>
          <w:rFonts w:ascii="Verdana" w:hAnsi="Verdana"/>
          <w:sz w:val="20"/>
          <w:szCs w:val="20"/>
          <w:lang w:val="es-ES"/>
        </w:rPr>
        <w:t>señor García Cruz</w:t>
      </w:r>
      <w:r w:rsidR="00363AB7" w:rsidRPr="008848C6">
        <w:rPr>
          <w:rFonts w:ascii="Verdana" w:hAnsi="Verdana"/>
          <w:sz w:val="20"/>
          <w:szCs w:val="20"/>
          <w:lang w:val="es-ES"/>
        </w:rPr>
        <w:t>”</w:t>
      </w:r>
      <w:r w:rsidR="00363AB7">
        <w:rPr>
          <w:rStyle w:val="FootnoteReference"/>
          <w:rFonts w:ascii="Verdana" w:hAnsi="Verdana"/>
          <w:sz w:val="20"/>
          <w:szCs w:val="20"/>
          <w:lang w:val="es-ES"/>
        </w:rPr>
        <w:footnoteReference w:id="47"/>
      </w:r>
      <w:r w:rsidR="002D63E1" w:rsidRPr="008848C6">
        <w:rPr>
          <w:rFonts w:ascii="Verdana" w:hAnsi="Verdana"/>
          <w:sz w:val="20"/>
          <w:szCs w:val="20"/>
          <w:lang w:val="es-ES"/>
        </w:rPr>
        <w:t>.</w:t>
      </w:r>
      <w:r w:rsidR="00522E11" w:rsidRPr="008848C6">
        <w:rPr>
          <w:rFonts w:ascii="Verdana" w:hAnsi="Verdana"/>
          <w:sz w:val="20"/>
          <w:szCs w:val="20"/>
          <w:lang w:val="es-ES"/>
        </w:rPr>
        <w:t xml:space="preserve"> </w:t>
      </w:r>
      <w:r w:rsidR="009E0A7D">
        <w:rPr>
          <w:rFonts w:ascii="Verdana" w:hAnsi="Verdana"/>
          <w:sz w:val="20"/>
          <w:szCs w:val="20"/>
          <w:lang w:val="es-ES"/>
        </w:rPr>
        <w:t xml:space="preserve">Frente a ello, </w:t>
      </w:r>
      <w:r w:rsidR="00522E11" w:rsidRPr="008848C6">
        <w:rPr>
          <w:rFonts w:ascii="Verdana" w:hAnsi="Verdana"/>
          <w:sz w:val="20"/>
          <w:szCs w:val="20"/>
          <w:lang w:val="es-ES"/>
        </w:rPr>
        <w:t xml:space="preserve">los </w:t>
      </w:r>
      <w:r w:rsidR="00522E11" w:rsidRPr="009E0A7D">
        <w:rPr>
          <w:rFonts w:ascii="Verdana" w:hAnsi="Verdana"/>
          <w:i/>
          <w:sz w:val="20"/>
          <w:szCs w:val="20"/>
          <w:lang w:val="es-ES"/>
        </w:rPr>
        <w:t>representantes de las víctim</w:t>
      </w:r>
      <w:r w:rsidR="004028B0" w:rsidRPr="009E0A7D">
        <w:rPr>
          <w:rFonts w:ascii="Verdana" w:hAnsi="Verdana"/>
          <w:i/>
          <w:sz w:val="20"/>
          <w:szCs w:val="20"/>
          <w:lang w:val="es-ES"/>
        </w:rPr>
        <w:t>as</w:t>
      </w:r>
      <w:r>
        <w:rPr>
          <w:rFonts w:ascii="Verdana" w:hAnsi="Verdana"/>
          <w:sz w:val="20"/>
          <w:szCs w:val="20"/>
          <w:lang w:val="es-ES"/>
        </w:rPr>
        <w:t xml:space="preserve"> insistiero</w:t>
      </w:r>
      <w:r w:rsidR="004028B0" w:rsidRPr="008848C6">
        <w:rPr>
          <w:rFonts w:ascii="Verdana" w:hAnsi="Verdana"/>
          <w:sz w:val="20"/>
          <w:szCs w:val="20"/>
          <w:lang w:val="es-ES"/>
        </w:rPr>
        <w:t xml:space="preserve">n en que el Estado </w:t>
      </w:r>
      <w:r>
        <w:rPr>
          <w:rFonts w:ascii="Verdana" w:hAnsi="Verdana"/>
          <w:sz w:val="20"/>
          <w:szCs w:val="20"/>
          <w:lang w:val="es-ES"/>
        </w:rPr>
        <w:t>debe continuar “</w:t>
      </w:r>
      <w:r w:rsidR="00522E11" w:rsidRPr="008848C6">
        <w:rPr>
          <w:rFonts w:ascii="Verdana" w:hAnsi="Verdana"/>
          <w:sz w:val="20"/>
          <w:szCs w:val="20"/>
          <w:lang w:val="es-ES"/>
        </w:rPr>
        <w:t>realizando los esfuerzos necesarios para finalizar con la entrega de la</w:t>
      </w:r>
      <w:r w:rsidR="004028B0" w:rsidRPr="008848C6">
        <w:rPr>
          <w:rFonts w:ascii="Verdana" w:hAnsi="Verdana"/>
          <w:sz w:val="20"/>
          <w:szCs w:val="20"/>
          <w:lang w:val="es-ES"/>
        </w:rPr>
        <w:t xml:space="preserve"> escritura al señor Juan García</w:t>
      </w:r>
      <w:r w:rsidR="00522E11" w:rsidRPr="008848C6">
        <w:rPr>
          <w:rFonts w:ascii="Verdana" w:hAnsi="Verdana"/>
          <w:sz w:val="20"/>
          <w:szCs w:val="20"/>
          <w:lang w:val="es-ES"/>
        </w:rPr>
        <w:t>”</w:t>
      </w:r>
      <w:r w:rsidR="004028B0" w:rsidRPr="008848C6">
        <w:rPr>
          <w:rFonts w:ascii="Verdana" w:hAnsi="Verdana"/>
          <w:sz w:val="20"/>
          <w:szCs w:val="20"/>
          <w:lang w:val="es-ES"/>
        </w:rPr>
        <w:t xml:space="preserve"> y enfatiza</w:t>
      </w:r>
      <w:r>
        <w:rPr>
          <w:rFonts w:ascii="Verdana" w:hAnsi="Verdana"/>
          <w:sz w:val="20"/>
          <w:szCs w:val="20"/>
          <w:lang w:val="es-ES"/>
        </w:rPr>
        <w:t>ro</w:t>
      </w:r>
      <w:r w:rsidR="004028B0" w:rsidRPr="008848C6">
        <w:rPr>
          <w:rFonts w:ascii="Verdana" w:hAnsi="Verdana"/>
          <w:sz w:val="20"/>
          <w:szCs w:val="20"/>
          <w:lang w:val="es-ES"/>
        </w:rPr>
        <w:t>n que el pago de cualquier tipo de honorarios debe ser cubierto por el Estado de conformidad con la medida de reparación acordada</w:t>
      </w:r>
      <w:r w:rsidR="00522E11">
        <w:rPr>
          <w:rStyle w:val="FootnoteReference"/>
          <w:rFonts w:ascii="Verdana" w:hAnsi="Verdana"/>
          <w:sz w:val="20"/>
          <w:szCs w:val="20"/>
          <w:lang w:val="es-ES"/>
        </w:rPr>
        <w:footnoteReference w:id="48"/>
      </w:r>
      <w:r w:rsidR="004028B0" w:rsidRPr="008848C6">
        <w:rPr>
          <w:rFonts w:ascii="Verdana" w:hAnsi="Verdana"/>
          <w:sz w:val="20"/>
          <w:szCs w:val="20"/>
          <w:lang w:val="es-ES"/>
        </w:rPr>
        <w:t>.</w:t>
      </w:r>
    </w:p>
    <w:p w14:paraId="0DE97396" w14:textId="77777777" w:rsidR="009764F1" w:rsidRDefault="009764F1" w:rsidP="00A4635E">
      <w:pPr>
        <w:pStyle w:val="ListParagraph"/>
        <w:spacing w:after="0" w:line="240" w:lineRule="auto"/>
        <w:ind w:left="0"/>
        <w:jc w:val="both"/>
        <w:rPr>
          <w:rFonts w:ascii="Verdana" w:hAnsi="Verdana"/>
          <w:sz w:val="20"/>
        </w:rPr>
      </w:pPr>
    </w:p>
    <w:p w14:paraId="5003F2DF" w14:textId="2A6739FF" w:rsidR="00522E11" w:rsidRPr="00522E11" w:rsidRDefault="00C15DEB" w:rsidP="00A4635E">
      <w:pPr>
        <w:pStyle w:val="ListParagraph"/>
        <w:numPr>
          <w:ilvl w:val="0"/>
          <w:numId w:val="6"/>
        </w:numPr>
        <w:spacing w:after="0" w:line="240" w:lineRule="auto"/>
        <w:ind w:left="0" w:firstLine="0"/>
        <w:jc w:val="both"/>
        <w:rPr>
          <w:rFonts w:ascii="Verdana" w:hAnsi="Verdana"/>
          <w:sz w:val="20"/>
        </w:rPr>
      </w:pPr>
      <w:r>
        <w:rPr>
          <w:rFonts w:ascii="Verdana" w:hAnsi="Verdana"/>
          <w:sz w:val="20"/>
          <w:szCs w:val="20"/>
        </w:rPr>
        <w:t>Respecto al señor Sánchez Silvestre</w:t>
      </w:r>
      <w:r w:rsidR="00AC3F0D">
        <w:rPr>
          <w:rFonts w:ascii="Verdana" w:hAnsi="Verdana"/>
          <w:sz w:val="20"/>
          <w:szCs w:val="20"/>
        </w:rPr>
        <w:t xml:space="preserve">, </w:t>
      </w:r>
      <w:r w:rsidR="00522E11">
        <w:rPr>
          <w:rFonts w:ascii="Verdana" w:hAnsi="Verdana"/>
          <w:sz w:val="20"/>
          <w:szCs w:val="20"/>
          <w:lang w:val="es-ES"/>
        </w:rPr>
        <w:t xml:space="preserve">mediante </w:t>
      </w:r>
      <w:r w:rsidR="00AC3F0D">
        <w:rPr>
          <w:rFonts w:ascii="Verdana" w:hAnsi="Verdana"/>
          <w:sz w:val="20"/>
          <w:szCs w:val="20"/>
          <w:lang w:val="es-ES"/>
        </w:rPr>
        <w:t xml:space="preserve">la mencionada </w:t>
      </w:r>
      <w:r w:rsidR="00522E11">
        <w:rPr>
          <w:rFonts w:ascii="Verdana" w:hAnsi="Verdana"/>
          <w:sz w:val="20"/>
          <w:szCs w:val="20"/>
          <w:lang w:val="es-ES"/>
        </w:rPr>
        <w:t>Resolución de de septiembre de 2016</w:t>
      </w:r>
      <w:r w:rsidR="00AC3F0D">
        <w:rPr>
          <w:rFonts w:ascii="Verdana" w:hAnsi="Verdana"/>
          <w:sz w:val="20"/>
          <w:szCs w:val="20"/>
          <w:lang w:val="es-ES"/>
        </w:rPr>
        <w:t>,</w:t>
      </w:r>
      <w:r w:rsidR="00522E11" w:rsidRPr="009764F1">
        <w:rPr>
          <w:rFonts w:ascii="Verdana" w:hAnsi="Verdana"/>
          <w:sz w:val="20"/>
          <w:szCs w:val="20"/>
        </w:rPr>
        <w:t xml:space="preserve"> </w:t>
      </w:r>
      <w:r w:rsidR="00C2600D">
        <w:rPr>
          <w:rFonts w:ascii="Verdana" w:hAnsi="Verdana"/>
          <w:sz w:val="20"/>
          <w:szCs w:val="20"/>
        </w:rPr>
        <w:t xml:space="preserve">la Corte requirió </w:t>
      </w:r>
      <w:r w:rsidR="00522E11" w:rsidRPr="009764F1">
        <w:rPr>
          <w:rFonts w:ascii="Verdana" w:hAnsi="Verdana"/>
          <w:sz w:val="20"/>
          <w:szCs w:val="20"/>
        </w:rPr>
        <w:t xml:space="preserve">a </w:t>
      </w:r>
      <w:r w:rsidR="00AC3F0D">
        <w:rPr>
          <w:rFonts w:ascii="Verdana" w:hAnsi="Verdana"/>
          <w:sz w:val="20"/>
          <w:szCs w:val="20"/>
        </w:rPr>
        <w:t>sus</w:t>
      </w:r>
      <w:r w:rsidR="00522E11" w:rsidRPr="009764F1">
        <w:rPr>
          <w:rFonts w:ascii="Verdana" w:hAnsi="Verdana"/>
          <w:sz w:val="20"/>
          <w:szCs w:val="20"/>
        </w:rPr>
        <w:t xml:space="preserve"> representantes que comuni</w:t>
      </w:r>
      <w:r w:rsidR="00C2600D">
        <w:rPr>
          <w:rFonts w:ascii="Verdana" w:hAnsi="Verdana"/>
          <w:sz w:val="20"/>
          <w:szCs w:val="20"/>
        </w:rPr>
        <w:t>caran</w:t>
      </w:r>
      <w:r w:rsidR="00522E11" w:rsidRPr="009764F1">
        <w:rPr>
          <w:rFonts w:ascii="Verdana" w:hAnsi="Verdana"/>
          <w:sz w:val="20"/>
          <w:szCs w:val="20"/>
        </w:rPr>
        <w:t xml:space="preserve">, dentro del plazo de seis semanas, cuál </w:t>
      </w:r>
      <w:r w:rsidR="00AC3F0D">
        <w:rPr>
          <w:rFonts w:ascii="Verdana" w:hAnsi="Verdana"/>
          <w:sz w:val="20"/>
          <w:szCs w:val="20"/>
        </w:rPr>
        <w:t>era</w:t>
      </w:r>
      <w:r w:rsidR="00522E11" w:rsidRPr="009764F1">
        <w:rPr>
          <w:rFonts w:ascii="Verdana" w:hAnsi="Verdana"/>
          <w:sz w:val="20"/>
          <w:szCs w:val="20"/>
        </w:rPr>
        <w:t xml:space="preserve"> la voluntad </w:t>
      </w:r>
      <w:r w:rsidR="00AC3F0D">
        <w:rPr>
          <w:rFonts w:ascii="Verdana" w:hAnsi="Verdana"/>
          <w:sz w:val="20"/>
          <w:szCs w:val="20"/>
        </w:rPr>
        <w:t>de dicha víctima</w:t>
      </w:r>
      <w:r w:rsidR="00522E11" w:rsidRPr="009764F1">
        <w:rPr>
          <w:rFonts w:ascii="Verdana" w:hAnsi="Verdana"/>
          <w:sz w:val="20"/>
          <w:szCs w:val="20"/>
        </w:rPr>
        <w:t xml:space="preserve"> respecto a recibir en propiedad una vivienda en el Distrito</w:t>
      </w:r>
      <w:r w:rsidR="00AC3F0D">
        <w:rPr>
          <w:rFonts w:ascii="Verdana" w:hAnsi="Verdana"/>
          <w:sz w:val="20"/>
          <w:szCs w:val="20"/>
          <w:lang w:val="es-ES"/>
        </w:rPr>
        <w:t xml:space="preserve"> Federal a través del INVI, o bien, que explicaran</w:t>
      </w:r>
      <w:r w:rsidR="00522E11" w:rsidRPr="009764F1">
        <w:rPr>
          <w:rFonts w:ascii="Verdana" w:hAnsi="Verdana"/>
          <w:sz w:val="20"/>
          <w:szCs w:val="20"/>
          <w:lang w:val="es-ES"/>
        </w:rPr>
        <w:t xml:space="preserve"> si existen motivos que le impidan tomar una decisión o problemas de comunicación que amerit</w:t>
      </w:r>
      <w:r w:rsidR="00896814">
        <w:rPr>
          <w:rFonts w:ascii="Verdana" w:hAnsi="Verdana"/>
          <w:sz w:val="20"/>
          <w:szCs w:val="20"/>
          <w:lang w:val="es-ES"/>
        </w:rPr>
        <w:t>aran</w:t>
      </w:r>
      <w:r w:rsidR="00522E11" w:rsidRPr="009764F1">
        <w:rPr>
          <w:rFonts w:ascii="Verdana" w:hAnsi="Verdana"/>
          <w:sz w:val="20"/>
          <w:szCs w:val="20"/>
          <w:lang w:val="es-ES"/>
        </w:rPr>
        <w:t xml:space="preserve"> </w:t>
      </w:r>
      <w:r w:rsidR="00522E11" w:rsidRPr="009764F1">
        <w:rPr>
          <w:rFonts w:ascii="Verdana" w:hAnsi="Verdana"/>
          <w:sz w:val="20"/>
          <w:szCs w:val="20"/>
          <w:lang w:val="es-ES"/>
        </w:rPr>
        <w:lastRenderedPageBreak/>
        <w:t xml:space="preserve">brindar un mayor plazo para que </w:t>
      </w:r>
      <w:r w:rsidR="00896814">
        <w:rPr>
          <w:rFonts w:ascii="Verdana" w:hAnsi="Verdana"/>
          <w:sz w:val="20"/>
          <w:szCs w:val="20"/>
          <w:lang w:val="es-ES"/>
        </w:rPr>
        <w:t>el señor Sánchez Silvestre formulara</w:t>
      </w:r>
      <w:r w:rsidR="00522E11">
        <w:rPr>
          <w:rFonts w:ascii="Verdana" w:hAnsi="Verdana"/>
          <w:sz w:val="20"/>
          <w:szCs w:val="20"/>
          <w:lang w:val="es-ES"/>
        </w:rPr>
        <w:t xml:space="preserve"> su decisión. </w:t>
      </w:r>
      <w:r w:rsidR="00C2600D">
        <w:rPr>
          <w:rFonts w:ascii="Verdana" w:hAnsi="Verdana"/>
          <w:sz w:val="20"/>
          <w:szCs w:val="20"/>
          <w:lang w:val="es-ES"/>
        </w:rPr>
        <w:t>Al respecto</w:t>
      </w:r>
      <w:r w:rsidR="00522E11">
        <w:rPr>
          <w:rFonts w:ascii="Verdana" w:hAnsi="Verdana"/>
          <w:sz w:val="20"/>
          <w:szCs w:val="20"/>
          <w:lang w:val="es-ES"/>
        </w:rPr>
        <w:t xml:space="preserve">, los </w:t>
      </w:r>
      <w:r w:rsidR="00522E11" w:rsidRPr="00651B22">
        <w:rPr>
          <w:rFonts w:ascii="Verdana" w:hAnsi="Verdana"/>
          <w:i/>
          <w:sz w:val="20"/>
          <w:szCs w:val="20"/>
          <w:lang w:val="es-ES"/>
        </w:rPr>
        <w:t>representantes</w:t>
      </w:r>
      <w:r w:rsidR="00522E11">
        <w:rPr>
          <w:rFonts w:ascii="Verdana" w:hAnsi="Verdana"/>
          <w:sz w:val="20"/>
          <w:szCs w:val="20"/>
          <w:lang w:val="es-ES"/>
        </w:rPr>
        <w:t xml:space="preserve"> han manifestado que ha sido imposible tomar contacto con </w:t>
      </w:r>
      <w:r w:rsidR="00651B22">
        <w:rPr>
          <w:rFonts w:ascii="Verdana" w:hAnsi="Verdana"/>
          <w:sz w:val="20"/>
          <w:szCs w:val="20"/>
          <w:lang w:val="es-ES"/>
        </w:rPr>
        <w:t>dicha víctima</w:t>
      </w:r>
      <w:r w:rsidR="00522E11">
        <w:rPr>
          <w:rFonts w:ascii="Verdana" w:hAnsi="Verdana"/>
          <w:sz w:val="20"/>
          <w:szCs w:val="20"/>
          <w:lang w:val="es-ES"/>
        </w:rPr>
        <w:t xml:space="preserve"> y</w:t>
      </w:r>
      <w:r w:rsidR="00760328">
        <w:rPr>
          <w:rFonts w:ascii="Verdana" w:hAnsi="Verdana"/>
          <w:sz w:val="20"/>
          <w:szCs w:val="20"/>
          <w:lang w:val="es-ES"/>
        </w:rPr>
        <w:t xml:space="preserve"> “</w:t>
      </w:r>
      <w:r w:rsidR="00522E11">
        <w:rPr>
          <w:rFonts w:ascii="Verdana" w:hAnsi="Verdana"/>
          <w:sz w:val="20"/>
          <w:szCs w:val="20"/>
          <w:lang w:val="es-ES"/>
        </w:rPr>
        <w:t>reitera</w:t>
      </w:r>
      <w:r w:rsidR="00C2600D">
        <w:rPr>
          <w:rFonts w:ascii="Verdana" w:hAnsi="Verdana"/>
          <w:sz w:val="20"/>
          <w:szCs w:val="20"/>
          <w:lang w:val="es-ES"/>
        </w:rPr>
        <w:t>[ron]</w:t>
      </w:r>
      <w:r w:rsidR="00522E11">
        <w:rPr>
          <w:rFonts w:ascii="Verdana" w:hAnsi="Verdana"/>
          <w:sz w:val="20"/>
          <w:szCs w:val="20"/>
          <w:lang w:val="es-ES"/>
        </w:rPr>
        <w:t xml:space="preserve"> que es imprescindible que el Estado disponga de los medios que sean necesarios para que, en el momento que así lo decida el señor Sánchez, pueda hacer exigible su derecho a obtener una vivienda”</w:t>
      </w:r>
      <w:r w:rsidR="00522E11">
        <w:rPr>
          <w:rStyle w:val="FootnoteReference"/>
          <w:rFonts w:ascii="Verdana" w:hAnsi="Verdana"/>
          <w:sz w:val="20"/>
          <w:szCs w:val="20"/>
          <w:lang w:val="es-ES"/>
        </w:rPr>
        <w:footnoteReference w:id="49"/>
      </w:r>
      <w:r w:rsidR="00C2600D">
        <w:rPr>
          <w:rFonts w:ascii="Verdana" w:hAnsi="Verdana"/>
          <w:sz w:val="20"/>
          <w:szCs w:val="20"/>
        </w:rPr>
        <w:t>.</w:t>
      </w:r>
      <w:r w:rsidR="001F10D3" w:rsidRPr="001F10D3">
        <w:rPr>
          <w:rFonts w:ascii="Verdana" w:hAnsi="Verdana"/>
          <w:sz w:val="20"/>
          <w:szCs w:val="20"/>
          <w:lang w:val="es-ES"/>
        </w:rPr>
        <w:t xml:space="preserve"> </w:t>
      </w:r>
      <w:r w:rsidR="001F10D3">
        <w:rPr>
          <w:rFonts w:ascii="Verdana" w:hAnsi="Verdana"/>
          <w:sz w:val="20"/>
          <w:szCs w:val="20"/>
          <w:lang w:val="es-ES"/>
        </w:rPr>
        <w:t>Por su parte, e</w:t>
      </w:r>
      <w:r w:rsidR="001F10D3" w:rsidRPr="009764F1">
        <w:rPr>
          <w:rFonts w:ascii="Verdana" w:hAnsi="Verdana"/>
          <w:sz w:val="20"/>
          <w:szCs w:val="20"/>
          <w:lang w:val="es-ES"/>
        </w:rPr>
        <w:t xml:space="preserve">l </w:t>
      </w:r>
      <w:r w:rsidR="001F10D3" w:rsidRPr="00D92F55">
        <w:rPr>
          <w:rFonts w:ascii="Verdana" w:hAnsi="Verdana"/>
          <w:sz w:val="20"/>
          <w:szCs w:val="20"/>
          <w:lang w:val="es-ES"/>
        </w:rPr>
        <w:t>Estado</w:t>
      </w:r>
      <w:r w:rsidR="001F10D3" w:rsidRPr="009764F1">
        <w:rPr>
          <w:rFonts w:ascii="Verdana" w:hAnsi="Verdana"/>
          <w:sz w:val="20"/>
          <w:szCs w:val="20"/>
          <w:lang w:val="es-ES"/>
        </w:rPr>
        <w:t xml:space="preserve"> enfatizó que la participación del señor Sánchez Silvestre es indispensable para dar cumplimiento </w:t>
      </w:r>
      <w:r w:rsidR="001F10D3">
        <w:rPr>
          <w:rFonts w:ascii="Verdana" w:hAnsi="Verdana"/>
          <w:sz w:val="20"/>
          <w:szCs w:val="20"/>
          <w:lang w:val="es-ES"/>
        </w:rPr>
        <w:t>a la medida y, por tanto, solicitó que</w:t>
      </w:r>
      <w:r w:rsidR="001F10D3" w:rsidRPr="009764F1">
        <w:rPr>
          <w:rFonts w:ascii="Verdana" w:hAnsi="Verdana"/>
          <w:sz w:val="20"/>
          <w:szCs w:val="20"/>
          <w:lang w:val="es-ES"/>
        </w:rPr>
        <w:t xml:space="preserve"> “</w:t>
      </w:r>
      <w:r w:rsidR="001F10D3">
        <w:rPr>
          <w:rFonts w:ascii="Verdana" w:hAnsi="Verdana"/>
          <w:sz w:val="20"/>
          <w:szCs w:val="20"/>
          <w:lang w:val="es-ES"/>
        </w:rPr>
        <w:t>al estar en una imposibilidad de facto para ejecutar las reparaciones a favor del mismo, y que inclusive sus propios representantes no han podido establecer contacto con él, [… la Corte] tenga por cumpli[da] [esta medida,] tomando en consideración la entrega [de la vivienda] que se realizó al señor Juan García Cruz”</w:t>
      </w:r>
      <w:r w:rsidR="001F10D3">
        <w:rPr>
          <w:rStyle w:val="FootnoteReference"/>
          <w:rFonts w:ascii="Verdana" w:hAnsi="Verdana"/>
          <w:sz w:val="20"/>
          <w:szCs w:val="20"/>
          <w:lang w:val="es-ES"/>
        </w:rPr>
        <w:footnoteReference w:id="50"/>
      </w:r>
      <w:r w:rsidR="001F10D3">
        <w:rPr>
          <w:rFonts w:ascii="Verdana" w:hAnsi="Verdana"/>
          <w:sz w:val="20"/>
        </w:rPr>
        <w:t>.</w:t>
      </w:r>
    </w:p>
    <w:p w14:paraId="42892363" w14:textId="77777777" w:rsidR="00522E11" w:rsidRPr="00522E11" w:rsidRDefault="00522E11" w:rsidP="00A4635E">
      <w:pPr>
        <w:pStyle w:val="ListParagraph"/>
        <w:spacing w:after="0" w:line="240" w:lineRule="auto"/>
        <w:rPr>
          <w:rFonts w:ascii="Verdana" w:hAnsi="Verdana"/>
          <w:sz w:val="20"/>
          <w:szCs w:val="20"/>
        </w:rPr>
      </w:pPr>
    </w:p>
    <w:p w14:paraId="11EB9D24" w14:textId="49743933" w:rsidR="001F10D3" w:rsidRPr="001F10D3" w:rsidRDefault="00B836C2" w:rsidP="00A4635E">
      <w:pPr>
        <w:pStyle w:val="ListParagraph"/>
        <w:numPr>
          <w:ilvl w:val="0"/>
          <w:numId w:val="6"/>
        </w:numPr>
        <w:spacing w:after="0" w:line="240" w:lineRule="auto"/>
        <w:ind w:left="0" w:firstLine="0"/>
        <w:jc w:val="both"/>
        <w:rPr>
          <w:rFonts w:ascii="Verdana" w:hAnsi="Verdana"/>
          <w:sz w:val="20"/>
        </w:rPr>
      </w:pPr>
      <w:r>
        <w:rPr>
          <w:rFonts w:ascii="Verdana" w:hAnsi="Verdana"/>
          <w:sz w:val="20"/>
          <w:szCs w:val="20"/>
          <w:lang w:val="es-ES"/>
        </w:rPr>
        <w:t>Tomando en cuenta lo previamente señalado, l</w:t>
      </w:r>
      <w:r w:rsidR="00433C7F" w:rsidRPr="009764F1">
        <w:rPr>
          <w:rFonts w:ascii="Verdana" w:hAnsi="Verdana"/>
          <w:sz w:val="20"/>
          <w:szCs w:val="20"/>
          <w:lang w:val="es-ES"/>
        </w:rPr>
        <w:t>a Corte valora positivamente las diversas gestiones reali</w:t>
      </w:r>
      <w:r>
        <w:rPr>
          <w:rFonts w:ascii="Verdana" w:hAnsi="Verdana"/>
          <w:sz w:val="20"/>
          <w:szCs w:val="20"/>
          <w:lang w:val="es-ES"/>
        </w:rPr>
        <w:t>zadas por México para entregar</w:t>
      </w:r>
      <w:r w:rsidR="004028B0">
        <w:rPr>
          <w:rFonts w:ascii="Verdana" w:hAnsi="Verdana"/>
          <w:sz w:val="20"/>
          <w:szCs w:val="20"/>
          <w:lang w:val="es-ES"/>
        </w:rPr>
        <w:t xml:space="preserve"> una vivienda a las víctimas.</w:t>
      </w:r>
      <w:r w:rsidR="00433C7F" w:rsidRPr="009764F1">
        <w:rPr>
          <w:rFonts w:ascii="Verdana" w:hAnsi="Verdana"/>
          <w:sz w:val="20"/>
          <w:szCs w:val="20"/>
          <w:lang w:val="es-ES"/>
        </w:rPr>
        <w:t xml:space="preserve"> </w:t>
      </w:r>
      <w:r w:rsidR="001F10D3">
        <w:rPr>
          <w:rFonts w:ascii="Verdana" w:hAnsi="Verdana"/>
          <w:sz w:val="20"/>
          <w:szCs w:val="20"/>
          <w:lang w:val="es-ES"/>
        </w:rPr>
        <w:t xml:space="preserve">En relación con el señor García Cruz, </w:t>
      </w:r>
      <w:r w:rsidR="001F10D3">
        <w:rPr>
          <w:rFonts w:ascii="Verdana" w:hAnsi="Verdana"/>
          <w:color w:val="000000" w:themeColor="text1"/>
          <w:sz w:val="20"/>
          <w:szCs w:val="20"/>
        </w:rPr>
        <w:t>e</w:t>
      </w:r>
      <w:r w:rsidR="001F10D3" w:rsidRPr="00245236">
        <w:rPr>
          <w:rFonts w:ascii="Verdana" w:hAnsi="Verdana"/>
          <w:color w:val="000000" w:themeColor="text1"/>
          <w:sz w:val="20"/>
          <w:szCs w:val="20"/>
        </w:rPr>
        <w:t>l Tribunal considera que</w:t>
      </w:r>
      <w:r w:rsidR="001F10D3">
        <w:rPr>
          <w:rFonts w:ascii="Verdana" w:hAnsi="Verdana"/>
          <w:color w:val="000000" w:themeColor="text1"/>
          <w:sz w:val="20"/>
          <w:szCs w:val="20"/>
        </w:rPr>
        <w:t xml:space="preserve"> si bien</w:t>
      </w:r>
      <w:r w:rsidR="001F10D3" w:rsidRPr="00245236">
        <w:rPr>
          <w:rFonts w:ascii="Verdana" w:hAnsi="Verdana"/>
          <w:color w:val="000000" w:themeColor="text1"/>
          <w:sz w:val="20"/>
          <w:szCs w:val="20"/>
        </w:rPr>
        <w:t xml:space="preserve"> el Estado ha venido realizando gestiones para dar cumplimiento a la</w:t>
      </w:r>
      <w:r w:rsidR="001F10D3">
        <w:rPr>
          <w:rFonts w:ascii="Verdana" w:hAnsi="Verdana"/>
          <w:color w:val="000000" w:themeColor="text1"/>
          <w:sz w:val="20"/>
          <w:szCs w:val="20"/>
        </w:rPr>
        <w:t xml:space="preserve"> referida</w:t>
      </w:r>
      <w:r w:rsidR="001F10D3" w:rsidRPr="00245236">
        <w:rPr>
          <w:rFonts w:ascii="Verdana" w:hAnsi="Verdana"/>
          <w:color w:val="000000" w:themeColor="text1"/>
          <w:sz w:val="20"/>
          <w:szCs w:val="20"/>
        </w:rPr>
        <w:t xml:space="preserve"> medida de reparación</w:t>
      </w:r>
      <w:r w:rsidR="001F10D3">
        <w:rPr>
          <w:rFonts w:ascii="Verdana" w:hAnsi="Verdana"/>
          <w:color w:val="000000" w:themeColor="text1"/>
          <w:sz w:val="20"/>
          <w:szCs w:val="20"/>
        </w:rPr>
        <w:t>, también</w:t>
      </w:r>
      <w:r w:rsidR="001F10D3" w:rsidRPr="00245236">
        <w:rPr>
          <w:rFonts w:ascii="Verdana" w:hAnsi="Verdana"/>
          <w:sz w:val="20"/>
          <w:szCs w:val="20"/>
          <w:lang w:val="es-ES"/>
        </w:rPr>
        <w:t xml:space="preserve"> recuerda que </w:t>
      </w:r>
      <w:r w:rsidR="001F10D3">
        <w:rPr>
          <w:rFonts w:ascii="Verdana" w:hAnsi="Verdana"/>
          <w:sz w:val="20"/>
          <w:szCs w:val="20"/>
          <w:lang w:val="es-ES"/>
        </w:rPr>
        <w:t xml:space="preserve">el Estado se obligó a </w:t>
      </w:r>
      <w:r w:rsidR="001F10D3" w:rsidRPr="00245236">
        <w:rPr>
          <w:rFonts w:ascii="Verdana" w:hAnsi="Verdana"/>
          <w:sz w:val="20"/>
          <w:szCs w:val="20"/>
          <w:lang w:val="es-ES"/>
        </w:rPr>
        <w:t>ent</w:t>
      </w:r>
      <w:r w:rsidR="001F10D3">
        <w:rPr>
          <w:rFonts w:ascii="Verdana" w:hAnsi="Verdana"/>
          <w:sz w:val="20"/>
          <w:szCs w:val="20"/>
          <w:lang w:val="es-ES"/>
        </w:rPr>
        <w:t xml:space="preserve">regar en propiedad una vivienda </w:t>
      </w:r>
      <w:r w:rsidR="001F10D3" w:rsidRPr="00433C7F">
        <w:rPr>
          <w:rFonts w:ascii="Verdana" w:hAnsi="Verdana"/>
          <w:sz w:val="20"/>
          <w:szCs w:val="20"/>
          <w:lang w:val="es-ES"/>
        </w:rPr>
        <w:t>“a título gratuito</w:t>
      </w:r>
      <w:r w:rsidR="001F10D3">
        <w:rPr>
          <w:rFonts w:ascii="Verdana" w:hAnsi="Verdana"/>
          <w:sz w:val="20"/>
          <w:szCs w:val="20"/>
          <w:lang w:val="es-ES"/>
        </w:rPr>
        <w:t>”</w:t>
      </w:r>
      <w:r w:rsidR="001F10D3" w:rsidRPr="00433C7F">
        <w:rPr>
          <w:rFonts w:ascii="Verdana" w:hAnsi="Verdana"/>
          <w:sz w:val="20"/>
          <w:szCs w:val="20"/>
          <w:lang w:val="es-ES"/>
        </w:rPr>
        <w:t>,</w:t>
      </w:r>
      <w:r w:rsidR="001F10D3">
        <w:rPr>
          <w:rFonts w:ascii="Verdana" w:hAnsi="Verdana"/>
          <w:sz w:val="20"/>
          <w:szCs w:val="20"/>
          <w:lang w:val="es-ES"/>
        </w:rPr>
        <w:t xml:space="preserve"> de manera que “</w:t>
      </w:r>
      <w:r w:rsidR="001F10D3" w:rsidRPr="00433C7F">
        <w:rPr>
          <w:rFonts w:ascii="Verdana" w:hAnsi="Verdana"/>
          <w:sz w:val="20"/>
          <w:szCs w:val="20"/>
          <w:lang w:val="es-ES"/>
        </w:rPr>
        <w:t>las víctimas no erogarán impuestos, contraprestación o aportación alguna”</w:t>
      </w:r>
      <w:r w:rsidR="001F10D3">
        <w:rPr>
          <w:rFonts w:ascii="Verdana" w:hAnsi="Verdana"/>
          <w:sz w:val="20"/>
          <w:szCs w:val="20"/>
          <w:lang w:val="es-ES"/>
        </w:rPr>
        <w:t xml:space="preserve">. En razón de ello, esta medida podrá considerarse como cumplida en relación con el señor García Cruz, una vez que </w:t>
      </w:r>
      <w:r w:rsidR="001F10D3" w:rsidRPr="00245236">
        <w:rPr>
          <w:rFonts w:ascii="Verdana" w:hAnsi="Verdana"/>
          <w:sz w:val="20"/>
          <w:szCs w:val="20"/>
          <w:lang w:val="es-ES"/>
        </w:rPr>
        <w:t>se cum</w:t>
      </w:r>
      <w:r w:rsidR="001F10D3">
        <w:rPr>
          <w:rFonts w:ascii="Verdana" w:hAnsi="Verdana"/>
          <w:sz w:val="20"/>
          <w:szCs w:val="20"/>
          <w:lang w:val="es-ES"/>
        </w:rPr>
        <w:t>plan con todo</w:t>
      </w:r>
      <w:r w:rsidR="001F10D3" w:rsidRPr="00245236">
        <w:rPr>
          <w:rFonts w:ascii="Verdana" w:hAnsi="Verdana"/>
          <w:sz w:val="20"/>
          <w:szCs w:val="20"/>
          <w:lang w:val="es-ES"/>
        </w:rPr>
        <w:t xml:space="preserve">s </w:t>
      </w:r>
      <w:r w:rsidR="001F10D3">
        <w:rPr>
          <w:rFonts w:ascii="Verdana" w:hAnsi="Verdana"/>
          <w:sz w:val="20"/>
          <w:szCs w:val="20"/>
          <w:lang w:val="es-ES"/>
        </w:rPr>
        <w:t>los procedimientos relacionado</w:t>
      </w:r>
      <w:r w:rsidR="001F10D3" w:rsidRPr="00245236">
        <w:rPr>
          <w:rFonts w:ascii="Verdana" w:hAnsi="Verdana"/>
          <w:sz w:val="20"/>
          <w:szCs w:val="20"/>
          <w:lang w:val="es-ES"/>
        </w:rPr>
        <w:t>s</w:t>
      </w:r>
      <w:r w:rsidR="001F10D3">
        <w:rPr>
          <w:rFonts w:ascii="Verdana" w:hAnsi="Verdana"/>
          <w:sz w:val="20"/>
          <w:szCs w:val="20"/>
          <w:lang w:val="es-ES"/>
        </w:rPr>
        <w:t xml:space="preserve"> con</w:t>
      </w:r>
      <w:r w:rsidR="001F10D3" w:rsidRPr="00245236">
        <w:rPr>
          <w:rFonts w:ascii="Verdana" w:hAnsi="Verdana"/>
          <w:sz w:val="20"/>
          <w:szCs w:val="20"/>
          <w:lang w:val="es-ES"/>
        </w:rPr>
        <w:t xml:space="preserve"> la titulación de la misma</w:t>
      </w:r>
      <w:r w:rsidR="001F10D3">
        <w:rPr>
          <w:rFonts w:ascii="Verdana" w:hAnsi="Verdana"/>
          <w:sz w:val="20"/>
          <w:szCs w:val="20"/>
          <w:lang w:val="es-ES"/>
        </w:rPr>
        <w:t xml:space="preserve"> en los términos establecidos en la Sentencia.</w:t>
      </w:r>
    </w:p>
    <w:p w14:paraId="4A03810C" w14:textId="77777777" w:rsidR="001F10D3" w:rsidRPr="001F10D3" w:rsidRDefault="001F10D3" w:rsidP="001F10D3">
      <w:pPr>
        <w:spacing w:after="0" w:line="240" w:lineRule="auto"/>
        <w:jc w:val="both"/>
        <w:rPr>
          <w:rFonts w:ascii="Verdana" w:hAnsi="Verdana"/>
          <w:sz w:val="20"/>
          <w:szCs w:val="20"/>
          <w:lang w:val="es-ES"/>
        </w:rPr>
      </w:pPr>
    </w:p>
    <w:p w14:paraId="21D27024" w14:textId="7191F33B" w:rsidR="00890CF1" w:rsidRPr="00D02898" w:rsidRDefault="001F10D3" w:rsidP="00D02898">
      <w:pPr>
        <w:pStyle w:val="ListParagraph"/>
        <w:numPr>
          <w:ilvl w:val="0"/>
          <w:numId w:val="6"/>
        </w:numPr>
        <w:spacing w:after="0" w:line="240" w:lineRule="auto"/>
        <w:ind w:left="0" w:firstLine="0"/>
        <w:jc w:val="both"/>
        <w:rPr>
          <w:rFonts w:ascii="Verdana" w:hAnsi="Verdana"/>
          <w:sz w:val="20"/>
        </w:rPr>
      </w:pPr>
      <w:r>
        <w:rPr>
          <w:rFonts w:ascii="Verdana" w:hAnsi="Verdana"/>
          <w:sz w:val="20"/>
          <w:szCs w:val="20"/>
          <w:lang w:val="es-ES"/>
        </w:rPr>
        <w:t>En lo que respecta</w:t>
      </w:r>
      <w:r w:rsidR="00250E50">
        <w:rPr>
          <w:rFonts w:ascii="Verdana" w:hAnsi="Verdana"/>
          <w:sz w:val="20"/>
          <w:szCs w:val="20"/>
          <w:lang w:val="es-ES"/>
        </w:rPr>
        <w:t xml:space="preserve"> a</w:t>
      </w:r>
      <w:r w:rsidR="0045076A">
        <w:rPr>
          <w:rFonts w:ascii="Verdana" w:hAnsi="Verdana"/>
          <w:sz w:val="20"/>
          <w:szCs w:val="20"/>
          <w:lang w:val="es-ES"/>
        </w:rPr>
        <w:t>l</w:t>
      </w:r>
      <w:r w:rsidR="001B0608">
        <w:rPr>
          <w:rFonts w:ascii="Verdana" w:hAnsi="Verdana"/>
          <w:sz w:val="20"/>
          <w:szCs w:val="20"/>
          <w:lang w:val="es-ES"/>
        </w:rPr>
        <w:t xml:space="preserve"> señor Sánchez Silvestre</w:t>
      </w:r>
      <w:r w:rsidR="0045076A">
        <w:rPr>
          <w:rFonts w:ascii="Verdana" w:hAnsi="Verdana"/>
          <w:sz w:val="20"/>
          <w:szCs w:val="20"/>
          <w:lang w:val="es-ES"/>
        </w:rPr>
        <w:t>,</w:t>
      </w:r>
      <w:r>
        <w:rPr>
          <w:rFonts w:ascii="Verdana" w:hAnsi="Verdana"/>
          <w:sz w:val="20"/>
          <w:szCs w:val="20"/>
          <w:lang w:val="es-ES"/>
        </w:rPr>
        <w:t xml:space="preserve"> la Corte nota que</w:t>
      </w:r>
      <w:r w:rsidR="001B0608">
        <w:rPr>
          <w:rFonts w:ascii="Verdana" w:hAnsi="Verdana"/>
          <w:sz w:val="20"/>
          <w:szCs w:val="20"/>
          <w:lang w:val="es-ES"/>
        </w:rPr>
        <w:t xml:space="preserve"> </w:t>
      </w:r>
      <w:r w:rsidR="00250E50">
        <w:rPr>
          <w:rFonts w:ascii="Verdana" w:hAnsi="Verdana"/>
          <w:sz w:val="20"/>
          <w:szCs w:val="20"/>
          <w:lang w:val="es-ES"/>
        </w:rPr>
        <w:t>ni los representantes</w:t>
      </w:r>
      <w:r w:rsidR="00890CF1">
        <w:rPr>
          <w:rFonts w:ascii="Verdana" w:hAnsi="Verdana"/>
          <w:sz w:val="20"/>
          <w:szCs w:val="20"/>
          <w:lang w:val="es-ES"/>
        </w:rPr>
        <w:t xml:space="preserve"> </w:t>
      </w:r>
      <w:r w:rsidR="00890CF1" w:rsidRPr="009764F1">
        <w:rPr>
          <w:rFonts w:ascii="Verdana" w:hAnsi="Verdana"/>
          <w:sz w:val="20"/>
          <w:szCs w:val="20"/>
          <w:lang w:val="es-ES"/>
        </w:rPr>
        <w:t xml:space="preserve">ni el Estado </w:t>
      </w:r>
      <w:r w:rsidR="00433C7F" w:rsidRPr="009764F1">
        <w:rPr>
          <w:rFonts w:ascii="Verdana" w:hAnsi="Verdana"/>
          <w:sz w:val="20"/>
          <w:szCs w:val="20"/>
          <w:lang w:val="es-ES"/>
        </w:rPr>
        <w:t>han logrado establecer contacto para obtener su parecer respecto a la ejecución de</w:t>
      </w:r>
      <w:r w:rsidR="0045076A">
        <w:rPr>
          <w:rFonts w:ascii="Verdana" w:hAnsi="Verdana"/>
          <w:sz w:val="20"/>
          <w:szCs w:val="20"/>
          <w:lang w:val="es-ES"/>
        </w:rPr>
        <w:t xml:space="preserve"> esta medida de</w:t>
      </w:r>
      <w:r w:rsidR="00433C7F" w:rsidRPr="009764F1">
        <w:rPr>
          <w:rFonts w:ascii="Verdana" w:hAnsi="Verdana"/>
          <w:sz w:val="20"/>
          <w:szCs w:val="20"/>
          <w:lang w:val="es-ES"/>
        </w:rPr>
        <w:t xml:space="preserve"> reparación y dar inicio a los respectivos trámites. </w:t>
      </w:r>
      <w:r w:rsidR="00D02898">
        <w:rPr>
          <w:rFonts w:ascii="Verdana" w:hAnsi="Verdana"/>
          <w:sz w:val="20"/>
          <w:szCs w:val="20"/>
          <w:lang w:val="es-ES"/>
        </w:rPr>
        <w:t>T</w:t>
      </w:r>
      <w:r w:rsidR="00890CF1" w:rsidRPr="00D02898">
        <w:rPr>
          <w:rFonts w:ascii="Verdana" w:hAnsi="Verdana"/>
          <w:sz w:val="20"/>
          <w:szCs w:val="20"/>
          <w:lang w:val="es-ES"/>
        </w:rPr>
        <w:t xml:space="preserve">oda vez que ha </w:t>
      </w:r>
      <w:r w:rsidR="00D02898">
        <w:rPr>
          <w:rFonts w:ascii="Verdana" w:hAnsi="Verdana"/>
          <w:sz w:val="20"/>
          <w:szCs w:val="20"/>
          <w:lang w:val="es-ES"/>
        </w:rPr>
        <w:t xml:space="preserve">sido </w:t>
      </w:r>
      <w:r w:rsidR="00890CF1" w:rsidRPr="00D02898">
        <w:rPr>
          <w:rFonts w:ascii="Verdana" w:hAnsi="Verdana"/>
          <w:sz w:val="20"/>
          <w:szCs w:val="20"/>
          <w:lang w:val="es-ES"/>
        </w:rPr>
        <w:t xml:space="preserve">manifestado por parte de los representantes de las víctimas la imposibilidad de contactarse con él en varias ocasiones </w:t>
      </w:r>
      <w:r w:rsidR="002D337B" w:rsidRPr="00D02898">
        <w:rPr>
          <w:rFonts w:ascii="Verdana" w:hAnsi="Verdana"/>
          <w:sz w:val="20"/>
          <w:szCs w:val="20"/>
          <w:lang w:val="es-ES"/>
        </w:rPr>
        <w:t>y que esta Corte ya otorgó mediante</w:t>
      </w:r>
      <w:r w:rsidR="00D02898">
        <w:rPr>
          <w:rFonts w:ascii="Verdana" w:hAnsi="Verdana"/>
          <w:sz w:val="20"/>
          <w:szCs w:val="20"/>
          <w:lang w:val="es-ES"/>
        </w:rPr>
        <w:t xml:space="preserve"> la Resolución de s</w:t>
      </w:r>
      <w:r w:rsidR="002D337B" w:rsidRPr="00D02898">
        <w:rPr>
          <w:rFonts w:ascii="Verdana" w:hAnsi="Verdana"/>
          <w:sz w:val="20"/>
          <w:szCs w:val="20"/>
          <w:lang w:val="es-ES"/>
        </w:rPr>
        <w:t xml:space="preserve">upervisión de </w:t>
      </w:r>
      <w:r w:rsidR="00D02898">
        <w:rPr>
          <w:rFonts w:ascii="Verdana" w:hAnsi="Verdana"/>
          <w:sz w:val="20"/>
          <w:szCs w:val="20"/>
          <w:lang w:val="es-ES"/>
        </w:rPr>
        <w:t>cumplimiento de</w:t>
      </w:r>
      <w:r w:rsidR="00082FE0" w:rsidRPr="00D02898">
        <w:rPr>
          <w:rFonts w:ascii="Verdana" w:hAnsi="Verdana"/>
          <w:sz w:val="20"/>
          <w:szCs w:val="20"/>
          <w:lang w:val="es-ES"/>
        </w:rPr>
        <w:t xml:space="preserve"> </w:t>
      </w:r>
      <w:r w:rsidR="002D337B" w:rsidRPr="00D02898">
        <w:rPr>
          <w:rFonts w:ascii="Verdana" w:hAnsi="Verdana"/>
          <w:sz w:val="20"/>
          <w:szCs w:val="20"/>
          <w:lang w:val="es-ES"/>
        </w:rPr>
        <w:t>de septiembre</w:t>
      </w:r>
      <w:r w:rsidR="00082FE0" w:rsidRPr="00D02898">
        <w:rPr>
          <w:rFonts w:ascii="Verdana" w:hAnsi="Verdana"/>
          <w:sz w:val="20"/>
          <w:szCs w:val="20"/>
          <w:lang w:val="es-ES"/>
        </w:rPr>
        <w:t xml:space="preserve"> de 2016</w:t>
      </w:r>
      <w:r w:rsidR="002D337B" w:rsidRPr="00D02898">
        <w:rPr>
          <w:rFonts w:ascii="Verdana" w:hAnsi="Verdana"/>
          <w:sz w:val="20"/>
          <w:szCs w:val="20"/>
          <w:lang w:val="es-ES"/>
        </w:rPr>
        <w:t xml:space="preserve"> un plazo para que los representantes de las víctimas informen </w:t>
      </w:r>
      <w:r w:rsidR="00317187">
        <w:rPr>
          <w:rFonts w:ascii="Verdana" w:hAnsi="Verdana"/>
          <w:sz w:val="20"/>
          <w:szCs w:val="20"/>
          <w:lang w:val="es-ES"/>
        </w:rPr>
        <w:t xml:space="preserve">dentro del plazo establecido en el punto resolutivo quinto de la presente Resolución, </w:t>
      </w:r>
      <w:r w:rsidR="002D337B" w:rsidRPr="00D02898">
        <w:rPr>
          <w:rFonts w:ascii="Verdana" w:hAnsi="Verdana"/>
          <w:sz w:val="20"/>
          <w:szCs w:val="20"/>
          <w:lang w:val="es-ES"/>
        </w:rPr>
        <w:t>sobre la localización del señor Sánchez Silvestre,</w:t>
      </w:r>
      <w:r w:rsidR="00890CF1" w:rsidRPr="00D02898">
        <w:rPr>
          <w:rFonts w:ascii="Verdana" w:hAnsi="Verdana"/>
          <w:sz w:val="20"/>
          <w:szCs w:val="20"/>
          <w:lang w:val="es-ES"/>
        </w:rPr>
        <w:t xml:space="preserve"> esta Corte requiere </w:t>
      </w:r>
      <w:r w:rsidR="00082FE0" w:rsidRPr="00D02898">
        <w:rPr>
          <w:rFonts w:ascii="Verdana" w:hAnsi="Verdana"/>
          <w:sz w:val="20"/>
          <w:szCs w:val="20"/>
          <w:lang w:val="es-ES"/>
        </w:rPr>
        <w:t xml:space="preserve">al </w:t>
      </w:r>
      <w:r w:rsidR="00890CF1" w:rsidRPr="00D02898">
        <w:rPr>
          <w:rFonts w:ascii="Verdana" w:hAnsi="Verdana"/>
          <w:sz w:val="20"/>
          <w:szCs w:val="20"/>
          <w:lang w:val="es-ES"/>
        </w:rPr>
        <w:t xml:space="preserve">Estado y </w:t>
      </w:r>
      <w:r w:rsidR="00082FE0" w:rsidRPr="00D02898">
        <w:rPr>
          <w:rFonts w:ascii="Verdana" w:hAnsi="Verdana"/>
          <w:sz w:val="20"/>
          <w:szCs w:val="20"/>
          <w:lang w:val="es-ES"/>
        </w:rPr>
        <w:t xml:space="preserve">a </w:t>
      </w:r>
      <w:r w:rsidR="00D02898">
        <w:rPr>
          <w:rFonts w:ascii="Verdana" w:hAnsi="Verdana"/>
          <w:sz w:val="20"/>
          <w:szCs w:val="20"/>
          <w:lang w:val="es-ES"/>
        </w:rPr>
        <w:t>los representantes</w:t>
      </w:r>
      <w:r w:rsidR="00890CF1" w:rsidRPr="00D02898">
        <w:rPr>
          <w:rFonts w:ascii="Verdana" w:hAnsi="Verdana"/>
          <w:sz w:val="20"/>
          <w:szCs w:val="20"/>
          <w:lang w:val="es-ES"/>
        </w:rPr>
        <w:t xml:space="preserve"> que</w:t>
      </w:r>
      <w:r w:rsidR="00D02898">
        <w:rPr>
          <w:rFonts w:ascii="Verdana" w:hAnsi="Verdana"/>
          <w:sz w:val="20"/>
          <w:szCs w:val="20"/>
          <w:lang w:val="es-ES"/>
        </w:rPr>
        <w:t>,</w:t>
      </w:r>
      <w:r w:rsidR="00890CF1" w:rsidRPr="00D02898">
        <w:rPr>
          <w:rFonts w:ascii="Verdana" w:hAnsi="Verdana"/>
          <w:sz w:val="20"/>
          <w:szCs w:val="20"/>
          <w:lang w:val="es-ES"/>
        </w:rPr>
        <w:t xml:space="preserve"> a través del dialogo</w:t>
      </w:r>
      <w:r w:rsidR="00D02898">
        <w:rPr>
          <w:rFonts w:ascii="Verdana" w:hAnsi="Verdana"/>
          <w:sz w:val="20"/>
          <w:szCs w:val="20"/>
          <w:lang w:val="es-ES"/>
        </w:rPr>
        <w:t>,</w:t>
      </w:r>
      <w:r w:rsidR="00890CF1" w:rsidRPr="00D02898">
        <w:rPr>
          <w:rFonts w:ascii="Verdana" w:hAnsi="Verdana"/>
          <w:sz w:val="20"/>
          <w:szCs w:val="20"/>
          <w:lang w:val="es-ES"/>
        </w:rPr>
        <w:t xml:space="preserve"> busquen los mecanismos más eficaces para localizar al señor Sánchez Silvestre </w:t>
      </w:r>
      <w:r w:rsidR="002D337B" w:rsidRPr="00D02898">
        <w:rPr>
          <w:rFonts w:ascii="Verdana" w:hAnsi="Verdana"/>
          <w:sz w:val="20"/>
          <w:szCs w:val="20"/>
          <w:lang w:val="es-ES"/>
        </w:rPr>
        <w:t xml:space="preserve">para </w:t>
      </w:r>
      <w:r w:rsidR="00890CF1" w:rsidRPr="00D02898">
        <w:rPr>
          <w:rFonts w:ascii="Verdana" w:hAnsi="Verdana"/>
          <w:sz w:val="20"/>
          <w:szCs w:val="20"/>
          <w:lang w:val="es-ES"/>
        </w:rPr>
        <w:t xml:space="preserve">poder </w:t>
      </w:r>
      <w:r w:rsidR="002D337B" w:rsidRPr="00D02898">
        <w:rPr>
          <w:rFonts w:ascii="Verdana" w:hAnsi="Verdana"/>
          <w:sz w:val="20"/>
          <w:szCs w:val="20"/>
          <w:lang w:val="es-ES"/>
        </w:rPr>
        <w:t xml:space="preserve">así </w:t>
      </w:r>
      <w:r w:rsidR="00890CF1" w:rsidRPr="00D02898">
        <w:rPr>
          <w:rFonts w:ascii="Verdana" w:hAnsi="Verdana"/>
          <w:sz w:val="20"/>
          <w:szCs w:val="20"/>
          <w:lang w:val="es-ES"/>
        </w:rPr>
        <w:t xml:space="preserve">conocer su voluntad </w:t>
      </w:r>
      <w:r w:rsidR="00082FE0" w:rsidRPr="00D02898">
        <w:rPr>
          <w:rFonts w:ascii="Verdana" w:hAnsi="Verdana"/>
          <w:sz w:val="20"/>
          <w:szCs w:val="20"/>
          <w:lang w:val="es-ES"/>
        </w:rPr>
        <w:t xml:space="preserve">sobre </w:t>
      </w:r>
      <w:r w:rsidR="00890CF1" w:rsidRPr="00D02898">
        <w:rPr>
          <w:rFonts w:ascii="Verdana" w:hAnsi="Verdana"/>
          <w:sz w:val="20"/>
          <w:szCs w:val="20"/>
          <w:lang w:val="es-ES"/>
        </w:rPr>
        <w:t>la ejecución de esta medida.</w:t>
      </w:r>
      <w:r w:rsidR="00317187">
        <w:rPr>
          <w:rFonts w:ascii="Verdana" w:hAnsi="Verdana"/>
          <w:sz w:val="20"/>
          <w:szCs w:val="20"/>
          <w:lang w:val="es-ES"/>
        </w:rPr>
        <w:t xml:space="preserve"> </w:t>
      </w:r>
    </w:p>
    <w:p w14:paraId="2124E3E8" w14:textId="77777777" w:rsidR="00890CF1" w:rsidRPr="00890CF1" w:rsidRDefault="00890CF1" w:rsidP="00890CF1">
      <w:pPr>
        <w:pStyle w:val="ListParagraph"/>
        <w:rPr>
          <w:rFonts w:ascii="Verdana" w:hAnsi="Verdana"/>
          <w:sz w:val="20"/>
          <w:szCs w:val="20"/>
          <w:lang w:val="es-ES"/>
        </w:rPr>
      </w:pPr>
    </w:p>
    <w:p w14:paraId="1F47F20E" w14:textId="60C840ED" w:rsidR="00433C7F" w:rsidRPr="00E909A4" w:rsidRDefault="00E909A4" w:rsidP="00E909A4">
      <w:pPr>
        <w:pStyle w:val="ListParagraph"/>
        <w:numPr>
          <w:ilvl w:val="0"/>
          <w:numId w:val="6"/>
        </w:numPr>
        <w:spacing w:after="0" w:line="240" w:lineRule="auto"/>
        <w:ind w:left="0" w:firstLine="0"/>
        <w:jc w:val="both"/>
        <w:rPr>
          <w:rFonts w:ascii="Verdana" w:hAnsi="Verdana"/>
          <w:sz w:val="20"/>
          <w:szCs w:val="20"/>
          <w:lang w:val="es-ES"/>
        </w:rPr>
      </w:pPr>
      <w:r>
        <w:rPr>
          <w:rFonts w:ascii="Verdana" w:hAnsi="Verdana"/>
          <w:sz w:val="20"/>
          <w:szCs w:val="20"/>
          <w:lang w:val="es-ES"/>
        </w:rPr>
        <w:t>Por todo lo señalado previamente, e</w:t>
      </w:r>
      <w:r w:rsidRPr="00E909A4">
        <w:rPr>
          <w:rFonts w:ascii="Verdana" w:hAnsi="Verdana"/>
          <w:sz w:val="20"/>
          <w:szCs w:val="20"/>
          <w:lang w:val="es-ES"/>
        </w:rPr>
        <w:t>l Tribunal considera que el Estado ha venido realizando gestiones para dar</w:t>
      </w:r>
      <w:r>
        <w:rPr>
          <w:rFonts w:ascii="Verdana" w:hAnsi="Verdana"/>
          <w:sz w:val="20"/>
          <w:szCs w:val="20"/>
          <w:lang w:val="es-ES"/>
        </w:rPr>
        <w:t xml:space="preserve"> </w:t>
      </w:r>
      <w:r w:rsidRPr="00E909A4">
        <w:rPr>
          <w:rFonts w:ascii="Verdana" w:hAnsi="Verdana"/>
          <w:sz w:val="20"/>
          <w:szCs w:val="20"/>
          <w:lang w:val="es-ES"/>
        </w:rPr>
        <w:t>cumplimiento a la medida de reparación relativa a entregar en propiedad una vivienda en el</w:t>
      </w:r>
      <w:r>
        <w:rPr>
          <w:rFonts w:ascii="Verdana" w:hAnsi="Verdana"/>
          <w:sz w:val="20"/>
          <w:szCs w:val="20"/>
          <w:lang w:val="es-ES"/>
        </w:rPr>
        <w:t xml:space="preserve"> </w:t>
      </w:r>
      <w:r w:rsidRPr="00E909A4">
        <w:rPr>
          <w:rFonts w:ascii="Verdana" w:hAnsi="Verdana"/>
          <w:sz w:val="20"/>
          <w:szCs w:val="20"/>
          <w:lang w:val="es-ES"/>
        </w:rPr>
        <w:t>Distrito Federal a cada víctima a través del INVI, según fue ordenado en el punto dispositivo</w:t>
      </w:r>
      <w:r>
        <w:rPr>
          <w:rFonts w:ascii="Verdana" w:hAnsi="Verdana"/>
          <w:sz w:val="20"/>
          <w:szCs w:val="20"/>
          <w:lang w:val="es-ES"/>
        </w:rPr>
        <w:t xml:space="preserve"> </w:t>
      </w:r>
      <w:r w:rsidRPr="00E909A4">
        <w:rPr>
          <w:rFonts w:ascii="Verdana" w:hAnsi="Verdana"/>
          <w:sz w:val="20"/>
          <w:szCs w:val="20"/>
          <w:lang w:val="es-ES"/>
        </w:rPr>
        <w:t xml:space="preserve">sexto inciso i) y los párrafos 79 y 80 de la Sentencia. </w:t>
      </w:r>
      <w:r w:rsidR="001B0608" w:rsidRPr="00E909A4">
        <w:rPr>
          <w:rFonts w:ascii="Verdana" w:hAnsi="Verdana"/>
          <w:sz w:val="20"/>
          <w:szCs w:val="20"/>
          <w:lang w:val="es-ES"/>
        </w:rPr>
        <w:t>En atención a la falta de información aportada sobre la ejecución de esta medida</w:t>
      </w:r>
      <w:r w:rsidR="00890CF1" w:rsidRPr="00E909A4">
        <w:rPr>
          <w:rFonts w:ascii="Verdana" w:hAnsi="Verdana"/>
          <w:sz w:val="20"/>
          <w:szCs w:val="20"/>
          <w:lang w:val="es-ES"/>
        </w:rPr>
        <w:t xml:space="preserve"> en favor de las víctimas</w:t>
      </w:r>
      <w:r w:rsidR="001B0608" w:rsidRPr="00E909A4">
        <w:rPr>
          <w:rFonts w:ascii="Verdana" w:hAnsi="Verdana"/>
          <w:sz w:val="20"/>
          <w:szCs w:val="20"/>
          <w:lang w:val="es-ES"/>
        </w:rPr>
        <w:t xml:space="preserve">, </w:t>
      </w:r>
      <w:r w:rsidR="0045076A" w:rsidRPr="00E909A4">
        <w:rPr>
          <w:rFonts w:ascii="Verdana" w:hAnsi="Verdana"/>
          <w:sz w:val="20"/>
          <w:szCs w:val="20"/>
          <w:lang w:val="es-ES"/>
        </w:rPr>
        <w:t xml:space="preserve">la Corte solicita a </w:t>
      </w:r>
      <w:r w:rsidR="001B0608" w:rsidRPr="00E909A4">
        <w:rPr>
          <w:rFonts w:ascii="Verdana" w:hAnsi="Verdana"/>
          <w:sz w:val="20"/>
          <w:szCs w:val="20"/>
          <w:lang w:val="es-ES"/>
        </w:rPr>
        <w:t>l</w:t>
      </w:r>
      <w:r w:rsidR="00433C7F" w:rsidRPr="00E909A4">
        <w:rPr>
          <w:rFonts w:ascii="Verdana" w:hAnsi="Verdana"/>
          <w:sz w:val="20"/>
          <w:szCs w:val="20"/>
          <w:lang w:val="es-ES"/>
        </w:rPr>
        <w:t xml:space="preserve">as partes </w:t>
      </w:r>
      <w:r w:rsidR="0045076A" w:rsidRPr="00E909A4">
        <w:rPr>
          <w:rFonts w:ascii="Verdana" w:hAnsi="Verdana"/>
          <w:sz w:val="20"/>
          <w:szCs w:val="20"/>
          <w:lang w:val="es-ES"/>
        </w:rPr>
        <w:t>que</w:t>
      </w:r>
      <w:r w:rsidR="00857DCA">
        <w:rPr>
          <w:rFonts w:ascii="Verdana" w:hAnsi="Verdana"/>
          <w:sz w:val="20"/>
          <w:szCs w:val="20"/>
          <w:lang w:val="es-ES"/>
        </w:rPr>
        <w:t>, dentro del plazo establecido en el punto resolutivo sexto de la presente Resolución,</w:t>
      </w:r>
      <w:r w:rsidR="0045076A" w:rsidRPr="00E909A4">
        <w:rPr>
          <w:rFonts w:ascii="Verdana" w:hAnsi="Verdana"/>
          <w:sz w:val="20"/>
          <w:szCs w:val="20"/>
          <w:lang w:val="es-ES"/>
        </w:rPr>
        <w:t xml:space="preserve"> aporten</w:t>
      </w:r>
      <w:r w:rsidR="00433C7F" w:rsidRPr="00E909A4">
        <w:rPr>
          <w:rFonts w:ascii="Verdana" w:hAnsi="Verdana"/>
          <w:sz w:val="20"/>
          <w:szCs w:val="20"/>
          <w:lang w:val="es-ES"/>
        </w:rPr>
        <w:t xml:space="preserve"> info</w:t>
      </w:r>
      <w:r w:rsidR="004C0B0F" w:rsidRPr="00E909A4">
        <w:rPr>
          <w:rFonts w:ascii="Verdana" w:hAnsi="Verdana"/>
          <w:sz w:val="20"/>
          <w:szCs w:val="20"/>
          <w:lang w:val="es-ES"/>
        </w:rPr>
        <w:t xml:space="preserve">rmación actualizada respecto de: i) todas las gestiones realizadas para ubicar </w:t>
      </w:r>
      <w:r w:rsidR="00857DCA">
        <w:rPr>
          <w:rFonts w:ascii="Verdana" w:hAnsi="Verdana"/>
          <w:sz w:val="20"/>
          <w:szCs w:val="20"/>
          <w:lang w:val="es-ES"/>
        </w:rPr>
        <w:t>al señor</w:t>
      </w:r>
      <w:r w:rsidR="004C0B0F" w:rsidRPr="00E909A4">
        <w:rPr>
          <w:rFonts w:ascii="Verdana" w:hAnsi="Verdana"/>
          <w:sz w:val="20"/>
          <w:szCs w:val="20"/>
          <w:lang w:val="es-ES"/>
        </w:rPr>
        <w:t xml:space="preserve"> Sánchez Silvestre</w:t>
      </w:r>
      <w:r w:rsidR="00857DCA">
        <w:rPr>
          <w:rFonts w:ascii="Verdana" w:hAnsi="Verdana"/>
          <w:sz w:val="20"/>
          <w:szCs w:val="20"/>
          <w:lang w:val="es-ES"/>
        </w:rPr>
        <w:t>,</w:t>
      </w:r>
      <w:r w:rsidR="004C0B0F" w:rsidRPr="00E909A4">
        <w:rPr>
          <w:rFonts w:ascii="Verdana" w:hAnsi="Verdana"/>
          <w:sz w:val="20"/>
          <w:szCs w:val="20"/>
          <w:lang w:val="es-ES"/>
        </w:rPr>
        <w:t xml:space="preserve"> y ii) </w:t>
      </w:r>
      <w:r w:rsidR="00567DCB" w:rsidRPr="00E909A4">
        <w:rPr>
          <w:rFonts w:ascii="Verdana" w:hAnsi="Verdana"/>
          <w:sz w:val="20"/>
          <w:szCs w:val="20"/>
          <w:lang w:val="es-ES"/>
        </w:rPr>
        <w:t xml:space="preserve">la documentación que acredite la entrega en propiedad de </w:t>
      </w:r>
      <w:r w:rsidR="004C0B0F" w:rsidRPr="00E909A4">
        <w:rPr>
          <w:rFonts w:ascii="Verdana" w:hAnsi="Verdana"/>
          <w:sz w:val="20"/>
          <w:szCs w:val="20"/>
          <w:lang w:val="es-ES"/>
        </w:rPr>
        <w:t>la vivienda que el Estado mexicano manifiesta ha sido ejecutada a favor del señor García Cruz</w:t>
      </w:r>
      <w:r w:rsidR="00433C7F" w:rsidRPr="00E909A4">
        <w:rPr>
          <w:rFonts w:ascii="Verdana" w:hAnsi="Verdana"/>
          <w:sz w:val="20"/>
          <w:szCs w:val="20"/>
          <w:lang w:val="es-ES"/>
        </w:rPr>
        <w:t>.</w:t>
      </w:r>
    </w:p>
    <w:p w14:paraId="261DD476" w14:textId="77777777" w:rsidR="00397530" w:rsidRDefault="00397530" w:rsidP="00A4635E">
      <w:pPr>
        <w:pStyle w:val="ListParagraph"/>
        <w:spacing w:after="0" w:line="240" w:lineRule="auto"/>
        <w:ind w:left="0"/>
        <w:jc w:val="both"/>
        <w:rPr>
          <w:rFonts w:ascii="Verdana" w:hAnsi="Verdana"/>
          <w:sz w:val="20"/>
          <w:highlight w:val="cyan"/>
        </w:rPr>
      </w:pPr>
    </w:p>
    <w:p w14:paraId="2B6D3308" w14:textId="77777777" w:rsidR="00CE0096" w:rsidRDefault="00CE0096" w:rsidP="00A4635E">
      <w:pPr>
        <w:pStyle w:val="ListParagraph"/>
        <w:spacing w:after="0" w:line="240" w:lineRule="auto"/>
        <w:ind w:left="0"/>
        <w:jc w:val="both"/>
        <w:rPr>
          <w:rFonts w:ascii="Verdana" w:hAnsi="Verdana"/>
          <w:sz w:val="20"/>
          <w:highlight w:val="cyan"/>
        </w:rPr>
      </w:pPr>
    </w:p>
    <w:p w14:paraId="174B8523" w14:textId="77777777" w:rsidR="00CE0096" w:rsidRDefault="00CE0096" w:rsidP="00A4635E">
      <w:pPr>
        <w:pStyle w:val="ListParagraph"/>
        <w:spacing w:after="0" w:line="240" w:lineRule="auto"/>
        <w:ind w:left="0"/>
        <w:jc w:val="both"/>
        <w:rPr>
          <w:rFonts w:ascii="Verdana" w:hAnsi="Verdana"/>
          <w:sz w:val="20"/>
          <w:highlight w:val="cyan"/>
        </w:rPr>
      </w:pPr>
    </w:p>
    <w:p w14:paraId="473F5147" w14:textId="77777777" w:rsidR="00CE0096" w:rsidRDefault="00CE0096" w:rsidP="00A4635E">
      <w:pPr>
        <w:pStyle w:val="ListParagraph"/>
        <w:spacing w:after="0" w:line="240" w:lineRule="auto"/>
        <w:ind w:left="0"/>
        <w:jc w:val="both"/>
        <w:rPr>
          <w:rFonts w:ascii="Verdana" w:hAnsi="Verdana"/>
          <w:sz w:val="20"/>
          <w:highlight w:val="cyan"/>
        </w:rPr>
      </w:pPr>
    </w:p>
    <w:p w14:paraId="631DE828" w14:textId="77777777" w:rsidR="00CE0096" w:rsidRDefault="00CE0096" w:rsidP="00A4635E">
      <w:pPr>
        <w:pStyle w:val="ListParagraph"/>
        <w:spacing w:after="0" w:line="240" w:lineRule="auto"/>
        <w:ind w:left="0"/>
        <w:jc w:val="both"/>
        <w:rPr>
          <w:rFonts w:ascii="Verdana" w:hAnsi="Verdana"/>
          <w:sz w:val="20"/>
          <w:highlight w:val="cyan"/>
        </w:rPr>
      </w:pPr>
    </w:p>
    <w:p w14:paraId="0D603ECB" w14:textId="77777777" w:rsidR="00CE0096" w:rsidRDefault="00CE0096" w:rsidP="00A4635E">
      <w:pPr>
        <w:pStyle w:val="ListParagraph"/>
        <w:spacing w:after="0" w:line="240" w:lineRule="auto"/>
        <w:ind w:left="0"/>
        <w:jc w:val="both"/>
        <w:rPr>
          <w:rFonts w:ascii="Verdana" w:hAnsi="Verdana"/>
          <w:sz w:val="20"/>
          <w:highlight w:val="cyan"/>
        </w:rPr>
      </w:pPr>
    </w:p>
    <w:p w14:paraId="4055B9AD" w14:textId="77777777" w:rsidR="00CE0096" w:rsidRDefault="00CE0096" w:rsidP="00A4635E">
      <w:pPr>
        <w:pStyle w:val="ListParagraph"/>
        <w:spacing w:after="0" w:line="240" w:lineRule="auto"/>
        <w:ind w:left="0"/>
        <w:jc w:val="both"/>
        <w:rPr>
          <w:rFonts w:ascii="Verdana" w:hAnsi="Verdana"/>
          <w:sz w:val="20"/>
          <w:highlight w:val="cyan"/>
        </w:rPr>
      </w:pPr>
    </w:p>
    <w:p w14:paraId="616C7062" w14:textId="77777777" w:rsidR="00E9252D" w:rsidRPr="004C3162" w:rsidRDefault="00FA6862" w:rsidP="001E2B84">
      <w:pPr>
        <w:pStyle w:val="Heading1"/>
        <w:jc w:val="both"/>
      </w:pPr>
      <w:bookmarkStart w:id="7" w:name="_Toc524712413"/>
      <w:r>
        <w:lastRenderedPageBreak/>
        <w:t xml:space="preserve">G) </w:t>
      </w:r>
      <w:r w:rsidR="00E9252D" w:rsidRPr="004C3162">
        <w:t xml:space="preserve">Realización de un seminario respecto de </w:t>
      </w:r>
      <w:r w:rsidR="00616B43">
        <w:t>“</w:t>
      </w:r>
      <w:r w:rsidR="00E9252D" w:rsidRPr="004C3162">
        <w:t>la doctrina de la inmediatez procesal</w:t>
      </w:r>
      <w:r w:rsidR="00616B43">
        <w:t>”</w:t>
      </w:r>
      <w:bookmarkEnd w:id="7"/>
    </w:p>
    <w:p w14:paraId="18203E50" w14:textId="77777777" w:rsidR="00E9252D" w:rsidRPr="002B7A85" w:rsidRDefault="00E9252D" w:rsidP="00A4635E">
      <w:pPr>
        <w:pStyle w:val="ListParagraph"/>
        <w:spacing w:after="0" w:line="240" w:lineRule="auto"/>
        <w:rPr>
          <w:rFonts w:ascii="Verdana" w:hAnsi="Verdana"/>
          <w:sz w:val="20"/>
          <w:highlight w:val="cyan"/>
          <w:lang w:val="es-ES"/>
        </w:rPr>
      </w:pPr>
    </w:p>
    <w:p w14:paraId="28034D51" w14:textId="74C71027" w:rsidR="00E9252D" w:rsidRPr="00DF7E56" w:rsidRDefault="00E9252D" w:rsidP="00A4635E">
      <w:pPr>
        <w:pStyle w:val="ListParagraph"/>
        <w:spacing w:after="0" w:line="240" w:lineRule="auto"/>
        <w:ind w:left="1080" w:hanging="360"/>
        <w:rPr>
          <w:rFonts w:ascii="Verdana" w:hAnsi="Verdana"/>
          <w:i/>
          <w:sz w:val="20"/>
          <w:szCs w:val="20"/>
        </w:rPr>
      </w:pPr>
      <w:r>
        <w:rPr>
          <w:rFonts w:ascii="Verdana" w:hAnsi="Verdana"/>
          <w:i/>
          <w:sz w:val="20"/>
          <w:szCs w:val="20"/>
        </w:rPr>
        <w:t>G</w:t>
      </w:r>
      <w:r w:rsidR="0091563C">
        <w:rPr>
          <w:rFonts w:ascii="Verdana" w:hAnsi="Verdana"/>
          <w:i/>
          <w:sz w:val="20"/>
          <w:szCs w:val="20"/>
        </w:rPr>
        <w:t>.1.</w:t>
      </w:r>
      <w:r w:rsidRPr="00DF7E56">
        <w:rPr>
          <w:rFonts w:ascii="Verdana" w:hAnsi="Verdana"/>
          <w:i/>
          <w:sz w:val="20"/>
          <w:szCs w:val="20"/>
        </w:rPr>
        <w:t xml:space="preserve"> Medida</w:t>
      </w:r>
      <w:r>
        <w:rPr>
          <w:rFonts w:ascii="Verdana" w:hAnsi="Verdana"/>
          <w:i/>
          <w:sz w:val="20"/>
          <w:szCs w:val="20"/>
        </w:rPr>
        <w:t xml:space="preserve"> ordenada</w:t>
      </w:r>
      <w:r w:rsidRPr="00DF7E56">
        <w:rPr>
          <w:rFonts w:ascii="Verdana" w:hAnsi="Verdana"/>
          <w:i/>
          <w:sz w:val="20"/>
          <w:szCs w:val="20"/>
        </w:rPr>
        <w:t xml:space="preserve"> por la Corte</w:t>
      </w:r>
    </w:p>
    <w:p w14:paraId="21B9F67E" w14:textId="77777777" w:rsidR="002B7A85" w:rsidRDefault="002B7A85" w:rsidP="00A4635E">
      <w:pPr>
        <w:spacing w:after="0" w:line="240" w:lineRule="auto"/>
        <w:jc w:val="both"/>
        <w:rPr>
          <w:rFonts w:ascii="Verdana" w:hAnsi="Verdana"/>
          <w:sz w:val="20"/>
        </w:rPr>
      </w:pPr>
    </w:p>
    <w:p w14:paraId="7631FFFC" w14:textId="59790032" w:rsidR="00E9252D" w:rsidRPr="00567DCB" w:rsidRDefault="002B7A85" w:rsidP="00567DCB">
      <w:pPr>
        <w:pStyle w:val="ListParagraph"/>
        <w:numPr>
          <w:ilvl w:val="0"/>
          <w:numId w:val="6"/>
        </w:numPr>
        <w:spacing w:after="0" w:line="240" w:lineRule="auto"/>
        <w:ind w:left="0" w:firstLine="0"/>
        <w:contextualSpacing w:val="0"/>
        <w:jc w:val="both"/>
        <w:rPr>
          <w:rFonts w:ascii="Verdana" w:hAnsi="Verdana"/>
          <w:sz w:val="20"/>
          <w:szCs w:val="20"/>
          <w:lang w:val="es-ES"/>
        </w:rPr>
      </w:pPr>
      <w:r w:rsidRPr="00E9252D">
        <w:rPr>
          <w:rFonts w:ascii="Verdana" w:hAnsi="Verdana"/>
          <w:sz w:val="20"/>
        </w:rPr>
        <w:t xml:space="preserve">En el </w:t>
      </w:r>
      <w:r w:rsidR="00E9252D" w:rsidRPr="00E9252D">
        <w:rPr>
          <w:rFonts w:ascii="Verdana" w:hAnsi="Verdana"/>
          <w:sz w:val="20"/>
        </w:rPr>
        <w:t>punto dispositivo sexto inciso j</w:t>
      </w:r>
      <w:r w:rsidR="00690920">
        <w:rPr>
          <w:rFonts w:ascii="Verdana" w:hAnsi="Verdana"/>
          <w:sz w:val="20"/>
        </w:rPr>
        <w:t>) y los párrafos 88 y</w:t>
      </w:r>
      <w:r w:rsidRPr="00E9252D">
        <w:rPr>
          <w:rFonts w:ascii="Verdana" w:hAnsi="Verdana"/>
          <w:sz w:val="20"/>
        </w:rPr>
        <w:t xml:space="preserve"> 89 de la Sentencia, la Corte homologó la medida relativa a </w:t>
      </w:r>
      <w:r w:rsidRPr="00E9252D">
        <w:rPr>
          <w:rFonts w:ascii="Verdana" w:hAnsi="Verdana"/>
          <w:sz w:val="20"/>
          <w:szCs w:val="20"/>
        </w:rPr>
        <w:t>“realizar un seminario con expertos para debatir la aplicación de la doctrina de la inmediatez procesal utilizada por la Suprema Corte de Justicia de la Nación y a hacer llegar las conclusiones de dicho evento a diversos servidores públicos encargados de la defensoría de oficio, así como de la procuración e impartición de justicia”.</w:t>
      </w:r>
      <w:r w:rsidR="00567DCB">
        <w:rPr>
          <w:rFonts w:ascii="Verdana" w:hAnsi="Verdana"/>
          <w:sz w:val="20"/>
          <w:szCs w:val="20"/>
        </w:rPr>
        <w:t xml:space="preserve"> </w:t>
      </w:r>
      <w:r w:rsidR="002808A6">
        <w:rPr>
          <w:rFonts w:ascii="Verdana" w:hAnsi="Verdana"/>
          <w:sz w:val="20"/>
          <w:szCs w:val="20"/>
        </w:rPr>
        <w:t xml:space="preserve">En la Sentencia </w:t>
      </w:r>
      <w:r w:rsidR="002808A6">
        <w:rPr>
          <w:rFonts w:ascii="Verdana" w:hAnsi="Verdana"/>
          <w:sz w:val="20"/>
          <w:szCs w:val="20"/>
          <w:lang w:val="es-ES"/>
        </w:rPr>
        <w:t>s</w:t>
      </w:r>
      <w:r w:rsidR="00567DCB">
        <w:rPr>
          <w:rFonts w:ascii="Verdana" w:hAnsi="Verdana"/>
          <w:sz w:val="20"/>
          <w:szCs w:val="20"/>
          <w:lang w:val="es-ES"/>
        </w:rPr>
        <w:t xml:space="preserve">e dispuso también que el seminario </w:t>
      </w:r>
      <w:r w:rsidR="00536277">
        <w:rPr>
          <w:rFonts w:ascii="Verdana" w:hAnsi="Verdana"/>
          <w:sz w:val="20"/>
          <w:szCs w:val="20"/>
          <w:lang w:val="es-ES"/>
        </w:rPr>
        <w:t>debería</w:t>
      </w:r>
      <w:r w:rsidR="00567DCB" w:rsidRPr="002F4453">
        <w:rPr>
          <w:rFonts w:ascii="Verdana" w:hAnsi="Verdana"/>
          <w:sz w:val="20"/>
          <w:szCs w:val="20"/>
          <w:lang w:val="es-ES"/>
        </w:rPr>
        <w:t xml:space="preserve"> celebrarse dentro de los doce meses siguientes a la</w:t>
      </w:r>
      <w:r w:rsidR="00567DCB">
        <w:rPr>
          <w:rFonts w:ascii="Verdana" w:hAnsi="Verdana"/>
          <w:sz w:val="20"/>
          <w:szCs w:val="20"/>
          <w:lang w:val="es-ES"/>
        </w:rPr>
        <w:t xml:space="preserve"> notificación de</w:t>
      </w:r>
      <w:r w:rsidR="00536277">
        <w:rPr>
          <w:rFonts w:ascii="Verdana" w:hAnsi="Verdana"/>
          <w:sz w:val="20"/>
          <w:szCs w:val="20"/>
          <w:lang w:val="es-ES"/>
        </w:rPr>
        <w:t>l referido fallo.</w:t>
      </w:r>
      <w:r w:rsidR="00567DCB" w:rsidRPr="002F4453">
        <w:rPr>
          <w:rFonts w:ascii="Verdana" w:hAnsi="Verdana"/>
          <w:sz w:val="20"/>
          <w:szCs w:val="20"/>
          <w:lang w:val="es-ES"/>
        </w:rPr>
        <w:t xml:space="preserve"> </w:t>
      </w:r>
    </w:p>
    <w:p w14:paraId="773659EF" w14:textId="77777777" w:rsidR="00567DCB" w:rsidRDefault="00567DCB" w:rsidP="00A4635E">
      <w:pPr>
        <w:pStyle w:val="ListParagraph"/>
        <w:spacing w:after="0" w:line="240" w:lineRule="auto"/>
        <w:ind w:left="0"/>
        <w:jc w:val="both"/>
        <w:rPr>
          <w:rFonts w:ascii="Verdana" w:hAnsi="Verdana"/>
          <w:sz w:val="20"/>
          <w:szCs w:val="20"/>
        </w:rPr>
      </w:pPr>
    </w:p>
    <w:p w14:paraId="7B251B89" w14:textId="6C89FA00" w:rsidR="002A4ED1" w:rsidRDefault="0091563C" w:rsidP="002A4ED1">
      <w:pPr>
        <w:pStyle w:val="ListParagraph"/>
        <w:spacing w:after="0" w:line="240" w:lineRule="auto"/>
        <w:ind w:left="1080" w:hanging="360"/>
        <w:rPr>
          <w:rFonts w:ascii="Verdana" w:hAnsi="Verdana"/>
          <w:i/>
          <w:sz w:val="20"/>
          <w:szCs w:val="20"/>
        </w:rPr>
      </w:pPr>
      <w:r>
        <w:rPr>
          <w:rFonts w:ascii="Verdana" w:hAnsi="Verdana"/>
          <w:i/>
          <w:sz w:val="20"/>
          <w:szCs w:val="20"/>
        </w:rPr>
        <w:t>G.2.</w:t>
      </w:r>
      <w:r w:rsidR="002A4ED1">
        <w:rPr>
          <w:rFonts w:ascii="Verdana" w:hAnsi="Verdana"/>
          <w:i/>
          <w:sz w:val="20"/>
          <w:szCs w:val="20"/>
        </w:rPr>
        <w:t xml:space="preserve"> </w:t>
      </w:r>
      <w:r w:rsidR="002A4ED1" w:rsidRPr="00DF7E56">
        <w:rPr>
          <w:rFonts w:ascii="Verdana" w:hAnsi="Verdana"/>
          <w:i/>
          <w:sz w:val="20"/>
          <w:szCs w:val="20"/>
        </w:rPr>
        <w:t>Consider</w:t>
      </w:r>
      <w:r w:rsidR="002A4ED1">
        <w:rPr>
          <w:rFonts w:ascii="Verdana" w:hAnsi="Verdana"/>
          <w:i/>
          <w:sz w:val="20"/>
          <w:szCs w:val="20"/>
        </w:rPr>
        <w:t>aciones de la Corte</w:t>
      </w:r>
    </w:p>
    <w:p w14:paraId="599E3E65" w14:textId="77777777" w:rsidR="00567DCB" w:rsidRPr="00567DCB" w:rsidRDefault="00567DCB" w:rsidP="00567DCB">
      <w:pPr>
        <w:pStyle w:val="ListParagraph"/>
        <w:spacing w:after="0" w:line="240" w:lineRule="auto"/>
        <w:ind w:left="0"/>
        <w:jc w:val="both"/>
        <w:rPr>
          <w:rFonts w:ascii="Verdana" w:hAnsi="Verdana"/>
          <w:sz w:val="20"/>
          <w:szCs w:val="20"/>
        </w:rPr>
      </w:pPr>
    </w:p>
    <w:p w14:paraId="26CC8AA0" w14:textId="6DF1BDFE" w:rsidR="002B7A85" w:rsidRDefault="002B7A85" w:rsidP="00A4635E">
      <w:pPr>
        <w:pStyle w:val="ListParagraph"/>
        <w:numPr>
          <w:ilvl w:val="0"/>
          <w:numId w:val="6"/>
        </w:numPr>
        <w:spacing w:after="0" w:line="240" w:lineRule="auto"/>
        <w:ind w:left="0" w:firstLine="0"/>
        <w:jc w:val="both"/>
        <w:rPr>
          <w:rFonts w:ascii="Verdana" w:hAnsi="Verdana"/>
          <w:sz w:val="20"/>
          <w:szCs w:val="20"/>
        </w:rPr>
      </w:pPr>
      <w:r w:rsidRPr="00E9252D">
        <w:rPr>
          <w:rFonts w:ascii="Verdana" w:hAnsi="Verdana"/>
          <w:sz w:val="20"/>
          <w:szCs w:val="20"/>
        </w:rPr>
        <w:t>E</w:t>
      </w:r>
      <w:r w:rsidR="000F7E82">
        <w:rPr>
          <w:rFonts w:ascii="Verdana" w:hAnsi="Verdana"/>
          <w:sz w:val="20"/>
          <w:szCs w:val="20"/>
        </w:rPr>
        <w:t>n su informe de febrero de 2018, e</w:t>
      </w:r>
      <w:r w:rsidRPr="00E9252D">
        <w:rPr>
          <w:rFonts w:ascii="Verdana" w:hAnsi="Verdana"/>
          <w:sz w:val="20"/>
          <w:szCs w:val="20"/>
        </w:rPr>
        <w:t xml:space="preserve">l </w:t>
      </w:r>
      <w:r w:rsidRPr="0094666E">
        <w:rPr>
          <w:rFonts w:ascii="Verdana" w:hAnsi="Verdana"/>
          <w:i/>
          <w:sz w:val="20"/>
          <w:szCs w:val="20"/>
        </w:rPr>
        <w:t>Estado</w:t>
      </w:r>
      <w:r w:rsidRPr="00E9252D">
        <w:rPr>
          <w:rFonts w:ascii="Verdana" w:hAnsi="Verdana"/>
          <w:sz w:val="20"/>
          <w:szCs w:val="20"/>
        </w:rPr>
        <w:t xml:space="preserve"> informó que el 8 de julio de 2016 se celebró el Seminario titulado “Aplicación de la Doctrina de Inmediatez Procesal Caso García Cruz y Sánchez Silvestre vs. Estados Unidos Mexicanos”,</w:t>
      </w:r>
      <w:r w:rsidR="0094666E">
        <w:rPr>
          <w:rFonts w:ascii="Verdana" w:hAnsi="Verdana"/>
          <w:sz w:val="20"/>
          <w:szCs w:val="20"/>
        </w:rPr>
        <w:t xml:space="preserve"> así como que dicho</w:t>
      </w:r>
      <w:r w:rsidRPr="00E9252D">
        <w:rPr>
          <w:rFonts w:ascii="Verdana" w:hAnsi="Verdana"/>
          <w:sz w:val="20"/>
          <w:szCs w:val="20"/>
        </w:rPr>
        <w:t xml:space="preserve"> evento se realizó en la </w:t>
      </w:r>
      <w:r w:rsidR="00782341" w:rsidRPr="00E9252D">
        <w:rPr>
          <w:rFonts w:ascii="Verdana" w:hAnsi="Verdana"/>
          <w:sz w:val="20"/>
          <w:szCs w:val="20"/>
        </w:rPr>
        <w:t>Secre</w:t>
      </w:r>
      <w:r w:rsidR="00E808B5">
        <w:rPr>
          <w:rFonts w:ascii="Verdana" w:hAnsi="Verdana"/>
          <w:sz w:val="20"/>
          <w:szCs w:val="20"/>
        </w:rPr>
        <w:t xml:space="preserve">taría de Relaciones Exteriores. </w:t>
      </w:r>
      <w:r w:rsidR="00605983" w:rsidRPr="00605983">
        <w:rPr>
          <w:rFonts w:ascii="Verdana" w:hAnsi="Verdana"/>
          <w:i/>
          <w:sz w:val="20"/>
          <w:szCs w:val="20"/>
        </w:rPr>
        <w:t>México</w:t>
      </w:r>
      <w:r w:rsidR="00914A51">
        <w:rPr>
          <w:rFonts w:ascii="Verdana" w:hAnsi="Verdana"/>
          <w:sz w:val="20"/>
          <w:szCs w:val="20"/>
        </w:rPr>
        <w:t xml:space="preserve"> afirmó que en</w:t>
      </w:r>
      <w:r w:rsidR="00397530">
        <w:rPr>
          <w:rFonts w:ascii="Verdana" w:hAnsi="Verdana"/>
          <w:sz w:val="20"/>
          <w:szCs w:val="20"/>
        </w:rPr>
        <w:t xml:space="preserve"> las</w:t>
      </w:r>
      <w:r w:rsidR="00B14335">
        <w:rPr>
          <w:rFonts w:ascii="Verdana" w:hAnsi="Verdana"/>
          <w:sz w:val="20"/>
          <w:szCs w:val="20"/>
        </w:rPr>
        <w:t xml:space="preserve"> mesas de trabajo</w:t>
      </w:r>
      <w:r w:rsidR="00397530">
        <w:rPr>
          <w:rFonts w:ascii="Verdana" w:hAnsi="Verdana"/>
          <w:sz w:val="20"/>
          <w:szCs w:val="20"/>
        </w:rPr>
        <w:t xml:space="preserve"> del seminario se</w:t>
      </w:r>
      <w:r w:rsidR="00B14335">
        <w:rPr>
          <w:rFonts w:ascii="Verdana" w:hAnsi="Verdana"/>
          <w:sz w:val="20"/>
          <w:szCs w:val="20"/>
        </w:rPr>
        <w:t xml:space="preserve"> abo</w:t>
      </w:r>
      <w:r w:rsidR="00397530">
        <w:rPr>
          <w:rFonts w:ascii="Verdana" w:hAnsi="Verdana"/>
          <w:sz w:val="20"/>
          <w:szCs w:val="20"/>
        </w:rPr>
        <w:t>r</w:t>
      </w:r>
      <w:r w:rsidR="00782341" w:rsidRPr="00E9252D">
        <w:rPr>
          <w:rFonts w:ascii="Verdana" w:hAnsi="Verdana"/>
          <w:sz w:val="20"/>
          <w:szCs w:val="20"/>
        </w:rPr>
        <w:t>daro</w:t>
      </w:r>
      <w:r w:rsidR="009B054D">
        <w:rPr>
          <w:rFonts w:ascii="Verdana" w:hAnsi="Verdana"/>
          <w:sz w:val="20"/>
          <w:szCs w:val="20"/>
        </w:rPr>
        <w:t>n las siguientes temáticas: i) e</w:t>
      </w:r>
      <w:r w:rsidR="00782341" w:rsidRPr="00E9252D">
        <w:rPr>
          <w:rFonts w:ascii="Verdana" w:hAnsi="Verdana"/>
          <w:sz w:val="20"/>
          <w:szCs w:val="20"/>
        </w:rPr>
        <w:t>l control de convencionalidad: aplicación en el Caso García</w:t>
      </w:r>
      <w:r w:rsidR="009B054D">
        <w:rPr>
          <w:rFonts w:ascii="Verdana" w:hAnsi="Verdana"/>
          <w:sz w:val="20"/>
          <w:szCs w:val="20"/>
        </w:rPr>
        <w:t xml:space="preserve"> Cruz y Sánchez Silvestre; ii) o</w:t>
      </w:r>
      <w:r w:rsidR="00782341" w:rsidRPr="00E9252D">
        <w:rPr>
          <w:rFonts w:ascii="Verdana" w:hAnsi="Verdana"/>
          <w:sz w:val="20"/>
          <w:szCs w:val="20"/>
        </w:rPr>
        <w:t xml:space="preserve">bligaciones estatales para </w:t>
      </w:r>
      <w:r w:rsidR="009B054D" w:rsidRPr="00E9252D">
        <w:rPr>
          <w:rFonts w:ascii="Verdana" w:hAnsi="Verdana"/>
          <w:sz w:val="20"/>
          <w:szCs w:val="20"/>
        </w:rPr>
        <w:t>prevenir, investigar, sancionar y erradicar la tortura y otros tratos crueles inhumanos y degradantes</w:t>
      </w:r>
      <w:r w:rsidR="009B054D">
        <w:rPr>
          <w:rFonts w:ascii="Verdana" w:hAnsi="Verdana"/>
          <w:sz w:val="20"/>
          <w:szCs w:val="20"/>
        </w:rPr>
        <w:t>, y iii) e</w:t>
      </w:r>
      <w:r w:rsidR="009B054D" w:rsidRPr="00E9252D">
        <w:rPr>
          <w:rFonts w:ascii="Verdana" w:hAnsi="Verdana"/>
          <w:sz w:val="20"/>
          <w:szCs w:val="20"/>
        </w:rPr>
        <w:t>l principio de inmedi</w:t>
      </w:r>
      <w:r w:rsidR="009B054D">
        <w:rPr>
          <w:rFonts w:ascii="Verdana" w:hAnsi="Verdana"/>
          <w:sz w:val="20"/>
          <w:szCs w:val="20"/>
        </w:rPr>
        <w:t>a</w:t>
      </w:r>
      <w:r w:rsidR="009B054D" w:rsidRPr="00E9252D">
        <w:rPr>
          <w:rFonts w:ascii="Verdana" w:hAnsi="Verdana"/>
          <w:sz w:val="20"/>
          <w:szCs w:val="20"/>
        </w:rPr>
        <w:t>tez procesal: implicaciones en el debido proceso y derecho de defensa de las personas imputadas</w:t>
      </w:r>
      <w:r w:rsidR="00782341" w:rsidRPr="00E9252D">
        <w:rPr>
          <w:rFonts w:ascii="Verdana" w:hAnsi="Verdana"/>
          <w:sz w:val="20"/>
          <w:szCs w:val="20"/>
        </w:rPr>
        <w:t>.</w:t>
      </w:r>
      <w:r w:rsidR="009B054D">
        <w:rPr>
          <w:rFonts w:ascii="Verdana" w:hAnsi="Verdana"/>
          <w:sz w:val="20"/>
          <w:szCs w:val="20"/>
        </w:rPr>
        <w:t xml:space="preserve"> Asimismo, </w:t>
      </w:r>
      <w:r w:rsidR="00567DCB">
        <w:rPr>
          <w:rFonts w:ascii="Verdana" w:hAnsi="Verdana"/>
          <w:sz w:val="20"/>
          <w:szCs w:val="20"/>
        </w:rPr>
        <w:t>señal</w:t>
      </w:r>
      <w:r w:rsidR="000F7E82">
        <w:rPr>
          <w:rFonts w:ascii="Verdana" w:hAnsi="Verdana"/>
          <w:sz w:val="20"/>
          <w:szCs w:val="20"/>
        </w:rPr>
        <w:t>ó</w:t>
      </w:r>
      <w:r w:rsidR="00B14335">
        <w:rPr>
          <w:rFonts w:ascii="Verdana" w:hAnsi="Verdana"/>
          <w:sz w:val="20"/>
          <w:szCs w:val="20"/>
        </w:rPr>
        <w:t xml:space="preserve"> que en el seminario se contó con la presencia de servidores públicos de diversas áreas relacionas con derechos humanos e impartición y procuración de ju</w:t>
      </w:r>
      <w:r w:rsidR="005A2018">
        <w:rPr>
          <w:rFonts w:ascii="Verdana" w:hAnsi="Verdana"/>
          <w:sz w:val="20"/>
          <w:szCs w:val="20"/>
        </w:rPr>
        <w:t>sticia, específicamente de la S</w:t>
      </w:r>
      <w:r w:rsidR="000F7E82">
        <w:rPr>
          <w:rFonts w:ascii="Verdana" w:hAnsi="Verdana"/>
          <w:sz w:val="20"/>
          <w:szCs w:val="20"/>
        </w:rPr>
        <w:t xml:space="preserve">ecretaría de </w:t>
      </w:r>
      <w:r w:rsidR="00B14335">
        <w:rPr>
          <w:rFonts w:ascii="Verdana" w:hAnsi="Verdana"/>
          <w:sz w:val="20"/>
          <w:szCs w:val="20"/>
        </w:rPr>
        <w:t>R</w:t>
      </w:r>
      <w:r w:rsidR="000F7E82">
        <w:rPr>
          <w:rFonts w:ascii="Verdana" w:hAnsi="Verdana"/>
          <w:sz w:val="20"/>
          <w:szCs w:val="20"/>
        </w:rPr>
        <w:t xml:space="preserve">elaciones </w:t>
      </w:r>
      <w:r w:rsidR="005A2018">
        <w:rPr>
          <w:rFonts w:ascii="Verdana" w:hAnsi="Verdana"/>
          <w:sz w:val="20"/>
          <w:szCs w:val="20"/>
        </w:rPr>
        <w:t>E</w:t>
      </w:r>
      <w:r w:rsidR="000F7E82">
        <w:rPr>
          <w:rFonts w:ascii="Verdana" w:hAnsi="Verdana"/>
          <w:sz w:val="20"/>
          <w:szCs w:val="20"/>
        </w:rPr>
        <w:t>xteriores</w:t>
      </w:r>
      <w:r w:rsidR="00B14335">
        <w:rPr>
          <w:rFonts w:ascii="Verdana" w:hAnsi="Verdana"/>
          <w:sz w:val="20"/>
          <w:szCs w:val="20"/>
        </w:rPr>
        <w:t>, S</w:t>
      </w:r>
      <w:r w:rsidR="000F7E82">
        <w:rPr>
          <w:rFonts w:ascii="Verdana" w:hAnsi="Verdana"/>
          <w:sz w:val="20"/>
          <w:szCs w:val="20"/>
        </w:rPr>
        <w:t xml:space="preserve">ecretaría de </w:t>
      </w:r>
      <w:r w:rsidR="00B14335">
        <w:rPr>
          <w:rFonts w:ascii="Verdana" w:hAnsi="Verdana"/>
          <w:sz w:val="20"/>
          <w:szCs w:val="20"/>
        </w:rPr>
        <w:t>G</w:t>
      </w:r>
      <w:r w:rsidR="009B054D">
        <w:rPr>
          <w:rFonts w:ascii="Verdana" w:hAnsi="Verdana"/>
          <w:sz w:val="20"/>
          <w:szCs w:val="20"/>
        </w:rPr>
        <w:t>obernación</w:t>
      </w:r>
      <w:r w:rsidR="00B14335">
        <w:rPr>
          <w:rFonts w:ascii="Verdana" w:hAnsi="Verdana"/>
          <w:sz w:val="20"/>
          <w:szCs w:val="20"/>
        </w:rPr>
        <w:t>, P</w:t>
      </w:r>
      <w:r w:rsidR="000F7E82">
        <w:rPr>
          <w:rFonts w:ascii="Verdana" w:hAnsi="Verdana"/>
          <w:sz w:val="20"/>
          <w:szCs w:val="20"/>
        </w:rPr>
        <w:t xml:space="preserve">rocuraduría </w:t>
      </w:r>
      <w:r w:rsidR="00B14335">
        <w:rPr>
          <w:rFonts w:ascii="Verdana" w:hAnsi="Verdana"/>
          <w:sz w:val="20"/>
          <w:szCs w:val="20"/>
        </w:rPr>
        <w:t>G</w:t>
      </w:r>
      <w:r w:rsidR="000F7E82">
        <w:rPr>
          <w:rFonts w:ascii="Verdana" w:hAnsi="Verdana"/>
          <w:sz w:val="20"/>
          <w:szCs w:val="20"/>
        </w:rPr>
        <w:t xml:space="preserve">eneral </w:t>
      </w:r>
      <w:r w:rsidR="00A2391B">
        <w:rPr>
          <w:rFonts w:ascii="Verdana" w:hAnsi="Verdana"/>
          <w:sz w:val="20"/>
          <w:szCs w:val="20"/>
        </w:rPr>
        <w:t xml:space="preserve">de </w:t>
      </w:r>
      <w:r w:rsidR="00B14335">
        <w:rPr>
          <w:rFonts w:ascii="Verdana" w:hAnsi="Verdana"/>
          <w:sz w:val="20"/>
          <w:szCs w:val="20"/>
        </w:rPr>
        <w:t>J</w:t>
      </w:r>
      <w:r w:rsidR="00A2391B">
        <w:rPr>
          <w:rFonts w:ascii="Verdana" w:hAnsi="Verdana"/>
          <w:sz w:val="20"/>
          <w:szCs w:val="20"/>
        </w:rPr>
        <w:t xml:space="preserve">usticia de la </w:t>
      </w:r>
      <w:r w:rsidR="00B14335">
        <w:rPr>
          <w:rFonts w:ascii="Verdana" w:hAnsi="Verdana"/>
          <w:sz w:val="20"/>
          <w:szCs w:val="20"/>
        </w:rPr>
        <w:t>C</w:t>
      </w:r>
      <w:r w:rsidR="00A2391B">
        <w:rPr>
          <w:rFonts w:ascii="Verdana" w:hAnsi="Verdana"/>
          <w:sz w:val="20"/>
          <w:szCs w:val="20"/>
        </w:rPr>
        <w:t xml:space="preserve">iudad de </w:t>
      </w:r>
      <w:r w:rsidR="00B14335">
        <w:rPr>
          <w:rFonts w:ascii="Verdana" w:hAnsi="Verdana"/>
          <w:sz w:val="20"/>
          <w:szCs w:val="20"/>
        </w:rPr>
        <w:t>M</w:t>
      </w:r>
      <w:r w:rsidR="00A2391B">
        <w:rPr>
          <w:rFonts w:ascii="Verdana" w:hAnsi="Verdana"/>
          <w:sz w:val="20"/>
          <w:szCs w:val="20"/>
        </w:rPr>
        <w:t>éxico</w:t>
      </w:r>
      <w:r w:rsidR="00B14335">
        <w:rPr>
          <w:rFonts w:ascii="Verdana" w:hAnsi="Verdana"/>
          <w:sz w:val="20"/>
          <w:szCs w:val="20"/>
        </w:rPr>
        <w:t xml:space="preserve"> y el Estado de México, </w:t>
      </w:r>
      <w:r w:rsidR="00A2391B">
        <w:rPr>
          <w:rFonts w:ascii="Verdana" w:hAnsi="Verdana"/>
          <w:sz w:val="20"/>
          <w:szCs w:val="20"/>
        </w:rPr>
        <w:t xml:space="preserve">la </w:t>
      </w:r>
      <w:r w:rsidR="005A2018">
        <w:rPr>
          <w:rFonts w:ascii="Verdana" w:hAnsi="Verdana"/>
          <w:sz w:val="20"/>
        </w:rPr>
        <w:t>Procuraduría General de la República</w:t>
      </w:r>
      <w:r w:rsidR="00B14335">
        <w:rPr>
          <w:rFonts w:ascii="Verdana" w:hAnsi="Verdana"/>
          <w:sz w:val="20"/>
          <w:szCs w:val="20"/>
        </w:rPr>
        <w:t>,</w:t>
      </w:r>
      <w:r w:rsidR="00A2391B">
        <w:rPr>
          <w:rFonts w:ascii="Verdana" w:hAnsi="Verdana"/>
          <w:sz w:val="20"/>
          <w:szCs w:val="20"/>
        </w:rPr>
        <w:t xml:space="preserve"> el</w:t>
      </w:r>
      <w:r w:rsidR="00B14335">
        <w:rPr>
          <w:rFonts w:ascii="Verdana" w:hAnsi="Verdana"/>
          <w:sz w:val="20"/>
          <w:szCs w:val="20"/>
        </w:rPr>
        <w:t xml:space="preserve"> Instituto</w:t>
      </w:r>
      <w:r w:rsidR="000F7E82">
        <w:rPr>
          <w:rFonts w:ascii="Verdana" w:hAnsi="Verdana"/>
          <w:sz w:val="20"/>
          <w:szCs w:val="20"/>
        </w:rPr>
        <w:t xml:space="preserve"> Federal</w:t>
      </w:r>
      <w:r w:rsidR="00B14335">
        <w:rPr>
          <w:rFonts w:ascii="Verdana" w:hAnsi="Verdana"/>
          <w:sz w:val="20"/>
          <w:szCs w:val="20"/>
        </w:rPr>
        <w:t xml:space="preserve"> de</w:t>
      </w:r>
      <w:r w:rsidR="000F7E82">
        <w:rPr>
          <w:rFonts w:ascii="Verdana" w:hAnsi="Verdana"/>
          <w:sz w:val="20"/>
          <w:szCs w:val="20"/>
        </w:rPr>
        <w:t xml:space="preserve"> la</w:t>
      </w:r>
      <w:r w:rsidR="00B14335">
        <w:rPr>
          <w:rFonts w:ascii="Verdana" w:hAnsi="Verdana"/>
          <w:sz w:val="20"/>
          <w:szCs w:val="20"/>
        </w:rPr>
        <w:t xml:space="preserve"> Defensoría Pública, </w:t>
      </w:r>
      <w:r w:rsidR="00A2391B">
        <w:rPr>
          <w:rFonts w:ascii="Verdana" w:hAnsi="Verdana"/>
          <w:sz w:val="20"/>
          <w:szCs w:val="20"/>
        </w:rPr>
        <w:t xml:space="preserve">la </w:t>
      </w:r>
      <w:r w:rsidR="00B14335">
        <w:rPr>
          <w:rFonts w:ascii="Verdana" w:hAnsi="Verdana"/>
          <w:sz w:val="20"/>
          <w:szCs w:val="20"/>
        </w:rPr>
        <w:t>C</w:t>
      </w:r>
      <w:r w:rsidR="00A2391B">
        <w:rPr>
          <w:rFonts w:ascii="Verdana" w:hAnsi="Verdana"/>
          <w:sz w:val="20"/>
          <w:szCs w:val="20"/>
        </w:rPr>
        <w:t xml:space="preserve">omisión </w:t>
      </w:r>
      <w:r w:rsidR="00B14335">
        <w:rPr>
          <w:rFonts w:ascii="Verdana" w:hAnsi="Verdana"/>
          <w:sz w:val="20"/>
          <w:szCs w:val="20"/>
        </w:rPr>
        <w:t>E</w:t>
      </w:r>
      <w:r w:rsidR="00A2391B">
        <w:rPr>
          <w:rFonts w:ascii="Verdana" w:hAnsi="Verdana"/>
          <w:sz w:val="20"/>
          <w:szCs w:val="20"/>
        </w:rPr>
        <w:t xml:space="preserve">jecutiva de </w:t>
      </w:r>
      <w:r w:rsidR="00B14335">
        <w:rPr>
          <w:rFonts w:ascii="Verdana" w:hAnsi="Verdana"/>
          <w:sz w:val="20"/>
          <w:szCs w:val="20"/>
        </w:rPr>
        <w:t>A</w:t>
      </w:r>
      <w:r w:rsidR="00A2391B">
        <w:rPr>
          <w:rFonts w:ascii="Verdana" w:hAnsi="Verdana"/>
          <w:sz w:val="20"/>
          <w:szCs w:val="20"/>
        </w:rPr>
        <w:t xml:space="preserve">tención a </w:t>
      </w:r>
      <w:r w:rsidR="00B14335">
        <w:rPr>
          <w:rFonts w:ascii="Verdana" w:hAnsi="Verdana"/>
          <w:sz w:val="20"/>
          <w:szCs w:val="20"/>
        </w:rPr>
        <w:t>V</w:t>
      </w:r>
      <w:r w:rsidR="00A2391B">
        <w:rPr>
          <w:rFonts w:ascii="Verdana" w:hAnsi="Verdana"/>
          <w:sz w:val="20"/>
          <w:szCs w:val="20"/>
        </w:rPr>
        <w:t>íctimas</w:t>
      </w:r>
      <w:r w:rsidR="00B14335">
        <w:rPr>
          <w:rFonts w:ascii="Verdana" w:hAnsi="Verdana"/>
          <w:sz w:val="20"/>
          <w:szCs w:val="20"/>
        </w:rPr>
        <w:t>, Presidencia de la República, Comisión Nacional para Prevenir y Erradicar la Violencia Contra las Mujeres y del Poder Judicial del estado de México.</w:t>
      </w:r>
      <w:r w:rsidR="009B054D">
        <w:rPr>
          <w:rFonts w:ascii="Verdana" w:hAnsi="Verdana"/>
          <w:sz w:val="20"/>
          <w:szCs w:val="20"/>
        </w:rPr>
        <w:t xml:space="preserve"> </w:t>
      </w:r>
      <w:r w:rsidR="00605983">
        <w:rPr>
          <w:rFonts w:ascii="Verdana" w:hAnsi="Verdana"/>
          <w:sz w:val="20"/>
          <w:szCs w:val="20"/>
        </w:rPr>
        <w:t xml:space="preserve">El </w:t>
      </w:r>
      <w:r w:rsidR="00605983" w:rsidRPr="00605983">
        <w:rPr>
          <w:rFonts w:ascii="Verdana" w:hAnsi="Verdana"/>
          <w:i/>
          <w:sz w:val="20"/>
          <w:szCs w:val="20"/>
        </w:rPr>
        <w:t>Estado</w:t>
      </w:r>
      <w:r w:rsidR="009B054D">
        <w:rPr>
          <w:rFonts w:ascii="Verdana" w:hAnsi="Verdana"/>
          <w:sz w:val="20"/>
          <w:szCs w:val="20"/>
        </w:rPr>
        <w:t xml:space="preserve"> señaló que</w:t>
      </w:r>
      <w:r w:rsidR="00130D91">
        <w:rPr>
          <w:rFonts w:ascii="Verdana" w:hAnsi="Verdana"/>
          <w:sz w:val="20"/>
          <w:szCs w:val="20"/>
        </w:rPr>
        <w:t xml:space="preserve"> en el referido evento</w:t>
      </w:r>
      <w:r w:rsidR="009B054D">
        <w:rPr>
          <w:rFonts w:ascii="Verdana" w:hAnsi="Verdana"/>
          <w:sz w:val="20"/>
          <w:szCs w:val="20"/>
        </w:rPr>
        <w:t xml:space="preserve"> también p</w:t>
      </w:r>
      <w:r w:rsidR="00130D91">
        <w:rPr>
          <w:rFonts w:ascii="Verdana" w:hAnsi="Verdana"/>
          <w:sz w:val="20"/>
          <w:szCs w:val="20"/>
        </w:rPr>
        <w:t>articiparon</w:t>
      </w:r>
      <w:r w:rsidR="00397530">
        <w:rPr>
          <w:rFonts w:ascii="Verdana" w:hAnsi="Verdana"/>
          <w:sz w:val="20"/>
          <w:szCs w:val="20"/>
        </w:rPr>
        <w:t xml:space="preserve"> el señor García Cruz y sus representantes</w:t>
      </w:r>
      <w:r w:rsidR="00130D91">
        <w:rPr>
          <w:rFonts w:ascii="Verdana" w:hAnsi="Verdana"/>
          <w:sz w:val="20"/>
          <w:szCs w:val="20"/>
        </w:rPr>
        <w:t>,</w:t>
      </w:r>
      <w:r w:rsidR="00397530">
        <w:rPr>
          <w:rFonts w:ascii="Verdana" w:hAnsi="Verdana"/>
          <w:sz w:val="20"/>
          <w:szCs w:val="20"/>
        </w:rPr>
        <w:t xml:space="preserve"> así como organizaciones de la sociedad civil. </w:t>
      </w:r>
      <w:r w:rsidR="007532B3" w:rsidRPr="007532B3">
        <w:rPr>
          <w:rFonts w:ascii="Verdana" w:hAnsi="Verdana"/>
          <w:i/>
          <w:sz w:val="20"/>
          <w:szCs w:val="20"/>
        </w:rPr>
        <w:t>México</w:t>
      </w:r>
      <w:r w:rsidR="00397530">
        <w:rPr>
          <w:rFonts w:ascii="Verdana" w:hAnsi="Verdana"/>
          <w:sz w:val="20"/>
          <w:szCs w:val="20"/>
        </w:rPr>
        <w:t xml:space="preserve"> inform</w:t>
      </w:r>
      <w:r w:rsidR="000F7E82">
        <w:rPr>
          <w:rFonts w:ascii="Verdana" w:hAnsi="Verdana"/>
          <w:sz w:val="20"/>
          <w:szCs w:val="20"/>
        </w:rPr>
        <w:t>ó</w:t>
      </w:r>
      <w:r w:rsidR="00397530">
        <w:rPr>
          <w:rFonts w:ascii="Verdana" w:hAnsi="Verdana"/>
          <w:sz w:val="20"/>
          <w:szCs w:val="20"/>
        </w:rPr>
        <w:t xml:space="preserve"> que el evento se encuentra disponible en la videoteca de actividades de difusión de la cultura jurídica de la Suprema Corte de Justicia de la Nación y que las conclusiones fueron puestas a conocimiento de diversas autoridades judiciales del pa</w:t>
      </w:r>
      <w:r w:rsidR="00A30ABD">
        <w:rPr>
          <w:rFonts w:ascii="Verdana" w:hAnsi="Verdana"/>
          <w:sz w:val="20"/>
          <w:szCs w:val="20"/>
        </w:rPr>
        <w:t>ís</w:t>
      </w:r>
      <w:r w:rsidR="002014B2">
        <w:rPr>
          <w:rStyle w:val="FootnoteReference"/>
          <w:rFonts w:ascii="Verdana" w:hAnsi="Verdana"/>
          <w:sz w:val="20"/>
          <w:szCs w:val="20"/>
        </w:rPr>
        <w:footnoteReference w:id="51"/>
      </w:r>
      <w:r w:rsidR="00A30ABD">
        <w:rPr>
          <w:rFonts w:ascii="Verdana" w:hAnsi="Verdana"/>
          <w:sz w:val="20"/>
          <w:szCs w:val="20"/>
        </w:rPr>
        <w:t>.</w:t>
      </w:r>
    </w:p>
    <w:p w14:paraId="0FEEDF1D" w14:textId="77777777" w:rsidR="00B771F7" w:rsidRDefault="00B771F7" w:rsidP="00A4635E">
      <w:pPr>
        <w:pStyle w:val="ListParagraph"/>
        <w:spacing w:after="0" w:line="240" w:lineRule="auto"/>
        <w:ind w:left="0"/>
        <w:jc w:val="both"/>
        <w:rPr>
          <w:rFonts w:ascii="Verdana" w:hAnsi="Verdana"/>
          <w:sz w:val="20"/>
          <w:szCs w:val="20"/>
        </w:rPr>
      </w:pPr>
    </w:p>
    <w:p w14:paraId="59F21DD8" w14:textId="5015DF69" w:rsidR="00397530" w:rsidRDefault="0012150C" w:rsidP="00A4635E">
      <w:pPr>
        <w:pStyle w:val="ListParagraph"/>
        <w:numPr>
          <w:ilvl w:val="0"/>
          <w:numId w:val="6"/>
        </w:numPr>
        <w:spacing w:after="0" w:line="240" w:lineRule="auto"/>
        <w:ind w:left="0" w:firstLine="0"/>
        <w:jc w:val="both"/>
        <w:rPr>
          <w:rFonts w:ascii="Verdana" w:hAnsi="Verdana"/>
          <w:sz w:val="20"/>
          <w:szCs w:val="20"/>
        </w:rPr>
      </w:pPr>
      <w:r>
        <w:rPr>
          <w:rFonts w:ascii="Verdana" w:hAnsi="Verdana"/>
          <w:sz w:val="20"/>
          <w:szCs w:val="20"/>
        </w:rPr>
        <w:t>Por su parte</w:t>
      </w:r>
      <w:r w:rsidR="00605983">
        <w:rPr>
          <w:rFonts w:ascii="Verdana" w:hAnsi="Verdana"/>
          <w:sz w:val="20"/>
          <w:szCs w:val="20"/>
        </w:rPr>
        <w:t xml:space="preserve">, </w:t>
      </w:r>
      <w:r>
        <w:rPr>
          <w:rFonts w:ascii="Verdana" w:hAnsi="Verdana"/>
          <w:sz w:val="20"/>
          <w:szCs w:val="20"/>
        </w:rPr>
        <w:t xml:space="preserve">si bien </w:t>
      </w:r>
      <w:r w:rsidR="00605983">
        <w:rPr>
          <w:rFonts w:ascii="Verdana" w:hAnsi="Verdana"/>
          <w:sz w:val="20"/>
          <w:szCs w:val="20"/>
        </w:rPr>
        <w:t>l</w:t>
      </w:r>
      <w:r w:rsidR="00B771F7">
        <w:rPr>
          <w:rFonts w:ascii="Verdana" w:hAnsi="Verdana"/>
          <w:sz w:val="20"/>
          <w:szCs w:val="20"/>
        </w:rPr>
        <w:t xml:space="preserve">os </w:t>
      </w:r>
      <w:r w:rsidR="00B771F7" w:rsidRPr="00605983">
        <w:rPr>
          <w:rFonts w:ascii="Verdana" w:hAnsi="Verdana"/>
          <w:i/>
          <w:sz w:val="20"/>
          <w:szCs w:val="20"/>
        </w:rPr>
        <w:t xml:space="preserve">representantes </w:t>
      </w:r>
      <w:r w:rsidR="00605983" w:rsidRPr="00605983">
        <w:rPr>
          <w:rFonts w:ascii="Verdana" w:hAnsi="Verdana"/>
          <w:i/>
          <w:sz w:val="20"/>
          <w:szCs w:val="20"/>
        </w:rPr>
        <w:t>de las víctimas</w:t>
      </w:r>
      <w:r w:rsidR="00605983">
        <w:rPr>
          <w:rFonts w:ascii="Verdana" w:hAnsi="Verdana"/>
          <w:sz w:val="20"/>
          <w:szCs w:val="20"/>
        </w:rPr>
        <w:t xml:space="preserve"> </w:t>
      </w:r>
      <w:r>
        <w:rPr>
          <w:rFonts w:ascii="Verdana" w:hAnsi="Verdana"/>
          <w:sz w:val="20"/>
          <w:szCs w:val="20"/>
        </w:rPr>
        <w:t xml:space="preserve">confirmaron la realización del referido seminario, también </w:t>
      </w:r>
      <w:r w:rsidR="00791CE9">
        <w:rPr>
          <w:rFonts w:ascii="Verdana" w:hAnsi="Verdana"/>
          <w:sz w:val="20"/>
          <w:szCs w:val="20"/>
        </w:rPr>
        <w:t xml:space="preserve">señalaron </w:t>
      </w:r>
      <w:r w:rsidR="00B771F7">
        <w:rPr>
          <w:rFonts w:ascii="Verdana" w:hAnsi="Verdana"/>
          <w:sz w:val="20"/>
          <w:szCs w:val="20"/>
        </w:rPr>
        <w:t xml:space="preserve">que </w:t>
      </w:r>
      <w:r w:rsidR="00396C90">
        <w:rPr>
          <w:rFonts w:ascii="Verdana" w:hAnsi="Verdana"/>
          <w:sz w:val="20"/>
          <w:szCs w:val="20"/>
        </w:rPr>
        <w:t>“</w:t>
      </w:r>
      <w:r w:rsidR="00B771F7">
        <w:rPr>
          <w:rFonts w:ascii="Verdana" w:hAnsi="Verdana"/>
          <w:sz w:val="20"/>
          <w:szCs w:val="20"/>
        </w:rPr>
        <w:t xml:space="preserve">dentro de las diversas autoridades a quienes se les hicieron llegar las conclusiones derivadas del evento, no figuran ni consta que se haya remitido tal información a los Tribunales Colegiados de Circuito y los Juzgados de Distrito, órganos del Poder Judicial que por cuya función en la impartición de justicia, son instancias claves para el ejercicio práctico de los resultados obtenidos del estudio y aplicación de la doctrina de inmediatez procesal utilizada por la Suprema </w:t>
      </w:r>
      <w:r>
        <w:rPr>
          <w:rFonts w:ascii="Verdana" w:hAnsi="Verdana"/>
          <w:sz w:val="20"/>
          <w:szCs w:val="20"/>
        </w:rPr>
        <w:t>Corte de Justicia de la Nación”</w:t>
      </w:r>
      <w:r>
        <w:rPr>
          <w:rStyle w:val="FootnoteReference"/>
          <w:rFonts w:ascii="Verdana" w:hAnsi="Verdana"/>
          <w:sz w:val="20"/>
          <w:szCs w:val="20"/>
        </w:rPr>
        <w:footnoteReference w:id="52"/>
      </w:r>
      <w:r>
        <w:rPr>
          <w:rFonts w:ascii="Verdana" w:hAnsi="Verdana"/>
          <w:sz w:val="20"/>
          <w:szCs w:val="20"/>
        </w:rPr>
        <w:t>. En razón de lo anterior,</w:t>
      </w:r>
      <w:r w:rsidR="00B771F7">
        <w:rPr>
          <w:rFonts w:ascii="Verdana" w:hAnsi="Verdana"/>
          <w:sz w:val="20"/>
          <w:szCs w:val="20"/>
        </w:rPr>
        <w:t xml:space="preserve"> solicita</w:t>
      </w:r>
      <w:r w:rsidR="00791CE9">
        <w:rPr>
          <w:rFonts w:ascii="Verdana" w:hAnsi="Verdana"/>
          <w:sz w:val="20"/>
          <w:szCs w:val="20"/>
        </w:rPr>
        <w:t>ron</w:t>
      </w:r>
      <w:r w:rsidR="00B771F7">
        <w:rPr>
          <w:rFonts w:ascii="Verdana" w:hAnsi="Verdana"/>
          <w:sz w:val="20"/>
          <w:szCs w:val="20"/>
        </w:rPr>
        <w:t xml:space="preserve"> se declare parcialmente cumplida la medida.</w:t>
      </w:r>
    </w:p>
    <w:p w14:paraId="386FDE28" w14:textId="77777777" w:rsidR="00245236" w:rsidRPr="00245236" w:rsidRDefault="00245236" w:rsidP="00A4635E">
      <w:pPr>
        <w:spacing w:after="0" w:line="240" w:lineRule="auto"/>
        <w:rPr>
          <w:rFonts w:ascii="Verdana" w:hAnsi="Verdana"/>
          <w:i/>
          <w:sz w:val="20"/>
          <w:szCs w:val="20"/>
        </w:rPr>
      </w:pPr>
    </w:p>
    <w:p w14:paraId="36AA7395" w14:textId="65929CF5" w:rsidR="005A4D2A" w:rsidRPr="00245236" w:rsidRDefault="0004243F" w:rsidP="00A4635E">
      <w:pPr>
        <w:pStyle w:val="ListParagraph"/>
        <w:numPr>
          <w:ilvl w:val="0"/>
          <w:numId w:val="6"/>
        </w:numPr>
        <w:spacing w:after="0" w:line="240" w:lineRule="auto"/>
        <w:ind w:left="0" w:firstLine="0"/>
        <w:jc w:val="both"/>
        <w:rPr>
          <w:rFonts w:ascii="Verdana" w:hAnsi="Verdana"/>
          <w:sz w:val="20"/>
          <w:szCs w:val="20"/>
        </w:rPr>
      </w:pPr>
      <w:r>
        <w:rPr>
          <w:rFonts w:ascii="Verdana" w:hAnsi="Verdana"/>
          <w:sz w:val="20"/>
          <w:szCs w:val="20"/>
        </w:rPr>
        <w:t xml:space="preserve">La Corte constata a partir de lo señalado por las partes y de </w:t>
      </w:r>
      <w:r w:rsidR="00B771F7" w:rsidRPr="005A4D2A">
        <w:rPr>
          <w:rFonts w:ascii="Verdana" w:hAnsi="Verdana"/>
          <w:sz w:val="20"/>
          <w:szCs w:val="20"/>
        </w:rPr>
        <w:t xml:space="preserve">la información pública que se obtiene de la página web </w:t>
      </w:r>
      <w:r w:rsidR="005A4D2A" w:rsidRPr="005A4D2A">
        <w:rPr>
          <w:rFonts w:ascii="Verdana" w:hAnsi="Verdana"/>
          <w:sz w:val="20"/>
          <w:szCs w:val="20"/>
        </w:rPr>
        <w:t>de la Suprema Corte de Justicia de la Nación</w:t>
      </w:r>
      <w:r>
        <w:rPr>
          <w:rStyle w:val="FootnoteReference"/>
          <w:rFonts w:ascii="Verdana" w:hAnsi="Verdana"/>
          <w:sz w:val="20"/>
          <w:szCs w:val="20"/>
        </w:rPr>
        <w:footnoteReference w:id="53"/>
      </w:r>
      <w:r>
        <w:rPr>
          <w:rFonts w:ascii="Verdana" w:hAnsi="Verdana"/>
          <w:sz w:val="20"/>
          <w:szCs w:val="20"/>
        </w:rPr>
        <w:t>,</w:t>
      </w:r>
      <w:r w:rsidR="005A4D2A" w:rsidRPr="005A4D2A">
        <w:rPr>
          <w:rFonts w:ascii="Verdana" w:hAnsi="Verdana"/>
          <w:sz w:val="20"/>
          <w:szCs w:val="20"/>
        </w:rPr>
        <w:t xml:space="preserve"> </w:t>
      </w:r>
      <w:r w:rsidR="00B771F7" w:rsidRPr="005A4D2A">
        <w:rPr>
          <w:rFonts w:ascii="Verdana" w:hAnsi="Verdana"/>
          <w:sz w:val="20"/>
          <w:szCs w:val="20"/>
        </w:rPr>
        <w:t xml:space="preserve">que el </w:t>
      </w:r>
      <w:r w:rsidR="00B771F7" w:rsidRPr="005A4D2A">
        <w:rPr>
          <w:rFonts w:ascii="Verdana" w:hAnsi="Verdana"/>
          <w:sz w:val="20"/>
          <w:szCs w:val="20"/>
        </w:rPr>
        <w:lastRenderedPageBreak/>
        <w:t>evento cumplió con el fin y propósi</w:t>
      </w:r>
      <w:r w:rsidR="005A4D2A" w:rsidRPr="005A4D2A">
        <w:rPr>
          <w:rFonts w:ascii="Verdana" w:hAnsi="Verdana"/>
          <w:sz w:val="20"/>
          <w:szCs w:val="20"/>
        </w:rPr>
        <w:t>to de la medida, esto es “debatir la aplicación de la doctrina de la inmediatez procesal utilizada por la Suprema Corte de Justicia de la Nación”, así como</w:t>
      </w:r>
      <w:r w:rsidR="000E4FCE">
        <w:rPr>
          <w:rFonts w:ascii="Verdana" w:hAnsi="Verdana"/>
          <w:sz w:val="20"/>
          <w:szCs w:val="20"/>
        </w:rPr>
        <w:t xml:space="preserve"> que</w:t>
      </w:r>
      <w:r w:rsidR="005A4D2A" w:rsidRPr="005A4D2A">
        <w:rPr>
          <w:rFonts w:ascii="Verdana" w:hAnsi="Verdana"/>
          <w:sz w:val="20"/>
          <w:szCs w:val="20"/>
        </w:rPr>
        <w:t xml:space="preserve"> </w:t>
      </w:r>
      <w:r w:rsidR="000E4FCE" w:rsidRPr="005A4D2A">
        <w:rPr>
          <w:rFonts w:ascii="Verdana" w:hAnsi="Verdana"/>
          <w:sz w:val="20"/>
          <w:szCs w:val="20"/>
        </w:rPr>
        <w:t xml:space="preserve">las conclusiones de dicho seminario </w:t>
      </w:r>
      <w:r w:rsidR="005A4D2A" w:rsidRPr="005A4D2A">
        <w:rPr>
          <w:rFonts w:ascii="Verdana" w:hAnsi="Verdana"/>
          <w:sz w:val="20"/>
          <w:szCs w:val="20"/>
        </w:rPr>
        <w:t>se ha</w:t>
      </w:r>
      <w:r w:rsidR="000E4FCE">
        <w:rPr>
          <w:rFonts w:ascii="Verdana" w:hAnsi="Verdana"/>
          <w:sz w:val="20"/>
          <w:szCs w:val="20"/>
        </w:rPr>
        <w:t>n</w:t>
      </w:r>
      <w:r w:rsidR="005A4D2A" w:rsidRPr="005A4D2A">
        <w:rPr>
          <w:rFonts w:ascii="Verdana" w:hAnsi="Verdana"/>
          <w:sz w:val="20"/>
          <w:szCs w:val="20"/>
        </w:rPr>
        <w:t xml:space="preserve"> puesto en conocimiento </w:t>
      </w:r>
      <w:r w:rsidR="000E4FCE">
        <w:rPr>
          <w:rFonts w:ascii="Verdana" w:hAnsi="Verdana"/>
          <w:sz w:val="20"/>
          <w:szCs w:val="20"/>
        </w:rPr>
        <w:t xml:space="preserve">por diversos medios </w:t>
      </w:r>
      <w:r w:rsidR="005A4D2A" w:rsidRPr="005A4D2A">
        <w:rPr>
          <w:rFonts w:ascii="Verdana" w:hAnsi="Verdana"/>
          <w:sz w:val="20"/>
          <w:szCs w:val="20"/>
        </w:rPr>
        <w:t>a</w:t>
      </w:r>
      <w:r w:rsidR="000E4FCE">
        <w:rPr>
          <w:rFonts w:ascii="Verdana" w:hAnsi="Verdana"/>
          <w:sz w:val="20"/>
          <w:szCs w:val="20"/>
        </w:rPr>
        <w:t xml:space="preserve"> los </w:t>
      </w:r>
      <w:r w:rsidR="005A4D2A" w:rsidRPr="005A4D2A">
        <w:rPr>
          <w:rFonts w:ascii="Verdana" w:hAnsi="Verdana"/>
          <w:sz w:val="20"/>
          <w:szCs w:val="20"/>
        </w:rPr>
        <w:t>diversos servidores públicos encargados de la defensoría de oficio, así como de la procuración e impartición de justicia</w:t>
      </w:r>
      <w:r w:rsidR="005A4D2A">
        <w:rPr>
          <w:rFonts w:ascii="Verdana" w:hAnsi="Verdana"/>
          <w:sz w:val="20"/>
          <w:szCs w:val="20"/>
        </w:rPr>
        <w:t>.</w:t>
      </w:r>
      <w:r w:rsidR="00245236">
        <w:rPr>
          <w:rFonts w:ascii="Verdana" w:hAnsi="Verdana"/>
          <w:sz w:val="20"/>
          <w:szCs w:val="20"/>
        </w:rPr>
        <w:t xml:space="preserve"> </w:t>
      </w:r>
      <w:r w:rsidR="005A4D2A" w:rsidRPr="00245236">
        <w:rPr>
          <w:rFonts w:ascii="Verdana" w:hAnsi="Verdana"/>
          <w:sz w:val="20"/>
          <w:szCs w:val="20"/>
          <w:lang w:val="es-ES"/>
        </w:rPr>
        <w:t xml:space="preserve">En razón de </w:t>
      </w:r>
      <w:r w:rsidR="001F3918">
        <w:rPr>
          <w:rFonts w:ascii="Verdana" w:hAnsi="Verdana"/>
          <w:sz w:val="20"/>
          <w:szCs w:val="20"/>
          <w:lang w:val="es-ES"/>
        </w:rPr>
        <w:t>ello</w:t>
      </w:r>
      <w:r w:rsidR="005A4D2A" w:rsidRPr="00245236">
        <w:rPr>
          <w:rFonts w:ascii="Verdana" w:hAnsi="Verdana"/>
          <w:sz w:val="20"/>
          <w:szCs w:val="20"/>
          <w:lang w:val="es-ES"/>
        </w:rPr>
        <w:t>, la Corte considera que el E</w:t>
      </w:r>
      <w:r w:rsidR="0062187C">
        <w:rPr>
          <w:rFonts w:ascii="Verdana" w:hAnsi="Verdana"/>
          <w:sz w:val="20"/>
          <w:szCs w:val="20"/>
          <w:lang w:val="es-ES"/>
        </w:rPr>
        <w:t>stado ha dado cumplimiento a la</w:t>
      </w:r>
      <w:r w:rsidR="005A4D2A" w:rsidRPr="00245236">
        <w:rPr>
          <w:rFonts w:ascii="Verdana" w:hAnsi="Verdana"/>
          <w:sz w:val="20"/>
          <w:szCs w:val="20"/>
          <w:lang w:val="es-ES"/>
        </w:rPr>
        <w:t xml:space="preserve"> medida de reparación relativa a </w:t>
      </w:r>
      <w:r w:rsidR="005A4D2A" w:rsidRPr="00245236">
        <w:rPr>
          <w:rFonts w:ascii="Verdana" w:hAnsi="Verdana"/>
          <w:sz w:val="20"/>
          <w:szCs w:val="20"/>
        </w:rPr>
        <w:t>realizar un seminario con expertos para debatir la aplicación de la doctrina de la inmediatez procesal utilizada por la Suprema</w:t>
      </w:r>
      <w:r w:rsidR="00755065">
        <w:rPr>
          <w:rFonts w:ascii="Verdana" w:hAnsi="Verdana"/>
          <w:sz w:val="20"/>
          <w:szCs w:val="20"/>
        </w:rPr>
        <w:t xml:space="preserve"> Corte de Justicia de la Nación</w:t>
      </w:r>
      <w:r w:rsidR="005A4D2A" w:rsidRPr="00245236">
        <w:rPr>
          <w:rFonts w:ascii="Verdana" w:hAnsi="Verdana"/>
          <w:sz w:val="20"/>
          <w:szCs w:val="20"/>
          <w:lang w:val="es-ES"/>
        </w:rPr>
        <w:t xml:space="preserve">, según fue ordenado en el punto </w:t>
      </w:r>
      <w:r w:rsidR="005A4D2A" w:rsidRPr="00245236">
        <w:rPr>
          <w:rFonts w:ascii="Verdana" w:hAnsi="Verdana"/>
          <w:sz w:val="20"/>
        </w:rPr>
        <w:t>dispositivo sexto incisos j) y los párrafos 88 a 89</w:t>
      </w:r>
      <w:r w:rsidR="005A4D2A" w:rsidRPr="00245236">
        <w:rPr>
          <w:rFonts w:ascii="Verdana" w:hAnsi="Verdana"/>
          <w:sz w:val="20"/>
          <w:szCs w:val="20"/>
          <w:lang w:val="es-ES"/>
        </w:rPr>
        <w:t xml:space="preserve"> de la Sentencia. </w:t>
      </w:r>
    </w:p>
    <w:p w14:paraId="4420E6CE" w14:textId="77777777" w:rsidR="005A4D2A" w:rsidRPr="005A4D2A" w:rsidRDefault="005A4D2A" w:rsidP="00A4635E">
      <w:pPr>
        <w:pStyle w:val="ListParagraph"/>
        <w:spacing w:after="0" w:line="240" w:lineRule="auto"/>
        <w:ind w:left="0"/>
        <w:jc w:val="both"/>
        <w:rPr>
          <w:rFonts w:ascii="Verdana" w:hAnsi="Verdana"/>
          <w:sz w:val="20"/>
          <w:highlight w:val="cyan"/>
        </w:rPr>
      </w:pPr>
    </w:p>
    <w:p w14:paraId="3D435835" w14:textId="77777777" w:rsidR="005A4D2A" w:rsidRPr="00245236" w:rsidRDefault="005A4D2A" w:rsidP="0020052A">
      <w:pPr>
        <w:pStyle w:val="Heading1"/>
        <w:numPr>
          <w:ilvl w:val="0"/>
          <w:numId w:val="35"/>
        </w:numPr>
        <w:rPr>
          <w:lang w:val="es-ES"/>
        </w:rPr>
      </w:pPr>
      <w:bookmarkStart w:id="8" w:name="_Toc524712414"/>
      <w:r w:rsidRPr="00245236">
        <w:t>Capacitación a “operadores de justicia”</w:t>
      </w:r>
      <w:bookmarkEnd w:id="8"/>
      <w:r w:rsidRPr="00245236">
        <w:t xml:space="preserve"> </w:t>
      </w:r>
    </w:p>
    <w:p w14:paraId="5B9BCE42" w14:textId="77777777" w:rsidR="005A4D2A" w:rsidRDefault="005A4D2A" w:rsidP="00A4635E">
      <w:pPr>
        <w:pStyle w:val="ListParagraph"/>
        <w:spacing w:after="0" w:line="240" w:lineRule="auto"/>
        <w:ind w:left="0"/>
        <w:jc w:val="both"/>
        <w:rPr>
          <w:rFonts w:ascii="Verdana" w:hAnsi="Verdana"/>
          <w:sz w:val="20"/>
          <w:szCs w:val="20"/>
          <w:lang w:val="es-ES"/>
        </w:rPr>
      </w:pPr>
    </w:p>
    <w:p w14:paraId="03448E20" w14:textId="156C7739" w:rsidR="005A4D2A" w:rsidRPr="00DF7E56" w:rsidRDefault="009A3C47" w:rsidP="00A4635E">
      <w:pPr>
        <w:pStyle w:val="ListParagraph"/>
        <w:spacing w:after="0" w:line="240" w:lineRule="auto"/>
        <w:ind w:left="1080" w:hanging="360"/>
        <w:rPr>
          <w:rFonts w:ascii="Verdana" w:hAnsi="Verdana"/>
          <w:i/>
          <w:sz w:val="20"/>
          <w:szCs w:val="20"/>
        </w:rPr>
      </w:pPr>
      <w:r>
        <w:rPr>
          <w:rFonts w:ascii="Verdana" w:hAnsi="Verdana"/>
          <w:i/>
          <w:sz w:val="20"/>
          <w:szCs w:val="20"/>
        </w:rPr>
        <w:t>H</w:t>
      </w:r>
      <w:r w:rsidR="0024791B">
        <w:rPr>
          <w:rFonts w:ascii="Verdana" w:hAnsi="Verdana"/>
          <w:i/>
          <w:sz w:val="20"/>
          <w:szCs w:val="20"/>
        </w:rPr>
        <w:t>.1.</w:t>
      </w:r>
      <w:r w:rsidR="005A4D2A" w:rsidRPr="00DF7E56">
        <w:rPr>
          <w:rFonts w:ascii="Verdana" w:hAnsi="Verdana"/>
          <w:i/>
          <w:sz w:val="20"/>
          <w:szCs w:val="20"/>
        </w:rPr>
        <w:t xml:space="preserve"> Medida</w:t>
      </w:r>
      <w:r w:rsidR="005A4D2A">
        <w:rPr>
          <w:rFonts w:ascii="Verdana" w:hAnsi="Verdana"/>
          <w:i/>
          <w:sz w:val="20"/>
          <w:szCs w:val="20"/>
        </w:rPr>
        <w:t xml:space="preserve"> ordenada</w:t>
      </w:r>
      <w:r w:rsidR="005A4D2A" w:rsidRPr="00DF7E56">
        <w:rPr>
          <w:rFonts w:ascii="Verdana" w:hAnsi="Verdana"/>
          <w:i/>
          <w:sz w:val="20"/>
          <w:szCs w:val="20"/>
        </w:rPr>
        <w:t xml:space="preserve"> por la Corte</w:t>
      </w:r>
    </w:p>
    <w:p w14:paraId="780D146C" w14:textId="77777777" w:rsidR="002B7A85" w:rsidRPr="009A3C47" w:rsidRDefault="002B7A85" w:rsidP="00A4635E">
      <w:pPr>
        <w:spacing w:after="0" w:line="240" w:lineRule="auto"/>
        <w:jc w:val="both"/>
        <w:rPr>
          <w:rFonts w:ascii="Verdana" w:hAnsi="Verdana"/>
          <w:sz w:val="20"/>
        </w:rPr>
      </w:pPr>
    </w:p>
    <w:p w14:paraId="28D57949" w14:textId="0790C236" w:rsidR="0020052A" w:rsidRPr="0020052A" w:rsidRDefault="005A4D2A" w:rsidP="0020052A">
      <w:pPr>
        <w:pStyle w:val="ListParagraph"/>
        <w:numPr>
          <w:ilvl w:val="0"/>
          <w:numId w:val="6"/>
        </w:numPr>
        <w:spacing w:after="0" w:line="240" w:lineRule="auto"/>
        <w:ind w:left="0" w:firstLine="0"/>
        <w:jc w:val="both"/>
        <w:rPr>
          <w:rFonts w:ascii="Verdana" w:hAnsi="Verdana"/>
          <w:sz w:val="20"/>
        </w:rPr>
      </w:pPr>
      <w:r w:rsidRPr="009A3C47">
        <w:rPr>
          <w:rFonts w:ascii="Verdana" w:hAnsi="Verdana"/>
          <w:sz w:val="20"/>
        </w:rPr>
        <w:t>En el punto dispositivo sexto inciso l</w:t>
      </w:r>
      <w:r w:rsidR="009A3C47" w:rsidRPr="009A3C47">
        <w:rPr>
          <w:rFonts w:ascii="Verdana" w:hAnsi="Verdana"/>
          <w:sz w:val="20"/>
        </w:rPr>
        <w:t>) y los párrafos 92 y 93</w:t>
      </w:r>
      <w:r w:rsidRPr="009A3C47">
        <w:rPr>
          <w:rFonts w:ascii="Verdana" w:hAnsi="Verdana"/>
          <w:sz w:val="20"/>
        </w:rPr>
        <w:t xml:space="preserve"> de la Sentencia, la Corte homologó la medida relativa a </w:t>
      </w:r>
      <w:r w:rsidR="0099187A">
        <w:rPr>
          <w:rFonts w:ascii="Verdana" w:hAnsi="Verdana"/>
          <w:sz w:val="20"/>
          <w:szCs w:val="20"/>
        </w:rPr>
        <w:t>efectuar</w:t>
      </w:r>
      <w:r w:rsidR="009A3C47" w:rsidRPr="009A3C47">
        <w:rPr>
          <w:rFonts w:ascii="Verdana" w:hAnsi="Verdana"/>
          <w:sz w:val="20"/>
          <w:szCs w:val="20"/>
          <w:lang w:val="es-ES"/>
        </w:rPr>
        <w:t xml:space="preserve"> un “Programa para operadores de justicia” para “continuar otorgando capacitación a los servidores públicos encargados de la defensoría de oficio, así como de la procuración, e impartición de justicia bajo los estándares internacionales más altos, para que puedan identificar, reaccionar, prevenir, denunciar y sancionar, el uso de técnicas de tortura”</w:t>
      </w:r>
      <w:r w:rsidRPr="009A3C47">
        <w:rPr>
          <w:rFonts w:ascii="Verdana" w:hAnsi="Verdana"/>
          <w:sz w:val="20"/>
          <w:szCs w:val="20"/>
        </w:rPr>
        <w:t>.</w:t>
      </w:r>
      <w:r w:rsidR="0020052A">
        <w:rPr>
          <w:rFonts w:ascii="Verdana" w:hAnsi="Verdana"/>
          <w:sz w:val="20"/>
        </w:rPr>
        <w:t xml:space="preserve"> México se obligó a presentar</w:t>
      </w:r>
      <w:r w:rsidR="0020052A" w:rsidRPr="0020052A">
        <w:rPr>
          <w:rFonts w:ascii="Verdana" w:hAnsi="Verdana"/>
          <w:sz w:val="20"/>
          <w:szCs w:val="20"/>
          <w:lang w:val="es-ES"/>
        </w:rPr>
        <w:t xml:space="preserve"> “dentro del proceso de supervisión de cumplimiento ante la Corte […,] información pormenorizada sobre los contenidos y desarrollo de dichas capacitaciones, incluyendo las personas servidoras públicas beneficiarias, así como mediciones objetivas sobre los efectos e impacto de las mismas”. Asimismo, se dispuso que para ello el Estado “presentará un informe cada seis meses durante dos años a partir de la</w:t>
      </w:r>
      <w:r w:rsidR="0020052A">
        <w:rPr>
          <w:rFonts w:ascii="Verdana" w:hAnsi="Verdana"/>
          <w:sz w:val="20"/>
          <w:szCs w:val="20"/>
          <w:lang w:val="es-ES"/>
        </w:rPr>
        <w:t xml:space="preserve"> notificación de la S</w:t>
      </w:r>
      <w:r w:rsidR="0020052A" w:rsidRPr="0020052A">
        <w:rPr>
          <w:rFonts w:ascii="Verdana" w:hAnsi="Verdana"/>
          <w:sz w:val="20"/>
          <w:szCs w:val="20"/>
          <w:lang w:val="es-ES"/>
        </w:rPr>
        <w:t>entencia”</w:t>
      </w:r>
      <w:r w:rsidR="00774880">
        <w:rPr>
          <w:rFonts w:ascii="Verdana" w:hAnsi="Verdana"/>
          <w:sz w:val="20"/>
          <w:szCs w:val="20"/>
          <w:lang w:val="es-ES"/>
        </w:rPr>
        <w:t>.</w:t>
      </w:r>
    </w:p>
    <w:p w14:paraId="209AAE47" w14:textId="77777777" w:rsidR="009A3C47" w:rsidRDefault="009A3C47" w:rsidP="00A4635E">
      <w:pPr>
        <w:pStyle w:val="ListParagraph"/>
        <w:spacing w:after="0" w:line="240" w:lineRule="auto"/>
        <w:ind w:left="0"/>
        <w:jc w:val="both"/>
        <w:rPr>
          <w:rFonts w:ascii="Verdana" w:hAnsi="Verdana"/>
          <w:sz w:val="20"/>
          <w:szCs w:val="20"/>
        </w:rPr>
      </w:pPr>
    </w:p>
    <w:p w14:paraId="691C9B94" w14:textId="2CC2587E" w:rsidR="00DB0206" w:rsidRDefault="002A4ED1" w:rsidP="00A4635E">
      <w:pPr>
        <w:pStyle w:val="ListParagraph"/>
        <w:spacing w:after="0" w:line="240" w:lineRule="auto"/>
        <w:rPr>
          <w:rFonts w:ascii="Verdana" w:hAnsi="Verdana"/>
          <w:i/>
          <w:sz w:val="20"/>
          <w:szCs w:val="20"/>
        </w:rPr>
      </w:pPr>
      <w:r>
        <w:rPr>
          <w:rFonts w:ascii="Verdana" w:hAnsi="Verdana"/>
          <w:i/>
          <w:sz w:val="20"/>
          <w:szCs w:val="20"/>
        </w:rPr>
        <w:t>H.2</w:t>
      </w:r>
      <w:r w:rsidR="00ED3B51">
        <w:rPr>
          <w:rFonts w:ascii="Verdana" w:hAnsi="Verdana"/>
          <w:i/>
          <w:sz w:val="20"/>
          <w:szCs w:val="20"/>
        </w:rPr>
        <w:t>.</w:t>
      </w:r>
      <w:r>
        <w:rPr>
          <w:rFonts w:ascii="Verdana" w:hAnsi="Verdana"/>
          <w:i/>
          <w:sz w:val="20"/>
          <w:szCs w:val="20"/>
        </w:rPr>
        <w:t xml:space="preserve"> </w:t>
      </w:r>
      <w:r w:rsidRPr="00DF7E56">
        <w:rPr>
          <w:rFonts w:ascii="Verdana" w:hAnsi="Verdana"/>
          <w:i/>
          <w:sz w:val="20"/>
          <w:szCs w:val="20"/>
        </w:rPr>
        <w:t>Consideraciones de la Corte</w:t>
      </w:r>
    </w:p>
    <w:p w14:paraId="0989690A" w14:textId="77777777" w:rsidR="002B7A85" w:rsidRPr="009A3C47" w:rsidRDefault="002B7A85" w:rsidP="00A4635E">
      <w:pPr>
        <w:pStyle w:val="ListParagraph"/>
        <w:spacing w:after="0" w:line="240" w:lineRule="auto"/>
        <w:rPr>
          <w:rFonts w:ascii="Verdana" w:hAnsi="Verdana"/>
          <w:sz w:val="20"/>
        </w:rPr>
      </w:pPr>
    </w:p>
    <w:p w14:paraId="778F6A2A" w14:textId="7F0FD3D5" w:rsidR="00CC1E47" w:rsidRPr="00CC1E47" w:rsidRDefault="009A3C47" w:rsidP="0020052A">
      <w:pPr>
        <w:pStyle w:val="ListParagraph"/>
        <w:numPr>
          <w:ilvl w:val="0"/>
          <w:numId w:val="6"/>
        </w:numPr>
        <w:spacing w:after="0" w:line="240" w:lineRule="auto"/>
        <w:ind w:left="0" w:firstLine="0"/>
        <w:jc w:val="both"/>
        <w:rPr>
          <w:rFonts w:ascii="Verdana" w:hAnsi="Verdana"/>
          <w:sz w:val="20"/>
        </w:rPr>
      </w:pPr>
      <w:r w:rsidRPr="002A4ED1">
        <w:rPr>
          <w:rFonts w:ascii="Verdana" w:hAnsi="Verdana"/>
          <w:sz w:val="20"/>
        </w:rPr>
        <w:t>E</w:t>
      </w:r>
      <w:r w:rsidR="00774880">
        <w:rPr>
          <w:rFonts w:ascii="Verdana" w:hAnsi="Verdana"/>
          <w:sz w:val="20"/>
        </w:rPr>
        <w:t>n su informe de marzo de 2017, e</w:t>
      </w:r>
      <w:r w:rsidRPr="002A4ED1">
        <w:rPr>
          <w:rFonts w:ascii="Verdana" w:hAnsi="Verdana"/>
          <w:sz w:val="20"/>
        </w:rPr>
        <w:t>l Estado in</w:t>
      </w:r>
      <w:r w:rsidR="00774880">
        <w:rPr>
          <w:rFonts w:ascii="Verdana" w:hAnsi="Verdana"/>
          <w:sz w:val="20"/>
        </w:rPr>
        <w:t>dicó</w:t>
      </w:r>
      <w:r w:rsidR="00530011">
        <w:rPr>
          <w:rFonts w:ascii="Verdana" w:hAnsi="Verdana"/>
          <w:sz w:val="20"/>
        </w:rPr>
        <w:t xml:space="preserve"> que entre los años 2013 y</w:t>
      </w:r>
      <w:r w:rsidR="005A2018" w:rsidRPr="00FA6862">
        <w:rPr>
          <w:rFonts w:ascii="Verdana" w:hAnsi="Verdana"/>
          <w:sz w:val="20"/>
        </w:rPr>
        <w:t xml:space="preserve"> de 2017, la Subprocuraduría de Derechos Humanos, Prevención del Delito y Servicios a la Comunidad, de la Procuraduría General de la </w:t>
      </w:r>
      <w:r w:rsidR="005A2018" w:rsidRPr="002A4ED1">
        <w:rPr>
          <w:rFonts w:ascii="Verdana" w:hAnsi="Verdana"/>
          <w:sz w:val="20"/>
        </w:rPr>
        <w:t>República</w:t>
      </w:r>
      <w:r w:rsidR="00FF682C" w:rsidRPr="002A4ED1">
        <w:rPr>
          <w:rFonts w:ascii="Verdana" w:hAnsi="Verdana"/>
          <w:sz w:val="20"/>
        </w:rPr>
        <w:t xml:space="preserve"> </w:t>
      </w:r>
      <w:r w:rsidR="00774880">
        <w:rPr>
          <w:rFonts w:ascii="Verdana" w:hAnsi="Verdana"/>
          <w:sz w:val="20"/>
        </w:rPr>
        <w:t>capacitó</w:t>
      </w:r>
      <w:r w:rsidR="00FF682C" w:rsidRPr="002A4ED1">
        <w:rPr>
          <w:rFonts w:ascii="Verdana" w:hAnsi="Verdana"/>
          <w:sz w:val="20"/>
        </w:rPr>
        <w:t xml:space="preserve"> a 32.641 servidores públicos, a través de 488 cursos en materia de Derechos Humanos, abarcando un total de 5.955 horas de clase, aportando en anexo las listas de asistencias a los cursos </w:t>
      </w:r>
      <w:r w:rsidR="00774880">
        <w:rPr>
          <w:rFonts w:ascii="Verdana" w:hAnsi="Verdana"/>
          <w:sz w:val="20"/>
        </w:rPr>
        <w:t>impartidos en e</w:t>
      </w:r>
      <w:r w:rsidR="00FF682C" w:rsidRPr="002A4ED1">
        <w:rPr>
          <w:rFonts w:ascii="Verdana" w:hAnsi="Verdana"/>
          <w:sz w:val="20"/>
        </w:rPr>
        <w:t>l año 2016. Asimismo inform</w:t>
      </w:r>
      <w:r w:rsidR="00774880">
        <w:rPr>
          <w:rFonts w:ascii="Verdana" w:hAnsi="Verdana"/>
          <w:sz w:val="20"/>
        </w:rPr>
        <w:t>ó</w:t>
      </w:r>
      <w:r w:rsidR="00A30ABD" w:rsidRPr="002A4ED1">
        <w:rPr>
          <w:rFonts w:ascii="Verdana" w:hAnsi="Verdana"/>
          <w:sz w:val="20"/>
        </w:rPr>
        <w:t xml:space="preserve"> que el 9 de diciembre de 2014, la Suprema Corte de Justicia de la Nación presentó el Protocolo de Actuación a Impartidores de Justicia en asuntos que involucren hechos de tortura</w:t>
      </w:r>
      <w:r w:rsidR="00A30ABD">
        <w:rPr>
          <w:rStyle w:val="FootnoteReference"/>
          <w:rFonts w:ascii="Verdana" w:hAnsi="Verdana"/>
          <w:sz w:val="20"/>
        </w:rPr>
        <w:footnoteReference w:id="54"/>
      </w:r>
      <w:r w:rsidR="00A30ABD" w:rsidRPr="002A4ED1">
        <w:rPr>
          <w:rFonts w:ascii="Verdana" w:hAnsi="Verdana"/>
          <w:sz w:val="20"/>
        </w:rPr>
        <w:t>.</w:t>
      </w:r>
      <w:r w:rsidR="00CC1E47" w:rsidRPr="00FA6862">
        <w:rPr>
          <w:rFonts w:ascii="Verdana" w:hAnsi="Verdana"/>
          <w:sz w:val="20"/>
        </w:rPr>
        <w:t xml:space="preserve"> </w:t>
      </w:r>
      <w:r w:rsidR="00CC1E47">
        <w:rPr>
          <w:rFonts w:ascii="Verdana" w:hAnsi="Verdana"/>
          <w:sz w:val="20"/>
        </w:rPr>
        <w:t>Por su parte</w:t>
      </w:r>
      <w:r w:rsidR="0020052A">
        <w:rPr>
          <w:rFonts w:ascii="Verdana" w:hAnsi="Verdana"/>
          <w:sz w:val="20"/>
        </w:rPr>
        <w:t>,</w:t>
      </w:r>
      <w:r w:rsidR="00CC1E47">
        <w:rPr>
          <w:rFonts w:ascii="Verdana" w:hAnsi="Verdana"/>
          <w:sz w:val="20"/>
        </w:rPr>
        <w:t xml:space="preserve"> los representantes de las víctimas señ</w:t>
      </w:r>
      <w:r w:rsidR="0020052A">
        <w:rPr>
          <w:rFonts w:ascii="Verdana" w:hAnsi="Verdana"/>
          <w:sz w:val="20"/>
        </w:rPr>
        <w:t>ala</w:t>
      </w:r>
      <w:r w:rsidR="00774880">
        <w:rPr>
          <w:rFonts w:ascii="Verdana" w:hAnsi="Verdana"/>
          <w:sz w:val="20"/>
        </w:rPr>
        <w:t>ro</w:t>
      </w:r>
      <w:r w:rsidR="0020052A">
        <w:rPr>
          <w:rFonts w:ascii="Verdana" w:hAnsi="Verdana"/>
          <w:sz w:val="20"/>
        </w:rPr>
        <w:t xml:space="preserve">n que “el Estado debe brindar </w:t>
      </w:r>
      <w:r w:rsidR="00CC1E47">
        <w:rPr>
          <w:rFonts w:ascii="Verdana" w:hAnsi="Verdana"/>
          <w:sz w:val="20"/>
        </w:rPr>
        <w:t>información detallada sobre el desarrollo de las capacitaciones, las mediciones objetivas sobre los efectos e impacto que han tenido las mismas, información que no se desprende de lo manifestado por el Estado”</w:t>
      </w:r>
      <w:r w:rsidR="00CC1E47">
        <w:rPr>
          <w:rStyle w:val="FootnoteReference"/>
          <w:rFonts w:ascii="Verdana" w:hAnsi="Verdana"/>
          <w:sz w:val="20"/>
        </w:rPr>
        <w:footnoteReference w:id="55"/>
      </w:r>
      <w:r w:rsidR="00CC1E47">
        <w:rPr>
          <w:rFonts w:ascii="Verdana" w:hAnsi="Verdana"/>
          <w:sz w:val="20"/>
        </w:rPr>
        <w:t>, razón por la cual solicita</w:t>
      </w:r>
      <w:r w:rsidR="00774880">
        <w:rPr>
          <w:rFonts w:ascii="Verdana" w:hAnsi="Verdana"/>
          <w:sz w:val="20"/>
        </w:rPr>
        <w:t>ron</w:t>
      </w:r>
      <w:r w:rsidR="00CC1E47">
        <w:rPr>
          <w:rFonts w:ascii="Verdana" w:hAnsi="Verdana"/>
          <w:sz w:val="20"/>
        </w:rPr>
        <w:t xml:space="preserve"> que la Corte declare incumplida esta medida.</w:t>
      </w:r>
    </w:p>
    <w:p w14:paraId="53E8BCAD" w14:textId="77777777" w:rsidR="00DB0206" w:rsidRDefault="00DB0206" w:rsidP="00A4635E">
      <w:pPr>
        <w:pStyle w:val="ListParagraph"/>
        <w:spacing w:after="0" w:line="240" w:lineRule="auto"/>
        <w:ind w:left="0"/>
        <w:jc w:val="both"/>
        <w:rPr>
          <w:rFonts w:ascii="Verdana" w:hAnsi="Verdana"/>
          <w:sz w:val="20"/>
        </w:rPr>
      </w:pPr>
    </w:p>
    <w:p w14:paraId="229B1696" w14:textId="77777777" w:rsidR="00A30ABD" w:rsidRPr="009470F8" w:rsidRDefault="00A30ABD" w:rsidP="00A4635E">
      <w:pPr>
        <w:pStyle w:val="ListParagraph"/>
        <w:numPr>
          <w:ilvl w:val="0"/>
          <w:numId w:val="6"/>
        </w:numPr>
        <w:spacing w:after="0" w:line="240" w:lineRule="auto"/>
        <w:ind w:left="0" w:firstLine="0"/>
        <w:jc w:val="both"/>
        <w:rPr>
          <w:rFonts w:ascii="Verdana" w:hAnsi="Verdana"/>
          <w:sz w:val="20"/>
        </w:rPr>
      </w:pPr>
      <w:r w:rsidRPr="00020CF5">
        <w:rPr>
          <w:rFonts w:ascii="Verdana" w:hAnsi="Verdana"/>
          <w:sz w:val="20"/>
          <w:szCs w:val="20"/>
          <w:lang w:val="es-ES"/>
        </w:rPr>
        <w:t>La Corte</w:t>
      </w:r>
      <w:r>
        <w:rPr>
          <w:rFonts w:ascii="Verdana" w:hAnsi="Verdana"/>
          <w:sz w:val="20"/>
          <w:szCs w:val="20"/>
          <w:lang w:val="es-ES"/>
        </w:rPr>
        <w:t xml:space="preserve"> respe</w:t>
      </w:r>
      <w:r w:rsidR="0020052A">
        <w:rPr>
          <w:rFonts w:ascii="Verdana" w:hAnsi="Verdana"/>
          <w:sz w:val="20"/>
          <w:szCs w:val="20"/>
          <w:lang w:val="es-ES"/>
        </w:rPr>
        <w:t>cto a esta medida señaló en la S</w:t>
      </w:r>
      <w:r>
        <w:rPr>
          <w:rFonts w:ascii="Verdana" w:hAnsi="Verdana"/>
          <w:sz w:val="20"/>
          <w:szCs w:val="20"/>
          <w:lang w:val="es-ES"/>
        </w:rPr>
        <w:t>entencia que</w:t>
      </w:r>
      <w:r w:rsidR="0052631A">
        <w:rPr>
          <w:rFonts w:ascii="Verdana" w:hAnsi="Verdana"/>
          <w:sz w:val="20"/>
          <w:szCs w:val="20"/>
          <w:lang w:val="es-ES"/>
        </w:rPr>
        <w:t xml:space="preserve"> </w:t>
      </w:r>
      <w:r>
        <w:rPr>
          <w:rFonts w:ascii="Verdana" w:hAnsi="Verdana"/>
          <w:sz w:val="20"/>
          <w:szCs w:val="20"/>
          <w:lang w:val="es-ES"/>
        </w:rPr>
        <w:t xml:space="preserve"> “</w:t>
      </w:r>
      <w:r w:rsidRPr="00020CF5">
        <w:rPr>
          <w:rFonts w:ascii="Verdana" w:hAnsi="Verdana"/>
          <w:sz w:val="20"/>
          <w:szCs w:val="20"/>
          <w:lang w:val="es-ES"/>
        </w:rPr>
        <w:t xml:space="preserve">encuentra que a la luz de los hechos del caso resulta </w:t>
      </w:r>
      <w:r w:rsidRPr="009470F8">
        <w:rPr>
          <w:rFonts w:ascii="Verdana" w:hAnsi="Verdana"/>
          <w:sz w:val="20"/>
          <w:szCs w:val="20"/>
          <w:lang w:val="es-ES"/>
        </w:rPr>
        <w:t xml:space="preserve">particularmente importante </w:t>
      </w:r>
      <w:r w:rsidR="00774880">
        <w:rPr>
          <w:rFonts w:ascii="Verdana" w:hAnsi="Verdana"/>
          <w:sz w:val="20"/>
          <w:szCs w:val="20"/>
          <w:lang w:val="es-ES"/>
        </w:rPr>
        <w:t>[…]</w:t>
      </w:r>
      <w:r w:rsidRPr="009470F8">
        <w:rPr>
          <w:rFonts w:ascii="Verdana" w:hAnsi="Verdana"/>
          <w:sz w:val="20"/>
          <w:szCs w:val="20"/>
          <w:lang w:val="es-ES"/>
        </w:rPr>
        <w:t xml:space="preserve"> como garantía de no repetición, la cual comprende la capacitación de los </w:t>
      </w:r>
      <w:r w:rsidR="00DB0206">
        <w:rPr>
          <w:rFonts w:ascii="Verdana" w:hAnsi="Verdana"/>
          <w:sz w:val="20"/>
          <w:szCs w:val="20"/>
          <w:lang w:val="es-ES"/>
        </w:rPr>
        <w:t>‘operadores de justicia’</w:t>
      </w:r>
      <w:r w:rsidRPr="009470F8">
        <w:rPr>
          <w:rFonts w:ascii="Verdana" w:hAnsi="Verdana"/>
          <w:sz w:val="20"/>
          <w:szCs w:val="20"/>
          <w:lang w:val="es-ES"/>
        </w:rPr>
        <w:t xml:space="preserve"> en los términos mencionados </w:t>
      </w:r>
      <w:r w:rsidR="00774880">
        <w:rPr>
          <w:rFonts w:ascii="Verdana" w:hAnsi="Verdana"/>
          <w:sz w:val="20"/>
          <w:szCs w:val="20"/>
          <w:lang w:val="es-ES"/>
        </w:rPr>
        <w:t>[…]</w:t>
      </w:r>
      <w:r w:rsidRPr="009470F8">
        <w:rPr>
          <w:rFonts w:ascii="Verdana" w:hAnsi="Verdana"/>
          <w:sz w:val="20"/>
          <w:szCs w:val="20"/>
          <w:lang w:val="es-ES"/>
        </w:rPr>
        <w:t>, puesto que parte de que las violaciones del presente caso se derivan de la omisión de las autoridades judiciales y del Ministerio Público de investigar los alegatos de tortura, así como por la utilización por parte de éstos de las declaraciones inculpatorias de las víctimas rendidas bajo tortura para fundar las sentencias penales condenatorias”</w:t>
      </w:r>
      <w:r w:rsidRPr="009470F8">
        <w:rPr>
          <w:rStyle w:val="FootnoteReference"/>
          <w:rFonts w:ascii="Verdana" w:hAnsi="Verdana"/>
          <w:sz w:val="20"/>
          <w:szCs w:val="20"/>
          <w:lang w:val="es-ES"/>
        </w:rPr>
        <w:footnoteReference w:id="56"/>
      </w:r>
      <w:r w:rsidR="00774880">
        <w:rPr>
          <w:rFonts w:ascii="Verdana" w:hAnsi="Verdana"/>
          <w:sz w:val="20"/>
          <w:szCs w:val="20"/>
          <w:lang w:val="es-ES"/>
        </w:rPr>
        <w:t>.</w:t>
      </w:r>
      <w:r w:rsidR="00DB0206">
        <w:rPr>
          <w:rFonts w:ascii="Verdana" w:hAnsi="Verdana"/>
          <w:sz w:val="20"/>
          <w:szCs w:val="20"/>
          <w:lang w:val="es-ES"/>
        </w:rPr>
        <w:t xml:space="preserve"> En esta línea se debe recordar que</w:t>
      </w:r>
      <w:r w:rsidR="008D4836" w:rsidRPr="009470F8">
        <w:rPr>
          <w:rFonts w:ascii="Verdana" w:hAnsi="Verdana"/>
          <w:sz w:val="20"/>
          <w:szCs w:val="20"/>
          <w:lang w:val="es-ES"/>
        </w:rPr>
        <w:t xml:space="preserve"> </w:t>
      </w:r>
      <w:r w:rsidR="009470F8" w:rsidRPr="009470F8">
        <w:rPr>
          <w:rFonts w:ascii="Verdana" w:hAnsi="Verdana"/>
          <w:sz w:val="20"/>
          <w:szCs w:val="20"/>
          <w:lang w:val="es-ES"/>
        </w:rPr>
        <w:t>“</w:t>
      </w:r>
      <w:r w:rsidR="008E2CFA" w:rsidRPr="009470F8">
        <w:rPr>
          <w:rFonts w:ascii="Verdana" w:hAnsi="Verdana"/>
          <w:sz w:val="20"/>
          <w:szCs w:val="20"/>
          <w:lang w:val="es-EC"/>
        </w:rPr>
        <w:t xml:space="preserve">las reparaciones deben tener una vocación transformadora </w:t>
      </w:r>
      <w:r w:rsidR="00BF7CF3" w:rsidRPr="00091F33">
        <w:rPr>
          <w:rFonts w:ascii="Verdana" w:hAnsi="Verdana"/>
          <w:sz w:val="20"/>
          <w:szCs w:val="20"/>
          <w:lang w:val="es-ES"/>
        </w:rPr>
        <w:lastRenderedPageBreak/>
        <w:t>[…]</w:t>
      </w:r>
      <w:r w:rsidR="008E2CFA" w:rsidRPr="009470F8">
        <w:rPr>
          <w:rFonts w:ascii="Verdana" w:hAnsi="Verdana"/>
          <w:sz w:val="20"/>
          <w:szCs w:val="20"/>
          <w:lang w:val="es-EC"/>
        </w:rPr>
        <w:t>, de tal forma que las mismas tengan un efecto no solo rest</w:t>
      </w:r>
      <w:r w:rsidR="009470F8" w:rsidRPr="009470F8">
        <w:rPr>
          <w:rFonts w:ascii="Verdana" w:hAnsi="Verdana"/>
          <w:sz w:val="20"/>
          <w:szCs w:val="20"/>
          <w:lang w:val="es-EC"/>
        </w:rPr>
        <w:t>itutivo sino también correctivo”</w:t>
      </w:r>
      <w:r w:rsidR="008E2CFA" w:rsidRPr="009470F8">
        <w:rPr>
          <w:rStyle w:val="FootnoteReference"/>
          <w:rFonts w:ascii="Verdana" w:hAnsi="Verdana"/>
          <w:sz w:val="20"/>
          <w:szCs w:val="20"/>
          <w:lang w:val="es-ES"/>
        </w:rPr>
        <w:footnoteReference w:id="57"/>
      </w:r>
      <w:r w:rsidR="009470F8" w:rsidRPr="009470F8">
        <w:rPr>
          <w:rFonts w:ascii="Verdana" w:hAnsi="Verdana"/>
          <w:sz w:val="20"/>
          <w:szCs w:val="20"/>
          <w:lang w:val="es-ES"/>
        </w:rPr>
        <w:t>,</w:t>
      </w:r>
      <w:r w:rsidR="00BF7CF3">
        <w:rPr>
          <w:rFonts w:ascii="Verdana" w:hAnsi="Verdana"/>
          <w:sz w:val="20"/>
          <w:szCs w:val="20"/>
          <w:lang w:val="es-ES"/>
        </w:rPr>
        <w:t xml:space="preserve"> esto en</w:t>
      </w:r>
      <w:r w:rsidR="008D4836" w:rsidRPr="009470F8">
        <w:rPr>
          <w:rFonts w:ascii="Verdana" w:hAnsi="Verdana"/>
          <w:sz w:val="20"/>
          <w:szCs w:val="20"/>
          <w:lang w:val="es-ES"/>
        </w:rPr>
        <w:t xml:space="preserve"> </w:t>
      </w:r>
      <w:r w:rsidR="00BF7CF3">
        <w:rPr>
          <w:rFonts w:ascii="Verdana" w:hAnsi="Verdana"/>
          <w:sz w:val="20"/>
          <w:szCs w:val="20"/>
          <w:lang w:val="es-ES"/>
        </w:rPr>
        <w:t>observancia de las obligaciones estatales d</w:t>
      </w:r>
      <w:r w:rsidR="008D4836" w:rsidRPr="009470F8">
        <w:rPr>
          <w:rFonts w:ascii="Verdana" w:hAnsi="Verdana"/>
          <w:sz w:val="20"/>
          <w:szCs w:val="20"/>
          <w:lang w:val="es-ES"/>
        </w:rPr>
        <w:t xml:space="preserve">e respeto y garantía de los derechos reconocidos en la </w:t>
      </w:r>
      <w:r w:rsidR="00084F58" w:rsidRPr="009470F8">
        <w:rPr>
          <w:rFonts w:ascii="Verdana" w:hAnsi="Verdana"/>
          <w:sz w:val="20"/>
          <w:szCs w:val="20"/>
          <w:lang w:val="es-ES"/>
        </w:rPr>
        <w:t>Convención Americana, tal como lo determina el artículo 1.1</w:t>
      </w:r>
      <w:r w:rsidR="009470F8" w:rsidRPr="009470F8">
        <w:rPr>
          <w:rFonts w:ascii="Verdana" w:hAnsi="Verdana"/>
          <w:sz w:val="20"/>
          <w:szCs w:val="20"/>
          <w:lang w:val="es-ES"/>
        </w:rPr>
        <w:t>, máxime cuando</w:t>
      </w:r>
      <w:r w:rsidR="00BF7CF3">
        <w:rPr>
          <w:rFonts w:ascii="Verdana" w:hAnsi="Verdana"/>
          <w:sz w:val="20"/>
          <w:szCs w:val="20"/>
          <w:lang w:val="es-ES"/>
        </w:rPr>
        <w:t xml:space="preserve"> las medidas de reparación</w:t>
      </w:r>
      <w:r w:rsidR="009470F8" w:rsidRPr="009470F8">
        <w:rPr>
          <w:rFonts w:ascii="Verdana" w:hAnsi="Verdana"/>
          <w:sz w:val="20"/>
          <w:szCs w:val="20"/>
          <w:lang w:val="es-ES"/>
        </w:rPr>
        <w:t xml:space="preserve"> se refieren a garantías de no repetición</w:t>
      </w:r>
      <w:r w:rsidR="009470F8">
        <w:rPr>
          <w:rFonts w:ascii="Verdana" w:hAnsi="Verdana"/>
          <w:sz w:val="20"/>
          <w:szCs w:val="20"/>
          <w:lang w:val="es-ES"/>
        </w:rPr>
        <w:t>.</w:t>
      </w:r>
    </w:p>
    <w:p w14:paraId="32BE34E3" w14:textId="77777777" w:rsidR="009470F8" w:rsidRPr="00084F58" w:rsidRDefault="009470F8" w:rsidP="00A4635E">
      <w:pPr>
        <w:pStyle w:val="ListParagraph"/>
        <w:spacing w:after="0" w:line="240" w:lineRule="auto"/>
        <w:ind w:left="0"/>
        <w:jc w:val="both"/>
        <w:rPr>
          <w:rFonts w:ascii="Verdana" w:hAnsi="Verdana"/>
          <w:sz w:val="20"/>
        </w:rPr>
      </w:pPr>
    </w:p>
    <w:p w14:paraId="45FFAB60" w14:textId="77777777" w:rsidR="00BF7CF3" w:rsidRPr="00BF7CF3" w:rsidRDefault="00D01638" w:rsidP="00A4635E">
      <w:pPr>
        <w:pStyle w:val="ListParagraph"/>
        <w:numPr>
          <w:ilvl w:val="0"/>
          <w:numId w:val="6"/>
        </w:numPr>
        <w:spacing w:after="0" w:line="240" w:lineRule="auto"/>
        <w:ind w:left="0" w:firstLine="0"/>
        <w:jc w:val="both"/>
        <w:rPr>
          <w:rFonts w:ascii="Verdana" w:hAnsi="Verdana"/>
          <w:sz w:val="20"/>
          <w:szCs w:val="20"/>
          <w:lang w:val="es-ES"/>
        </w:rPr>
      </w:pPr>
      <w:r w:rsidRPr="00BF7CF3">
        <w:rPr>
          <w:rFonts w:ascii="Verdana" w:hAnsi="Verdana"/>
          <w:sz w:val="20"/>
          <w:lang w:val="es-ES"/>
        </w:rPr>
        <w:t>La Corte valora positivamente lo informado por e</w:t>
      </w:r>
      <w:r w:rsidR="00BF7CF3" w:rsidRPr="00BF7CF3">
        <w:rPr>
          <w:rFonts w:ascii="Verdana" w:hAnsi="Verdana"/>
          <w:sz w:val="20"/>
          <w:lang w:val="es-ES"/>
        </w:rPr>
        <w:t xml:space="preserve">l Estado sobre la capacitación realizada a distintos funcionarios públicos, </w:t>
      </w:r>
      <w:r w:rsidRPr="00BF7CF3">
        <w:rPr>
          <w:rFonts w:ascii="Verdana" w:hAnsi="Verdana"/>
          <w:sz w:val="20"/>
          <w:lang w:val="es-ES"/>
        </w:rPr>
        <w:t xml:space="preserve">cuya labor involucra </w:t>
      </w:r>
      <w:r w:rsidR="00BF7CF3" w:rsidRPr="00BF7CF3">
        <w:rPr>
          <w:rFonts w:ascii="Verdana" w:hAnsi="Verdana"/>
          <w:sz w:val="20"/>
          <w:lang w:val="es-ES"/>
        </w:rPr>
        <w:t>el sistema de administración de justicia</w:t>
      </w:r>
      <w:r w:rsidR="00BF7CF3">
        <w:rPr>
          <w:rFonts w:ascii="Verdana" w:hAnsi="Verdana"/>
          <w:sz w:val="20"/>
          <w:lang w:val="es-ES"/>
        </w:rPr>
        <w:t xml:space="preserve"> (miembros de las Policía, Fuerzas Armadas, Fiscalía, Procuraduría, Función Judicial)</w:t>
      </w:r>
      <w:r w:rsidRPr="00BF7CF3">
        <w:rPr>
          <w:rFonts w:ascii="Verdana" w:hAnsi="Verdana"/>
          <w:sz w:val="20"/>
          <w:lang w:val="es-ES"/>
        </w:rPr>
        <w:t>. Asimismo, considera positivo para el impacto de</w:t>
      </w:r>
      <w:r w:rsidR="00BF7CF3">
        <w:rPr>
          <w:rFonts w:ascii="Verdana" w:hAnsi="Verdana"/>
          <w:sz w:val="20"/>
          <w:lang w:val="es-ES"/>
        </w:rPr>
        <w:t>l cumplimiento</w:t>
      </w:r>
      <w:r w:rsidRPr="00BF7CF3">
        <w:rPr>
          <w:rFonts w:ascii="Verdana" w:hAnsi="Verdana"/>
          <w:sz w:val="20"/>
          <w:lang w:val="es-ES"/>
        </w:rPr>
        <w:t xml:space="preserve"> </w:t>
      </w:r>
      <w:r w:rsidR="00774880">
        <w:rPr>
          <w:rFonts w:ascii="Verdana" w:hAnsi="Verdana"/>
          <w:sz w:val="20"/>
          <w:lang w:val="es-ES"/>
        </w:rPr>
        <w:t xml:space="preserve">de </w:t>
      </w:r>
      <w:r w:rsidRPr="00BF7CF3">
        <w:rPr>
          <w:rFonts w:ascii="Verdana" w:hAnsi="Verdana"/>
          <w:sz w:val="20"/>
          <w:lang w:val="es-ES"/>
        </w:rPr>
        <w:t>esta medida que</w:t>
      </w:r>
      <w:r w:rsidR="00BF7CF3" w:rsidRPr="00BF7CF3">
        <w:rPr>
          <w:rFonts w:ascii="Verdana" w:hAnsi="Verdana"/>
          <w:sz w:val="20"/>
          <w:lang w:val="es-ES"/>
        </w:rPr>
        <w:t xml:space="preserve"> se haya presentado por parte de la </w:t>
      </w:r>
      <w:r w:rsidR="00BF7CF3" w:rsidRPr="00BF7CF3">
        <w:rPr>
          <w:rFonts w:ascii="Verdana" w:hAnsi="Verdana"/>
          <w:sz w:val="20"/>
        </w:rPr>
        <w:t xml:space="preserve">Suprema Corte de Justicia de la Nación, el Protocolo de Actuación a Impartidores de Justicia en asuntos que involucren hechos de tortura. </w:t>
      </w:r>
    </w:p>
    <w:p w14:paraId="7C5E6394" w14:textId="77777777" w:rsidR="00BF7CF3" w:rsidRPr="00BF7CF3" w:rsidRDefault="00BF7CF3" w:rsidP="00A4635E">
      <w:pPr>
        <w:pStyle w:val="ListParagraph"/>
        <w:spacing w:after="0" w:line="240" w:lineRule="auto"/>
        <w:rPr>
          <w:rFonts w:ascii="Verdana" w:hAnsi="Verdana"/>
          <w:sz w:val="20"/>
          <w:lang w:val="es-ES"/>
        </w:rPr>
      </w:pPr>
    </w:p>
    <w:p w14:paraId="4C1F1F93" w14:textId="77777777" w:rsidR="00693DC5" w:rsidRPr="00404F16" w:rsidRDefault="00780674" w:rsidP="00A4635E">
      <w:pPr>
        <w:pStyle w:val="ListParagraph"/>
        <w:numPr>
          <w:ilvl w:val="0"/>
          <w:numId w:val="6"/>
        </w:numPr>
        <w:spacing w:after="0" w:line="240" w:lineRule="auto"/>
        <w:ind w:left="0" w:firstLine="0"/>
        <w:jc w:val="both"/>
        <w:rPr>
          <w:rFonts w:ascii="Verdana" w:hAnsi="Verdana"/>
          <w:sz w:val="20"/>
          <w:szCs w:val="20"/>
          <w:lang w:val="es-ES"/>
        </w:rPr>
      </w:pPr>
      <w:r w:rsidRPr="00404F16">
        <w:rPr>
          <w:rFonts w:ascii="Verdana" w:hAnsi="Verdana"/>
          <w:sz w:val="20"/>
          <w:lang w:val="es-ES"/>
        </w:rPr>
        <w:t xml:space="preserve">En lo que respecta a la información </w:t>
      </w:r>
      <w:r w:rsidR="00CA3B6C" w:rsidRPr="00404F16">
        <w:rPr>
          <w:rFonts w:ascii="Verdana" w:hAnsi="Verdana"/>
          <w:sz w:val="20"/>
          <w:lang w:val="es-ES"/>
        </w:rPr>
        <w:t>relativa a</w:t>
      </w:r>
      <w:r w:rsidRPr="00404F16">
        <w:rPr>
          <w:rFonts w:ascii="Verdana" w:hAnsi="Verdana"/>
          <w:sz w:val="20"/>
          <w:lang w:val="es-ES"/>
        </w:rPr>
        <w:t xml:space="preserve"> “las </w:t>
      </w:r>
      <w:r w:rsidRPr="00404F16">
        <w:rPr>
          <w:rFonts w:ascii="Verdana" w:hAnsi="Verdana"/>
          <w:sz w:val="20"/>
          <w:szCs w:val="20"/>
          <w:lang w:val="es-ES"/>
        </w:rPr>
        <w:t>mediciones objetivas sobre los efectos e impacto de las [capacitaciones]”</w:t>
      </w:r>
      <w:r w:rsidR="00CA3B6C" w:rsidRPr="00404F16">
        <w:rPr>
          <w:rFonts w:ascii="Verdana" w:hAnsi="Verdana"/>
          <w:sz w:val="20"/>
          <w:szCs w:val="20"/>
          <w:lang w:val="es-ES"/>
        </w:rPr>
        <w:t xml:space="preserve"> (</w:t>
      </w:r>
      <w:r w:rsidR="00CA3B6C" w:rsidRPr="00404F16">
        <w:rPr>
          <w:rFonts w:ascii="Verdana" w:hAnsi="Verdana"/>
          <w:i/>
          <w:sz w:val="20"/>
          <w:szCs w:val="20"/>
          <w:lang w:val="es-ES"/>
        </w:rPr>
        <w:t xml:space="preserve">supra </w:t>
      </w:r>
      <w:r w:rsidR="00CA3B6C" w:rsidRPr="00404F16">
        <w:rPr>
          <w:rFonts w:ascii="Verdana" w:hAnsi="Verdana"/>
          <w:sz w:val="20"/>
          <w:szCs w:val="20"/>
          <w:lang w:val="es-ES"/>
        </w:rPr>
        <w:t>Considerando 51)</w:t>
      </w:r>
      <w:r w:rsidRPr="00404F16">
        <w:rPr>
          <w:rFonts w:ascii="Verdana" w:hAnsi="Verdana"/>
          <w:sz w:val="20"/>
          <w:szCs w:val="20"/>
          <w:lang w:val="es-ES"/>
        </w:rPr>
        <w:t>, en dos documentos México ha informado de forma general que “[e]n la medida en que es necesario evaluar los resultados de las actividades de formación en la labor judicial, se aplicará la Metodología para medir el impacto de las capacitaciones en derechos humanos, elaborada por la Oficina en México del Alto Comisionado de las Naciones Unidas para los Derechos Humanos”. De acuerdo a lo acordado entre las partes, corresponde a México efectuar tales mediciones. Sin embargo</w:t>
      </w:r>
      <w:r w:rsidR="00CA3B6C" w:rsidRPr="00404F16">
        <w:rPr>
          <w:rFonts w:ascii="Verdana" w:hAnsi="Verdana"/>
          <w:sz w:val="20"/>
          <w:szCs w:val="20"/>
          <w:lang w:val="es-ES"/>
        </w:rPr>
        <w:t>,</w:t>
      </w:r>
      <w:r w:rsidRPr="00404F16">
        <w:rPr>
          <w:rFonts w:ascii="Verdana" w:hAnsi="Verdana"/>
          <w:sz w:val="20"/>
          <w:szCs w:val="20"/>
          <w:lang w:val="es-ES"/>
        </w:rPr>
        <w:t xml:space="preserve"> el Tribunal no supervisará la medición de tales efectos ni impacto. </w:t>
      </w:r>
    </w:p>
    <w:p w14:paraId="610B1926" w14:textId="77777777" w:rsidR="00693DC5" w:rsidRPr="00693DC5" w:rsidRDefault="00693DC5" w:rsidP="00A4635E">
      <w:pPr>
        <w:pStyle w:val="ListParagraph"/>
        <w:spacing w:after="0" w:line="240" w:lineRule="auto"/>
        <w:rPr>
          <w:rFonts w:ascii="Verdana" w:hAnsi="Verdana"/>
          <w:sz w:val="20"/>
          <w:szCs w:val="20"/>
          <w:lang w:val="es-ES"/>
        </w:rPr>
      </w:pPr>
    </w:p>
    <w:p w14:paraId="01D0C357" w14:textId="77777777" w:rsidR="0062187C" w:rsidRPr="00404F16" w:rsidRDefault="0062187C" w:rsidP="00A4635E">
      <w:pPr>
        <w:pStyle w:val="ListParagraph"/>
        <w:numPr>
          <w:ilvl w:val="0"/>
          <w:numId w:val="6"/>
        </w:numPr>
        <w:spacing w:after="0" w:line="240" w:lineRule="auto"/>
        <w:ind w:left="0" w:firstLine="0"/>
        <w:jc w:val="both"/>
        <w:rPr>
          <w:rFonts w:ascii="Verdana" w:hAnsi="Verdana"/>
          <w:sz w:val="20"/>
          <w:szCs w:val="20"/>
          <w:lang w:val="es-ES"/>
        </w:rPr>
      </w:pPr>
      <w:r w:rsidRPr="00404F16">
        <w:rPr>
          <w:rFonts w:ascii="Verdana" w:hAnsi="Verdana"/>
          <w:sz w:val="20"/>
          <w:szCs w:val="20"/>
          <w:lang w:val="es-ES"/>
        </w:rPr>
        <w:t xml:space="preserve">En razón de </w:t>
      </w:r>
      <w:r w:rsidR="006F7DF5" w:rsidRPr="00404F16">
        <w:rPr>
          <w:rFonts w:ascii="Verdana" w:hAnsi="Verdana"/>
          <w:sz w:val="20"/>
          <w:szCs w:val="20"/>
          <w:lang w:val="es-ES"/>
        </w:rPr>
        <w:t xml:space="preserve">todo </w:t>
      </w:r>
      <w:r w:rsidRPr="00404F16">
        <w:rPr>
          <w:rFonts w:ascii="Verdana" w:hAnsi="Verdana"/>
          <w:sz w:val="20"/>
          <w:szCs w:val="20"/>
          <w:lang w:val="es-ES"/>
        </w:rPr>
        <w:t xml:space="preserve">lo anterior, la Corte considera que el Estado ha cumplido </w:t>
      </w:r>
      <w:r w:rsidR="00661E3D" w:rsidRPr="00404F16">
        <w:rPr>
          <w:rFonts w:ascii="Verdana" w:hAnsi="Verdana"/>
          <w:sz w:val="20"/>
          <w:szCs w:val="20"/>
          <w:lang w:val="es-ES"/>
        </w:rPr>
        <w:t xml:space="preserve">totalmente </w:t>
      </w:r>
      <w:r w:rsidRPr="00404F16">
        <w:rPr>
          <w:rFonts w:ascii="Verdana" w:hAnsi="Verdana"/>
          <w:sz w:val="20"/>
          <w:szCs w:val="20"/>
          <w:lang w:val="es-ES"/>
        </w:rPr>
        <w:t xml:space="preserve">la medida de reparación relativa a </w:t>
      </w:r>
      <w:r w:rsidRPr="00404F16">
        <w:rPr>
          <w:rFonts w:ascii="Verdana" w:hAnsi="Verdana"/>
          <w:sz w:val="20"/>
          <w:szCs w:val="20"/>
        </w:rPr>
        <w:t>“</w:t>
      </w:r>
      <w:r w:rsidRPr="00404F16">
        <w:rPr>
          <w:rFonts w:ascii="Verdana" w:hAnsi="Verdana"/>
          <w:sz w:val="20"/>
          <w:szCs w:val="20"/>
          <w:lang w:val="es-ES"/>
        </w:rPr>
        <w:t xml:space="preserve">continuar otorgando capacitación a los servidores públicos encargados de la defensoría de oficio, así como de la procuración, e impartición de justicia bajo los estándares internacionales más altos, para que puedan identificar, reaccionar, prevenir, denunciar y sancionar, el uso de técnicas de tortura”, </w:t>
      </w:r>
      <w:r w:rsidR="00F82C3A" w:rsidRPr="00404F16">
        <w:rPr>
          <w:rFonts w:ascii="Verdana" w:hAnsi="Verdana"/>
          <w:sz w:val="20"/>
          <w:szCs w:val="20"/>
          <w:lang w:val="es-ES"/>
        </w:rPr>
        <w:t>ordenad</w:t>
      </w:r>
      <w:r w:rsidR="006F7DF5" w:rsidRPr="00404F16">
        <w:rPr>
          <w:rFonts w:ascii="Verdana" w:hAnsi="Verdana"/>
          <w:sz w:val="20"/>
          <w:szCs w:val="20"/>
          <w:lang w:val="es-ES"/>
        </w:rPr>
        <w:t>a</w:t>
      </w:r>
      <w:r w:rsidR="00F82C3A" w:rsidRPr="00404F16">
        <w:rPr>
          <w:rFonts w:ascii="Verdana" w:hAnsi="Verdana"/>
          <w:sz w:val="20"/>
          <w:szCs w:val="20"/>
          <w:lang w:val="es-ES"/>
        </w:rPr>
        <w:t xml:space="preserve"> en el punto dispositivo sexto inciso </w:t>
      </w:r>
      <w:r w:rsidR="009818FD">
        <w:rPr>
          <w:rFonts w:ascii="Verdana" w:hAnsi="Verdana"/>
          <w:sz w:val="20"/>
          <w:szCs w:val="20"/>
          <w:lang w:val="es-ES"/>
        </w:rPr>
        <w:t>l</w:t>
      </w:r>
      <w:r w:rsidR="00F82C3A" w:rsidRPr="00404F16">
        <w:rPr>
          <w:rFonts w:ascii="Verdana" w:hAnsi="Verdana"/>
          <w:sz w:val="20"/>
          <w:szCs w:val="20"/>
          <w:lang w:val="es-ES"/>
        </w:rPr>
        <w:t>) y los párrafos 92 y 93 de la Sentencia</w:t>
      </w:r>
      <w:r w:rsidR="00F82C3A" w:rsidRPr="00404F16">
        <w:rPr>
          <w:rFonts w:ascii="Verdana" w:hAnsi="Verdana"/>
          <w:sz w:val="20"/>
        </w:rPr>
        <w:t>.</w:t>
      </w:r>
    </w:p>
    <w:p w14:paraId="40E28FBC" w14:textId="77777777" w:rsidR="00404F16" w:rsidRPr="00DF7E56" w:rsidRDefault="00404F16" w:rsidP="00A4635E">
      <w:pPr>
        <w:spacing w:after="0" w:line="240" w:lineRule="auto"/>
        <w:jc w:val="both"/>
        <w:rPr>
          <w:rFonts w:ascii="Verdana" w:hAnsi="Verdana"/>
          <w:b/>
          <w:sz w:val="20"/>
          <w:szCs w:val="20"/>
        </w:rPr>
      </w:pPr>
    </w:p>
    <w:p w14:paraId="66B5D1E7" w14:textId="77777777" w:rsidR="00530011" w:rsidRDefault="00530011" w:rsidP="00A4635E">
      <w:pPr>
        <w:pStyle w:val="BodyText"/>
        <w:tabs>
          <w:tab w:val="left" w:pos="360"/>
          <w:tab w:val="left" w:pos="567"/>
        </w:tabs>
        <w:spacing w:after="0"/>
        <w:rPr>
          <w:rFonts w:ascii="Verdana" w:hAnsi="Verdana"/>
          <w:b/>
          <w:sz w:val="20"/>
        </w:rPr>
      </w:pPr>
    </w:p>
    <w:p w14:paraId="4EB102CE" w14:textId="77777777" w:rsidR="00DB385A" w:rsidRPr="00DF7E56" w:rsidRDefault="00DB385A" w:rsidP="00A4635E">
      <w:pPr>
        <w:pStyle w:val="BodyText"/>
        <w:tabs>
          <w:tab w:val="left" w:pos="360"/>
          <w:tab w:val="left" w:pos="567"/>
        </w:tabs>
        <w:spacing w:after="0"/>
        <w:rPr>
          <w:rFonts w:ascii="Verdana" w:hAnsi="Verdana"/>
          <w:b/>
          <w:sz w:val="20"/>
        </w:rPr>
      </w:pPr>
      <w:r w:rsidRPr="00DF7E56">
        <w:rPr>
          <w:rFonts w:ascii="Verdana" w:hAnsi="Verdana"/>
          <w:b/>
          <w:sz w:val="20"/>
        </w:rPr>
        <w:t>POR TANTO:</w:t>
      </w:r>
    </w:p>
    <w:p w14:paraId="77C56BB4" w14:textId="77777777" w:rsidR="00877F85" w:rsidRDefault="00877F85" w:rsidP="00A4635E">
      <w:pPr>
        <w:pStyle w:val="BodyText"/>
        <w:tabs>
          <w:tab w:val="left" w:pos="360"/>
          <w:tab w:val="left" w:pos="567"/>
        </w:tabs>
        <w:spacing w:after="0"/>
        <w:rPr>
          <w:rFonts w:ascii="Verdana" w:hAnsi="Verdana"/>
          <w:b/>
          <w:sz w:val="20"/>
        </w:rPr>
      </w:pPr>
    </w:p>
    <w:p w14:paraId="6BC1D48B" w14:textId="77777777" w:rsidR="00DB385A" w:rsidRPr="00DF7E56" w:rsidRDefault="00DB385A" w:rsidP="00A4635E">
      <w:pPr>
        <w:pStyle w:val="BodyText"/>
        <w:tabs>
          <w:tab w:val="left" w:pos="360"/>
          <w:tab w:val="left" w:pos="567"/>
        </w:tabs>
        <w:spacing w:after="0"/>
        <w:rPr>
          <w:rFonts w:ascii="Verdana" w:hAnsi="Verdana"/>
          <w:b/>
          <w:sz w:val="20"/>
        </w:rPr>
      </w:pPr>
      <w:r w:rsidRPr="00DF7E56">
        <w:rPr>
          <w:rFonts w:ascii="Verdana" w:hAnsi="Verdana"/>
          <w:b/>
          <w:sz w:val="20"/>
        </w:rPr>
        <w:t>LA CORTE INTERAMERICANA DE DERECHOS HUMANOS,</w:t>
      </w:r>
    </w:p>
    <w:p w14:paraId="0603D7F4" w14:textId="77777777" w:rsidR="00DB385A" w:rsidRPr="00DF7E56" w:rsidRDefault="00DB385A" w:rsidP="00A4635E">
      <w:pPr>
        <w:pStyle w:val="BodyText"/>
        <w:tabs>
          <w:tab w:val="left" w:pos="360"/>
          <w:tab w:val="left" w:pos="567"/>
        </w:tabs>
        <w:spacing w:after="0"/>
        <w:rPr>
          <w:rFonts w:ascii="Verdana" w:hAnsi="Verdana"/>
          <w:b/>
          <w:sz w:val="20"/>
        </w:rPr>
      </w:pPr>
    </w:p>
    <w:p w14:paraId="5C805E11" w14:textId="77777777" w:rsidR="00DB385A" w:rsidRPr="00DF7E56" w:rsidRDefault="00DB385A" w:rsidP="00A4635E">
      <w:pPr>
        <w:tabs>
          <w:tab w:val="left" w:pos="567"/>
        </w:tabs>
        <w:spacing w:after="0" w:line="240" w:lineRule="auto"/>
        <w:jc w:val="both"/>
        <w:rPr>
          <w:rFonts w:ascii="Verdana" w:hAnsi="Verdana"/>
          <w:sz w:val="20"/>
        </w:rPr>
      </w:pPr>
      <w:r w:rsidRPr="00DF7E56">
        <w:rPr>
          <w:rFonts w:ascii="Verdana" w:hAnsi="Verdana"/>
          <w:sz w:val="20"/>
        </w:rPr>
        <w:t>En el ejercicio de sus atribuciones de supervisión del cumplimiento de sus decisiones, de conformidad con los artículos 33, 62.1, 62.3, 65, 67 y 68.1 de la Convención Americana sobre Derechos Humanos, 24, 25 y 30 del Estatuto, y 31.2 y 69 de su Reglamento,</w:t>
      </w:r>
    </w:p>
    <w:p w14:paraId="43A59562" w14:textId="77777777" w:rsidR="00DB385A" w:rsidRDefault="00DB385A" w:rsidP="00A4635E">
      <w:pPr>
        <w:tabs>
          <w:tab w:val="left" w:pos="567"/>
        </w:tabs>
        <w:spacing w:after="0" w:line="240" w:lineRule="auto"/>
        <w:jc w:val="both"/>
        <w:rPr>
          <w:rFonts w:ascii="Verdana" w:hAnsi="Verdana"/>
          <w:sz w:val="20"/>
        </w:rPr>
      </w:pPr>
    </w:p>
    <w:p w14:paraId="426096F6" w14:textId="77777777" w:rsidR="00DB385A" w:rsidRPr="00307259" w:rsidRDefault="009818FD" w:rsidP="00307259">
      <w:pPr>
        <w:tabs>
          <w:tab w:val="left" w:pos="567"/>
        </w:tabs>
        <w:spacing w:after="0" w:line="240" w:lineRule="auto"/>
        <w:jc w:val="both"/>
        <w:rPr>
          <w:rFonts w:ascii="Verdana" w:hAnsi="Verdana"/>
          <w:b/>
          <w:sz w:val="20"/>
        </w:rPr>
      </w:pPr>
      <w:r>
        <w:rPr>
          <w:rFonts w:ascii="Verdana" w:hAnsi="Verdana"/>
          <w:b/>
          <w:sz w:val="20"/>
        </w:rPr>
        <w:t>RESUELVE</w:t>
      </w:r>
      <w:r w:rsidR="00DB385A" w:rsidRPr="00DF7E56">
        <w:rPr>
          <w:rFonts w:ascii="Verdana" w:hAnsi="Verdana"/>
          <w:b/>
          <w:sz w:val="20"/>
        </w:rPr>
        <w:t>:</w:t>
      </w:r>
    </w:p>
    <w:p w14:paraId="0E8C245A" w14:textId="77777777" w:rsidR="00C01A79" w:rsidRDefault="00C01A79" w:rsidP="00C01A79">
      <w:pPr>
        <w:spacing w:after="0" w:line="240" w:lineRule="auto"/>
        <w:jc w:val="both"/>
        <w:rPr>
          <w:rFonts w:ascii="Verdana" w:hAnsi="Verdana"/>
          <w:sz w:val="20"/>
        </w:rPr>
      </w:pPr>
    </w:p>
    <w:p w14:paraId="315B4106" w14:textId="2CA66FE2" w:rsidR="002F6562" w:rsidRPr="002F6562" w:rsidRDefault="00C01A79" w:rsidP="00A4635E">
      <w:pPr>
        <w:numPr>
          <w:ilvl w:val="0"/>
          <w:numId w:val="11"/>
        </w:numPr>
        <w:spacing w:after="0" w:line="240" w:lineRule="auto"/>
        <w:ind w:left="0" w:hanging="11"/>
        <w:jc w:val="both"/>
        <w:rPr>
          <w:rFonts w:ascii="Verdana" w:hAnsi="Verdana"/>
          <w:sz w:val="20"/>
        </w:rPr>
      </w:pPr>
      <w:r>
        <w:rPr>
          <w:rFonts w:ascii="Verdana" w:hAnsi="Verdana"/>
          <w:sz w:val="20"/>
        </w:rPr>
        <w:t>D</w:t>
      </w:r>
      <w:r w:rsidR="002F6562" w:rsidRPr="002F6562">
        <w:rPr>
          <w:rFonts w:ascii="Verdana" w:hAnsi="Verdana"/>
          <w:sz w:val="20"/>
        </w:rPr>
        <w:t>e</w:t>
      </w:r>
      <w:r w:rsidR="009818FD">
        <w:rPr>
          <w:rFonts w:ascii="Verdana" w:hAnsi="Verdana"/>
          <w:sz w:val="20"/>
        </w:rPr>
        <w:t>clarar que, de</w:t>
      </w:r>
      <w:r w:rsidR="002F6562" w:rsidRPr="002F6562">
        <w:rPr>
          <w:rFonts w:ascii="Verdana" w:hAnsi="Verdana"/>
          <w:sz w:val="20"/>
        </w:rPr>
        <w:t xml:space="preserve"> conformidad con lo señalado en los Considerandos </w:t>
      </w:r>
      <w:r w:rsidR="00AD739A">
        <w:rPr>
          <w:rFonts w:ascii="Verdana" w:hAnsi="Verdana"/>
          <w:sz w:val="20"/>
        </w:rPr>
        <w:t>26 a 29</w:t>
      </w:r>
      <w:r w:rsidR="009818FD">
        <w:rPr>
          <w:rFonts w:ascii="Verdana" w:hAnsi="Verdana"/>
          <w:sz w:val="20"/>
        </w:rPr>
        <w:t xml:space="preserve">, </w:t>
      </w:r>
      <w:r w:rsidR="00AD739A">
        <w:rPr>
          <w:rFonts w:ascii="Verdana" w:hAnsi="Verdana"/>
          <w:sz w:val="20"/>
        </w:rPr>
        <w:t>32 a 36, 45 a 47 y 49 a 53</w:t>
      </w:r>
      <w:r w:rsidR="002F6562" w:rsidRPr="002F6562">
        <w:rPr>
          <w:rFonts w:ascii="Verdana" w:hAnsi="Verdana"/>
          <w:sz w:val="20"/>
        </w:rPr>
        <w:t xml:space="preserve"> de la presente Resolución, que el Estado ha dado cumplimiento total a las siguientes medidas de reparación:</w:t>
      </w:r>
    </w:p>
    <w:p w14:paraId="14DA6317" w14:textId="77777777" w:rsidR="00404F16" w:rsidRDefault="00404F16" w:rsidP="00404F16">
      <w:pPr>
        <w:pStyle w:val="ListParagraph"/>
        <w:spacing w:after="0" w:line="240" w:lineRule="auto"/>
        <w:ind w:left="1440"/>
        <w:jc w:val="both"/>
        <w:rPr>
          <w:rFonts w:ascii="Verdana" w:hAnsi="Verdana"/>
          <w:sz w:val="20"/>
        </w:rPr>
      </w:pPr>
    </w:p>
    <w:p w14:paraId="19183004" w14:textId="0F4CB814" w:rsidR="00CA21C7" w:rsidRDefault="00DC514D" w:rsidP="00CA21C7">
      <w:pPr>
        <w:pStyle w:val="ListParagraph"/>
        <w:numPr>
          <w:ilvl w:val="0"/>
          <w:numId w:val="30"/>
        </w:numPr>
        <w:spacing w:after="0" w:line="240" w:lineRule="auto"/>
        <w:jc w:val="both"/>
        <w:rPr>
          <w:rFonts w:ascii="Verdana" w:hAnsi="Verdana"/>
          <w:sz w:val="20"/>
        </w:rPr>
      </w:pPr>
      <w:r>
        <w:rPr>
          <w:rFonts w:ascii="Verdana" w:hAnsi="Verdana"/>
          <w:sz w:val="20"/>
        </w:rPr>
        <w:t>a</w:t>
      </w:r>
      <w:r w:rsidR="0056773C" w:rsidRPr="00CA21C7">
        <w:rPr>
          <w:rFonts w:ascii="Verdana" w:hAnsi="Verdana"/>
          <w:sz w:val="20"/>
        </w:rPr>
        <w:t>cto público de reconocimiento de responsabilidad internacional por los hechos y violaciones de este caso (</w:t>
      </w:r>
      <w:r w:rsidR="0056773C" w:rsidRPr="001E2B84">
        <w:rPr>
          <w:rFonts w:ascii="Verdana" w:hAnsi="Verdana"/>
          <w:i/>
          <w:sz w:val="20"/>
        </w:rPr>
        <w:t>punto dispositivo sexto inciso e</w:t>
      </w:r>
      <w:r w:rsidR="00B35DFC" w:rsidRPr="001E2B84">
        <w:rPr>
          <w:rFonts w:ascii="Verdana" w:hAnsi="Verdana"/>
          <w:i/>
          <w:sz w:val="20"/>
        </w:rPr>
        <w:t>)</w:t>
      </w:r>
      <w:r w:rsidR="0056773C" w:rsidRPr="001E2B84">
        <w:rPr>
          <w:rFonts w:ascii="Verdana" w:hAnsi="Verdana"/>
          <w:i/>
          <w:sz w:val="20"/>
        </w:rPr>
        <w:t xml:space="preserve"> de la Sen</w:t>
      </w:r>
      <w:r w:rsidR="00B35DFC" w:rsidRPr="001E2B84">
        <w:rPr>
          <w:rFonts w:ascii="Verdana" w:hAnsi="Verdana"/>
          <w:i/>
          <w:sz w:val="20"/>
        </w:rPr>
        <w:t>tencia</w:t>
      </w:r>
      <w:r w:rsidR="00B35DFC" w:rsidRPr="00CA21C7">
        <w:rPr>
          <w:rFonts w:ascii="Verdana" w:hAnsi="Verdana"/>
          <w:sz w:val="20"/>
        </w:rPr>
        <w:t>)</w:t>
      </w:r>
      <w:r w:rsidR="002B4F99" w:rsidRPr="00CA21C7">
        <w:rPr>
          <w:rFonts w:ascii="Verdana" w:hAnsi="Verdana"/>
          <w:sz w:val="20"/>
        </w:rPr>
        <w:t>;</w:t>
      </w:r>
    </w:p>
    <w:p w14:paraId="4FF6C7F1" w14:textId="326637D2" w:rsidR="00CA21C7" w:rsidRDefault="00DC514D" w:rsidP="00CA21C7">
      <w:pPr>
        <w:pStyle w:val="ListParagraph"/>
        <w:numPr>
          <w:ilvl w:val="0"/>
          <w:numId w:val="30"/>
        </w:numPr>
        <w:spacing w:after="0" w:line="240" w:lineRule="auto"/>
        <w:jc w:val="both"/>
        <w:rPr>
          <w:rFonts w:ascii="Verdana" w:hAnsi="Verdana"/>
          <w:sz w:val="20"/>
        </w:rPr>
      </w:pPr>
      <w:r>
        <w:rPr>
          <w:rFonts w:ascii="Verdana" w:hAnsi="Verdana"/>
          <w:sz w:val="20"/>
        </w:rPr>
        <w:t>o</w:t>
      </w:r>
      <w:r w:rsidR="00B35DFC" w:rsidRPr="00CA21C7">
        <w:rPr>
          <w:rFonts w:ascii="Verdana" w:hAnsi="Verdana"/>
          <w:sz w:val="20"/>
        </w:rPr>
        <w:t>torgamiento de becas educativas para las víctimas e hija del señor Sánchez Silvestre (</w:t>
      </w:r>
      <w:r w:rsidR="00B35DFC" w:rsidRPr="001E2B84">
        <w:rPr>
          <w:rFonts w:ascii="Verdana" w:hAnsi="Verdana"/>
          <w:i/>
          <w:sz w:val="20"/>
        </w:rPr>
        <w:t>punto dispositivo sexto inciso</w:t>
      </w:r>
      <w:r w:rsidR="00F6706E" w:rsidRPr="001E2B84">
        <w:rPr>
          <w:rFonts w:ascii="Verdana" w:hAnsi="Verdana"/>
          <w:i/>
          <w:sz w:val="20"/>
        </w:rPr>
        <w:t>s</w:t>
      </w:r>
      <w:r w:rsidR="00B35DFC" w:rsidRPr="001E2B84">
        <w:rPr>
          <w:rFonts w:ascii="Verdana" w:hAnsi="Verdana"/>
          <w:i/>
          <w:sz w:val="20"/>
        </w:rPr>
        <w:t xml:space="preserve"> g) </w:t>
      </w:r>
      <w:r w:rsidR="00F6706E" w:rsidRPr="001E2B84">
        <w:rPr>
          <w:rFonts w:ascii="Verdana" w:hAnsi="Verdana"/>
          <w:i/>
          <w:sz w:val="20"/>
        </w:rPr>
        <w:t xml:space="preserve">y h) </w:t>
      </w:r>
      <w:r w:rsidR="00B35DFC" w:rsidRPr="001E2B84">
        <w:rPr>
          <w:rFonts w:ascii="Verdana" w:hAnsi="Verdana"/>
          <w:i/>
          <w:sz w:val="20"/>
        </w:rPr>
        <w:t>de la Sentencia</w:t>
      </w:r>
      <w:r w:rsidR="00B35DFC" w:rsidRPr="00CA21C7">
        <w:rPr>
          <w:rFonts w:ascii="Verdana" w:hAnsi="Verdana"/>
          <w:sz w:val="20"/>
        </w:rPr>
        <w:t>)</w:t>
      </w:r>
      <w:r w:rsidR="002B4F99" w:rsidRPr="00CA21C7">
        <w:rPr>
          <w:rFonts w:ascii="Verdana" w:hAnsi="Verdana"/>
          <w:sz w:val="20"/>
        </w:rPr>
        <w:t>;</w:t>
      </w:r>
      <w:r w:rsidR="00CA21C7" w:rsidRPr="006F7DF5">
        <w:rPr>
          <w:rFonts w:ascii="Verdana" w:hAnsi="Verdana"/>
          <w:strike/>
          <w:sz w:val="20"/>
        </w:rPr>
        <w:t xml:space="preserve"> </w:t>
      </w:r>
    </w:p>
    <w:p w14:paraId="4961551F" w14:textId="1BC16FE0" w:rsidR="006F7DF5" w:rsidRPr="00404F16" w:rsidRDefault="00DC514D" w:rsidP="00CA21C7">
      <w:pPr>
        <w:pStyle w:val="ListParagraph"/>
        <w:numPr>
          <w:ilvl w:val="0"/>
          <w:numId w:val="30"/>
        </w:numPr>
        <w:spacing w:after="0" w:line="240" w:lineRule="auto"/>
        <w:jc w:val="both"/>
        <w:rPr>
          <w:rFonts w:ascii="Verdana" w:hAnsi="Verdana"/>
          <w:sz w:val="20"/>
        </w:rPr>
      </w:pPr>
      <w:r>
        <w:rPr>
          <w:rFonts w:ascii="Verdana" w:hAnsi="Verdana"/>
          <w:sz w:val="20"/>
        </w:rPr>
        <w:t>r</w:t>
      </w:r>
      <w:r w:rsidR="00B35DFC" w:rsidRPr="00404F16">
        <w:rPr>
          <w:rFonts w:ascii="Verdana" w:hAnsi="Verdana"/>
          <w:sz w:val="20"/>
        </w:rPr>
        <w:t>ealización de un seminario respecto de la doctrina de la inmediatez procesal (</w:t>
      </w:r>
      <w:r w:rsidR="00B35DFC" w:rsidRPr="001E2B84">
        <w:rPr>
          <w:rFonts w:ascii="Verdana" w:hAnsi="Verdana"/>
          <w:i/>
          <w:sz w:val="20"/>
        </w:rPr>
        <w:t xml:space="preserve">punto dispositivo sexto inciso </w:t>
      </w:r>
      <w:r w:rsidR="00CA21C7" w:rsidRPr="001E2B84">
        <w:rPr>
          <w:rFonts w:ascii="Verdana" w:hAnsi="Verdana"/>
          <w:i/>
          <w:sz w:val="20"/>
        </w:rPr>
        <w:t>j) de la Sentencia</w:t>
      </w:r>
      <w:r w:rsidR="00CA21C7" w:rsidRPr="00404F16">
        <w:rPr>
          <w:rFonts w:ascii="Verdana" w:hAnsi="Verdana"/>
          <w:sz w:val="20"/>
        </w:rPr>
        <w:t>)</w:t>
      </w:r>
      <w:r w:rsidR="009019BD">
        <w:rPr>
          <w:rFonts w:ascii="Verdana" w:hAnsi="Verdana"/>
          <w:sz w:val="20"/>
        </w:rPr>
        <w:t>,</w:t>
      </w:r>
      <w:r w:rsidR="006F7DF5" w:rsidRPr="00404F16">
        <w:rPr>
          <w:rFonts w:ascii="Verdana" w:hAnsi="Verdana"/>
          <w:sz w:val="20"/>
        </w:rPr>
        <w:t xml:space="preserve"> y</w:t>
      </w:r>
    </w:p>
    <w:p w14:paraId="360B67AB" w14:textId="46EF74F3" w:rsidR="0062187C" w:rsidRPr="00404F16" w:rsidRDefault="00DC514D" w:rsidP="00CA21C7">
      <w:pPr>
        <w:pStyle w:val="ListParagraph"/>
        <w:numPr>
          <w:ilvl w:val="0"/>
          <w:numId w:val="30"/>
        </w:numPr>
        <w:spacing w:after="0" w:line="240" w:lineRule="auto"/>
        <w:jc w:val="both"/>
        <w:rPr>
          <w:rFonts w:ascii="Verdana" w:hAnsi="Verdana"/>
          <w:sz w:val="20"/>
        </w:rPr>
      </w:pPr>
      <w:r>
        <w:rPr>
          <w:rFonts w:ascii="Verdana" w:hAnsi="Verdana"/>
          <w:sz w:val="20"/>
          <w:szCs w:val="20"/>
          <w:lang w:val="es-ES"/>
        </w:rPr>
        <w:lastRenderedPageBreak/>
        <w:t>c</w:t>
      </w:r>
      <w:r w:rsidR="006F7DF5" w:rsidRPr="00404F16">
        <w:rPr>
          <w:rFonts w:ascii="Verdana" w:hAnsi="Verdana"/>
          <w:sz w:val="20"/>
          <w:szCs w:val="20"/>
          <w:lang w:val="es-ES"/>
        </w:rPr>
        <w:t>ontinuar otorgando capacitación a los servidores públicos encargados de la defensoría de oficio, así como de la procuración, e impartición de justicia bajo los estándares internacionales más altos, para que puedan identificar, reaccionar, prevenir, denunciar y sancionar, el uso de técnicas de tortura (</w:t>
      </w:r>
      <w:r w:rsidR="006F7DF5" w:rsidRPr="001E2B84">
        <w:rPr>
          <w:rFonts w:ascii="Verdana" w:hAnsi="Verdana"/>
          <w:i/>
          <w:sz w:val="20"/>
          <w:szCs w:val="20"/>
          <w:lang w:val="es-ES"/>
        </w:rPr>
        <w:t>punto dispositivo sexto inciso i)</w:t>
      </w:r>
      <w:r w:rsidR="00661E3D" w:rsidRPr="001E2B84">
        <w:rPr>
          <w:rFonts w:ascii="Verdana" w:hAnsi="Verdana"/>
          <w:i/>
          <w:sz w:val="20"/>
          <w:szCs w:val="20"/>
          <w:lang w:val="es-ES"/>
        </w:rPr>
        <w:t xml:space="preserve"> de la Sentencia</w:t>
      </w:r>
      <w:r w:rsidR="00661E3D" w:rsidRPr="00404F16">
        <w:rPr>
          <w:rFonts w:ascii="Verdana" w:hAnsi="Verdana"/>
          <w:sz w:val="20"/>
          <w:szCs w:val="20"/>
          <w:lang w:val="es-ES"/>
        </w:rPr>
        <w:t>).</w:t>
      </w:r>
    </w:p>
    <w:p w14:paraId="6E94EA0D" w14:textId="77777777" w:rsidR="00DB385A" w:rsidRPr="00404F16" w:rsidRDefault="00DB385A" w:rsidP="00A4635E">
      <w:pPr>
        <w:pStyle w:val="ListParagraph"/>
        <w:spacing w:after="0" w:line="240" w:lineRule="auto"/>
        <w:rPr>
          <w:rFonts w:ascii="Verdana" w:hAnsi="Verdana"/>
          <w:sz w:val="20"/>
        </w:rPr>
      </w:pPr>
    </w:p>
    <w:p w14:paraId="7CBAA6A4" w14:textId="3E49C34B" w:rsidR="00266805" w:rsidRDefault="00693DC5" w:rsidP="00266805">
      <w:pPr>
        <w:numPr>
          <w:ilvl w:val="0"/>
          <w:numId w:val="11"/>
        </w:numPr>
        <w:spacing w:after="0" w:line="240" w:lineRule="auto"/>
        <w:ind w:left="0" w:hanging="11"/>
        <w:jc w:val="both"/>
        <w:rPr>
          <w:rFonts w:ascii="Verdana" w:hAnsi="Verdana"/>
          <w:b/>
          <w:sz w:val="20"/>
        </w:rPr>
      </w:pPr>
      <w:r w:rsidRPr="00404F16">
        <w:rPr>
          <w:rFonts w:ascii="Verdana" w:hAnsi="Verdana"/>
          <w:sz w:val="20"/>
          <w:szCs w:val="20"/>
        </w:rPr>
        <w:t xml:space="preserve">Declarar, </w:t>
      </w:r>
      <w:r w:rsidRPr="00404F16">
        <w:rPr>
          <w:rFonts w:ascii="Verdana" w:hAnsi="Verdana"/>
          <w:sz w:val="20"/>
        </w:rPr>
        <w:t xml:space="preserve">de conformidad con lo señalado en los Considerandos </w:t>
      </w:r>
      <w:r w:rsidR="00DC514D">
        <w:rPr>
          <w:rFonts w:ascii="Verdana" w:hAnsi="Verdana"/>
          <w:sz w:val="20"/>
        </w:rPr>
        <w:t>13 a 16</w:t>
      </w:r>
      <w:r w:rsidRPr="00404F16">
        <w:rPr>
          <w:rFonts w:ascii="Verdana" w:hAnsi="Verdana"/>
          <w:sz w:val="20"/>
        </w:rPr>
        <w:t xml:space="preserve"> de la presente Resolución,</w:t>
      </w:r>
      <w:r w:rsidRPr="00404F16">
        <w:rPr>
          <w:rFonts w:ascii="Verdana" w:hAnsi="Verdana"/>
          <w:b/>
          <w:sz w:val="20"/>
        </w:rPr>
        <w:t xml:space="preserve"> </w:t>
      </w:r>
      <w:r w:rsidR="00266805" w:rsidRPr="00266805">
        <w:rPr>
          <w:rFonts w:ascii="Verdana" w:hAnsi="Verdana"/>
          <w:sz w:val="20"/>
        </w:rPr>
        <w:t xml:space="preserve">que </w:t>
      </w:r>
      <w:r w:rsidR="00266805" w:rsidRPr="00131277">
        <w:rPr>
          <w:rFonts w:ascii="Verdana" w:hAnsi="Verdana"/>
          <w:sz w:val="20"/>
          <w:szCs w:val="20"/>
          <w:lang w:val="es-ES"/>
        </w:rPr>
        <w:t xml:space="preserve">el Estado ha </w:t>
      </w:r>
      <w:r w:rsidR="00266805">
        <w:rPr>
          <w:rFonts w:ascii="Verdana" w:hAnsi="Verdana"/>
          <w:sz w:val="20"/>
          <w:szCs w:val="20"/>
          <w:lang w:val="es-ES"/>
        </w:rPr>
        <w:t>cumplido parcialmente la medida de eliminación de antecedentes penales con relación a los hechos del presente caso en favor del señor García Cruz</w:t>
      </w:r>
      <w:r w:rsidR="00266805" w:rsidRPr="00131277">
        <w:rPr>
          <w:rFonts w:ascii="Verdana" w:hAnsi="Verdana"/>
          <w:sz w:val="20"/>
          <w:szCs w:val="20"/>
          <w:lang w:val="es-ES"/>
        </w:rPr>
        <w:t>,</w:t>
      </w:r>
      <w:r w:rsidR="00266805">
        <w:rPr>
          <w:rFonts w:ascii="Verdana" w:hAnsi="Verdana"/>
          <w:sz w:val="20"/>
          <w:szCs w:val="20"/>
          <w:lang w:val="es-ES"/>
        </w:rPr>
        <w:t xml:space="preserve"> quedando pendiente la supervisión la ejecución de esta medida en favor del señor Sánchez Silvestre</w:t>
      </w:r>
      <w:r w:rsidR="00266805" w:rsidRPr="00131277">
        <w:rPr>
          <w:rFonts w:ascii="Verdana" w:hAnsi="Verdana"/>
          <w:sz w:val="20"/>
          <w:szCs w:val="20"/>
          <w:lang w:val="es-ES"/>
        </w:rPr>
        <w:t xml:space="preserve"> según fue ordenado en el punto </w:t>
      </w:r>
      <w:r w:rsidR="00266805" w:rsidRPr="00131277">
        <w:rPr>
          <w:rFonts w:ascii="Verdana" w:hAnsi="Verdana"/>
          <w:sz w:val="20"/>
        </w:rPr>
        <w:t>dispositivo sexto inciso</w:t>
      </w:r>
      <w:r w:rsidR="00266805">
        <w:rPr>
          <w:rFonts w:ascii="Verdana" w:hAnsi="Verdana"/>
          <w:sz w:val="20"/>
        </w:rPr>
        <w:t xml:space="preserve"> b</w:t>
      </w:r>
      <w:r w:rsidR="00266805" w:rsidRPr="00131277">
        <w:rPr>
          <w:rFonts w:ascii="Verdana" w:hAnsi="Verdana"/>
          <w:sz w:val="20"/>
        </w:rPr>
        <w:t xml:space="preserve">) y </w:t>
      </w:r>
      <w:r w:rsidR="00266805">
        <w:rPr>
          <w:rFonts w:ascii="Verdana" w:hAnsi="Verdana"/>
          <w:sz w:val="20"/>
        </w:rPr>
        <w:t>los párrafos 72 a 73</w:t>
      </w:r>
      <w:r w:rsidR="00266805" w:rsidRPr="00131277">
        <w:rPr>
          <w:rFonts w:ascii="Verdana" w:hAnsi="Verdana"/>
          <w:sz w:val="20"/>
          <w:szCs w:val="20"/>
          <w:lang w:val="es-ES"/>
        </w:rPr>
        <w:t xml:space="preserve"> de la Sentenc</w:t>
      </w:r>
      <w:r w:rsidR="00266805">
        <w:rPr>
          <w:rFonts w:ascii="Verdana" w:hAnsi="Verdana"/>
          <w:sz w:val="20"/>
          <w:szCs w:val="20"/>
          <w:lang w:val="es-ES"/>
        </w:rPr>
        <w:t xml:space="preserve">ia. </w:t>
      </w:r>
    </w:p>
    <w:p w14:paraId="2ED5EACA" w14:textId="77777777" w:rsidR="00266805" w:rsidRPr="00693DC5" w:rsidRDefault="00266805" w:rsidP="00266805">
      <w:pPr>
        <w:spacing w:after="0" w:line="240" w:lineRule="auto"/>
        <w:jc w:val="both"/>
        <w:rPr>
          <w:rFonts w:ascii="Verdana" w:hAnsi="Verdana"/>
          <w:b/>
          <w:sz w:val="20"/>
        </w:rPr>
      </w:pPr>
    </w:p>
    <w:p w14:paraId="7102F1EE" w14:textId="68B5AF92" w:rsidR="00F6706E" w:rsidRPr="00693DC5" w:rsidRDefault="00DB385A" w:rsidP="00A4635E">
      <w:pPr>
        <w:numPr>
          <w:ilvl w:val="0"/>
          <w:numId w:val="11"/>
        </w:numPr>
        <w:spacing w:after="0" w:line="240" w:lineRule="auto"/>
        <w:ind w:left="0" w:hanging="11"/>
        <w:jc w:val="both"/>
        <w:rPr>
          <w:rFonts w:ascii="Verdana" w:hAnsi="Verdana"/>
          <w:b/>
          <w:sz w:val="20"/>
        </w:rPr>
      </w:pPr>
      <w:r w:rsidRPr="00A24AFF">
        <w:rPr>
          <w:rFonts w:ascii="Verdana" w:hAnsi="Verdana"/>
          <w:sz w:val="20"/>
        </w:rPr>
        <w:t xml:space="preserve">Declarar, de conformidad con lo señalado en los </w:t>
      </w:r>
      <w:r w:rsidRPr="00307259">
        <w:rPr>
          <w:rFonts w:ascii="Verdana" w:hAnsi="Verdana"/>
          <w:sz w:val="20"/>
        </w:rPr>
        <w:t xml:space="preserve">Considerandos </w:t>
      </w:r>
      <w:r w:rsidR="00DC514D">
        <w:rPr>
          <w:rFonts w:ascii="Verdana" w:hAnsi="Verdana"/>
          <w:sz w:val="20"/>
        </w:rPr>
        <w:t>18 a 24</w:t>
      </w:r>
      <w:r w:rsidRPr="00307259">
        <w:rPr>
          <w:rFonts w:ascii="Verdana" w:hAnsi="Verdana"/>
          <w:sz w:val="20"/>
        </w:rPr>
        <w:t xml:space="preserve"> de la presente</w:t>
      </w:r>
      <w:r w:rsidRPr="00A24AFF">
        <w:rPr>
          <w:rFonts w:ascii="Verdana" w:hAnsi="Verdana"/>
          <w:sz w:val="20"/>
        </w:rPr>
        <w:t xml:space="preserve"> Resolución, que el Estado</w:t>
      </w:r>
      <w:r w:rsidR="002E6D42" w:rsidRPr="00A24AFF">
        <w:rPr>
          <w:rFonts w:ascii="Verdana" w:hAnsi="Verdana"/>
          <w:sz w:val="20"/>
        </w:rPr>
        <w:t xml:space="preserve"> </w:t>
      </w:r>
      <w:r w:rsidR="002E6D42" w:rsidRPr="00A24AFF">
        <w:rPr>
          <w:rFonts w:ascii="Verdana" w:hAnsi="Verdana"/>
          <w:sz w:val="20"/>
          <w:szCs w:val="20"/>
          <w:lang w:val="es-ES"/>
        </w:rPr>
        <w:t xml:space="preserve">ha venido dando cumplimiento a las medidas de reparación relativas a </w:t>
      </w:r>
      <w:r w:rsidR="00F6706E" w:rsidRPr="00A24AFF">
        <w:rPr>
          <w:rFonts w:ascii="Verdana" w:hAnsi="Verdana"/>
          <w:sz w:val="20"/>
          <w:szCs w:val="20"/>
          <w:lang w:val="es-ES"/>
        </w:rPr>
        <w:t xml:space="preserve">otorgar atención médica y psicológica de los señores García Cruz y Sánchez Silvestre y atención medica de la esposa del señor Sánchez Silvestre </w:t>
      </w:r>
      <w:r w:rsidR="00F6706E" w:rsidRPr="00A24AFF">
        <w:rPr>
          <w:rFonts w:ascii="Verdana" w:hAnsi="Verdana"/>
          <w:sz w:val="20"/>
        </w:rPr>
        <w:t>(punto dispositivo sexto incisos c) y d) de la Sentencia)</w:t>
      </w:r>
      <w:r w:rsidR="00A24AFF" w:rsidRPr="00A24AFF">
        <w:rPr>
          <w:rFonts w:ascii="Verdana" w:hAnsi="Verdana"/>
          <w:sz w:val="20"/>
        </w:rPr>
        <w:t>.</w:t>
      </w:r>
    </w:p>
    <w:p w14:paraId="19083E69" w14:textId="77777777" w:rsidR="00693DC5" w:rsidRDefault="00693DC5" w:rsidP="00A4635E">
      <w:pPr>
        <w:pStyle w:val="ListParagraph"/>
        <w:spacing w:after="0" w:line="240" w:lineRule="auto"/>
        <w:rPr>
          <w:rFonts w:ascii="Verdana" w:hAnsi="Verdana"/>
          <w:b/>
          <w:sz w:val="20"/>
        </w:rPr>
      </w:pPr>
    </w:p>
    <w:p w14:paraId="6C4F11CA" w14:textId="0CA28FFA" w:rsidR="00661E3D" w:rsidRDefault="00693DC5" w:rsidP="00661E3D">
      <w:pPr>
        <w:numPr>
          <w:ilvl w:val="0"/>
          <w:numId w:val="11"/>
        </w:numPr>
        <w:spacing w:after="0" w:line="240" w:lineRule="auto"/>
        <w:ind w:left="0" w:hanging="11"/>
        <w:jc w:val="both"/>
        <w:rPr>
          <w:rFonts w:ascii="Verdana" w:hAnsi="Verdana"/>
          <w:b/>
          <w:sz w:val="20"/>
        </w:rPr>
      </w:pPr>
      <w:r w:rsidRPr="00DF7E56">
        <w:rPr>
          <w:rFonts w:ascii="Verdana" w:hAnsi="Verdana"/>
          <w:sz w:val="20"/>
        </w:rPr>
        <w:t xml:space="preserve">Declarar, de conformidad con lo señalado en los Considerandos </w:t>
      </w:r>
      <w:r w:rsidR="009019BD">
        <w:rPr>
          <w:rFonts w:ascii="Verdana" w:hAnsi="Verdana"/>
          <w:sz w:val="20"/>
        </w:rPr>
        <w:t xml:space="preserve">38 a </w:t>
      </w:r>
      <w:r w:rsidR="00DC514D">
        <w:rPr>
          <w:rFonts w:ascii="Verdana" w:hAnsi="Verdana"/>
          <w:sz w:val="20"/>
        </w:rPr>
        <w:t>43</w:t>
      </w:r>
      <w:r w:rsidRPr="00DF7E56">
        <w:rPr>
          <w:rFonts w:ascii="Verdana" w:hAnsi="Verdana"/>
          <w:sz w:val="20"/>
        </w:rPr>
        <w:t xml:space="preserve"> de la presente Resolución, que el Estado ha venido</w:t>
      </w:r>
      <w:r w:rsidRPr="00DF7E56">
        <w:rPr>
          <w:rFonts w:ascii="Verdana" w:hAnsi="Verdana"/>
          <w:color w:val="000000" w:themeColor="text1"/>
          <w:sz w:val="20"/>
          <w:szCs w:val="20"/>
        </w:rPr>
        <w:t xml:space="preserve"> realizando gestiones para dar cumplimiento a la medida de reparación relativa a </w:t>
      </w:r>
      <w:r w:rsidRPr="00DF7E56">
        <w:rPr>
          <w:rFonts w:ascii="Verdana" w:hAnsi="Verdana"/>
          <w:sz w:val="20"/>
          <w:szCs w:val="20"/>
        </w:rPr>
        <w:t>entregar en propiedad una vivienda en el Distrito</w:t>
      </w:r>
      <w:r w:rsidRPr="00DF7E56">
        <w:rPr>
          <w:rFonts w:ascii="Verdana" w:hAnsi="Verdana"/>
          <w:sz w:val="20"/>
          <w:szCs w:val="20"/>
          <w:lang w:val="es-ES"/>
        </w:rPr>
        <w:t xml:space="preserve"> Federal a cada víctima a través del INVI, según fue ordenado en el punto dispositivo sexto inciso i) y los párrafos 79 y 80 de la Sentencia</w:t>
      </w:r>
      <w:r w:rsidRPr="00DF7E56">
        <w:rPr>
          <w:rFonts w:ascii="Verdana" w:hAnsi="Verdana"/>
          <w:sz w:val="20"/>
        </w:rPr>
        <w:t>.</w:t>
      </w:r>
    </w:p>
    <w:p w14:paraId="2A537FA7" w14:textId="77777777" w:rsidR="004C5CA0" w:rsidRPr="004C5CA0" w:rsidRDefault="004C5CA0" w:rsidP="004C5CA0">
      <w:pPr>
        <w:spacing w:after="0" w:line="240" w:lineRule="auto"/>
        <w:jc w:val="both"/>
        <w:rPr>
          <w:rFonts w:ascii="Verdana" w:hAnsi="Verdana"/>
          <w:b/>
          <w:sz w:val="20"/>
        </w:rPr>
      </w:pPr>
    </w:p>
    <w:p w14:paraId="61C4CBAF" w14:textId="77777777" w:rsidR="00DB385A" w:rsidRPr="00DF7E56" w:rsidRDefault="00DB385A" w:rsidP="00A4635E">
      <w:pPr>
        <w:numPr>
          <w:ilvl w:val="0"/>
          <w:numId w:val="11"/>
        </w:numPr>
        <w:spacing w:after="0" w:line="240" w:lineRule="auto"/>
        <w:ind w:left="0" w:hanging="11"/>
        <w:jc w:val="both"/>
        <w:rPr>
          <w:rFonts w:ascii="Verdana" w:hAnsi="Verdana"/>
          <w:b/>
          <w:sz w:val="20"/>
        </w:rPr>
      </w:pPr>
      <w:r w:rsidRPr="00DF7E56">
        <w:rPr>
          <w:rFonts w:ascii="Verdana" w:hAnsi="Verdana"/>
          <w:sz w:val="20"/>
        </w:rPr>
        <w:t>Mantener abierto el procedimiento de supervisión de cumplimiento respecto de las medidas de reparación pendientes ordenadas en la Sentencia, de conformidad con lo señalado en los Considera</w:t>
      </w:r>
      <w:r w:rsidR="009019BD">
        <w:rPr>
          <w:rFonts w:ascii="Verdana" w:hAnsi="Verdana"/>
          <w:sz w:val="20"/>
        </w:rPr>
        <w:t>n</w:t>
      </w:r>
      <w:r w:rsidRPr="00DF7E56">
        <w:rPr>
          <w:rFonts w:ascii="Verdana" w:hAnsi="Verdana"/>
          <w:sz w:val="20"/>
        </w:rPr>
        <w:t>dos de la pre</w:t>
      </w:r>
      <w:r w:rsidR="007E3438" w:rsidRPr="00DF7E56">
        <w:rPr>
          <w:rFonts w:ascii="Verdana" w:hAnsi="Verdana"/>
          <w:sz w:val="20"/>
        </w:rPr>
        <w:t>sente Resolución:</w:t>
      </w:r>
      <w:r w:rsidRPr="00DF7E56">
        <w:rPr>
          <w:rFonts w:ascii="Verdana" w:hAnsi="Verdana"/>
          <w:sz w:val="20"/>
        </w:rPr>
        <w:t xml:space="preserve"> </w:t>
      </w:r>
    </w:p>
    <w:p w14:paraId="55C6F52E" w14:textId="77777777" w:rsidR="005406DF" w:rsidRPr="00DF7E56" w:rsidRDefault="005406DF" w:rsidP="00A4635E">
      <w:pPr>
        <w:spacing w:after="0" w:line="240" w:lineRule="auto"/>
        <w:jc w:val="both"/>
        <w:rPr>
          <w:rFonts w:ascii="Verdana" w:hAnsi="Verdana"/>
          <w:b/>
          <w:sz w:val="20"/>
        </w:rPr>
      </w:pPr>
    </w:p>
    <w:p w14:paraId="4CB8C22C" w14:textId="77777777" w:rsidR="007E3438" w:rsidRPr="00590CE4" w:rsidRDefault="007E3438" w:rsidP="00661E3D">
      <w:pPr>
        <w:pStyle w:val="ListParagraph"/>
        <w:numPr>
          <w:ilvl w:val="0"/>
          <w:numId w:val="36"/>
        </w:numPr>
        <w:spacing w:after="0" w:line="240" w:lineRule="auto"/>
        <w:jc w:val="both"/>
        <w:rPr>
          <w:rFonts w:ascii="Verdana" w:hAnsi="Verdana"/>
          <w:sz w:val="20"/>
          <w:szCs w:val="20"/>
          <w:lang w:val="es-ES"/>
        </w:rPr>
      </w:pPr>
      <w:r w:rsidRPr="00590CE4">
        <w:rPr>
          <w:rFonts w:ascii="Verdana" w:hAnsi="Verdana"/>
          <w:sz w:val="20"/>
          <w:szCs w:val="20"/>
        </w:rPr>
        <w:t>realizar y proseguir de modo diligente todas las investigaciones y actuaciones necesarias para deslindar responsabilidades y, en su caso, sancionar la</w:t>
      </w:r>
      <w:r w:rsidR="00877F85">
        <w:rPr>
          <w:rFonts w:ascii="Verdana" w:hAnsi="Verdana"/>
          <w:sz w:val="20"/>
          <w:szCs w:val="20"/>
        </w:rPr>
        <w:t xml:space="preserve"> comisión del delito de tortura</w:t>
      </w:r>
      <w:r w:rsidRPr="00590CE4">
        <w:rPr>
          <w:rFonts w:ascii="Verdana" w:hAnsi="Verdana"/>
          <w:sz w:val="20"/>
          <w:szCs w:val="20"/>
        </w:rPr>
        <w:t>, en perjuicio de los señores García Cruz y Sánchez Silvestre</w:t>
      </w:r>
      <w:r w:rsidR="00814DF0" w:rsidRPr="00590CE4">
        <w:rPr>
          <w:rFonts w:ascii="Verdana" w:hAnsi="Verdana"/>
          <w:sz w:val="20"/>
          <w:szCs w:val="20"/>
        </w:rPr>
        <w:t xml:space="preserve"> (</w:t>
      </w:r>
      <w:r w:rsidR="00814DF0" w:rsidRPr="00590CE4">
        <w:rPr>
          <w:rFonts w:ascii="Verdana" w:hAnsi="Verdana"/>
          <w:i/>
          <w:sz w:val="20"/>
          <w:szCs w:val="20"/>
        </w:rPr>
        <w:t>punto dispositivo sexto inciso a</w:t>
      </w:r>
      <w:r w:rsidR="009019BD">
        <w:rPr>
          <w:rFonts w:ascii="Verdana" w:hAnsi="Verdana"/>
          <w:i/>
          <w:sz w:val="20"/>
          <w:szCs w:val="20"/>
        </w:rPr>
        <w:t>)</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66FDF15E" w14:textId="77777777" w:rsidR="007E3438" w:rsidRPr="00590CE4" w:rsidRDefault="007E3438" w:rsidP="00661E3D">
      <w:pPr>
        <w:pStyle w:val="ListParagraph"/>
        <w:numPr>
          <w:ilvl w:val="0"/>
          <w:numId w:val="36"/>
        </w:numPr>
        <w:spacing w:after="0" w:line="240" w:lineRule="auto"/>
        <w:jc w:val="both"/>
        <w:rPr>
          <w:rFonts w:ascii="Verdana" w:hAnsi="Verdana"/>
          <w:sz w:val="20"/>
          <w:szCs w:val="20"/>
          <w:lang w:val="es-ES"/>
        </w:rPr>
      </w:pPr>
      <w:r w:rsidRPr="00590CE4">
        <w:rPr>
          <w:rFonts w:ascii="Verdana" w:hAnsi="Verdana"/>
          <w:sz w:val="20"/>
          <w:szCs w:val="20"/>
        </w:rPr>
        <w:t>eliminar los antecedentes penales que pudiesen existir en contra de</w:t>
      </w:r>
      <w:r w:rsidR="009267C6">
        <w:rPr>
          <w:rFonts w:ascii="Verdana" w:hAnsi="Verdana"/>
          <w:sz w:val="20"/>
          <w:szCs w:val="20"/>
        </w:rPr>
        <w:t xml:space="preserve">l </w:t>
      </w:r>
      <w:r w:rsidRPr="00590CE4">
        <w:rPr>
          <w:rFonts w:ascii="Verdana" w:hAnsi="Verdana"/>
          <w:sz w:val="20"/>
          <w:szCs w:val="20"/>
        </w:rPr>
        <w:t>señor Sánchez Silvestre, en relación con los hechos del caso</w:t>
      </w:r>
      <w:r w:rsidR="00814DF0" w:rsidRPr="00590CE4">
        <w:rPr>
          <w:rFonts w:ascii="Verdana" w:hAnsi="Verdana"/>
          <w:sz w:val="20"/>
          <w:szCs w:val="20"/>
        </w:rPr>
        <w:t xml:space="preserve"> (</w:t>
      </w:r>
      <w:r w:rsidR="00814DF0" w:rsidRPr="00590CE4">
        <w:rPr>
          <w:rFonts w:ascii="Verdana" w:hAnsi="Verdana"/>
          <w:i/>
          <w:sz w:val="20"/>
          <w:szCs w:val="20"/>
        </w:rPr>
        <w:t>punto dispositivo sexto inciso b</w:t>
      </w:r>
      <w:r w:rsidR="009019BD">
        <w:rPr>
          <w:rFonts w:ascii="Verdana" w:hAnsi="Verdana"/>
          <w:i/>
          <w:sz w:val="20"/>
          <w:szCs w:val="20"/>
        </w:rPr>
        <w:t>)</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372185C1" w14:textId="77777777" w:rsidR="007E3438" w:rsidRPr="00590CE4" w:rsidRDefault="007E3438" w:rsidP="00661E3D">
      <w:pPr>
        <w:pStyle w:val="ListParagraph"/>
        <w:numPr>
          <w:ilvl w:val="0"/>
          <w:numId w:val="36"/>
        </w:numPr>
        <w:spacing w:after="0" w:line="240" w:lineRule="auto"/>
        <w:jc w:val="both"/>
        <w:rPr>
          <w:rFonts w:ascii="Verdana" w:hAnsi="Verdana"/>
          <w:sz w:val="20"/>
          <w:szCs w:val="20"/>
          <w:lang w:val="es-ES"/>
        </w:rPr>
      </w:pPr>
      <w:r w:rsidRPr="00590CE4">
        <w:rPr>
          <w:rFonts w:ascii="Verdana" w:hAnsi="Verdana"/>
          <w:sz w:val="20"/>
          <w:szCs w:val="20"/>
        </w:rPr>
        <w:t>otorgar a las víctimas atención médica preferencial y gratuita a través del “Programa de Acceso Gratuito a los Servicios Médicos y Medicamentos a las Personas Residentes en el Distrito Federal que Carecen de Seguridad Social Laboral” y brindarles atención psicológica a través de la “Procuraduría Social de Atención a las Víctimas de Delitos”, en sus domicilios o en las instalaciones del Centro de Atención a Víctimas y Ofendidos más cercana al mismo, a elección de las víctimas</w:t>
      </w:r>
      <w:r w:rsidR="00814DF0" w:rsidRPr="00590CE4">
        <w:rPr>
          <w:rFonts w:ascii="Verdana" w:hAnsi="Verdana"/>
          <w:sz w:val="20"/>
          <w:szCs w:val="20"/>
        </w:rPr>
        <w:t xml:space="preserve"> (</w:t>
      </w:r>
      <w:r w:rsidR="00814DF0" w:rsidRPr="00590CE4">
        <w:rPr>
          <w:rFonts w:ascii="Verdana" w:hAnsi="Verdana"/>
          <w:i/>
          <w:sz w:val="20"/>
          <w:szCs w:val="20"/>
        </w:rPr>
        <w:t>punto dispositivo sexto inciso c</w:t>
      </w:r>
      <w:r w:rsidR="009019BD">
        <w:rPr>
          <w:rFonts w:ascii="Verdana" w:hAnsi="Verdana"/>
          <w:i/>
          <w:sz w:val="20"/>
          <w:szCs w:val="20"/>
        </w:rPr>
        <w:t>)</w:t>
      </w:r>
      <w:r w:rsidR="00877F85">
        <w:rPr>
          <w:rFonts w:ascii="Verdana" w:hAnsi="Verdana"/>
          <w:i/>
          <w:sz w:val="20"/>
          <w:szCs w:val="20"/>
        </w:rPr>
        <w:t xml:space="preserve"> de la Sentencia</w:t>
      </w:r>
      <w:r w:rsidR="00814DF0" w:rsidRPr="00590CE4">
        <w:rPr>
          <w:rFonts w:ascii="Verdana" w:hAnsi="Verdana"/>
          <w:sz w:val="20"/>
          <w:szCs w:val="20"/>
        </w:rPr>
        <w:t>)</w:t>
      </w:r>
      <w:r w:rsidRPr="00590CE4">
        <w:rPr>
          <w:rFonts w:ascii="Verdana" w:hAnsi="Verdana"/>
          <w:sz w:val="20"/>
          <w:szCs w:val="20"/>
        </w:rPr>
        <w:t xml:space="preserve">; </w:t>
      </w:r>
    </w:p>
    <w:p w14:paraId="1C151874" w14:textId="77777777" w:rsidR="007E3438" w:rsidRPr="00404F16" w:rsidRDefault="007E3438" w:rsidP="00661E3D">
      <w:pPr>
        <w:pStyle w:val="ListParagraph"/>
        <w:numPr>
          <w:ilvl w:val="0"/>
          <w:numId w:val="36"/>
        </w:numPr>
        <w:spacing w:after="0" w:line="240" w:lineRule="auto"/>
        <w:jc w:val="both"/>
        <w:rPr>
          <w:rFonts w:ascii="Verdana" w:hAnsi="Verdana"/>
          <w:sz w:val="20"/>
          <w:szCs w:val="20"/>
          <w:lang w:val="es-ES"/>
        </w:rPr>
      </w:pPr>
      <w:r w:rsidRPr="00590CE4">
        <w:rPr>
          <w:rFonts w:ascii="Verdana" w:hAnsi="Verdana"/>
          <w:sz w:val="20"/>
          <w:szCs w:val="20"/>
        </w:rPr>
        <w:t>otorgar a la esposa del señor Sánchez Silvestre atención médica gratuita</w:t>
      </w:r>
      <w:r w:rsidR="00814DF0" w:rsidRPr="00590CE4">
        <w:rPr>
          <w:rFonts w:ascii="Verdana" w:hAnsi="Verdana"/>
          <w:sz w:val="20"/>
          <w:szCs w:val="20"/>
        </w:rPr>
        <w:t xml:space="preserve"> (</w:t>
      </w:r>
      <w:r w:rsidR="00814DF0" w:rsidRPr="00590CE4">
        <w:rPr>
          <w:rFonts w:ascii="Verdana" w:hAnsi="Verdana"/>
          <w:i/>
          <w:sz w:val="20"/>
          <w:szCs w:val="20"/>
        </w:rPr>
        <w:t>punto dispositivo sexto inciso d</w:t>
      </w:r>
      <w:r w:rsidR="009019BD">
        <w:rPr>
          <w:rFonts w:ascii="Verdana" w:hAnsi="Verdana"/>
          <w:i/>
          <w:sz w:val="20"/>
          <w:szCs w:val="20"/>
        </w:rPr>
        <w:t>)</w:t>
      </w:r>
      <w:r w:rsidR="00877F85">
        <w:rPr>
          <w:rFonts w:ascii="Verdana" w:hAnsi="Verdana"/>
          <w:i/>
          <w:sz w:val="20"/>
          <w:szCs w:val="20"/>
        </w:rPr>
        <w:t xml:space="preserve"> de la </w:t>
      </w:r>
      <w:r w:rsidR="00877F85" w:rsidRPr="00404F16">
        <w:rPr>
          <w:rFonts w:ascii="Verdana" w:hAnsi="Verdana"/>
          <w:i/>
          <w:sz w:val="20"/>
          <w:szCs w:val="20"/>
        </w:rPr>
        <w:t>Sentencia</w:t>
      </w:r>
      <w:r w:rsidR="00814DF0" w:rsidRPr="00404F16">
        <w:rPr>
          <w:rFonts w:ascii="Verdana" w:hAnsi="Verdana"/>
          <w:sz w:val="20"/>
          <w:szCs w:val="20"/>
        </w:rPr>
        <w:t>)</w:t>
      </w:r>
      <w:r w:rsidR="00661E3D" w:rsidRPr="00404F16">
        <w:rPr>
          <w:rFonts w:ascii="Verdana" w:hAnsi="Verdana"/>
          <w:sz w:val="20"/>
          <w:szCs w:val="20"/>
        </w:rPr>
        <w:t>, y</w:t>
      </w:r>
      <w:r w:rsidRPr="00404F16">
        <w:rPr>
          <w:rFonts w:ascii="Verdana" w:hAnsi="Verdana"/>
          <w:sz w:val="20"/>
          <w:szCs w:val="20"/>
        </w:rPr>
        <w:t xml:space="preserve"> </w:t>
      </w:r>
    </w:p>
    <w:p w14:paraId="7057DDB9" w14:textId="77777777" w:rsidR="007E3438" w:rsidRPr="00590CE4" w:rsidRDefault="007E3438" w:rsidP="00661E3D">
      <w:pPr>
        <w:pStyle w:val="ListParagraph"/>
        <w:numPr>
          <w:ilvl w:val="0"/>
          <w:numId w:val="36"/>
        </w:numPr>
        <w:spacing w:after="0" w:line="240" w:lineRule="auto"/>
        <w:jc w:val="both"/>
        <w:rPr>
          <w:rFonts w:ascii="Verdana" w:hAnsi="Verdana"/>
          <w:sz w:val="20"/>
          <w:szCs w:val="20"/>
          <w:lang w:val="es-ES"/>
        </w:rPr>
      </w:pPr>
      <w:r w:rsidRPr="00404F16">
        <w:rPr>
          <w:rFonts w:ascii="Verdana" w:hAnsi="Verdana"/>
          <w:sz w:val="20"/>
          <w:szCs w:val="20"/>
        </w:rPr>
        <w:t>entregar en propiedad una vivienda en el Distrito Federal a cada víctima, a través del “Programa de Vivienda Nueva en Conjunto</w:t>
      </w:r>
      <w:r w:rsidRPr="00590CE4">
        <w:rPr>
          <w:rFonts w:ascii="Verdana" w:hAnsi="Verdana"/>
          <w:sz w:val="20"/>
          <w:szCs w:val="20"/>
        </w:rPr>
        <w:t xml:space="preserve"> a cargo del Instituto de Vivienda del Distrito Federal”</w:t>
      </w:r>
      <w:r w:rsidR="00814DF0" w:rsidRPr="00590CE4">
        <w:rPr>
          <w:rFonts w:ascii="Verdana" w:hAnsi="Verdana"/>
          <w:sz w:val="20"/>
          <w:szCs w:val="20"/>
        </w:rPr>
        <w:t xml:space="preserve"> (</w:t>
      </w:r>
      <w:r w:rsidR="00814DF0" w:rsidRPr="00590CE4">
        <w:rPr>
          <w:rFonts w:ascii="Verdana" w:hAnsi="Verdana"/>
          <w:i/>
          <w:sz w:val="20"/>
          <w:szCs w:val="20"/>
        </w:rPr>
        <w:t>punto dispositivo sexto inciso i</w:t>
      </w:r>
      <w:r w:rsidR="009019BD">
        <w:rPr>
          <w:rFonts w:ascii="Verdana" w:hAnsi="Verdana"/>
          <w:i/>
          <w:sz w:val="20"/>
          <w:szCs w:val="20"/>
        </w:rPr>
        <w:t>)</w:t>
      </w:r>
      <w:r w:rsidR="00877F85">
        <w:rPr>
          <w:rFonts w:ascii="Verdana" w:hAnsi="Verdana"/>
          <w:i/>
          <w:sz w:val="20"/>
          <w:szCs w:val="20"/>
        </w:rPr>
        <w:t xml:space="preserve"> de la Sentencia</w:t>
      </w:r>
      <w:r w:rsidR="00814DF0" w:rsidRPr="00590CE4">
        <w:rPr>
          <w:rFonts w:ascii="Verdana" w:hAnsi="Verdana"/>
          <w:sz w:val="20"/>
          <w:szCs w:val="20"/>
        </w:rPr>
        <w:t>)</w:t>
      </w:r>
      <w:r w:rsidR="00661E3D">
        <w:rPr>
          <w:rFonts w:ascii="Verdana" w:hAnsi="Verdana"/>
          <w:sz w:val="20"/>
          <w:szCs w:val="20"/>
        </w:rPr>
        <w:t>.</w:t>
      </w:r>
      <w:r w:rsidRPr="00590CE4">
        <w:rPr>
          <w:rFonts w:ascii="Verdana" w:hAnsi="Verdana"/>
          <w:sz w:val="20"/>
          <w:szCs w:val="20"/>
        </w:rPr>
        <w:t xml:space="preserve"> </w:t>
      </w:r>
    </w:p>
    <w:p w14:paraId="75E1FC43" w14:textId="77777777" w:rsidR="007E3438" w:rsidRPr="00DF7E56" w:rsidRDefault="007E3438" w:rsidP="00A4635E">
      <w:pPr>
        <w:pStyle w:val="ListParagraph"/>
        <w:spacing w:after="0" w:line="240" w:lineRule="auto"/>
        <w:jc w:val="both"/>
        <w:rPr>
          <w:rFonts w:ascii="Verdana" w:hAnsi="Verdana"/>
          <w:sz w:val="20"/>
          <w:lang w:val="es-ES"/>
        </w:rPr>
      </w:pPr>
    </w:p>
    <w:p w14:paraId="7997927E" w14:textId="5C862926" w:rsidR="0020252B" w:rsidRPr="00307259" w:rsidRDefault="0020252B" w:rsidP="00A4635E">
      <w:pPr>
        <w:numPr>
          <w:ilvl w:val="0"/>
          <w:numId w:val="11"/>
        </w:numPr>
        <w:tabs>
          <w:tab w:val="left" w:pos="567"/>
          <w:tab w:val="left" w:pos="851"/>
        </w:tabs>
        <w:spacing w:after="0" w:line="240" w:lineRule="auto"/>
        <w:ind w:left="0" w:hanging="11"/>
        <w:jc w:val="both"/>
        <w:rPr>
          <w:rFonts w:ascii="Verdana" w:hAnsi="Verdana"/>
          <w:sz w:val="20"/>
          <w:lang w:val="es-ES"/>
        </w:rPr>
      </w:pPr>
      <w:r w:rsidRPr="00307259">
        <w:rPr>
          <w:rFonts w:ascii="Verdana" w:hAnsi="Verdana"/>
          <w:sz w:val="20"/>
          <w:lang w:val="es-ES"/>
        </w:rPr>
        <w:t>Requerir a</w:t>
      </w:r>
      <w:r w:rsidR="009267C6" w:rsidRPr="00307259">
        <w:rPr>
          <w:rFonts w:ascii="Verdana" w:hAnsi="Verdana"/>
          <w:sz w:val="20"/>
          <w:lang w:val="es-ES"/>
        </w:rPr>
        <w:t>l Estado y</w:t>
      </w:r>
      <w:r w:rsidRPr="00307259">
        <w:rPr>
          <w:rFonts w:ascii="Verdana" w:hAnsi="Verdana"/>
          <w:sz w:val="20"/>
          <w:lang w:val="es-ES"/>
        </w:rPr>
        <w:t xml:space="preserve"> los representantes de las víctimas que</w:t>
      </w:r>
      <w:r w:rsidR="00002984" w:rsidRPr="00307259">
        <w:rPr>
          <w:rFonts w:ascii="Verdana" w:hAnsi="Verdana"/>
          <w:sz w:val="20"/>
          <w:lang w:val="es-ES"/>
        </w:rPr>
        <w:t xml:space="preserve">, </w:t>
      </w:r>
      <w:r w:rsidR="00307259" w:rsidRPr="00307259">
        <w:rPr>
          <w:rFonts w:ascii="Verdana" w:hAnsi="Verdana"/>
          <w:sz w:val="20"/>
          <w:lang w:val="es-ES"/>
        </w:rPr>
        <w:t xml:space="preserve">a más tardar el </w:t>
      </w:r>
      <w:r w:rsidR="006029E1">
        <w:rPr>
          <w:rFonts w:ascii="Verdana" w:hAnsi="Verdana"/>
          <w:sz w:val="20"/>
          <w:lang w:val="es-ES"/>
        </w:rPr>
        <w:t>28</w:t>
      </w:r>
      <w:r w:rsidR="00307259" w:rsidRPr="00307259">
        <w:rPr>
          <w:rFonts w:ascii="Verdana" w:hAnsi="Verdana"/>
          <w:sz w:val="20"/>
          <w:lang w:val="es-ES"/>
        </w:rPr>
        <w:t xml:space="preserve"> de </w:t>
      </w:r>
      <w:r w:rsidR="006029E1">
        <w:rPr>
          <w:rFonts w:ascii="Verdana" w:hAnsi="Verdana"/>
          <w:sz w:val="20"/>
          <w:lang w:val="es-ES"/>
        </w:rPr>
        <w:t>enero</w:t>
      </w:r>
      <w:r w:rsidR="00307259" w:rsidRPr="00307259">
        <w:rPr>
          <w:rFonts w:ascii="Verdana" w:hAnsi="Verdana"/>
          <w:sz w:val="20"/>
          <w:lang w:val="es-ES"/>
        </w:rPr>
        <w:t xml:space="preserve"> de 201</w:t>
      </w:r>
      <w:r w:rsidR="009019BD">
        <w:rPr>
          <w:rFonts w:ascii="Verdana" w:hAnsi="Verdana"/>
          <w:sz w:val="20"/>
          <w:lang w:val="es-ES"/>
        </w:rPr>
        <w:t>9</w:t>
      </w:r>
      <w:r w:rsidR="00002984" w:rsidRPr="00307259">
        <w:rPr>
          <w:rFonts w:ascii="Verdana" w:hAnsi="Verdana"/>
          <w:sz w:val="20"/>
          <w:lang w:val="es-ES"/>
        </w:rPr>
        <w:t>,</w:t>
      </w:r>
      <w:r w:rsidRPr="00307259">
        <w:rPr>
          <w:rFonts w:ascii="Verdana" w:hAnsi="Verdana"/>
          <w:sz w:val="20"/>
          <w:lang w:val="es-ES"/>
        </w:rPr>
        <w:t xml:space="preserve"> presenten </w:t>
      </w:r>
      <w:r w:rsidR="009267C6" w:rsidRPr="00307259">
        <w:rPr>
          <w:rFonts w:ascii="Verdana" w:hAnsi="Verdana"/>
          <w:sz w:val="20"/>
          <w:lang w:val="es-ES"/>
        </w:rPr>
        <w:t xml:space="preserve">la información requerida en </w:t>
      </w:r>
      <w:r w:rsidR="00002984" w:rsidRPr="00307259">
        <w:rPr>
          <w:rFonts w:ascii="Verdana" w:hAnsi="Verdana"/>
          <w:sz w:val="20"/>
          <w:lang w:val="es-ES"/>
        </w:rPr>
        <w:t>l</w:t>
      </w:r>
      <w:r w:rsidR="009267C6" w:rsidRPr="00307259">
        <w:rPr>
          <w:rFonts w:ascii="Verdana" w:hAnsi="Verdana"/>
          <w:sz w:val="20"/>
          <w:lang w:val="es-ES"/>
        </w:rPr>
        <w:t>os</w:t>
      </w:r>
      <w:r w:rsidR="00002984" w:rsidRPr="00307259">
        <w:rPr>
          <w:rFonts w:ascii="Verdana" w:hAnsi="Verdana"/>
          <w:sz w:val="20"/>
          <w:lang w:val="es-ES"/>
        </w:rPr>
        <w:t xml:space="preserve"> </w:t>
      </w:r>
      <w:r w:rsidRPr="00307259">
        <w:rPr>
          <w:rFonts w:ascii="Verdana" w:hAnsi="Verdana"/>
          <w:sz w:val="20"/>
          <w:lang w:val="es-ES"/>
        </w:rPr>
        <w:t>Considerando</w:t>
      </w:r>
      <w:r w:rsidR="009267C6" w:rsidRPr="00307259">
        <w:rPr>
          <w:rFonts w:ascii="Verdana" w:hAnsi="Verdana"/>
          <w:sz w:val="20"/>
          <w:lang w:val="es-ES"/>
        </w:rPr>
        <w:t>s</w:t>
      </w:r>
      <w:r w:rsidRPr="00307259">
        <w:rPr>
          <w:rFonts w:ascii="Verdana" w:hAnsi="Verdana"/>
          <w:sz w:val="20"/>
          <w:lang w:val="es-ES"/>
        </w:rPr>
        <w:t xml:space="preserve"> </w:t>
      </w:r>
      <w:r w:rsidR="00595D2B">
        <w:rPr>
          <w:rFonts w:ascii="Verdana" w:hAnsi="Verdana"/>
          <w:sz w:val="20"/>
          <w:lang w:val="es-ES"/>
        </w:rPr>
        <w:t>23 y 42</w:t>
      </w:r>
      <w:r w:rsidR="009267C6" w:rsidRPr="00307259">
        <w:rPr>
          <w:rFonts w:ascii="Verdana" w:hAnsi="Verdana"/>
          <w:sz w:val="20"/>
          <w:lang w:val="es-ES"/>
        </w:rPr>
        <w:t xml:space="preserve"> </w:t>
      </w:r>
      <w:r w:rsidRPr="00307259">
        <w:rPr>
          <w:rFonts w:ascii="Verdana" w:hAnsi="Verdana"/>
          <w:sz w:val="20"/>
          <w:lang w:val="es-ES"/>
        </w:rPr>
        <w:t>de la presente Resolución</w:t>
      </w:r>
      <w:r w:rsidR="00002984" w:rsidRPr="00307259">
        <w:rPr>
          <w:rFonts w:ascii="Verdana" w:hAnsi="Verdana"/>
          <w:sz w:val="20"/>
          <w:lang w:val="es-ES"/>
        </w:rPr>
        <w:t xml:space="preserve"> sobre </w:t>
      </w:r>
      <w:r w:rsidR="00C823B5" w:rsidRPr="00307259">
        <w:rPr>
          <w:rFonts w:ascii="Verdana" w:hAnsi="Verdana"/>
          <w:sz w:val="20"/>
          <w:lang w:val="es-ES"/>
        </w:rPr>
        <w:t xml:space="preserve">la </w:t>
      </w:r>
      <w:r w:rsidR="00C823B5" w:rsidRPr="00307259">
        <w:rPr>
          <w:rFonts w:ascii="Verdana" w:hAnsi="Verdana"/>
          <w:sz w:val="20"/>
          <w:szCs w:val="20"/>
          <w:lang w:val="es-ES"/>
        </w:rPr>
        <w:t xml:space="preserve">búsqueda de los mecanismos más eficaces para localizar a las víctimas y a la </w:t>
      </w:r>
      <w:r w:rsidR="00C823B5" w:rsidRPr="00307259">
        <w:rPr>
          <w:rFonts w:ascii="Verdana" w:hAnsi="Verdana"/>
          <w:color w:val="000000" w:themeColor="text1"/>
          <w:sz w:val="20"/>
          <w:szCs w:val="20"/>
        </w:rPr>
        <w:t>esposa del señor Sánchez Silvestre</w:t>
      </w:r>
      <w:r w:rsidR="00C823B5" w:rsidRPr="00307259">
        <w:rPr>
          <w:rFonts w:ascii="Verdana" w:hAnsi="Verdana"/>
          <w:sz w:val="20"/>
          <w:lang w:val="es-ES"/>
        </w:rPr>
        <w:t xml:space="preserve"> y conocer su voluntad de que se ejecuten </w:t>
      </w:r>
      <w:r w:rsidR="00C823B5" w:rsidRPr="00307259">
        <w:rPr>
          <w:rFonts w:ascii="Verdana" w:hAnsi="Verdana"/>
          <w:sz w:val="20"/>
          <w:lang w:val="es-ES"/>
        </w:rPr>
        <w:lastRenderedPageBreak/>
        <w:t xml:space="preserve">a su favor </w:t>
      </w:r>
      <w:r w:rsidR="00002984" w:rsidRPr="00307259">
        <w:rPr>
          <w:rFonts w:ascii="Verdana" w:hAnsi="Verdana"/>
          <w:sz w:val="20"/>
          <w:lang w:val="es-ES"/>
        </w:rPr>
        <w:t>la</w:t>
      </w:r>
      <w:r w:rsidR="009267C6" w:rsidRPr="00307259">
        <w:rPr>
          <w:rFonts w:ascii="Verdana" w:hAnsi="Verdana"/>
          <w:sz w:val="20"/>
          <w:lang w:val="es-ES"/>
        </w:rPr>
        <w:t>s</w:t>
      </w:r>
      <w:r w:rsidR="00002984" w:rsidRPr="00307259">
        <w:rPr>
          <w:rFonts w:ascii="Verdana" w:hAnsi="Verdana"/>
          <w:sz w:val="20"/>
          <w:lang w:val="es-ES"/>
        </w:rPr>
        <w:t xml:space="preserve"> reparaci</w:t>
      </w:r>
      <w:r w:rsidR="009267C6" w:rsidRPr="00307259">
        <w:rPr>
          <w:rFonts w:ascii="Verdana" w:hAnsi="Verdana"/>
          <w:sz w:val="20"/>
          <w:lang w:val="es-ES"/>
        </w:rPr>
        <w:t xml:space="preserve">ones </w:t>
      </w:r>
      <w:r w:rsidR="00002984" w:rsidRPr="00307259">
        <w:rPr>
          <w:rFonts w:ascii="Verdana" w:hAnsi="Verdana"/>
          <w:color w:val="000000" w:themeColor="text1"/>
          <w:sz w:val="20"/>
          <w:szCs w:val="20"/>
        </w:rPr>
        <w:t>relativa</w:t>
      </w:r>
      <w:r w:rsidR="009267C6" w:rsidRPr="00307259">
        <w:rPr>
          <w:rFonts w:ascii="Verdana" w:hAnsi="Verdana"/>
          <w:color w:val="000000" w:themeColor="text1"/>
          <w:sz w:val="20"/>
          <w:szCs w:val="20"/>
        </w:rPr>
        <w:t>s</w:t>
      </w:r>
      <w:r w:rsidR="00002984" w:rsidRPr="00307259">
        <w:rPr>
          <w:rFonts w:ascii="Verdana" w:hAnsi="Verdana"/>
          <w:color w:val="000000" w:themeColor="text1"/>
          <w:sz w:val="20"/>
          <w:szCs w:val="20"/>
        </w:rPr>
        <w:t xml:space="preserve"> a</w:t>
      </w:r>
      <w:r w:rsidR="00C823B5" w:rsidRPr="00307259">
        <w:rPr>
          <w:rFonts w:ascii="Verdana" w:hAnsi="Verdana"/>
          <w:color w:val="000000" w:themeColor="text1"/>
          <w:sz w:val="20"/>
          <w:szCs w:val="20"/>
        </w:rPr>
        <w:t xml:space="preserve"> </w:t>
      </w:r>
      <w:r w:rsidR="009267C6" w:rsidRPr="00307259">
        <w:rPr>
          <w:rFonts w:ascii="Verdana" w:hAnsi="Verdana"/>
          <w:color w:val="000000" w:themeColor="text1"/>
          <w:sz w:val="20"/>
          <w:szCs w:val="20"/>
        </w:rPr>
        <w:t xml:space="preserve">atención médica y psicológica </w:t>
      </w:r>
      <w:r w:rsidR="00C823B5" w:rsidRPr="00307259">
        <w:rPr>
          <w:rFonts w:ascii="Verdana" w:hAnsi="Verdana"/>
          <w:color w:val="000000" w:themeColor="text1"/>
          <w:sz w:val="20"/>
          <w:szCs w:val="20"/>
        </w:rPr>
        <w:t xml:space="preserve">y </w:t>
      </w:r>
      <w:r w:rsidR="00C823B5" w:rsidRPr="00307259">
        <w:rPr>
          <w:rFonts w:ascii="Verdana" w:hAnsi="Verdana"/>
          <w:sz w:val="20"/>
          <w:szCs w:val="20"/>
        </w:rPr>
        <w:t>entrega</w:t>
      </w:r>
      <w:r w:rsidR="00002984" w:rsidRPr="00307259">
        <w:rPr>
          <w:rFonts w:ascii="Verdana" w:hAnsi="Verdana"/>
          <w:sz w:val="20"/>
          <w:szCs w:val="20"/>
        </w:rPr>
        <w:t xml:space="preserve"> en propiedad </w:t>
      </w:r>
      <w:r w:rsidR="00C823B5" w:rsidRPr="00307259">
        <w:rPr>
          <w:rFonts w:ascii="Verdana" w:hAnsi="Verdana"/>
          <w:sz w:val="20"/>
          <w:szCs w:val="20"/>
        </w:rPr>
        <w:t xml:space="preserve">de </w:t>
      </w:r>
      <w:r w:rsidR="00002984" w:rsidRPr="00307259">
        <w:rPr>
          <w:rFonts w:ascii="Verdana" w:hAnsi="Verdana"/>
          <w:sz w:val="20"/>
          <w:szCs w:val="20"/>
        </w:rPr>
        <w:t>una vivienda</w:t>
      </w:r>
      <w:r w:rsidRPr="00307259">
        <w:rPr>
          <w:rFonts w:ascii="Verdana" w:hAnsi="Verdana"/>
          <w:sz w:val="20"/>
          <w:lang w:val="es-ES"/>
        </w:rPr>
        <w:t>.</w:t>
      </w:r>
      <w:r w:rsidR="00392617" w:rsidRPr="00307259">
        <w:rPr>
          <w:rFonts w:ascii="Verdana" w:hAnsi="Verdana"/>
          <w:sz w:val="20"/>
          <w:lang w:val="es-ES"/>
        </w:rPr>
        <w:t xml:space="preserve"> </w:t>
      </w:r>
    </w:p>
    <w:p w14:paraId="46DBEB3A" w14:textId="77777777" w:rsidR="0020252B" w:rsidRPr="00307259" w:rsidRDefault="0020252B" w:rsidP="00A4635E">
      <w:pPr>
        <w:tabs>
          <w:tab w:val="left" w:pos="567"/>
          <w:tab w:val="left" w:pos="851"/>
        </w:tabs>
        <w:spacing w:after="0" w:line="240" w:lineRule="auto"/>
        <w:jc w:val="both"/>
        <w:rPr>
          <w:rFonts w:ascii="Verdana" w:hAnsi="Verdana"/>
          <w:sz w:val="20"/>
          <w:lang w:val="es-ES"/>
        </w:rPr>
      </w:pPr>
    </w:p>
    <w:p w14:paraId="7DDBE8DB" w14:textId="31434E8B" w:rsidR="00DB385A" w:rsidRPr="00BF5B4A" w:rsidRDefault="00DB385A" w:rsidP="00A4635E">
      <w:pPr>
        <w:numPr>
          <w:ilvl w:val="0"/>
          <w:numId w:val="11"/>
        </w:numPr>
        <w:tabs>
          <w:tab w:val="left" w:pos="567"/>
          <w:tab w:val="left" w:pos="851"/>
        </w:tabs>
        <w:spacing w:after="0" w:line="240" w:lineRule="auto"/>
        <w:ind w:left="0" w:hanging="11"/>
        <w:jc w:val="both"/>
        <w:rPr>
          <w:rFonts w:ascii="Verdana" w:hAnsi="Verdana"/>
          <w:sz w:val="20"/>
          <w:lang w:val="es-ES"/>
        </w:rPr>
      </w:pPr>
      <w:r w:rsidRPr="00307259">
        <w:rPr>
          <w:rFonts w:ascii="Verdana" w:hAnsi="Verdana"/>
          <w:sz w:val="20"/>
          <w:lang w:val="es-ES"/>
        </w:rPr>
        <w:t>Requerir al Estado que presente a la Corte Interamericana de Derechos Humanos, a más tardar el</w:t>
      </w:r>
      <w:r w:rsidR="00CA21C7" w:rsidRPr="00307259">
        <w:rPr>
          <w:rFonts w:ascii="Verdana" w:hAnsi="Verdana"/>
          <w:sz w:val="20"/>
          <w:lang w:val="es-ES"/>
        </w:rPr>
        <w:t xml:space="preserve"> </w:t>
      </w:r>
      <w:r w:rsidR="004C5CA0">
        <w:rPr>
          <w:rFonts w:ascii="Verdana" w:hAnsi="Verdana"/>
          <w:sz w:val="20"/>
          <w:lang w:val="es-ES"/>
        </w:rPr>
        <w:t>28</w:t>
      </w:r>
      <w:r w:rsidR="00CA21C7" w:rsidRPr="00307259">
        <w:rPr>
          <w:rFonts w:ascii="Verdana" w:hAnsi="Verdana"/>
          <w:sz w:val="20"/>
          <w:lang w:val="es-ES"/>
        </w:rPr>
        <w:t xml:space="preserve"> </w:t>
      </w:r>
      <w:r w:rsidR="00307259" w:rsidRPr="00307259">
        <w:rPr>
          <w:rFonts w:ascii="Verdana" w:hAnsi="Verdana"/>
          <w:sz w:val="20"/>
          <w:lang w:val="es-ES"/>
        </w:rPr>
        <w:t xml:space="preserve">de </w:t>
      </w:r>
      <w:r w:rsidR="004C5CA0">
        <w:rPr>
          <w:rFonts w:ascii="Verdana" w:hAnsi="Verdana"/>
          <w:sz w:val="20"/>
          <w:lang w:val="es-ES"/>
        </w:rPr>
        <w:t>febrero</w:t>
      </w:r>
      <w:r w:rsidR="00BD774A" w:rsidRPr="00307259">
        <w:rPr>
          <w:rFonts w:ascii="Verdana" w:hAnsi="Verdana"/>
          <w:sz w:val="20"/>
          <w:lang w:val="es-ES"/>
        </w:rPr>
        <w:t xml:space="preserve"> de 2019</w:t>
      </w:r>
      <w:r w:rsidR="00307259" w:rsidRPr="00307259">
        <w:rPr>
          <w:rFonts w:ascii="Verdana" w:hAnsi="Verdana"/>
          <w:sz w:val="20"/>
          <w:lang w:val="es-ES"/>
        </w:rPr>
        <w:t>,</w:t>
      </w:r>
      <w:r w:rsidRPr="00307259">
        <w:rPr>
          <w:rFonts w:ascii="Verdana" w:hAnsi="Verdana"/>
          <w:sz w:val="20"/>
          <w:lang w:val="es-ES"/>
        </w:rPr>
        <w:t xml:space="preserve"> un informe en el cual indique las medidas adoptadas para cumplir con las reparaciones</w:t>
      </w:r>
      <w:r w:rsidR="00507107" w:rsidRPr="00BF5B4A">
        <w:rPr>
          <w:rFonts w:ascii="Verdana" w:hAnsi="Verdana"/>
          <w:sz w:val="20"/>
          <w:lang w:val="es-ES"/>
        </w:rPr>
        <w:t xml:space="preserve"> </w:t>
      </w:r>
      <w:r w:rsidR="00507107" w:rsidRPr="00977D4D">
        <w:rPr>
          <w:rFonts w:ascii="Verdana" w:hAnsi="Verdana"/>
          <w:sz w:val="20"/>
          <w:lang w:val="es-ES"/>
        </w:rPr>
        <w:t>pendientes de cumplimiento</w:t>
      </w:r>
      <w:r w:rsidRPr="00977D4D">
        <w:rPr>
          <w:rFonts w:ascii="Verdana" w:hAnsi="Verdana"/>
          <w:sz w:val="20"/>
          <w:lang w:val="es-ES"/>
        </w:rPr>
        <w:t>.</w:t>
      </w:r>
    </w:p>
    <w:p w14:paraId="78812320" w14:textId="77777777" w:rsidR="00DB385A" w:rsidRPr="00BF5B4A" w:rsidRDefault="00DB385A" w:rsidP="00A4635E">
      <w:pPr>
        <w:pStyle w:val="ListParagraph"/>
        <w:spacing w:after="0" w:line="240" w:lineRule="auto"/>
        <w:rPr>
          <w:rFonts w:ascii="Verdana" w:hAnsi="Verdana"/>
          <w:sz w:val="20"/>
          <w:lang w:val="es-ES"/>
        </w:rPr>
      </w:pPr>
    </w:p>
    <w:p w14:paraId="0D2D6F59" w14:textId="77777777" w:rsidR="00DB385A" w:rsidRPr="00DF7E56" w:rsidRDefault="00DB385A" w:rsidP="00A4635E">
      <w:pPr>
        <w:numPr>
          <w:ilvl w:val="0"/>
          <w:numId w:val="11"/>
        </w:numPr>
        <w:tabs>
          <w:tab w:val="left" w:pos="567"/>
          <w:tab w:val="left" w:pos="851"/>
        </w:tabs>
        <w:spacing w:after="0" w:line="240" w:lineRule="auto"/>
        <w:ind w:left="0" w:hanging="11"/>
        <w:jc w:val="both"/>
        <w:rPr>
          <w:rFonts w:ascii="Verdana" w:hAnsi="Verdana"/>
          <w:sz w:val="20"/>
          <w:lang w:val="es-ES"/>
        </w:rPr>
      </w:pPr>
      <w:r w:rsidRPr="00BF5B4A">
        <w:rPr>
          <w:rFonts w:ascii="Verdana" w:hAnsi="Verdana"/>
          <w:sz w:val="20"/>
          <w:lang w:val="es-ES"/>
        </w:rPr>
        <w:t>Requerir a los representantes</w:t>
      </w:r>
      <w:r w:rsidRPr="00DF7E56">
        <w:rPr>
          <w:rFonts w:ascii="Verdana" w:hAnsi="Verdana"/>
          <w:sz w:val="20"/>
          <w:lang w:val="es-ES"/>
        </w:rPr>
        <w:t xml:space="preserve"> de las víctimas y a la Comisión Interamericana de Derechos Humanos que presenten observaciones al informe del Estado mencionado en el punto resolutivo anterior, en los plazos de cuatro y seis semanas, respectivamente, contados a partir de la recepción del informe.</w:t>
      </w:r>
    </w:p>
    <w:p w14:paraId="23157264" w14:textId="77777777" w:rsidR="00DB385A" w:rsidRPr="00DF7E56" w:rsidRDefault="00DB385A" w:rsidP="00A4635E">
      <w:pPr>
        <w:pStyle w:val="ListParagraph"/>
        <w:spacing w:after="0" w:line="240" w:lineRule="auto"/>
        <w:rPr>
          <w:rFonts w:ascii="Verdana" w:hAnsi="Verdana"/>
          <w:sz w:val="20"/>
          <w:lang w:val="es-ES"/>
        </w:rPr>
      </w:pPr>
    </w:p>
    <w:p w14:paraId="08D21DA1" w14:textId="77777777" w:rsidR="006B145B" w:rsidRDefault="00DB385A" w:rsidP="00F34F09">
      <w:pPr>
        <w:numPr>
          <w:ilvl w:val="0"/>
          <w:numId w:val="11"/>
        </w:numPr>
        <w:tabs>
          <w:tab w:val="left" w:pos="567"/>
          <w:tab w:val="left" w:pos="851"/>
        </w:tabs>
        <w:spacing w:after="0" w:line="240" w:lineRule="auto"/>
        <w:ind w:left="0" w:hanging="11"/>
        <w:jc w:val="both"/>
        <w:rPr>
          <w:rFonts w:ascii="Verdana" w:hAnsi="Verdana"/>
          <w:sz w:val="20"/>
          <w:lang w:val="es-ES"/>
        </w:rPr>
      </w:pPr>
      <w:r w:rsidRPr="00DF7E56">
        <w:rPr>
          <w:rFonts w:ascii="Verdana" w:hAnsi="Verdana"/>
          <w:sz w:val="20"/>
          <w:lang w:val="es-ES"/>
        </w:rPr>
        <w:t xml:space="preserve">Requerir a la Secretaría de la Corte que notifique la presente Resolución al Estado, a los representantes de las víctimas y a la Comisión Interamericana de Derechos Humanos. </w:t>
      </w:r>
    </w:p>
    <w:p w14:paraId="75CE1D35" w14:textId="77777777" w:rsidR="000F0C82" w:rsidRDefault="000F0C82" w:rsidP="000F0C82">
      <w:pPr>
        <w:pStyle w:val="ListParagraph"/>
        <w:rPr>
          <w:rFonts w:ascii="Verdana" w:hAnsi="Verdana"/>
          <w:sz w:val="20"/>
          <w:lang w:val="es-ES"/>
        </w:rPr>
      </w:pPr>
    </w:p>
    <w:p w14:paraId="21B9F3E3" w14:textId="77777777" w:rsidR="000F0C82" w:rsidRDefault="000F0C82" w:rsidP="000F0C82">
      <w:pPr>
        <w:tabs>
          <w:tab w:val="left" w:pos="567"/>
          <w:tab w:val="left" w:pos="851"/>
        </w:tabs>
        <w:spacing w:after="0" w:line="240" w:lineRule="auto"/>
        <w:jc w:val="both"/>
        <w:rPr>
          <w:rFonts w:ascii="Verdana" w:hAnsi="Verdana"/>
          <w:sz w:val="20"/>
          <w:lang w:val="es-ES"/>
        </w:rPr>
      </w:pPr>
    </w:p>
    <w:p w14:paraId="7F4380F9" w14:textId="77777777" w:rsidR="000F0C82" w:rsidRDefault="000F0C82" w:rsidP="000F0C82">
      <w:pPr>
        <w:tabs>
          <w:tab w:val="left" w:pos="567"/>
          <w:tab w:val="left" w:pos="851"/>
        </w:tabs>
        <w:spacing w:after="0" w:line="240" w:lineRule="auto"/>
        <w:jc w:val="both"/>
        <w:rPr>
          <w:rFonts w:ascii="Verdana" w:hAnsi="Verdana"/>
          <w:sz w:val="20"/>
          <w:lang w:val="es-ES"/>
        </w:rPr>
      </w:pPr>
    </w:p>
    <w:p w14:paraId="5BB7C0EC" w14:textId="77777777" w:rsidR="000F0C82" w:rsidRDefault="000F0C82" w:rsidP="000F0C82">
      <w:pPr>
        <w:tabs>
          <w:tab w:val="left" w:pos="567"/>
          <w:tab w:val="left" w:pos="851"/>
        </w:tabs>
        <w:spacing w:after="0" w:line="240" w:lineRule="auto"/>
        <w:jc w:val="both"/>
        <w:rPr>
          <w:rFonts w:ascii="Verdana" w:hAnsi="Verdana"/>
          <w:sz w:val="20"/>
          <w:lang w:val="es-ES"/>
        </w:rPr>
      </w:pPr>
    </w:p>
    <w:p w14:paraId="3371104D" w14:textId="77777777" w:rsidR="000F0C82" w:rsidRDefault="000F0C82" w:rsidP="000F0C82">
      <w:pPr>
        <w:tabs>
          <w:tab w:val="left" w:pos="567"/>
          <w:tab w:val="left" w:pos="851"/>
        </w:tabs>
        <w:spacing w:after="0" w:line="240" w:lineRule="auto"/>
        <w:jc w:val="both"/>
        <w:rPr>
          <w:rFonts w:ascii="Verdana" w:hAnsi="Verdana"/>
          <w:sz w:val="20"/>
          <w:lang w:val="es-ES"/>
        </w:rPr>
      </w:pPr>
    </w:p>
    <w:p w14:paraId="138B2966" w14:textId="77777777" w:rsidR="000F0C82" w:rsidRDefault="000F0C82" w:rsidP="000F0C82">
      <w:pPr>
        <w:tabs>
          <w:tab w:val="left" w:pos="567"/>
          <w:tab w:val="left" w:pos="851"/>
        </w:tabs>
        <w:spacing w:after="0" w:line="240" w:lineRule="auto"/>
        <w:jc w:val="both"/>
        <w:rPr>
          <w:rFonts w:ascii="Verdana" w:hAnsi="Verdana"/>
          <w:sz w:val="20"/>
          <w:lang w:val="es-ES"/>
        </w:rPr>
      </w:pPr>
    </w:p>
    <w:p w14:paraId="5CBFF636" w14:textId="77777777" w:rsidR="000F0C82" w:rsidRDefault="000F0C82" w:rsidP="000F0C82">
      <w:pPr>
        <w:tabs>
          <w:tab w:val="left" w:pos="567"/>
          <w:tab w:val="left" w:pos="851"/>
        </w:tabs>
        <w:spacing w:after="0" w:line="240" w:lineRule="auto"/>
        <w:jc w:val="both"/>
        <w:rPr>
          <w:rFonts w:ascii="Verdana" w:hAnsi="Verdana"/>
          <w:sz w:val="20"/>
          <w:lang w:val="es-ES"/>
        </w:rPr>
      </w:pPr>
    </w:p>
    <w:p w14:paraId="4B554C62" w14:textId="77777777" w:rsidR="000F0C82" w:rsidRDefault="000F0C82" w:rsidP="000F0C82">
      <w:pPr>
        <w:tabs>
          <w:tab w:val="left" w:pos="567"/>
          <w:tab w:val="left" w:pos="851"/>
        </w:tabs>
        <w:spacing w:after="0" w:line="240" w:lineRule="auto"/>
        <w:jc w:val="both"/>
        <w:rPr>
          <w:rFonts w:ascii="Verdana" w:hAnsi="Verdana"/>
          <w:sz w:val="20"/>
          <w:lang w:val="es-ES"/>
        </w:rPr>
      </w:pPr>
    </w:p>
    <w:p w14:paraId="2260327B" w14:textId="77777777" w:rsidR="000F0C82" w:rsidRDefault="000F0C82" w:rsidP="000F0C82">
      <w:pPr>
        <w:tabs>
          <w:tab w:val="left" w:pos="567"/>
          <w:tab w:val="left" w:pos="851"/>
        </w:tabs>
        <w:spacing w:after="0" w:line="240" w:lineRule="auto"/>
        <w:jc w:val="both"/>
        <w:rPr>
          <w:rFonts w:ascii="Verdana" w:hAnsi="Verdana"/>
          <w:sz w:val="20"/>
          <w:lang w:val="es-ES"/>
        </w:rPr>
      </w:pPr>
    </w:p>
    <w:p w14:paraId="5F7D5B38" w14:textId="77777777" w:rsidR="000F0C82" w:rsidRDefault="000F0C82" w:rsidP="000F0C82">
      <w:pPr>
        <w:tabs>
          <w:tab w:val="left" w:pos="567"/>
          <w:tab w:val="left" w:pos="851"/>
        </w:tabs>
        <w:spacing w:after="0" w:line="240" w:lineRule="auto"/>
        <w:jc w:val="both"/>
        <w:rPr>
          <w:rFonts w:ascii="Verdana" w:hAnsi="Verdana"/>
          <w:sz w:val="20"/>
          <w:lang w:val="es-ES"/>
        </w:rPr>
      </w:pPr>
    </w:p>
    <w:p w14:paraId="67215892" w14:textId="77777777" w:rsidR="000F0C82" w:rsidRDefault="000F0C82" w:rsidP="000F0C82">
      <w:pPr>
        <w:tabs>
          <w:tab w:val="left" w:pos="567"/>
          <w:tab w:val="left" w:pos="851"/>
        </w:tabs>
        <w:spacing w:after="0" w:line="240" w:lineRule="auto"/>
        <w:jc w:val="both"/>
        <w:rPr>
          <w:rFonts w:ascii="Verdana" w:hAnsi="Verdana"/>
          <w:sz w:val="20"/>
          <w:lang w:val="es-ES"/>
        </w:rPr>
      </w:pPr>
    </w:p>
    <w:p w14:paraId="054FC218" w14:textId="77777777" w:rsidR="000F0C82" w:rsidRDefault="000F0C82" w:rsidP="000F0C82">
      <w:pPr>
        <w:tabs>
          <w:tab w:val="left" w:pos="567"/>
          <w:tab w:val="left" w:pos="851"/>
        </w:tabs>
        <w:spacing w:after="0" w:line="240" w:lineRule="auto"/>
        <w:jc w:val="both"/>
        <w:rPr>
          <w:rFonts w:ascii="Verdana" w:hAnsi="Verdana"/>
          <w:sz w:val="20"/>
          <w:lang w:val="es-ES"/>
        </w:rPr>
      </w:pPr>
    </w:p>
    <w:p w14:paraId="5FD5B928" w14:textId="77777777" w:rsidR="000F0C82" w:rsidRDefault="000F0C82" w:rsidP="000F0C82">
      <w:pPr>
        <w:tabs>
          <w:tab w:val="left" w:pos="567"/>
          <w:tab w:val="left" w:pos="851"/>
        </w:tabs>
        <w:spacing w:after="0" w:line="240" w:lineRule="auto"/>
        <w:jc w:val="both"/>
        <w:rPr>
          <w:rFonts w:ascii="Verdana" w:hAnsi="Verdana"/>
          <w:sz w:val="20"/>
          <w:lang w:val="es-ES"/>
        </w:rPr>
      </w:pPr>
    </w:p>
    <w:p w14:paraId="252D1457" w14:textId="77777777" w:rsidR="000F0C82" w:rsidRDefault="000F0C82" w:rsidP="000F0C82">
      <w:pPr>
        <w:tabs>
          <w:tab w:val="left" w:pos="567"/>
          <w:tab w:val="left" w:pos="851"/>
        </w:tabs>
        <w:spacing w:after="0" w:line="240" w:lineRule="auto"/>
        <w:jc w:val="both"/>
        <w:rPr>
          <w:rFonts w:ascii="Verdana" w:hAnsi="Verdana"/>
          <w:sz w:val="20"/>
          <w:lang w:val="es-ES"/>
        </w:rPr>
      </w:pPr>
    </w:p>
    <w:p w14:paraId="4D721B28" w14:textId="77777777" w:rsidR="000F0C82" w:rsidRDefault="000F0C82" w:rsidP="000F0C82">
      <w:pPr>
        <w:tabs>
          <w:tab w:val="left" w:pos="567"/>
          <w:tab w:val="left" w:pos="851"/>
        </w:tabs>
        <w:spacing w:after="0" w:line="240" w:lineRule="auto"/>
        <w:jc w:val="both"/>
        <w:rPr>
          <w:rFonts w:ascii="Verdana" w:hAnsi="Verdana"/>
          <w:sz w:val="20"/>
          <w:lang w:val="es-ES"/>
        </w:rPr>
      </w:pPr>
    </w:p>
    <w:p w14:paraId="2D88A74C" w14:textId="77777777" w:rsidR="000F0C82" w:rsidRDefault="000F0C82" w:rsidP="000F0C82">
      <w:pPr>
        <w:tabs>
          <w:tab w:val="left" w:pos="567"/>
          <w:tab w:val="left" w:pos="851"/>
        </w:tabs>
        <w:spacing w:after="0" w:line="240" w:lineRule="auto"/>
        <w:jc w:val="both"/>
        <w:rPr>
          <w:rFonts w:ascii="Verdana" w:hAnsi="Verdana"/>
          <w:sz w:val="20"/>
          <w:lang w:val="es-ES"/>
        </w:rPr>
      </w:pPr>
    </w:p>
    <w:p w14:paraId="6E86D94F" w14:textId="77777777" w:rsidR="000F0C82" w:rsidRDefault="000F0C82" w:rsidP="000F0C82">
      <w:pPr>
        <w:tabs>
          <w:tab w:val="left" w:pos="567"/>
          <w:tab w:val="left" w:pos="851"/>
        </w:tabs>
        <w:spacing w:after="0" w:line="240" w:lineRule="auto"/>
        <w:jc w:val="both"/>
        <w:rPr>
          <w:rFonts w:ascii="Verdana" w:hAnsi="Verdana"/>
          <w:sz w:val="20"/>
          <w:lang w:val="es-ES"/>
        </w:rPr>
      </w:pPr>
    </w:p>
    <w:p w14:paraId="464BAF93" w14:textId="77777777" w:rsidR="000F0C82" w:rsidRDefault="000F0C82" w:rsidP="000F0C82">
      <w:pPr>
        <w:tabs>
          <w:tab w:val="left" w:pos="567"/>
          <w:tab w:val="left" w:pos="851"/>
        </w:tabs>
        <w:spacing w:after="0" w:line="240" w:lineRule="auto"/>
        <w:jc w:val="both"/>
        <w:rPr>
          <w:rFonts w:ascii="Verdana" w:hAnsi="Verdana"/>
          <w:sz w:val="20"/>
          <w:lang w:val="es-ES"/>
        </w:rPr>
      </w:pPr>
    </w:p>
    <w:p w14:paraId="609B6840" w14:textId="77777777" w:rsidR="000F0C82" w:rsidRDefault="000F0C82" w:rsidP="000F0C82">
      <w:pPr>
        <w:tabs>
          <w:tab w:val="left" w:pos="567"/>
          <w:tab w:val="left" w:pos="851"/>
        </w:tabs>
        <w:spacing w:after="0" w:line="240" w:lineRule="auto"/>
        <w:jc w:val="both"/>
        <w:rPr>
          <w:rFonts w:ascii="Verdana" w:hAnsi="Verdana"/>
          <w:sz w:val="20"/>
          <w:lang w:val="es-ES"/>
        </w:rPr>
      </w:pPr>
    </w:p>
    <w:p w14:paraId="44FB54E3" w14:textId="77777777" w:rsidR="000F0C82" w:rsidRDefault="000F0C82" w:rsidP="000F0C82">
      <w:pPr>
        <w:tabs>
          <w:tab w:val="left" w:pos="567"/>
          <w:tab w:val="left" w:pos="851"/>
        </w:tabs>
        <w:spacing w:after="0" w:line="240" w:lineRule="auto"/>
        <w:jc w:val="both"/>
        <w:rPr>
          <w:rFonts w:ascii="Verdana" w:hAnsi="Verdana"/>
          <w:sz w:val="20"/>
          <w:lang w:val="es-ES"/>
        </w:rPr>
      </w:pPr>
    </w:p>
    <w:p w14:paraId="78F4690B" w14:textId="77777777" w:rsidR="000F0C82" w:rsidRDefault="000F0C82" w:rsidP="000F0C82">
      <w:pPr>
        <w:tabs>
          <w:tab w:val="left" w:pos="567"/>
          <w:tab w:val="left" w:pos="851"/>
        </w:tabs>
        <w:spacing w:after="0" w:line="240" w:lineRule="auto"/>
        <w:jc w:val="both"/>
        <w:rPr>
          <w:rFonts w:ascii="Verdana" w:hAnsi="Verdana"/>
          <w:sz w:val="20"/>
          <w:lang w:val="es-ES"/>
        </w:rPr>
      </w:pPr>
    </w:p>
    <w:p w14:paraId="536ED05E" w14:textId="77777777" w:rsidR="000F0C82" w:rsidRDefault="000F0C82" w:rsidP="000F0C82">
      <w:pPr>
        <w:tabs>
          <w:tab w:val="left" w:pos="567"/>
          <w:tab w:val="left" w:pos="851"/>
        </w:tabs>
        <w:spacing w:after="0" w:line="240" w:lineRule="auto"/>
        <w:jc w:val="both"/>
        <w:rPr>
          <w:rFonts w:ascii="Verdana" w:hAnsi="Verdana"/>
          <w:sz w:val="20"/>
          <w:lang w:val="es-ES"/>
        </w:rPr>
      </w:pPr>
    </w:p>
    <w:p w14:paraId="5D3C8C46" w14:textId="77777777" w:rsidR="000F0C82" w:rsidRDefault="000F0C82" w:rsidP="000F0C82">
      <w:pPr>
        <w:tabs>
          <w:tab w:val="left" w:pos="567"/>
          <w:tab w:val="left" w:pos="851"/>
        </w:tabs>
        <w:spacing w:after="0" w:line="240" w:lineRule="auto"/>
        <w:jc w:val="both"/>
        <w:rPr>
          <w:rFonts w:ascii="Verdana" w:hAnsi="Verdana"/>
          <w:sz w:val="20"/>
          <w:lang w:val="es-ES"/>
        </w:rPr>
      </w:pPr>
    </w:p>
    <w:p w14:paraId="76DE495F" w14:textId="77777777" w:rsidR="000F0C82" w:rsidRDefault="000F0C82" w:rsidP="000F0C82">
      <w:pPr>
        <w:tabs>
          <w:tab w:val="left" w:pos="567"/>
          <w:tab w:val="left" w:pos="851"/>
        </w:tabs>
        <w:spacing w:after="0" w:line="240" w:lineRule="auto"/>
        <w:jc w:val="both"/>
        <w:rPr>
          <w:rFonts w:ascii="Verdana" w:hAnsi="Verdana"/>
          <w:sz w:val="20"/>
          <w:lang w:val="es-ES"/>
        </w:rPr>
      </w:pPr>
    </w:p>
    <w:p w14:paraId="48B1A996" w14:textId="77777777" w:rsidR="000F0C82" w:rsidRDefault="000F0C82" w:rsidP="000F0C82">
      <w:pPr>
        <w:tabs>
          <w:tab w:val="left" w:pos="567"/>
          <w:tab w:val="left" w:pos="851"/>
        </w:tabs>
        <w:spacing w:after="0" w:line="240" w:lineRule="auto"/>
        <w:jc w:val="both"/>
        <w:rPr>
          <w:rFonts w:ascii="Verdana" w:hAnsi="Verdana"/>
          <w:sz w:val="20"/>
          <w:lang w:val="es-ES"/>
        </w:rPr>
      </w:pPr>
    </w:p>
    <w:p w14:paraId="62C3C4DE" w14:textId="77777777" w:rsidR="000F0C82" w:rsidRDefault="000F0C82" w:rsidP="000F0C82">
      <w:pPr>
        <w:tabs>
          <w:tab w:val="left" w:pos="567"/>
          <w:tab w:val="left" w:pos="851"/>
        </w:tabs>
        <w:spacing w:after="0" w:line="240" w:lineRule="auto"/>
        <w:jc w:val="both"/>
        <w:rPr>
          <w:rFonts w:ascii="Verdana" w:hAnsi="Verdana"/>
          <w:sz w:val="20"/>
          <w:lang w:val="es-ES"/>
        </w:rPr>
      </w:pPr>
    </w:p>
    <w:p w14:paraId="0B646FA3" w14:textId="77777777" w:rsidR="000F0C82" w:rsidRDefault="000F0C82" w:rsidP="000F0C82">
      <w:pPr>
        <w:tabs>
          <w:tab w:val="left" w:pos="567"/>
          <w:tab w:val="left" w:pos="851"/>
        </w:tabs>
        <w:spacing w:after="0" w:line="240" w:lineRule="auto"/>
        <w:jc w:val="both"/>
        <w:rPr>
          <w:rFonts w:ascii="Verdana" w:hAnsi="Verdana"/>
          <w:sz w:val="20"/>
          <w:lang w:val="es-ES"/>
        </w:rPr>
      </w:pPr>
    </w:p>
    <w:p w14:paraId="271B84C7" w14:textId="77777777" w:rsidR="000F0C82" w:rsidRDefault="000F0C82" w:rsidP="000F0C82">
      <w:pPr>
        <w:tabs>
          <w:tab w:val="left" w:pos="567"/>
          <w:tab w:val="left" w:pos="851"/>
        </w:tabs>
        <w:spacing w:after="0" w:line="240" w:lineRule="auto"/>
        <w:jc w:val="both"/>
        <w:rPr>
          <w:rFonts w:ascii="Verdana" w:hAnsi="Verdana"/>
          <w:sz w:val="20"/>
          <w:lang w:val="es-ES"/>
        </w:rPr>
      </w:pPr>
    </w:p>
    <w:p w14:paraId="65C1817C" w14:textId="77777777" w:rsidR="000F0C82" w:rsidRDefault="000F0C82" w:rsidP="000F0C82">
      <w:pPr>
        <w:tabs>
          <w:tab w:val="left" w:pos="567"/>
          <w:tab w:val="left" w:pos="851"/>
        </w:tabs>
        <w:spacing w:after="0" w:line="240" w:lineRule="auto"/>
        <w:jc w:val="both"/>
        <w:rPr>
          <w:rFonts w:ascii="Verdana" w:hAnsi="Verdana"/>
          <w:sz w:val="20"/>
          <w:lang w:val="es-ES"/>
        </w:rPr>
      </w:pPr>
    </w:p>
    <w:p w14:paraId="4B915EEB" w14:textId="77777777" w:rsidR="000F0C82" w:rsidRDefault="000F0C82" w:rsidP="000F0C82">
      <w:pPr>
        <w:tabs>
          <w:tab w:val="left" w:pos="567"/>
          <w:tab w:val="left" w:pos="851"/>
        </w:tabs>
        <w:spacing w:after="0" w:line="240" w:lineRule="auto"/>
        <w:jc w:val="both"/>
        <w:rPr>
          <w:rFonts w:ascii="Verdana" w:hAnsi="Verdana"/>
          <w:sz w:val="20"/>
          <w:lang w:val="es-ES"/>
        </w:rPr>
      </w:pPr>
    </w:p>
    <w:p w14:paraId="22F3344A" w14:textId="77777777" w:rsidR="000F0C82" w:rsidRDefault="000F0C82" w:rsidP="000F0C82">
      <w:pPr>
        <w:tabs>
          <w:tab w:val="left" w:pos="567"/>
          <w:tab w:val="left" w:pos="851"/>
        </w:tabs>
        <w:spacing w:after="0" w:line="240" w:lineRule="auto"/>
        <w:jc w:val="both"/>
        <w:rPr>
          <w:rFonts w:ascii="Verdana" w:hAnsi="Verdana"/>
          <w:sz w:val="20"/>
          <w:lang w:val="es-ES"/>
        </w:rPr>
      </w:pPr>
    </w:p>
    <w:p w14:paraId="6729C955" w14:textId="77777777" w:rsidR="000F0C82" w:rsidRDefault="000F0C82" w:rsidP="000F0C82">
      <w:pPr>
        <w:tabs>
          <w:tab w:val="left" w:pos="567"/>
          <w:tab w:val="left" w:pos="851"/>
        </w:tabs>
        <w:spacing w:after="0" w:line="240" w:lineRule="auto"/>
        <w:jc w:val="both"/>
        <w:rPr>
          <w:rFonts w:ascii="Verdana" w:hAnsi="Verdana"/>
          <w:sz w:val="20"/>
          <w:lang w:val="es-ES"/>
        </w:rPr>
      </w:pPr>
    </w:p>
    <w:p w14:paraId="491DA289" w14:textId="77777777" w:rsidR="000F0C82" w:rsidRDefault="000F0C82" w:rsidP="000F0C82">
      <w:pPr>
        <w:tabs>
          <w:tab w:val="left" w:pos="567"/>
          <w:tab w:val="left" w:pos="851"/>
        </w:tabs>
        <w:spacing w:after="0" w:line="240" w:lineRule="auto"/>
        <w:jc w:val="both"/>
        <w:rPr>
          <w:rFonts w:ascii="Verdana" w:hAnsi="Verdana"/>
          <w:sz w:val="20"/>
          <w:lang w:val="es-ES"/>
        </w:rPr>
      </w:pPr>
    </w:p>
    <w:p w14:paraId="10F147C0" w14:textId="77777777" w:rsidR="000F0C82" w:rsidRDefault="000F0C82" w:rsidP="000F0C82">
      <w:pPr>
        <w:tabs>
          <w:tab w:val="left" w:pos="567"/>
          <w:tab w:val="left" w:pos="851"/>
        </w:tabs>
        <w:spacing w:after="0" w:line="240" w:lineRule="auto"/>
        <w:jc w:val="both"/>
        <w:rPr>
          <w:rFonts w:ascii="Verdana" w:hAnsi="Verdana"/>
          <w:sz w:val="20"/>
          <w:lang w:val="es-ES"/>
        </w:rPr>
      </w:pPr>
    </w:p>
    <w:p w14:paraId="135A4C65" w14:textId="77777777" w:rsidR="000F0C82" w:rsidRDefault="000F0C82" w:rsidP="000F0C82">
      <w:pPr>
        <w:tabs>
          <w:tab w:val="left" w:pos="567"/>
          <w:tab w:val="left" w:pos="851"/>
        </w:tabs>
        <w:spacing w:after="0" w:line="240" w:lineRule="auto"/>
        <w:jc w:val="both"/>
        <w:rPr>
          <w:rFonts w:ascii="Verdana" w:hAnsi="Verdana"/>
          <w:sz w:val="20"/>
          <w:lang w:val="es-ES"/>
        </w:rPr>
      </w:pPr>
    </w:p>
    <w:p w14:paraId="0A3188A6" w14:textId="77777777" w:rsidR="000F0C82" w:rsidRDefault="000F0C82" w:rsidP="000F0C82">
      <w:pPr>
        <w:tabs>
          <w:tab w:val="left" w:pos="567"/>
          <w:tab w:val="left" w:pos="851"/>
        </w:tabs>
        <w:spacing w:after="0" w:line="240" w:lineRule="auto"/>
        <w:jc w:val="both"/>
        <w:rPr>
          <w:rFonts w:ascii="Verdana" w:hAnsi="Verdana"/>
          <w:sz w:val="20"/>
          <w:lang w:val="es-ES"/>
        </w:rPr>
      </w:pPr>
    </w:p>
    <w:p w14:paraId="2954067F" w14:textId="77777777" w:rsidR="000F0C82" w:rsidRDefault="000F0C82" w:rsidP="000F0C82">
      <w:pPr>
        <w:tabs>
          <w:tab w:val="left" w:pos="567"/>
          <w:tab w:val="left" w:pos="851"/>
        </w:tabs>
        <w:spacing w:after="0" w:line="240" w:lineRule="auto"/>
        <w:jc w:val="both"/>
        <w:rPr>
          <w:rFonts w:ascii="Verdana" w:hAnsi="Verdana"/>
          <w:sz w:val="20"/>
          <w:lang w:val="es-ES"/>
        </w:rPr>
      </w:pPr>
    </w:p>
    <w:p w14:paraId="178A06D6" w14:textId="77777777" w:rsidR="000F0C82" w:rsidRDefault="000F0C82" w:rsidP="000F0C82">
      <w:pPr>
        <w:tabs>
          <w:tab w:val="left" w:pos="567"/>
          <w:tab w:val="left" w:pos="851"/>
        </w:tabs>
        <w:spacing w:after="0" w:line="240" w:lineRule="auto"/>
        <w:jc w:val="both"/>
        <w:rPr>
          <w:rFonts w:ascii="Verdana" w:hAnsi="Verdana"/>
          <w:sz w:val="20"/>
          <w:lang w:val="es-ES"/>
        </w:rPr>
      </w:pPr>
    </w:p>
    <w:p w14:paraId="25350B46" w14:textId="77777777" w:rsidR="000F0C82" w:rsidRDefault="000F0C82" w:rsidP="000F0C82">
      <w:pPr>
        <w:tabs>
          <w:tab w:val="left" w:pos="567"/>
          <w:tab w:val="left" w:pos="851"/>
        </w:tabs>
        <w:spacing w:after="0" w:line="240" w:lineRule="auto"/>
        <w:jc w:val="both"/>
        <w:rPr>
          <w:rFonts w:ascii="Verdana" w:hAnsi="Verdana"/>
          <w:sz w:val="20"/>
          <w:lang w:val="es-ES"/>
        </w:rPr>
      </w:pPr>
    </w:p>
    <w:p w14:paraId="1938F894" w14:textId="77777777" w:rsidR="000F0C82" w:rsidRPr="00503CED" w:rsidRDefault="000F0C82" w:rsidP="000F0C82">
      <w:pPr>
        <w:keepNext/>
        <w:jc w:val="both"/>
        <w:outlineLvl w:val="0"/>
        <w:rPr>
          <w:rFonts w:ascii="Verdana" w:hAnsi="Verdana" w:cs="Verdana"/>
          <w:b/>
          <w:bCs/>
          <w:sz w:val="20"/>
          <w:lang w:val="es-ES"/>
        </w:rPr>
      </w:pPr>
      <w:r w:rsidRPr="005C0EE1">
        <w:rPr>
          <w:rFonts w:ascii="Verdana" w:hAnsi="Verdana" w:cs="Courier New"/>
          <w:noProof/>
          <w:sz w:val="20"/>
        </w:rPr>
        <w:t xml:space="preserve">Corte IDH. </w:t>
      </w:r>
      <w:r w:rsidRPr="00FE1EE1">
        <w:rPr>
          <w:rFonts w:ascii="Verdana" w:hAnsi="Verdana"/>
          <w:bCs/>
          <w:i/>
          <w:sz w:val="20"/>
        </w:rPr>
        <w:t>Caso García Cruz y Sánchez Silvestre Vs. México</w:t>
      </w:r>
      <w:r w:rsidRPr="00B32051">
        <w:rPr>
          <w:rFonts w:ascii="Verdana" w:hAnsi="Verdana"/>
          <w:bCs/>
          <w:i/>
          <w:sz w:val="20"/>
        </w:rPr>
        <w:t>.</w:t>
      </w:r>
      <w:r w:rsidRPr="002E4FBF">
        <w:rPr>
          <w:rFonts w:ascii="Verdana" w:hAnsi="Verdana"/>
          <w:i/>
          <w:sz w:val="20"/>
          <w:lang w:val="es-ES"/>
        </w:rPr>
        <w:t xml:space="preserve"> </w:t>
      </w:r>
      <w:r>
        <w:rPr>
          <w:rFonts w:ascii="Verdana" w:hAnsi="Verdana"/>
          <w:sz w:val="20"/>
        </w:rPr>
        <w:t xml:space="preserve">Supervisión de cumplimiento de sentencia. </w:t>
      </w:r>
      <w:r w:rsidRPr="00B32051">
        <w:rPr>
          <w:rFonts w:ascii="Verdana" w:hAnsi="Verdana"/>
          <w:bCs/>
          <w:sz w:val="20"/>
        </w:rPr>
        <w:t xml:space="preserve">Resolución de la Corte Interamericana de Derechos Humanos </w:t>
      </w:r>
      <w:r w:rsidRPr="005C0EE1">
        <w:rPr>
          <w:rFonts w:ascii="Verdana" w:hAnsi="Verdana"/>
          <w:bCs/>
          <w:sz w:val="20"/>
        </w:rPr>
        <w:t>de 27 de</w:t>
      </w:r>
      <w:r w:rsidRPr="00B32051">
        <w:rPr>
          <w:rFonts w:ascii="Verdana" w:hAnsi="Verdana"/>
          <w:bCs/>
          <w:sz w:val="20"/>
        </w:rPr>
        <w:t xml:space="preserve"> </w:t>
      </w:r>
      <w:r>
        <w:rPr>
          <w:rFonts w:ascii="Verdana" w:hAnsi="Verdana"/>
          <w:bCs/>
          <w:sz w:val="20"/>
        </w:rPr>
        <w:t>noviembre</w:t>
      </w:r>
      <w:r w:rsidRPr="00B32051">
        <w:rPr>
          <w:rFonts w:ascii="Verdana" w:hAnsi="Verdana"/>
          <w:bCs/>
          <w:sz w:val="20"/>
        </w:rPr>
        <w:t xml:space="preserve"> de 201</w:t>
      </w:r>
      <w:r>
        <w:rPr>
          <w:rFonts w:ascii="Verdana" w:hAnsi="Verdana"/>
          <w:bCs/>
          <w:sz w:val="20"/>
        </w:rPr>
        <w:t>8</w:t>
      </w:r>
      <w:r w:rsidRPr="00B32051">
        <w:rPr>
          <w:rFonts w:ascii="Verdana" w:hAnsi="Verdana"/>
          <w:bCs/>
          <w:sz w:val="20"/>
        </w:rPr>
        <w:t>.</w:t>
      </w:r>
    </w:p>
    <w:p w14:paraId="6F97ECB9" w14:textId="77777777" w:rsidR="000F0C82" w:rsidRDefault="000F0C82" w:rsidP="000F0C82">
      <w:pPr>
        <w:rPr>
          <w:rFonts w:ascii="Verdana" w:hAnsi="Verdana"/>
          <w:sz w:val="20"/>
          <w:lang w:val="es-ES"/>
        </w:rPr>
      </w:pPr>
    </w:p>
    <w:p w14:paraId="32615C16" w14:textId="77777777" w:rsidR="000F0C82" w:rsidRDefault="000F0C82" w:rsidP="000F0C82">
      <w:pPr>
        <w:jc w:val="center"/>
        <w:rPr>
          <w:rFonts w:ascii="Verdana" w:hAnsi="Verdana"/>
          <w:sz w:val="20"/>
          <w:lang w:val="es-ES"/>
        </w:rPr>
      </w:pPr>
    </w:p>
    <w:p w14:paraId="5C167A9A" w14:textId="77777777" w:rsidR="000F0C82" w:rsidRDefault="000F0C82" w:rsidP="000F0C82">
      <w:pPr>
        <w:jc w:val="center"/>
        <w:rPr>
          <w:rFonts w:ascii="Verdana" w:hAnsi="Verdana"/>
          <w:sz w:val="20"/>
          <w:lang w:val="es-ES"/>
        </w:rPr>
      </w:pPr>
      <w:r>
        <w:rPr>
          <w:rFonts w:ascii="Verdana" w:hAnsi="Verdana"/>
          <w:sz w:val="20"/>
          <w:lang w:val="pt-BR"/>
        </w:rPr>
        <w:t xml:space="preserve">      </w:t>
      </w:r>
      <w:r w:rsidRPr="00D0325C">
        <w:rPr>
          <w:rFonts w:ascii="Verdana" w:hAnsi="Verdana"/>
          <w:sz w:val="20"/>
          <w:lang w:val="pt-BR"/>
        </w:rPr>
        <w:t>Eduardo Vio Grossi</w:t>
      </w:r>
      <w:r w:rsidRPr="006E102A">
        <w:rPr>
          <w:rFonts w:ascii="Verdana" w:hAnsi="Verdana"/>
          <w:sz w:val="20"/>
          <w:lang w:val="pt-BR"/>
        </w:rPr>
        <w:t xml:space="preserve"> </w:t>
      </w:r>
      <w:r>
        <w:rPr>
          <w:rFonts w:ascii="Verdana" w:hAnsi="Verdana"/>
          <w:sz w:val="20"/>
          <w:lang w:val="pt-BR"/>
        </w:rPr>
        <w:tab/>
      </w:r>
    </w:p>
    <w:p w14:paraId="394A5E46" w14:textId="76251B11" w:rsidR="000F0C82" w:rsidRPr="00D0325C" w:rsidRDefault="000F0C82" w:rsidP="000F0C82">
      <w:pPr>
        <w:jc w:val="center"/>
        <w:rPr>
          <w:rFonts w:ascii="Verdana" w:hAnsi="Verdana"/>
          <w:sz w:val="20"/>
          <w:lang w:val="pt-BR"/>
        </w:rPr>
      </w:pPr>
      <w:r>
        <w:rPr>
          <w:rFonts w:ascii="Verdana" w:hAnsi="Verdana"/>
          <w:sz w:val="20"/>
          <w:lang w:val="pt-BR"/>
        </w:rPr>
        <w:t>Presidente en Ejercicio</w:t>
      </w:r>
    </w:p>
    <w:p w14:paraId="750F861B" w14:textId="77777777" w:rsidR="000F0C82" w:rsidRPr="00D0325C" w:rsidRDefault="000F0C82" w:rsidP="000F0C82">
      <w:pPr>
        <w:jc w:val="both"/>
        <w:rPr>
          <w:rFonts w:ascii="Verdana" w:hAnsi="Verdana"/>
          <w:sz w:val="20"/>
          <w:lang w:val="pt-BR"/>
        </w:rPr>
      </w:pPr>
    </w:p>
    <w:p w14:paraId="7FD43669" w14:textId="186E2BFA" w:rsidR="000F0C82" w:rsidRDefault="000F0C82" w:rsidP="000F0C82">
      <w:pPr>
        <w:jc w:val="center"/>
        <w:rPr>
          <w:rFonts w:ascii="Verdana" w:hAnsi="Verdana"/>
          <w:sz w:val="20"/>
          <w:lang w:val="pt-BR"/>
        </w:rPr>
      </w:pPr>
      <w:r w:rsidRPr="00CC275C">
        <w:rPr>
          <w:rFonts w:ascii="Verdana" w:hAnsi="Verdana"/>
          <w:sz w:val="20"/>
          <w:lang w:val="pt-BR"/>
        </w:rPr>
        <w:t>Humberto Antonio Sierra Porto</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Elizabeth Odio Benito</w:t>
      </w:r>
    </w:p>
    <w:p w14:paraId="09AFF3F3" w14:textId="77777777" w:rsidR="000F0C82" w:rsidRPr="00D0325C" w:rsidRDefault="000F0C82" w:rsidP="000F0C82">
      <w:pPr>
        <w:jc w:val="both"/>
        <w:rPr>
          <w:rFonts w:ascii="Verdana" w:hAnsi="Verdana"/>
          <w:sz w:val="20"/>
          <w:lang w:val="pt-BR"/>
        </w:rPr>
      </w:pPr>
    </w:p>
    <w:p w14:paraId="3E2E577E" w14:textId="77777777" w:rsidR="000F0C82" w:rsidRPr="00D0325C" w:rsidRDefault="000F0C82" w:rsidP="000F0C82">
      <w:pPr>
        <w:jc w:val="both"/>
        <w:rPr>
          <w:rFonts w:ascii="Verdana" w:hAnsi="Verdana"/>
          <w:sz w:val="20"/>
          <w:lang w:val="pt-BR"/>
        </w:rPr>
      </w:pPr>
    </w:p>
    <w:p w14:paraId="12DF48AE" w14:textId="77777777" w:rsidR="000F0C82" w:rsidRPr="00D0325C" w:rsidRDefault="000F0C82" w:rsidP="000F0C82">
      <w:pPr>
        <w:jc w:val="center"/>
        <w:rPr>
          <w:rFonts w:ascii="Verdana" w:hAnsi="Verdana"/>
          <w:sz w:val="20"/>
          <w:lang w:val="pt-BR"/>
        </w:rPr>
      </w:pPr>
      <w:r w:rsidRPr="00D0325C">
        <w:rPr>
          <w:rFonts w:ascii="Verdana" w:hAnsi="Verdana"/>
          <w:sz w:val="20"/>
          <w:lang w:val="pt-BR"/>
        </w:rPr>
        <w:t>Eugenio Raúl Zaffaroni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L. Patricio Pazmiño Freire</w:t>
      </w:r>
    </w:p>
    <w:p w14:paraId="287F70DA" w14:textId="77777777" w:rsidR="000F0C82" w:rsidRPr="00D0325C" w:rsidRDefault="000F0C82" w:rsidP="000F0C82">
      <w:pPr>
        <w:jc w:val="both"/>
        <w:rPr>
          <w:rFonts w:ascii="Verdana" w:hAnsi="Verdana"/>
          <w:sz w:val="20"/>
          <w:lang w:val="pt-BR"/>
        </w:rPr>
      </w:pPr>
    </w:p>
    <w:p w14:paraId="3C1917AA" w14:textId="77777777" w:rsidR="000F0C82" w:rsidRPr="00D0325C" w:rsidRDefault="000F0C82" w:rsidP="000F0C82">
      <w:pPr>
        <w:jc w:val="both"/>
        <w:rPr>
          <w:rFonts w:ascii="Verdana" w:hAnsi="Verdana"/>
          <w:sz w:val="20"/>
          <w:lang w:val="pt-BR"/>
        </w:rPr>
      </w:pPr>
    </w:p>
    <w:p w14:paraId="29AD9EA4" w14:textId="77777777" w:rsidR="000F0C82" w:rsidRPr="004B7A1D" w:rsidRDefault="000F0C82" w:rsidP="000F0C82">
      <w:pPr>
        <w:jc w:val="center"/>
        <w:rPr>
          <w:rFonts w:ascii="Verdana" w:hAnsi="Verdana"/>
          <w:sz w:val="20"/>
          <w:lang w:val="es-ES"/>
        </w:rPr>
      </w:pPr>
      <w:r w:rsidRPr="004B7A1D">
        <w:rPr>
          <w:rFonts w:ascii="Verdana" w:hAnsi="Verdana"/>
          <w:sz w:val="20"/>
          <w:lang w:val="es-ES"/>
        </w:rPr>
        <w:t>Pablo Saavedra Alessandri</w:t>
      </w:r>
    </w:p>
    <w:p w14:paraId="04ABB0CE" w14:textId="77777777" w:rsidR="000F0C82" w:rsidRPr="004B7A1D" w:rsidRDefault="000F0C82" w:rsidP="000F0C82">
      <w:pPr>
        <w:jc w:val="center"/>
        <w:rPr>
          <w:rFonts w:ascii="Verdana" w:hAnsi="Verdana"/>
          <w:sz w:val="20"/>
          <w:lang w:val="es-ES"/>
        </w:rPr>
      </w:pPr>
      <w:r w:rsidRPr="004B7A1D">
        <w:rPr>
          <w:rFonts w:ascii="Verdana" w:hAnsi="Verdana"/>
          <w:sz w:val="20"/>
          <w:lang w:val="es-ES"/>
        </w:rPr>
        <w:t>Secretario</w:t>
      </w:r>
    </w:p>
    <w:p w14:paraId="49AA7D4B" w14:textId="77777777" w:rsidR="000F0C82" w:rsidRPr="004B7A1D" w:rsidRDefault="000F0C82" w:rsidP="000F0C82">
      <w:pPr>
        <w:rPr>
          <w:rFonts w:ascii="Verdana" w:hAnsi="Verdana"/>
          <w:sz w:val="20"/>
          <w:lang w:val="es-ES"/>
        </w:rPr>
      </w:pPr>
    </w:p>
    <w:p w14:paraId="2C957167" w14:textId="77777777" w:rsidR="000F0C82" w:rsidRPr="004B7A1D" w:rsidRDefault="000F0C82" w:rsidP="000F0C82">
      <w:pPr>
        <w:pStyle w:val="FootnoteText"/>
        <w:rPr>
          <w:rFonts w:ascii="Verdana" w:hAnsi="Verdana"/>
          <w:lang w:val="es-ES"/>
        </w:rPr>
      </w:pPr>
    </w:p>
    <w:p w14:paraId="7C2C3702" w14:textId="77777777" w:rsidR="000F0C82" w:rsidRDefault="000F0C82" w:rsidP="000F0C82">
      <w:pPr>
        <w:jc w:val="both"/>
        <w:rPr>
          <w:rFonts w:ascii="Verdana" w:hAnsi="Verdana"/>
          <w:sz w:val="20"/>
          <w:lang w:val="es-ES"/>
        </w:rPr>
      </w:pPr>
      <w:r w:rsidRPr="004B7A1D">
        <w:rPr>
          <w:rFonts w:ascii="Verdana" w:hAnsi="Verdana"/>
          <w:sz w:val="20"/>
          <w:lang w:val="es-ES"/>
        </w:rPr>
        <w:t>Comuníquese y ejecútese,</w:t>
      </w:r>
    </w:p>
    <w:p w14:paraId="59559C52" w14:textId="77777777" w:rsidR="000F0C82" w:rsidRPr="004B7A1D" w:rsidRDefault="000F0C82" w:rsidP="000F0C82">
      <w:pPr>
        <w:jc w:val="both"/>
        <w:rPr>
          <w:rFonts w:ascii="Verdana" w:hAnsi="Verdana"/>
          <w:sz w:val="20"/>
          <w:lang w:val="es-ES"/>
        </w:rPr>
      </w:pPr>
    </w:p>
    <w:p w14:paraId="445AEBA7" w14:textId="77777777" w:rsidR="000F0C82" w:rsidRDefault="000F0C82" w:rsidP="000F0C82">
      <w:pPr>
        <w:ind w:left="4956"/>
        <w:jc w:val="center"/>
        <w:rPr>
          <w:rFonts w:ascii="Verdana" w:hAnsi="Verdana"/>
          <w:sz w:val="20"/>
          <w:lang w:val="pt-BR"/>
        </w:rPr>
      </w:pPr>
      <w:r>
        <w:rPr>
          <w:rFonts w:ascii="Verdana" w:hAnsi="Verdana"/>
          <w:sz w:val="20"/>
          <w:lang w:val="pt-BR"/>
        </w:rPr>
        <w:t xml:space="preserve">      </w:t>
      </w:r>
      <w:r w:rsidRPr="00D0325C">
        <w:rPr>
          <w:rFonts w:ascii="Verdana" w:hAnsi="Verdana"/>
          <w:sz w:val="20"/>
          <w:lang w:val="pt-BR"/>
        </w:rPr>
        <w:t>Eduardo Vio Grossi</w:t>
      </w:r>
      <w:r w:rsidRPr="006E102A">
        <w:rPr>
          <w:rFonts w:ascii="Verdana" w:hAnsi="Verdana"/>
          <w:sz w:val="20"/>
          <w:lang w:val="pt-BR"/>
        </w:rPr>
        <w:t xml:space="preserve"> </w:t>
      </w:r>
      <w:r>
        <w:rPr>
          <w:rFonts w:ascii="Verdana" w:hAnsi="Verdana"/>
          <w:sz w:val="20"/>
          <w:lang w:val="pt-BR"/>
        </w:rPr>
        <w:tab/>
      </w:r>
    </w:p>
    <w:p w14:paraId="6F0F34CA" w14:textId="77777777" w:rsidR="000F0C82" w:rsidRPr="00D0325C" w:rsidRDefault="000F0C82" w:rsidP="000F0C82">
      <w:pPr>
        <w:ind w:left="4956"/>
        <w:jc w:val="center"/>
        <w:rPr>
          <w:rFonts w:ascii="Verdana" w:hAnsi="Verdana"/>
          <w:sz w:val="20"/>
          <w:lang w:val="pt-BR"/>
        </w:rPr>
      </w:pPr>
      <w:r>
        <w:rPr>
          <w:rFonts w:ascii="Verdana" w:hAnsi="Verdana"/>
          <w:sz w:val="20"/>
          <w:lang w:val="pt-BR"/>
        </w:rPr>
        <w:t>Presidente en Ejercicio</w:t>
      </w:r>
    </w:p>
    <w:p w14:paraId="35692265" w14:textId="77777777" w:rsidR="000F0C82" w:rsidRPr="002A1BD4" w:rsidRDefault="000F0C82" w:rsidP="000F0C82">
      <w:pPr>
        <w:jc w:val="both"/>
        <w:rPr>
          <w:rFonts w:ascii="Verdana" w:hAnsi="Verdana"/>
          <w:sz w:val="20"/>
          <w:lang w:val="pt-BR"/>
        </w:rPr>
      </w:pPr>
    </w:p>
    <w:p w14:paraId="1D593DA8" w14:textId="77777777" w:rsidR="000F0C82" w:rsidRDefault="000F0C82" w:rsidP="000F0C82">
      <w:pPr>
        <w:jc w:val="both"/>
        <w:rPr>
          <w:rFonts w:ascii="Verdana" w:hAnsi="Verdana"/>
          <w:sz w:val="20"/>
          <w:lang w:val="es-ES"/>
        </w:rPr>
      </w:pPr>
    </w:p>
    <w:p w14:paraId="039F1C05" w14:textId="77777777" w:rsidR="000F0C82" w:rsidRPr="004B7A1D" w:rsidRDefault="000F0C82" w:rsidP="000F0C82">
      <w:pPr>
        <w:jc w:val="both"/>
        <w:rPr>
          <w:rFonts w:ascii="Verdana" w:hAnsi="Verdana"/>
          <w:sz w:val="20"/>
          <w:lang w:val="es-ES"/>
        </w:rPr>
      </w:pPr>
    </w:p>
    <w:p w14:paraId="0A0291F5" w14:textId="77777777" w:rsidR="000F0C82" w:rsidRPr="004B7A1D" w:rsidRDefault="000F0C82" w:rsidP="000F0C82">
      <w:pPr>
        <w:jc w:val="both"/>
        <w:rPr>
          <w:rFonts w:ascii="Verdana" w:hAnsi="Verdana"/>
          <w:sz w:val="20"/>
          <w:lang w:val="es-ES"/>
        </w:rPr>
      </w:pPr>
    </w:p>
    <w:p w14:paraId="1FA628F1" w14:textId="77777777" w:rsidR="000F0C82" w:rsidRPr="004B7A1D" w:rsidRDefault="000F0C82" w:rsidP="000F0C82">
      <w:pPr>
        <w:jc w:val="both"/>
        <w:rPr>
          <w:rFonts w:ascii="Verdana" w:hAnsi="Verdana"/>
          <w:sz w:val="20"/>
          <w:lang w:val="es-ES"/>
        </w:rPr>
      </w:pPr>
      <w:r w:rsidRPr="004B7A1D">
        <w:rPr>
          <w:rFonts w:ascii="Verdana" w:hAnsi="Verdana"/>
          <w:sz w:val="20"/>
          <w:lang w:val="es-ES"/>
        </w:rPr>
        <w:t>Pablo Saavedra Alessandri</w:t>
      </w:r>
    </w:p>
    <w:p w14:paraId="1D559455" w14:textId="088C49D9" w:rsidR="000F0C82" w:rsidRPr="000F0C82" w:rsidRDefault="000F0C82" w:rsidP="000F0C82">
      <w:r w:rsidRPr="004B7A1D">
        <w:rPr>
          <w:rFonts w:ascii="Verdana" w:hAnsi="Verdana"/>
          <w:sz w:val="20"/>
          <w:lang w:val="es-ES"/>
        </w:rPr>
        <w:tab/>
      </w:r>
      <w:r w:rsidRPr="004B7A1D">
        <w:rPr>
          <w:rFonts w:ascii="Verdana" w:hAnsi="Verdana"/>
          <w:sz w:val="20"/>
        </w:rPr>
        <w:t>Secretario</w:t>
      </w:r>
      <w:bookmarkStart w:id="9" w:name="_GoBack"/>
      <w:bookmarkEnd w:id="9"/>
    </w:p>
    <w:sectPr w:rsidR="000F0C82" w:rsidRPr="000F0C82" w:rsidSect="00C53B5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DD4D5" w14:textId="77777777" w:rsidR="00CF71F1" w:rsidRDefault="00CF71F1" w:rsidP="000216D0">
      <w:pPr>
        <w:spacing w:after="0" w:line="240" w:lineRule="auto"/>
      </w:pPr>
      <w:r>
        <w:separator/>
      </w:r>
    </w:p>
  </w:endnote>
  <w:endnote w:type="continuationSeparator" w:id="0">
    <w:p w14:paraId="3A34EB3D" w14:textId="77777777" w:rsidR="00CF71F1" w:rsidRDefault="00CF71F1" w:rsidP="0002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7918" w14:textId="77777777" w:rsidR="00CF71F1" w:rsidRDefault="00CF71F1" w:rsidP="000216D0">
      <w:pPr>
        <w:spacing w:after="0" w:line="240" w:lineRule="auto"/>
      </w:pPr>
      <w:r>
        <w:separator/>
      </w:r>
    </w:p>
  </w:footnote>
  <w:footnote w:type="continuationSeparator" w:id="0">
    <w:p w14:paraId="477F6246" w14:textId="77777777" w:rsidR="00CF71F1" w:rsidRDefault="00CF71F1" w:rsidP="000216D0">
      <w:pPr>
        <w:spacing w:after="0" w:line="240" w:lineRule="auto"/>
      </w:pPr>
      <w:r>
        <w:continuationSeparator/>
      </w:r>
    </w:p>
  </w:footnote>
  <w:footnote w:id="1">
    <w:p w14:paraId="39C3E322"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t>*</w:t>
      </w:r>
      <w:r w:rsidRPr="00AD739A">
        <w:rPr>
          <w:rFonts w:ascii="Verdana" w:hAnsi="Verdana"/>
          <w:sz w:val="16"/>
          <w:szCs w:val="16"/>
          <w:lang w:val="es-ES_tradnl"/>
        </w:rPr>
        <w:tab/>
        <w:t xml:space="preserve">El Juez Eduardo Ferrer Mac-Gregor Poisot, de nacionalidad mexicana, no participó en la deliberación y firma de la Sentencia del presente caso, ni en el conocimiento y deliberación de la presente Resolución, de conformidad con lo dispuesto en el artículo 19.1 del Reglamento de la Corte. </w:t>
      </w:r>
    </w:p>
  </w:footnote>
  <w:footnote w:id="2">
    <w:p w14:paraId="2AED5590"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w:t>
      </w:r>
      <w:r w:rsidRPr="00AD739A">
        <w:rPr>
          <w:rFonts w:ascii="Verdana" w:hAnsi="Verdana"/>
          <w:sz w:val="16"/>
          <w:szCs w:val="16"/>
          <w:lang w:val="es-ES_tradnl"/>
        </w:rPr>
        <w:t xml:space="preserve">. </w:t>
      </w:r>
      <w:r w:rsidRPr="00AD739A">
        <w:rPr>
          <w:rFonts w:ascii="Verdana" w:hAnsi="Verdana"/>
          <w:i/>
          <w:sz w:val="16"/>
          <w:szCs w:val="16"/>
          <w:lang w:val="es-ES_tradnl"/>
        </w:rPr>
        <w:t>Caso García Cruz y Sánchez Silvestre Vs. México. Fondo, Reparaciones y Costas</w:t>
      </w:r>
      <w:r w:rsidRPr="00AD739A">
        <w:rPr>
          <w:rFonts w:ascii="Verdana" w:hAnsi="Verdana"/>
          <w:sz w:val="16"/>
          <w:szCs w:val="16"/>
          <w:lang w:val="es-ES_tradnl"/>
        </w:rPr>
        <w:t xml:space="preserve">. Sentencia de 26 de noviembre de 2013. Serie C No. 273. El texto íntegro de la Sentencia se encuentra disponible en: </w:t>
      </w:r>
      <w:hyperlink r:id="rId1" w:history="1">
        <w:r w:rsidRPr="00AD739A">
          <w:rPr>
            <w:rStyle w:val="Hyperlink"/>
            <w:rFonts w:ascii="Verdana" w:hAnsi="Verdana"/>
            <w:sz w:val="16"/>
            <w:szCs w:val="16"/>
            <w:lang w:val="es-ES_tradnl"/>
          </w:rPr>
          <w:t>http://corteidh.or.cr/docs/casos/articulos/seriec_273_esp.pdf</w:t>
        </w:r>
      </w:hyperlink>
      <w:r w:rsidRPr="00AD739A">
        <w:rPr>
          <w:rFonts w:ascii="Verdana" w:hAnsi="Verdana"/>
          <w:sz w:val="16"/>
          <w:szCs w:val="16"/>
          <w:lang w:val="es-ES_tradnl"/>
        </w:rPr>
        <w:t xml:space="preserve">. La Sentencia fue notificada al Estado el 16 de diciembre de 2013. </w:t>
      </w:r>
    </w:p>
  </w:footnote>
  <w:footnote w:id="3">
    <w:p w14:paraId="6DF8305B" w14:textId="361DEAE0" w:rsidR="00CF71F1" w:rsidRPr="00AD739A" w:rsidRDefault="00CF71F1" w:rsidP="00E34506">
      <w:pPr>
        <w:tabs>
          <w:tab w:val="num" w:pos="0"/>
        </w:tabs>
        <w:autoSpaceDE w:val="0"/>
        <w:autoSpaceDN w:val="0"/>
        <w:adjustRightInd w:val="0"/>
        <w:spacing w:after="0" w:line="240" w:lineRule="auto"/>
        <w:jc w:val="both"/>
        <w:rPr>
          <w:rFonts w:ascii="Verdana" w:hAnsi="Verdana"/>
          <w:i/>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cs="Arial"/>
          <w:sz w:val="16"/>
          <w:szCs w:val="16"/>
          <w:lang w:val="es-ES_tradnl"/>
        </w:rPr>
        <w:t xml:space="preserve">Durante el proceso ante la Corte, los representantes comunicaron que habían sido informados por sus representados que las víctimas tienen otros nombres distintos a los </w:t>
      </w:r>
      <w:r w:rsidR="00FF214F">
        <w:rPr>
          <w:rFonts w:ascii="Verdana" w:hAnsi="Verdana" w:cs="Arial"/>
          <w:sz w:val="16"/>
          <w:szCs w:val="16"/>
          <w:lang w:val="es-ES_tradnl"/>
        </w:rPr>
        <w:t xml:space="preserve">que constan </w:t>
      </w:r>
      <w:r w:rsidRPr="00AD739A">
        <w:rPr>
          <w:rFonts w:ascii="Verdana" w:hAnsi="Verdana" w:cs="Arial"/>
          <w:sz w:val="16"/>
          <w:szCs w:val="16"/>
          <w:lang w:val="es-ES_tradnl"/>
        </w:rPr>
        <w:t>en los procesos penales internos seguidos en su contra y en este proceso internacional y explicaron que habían ocultado su verdadera identidad por el temor de que sus familiares sufrieran represalias. Por tanto, solicitaron al Tribunal “guardar estricta confidencialidad […] de los datos personales de las víctimas”.</w:t>
      </w:r>
      <w:r w:rsidRPr="00AD739A">
        <w:rPr>
          <w:rFonts w:ascii="Verdana" w:hAnsi="Verdana"/>
          <w:i/>
          <w:sz w:val="16"/>
          <w:szCs w:val="16"/>
          <w:lang w:val="es-ES_tradnl"/>
        </w:rPr>
        <w:t xml:space="preserve"> </w:t>
      </w:r>
      <w:r w:rsidRPr="00AD739A">
        <w:rPr>
          <w:rFonts w:ascii="Verdana" w:hAnsi="Verdana"/>
          <w:sz w:val="16"/>
          <w:szCs w:val="16"/>
          <w:lang w:val="es-ES_tradnl"/>
        </w:rPr>
        <w:t>La Corte accedió a la referida solicitud fundada de reserva de identidad de las víctimas, en aras de proteger su integridad y seguridad personal y la de sus familiares.</w:t>
      </w:r>
      <w:r w:rsidRPr="00AD739A">
        <w:rPr>
          <w:rFonts w:ascii="Verdana" w:hAnsi="Verdana"/>
          <w:i/>
          <w:sz w:val="16"/>
          <w:szCs w:val="16"/>
          <w:lang w:val="es-ES_tradnl"/>
        </w:rPr>
        <w:t xml:space="preserve"> Cfr. Caso García Cruz y Sánchez Silvestre Vs. México</w:t>
      </w:r>
      <w:r w:rsidRPr="00AD739A">
        <w:rPr>
          <w:rFonts w:ascii="Verdana" w:hAnsi="Verdana"/>
          <w:sz w:val="16"/>
          <w:szCs w:val="16"/>
          <w:lang w:val="es-ES_tradnl"/>
        </w:rPr>
        <w:t xml:space="preserve">, </w:t>
      </w:r>
      <w:r w:rsidRPr="00AD739A">
        <w:rPr>
          <w:rFonts w:ascii="Verdana" w:hAnsi="Verdana"/>
          <w:i/>
          <w:sz w:val="16"/>
          <w:szCs w:val="16"/>
          <w:lang w:val="es-ES_tradnl"/>
        </w:rPr>
        <w:t>supra</w:t>
      </w:r>
      <w:r w:rsidR="00FF214F">
        <w:rPr>
          <w:rFonts w:ascii="Verdana" w:hAnsi="Verdana"/>
          <w:sz w:val="16"/>
          <w:szCs w:val="16"/>
          <w:lang w:val="es-ES_tradnl"/>
        </w:rPr>
        <w:t xml:space="preserve"> nota 1, pá</w:t>
      </w:r>
      <w:r w:rsidRPr="00AD739A">
        <w:rPr>
          <w:rFonts w:ascii="Verdana" w:hAnsi="Verdana"/>
          <w:sz w:val="16"/>
          <w:szCs w:val="16"/>
          <w:lang w:val="es-ES_tradnl"/>
        </w:rPr>
        <w:t>rrs. 27 y 28.</w:t>
      </w:r>
    </w:p>
  </w:footnote>
  <w:footnote w:id="4">
    <w:p w14:paraId="6563F1FE" w14:textId="0DFE1BCB"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 xml:space="preserve"> </w:t>
      </w:r>
      <w:r w:rsidRPr="00AD739A">
        <w:rPr>
          <w:rFonts w:ascii="Verdana" w:hAnsi="Verdana"/>
          <w:i/>
          <w:sz w:val="16"/>
          <w:szCs w:val="16"/>
          <w:lang w:val="es-ES_tradnl"/>
        </w:rPr>
        <w:t>Cfr.</w:t>
      </w:r>
      <w:r w:rsidRPr="00AD739A">
        <w:rPr>
          <w:rFonts w:ascii="Verdana" w:hAnsi="Verdana"/>
          <w:sz w:val="16"/>
          <w:szCs w:val="16"/>
          <w:lang w:val="es-ES_tradnl"/>
        </w:rPr>
        <w:t xml:space="preserve"> </w:t>
      </w:r>
      <w:r w:rsidRPr="00AD739A">
        <w:rPr>
          <w:rFonts w:ascii="Verdana" w:hAnsi="Verdana"/>
          <w:i/>
          <w:sz w:val="16"/>
          <w:szCs w:val="16"/>
          <w:lang w:val="es-ES_tradnl"/>
        </w:rPr>
        <w:t>Caso García Cruz y Sánchez Silvestre Vs. México. Supervisión de Cumplimiento de Sentencia</w:t>
      </w:r>
      <w:r w:rsidRPr="00AD739A">
        <w:rPr>
          <w:rFonts w:ascii="Verdana" w:hAnsi="Verdana"/>
          <w:sz w:val="16"/>
          <w:szCs w:val="16"/>
          <w:lang w:val="es-ES_tradnl"/>
        </w:rPr>
        <w:t>. Resolución de la Corte Interamericana de Derechos Humanos de 1 de septiembre de 2016.</w:t>
      </w:r>
    </w:p>
  </w:footnote>
  <w:footnote w:id="5">
    <w:p w14:paraId="46477C82" w14:textId="7BDBEE1D"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Escritos de  26 de diciembre de 2014; 15 de enero de 2015; 12 de enero y 5 de febrero de 2016; 13 y 31 de marzo de 2017 y 8 de febrero de 2018.</w:t>
      </w:r>
    </w:p>
  </w:footnote>
  <w:footnote w:id="6">
    <w:p w14:paraId="3F805BE5" w14:textId="3ABC0EB6"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Las víctimas del presente caso son representandas por las organizaciones Servicios Legales e Investigación y Estudios Jurídicos (SLIEJ) y el Centro por la Justicia y el Derecho Internacional (CEJIL).</w:t>
      </w:r>
    </w:p>
  </w:footnote>
  <w:footnote w:id="7">
    <w:p w14:paraId="3A5243C6" w14:textId="07235556"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Escritos de 26 de febrero de 2015; 22 de marzo, 28 de abril y 27 de octubre de 2016; 26 de mayo de 2017 y 10 de mayo de 2018.</w:t>
      </w:r>
    </w:p>
  </w:footnote>
  <w:footnote w:id="8">
    <w:p w14:paraId="00FEC5C5"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Escritos de 10 de abril de 2015, 22 de abril de 2016, 3 de septiembre de 2017 y 4 de octubre de 2018.</w:t>
      </w:r>
    </w:p>
  </w:footnote>
  <w:footnote w:id="9">
    <w:p w14:paraId="48F5CAF1" w14:textId="77777777" w:rsidR="00CF71F1" w:rsidRPr="00AD739A" w:rsidRDefault="00CF71F1" w:rsidP="00E34506">
      <w:pPr>
        <w:pStyle w:val="FootnoteText"/>
        <w:ind w:right="4"/>
        <w:jc w:val="both"/>
        <w:rPr>
          <w:rFonts w:ascii="Verdana" w:hAnsi="Verdana" w:cs="Times New Roman"/>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Facultad que además se desprende de lo dispuesto en los artículos 33, 62.1, 62.3 y 65 de la Convención Americana y 30 de su Estatuto y se encuentra regulada en el artículo 69 de su Reglamento.</w:t>
      </w:r>
    </w:p>
  </w:footnote>
  <w:footnote w:id="10">
    <w:p w14:paraId="1877581F" w14:textId="054E371D"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 xml:space="preserve">En dicha resolución, la Corte supervisó las medidas referentes a: i) realizar las publicaciones dispuestas en la Sentencia; ii) garantizar becas de estudio; iii) la entrega en propiedad de viviendas en el Distrito Federal, y iv) el pago de indemnizaciones por concepto de daños materiales e inmateriales y el reintegro de costas y gastos. </w:t>
      </w:r>
      <w:r w:rsidRPr="00AD739A">
        <w:rPr>
          <w:rFonts w:ascii="Verdana" w:hAnsi="Verdana"/>
          <w:i/>
          <w:sz w:val="16"/>
          <w:szCs w:val="16"/>
          <w:lang w:val="es-ES_tradnl"/>
        </w:rPr>
        <w:t>Cfr</w:t>
      </w:r>
      <w:r w:rsidRPr="00AD739A">
        <w:rPr>
          <w:rFonts w:ascii="Verdana" w:hAnsi="Verdana"/>
          <w:sz w:val="16"/>
          <w:szCs w:val="16"/>
          <w:lang w:val="es-ES_tradnl"/>
        </w:rPr>
        <w:t>.</w:t>
      </w:r>
      <w:r w:rsidRPr="00AD739A">
        <w:rPr>
          <w:rFonts w:ascii="Verdana" w:hAnsi="Verdana"/>
          <w:i/>
          <w:sz w:val="16"/>
          <w:szCs w:val="16"/>
          <w:lang w:val="es-ES_tradnl"/>
        </w:rPr>
        <w:t xml:space="preserve"> </w:t>
      </w:r>
      <w:r w:rsidRPr="00AD739A">
        <w:rPr>
          <w:rFonts w:ascii="Verdana" w:hAnsi="Verdana"/>
          <w:bCs/>
          <w:i/>
          <w:sz w:val="16"/>
          <w:szCs w:val="16"/>
          <w:lang w:val="es-ES_tradnl"/>
        </w:rPr>
        <w:t xml:space="preserve">Caso García Cruz y Sánchez Silvestre Vs. México, supra </w:t>
      </w:r>
      <w:r w:rsidRPr="00AD739A">
        <w:rPr>
          <w:rFonts w:ascii="Verdana" w:hAnsi="Verdana"/>
          <w:bCs/>
          <w:sz w:val="16"/>
          <w:szCs w:val="16"/>
          <w:lang w:val="es-ES_tradnl"/>
        </w:rPr>
        <w:t>nota 3.</w:t>
      </w:r>
    </w:p>
  </w:footnote>
  <w:footnote w:id="11">
    <w:p w14:paraId="357C50AA" w14:textId="2BC4C9F2"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 xml:space="preserve">Relativas a: i) realizar las publicaciones establecidas en la Sentencia; ii) realizar el pago de las indemnizaciones por concepto de daños materiales e inmateriales; y iii) realizar el reintegro de costas y gastos. </w:t>
      </w:r>
    </w:p>
  </w:footnote>
  <w:footnote w:id="12">
    <w:p w14:paraId="7D2F5475" w14:textId="48DE980C"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 xml:space="preserve">Relativas a: i) garantizar la educación de las víctimas y de la hija del señor Sánchez Silvestre hasta la conclusión de sus estudios universitarios o técnicos, según sea su interés, a través del pago de becas educativas, y ii) entregar en propiedad una vivienda en el Distrito Federal a cada víctima a través del INVI. </w:t>
      </w:r>
    </w:p>
  </w:footnote>
  <w:footnote w:id="13">
    <w:p w14:paraId="1BC81061" w14:textId="17B6CF8F" w:rsidR="00CF71F1" w:rsidRPr="00AD739A" w:rsidRDefault="00CF71F1" w:rsidP="00E34506">
      <w:pPr>
        <w:spacing w:after="0" w:line="240" w:lineRule="auto"/>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Relativas a: i) realizar y proseguir de modo diligente todas las investigaciones y actuaciones necesarias para deslindar responsabilidades y, en su caso, sancionar la comisión del delito de tortura, en perjuicio de los señores García Cruz y Sánchez Silvestre; ii) eliminar los antecedentes penales que pudiesen existir en contra de los señores García Cruz y Sánchez Silvestre, en relación con los hechos del caso; iii) otorgar a las víctimas atención médica preferencial y gratuita a través del “Programa de Acceso Gratuito a los Servicios Médicos y Medicamentos a las Personas Residentes en el Distrito Federal que Carecen de Seguridad Social Laboral” y brindarles atención psicológica a través de la “Procuraduría Social de Atención a las Víctimas de Delitos”; iv) otorgar a la esposa del señor Sánchez Silvestre atención médica gratuita; v) realizar un acto público de reconocimiento de responsabilidad internacional y disculpa pública; vi) “garantizar la educación de las víctimas hasta la conclusión de sus estudios universitarios o técnicos, según sea su interés, a través del pago de becas educativas; vii) garantizar la educación de la hija del señor Santiago Sánchez Silvestre, hasta la conclusión de sus estudios universitarios o técnicos, según sea el interés que en su momento tenga la misma, a través de una beca escolar; viii) entregar en propiedad una vivienda en el Distrito Federal a cada víctima, a través del “Programa de Vivienda Nueva en Conjunto a cargo del Instituto de Vivienda del Distrito Federal”; ix) realizar un seminario con expertos para debatir la aplicación de la doctrina de la inmediatez procesal utilizada por la Suprema Corte de Justicia de la Nación y hacer llegar las conclusiones de dicho evento a diversos servidores públicos encargados de la defensoría de oficio, así como de la procuración e impartición de justicia, y x) efectuar un “Programa para operadores de justicia” para continuar otorgando capacitación a los servidores públicos encargados de la defensoría de oficio, así como de la procuración, e impartición de justicia bajo los estándares internacionales más altos, para que puedan identificar, reaccionar, prevenir, denunciar y sancionar, el uso de técnicas de tortura.</w:t>
      </w:r>
    </w:p>
  </w:footnote>
  <w:footnote w:id="14">
    <w:p w14:paraId="65292716"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 Caso Cinco Pensionistas Vs. Perú. Supervisión de Cumplimiento de Sentencia</w:t>
      </w:r>
      <w:r w:rsidRPr="00AD739A">
        <w:rPr>
          <w:rFonts w:ascii="Verdana" w:hAnsi="Verdana"/>
          <w:sz w:val="16"/>
          <w:szCs w:val="16"/>
          <w:lang w:val="es-ES_tradnl"/>
        </w:rPr>
        <w:t xml:space="preserve">. Resolución de la Corte Interamericana de Derechos Humanos de 17 de noviembre de 2014, Considerando 5, y </w:t>
      </w:r>
      <w:r w:rsidRPr="00AD739A">
        <w:rPr>
          <w:rFonts w:ascii="Verdana" w:hAnsi="Verdana"/>
          <w:i/>
          <w:sz w:val="16"/>
          <w:szCs w:val="16"/>
          <w:lang w:val="es-ES_tradnl"/>
        </w:rPr>
        <w:t>Caso El Amparo Vs. Venezuela. Supervisión de Cumplimiento de Sentencia</w:t>
      </w:r>
      <w:r w:rsidRPr="00AD739A">
        <w:rPr>
          <w:rFonts w:ascii="Verdana" w:hAnsi="Verdana"/>
          <w:sz w:val="16"/>
          <w:szCs w:val="16"/>
          <w:lang w:val="es-ES_tradnl"/>
        </w:rPr>
        <w:t>. Resolución de la Corte Interamericana de Derechos Humanos de 22 de noviembre de 2018, Considerando 2.</w:t>
      </w:r>
    </w:p>
  </w:footnote>
  <w:footnote w:id="15">
    <w:p w14:paraId="76CD6CA0" w14:textId="28BB0AA6" w:rsidR="00CF71F1" w:rsidRPr="00AD739A" w:rsidRDefault="00CF71F1" w:rsidP="00E34506">
      <w:pPr>
        <w:pStyle w:val="FootnoteText"/>
        <w:tabs>
          <w:tab w:val="left" w:pos="720"/>
        </w:tabs>
        <w:ind w:right="48"/>
        <w:jc w:val="both"/>
        <w:rPr>
          <w:rFonts w:ascii="Verdana" w:hAnsi="Verdana"/>
          <w:bCs/>
          <w:sz w:val="16"/>
          <w:szCs w:val="16"/>
          <w:shd w:val="clear" w:color="auto" w:fill="FFFFFF"/>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noProof/>
          <w:sz w:val="16"/>
          <w:szCs w:val="16"/>
          <w:lang w:val="es-ES_tradnl"/>
        </w:rPr>
        <w:t>Cfr. Caso Ivcher Bronstein Vs. Perú. Competencia.</w:t>
      </w:r>
      <w:r w:rsidRPr="00AD739A">
        <w:rPr>
          <w:rFonts w:ascii="Verdana" w:hAnsi="Verdana"/>
          <w:noProof/>
          <w:sz w:val="16"/>
          <w:szCs w:val="16"/>
          <w:lang w:val="es-ES_tradnl"/>
        </w:rPr>
        <w:t xml:space="preserve"> Sentencia de la Corte Interamericana de Derechos Humanos de 24 de septiembre de 1999.</w:t>
      </w:r>
      <w:r w:rsidRPr="00AD739A">
        <w:rPr>
          <w:rFonts w:ascii="Verdana" w:hAnsi="Verdana"/>
          <w:sz w:val="16"/>
          <w:szCs w:val="16"/>
          <w:lang w:val="es-ES_tradnl"/>
        </w:rPr>
        <w:t xml:space="preserve"> </w:t>
      </w:r>
      <w:r w:rsidRPr="00AD739A">
        <w:rPr>
          <w:rFonts w:ascii="Verdana" w:hAnsi="Verdana"/>
          <w:noProof/>
          <w:sz w:val="16"/>
          <w:szCs w:val="16"/>
          <w:lang w:val="es-ES_tradnl"/>
        </w:rPr>
        <w:t xml:space="preserve">Serie C No. 54, párr. 37 </w:t>
      </w:r>
      <w:r w:rsidRPr="00AD739A">
        <w:rPr>
          <w:rFonts w:ascii="Verdana" w:hAnsi="Verdana"/>
          <w:bCs/>
          <w:sz w:val="16"/>
          <w:szCs w:val="16"/>
          <w:lang w:val="es-ES_tradnl" w:bidi="en-US"/>
        </w:rPr>
        <w:t xml:space="preserve">y </w:t>
      </w:r>
      <w:r w:rsidRPr="00AD739A">
        <w:rPr>
          <w:rFonts w:ascii="Verdana" w:hAnsi="Verdana"/>
          <w:i/>
          <w:sz w:val="16"/>
          <w:szCs w:val="16"/>
          <w:lang w:val="es-ES_tradnl"/>
        </w:rPr>
        <w:t>Caso El Amparo Vs. Venezuela. Supervisión de Cumplimiento de Sentencia</w:t>
      </w:r>
      <w:r w:rsidRPr="00AD739A">
        <w:rPr>
          <w:rFonts w:ascii="Verdana" w:hAnsi="Verdana"/>
          <w:sz w:val="16"/>
          <w:szCs w:val="16"/>
          <w:lang w:val="es-ES_tradnl"/>
        </w:rPr>
        <w:t xml:space="preserve">, </w:t>
      </w:r>
      <w:r w:rsidRPr="00AD739A">
        <w:rPr>
          <w:rFonts w:ascii="Verdana" w:hAnsi="Verdana"/>
          <w:i/>
          <w:sz w:val="16"/>
          <w:szCs w:val="16"/>
          <w:lang w:val="es-ES_tradnl"/>
        </w:rPr>
        <w:t>supra</w:t>
      </w:r>
      <w:r w:rsidRPr="00AD739A">
        <w:rPr>
          <w:rFonts w:ascii="Verdana" w:hAnsi="Verdana"/>
          <w:sz w:val="16"/>
          <w:szCs w:val="16"/>
          <w:lang w:val="es-ES_tradnl"/>
        </w:rPr>
        <w:t xml:space="preserve"> nota 2,  Considerando 3</w:t>
      </w:r>
      <w:r w:rsidRPr="00AD739A">
        <w:rPr>
          <w:rStyle w:val="Strong"/>
          <w:rFonts w:ascii="Verdana" w:hAnsi="Verdana"/>
          <w:b w:val="0"/>
          <w:sz w:val="16"/>
          <w:szCs w:val="16"/>
          <w:lang w:val="es-ES_tradnl"/>
        </w:rPr>
        <w:t>.</w:t>
      </w:r>
    </w:p>
  </w:footnote>
  <w:footnote w:id="16">
    <w:p w14:paraId="41CD3D12" w14:textId="172E6A2A"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 xml:space="preserve">Informe estatal de 13 de marzo de 2017. </w:t>
      </w:r>
    </w:p>
  </w:footnote>
  <w:footnote w:id="17">
    <w:p w14:paraId="79ACBA9F" w14:textId="6AAB82FB"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 xml:space="preserve">Informe estatal de 8 de febrero de 2018. </w:t>
      </w:r>
    </w:p>
  </w:footnote>
  <w:footnote w:id="18">
    <w:p w14:paraId="728052DB" w14:textId="48700A3F"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 xml:space="preserve">Escrito de observaciones de los representantes de 26 de mayo de 2017.  </w:t>
      </w:r>
    </w:p>
  </w:footnote>
  <w:footnote w:id="19">
    <w:p w14:paraId="3FF78761" w14:textId="18553CA0"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 xml:space="preserve">Escrito de observaciones de los representantes de 10 de mayo de 2018. </w:t>
      </w:r>
    </w:p>
  </w:footnote>
  <w:footnote w:id="20">
    <w:p w14:paraId="16117CC4" w14:textId="3535C3C1"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la Comisión de 3 de septiembre de 2017. Ver también escrito de observaciones de la Comisión de 4 de octubre de 2018.</w:t>
      </w:r>
    </w:p>
  </w:footnote>
  <w:footnote w:id="21">
    <w:p w14:paraId="37EC2D97" w14:textId="42FB085E" w:rsidR="00CF71F1" w:rsidRPr="00AD739A" w:rsidRDefault="00CF71F1" w:rsidP="00E34506">
      <w:pPr>
        <w:spacing w:after="0" w:line="240" w:lineRule="auto"/>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bCs/>
          <w:i/>
          <w:sz w:val="16"/>
          <w:szCs w:val="16"/>
          <w:lang w:val="es-ES_tradnl"/>
        </w:rPr>
        <w:t xml:space="preserve">Caso García Cruz y </w:t>
      </w:r>
      <w:r w:rsidR="00FF214F">
        <w:rPr>
          <w:rFonts w:ascii="Verdana" w:hAnsi="Verdana"/>
          <w:bCs/>
          <w:i/>
          <w:sz w:val="16"/>
          <w:szCs w:val="16"/>
          <w:lang w:val="es-ES_tradnl"/>
        </w:rPr>
        <w:t xml:space="preserve">Sánchez Silvestre Vs. México, supra </w:t>
      </w:r>
      <w:r w:rsidR="00FF214F" w:rsidRPr="00FF214F">
        <w:rPr>
          <w:rFonts w:ascii="Verdana" w:hAnsi="Verdana"/>
          <w:bCs/>
          <w:sz w:val="16"/>
          <w:szCs w:val="16"/>
          <w:lang w:val="es-ES_tradnl"/>
        </w:rPr>
        <w:t>nota 1</w:t>
      </w:r>
      <w:r w:rsidRPr="00AD739A">
        <w:rPr>
          <w:rFonts w:ascii="Verdana" w:hAnsi="Verdana"/>
          <w:sz w:val="16"/>
          <w:szCs w:val="16"/>
          <w:lang w:val="es-ES_tradnl"/>
        </w:rPr>
        <w:t>, párr. 57.</w:t>
      </w:r>
    </w:p>
  </w:footnote>
  <w:footnote w:id="22">
    <w:p w14:paraId="7A9DD125"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i/>
          <w:iCs/>
          <w:sz w:val="16"/>
          <w:szCs w:val="16"/>
          <w:lang w:val="es-ES_tradnl"/>
        </w:rPr>
        <w:t>Caso del Caracazo Vs. Venezuela. Supervisión de Cumplimiento de Sentencia</w:t>
      </w:r>
      <w:r w:rsidRPr="00AD739A">
        <w:rPr>
          <w:rFonts w:ascii="Verdana" w:hAnsi="Verdana"/>
          <w:sz w:val="16"/>
          <w:szCs w:val="16"/>
          <w:lang w:val="es-ES_tradnl"/>
        </w:rPr>
        <w:t>. Resolución de la Corte de 30 de mayo de 2018, Considerando 10.</w:t>
      </w:r>
    </w:p>
  </w:footnote>
  <w:footnote w:id="23">
    <w:p w14:paraId="136D69BC" w14:textId="4574089B"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bCs/>
          <w:i/>
          <w:sz w:val="16"/>
          <w:szCs w:val="16"/>
          <w:lang w:val="es-ES_tradnl"/>
        </w:rPr>
        <w:t>Caso García Cruz</w:t>
      </w:r>
      <w:r w:rsidR="00FF214F">
        <w:rPr>
          <w:rFonts w:ascii="Verdana" w:hAnsi="Verdana"/>
          <w:bCs/>
          <w:i/>
          <w:sz w:val="16"/>
          <w:szCs w:val="16"/>
          <w:lang w:val="es-ES_tradnl"/>
        </w:rPr>
        <w:t xml:space="preserve"> y Sánchez Silvestre Vs. México, supra </w:t>
      </w:r>
      <w:r w:rsidR="00FF214F" w:rsidRPr="00FF214F">
        <w:rPr>
          <w:rFonts w:ascii="Verdana" w:hAnsi="Verdana"/>
          <w:bCs/>
          <w:sz w:val="16"/>
          <w:szCs w:val="16"/>
          <w:lang w:val="es-ES_tradnl"/>
        </w:rPr>
        <w:t>nota 1</w:t>
      </w:r>
      <w:r w:rsidRPr="00FF214F">
        <w:rPr>
          <w:rFonts w:ascii="Verdana" w:hAnsi="Verdana"/>
          <w:sz w:val="16"/>
          <w:szCs w:val="16"/>
          <w:lang w:val="es-ES_tradnl"/>
        </w:rPr>
        <w:t>,</w:t>
      </w:r>
      <w:r w:rsidRPr="00AD739A">
        <w:rPr>
          <w:rFonts w:ascii="Verdana" w:hAnsi="Verdana"/>
          <w:sz w:val="16"/>
          <w:szCs w:val="16"/>
          <w:lang w:val="es-ES_tradnl"/>
        </w:rPr>
        <w:t xml:space="preserve"> párr. 51.</w:t>
      </w:r>
    </w:p>
  </w:footnote>
  <w:footnote w:id="24">
    <w:p w14:paraId="677E1D59"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w:t>
      </w:r>
      <w:r w:rsidRPr="00AD739A">
        <w:rPr>
          <w:rFonts w:ascii="Verdana" w:hAnsi="Verdana"/>
          <w:sz w:val="16"/>
          <w:szCs w:val="16"/>
          <w:lang w:val="es-ES_tradnl"/>
        </w:rPr>
        <w:t xml:space="preserve"> </w:t>
      </w:r>
      <w:r w:rsidRPr="00AD739A">
        <w:rPr>
          <w:rFonts w:ascii="Verdana" w:hAnsi="Verdana"/>
          <w:i/>
          <w:sz w:val="16"/>
          <w:szCs w:val="16"/>
          <w:lang w:val="es-ES_tradnl"/>
        </w:rPr>
        <w:t>Caso González y otras (“Campo Algodonero”) Vs. México. Excepción Preliminar, Fondo, Reparaciones y Costas</w:t>
      </w:r>
      <w:r w:rsidRPr="00AD739A">
        <w:rPr>
          <w:rFonts w:ascii="Verdana" w:hAnsi="Verdana"/>
          <w:sz w:val="16"/>
          <w:szCs w:val="16"/>
          <w:lang w:val="es-ES_tradnl"/>
        </w:rPr>
        <w:t xml:space="preserve">. Sentencia de 16 de noviembre de 2009. Serie C No. 205. párr. 368, y </w:t>
      </w:r>
      <w:r w:rsidRPr="00AD739A">
        <w:rPr>
          <w:rFonts w:ascii="Verdana" w:hAnsi="Verdana"/>
          <w:i/>
          <w:sz w:val="16"/>
          <w:szCs w:val="16"/>
          <w:lang w:val="es-ES_tradnl"/>
        </w:rPr>
        <w:t>Caso Yarce y otras Vs. Colombia. Excepción Preliminar, Fondo, Reparaciones y Costas</w:t>
      </w:r>
      <w:r w:rsidRPr="00AD739A">
        <w:rPr>
          <w:rFonts w:ascii="Verdana" w:hAnsi="Verdana"/>
          <w:sz w:val="16"/>
          <w:szCs w:val="16"/>
          <w:lang w:val="es-ES_tradnl"/>
        </w:rPr>
        <w:t>. Sentencia de 22 de noviembre de 2016. Serie C No. 325, párr. 290.</w:t>
      </w:r>
    </w:p>
  </w:footnote>
  <w:footnote w:id="25">
    <w:p w14:paraId="6C38C72E" w14:textId="25B8E37E"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31 de marzo de 2017.</w:t>
      </w:r>
    </w:p>
  </w:footnote>
  <w:footnote w:id="26">
    <w:p w14:paraId="593E2679" w14:textId="5F6EA202"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los representantes de 10 de mayo de 2018.</w:t>
      </w:r>
    </w:p>
  </w:footnote>
  <w:footnote w:id="27">
    <w:p w14:paraId="4056C60D"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w:t>
      </w:r>
      <w:r w:rsidRPr="00AD739A">
        <w:rPr>
          <w:rFonts w:ascii="Verdana" w:hAnsi="Verdana"/>
          <w:sz w:val="16"/>
          <w:szCs w:val="16"/>
          <w:lang w:val="es-ES_tradnl"/>
        </w:rPr>
        <w:t xml:space="preserve"> Oficio 213601000/0521/2017 de 27 de marzo de 2017, suscrito por la Procuraduría General de la República y dirigido a la Secretaría de Gobernación, y oficio No. 2136A00000/0395/2016-SJ de 18 de marzo de 2016, suscrito por la Procuraduría General de la República y dirigido a la Unidad para la Defensa de los Derechos Humanos de la Secretaría de Gobernación (anexos al informe estatal de 31 de marzo de 2017).</w:t>
      </w:r>
    </w:p>
  </w:footnote>
  <w:footnote w:id="28">
    <w:p w14:paraId="42848421" w14:textId="7D06AC53"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 xml:space="preserve">Asimismo, se dispuso que dicho programa involucra “tres niveles de atención […], teniendo acceso [las víctimas] a todas las intervenciones y atención de enfermedades y padecimientos, incluidos los de índole psiquiátrica”. También, “tendrán acceso a los servicios y bienes farmacéuticos establecidos en la cobertura médica del seguro popular”. Adicionalmente se estipuló que “[e]n caso de que el servicio médico que requieran se brinde en instalaciones fuera de su lugar de residencia, tendrán derecho a que los gastos de traslado y viáticos respectivos los erogue el Estado mexicano”. Respecto al “tercer nivel de atención, se brindará la atención médica especializada adecuada incluso a través de los Institutos Nacionales de Salud, los Hospitales Federales de Referencia y los Hospitales Regionales de Alta especialidad, según se requiera”. Igualmente se acordó que “[s]i las víctimas cambian de domicilio a otra entidad federativa de la República mexicana, la atención médica se brindará en su nuevo lugar d residencia a través del Seguro Popular o programa afín que otorgue el mismo nivel de atención establecido en el Programa señalado”. Se dispuso también que “[l]a Unidad para la Defensa de los Derechos Humanos de la Secretaría de Gobernación y la Coordinación General de Asuntos Jurídicos y Derechos Humanos de la Secretaría de Salud federal, gestionarán lo relacionado con esta medida de reparación”, la cual “se comenzará a brindar a los seis meses a partir de la notificación de la […] sentencia”. </w:t>
      </w:r>
      <w:r w:rsidRPr="00AD739A">
        <w:rPr>
          <w:rFonts w:ascii="Verdana" w:hAnsi="Verdana"/>
          <w:i/>
          <w:sz w:val="16"/>
          <w:szCs w:val="16"/>
          <w:lang w:val="es-ES_tradnl"/>
        </w:rPr>
        <w:t>Cfr.</w:t>
      </w:r>
      <w:r w:rsidRPr="00AD739A">
        <w:rPr>
          <w:rFonts w:ascii="Verdana" w:hAnsi="Verdana"/>
          <w:sz w:val="16"/>
          <w:szCs w:val="16"/>
          <w:lang w:val="es-ES_tradnl"/>
        </w:rPr>
        <w:t xml:space="preserve"> </w:t>
      </w:r>
      <w:r w:rsidRPr="00AD739A">
        <w:rPr>
          <w:rFonts w:ascii="Verdana" w:hAnsi="Verdana"/>
          <w:i/>
          <w:sz w:val="16"/>
          <w:szCs w:val="16"/>
          <w:lang w:val="es-ES_tradnl"/>
        </w:rPr>
        <w:t xml:space="preserve">Caso García Cruz y Sánchez Silvestre Vs. México, supra </w:t>
      </w:r>
      <w:r w:rsidRPr="00AD739A">
        <w:rPr>
          <w:rFonts w:ascii="Verdana" w:hAnsi="Verdana"/>
          <w:sz w:val="16"/>
          <w:szCs w:val="16"/>
          <w:lang w:val="es-ES_tradnl"/>
        </w:rPr>
        <w:t>nota 1, párrs. 74 y 75.</w:t>
      </w:r>
    </w:p>
  </w:footnote>
  <w:footnote w:id="29">
    <w:p w14:paraId="59F093FB" w14:textId="3A518AF4" w:rsidR="00CF71F1" w:rsidRPr="00AD739A" w:rsidRDefault="00CF71F1" w:rsidP="00E34506">
      <w:pPr>
        <w:spacing w:after="0" w:line="240" w:lineRule="auto"/>
        <w:jc w:val="both"/>
        <w:rPr>
          <w:rFonts w:ascii="Verdana" w:eastAsia="Times New Roman"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Sobre dicha atención, se indicó que la misma “</w:t>
      </w:r>
      <w:r w:rsidRPr="00AD739A">
        <w:rPr>
          <w:rFonts w:ascii="Verdana" w:eastAsia="Times New Roman" w:hAnsi="Verdana"/>
          <w:sz w:val="16"/>
          <w:szCs w:val="16"/>
          <w:lang w:val="es-ES_tradnl"/>
        </w:rPr>
        <w:t>se brindará por el tiempo que las víctimas lo requieran”.</w:t>
      </w:r>
      <w:r w:rsidRPr="00AD739A">
        <w:rPr>
          <w:rFonts w:ascii="Verdana" w:hAnsi="Verdana"/>
          <w:i/>
          <w:sz w:val="16"/>
          <w:szCs w:val="16"/>
          <w:lang w:val="es-ES_tradnl"/>
        </w:rPr>
        <w:t xml:space="preserve"> Cfr.</w:t>
      </w:r>
      <w:r w:rsidRPr="00AD739A">
        <w:rPr>
          <w:rFonts w:ascii="Verdana" w:hAnsi="Verdana"/>
          <w:sz w:val="16"/>
          <w:szCs w:val="16"/>
          <w:lang w:val="es-ES_tradnl"/>
        </w:rPr>
        <w:t xml:space="preserve"> </w:t>
      </w:r>
      <w:r w:rsidRPr="00AD739A">
        <w:rPr>
          <w:rFonts w:ascii="Verdana" w:hAnsi="Verdana"/>
          <w:i/>
          <w:sz w:val="16"/>
          <w:szCs w:val="16"/>
          <w:lang w:val="es-ES_tradnl"/>
        </w:rPr>
        <w:t xml:space="preserve">Caso García Cruz y Sánchez Silvestre Vs. México, supra </w:t>
      </w:r>
      <w:r w:rsidRPr="00AD739A">
        <w:rPr>
          <w:rFonts w:ascii="Verdana" w:hAnsi="Verdana"/>
          <w:sz w:val="16"/>
          <w:szCs w:val="16"/>
          <w:lang w:val="es-ES_tradnl"/>
        </w:rPr>
        <w:t>nota 1, párr. 76.</w:t>
      </w:r>
    </w:p>
  </w:footnote>
  <w:footnote w:id="30">
    <w:p w14:paraId="5BF8AF3F" w14:textId="6FFD1FA9"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13 de marzo de 2017.</w:t>
      </w:r>
    </w:p>
  </w:footnote>
  <w:footnote w:id="31">
    <w:p w14:paraId="6E67EB83" w14:textId="5431A188"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13 de marzo de 2017.</w:t>
      </w:r>
    </w:p>
  </w:footnote>
  <w:footnote w:id="32">
    <w:p w14:paraId="23C2E273" w14:textId="0F0ED3AC"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8 de febrero de 2018.</w:t>
      </w:r>
    </w:p>
  </w:footnote>
  <w:footnote w:id="33">
    <w:p w14:paraId="067611F3" w14:textId="46DB2B3A"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8 de febrero de 2018.</w:t>
      </w:r>
    </w:p>
  </w:footnote>
  <w:footnote w:id="34">
    <w:p w14:paraId="7A9B4548" w14:textId="61161D52"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los representantes de 10 de mayo de 2018.</w:t>
      </w:r>
    </w:p>
  </w:footnote>
  <w:footnote w:id="35">
    <w:p w14:paraId="31BDC93A" w14:textId="6583A369"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los representantes de 10 de mayo de 2018.</w:t>
      </w:r>
    </w:p>
  </w:footnote>
  <w:footnote w:id="36">
    <w:p w14:paraId="58DD8977" w14:textId="492F913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Oficio No. CGAJDH-GGACC-542-2017 de 20 de enero de 2017, suscrito por el Director General Adjunto, Consultivo y Contencioso de la Secretaría de Salud y dirigido al Director General Adjunto de Enlace Institucional de la Secretaría de Gobernación  (anexo al informe estatal de 13 de marzo de 2017).</w:t>
      </w:r>
    </w:p>
  </w:footnote>
  <w:footnote w:id="37">
    <w:p w14:paraId="1F7AEC51" w14:textId="25B10D2D"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w:t>
      </w:r>
      <w:r w:rsidRPr="00AD739A">
        <w:rPr>
          <w:rFonts w:ascii="Verdana" w:hAnsi="Verdana"/>
          <w:sz w:val="16"/>
          <w:szCs w:val="16"/>
          <w:lang w:val="es-ES_tradnl"/>
        </w:rPr>
        <w:t xml:space="preserve"> Informes estatales 13 y 31 de marzo de 2017, 8 de febrero de 2018 y escritos de observaciones de los representantes de las víctimas de 26 de mayo de 2017 y 10 de mayo de 2018.</w:t>
      </w:r>
    </w:p>
  </w:footnote>
  <w:footnote w:id="38">
    <w:p w14:paraId="417EA069" w14:textId="08307F03"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rPr>
        <w:footnoteRef/>
      </w:r>
      <w:r w:rsidRPr="00AD739A">
        <w:rPr>
          <w:rFonts w:ascii="Verdana" w:hAnsi="Verdana"/>
          <w:sz w:val="16"/>
          <w:szCs w:val="16"/>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Minuta de Trabajo sobre la Sentencia García Cruz y Sánchez Silvestre, firmada el 29 de julio de 2015, suscrita por el Director General Adjunto y la  Subdirectora de Atención a Defensores de la Unidad para la Defensa de los Derechos Humanos, por parte del Estado, y la Directora y una abogada del Programa para Centroamérica y México de CEJIL, por parte de los representantes de las víctimas (anexo al informe estatal de 13 de marzo de 2017).</w:t>
      </w:r>
    </w:p>
  </w:footnote>
  <w:footnote w:id="39">
    <w:p w14:paraId="34DA425C" w14:textId="64D7CEC4"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Escritos de observaciones de los representantes de 26 de mayo de 2017 y 10 de mayo de 2018.</w:t>
      </w:r>
    </w:p>
  </w:footnote>
  <w:footnote w:id="40">
    <w:p w14:paraId="7F2CD1C1"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 Caso de los Pueblos Indígenas Kuna de Madungandí y Emberá de Bayano y sus miembros Vs. Panamá</w:t>
      </w:r>
      <w:r w:rsidRPr="00AD739A">
        <w:rPr>
          <w:rFonts w:ascii="Verdana" w:hAnsi="Verdana"/>
          <w:sz w:val="16"/>
          <w:szCs w:val="16"/>
          <w:lang w:val="es-ES_tradnl"/>
        </w:rPr>
        <w:t xml:space="preserve">. </w:t>
      </w:r>
      <w:r w:rsidRPr="00AD739A">
        <w:rPr>
          <w:rFonts w:ascii="Verdana" w:hAnsi="Verdana"/>
          <w:i/>
          <w:iCs/>
          <w:sz w:val="16"/>
          <w:szCs w:val="16"/>
          <w:lang w:val="es-ES_tradnl"/>
        </w:rPr>
        <w:t>Supervisión de Cumplimiento de Sentencia</w:t>
      </w:r>
      <w:r w:rsidRPr="00AD739A">
        <w:rPr>
          <w:rFonts w:ascii="Verdana" w:hAnsi="Verdana"/>
          <w:sz w:val="16"/>
          <w:szCs w:val="16"/>
          <w:lang w:val="es-ES_tradnl"/>
        </w:rPr>
        <w:t>. Resolución de la Corte de 23 de mayo de 2017, Considerandos 16 y 17.</w:t>
      </w:r>
    </w:p>
  </w:footnote>
  <w:footnote w:id="41">
    <w:p w14:paraId="7577D8B7" w14:textId="77777777" w:rsidR="00CF71F1" w:rsidRPr="00AD739A" w:rsidRDefault="00CF71F1" w:rsidP="00E34506">
      <w:pPr>
        <w:pStyle w:val="FootnoteText"/>
        <w:jc w:val="both"/>
        <w:rPr>
          <w:rFonts w:ascii="Verdana" w:hAnsi="Verdana"/>
          <w:b/>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w:t>
      </w:r>
      <w:r w:rsidRPr="00AD739A">
        <w:rPr>
          <w:rFonts w:ascii="Verdana" w:hAnsi="Verdana"/>
          <w:sz w:val="16"/>
          <w:szCs w:val="16"/>
          <w:lang w:val="es-ES_tradnl"/>
        </w:rPr>
        <w:t>.</w:t>
      </w:r>
      <w:r w:rsidRPr="00AD739A">
        <w:rPr>
          <w:rFonts w:ascii="Verdana" w:hAnsi="Verdana"/>
          <w:i/>
          <w:sz w:val="16"/>
          <w:szCs w:val="16"/>
          <w:lang w:val="es-ES_tradnl"/>
        </w:rPr>
        <w:t xml:space="preserve"> </w:t>
      </w:r>
      <w:r w:rsidRPr="00AD739A">
        <w:rPr>
          <w:rFonts w:ascii="Verdana" w:hAnsi="Verdana"/>
          <w:bCs/>
          <w:i/>
          <w:sz w:val="16"/>
          <w:szCs w:val="16"/>
          <w:lang w:val="es-ES_tradnl"/>
        </w:rPr>
        <w:t>Caso García Cruz y Sánchez Silvestre Vs. México.</w:t>
      </w:r>
      <w:r w:rsidRPr="00AD739A">
        <w:rPr>
          <w:rFonts w:ascii="Verdana" w:hAnsi="Verdana"/>
          <w:sz w:val="16"/>
          <w:szCs w:val="16"/>
          <w:lang w:val="es-ES_tradnl"/>
        </w:rPr>
        <w:t xml:space="preserve"> </w:t>
      </w:r>
      <w:r w:rsidRPr="00AD739A">
        <w:rPr>
          <w:rFonts w:ascii="Verdana" w:hAnsi="Verdana"/>
          <w:i/>
          <w:sz w:val="16"/>
          <w:szCs w:val="16"/>
          <w:lang w:val="es-ES_tradnl"/>
        </w:rPr>
        <w:t>Supervisión de Cumplimiento de Sentencia</w:t>
      </w:r>
      <w:r w:rsidRPr="00AD739A">
        <w:rPr>
          <w:rFonts w:ascii="Verdana" w:hAnsi="Verdana"/>
          <w:sz w:val="16"/>
          <w:szCs w:val="16"/>
          <w:lang w:val="es-ES_tradnl"/>
        </w:rPr>
        <w:t>. Resolución de la Corte Interamericana de Derechos Humanos de 1 de septiembre de 2016, Considerandos 14 y 15.</w:t>
      </w:r>
    </w:p>
  </w:footnote>
  <w:footnote w:id="42">
    <w:p w14:paraId="529D8B4A" w14:textId="0E6DA7B1"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 xml:space="preserve">Informe estatal de 8 de febrero de 2018. </w:t>
      </w:r>
    </w:p>
  </w:footnote>
  <w:footnote w:id="43">
    <w:p w14:paraId="00F58A53" w14:textId="65BB9FD3"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Escritos de observaciones de los representantes de 26 de mayo de 2017 y 10 de mayo de 2018.</w:t>
      </w:r>
    </w:p>
  </w:footnote>
  <w:footnote w:id="44">
    <w:p w14:paraId="66C84FF7" w14:textId="63E8E33B"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 Casos Fernández Ortega y otros y Rosendo Cantú y otra Vs. México. Supervisión de Cumplimiento de Sentencia</w:t>
      </w:r>
      <w:r w:rsidRPr="00AD739A">
        <w:rPr>
          <w:rFonts w:ascii="Verdana" w:hAnsi="Verdana"/>
          <w:sz w:val="16"/>
          <w:szCs w:val="16"/>
          <w:lang w:val="es-ES_tradnl"/>
        </w:rPr>
        <w:t xml:space="preserve">. Resolución de la Corte Interamericana de Derechos Humanos de 21 de noviembre de 2014, Considerandos 25 a 27, y </w:t>
      </w:r>
      <w:r w:rsidRPr="00AD739A">
        <w:rPr>
          <w:rFonts w:ascii="Verdana" w:hAnsi="Verdana"/>
          <w:bCs/>
          <w:i/>
          <w:sz w:val="16"/>
          <w:szCs w:val="16"/>
          <w:lang w:val="es-ES_tradnl"/>
        </w:rPr>
        <w:t xml:space="preserve">Caso García Cruz y Sánchez Silvestre Vs. México, supra </w:t>
      </w:r>
      <w:r w:rsidRPr="00AD739A">
        <w:rPr>
          <w:rFonts w:ascii="Verdana" w:hAnsi="Verdana"/>
          <w:bCs/>
          <w:sz w:val="16"/>
          <w:szCs w:val="16"/>
          <w:lang w:val="es-ES_tradnl"/>
        </w:rPr>
        <w:t>nota 3,</w:t>
      </w:r>
      <w:r w:rsidRPr="00AD739A">
        <w:rPr>
          <w:rFonts w:ascii="Verdana" w:hAnsi="Verdana"/>
          <w:sz w:val="16"/>
          <w:szCs w:val="16"/>
          <w:lang w:val="es-ES_tradnl"/>
        </w:rPr>
        <w:t xml:space="preserve"> Considerando 16.</w:t>
      </w:r>
    </w:p>
  </w:footnote>
  <w:footnote w:id="45">
    <w:p w14:paraId="2DB0B151" w14:textId="6B44A38B"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w:t>
      </w:r>
      <w:r w:rsidRPr="00AD739A">
        <w:rPr>
          <w:rFonts w:ascii="Verdana" w:hAnsi="Verdana"/>
          <w:sz w:val="16"/>
          <w:szCs w:val="16"/>
          <w:lang w:val="es-ES_tradnl"/>
        </w:rPr>
        <w:t>.</w:t>
      </w:r>
      <w:r w:rsidRPr="00AD739A">
        <w:rPr>
          <w:rFonts w:ascii="Verdana" w:hAnsi="Verdana"/>
          <w:i/>
          <w:sz w:val="16"/>
          <w:szCs w:val="16"/>
          <w:lang w:val="es-ES_tradnl"/>
        </w:rPr>
        <w:t xml:space="preserve"> </w:t>
      </w:r>
      <w:r w:rsidRPr="00AD739A">
        <w:rPr>
          <w:rFonts w:ascii="Verdana" w:hAnsi="Verdana"/>
          <w:bCs/>
          <w:i/>
          <w:sz w:val="16"/>
          <w:szCs w:val="16"/>
          <w:lang w:val="es-ES_tradnl"/>
        </w:rPr>
        <w:t xml:space="preserve">Caso García Cruz y Sánchez Silvestre Vs. México, supra </w:t>
      </w:r>
      <w:r w:rsidRPr="00AD739A">
        <w:rPr>
          <w:rFonts w:ascii="Verdana" w:hAnsi="Verdana"/>
          <w:bCs/>
          <w:sz w:val="16"/>
          <w:szCs w:val="16"/>
          <w:lang w:val="es-ES_tradnl"/>
        </w:rPr>
        <w:t>nota 3,</w:t>
      </w:r>
      <w:r w:rsidRPr="00AD739A">
        <w:rPr>
          <w:rFonts w:ascii="Verdana" w:hAnsi="Verdana"/>
          <w:sz w:val="16"/>
          <w:szCs w:val="16"/>
          <w:lang w:val="es-ES_tradnl"/>
        </w:rPr>
        <w:t xml:space="preserve"> Considerando 19.</w:t>
      </w:r>
    </w:p>
  </w:footnote>
  <w:footnote w:id="46">
    <w:p w14:paraId="4DBE4B64"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Cfr</w:t>
      </w:r>
      <w:r w:rsidRPr="00AD739A">
        <w:rPr>
          <w:rFonts w:ascii="Verdana" w:hAnsi="Verdana"/>
          <w:sz w:val="16"/>
          <w:szCs w:val="16"/>
          <w:lang w:val="es-ES_tradnl"/>
        </w:rPr>
        <w:t>.</w:t>
      </w:r>
      <w:r w:rsidRPr="00AD739A">
        <w:rPr>
          <w:rFonts w:ascii="Verdana" w:hAnsi="Verdana"/>
          <w:i/>
          <w:sz w:val="16"/>
          <w:szCs w:val="16"/>
          <w:lang w:val="es-ES_tradnl"/>
        </w:rPr>
        <w:t xml:space="preserve"> </w:t>
      </w:r>
      <w:r w:rsidRPr="00AD739A">
        <w:rPr>
          <w:rFonts w:ascii="Verdana" w:hAnsi="Verdana"/>
          <w:bCs/>
          <w:i/>
          <w:sz w:val="16"/>
          <w:szCs w:val="16"/>
          <w:lang w:val="es-ES_tradnl"/>
        </w:rPr>
        <w:t xml:space="preserve">Caso García Cruz y Sánchez Silvestre Vs. México, supra </w:t>
      </w:r>
      <w:r w:rsidRPr="00AD739A">
        <w:rPr>
          <w:rFonts w:ascii="Verdana" w:hAnsi="Verdana"/>
          <w:bCs/>
          <w:sz w:val="16"/>
          <w:szCs w:val="16"/>
          <w:lang w:val="es-ES_tradnl"/>
        </w:rPr>
        <w:t>nota 3,</w:t>
      </w:r>
      <w:r w:rsidRPr="00AD739A">
        <w:rPr>
          <w:rFonts w:ascii="Verdana" w:hAnsi="Verdana"/>
          <w:sz w:val="16"/>
          <w:szCs w:val="16"/>
          <w:lang w:val="es-ES_tradnl"/>
        </w:rPr>
        <w:t xml:space="preserve"> Considerando 23.</w:t>
      </w:r>
    </w:p>
  </w:footnote>
  <w:footnote w:id="47">
    <w:p w14:paraId="070A67F2" w14:textId="1E2EF76F"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8 de febrero de 2018.</w:t>
      </w:r>
    </w:p>
  </w:footnote>
  <w:footnote w:id="48">
    <w:p w14:paraId="35425068" w14:textId="0AD70F74"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los representantes de 10 de mayo de 2018.</w:t>
      </w:r>
    </w:p>
  </w:footnote>
  <w:footnote w:id="49">
    <w:p w14:paraId="4C13870A" w14:textId="16CA7FFA"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los representantes de 10 de mayo de 2018.</w:t>
      </w:r>
    </w:p>
  </w:footnote>
  <w:footnote w:id="50">
    <w:p w14:paraId="069BEE53" w14:textId="0448B369"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8 de febrero de 2018.</w:t>
      </w:r>
    </w:p>
  </w:footnote>
  <w:footnote w:id="51">
    <w:p w14:paraId="6E12B607" w14:textId="6808D854"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rPr>
        <w:footnoteRef/>
      </w:r>
      <w:r w:rsidRPr="00AD739A">
        <w:rPr>
          <w:rFonts w:ascii="Verdana" w:hAnsi="Verdana"/>
          <w:sz w:val="16"/>
          <w:szCs w:val="16"/>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sz w:val="16"/>
          <w:szCs w:val="16"/>
          <w:lang w:val="es-ES_tradnl"/>
        </w:rPr>
        <w:t>Informe estatal de 8 de febrero de 2018.</w:t>
      </w:r>
    </w:p>
  </w:footnote>
  <w:footnote w:id="52">
    <w:p w14:paraId="32EDD985" w14:textId="78EE296E"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00E34506"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los representantes de 10 de mayo de 2018.</w:t>
      </w:r>
    </w:p>
  </w:footnote>
  <w:footnote w:id="53">
    <w:p w14:paraId="462829DC" w14:textId="77777777"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t xml:space="preserve">El Estado señaló que la grabación del evento se encuentra disponible en el siguiente enlace electrónico: </w:t>
      </w:r>
      <w:hyperlink r:id="rId2" w:history="1">
        <w:r w:rsidRPr="00AD739A">
          <w:rPr>
            <w:rStyle w:val="Hyperlink"/>
            <w:rFonts w:ascii="Verdana" w:hAnsi="Verdana"/>
            <w:sz w:val="16"/>
            <w:szCs w:val="16"/>
            <w:lang w:val="es-ES_tradnl"/>
          </w:rPr>
          <w:t>https://www.sitios.scjn.gob.mx/videoteca/category/tipo-y-grupo-de-video/direccion-general-de-estudios-promoci%C3%B3n-y-desarrollo-de-los-derecho-4</w:t>
        </w:r>
      </w:hyperlink>
      <w:r w:rsidRPr="00AD739A">
        <w:rPr>
          <w:rFonts w:ascii="Verdana" w:hAnsi="Verdana"/>
          <w:sz w:val="16"/>
          <w:szCs w:val="16"/>
          <w:lang w:val="es-ES_tradnl"/>
        </w:rPr>
        <w:t xml:space="preserve">.  </w:t>
      </w:r>
      <w:r w:rsidRPr="00AD739A">
        <w:rPr>
          <w:rFonts w:ascii="Verdana" w:hAnsi="Verdana"/>
          <w:i/>
          <w:sz w:val="16"/>
          <w:szCs w:val="16"/>
          <w:lang w:val="es-ES_tradnl"/>
        </w:rPr>
        <w:t>Cfr.</w:t>
      </w:r>
      <w:r w:rsidRPr="00AD739A">
        <w:rPr>
          <w:rFonts w:ascii="Verdana" w:hAnsi="Verdana"/>
          <w:sz w:val="16"/>
          <w:szCs w:val="16"/>
          <w:lang w:val="es-ES_tradnl"/>
        </w:rPr>
        <w:t xml:space="preserve"> Informe estatal de 8 de febrero de 2018.</w:t>
      </w:r>
    </w:p>
  </w:footnote>
  <w:footnote w:id="54">
    <w:p w14:paraId="502BC21C" w14:textId="15B9738D" w:rsidR="00CF71F1" w:rsidRPr="00AD739A" w:rsidRDefault="00CF71F1" w:rsidP="00E34506">
      <w:pPr>
        <w:pStyle w:val="FootnoteText"/>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00237C0F" w:rsidRPr="00AD739A">
        <w:rPr>
          <w:rFonts w:ascii="Verdana" w:hAnsi="Verdana"/>
          <w:i/>
          <w:sz w:val="16"/>
          <w:szCs w:val="16"/>
          <w:lang w:val="es-ES_tradnl"/>
        </w:rPr>
        <w:t xml:space="preserve">Cfr. </w:t>
      </w:r>
      <w:r w:rsidRPr="00AD739A">
        <w:rPr>
          <w:rFonts w:ascii="Verdana" w:hAnsi="Verdana"/>
          <w:sz w:val="16"/>
          <w:szCs w:val="16"/>
          <w:lang w:val="es-ES_tradnl"/>
        </w:rPr>
        <w:t>Informes estatales de 13 y 31 de marzo de 2017.</w:t>
      </w:r>
      <w:r w:rsidRPr="00AD739A">
        <w:rPr>
          <w:rFonts w:ascii="Verdana" w:hAnsi="Verdana"/>
          <w:sz w:val="16"/>
          <w:szCs w:val="16"/>
          <w:lang w:val="es-ES_tradnl"/>
        </w:rPr>
        <w:tab/>
      </w:r>
    </w:p>
  </w:footnote>
  <w:footnote w:id="55">
    <w:p w14:paraId="39C29EE3" w14:textId="26262B3D"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00237C0F" w:rsidRPr="00AD739A">
        <w:rPr>
          <w:rFonts w:ascii="Verdana" w:hAnsi="Verdana"/>
          <w:sz w:val="16"/>
          <w:szCs w:val="16"/>
          <w:lang w:val="es-ES_tradnl"/>
        </w:rPr>
        <w:t xml:space="preserve"> </w:t>
      </w:r>
      <w:r w:rsidR="00237C0F" w:rsidRPr="00AD739A">
        <w:rPr>
          <w:rFonts w:ascii="Verdana" w:hAnsi="Verdana"/>
          <w:sz w:val="16"/>
          <w:szCs w:val="16"/>
          <w:lang w:val="es-ES_tradnl"/>
        </w:rPr>
        <w:tab/>
      </w:r>
      <w:r w:rsidR="00237C0F" w:rsidRPr="00AD739A">
        <w:rPr>
          <w:rFonts w:ascii="Verdana" w:hAnsi="Verdana"/>
          <w:i/>
          <w:sz w:val="16"/>
          <w:szCs w:val="16"/>
          <w:lang w:val="es-ES_tradnl"/>
        </w:rPr>
        <w:t xml:space="preserve">Cfr. </w:t>
      </w:r>
      <w:r w:rsidRPr="00AD739A">
        <w:rPr>
          <w:rFonts w:ascii="Verdana" w:hAnsi="Verdana"/>
          <w:sz w:val="16"/>
          <w:szCs w:val="16"/>
          <w:lang w:val="es-ES_tradnl"/>
        </w:rPr>
        <w:t>Escrito de observaciones de los representantes de 26 de mayo de 2017.</w:t>
      </w:r>
    </w:p>
  </w:footnote>
  <w:footnote w:id="56">
    <w:p w14:paraId="7A5647D2" w14:textId="7D29D96F" w:rsidR="00CF71F1" w:rsidRPr="00AD739A"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w:t>
      </w:r>
      <w:r w:rsidRPr="00AD739A">
        <w:rPr>
          <w:rFonts w:ascii="Verdana" w:hAnsi="Verdana"/>
          <w:bCs/>
          <w:i/>
          <w:sz w:val="16"/>
          <w:szCs w:val="16"/>
          <w:lang w:val="es-ES_tradnl"/>
        </w:rPr>
        <w:t>Caso García Cruz y Sánchez Silvestre Vs. México</w:t>
      </w:r>
      <w:r w:rsidR="00351EA3" w:rsidRPr="00AD739A">
        <w:rPr>
          <w:rFonts w:ascii="Verdana" w:hAnsi="Verdana"/>
          <w:bCs/>
          <w:i/>
          <w:sz w:val="16"/>
          <w:szCs w:val="16"/>
          <w:lang w:val="es-ES_tradnl"/>
        </w:rPr>
        <w:t xml:space="preserve">, supra </w:t>
      </w:r>
      <w:r w:rsidR="00351EA3" w:rsidRPr="00AD739A">
        <w:rPr>
          <w:rFonts w:ascii="Verdana" w:hAnsi="Verdana"/>
          <w:bCs/>
          <w:sz w:val="16"/>
          <w:szCs w:val="16"/>
          <w:lang w:val="es-ES_tradnl"/>
        </w:rPr>
        <w:t xml:space="preserve">nota 1, </w:t>
      </w:r>
      <w:r w:rsidRPr="00AD739A">
        <w:rPr>
          <w:rFonts w:ascii="Verdana" w:hAnsi="Verdana"/>
          <w:sz w:val="16"/>
          <w:szCs w:val="16"/>
          <w:lang w:val="es-ES_tradnl"/>
        </w:rPr>
        <w:t>párr. 93.</w:t>
      </w:r>
    </w:p>
  </w:footnote>
  <w:footnote w:id="57">
    <w:p w14:paraId="5B0E4FEE" w14:textId="70F57733" w:rsidR="00CF71F1" w:rsidRPr="002014B2" w:rsidRDefault="00CF71F1" w:rsidP="00E34506">
      <w:pPr>
        <w:pStyle w:val="FootnoteText"/>
        <w:jc w:val="both"/>
        <w:rPr>
          <w:rFonts w:ascii="Verdana" w:hAnsi="Verdana"/>
          <w:sz w:val="16"/>
          <w:szCs w:val="16"/>
          <w:lang w:val="es-ES_tradnl"/>
        </w:rPr>
      </w:pPr>
      <w:r w:rsidRPr="00AD739A">
        <w:rPr>
          <w:rStyle w:val="FootnoteReference"/>
          <w:rFonts w:ascii="Verdana" w:hAnsi="Verdana"/>
          <w:sz w:val="16"/>
          <w:szCs w:val="16"/>
          <w:lang w:val="es-ES_tradnl"/>
        </w:rPr>
        <w:footnoteRef/>
      </w:r>
      <w:r w:rsidRPr="00AD739A">
        <w:rPr>
          <w:rFonts w:ascii="Verdana" w:hAnsi="Verdana"/>
          <w:sz w:val="16"/>
          <w:szCs w:val="16"/>
          <w:lang w:val="es-ES_tradnl"/>
        </w:rPr>
        <w:t xml:space="preserve"> </w:t>
      </w:r>
      <w:r w:rsidRPr="00AD739A">
        <w:rPr>
          <w:rFonts w:ascii="Verdana" w:hAnsi="Verdana"/>
          <w:sz w:val="16"/>
          <w:szCs w:val="16"/>
          <w:lang w:val="es-ES_tradnl"/>
        </w:rPr>
        <w:tab/>
      </w:r>
      <w:r w:rsidRPr="00AD739A">
        <w:rPr>
          <w:rFonts w:ascii="Verdana" w:hAnsi="Verdana"/>
          <w:i/>
          <w:sz w:val="16"/>
          <w:szCs w:val="16"/>
          <w:lang w:val="es-ES_tradnl"/>
        </w:rPr>
        <w:t xml:space="preserve">Cfr. Caso </w:t>
      </w:r>
      <w:r w:rsidR="00351EA3" w:rsidRPr="00AD739A">
        <w:rPr>
          <w:rFonts w:ascii="Verdana" w:hAnsi="Verdana"/>
          <w:i/>
          <w:sz w:val="16"/>
          <w:szCs w:val="16"/>
          <w:lang w:val="es-ES_tradnl"/>
        </w:rPr>
        <w:t>González</w:t>
      </w:r>
      <w:r w:rsidRPr="00AD739A">
        <w:rPr>
          <w:rFonts w:ascii="Verdana" w:hAnsi="Verdana"/>
          <w:i/>
          <w:sz w:val="16"/>
          <w:szCs w:val="16"/>
          <w:lang w:val="es-ES_tradnl"/>
        </w:rPr>
        <w:t xml:space="preserve"> y otras (“Campo Algodonero”) Vs. México</w:t>
      </w:r>
      <w:r w:rsidR="00096FA2" w:rsidRPr="00AD739A">
        <w:rPr>
          <w:rFonts w:ascii="Verdana" w:hAnsi="Verdana"/>
          <w:i/>
          <w:sz w:val="16"/>
          <w:szCs w:val="16"/>
          <w:lang w:val="es-ES_tradnl"/>
        </w:rPr>
        <w:t xml:space="preserve">, supra </w:t>
      </w:r>
      <w:r w:rsidR="00096FA2" w:rsidRPr="00AD739A">
        <w:rPr>
          <w:rFonts w:ascii="Verdana" w:hAnsi="Verdana"/>
          <w:sz w:val="16"/>
          <w:szCs w:val="16"/>
          <w:lang w:val="es-ES_tradnl"/>
        </w:rPr>
        <w:t>nota 23</w:t>
      </w:r>
      <w:r w:rsidRPr="00AD739A">
        <w:rPr>
          <w:rFonts w:ascii="Verdana" w:hAnsi="Verdana"/>
          <w:sz w:val="16"/>
          <w:szCs w:val="16"/>
          <w:lang w:val="es-ES_tradnl"/>
        </w:rPr>
        <w:t>, párr. 450.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3011" w14:textId="37D02B10" w:rsidR="00CF71F1" w:rsidRDefault="00CF71F1">
    <w:pPr>
      <w:pStyle w:val="Header"/>
      <w:jc w:val="center"/>
    </w:pPr>
    <w:r>
      <w:t>-</w:t>
    </w:r>
    <w:sdt>
      <w:sdtPr>
        <w:id w:val="-6469836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0C82">
          <w:rPr>
            <w:noProof/>
          </w:rPr>
          <w:t>20</w:t>
        </w:r>
        <w:r>
          <w:rPr>
            <w:noProof/>
          </w:rPr>
          <w:fldChar w:fldCharType="end"/>
        </w:r>
        <w:r>
          <w:rPr>
            <w:noProof/>
          </w:rPr>
          <w:t>-</w:t>
        </w:r>
      </w:sdtContent>
    </w:sdt>
  </w:p>
  <w:p w14:paraId="2DC9E8E6" w14:textId="77777777" w:rsidR="00CF71F1" w:rsidRPr="00AE1C07" w:rsidRDefault="00CF71F1" w:rsidP="00AE1C07">
    <w:pPr>
      <w:pStyle w:val="Header"/>
      <w:jc w:val="right"/>
      <w:rPr>
        <w:rFonts w:ascii="Garamond" w:hAnsi="Garamon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C677" w14:textId="77777777" w:rsidR="00CF71F1" w:rsidRPr="00DC7B35" w:rsidRDefault="00CF71F1" w:rsidP="00DC7B35">
    <w:pPr>
      <w:pStyle w:val="Header"/>
      <w:jc w:val="right"/>
      <w:rPr>
        <w:rFonts w:ascii="Garamond" w:hAnsi="Garamon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2F"/>
    <w:multiLevelType w:val="hybridMultilevel"/>
    <w:tmpl w:val="8918C33C"/>
    <w:lvl w:ilvl="0" w:tplc="7780C45C">
      <w:start w:val="1"/>
      <w:numFmt w:val="decimal"/>
      <w:lvlText w:val="%1."/>
      <w:lvlJc w:val="left"/>
      <w:pPr>
        <w:ind w:left="360" w:hanging="360"/>
      </w:pPr>
      <w:rPr>
        <w:b w:val="0"/>
        <w:color w:val="auto"/>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abstractNum w:abstractNumId="1">
    <w:nsid w:val="057207DC"/>
    <w:multiLevelType w:val="hybridMultilevel"/>
    <w:tmpl w:val="18608B12"/>
    <w:lvl w:ilvl="0" w:tplc="BCD25FB0">
      <w:start w:val="1"/>
      <w:numFmt w:val="lowerLetter"/>
      <w:lvlText w:val="%1)"/>
      <w:lvlJc w:val="left"/>
      <w:pPr>
        <w:ind w:left="1080" w:hanging="360"/>
      </w:pPr>
      <w:rPr>
        <w:rFonts w:hint="default"/>
        <w:sz w:val="19"/>
        <w:szCs w:val="19"/>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075A2AE6"/>
    <w:multiLevelType w:val="multilevel"/>
    <w:tmpl w:val="86806766"/>
    <w:lvl w:ilvl="0">
      <w:start w:val="1"/>
      <w:numFmt w:val="decimal"/>
      <w:lvlText w:val="%1."/>
      <w:lvlJc w:val="left"/>
      <w:pPr>
        <w:ind w:left="720" w:hanging="360"/>
      </w:pPr>
    </w:lvl>
    <w:lvl w:ilvl="1">
      <w:start w:val="2"/>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2040" w:hanging="144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940" w:hanging="2160"/>
      </w:pPr>
    </w:lvl>
    <w:lvl w:ilvl="8">
      <w:start w:val="1"/>
      <w:numFmt w:val="decimal"/>
      <w:isLgl/>
      <w:lvlText w:val="%1.%2.%3.%4.%5.%6.%7.%8.%9."/>
      <w:lvlJc w:val="left"/>
      <w:pPr>
        <w:ind w:left="3000" w:hanging="2160"/>
      </w:pPr>
    </w:lvl>
  </w:abstractNum>
  <w:abstractNum w:abstractNumId="3">
    <w:nsid w:val="079177F6"/>
    <w:multiLevelType w:val="hybridMultilevel"/>
    <w:tmpl w:val="58DC69FC"/>
    <w:lvl w:ilvl="0" w:tplc="6A98DCFE">
      <w:start w:val="1"/>
      <w:numFmt w:val="decimal"/>
      <w:lvlText w:val="%1."/>
      <w:lvlJc w:val="left"/>
      <w:pPr>
        <w:tabs>
          <w:tab w:val="num" w:pos="1080"/>
        </w:tabs>
        <w:ind w:left="1080" w:hanging="720"/>
      </w:pPr>
      <w:rPr>
        <w:rFonts w:eastAsia="Times" w:hint="default"/>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D056DA"/>
    <w:multiLevelType w:val="hybridMultilevel"/>
    <w:tmpl w:val="8B34C6B4"/>
    <w:lvl w:ilvl="0" w:tplc="140A0015">
      <w:start w:val="1"/>
      <w:numFmt w:val="upp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nsid w:val="09C903E1"/>
    <w:multiLevelType w:val="hybridMultilevel"/>
    <w:tmpl w:val="1534F368"/>
    <w:lvl w:ilvl="0" w:tplc="140A0017">
      <w:start w:val="1"/>
      <w:numFmt w:val="low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nsid w:val="0B806A7D"/>
    <w:multiLevelType w:val="hybridMultilevel"/>
    <w:tmpl w:val="790A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57CE3"/>
    <w:multiLevelType w:val="hybridMultilevel"/>
    <w:tmpl w:val="E57687BC"/>
    <w:lvl w:ilvl="0" w:tplc="AC1C5414">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start w:val="1"/>
      <w:numFmt w:val="decimal"/>
      <w:lvlText w:val="%4."/>
      <w:lvlJc w:val="left"/>
      <w:pPr>
        <w:ind w:left="-6476" w:hanging="360"/>
      </w:pPr>
    </w:lvl>
    <w:lvl w:ilvl="4" w:tplc="140A0019">
      <w:start w:val="1"/>
      <w:numFmt w:val="lowerLetter"/>
      <w:lvlText w:val="%5."/>
      <w:lvlJc w:val="left"/>
      <w:pPr>
        <w:ind w:left="-5756" w:hanging="360"/>
      </w:pPr>
    </w:lvl>
    <w:lvl w:ilvl="5" w:tplc="140A001B">
      <w:start w:val="1"/>
      <w:numFmt w:val="lowerRoman"/>
      <w:lvlText w:val="%6."/>
      <w:lvlJc w:val="right"/>
      <w:pPr>
        <w:ind w:left="-5036" w:hanging="180"/>
      </w:pPr>
    </w:lvl>
    <w:lvl w:ilvl="6" w:tplc="140A000F">
      <w:start w:val="1"/>
      <w:numFmt w:val="decimal"/>
      <w:lvlText w:val="%7."/>
      <w:lvlJc w:val="left"/>
      <w:pPr>
        <w:ind w:left="-4316" w:hanging="360"/>
      </w:pPr>
    </w:lvl>
    <w:lvl w:ilvl="7" w:tplc="140A0019">
      <w:start w:val="1"/>
      <w:numFmt w:val="lowerLetter"/>
      <w:lvlText w:val="%8."/>
      <w:lvlJc w:val="left"/>
      <w:pPr>
        <w:ind w:left="-3596" w:hanging="360"/>
      </w:pPr>
    </w:lvl>
    <w:lvl w:ilvl="8" w:tplc="140A001B">
      <w:start w:val="1"/>
      <w:numFmt w:val="lowerRoman"/>
      <w:lvlText w:val="%9."/>
      <w:lvlJc w:val="right"/>
      <w:pPr>
        <w:ind w:left="-2876" w:hanging="180"/>
      </w:pPr>
    </w:lvl>
  </w:abstractNum>
  <w:abstractNum w:abstractNumId="8">
    <w:nsid w:val="231F166F"/>
    <w:multiLevelType w:val="hybridMultilevel"/>
    <w:tmpl w:val="26AE4732"/>
    <w:lvl w:ilvl="0" w:tplc="CBDC4E08">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nsid w:val="26390049"/>
    <w:multiLevelType w:val="hybridMultilevel"/>
    <w:tmpl w:val="376A4550"/>
    <w:lvl w:ilvl="0" w:tplc="77EC3B7C">
      <w:start w:val="1"/>
      <w:numFmt w:val="lowerLetter"/>
      <w:lvlText w:val="%1."/>
      <w:lvlJc w:val="left"/>
      <w:pPr>
        <w:ind w:left="720" w:hanging="360"/>
      </w:pPr>
      <w:rPr>
        <w:rFonts w:ascii="Verdana" w:eastAsia="Calibri" w:hAnsi="Verdan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8E16A30"/>
    <w:multiLevelType w:val="hybridMultilevel"/>
    <w:tmpl w:val="FEE2A9BE"/>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95027FA"/>
    <w:multiLevelType w:val="hybridMultilevel"/>
    <w:tmpl w:val="C9F69D4E"/>
    <w:lvl w:ilvl="0" w:tplc="1F6E25C8">
      <w:start w:val="1"/>
      <w:numFmt w:val="lowerLetter"/>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A5EEA"/>
    <w:multiLevelType w:val="hybridMultilevel"/>
    <w:tmpl w:val="215C16FC"/>
    <w:lvl w:ilvl="0" w:tplc="B3D2F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76A19"/>
    <w:multiLevelType w:val="hybridMultilevel"/>
    <w:tmpl w:val="BC42D0FA"/>
    <w:lvl w:ilvl="0" w:tplc="912CE84C">
      <w:start w:val="1"/>
      <w:numFmt w:val="decimal"/>
      <w:lvlText w:val="%1."/>
      <w:lvlJc w:val="left"/>
      <w:pPr>
        <w:tabs>
          <w:tab w:val="num" w:pos="360"/>
        </w:tabs>
        <w:ind w:left="360" w:hanging="360"/>
      </w:pPr>
      <w:rPr>
        <w:rFonts w:ascii="Verdana" w:hAnsi="Verdana"/>
        <w:b w:val="0"/>
        <w:strike w:val="0"/>
        <w:color w:val="auto"/>
        <w:sz w:val="20"/>
        <w:lang w:val="es-CR"/>
      </w:rPr>
    </w:lvl>
    <w:lvl w:ilvl="1" w:tplc="00190409">
      <w:start w:val="1"/>
      <w:numFmt w:val="lowerLetter"/>
      <w:lvlText w:val="%2."/>
      <w:lvlJc w:val="left"/>
      <w:pPr>
        <w:tabs>
          <w:tab w:val="num" w:pos="-720"/>
        </w:tabs>
        <w:ind w:left="-720" w:hanging="360"/>
      </w:pPr>
    </w:lvl>
    <w:lvl w:ilvl="2" w:tplc="BE1CCC3E">
      <w:start w:val="1"/>
      <w:numFmt w:val="lowerLetter"/>
      <w:lvlText w:val="%3)"/>
      <w:lvlJc w:val="left"/>
      <w:pPr>
        <w:tabs>
          <w:tab w:val="num" w:pos="885"/>
        </w:tabs>
        <w:ind w:left="885" w:hanging="1065"/>
      </w:pPr>
      <w:rPr>
        <w:rFonts w:hint="default"/>
      </w:rPr>
    </w:lvl>
    <w:lvl w:ilvl="3" w:tplc="ABFAA0C8">
      <w:start w:val="1"/>
      <w:numFmt w:val="lowerRoman"/>
      <w:lvlText w:val="%4)"/>
      <w:lvlJc w:val="left"/>
      <w:pPr>
        <w:tabs>
          <w:tab w:val="num" w:pos="1080"/>
        </w:tabs>
        <w:ind w:left="1080" w:hanging="720"/>
      </w:pPr>
      <w:rPr>
        <w:rFonts w:hint="default"/>
        <w:color w:val="auto"/>
      </w:rPr>
    </w:lvl>
    <w:lvl w:ilvl="4" w:tplc="00190409" w:tentative="1">
      <w:start w:val="1"/>
      <w:numFmt w:val="lowerLetter"/>
      <w:lvlText w:val="%5."/>
      <w:lvlJc w:val="left"/>
      <w:pPr>
        <w:tabs>
          <w:tab w:val="num" w:pos="1440"/>
        </w:tabs>
        <w:ind w:left="1440" w:hanging="360"/>
      </w:pPr>
    </w:lvl>
    <w:lvl w:ilvl="5" w:tplc="001B0409" w:tentative="1">
      <w:start w:val="1"/>
      <w:numFmt w:val="lowerRoman"/>
      <w:lvlText w:val="%6."/>
      <w:lvlJc w:val="right"/>
      <w:pPr>
        <w:tabs>
          <w:tab w:val="num" w:pos="2160"/>
        </w:tabs>
        <w:ind w:left="2160" w:hanging="180"/>
      </w:pPr>
    </w:lvl>
    <w:lvl w:ilvl="6" w:tplc="000F0409" w:tentative="1">
      <w:start w:val="1"/>
      <w:numFmt w:val="decimal"/>
      <w:lvlText w:val="%7."/>
      <w:lvlJc w:val="left"/>
      <w:pPr>
        <w:tabs>
          <w:tab w:val="num" w:pos="2880"/>
        </w:tabs>
        <w:ind w:left="2880" w:hanging="360"/>
      </w:pPr>
    </w:lvl>
    <w:lvl w:ilvl="7" w:tplc="00190409" w:tentative="1">
      <w:start w:val="1"/>
      <w:numFmt w:val="lowerLetter"/>
      <w:lvlText w:val="%8."/>
      <w:lvlJc w:val="left"/>
      <w:pPr>
        <w:tabs>
          <w:tab w:val="num" w:pos="3600"/>
        </w:tabs>
        <w:ind w:left="3600" w:hanging="360"/>
      </w:pPr>
    </w:lvl>
    <w:lvl w:ilvl="8" w:tplc="001B0409" w:tentative="1">
      <w:start w:val="1"/>
      <w:numFmt w:val="lowerRoman"/>
      <w:lvlText w:val="%9."/>
      <w:lvlJc w:val="right"/>
      <w:pPr>
        <w:tabs>
          <w:tab w:val="num" w:pos="4320"/>
        </w:tabs>
        <w:ind w:left="4320" w:hanging="180"/>
      </w:pPr>
    </w:lvl>
  </w:abstractNum>
  <w:abstractNum w:abstractNumId="14">
    <w:nsid w:val="393014FD"/>
    <w:multiLevelType w:val="hybridMultilevel"/>
    <w:tmpl w:val="7B561A5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ABC070A"/>
    <w:multiLevelType w:val="hybridMultilevel"/>
    <w:tmpl w:val="9F1ECC5E"/>
    <w:lvl w:ilvl="0" w:tplc="C6483B34">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211E34"/>
    <w:multiLevelType w:val="hybridMultilevel"/>
    <w:tmpl w:val="D498490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1A46133"/>
    <w:multiLevelType w:val="hybridMultilevel"/>
    <w:tmpl w:val="38A68A8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2520F18"/>
    <w:multiLevelType w:val="hybridMultilevel"/>
    <w:tmpl w:val="95B26EBE"/>
    <w:lvl w:ilvl="0" w:tplc="DE921C7E">
      <w:start w:val="4"/>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8216DC7"/>
    <w:multiLevelType w:val="hybridMultilevel"/>
    <w:tmpl w:val="0BBCA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C66B51"/>
    <w:multiLevelType w:val="hybridMultilevel"/>
    <w:tmpl w:val="FDFA1F62"/>
    <w:lvl w:ilvl="0" w:tplc="7D708E5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637070"/>
    <w:multiLevelType w:val="hybridMultilevel"/>
    <w:tmpl w:val="41E67704"/>
    <w:lvl w:ilvl="0" w:tplc="3592B3B6">
      <w:start w:val="1"/>
      <w:numFmt w:val="upperLetter"/>
      <w:lvlText w:val="%1."/>
      <w:lvlJc w:val="left"/>
      <w:pPr>
        <w:ind w:left="1440" w:hanging="360"/>
      </w:pPr>
      <w:rPr>
        <w:b/>
        <w:i/>
        <w:u w:val="none"/>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D212D8"/>
    <w:multiLevelType w:val="hybridMultilevel"/>
    <w:tmpl w:val="AF40A2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144516A"/>
    <w:multiLevelType w:val="hybridMultilevel"/>
    <w:tmpl w:val="AB8EFA74"/>
    <w:lvl w:ilvl="0" w:tplc="AF0AACDA">
      <w:start w:val="1"/>
      <w:numFmt w:val="decimal"/>
      <w:lvlText w:val="%1."/>
      <w:lvlJc w:val="left"/>
      <w:pPr>
        <w:ind w:left="990" w:hanging="360"/>
      </w:pPr>
      <w:rPr>
        <w:rFonts w:hint="default"/>
      </w:rPr>
    </w:lvl>
    <w:lvl w:ilvl="1" w:tplc="140A0019" w:tentative="1">
      <w:start w:val="1"/>
      <w:numFmt w:val="lowerLetter"/>
      <w:lvlText w:val="%2."/>
      <w:lvlJc w:val="left"/>
      <w:pPr>
        <w:ind w:left="1710" w:hanging="360"/>
      </w:pPr>
    </w:lvl>
    <w:lvl w:ilvl="2" w:tplc="140A001B" w:tentative="1">
      <w:start w:val="1"/>
      <w:numFmt w:val="lowerRoman"/>
      <w:lvlText w:val="%3."/>
      <w:lvlJc w:val="right"/>
      <w:pPr>
        <w:ind w:left="2430" w:hanging="180"/>
      </w:pPr>
    </w:lvl>
    <w:lvl w:ilvl="3" w:tplc="140A000F" w:tentative="1">
      <w:start w:val="1"/>
      <w:numFmt w:val="decimal"/>
      <w:lvlText w:val="%4."/>
      <w:lvlJc w:val="left"/>
      <w:pPr>
        <w:ind w:left="3150" w:hanging="360"/>
      </w:pPr>
    </w:lvl>
    <w:lvl w:ilvl="4" w:tplc="140A0019" w:tentative="1">
      <w:start w:val="1"/>
      <w:numFmt w:val="lowerLetter"/>
      <w:lvlText w:val="%5."/>
      <w:lvlJc w:val="left"/>
      <w:pPr>
        <w:ind w:left="3870" w:hanging="360"/>
      </w:pPr>
    </w:lvl>
    <w:lvl w:ilvl="5" w:tplc="140A001B" w:tentative="1">
      <w:start w:val="1"/>
      <w:numFmt w:val="lowerRoman"/>
      <w:lvlText w:val="%6."/>
      <w:lvlJc w:val="right"/>
      <w:pPr>
        <w:ind w:left="4590" w:hanging="180"/>
      </w:pPr>
    </w:lvl>
    <w:lvl w:ilvl="6" w:tplc="140A000F" w:tentative="1">
      <w:start w:val="1"/>
      <w:numFmt w:val="decimal"/>
      <w:lvlText w:val="%7."/>
      <w:lvlJc w:val="left"/>
      <w:pPr>
        <w:ind w:left="5310" w:hanging="360"/>
      </w:pPr>
    </w:lvl>
    <w:lvl w:ilvl="7" w:tplc="140A0019" w:tentative="1">
      <w:start w:val="1"/>
      <w:numFmt w:val="lowerLetter"/>
      <w:lvlText w:val="%8."/>
      <w:lvlJc w:val="left"/>
      <w:pPr>
        <w:ind w:left="6030" w:hanging="360"/>
      </w:pPr>
    </w:lvl>
    <w:lvl w:ilvl="8" w:tplc="140A001B" w:tentative="1">
      <w:start w:val="1"/>
      <w:numFmt w:val="lowerRoman"/>
      <w:lvlText w:val="%9."/>
      <w:lvlJc w:val="right"/>
      <w:pPr>
        <w:ind w:left="6750" w:hanging="180"/>
      </w:pPr>
    </w:lvl>
  </w:abstractNum>
  <w:abstractNum w:abstractNumId="24">
    <w:nsid w:val="580B5CC2"/>
    <w:multiLevelType w:val="hybridMultilevel"/>
    <w:tmpl w:val="7DA8101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ABD564C"/>
    <w:multiLevelType w:val="hybridMultilevel"/>
    <w:tmpl w:val="6594572C"/>
    <w:lvl w:ilvl="0" w:tplc="84F061A8">
      <w:start w:val="1"/>
      <w:numFmt w:val="decimal"/>
      <w:lvlText w:val="%1."/>
      <w:lvlJc w:val="left"/>
      <w:pPr>
        <w:ind w:left="360" w:hanging="360"/>
      </w:pPr>
      <w:rPr>
        <w:rFonts w:ascii="Verdana" w:hAnsi="Verdan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C13AC"/>
    <w:multiLevelType w:val="hybridMultilevel"/>
    <w:tmpl w:val="41E67704"/>
    <w:lvl w:ilvl="0" w:tplc="3592B3B6">
      <w:start w:val="1"/>
      <w:numFmt w:val="upperLetter"/>
      <w:lvlText w:val="%1."/>
      <w:lvlJc w:val="left"/>
      <w:pPr>
        <w:ind w:left="1440" w:hanging="360"/>
      </w:pPr>
      <w:rPr>
        <w:b/>
        <w:i/>
        <w:u w:val="none"/>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1933AD"/>
    <w:multiLevelType w:val="hybridMultilevel"/>
    <w:tmpl w:val="4CE20AF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2951127"/>
    <w:multiLevelType w:val="hybridMultilevel"/>
    <w:tmpl w:val="1E76052A"/>
    <w:lvl w:ilvl="0" w:tplc="D40C5122">
      <w:start w:val="1"/>
      <w:numFmt w:val="upperLetter"/>
      <w:lvlText w:val="%1."/>
      <w:lvlJc w:val="left"/>
      <w:pPr>
        <w:ind w:left="1080" w:hanging="360"/>
      </w:pPr>
      <w:rPr>
        <w:rFonts w:ascii="Verdana" w:hAnsi="Verdana" w:hint="default"/>
        <w:i/>
        <w:color w:val="0000FF"/>
        <w:sz w:val="18"/>
        <w:u w:val="single"/>
      </w:rPr>
    </w:lvl>
    <w:lvl w:ilvl="1" w:tplc="77882F86">
      <w:start w:val="1"/>
      <w:numFmt w:val="upperLetter"/>
      <w:pStyle w:val="TOC1"/>
      <w:lvlText w:val="%2."/>
      <w:lvlJc w:val="left"/>
      <w:pPr>
        <w:ind w:left="1800" w:hanging="360"/>
      </w:pPr>
      <w:rPr>
        <w:rFonts w:ascii="Calibri" w:eastAsia="Calibri" w:hAnsi="Calibri" w:cs="Times New Roman"/>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nsid w:val="73B40EBC"/>
    <w:multiLevelType w:val="hybridMultilevel"/>
    <w:tmpl w:val="5696430E"/>
    <w:lvl w:ilvl="0" w:tplc="FA7C21F4">
      <w:start w:val="1"/>
      <w:numFmt w:val="lowerLetter"/>
      <w:lvlText w:val="%1)"/>
      <w:lvlJc w:val="left"/>
      <w:pPr>
        <w:ind w:left="1440" w:hanging="720"/>
      </w:pPr>
      <w:rPr>
        <w:rFonts w:ascii="Verdana" w:eastAsia="Calibri"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7A12A2"/>
    <w:multiLevelType w:val="hybridMultilevel"/>
    <w:tmpl w:val="ED1AC842"/>
    <w:lvl w:ilvl="0" w:tplc="3EFA658E">
      <w:start w:val="1"/>
      <w:numFmt w:val="decimal"/>
      <w:lvlText w:val="%1."/>
      <w:lvlJc w:val="left"/>
      <w:pPr>
        <w:ind w:left="1065" w:hanging="705"/>
      </w:pPr>
      <w:rPr>
        <w:rFonts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3635B"/>
    <w:multiLevelType w:val="hybridMultilevel"/>
    <w:tmpl w:val="E57687BC"/>
    <w:lvl w:ilvl="0" w:tplc="AC1C5414">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start w:val="1"/>
      <w:numFmt w:val="decimal"/>
      <w:lvlText w:val="%4."/>
      <w:lvlJc w:val="left"/>
      <w:pPr>
        <w:ind w:left="-6476" w:hanging="360"/>
      </w:pPr>
    </w:lvl>
    <w:lvl w:ilvl="4" w:tplc="140A0019">
      <w:start w:val="1"/>
      <w:numFmt w:val="lowerLetter"/>
      <w:lvlText w:val="%5."/>
      <w:lvlJc w:val="left"/>
      <w:pPr>
        <w:ind w:left="-5756" w:hanging="360"/>
      </w:pPr>
    </w:lvl>
    <w:lvl w:ilvl="5" w:tplc="140A001B">
      <w:start w:val="1"/>
      <w:numFmt w:val="lowerRoman"/>
      <w:lvlText w:val="%6."/>
      <w:lvlJc w:val="right"/>
      <w:pPr>
        <w:ind w:left="-5036" w:hanging="180"/>
      </w:pPr>
    </w:lvl>
    <w:lvl w:ilvl="6" w:tplc="140A000F">
      <w:start w:val="1"/>
      <w:numFmt w:val="decimal"/>
      <w:lvlText w:val="%7."/>
      <w:lvlJc w:val="left"/>
      <w:pPr>
        <w:ind w:left="-4316" w:hanging="360"/>
      </w:pPr>
    </w:lvl>
    <w:lvl w:ilvl="7" w:tplc="140A0019">
      <w:start w:val="1"/>
      <w:numFmt w:val="lowerLetter"/>
      <w:lvlText w:val="%8."/>
      <w:lvlJc w:val="left"/>
      <w:pPr>
        <w:ind w:left="-3596" w:hanging="360"/>
      </w:pPr>
    </w:lvl>
    <w:lvl w:ilvl="8" w:tplc="140A001B">
      <w:start w:val="1"/>
      <w:numFmt w:val="lowerRoman"/>
      <w:lvlText w:val="%9."/>
      <w:lvlJc w:val="right"/>
      <w:pPr>
        <w:ind w:left="-2876" w:hanging="180"/>
      </w:pPr>
    </w:lvl>
  </w:abstractNum>
  <w:abstractNum w:abstractNumId="32">
    <w:nsid w:val="7A6B3472"/>
    <w:multiLevelType w:val="hybridMultilevel"/>
    <w:tmpl w:val="F6048F00"/>
    <w:lvl w:ilvl="0" w:tplc="0409001B">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3">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DA44C40"/>
    <w:multiLevelType w:val="hybridMultilevel"/>
    <w:tmpl w:val="4A10A51E"/>
    <w:lvl w:ilvl="0" w:tplc="A1944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322877"/>
    <w:multiLevelType w:val="hybridMultilevel"/>
    <w:tmpl w:val="8184180C"/>
    <w:lvl w:ilvl="0" w:tplc="8E7218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22"/>
  </w:num>
  <w:num w:numId="6">
    <w:abstractNumId w:val="3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28"/>
  </w:num>
  <w:num w:numId="16">
    <w:abstractNumId w:val="9"/>
  </w:num>
  <w:num w:numId="17">
    <w:abstractNumId w:val="26"/>
  </w:num>
  <w:num w:numId="18">
    <w:abstractNumId w:val="11"/>
  </w:num>
  <w:num w:numId="19">
    <w:abstractNumId w:val="33"/>
  </w:num>
  <w:num w:numId="20">
    <w:abstractNumId w:val="32"/>
  </w:num>
  <w:num w:numId="21">
    <w:abstractNumId w:val="3"/>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12"/>
  </w:num>
  <w:num w:numId="27">
    <w:abstractNumId w:val="0"/>
  </w:num>
  <w:num w:numId="28">
    <w:abstractNumId w:val="14"/>
  </w:num>
  <w:num w:numId="29">
    <w:abstractNumId w:val="35"/>
  </w:num>
  <w:num w:numId="30">
    <w:abstractNumId w:val="29"/>
  </w:num>
  <w:num w:numId="3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0"/>
  </w:num>
  <w:num w:numId="35">
    <w:abstractNumId w:val="15"/>
  </w:num>
  <w:num w:numId="36">
    <w:abstractNumId w:val="27"/>
  </w:num>
  <w:num w:numId="37">
    <w:abstractNumId w:val="5"/>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D0"/>
    <w:rsid w:val="00000E40"/>
    <w:rsid w:val="00001CF6"/>
    <w:rsid w:val="000024DC"/>
    <w:rsid w:val="00002984"/>
    <w:rsid w:val="00003DAE"/>
    <w:rsid w:val="000043E8"/>
    <w:rsid w:val="000053E5"/>
    <w:rsid w:val="00005413"/>
    <w:rsid w:val="00007060"/>
    <w:rsid w:val="000071FC"/>
    <w:rsid w:val="000079C2"/>
    <w:rsid w:val="00010BC5"/>
    <w:rsid w:val="0001159D"/>
    <w:rsid w:val="00011FED"/>
    <w:rsid w:val="000169E3"/>
    <w:rsid w:val="000216D0"/>
    <w:rsid w:val="0002280A"/>
    <w:rsid w:val="0002366C"/>
    <w:rsid w:val="00023A49"/>
    <w:rsid w:val="000259C0"/>
    <w:rsid w:val="00026393"/>
    <w:rsid w:val="00027E62"/>
    <w:rsid w:val="00030C66"/>
    <w:rsid w:val="00031D75"/>
    <w:rsid w:val="00034173"/>
    <w:rsid w:val="000402DD"/>
    <w:rsid w:val="00040E40"/>
    <w:rsid w:val="0004243F"/>
    <w:rsid w:val="00046988"/>
    <w:rsid w:val="0004745D"/>
    <w:rsid w:val="00050B0A"/>
    <w:rsid w:val="00051B59"/>
    <w:rsid w:val="00052ADD"/>
    <w:rsid w:val="000535C4"/>
    <w:rsid w:val="0006046B"/>
    <w:rsid w:val="00060B37"/>
    <w:rsid w:val="00060CC9"/>
    <w:rsid w:val="00061C4F"/>
    <w:rsid w:val="00061F11"/>
    <w:rsid w:val="00062E66"/>
    <w:rsid w:val="00065A4F"/>
    <w:rsid w:val="00066DB0"/>
    <w:rsid w:val="00067408"/>
    <w:rsid w:val="00070FF5"/>
    <w:rsid w:val="000726F4"/>
    <w:rsid w:val="00080251"/>
    <w:rsid w:val="000818A3"/>
    <w:rsid w:val="00081CD6"/>
    <w:rsid w:val="000829D8"/>
    <w:rsid w:val="00082FE0"/>
    <w:rsid w:val="00083B0C"/>
    <w:rsid w:val="00084F58"/>
    <w:rsid w:val="00091A17"/>
    <w:rsid w:val="00091B64"/>
    <w:rsid w:val="00091D0A"/>
    <w:rsid w:val="00091F33"/>
    <w:rsid w:val="00092B0A"/>
    <w:rsid w:val="000932CE"/>
    <w:rsid w:val="00095B15"/>
    <w:rsid w:val="000960C6"/>
    <w:rsid w:val="00096A9D"/>
    <w:rsid w:val="00096FA2"/>
    <w:rsid w:val="000A0921"/>
    <w:rsid w:val="000A2E24"/>
    <w:rsid w:val="000A35B6"/>
    <w:rsid w:val="000A42CB"/>
    <w:rsid w:val="000A5110"/>
    <w:rsid w:val="000B1038"/>
    <w:rsid w:val="000B6810"/>
    <w:rsid w:val="000C3970"/>
    <w:rsid w:val="000C4584"/>
    <w:rsid w:val="000C5411"/>
    <w:rsid w:val="000C5D70"/>
    <w:rsid w:val="000D5281"/>
    <w:rsid w:val="000D5959"/>
    <w:rsid w:val="000E0486"/>
    <w:rsid w:val="000E088F"/>
    <w:rsid w:val="000E24FC"/>
    <w:rsid w:val="000E4C27"/>
    <w:rsid w:val="000E4FCE"/>
    <w:rsid w:val="000E5211"/>
    <w:rsid w:val="000E6934"/>
    <w:rsid w:val="000F0C82"/>
    <w:rsid w:val="000F29EC"/>
    <w:rsid w:val="000F386C"/>
    <w:rsid w:val="000F407C"/>
    <w:rsid w:val="000F498D"/>
    <w:rsid w:val="000F503D"/>
    <w:rsid w:val="000F5C11"/>
    <w:rsid w:val="000F6F4B"/>
    <w:rsid w:val="000F7573"/>
    <w:rsid w:val="000F7670"/>
    <w:rsid w:val="000F7E82"/>
    <w:rsid w:val="00104D60"/>
    <w:rsid w:val="00105417"/>
    <w:rsid w:val="0010667D"/>
    <w:rsid w:val="00107613"/>
    <w:rsid w:val="00110823"/>
    <w:rsid w:val="0011255C"/>
    <w:rsid w:val="00113AF8"/>
    <w:rsid w:val="0011482B"/>
    <w:rsid w:val="00114DEF"/>
    <w:rsid w:val="0011762A"/>
    <w:rsid w:val="0012150C"/>
    <w:rsid w:val="00123006"/>
    <w:rsid w:val="0012468D"/>
    <w:rsid w:val="00130AEF"/>
    <w:rsid w:val="00130D91"/>
    <w:rsid w:val="00131277"/>
    <w:rsid w:val="001315BA"/>
    <w:rsid w:val="001322B7"/>
    <w:rsid w:val="00134FE7"/>
    <w:rsid w:val="001368EC"/>
    <w:rsid w:val="00140546"/>
    <w:rsid w:val="0014108A"/>
    <w:rsid w:val="00141284"/>
    <w:rsid w:val="0014309D"/>
    <w:rsid w:val="0014424E"/>
    <w:rsid w:val="00144864"/>
    <w:rsid w:val="00146BA9"/>
    <w:rsid w:val="0015276B"/>
    <w:rsid w:val="001548CA"/>
    <w:rsid w:val="00155298"/>
    <w:rsid w:val="001605EF"/>
    <w:rsid w:val="0016214E"/>
    <w:rsid w:val="001627C6"/>
    <w:rsid w:val="001627DA"/>
    <w:rsid w:val="00166564"/>
    <w:rsid w:val="0017164B"/>
    <w:rsid w:val="00177380"/>
    <w:rsid w:val="001812E4"/>
    <w:rsid w:val="0018148D"/>
    <w:rsid w:val="0018534B"/>
    <w:rsid w:val="00185B34"/>
    <w:rsid w:val="001926E8"/>
    <w:rsid w:val="00192BA6"/>
    <w:rsid w:val="00192FD8"/>
    <w:rsid w:val="0019351C"/>
    <w:rsid w:val="00196247"/>
    <w:rsid w:val="00196B3D"/>
    <w:rsid w:val="00197D61"/>
    <w:rsid w:val="001A01C2"/>
    <w:rsid w:val="001A3518"/>
    <w:rsid w:val="001A58B6"/>
    <w:rsid w:val="001A5D6F"/>
    <w:rsid w:val="001B0608"/>
    <w:rsid w:val="001B26F1"/>
    <w:rsid w:val="001B51E5"/>
    <w:rsid w:val="001B60C9"/>
    <w:rsid w:val="001C5563"/>
    <w:rsid w:val="001C644E"/>
    <w:rsid w:val="001C696D"/>
    <w:rsid w:val="001D0553"/>
    <w:rsid w:val="001D0DA3"/>
    <w:rsid w:val="001D26E9"/>
    <w:rsid w:val="001D6C76"/>
    <w:rsid w:val="001E2B84"/>
    <w:rsid w:val="001E3198"/>
    <w:rsid w:val="001E4A3D"/>
    <w:rsid w:val="001F07D8"/>
    <w:rsid w:val="001F10D3"/>
    <w:rsid w:val="001F3918"/>
    <w:rsid w:val="001F50E0"/>
    <w:rsid w:val="0020052A"/>
    <w:rsid w:val="002014B2"/>
    <w:rsid w:val="00201C44"/>
    <w:rsid w:val="0020252B"/>
    <w:rsid w:val="0020345C"/>
    <w:rsid w:val="00205F17"/>
    <w:rsid w:val="002068F0"/>
    <w:rsid w:val="002115FB"/>
    <w:rsid w:val="00213BBF"/>
    <w:rsid w:val="0021440C"/>
    <w:rsid w:val="00214EAC"/>
    <w:rsid w:val="00216198"/>
    <w:rsid w:val="0021625E"/>
    <w:rsid w:val="002206F3"/>
    <w:rsid w:val="00220FFC"/>
    <w:rsid w:val="002216C8"/>
    <w:rsid w:val="00223154"/>
    <w:rsid w:val="00225843"/>
    <w:rsid w:val="002264F5"/>
    <w:rsid w:val="0023171E"/>
    <w:rsid w:val="00232E22"/>
    <w:rsid w:val="0023483C"/>
    <w:rsid w:val="00234FA0"/>
    <w:rsid w:val="002360C6"/>
    <w:rsid w:val="00236DE7"/>
    <w:rsid w:val="00236F0E"/>
    <w:rsid w:val="00237C0F"/>
    <w:rsid w:val="00237F93"/>
    <w:rsid w:val="00242923"/>
    <w:rsid w:val="00245236"/>
    <w:rsid w:val="00246662"/>
    <w:rsid w:val="002474F9"/>
    <w:rsid w:val="0024791B"/>
    <w:rsid w:val="0025012D"/>
    <w:rsid w:val="00250E50"/>
    <w:rsid w:val="00254088"/>
    <w:rsid w:val="00255433"/>
    <w:rsid w:val="00255C09"/>
    <w:rsid w:val="00256053"/>
    <w:rsid w:val="0025659F"/>
    <w:rsid w:val="00260A16"/>
    <w:rsid w:val="00261985"/>
    <w:rsid w:val="00262608"/>
    <w:rsid w:val="00262757"/>
    <w:rsid w:val="00264D48"/>
    <w:rsid w:val="00265AC4"/>
    <w:rsid w:val="00266805"/>
    <w:rsid w:val="00270495"/>
    <w:rsid w:val="002712F7"/>
    <w:rsid w:val="002731EA"/>
    <w:rsid w:val="00274BB2"/>
    <w:rsid w:val="00275CEA"/>
    <w:rsid w:val="00276143"/>
    <w:rsid w:val="002762C9"/>
    <w:rsid w:val="00276E83"/>
    <w:rsid w:val="002808A6"/>
    <w:rsid w:val="002808BD"/>
    <w:rsid w:val="00281335"/>
    <w:rsid w:val="0028202F"/>
    <w:rsid w:val="00282508"/>
    <w:rsid w:val="0028708F"/>
    <w:rsid w:val="0029297D"/>
    <w:rsid w:val="002949F9"/>
    <w:rsid w:val="002973B5"/>
    <w:rsid w:val="002979B9"/>
    <w:rsid w:val="002A04DB"/>
    <w:rsid w:val="002A4501"/>
    <w:rsid w:val="002A4ED1"/>
    <w:rsid w:val="002A596E"/>
    <w:rsid w:val="002B0256"/>
    <w:rsid w:val="002B4144"/>
    <w:rsid w:val="002B4345"/>
    <w:rsid w:val="002B4F99"/>
    <w:rsid w:val="002B74F4"/>
    <w:rsid w:val="002B7A85"/>
    <w:rsid w:val="002C42A2"/>
    <w:rsid w:val="002C52F1"/>
    <w:rsid w:val="002C5997"/>
    <w:rsid w:val="002C71F0"/>
    <w:rsid w:val="002C7A4B"/>
    <w:rsid w:val="002D1B0B"/>
    <w:rsid w:val="002D2966"/>
    <w:rsid w:val="002D2B5B"/>
    <w:rsid w:val="002D337B"/>
    <w:rsid w:val="002D5793"/>
    <w:rsid w:val="002D5B12"/>
    <w:rsid w:val="002D63E1"/>
    <w:rsid w:val="002D737A"/>
    <w:rsid w:val="002D7D4A"/>
    <w:rsid w:val="002E2D7A"/>
    <w:rsid w:val="002E427D"/>
    <w:rsid w:val="002E4C69"/>
    <w:rsid w:val="002E5FB0"/>
    <w:rsid w:val="002E6D42"/>
    <w:rsid w:val="002F21A5"/>
    <w:rsid w:val="002F22EC"/>
    <w:rsid w:val="002F4CA2"/>
    <w:rsid w:val="002F62B5"/>
    <w:rsid w:val="002F6562"/>
    <w:rsid w:val="002F7469"/>
    <w:rsid w:val="00301FD4"/>
    <w:rsid w:val="00302848"/>
    <w:rsid w:val="003052B8"/>
    <w:rsid w:val="00307259"/>
    <w:rsid w:val="00310452"/>
    <w:rsid w:val="00312657"/>
    <w:rsid w:val="003138F8"/>
    <w:rsid w:val="0031413A"/>
    <w:rsid w:val="00317187"/>
    <w:rsid w:val="0032157F"/>
    <w:rsid w:val="00321D6D"/>
    <w:rsid w:val="0032364B"/>
    <w:rsid w:val="00326322"/>
    <w:rsid w:val="00327689"/>
    <w:rsid w:val="003307F0"/>
    <w:rsid w:val="00342649"/>
    <w:rsid w:val="003477F5"/>
    <w:rsid w:val="00347A95"/>
    <w:rsid w:val="00351EA3"/>
    <w:rsid w:val="003522D4"/>
    <w:rsid w:val="00352EC5"/>
    <w:rsid w:val="0035422B"/>
    <w:rsid w:val="00357147"/>
    <w:rsid w:val="00357218"/>
    <w:rsid w:val="003577E4"/>
    <w:rsid w:val="00357839"/>
    <w:rsid w:val="00360420"/>
    <w:rsid w:val="00362D15"/>
    <w:rsid w:val="00363A2A"/>
    <w:rsid w:val="00363AB7"/>
    <w:rsid w:val="0036519A"/>
    <w:rsid w:val="00365306"/>
    <w:rsid w:val="00370151"/>
    <w:rsid w:val="003701E5"/>
    <w:rsid w:val="003717DA"/>
    <w:rsid w:val="003722AE"/>
    <w:rsid w:val="0037414F"/>
    <w:rsid w:val="0037461C"/>
    <w:rsid w:val="00385FA3"/>
    <w:rsid w:val="00390429"/>
    <w:rsid w:val="003914E5"/>
    <w:rsid w:val="00392617"/>
    <w:rsid w:val="00393B4E"/>
    <w:rsid w:val="00393CD5"/>
    <w:rsid w:val="00396C90"/>
    <w:rsid w:val="00397530"/>
    <w:rsid w:val="00397A5C"/>
    <w:rsid w:val="003A0AE2"/>
    <w:rsid w:val="003A1678"/>
    <w:rsid w:val="003A4BF2"/>
    <w:rsid w:val="003A7C60"/>
    <w:rsid w:val="003B09EF"/>
    <w:rsid w:val="003B334C"/>
    <w:rsid w:val="003B3695"/>
    <w:rsid w:val="003B4B06"/>
    <w:rsid w:val="003B54C6"/>
    <w:rsid w:val="003D080B"/>
    <w:rsid w:val="003D102B"/>
    <w:rsid w:val="003D31C5"/>
    <w:rsid w:val="003D4C9D"/>
    <w:rsid w:val="003D7D25"/>
    <w:rsid w:val="003E21F0"/>
    <w:rsid w:val="003E2A2C"/>
    <w:rsid w:val="003E420D"/>
    <w:rsid w:val="003E7874"/>
    <w:rsid w:val="003F24D8"/>
    <w:rsid w:val="003F3362"/>
    <w:rsid w:val="003F4F7E"/>
    <w:rsid w:val="003F6B25"/>
    <w:rsid w:val="003F7723"/>
    <w:rsid w:val="00401729"/>
    <w:rsid w:val="004028B0"/>
    <w:rsid w:val="00402E35"/>
    <w:rsid w:val="00403A7C"/>
    <w:rsid w:val="00404145"/>
    <w:rsid w:val="00404F16"/>
    <w:rsid w:val="00406646"/>
    <w:rsid w:val="00414441"/>
    <w:rsid w:val="004145DC"/>
    <w:rsid w:val="004171D0"/>
    <w:rsid w:val="004203C8"/>
    <w:rsid w:val="00422E62"/>
    <w:rsid w:val="00424F82"/>
    <w:rsid w:val="0042510B"/>
    <w:rsid w:val="00425449"/>
    <w:rsid w:val="00432233"/>
    <w:rsid w:val="00433BE7"/>
    <w:rsid w:val="00433C7F"/>
    <w:rsid w:val="004348E4"/>
    <w:rsid w:val="00435378"/>
    <w:rsid w:val="00435384"/>
    <w:rsid w:val="00436123"/>
    <w:rsid w:val="00436A80"/>
    <w:rsid w:val="00437DC5"/>
    <w:rsid w:val="00442044"/>
    <w:rsid w:val="00446A4D"/>
    <w:rsid w:val="00446B85"/>
    <w:rsid w:val="0045076A"/>
    <w:rsid w:val="00450A55"/>
    <w:rsid w:val="00451C45"/>
    <w:rsid w:val="00452D9D"/>
    <w:rsid w:val="0045504C"/>
    <w:rsid w:val="00460ADF"/>
    <w:rsid w:val="00462361"/>
    <w:rsid w:val="0047326E"/>
    <w:rsid w:val="0047558E"/>
    <w:rsid w:val="00480EE1"/>
    <w:rsid w:val="00482576"/>
    <w:rsid w:val="00482FEF"/>
    <w:rsid w:val="00483C09"/>
    <w:rsid w:val="00483CB7"/>
    <w:rsid w:val="00485474"/>
    <w:rsid w:val="0048566F"/>
    <w:rsid w:val="0048577C"/>
    <w:rsid w:val="00485C4C"/>
    <w:rsid w:val="00490652"/>
    <w:rsid w:val="00491C6F"/>
    <w:rsid w:val="00491E8F"/>
    <w:rsid w:val="00492FC5"/>
    <w:rsid w:val="0049337F"/>
    <w:rsid w:val="004935B6"/>
    <w:rsid w:val="004944FF"/>
    <w:rsid w:val="00497476"/>
    <w:rsid w:val="004A427A"/>
    <w:rsid w:val="004A5B27"/>
    <w:rsid w:val="004A5FD0"/>
    <w:rsid w:val="004B02A0"/>
    <w:rsid w:val="004B4E67"/>
    <w:rsid w:val="004C0B0F"/>
    <w:rsid w:val="004C1414"/>
    <w:rsid w:val="004C3162"/>
    <w:rsid w:val="004C3D3F"/>
    <w:rsid w:val="004C4E8C"/>
    <w:rsid w:val="004C5CA0"/>
    <w:rsid w:val="004D114D"/>
    <w:rsid w:val="004D4BB5"/>
    <w:rsid w:val="004D569F"/>
    <w:rsid w:val="004E016A"/>
    <w:rsid w:val="004E1E61"/>
    <w:rsid w:val="004E3AD5"/>
    <w:rsid w:val="004E49B4"/>
    <w:rsid w:val="004F0F90"/>
    <w:rsid w:val="004F3727"/>
    <w:rsid w:val="004F47BA"/>
    <w:rsid w:val="004F5523"/>
    <w:rsid w:val="004F6365"/>
    <w:rsid w:val="004F7E5A"/>
    <w:rsid w:val="00507107"/>
    <w:rsid w:val="00520498"/>
    <w:rsid w:val="0052105E"/>
    <w:rsid w:val="00521079"/>
    <w:rsid w:val="0052119C"/>
    <w:rsid w:val="00522E11"/>
    <w:rsid w:val="0052631A"/>
    <w:rsid w:val="00527711"/>
    <w:rsid w:val="00530011"/>
    <w:rsid w:val="0053143E"/>
    <w:rsid w:val="00531E75"/>
    <w:rsid w:val="005359A2"/>
    <w:rsid w:val="00536018"/>
    <w:rsid w:val="00536277"/>
    <w:rsid w:val="005406DF"/>
    <w:rsid w:val="005427F5"/>
    <w:rsid w:val="00543B56"/>
    <w:rsid w:val="005442E9"/>
    <w:rsid w:val="00547854"/>
    <w:rsid w:val="005503A1"/>
    <w:rsid w:val="00555B6B"/>
    <w:rsid w:val="00555C41"/>
    <w:rsid w:val="005576F4"/>
    <w:rsid w:val="00560E0E"/>
    <w:rsid w:val="0056275F"/>
    <w:rsid w:val="00562D71"/>
    <w:rsid w:val="00564A96"/>
    <w:rsid w:val="00565BBD"/>
    <w:rsid w:val="0056773C"/>
    <w:rsid w:val="00567859"/>
    <w:rsid w:val="00567DCB"/>
    <w:rsid w:val="00571919"/>
    <w:rsid w:val="005721B2"/>
    <w:rsid w:val="00572863"/>
    <w:rsid w:val="005728DB"/>
    <w:rsid w:val="0057435E"/>
    <w:rsid w:val="00575ABF"/>
    <w:rsid w:val="00575ECB"/>
    <w:rsid w:val="005803AD"/>
    <w:rsid w:val="00582679"/>
    <w:rsid w:val="00583583"/>
    <w:rsid w:val="005851E9"/>
    <w:rsid w:val="0058525E"/>
    <w:rsid w:val="00585C26"/>
    <w:rsid w:val="00585D1F"/>
    <w:rsid w:val="00586A50"/>
    <w:rsid w:val="00590CE4"/>
    <w:rsid w:val="00593243"/>
    <w:rsid w:val="0059491A"/>
    <w:rsid w:val="00595D2B"/>
    <w:rsid w:val="005969D3"/>
    <w:rsid w:val="005A2018"/>
    <w:rsid w:val="005A2148"/>
    <w:rsid w:val="005A3332"/>
    <w:rsid w:val="005A4D2A"/>
    <w:rsid w:val="005C21E8"/>
    <w:rsid w:val="005C6BF9"/>
    <w:rsid w:val="005C7B28"/>
    <w:rsid w:val="005D467C"/>
    <w:rsid w:val="005E097A"/>
    <w:rsid w:val="005E4D2D"/>
    <w:rsid w:val="005E6142"/>
    <w:rsid w:val="005E690A"/>
    <w:rsid w:val="005E6CB8"/>
    <w:rsid w:val="005F001F"/>
    <w:rsid w:val="005F08C7"/>
    <w:rsid w:val="005F2BCA"/>
    <w:rsid w:val="005F4008"/>
    <w:rsid w:val="005F6A8A"/>
    <w:rsid w:val="00601659"/>
    <w:rsid w:val="00601FB6"/>
    <w:rsid w:val="006029E1"/>
    <w:rsid w:val="0060340A"/>
    <w:rsid w:val="00604518"/>
    <w:rsid w:val="00605983"/>
    <w:rsid w:val="00605C9C"/>
    <w:rsid w:val="00610252"/>
    <w:rsid w:val="0061188E"/>
    <w:rsid w:val="00612CE6"/>
    <w:rsid w:val="00614B99"/>
    <w:rsid w:val="00616B43"/>
    <w:rsid w:val="0062053D"/>
    <w:rsid w:val="00620B1D"/>
    <w:rsid w:val="0062187C"/>
    <w:rsid w:val="00621B10"/>
    <w:rsid w:val="00624B5A"/>
    <w:rsid w:val="0062585A"/>
    <w:rsid w:val="0062621D"/>
    <w:rsid w:val="00627DAE"/>
    <w:rsid w:val="00631581"/>
    <w:rsid w:val="006322A8"/>
    <w:rsid w:val="00632413"/>
    <w:rsid w:val="006326E2"/>
    <w:rsid w:val="00632A33"/>
    <w:rsid w:val="00632AC2"/>
    <w:rsid w:val="00633B94"/>
    <w:rsid w:val="00636016"/>
    <w:rsid w:val="00636BA8"/>
    <w:rsid w:val="00637BEC"/>
    <w:rsid w:val="00642F17"/>
    <w:rsid w:val="0064572D"/>
    <w:rsid w:val="00647AEC"/>
    <w:rsid w:val="006516E4"/>
    <w:rsid w:val="00651B22"/>
    <w:rsid w:val="00652BA9"/>
    <w:rsid w:val="006532F0"/>
    <w:rsid w:val="00655D44"/>
    <w:rsid w:val="00655FC0"/>
    <w:rsid w:val="00657A7F"/>
    <w:rsid w:val="00660DD7"/>
    <w:rsid w:val="006617E1"/>
    <w:rsid w:val="00661E3D"/>
    <w:rsid w:val="00663721"/>
    <w:rsid w:val="00664DF6"/>
    <w:rsid w:val="00667141"/>
    <w:rsid w:val="00670B07"/>
    <w:rsid w:val="00670BB0"/>
    <w:rsid w:val="006734EC"/>
    <w:rsid w:val="00673A27"/>
    <w:rsid w:val="00674E94"/>
    <w:rsid w:val="00677DD9"/>
    <w:rsid w:val="00681532"/>
    <w:rsid w:val="00684BAF"/>
    <w:rsid w:val="00685661"/>
    <w:rsid w:val="00685914"/>
    <w:rsid w:val="0068664C"/>
    <w:rsid w:val="006908AE"/>
    <w:rsid w:val="00690920"/>
    <w:rsid w:val="00692A9B"/>
    <w:rsid w:val="00693DC5"/>
    <w:rsid w:val="00694D0F"/>
    <w:rsid w:val="00695E3B"/>
    <w:rsid w:val="00696985"/>
    <w:rsid w:val="00696F0C"/>
    <w:rsid w:val="006A2CB5"/>
    <w:rsid w:val="006A3CA6"/>
    <w:rsid w:val="006A6CC8"/>
    <w:rsid w:val="006A7E47"/>
    <w:rsid w:val="006B145B"/>
    <w:rsid w:val="006B3EF1"/>
    <w:rsid w:val="006B4BD0"/>
    <w:rsid w:val="006B7955"/>
    <w:rsid w:val="006C1D9D"/>
    <w:rsid w:val="006C23F6"/>
    <w:rsid w:val="006C54DF"/>
    <w:rsid w:val="006C58B3"/>
    <w:rsid w:val="006E133A"/>
    <w:rsid w:val="006E58F0"/>
    <w:rsid w:val="006E6FD0"/>
    <w:rsid w:val="006F003F"/>
    <w:rsid w:val="006F195D"/>
    <w:rsid w:val="006F1B0F"/>
    <w:rsid w:val="006F2146"/>
    <w:rsid w:val="006F333F"/>
    <w:rsid w:val="006F7D5E"/>
    <w:rsid w:val="006F7DF5"/>
    <w:rsid w:val="00701A4F"/>
    <w:rsid w:val="007043B0"/>
    <w:rsid w:val="00704D7F"/>
    <w:rsid w:val="0070538C"/>
    <w:rsid w:val="00705644"/>
    <w:rsid w:val="007059D7"/>
    <w:rsid w:val="007071F7"/>
    <w:rsid w:val="0071471C"/>
    <w:rsid w:val="00714FC6"/>
    <w:rsid w:val="007165DD"/>
    <w:rsid w:val="007206CA"/>
    <w:rsid w:val="00720E07"/>
    <w:rsid w:val="007213E1"/>
    <w:rsid w:val="0072157C"/>
    <w:rsid w:val="007242EC"/>
    <w:rsid w:val="0072451D"/>
    <w:rsid w:val="00724554"/>
    <w:rsid w:val="00724A50"/>
    <w:rsid w:val="00733F43"/>
    <w:rsid w:val="00735323"/>
    <w:rsid w:val="007368D8"/>
    <w:rsid w:val="007459C5"/>
    <w:rsid w:val="007517B0"/>
    <w:rsid w:val="007532B3"/>
    <w:rsid w:val="00755065"/>
    <w:rsid w:val="007568C5"/>
    <w:rsid w:val="00760328"/>
    <w:rsid w:val="00760BC5"/>
    <w:rsid w:val="00760DA7"/>
    <w:rsid w:val="00763CE3"/>
    <w:rsid w:val="0076587F"/>
    <w:rsid w:val="00771D1B"/>
    <w:rsid w:val="00772DF4"/>
    <w:rsid w:val="00774880"/>
    <w:rsid w:val="00777447"/>
    <w:rsid w:val="007777A7"/>
    <w:rsid w:val="00780674"/>
    <w:rsid w:val="00782341"/>
    <w:rsid w:val="00786C37"/>
    <w:rsid w:val="00787F6C"/>
    <w:rsid w:val="00791CE9"/>
    <w:rsid w:val="00792523"/>
    <w:rsid w:val="007A46FA"/>
    <w:rsid w:val="007A55E0"/>
    <w:rsid w:val="007A63A6"/>
    <w:rsid w:val="007A6757"/>
    <w:rsid w:val="007B0BE5"/>
    <w:rsid w:val="007C4ABF"/>
    <w:rsid w:val="007C6F27"/>
    <w:rsid w:val="007D278B"/>
    <w:rsid w:val="007D3281"/>
    <w:rsid w:val="007E2638"/>
    <w:rsid w:val="007E2AE4"/>
    <w:rsid w:val="007E3438"/>
    <w:rsid w:val="007E3B80"/>
    <w:rsid w:val="007E4B1A"/>
    <w:rsid w:val="007E5588"/>
    <w:rsid w:val="007E574A"/>
    <w:rsid w:val="007E59CA"/>
    <w:rsid w:val="007E6F51"/>
    <w:rsid w:val="007F009A"/>
    <w:rsid w:val="007F2CF8"/>
    <w:rsid w:val="007F2FF2"/>
    <w:rsid w:val="007F41A1"/>
    <w:rsid w:val="007F44E7"/>
    <w:rsid w:val="007F6ABE"/>
    <w:rsid w:val="007F6EEC"/>
    <w:rsid w:val="007F7C93"/>
    <w:rsid w:val="008018EF"/>
    <w:rsid w:val="00806406"/>
    <w:rsid w:val="008111CF"/>
    <w:rsid w:val="00814DF0"/>
    <w:rsid w:val="0081624E"/>
    <w:rsid w:val="00816E7B"/>
    <w:rsid w:val="00820AB1"/>
    <w:rsid w:val="008216A8"/>
    <w:rsid w:val="008218E5"/>
    <w:rsid w:val="0082383F"/>
    <w:rsid w:val="008241BD"/>
    <w:rsid w:val="008242B7"/>
    <w:rsid w:val="00830DF5"/>
    <w:rsid w:val="008315BA"/>
    <w:rsid w:val="008341AF"/>
    <w:rsid w:val="00834792"/>
    <w:rsid w:val="00835842"/>
    <w:rsid w:val="00835E52"/>
    <w:rsid w:val="0083610B"/>
    <w:rsid w:val="008363E3"/>
    <w:rsid w:val="00837548"/>
    <w:rsid w:val="0084047F"/>
    <w:rsid w:val="0084075D"/>
    <w:rsid w:val="00840E7F"/>
    <w:rsid w:val="00841642"/>
    <w:rsid w:val="00842C5D"/>
    <w:rsid w:val="0084322F"/>
    <w:rsid w:val="0084354B"/>
    <w:rsid w:val="00844372"/>
    <w:rsid w:val="0084759D"/>
    <w:rsid w:val="0084765F"/>
    <w:rsid w:val="00847E18"/>
    <w:rsid w:val="008518EF"/>
    <w:rsid w:val="0085307F"/>
    <w:rsid w:val="00854A8F"/>
    <w:rsid w:val="008552D3"/>
    <w:rsid w:val="00856F1D"/>
    <w:rsid w:val="0085706E"/>
    <w:rsid w:val="0085797E"/>
    <w:rsid w:val="00857DCA"/>
    <w:rsid w:val="008607F6"/>
    <w:rsid w:val="008619FD"/>
    <w:rsid w:val="00863083"/>
    <w:rsid w:val="00865D26"/>
    <w:rsid w:val="008670FE"/>
    <w:rsid w:val="00867359"/>
    <w:rsid w:val="0087062F"/>
    <w:rsid w:val="00870936"/>
    <w:rsid w:val="008709AE"/>
    <w:rsid w:val="0087664D"/>
    <w:rsid w:val="00877AB5"/>
    <w:rsid w:val="00877F85"/>
    <w:rsid w:val="0088094E"/>
    <w:rsid w:val="008809BB"/>
    <w:rsid w:val="00880A65"/>
    <w:rsid w:val="0088343D"/>
    <w:rsid w:val="008848C6"/>
    <w:rsid w:val="00887235"/>
    <w:rsid w:val="00890CF1"/>
    <w:rsid w:val="00892464"/>
    <w:rsid w:val="00895C0C"/>
    <w:rsid w:val="00896814"/>
    <w:rsid w:val="008977ED"/>
    <w:rsid w:val="008A0E4B"/>
    <w:rsid w:val="008A220D"/>
    <w:rsid w:val="008A3342"/>
    <w:rsid w:val="008A37BE"/>
    <w:rsid w:val="008B088A"/>
    <w:rsid w:val="008B0E89"/>
    <w:rsid w:val="008B1EDC"/>
    <w:rsid w:val="008B514C"/>
    <w:rsid w:val="008B53BD"/>
    <w:rsid w:val="008C2E26"/>
    <w:rsid w:val="008C5C3E"/>
    <w:rsid w:val="008C6AC2"/>
    <w:rsid w:val="008D4836"/>
    <w:rsid w:val="008E0DAC"/>
    <w:rsid w:val="008E2CFA"/>
    <w:rsid w:val="008E2E52"/>
    <w:rsid w:val="008E4D2A"/>
    <w:rsid w:val="008E6801"/>
    <w:rsid w:val="008E6C39"/>
    <w:rsid w:val="008E6D30"/>
    <w:rsid w:val="008E7A66"/>
    <w:rsid w:val="008F0458"/>
    <w:rsid w:val="008F16E2"/>
    <w:rsid w:val="008F1983"/>
    <w:rsid w:val="008F4960"/>
    <w:rsid w:val="008F612F"/>
    <w:rsid w:val="008F63C1"/>
    <w:rsid w:val="008F6449"/>
    <w:rsid w:val="008F7FA2"/>
    <w:rsid w:val="00900F0C"/>
    <w:rsid w:val="009019BD"/>
    <w:rsid w:val="00902114"/>
    <w:rsid w:val="0090212B"/>
    <w:rsid w:val="0091044A"/>
    <w:rsid w:val="00910693"/>
    <w:rsid w:val="00914A51"/>
    <w:rsid w:val="0091563C"/>
    <w:rsid w:val="009219E1"/>
    <w:rsid w:val="00922431"/>
    <w:rsid w:val="0092528C"/>
    <w:rsid w:val="00925B0E"/>
    <w:rsid w:val="009267C6"/>
    <w:rsid w:val="009274AC"/>
    <w:rsid w:val="00927E7F"/>
    <w:rsid w:val="00927F37"/>
    <w:rsid w:val="0093067E"/>
    <w:rsid w:val="00936B74"/>
    <w:rsid w:val="0094047C"/>
    <w:rsid w:val="009417A3"/>
    <w:rsid w:val="009423D0"/>
    <w:rsid w:val="00943327"/>
    <w:rsid w:val="009446A3"/>
    <w:rsid w:val="0094666E"/>
    <w:rsid w:val="009470F8"/>
    <w:rsid w:val="00947153"/>
    <w:rsid w:val="0095189C"/>
    <w:rsid w:val="00954D5E"/>
    <w:rsid w:val="00956E2D"/>
    <w:rsid w:val="00965BE7"/>
    <w:rsid w:val="009700FD"/>
    <w:rsid w:val="0097331D"/>
    <w:rsid w:val="0097361C"/>
    <w:rsid w:val="00973A4C"/>
    <w:rsid w:val="00973A63"/>
    <w:rsid w:val="00974ECC"/>
    <w:rsid w:val="00975E6A"/>
    <w:rsid w:val="009763A5"/>
    <w:rsid w:val="009764F1"/>
    <w:rsid w:val="00977D4D"/>
    <w:rsid w:val="00980742"/>
    <w:rsid w:val="009818FD"/>
    <w:rsid w:val="00981C14"/>
    <w:rsid w:val="00982A03"/>
    <w:rsid w:val="00983970"/>
    <w:rsid w:val="00984467"/>
    <w:rsid w:val="00990591"/>
    <w:rsid w:val="0099187A"/>
    <w:rsid w:val="00997A7C"/>
    <w:rsid w:val="009A1EC4"/>
    <w:rsid w:val="009A2ECF"/>
    <w:rsid w:val="009A3BC1"/>
    <w:rsid w:val="009A3C47"/>
    <w:rsid w:val="009A41EF"/>
    <w:rsid w:val="009A4BDD"/>
    <w:rsid w:val="009A6CE7"/>
    <w:rsid w:val="009B054D"/>
    <w:rsid w:val="009B184D"/>
    <w:rsid w:val="009B2426"/>
    <w:rsid w:val="009B2654"/>
    <w:rsid w:val="009B2A82"/>
    <w:rsid w:val="009B58D9"/>
    <w:rsid w:val="009B5E27"/>
    <w:rsid w:val="009B656B"/>
    <w:rsid w:val="009B741A"/>
    <w:rsid w:val="009C0EA3"/>
    <w:rsid w:val="009C1159"/>
    <w:rsid w:val="009C16AB"/>
    <w:rsid w:val="009C1D04"/>
    <w:rsid w:val="009C4AE6"/>
    <w:rsid w:val="009C7707"/>
    <w:rsid w:val="009C7C2E"/>
    <w:rsid w:val="009D06E4"/>
    <w:rsid w:val="009D0CC8"/>
    <w:rsid w:val="009D14FE"/>
    <w:rsid w:val="009D41AE"/>
    <w:rsid w:val="009D62D2"/>
    <w:rsid w:val="009E0A7D"/>
    <w:rsid w:val="009E1D2C"/>
    <w:rsid w:val="009E3C2C"/>
    <w:rsid w:val="009F1662"/>
    <w:rsid w:val="009F17D3"/>
    <w:rsid w:val="009F1EBD"/>
    <w:rsid w:val="009F3A4C"/>
    <w:rsid w:val="009F42E9"/>
    <w:rsid w:val="009F538C"/>
    <w:rsid w:val="00A00BD0"/>
    <w:rsid w:val="00A023B7"/>
    <w:rsid w:val="00A03F55"/>
    <w:rsid w:val="00A047D4"/>
    <w:rsid w:val="00A04FEB"/>
    <w:rsid w:val="00A0733D"/>
    <w:rsid w:val="00A12C39"/>
    <w:rsid w:val="00A1382A"/>
    <w:rsid w:val="00A13DA2"/>
    <w:rsid w:val="00A2096A"/>
    <w:rsid w:val="00A2391B"/>
    <w:rsid w:val="00A24AFF"/>
    <w:rsid w:val="00A27864"/>
    <w:rsid w:val="00A27EB4"/>
    <w:rsid w:val="00A30171"/>
    <w:rsid w:val="00A3052B"/>
    <w:rsid w:val="00A307C4"/>
    <w:rsid w:val="00A30ABD"/>
    <w:rsid w:val="00A32EB8"/>
    <w:rsid w:val="00A34B9F"/>
    <w:rsid w:val="00A368A6"/>
    <w:rsid w:val="00A428F4"/>
    <w:rsid w:val="00A442CB"/>
    <w:rsid w:val="00A444A8"/>
    <w:rsid w:val="00A44691"/>
    <w:rsid w:val="00A46149"/>
    <w:rsid w:val="00A4635E"/>
    <w:rsid w:val="00A4793C"/>
    <w:rsid w:val="00A54544"/>
    <w:rsid w:val="00A55CD9"/>
    <w:rsid w:val="00A567A6"/>
    <w:rsid w:val="00A60B8B"/>
    <w:rsid w:val="00A63BD5"/>
    <w:rsid w:val="00A679E7"/>
    <w:rsid w:val="00A71DA7"/>
    <w:rsid w:val="00A728DA"/>
    <w:rsid w:val="00A755E7"/>
    <w:rsid w:val="00A75787"/>
    <w:rsid w:val="00A7783C"/>
    <w:rsid w:val="00A80B09"/>
    <w:rsid w:val="00A818EB"/>
    <w:rsid w:val="00A8510F"/>
    <w:rsid w:val="00A85AA7"/>
    <w:rsid w:val="00A905AB"/>
    <w:rsid w:val="00A9092A"/>
    <w:rsid w:val="00A90AE0"/>
    <w:rsid w:val="00A925AA"/>
    <w:rsid w:val="00A92D53"/>
    <w:rsid w:val="00A93775"/>
    <w:rsid w:val="00A93BC5"/>
    <w:rsid w:val="00A946FC"/>
    <w:rsid w:val="00A95394"/>
    <w:rsid w:val="00A957D4"/>
    <w:rsid w:val="00A957E8"/>
    <w:rsid w:val="00AA00EA"/>
    <w:rsid w:val="00AA53BA"/>
    <w:rsid w:val="00AA6544"/>
    <w:rsid w:val="00AB6032"/>
    <w:rsid w:val="00AB70A3"/>
    <w:rsid w:val="00AC139B"/>
    <w:rsid w:val="00AC1980"/>
    <w:rsid w:val="00AC3262"/>
    <w:rsid w:val="00AC3EAB"/>
    <w:rsid w:val="00AC3F0D"/>
    <w:rsid w:val="00AC42E9"/>
    <w:rsid w:val="00AC485D"/>
    <w:rsid w:val="00AC573E"/>
    <w:rsid w:val="00AC6F74"/>
    <w:rsid w:val="00AC7D66"/>
    <w:rsid w:val="00AD120F"/>
    <w:rsid w:val="00AD24D6"/>
    <w:rsid w:val="00AD4B93"/>
    <w:rsid w:val="00AD4CC5"/>
    <w:rsid w:val="00AD739A"/>
    <w:rsid w:val="00AD7C5D"/>
    <w:rsid w:val="00AE0388"/>
    <w:rsid w:val="00AE06FB"/>
    <w:rsid w:val="00AE13B0"/>
    <w:rsid w:val="00AE1C07"/>
    <w:rsid w:val="00AE4FF8"/>
    <w:rsid w:val="00AE5908"/>
    <w:rsid w:val="00AF0DAD"/>
    <w:rsid w:val="00AF117B"/>
    <w:rsid w:val="00AF1FA9"/>
    <w:rsid w:val="00AF366A"/>
    <w:rsid w:val="00AF544D"/>
    <w:rsid w:val="00B02C85"/>
    <w:rsid w:val="00B03089"/>
    <w:rsid w:val="00B035D7"/>
    <w:rsid w:val="00B06B56"/>
    <w:rsid w:val="00B06DF3"/>
    <w:rsid w:val="00B07D9F"/>
    <w:rsid w:val="00B07FAF"/>
    <w:rsid w:val="00B14335"/>
    <w:rsid w:val="00B1707E"/>
    <w:rsid w:val="00B17800"/>
    <w:rsid w:val="00B207A5"/>
    <w:rsid w:val="00B2650F"/>
    <w:rsid w:val="00B35A51"/>
    <w:rsid w:val="00B35DFC"/>
    <w:rsid w:val="00B36AF6"/>
    <w:rsid w:val="00B36CB3"/>
    <w:rsid w:val="00B37187"/>
    <w:rsid w:val="00B4032C"/>
    <w:rsid w:val="00B464C8"/>
    <w:rsid w:val="00B47379"/>
    <w:rsid w:val="00B4747F"/>
    <w:rsid w:val="00B4766E"/>
    <w:rsid w:val="00B50453"/>
    <w:rsid w:val="00B50D75"/>
    <w:rsid w:val="00B5208C"/>
    <w:rsid w:val="00B573F4"/>
    <w:rsid w:val="00B576E8"/>
    <w:rsid w:val="00B614A2"/>
    <w:rsid w:val="00B634D5"/>
    <w:rsid w:val="00B63805"/>
    <w:rsid w:val="00B647BD"/>
    <w:rsid w:val="00B664B7"/>
    <w:rsid w:val="00B70C71"/>
    <w:rsid w:val="00B72910"/>
    <w:rsid w:val="00B73244"/>
    <w:rsid w:val="00B76185"/>
    <w:rsid w:val="00B76866"/>
    <w:rsid w:val="00B771F7"/>
    <w:rsid w:val="00B81B3C"/>
    <w:rsid w:val="00B82871"/>
    <w:rsid w:val="00B836C2"/>
    <w:rsid w:val="00B84B2D"/>
    <w:rsid w:val="00B85796"/>
    <w:rsid w:val="00B8627B"/>
    <w:rsid w:val="00B864B6"/>
    <w:rsid w:val="00B93677"/>
    <w:rsid w:val="00B94D3F"/>
    <w:rsid w:val="00B95632"/>
    <w:rsid w:val="00BA2BEE"/>
    <w:rsid w:val="00BA545E"/>
    <w:rsid w:val="00BA7A75"/>
    <w:rsid w:val="00BB06F8"/>
    <w:rsid w:val="00BB076E"/>
    <w:rsid w:val="00BB1E0D"/>
    <w:rsid w:val="00BB2615"/>
    <w:rsid w:val="00BB2712"/>
    <w:rsid w:val="00BB65FA"/>
    <w:rsid w:val="00BC2B8E"/>
    <w:rsid w:val="00BC2F28"/>
    <w:rsid w:val="00BC3F6B"/>
    <w:rsid w:val="00BC4D8A"/>
    <w:rsid w:val="00BC54AD"/>
    <w:rsid w:val="00BD0F56"/>
    <w:rsid w:val="00BD295A"/>
    <w:rsid w:val="00BD33C8"/>
    <w:rsid w:val="00BD473A"/>
    <w:rsid w:val="00BD5BEC"/>
    <w:rsid w:val="00BD5C96"/>
    <w:rsid w:val="00BD774A"/>
    <w:rsid w:val="00BD7D27"/>
    <w:rsid w:val="00BE02DB"/>
    <w:rsid w:val="00BE1231"/>
    <w:rsid w:val="00BE21F0"/>
    <w:rsid w:val="00BE4116"/>
    <w:rsid w:val="00BE4417"/>
    <w:rsid w:val="00BE4F4B"/>
    <w:rsid w:val="00BE679F"/>
    <w:rsid w:val="00BE7F0F"/>
    <w:rsid w:val="00BF318A"/>
    <w:rsid w:val="00BF55EF"/>
    <w:rsid w:val="00BF5B4A"/>
    <w:rsid w:val="00BF7CF3"/>
    <w:rsid w:val="00C01519"/>
    <w:rsid w:val="00C01A79"/>
    <w:rsid w:val="00C01C4D"/>
    <w:rsid w:val="00C03FC3"/>
    <w:rsid w:val="00C0525F"/>
    <w:rsid w:val="00C053EE"/>
    <w:rsid w:val="00C07A11"/>
    <w:rsid w:val="00C11181"/>
    <w:rsid w:val="00C1269D"/>
    <w:rsid w:val="00C15DEB"/>
    <w:rsid w:val="00C22565"/>
    <w:rsid w:val="00C236DF"/>
    <w:rsid w:val="00C24384"/>
    <w:rsid w:val="00C24557"/>
    <w:rsid w:val="00C24CFC"/>
    <w:rsid w:val="00C2600D"/>
    <w:rsid w:val="00C26B8E"/>
    <w:rsid w:val="00C27522"/>
    <w:rsid w:val="00C30681"/>
    <w:rsid w:val="00C30690"/>
    <w:rsid w:val="00C3201D"/>
    <w:rsid w:val="00C33037"/>
    <w:rsid w:val="00C332A4"/>
    <w:rsid w:val="00C34FFC"/>
    <w:rsid w:val="00C35491"/>
    <w:rsid w:val="00C35A4A"/>
    <w:rsid w:val="00C36ED0"/>
    <w:rsid w:val="00C40354"/>
    <w:rsid w:val="00C40ACC"/>
    <w:rsid w:val="00C43D21"/>
    <w:rsid w:val="00C453EC"/>
    <w:rsid w:val="00C462C7"/>
    <w:rsid w:val="00C476DC"/>
    <w:rsid w:val="00C53B58"/>
    <w:rsid w:val="00C54C4C"/>
    <w:rsid w:val="00C60DA2"/>
    <w:rsid w:val="00C62571"/>
    <w:rsid w:val="00C63BA2"/>
    <w:rsid w:val="00C63F34"/>
    <w:rsid w:val="00C675F7"/>
    <w:rsid w:val="00C7004C"/>
    <w:rsid w:val="00C702AF"/>
    <w:rsid w:val="00C70CC5"/>
    <w:rsid w:val="00C719FE"/>
    <w:rsid w:val="00C7318E"/>
    <w:rsid w:val="00C76E2B"/>
    <w:rsid w:val="00C823B5"/>
    <w:rsid w:val="00C827DB"/>
    <w:rsid w:val="00C849FB"/>
    <w:rsid w:val="00C850CC"/>
    <w:rsid w:val="00C91189"/>
    <w:rsid w:val="00C9777F"/>
    <w:rsid w:val="00CA21C7"/>
    <w:rsid w:val="00CA3B6C"/>
    <w:rsid w:val="00CA3C95"/>
    <w:rsid w:val="00CA6483"/>
    <w:rsid w:val="00CA7577"/>
    <w:rsid w:val="00CB16D0"/>
    <w:rsid w:val="00CB185F"/>
    <w:rsid w:val="00CB3379"/>
    <w:rsid w:val="00CB5CEE"/>
    <w:rsid w:val="00CC0ED9"/>
    <w:rsid w:val="00CC1B60"/>
    <w:rsid w:val="00CC1E47"/>
    <w:rsid w:val="00CC6BE6"/>
    <w:rsid w:val="00CD0082"/>
    <w:rsid w:val="00CD10E8"/>
    <w:rsid w:val="00CD1D4F"/>
    <w:rsid w:val="00CD1F5B"/>
    <w:rsid w:val="00CD517A"/>
    <w:rsid w:val="00CD5B4F"/>
    <w:rsid w:val="00CD6888"/>
    <w:rsid w:val="00CE0096"/>
    <w:rsid w:val="00CE0127"/>
    <w:rsid w:val="00CE1A3B"/>
    <w:rsid w:val="00CE235A"/>
    <w:rsid w:val="00CE50A0"/>
    <w:rsid w:val="00CE62BF"/>
    <w:rsid w:val="00CE6440"/>
    <w:rsid w:val="00CF22FE"/>
    <w:rsid w:val="00CF36E6"/>
    <w:rsid w:val="00CF6017"/>
    <w:rsid w:val="00CF71F1"/>
    <w:rsid w:val="00CF74D7"/>
    <w:rsid w:val="00D01638"/>
    <w:rsid w:val="00D02081"/>
    <w:rsid w:val="00D02898"/>
    <w:rsid w:val="00D04322"/>
    <w:rsid w:val="00D063E2"/>
    <w:rsid w:val="00D06A45"/>
    <w:rsid w:val="00D12B74"/>
    <w:rsid w:val="00D13318"/>
    <w:rsid w:val="00D143C3"/>
    <w:rsid w:val="00D20A6B"/>
    <w:rsid w:val="00D215DB"/>
    <w:rsid w:val="00D22FE8"/>
    <w:rsid w:val="00D2475F"/>
    <w:rsid w:val="00D24A1E"/>
    <w:rsid w:val="00D327C6"/>
    <w:rsid w:val="00D34B8D"/>
    <w:rsid w:val="00D35D6E"/>
    <w:rsid w:val="00D373B0"/>
    <w:rsid w:val="00D42496"/>
    <w:rsid w:val="00D45194"/>
    <w:rsid w:val="00D47104"/>
    <w:rsid w:val="00D50B1C"/>
    <w:rsid w:val="00D57808"/>
    <w:rsid w:val="00D62212"/>
    <w:rsid w:val="00D6253C"/>
    <w:rsid w:val="00D62B4B"/>
    <w:rsid w:val="00D6344C"/>
    <w:rsid w:val="00D639A3"/>
    <w:rsid w:val="00D658F8"/>
    <w:rsid w:val="00D67C22"/>
    <w:rsid w:val="00D70EC5"/>
    <w:rsid w:val="00D71B11"/>
    <w:rsid w:val="00D72C43"/>
    <w:rsid w:val="00D74651"/>
    <w:rsid w:val="00D75654"/>
    <w:rsid w:val="00D80963"/>
    <w:rsid w:val="00D82517"/>
    <w:rsid w:val="00D82B26"/>
    <w:rsid w:val="00D83658"/>
    <w:rsid w:val="00D84008"/>
    <w:rsid w:val="00D849F9"/>
    <w:rsid w:val="00D84F27"/>
    <w:rsid w:val="00D872A8"/>
    <w:rsid w:val="00D90D61"/>
    <w:rsid w:val="00D92F55"/>
    <w:rsid w:val="00D9326E"/>
    <w:rsid w:val="00D93934"/>
    <w:rsid w:val="00D95CCF"/>
    <w:rsid w:val="00D96D71"/>
    <w:rsid w:val="00D974AB"/>
    <w:rsid w:val="00DA0CBD"/>
    <w:rsid w:val="00DA176C"/>
    <w:rsid w:val="00DA23AB"/>
    <w:rsid w:val="00DA39E2"/>
    <w:rsid w:val="00DA6782"/>
    <w:rsid w:val="00DB0206"/>
    <w:rsid w:val="00DB2D53"/>
    <w:rsid w:val="00DB2DBB"/>
    <w:rsid w:val="00DB385A"/>
    <w:rsid w:val="00DC0FD5"/>
    <w:rsid w:val="00DC1FB9"/>
    <w:rsid w:val="00DC3E6A"/>
    <w:rsid w:val="00DC4722"/>
    <w:rsid w:val="00DC514D"/>
    <w:rsid w:val="00DC6080"/>
    <w:rsid w:val="00DC7B35"/>
    <w:rsid w:val="00DC7CBC"/>
    <w:rsid w:val="00DD0E8E"/>
    <w:rsid w:val="00DD1582"/>
    <w:rsid w:val="00DD69D4"/>
    <w:rsid w:val="00DD7088"/>
    <w:rsid w:val="00DD738F"/>
    <w:rsid w:val="00DE2540"/>
    <w:rsid w:val="00DE3314"/>
    <w:rsid w:val="00DE3639"/>
    <w:rsid w:val="00DE4FDE"/>
    <w:rsid w:val="00DE505F"/>
    <w:rsid w:val="00DE6258"/>
    <w:rsid w:val="00DF0B1A"/>
    <w:rsid w:val="00DF3C1A"/>
    <w:rsid w:val="00DF5675"/>
    <w:rsid w:val="00DF7A67"/>
    <w:rsid w:val="00DF7E56"/>
    <w:rsid w:val="00E06859"/>
    <w:rsid w:val="00E072A5"/>
    <w:rsid w:val="00E1187D"/>
    <w:rsid w:val="00E11B75"/>
    <w:rsid w:val="00E12A80"/>
    <w:rsid w:val="00E133BE"/>
    <w:rsid w:val="00E15401"/>
    <w:rsid w:val="00E210AC"/>
    <w:rsid w:val="00E2126B"/>
    <w:rsid w:val="00E2205D"/>
    <w:rsid w:val="00E23413"/>
    <w:rsid w:val="00E27F25"/>
    <w:rsid w:val="00E302B7"/>
    <w:rsid w:val="00E309F1"/>
    <w:rsid w:val="00E321F0"/>
    <w:rsid w:val="00E323D6"/>
    <w:rsid w:val="00E34506"/>
    <w:rsid w:val="00E35A36"/>
    <w:rsid w:val="00E361F9"/>
    <w:rsid w:val="00E375CF"/>
    <w:rsid w:val="00E40D45"/>
    <w:rsid w:val="00E41668"/>
    <w:rsid w:val="00E43B60"/>
    <w:rsid w:val="00E4451C"/>
    <w:rsid w:val="00E4643B"/>
    <w:rsid w:val="00E50A9A"/>
    <w:rsid w:val="00E51868"/>
    <w:rsid w:val="00E51BD1"/>
    <w:rsid w:val="00E52B8F"/>
    <w:rsid w:val="00E53FA7"/>
    <w:rsid w:val="00E54583"/>
    <w:rsid w:val="00E579CF"/>
    <w:rsid w:val="00E61DA6"/>
    <w:rsid w:val="00E63FE8"/>
    <w:rsid w:val="00E66059"/>
    <w:rsid w:val="00E7377D"/>
    <w:rsid w:val="00E77B35"/>
    <w:rsid w:val="00E808B5"/>
    <w:rsid w:val="00E81C01"/>
    <w:rsid w:val="00E82EAF"/>
    <w:rsid w:val="00E835FC"/>
    <w:rsid w:val="00E909A4"/>
    <w:rsid w:val="00E9186B"/>
    <w:rsid w:val="00E9252D"/>
    <w:rsid w:val="00E92B73"/>
    <w:rsid w:val="00E9384E"/>
    <w:rsid w:val="00E97412"/>
    <w:rsid w:val="00EA1A4D"/>
    <w:rsid w:val="00EB38A2"/>
    <w:rsid w:val="00EB3D8A"/>
    <w:rsid w:val="00EC1644"/>
    <w:rsid w:val="00ED02B5"/>
    <w:rsid w:val="00ED1B93"/>
    <w:rsid w:val="00ED3B51"/>
    <w:rsid w:val="00ED4C08"/>
    <w:rsid w:val="00ED691C"/>
    <w:rsid w:val="00EE0D1A"/>
    <w:rsid w:val="00EE1024"/>
    <w:rsid w:val="00EE3505"/>
    <w:rsid w:val="00EE5526"/>
    <w:rsid w:val="00EF57FF"/>
    <w:rsid w:val="00F00F8B"/>
    <w:rsid w:val="00F04761"/>
    <w:rsid w:val="00F0750B"/>
    <w:rsid w:val="00F07DAF"/>
    <w:rsid w:val="00F07DE5"/>
    <w:rsid w:val="00F10362"/>
    <w:rsid w:val="00F137A5"/>
    <w:rsid w:val="00F16DF0"/>
    <w:rsid w:val="00F20653"/>
    <w:rsid w:val="00F20BFA"/>
    <w:rsid w:val="00F22F75"/>
    <w:rsid w:val="00F23F95"/>
    <w:rsid w:val="00F243B5"/>
    <w:rsid w:val="00F26F8F"/>
    <w:rsid w:val="00F270A4"/>
    <w:rsid w:val="00F308D8"/>
    <w:rsid w:val="00F3217E"/>
    <w:rsid w:val="00F328CB"/>
    <w:rsid w:val="00F349B5"/>
    <w:rsid w:val="00F34F09"/>
    <w:rsid w:val="00F35D58"/>
    <w:rsid w:val="00F373A7"/>
    <w:rsid w:val="00F37F53"/>
    <w:rsid w:val="00F415E7"/>
    <w:rsid w:val="00F43EA7"/>
    <w:rsid w:val="00F50517"/>
    <w:rsid w:val="00F50667"/>
    <w:rsid w:val="00F54329"/>
    <w:rsid w:val="00F55F29"/>
    <w:rsid w:val="00F63E6B"/>
    <w:rsid w:val="00F6706E"/>
    <w:rsid w:val="00F82C3A"/>
    <w:rsid w:val="00F83AB0"/>
    <w:rsid w:val="00F841CB"/>
    <w:rsid w:val="00F9092D"/>
    <w:rsid w:val="00F911E8"/>
    <w:rsid w:val="00F930F4"/>
    <w:rsid w:val="00F939DC"/>
    <w:rsid w:val="00F93DC9"/>
    <w:rsid w:val="00F95145"/>
    <w:rsid w:val="00F97212"/>
    <w:rsid w:val="00F977A4"/>
    <w:rsid w:val="00F97ED2"/>
    <w:rsid w:val="00FA4AED"/>
    <w:rsid w:val="00FA6862"/>
    <w:rsid w:val="00FB0F54"/>
    <w:rsid w:val="00FB2A71"/>
    <w:rsid w:val="00FC1C71"/>
    <w:rsid w:val="00FC228D"/>
    <w:rsid w:val="00FC4CAA"/>
    <w:rsid w:val="00FC62C6"/>
    <w:rsid w:val="00FC6CBB"/>
    <w:rsid w:val="00FD0C7C"/>
    <w:rsid w:val="00FD332B"/>
    <w:rsid w:val="00FD4EE1"/>
    <w:rsid w:val="00FD5B7E"/>
    <w:rsid w:val="00FE0241"/>
    <w:rsid w:val="00FE1333"/>
    <w:rsid w:val="00FE137D"/>
    <w:rsid w:val="00FE273C"/>
    <w:rsid w:val="00FE2E32"/>
    <w:rsid w:val="00FE3797"/>
    <w:rsid w:val="00FE52DD"/>
    <w:rsid w:val="00FE77B0"/>
    <w:rsid w:val="00FF0275"/>
    <w:rsid w:val="00FF1546"/>
    <w:rsid w:val="00FF15E1"/>
    <w:rsid w:val="00FF214F"/>
    <w:rsid w:val="00FF4456"/>
    <w:rsid w:val="00FF4C91"/>
    <w:rsid w:val="00FF5765"/>
    <w:rsid w:val="00FF592B"/>
    <w:rsid w:val="00FF682C"/>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B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0"/>
    <w:rPr>
      <w:rFonts w:ascii="Calibri" w:eastAsia="Calibri" w:hAnsi="Calibri" w:cs="Times New Roman"/>
      <w:lang w:val="es-CR"/>
    </w:rPr>
  </w:style>
  <w:style w:type="paragraph" w:styleId="Heading1">
    <w:name w:val="heading 1"/>
    <w:basedOn w:val="ListParagraph"/>
    <w:next w:val="Normal"/>
    <w:link w:val="Heading1Char"/>
    <w:uiPriority w:val="9"/>
    <w:qFormat/>
    <w:rsid w:val="000216D0"/>
    <w:pPr>
      <w:spacing w:after="0" w:line="240" w:lineRule="auto"/>
      <w:contextualSpacing w:val="0"/>
      <w:outlineLvl w:val="0"/>
    </w:pPr>
    <w:rPr>
      <w:rFonts w:ascii="Verdana" w:eastAsia="Times" w:hAnsi="Verdana"/>
      <w:b/>
      <w:i/>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6D0"/>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locked/>
    <w:rsid w:val="000216D0"/>
    <w:rPr>
      <w:lang w:val="es-C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0216D0"/>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0216D0"/>
    <w:rPr>
      <w:rFonts w:ascii="Calibri" w:eastAsia="Calibri" w:hAnsi="Calibri" w:cs="Times New Roman"/>
      <w:sz w:val="20"/>
      <w:szCs w:val="20"/>
      <w:lang w:val="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nhideWhenUsed/>
    <w:qFormat/>
    <w:rsid w:val="000216D0"/>
    <w:rPr>
      <w:vertAlign w:val="superscript"/>
    </w:rPr>
  </w:style>
  <w:style w:type="paragraph" w:styleId="ListParagraph">
    <w:name w:val="List Paragraph"/>
    <w:aliases w:val="Footnote,Párrafo de lista1,Colorful List - Accent 11"/>
    <w:basedOn w:val="Normal"/>
    <w:link w:val="ListParagraphChar"/>
    <w:qFormat/>
    <w:rsid w:val="000216D0"/>
    <w:pPr>
      <w:ind w:left="720"/>
      <w:contextualSpacing/>
    </w:pPr>
  </w:style>
  <w:style w:type="character" w:customStyle="1" w:styleId="ListParagraphChar">
    <w:name w:val="List Paragraph Char"/>
    <w:aliases w:val="Footnote Char,Párrafo de lista1 Char,Colorful List - Accent 11 Char"/>
    <w:link w:val="ListParagraph"/>
    <w:locked/>
    <w:rsid w:val="000216D0"/>
    <w:rPr>
      <w:rFonts w:ascii="Calibri" w:eastAsia="Calibri" w:hAnsi="Calibri" w:cs="Times New Roman"/>
      <w:lang w:val="es-CR"/>
    </w:rPr>
  </w:style>
  <w:style w:type="character" w:customStyle="1" w:styleId="Heading1Char">
    <w:name w:val="Heading 1 Char"/>
    <w:basedOn w:val="DefaultParagraphFont"/>
    <w:link w:val="Heading1"/>
    <w:uiPriority w:val="9"/>
    <w:rsid w:val="000216D0"/>
    <w:rPr>
      <w:rFonts w:ascii="Verdana" w:eastAsia="Times" w:hAnsi="Verdana" w:cs="Times New Roman"/>
      <w:b/>
      <w:i/>
      <w:sz w:val="20"/>
      <w:szCs w:val="20"/>
      <w:lang w:val="es-ES_tradnl"/>
    </w:rPr>
  </w:style>
  <w:style w:type="character" w:styleId="FollowedHyperlink">
    <w:name w:val="FollowedHyperlink"/>
    <w:basedOn w:val="DefaultParagraphFont"/>
    <w:uiPriority w:val="99"/>
    <w:semiHidden/>
    <w:unhideWhenUsed/>
    <w:rsid w:val="00DA23AB"/>
    <w:rPr>
      <w:color w:val="800080" w:themeColor="followedHyperlink"/>
      <w:u w:val="single"/>
    </w:rPr>
  </w:style>
  <w:style w:type="character" w:styleId="CommentReference">
    <w:name w:val="annotation reference"/>
    <w:basedOn w:val="DefaultParagraphFont"/>
    <w:uiPriority w:val="99"/>
    <w:semiHidden/>
    <w:unhideWhenUsed/>
    <w:rsid w:val="00FD5B7E"/>
    <w:rPr>
      <w:sz w:val="16"/>
      <w:szCs w:val="16"/>
    </w:rPr>
  </w:style>
  <w:style w:type="paragraph" w:styleId="CommentText">
    <w:name w:val="annotation text"/>
    <w:basedOn w:val="Normal"/>
    <w:link w:val="CommentTextChar"/>
    <w:uiPriority w:val="99"/>
    <w:semiHidden/>
    <w:unhideWhenUsed/>
    <w:rsid w:val="00FD5B7E"/>
    <w:pPr>
      <w:spacing w:line="240" w:lineRule="auto"/>
    </w:pPr>
    <w:rPr>
      <w:sz w:val="20"/>
      <w:szCs w:val="20"/>
    </w:rPr>
  </w:style>
  <w:style w:type="character" w:customStyle="1" w:styleId="CommentTextChar">
    <w:name w:val="Comment Text Char"/>
    <w:basedOn w:val="DefaultParagraphFont"/>
    <w:link w:val="CommentText"/>
    <w:uiPriority w:val="99"/>
    <w:semiHidden/>
    <w:rsid w:val="00FD5B7E"/>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FD5B7E"/>
    <w:rPr>
      <w:b/>
      <w:bCs/>
    </w:rPr>
  </w:style>
  <w:style w:type="character" w:customStyle="1" w:styleId="CommentSubjectChar">
    <w:name w:val="Comment Subject Char"/>
    <w:basedOn w:val="CommentTextChar"/>
    <w:link w:val="CommentSubject"/>
    <w:uiPriority w:val="99"/>
    <w:semiHidden/>
    <w:rsid w:val="00FD5B7E"/>
    <w:rPr>
      <w:rFonts w:ascii="Calibri" w:eastAsia="Calibri" w:hAnsi="Calibri" w:cs="Times New Roman"/>
      <w:b/>
      <w:bCs/>
      <w:sz w:val="20"/>
      <w:szCs w:val="20"/>
      <w:lang w:val="es-CR"/>
    </w:rPr>
  </w:style>
  <w:style w:type="paragraph" w:styleId="BalloonText">
    <w:name w:val="Balloon Text"/>
    <w:basedOn w:val="Normal"/>
    <w:link w:val="BalloonTextChar"/>
    <w:uiPriority w:val="99"/>
    <w:semiHidden/>
    <w:unhideWhenUsed/>
    <w:rsid w:val="00FD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7E"/>
    <w:rPr>
      <w:rFonts w:ascii="Tahoma" w:eastAsia="Calibri" w:hAnsi="Tahoma" w:cs="Tahoma"/>
      <w:sz w:val="16"/>
      <w:szCs w:val="16"/>
      <w:lang w:val="es-CR"/>
    </w:rPr>
  </w:style>
  <w:style w:type="character" w:styleId="LineNumber">
    <w:name w:val="line number"/>
    <w:basedOn w:val="DefaultParagraphFont"/>
    <w:uiPriority w:val="99"/>
    <w:semiHidden/>
    <w:unhideWhenUsed/>
    <w:rsid w:val="00B63805"/>
  </w:style>
  <w:style w:type="paragraph" w:styleId="Header">
    <w:name w:val="header"/>
    <w:basedOn w:val="Normal"/>
    <w:link w:val="HeaderChar"/>
    <w:uiPriority w:val="99"/>
    <w:unhideWhenUsed/>
    <w:rsid w:val="00A1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39"/>
    <w:rPr>
      <w:rFonts w:ascii="Calibri" w:eastAsia="Calibri" w:hAnsi="Calibri" w:cs="Times New Roman"/>
      <w:lang w:val="es-CR"/>
    </w:rPr>
  </w:style>
  <w:style w:type="paragraph" w:styleId="Footer">
    <w:name w:val="footer"/>
    <w:basedOn w:val="Normal"/>
    <w:link w:val="FooterChar"/>
    <w:uiPriority w:val="99"/>
    <w:unhideWhenUsed/>
    <w:rsid w:val="00A1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39"/>
    <w:rPr>
      <w:rFonts w:ascii="Calibri" w:eastAsia="Calibri" w:hAnsi="Calibri" w:cs="Times New Roman"/>
      <w:lang w:val="es-CR"/>
    </w:rPr>
  </w:style>
  <w:style w:type="character" w:styleId="Strong">
    <w:name w:val="Strong"/>
    <w:uiPriority w:val="22"/>
    <w:qFormat/>
    <w:rsid w:val="0084765F"/>
    <w:rPr>
      <w:b/>
      <w:bCs/>
    </w:rPr>
  </w:style>
  <w:style w:type="paragraph" w:styleId="BodyText">
    <w:name w:val="Body Text"/>
    <w:basedOn w:val="Normal"/>
    <w:link w:val="BodyTextChar"/>
    <w:uiPriority w:val="99"/>
    <w:semiHidden/>
    <w:unhideWhenUsed/>
    <w:rsid w:val="00DB385A"/>
    <w:pPr>
      <w:spacing w:after="120" w:line="240" w:lineRule="auto"/>
    </w:pPr>
    <w:rPr>
      <w:rFonts w:ascii="Times" w:eastAsia="Times" w:hAnsi="Times"/>
      <w:sz w:val="24"/>
      <w:szCs w:val="20"/>
      <w:lang w:val="es-ES_tradnl"/>
    </w:rPr>
  </w:style>
  <w:style w:type="character" w:customStyle="1" w:styleId="BodyTextChar">
    <w:name w:val="Body Text Char"/>
    <w:basedOn w:val="DefaultParagraphFont"/>
    <w:link w:val="BodyText"/>
    <w:uiPriority w:val="99"/>
    <w:semiHidden/>
    <w:rsid w:val="00DB385A"/>
    <w:rPr>
      <w:rFonts w:ascii="Times" w:eastAsia="Times" w:hAnsi="Times" w:cs="Times New Roman"/>
      <w:sz w:val="24"/>
      <w:szCs w:val="20"/>
      <w:lang w:val="es-ES_tradnl"/>
    </w:rPr>
  </w:style>
  <w:style w:type="paragraph" w:customStyle="1" w:styleId="Default">
    <w:name w:val="Default"/>
    <w:rsid w:val="00AA53BA"/>
    <w:pPr>
      <w:autoSpaceDE w:val="0"/>
      <w:autoSpaceDN w:val="0"/>
      <w:adjustRightInd w:val="0"/>
      <w:spacing w:after="0" w:line="240" w:lineRule="auto"/>
    </w:pPr>
    <w:rPr>
      <w:rFonts w:ascii="Verdana" w:hAnsi="Verdana" w:cs="Verdana"/>
      <w:color w:val="000000"/>
      <w:sz w:val="24"/>
      <w:szCs w:val="24"/>
      <w:lang w:val="es-CR"/>
    </w:rPr>
  </w:style>
  <w:style w:type="paragraph" w:styleId="Revision">
    <w:name w:val="Revision"/>
    <w:hidden/>
    <w:uiPriority w:val="99"/>
    <w:semiHidden/>
    <w:rsid w:val="005E6CB8"/>
    <w:pPr>
      <w:spacing w:after="0" w:line="240" w:lineRule="auto"/>
    </w:pPr>
    <w:rPr>
      <w:rFonts w:ascii="Calibri" w:eastAsia="Calibri" w:hAnsi="Calibri" w:cs="Times New Roman"/>
      <w:lang w:val="es-CR"/>
    </w:rPr>
  </w:style>
  <w:style w:type="paragraph" w:styleId="Title">
    <w:name w:val="Title"/>
    <w:basedOn w:val="Heading1"/>
    <w:next w:val="Normal"/>
    <w:link w:val="TitleChar"/>
    <w:uiPriority w:val="10"/>
    <w:qFormat/>
    <w:rsid w:val="00C03FC3"/>
    <w:pPr>
      <w:ind w:hanging="360"/>
    </w:pPr>
    <w:rPr>
      <w:b w:val="0"/>
      <w:i w:val="0"/>
    </w:rPr>
  </w:style>
  <w:style w:type="character" w:customStyle="1" w:styleId="TitleChar">
    <w:name w:val="Title Char"/>
    <w:basedOn w:val="DefaultParagraphFont"/>
    <w:link w:val="Title"/>
    <w:uiPriority w:val="10"/>
    <w:rsid w:val="00C03FC3"/>
    <w:rPr>
      <w:rFonts w:ascii="Verdana" w:eastAsia="Times" w:hAnsi="Verdana" w:cs="Times New Roman"/>
      <w:sz w:val="20"/>
      <w:szCs w:val="20"/>
      <w:lang w:val="es-ES_tradnl"/>
    </w:rPr>
  </w:style>
  <w:style w:type="paragraph" w:styleId="TOCHeading">
    <w:name w:val="TOC Heading"/>
    <w:basedOn w:val="Heading1"/>
    <w:next w:val="Normal"/>
    <w:uiPriority w:val="39"/>
    <w:unhideWhenUsed/>
    <w:qFormat/>
    <w:rsid w:val="00C03FC3"/>
    <w:pPr>
      <w:keepNext/>
      <w:keepLines/>
      <w:spacing w:before="480" w:line="276" w:lineRule="auto"/>
      <w:ind w:left="0"/>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F34F09"/>
    <w:pPr>
      <w:numPr>
        <w:ilvl w:val="1"/>
        <w:numId w:val="15"/>
      </w:numPr>
      <w:tabs>
        <w:tab w:val="left" w:pos="0"/>
        <w:tab w:val="left" w:pos="1620"/>
        <w:tab w:val="right" w:leader="dot" w:pos="9350"/>
      </w:tabs>
      <w:spacing w:after="100"/>
      <w:ind w:left="1620" w:hanging="720"/>
    </w:pPr>
  </w:style>
  <w:style w:type="paragraph" w:customStyle="1" w:styleId="Textoindependiente1">
    <w:name w:val="Texto independiente1"/>
    <w:basedOn w:val="Normal"/>
    <w:rsid w:val="00EB3D8A"/>
    <w:pPr>
      <w:widowControl w:val="0"/>
      <w:spacing w:after="0" w:line="240" w:lineRule="auto"/>
      <w:jc w:val="both"/>
    </w:pPr>
    <w:rPr>
      <w:rFonts w:ascii="New York" w:eastAsia="Times New Roman" w:hAnsi="New York"/>
      <w:sz w:val="24"/>
      <w:szCs w:val="20"/>
      <w:lang w:val="es-ES_tradnl"/>
    </w:rPr>
  </w:style>
  <w:style w:type="paragraph" w:styleId="NormalWeb">
    <w:name w:val="Normal (Web)"/>
    <w:basedOn w:val="Normal"/>
    <w:uiPriority w:val="99"/>
    <w:unhideWhenUsed/>
    <w:rsid w:val="00956E2D"/>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a7">
    <w:name w:val="Pa7"/>
    <w:basedOn w:val="Normal"/>
    <w:next w:val="Normal"/>
    <w:uiPriority w:val="99"/>
    <w:rsid w:val="00956E2D"/>
    <w:pPr>
      <w:autoSpaceDE w:val="0"/>
      <w:autoSpaceDN w:val="0"/>
      <w:adjustRightInd w:val="0"/>
      <w:spacing w:after="0" w:line="201" w:lineRule="atLeast"/>
    </w:pPr>
    <w:rPr>
      <w:rFonts w:ascii="Verdana" w:hAnsi="Verdana"/>
      <w:sz w:val="24"/>
      <w:szCs w:val="24"/>
      <w:lang w:val="en-US"/>
    </w:rPr>
  </w:style>
  <w:style w:type="character" w:customStyle="1" w:styleId="apple-style-span">
    <w:name w:val="apple-style-span"/>
    <w:basedOn w:val="DefaultParagraphFont"/>
    <w:rsid w:val="0018534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0F7573"/>
    <w:pPr>
      <w:spacing w:after="0" w:line="240" w:lineRule="auto"/>
      <w:jc w:val="both"/>
    </w:pPr>
    <w:rPr>
      <w:rFonts w:asciiTheme="minorHAnsi" w:eastAsiaTheme="minorHAnsi" w:hAnsiTheme="minorHAnsi" w:cstheme="minorBidi"/>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0"/>
    <w:rPr>
      <w:rFonts w:ascii="Calibri" w:eastAsia="Calibri" w:hAnsi="Calibri" w:cs="Times New Roman"/>
      <w:lang w:val="es-CR"/>
    </w:rPr>
  </w:style>
  <w:style w:type="paragraph" w:styleId="Heading1">
    <w:name w:val="heading 1"/>
    <w:basedOn w:val="ListParagraph"/>
    <w:next w:val="Normal"/>
    <w:link w:val="Heading1Char"/>
    <w:uiPriority w:val="9"/>
    <w:qFormat/>
    <w:rsid w:val="000216D0"/>
    <w:pPr>
      <w:spacing w:after="0" w:line="240" w:lineRule="auto"/>
      <w:contextualSpacing w:val="0"/>
      <w:outlineLvl w:val="0"/>
    </w:pPr>
    <w:rPr>
      <w:rFonts w:ascii="Verdana" w:eastAsia="Times" w:hAnsi="Verdana"/>
      <w:b/>
      <w:i/>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6D0"/>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locked/>
    <w:rsid w:val="000216D0"/>
    <w:rPr>
      <w:lang w:val="es-C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0216D0"/>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0216D0"/>
    <w:rPr>
      <w:rFonts w:ascii="Calibri" w:eastAsia="Calibri" w:hAnsi="Calibri" w:cs="Times New Roman"/>
      <w:sz w:val="20"/>
      <w:szCs w:val="20"/>
      <w:lang w:val="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nhideWhenUsed/>
    <w:qFormat/>
    <w:rsid w:val="000216D0"/>
    <w:rPr>
      <w:vertAlign w:val="superscript"/>
    </w:rPr>
  </w:style>
  <w:style w:type="paragraph" w:styleId="ListParagraph">
    <w:name w:val="List Paragraph"/>
    <w:aliases w:val="Footnote,Párrafo de lista1,Colorful List - Accent 11"/>
    <w:basedOn w:val="Normal"/>
    <w:link w:val="ListParagraphChar"/>
    <w:qFormat/>
    <w:rsid w:val="000216D0"/>
    <w:pPr>
      <w:ind w:left="720"/>
      <w:contextualSpacing/>
    </w:pPr>
  </w:style>
  <w:style w:type="character" w:customStyle="1" w:styleId="ListParagraphChar">
    <w:name w:val="List Paragraph Char"/>
    <w:aliases w:val="Footnote Char,Párrafo de lista1 Char,Colorful List - Accent 11 Char"/>
    <w:link w:val="ListParagraph"/>
    <w:locked/>
    <w:rsid w:val="000216D0"/>
    <w:rPr>
      <w:rFonts w:ascii="Calibri" w:eastAsia="Calibri" w:hAnsi="Calibri" w:cs="Times New Roman"/>
      <w:lang w:val="es-CR"/>
    </w:rPr>
  </w:style>
  <w:style w:type="character" w:customStyle="1" w:styleId="Heading1Char">
    <w:name w:val="Heading 1 Char"/>
    <w:basedOn w:val="DefaultParagraphFont"/>
    <w:link w:val="Heading1"/>
    <w:uiPriority w:val="9"/>
    <w:rsid w:val="000216D0"/>
    <w:rPr>
      <w:rFonts w:ascii="Verdana" w:eastAsia="Times" w:hAnsi="Verdana" w:cs="Times New Roman"/>
      <w:b/>
      <w:i/>
      <w:sz w:val="20"/>
      <w:szCs w:val="20"/>
      <w:lang w:val="es-ES_tradnl"/>
    </w:rPr>
  </w:style>
  <w:style w:type="character" w:styleId="FollowedHyperlink">
    <w:name w:val="FollowedHyperlink"/>
    <w:basedOn w:val="DefaultParagraphFont"/>
    <w:uiPriority w:val="99"/>
    <w:semiHidden/>
    <w:unhideWhenUsed/>
    <w:rsid w:val="00DA23AB"/>
    <w:rPr>
      <w:color w:val="800080" w:themeColor="followedHyperlink"/>
      <w:u w:val="single"/>
    </w:rPr>
  </w:style>
  <w:style w:type="character" w:styleId="CommentReference">
    <w:name w:val="annotation reference"/>
    <w:basedOn w:val="DefaultParagraphFont"/>
    <w:uiPriority w:val="99"/>
    <w:semiHidden/>
    <w:unhideWhenUsed/>
    <w:rsid w:val="00FD5B7E"/>
    <w:rPr>
      <w:sz w:val="16"/>
      <w:szCs w:val="16"/>
    </w:rPr>
  </w:style>
  <w:style w:type="paragraph" w:styleId="CommentText">
    <w:name w:val="annotation text"/>
    <w:basedOn w:val="Normal"/>
    <w:link w:val="CommentTextChar"/>
    <w:uiPriority w:val="99"/>
    <w:semiHidden/>
    <w:unhideWhenUsed/>
    <w:rsid w:val="00FD5B7E"/>
    <w:pPr>
      <w:spacing w:line="240" w:lineRule="auto"/>
    </w:pPr>
    <w:rPr>
      <w:sz w:val="20"/>
      <w:szCs w:val="20"/>
    </w:rPr>
  </w:style>
  <w:style w:type="character" w:customStyle="1" w:styleId="CommentTextChar">
    <w:name w:val="Comment Text Char"/>
    <w:basedOn w:val="DefaultParagraphFont"/>
    <w:link w:val="CommentText"/>
    <w:uiPriority w:val="99"/>
    <w:semiHidden/>
    <w:rsid w:val="00FD5B7E"/>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FD5B7E"/>
    <w:rPr>
      <w:b/>
      <w:bCs/>
    </w:rPr>
  </w:style>
  <w:style w:type="character" w:customStyle="1" w:styleId="CommentSubjectChar">
    <w:name w:val="Comment Subject Char"/>
    <w:basedOn w:val="CommentTextChar"/>
    <w:link w:val="CommentSubject"/>
    <w:uiPriority w:val="99"/>
    <w:semiHidden/>
    <w:rsid w:val="00FD5B7E"/>
    <w:rPr>
      <w:rFonts w:ascii="Calibri" w:eastAsia="Calibri" w:hAnsi="Calibri" w:cs="Times New Roman"/>
      <w:b/>
      <w:bCs/>
      <w:sz w:val="20"/>
      <w:szCs w:val="20"/>
      <w:lang w:val="es-CR"/>
    </w:rPr>
  </w:style>
  <w:style w:type="paragraph" w:styleId="BalloonText">
    <w:name w:val="Balloon Text"/>
    <w:basedOn w:val="Normal"/>
    <w:link w:val="BalloonTextChar"/>
    <w:uiPriority w:val="99"/>
    <w:semiHidden/>
    <w:unhideWhenUsed/>
    <w:rsid w:val="00FD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7E"/>
    <w:rPr>
      <w:rFonts w:ascii="Tahoma" w:eastAsia="Calibri" w:hAnsi="Tahoma" w:cs="Tahoma"/>
      <w:sz w:val="16"/>
      <w:szCs w:val="16"/>
      <w:lang w:val="es-CR"/>
    </w:rPr>
  </w:style>
  <w:style w:type="character" w:styleId="LineNumber">
    <w:name w:val="line number"/>
    <w:basedOn w:val="DefaultParagraphFont"/>
    <w:uiPriority w:val="99"/>
    <w:semiHidden/>
    <w:unhideWhenUsed/>
    <w:rsid w:val="00B63805"/>
  </w:style>
  <w:style w:type="paragraph" w:styleId="Header">
    <w:name w:val="header"/>
    <w:basedOn w:val="Normal"/>
    <w:link w:val="HeaderChar"/>
    <w:uiPriority w:val="99"/>
    <w:unhideWhenUsed/>
    <w:rsid w:val="00A1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39"/>
    <w:rPr>
      <w:rFonts w:ascii="Calibri" w:eastAsia="Calibri" w:hAnsi="Calibri" w:cs="Times New Roman"/>
      <w:lang w:val="es-CR"/>
    </w:rPr>
  </w:style>
  <w:style w:type="paragraph" w:styleId="Footer">
    <w:name w:val="footer"/>
    <w:basedOn w:val="Normal"/>
    <w:link w:val="FooterChar"/>
    <w:uiPriority w:val="99"/>
    <w:unhideWhenUsed/>
    <w:rsid w:val="00A1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39"/>
    <w:rPr>
      <w:rFonts w:ascii="Calibri" w:eastAsia="Calibri" w:hAnsi="Calibri" w:cs="Times New Roman"/>
      <w:lang w:val="es-CR"/>
    </w:rPr>
  </w:style>
  <w:style w:type="character" w:styleId="Strong">
    <w:name w:val="Strong"/>
    <w:uiPriority w:val="22"/>
    <w:qFormat/>
    <w:rsid w:val="0084765F"/>
    <w:rPr>
      <w:b/>
      <w:bCs/>
    </w:rPr>
  </w:style>
  <w:style w:type="paragraph" w:styleId="BodyText">
    <w:name w:val="Body Text"/>
    <w:basedOn w:val="Normal"/>
    <w:link w:val="BodyTextChar"/>
    <w:uiPriority w:val="99"/>
    <w:semiHidden/>
    <w:unhideWhenUsed/>
    <w:rsid w:val="00DB385A"/>
    <w:pPr>
      <w:spacing w:after="120" w:line="240" w:lineRule="auto"/>
    </w:pPr>
    <w:rPr>
      <w:rFonts w:ascii="Times" w:eastAsia="Times" w:hAnsi="Times"/>
      <w:sz w:val="24"/>
      <w:szCs w:val="20"/>
      <w:lang w:val="es-ES_tradnl"/>
    </w:rPr>
  </w:style>
  <w:style w:type="character" w:customStyle="1" w:styleId="BodyTextChar">
    <w:name w:val="Body Text Char"/>
    <w:basedOn w:val="DefaultParagraphFont"/>
    <w:link w:val="BodyText"/>
    <w:uiPriority w:val="99"/>
    <w:semiHidden/>
    <w:rsid w:val="00DB385A"/>
    <w:rPr>
      <w:rFonts w:ascii="Times" w:eastAsia="Times" w:hAnsi="Times" w:cs="Times New Roman"/>
      <w:sz w:val="24"/>
      <w:szCs w:val="20"/>
      <w:lang w:val="es-ES_tradnl"/>
    </w:rPr>
  </w:style>
  <w:style w:type="paragraph" w:customStyle="1" w:styleId="Default">
    <w:name w:val="Default"/>
    <w:rsid w:val="00AA53BA"/>
    <w:pPr>
      <w:autoSpaceDE w:val="0"/>
      <w:autoSpaceDN w:val="0"/>
      <w:adjustRightInd w:val="0"/>
      <w:spacing w:after="0" w:line="240" w:lineRule="auto"/>
    </w:pPr>
    <w:rPr>
      <w:rFonts w:ascii="Verdana" w:hAnsi="Verdana" w:cs="Verdana"/>
      <w:color w:val="000000"/>
      <w:sz w:val="24"/>
      <w:szCs w:val="24"/>
      <w:lang w:val="es-CR"/>
    </w:rPr>
  </w:style>
  <w:style w:type="paragraph" w:styleId="Revision">
    <w:name w:val="Revision"/>
    <w:hidden/>
    <w:uiPriority w:val="99"/>
    <w:semiHidden/>
    <w:rsid w:val="005E6CB8"/>
    <w:pPr>
      <w:spacing w:after="0" w:line="240" w:lineRule="auto"/>
    </w:pPr>
    <w:rPr>
      <w:rFonts w:ascii="Calibri" w:eastAsia="Calibri" w:hAnsi="Calibri" w:cs="Times New Roman"/>
      <w:lang w:val="es-CR"/>
    </w:rPr>
  </w:style>
  <w:style w:type="paragraph" w:styleId="Title">
    <w:name w:val="Title"/>
    <w:basedOn w:val="Heading1"/>
    <w:next w:val="Normal"/>
    <w:link w:val="TitleChar"/>
    <w:uiPriority w:val="10"/>
    <w:qFormat/>
    <w:rsid w:val="00C03FC3"/>
    <w:pPr>
      <w:ind w:hanging="360"/>
    </w:pPr>
    <w:rPr>
      <w:b w:val="0"/>
      <w:i w:val="0"/>
    </w:rPr>
  </w:style>
  <w:style w:type="character" w:customStyle="1" w:styleId="TitleChar">
    <w:name w:val="Title Char"/>
    <w:basedOn w:val="DefaultParagraphFont"/>
    <w:link w:val="Title"/>
    <w:uiPriority w:val="10"/>
    <w:rsid w:val="00C03FC3"/>
    <w:rPr>
      <w:rFonts w:ascii="Verdana" w:eastAsia="Times" w:hAnsi="Verdana" w:cs="Times New Roman"/>
      <w:sz w:val="20"/>
      <w:szCs w:val="20"/>
      <w:lang w:val="es-ES_tradnl"/>
    </w:rPr>
  </w:style>
  <w:style w:type="paragraph" w:styleId="TOCHeading">
    <w:name w:val="TOC Heading"/>
    <w:basedOn w:val="Heading1"/>
    <w:next w:val="Normal"/>
    <w:uiPriority w:val="39"/>
    <w:unhideWhenUsed/>
    <w:qFormat/>
    <w:rsid w:val="00C03FC3"/>
    <w:pPr>
      <w:keepNext/>
      <w:keepLines/>
      <w:spacing w:before="480" w:line="276" w:lineRule="auto"/>
      <w:ind w:left="0"/>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F34F09"/>
    <w:pPr>
      <w:numPr>
        <w:ilvl w:val="1"/>
        <w:numId w:val="15"/>
      </w:numPr>
      <w:tabs>
        <w:tab w:val="left" w:pos="0"/>
        <w:tab w:val="left" w:pos="1620"/>
        <w:tab w:val="right" w:leader="dot" w:pos="9350"/>
      </w:tabs>
      <w:spacing w:after="100"/>
      <w:ind w:left="1620" w:hanging="720"/>
    </w:pPr>
  </w:style>
  <w:style w:type="paragraph" w:customStyle="1" w:styleId="Textoindependiente1">
    <w:name w:val="Texto independiente1"/>
    <w:basedOn w:val="Normal"/>
    <w:rsid w:val="00EB3D8A"/>
    <w:pPr>
      <w:widowControl w:val="0"/>
      <w:spacing w:after="0" w:line="240" w:lineRule="auto"/>
      <w:jc w:val="both"/>
    </w:pPr>
    <w:rPr>
      <w:rFonts w:ascii="New York" w:eastAsia="Times New Roman" w:hAnsi="New York"/>
      <w:sz w:val="24"/>
      <w:szCs w:val="20"/>
      <w:lang w:val="es-ES_tradnl"/>
    </w:rPr>
  </w:style>
  <w:style w:type="paragraph" w:styleId="NormalWeb">
    <w:name w:val="Normal (Web)"/>
    <w:basedOn w:val="Normal"/>
    <w:uiPriority w:val="99"/>
    <w:unhideWhenUsed/>
    <w:rsid w:val="00956E2D"/>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a7">
    <w:name w:val="Pa7"/>
    <w:basedOn w:val="Normal"/>
    <w:next w:val="Normal"/>
    <w:uiPriority w:val="99"/>
    <w:rsid w:val="00956E2D"/>
    <w:pPr>
      <w:autoSpaceDE w:val="0"/>
      <w:autoSpaceDN w:val="0"/>
      <w:adjustRightInd w:val="0"/>
      <w:spacing w:after="0" w:line="201" w:lineRule="atLeast"/>
    </w:pPr>
    <w:rPr>
      <w:rFonts w:ascii="Verdana" w:hAnsi="Verdana"/>
      <w:sz w:val="24"/>
      <w:szCs w:val="24"/>
      <w:lang w:val="en-US"/>
    </w:rPr>
  </w:style>
  <w:style w:type="character" w:customStyle="1" w:styleId="apple-style-span">
    <w:name w:val="apple-style-span"/>
    <w:basedOn w:val="DefaultParagraphFont"/>
    <w:rsid w:val="0018534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0F7573"/>
    <w:pPr>
      <w:spacing w:after="0" w:line="240" w:lineRule="auto"/>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859">
      <w:bodyDiv w:val="1"/>
      <w:marLeft w:val="0"/>
      <w:marRight w:val="0"/>
      <w:marTop w:val="0"/>
      <w:marBottom w:val="0"/>
      <w:divBdr>
        <w:top w:val="none" w:sz="0" w:space="0" w:color="auto"/>
        <w:left w:val="none" w:sz="0" w:space="0" w:color="auto"/>
        <w:bottom w:val="none" w:sz="0" w:space="0" w:color="auto"/>
        <w:right w:val="none" w:sz="0" w:space="0" w:color="auto"/>
      </w:divBdr>
    </w:div>
    <w:div w:id="79835819">
      <w:bodyDiv w:val="1"/>
      <w:marLeft w:val="0"/>
      <w:marRight w:val="0"/>
      <w:marTop w:val="0"/>
      <w:marBottom w:val="0"/>
      <w:divBdr>
        <w:top w:val="none" w:sz="0" w:space="0" w:color="auto"/>
        <w:left w:val="none" w:sz="0" w:space="0" w:color="auto"/>
        <w:bottom w:val="none" w:sz="0" w:space="0" w:color="auto"/>
        <w:right w:val="none" w:sz="0" w:space="0" w:color="auto"/>
      </w:divBdr>
      <w:divsChild>
        <w:div w:id="733353468">
          <w:marLeft w:val="0"/>
          <w:marRight w:val="0"/>
          <w:marTop w:val="0"/>
          <w:marBottom w:val="0"/>
          <w:divBdr>
            <w:top w:val="none" w:sz="0" w:space="0" w:color="auto"/>
            <w:left w:val="none" w:sz="0" w:space="0" w:color="auto"/>
            <w:bottom w:val="none" w:sz="0" w:space="0" w:color="auto"/>
            <w:right w:val="none" w:sz="0" w:space="0" w:color="auto"/>
          </w:divBdr>
          <w:divsChild>
            <w:div w:id="1221595442">
              <w:marLeft w:val="0"/>
              <w:marRight w:val="0"/>
              <w:marTop w:val="0"/>
              <w:marBottom w:val="0"/>
              <w:divBdr>
                <w:top w:val="none" w:sz="0" w:space="0" w:color="auto"/>
                <w:left w:val="none" w:sz="0" w:space="0" w:color="auto"/>
                <w:bottom w:val="none" w:sz="0" w:space="0" w:color="auto"/>
                <w:right w:val="none" w:sz="0" w:space="0" w:color="auto"/>
              </w:divBdr>
              <w:divsChild>
                <w:div w:id="7947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9096">
      <w:bodyDiv w:val="1"/>
      <w:marLeft w:val="0"/>
      <w:marRight w:val="0"/>
      <w:marTop w:val="0"/>
      <w:marBottom w:val="0"/>
      <w:divBdr>
        <w:top w:val="none" w:sz="0" w:space="0" w:color="auto"/>
        <w:left w:val="none" w:sz="0" w:space="0" w:color="auto"/>
        <w:bottom w:val="none" w:sz="0" w:space="0" w:color="auto"/>
        <w:right w:val="none" w:sz="0" w:space="0" w:color="auto"/>
      </w:divBdr>
      <w:divsChild>
        <w:div w:id="1850097812">
          <w:marLeft w:val="0"/>
          <w:marRight w:val="0"/>
          <w:marTop w:val="0"/>
          <w:marBottom w:val="0"/>
          <w:divBdr>
            <w:top w:val="none" w:sz="0" w:space="0" w:color="auto"/>
            <w:left w:val="none" w:sz="0" w:space="0" w:color="auto"/>
            <w:bottom w:val="none" w:sz="0" w:space="0" w:color="auto"/>
            <w:right w:val="none" w:sz="0" w:space="0" w:color="auto"/>
          </w:divBdr>
          <w:divsChild>
            <w:div w:id="1493107191">
              <w:marLeft w:val="0"/>
              <w:marRight w:val="0"/>
              <w:marTop w:val="0"/>
              <w:marBottom w:val="0"/>
              <w:divBdr>
                <w:top w:val="none" w:sz="0" w:space="0" w:color="auto"/>
                <w:left w:val="none" w:sz="0" w:space="0" w:color="auto"/>
                <w:bottom w:val="none" w:sz="0" w:space="0" w:color="auto"/>
                <w:right w:val="none" w:sz="0" w:space="0" w:color="auto"/>
              </w:divBdr>
              <w:divsChild>
                <w:div w:id="11533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891">
      <w:bodyDiv w:val="1"/>
      <w:marLeft w:val="0"/>
      <w:marRight w:val="0"/>
      <w:marTop w:val="0"/>
      <w:marBottom w:val="0"/>
      <w:divBdr>
        <w:top w:val="none" w:sz="0" w:space="0" w:color="auto"/>
        <w:left w:val="none" w:sz="0" w:space="0" w:color="auto"/>
        <w:bottom w:val="none" w:sz="0" w:space="0" w:color="auto"/>
        <w:right w:val="none" w:sz="0" w:space="0" w:color="auto"/>
      </w:divBdr>
      <w:divsChild>
        <w:div w:id="77095192">
          <w:marLeft w:val="0"/>
          <w:marRight w:val="0"/>
          <w:marTop w:val="0"/>
          <w:marBottom w:val="0"/>
          <w:divBdr>
            <w:top w:val="none" w:sz="0" w:space="0" w:color="auto"/>
            <w:left w:val="none" w:sz="0" w:space="0" w:color="auto"/>
            <w:bottom w:val="none" w:sz="0" w:space="0" w:color="auto"/>
            <w:right w:val="none" w:sz="0" w:space="0" w:color="auto"/>
          </w:divBdr>
          <w:divsChild>
            <w:div w:id="1495875695">
              <w:marLeft w:val="0"/>
              <w:marRight w:val="0"/>
              <w:marTop w:val="0"/>
              <w:marBottom w:val="0"/>
              <w:divBdr>
                <w:top w:val="none" w:sz="0" w:space="0" w:color="auto"/>
                <w:left w:val="none" w:sz="0" w:space="0" w:color="auto"/>
                <w:bottom w:val="none" w:sz="0" w:space="0" w:color="auto"/>
                <w:right w:val="none" w:sz="0" w:space="0" w:color="auto"/>
              </w:divBdr>
              <w:divsChild>
                <w:div w:id="345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1039">
      <w:bodyDiv w:val="1"/>
      <w:marLeft w:val="0"/>
      <w:marRight w:val="0"/>
      <w:marTop w:val="0"/>
      <w:marBottom w:val="0"/>
      <w:divBdr>
        <w:top w:val="none" w:sz="0" w:space="0" w:color="auto"/>
        <w:left w:val="none" w:sz="0" w:space="0" w:color="auto"/>
        <w:bottom w:val="none" w:sz="0" w:space="0" w:color="auto"/>
        <w:right w:val="none" w:sz="0" w:space="0" w:color="auto"/>
      </w:divBdr>
    </w:div>
    <w:div w:id="186909479">
      <w:bodyDiv w:val="1"/>
      <w:marLeft w:val="0"/>
      <w:marRight w:val="0"/>
      <w:marTop w:val="0"/>
      <w:marBottom w:val="0"/>
      <w:divBdr>
        <w:top w:val="none" w:sz="0" w:space="0" w:color="auto"/>
        <w:left w:val="none" w:sz="0" w:space="0" w:color="auto"/>
        <w:bottom w:val="none" w:sz="0" w:space="0" w:color="auto"/>
        <w:right w:val="none" w:sz="0" w:space="0" w:color="auto"/>
      </w:divBdr>
    </w:div>
    <w:div w:id="302467624">
      <w:bodyDiv w:val="1"/>
      <w:marLeft w:val="0"/>
      <w:marRight w:val="0"/>
      <w:marTop w:val="0"/>
      <w:marBottom w:val="0"/>
      <w:divBdr>
        <w:top w:val="none" w:sz="0" w:space="0" w:color="auto"/>
        <w:left w:val="none" w:sz="0" w:space="0" w:color="auto"/>
        <w:bottom w:val="none" w:sz="0" w:space="0" w:color="auto"/>
        <w:right w:val="none" w:sz="0" w:space="0" w:color="auto"/>
      </w:divBdr>
    </w:div>
    <w:div w:id="368070292">
      <w:bodyDiv w:val="1"/>
      <w:marLeft w:val="0"/>
      <w:marRight w:val="0"/>
      <w:marTop w:val="0"/>
      <w:marBottom w:val="0"/>
      <w:divBdr>
        <w:top w:val="none" w:sz="0" w:space="0" w:color="auto"/>
        <w:left w:val="none" w:sz="0" w:space="0" w:color="auto"/>
        <w:bottom w:val="none" w:sz="0" w:space="0" w:color="auto"/>
        <w:right w:val="none" w:sz="0" w:space="0" w:color="auto"/>
      </w:divBdr>
    </w:div>
    <w:div w:id="468281616">
      <w:bodyDiv w:val="1"/>
      <w:marLeft w:val="0"/>
      <w:marRight w:val="0"/>
      <w:marTop w:val="0"/>
      <w:marBottom w:val="0"/>
      <w:divBdr>
        <w:top w:val="none" w:sz="0" w:space="0" w:color="auto"/>
        <w:left w:val="none" w:sz="0" w:space="0" w:color="auto"/>
        <w:bottom w:val="none" w:sz="0" w:space="0" w:color="auto"/>
        <w:right w:val="none" w:sz="0" w:space="0" w:color="auto"/>
      </w:divBdr>
    </w:div>
    <w:div w:id="531267568">
      <w:bodyDiv w:val="1"/>
      <w:marLeft w:val="0"/>
      <w:marRight w:val="0"/>
      <w:marTop w:val="0"/>
      <w:marBottom w:val="0"/>
      <w:divBdr>
        <w:top w:val="none" w:sz="0" w:space="0" w:color="auto"/>
        <w:left w:val="none" w:sz="0" w:space="0" w:color="auto"/>
        <w:bottom w:val="none" w:sz="0" w:space="0" w:color="auto"/>
        <w:right w:val="none" w:sz="0" w:space="0" w:color="auto"/>
      </w:divBdr>
    </w:div>
    <w:div w:id="681007933">
      <w:bodyDiv w:val="1"/>
      <w:marLeft w:val="0"/>
      <w:marRight w:val="0"/>
      <w:marTop w:val="0"/>
      <w:marBottom w:val="0"/>
      <w:divBdr>
        <w:top w:val="none" w:sz="0" w:space="0" w:color="auto"/>
        <w:left w:val="none" w:sz="0" w:space="0" w:color="auto"/>
        <w:bottom w:val="none" w:sz="0" w:space="0" w:color="auto"/>
        <w:right w:val="none" w:sz="0" w:space="0" w:color="auto"/>
      </w:divBdr>
    </w:div>
    <w:div w:id="743913060">
      <w:bodyDiv w:val="1"/>
      <w:marLeft w:val="0"/>
      <w:marRight w:val="0"/>
      <w:marTop w:val="0"/>
      <w:marBottom w:val="0"/>
      <w:divBdr>
        <w:top w:val="none" w:sz="0" w:space="0" w:color="auto"/>
        <w:left w:val="none" w:sz="0" w:space="0" w:color="auto"/>
        <w:bottom w:val="none" w:sz="0" w:space="0" w:color="auto"/>
        <w:right w:val="none" w:sz="0" w:space="0" w:color="auto"/>
      </w:divBdr>
      <w:divsChild>
        <w:div w:id="1708866632">
          <w:marLeft w:val="0"/>
          <w:marRight w:val="0"/>
          <w:marTop w:val="0"/>
          <w:marBottom w:val="0"/>
          <w:divBdr>
            <w:top w:val="none" w:sz="0" w:space="0" w:color="auto"/>
            <w:left w:val="none" w:sz="0" w:space="0" w:color="auto"/>
            <w:bottom w:val="none" w:sz="0" w:space="0" w:color="auto"/>
            <w:right w:val="none" w:sz="0" w:space="0" w:color="auto"/>
          </w:divBdr>
          <w:divsChild>
            <w:div w:id="1543521217">
              <w:marLeft w:val="0"/>
              <w:marRight w:val="0"/>
              <w:marTop w:val="0"/>
              <w:marBottom w:val="0"/>
              <w:divBdr>
                <w:top w:val="none" w:sz="0" w:space="0" w:color="auto"/>
                <w:left w:val="none" w:sz="0" w:space="0" w:color="auto"/>
                <w:bottom w:val="none" w:sz="0" w:space="0" w:color="auto"/>
                <w:right w:val="none" w:sz="0" w:space="0" w:color="auto"/>
              </w:divBdr>
              <w:divsChild>
                <w:div w:id="10318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1768">
      <w:bodyDiv w:val="1"/>
      <w:marLeft w:val="0"/>
      <w:marRight w:val="0"/>
      <w:marTop w:val="0"/>
      <w:marBottom w:val="0"/>
      <w:divBdr>
        <w:top w:val="none" w:sz="0" w:space="0" w:color="auto"/>
        <w:left w:val="none" w:sz="0" w:space="0" w:color="auto"/>
        <w:bottom w:val="none" w:sz="0" w:space="0" w:color="auto"/>
        <w:right w:val="none" w:sz="0" w:space="0" w:color="auto"/>
      </w:divBdr>
      <w:divsChild>
        <w:div w:id="567230286">
          <w:marLeft w:val="0"/>
          <w:marRight w:val="0"/>
          <w:marTop w:val="0"/>
          <w:marBottom w:val="0"/>
          <w:divBdr>
            <w:top w:val="none" w:sz="0" w:space="0" w:color="auto"/>
            <w:left w:val="none" w:sz="0" w:space="0" w:color="auto"/>
            <w:bottom w:val="none" w:sz="0" w:space="0" w:color="auto"/>
            <w:right w:val="none" w:sz="0" w:space="0" w:color="auto"/>
          </w:divBdr>
          <w:divsChild>
            <w:div w:id="746537172">
              <w:marLeft w:val="0"/>
              <w:marRight w:val="0"/>
              <w:marTop w:val="0"/>
              <w:marBottom w:val="0"/>
              <w:divBdr>
                <w:top w:val="none" w:sz="0" w:space="0" w:color="auto"/>
                <w:left w:val="none" w:sz="0" w:space="0" w:color="auto"/>
                <w:bottom w:val="none" w:sz="0" w:space="0" w:color="auto"/>
                <w:right w:val="none" w:sz="0" w:space="0" w:color="auto"/>
              </w:divBdr>
              <w:divsChild>
                <w:div w:id="17575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22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545">
          <w:marLeft w:val="0"/>
          <w:marRight w:val="0"/>
          <w:marTop w:val="0"/>
          <w:marBottom w:val="0"/>
          <w:divBdr>
            <w:top w:val="none" w:sz="0" w:space="0" w:color="auto"/>
            <w:left w:val="none" w:sz="0" w:space="0" w:color="auto"/>
            <w:bottom w:val="none" w:sz="0" w:space="0" w:color="auto"/>
            <w:right w:val="none" w:sz="0" w:space="0" w:color="auto"/>
          </w:divBdr>
          <w:divsChild>
            <w:div w:id="580994389">
              <w:marLeft w:val="0"/>
              <w:marRight w:val="0"/>
              <w:marTop w:val="0"/>
              <w:marBottom w:val="0"/>
              <w:divBdr>
                <w:top w:val="none" w:sz="0" w:space="0" w:color="auto"/>
                <w:left w:val="none" w:sz="0" w:space="0" w:color="auto"/>
                <w:bottom w:val="none" w:sz="0" w:space="0" w:color="auto"/>
                <w:right w:val="none" w:sz="0" w:space="0" w:color="auto"/>
              </w:divBdr>
              <w:divsChild>
                <w:div w:id="9892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53">
      <w:bodyDiv w:val="1"/>
      <w:marLeft w:val="0"/>
      <w:marRight w:val="0"/>
      <w:marTop w:val="0"/>
      <w:marBottom w:val="0"/>
      <w:divBdr>
        <w:top w:val="none" w:sz="0" w:space="0" w:color="auto"/>
        <w:left w:val="none" w:sz="0" w:space="0" w:color="auto"/>
        <w:bottom w:val="none" w:sz="0" w:space="0" w:color="auto"/>
        <w:right w:val="none" w:sz="0" w:space="0" w:color="auto"/>
      </w:divBdr>
      <w:divsChild>
        <w:div w:id="1960607347">
          <w:marLeft w:val="0"/>
          <w:marRight w:val="0"/>
          <w:marTop w:val="0"/>
          <w:marBottom w:val="0"/>
          <w:divBdr>
            <w:top w:val="none" w:sz="0" w:space="0" w:color="auto"/>
            <w:left w:val="none" w:sz="0" w:space="0" w:color="auto"/>
            <w:bottom w:val="none" w:sz="0" w:space="0" w:color="auto"/>
            <w:right w:val="none" w:sz="0" w:space="0" w:color="auto"/>
          </w:divBdr>
          <w:divsChild>
            <w:div w:id="184251880">
              <w:marLeft w:val="0"/>
              <w:marRight w:val="0"/>
              <w:marTop w:val="0"/>
              <w:marBottom w:val="0"/>
              <w:divBdr>
                <w:top w:val="none" w:sz="0" w:space="0" w:color="auto"/>
                <w:left w:val="none" w:sz="0" w:space="0" w:color="auto"/>
                <w:bottom w:val="none" w:sz="0" w:space="0" w:color="auto"/>
                <w:right w:val="none" w:sz="0" w:space="0" w:color="auto"/>
              </w:divBdr>
              <w:divsChild>
                <w:div w:id="213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7316">
      <w:bodyDiv w:val="1"/>
      <w:marLeft w:val="0"/>
      <w:marRight w:val="0"/>
      <w:marTop w:val="0"/>
      <w:marBottom w:val="0"/>
      <w:divBdr>
        <w:top w:val="none" w:sz="0" w:space="0" w:color="auto"/>
        <w:left w:val="none" w:sz="0" w:space="0" w:color="auto"/>
        <w:bottom w:val="none" w:sz="0" w:space="0" w:color="auto"/>
        <w:right w:val="none" w:sz="0" w:space="0" w:color="auto"/>
      </w:divBdr>
    </w:div>
    <w:div w:id="1097865759">
      <w:bodyDiv w:val="1"/>
      <w:marLeft w:val="0"/>
      <w:marRight w:val="0"/>
      <w:marTop w:val="0"/>
      <w:marBottom w:val="0"/>
      <w:divBdr>
        <w:top w:val="none" w:sz="0" w:space="0" w:color="auto"/>
        <w:left w:val="none" w:sz="0" w:space="0" w:color="auto"/>
        <w:bottom w:val="none" w:sz="0" w:space="0" w:color="auto"/>
        <w:right w:val="none" w:sz="0" w:space="0" w:color="auto"/>
      </w:divBdr>
    </w:div>
    <w:div w:id="1104956304">
      <w:bodyDiv w:val="1"/>
      <w:marLeft w:val="0"/>
      <w:marRight w:val="0"/>
      <w:marTop w:val="0"/>
      <w:marBottom w:val="0"/>
      <w:divBdr>
        <w:top w:val="none" w:sz="0" w:space="0" w:color="auto"/>
        <w:left w:val="none" w:sz="0" w:space="0" w:color="auto"/>
        <w:bottom w:val="none" w:sz="0" w:space="0" w:color="auto"/>
        <w:right w:val="none" w:sz="0" w:space="0" w:color="auto"/>
      </w:divBdr>
    </w:div>
    <w:div w:id="1130785083">
      <w:bodyDiv w:val="1"/>
      <w:marLeft w:val="0"/>
      <w:marRight w:val="0"/>
      <w:marTop w:val="0"/>
      <w:marBottom w:val="0"/>
      <w:divBdr>
        <w:top w:val="none" w:sz="0" w:space="0" w:color="auto"/>
        <w:left w:val="none" w:sz="0" w:space="0" w:color="auto"/>
        <w:bottom w:val="none" w:sz="0" w:space="0" w:color="auto"/>
        <w:right w:val="none" w:sz="0" w:space="0" w:color="auto"/>
      </w:divBdr>
      <w:divsChild>
        <w:div w:id="471407409">
          <w:marLeft w:val="0"/>
          <w:marRight w:val="0"/>
          <w:marTop w:val="0"/>
          <w:marBottom w:val="0"/>
          <w:divBdr>
            <w:top w:val="none" w:sz="0" w:space="0" w:color="auto"/>
            <w:left w:val="none" w:sz="0" w:space="0" w:color="auto"/>
            <w:bottom w:val="none" w:sz="0" w:space="0" w:color="auto"/>
            <w:right w:val="none" w:sz="0" w:space="0" w:color="auto"/>
          </w:divBdr>
          <w:divsChild>
            <w:div w:id="1119764649">
              <w:marLeft w:val="0"/>
              <w:marRight w:val="0"/>
              <w:marTop w:val="0"/>
              <w:marBottom w:val="0"/>
              <w:divBdr>
                <w:top w:val="none" w:sz="0" w:space="0" w:color="auto"/>
                <w:left w:val="none" w:sz="0" w:space="0" w:color="auto"/>
                <w:bottom w:val="none" w:sz="0" w:space="0" w:color="auto"/>
                <w:right w:val="none" w:sz="0" w:space="0" w:color="auto"/>
              </w:divBdr>
              <w:divsChild>
                <w:div w:id="710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0525">
      <w:bodyDiv w:val="1"/>
      <w:marLeft w:val="0"/>
      <w:marRight w:val="0"/>
      <w:marTop w:val="0"/>
      <w:marBottom w:val="0"/>
      <w:divBdr>
        <w:top w:val="none" w:sz="0" w:space="0" w:color="auto"/>
        <w:left w:val="none" w:sz="0" w:space="0" w:color="auto"/>
        <w:bottom w:val="none" w:sz="0" w:space="0" w:color="auto"/>
        <w:right w:val="none" w:sz="0" w:space="0" w:color="auto"/>
      </w:divBdr>
      <w:divsChild>
        <w:div w:id="2132702501">
          <w:marLeft w:val="0"/>
          <w:marRight w:val="0"/>
          <w:marTop w:val="0"/>
          <w:marBottom w:val="0"/>
          <w:divBdr>
            <w:top w:val="none" w:sz="0" w:space="0" w:color="auto"/>
            <w:left w:val="none" w:sz="0" w:space="0" w:color="auto"/>
            <w:bottom w:val="none" w:sz="0" w:space="0" w:color="auto"/>
            <w:right w:val="none" w:sz="0" w:space="0" w:color="auto"/>
          </w:divBdr>
          <w:divsChild>
            <w:div w:id="878203983">
              <w:marLeft w:val="0"/>
              <w:marRight w:val="0"/>
              <w:marTop w:val="0"/>
              <w:marBottom w:val="0"/>
              <w:divBdr>
                <w:top w:val="none" w:sz="0" w:space="0" w:color="auto"/>
                <w:left w:val="none" w:sz="0" w:space="0" w:color="auto"/>
                <w:bottom w:val="none" w:sz="0" w:space="0" w:color="auto"/>
                <w:right w:val="none" w:sz="0" w:space="0" w:color="auto"/>
              </w:divBdr>
              <w:divsChild>
                <w:div w:id="7955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9200">
      <w:bodyDiv w:val="1"/>
      <w:marLeft w:val="0"/>
      <w:marRight w:val="0"/>
      <w:marTop w:val="0"/>
      <w:marBottom w:val="0"/>
      <w:divBdr>
        <w:top w:val="none" w:sz="0" w:space="0" w:color="auto"/>
        <w:left w:val="none" w:sz="0" w:space="0" w:color="auto"/>
        <w:bottom w:val="none" w:sz="0" w:space="0" w:color="auto"/>
        <w:right w:val="none" w:sz="0" w:space="0" w:color="auto"/>
      </w:divBdr>
      <w:divsChild>
        <w:div w:id="54547360">
          <w:marLeft w:val="0"/>
          <w:marRight w:val="0"/>
          <w:marTop w:val="0"/>
          <w:marBottom w:val="0"/>
          <w:divBdr>
            <w:top w:val="none" w:sz="0" w:space="0" w:color="auto"/>
            <w:left w:val="none" w:sz="0" w:space="0" w:color="auto"/>
            <w:bottom w:val="none" w:sz="0" w:space="0" w:color="auto"/>
            <w:right w:val="none" w:sz="0" w:space="0" w:color="auto"/>
          </w:divBdr>
          <w:divsChild>
            <w:div w:id="924344133">
              <w:marLeft w:val="0"/>
              <w:marRight w:val="0"/>
              <w:marTop w:val="0"/>
              <w:marBottom w:val="0"/>
              <w:divBdr>
                <w:top w:val="none" w:sz="0" w:space="0" w:color="auto"/>
                <w:left w:val="none" w:sz="0" w:space="0" w:color="auto"/>
                <w:bottom w:val="none" w:sz="0" w:space="0" w:color="auto"/>
                <w:right w:val="none" w:sz="0" w:space="0" w:color="auto"/>
              </w:divBdr>
              <w:divsChild>
                <w:div w:id="4112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98284">
      <w:bodyDiv w:val="1"/>
      <w:marLeft w:val="0"/>
      <w:marRight w:val="0"/>
      <w:marTop w:val="0"/>
      <w:marBottom w:val="0"/>
      <w:divBdr>
        <w:top w:val="none" w:sz="0" w:space="0" w:color="auto"/>
        <w:left w:val="none" w:sz="0" w:space="0" w:color="auto"/>
        <w:bottom w:val="none" w:sz="0" w:space="0" w:color="auto"/>
        <w:right w:val="none" w:sz="0" w:space="0" w:color="auto"/>
      </w:divBdr>
    </w:div>
    <w:div w:id="1490292063">
      <w:bodyDiv w:val="1"/>
      <w:marLeft w:val="0"/>
      <w:marRight w:val="0"/>
      <w:marTop w:val="0"/>
      <w:marBottom w:val="0"/>
      <w:divBdr>
        <w:top w:val="none" w:sz="0" w:space="0" w:color="auto"/>
        <w:left w:val="none" w:sz="0" w:space="0" w:color="auto"/>
        <w:bottom w:val="none" w:sz="0" w:space="0" w:color="auto"/>
        <w:right w:val="none" w:sz="0" w:space="0" w:color="auto"/>
      </w:divBdr>
      <w:divsChild>
        <w:div w:id="845287084">
          <w:marLeft w:val="0"/>
          <w:marRight w:val="0"/>
          <w:marTop w:val="0"/>
          <w:marBottom w:val="0"/>
          <w:divBdr>
            <w:top w:val="none" w:sz="0" w:space="0" w:color="auto"/>
            <w:left w:val="none" w:sz="0" w:space="0" w:color="auto"/>
            <w:bottom w:val="none" w:sz="0" w:space="0" w:color="auto"/>
            <w:right w:val="none" w:sz="0" w:space="0" w:color="auto"/>
          </w:divBdr>
          <w:divsChild>
            <w:div w:id="886332440">
              <w:marLeft w:val="0"/>
              <w:marRight w:val="0"/>
              <w:marTop w:val="0"/>
              <w:marBottom w:val="0"/>
              <w:divBdr>
                <w:top w:val="none" w:sz="0" w:space="0" w:color="auto"/>
                <w:left w:val="none" w:sz="0" w:space="0" w:color="auto"/>
                <w:bottom w:val="none" w:sz="0" w:space="0" w:color="auto"/>
                <w:right w:val="none" w:sz="0" w:space="0" w:color="auto"/>
              </w:divBdr>
              <w:divsChild>
                <w:div w:id="1261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8908">
      <w:bodyDiv w:val="1"/>
      <w:marLeft w:val="0"/>
      <w:marRight w:val="0"/>
      <w:marTop w:val="0"/>
      <w:marBottom w:val="0"/>
      <w:divBdr>
        <w:top w:val="none" w:sz="0" w:space="0" w:color="auto"/>
        <w:left w:val="none" w:sz="0" w:space="0" w:color="auto"/>
        <w:bottom w:val="none" w:sz="0" w:space="0" w:color="auto"/>
        <w:right w:val="none" w:sz="0" w:space="0" w:color="auto"/>
      </w:divBdr>
      <w:divsChild>
        <w:div w:id="474572202">
          <w:marLeft w:val="0"/>
          <w:marRight w:val="0"/>
          <w:marTop w:val="0"/>
          <w:marBottom w:val="0"/>
          <w:divBdr>
            <w:top w:val="none" w:sz="0" w:space="0" w:color="auto"/>
            <w:left w:val="none" w:sz="0" w:space="0" w:color="auto"/>
            <w:bottom w:val="none" w:sz="0" w:space="0" w:color="auto"/>
            <w:right w:val="none" w:sz="0" w:space="0" w:color="auto"/>
          </w:divBdr>
          <w:divsChild>
            <w:div w:id="643585427">
              <w:marLeft w:val="0"/>
              <w:marRight w:val="0"/>
              <w:marTop w:val="0"/>
              <w:marBottom w:val="0"/>
              <w:divBdr>
                <w:top w:val="none" w:sz="0" w:space="0" w:color="auto"/>
                <w:left w:val="none" w:sz="0" w:space="0" w:color="auto"/>
                <w:bottom w:val="none" w:sz="0" w:space="0" w:color="auto"/>
                <w:right w:val="none" w:sz="0" w:space="0" w:color="auto"/>
              </w:divBdr>
              <w:divsChild>
                <w:div w:id="15546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8670">
      <w:bodyDiv w:val="1"/>
      <w:marLeft w:val="0"/>
      <w:marRight w:val="0"/>
      <w:marTop w:val="0"/>
      <w:marBottom w:val="0"/>
      <w:divBdr>
        <w:top w:val="none" w:sz="0" w:space="0" w:color="auto"/>
        <w:left w:val="none" w:sz="0" w:space="0" w:color="auto"/>
        <w:bottom w:val="none" w:sz="0" w:space="0" w:color="auto"/>
        <w:right w:val="none" w:sz="0" w:space="0" w:color="auto"/>
      </w:divBdr>
      <w:divsChild>
        <w:div w:id="961616613">
          <w:marLeft w:val="0"/>
          <w:marRight w:val="0"/>
          <w:marTop w:val="0"/>
          <w:marBottom w:val="0"/>
          <w:divBdr>
            <w:top w:val="none" w:sz="0" w:space="0" w:color="auto"/>
            <w:left w:val="none" w:sz="0" w:space="0" w:color="auto"/>
            <w:bottom w:val="none" w:sz="0" w:space="0" w:color="auto"/>
            <w:right w:val="none" w:sz="0" w:space="0" w:color="auto"/>
          </w:divBdr>
          <w:divsChild>
            <w:div w:id="1755273380">
              <w:marLeft w:val="0"/>
              <w:marRight w:val="0"/>
              <w:marTop w:val="0"/>
              <w:marBottom w:val="0"/>
              <w:divBdr>
                <w:top w:val="none" w:sz="0" w:space="0" w:color="auto"/>
                <w:left w:val="none" w:sz="0" w:space="0" w:color="auto"/>
                <w:bottom w:val="none" w:sz="0" w:space="0" w:color="auto"/>
                <w:right w:val="none" w:sz="0" w:space="0" w:color="auto"/>
              </w:divBdr>
              <w:divsChild>
                <w:div w:id="9093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9179">
      <w:bodyDiv w:val="1"/>
      <w:marLeft w:val="0"/>
      <w:marRight w:val="0"/>
      <w:marTop w:val="0"/>
      <w:marBottom w:val="0"/>
      <w:divBdr>
        <w:top w:val="none" w:sz="0" w:space="0" w:color="auto"/>
        <w:left w:val="none" w:sz="0" w:space="0" w:color="auto"/>
        <w:bottom w:val="none" w:sz="0" w:space="0" w:color="auto"/>
        <w:right w:val="none" w:sz="0" w:space="0" w:color="auto"/>
      </w:divBdr>
      <w:divsChild>
        <w:div w:id="1562255959">
          <w:marLeft w:val="0"/>
          <w:marRight w:val="0"/>
          <w:marTop w:val="0"/>
          <w:marBottom w:val="0"/>
          <w:divBdr>
            <w:top w:val="none" w:sz="0" w:space="0" w:color="auto"/>
            <w:left w:val="none" w:sz="0" w:space="0" w:color="auto"/>
            <w:bottom w:val="none" w:sz="0" w:space="0" w:color="auto"/>
            <w:right w:val="none" w:sz="0" w:space="0" w:color="auto"/>
          </w:divBdr>
          <w:divsChild>
            <w:div w:id="1363626245">
              <w:marLeft w:val="0"/>
              <w:marRight w:val="0"/>
              <w:marTop w:val="0"/>
              <w:marBottom w:val="0"/>
              <w:divBdr>
                <w:top w:val="none" w:sz="0" w:space="0" w:color="auto"/>
                <w:left w:val="none" w:sz="0" w:space="0" w:color="auto"/>
                <w:bottom w:val="none" w:sz="0" w:space="0" w:color="auto"/>
                <w:right w:val="none" w:sz="0" w:space="0" w:color="auto"/>
              </w:divBdr>
              <w:divsChild>
                <w:div w:id="20786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3316">
      <w:bodyDiv w:val="1"/>
      <w:marLeft w:val="0"/>
      <w:marRight w:val="0"/>
      <w:marTop w:val="0"/>
      <w:marBottom w:val="0"/>
      <w:divBdr>
        <w:top w:val="none" w:sz="0" w:space="0" w:color="auto"/>
        <w:left w:val="none" w:sz="0" w:space="0" w:color="auto"/>
        <w:bottom w:val="none" w:sz="0" w:space="0" w:color="auto"/>
        <w:right w:val="none" w:sz="0" w:space="0" w:color="auto"/>
      </w:divBdr>
      <w:divsChild>
        <w:div w:id="580411251">
          <w:marLeft w:val="0"/>
          <w:marRight w:val="0"/>
          <w:marTop w:val="0"/>
          <w:marBottom w:val="0"/>
          <w:divBdr>
            <w:top w:val="none" w:sz="0" w:space="0" w:color="auto"/>
            <w:left w:val="none" w:sz="0" w:space="0" w:color="auto"/>
            <w:bottom w:val="none" w:sz="0" w:space="0" w:color="auto"/>
            <w:right w:val="none" w:sz="0" w:space="0" w:color="auto"/>
          </w:divBdr>
          <w:divsChild>
            <w:div w:id="1620993669">
              <w:marLeft w:val="0"/>
              <w:marRight w:val="0"/>
              <w:marTop w:val="0"/>
              <w:marBottom w:val="0"/>
              <w:divBdr>
                <w:top w:val="none" w:sz="0" w:space="0" w:color="auto"/>
                <w:left w:val="none" w:sz="0" w:space="0" w:color="auto"/>
                <w:bottom w:val="none" w:sz="0" w:space="0" w:color="auto"/>
                <w:right w:val="none" w:sz="0" w:space="0" w:color="auto"/>
              </w:divBdr>
              <w:divsChild>
                <w:div w:id="11748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4171">
      <w:bodyDiv w:val="1"/>
      <w:marLeft w:val="0"/>
      <w:marRight w:val="0"/>
      <w:marTop w:val="0"/>
      <w:marBottom w:val="0"/>
      <w:divBdr>
        <w:top w:val="none" w:sz="0" w:space="0" w:color="auto"/>
        <w:left w:val="none" w:sz="0" w:space="0" w:color="auto"/>
        <w:bottom w:val="none" w:sz="0" w:space="0" w:color="auto"/>
        <w:right w:val="none" w:sz="0" w:space="0" w:color="auto"/>
      </w:divBdr>
      <w:divsChild>
        <w:div w:id="1669096091">
          <w:marLeft w:val="0"/>
          <w:marRight w:val="0"/>
          <w:marTop w:val="0"/>
          <w:marBottom w:val="0"/>
          <w:divBdr>
            <w:top w:val="none" w:sz="0" w:space="0" w:color="auto"/>
            <w:left w:val="none" w:sz="0" w:space="0" w:color="auto"/>
            <w:bottom w:val="none" w:sz="0" w:space="0" w:color="auto"/>
            <w:right w:val="none" w:sz="0" w:space="0" w:color="auto"/>
          </w:divBdr>
          <w:divsChild>
            <w:div w:id="1830055653">
              <w:marLeft w:val="0"/>
              <w:marRight w:val="0"/>
              <w:marTop w:val="0"/>
              <w:marBottom w:val="0"/>
              <w:divBdr>
                <w:top w:val="none" w:sz="0" w:space="0" w:color="auto"/>
                <w:left w:val="none" w:sz="0" w:space="0" w:color="auto"/>
                <w:bottom w:val="none" w:sz="0" w:space="0" w:color="auto"/>
                <w:right w:val="none" w:sz="0" w:space="0" w:color="auto"/>
              </w:divBdr>
              <w:divsChild>
                <w:div w:id="2109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itios.scjn.gob.mx/videoteca/category/tipo-y-grupo-de-video/direccion-general-de-estudios-promoci%C3%B3n-y-desarrollo-de-los-derecho-4" TargetMode="External"/><Relationship Id="rId1" Type="http://schemas.openxmlformats.org/officeDocument/2006/relationships/hyperlink" Target="http://corteidh.or.cr/docs/casos/articulos/seriec_273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64F8-4854-44AB-BFB0-10355636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8672</Words>
  <Characters>47701</Characters>
  <Application>Microsoft Office Word</Application>
  <DocSecurity>4</DocSecurity>
  <Lines>397</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2018-12-21T22:28:00Z</cp:lastPrinted>
  <dcterms:created xsi:type="dcterms:W3CDTF">2018-12-21T23:05:00Z</dcterms:created>
  <dcterms:modified xsi:type="dcterms:W3CDTF">2018-12-21T23:05:00Z</dcterms:modified>
</cp:coreProperties>
</file>