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35E8" w14:textId="01E5BD6B" w:rsidR="00687F82" w:rsidRDefault="00687F82" w:rsidP="006634DD">
      <w:pPr>
        <w:spacing w:after="0" w:line="240" w:lineRule="auto"/>
        <w:jc w:val="both"/>
        <w:rPr>
          <w:rFonts w:ascii="Verdana" w:hAnsi="Verdana"/>
          <w:b/>
          <w:sz w:val="20"/>
          <w:szCs w:val="20"/>
          <w:lang w:val="es-ES_tradnl"/>
        </w:rPr>
      </w:pPr>
      <w:bookmarkStart w:id="0" w:name="_GoBack"/>
      <w:bookmarkEnd w:id="0"/>
    </w:p>
    <w:p w14:paraId="2851EB09" w14:textId="77777777" w:rsidR="006C004D" w:rsidRDefault="006C004D" w:rsidP="006634DD">
      <w:pPr>
        <w:spacing w:after="0" w:line="240" w:lineRule="auto"/>
        <w:jc w:val="both"/>
        <w:rPr>
          <w:rFonts w:ascii="Verdana" w:hAnsi="Verdana"/>
          <w:b/>
          <w:sz w:val="20"/>
          <w:szCs w:val="20"/>
          <w:lang w:val="es-ES_tradnl"/>
        </w:rPr>
      </w:pPr>
    </w:p>
    <w:p w14:paraId="69B2855E" w14:textId="77777777" w:rsidR="006C004D" w:rsidRDefault="006C004D" w:rsidP="006634DD">
      <w:pPr>
        <w:spacing w:after="0" w:line="240" w:lineRule="auto"/>
        <w:jc w:val="center"/>
        <w:rPr>
          <w:rFonts w:ascii="Verdana" w:hAnsi="Verdana"/>
          <w:b/>
          <w:sz w:val="20"/>
          <w:szCs w:val="20"/>
          <w:lang w:val="es-ES_tradnl"/>
        </w:rPr>
      </w:pPr>
    </w:p>
    <w:p w14:paraId="65DEB245" w14:textId="77777777" w:rsidR="006D7DBB" w:rsidRDefault="006D7DBB" w:rsidP="006634DD">
      <w:pPr>
        <w:spacing w:after="0" w:line="240" w:lineRule="auto"/>
        <w:jc w:val="center"/>
        <w:rPr>
          <w:rFonts w:ascii="Verdana" w:hAnsi="Verdana"/>
          <w:b/>
          <w:sz w:val="20"/>
          <w:szCs w:val="20"/>
          <w:lang w:val="es-ES_tradnl"/>
        </w:rPr>
      </w:pPr>
    </w:p>
    <w:p w14:paraId="608F94BA" w14:textId="77777777" w:rsidR="006D7DBB" w:rsidRDefault="006D7DBB" w:rsidP="006634DD">
      <w:pPr>
        <w:spacing w:after="0" w:line="240" w:lineRule="auto"/>
        <w:jc w:val="center"/>
        <w:rPr>
          <w:rFonts w:ascii="Verdana" w:hAnsi="Verdana"/>
          <w:b/>
          <w:sz w:val="20"/>
          <w:szCs w:val="20"/>
          <w:lang w:val="es-ES_tradnl"/>
        </w:rPr>
      </w:pPr>
    </w:p>
    <w:p w14:paraId="50FACE49" w14:textId="77777777" w:rsidR="006D7DBB" w:rsidRDefault="006D7DBB" w:rsidP="006634DD">
      <w:pPr>
        <w:spacing w:after="0" w:line="240" w:lineRule="auto"/>
        <w:jc w:val="center"/>
        <w:rPr>
          <w:rFonts w:ascii="Verdana" w:hAnsi="Verdana"/>
          <w:b/>
          <w:sz w:val="20"/>
          <w:szCs w:val="20"/>
          <w:lang w:val="es-ES_tradnl"/>
        </w:rPr>
      </w:pPr>
    </w:p>
    <w:p w14:paraId="6009DCAC" w14:textId="77777777" w:rsidR="006D7DBB" w:rsidRDefault="006D7DBB" w:rsidP="006634DD">
      <w:pPr>
        <w:spacing w:after="0" w:line="240" w:lineRule="auto"/>
        <w:jc w:val="center"/>
        <w:rPr>
          <w:rFonts w:ascii="Verdana" w:hAnsi="Verdana"/>
          <w:b/>
          <w:sz w:val="20"/>
          <w:szCs w:val="20"/>
          <w:lang w:val="es-ES_tradnl"/>
        </w:rPr>
      </w:pPr>
    </w:p>
    <w:p w14:paraId="00B363D5" w14:textId="77777777" w:rsidR="003442E0" w:rsidRPr="008117C2" w:rsidRDefault="003442E0" w:rsidP="006634DD">
      <w:pPr>
        <w:spacing w:after="0" w:line="240" w:lineRule="auto"/>
        <w:jc w:val="center"/>
        <w:rPr>
          <w:rFonts w:ascii="Verdana" w:hAnsi="Verdana"/>
          <w:b/>
          <w:sz w:val="20"/>
          <w:szCs w:val="20"/>
          <w:lang w:val="es-ES_tradnl"/>
        </w:rPr>
      </w:pPr>
      <w:r w:rsidRPr="008117C2">
        <w:rPr>
          <w:rFonts w:ascii="Verdana" w:hAnsi="Verdana"/>
          <w:b/>
          <w:sz w:val="20"/>
          <w:szCs w:val="20"/>
          <w:lang w:val="es-ES_tradnl"/>
        </w:rPr>
        <w:t>RESOLUCIÓN DE LA</w:t>
      </w:r>
    </w:p>
    <w:p w14:paraId="7D099F71" w14:textId="77777777" w:rsidR="003442E0" w:rsidRPr="008117C2" w:rsidRDefault="003442E0" w:rsidP="006634DD">
      <w:pPr>
        <w:spacing w:after="0" w:line="240" w:lineRule="auto"/>
        <w:jc w:val="center"/>
        <w:rPr>
          <w:rFonts w:ascii="Verdana" w:hAnsi="Verdana"/>
          <w:b/>
          <w:smallCaps/>
          <w:sz w:val="20"/>
          <w:lang w:val="es-ES_tradnl"/>
        </w:rPr>
      </w:pPr>
      <w:r w:rsidRPr="008117C2">
        <w:rPr>
          <w:rFonts w:ascii="Verdana" w:hAnsi="Verdana"/>
          <w:b/>
          <w:sz w:val="20"/>
          <w:szCs w:val="20"/>
          <w:lang w:val="es-ES_tradnl"/>
        </w:rPr>
        <w:t>CORTE INTERAMERICANA DE DERECHOS HUMANOS</w:t>
      </w:r>
      <w:r w:rsidR="00182FAA">
        <w:rPr>
          <w:rFonts w:ascii="Verdana" w:hAnsi="Verdana"/>
          <w:b/>
          <w:sz w:val="20"/>
          <w:szCs w:val="20"/>
          <w:lang w:val="es-ES_tradnl"/>
        </w:rPr>
        <w:t>*</w:t>
      </w:r>
    </w:p>
    <w:p w14:paraId="7536B3AD" w14:textId="77777777" w:rsidR="003442E0" w:rsidRPr="008117C2" w:rsidRDefault="003442E0" w:rsidP="006634DD">
      <w:pPr>
        <w:spacing w:after="0" w:line="240" w:lineRule="auto"/>
        <w:jc w:val="center"/>
        <w:rPr>
          <w:rFonts w:ascii="Verdana" w:hAnsi="Verdana"/>
          <w:b/>
          <w:sz w:val="20"/>
          <w:szCs w:val="20"/>
          <w:lang w:val="es-ES_tradnl"/>
        </w:rPr>
      </w:pPr>
    </w:p>
    <w:p w14:paraId="4E97E25E" w14:textId="736C9C6B" w:rsidR="003442E0" w:rsidRPr="008117C2" w:rsidRDefault="003442E0" w:rsidP="006634DD">
      <w:pPr>
        <w:spacing w:after="0" w:line="240" w:lineRule="auto"/>
        <w:jc w:val="center"/>
        <w:rPr>
          <w:rFonts w:ascii="Verdana" w:hAnsi="Verdana"/>
          <w:b/>
          <w:sz w:val="20"/>
          <w:szCs w:val="20"/>
          <w:lang w:val="es-ES_tradnl"/>
        </w:rPr>
      </w:pPr>
      <w:r w:rsidRPr="008117C2">
        <w:rPr>
          <w:rFonts w:ascii="Verdana" w:hAnsi="Verdana"/>
          <w:b/>
          <w:sz w:val="20"/>
          <w:szCs w:val="20"/>
          <w:lang w:val="es-ES_tradnl"/>
        </w:rPr>
        <w:t xml:space="preserve">DE </w:t>
      </w:r>
      <w:r w:rsidR="006D7DBB">
        <w:rPr>
          <w:rFonts w:ascii="Verdana" w:hAnsi="Verdana"/>
          <w:b/>
          <w:sz w:val="20"/>
          <w:szCs w:val="20"/>
          <w:lang w:val="es-ES_tradnl"/>
        </w:rPr>
        <w:t>22</w:t>
      </w:r>
      <w:r>
        <w:rPr>
          <w:rFonts w:ascii="Verdana" w:hAnsi="Verdana"/>
          <w:b/>
          <w:sz w:val="20"/>
          <w:szCs w:val="20"/>
          <w:lang w:val="es-ES_tradnl"/>
        </w:rPr>
        <w:t xml:space="preserve"> DE </w:t>
      </w:r>
      <w:r w:rsidR="00687F82">
        <w:rPr>
          <w:rFonts w:ascii="Verdana" w:hAnsi="Verdana"/>
          <w:b/>
          <w:sz w:val="20"/>
          <w:szCs w:val="20"/>
          <w:lang w:val="es-ES_tradnl"/>
        </w:rPr>
        <w:t>NOVIEMBRE</w:t>
      </w:r>
      <w:r>
        <w:rPr>
          <w:rFonts w:ascii="Verdana" w:hAnsi="Verdana"/>
          <w:b/>
          <w:sz w:val="20"/>
          <w:szCs w:val="20"/>
          <w:lang w:val="es-ES_tradnl"/>
        </w:rPr>
        <w:t xml:space="preserve"> DE 2019</w:t>
      </w:r>
    </w:p>
    <w:p w14:paraId="33D406FE" w14:textId="77777777" w:rsidR="003442E0" w:rsidRPr="008117C2" w:rsidRDefault="003442E0" w:rsidP="006634DD">
      <w:pPr>
        <w:spacing w:after="0" w:line="240" w:lineRule="auto"/>
        <w:jc w:val="center"/>
        <w:rPr>
          <w:rFonts w:ascii="Verdana" w:hAnsi="Verdana"/>
          <w:b/>
          <w:sz w:val="20"/>
          <w:szCs w:val="20"/>
          <w:lang w:val="es-ES_tradnl"/>
        </w:rPr>
      </w:pPr>
    </w:p>
    <w:p w14:paraId="681D05C1" w14:textId="77777777" w:rsidR="003442E0" w:rsidRPr="00586ABE" w:rsidRDefault="007A31FE" w:rsidP="006634DD">
      <w:pPr>
        <w:spacing w:after="0" w:line="240" w:lineRule="auto"/>
        <w:jc w:val="center"/>
        <w:rPr>
          <w:rFonts w:ascii="Verdana" w:hAnsi="Verdana"/>
          <w:b/>
          <w:sz w:val="20"/>
          <w:szCs w:val="20"/>
          <w:lang w:val="es-ES_tradnl"/>
        </w:rPr>
      </w:pPr>
      <w:r>
        <w:rPr>
          <w:rFonts w:ascii="Verdana" w:hAnsi="Verdana"/>
          <w:b/>
          <w:i/>
          <w:sz w:val="20"/>
          <w:szCs w:val="20"/>
          <w:lang w:val="es-ES_tradnl"/>
        </w:rPr>
        <w:t>CASO GÓMEZ MURILLO Y OTROS VS. COSTA RICA</w:t>
      </w:r>
    </w:p>
    <w:p w14:paraId="3C72A1E4" w14:textId="77777777" w:rsidR="003442E0" w:rsidRPr="008117C2" w:rsidRDefault="003442E0" w:rsidP="006634DD">
      <w:pPr>
        <w:spacing w:after="0" w:line="240" w:lineRule="auto"/>
        <w:jc w:val="center"/>
        <w:rPr>
          <w:rFonts w:ascii="Verdana" w:hAnsi="Verdana"/>
          <w:b/>
          <w:sz w:val="20"/>
          <w:szCs w:val="20"/>
          <w:lang w:val="es-ES_tradnl"/>
        </w:rPr>
      </w:pPr>
    </w:p>
    <w:p w14:paraId="14B98D6F" w14:textId="77777777" w:rsidR="003442E0" w:rsidRPr="008117C2" w:rsidRDefault="003442E0" w:rsidP="006634DD">
      <w:pPr>
        <w:spacing w:after="0" w:line="240" w:lineRule="auto"/>
        <w:jc w:val="center"/>
        <w:rPr>
          <w:rFonts w:ascii="Verdana" w:hAnsi="Verdana"/>
          <w:b/>
          <w:sz w:val="20"/>
          <w:szCs w:val="20"/>
          <w:lang w:val="es-ES_tradnl"/>
        </w:rPr>
      </w:pPr>
      <w:r w:rsidRPr="008117C2">
        <w:rPr>
          <w:rFonts w:ascii="Verdana" w:hAnsi="Verdana"/>
          <w:b/>
          <w:sz w:val="20"/>
          <w:szCs w:val="20"/>
          <w:lang w:val="es-ES_tradnl"/>
        </w:rPr>
        <w:t>SUPERVISIÓN DE CUMPLIMIENTO DE SENTENCIA</w:t>
      </w:r>
    </w:p>
    <w:p w14:paraId="2D739A7D" w14:textId="77777777" w:rsidR="003442E0" w:rsidRDefault="003442E0" w:rsidP="006634DD">
      <w:pPr>
        <w:spacing w:before="120" w:after="120" w:line="240" w:lineRule="auto"/>
        <w:jc w:val="both"/>
        <w:rPr>
          <w:rFonts w:ascii="Verdana" w:hAnsi="Verdana"/>
          <w:b/>
          <w:sz w:val="20"/>
          <w:szCs w:val="20"/>
          <w:lang w:val="es-ES_tradnl"/>
        </w:rPr>
      </w:pPr>
    </w:p>
    <w:p w14:paraId="46FA8BF8" w14:textId="77777777" w:rsidR="003442E0" w:rsidRDefault="003442E0" w:rsidP="006634DD">
      <w:pPr>
        <w:spacing w:before="120" w:after="120" w:line="240" w:lineRule="auto"/>
        <w:jc w:val="both"/>
        <w:rPr>
          <w:rFonts w:ascii="Verdana" w:hAnsi="Verdana"/>
          <w:b/>
          <w:sz w:val="20"/>
          <w:szCs w:val="20"/>
          <w:lang w:val="es-ES_tradnl"/>
        </w:rPr>
      </w:pPr>
      <w:r w:rsidRPr="003B122E">
        <w:rPr>
          <w:rFonts w:ascii="Verdana" w:hAnsi="Verdana"/>
          <w:b/>
          <w:sz w:val="20"/>
          <w:szCs w:val="20"/>
          <w:lang w:val="es-ES_tradnl"/>
        </w:rPr>
        <w:t xml:space="preserve">VISTO: </w:t>
      </w:r>
    </w:p>
    <w:p w14:paraId="14D88BC7" w14:textId="4854A8DF" w:rsidR="0002405A" w:rsidRPr="0002405A" w:rsidRDefault="009B4CF1" w:rsidP="006634DD">
      <w:pPr>
        <w:pStyle w:val="Prrafodelista"/>
        <w:numPr>
          <w:ilvl w:val="0"/>
          <w:numId w:val="2"/>
        </w:numPr>
        <w:spacing w:before="120" w:after="120" w:line="240" w:lineRule="auto"/>
        <w:ind w:left="0" w:firstLine="0"/>
        <w:contextualSpacing w:val="0"/>
        <w:jc w:val="both"/>
        <w:rPr>
          <w:rFonts w:ascii="Verdana" w:hAnsi="Verdana"/>
          <w:sz w:val="20"/>
          <w:szCs w:val="20"/>
          <w:lang w:val="es-ES_tradnl"/>
        </w:rPr>
      </w:pPr>
      <w:bookmarkStart w:id="1" w:name="_Ref10205493"/>
      <w:r w:rsidRPr="0002405A">
        <w:rPr>
          <w:rFonts w:ascii="Verdana" w:hAnsi="Verdana"/>
          <w:sz w:val="20"/>
          <w:szCs w:val="20"/>
          <w:lang w:val="es-ES_tradnl"/>
        </w:rPr>
        <w:t>La Sentencia</w:t>
      </w:r>
      <w:r w:rsidR="007A31FE" w:rsidRPr="0002405A">
        <w:rPr>
          <w:rFonts w:ascii="Verdana" w:hAnsi="Verdana"/>
          <w:sz w:val="20"/>
          <w:szCs w:val="20"/>
          <w:lang w:val="es-ES_tradnl"/>
        </w:rPr>
        <w:t xml:space="preserve"> emitida en el presente caso</w:t>
      </w:r>
      <w:r w:rsidR="003442E0" w:rsidRPr="0002405A">
        <w:rPr>
          <w:rFonts w:ascii="Verdana" w:hAnsi="Verdana"/>
          <w:sz w:val="20"/>
          <w:szCs w:val="20"/>
          <w:lang w:val="es-ES_tradnl"/>
        </w:rPr>
        <w:t xml:space="preserve"> </w:t>
      </w:r>
      <w:r w:rsidR="007A31FE" w:rsidRPr="0002405A">
        <w:rPr>
          <w:rFonts w:ascii="Verdana" w:hAnsi="Verdana"/>
          <w:sz w:val="20"/>
          <w:szCs w:val="20"/>
          <w:lang w:val="es-ES_tradnl"/>
        </w:rPr>
        <w:t xml:space="preserve">por </w:t>
      </w:r>
      <w:r w:rsidR="003442E0" w:rsidRPr="0002405A">
        <w:rPr>
          <w:rFonts w:ascii="Verdana" w:hAnsi="Verdana"/>
          <w:sz w:val="20"/>
          <w:szCs w:val="20"/>
          <w:lang w:val="es-ES_tradnl"/>
        </w:rPr>
        <w:t xml:space="preserve">la Corte Interamericana de Derechos Humanos (en adelante “la Corte”, “la Corte Interamericana” o “el Tribunal”) </w:t>
      </w:r>
      <w:r w:rsidR="00232551" w:rsidRPr="0002405A">
        <w:rPr>
          <w:rFonts w:ascii="Verdana" w:hAnsi="Verdana"/>
          <w:sz w:val="20"/>
          <w:szCs w:val="20"/>
          <w:lang w:val="es-ES_tradnl"/>
        </w:rPr>
        <w:t xml:space="preserve">el </w:t>
      </w:r>
      <w:r w:rsidR="007A31FE" w:rsidRPr="0002405A">
        <w:rPr>
          <w:rFonts w:ascii="Verdana" w:hAnsi="Verdana"/>
          <w:sz w:val="20"/>
          <w:szCs w:val="20"/>
          <w:lang w:val="es-ES_tradnl"/>
        </w:rPr>
        <w:t>29 de noviembre de 2016</w:t>
      </w:r>
      <w:r w:rsidR="003442E0" w:rsidRPr="0002405A">
        <w:rPr>
          <w:rStyle w:val="Refdenotaalpie"/>
          <w:rFonts w:ascii="Verdana" w:hAnsi="Verdana"/>
          <w:sz w:val="20"/>
          <w:szCs w:val="20"/>
          <w:lang w:val="es-ES_tradnl"/>
        </w:rPr>
        <w:footnoteReference w:id="1"/>
      </w:r>
      <w:r w:rsidR="00232551" w:rsidRPr="0002405A">
        <w:rPr>
          <w:rFonts w:ascii="Verdana" w:hAnsi="Verdana"/>
          <w:sz w:val="20"/>
          <w:szCs w:val="20"/>
          <w:lang w:val="es-ES_tradnl"/>
        </w:rPr>
        <w:t xml:space="preserve">. En dicha Sentencia la Corte homologó el </w:t>
      </w:r>
      <w:r w:rsidR="006349CA" w:rsidRPr="0002405A">
        <w:rPr>
          <w:rFonts w:ascii="Verdana" w:hAnsi="Verdana"/>
          <w:sz w:val="20"/>
          <w:szCs w:val="20"/>
          <w:lang w:val="es-ES_tradnl"/>
        </w:rPr>
        <w:t xml:space="preserve">“Acuerdo de arreglo amistoso </w:t>
      </w:r>
      <w:r w:rsidR="00232551" w:rsidRPr="0002405A">
        <w:rPr>
          <w:rFonts w:ascii="Verdana" w:hAnsi="Verdana"/>
          <w:sz w:val="20"/>
          <w:szCs w:val="20"/>
          <w:lang w:val="es-ES_tradnl"/>
        </w:rPr>
        <w:t xml:space="preserve">suscrito </w:t>
      </w:r>
      <w:r w:rsidR="006349CA" w:rsidRPr="0002405A">
        <w:rPr>
          <w:rFonts w:ascii="Verdana" w:hAnsi="Verdana"/>
          <w:sz w:val="20"/>
          <w:szCs w:val="20"/>
          <w:lang w:val="es-ES_tradnl"/>
        </w:rPr>
        <w:t xml:space="preserve">entre el Estado </w:t>
      </w:r>
      <w:r w:rsidR="00232551" w:rsidRPr="0002405A">
        <w:rPr>
          <w:rFonts w:ascii="Verdana" w:hAnsi="Verdana"/>
          <w:sz w:val="20"/>
          <w:szCs w:val="20"/>
          <w:lang w:val="es-ES_tradnl"/>
        </w:rPr>
        <w:t>d</w:t>
      </w:r>
      <w:r w:rsidR="006349CA" w:rsidRPr="0002405A">
        <w:rPr>
          <w:rFonts w:ascii="Verdana" w:hAnsi="Verdana"/>
          <w:sz w:val="20"/>
          <w:szCs w:val="20"/>
          <w:lang w:val="es-ES_tradnl"/>
        </w:rPr>
        <w:t>e Costa Ri</w:t>
      </w:r>
      <w:r w:rsidR="00962F26" w:rsidRPr="0002405A">
        <w:rPr>
          <w:rFonts w:ascii="Verdana" w:hAnsi="Verdana"/>
          <w:sz w:val="20"/>
          <w:szCs w:val="20"/>
          <w:lang w:val="es-ES_tradnl"/>
        </w:rPr>
        <w:t>ca y la parte demandante”</w:t>
      </w:r>
      <w:r w:rsidR="0002405A" w:rsidRPr="0002405A">
        <w:rPr>
          <w:rFonts w:ascii="Verdana" w:hAnsi="Verdana"/>
          <w:sz w:val="20"/>
          <w:szCs w:val="20"/>
          <w:lang w:val="es-ES_tradnl"/>
        </w:rPr>
        <w:t xml:space="preserve"> (en adelante “el </w:t>
      </w:r>
      <w:r w:rsidR="00A46A41">
        <w:rPr>
          <w:rFonts w:ascii="Verdana" w:hAnsi="Verdana"/>
          <w:sz w:val="20"/>
          <w:szCs w:val="20"/>
          <w:lang w:val="es-ES_tradnl"/>
        </w:rPr>
        <w:t>A</w:t>
      </w:r>
      <w:r w:rsidR="0002405A" w:rsidRPr="0002405A">
        <w:rPr>
          <w:rFonts w:ascii="Verdana" w:hAnsi="Verdana"/>
          <w:sz w:val="20"/>
          <w:szCs w:val="20"/>
          <w:lang w:val="es-ES_tradnl"/>
        </w:rPr>
        <w:t>cuerdo</w:t>
      </w:r>
      <w:r w:rsidR="00A46A41">
        <w:rPr>
          <w:rFonts w:ascii="Verdana" w:hAnsi="Verdana"/>
          <w:sz w:val="20"/>
          <w:szCs w:val="20"/>
          <w:lang w:val="es-ES_tradnl"/>
        </w:rPr>
        <w:t xml:space="preserve"> de solución amistosa</w:t>
      </w:r>
      <w:r w:rsidR="0002405A" w:rsidRPr="0002405A">
        <w:rPr>
          <w:rFonts w:ascii="Verdana" w:hAnsi="Verdana"/>
          <w:sz w:val="20"/>
          <w:szCs w:val="20"/>
          <w:lang w:val="es-ES_tradnl"/>
        </w:rPr>
        <w:t>”</w:t>
      </w:r>
      <w:r w:rsidR="00B53192">
        <w:rPr>
          <w:rFonts w:ascii="Verdana" w:hAnsi="Verdana"/>
          <w:sz w:val="20"/>
          <w:szCs w:val="20"/>
          <w:lang w:val="es-ES_tradnl"/>
        </w:rPr>
        <w:t xml:space="preserve"> o “el Acuerdo</w:t>
      </w:r>
      <w:r w:rsidR="0002405A" w:rsidRPr="0002405A">
        <w:rPr>
          <w:rFonts w:ascii="Verdana" w:hAnsi="Verdana"/>
          <w:sz w:val="20"/>
          <w:szCs w:val="20"/>
          <w:lang w:val="es-ES_tradnl"/>
        </w:rPr>
        <w:t>)</w:t>
      </w:r>
      <w:r w:rsidR="00232551" w:rsidRPr="0002405A">
        <w:rPr>
          <w:rFonts w:ascii="Verdana" w:hAnsi="Verdana"/>
          <w:sz w:val="20"/>
          <w:szCs w:val="20"/>
          <w:lang w:val="es-ES_tradnl"/>
        </w:rPr>
        <w:t xml:space="preserve">, </w:t>
      </w:r>
      <w:r w:rsidR="00B53192">
        <w:rPr>
          <w:rFonts w:ascii="Verdana" w:hAnsi="Verdana"/>
          <w:sz w:val="20"/>
          <w:szCs w:val="20"/>
          <w:lang w:val="es-ES_tradnl"/>
        </w:rPr>
        <w:t>suscrito</w:t>
      </w:r>
      <w:r w:rsidR="00B53192" w:rsidRPr="0002405A">
        <w:rPr>
          <w:rFonts w:ascii="Verdana" w:hAnsi="Verdana"/>
          <w:sz w:val="20"/>
          <w:szCs w:val="20"/>
          <w:lang w:val="es-ES_tradnl"/>
        </w:rPr>
        <w:t xml:space="preserve"> </w:t>
      </w:r>
      <w:r w:rsidR="0002405A" w:rsidRPr="0002405A">
        <w:rPr>
          <w:rFonts w:ascii="Verdana" w:hAnsi="Verdana"/>
          <w:sz w:val="20"/>
          <w:szCs w:val="20"/>
          <w:lang w:val="es-ES_tradnl"/>
        </w:rPr>
        <w:t xml:space="preserve">el 4 de agosto de 2016 </w:t>
      </w:r>
      <w:r w:rsidR="00232551" w:rsidRPr="0002405A">
        <w:rPr>
          <w:rFonts w:ascii="Verdana" w:hAnsi="Verdana"/>
          <w:sz w:val="20"/>
          <w:szCs w:val="20"/>
          <w:lang w:val="es-ES_tradnl"/>
        </w:rPr>
        <w:t xml:space="preserve">entre </w:t>
      </w:r>
      <w:r w:rsidR="0002405A">
        <w:rPr>
          <w:rFonts w:ascii="Verdana" w:hAnsi="Verdana"/>
          <w:sz w:val="20"/>
          <w:szCs w:val="20"/>
          <w:lang w:val="es-ES_tradnl"/>
        </w:rPr>
        <w:t>la República de Costa Rica (en adelante “el Estado” o Costa Rica”)</w:t>
      </w:r>
      <w:r w:rsidR="00232551" w:rsidRPr="0002405A">
        <w:rPr>
          <w:rFonts w:ascii="Verdana" w:hAnsi="Verdana"/>
          <w:sz w:val="20"/>
          <w:szCs w:val="20"/>
          <w:lang w:val="es-ES_tradnl"/>
        </w:rPr>
        <w:t xml:space="preserve"> y el representante de las víctimas del presente caso</w:t>
      </w:r>
      <w:r w:rsidR="0002405A">
        <w:rPr>
          <w:rFonts w:ascii="Verdana" w:hAnsi="Verdana"/>
          <w:sz w:val="20"/>
          <w:szCs w:val="20"/>
          <w:lang w:val="es-ES_tradnl"/>
        </w:rPr>
        <w:t xml:space="preserve"> (en adel</w:t>
      </w:r>
      <w:r w:rsidR="00223BA8">
        <w:rPr>
          <w:rFonts w:ascii="Verdana" w:hAnsi="Verdana"/>
          <w:sz w:val="20"/>
          <w:szCs w:val="20"/>
          <w:lang w:val="es-ES_tradnl"/>
        </w:rPr>
        <w:t>ante “el representante”)</w:t>
      </w:r>
      <w:r w:rsidR="00232551" w:rsidRPr="0002405A">
        <w:rPr>
          <w:rStyle w:val="Refdenotaalpie"/>
          <w:rFonts w:ascii="Verdana" w:hAnsi="Verdana"/>
          <w:sz w:val="20"/>
          <w:szCs w:val="20"/>
          <w:lang w:val="es-ES_tradnl"/>
        </w:rPr>
        <w:footnoteReference w:id="2"/>
      </w:r>
      <w:r w:rsidR="00232551" w:rsidRPr="0002405A">
        <w:rPr>
          <w:rFonts w:ascii="Verdana" w:hAnsi="Verdana"/>
          <w:sz w:val="20"/>
          <w:szCs w:val="20"/>
          <w:lang w:val="es-ES_tradnl"/>
        </w:rPr>
        <w:t xml:space="preserve">. Además, aceptó el reconocimiento de responsabilidad efectuado en dicho </w:t>
      </w:r>
      <w:r w:rsidR="00B53192">
        <w:rPr>
          <w:rFonts w:ascii="Verdana" w:hAnsi="Verdana"/>
          <w:sz w:val="20"/>
          <w:szCs w:val="20"/>
          <w:lang w:val="es-ES_tradnl"/>
        </w:rPr>
        <w:t>A</w:t>
      </w:r>
      <w:r w:rsidR="00B53192" w:rsidRPr="0002405A">
        <w:rPr>
          <w:rFonts w:ascii="Verdana" w:hAnsi="Verdana"/>
          <w:sz w:val="20"/>
          <w:szCs w:val="20"/>
          <w:lang w:val="es-ES_tradnl"/>
        </w:rPr>
        <w:t xml:space="preserve">cuerdo </w:t>
      </w:r>
      <w:r w:rsidR="00232551" w:rsidRPr="0002405A">
        <w:rPr>
          <w:rFonts w:ascii="Verdana" w:hAnsi="Verdana"/>
          <w:sz w:val="20"/>
          <w:szCs w:val="20"/>
          <w:lang w:val="es-ES_tradnl"/>
        </w:rPr>
        <w:t>por el Estado por la violación a los derechos a la vida, a la integridad personal</w:t>
      </w:r>
      <w:r w:rsidR="0002405A" w:rsidRPr="0002405A">
        <w:rPr>
          <w:rFonts w:ascii="Verdana" w:hAnsi="Verdana"/>
          <w:sz w:val="20"/>
          <w:szCs w:val="20"/>
          <w:lang w:val="es-ES_tradnl"/>
        </w:rPr>
        <w:t xml:space="preserve">, a la libertad personal, </w:t>
      </w:r>
      <w:r w:rsidR="00B53192">
        <w:rPr>
          <w:rFonts w:ascii="Verdana" w:hAnsi="Verdana"/>
          <w:sz w:val="20"/>
          <w:szCs w:val="20"/>
          <w:lang w:val="es-ES_tradnl"/>
        </w:rPr>
        <w:t xml:space="preserve">a la </w:t>
      </w:r>
      <w:r w:rsidR="0002405A" w:rsidRPr="0002405A">
        <w:rPr>
          <w:rFonts w:ascii="Verdana" w:hAnsi="Verdana"/>
          <w:sz w:val="20"/>
          <w:szCs w:val="20"/>
          <w:lang w:val="es-ES_tradnl"/>
        </w:rPr>
        <w:t>protección de la honra y de la dignidad</w:t>
      </w:r>
      <w:bookmarkEnd w:id="1"/>
      <w:r w:rsidR="0002405A" w:rsidRPr="0002405A">
        <w:rPr>
          <w:rFonts w:ascii="Verdana" w:hAnsi="Verdana"/>
          <w:sz w:val="20"/>
          <w:szCs w:val="20"/>
          <w:lang w:val="es-ES_tradnl"/>
        </w:rPr>
        <w:t xml:space="preserve">, </w:t>
      </w:r>
      <w:r w:rsidR="00B53192">
        <w:rPr>
          <w:rFonts w:ascii="Verdana" w:hAnsi="Verdana"/>
          <w:sz w:val="20"/>
          <w:szCs w:val="20"/>
          <w:lang w:val="es-ES_tradnl"/>
        </w:rPr>
        <w:t xml:space="preserve">a </w:t>
      </w:r>
      <w:r w:rsidR="005A483D" w:rsidRPr="0002405A">
        <w:rPr>
          <w:rFonts w:ascii="Verdana" w:hAnsi="Verdana"/>
          <w:sz w:val="20"/>
          <w:szCs w:val="20"/>
        </w:rPr>
        <w:t xml:space="preserve">la protección a la familia y </w:t>
      </w:r>
      <w:r w:rsidR="00B53192">
        <w:rPr>
          <w:rFonts w:ascii="Verdana" w:hAnsi="Verdana"/>
          <w:sz w:val="20"/>
          <w:szCs w:val="20"/>
        </w:rPr>
        <w:t xml:space="preserve">a </w:t>
      </w:r>
      <w:r w:rsidR="005A483D" w:rsidRPr="0002405A">
        <w:rPr>
          <w:rFonts w:ascii="Verdana" w:hAnsi="Verdana"/>
          <w:sz w:val="20"/>
          <w:szCs w:val="20"/>
        </w:rPr>
        <w:t>la igualdad ante la ley, en perjuicio de doce personas</w:t>
      </w:r>
      <w:r w:rsidR="00A37F27" w:rsidRPr="0002405A">
        <w:rPr>
          <w:rStyle w:val="Refdenotaalpie"/>
          <w:rFonts w:ascii="Verdana" w:hAnsi="Verdana"/>
          <w:sz w:val="20"/>
          <w:szCs w:val="20"/>
        </w:rPr>
        <w:footnoteReference w:id="3"/>
      </w:r>
      <w:r w:rsidR="0002405A" w:rsidRPr="0002405A">
        <w:rPr>
          <w:rFonts w:ascii="Verdana" w:hAnsi="Verdana"/>
          <w:sz w:val="20"/>
          <w:szCs w:val="20"/>
        </w:rPr>
        <w:t xml:space="preserve">, como consecuencia de la prohibición general de practicar la técnica de reproducción asistida de la Fecundación </w:t>
      </w:r>
      <w:r w:rsidR="0002405A" w:rsidRPr="008C4144">
        <w:rPr>
          <w:rFonts w:ascii="Verdana" w:hAnsi="Verdana"/>
          <w:i/>
          <w:sz w:val="20"/>
          <w:szCs w:val="20"/>
        </w:rPr>
        <w:t>In Vitro</w:t>
      </w:r>
      <w:r w:rsidR="0002405A" w:rsidRPr="0002405A">
        <w:rPr>
          <w:rFonts w:ascii="Verdana" w:hAnsi="Verdana"/>
          <w:sz w:val="20"/>
          <w:szCs w:val="20"/>
        </w:rPr>
        <w:t xml:space="preserve"> (FIV). Dicha prohibición se encontraba vigente en Costa Rica desde marzo del </w:t>
      </w:r>
      <w:r w:rsidR="0002405A">
        <w:rPr>
          <w:rFonts w:ascii="Verdana" w:hAnsi="Verdana"/>
          <w:sz w:val="20"/>
          <w:szCs w:val="20"/>
        </w:rPr>
        <w:t xml:space="preserve">año </w:t>
      </w:r>
      <w:r w:rsidR="0002405A" w:rsidRPr="0002405A">
        <w:rPr>
          <w:rFonts w:ascii="Verdana" w:hAnsi="Verdana"/>
          <w:sz w:val="20"/>
          <w:szCs w:val="20"/>
        </w:rPr>
        <w:t>2000</w:t>
      </w:r>
      <w:r w:rsidR="0002405A">
        <w:rPr>
          <w:rFonts w:ascii="Verdana" w:hAnsi="Verdana"/>
          <w:sz w:val="20"/>
          <w:szCs w:val="20"/>
        </w:rPr>
        <w:t>,</w:t>
      </w:r>
      <w:r w:rsidR="0002405A" w:rsidRPr="0002405A">
        <w:rPr>
          <w:rFonts w:ascii="Verdana" w:hAnsi="Verdana"/>
          <w:sz w:val="20"/>
          <w:szCs w:val="20"/>
        </w:rPr>
        <w:t xml:space="preserve"> tras una decisión emitida por la Sala Constitucional de la Corte Suprema de Justicia que declaró inconstitucional el Decreto Ejecutivo No. 24029-S de 3 de febrero de 1995 que </w:t>
      </w:r>
      <w:r w:rsidR="00B53192">
        <w:rPr>
          <w:rFonts w:ascii="Verdana" w:hAnsi="Verdana"/>
          <w:sz w:val="20"/>
          <w:szCs w:val="20"/>
        </w:rPr>
        <w:t xml:space="preserve">autorizaba y </w:t>
      </w:r>
      <w:r w:rsidR="0002405A" w:rsidRPr="0002405A">
        <w:rPr>
          <w:rFonts w:ascii="Verdana" w:hAnsi="Verdana"/>
          <w:sz w:val="20"/>
          <w:szCs w:val="20"/>
        </w:rPr>
        <w:t xml:space="preserve">regulaba dicha técnica de reproducción asistida. </w:t>
      </w:r>
      <w:r w:rsidR="0002405A">
        <w:rPr>
          <w:rFonts w:ascii="Verdana" w:hAnsi="Verdana"/>
          <w:sz w:val="20"/>
          <w:szCs w:val="20"/>
        </w:rPr>
        <w:t xml:space="preserve">La Corte dispuso que </w:t>
      </w:r>
      <w:r w:rsidR="00F87650">
        <w:rPr>
          <w:rFonts w:ascii="Verdana" w:hAnsi="Verdana"/>
          <w:sz w:val="20"/>
          <w:szCs w:val="20"/>
        </w:rPr>
        <w:t>su</w:t>
      </w:r>
      <w:r w:rsidR="0002405A">
        <w:rPr>
          <w:rFonts w:ascii="Verdana" w:hAnsi="Verdana"/>
          <w:sz w:val="20"/>
          <w:szCs w:val="20"/>
        </w:rPr>
        <w:t xml:space="preserve"> </w:t>
      </w:r>
      <w:r w:rsidR="00F87650">
        <w:rPr>
          <w:rFonts w:ascii="Verdana" w:hAnsi="Verdana"/>
          <w:sz w:val="20"/>
          <w:szCs w:val="20"/>
        </w:rPr>
        <w:t>S</w:t>
      </w:r>
      <w:r w:rsidR="0002405A">
        <w:rPr>
          <w:rFonts w:ascii="Verdana" w:hAnsi="Verdana"/>
          <w:sz w:val="20"/>
          <w:szCs w:val="20"/>
        </w:rPr>
        <w:t xml:space="preserve">entencia constituía por sí misma una forma de reparación y, de conformidad con lo dispuesto en el </w:t>
      </w:r>
      <w:r w:rsidR="00B53192">
        <w:rPr>
          <w:rFonts w:ascii="Verdana" w:hAnsi="Verdana"/>
          <w:sz w:val="20"/>
          <w:szCs w:val="20"/>
        </w:rPr>
        <w:t>Acuerdo</w:t>
      </w:r>
      <w:r w:rsidR="0002405A">
        <w:rPr>
          <w:rFonts w:ascii="Verdana" w:hAnsi="Verdana"/>
          <w:sz w:val="20"/>
          <w:szCs w:val="20"/>
        </w:rPr>
        <w:t>, ordenó que el Estado debía adoptar determinadas medidas de reparación adicionales (</w:t>
      </w:r>
      <w:r w:rsidR="0002405A" w:rsidRPr="0002405A">
        <w:rPr>
          <w:rFonts w:ascii="Verdana" w:hAnsi="Verdana"/>
          <w:i/>
          <w:iCs/>
          <w:sz w:val="20"/>
          <w:szCs w:val="20"/>
        </w:rPr>
        <w:t>infra</w:t>
      </w:r>
      <w:r w:rsidR="0002405A">
        <w:rPr>
          <w:rFonts w:ascii="Verdana" w:hAnsi="Verdana"/>
          <w:sz w:val="20"/>
          <w:szCs w:val="20"/>
        </w:rPr>
        <w:t xml:space="preserve"> Considerando </w:t>
      </w:r>
      <w:r w:rsidR="00B53192">
        <w:rPr>
          <w:rFonts w:ascii="Verdana" w:hAnsi="Verdana"/>
          <w:sz w:val="20"/>
          <w:szCs w:val="20"/>
        </w:rPr>
        <w:t>1</w:t>
      </w:r>
      <w:r w:rsidR="0002405A">
        <w:rPr>
          <w:rFonts w:ascii="Verdana" w:hAnsi="Verdana"/>
          <w:sz w:val="20"/>
          <w:szCs w:val="20"/>
        </w:rPr>
        <w:t xml:space="preserve">). </w:t>
      </w:r>
    </w:p>
    <w:p w14:paraId="52770D3C" w14:textId="72DF480D" w:rsidR="0002405A" w:rsidRPr="001C23F1" w:rsidRDefault="0002405A" w:rsidP="006634DD">
      <w:pPr>
        <w:pStyle w:val="Prrafodelista"/>
        <w:numPr>
          <w:ilvl w:val="0"/>
          <w:numId w:val="2"/>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rPr>
        <w:t xml:space="preserve">Los escritos presentados por el Estado </w:t>
      </w:r>
      <w:r w:rsidR="001C23F1">
        <w:rPr>
          <w:rFonts w:ascii="Verdana" w:hAnsi="Verdana"/>
          <w:sz w:val="20"/>
          <w:szCs w:val="20"/>
        </w:rPr>
        <w:t xml:space="preserve">entre febrero de 2018 y </w:t>
      </w:r>
      <w:r w:rsidR="00B53192">
        <w:rPr>
          <w:rFonts w:ascii="Verdana" w:hAnsi="Verdana"/>
          <w:sz w:val="20"/>
          <w:szCs w:val="20"/>
        </w:rPr>
        <w:t xml:space="preserve">noviembre </w:t>
      </w:r>
      <w:r w:rsidR="001C23F1">
        <w:rPr>
          <w:rFonts w:ascii="Verdana" w:hAnsi="Verdana"/>
          <w:sz w:val="20"/>
          <w:szCs w:val="20"/>
        </w:rPr>
        <w:t xml:space="preserve">de 2019. </w:t>
      </w:r>
    </w:p>
    <w:p w14:paraId="3C439CA0" w14:textId="0A657248" w:rsidR="001C23F1" w:rsidRPr="001C23F1" w:rsidRDefault="001C23F1" w:rsidP="006634DD">
      <w:pPr>
        <w:pStyle w:val="Prrafodelista"/>
        <w:numPr>
          <w:ilvl w:val="0"/>
          <w:numId w:val="2"/>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rPr>
        <w:lastRenderedPageBreak/>
        <w:t xml:space="preserve">Los escritos presentados por el representante de las víctimas entre </w:t>
      </w:r>
      <w:r w:rsidR="0008250C">
        <w:rPr>
          <w:rFonts w:ascii="Verdana" w:hAnsi="Verdana"/>
          <w:sz w:val="20"/>
          <w:szCs w:val="20"/>
        </w:rPr>
        <w:t>enero</w:t>
      </w:r>
      <w:r>
        <w:rPr>
          <w:rFonts w:ascii="Verdana" w:hAnsi="Verdana"/>
          <w:sz w:val="20"/>
          <w:szCs w:val="20"/>
        </w:rPr>
        <w:t xml:space="preserve"> de 201</w:t>
      </w:r>
      <w:r w:rsidR="0008250C">
        <w:rPr>
          <w:rFonts w:ascii="Verdana" w:hAnsi="Verdana"/>
          <w:sz w:val="20"/>
          <w:szCs w:val="20"/>
        </w:rPr>
        <w:t>7</w:t>
      </w:r>
      <w:r>
        <w:rPr>
          <w:rFonts w:ascii="Verdana" w:hAnsi="Verdana"/>
          <w:sz w:val="20"/>
          <w:szCs w:val="20"/>
        </w:rPr>
        <w:t xml:space="preserve"> y </w:t>
      </w:r>
      <w:r w:rsidR="006A1654">
        <w:rPr>
          <w:rFonts w:ascii="Verdana" w:hAnsi="Verdana"/>
          <w:sz w:val="20"/>
          <w:szCs w:val="20"/>
        </w:rPr>
        <w:t>octubre</w:t>
      </w:r>
      <w:r>
        <w:rPr>
          <w:rFonts w:ascii="Verdana" w:hAnsi="Verdana"/>
          <w:sz w:val="20"/>
          <w:szCs w:val="20"/>
        </w:rPr>
        <w:t xml:space="preserve"> de 2019.</w:t>
      </w:r>
    </w:p>
    <w:p w14:paraId="08DC7A33" w14:textId="77777777" w:rsidR="001C23F1" w:rsidRPr="001C23F1" w:rsidRDefault="001C23F1" w:rsidP="006634DD">
      <w:pPr>
        <w:pStyle w:val="Prrafodelista"/>
        <w:numPr>
          <w:ilvl w:val="0"/>
          <w:numId w:val="2"/>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rPr>
        <w:t>Los escritos presentados por la Comisión Interamericana de Derechos Humanos (en adelante “la Comisión Interamericana” o “la Comisión”) en julio de 2018 y junio de 2019.</w:t>
      </w:r>
    </w:p>
    <w:p w14:paraId="551593CF" w14:textId="42B29EAA" w:rsidR="00291309" w:rsidRPr="004218BD" w:rsidRDefault="00291309" w:rsidP="006634DD">
      <w:pPr>
        <w:pStyle w:val="Prrafodelista"/>
        <w:numPr>
          <w:ilvl w:val="0"/>
          <w:numId w:val="2"/>
        </w:numPr>
        <w:spacing w:before="120" w:after="120" w:line="240" w:lineRule="auto"/>
        <w:ind w:left="0" w:firstLine="0"/>
        <w:contextualSpacing w:val="0"/>
        <w:jc w:val="both"/>
        <w:rPr>
          <w:rFonts w:ascii="Verdana" w:hAnsi="Verdana"/>
          <w:sz w:val="20"/>
          <w:szCs w:val="20"/>
          <w:lang w:val="es-ES_tradnl"/>
        </w:rPr>
      </w:pPr>
      <w:r w:rsidRPr="004218BD">
        <w:rPr>
          <w:rFonts w:ascii="Verdana" w:hAnsi="Verdana"/>
          <w:sz w:val="20"/>
          <w:szCs w:val="20"/>
          <w:lang w:val="es-ES_tradnl"/>
        </w:rPr>
        <w:t>La Resolución</w:t>
      </w:r>
      <w:r w:rsidR="00246746" w:rsidRPr="004218BD">
        <w:rPr>
          <w:rFonts w:ascii="Verdana" w:hAnsi="Verdana"/>
          <w:sz w:val="20"/>
          <w:szCs w:val="20"/>
          <w:lang w:val="es-ES_tradnl"/>
        </w:rPr>
        <w:t xml:space="preserve"> </w:t>
      </w:r>
      <w:r w:rsidRPr="004218BD">
        <w:rPr>
          <w:rFonts w:ascii="Verdana" w:hAnsi="Verdana"/>
          <w:sz w:val="20"/>
          <w:szCs w:val="20"/>
          <w:lang w:val="es-ES_tradnl"/>
        </w:rPr>
        <w:t xml:space="preserve">de supervisión de cumplimiento de Sentencia </w:t>
      </w:r>
      <w:r w:rsidR="00357034">
        <w:rPr>
          <w:rFonts w:ascii="Verdana" w:hAnsi="Verdana"/>
          <w:sz w:val="20"/>
          <w:szCs w:val="20"/>
          <w:lang w:val="es-ES_tradnl"/>
        </w:rPr>
        <w:t xml:space="preserve">de </w:t>
      </w:r>
      <w:r w:rsidR="006D7DBB">
        <w:rPr>
          <w:rFonts w:ascii="Verdana" w:hAnsi="Verdana"/>
          <w:sz w:val="20"/>
          <w:szCs w:val="20"/>
          <w:lang w:val="es-ES_tradnl"/>
        </w:rPr>
        <w:t>22</w:t>
      </w:r>
      <w:r w:rsidRPr="004218BD">
        <w:rPr>
          <w:rFonts w:ascii="Verdana" w:hAnsi="Verdana"/>
          <w:sz w:val="20"/>
          <w:szCs w:val="20"/>
          <w:lang w:val="es-ES_tradnl"/>
        </w:rPr>
        <w:t xml:space="preserve"> de noviembre de 2019, emitida por la Corte</w:t>
      </w:r>
      <w:r w:rsidR="00ED669B">
        <w:rPr>
          <w:rFonts w:ascii="Verdana" w:hAnsi="Verdana"/>
          <w:sz w:val="20"/>
          <w:szCs w:val="20"/>
          <w:lang w:val="es-ES_tradnl"/>
        </w:rPr>
        <w:t>, de manera conjunta,</w:t>
      </w:r>
      <w:r w:rsidRPr="004218BD">
        <w:rPr>
          <w:rFonts w:ascii="Verdana" w:hAnsi="Verdana"/>
          <w:sz w:val="20"/>
          <w:szCs w:val="20"/>
          <w:lang w:val="es-ES_tradnl"/>
        </w:rPr>
        <w:t xml:space="preserve"> </w:t>
      </w:r>
      <w:r w:rsidR="00ED669B">
        <w:rPr>
          <w:rFonts w:ascii="Verdana" w:hAnsi="Verdana"/>
          <w:sz w:val="20"/>
          <w:szCs w:val="20"/>
          <w:lang w:val="es-ES_tradnl"/>
        </w:rPr>
        <w:t>para</w:t>
      </w:r>
      <w:r w:rsidR="00ED669B" w:rsidRPr="004218BD">
        <w:rPr>
          <w:rFonts w:ascii="Verdana" w:hAnsi="Verdana"/>
          <w:sz w:val="20"/>
          <w:szCs w:val="20"/>
          <w:lang w:val="es-ES_tradnl"/>
        </w:rPr>
        <w:t xml:space="preserve"> </w:t>
      </w:r>
      <w:r w:rsidRPr="004218BD">
        <w:rPr>
          <w:rFonts w:ascii="Verdana" w:hAnsi="Verdana"/>
          <w:sz w:val="20"/>
          <w:szCs w:val="20"/>
          <w:lang w:val="es-ES_tradnl"/>
        </w:rPr>
        <w:t>el</w:t>
      </w:r>
      <w:r w:rsidR="00246746" w:rsidRPr="004218BD">
        <w:rPr>
          <w:rFonts w:ascii="Verdana" w:hAnsi="Verdana"/>
          <w:sz w:val="20"/>
          <w:szCs w:val="20"/>
          <w:lang w:val="es-ES_tradnl"/>
        </w:rPr>
        <w:t xml:space="preserve"> presente caso y </w:t>
      </w:r>
      <w:r w:rsidR="00ED669B">
        <w:rPr>
          <w:rFonts w:ascii="Verdana" w:hAnsi="Verdana"/>
          <w:sz w:val="20"/>
          <w:szCs w:val="20"/>
          <w:lang w:val="es-ES_tradnl"/>
        </w:rPr>
        <w:t>para</w:t>
      </w:r>
      <w:r w:rsidR="00ED669B" w:rsidRPr="004218BD">
        <w:rPr>
          <w:rFonts w:ascii="Verdana" w:hAnsi="Verdana"/>
          <w:sz w:val="20"/>
          <w:szCs w:val="20"/>
          <w:lang w:val="es-ES_tradnl"/>
        </w:rPr>
        <w:t xml:space="preserve"> </w:t>
      </w:r>
      <w:r w:rsidR="00246746" w:rsidRPr="004218BD">
        <w:rPr>
          <w:rFonts w:ascii="Verdana" w:hAnsi="Verdana"/>
          <w:sz w:val="20"/>
          <w:szCs w:val="20"/>
          <w:lang w:val="es-ES_tradnl"/>
        </w:rPr>
        <w:t>el</w:t>
      </w:r>
      <w:r w:rsidRPr="004218BD">
        <w:rPr>
          <w:rFonts w:ascii="Verdana" w:hAnsi="Verdana"/>
          <w:sz w:val="20"/>
          <w:szCs w:val="20"/>
          <w:lang w:val="es-ES_tradnl"/>
        </w:rPr>
        <w:t xml:space="preserve"> </w:t>
      </w:r>
      <w:r w:rsidR="00ED669B" w:rsidRPr="008C4144">
        <w:rPr>
          <w:rFonts w:ascii="Verdana" w:hAnsi="Verdana"/>
          <w:i/>
          <w:sz w:val="20"/>
          <w:szCs w:val="20"/>
          <w:lang w:val="es-ES_tradnl"/>
        </w:rPr>
        <w:t xml:space="preserve">Caso </w:t>
      </w:r>
      <w:r w:rsidRPr="00ED669B">
        <w:rPr>
          <w:rFonts w:ascii="Verdana" w:hAnsi="Verdana"/>
          <w:i/>
          <w:iCs/>
          <w:sz w:val="20"/>
          <w:szCs w:val="20"/>
          <w:lang w:val="es-ES_tradnl"/>
        </w:rPr>
        <w:t>Artavia Murillo y otros</w:t>
      </w:r>
      <w:r w:rsidR="00ED669B" w:rsidRPr="00ED669B">
        <w:rPr>
          <w:rFonts w:ascii="Verdana" w:hAnsi="Verdana"/>
          <w:i/>
          <w:iCs/>
          <w:sz w:val="20"/>
          <w:szCs w:val="20"/>
          <w:lang w:val="es-ES_tradnl"/>
        </w:rPr>
        <w:t xml:space="preserve"> (“Fecundación In Vitro) Vs. Costa Rica</w:t>
      </w:r>
      <w:r w:rsidRPr="004218BD">
        <w:rPr>
          <w:rFonts w:ascii="Verdana" w:hAnsi="Verdana"/>
          <w:sz w:val="20"/>
          <w:szCs w:val="20"/>
          <w:lang w:val="es-ES_tradnl"/>
        </w:rPr>
        <w:t xml:space="preserve">. </w:t>
      </w:r>
    </w:p>
    <w:p w14:paraId="4E378456" w14:textId="77777777" w:rsidR="006D7DBB" w:rsidRDefault="006D7DBB" w:rsidP="006634DD">
      <w:pPr>
        <w:pStyle w:val="Prrafodelista"/>
        <w:spacing w:before="120" w:after="120" w:line="240" w:lineRule="auto"/>
        <w:ind w:left="0"/>
        <w:contextualSpacing w:val="0"/>
        <w:jc w:val="both"/>
        <w:rPr>
          <w:rFonts w:ascii="Verdana" w:hAnsi="Verdana"/>
          <w:b/>
          <w:sz w:val="20"/>
          <w:szCs w:val="20"/>
          <w:lang w:val="es-ES_tradnl"/>
        </w:rPr>
      </w:pPr>
    </w:p>
    <w:p w14:paraId="6997B0E0" w14:textId="77777777" w:rsidR="002A021D" w:rsidRDefault="002A021D" w:rsidP="006634DD">
      <w:pPr>
        <w:pStyle w:val="Prrafodelista"/>
        <w:spacing w:before="120" w:after="120" w:line="240" w:lineRule="auto"/>
        <w:ind w:left="0"/>
        <w:contextualSpacing w:val="0"/>
        <w:jc w:val="both"/>
        <w:rPr>
          <w:rFonts w:ascii="Verdana" w:hAnsi="Verdana"/>
          <w:b/>
          <w:sz w:val="20"/>
          <w:szCs w:val="20"/>
          <w:lang w:val="es-ES_tradnl"/>
        </w:rPr>
      </w:pPr>
      <w:r>
        <w:rPr>
          <w:rFonts w:ascii="Verdana" w:hAnsi="Verdana"/>
          <w:b/>
          <w:sz w:val="20"/>
          <w:szCs w:val="20"/>
          <w:lang w:val="es-ES_tradnl"/>
        </w:rPr>
        <w:t xml:space="preserve">CONSIDERANDO QUE: </w:t>
      </w:r>
    </w:p>
    <w:p w14:paraId="73D44E70" w14:textId="77777777" w:rsidR="008C4144" w:rsidRPr="002A021D" w:rsidRDefault="008C4144" w:rsidP="006634DD">
      <w:pPr>
        <w:pStyle w:val="Prrafodelista"/>
        <w:spacing w:before="120" w:after="120" w:line="240" w:lineRule="auto"/>
        <w:ind w:left="0"/>
        <w:contextualSpacing w:val="0"/>
        <w:jc w:val="both"/>
        <w:rPr>
          <w:rFonts w:ascii="Verdana" w:hAnsi="Verdana"/>
          <w:sz w:val="20"/>
          <w:szCs w:val="20"/>
          <w:lang w:val="es-ES_tradnl"/>
        </w:rPr>
      </w:pPr>
    </w:p>
    <w:p w14:paraId="7B696B78" w14:textId="5C1EB600" w:rsidR="00B97157" w:rsidRPr="004C3F21" w:rsidRDefault="00D04CE5"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sidRPr="00B97157">
        <w:rPr>
          <w:rFonts w:ascii="Verdana" w:hAnsi="Verdana"/>
          <w:sz w:val="20"/>
          <w:szCs w:val="20"/>
        </w:rPr>
        <w:t>En el ejercicio de su función jurisdiccional de supervisar el cumplimiento de sus decisiones</w:t>
      </w:r>
      <w:r>
        <w:rPr>
          <w:rStyle w:val="Refdenotaalpie"/>
          <w:rFonts w:ascii="Verdana" w:hAnsi="Verdana"/>
          <w:sz w:val="20"/>
          <w:szCs w:val="20"/>
        </w:rPr>
        <w:footnoteReference w:id="4"/>
      </w:r>
      <w:r w:rsidRPr="00B97157">
        <w:rPr>
          <w:rFonts w:ascii="Verdana" w:hAnsi="Verdana"/>
          <w:sz w:val="20"/>
          <w:szCs w:val="20"/>
        </w:rPr>
        <w:t>, la Corte ha venido supervisando la ejecución de la Sentencia emitida en el presente caso en el año 2016 (</w:t>
      </w:r>
      <w:r w:rsidRPr="00B97157">
        <w:rPr>
          <w:rFonts w:ascii="Verdana" w:hAnsi="Verdana"/>
          <w:i/>
          <w:sz w:val="20"/>
          <w:szCs w:val="20"/>
        </w:rPr>
        <w:t>supra</w:t>
      </w:r>
      <w:r w:rsidRPr="00B97157">
        <w:rPr>
          <w:rFonts w:ascii="Verdana" w:hAnsi="Verdana"/>
          <w:sz w:val="20"/>
          <w:szCs w:val="20"/>
        </w:rPr>
        <w:t xml:space="preserve"> Visto 1). </w:t>
      </w:r>
      <w:r w:rsidR="00A46A41" w:rsidRPr="00B97157">
        <w:rPr>
          <w:rFonts w:ascii="Verdana" w:hAnsi="Verdana"/>
          <w:sz w:val="20"/>
          <w:szCs w:val="20"/>
        </w:rPr>
        <w:t xml:space="preserve">De conformidad con lo dispuesto en el Acuerdo de </w:t>
      </w:r>
      <w:r w:rsidR="00246746" w:rsidRPr="00B97157">
        <w:rPr>
          <w:rFonts w:ascii="Verdana" w:hAnsi="Verdana"/>
          <w:sz w:val="20"/>
          <w:szCs w:val="20"/>
        </w:rPr>
        <w:t>s</w:t>
      </w:r>
      <w:r w:rsidR="00A46A41" w:rsidRPr="00B97157">
        <w:rPr>
          <w:rFonts w:ascii="Verdana" w:hAnsi="Verdana"/>
          <w:sz w:val="20"/>
          <w:szCs w:val="20"/>
        </w:rPr>
        <w:t>oluc</w:t>
      </w:r>
      <w:r w:rsidR="00246746" w:rsidRPr="00B97157">
        <w:rPr>
          <w:rFonts w:ascii="Verdana" w:hAnsi="Verdana"/>
          <w:sz w:val="20"/>
          <w:szCs w:val="20"/>
        </w:rPr>
        <w:t>ión amistosa y e</w:t>
      </w:r>
      <w:r w:rsidRPr="00B97157">
        <w:rPr>
          <w:rFonts w:ascii="Verdana" w:hAnsi="Verdana"/>
          <w:sz w:val="20"/>
          <w:szCs w:val="20"/>
        </w:rPr>
        <w:t>n</w:t>
      </w:r>
      <w:r w:rsidR="00246746" w:rsidRPr="00B97157">
        <w:rPr>
          <w:rFonts w:ascii="Verdana" w:hAnsi="Verdana"/>
          <w:sz w:val="20"/>
          <w:szCs w:val="20"/>
        </w:rPr>
        <w:t xml:space="preserve"> los puntos resolutivos sexto y séptimo de</w:t>
      </w:r>
      <w:r w:rsidRPr="00B97157">
        <w:rPr>
          <w:rFonts w:ascii="Verdana" w:hAnsi="Verdana"/>
          <w:sz w:val="20"/>
          <w:szCs w:val="20"/>
        </w:rPr>
        <w:t xml:space="preserve"> la Sentencia</w:t>
      </w:r>
      <w:r w:rsidR="00246746" w:rsidRPr="00B97157">
        <w:rPr>
          <w:rFonts w:ascii="Verdana" w:hAnsi="Verdana"/>
          <w:sz w:val="20"/>
          <w:szCs w:val="20"/>
        </w:rPr>
        <w:t xml:space="preserve">, </w:t>
      </w:r>
      <w:r w:rsidR="00ED669B">
        <w:rPr>
          <w:rFonts w:ascii="Verdana" w:hAnsi="Verdana"/>
          <w:sz w:val="20"/>
          <w:szCs w:val="20"/>
        </w:rPr>
        <w:t>el Tribunal</w:t>
      </w:r>
      <w:r w:rsidR="00246746" w:rsidRPr="00B97157">
        <w:rPr>
          <w:rFonts w:ascii="Verdana" w:hAnsi="Verdana"/>
          <w:sz w:val="20"/>
          <w:szCs w:val="20"/>
        </w:rPr>
        <w:t xml:space="preserve"> dispuso que el Estado debía cumplir con ocho medidas de reparación.</w:t>
      </w:r>
      <w:r w:rsidR="00D72377" w:rsidRPr="00B97157">
        <w:rPr>
          <w:rFonts w:ascii="Verdana" w:hAnsi="Verdana"/>
          <w:sz w:val="20"/>
          <w:szCs w:val="20"/>
        </w:rPr>
        <w:t xml:space="preserve"> </w:t>
      </w:r>
      <w:r w:rsidR="00912CFC" w:rsidRPr="004C3F21">
        <w:rPr>
          <w:rFonts w:ascii="Verdana" w:hAnsi="Verdana"/>
          <w:sz w:val="20"/>
          <w:szCs w:val="20"/>
        </w:rPr>
        <w:t>El 22 de noviembre de 2019</w:t>
      </w:r>
      <w:r w:rsidR="007B0B68" w:rsidRPr="004C3F21">
        <w:rPr>
          <w:rFonts w:ascii="Verdana" w:hAnsi="Verdana"/>
          <w:sz w:val="20"/>
          <w:szCs w:val="20"/>
        </w:rPr>
        <w:t xml:space="preserve"> </w:t>
      </w:r>
      <w:r w:rsidR="00D72377" w:rsidRPr="004C3F21">
        <w:rPr>
          <w:rFonts w:ascii="Verdana" w:hAnsi="Verdana"/>
          <w:sz w:val="20"/>
          <w:szCs w:val="20"/>
        </w:rPr>
        <w:t xml:space="preserve">la Corte emitió una resolución conjunta de supervisión de cumplimiento de sentencia para el presente caso y el caso </w:t>
      </w:r>
      <w:r w:rsidR="00D72377" w:rsidRPr="004C3F21">
        <w:rPr>
          <w:rFonts w:ascii="Verdana" w:hAnsi="Verdana"/>
          <w:i/>
          <w:iCs/>
          <w:sz w:val="20"/>
          <w:szCs w:val="20"/>
        </w:rPr>
        <w:t>Artavia Murillo y otros</w:t>
      </w:r>
      <w:r w:rsidR="00D72377" w:rsidRPr="004C3F21">
        <w:rPr>
          <w:rFonts w:ascii="Verdana" w:hAnsi="Verdana"/>
          <w:sz w:val="20"/>
          <w:szCs w:val="20"/>
        </w:rPr>
        <w:t>, en la cual declaró</w:t>
      </w:r>
      <w:r w:rsidR="00B97157" w:rsidRPr="004C3F21">
        <w:rPr>
          <w:rFonts w:ascii="Verdana" w:hAnsi="Verdana"/>
          <w:sz w:val="20"/>
          <w:szCs w:val="20"/>
        </w:rPr>
        <w:t>, entre otros,</w:t>
      </w:r>
      <w:r w:rsidR="00D72377" w:rsidRPr="004C3F21">
        <w:rPr>
          <w:rFonts w:ascii="Verdana" w:hAnsi="Verdana"/>
          <w:sz w:val="20"/>
          <w:szCs w:val="20"/>
        </w:rPr>
        <w:t xml:space="preserve"> el cumplimiento de las </w:t>
      </w:r>
      <w:r w:rsidR="007B0B68" w:rsidRPr="004C3F21">
        <w:rPr>
          <w:rFonts w:ascii="Verdana" w:hAnsi="Verdana"/>
          <w:sz w:val="20"/>
          <w:szCs w:val="20"/>
        </w:rPr>
        <w:t xml:space="preserve">garantías de no repetición </w:t>
      </w:r>
      <w:r w:rsidR="00B97157" w:rsidRPr="004C3F21">
        <w:rPr>
          <w:rFonts w:ascii="Verdana" w:hAnsi="Verdana"/>
          <w:sz w:val="20"/>
          <w:szCs w:val="20"/>
          <w:lang w:val="es-ES_tradnl"/>
        </w:rPr>
        <w:t xml:space="preserve">relativas a </w:t>
      </w:r>
      <w:r w:rsidR="00275362" w:rsidRPr="004C3F21">
        <w:rPr>
          <w:rFonts w:ascii="Verdana" w:hAnsi="Verdana"/>
          <w:sz w:val="20"/>
          <w:szCs w:val="20"/>
          <w:lang w:val="es-ES_tradnl"/>
        </w:rPr>
        <w:t xml:space="preserve">dejar sin efectos la prohibición de </w:t>
      </w:r>
      <w:r w:rsidR="00B97157" w:rsidRPr="004C3F21">
        <w:rPr>
          <w:rFonts w:ascii="Verdana" w:hAnsi="Verdana"/>
          <w:sz w:val="20"/>
          <w:szCs w:val="20"/>
          <w:lang w:val="es-ES_tradnl"/>
        </w:rPr>
        <w:t>la técnica FIV</w:t>
      </w:r>
      <w:r w:rsidR="000E044C" w:rsidRPr="004C3F21">
        <w:rPr>
          <w:rFonts w:ascii="Verdana" w:hAnsi="Verdana"/>
          <w:sz w:val="20"/>
          <w:szCs w:val="20"/>
          <w:lang w:val="es-ES_tradnl"/>
        </w:rPr>
        <w:t>, regular la misma</w:t>
      </w:r>
      <w:r w:rsidR="00B97157" w:rsidRPr="004C3F21">
        <w:rPr>
          <w:rFonts w:ascii="Verdana" w:hAnsi="Verdana"/>
          <w:sz w:val="20"/>
          <w:szCs w:val="20"/>
          <w:lang w:val="es-ES_tradnl"/>
        </w:rPr>
        <w:t xml:space="preserve"> y asegurar </w:t>
      </w:r>
      <w:r w:rsidR="007B0B68" w:rsidRPr="004C3F21">
        <w:rPr>
          <w:rFonts w:ascii="Verdana" w:hAnsi="Verdana"/>
          <w:sz w:val="20"/>
          <w:szCs w:val="20"/>
          <w:lang w:val="es-ES_tradnl"/>
        </w:rPr>
        <w:t xml:space="preserve">que </w:t>
      </w:r>
      <w:r w:rsidR="00B97157" w:rsidRPr="004C3F21">
        <w:rPr>
          <w:rFonts w:ascii="Verdana" w:hAnsi="Verdana"/>
          <w:sz w:val="20"/>
          <w:szCs w:val="20"/>
          <w:lang w:val="es-ES_tradnl"/>
        </w:rPr>
        <w:t>esté disponible dentro de los programas y tratamientos de infertilidad de la Caja Costarricense del Seguro Social (</w:t>
      </w:r>
      <w:r w:rsidR="00B97157" w:rsidRPr="004C3F21">
        <w:rPr>
          <w:rFonts w:ascii="Verdana" w:hAnsi="Verdana"/>
          <w:i/>
          <w:iCs/>
          <w:sz w:val="20"/>
          <w:szCs w:val="20"/>
          <w:lang w:val="es-ES_tradnl"/>
        </w:rPr>
        <w:t xml:space="preserve">supra </w:t>
      </w:r>
      <w:r w:rsidR="00B97157" w:rsidRPr="004C3F21">
        <w:rPr>
          <w:rFonts w:ascii="Verdana" w:hAnsi="Verdana"/>
          <w:sz w:val="20"/>
          <w:szCs w:val="20"/>
          <w:lang w:val="es-ES_tradnl"/>
        </w:rPr>
        <w:t xml:space="preserve">Visto </w:t>
      </w:r>
      <w:r w:rsidR="00912CFC" w:rsidRPr="004C3F21">
        <w:rPr>
          <w:rFonts w:ascii="Verdana" w:hAnsi="Verdana"/>
          <w:sz w:val="20"/>
          <w:szCs w:val="20"/>
          <w:lang w:val="es-ES_tradnl"/>
        </w:rPr>
        <w:t>5</w:t>
      </w:r>
      <w:r w:rsidR="00B97157" w:rsidRPr="004C3F21">
        <w:rPr>
          <w:rFonts w:ascii="Verdana" w:hAnsi="Verdana"/>
          <w:sz w:val="20"/>
          <w:szCs w:val="20"/>
          <w:lang w:val="es-ES_tradnl"/>
        </w:rPr>
        <w:t>)</w:t>
      </w:r>
      <w:r w:rsidR="00B97157" w:rsidRPr="004C3F21">
        <w:rPr>
          <w:rStyle w:val="Refdenotaalpie"/>
          <w:rFonts w:ascii="Verdana" w:hAnsi="Verdana"/>
          <w:sz w:val="20"/>
          <w:szCs w:val="20"/>
          <w:lang w:val="es-ES_tradnl"/>
        </w:rPr>
        <w:footnoteReference w:id="5"/>
      </w:r>
      <w:r w:rsidR="00B97157" w:rsidRPr="004C3F21">
        <w:rPr>
          <w:rFonts w:ascii="Verdana" w:hAnsi="Verdana"/>
          <w:sz w:val="20"/>
          <w:szCs w:val="20"/>
          <w:lang w:val="es-ES_tradnl"/>
        </w:rPr>
        <w:t>.</w:t>
      </w:r>
    </w:p>
    <w:p w14:paraId="164CE297" w14:textId="79814700" w:rsidR="0073115F" w:rsidRDefault="0073115F"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B97157">
        <w:rPr>
          <w:rFonts w:ascii="Verdana" w:hAnsi="Verdana"/>
          <w:sz w:val="20"/>
          <w:szCs w:val="20"/>
          <w:lang w:val="es-ES_tradnl"/>
        </w:rPr>
        <w:t>De conformidad con lo establecido en el artículo 68.1 de la Convención Americana</w:t>
      </w:r>
      <w:r w:rsidR="00061049">
        <w:rPr>
          <w:rFonts w:ascii="Verdana" w:hAnsi="Verdana"/>
          <w:sz w:val="20"/>
          <w:szCs w:val="20"/>
          <w:lang w:val="es-ES_tradnl"/>
        </w:rPr>
        <w:t xml:space="preserve"> sobre Derechos Humanos</w:t>
      </w:r>
      <w:r w:rsidRPr="00B97157">
        <w:rPr>
          <w:rFonts w:ascii="Verdana" w:hAnsi="Verdana"/>
          <w:sz w:val="20"/>
          <w:szCs w:val="20"/>
          <w:lang w:val="es-ES_tradnl"/>
        </w:rPr>
        <w:t>, “[l]os Estados Partes en la Convención se comprometen a cumplir la decisión de la Corte en todo caso en que sean partes”. Esta obligación incluye el deber del Estado de informar a la Corte sobre las medidas adoptadas para cumplir cada uno de los puntos ordenados, lo cual es fundamental para evaluar el estado de cumplimiento de la Sentencia en su conjunto</w:t>
      </w:r>
      <w:r>
        <w:rPr>
          <w:rStyle w:val="Refdenotaalpie"/>
          <w:rFonts w:ascii="Verdana" w:hAnsi="Verdana"/>
          <w:sz w:val="20"/>
          <w:szCs w:val="20"/>
          <w:lang w:val="es-ES_tradnl"/>
        </w:rPr>
        <w:footnoteReference w:id="6"/>
      </w:r>
      <w:r w:rsidRPr="00B97157">
        <w:rPr>
          <w:rFonts w:ascii="Verdana" w:hAnsi="Verdana"/>
          <w:sz w:val="20"/>
          <w:szCs w:val="20"/>
          <w:lang w:val="es-ES_tradnl"/>
        </w:rPr>
        <w:t>.</w:t>
      </w:r>
      <w:r w:rsidRPr="00B97157">
        <w:rPr>
          <w:rFonts w:ascii="Times New Roman" w:hAnsi="Times New Roman"/>
          <w:sz w:val="24"/>
          <w:szCs w:val="24"/>
          <w:lang w:val="es-ES_tradnl"/>
        </w:rPr>
        <w:t xml:space="preserve"> </w:t>
      </w:r>
      <w:r w:rsidRPr="00B97157">
        <w:rPr>
          <w:rFonts w:ascii="Verdana" w:hAnsi="Verdana"/>
          <w:sz w:val="20"/>
          <w:szCs w:val="20"/>
          <w:lang w:val="es-ES_tradnl"/>
        </w:rPr>
        <w:t>Los Estados Parte en la Convención deben garantizar el cumplimiento de las disposiciones convencionales y sus efectos propios (</w:t>
      </w:r>
      <w:proofErr w:type="spellStart"/>
      <w:r w:rsidRPr="00B97157">
        <w:rPr>
          <w:rFonts w:ascii="Verdana" w:hAnsi="Verdana"/>
          <w:i/>
          <w:sz w:val="20"/>
          <w:szCs w:val="20"/>
          <w:lang w:val="es-ES_tradnl"/>
        </w:rPr>
        <w:t>effet</w:t>
      </w:r>
      <w:proofErr w:type="spellEnd"/>
      <w:r w:rsidRPr="00B97157">
        <w:rPr>
          <w:rFonts w:ascii="Verdana" w:hAnsi="Verdana"/>
          <w:i/>
          <w:sz w:val="20"/>
          <w:szCs w:val="20"/>
          <w:lang w:val="es-ES_tradnl"/>
        </w:rPr>
        <w:t xml:space="preserve"> </w:t>
      </w:r>
      <w:proofErr w:type="spellStart"/>
      <w:r w:rsidRPr="00B97157">
        <w:rPr>
          <w:rFonts w:ascii="Verdana" w:hAnsi="Verdana"/>
          <w:i/>
          <w:sz w:val="20"/>
          <w:szCs w:val="20"/>
          <w:lang w:val="es-ES_tradnl"/>
        </w:rPr>
        <w:t>utile</w:t>
      </w:r>
      <w:proofErr w:type="spellEnd"/>
      <w:r w:rsidRPr="00B97157">
        <w:rPr>
          <w:rFonts w:ascii="Verdana" w:hAnsi="Verdana"/>
          <w:sz w:val="20"/>
          <w:szCs w:val="20"/>
          <w:lang w:val="es-ES_tradnl"/>
        </w:rPr>
        <w:t>) en el plano de sus respectivos derechos internos. Estas obligaciones deben ser interpretadas y aplicadas de manera que la garantía protegida sea verdaderamente práctica y eficaz, teniendo presente la naturaleza especial de los tratados de derechos humanos</w:t>
      </w:r>
      <w:r>
        <w:rPr>
          <w:rStyle w:val="Refdenotaalpie"/>
          <w:rFonts w:ascii="Verdana" w:hAnsi="Verdana"/>
          <w:sz w:val="20"/>
          <w:szCs w:val="20"/>
          <w:lang w:val="es-ES_tradnl"/>
        </w:rPr>
        <w:footnoteReference w:id="7"/>
      </w:r>
      <w:r w:rsidRPr="00B97157">
        <w:rPr>
          <w:rFonts w:ascii="Verdana" w:hAnsi="Verdana"/>
          <w:sz w:val="20"/>
          <w:szCs w:val="20"/>
          <w:lang w:val="es-ES_tradnl"/>
        </w:rPr>
        <w:t>.</w:t>
      </w:r>
    </w:p>
    <w:p w14:paraId="0378B50F" w14:textId="77777777" w:rsidR="008C4144" w:rsidRDefault="008C4144" w:rsidP="008C4144">
      <w:pPr>
        <w:pStyle w:val="Prrafodelista"/>
        <w:spacing w:before="120" w:after="120" w:line="240" w:lineRule="auto"/>
        <w:ind w:left="0"/>
        <w:contextualSpacing w:val="0"/>
        <w:jc w:val="both"/>
        <w:rPr>
          <w:rFonts w:ascii="Verdana" w:hAnsi="Verdana"/>
          <w:sz w:val="20"/>
          <w:szCs w:val="20"/>
          <w:lang w:val="es-ES_tradnl"/>
        </w:rPr>
      </w:pPr>
    </w:p>
    <w:p w14:paraId="48C6B5A6" w14:textId="77777777" w:rsidR="008C4144" w:rsidRDefault="008C4144" w:rsidP="008C4144">
      <w:pPr>
        <w:pStyle w:val="Prrafodelista"/>
        <w:spacing w:before="120" w:after="120" w:line="240" w:lineRule="auto"/>
        <w:ind w:left="0"/>
        <w:contextualSpacing w:val="0"/>
        <w:jc w:val="both"/>
        <w:rPr>
          <w:rFonts w:ascii="Verdana" w:hAnsi="Verdana"/>
          <w:sz w:val="20"/>
          <w:szCs w:val="20"/>
          <w:lang w:val="es-ES_tradnl"/>
        </w:rPr>
      </w:pPr>
    </w:p>
    <w:p w14:paraId="0A3379CC" w14:textId="77777777" w:rsidR="008C4144" w:rsidRPr="00B97157" w:rsidRDefault="008C4144" w:rsidP="008C4144">
      <w:pPr>
        <w:pStyle w:val="Prrafodelista"/>
        <w:spacing w:before="120" w:after="120" w:line="240" w:lineRule="auto"/>
        <w:ind w:left="0"/>
        <w:contextualSpacing w:val="0"/>
        <w:jc w:val="both"/>
        <w:rPr>
          <w:rFonts w:ascii="Verdana" w:hAnsi="Verdana"/>
          <w:sz w:val="20"/>
          <w:szCs w:val="20"/>
          <w:lang w:val="es-ES_tradnl"/>
        </w:rPr>
      </w:pPr>
    </w:p>
    <w:p w14:paraId="1E9D8869" w14:textId="24936FDE" w:rsidR="000D61D6" w:rsidRDefault="000A7181"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lastRenderedPageBreak/>
        <w:t xml:space="preserve">En la presente Resolución la Corte se pronunciará sobre </w:t>
      </w:r>
      <w:r w:rsidR="00D72377">
        <w:rPr>
          <w:rFonts w:ascii="Verdana" w:hAnsi="Verdana"/>
          <w:sz w:val="20"/>
          <w:szCs w:val="20"/>
          <w:lang w:val="es-ES_tradnl"/>
        </w:rPr>
        <w:t xml:space="preserve">las restantes </w:t>
      </w:r>
      <w:r>
        <w:rPr>
          <w:rFonts w:ascii="Verdana" w:hAnsi="Verdana"/>
          <w:sz w:val="20"/>
          <w:szCs w:val="20"/>
          <w:lang w:val="es-ES_tradnl"/>
        </w:rPr>
        <w:t xml:space="preserve">seis medidas de reparación </w:t>
      </w:r>
      <w:r w:rsidR="00D72377">
        <w:rPr>
          <w:rFonts w:ascii="Verdana" w:hAnsi="Verdana"/>
          <w:sz w:val="20"/>
          <w:szCs w:val="20"/>
          <w:lang w:val="es-ES_tradnl"/>
        </w:rPr>
        <w:t>homologadas en la Sentencia</w:t>
      </w:r>
      <w:r w:rsidR="00ED669B">
        <w:rPr>
          <w:rFonts w:ascii="Verdana" w:hAnsi="Verdana"/>
          <w:sz w:val="20"/>
          <w:szCs w:val="20"/>
          <w:lang w:val="es-ES_tradnl"/>
        </w:rPr>
        <w:t xml:space="preserve"> </w:t>
      </w:r>
      <w:r w:rsidR="00ED669B" w:rsidRPr="00B97157">
        <w:rPr>
          <w:rFonts w:ascii="Verdana" w:hAnsi="Verdana"/>
          <w:sz w:val="20"/>
          <w:szCs w:val="20"/>
        </w:rPr>
        <w:t>(</w:t>
      </w:r>
      <w:r w:rsidR="00ED669B" w:rsidRPr="00B97157">
        <w:rPr>
          <w:rFonts w:ascii="Verdana" w:hAnsi="Verdana"/>
          <w:i/>
          <w:iCs/>
          <w:sz w:val="20"/>
          <w:szCs w:val="20"/>
        </w:rPr>
        <w:t xml:space="preserve">infra </w:t>
      </w:r>
      <w:r w:rsidR="00ED669B" w:rsidRPr="00B97157">
        <w:rPr>
          <w:rFonts w:ascii="Verdana" w:hAnsi="Verdana"/>
          <w:sz w:val="20"/>
          <w:szCs w:val="20"/>
        </w:rPr>
        <w:t>Considerando</w:t>
      </w:r>
      <w:r w:rsidR="00ED669B">
        <w:rPr>
          <w:rFonts w:ascii="Verdana" w:hAnsi="Verdana"/>
          <w:sz w:val="20"/>
          <w:szCs w:val="20"/>
        </w:rPr>
        <w:t>s</w:t>
      </w:r>
      <w:r w:rsidR="00ED669B" w:rsidRPr="00B97157">
        <w:rPr>
          <w:rFonts w:ascii="Verdana" w:hAnsi="Verdana"/>
          <w:sz w:val="20"/>
          <w:szCs w:val="20"/>
        </w:rPr>
        <w:t xml:space="preserve"> </w:t>
      </w:r>
      <w:r w:rsidR="00ED669B">
        <w:rPr>
          <w:rFonts w:ascii="Verdana" w:hAnsi="Verdana"/>
          <w:sz w:val="20"/>
          <w:szCs w:val="20"/>
        </w:rPr>
        <w:t>4, 7, 17, 28 y 34</w:t>
      </w:r>
      <w:r w:rsidR="00ED669B" w:rsidRPr="00B97157">
        <w:rPr>
          <w:rFonts w:ascii="Verdana" w:hAnsi="Verdana"/>
          <w:sz w:val="20"/>
          <w:szCs w:val="20"/>
        </w:rPr>
        <w:t>)</w:t>
      </w:r>
      <w:r w:rsidR="00D72377">
        <w:rPr>
          <w:rFonts w:ascii="Verdana" w:hAnsi="Verdana"/>
          <w:sz w:val="20"/>
          <w:szCs w:val="20"/>
          <w:lang w:val="es-ES_tradnl"/>
        </w:rPr>
        <w:t xml:space="preserve">, para lo cual </w:t>
      </w:r>
      <w:r w:rsidR="00C87670" w:rsidRPr="009B212D">
        <w:rPr>
          <w:rFonts w:ascii="Verdana" w:hAnsi="Verdana"/>
          <w:sz w:val="20"/>
          <w:szCs w:val="20"/>
          <w:lang w:val="es-ES_tradnl"/>
        </w:rPr>
        <w:t xml:space="preserve">estructurará sus consideraciones de acuerdo al siguiente orden: </w:t>
      </w:r>
    </w:p>
    <w:p w14:paraId="751D278D" w14:textId="77777777" w:rsidR="00224E09" w:rsidRPr="009B212D" w:rsidRDefault="00224E09" w:rsidP="00224E09">
      <w:pPr>
        <w:pStyle w:val="Prrafodelista"/>
        <w:spacing w:before="120" w:after="120" w:line="240" w:lineRule="auto"/>
        <w:ind w:left="0"/>
        <w:contextualSpacing w:val="0"/>
        <w:jc w:val="both"/>
        <w:rPr>
          <w:rFonts w:ascii="Verdana" w:hAnsi="Verdana"/>
          <w:sz w:val="20"/>
          <w:szCs w:val="20"/>
          <w:lang w:val="es-ES_tradnl"/>
        </w:rPr>
      </w:pPr>
    </w:p>
    <w:p w14:paraId="1C86D78C" w14:textId="77777777" w:rsidR="00E534F6" w:rsidRPr="001454F8" w:rsidRDefault="00E534F6" w:rsidP="006634DD">
      <w:pPr>
        <w:pStyle w:val="TDC1"/>
        <w:spacing w:after="60" w:line="240" w:lineRule="auto"/>
        <w:ind w:left="425" w:right="335"/>
        <w:rPr>
          <w:noProof/>
          <w:sz w:val="17"/>
          <w:szCs w:val="17"/>
        </w:rPr>
      </w:pPr>
      <w:r w:rsidRPr="001454F8">
        <w:rPr>
          <w:sz w:val="20"/>
          <w:szCs w:val="20"/>
          <w:lang w:val="es-ES_tradnl"/>
        </w:rPr>
        <w:fldChar w:fldCharType="begin"/>
      </w:r>
      <w:r w:rsidRPr="001454F8">
        <w:rPr>
          <w:sz w:val="20"/>
          <w:szCs w:val="20"/>
          <w:lang w:val="es-ES_tradnl"/>
        </w:rPr>
        <w:instrText xml:space="preserve"> TOC \o "1-1" \h \z \u </w:instrText>
      </w:r>
      <w:r w:rsidRPr="001454F8">
        <w:rPr>
          <w:sz w:val="20"/>
          <w:szCs w:val="20"/>
          <w:lang w:val="es-ES_tradnl"/>
        </w:rPr>
        <w:fldChar w:fldCharType="separate"/>
      </w:r>
      <w:hyperlink w:anchor="_Toc21945227" w:history="1">
        <w:r w:rsidRPr="001454F8">
          <w:rPr>
            <w:rStyle w:val="Hipervnculo"/>
            <w:rFonts w:ascii="Verdana" w:hAnsi="Verdana"/>
            <w:i/>
            <w:iCs/>
            <w:noProof/>
            <w:sz w:val="17"/>
            <w:szCs w:val="17"/>
          </w:rPr>
          <w:t>A. Publicación y difusión de la Sentencia y del Acuerdo de solución amistosa</w:t>
        </w:r>
        <w:r w:rsidRPr="001454F8">
          <w:rPr>
            <w:noProof/>
            <w:webHidden/>
            <w:sz w:val="17"/>
            <w:szCs w:val="17"/>
          </w:rPr>
          <w:tab/>
        </w:r>
        <w:r w:rsidRPr="001454F8">
          <w:rPr>
            <w:noProof/>
            <w:webHidden/>
            <w:sz w:val="17"/>
            <w:szCs w:val="17"/>
          </w:rPr>
          <w:fldChar w:fldCharType="begin"/>
        </w:r>
        <w:r w:rsidRPr="001454F8">
          <w:rPr>
            <w:noProof/>
            <w:webHidden/>
            <w:sz w:val="17"/>
            <w:szCs w:val="17"/>
          </w:rPr>
          <w:instrText xml:space="preserve"> PAGEREF _Toc21945227 \h </w:instrText>
        </w:r>
        <w:r w:rsidRPr="001454F8">
          <w:rPr>
            <w:noProof/>
            <w:webHidden/>
            <w:sz w:val="17"/>
            <w:szCs w:val="17"/>
          </w:rPr>
        </w:r>
        <w:r w:rsidRPr="001454F8">
          <w:rPr>
            <w:noProof/>
            <w:webHidden/>
            <w:sz w:val="17"/>
            <w:szCs w:val="17"/>
          </w:rPr>
          <w:fldChar w:fldCharType="separate"/>
        </w:r>
        <w:r w:rsidR="00AD27D7">
          <w:rPr>
            <w:noProof/>
            <w:webHidden/>
            <w:sz w:val="17"/>
            <w:szCs w:val="17"/>
          </w:rPr>
          <w:t>3</w:t>
        </w:r>
        <w:r w:rsidRPr="001454F8">
          <w:rPr>
            <w:noProof/>
            <w:webHidden/>
            <w:sz w:val="17"/>
            <w:szCs w:val="17"/>
          </w:rPr>
          <w:fldChar w:fldCharType="end"/>
        </w:r>
      </w:hyperlink>
    </w:p>
    <w:p w14:paraId="7C07E08F" w14:textId="2139113E" w:rsidR="00E534F6" w:rsidRPr="001454F8" w:rsidRDefault="00FA717A" w:rsidP="006634DD">
      <w:pPr>
        <w:pStyle w:val="TDC1"/>
        <w:spacing w:after="60" w:line="240" w:lineRule="auto"/>
        <w:ind w:left="425" w:right="335"/>
        <w:rPr>
          <w:noProof/>
          <w:sz w:val="17"/>
          <w:szCs w:val="17"/>
        </w:rPr>
      </w:pPr>
      <w:hyperlink w:anchor="_Toc21945228" w:history="1">
        <w:r w:rsidR="00E534F6" w:rsidRPr="001454F8">
          <w:rPr>
            <w:rStyle w:val="Hipervnculo"/>
            <w:rFonts w:ascii="Verdana" w:hAnsi="Verdana"/>
            <w:i/>
            <w:iCs/>
            <w:noProof/>
            <w:sz w:val="17"/>
            <w:szCs w:val="17"/>
          </w:rPr>
          <w:t>B. Propiciar acercamientos a efecto de generar procesos de capacitación en derechos humanos para funcionarios estatales</w:t>
        </w:r>
        <w:r w:rsidR="00E534F6" w:rsidRPr="001454F8">
          <w:rPr>
            <w:noProof/>
            <w:webHidden/>
            <w:sz w:val="17"/>
            <w:szCs w:val="17"/>
          </w:rPr>
          <w:tab/>
        </w:r>
        <w:r w:rsidR="00E534F6" w:rsidRPr="001454F8">
          <w:rPr>
            <w:noProof/>
            <w:webHidden/>
            <w:sz w:val="17"/>
            <w:szCs w:val="17"/>
          </w:rPr>
          <w:fldChar w:fldCharType="begin"/>
        </w:r>
        <w:r w:rsidR="00E534F6" w:rsidRPr="001454F8">
          <w:rPr>
            <w:noProof/>
            <w:webHidden/>
            <w:sz w:val="17"/>
            <w:szCs w:val="17"/>
          </w:rPr>
          <w:instrText xml:space="preserve"> PAGEREF _Toc21945228 \h </w:instrText>
        </w:r>
        <w:r w:rsidR="00E534F6" w:rsidRPr="001454F8">
          <w:rPr>
            <w:noProof/>
            <w:webHidden/>
            <w:sz w:val="17"/>
            <w:szCs w:val="17"/>
          </w:rPr>
        </w:r>
        <w:r w:rsidR="00E534F6" w:rsidRPr="001454F8">
          <w:rPr>
            <w:noProof/>
            <w:webHidden/>
            <w:sz w:val="17"/>
            <w:szCs w:val="17"/>
          </w:rPr>
          <w:fldChar w:fldCharType="separate"/>
        </w:r>
        <w:r w:rsidR="00AD27D7">
          <w:rPr>
            <w:noProof/>
            <w:webHidden/>
            <w:sz w:val="17"/>
            <w:szCs w:val="17"/>
          </w:rPr>
          <w:t>4</w:t>
        </w:r>
        <w:r w:rsidR="00E534F6" w:rsidRPr="001454F8">
          <w:rPr>
            <w:noProof/>
            <w:webHidden/>
            <w:sz w:val="17"/>
            <w:szCs w:val="17"/>
          </w:rPr>
          <w:fldChar w:fldCharType="end"/>
        </w:r>
      </w:hyperlink>
    </w:p>
    <w:p w14:paraId="553ED1D2" w14:textId="77777777" w:rsidR="00E534F6" w:rsidRPr="001454F8" w:rsidRDefault="00FA717A" w:rsidP="006634DD">
      <w:pPr>
        <w:pStyle w:val="TDC1"/>
        <w:spacing w:after="60" w:line="240" w:lineRule="auto"/>
        <w:ind w:left="425" w:right="335"/>
        <w:rPr>
          <w:noProof/>
          <w:sz w:val="17"/>
          <w:szCs w:val="17"/>
        </w:rPr>
      </w:pPr>
      <w:hyperlink w:anchor="_Toc21945229" w:history="1">
        <w:r w:rsidR="00E534F6" w:rsidRPr="001454F8">
          <w:rPr>
            <w:rStyle w:val="Hipervnculo"/>
            <w:rFonts w:ascii="Verdana" w:hAnsi="Verdana"/>
            <w:i/>
            <w:iCs/>
            <w:noProof/>
            <w:sz w:val="17"/>
            <w:szCs w:val="17"/>
          </w:rPr>
          <w:t>C.</w:t>
        </w:r>
        <w:r w:rsidR="00E534F6" w:rsidRPr="001454F8">
          <w:rPr>
            <w:noProof/>
            <w:sz w:val="17"/>
            <w:szCs w:val="17"/>
          </w:rPr>
          <w:tab/>
          <w:t xml:space="preserve"> </w:t>
        </w:r>
        <w:r w:rsidR="00E534F6" w:rsidRPr="001454F8">
          <w:rPr>
            <w:rStyle w:val="Hipervnculo"/>
            <w:rFonts w:ascii="Verdana" w:hAnsi="Verdana"/>
            <w:i/>
            <w:iCs/>
            <w:noProof/>
            <w:sz w:val="17"/>
            <w:szCs w:val="17"/>
          </w:rPr>
          <w:t>Fortalecer los programas educativos dirigidos a propiciar una formación en derechos humanos</w:t>
        </w:r>
        <w:r w:rsidR="00E534F6" w:rsidRPr="001454F8">
          <w:rPr>
            <w:noProof/>
            <w:webHidden/>
            <w:sz w:val="17"/>
            <w:szCs w:val="17"/>
          </w:rPr>
          <w:tab/>
        </w:r>
        <w:r w:rsidR="00E534F6" w:rsidRPr="001454F8">
          <w:rPr>
            <w:noProof/>
            <w:webHidden/>
            <w:sz w:val="17"/>
            <w:szCs w:val="17"/>
          </w:rPr>
          <w:fldChar w:fldCharType="begin"/>
        </w:r>
        <w:r w:rsidR="00E534F6" w:rsidRPr="001454F8">
          <w:rPr>
            <w:noProof/>
            <w:webHidden/>
            <w:sz w:val="17"/>
            <w:szCs w:val="17"/>
          </w:rPr>
          <w:instrText xml:space="preserve"> PAGEREF _Toc21945229 \h </w:instrText>
        </w:r>
        <w:r w:rsidR="00E534F6" w:rsidRPr="001454F8">
          <w:rPr>
            <w:noProof/>
            <w:webHidden/>
            <w:sz w:val="17"/>
            <w:szCs w:val="17"/>
          </w:rPr>
        </w:r>
        <w:r w:rsidR="00E534F6" w:rsidRPr="001454F8">
          <w:rPr>
            <w:noProof/>
            <w:webHidden/>
            <w:sz w:val="17"/>
            <w:szCs w:val="17"/>
          </w:rPr>
          <w:fldChar w:fldCharType="separate"/>
        </w:r>
        <w:r w:rsidR="00AD27D7">
          <w:rPr>
            <w:noProof/>
            <w:webHidden/>
            <w:sz w:val="17"/>
            <w:szCs w:val="17"/>
          </w:rPr>
          <w:t>7</w:t>
        </w:r>
        <w:r w:rsidR="00E534F6" w:rsidRPr="001454F8">
          <w:rPr>
            <w:noProof/>
            <w:webHidden/>
            <w:sz w:val="17"/>
            <w:szCs w:val="17"/>
          </w:rPr>
          <w:fldChar w:fldCharType="end"/>
        </w:r>
      </w:hyperlink>
    </w:p>
    <w:p w14:paraId="66045980" w14:textId="77777777" w:rsidR="00E534F6" w:rsidRPr="001454F8" w:rsidRDefault="00FA717A" w:rsidP="006634DD">
      <w:pPr>
        <w:pStyle w:val="TDC1"/>
        <w:spacing w:after="60" w:line="240" w:lineRule="auto"/>
        <w:ind w:left="425" w:right="335"/>
        <w:rPr>
          <w:noProof/>
          <w:sz w:val="17"/>
          <w:szCs w:val="17"/>
        </w:rPr>
      </w:pPr>
      <w:hyperlink w:anchor="_Toc21945230" w:history="1">
        <w:r w:rsidR="00E534F6" w:rsidRPr="001454F8">
          <w:rPr>
            <w:rStyle w:val="Hipervnculo"/>
            <w:rFonts w:ascii="Verdana" w:hAnsi="Verdana"/>
            <w:i/>
            <w:iCs/>
            <w:noProof/>
            <w:sz w:val="17"/>
            <w:szCs w:val="17"/>
          </w:rPr>
          <w:t>D.</w:t>
        </w:r>
        <w:r w:rsidR="00E534F6" w:rsidRPr="001454F8">
          <w:rPr>
            <w:noProof/>
            <w:sz w:val="17"/>
            <w:szCs w:val="17"/>
          </w:rPr>
          <w:tab/>
        </w:r>
        <w:r w:rsidR="00E534F6" w:rsidRPr="001454F8">
          <w:rPr>
            <w:rStyle w:val="Hipervnculo"/>
            <w:rFonts w:ascii="Verdana" w:hAnsi="Verdana"/>
            <w:i/>
            <w:iCs/>
            <w:noProof/>
            <w:sz w:val="17"/>
            <w:szCs w:val="17"/>
          </w:rPr>
          <w:t>Iniciar una discusión amplia y participativa acerca de la maternidad por subrogación</w:t>
        </w:r>
        <w:r w:rsidR="00E534F6" w:rsidRPr="001454F8">
          <w:rPr>
            <w:noProof/>
            <w:webHidden/>
            <w:sz w:val="17"/>
            <w:szCs w:val="17"/>
          </w:rPr>
          <w:tab/>
        </w:r>
        <w:r w:rsidR="00E534F6" w:rsidRPr="001454F8">
          <w:rPr>
            <w:noProof/>
            <w:webHidden/>
            <w:sz w:val="17"/>
            <w:szCs w:val="17"/>
          </w:rPr>
          <w:fldChar w:fldCharType="begin"/>
        </w:r>
        <w:r w:rsidR="00E534F6" w:rsidRPr="001454F8">
          <w:rPr>
            <w:noProof/>
            <w:webHidden/>
            <w:sz w:val="17"/>
            <w:szCs w:val="17"/>
          </w:rPr>
          <w:instrText xml:space="preserve"> PAGEREF _Toc21945230 \h </w:instrText>
        </w:r>
        <w:r w:rsidR="00E534F6" w:rsidRPr="001454F8">
          <w:rPr>
            <w:noProof/>
            <w:webHidden/>
            <w:sz w:val="17"/>
            <w:szCs w:val="17"/>
          </w:rPr>
        </w:r>
        <w:r w:rsidR="00E534F6" w:rsidRPr="001454F8">
          <w:rPr>
            <w:noProof/>
            <w:webHidden/>
            <w:sz w:val="17"/>
            <w:szCs w:val="17"/>
          </w:rPr>
          <w:fldChar w:fldCharType="separate"/>
        </w:r>
        <w:r w:rsidR="00AD27D7">
          <w:rPr>
            <w:noProof/>
            <w:webHidden/>
            <w:sz w:val="17"/>
            <w:szCs w:val="17"/>
          </w:rPr>
          <w:t>9</w:t>
        </w:r>
        <w:r w:rsidR="00E534F6" w:rsidRPr="001454F8">
          <w:rPr>
            <w:noProof/>
            <w:webHidden/>
            <w:sz w:val="17"/>
            <w:szCs w:val="17"/>
          </w:rPr>
          <w:fldChar w:fldCharType="end"/>
        </w:r>
      </w:hyperlink>
    </w:p>
    <w:p w14:paraId="4FEA7923" w14:textId="77777777" w:rsidR="00E534F6" w:rsidRPr="001454F8" w:rsidRDefault="00FA717A" w:rsidP="006634DD">
      <w:pPr>
        <w:pStyle w:val="TDC1"/>
        <w:spacing w:after="60" w:line="240" w:lineRule="auto"/>
        <w:ind w:left="425" w:right="335"/>
        <w:rPr>
          <w:noProof/>
          <w:sz w:val="17"/>
          <w:szCs w:val="17"/>
        </w:rPr>
      </w:pPr>
      <w:hyperlink w:anchor="_Toc21945231" w:history="1">
        <w:r w:rsidR="00E534F6" w:rsidRPr="001454F8">
          <w:rPr>
            <w:rStyle w:val="Hipervnculo"/>
            <w:rFonts w:ascii="Verdana" w:hAnsi="Verdana"/>
            <w:i/>
            <w:iCs/>
            <w:noProof/>
            <w:sz w:val="17"/>
            <w:szCs w:val="17"/>
          </w:rPr>
          <w:t>E.</w:t>
        </w:r>
        <w:r w:rsidR="00E534F6" w:rsidRPr="001454F8">
          <w:rPr>
            <w:noProof/>
            <w:sz w:val="17"/>
            <w:szCs w:val="17"/>
          </w:rPr>
          <w:tab/>
        </w:r>
        <w:r w:rsidR="00E534F6" w:rsidRPr="001454F8">
          <w:rPr>
            <w:rStyle w:val="Hipervnculo"/>
            <w:rFonts w:ascii="Verdana" w:hAnsi="Verdana"/>
            <w:i/>
            <w:iCs/>
            <w:noProof/>
            <w:sz w:val="17"/>
            <w:szCs w:val="17"/>
          </w:rPr>
          <w:t>Indemnizaciones por daño material e inmaterial y reintegro de costas y gastos</w:t>
        </w:r>
        <w:r w:rsidR="00E534F6" w:rsidRPr="001454F8">
          <w:rPr>
            <w:noProof/>
            <w:webHidden/>
            <w:sz w:val="17"/>
            <w:szCs w:val="17"/>
          </w:rPr>
          <w:tab/>
        </w:r>
        <w:r w:rsidR="00E534F6" w:rsidRPr="001454F8">
          <w:rPr>
            <w:noProof/>
            <w:webHidden/>
            <w:sz w:val="17"/>
            <w:szCs w:val="17"/>
          </w:rPr>
          <w:fldChar w:fldCharType="begin"/>
        </w:r>
        <w:r w:rsidR="00E534F6" w:rsidRPr="001454F8">
          <w:rPr>
            <w:noProof/>
            <w:webHidden/>
            <w:sz w:val="17"/>
            <w:szCs w:val="17"/>
          </w:rPr>
          <w:instrText xml:space="preserve"> PAGEREF _Toc21945231 \h </w:instrText>
        </w:r>
        <w:r w:rsidR="00E534F6" w:rsidRPr="001454F8">
          <w:rPr>
            <w:noProof/>
            <w:webHidden/>
            <w:sz w:val="17"/>
            <w:szCs w:val="17"/>
          </w:rPr>
        </w:r>
        <w:r w:rsidR="00E534F6" w:rsidRPr="001454F8">
          <w:rPr>
            <w:noProof/>
            <w:webHidden/>
            <w:sz w:val="17"/>
            <w:szCs w:val="17"/>
          </w:rPr>
          <w:fldChar w:fldCharType="separate"/>
        </w:r>
        <w:r w:rsidR="00AD27D7">
          <w:rPr>
            <w:noProof/>
            <w:webHidden/>
            <w:sz w:val="17"/>
            <w:szCs w:val="17"/>
          </w:rPr>
          <w:t>10</w:t>
        </w:r>
        <w:r w:rsidR="00E534F6" w:rsidRPr="001454F8">
          <w:rPr>
            <w:noProof/>
            <w:webHidden/>
            <w:sz w:val="17"/>
            <w:szCs w:val="17"/>
          </w:rPr>
          <w:fldChar w:fldCharType="end"/>
        </w:r>
      </w:hyperlink>
    </w:p>
    <w:p w14:paraId="7136144B" w14:textId="77777777" w:rsidR="00C87670" w:rsidRDefault="00E534F6" w:rsidP="006634DD">
      <w:pPr>
        <w:pStyle w:val="Prrafodelista"/>
        <w:spacing w:before="120" w:after="120" w:line="240" w:lineRule="auto"/>
        <w:ind w:left="0"/>
        <w:contextualSpacing w:val="0"/>
        <w:jc w:val="both"/>
        <w:rPr>
          <w:rFonts w:ascii="Verdana" w:hAnsi="Verdana"/>
          <w:sz w:val="20"/>
          <w:szCs w:val="20"/>
          <w:lang w:val="es-ES_tradnl"/>
        </w:rPr>
      </w:pPr>
      <w:r w:rsidRPr="001454F8">
        <w:rPr>
          <w:rFonts w:ascii="Verdana" w:hAnsi="Verdana"/>
          <w:sz w:val="20"/>
          <w:szCs w:val="20"/>
          <w:lang w:val="es-ES_tradnl"/>
        </w:rPr>
        <w:fldChar w:fldCharType="end"/>
      </w:r>
    </w:p>
    <w:p w14:paraId="42B5869E" w14:textId="77777777" w:rsidR="0064755E" w:rsidRPr="002D2C35" w:rsidRDefault="00BD2681" w:rsidP="006634DD">
      <w:pPr>
        <w:pStyle w:val="Prrafodelista"/>
        <w:numPr>
          <w:ilvl w:val="0"/>
          <w:numId w:val="8"/>
        </w:numPr>
        <w:spacing w:before="120" w:after="120" w:line="240" w:lineRule="auto"/>
        <w:contextualSpacing w:val="0"/>
        <w:jc w:val="both"/>
        <w:outlineLvl w:val="0"/>
        <w:rPr>
          <w:rStyle w:val="nfasissutil"/>
          <w:rFonts w:ascii="Verdana" w:hAnsi="Verdana"/>
          <w:b/>
          <w:color w:val="000000" w:themeColor="text1"/>
          <w:sz w:val="20"/>
          <w:szCs w:val="20"/>
        </w:rPr>
      </w:pPr>
      <w:bookmarkStart w:id="2" w:name="_Toc21945227"/>
      <w:bookmarkStart w:id="3" w:name="primera_reparación"/>
      <w:r>
        <w:rPr>
          <w:rStyle w:val="nfasissutil"/>
          <w:rFonts w:ascii="Verdana" w:hAnsi="Verdana"/>
          <w:b/>
          <w:color w:val="000000" w:themeColor="text1"/>
          <w:sz w:val="20"/>
          <w:szCs w:val="20"/>
        </w:rPr>
        <w:t>P</w:t>
      </w:r>
      <w:r w:rsidR="00A35C11" w:rsidRPr="002D2C35">
        <w:rPr>
          <w:rStyle w:val="nfasissutil"/>
          <w:rFonts w:ascii="Verdana" w:hAnsi="Verdana"/>
          <w:b/>
          <w:color w:val="000000" w:themeColor="text1"/>
          <w:sz w:val="20"/>
          <w:szCs w:val="20"/>
        </w:rPr>
        <w:t>ublicaci</w:t>
      </w:r>
      <w:r>
        <w:rPr>
          <w:rStyle w:val="nfasissutil"/>
          <w:rFonts w:ascii="Verdana" w:hAnsi="Verdana"/>
          <w:b/>
          <w:color w:val="000000" w:themeColor="text1"/>
          <w:sz w:val="20"/>
          <w:szCs w:val="20"/>
        </w:rPr>
        <w:t>ón y difusión</w:t>
      </w:r>
      <w:r w:rsidR="00A35C11" w:rsidRPr="002D2C35">
        <w:rPr>
          <w:rStyle w:val="nfasissutil"/>
          <w:rFonts w:ascii="Verdana" w:hAnsi="Verdana"/>
          <w:b/>
          <w:color w:val="000000" w:themeColor="text1"/>
          <w:sz w:val="20"/>
          <w:szCs w:val="20"/>
        </w:rPr>
        <w:t xml:space="preserve"> de la Sentencia y</w:t>
      </w:r>
      <w:r>
        <w:rPr>
          <w:rStyle w:val="nfasissutil"/>
          <w:rFonts w:ascii="Verdana" w:hAnsi="Verdana"/>
          <w:b/>
          <w:color w:val="000000" w:themeColor="text1"/>
          <w:sz w:val="20"/>
          <w:szCs w:val="20"/>
        </w:rPr>
        <w:t xml:space="preserve"> del</w:t>
      </w:r>
      <w:r w:rsidR="00A35C11" w:rsidRPr="002D2C35">
        <w:rPr>
          <w:rStyle w:val="nfasissutil"/>
          <w:rFonts w:ascii="Verdana" w:hAnsi="Verdana"/>
          <w:b/>
          <w:color w:val="000000" w:themeColor="text1"/>
          <w:sz w:val="20"/>
          <w:szCs w:val="20"/>
        </w:rPr>
        <w:t xml:space="preserve"> Acuerdo de solución amistosa</w:t>
      </w:r>
      <w:bookmarkEnd w:id="2"/>
    </w:p>
    <w:bookmarkEnd w:id="3"/>
    <w:p w14:paraId="48FA4187" w14:textId="77777777" w:rsidR="00A35C11" w:rsidRPr="0064755E" w:rsidRDefault="00F15B76" w:rsidP="006634DD">
      <w:pPr>
        <w:pStyle w:val="Prrafodelista"/>
        <w:spacing w:before="120" w:after="120" w:line="240" w:lineRule="auto"/>
        <w:ind w:left="1068"/>
        <w:contextualSpacing w:val="0"/>
        <w:jc w:val="both"/>
        <w:rPr>
          <w:rFonts w:ascii="Verdana" w:hAnsi="Verdana"/>
          <w:b/>
          <w:i/>
          <w:sz w:val="20"/>
          <w:szCs w:val="20"/>
          <w:lang w:val="es-ES_tradnl"/>
        </w:rPr>
      </w:pPr>
      <w:r w:rsidRPr="0064755E">
        <w:rPr>
          <w:rFonts w:ascii="Verdana" w:hAnsi="Verdana"/>
          <w:i/>
          <w:sz w:val="20"/>
          <w:szCs w:val="20"/>
          <w:lang w:val="es-ES_tradnl"/>
        </w:rPr>
        <w:t>A.1. Medida ordenada por la Corte</w:t>
      </w:r>
    </w:p>
    <w:p w14:paraId="43B0A19F" w14:textId="58E0A0B5" w:rsidR="00C87670" w:rsidRPr="00BD2681" w:rsidRDefault="00F15B76"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 xml:space="preserve">En el punto </w:t>
      </w:r>
      <w:r w:rsidR="000E2096">
        <w:rPr>
          <w:rFonts w:ascii="Verdana" w:hAnsi="Verdana"/>
          <w:sz w:val="20"/>
          <w:szCs w:val="20"/>
          <w:lang w:val="es-ES_tradnl"/>
        </w:rPr>
        <w:t>resolutivo</w:t>
      </w:r>
      <w:r>
        <w:rPr>
          <w:rFonts w:ascii="Verdana" w:hAnsi="Verdana"/>
          <w:sz w:val="20"/>
          <w:szCs w:val="20"/>
          <w:lang w:val="es-ES_tradnl"/>
        </w:rPr>
        <w:t xml:space="preserve"> sexto, literal </w:t>
      </w:r>
      <w:r w:rsidR="00345719">
        <w:rPr>
          <w:rFonts w:ascii="Verdana" w:hAnsi="Verdana"/>
          <w:sz w:val="20"/>
          <w:szCs w:val="20"/>
          <w:lang w:val="es-ES_tradnl"/>
        </w:rPr>
        <w:t>a)</w:t>
      </w:r>
      <w:r w:rsidR="00BD2681">
        <w:rPr>
          <w:rFonts w:ascii="Verdana" w:hAnsi="Verdana"/>
          <w:sz w:val="20"/>
          <w:szCs w:val="20"/>
          <w:lang w:val="es-ES_tradnl"/>
        </w:rPr>
        <w:t xml:space="preserve"> y en los párrafos 51 y 52 de la Sentencia, la Corte </w:t>
      </w:r>
      <w:r w:rsidR="00960870">
        <w:rPr>
          <w:rFonts w:ascii="Verdana" w:hAnsi="Verdana"/>
          <w:sz w:val="20"/>
          <w:szCs w:val="20"/>
          <w:lang w:val="es-ES_tradnl"/>
        </w:rPr>
        <w:t>homologó</w:t>
      </w:r>
      <w:r w:rsidR="00BD2681">
        <w:rPr>
          <w:rFonts w:ascii="Verdana" w:hAnsi="Verdana"/>
          <w:sz w:val="20"/>
          <w:szCs w:val="20"/>
          <w:lang w:val="es-ES_tradnl"/>
        </w:rPr>
        <w:t xml:space="preserve"> que el Estado debe realizar “‘la publicación </w:t>
      </w:r>
      <w:r w:rsidR="00F46055" w:rsidRPr="00BD2681">
        <w:rPr>
          <w:rFonts w:ascii="Verdana" w:hAnsi="Verdana"/>
          <w:sz w:val="20"/>
          <w:szCs w:val="20"/>
          <w:lang w:val="es-ES_tradnl"/>
        </w:rPr>
        <w:t>integra</w:t>
      </w:r>
      <w:r w:rsidR="00BD2681">
        <w:rPr>
          <w:rFonts w:ascii="Verdana" w:hAnsi="Verdana"/>
          <w:sz w:val="20"/>
          <w:szCs w:val="20"/>
          <w:lang w:val="es-ES_tradnl"/>
        </w:rPr>
        <w:t>l</w:t>
      </w:r>
      <w:r w:rsidR="00F46055" w:rsidRPr="00BD2681">
        <w:rPr>
          <w:rFonts w:ascii="Verdana" w:hAnsi="Verdana"/>
          <w:sz w:val="20"/>
          <w:szCs w:val="20"/>
          <w:lang w:val="es-ES_tradnl"/>
        </w:rPr>
        <w:t xml:space="preserve"> </w:t>
      </w:r>
      <w:proofErr w:type="gramStart"/>
      <w:r w:rsidR="00F46055" w:rsidRPr="00BD2681">
        <w:rPr>
          <w:rFonts w:ascii="Verdana" w:hAnsi="Verdana"/>
          <w:sz w:val="20"/>
          <w:szCs w:val="20"/>
          <w:lang w:val="es-ES_tradnl"/>
        </w:rPr>
        <w:t>de[</w:t>
      </w:r>
      <w:proofErr w:type="gramEnd"/>
      <w:r w:rsidR="00F46055" w:rsidRPr="00BD2681">
        <w:rPr>
          <w:rFonts w:ascii="Verdana" w:hAnsi="Verdana"/>
          <w:sz w:val="20"/>
          <w:szCs w:val="20"/>
          <w:lang w:val="es-ES_tradnl"/>
        </w:rPr>
        <w:t>l</w:t>
      </w:r>
      <w:r w:rsidR="00340482">
        <w:rPr>
          <w:rFonts w:ascii="Verdana" w:hAnsi="Verdana"/>
          <w:sz w:val="20"/>
          <w:szCs w:val="20"/>
          <w:lang w:val="es-ES_tradnl"/>
        </w:rPr>
        <w:t xml:space="preserve"> </w:t>
      </w:r>
      <w:r w:rsidR="00F46055" w:rsidRPr="00BD2681">
        <w:rPr>
          <w:rFonts w:ascii="Verdana" w:hAnsi="Verdana"/>
          <w:sz w:val="20"/>
          <w:szCs w:val="20"/>
          <w:lang w:val="es-ES_tradnl"/>
        </w:rPr>
        <w:t>…]</w:t>
      </w:r>
      <w:r w:rsidRPr="00BD2681">
        <w:rPr>
          <w:rFonts w:ascii="Verdana" w:hAnsi="Verdana"/>
          <w:sz w:val="20"/>
          <w:szCs w:val="20"/>
          <w:lang w:val="es-ES_tradnl"/>
        </w:rPr>
        <w:t xml:space="preserve"> arreglo amistoso, así como de la resolución de homologaci</w:t>
      </w:r>
      <w:r w:rsidR="00F46055" w:rsidRPr="00BD2681">
        <w:rPr>
          <w:rFonts w:ascii="Verdana" w:hAnsi="Verdana"/>
          <w:sz w:val="20"/>
          <w:szCs w:val="20"/>
          <w:lang w:val="es-ES_tradnl"/>
        </w:rPr>
        <w:t>ón que dicte la […] Corte</w:t>
      </w:r>
      <w:r w:rsidR="00BD2681">
        <w:rPr>
          <w:rFonts w:ascii="Verdana" w:hAnsi="Verdana"/>
          <w:sz w:val="20"/>
          <w:szCs w:val="20"/>
          <w:lang w:val="es-ES_tradnl"/>
        </w:rPr>
        <w:t>,</w:t>
      </w:r>
      <w:r w:rsidR="00F46055" w:rsidRPr="00BD2681">
        <w:rPr>
          <w:rFonts w:ascii="Verdana" w:hAnsi="Verdana"/>
          <w:sz w:val="20"/>
          <w:szCs w:val="20"/>
          <w:lang w:val="es-ES_tradnl"/>
        </w:rPr>
        <w:t xml:space="preserve"> en un plazo máximo de tres meses a partir de la homologación de[l…] acuerdo</w:t>
      </w:r>
      <w:r w:rsidR="00BD2681">
        <w:rPr>
          <w:rFonts w:ascii="Verdana" w:hAnsi="Verdana"/>
          <w:sz w:val="20"/>
          <w:szCs w:val="20"/>
          <w:lang w:val="es-ES_tradnl"/>
        </w:rPr>
        <w:t>’</w:t>
      </w:r>
      <w:r w:rsidR="00F46055" w:rsidRPr="00BD2681">
        <w:rPr>
          <w:rFonts w:ascii="Verdana" w:hAnsi="Verdana"/>
          <w:sz w:val="20"/>
          <w:szCs w:val="20"/>
          <w:lang w:val="es-ES_tradnl"/>
        </w:rPr>
        <w:t>”</w:t>
      </w:r>
      <w:r w:rsidR="00BD2681">
        <w:rPr>
          <w:rFonts w:ascii="Verdana" w:hAnsi="Verdana"/>
          <w:sz w:val="20"/>
          <w:szCs w:val="20"/>
          <w:lang w:val="es-ES_tradnl"/>
        </w:rPr>
        <w:t>. Asimismo, “se estipuló que ‘</w:t>
      </w:r>
      <w:r w:rsidR="00F46055" w:rsidRPr="00BD2681">
        <w:rPr>
          <w:rFonts w:ascii="Verdana" w:hAnsi="Verdana"/>
          <w:sz w:val="20"/>
          <w:szCs w:val="20"/>
          <w:lang w:val="es-ES_tradnl"/>
        </w:rPr>
        <w:t>[d]</w:t>
      </w:r>
      <w:proofErr w:type="spellStart"/>
      <w:r w:rsidR="00F46055" w:rsidRPr="00BD2681">
        <w:rPr>
          <w:rFonts w:ascii="Verdana" w:hAnsi="Verdana"/>
          <w:sz w:val="20"/>
          <w:szCs w:val="20"/>
          <w:lang w:val="es-ES_tradnl"/>
        </w:rPr>
        <w:t>icha</w:t>
      </w:r>
      <w:proofErr w:type="spellEnd"/>
      <w:r w:rsidR="00F46055" w:rsidRPr="00BD2681">
        <w:rPr>
          <w:rFonts w:ascii="Verdana" w:hAnsi="Verdana"/>
          <w:sz w:val="20"/>
          <w:szCs w:val="20"/>
          <w:lang w:val="es-ES_tradnl"/>
        </w:rPr>
        <w:t xml:space="preserve"> publicación </w:t>
      </w:r>
      <w:r w:rsidR="00BD2681">
        <w:rPr>
          <w:rFonts w:ascii="Verdana" w:hAnsi="Verdana"/>
          <w:sz w:val="20"/>
          <w:szCs w:val="20"/>
          <w:lang w:val="es-ES_tradnl"/>
        </w:rPr>
        <w:t>deberá ocurrir</w:t>
      </w:r>
      <w:r w:rsidR="00F46055" w:rsidRPr="00BD2681">
        <w:rPr>
          <w:rFonts w:ascii="Verdana" w:hAnsi="Verdana"/>
          <w:sz w:val="20"/>
          <w:szCs w:val="20"/>
          <w:lang w:val="es-ES_tradnl"/>
        </w:rPr>
        <w:t xml:space="preserve"> en el diario oficial La Gaceta así como en las páginas Web de la Presidencia de la República y del Ministerio de Relaciones Exteriores y Culto de Costa Rica</w:t>
      </w:r>
      <w:r w:rsidR="00BD2681">
        <w:rPr>
          <w:rFonts w:ascii="Verdana" w:hAnsi="Verdana"/>
          <w:sz w:val="20"/>
          <w:szCs w:val="20"/>
          <w:lang w:val="es-ES_tradnl"/>
        </w:rPr>
        <w:t>’</w:t>
      </w:r>
      <w:r w:rsidR="00F46055" w:rsidRPr="00BD2681">
        <w:rPr>
          <w:rFonts w:ascii="Verdana" w:hAnsi="Verdana"/>
          <w:sz w:val="20"/>
          <w:szCs w:val="20"/>
          <w:lang w:val="es-ES_tradnl"/>
        </w:rPr>
        <w:t xml:space="preserve">”. </w:t>
      </w:r>
      <w:r w:rsidR="003849EE">
        <w:rPr>
          <w:rFonts w:ascii="Verdana" w:hAnsi="Verdana"/>
          <w:sz w:val="20"/>
          <w:szCs w:val="20"/>
          <w:lang w:val="es-ES_tradnl"/>
        </w:rPr>
        <w:t>También dispuso que “el Estado deberá informar de forma inmediata a esta Corte una vez que proceda a realizar cada una de las publicaciones dispuestas”.</w:t>
      </w:r>
    </w:p>
    <w:p w14:paraId="6A3538D6" w14:textId="77777777" w:rsidR="005A7917" w:rsidRPr="005A7917" w:rsidRDefault="005A7917" w:rsidP="006634DD">
      <w:pPr>
        <w:pStyle w:val="Prrafodelista"/>
        <w:spacing w:before="120" w:after="120" w:line="240" w:lineRule="auto"/>
        <w:ind w:left="708"/>
        <w:contextualSpacing w:val="0"/>
        <w:jc w:val="both"/>
        <w:rPr>
          <w:rFonts w:ascii="Verdana" w:hAnsi="Verdana"/>
          <w:i/>
          <w:sz w:val="20"/>
          <w:szCs w:val="20"/>
          <w:lang w:val="es-ES_tradnl"/>
        </w:rPr>
      </w:pPr>
      <w:r>
        <w:rPr>
          <w:rFonts w:ascii="Verdana" w:hAnsi="Verdana"/>
          <w:i/>
          <w:sz w:val="20"/>
          <w:szCs w:val="20"/>
          <w:lang w:val="es-ES_tradnl"/>
        </w:rPr>
        <w:t>A.2. Consideraciones de la Corte</w:t>
      </w:r>
    </w:p>
    <w:p w14:paraId="1D2F4904" w14:textId="1E30189F" w:rsidR="00060D55" w:rsidRDefault="00345719" w:rsidP="00B10CB3">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A30ABF">
        <w:rPr>
          <w:rFonts w:ascii="Verdana" w:hAnsi="Verdana"/>
          <w:sz w:val="20"/>
          <w:szCs w:val="20"/>
          <w:lang w:val="es-ES_tradnl"/>
        </w:rPr>
        <w:t>Con base en</w:t>
      </w:r>
      <w:r w:rsidR="00685B46">
        <w:rPr>
          <w:rFonts w:ascii="Verdana" w:hAnsi="Verdana"/>
          <w:sz w:val="20"/>
          <w:szCs w:val="20"/>
          <w:lang w:val="es-ES_tradnl"/>
        </w:rPr>
        <w:t xml:space="preserve"> la información y comprobantes</w:t>
      </w:r>
      <w:r w:rsidRPr="00A30ABF">
        <w:rPr>
          <w:rFonts w:ascii="Verdana" w:hAnsi="Verdana"/>
          <w:sz w:val="20"/>
          <w:szCs w:val="20"/>
          <w:lang w:val="es-ES_tradnl"/>
        </w:rPr>
        <w:t xml:space="preserve"> aportad</w:t>
      </w:r>
      <w:r w:rsidR="00685B46">
        <w:rPr>
          <w:rFonts w:ascii="Verdana" w:hAnsi="Verdana"/>
          <w:sz w:val="20"/>
          <w:szCs w:val="20"/>
          <w:lang w:val="es-ES_tradnl"/>
        </w:rPr>
        <w:t>os</w:t>
      </w:r>
      <w:r w:rsidRPr="00A30ABF">
        <w:rPr>
          <w:rFonts w:ascii="Verdana" w:hAnsi="Verdana"/>
          <w:sz w:val="20"/>
          <w:szCs w:val="20"/>
          <w:lang w:val="es-ES_tradnl"/>
        </w:rPr>
        <w:t xml:space="preserve"> por el Estado</w:t>
      </w:r>
      <w:r w:rsidRPr="00A30ABF">
        <w:rPr>
          <w:rStyle w:val="Refdenotaalpie"/>
          <w:rFonts w:ascii="Verdana" w:hAnsi="Verdana"/>
          <w:sz w:val="20"/>
          <w:szCs w:val="20"/>
          <w:lang w:val="es-ES_tradnl"/>
        </w:rPr>
        <w:footnoteReference w:id="8"/>
      </w:r>
      <w:r w:rsidRPr="00A30ABF">
        <w:rPr>
          <w:rFonts w:ascii="Verdana" w:hAnsi="Verdana"/>
          <w:sz w:val="20"/>
          <w:szCs w:val="20"/>
          <w:lang w:val="es-ES_tradnl"/>
        </w:rPr>
        <w:t xml:space="preserve">, así como en las observaciones </w:t>
      </w:r>
      <w:r w:rsidR="00BD2681">
        <w:rPr>
          <w:rFonts w:ascii="Verdana" w:hAnsi="Verdana"/>
          <w:sz w:val="20"/>
          <w:szCs w:val="20"/>
          <w:lang w:val="es-ES_tradnl"/>
        </w:rPr>
        <w:t>del representante de</w:t>
      </w:r>
      <w:r w:rsidRPr="00A30ABF">
        <w:rPr>
          <w:rFonts w:ascii="Verdana" w:hAnsi="Verdana"/>
          <w:sz w:val="20"/>
          <w:szCs w:val="20"/>
          <w:lang w:val="es-ES_tradnl"/>
        </w:rPr>
        <w:t xml:space="preserve"> las víctimas</w:t>
      </w:r>
      <w:r w:rsidRPr="00A30ABF">
        <w:rPr>
          <w:rStyle w:val="Refdenotaalpie"/>
          <w:rFonts w:ascii="Verdana" w:hAnsi="Verdana"/>
          <w:sz w:val="20"/>
          <w:szCs w:val="20"/>
          <w:lang w:val="es-ES_tradnl"/>
        </w:rPr>
        <w:footnoteReference w:id="9"/>
      </w:r>
      <w:r w:rsidR="00E747FB" w:rsidRPr="00A30ABF">
        <w:rPr>
          <w:rFonts w:ascii="Verdana" w:hAnsi="Verdana"/>
          <w:sz w:val="20"/>
          <w:szCs w:val="20"/>
          <w:lang w:val="es-ES_tradnl"/>
        </w:rPr>
        <w:t xml:space="preserve"> </w:t>
      </w:r>
      <w:r w:rsidRPr="00A30ABF">
        <w:rPr>
          <w:rFonts w:ascii="Verdana" w:hAnsi="Verdana"/>
          <w:sz w:val="20"/>
          <w:szCs w:val="20"/>
          <w:lang w:val="es-ES_tradnl"/>
        </w:rPr>
        <w:t>y</w:t>
      </w:r>
      <w:r w:rsidR="00BD2681">
        <w:rPr>
          <w:rFonts w:ascii="Verdana" w:hAnsi="Verdana"/>
          <w:sz w:val="20"/>
          <w:szCs w:val="20"/>
          <w:lang w:val="es-ES_tradnl"/>
        </w:rPr>
        <w:t xml:space="preserve"> de</w:t>
      </w:r>
      <w:r w:rsidRPr="00A30ABF">
        <w:rPr>
          <w:rFonts w:ascii="Verdana" w:hAnsi="Verdana"/>
          <w:sz w:val="20"/>
          <w:szCs w:val="20"/>
          <w:lang w:val="es-ES_tradnl"/>
        </w:rPr>
        <w:t xml:space="preserve"> la Comisión</w:t>
      </w:r>
      <w:r w:rsidRPr="00A30ABF">
        <w:rPr>
          <w:rStyle w:val="Refdenotaalpie"/>
          <w:rFonts w:ascii="Verdana" w:hAnsi="Verdana"/>
          <w:sz w:val="20"/>
          <w:szCs w:val="20"/>
          <w:lang w:val="es-ES_tradnl"/>
        </w:rPr>
        <w:footnoteReference w:id="10"/>
      </w:r>
      <w:r w:rsidRPr="00A30ABF">
        <w:rPr>
          <w:rFonts w:ascii="Verdana" w:hAnsi="Verdana"/>
          <w:sz w:val="20"/>
          <w:szCs w:val="20"/>
          <w:lang w:val="es-ES_tradnl"/>
        </w:rPr>
        <w:t xml:space="preserve">, la </w:t>
      </w:r>
      <w:r w:rsidR="00B71257" w:rsidRPr="00A30ABF">
        <w:rPr>
          <w:rFonts w:ascii="Verdana" w:hAnsi="Verdana"/>
          <w:sz w:val="20"/>
          <w:szCs w:val="20"/>
          <w:lang w:val="es-ES_tradnl"/>
        </w:rPr>
        <w:t>Corte constata</w:t>
      </w:r>
      <w:r w:rsidRPr="00A30ABF">
        <w:rPr>
          <w:rFonts w:ascii="Verdana" w:hAnsi="Verdana"/>
          <w:sz w:val="20"/>
          <w:szCs w:val="20"/>
          <w:lang w:val="es-ES_tradnl"/>
        </w:rPr>
        <w:t xml:space="preserve"> </w:t>
      </w:r>
      <w:r w:rsidR="006E1E93">
        <w:rPr>
          <w:rFonts w:ascii="Verdana" w:hAnsi="Verdana"/>
          <w:sz w:val="20"/>
          <w:szCs w:val="20"/>
          <w:lang w:val="es-ES_tradnl"/>
        </w:rPr>
        <w:t>que</w:t>
      </w:r>
      <w:r w:rsidR="00B71257" w:rsidRPr="00A30ABF">
        <w:rPr>
          <w:rFonts w:ascii="Verdana" w:hAnsi="Verdana"/>
          <w:sz w:val="20"/>
          <w:szCs w:val="20"/>
          <w:lang w:val="es-ES_tradnl"/>
        </w:rPr>
        <w:t xml:space="preserve">, </w:t>
      </w:r>
      <w:r w:rsidR="00685B46">
        <w:rPr>
          <w:rFonts w:ascii="Verdana" w:hAnsi="Verdana"/>
          <w:sz w:val="20"/>
          <w:szCs w:val="20"/>
          <w:lang w:val="es-ES_tradnl"/>
        </w:rPr>
        <w:t xml:space="preserve">dentro del plazo dispuesto en la Sentencia, Costa Rica publicó el texto integral de la Sentencia y del Acuerdo de solución amistosa en el </w:t>
      </w:r>
      <w:r w:rsidR="00ED3863">
        <w:rPr>
          <w:rFonts w:ascii="Verdana" w:hAnsi="Verdana"/>
          <w:sz w:val="20"/>
          <w:szCs w:val="20"/>
          <w:lang w:val="es-ES_tradnl"/>
        </w:rPr>
        <w:t>Diario Oficial “La Gaceta”</w:t>
      </w:r>
      <w:r w:rsidR="00ED3863">
        <w:rPr>
          <w:rStyle w:val="Refdenotaalpie"/>
          <w:rFonts w:ascii="Verdana" w:hAnsi="Verdana"/>
          <w:sz w:val="20"/>
          <w:szCs w:val="20"/>
          <w:lang w:val="es-ES_tradnl"/>
        </w:rPr>
        <w:footnoteReference w:id="11"/>
      </w:r>
      <w:r w:rsidR="00B10CB3">
        <w:rPr>
          <w:rFonts w:ascii="Verdana" w:hAnsi="Verdana"/>
          <w:sz w:val="20"/>
          <w:szCs w:val="20"/>
          <w:lang w:val="es-ES_tradnl"/>
        </w:rPr>
        <w:t xml:space="preserve">, y en </w:t>
      </w:r>
      <w:r w:rsidR="00DD2676">
        <w:rPr>
          <w:rFonts w:ascii="Verdana" w:hAnsi="Verdana"/>
          <w:sz w:val="20"/>
          <w:szCs w:val="20"/>
          <w:lang w:val="es-ES_tradnl"/>
        </w:rPr>
        <w:t xml:space="preserve">los </w:t>
      </w:r>
      <w:r w:rsidR="00060D55">
        <w:rPr>
          <w:rFonts w:ascii="Verdana" w:hAnsi="Verdana"/>
          <w:sz w:val="20"/>
          <w:szCs w:val="20"/>
          <w:lang w:val="es-ES_tradnl"/>
        </w:rPr>
        <w:t xml:space="preserve">sitios </w:t>
      </w:r>
      <w:r w:rsidR="00060D55" w:rsidRPr="00060D55">
        <w:rPr>
          <w:rFonts w:ascii="Verdana" w:hAnsi="Verdana"/>
          <w:i/>
          <w:iCs/>
          <w:sz w:val="20"/>
          <w:szCs w:val="20"/>
          <w:lang w:val="es-ES_tradnl"/>
        </w:rPr>
        <w:t xml:space="preserve">web </w:t>
      </w:r>
      <w:r w:rsidR="00060D55">
        <w:rPr>
          <w:rFonts w:ascii="Verdana" w:hAnsi="Verdana"/>
          <w:sz w:val="20"/>
          <w:szCs w:val="20"/>
          <w:lang w:val="es-ES_tradnl"/>
        </w:rPr>
        <w:t>de la Presidencia de la República de Costa Rica</w:t>
      </w:r>
      <w:r w:rsidR="00A36A0F" w:rsidRPr="006947F9">
        <w:rPr>
          <w:rStyle w:val="Refdenotaalpie"/>
          <w:rFonts w:ascii="Verdana" w:hAnsi="Verdana"/>
          <w:sz w:val="20"/>
          <w:szCs w:val="20"/>
          <w:lang w:val="es-ES_tradnl"/>
        </w:rPr>
        <w:footnoteReference w:id="12"/>
      </w:r>
      <w:r w:rsidR="00B71257" w:rsidRPr="00060D55">
        <w:rPr>
          <w:rFonts w:ascii="Verdana" w:hAnsi="Verdana"/>
          <w:sz w:val="20"/>
          <w:szCs w:val="20"/>
          <w:lang w:val="es-ES_tradnl"/>
        </w:rPr>
        <w:t xml:space="preserve"> y </w:t>
      </w:r>
      <w:r w:rsidR="00DD2676">
        <w:rPr>
          <w:rFonts w:ascii="Verdana" w:hAnsi="Verdana"/>
          <w:sz w:val="20"/>
          <w:szCs w:val="20"/>
          <w:lang w:val="es-ES_tradnl"/>
        </w:rPr>
        <w:t>d</w:t>
      </w:r>
      <w:r w:rsidR="00B71257" w:rsidRPr="00060D55">
        <w:rPr>
          <w:rFonts w:ascii="Verdana" w:hAnsi="Verdana"/>
          <w:sz w:val="20"/>
          <w:szCs w:val="20"/>
          <w:lang w:val="es-ES_tradnl"/>
        </w:rPr>
        <w:t xml:space="preserve">el </w:t>
      </w:r>
      <w:r w:rsidR="00B71257" w:rsidRPr="00060D55">
        <w:rPr>
          <w:rFonts w:ascii="Verdana" w:hAnsi="Verdana"/>
          <w:sz w:val="20"/>
          <w:szCs w:val="20"/>
          <w:lang w:val="es-ES_tradnl"/>
        </w:rPr>
        <w:lastRenderedPageBreak/>
        <w:t>Ministerio de Relaciones Exteriores y Culto</w:t>
      </w:r>
      <w:r w:rsidR="00A36A0F" w:rsidRPr="006947F9">
        <w:rPr>
          <w:rStyle w:val="Refdenotaalpie"/>
          <w:rFonts w:ascii="Verdana" w:hAnsi="Verdana"/>
          <w:sz w:val="20"/>
          <w:szCs w:val="20"/>
          <w:lang w:val="es-ES_tradnl"/>
        </w:rPr>
        <w:footnoteReference w:id="13"/>
      </w:r>
      <w:r w:rsidR="00EF104A">
        <w:rPr>
          <w:rFonts w:ascii="Verdana" w:hAnsi="Verdana"/>
          <w:sz w:val="20"/>
          <w:szCs w:val="20"/>
          <w:lang w:val="es-ES_tradnl"/>
        </w:rPr>
        <w:t xml:space="preserve">. </w:t>
      </w:r>
      <w:r w:rsidR="00EC72DF">
        <w:rPr>
          <w:rFonts w:ascii="Verdana" w:hAnsi="Verdana"/>
          <w:sz w:val="20"/>
          <w:szCs w:val="20"/>
          <w:lang w:val="es-ES_tradnl"/>
        </w:rPr>
        <w:t xml:space="preserve">Las publicaciones en las páginas </w:t>
      </w:r>
      <w:r w:rsidR="00EC72DF" w:rsidRPr="008C4144">
        <w:rPr>
          <w:rFonts w:ascii="Verdana" w:hAnsi="Verdana"/>
          <w:i/>
          <w:sz w:val="20"/>
          <w:szCs w:val="20"/>
          <w:lang w:val="es-ES_tradnl"/>
        </w:rPr>
        <w:t>web</w:t>
      </w:r>
      <w:r w:rsidR="004271D2">
        <w:rPr>
          <w:rFonts w:ascii="Verdana" w:hAnsi="Verdana"/>
          <w:i/>
          <w:sz w:val="20"/>
          <w:szCs w:val="20"/>
          <w:lang w:val="es-ES_tradnl"/>
        </w:rPr>
        <w:t xml:space="preserve"> </w:t>
      </w:r>
      <w:r w:rsidR="00EC72DF">
        <w:rPr>
          <w:rFonts w:ascii="Verdana" w:hAnsi="Verdana"/>
          <w:sz w:val="20"/>
          <w:szCs w:val="20"/>
          <w:lang w:val="es-ES_tradnl"/>
        </w:rPr>
        <w:t xml:space="preserve"> se mantienen a la fecha</w:t>
      </w:r>
      <w:r w:rsidR="00060D55">
        <w:rPr>
          <w:rFonts w:ascii="Verdana" w:hAnsi="Verdana"/>
          <w:sz w:val="20"/>
          <w:szCs w:val="20"/>
          <w:lang w:val="es-ES_tradnl"/>
        </w:rPr>
        <w:t>.</w:t>
      </w:r>
    </w:p>
    <w:p w14:paraId="3A10E722" w14:textId="362D3F8A" w:rsidR="00E5328D" w:rsidRDefault="002B0C3A"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E</w:t>
      </w:r>
      <w:r w:rsidR="00060D55">
        <w:rPr>
          <w:rFonts w:ascii="Verdana" w:hAnsi="Verdana"/>
          <w:sz w:val="20"/>
          <w:szCs w:val="20"/>
          <w:lang w:val="es-ES_tradnl"/>
        </w:rPr>
        <w:t xml:space="preserve">n virtud de lo anterior, </w:t>
      </w:r>
      <w:r w:rsidR="004271D2">
        <w:rPr>
          <w:rFonts w:ascii="Verdana" w:hAnsi="Verdana"/>
          <w:sz w:val="20"/>
          <w:szCs w:val="20"/>
          <w:lang w:val="es-ES_tradnl"/>
        </w:rPr>
        <w:t>el Tribunal</w:t>
      </w:r>
      <w:r>
        <w:rPr>
          <w:rFonts w:ascii="Verdana" w:hAnsi="Verdana"/>
          <w:sz w:val="20"/>
          <w:szCs w:val="20"/>
          <w:lang w:val="es-ES_tradnl"/>
        </w:rPr>
        <w:t xml:space="preserve"> considera que </w:t>
      </w:r>
      <w:r w:rsidR="00060D55">
        <w:rPr>
          <w:rFonts w:ascii="Verdana" w:hAnsi="Verdana"/>
          <w:sz w:val="20"/>
          <w:szCs w:val="20"/>
          <w:lang w:val="es-ES_tradnl"/>
        </w:rPr>
        <w:t>Costa Rica</w:t>
      </w:r>
      <w:r>
        <w:rPr>
          <w:rFonts w:ascii="Verdana" w:hAnsi="Verdana"/>
          <w:sz w:val="20"/>
          <w:szCs w:val="20"/>
          <w:lang w:val="es-ES_tradnl"/>
        </w:rPr>
        <w:t xml:space="preserve"> ha dado cumplimiento total a las medidas de publicación</w:t>
      </w:r>
      <w:r w:rsidR="00060D55">
        <w:rPr>
          <w:rFonts w:ascii="Verdana" w:hAnsi="Verdana"/>
          <w:sz w:val="20"/>
          <w:szCs w:val="20"/>
          <w:lang w:val="es-ES_tradnl"/>
        </w:rPr>
        <w:t xml:space="preserve"> y difusión </w:t>
      </w:r>
      <w:r>
        <w:rPr>
          <w:rFonts w:ascii="Verdana" w:hAnsi="Verdana"/>
          <w:sz w:val="20"/>
          <w:szCs w:val="20"/>
          <w:lang w:val="es-ES_tradnl"/>
        </w:rPr>
        <w:t xml:space="preserve">de la Sentencia y del Acuerdo de solución amistosa, ordenadas en el punto </w:t>
      </w:r>
      <w:r w:rsidR="004218BD">
        <w:rPr>
          <w:rFonts w:ascii="Verdana" w:hAnsi="Verdana"/>
          <w:sz w:val="20"/>
          <w:szCs w:val="20"/>
          <w:lang w:val="es-ES_tradnl"/>
        </w:rPr>
        <w:t>resolutivo</w:t>
      </w:r>
      <w:r>
        <w:rPr>
          <w:rFonts w:ascii="Verdana" w:hAnsi="Verdana"/>
          <w:sz w:val="20"/>
          <w:szCs w:val="20"/>
          <w:lang w:val="es-ES_tradnl"/>
        </w:rPr>
        <w:t xml:space="preserve"> sexto, literal a) de la misma.</w:t>
      </w:r>
    </w:p>
    <w:p w14:paraId="357FE489" w14:textId="77777777" w:rsidR="0064755E" w:rsidRDefault="0064755E" w:rsidP="006634DD">
      <w:pPr>
        <w:pStyle w:val="Prrafodelista"/>
        <w:spacing w:before="120" w:after="120" w:line="240" w:lineRule="auto"/>
        <w:ind w:left="0"/>
        <w:contextualSpacing w:val="0"/>
        <w:jc w:val="both"/>
        <w:rPr>
          <w:rFonts w:ascii="Verdana" w:hAnsi="Verdana"/>
          <w:sz w:val="20"/>
          <w:szCs w:val="20"/>
          <w:lang w:val="es-ES_tradnl"/>
        </w:rPr>
      </w:pPr>
    </w:p>
    <w:p w14:paraId="066F25CD" w14:textId="00EB5852" w:rsidR="000E2096" w:rsidRDefault="000E2096" w:rsidP="006634DD">
      <w:pPr>
        <w:pStyle w:val="Prrafodelista"/>
        <w:numPr>
          <w:ilvl w:val="0"/>
          <w:numId w:val="8"/>
        </w:numPr>
        <w:spacing w:before="120" w:after="120" w:line="240" w:lineRule="auto"/>
        <w:contextualSpacing w:val="0"/>
        <w:jc w:val="both"/>
        <w:outlineLvl w:val="0"/>
        <w:rPr>
          <w:rStyle w:val="nfasissutil"/>
          <w:rFonts w:ascii="Verdana" w:hAnsi="Verdana"/>
          <w:b/>
          <w:color w:val="000000" w:themeColor="text1"/>
          <w:sz w:val="20"/>
          <w:szCs w:val="20"/>
        </w:rPr>
      </w:pPr>
      <w:bookmarkStart w:id="4" w:name="_Toc21945228"/>
      <w:bookmarkStart w:id="5" w:name="segunda_reparación"/>
      <w:r>
        <w:rPr>
          <w:rStyle w:val="nfasissutil"/>
          <w:rFonts w:ascii="Verdana" w:hAnsi="Verdana"/>
          <w:b/>
          <w:color w:val="000000" w:themeColor="text1"/>
          <w:sz w:val="20"/>
          <w:szCs w:val="20"/>
        </w:rPr>
        <w:t>Propiciar acercamientos a efecto de generar procesos de capacitación en derechos humanos para funcionarios estatales</w:t>
      </w:r>
      <w:bookmarkEnd w:id="4"/>
    </w:p>
    <w:bookmarkEnd w:id="5"/>
    <w:p w14:paraId="7109EEA1" w14:textId="77777777" w:rsidR="00AA6546" w:rsidRPr="00AA6546" w:rsidRDefault="0064755E" w:rsidP="006634DD">
      <w:pPr>
        <w:pStyle w:val="Prrafodelista"/>
        <w:spacing w:before="120" w:after="120" w:line="240" w:lineRule="auto"/>
        <w:ind w:left="1068"/>
        <w:contextualSpacing w:val="0"/>
        <w:jc w:val="both"/>
        <w:rPr>
          <w:rFonts w:ascii="Verdana" w:hAnsi="Verdana"/>
          <w:b/>
          <w:i/>
          <w:sz w:val="20"/>
          <w:szCs w:val="20"/>
          <w:lang w:val="es-ES_tradnl"/>
        </w:rPr>
      </w:pPr>
      <w:r w:rsidRPr="00AA6546">
        <w:rPr>
          <w:rFonts w:ascii="Verdana" w:hAnsi="Verdana"/>
          <w:i/>
          <w:sz w:val="20"/>
          <w:szCs w:val="20"/>
        </w:rPr>
        <w:t>B.1. Medida ordenada por la Corte</w:t>
      </w:r>
    </w:p>
    <w:p w14:paraId="2514896E" w14:textId="77777777" w:rsidR="00F60CF3" w:rsidRDefault="004734ED"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F60CF3">
        <w:rPr>
          <w:rFonts w:ascii="Verdana" w:hAnsi="Verdana"/>
          <w:sz w:val="20"/>
          <w:szCs w:val="20"/>
          <w:lang w:val="es-ES_tradnl"/>
        </w:rPr>
        <w:t xml:space="preserve">En el punto </w:t>
      </w:r>
      <w:r w:rsidR="004218BD">
        <w:rPr>
          <w:rFonts w:ascii="Verdana" w:hAnsi="Verdana"/>
          <w:sz w:val="20"/>
          <w:szCs w:val="20"/>
          <w:lang w:val="es-ES_tradnl"/>
        </w:rPr>
        <w:t>resolutivo</w:t>
      </w:r>
      <w:r w:rsidRPr="00F60CF3">
        <w:rPr>
          <w:rFonts w:ascii="Verdana" w:hAnsi="Verdana"/>
          <w:sz w:val="20"/>
          <w:szCs w:val="20"/>
          <w:lang w:val="es-ES_tradnl"/>
        </w:rPr>
        <w:t xml:space="preserve"> sexto, literal c)</w:t>
      </w:r>
      <w:r w:rsidR="000E2096" w:rsidRPr="00F60CF3">
        <w:rPr>
          <w:rFonts w:ascii="Verdana" w:hAnsi="Verdana"/>
          <w:sz w:val="20"/>
          <w:szCs w:val="20"/>
          <w:lang w:val="es-ES_tradnl"/>
        </w:rPr>
        <w:t xml:space="preserve"> </w:t>
      </w:r>
      <w:r w:rsidR="00162381" w:rsidRPr="00F60CF3">
        <w:rPr>
          <w:rFonts w:ascii="Verdana" w:hAnsi="Verdana"/>
          <w:sz w:val="20"/>
          <w:szCs w:val="20"/>
          <w:lang w:val="es-ES_tradnl"/>
        </w:rPr>
        <w:t>y</w:t>
      </w:r>
      <w:r w:rsidRPr="00F60CF3">
        <w:rPr>
          <w:rFonts w:ascii="Verdana" w:hAnsi="Verdana"/>
          <w:sz w:val="20"/>
          <w:szCs w:val="20"/>
          <w:lang w:val="es-ES_tradnl"/>
        </w:rPr>
        <w:t xml:space="preserve"> en los párrafos 55</w:t>
      </w:r>
      <w:r w:rsidR="00162381" w:rsidRPr="00F60CF3">
        <w:rPr>
          <w:rFonts w:ascii="Verdana" w:hAnsi="Verdana"/>
          <w:sz w:val="20"/>
          <w:szCs w:val="20"/>
          <w:lang w:val="es-ES_tradnl"/>
        </w:rPr>
        <w:t xml:space="preserve"> a</w:t>
      </w:r>
      <w:r w:rsidRPr="00F60CF3">
        <w:rPr>
          <w:rFonts w:ascii="Verdana" w:hAnsi="Verdana"/>
          <w:sz w:val="20"/>
          <w:szCs w:val="20"/>
          <w:lang w:val="es-ES_tradnl"/>
        </w:rPr>
        <w:t xml:space="preserve"> 57 de </w:t>
      </w:r>
      <w:r w:rsidR="005738AD" w:rsidRPr="00F60CF3">
        <w:rPr>
          <w:rFonts w:ascii="Verdana" w:hAnsi="Verdana"/>
          <w:sz w:val="20"/>
          <w:szCs w:val="20"/>
          <w:lang w:val="es-ES_tradnl"/>
        </w:rPr>
        <w:t>la Sentencia,</w:t>
      </w:r>
      <w:r w:rsidR="00960870" w:rsidRPr="00F60CF3">
        <w:rPr>
          <w:rFonts w:ascii="Verdana" w:hAnsi="Verdana"/>
          <w:sz w:val="20"/>
          <w:szCs w:val="20"/>
          <w:lang w:val="es-ES_tradnl"/>
        </w:rPr>
        <w:t xml:space="preserve"> la Corte homologó que el Estado debe “propiciar</w:t>
      </w:r>
      <w:r w:rsidR="00F60CF3" w:rsidRPr="00F60CF3">
        <w:rPr>
          <w:rFonts w:ascii="Verdana" w:hAnsi="Verdana"/>
          <w:sz w:val="20"/>
          <w:szCs w:val="20"/>
          <w:lang w:val="es-ES_tradnl"/>
        </w:rPr>
        <w:t xml:space="preserve">, en un plazo razonable, acercamientos con la Defensoría de los Habitantes de la República, </w:t>
      </w:r>
      <w:r w:rsidR="00AA6546" w:rsidRPr="00F60CF3">
        <w:rPr>
          <w:rFonts w:ascii="Verdana" w:hAnsi="Verdana"/>
          <w:sz w:val="20"/>
          <w:szCs w:val="20"/>
          <w:lang w:val="es-ES_tradnl"/>
        </w:rPr>
        <w:t xml:space="preserve">con instituciones académicas, </w:t>
      </w:r>
      <w:r w:rsidR="00F60CF3">
        <w:rPr>
          <w:rFonts w:ascii="Verdana" w:hAnsi="Verdana"/>
          <w:sz w:val="20"/>
          <w:szCs w:val="20"/>
          <w:lang w:val="es-ES_tradnl"/>
        </w:rPr>
        <w:t>así como con</w:t>
      </w:r>
      <w:r w:rsidR="00AA6546" w:rsidRPr="00F60CF3">
        <w:rPr>
          <w:rFonts w:ascii="Verdana" w:hAnsi="Verdana"/>
          <w:sz w:val="20"/>
          <w:szCs w:val="20"/>
          <w:lang w:val="es-ES_tradnl"/>
        </w:rPr>
        <w:t xml:space="preserve"> organismos internacionales especializados en derechos humanos </w:t>
      </w:r>
      <w:r w:rsidR="00F60CF3">
        <w:rPr>
          <w:rFonts w:ascii="Verdana" w:hAnsi="Verdana"/>
          <w:sz w:val="20"/>
          <w:szCs w:val="20"/>
          <w:lang w:val="es-ES_tradnl"/>
        </w:rPr>
        <w:t xml:space="preserve">a efecto de </w:t>
      </w:r>
      <w:r w:rsidR="00AA6546" w:rsidRPr="00F60CF3">
        <w:rPr>
          <w:rFonts w:ascii="Verdana" w:hAnsi="Verdana"/>
          <w:sz w:val="20"/>
          <w:szCs w:val="20"/>
          <w:lang w:val="es-ES_tradnl"/>
        </w:rPr>
        <w:t xml:space="preserve">generar procesos de capacitación en derechos humanos, dirigidos a funcionarios y funcionarias de los diversos poderes del Estado, así como de la </w:t>
      </w:r>
      <w:r w:rsidR="00F60CF3">
        <w:rPr>
          <w:rFonts w:ascii="Verdana" w:hAnsi="Verdana"/>
          <w:sz w:val="20"/>
          <w:szCs w:val="20"/>
          <w:lang w:val="es-ES_tradnl"/>
        </w:rPr>
        <w:t>Caja Costarricense del Seguro Social</w:t>
      </w:r>
      <w:r w:rsidR="00AA6546" w:rsidRPr="00F60CF3">
        <w:rPr>
          <w:rFonts w:ascii="Verdana" w:hAnsi="Verdana"/>
          <w:sz w:val="20"/>
          <w:szCs w:val="20"/>
          <w:lang w:val="es-ES_tradnl"/>
        </w:rPr>
        <w:t xml:space="preserve">”. </w:t>
      </w:r>
    </w:p>
    <w:p w14:paraId="1FE90D04" w14:textId="23BD7DE5" w:rsidR="003235E3" w:rsidRPr="00F60CF3" w:rsidRDefault="0078101A"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F60CF3">
        <w:rPr>
          <w:rFonts w:ascii="Verdana" w:hAnsi="Verdana"/>
          <w:sz w:val="20"/>
          <w:szCs w:val="20"/>
          <w:lang w:val="es-ES_tradnl"/>
        </w:rPr>
        <w:t>Adicionalmente,</w:t>
      </w:r>
      <w:r w:rsidR="005738AD" w:rsidRPr="00F60CF3">
        <w:rPr>
          <w:rFonts w:ascii="Verdana" w:hAnsi="Verdana"/>
          <w:sz w:val="20"/>
          <w:szCs w:val="20"/>
          <w:lang w:val="es-ES_tradnl"/>
        </w:rPr>
        <w:t xml:space="preserve"> la Corte </w:t>
      </w:r>
      <w:r w:rsidR="005E3433">
        <w:rPr>
          <w:rFonts w:ascii="Verdana" w:hAnsi="Verdana"/>
          <w:sz w:val="20"/>
          <w:szCs w:val="20"/>
          <w:lang w:val="es-ES_tradnl"/>
        </w:rPr>
        <w:t xml:space="preserve">requirió a las partes </w:t>
      </w:r>
      <w:r w:rsidR="005738AD" w:rsidRPr="00F60CF3">
        <w:rPr>
          <w:rFonts w:ascii="Verdana" w:hAnsi="Verdana"/>
          <w:sz w:val="20"/>
          <w:szCs w:val="20"/>
          <w:lang w:val="es-ES_tradnl"/>
        </w:rPr>
        <w:t>que</w:t>
      </w:r>
      <w:r w:rsidR="005E3433">
        <w:rPr>
          <w:rFonts w:ascii="Verdana" w:hAnsi="Verdana"/>
          <w:sz w:val="20"/>
          <w:szCs w:val="20"/>
          <w:lang w:val="es-ES_tradnl"/>
        </w:rPr>
        <w:t>,</w:t>
      </w:r>
      <w:r w:rsidR="005738AD" w:rsidRPr="00F60CF3">
        <w:rPr>
          <w:rFonts w:ascii="Verdana" w:hAnsi="Verdana"/>
          <w:sz w:val="20"/>
          <w:szCs w:val="20"/>
          <w:lang w:val="es-ES_tradnl"/>
        </w:rPr>
        <w:t xml:space="preserve"> “en aras de concretar la supervisión de cumplimiento</w:t>
      </w:r>
      <w:r w:rsidR="00F60CF3">
        <w:rPr>
          <w:rFonts w:ascii="Verdana" w:hAnsi="Verdana"/>
          <w:sz w:val="20"/>
          <w:szCs w:val="20"/>
          <w:lang w:val="es-ES_tradnl"/>
        </w:rPr>
        <w:t xml:space="preserve"> que realizará el Tribunal en el presente caso</w:t>
      </w:r>
      <w:r w:rsidR="005738AD" w:rsidRPr="00F60CF3">
        <w:rPr>
          <w:rFonts w:ascii="Verdana" w:hAnsi="Verdana"/>
          <w:sz w:val="20"/>
          <w:szCs w:val="20"/>
          <w:lang w:val="es-ES_tradnl"/>
        </w:rPr>
        <w:t xml:space="preserve">, </w:t>
      </w:r>
      <w:r w:rsidR="00F60CF3">
        <w:rPr>
          <w:rFonts w:ascii="Verdana" w:hAnsi="Verdana"/>
          <w:sz w:val="20"/>
          <w:szCs w:val="20"/>
          <w:lang w:val="es-ES_tradnl"/>
        </w:rPr>
        <w:t>[</w:t>
      </w:r>
      <w:r w:rsidR="005E3433">
        <w:rPr>
          <w:rFonts w:ascii="Verdana" w:hAnsi="Verdana"/>
          <w:sz w:val="20"/>
          <w:szCs w:val="20"/>
          <w:lang w:val="es-ES_tradnl"/>
        </w:rPr>
        <w:t>…</w:t>
      </w:r>
      <w:r w:rsidR="005738AD" w:rsidRPr="00F60CF3">
        <w:rPr>
          <w:rFonts w:ascii="Verdana" w:hAnsi="Verdana"/>
          <w:sz w:val="20"/>
          <w:szCs w:val="20"/>
          <w:lang w:val="es-ES_tradnl"/>
        </w:rPr>
        <w:t xml:space="preserve">] en el plazo de seis meses </w:t>
      </w:r>
      <w:proofErr w:type="spellStart"/>
      <w:r w:rsidR="005738AD" w:rsidRPr="00F60CF3">
        <w:rPr>
          <w:rFonts w:ascii="Verdana" w:hAnsi="Verdana"/>
          <w:sz w:val="20"/>
          <w:szCs w:val="20"/>
          <w:lang w:val="es-ES_tradnl"/>
        </w:rPr>
        <w:t>indi</w:t>
      </w:r>
      <w:proofErr w:type="spellEnd"/>
      <w:r w:rsidR="00F60CF3">
        <w:rPr>
          <w:rFonts w:ascii="Verdana" w:hAnsi="Verdana"/>
          <w:sz w:val="20"/>
          <w:szCs w:val="20"/>
          <w:lang w:val="es-ES_tradnl"/>
        </w:rPr>
        <w:t>[</w:t>
      </w:r>
      <w:proofErr w:type="spellStart"/>
      <w:r w:rsidR="00F60CF3">
        <w:rPr>
          <w:rFonts w:ascii="Verdana" w:hAnsi="Verdana"/>
          <w:sz w:val="20"/>
          <w:szCs w:val="20"/>
          <w:lang w:val="es-ES_tradnl"/>
        </w:rPr>
        <w:t>caran</w:t>
      </w:r>
      <w:proofErr w:type="spellEnd"/>
      <w:r w:rsidR="00F60CF3">
        <w:rPr>
          <w:rFonts w:ascii="Verdana" w:hAnsi="Verdana"/>
          <w:sz w:val="20"/>
          <w:szCs w:val="20"/>
          <w:lang w:val="es-ES_tradnl"/>
        </w:rPr>
        <w:t>]</w:t>
      </w:r>
      <w:r w:rsidR="005738AD" w:rsidRPr="00F60CF3">
        <w:rPr>
          <w:rFonts w:ascii="Verdana" w:hAnsi="Verdana"/>
          <w:sz w:val="20"/>
          <w:szCs w:val="20"/>
          <w:lang w:val="es-ES_tradnl"/>
        </w:rPr>
        <w:t xml:space="preserve"> </w:t>
      </w:r>
      <w:r w:rsidR="00A823C2">
        <w:rPr>
          <w:rFonts w:ascii="Verdana" w:hAnsi="Verdana"/>
          <w:sz w:val="20"/>
          <w:szCs w:val="20"/>
          <w:lang w:val="es-ES_tradnl"/>
        </w:rPr>
        <w:t xml:space="preserve">a esta Corte </w:t>
      </w:r>
      <w:r w:rsidR="005738AD" w:rsidRPr="00F60CF3">
        <w:rPr>
          <w:rFonts w:ascii="Verdana" w:hAnsi="Verdana"/>
          <w:sz w:val="20"/>
          <w:szCs w:val="20"/>
          <w:lang w:val="es-ES_tradnl"/>
        </w:rPr>
        <w:t>cu</w:t>
      </w:r>
      <w:r w:rsidR="00F60CF3">
        <w:rPr>
          <w:rFonts w:ascii="Verdana" w:hAnsi="Verdana"/>
          <w:sz w:val="20"/>
          <w:szCs w:val="20"/>
          <w:lang w:val="es-ES_tradnl"/>
        </w:rPr>
        <w:t>á</w:t>
      </w:r>
      <w:r w:rsidR="005738AD" w:rsidRPr="00F60CF3">
        <w:rPr>
          <w:rFonts w:ascii="Verdana" w:hAnsi="Verdana"/>
          <w:sz w:val="20"/>
          <w:szCs w:val="20"/>
          <w:lang w:val="es-ES_tradnl"/>
        </w:rPr>
        <w:t xml:space="preserve">les son las </w:t>
      </w:r>
      <w:r w:rsidR="00A823C2">
        <w:rPr>
          <w:rFonts w:ascii="Verdana" w:hAnsi="Verdana"/>
          <w:sz w:val="20"/>
          <w:szCs w:val="20"/>
          <w:lang w:val="es-ES_tradnl"/>
        </w:rPr>
        <w:t>acciones</w:t>
      </w:r>
      <w:r w:rsidR="00A823C2" w:rsidRPr="00F60CF3">
        <w:rPr>
          <w:rFonts w:ascii="Verdana" w:hAnsi="Verdana"/>
          <w:sz w:val="20"/>
          <w:szCs w:val="20"/>
          <w:lang w:val="es-ES_tradnl"/>
        </w:rPr>
        <w:t xml:space="preserve"> </w:t>
      </w:r>
      <w:r w:rsidR="005738AD" w:rsidRPr="00F60CF3">
        <w:rPr>
          <w:rFonts w:ascii="Verdana" w:hAnsi="Verdana"/>
          <w:sz w:val="20"/>
          <w:szCs w:val="20"/>
          <w:lang w:val="es-ES_tradnl"/>
        </w:rPr>
        <w:t xml:space="preserve">específicas que se esperan del Estado para dar cumplimiento </w:t>
      </w:r>
      <w:r w:rsidR="00A823C2">
        <w:rPr>
          <w:rFonts w:ascii="Verdana" w:hAnsi="Verdana"/>
          <w:sz w:val="20"/>
          <w:szCs w:val="20"/>
          <w:lang w:val="es-ES_tradnl"/>
        </w:rPr>
        <w:t>a</w:t>
      </w:r>
      <w:r w:rsidR="00A823C2" w:rsidRPr="00F60CF3">
        <w:rPr>
          <w:rFonts w:ascii="Verdana" w:hAnsi="Verdana"/>
          <w:sz w:val="20"/>
          <w:szCs w:val="20"/>
          <w:lang w:val="es-ES_tradnl"/>
        </w:rPr>
        <w:t xml:space="preserve"> </w:t>
      </w:r>
      <w:r w:rsidR="005738AD" w:rsidRPr="00F60CF3">
        <w:rPr>
          <w:rFonts w:ascii="Verdana" w:hAnsi="Verdana"/>
          <w:sz w:val="20"/>
          <w:szCs w:val="20"/>
          <w:lang w:val="es-ES_tradnl"/>
        </w:rPr>
        <w:t>es</w:t>
      </w:r>
      <w:r w:rsidR="00F60CF3">
        <w:rPr>
          <w:rFonts w:ascii="Verdana" w:hAnsi="Verdana"/>
          <w:sz w:val="20"/>
          <w:szCs w:val="20"/>
          <w:lang w:val="es-ES_tradnl"/>
        </w:rPr>
        <w:t>[</w:t>
      </w:r>
      <w:proofErr w:type="spellStart"/>
      <w:r w:rsidR="00F60CF3">
        <w:rPr>
          <w:rFonts w:ascii="Verdana" w:hAnsi="Verdana"/>
          <w:sz w:val="20"/>
          <w:szCs w:val="20"/>
          <w:lang w:val="es-ES_tradnl"/>
        </w:rPr>
        <w:t>t</w:t>
      </w:r>
      <w:r w:rsidR="005738AD" w:rsidRPr="00F60CF3">
        <w:rPr>
          <w:rFonts w:ascii="Verdana" w:hAnsi="Verdana"/>
          <w:sz w:val="20"/>
          <w:szCs w:val="20"/>
          <w:lang w:val="es-ES_tradnl"/>
        </w:rPr>
        <w:t>a</w:t>
      </w:r>
      <w:proofErr w:type="spellEnd"/>
      <w:r w:rsidR="00F60CF3">
        <w:rPr>
          <w:rFonts w:ascii="Verdana" w:hAnsi="Verdana"/>
          <w:sz w:val="20"/>
          <w:szCs w:val="20"/>
          <w:lang w:val="es-ES_tradnl"/>
        </w:rPr>
        <w:t>]</w:t>
      </w:r>
      <w:r w:rsidR="005738AD" w:rsidRPr="00F60CF3">
        <w:rPr>
          <w:rFonts w:ascii="Verdana" w:hAnsi="Verdana"/>
          <w:sz w:val="20"/>
          <w:szCs w:val="20"/>
          <w:lang w:val="es-ES_tradnl"/>
        </w:rPr>
        <w:t xml:space="preserve"> </w:t>
      </w:r>
      <w:proofErr w:type="gramStart"/>
      <w:r w:rsidR="005738AD" w:rsidRPr="00F60CF3">
        <w:rPr>
          <w:rFonts w:ascii="Verdana" w:hAnsi="Verdana"/>
          <w:sz w:val="20"/>
          <w:szCs w:val="20"/>
          <w:lang w:val="es-ES_tradnl"/>
        </w:rPr>
        <w:t>medida[</w:t>
      </w:r>
      <w:proofErr w:type="gramEnd"/>
      <w:r w:rsidR="00F60CF3">
        <w:rPr>
          <w:rFonts w:ascii="Verdana" w:hAnsi="Verdana"/>
          <w:sz w:val="20"/>
          <w:szCs w:val="20"/>
          <w:lang w:val="es-ES_tradnl"/>
        </w:rPr>
        <w:t>…] del Acuerdo,</w:t>
      </w:r>
      <w:r w:rsidR="005738AD" w:rsidRPr="00F60CF3">
        <w:rPr>
          <w:rFonts w:ascii="Verdana" w:hAnsi="Verdana"/>
          <w:sz w:val="20"/>
          <w:szCs w:val="20"/>
          <w:lang w:val="es-ES_tradnl"/>
        </w:rPr>
        <w:t xml:space="preserve"> indicando los plazos para su ejecución”</w:t>
      </w:r>
      <w:r w:rsidR="00A823C2">
        <w:rPr>
          <w:rFonts w:ascii="Verdana" w:hAnsi="Verdana"/>
          <w:sz w:val="20"/>
          <w:szCs w:val="20"/>
          <w:lang w:val="es-ES_tradnl"/>
        </w:rPr>
        <w:t xml:space="preserve">. También se estableció que “[t]al indicación no excluye que las partes determinen que hay otras acciones por efectuar en esos ámbitos, pero las mismas no serán </w:t>
      </w:r>
      <w:r w:rsidR="002C32AC">
        <w:rPr>
          <w:rFonts w:ascii="Verdana" w:hAnsi="Verdana"/>
          <w:sz w:val="20"/>
          <w:szCs w:val="20"/>
          <w:lang w:val="es-ES_tradnl"/>
        </w:rPr>
        <w:t>supervisadas por el Tribunal”</w:t>
      </w:r>
      <w:r w:rsidR="00F60CF3">
        <w:rPr>
          <w:rStyle w:val="Refdenotaalpie"/>
          <w:rFonts w:ascii="Verdana" w:hAnsi="Verdana"/>
          <w:sz w:val="20"/>
          <w:szCs w:val="20"/>
          <w:lang w:val="es-ES_tradnl"/>
        </w:rPr>
        <w:footnoteReference w:id="14"/>
      </w:r>
      <w:r w:rsidR="005738AD" w:rsidRPr="00F60CF3">
        <w:rPr>
          <w:rFonts w:ascii="Verdana" w:hAnsi="Verdana"/>
          <w:sz w:val="20"/>
          <w:szCs w:val="20"/>
          <w:lang w:val="es-ES_tradnl"/>
        </w:rPr>
        <w:t xml:space="preserve">. </w:t>
      </w:r>
    </w:p>
    <w:p w14:paraId="4AA513F1" w14:textId="32D21BE5" w:rsidR="003235E3" w:rsidRPr="003235E3" w:rsidRDefault="00045473" w:rsidP="006634DD">
      <w:pPr>
        <w:pStyle w:val="Prrafodelista"/>
        <w:spacing w:before="120" w:after="120" w:line="240" w:lineRule="auto"/>
        <w:ind w:left="708"/>
        <w:contextualSpacing w:val="0"/>
        <w:jc w:val="both"/>
        <w:rPr>
          <w:rFonts w:ascii="Verdana" w:hAnsi="Verdana"/>
          <w:i/>
          <w:sz w:val="20"/>
          <w:szCs w:val="20"/>
          <w:lang w:val="es-ES_tradnl"/>
        </w:rPr>
      </w:pPr>
      <w:r>
        <w:rPr>
          <w:rFonts w:ascii="Verdana" w:hAnsi="Verdana"/>
          <w:i/>
          <w:sz w:val="20"/>
          <w:szCs w:val="20"/>
          <w:lang w:val="es-ES_tradnl"/>
        </w:rPr>
        <w:t xml:space="preserve">     </w:t>
      </w:r>
      <w:r w:rsidR="003235E3">
        <w:rPr>
          <w:rFonts w:ascii="Verdana" w:hAnsi="Verdana"/>
          <w:i/>
          <w:sz w:val="20"/>
          <w:szCs w:val="20"/>
          <w:lang w:val="es-ES_tradnl"/>
        </w:rPr>
        <w:t>B.2. Consideraciones de la Corte</w:t>
      </w:r>
    </w:p>
    <w:p w14:paraId="39FAD4F3" w14:textId="39BE4B63" w:rsidR="00B02723" w:rsidRDefault="00F60CF3"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 xml:space="preserve">Este Tribunal hace constar que las partes no cumplieron con </w:t>
      </w:r>
      <w:r w:rsidR="006D184F">
        <w:rPr>
          <w:rFonts w:ascii="Verdana" w:hAnsi="Verdana"/>
          <w:sz w:val="20"/>
          <w:szCs w:val="20"/>
          <w:lang w:val="es-ES_tradnl"/>
        </w:rPr>
        <w:t xml:space="preserve">identificar </w:t>
      </w:r>
      <w:r w:rsidR="006D184F" w:rsidRPr="00CF4CFF">
        <w:rPr>
          <w:rFonts w:ascii="Verdana" w:hAnsi="Verdana"/>
          <w:sz w:val="20"/>
          <w:szCs w:val="20"/>
          <w:lang w:val="es-ES_tradnl"/>
        </w:rPr>
        <w:t xml:space="preserve">e </w:t>
      </w:r>
      <w:r w:rsidRPr="00CF4CFF">
        <w:rPr>
          <w:rFonts w:ascii="Verdana" w:hAnsi="Verdana"/>
          <w:sz w:val="20"/>
          <w:szCs w:val="20"/>
          <w:lang w:val="es-ES_tradnl"/>
        </w:rPr>
        <w:t xml:space="preserve">indicar las </w:t>
      </w:r>
      <w:r w:rsidR="002C32AC">
        <w:rPr>
          <w:rFonts w:ascii="Verdana" w:hAnsi="Verdana"/>
          <w:sz w:val="20"/>
          <w:szCs w:val="20"/>
          <w:lang w:val="es-ES_tradnl"/>
        </w:rPr>
        <w:t>acciones</w:t>
      </w:r>
      <w:r w:rsidR="002C32AC" w:rsidRPr="00CF4CFF">
        <w:rPr>
          <w:rFonts w:ascii="Verdana" w:hAnsi="Verdana"/>
          <w:sz w:val="20"/>
          <w:szCs w:val="20"/>
          <w:lang w:val="es-ES_tradnl"/>
        </w:rPr>
        <w:t xml:space="preserve"> </w:t>
      </w:r>
      <w:r w:rsidRPr="00CF4CFF">
        <w:rPr>
          <w:rFonts w:ascii="Verdana" w:hAnsi="Verdana"/>
          <w:sz w:val="20"/>
          <w:szCs w:val="20"/>
          <w:lang w:val="es-ES_tradnl"/>
        </w:rPr>
        <w:t xml:space="preserve">específicas que </w:t>
      </w:r>
      <w:r w:rsidR="00CF4CFF">
        <w:rPr>
          <w:rFonts w:ascii="Verdana" w:hAnsi="Verdana"/>
          <w:sz w:val="20"/>
          <w:szCs w:val="20"/>
          <w:lang w:val="es-ES_tradnl"/>
        </w:rPr>
        <w:t xml:space="preserve">debía </w:t>
      </w:r>
      <w:r w:rsidRPr="00CF4CFF">
        <w:rPr>
          <w:rFonts w:ascii="Verdana" w:hAnsi="Verdana"/>
          <w:sz w:val="20"/>
          <w:szCs w:val="20"/>
          <w:lang w:val="es-ES_tradnl"/>
        </w:rPr>
        <w:t xml:space="preserve">implementar </w:t>
      </w:r>
      <w:r w:rsidR="002C32AC">
        <w:rPr>
          <w:rFonts w:ascii="Verdana" w:hAnsi="Verdana"/>
          <w:sz w:val="20"/>
          <w:szCs w:val="20"/>
          <w:lang w:val="es-ES_tradnl"/>
        </w:rPr>
        <w:t xml:space="preserve">el Estado </w:t>
      </w:r>
      <w:r w:rsidRPr="00CF4CFF">
        <w:rPr>
          <w:rFonts w:ascii="Verdana" w:hAnsi="Verdana"/>
          <w:sz w:val="20"/>
          <w:szCs w:val="20"/>
          <w:lang w:val="es-ES_tradnl"/>
        </w:rPr>
        <w:t>para dar cumplimiento a esta medida</w:t>
      </w:r>
      <w:r w:rsidR="00CF4CFF">
        <w:rPr>
          <w:rFonts w:ascii="Verdana" w:hAnsi="Verdana"/>
          <w:sz w:val="20"/>
          <w:szCs w:val="20"/>
          <w:lang w:val="es-ES_tradnl"/>
        </w:rPr>
        <w:t xml:space="preserve"> de reparación</w:t>
      </w:r>
      <w:r w:rsidRPr="00CF4CFF">
        <w:rPr>
          <w:rFonts w:ascii="Verdana" w:hAnsi="Verdana"/>
          <w:sz w:val="20"/>
          <w:szCs w:val="20"/>
          <w:lang w:val="es-ES_tradnl"/>
        </w:rPr>
        <w:t xml:space="preserve"> y que serían objeto de supervisión por parte de la Corte (</w:t>
      </w:r>
      <w:r w:rsidRPr="00CF4CFF">
        <w:rPr>
          <w:rFonts w:ascii="Verdana" w:hAnsi="Verdana"/>
          <w:i/>
          <w:iCs/>
          <w:sz w:val="20"/>
          <w:szCs w:val="20"/>
          <w:lang w:val="es-ES_tradnl"/>
        </w:rPr>
        <w:t xml:space="preserve">supra </w:t>
      </w:r>
      <w:r w:rsidRPr="00CF4CFF">
        <w:rPr>
          <w:rFonts w:ascii="Verdana" w:hAnsi="Verdana"/>
          <w:sz w:val="20"/>
          <w:szCs w:val="20"/>
          <w:lang w:val="es-ES_tradnl"/>
        </w:rPr>
        <w:t xml:space="preserve">Considerando </w:t>
      </w:r>
      <w:r w:rsidR="002C32AC">
        <w:rPr>
          <w:rFonts w:ascii="Verdana" w:hAnsi="Verdana"/>
          <w:sz w:val="20"/>
          <w:szCs w:val="20"/>
          <w:lang w:val="es-ES_tradnl"/>
        </w:rPr>
        <w:t>8</w:t>
      </w:r>
      <w:r w:rsidR="002C32AC" w:rsidRPr="00CF4CFF">
        <w:rPr>
          <w:rFonts w:ascii="Verdana" w:hAnsi="Verdana"/>
          <w:sz w:val="20"/>
          <w:szCs w:val="20"/>
          <w:lang w:val="es-ES_tradnl"/>
        </w:rPr>
        <w:t xml:space="preserve">). </w:t>
      </w:r>
    </w:p>
    <w:p w14:paraId="66C8444B" w14:textId="4FAF5475" w:rsidR="00104952" w:rsidRPr="00EE39D0" w:rsidRDefault="006D184F"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CF4CFF">
        <w:rPr>
          <w:rFonts w:ascii="Verdana" w:hAnsi="Verdana"/>
          <w:sz w:val="20"/>
          <w:szCs w:val="20"/>
          <w:lang w:val="es-ES_tradnl"/>
        </w:rPr>
        <w:t>No obstante</w:t>
      </w:r>
      <w:r w:rsidR="00B02723">
        <w:rPr>
          <w:rFonts w:ascii="Verdana" w:hAnsi="Verdana"/>
          <w:sz w:val="20"/>
          <w:szCs w:val="20"/>
          <w:lang w:val="es-ES_tradnl"/>
        </w:rPr>
        <w:t xml:space="preserve"> lo anterior</w:t>
      </w:r>
      <w:r w:rsidRPr="00CF4CFF">
        <w:rPr>
          <w:rFonts w:ascii="Verdana" w:hAnsi="Verdana"/>
          <w:sz w:val="20"/>
          <w:szCs w:val="20"/>
          <w:lang w:val="es-ES_tradnl"/>
        </w:rPr>
        <w:t>,</w:t>
      </w:r>
      <w:r w:rsidR="00CF4CFF">
        <w:rPr>
          <w:rFonts w:ascii="Verdana" w:hAnsi="Verdana"/>
          <w:sz w:val="20"/>
          <w:szCs w:val="20"/>
          <w:lang w:val="es-ES_tradnl"/>
        </w:rPr>
        <w:t xml:space="preserve"> </w:t>
      </w:r>
      <w:r w:rsidRPr="00CF4CFF">
        <w:rPr>
          <w:rFonts w:ascii="Verdana" w:hAnsi="Verdana"/>
          <w:sz w:val="20"/>
          <w:szCs w:val="20"/>
          <w:lang w:val="es-ES_tradnl"/>
        </w:rPr>
        <w:t xml:space="preserve">en su primer informe de supervisión de cumplimiento, de febrero de 2018, Costa Rica se refirió </w:t>
      </w:r>
      <w:r w:rsidR="00104952" w:rsidRPr="00CF4CFF">
        <w:rPr>
          <w:rFonts w:ascii="Verdana" w:hAnsi="Verdana"/>
          <w:sz w:val="20"/>
          <w:szCs w:val="20"/>
          <w:lang w:val="es-ES_tradnl"/>
        </w:rPr>
        <w:t xml:space="preserve">a la elaboración de “un marco de trabajo para implementar capacitaciones o cursos </w:t>
      </w:r>
      <w:r w:rsidR="00813720">
        <w:rPr>
          <w:rFonts w:ascii="Verdana" w:hAnsi="Verdana"/>
          <w:sz w:val="20"/>
          <w:szCs w:val="20"/>
          <w:lang w:val="es-ES_tradnl"/>
        </w:rPr>
        <w:t>[</w:t>
      </w:r>
      <w:r w:rsidR="00104952" w:rsidRPr="00CF4CFF">
        <w:rPr>
          <w:rFonts w:ascii="Verdana" w:hAnsi="Verdana"/>
          <w:sz w:val="20"/>
          <w:szCs w:val="20"/>
          <w:lang w:val="es-ES_tradnl"/>
        </w:rPr>
        <w:t>sobre</w:t>
      </w:r>
      <w:r w:rsidR="00813720">
        <w:rPr>
          <w:rFonts w:ascii="Verdana" w:hAnsi="Verdana"/>
          <w:sz w:val="20"/>
          <w:szCs w:val="20"/>
          <w:lang w:val="es-ES_tradnl"/>
        </w:rPr>
        <w:t>]</w:t>
      </w:r>
      <w:r w:rsidR="00104952" w:rsidRPr="00CF4CFF">
        <w:rPr>
          <w:rFonts w:ascii="Verdana" w:hAnsi="Verdana"/>
          <w:sz w:val="20"/>
          <w:szCs w:val="20"/>
          <w:lang w:val="es-ES_tradnl"/>
        </w:rPr>
        <w:t xml:space="preserve"> derechos sexuales y reproductivos </w:t>
      </w:r>
      <w:r w:rsidR="00813720">
        <w:rPr>
          <w:rFonts w:ascii="Verdana" w:hAnsi="Verdana"/>
          <w:sz w:val="20"/>
          <w:szCs w:val="20"/>
          <w:lang w:val="es-ES_tradnl"/>
        </w:rPr>
        <w:t>[para]</w:t>
      </w:r>
      <w:r w:rsidR="00104952" w:rsidRPr="00CF4CFF">
        <w:rPr>
          <w:rFonts w:ascii="Verdana" w:hAnsi="Verdana"/>
          <w:sz w:val="20"/>
          <w:szCs w:val="20"/>
          <w:lang w:val="es-ES_tradnl"/>
        </w:rPr>
        <w:t xml:space="preserve"> funcionarios públicos” y a la implementación de dicho marco de trabajo</w:t>
      </w:r>
      <w:r w:rsidR="00CF4CFF">
        <w:rPr>
          <w:rFonts w:ascii="Verdana" w:hAnsi="Verdana"/>
          <w:sz w:val="20"/>
          <w:szCs w:val="20"/>
          <w:lang w:val="es-ES_tradnl"/>
        </w:rPr>
        <w:t xml:space="preserve"> (</w:t>
      </w:r>
      <w:r w:rsidR="00CF4CFF" w:rsidRPr="00CF4CFF">
        <w:rPr>
          <w:rFonts w:ascii="Verdana" w:hAnsi="Verdana"/>
          <w:i/>
          <w:iCs/>
          <w:sz w:val="20"/>
          <w:szCs w:val="20"/>
          <w:lang w:val="es-ES_tradnl"/>
        </w:rPr>
        <w:t>infra</w:t>
      </w:r>
      <w:r w:rsidR="00CF4CFF">
        <w:rPr>
          <w:rFonts w:ascii="Verdana" w:hAnsi="Verdana"/>
          <w:sz w:val="20"/>
          <w:szCs w:val="20"/>
          <w:lang w:val="es-ES_tradnl"/>
        </w:rPr>
        <w:t xml:space="preserve"> Considerandos </w:t>
      </w:r>
      <w:r w:rsidR="002C32AC">
        <w:rPr>
          <w:rFonts w:ascii="Verdana" w:hAnsi="Verdana"/>
          <w:sz w:val="20"/>
          <w:szCs w:val="20"/>
          <w:lang w:val="es-ES_tradnl"/>
        </w:rPr>
        <w:t>11 a 14)</w:t>
      </w:r>
      <w:r w:rsidR="002C32AC" w:rsidRPr="00CF4CFF">
        <w:rPr>
          <w:rFonts w:ascii="Verdana" w:hAnsi="Verdana"/>
          <w:sz w:val="20"/>
          <w:szCs w:val="20"/>
          <w:lang w:val="es-ES_tradnl"/>
        </w:rPr>
        <w:t xml:space="preserve">. </w:t>
      </w:r>
      <w:r w:rsidR="00CF4CFF">
        <w:rPr>
          <w:rFonts w:ascii="Verdana" w:hAnsi="Verdana"/>
          <w:sz w:val="20"/>
          <w:szCs w:val="20"/>
          <w:lang w:val="es-ES_tradnl"/>
        </w:rPr>
        <w:t>Al presentar</w:t>
      </w:r>
      <w:r w:rsidR="00FB2888" w:rsidRPr="00CF4CFF">
        <w:rPr>
          <w:rFonts w:ascii="Verdana" w:hAnsi="Verdana"/>
          <w:sz w:val="20"/>
          <w:szCs w:val="20"/>
          <w:lang w:val="es-ES_tradnl"/>
        </w:rPr>
        <w:t xml:space="preserve"> observaciones a </w:t>
      </w:r>
      <w:r w:rsidR="00FA2A3C">
        <w:rPr>
          <w:rFonts w:ascii="Verdana" w:hAnsi="Verdana"/>
          <w:sz w:val="20"/>
          <w:szCs w:val="20"/>
          <w:lang w:val="es-ES_tradnl"/>
        </w:rPr>
        <w:t xml:space="preserve">ese </w:t>
      </w:r>
      <w:r w:rsidR="00FB2888" w:rsidRPr="00CF4CFF">
        <w:rPr>
          <w:rFonts w:ascii="Verdana" w:hAnsi="Verdana"/>
          <w:sz w:val="20"/>
          <w:szCs w:val="20"/>
          <w:lang w:val="es-ES_tradnl"/>
        </w:rPr>
        <w:t>informe</w:t>
      </w:r>
      <w:r w:rsidR="00CF4CFF" w:rsidRPr="00CF4CFF">
        <w:rPr>
          <w:rFonts w:ascii="Verdana" w:hAnsi="Verdana"/>
          <w:sz w:val="20"/>
          <w:szCs w:val="20"/>
          <w:lang w:val="es-ES_tradnl"/>
        </w:rPr>
        <w:t>,</w:t>
      </w:r>
      <w:r w:rsidR="00FB2888" w:rsidRPr="00CF4CFF">
        <w:rPr>
          <w:rFonts w:ascii="Verdana" w:hAnsi="Verdana"/>
          <w:sz w:val="20"/>
          <w:szCs w:val="20"/>
          <w:lang w:val="es-ES_tradnl"/>
        </w:rPr>
        <w:t xml:space="preserve"> e</w:t>
      </w:r>
      <w:r w:rsidRPr="00CF4CFF">
        <w:rPr>
          <w:rFonts w:ascii="Verdana" w:hAnsi="Verdana"/>
          <w:sz w:val="20"/>
          <w:szCs w:val="20"/>
          <w:lang w:val="es-ES_tradnl"/>
        </w:rPr>
        <w:t xml:space="preserve">l </w:t>
      </w:r>
      <w:r w:rsidRPr="008C4144">
        <w:rPr>
          <w:rFonts w:ascii="Verdana" w:hAnsi="Verdana"/>
          <w:iCs/>
          <w:sz w:val="20"/>
          <w:szCs w:val="20"/>
          <w:lang w:val="es-ES_tradnl"/>
        </w:rPr>
        <w:t>representante</w:t>
      </w:r>
      <w:r w:rsidRPr="00CF4CFF">
        <w:rPr>
          <w:rFonts w:ascii="Verdana" w:hAnsi="Verdana"/>
          <w:sz w:val="20"/>
          <w:szCs w:val="20"/>
          <w:lang w:val="es-ES_tradnl"/>
        </w:rPr>
        <w:t xml:space="preserve"> y la Comisión </w:t>
      </w:r>
      <w:r w:rsidR="00FB2888" w:rsidRPr="00CF4CFF">
        <w:rPr>
          <w:rFonts w:ascii="Verdana" w:hAnsi="Verdana"/>
          <w:sz w:val="20"/>
          <w:szCs w:val="20"/>
          <w:lang w:val="es-ES_tradnl"/>
        </w:rPr>
        <w:t xml:space="preserve">Interamericana </w:t>
      </w:r>
      <w:r w:rsidR="00104952" w:rsidRPr="00CF4CFF">
        <w:rPr>
          <w:rFonts w:ascii="Verdana" w:hAnsi="Verdana"/>
          <w:sz w:val="20"/>
          <w:szCs w:val="20"/>
          <w:lang w:val="es-ES_tradnl"/>
        </w:rPr>
        <w:t xml:space="preserve">expresaron su conformidad con las </w:t>
      </w:r>
      <w:r w:rsidR="002C32AC">
        <w:rPr>
          <w:rFonts w:ascii="Verdana" w:hAnsi="Verdana"/>
          <w:sz w:val="20"/>
          <w:szCs w:val="20"/>
          <w:lang w:val="es-ES_tradnl"/>
        </w:rPr>
        <w:t>acciones</w:t>
      </w:r>
      <w:r w:rsidR="002C32AC" w:rsidRPr="00CF4CFF">
        <w:rPr>
          <w:rFonts w:ascii="Verdana" w:hAnsi="Verdana"/>
          <w:sz w:val="20"/>
          <w:szCs w:val="20"/>
          <w:lang w:val="es-ES_tradnl"/>
        </w:rPr>
        <w:t xml:space="preserve"> </w:t>
      </w:r>
      <w:r w:rsidR="00104952" w:rsidRPr="00CF4CFF">
        <w:rPr>
          <w:rFonts w:ascii="Verdana" w:hAnsi="Verdana"/>
          <w:sz w:val="20"/>
          <w:szCs w:val="20"/>
          <w:lang w:val="es-ES_tradnl"/>
        </w:rPr>
        <w:t>adoptadas por el Estado</w:t>
      </w:r>
      <w:r w:rsidR="00104952" w:rsidRPr="00CF4CFF">
        <w:rPr>
          <w:rStyle w:val="Refdenotaalpie"/>
          <w:rFonts w:ascii="Verdana" w:hAnsi="Verdana"/>
          <w:sz w:val="20"/>
          <w:szCs w:val="20"/>
          <w:lang w:val="es-ES_tradnl"/>
        </w:rPr>
        <w:footnoteReference w:id="15"/>
      </w:r>
      <w:r w:rsidR="00104952" w:rsidRPr="00CF4CFF">
        <w:rPr>
          <w:rFonts w:ascii="Verdana" w:hAnsi="Verdana"/>
          <w:sz w:val="20"/>
          <w:szCs w:val="20"/>
          <w:lang w:val="es-ES_tradnl"/>
        </w:rPr>
        <w:t>, y</w:t>
      </w:r>
      <w:r w:rsidR="00FB2888" w:rsidRPr="00CF4CFF">
        <w:rPr>
          <w:rFonts w:ascii="Verdana" w:hAnsi="Verdana"/>
          <w:sz w:val="20"/>
          <w:szCs w:val="20"/>
          <w:lang w:val="es-ES_tradnl"/>
        </w:rPr>
        <w:t xml:space="preserve"> </w:t>
      </w:r>
      <w:r w:rsidRPr="00CF4CFF">
        <w:rPr>
          <w:rFonts w:ascii="Verdana" w:hAnsi="Verdana"/>
          <w:sz w:val="20"/>
          <w:szCs w:val="20"/>
          <w:lang w:val="es-ES_tradnl"/>
        </w:rPr>
        <w:t xml:space="preserve">no indicaron </w:t>
      </w:r>
      <w:r w:rsidR="00CF4CFF">
        <w:rPr>
          <w:rFonts w:ascii="Verdana" w:hAnsi="Verdana"/>
          <w:sz w:val="20"/>
          <w:szCs w:val="20"/>
          <w:lang w:val="es-ES_tradnl"/>
        </w:rPr>
        <w:t xml:space="preserve">otras </w:t>
      </w:r>
      <w:r w:rsidRPr="00CF4CFF">
        <w:rPr>
          <w:rFonts w:ascii="Verdana" w:hAnsi="Verdana"/>
          <w:sz w:val="20"/>
          <w:szCs w:val="20"/>
          <w:lang w:val="es-ES_tradnl"/>
        </w:rPr>
        <w:t xml:space="preserve">que debieran ser implementadas </w:t>
      </w:r>
      <w:r w:rsidR="00104952" w:rsidRPr="00CF4CFF">
        <w:rPr>
          <w:rFonts w:ascii="Verdana" w:hAnsi="Verdana"/>
          <w:sz w:val="20"/>
          <w:szCs w:val="20"/>
          <w:lang w:val="es-ES_tradnl"/>
        </w:rPr>
        <w:t xml:space="preserve">para dar cumplimiento </w:t>
      </w:r>
      <w:r w:rsidR="00104952" w:rsidRPr="00CF4CFF">
        <w:rPr>
          <w:rFonts w:ascii="Verdana" w:hAnsi="Verdana"/>
          <w:sz w:val="20"/>
          <w:szCs w:val="20"/>
          <w:lang w:val="es-ES_tradnl"/>
        </w:rPr>
        <w:lastRenderedPageBreak/>
        <w:t>a est</w:t>
      </w:r>
      <w:r w:rsidR="00CF4CFF" w:rsidRPr="00CF4CFF">
        <w:rPr>
          <w:rFonts w:ascii="Verdana" w:hAnsi="Verdana"/>
          <w:sz w:val="20"/>
          <w:szCs w:val="20"/>
          <w:lang w:val="es-ES_tradnl"/>
        </w:rPr>
        <w:t xml:space="preserve">e punto de la </w:t>
      </w:r>
      <w:r w:rsidR="00104952" w:rsidRPr="00CF4CFF">
        <w:rPr>
          <w:rFonts w:ascii="Verdana" w:hAnsi="Verdana"/>
          <w:sz w:val="20"/>
          <w:szCs w:val="20"/>
          <w:lang w:val="es-ES_tradnl"/>
        </w:rPr>
        <w:t>Sentencia</w:t>
      </w:r>
      <w:r w:rsidR="00CF4CFF">
        <w:rPr>
          <w:rFonts w:ascii="Verdana" w:hAnsi="Verdana"/>
          <w:sz w:val="20"/>
          <w:szCs w:val="20"/>
          <w:lang w:val="es-ES_tradnl"/>
        </w:rPr>
        <w:t xml:space="preserve">. </w:t>
      </w:r>
      <w:r w:rsidR="00EE39D0" w:rsidRPr="00EE39D0">
        <w:rPr>
          <w:rFonts w:ascii="Verdana" w:hAnsi="Verdana"/>
          <w:sz w:val="20"/>
          <w:szCs w:val="20"/>
          <w:lang w:val="es-ES_tradnl"/>
        </w:rPr>
        <w:t>En consecuencia</w:t>
      </w:r>
      <w:r w:rsidR="00CF4CFF" w:rsidRPr="00EE39D0">
        <w:rPr>
          <w:rFonts w:ascii="Verdana" w:hAnsi="Verdana"/>
          <w:sz w:val="20"/>
          <w:szCs w:val="20"/>
          <w:lang w:val="es-ES_tradnl"/>
        </w:rPr>
        <w:t xml:space="preserve">, </w:t>
      </w:r>
      <w:r w:rsidR="00104952" w:rsidRPr="00EE39D0">
        <w:rPr>
          <w:rFonts w:ascii="Verdana" w:hAnsi="Verdana"/>
          <w:sz w:val="20"/>
          <w:szCs w:val="20"/>
          <w:lang w:val="es-ES_tradnl"/>
        </w:rPr>
        <w:t>la Corte</w:t>
      </w:r>
      <w:r w:rsidR="00CF4CFF" w:rsidRPr="00EE39D0">
        <w:rPr>
          <w:rFonts w:ascii="Verdana" w:hAnsi="Verdana"/>
          <w:sz w:val="20"/>
          <w:szCs w:val="20"/>
          <w:lang w:val="es-ES_tradnl"/>
        </w:rPr>
        <w:t xml:space="preserve"> </w:t>
      </w:r>
      <w:r w:rsidR="005B7DF5">
        <w:rPr>
          <w:rFonts w:ascii="Verdana" w:hAnsi="Verdana"/>
          <w:sz w:val="20"/>
          <w:szCs w:val="20"/>
          <w:lang w:val="es-ES_tradnl"/>
        </w:rPr>
        <w:t>entiende</w:t>
      </w:r>
      <w:r w:rsidR="00CF4CFF" w:rsidRPr="00EE39D0">
        <w:rPr>
          <w:rFonts w:ascii="Verdana" w:hAnsi="Verdana"/>
          <w:sz w:val="20"/>
          <w:szCs w:val="20"/>
          <w:lang w:val="es-ES_tradnl"/>
        </w:rPr>
        <w:t xml:space="preserve"> que existe conformidad con las acciones señaladas por el Estado en </w:t>
      </w:r>
      <w:r w:rsidR="002C32AC">
        <w:rPr>
          <w:rFonts w:ascii="Verdana" w:hAnsi="Verdana"/>
          <w:sz w:val="20"/>
          <w:szCs w:val="20"/>
          <w:lang w:val="es-ES_tradnl"/>
        </w:rPr>
        <w:t>el referido</w:t>
      </w:r>
      <w:r w:rsidR="002C32AC" w:rsidRPr="00EE39D0">
        <w:rPr>
          <w:rFonts w:ascii="Verdana" w:hAnsi="Verdana"/>
          <w:sz w:val="20"/>
          <w:szCs w:val="20"/>
          <w:lang w:val="es-ES_tradnl"/>
        </w:rPr>
        <w:t xml:space="preserve"> </w:t>
      </w:r>
      <w:r w:rsidR="00CF4CFF" w:rsidRPr="00EE39D0">
        <w:rPr>
          <w:rFonts w:ascii="Verdana" w:hAnsi="Verdana"/>
          <w:sz w:val="20"/>
          <w:szCs w:val="20"/>
          <w:lang w:val="es-ES_tradnl"/>
        </w:rPr>
        <w:t>informe,</w:t>
      </w:r>
      <w:r w:rsidR="00EE39D0" w:rsidRPr="00EE39D0">
        <w:rPr>
          <w:rFonts w:ascii="Verdana" w:hAnsi="Verdana"/>
          <w:sz w:val="20"/>
          <w:szCs w:val="20"/>
          <w:lang w:val="es-ES_tradnl"/>
        </w:rPr>
        <w:t xml:space="preserve"> por lo cual,</w:t>
      </w:r>
      <w:r w:rsidR="00CF4CFF" w:rsidRPr="00EE39D0">
        <w:rPr>
          <w:rFonts w:ascii="Verdana" w:hAnsi="Verdana"/>
          <w:sz w:val="20"/>
          <w:szCs w:val="20"/>
          <w:lang w:val="es-ES_tradnl"/>
        </w:rPr>
        <w:t xml:space="preserve"> sólo </w:t>
      </w:r>
      <w:r w:rsidR="00A14A59" w:rsidRPr="00EE39D0">
        <w:rPr>
          <w:rFonts w:ascii="Verdana" w:hAnsi="Verdana"/>
          <w:sz w:val="20"/>
          <w:szCs w:val="20"/>
          <w:lang w:val="es-ES_tradnl"/>
        </w:rPr>
        <w:t xml:space="preserve">se </w:t>
      </w:r>
      <w:r w:rsidR="00104952" w:rsidRPr="00EE39D0">
        <w:rPr>
          <w:rFonts w:ascii="Verdana" w:hAnsi="Verdana"/>
          <w:sz w:val="20"/>
          <w:szCs w:val="20"/>
          <w:lang w:val="es-ES_tradnl"/>
        </w:rPr>
        <w:t>supervisar</w:t>
      </w:r>
      <w:r w:rsidR="00A14A59" w:rsidRPr="00EE39D0">
        <w:rPr>
          <w:rFonts w:ascii="Verdana" w:hAnsi="Verdana"/>
          <w:sz w:val="20"/>
          <w:szCs w:val="20"/>
          <w:lang w:val="es-ES_tradnl"/>
        </w:rPr>
        <w:t>án</w:t>
      </w:r>
      <w:r w:rsidR="00104952" w:rsidRPr="00EE39D0">
        <w:rPr>
          <w:rFonts w:ascii="Verdana" w:hAnsi="Verdana"/>
          <w:sz w:val="20"/>
          <w:szCs w:val="20"/>
          <w:lang w:val="es-ES_tradnl"/>
        </w:rPr>
        <w:t xml:space="preserve"> las </w:t>
      </w:r>
      <w:r w:rsidR="002C32AC">
        <w:rPr>
          <w:rFonts w:ascii="Verdana" w:hAnsi="Verdana"/>
          <w:sz w:val="20"/>
          <w:szCs w:val="20"/>
          <w:lang w:val="es-ES_tradnl"/>
        </w:rPr>
        <w:t>acciones</w:t>
      </w:r>
      <w:r w:rsidR="002C32AC" w:rsidRPr="00EE39D0">
        <w:rPr>
          <w:rFonts w:ascii="Verdana" w:hAnsi="Verdana"/>
          <w:sz w:val="20"/>
          <w:szCs w:val="20"/>
          <w:lang w:val="es-ES_tradnl"/>
        </w:rPr>
        <w:t xml:space="preserve"> </w:t>
      </w:r>
      <w:r w:rsidR="00104952" w:rsidRPr="00EE39D0">
        <w:rPr>
          <w:rFonts w:ascii="Verdana" w:hAnsi="Verdana"/>
          <w:sz w:val="20"/>
          <w:szCs w:val="20"/>
          <w:lang w:val="es-ES_tradnl"/>
        </w:rPr>
        <w:t>adoptadas por Costa Rica</w:t>
      </w:r>
      <w:r w:rsidR="00CF4CFF" w:rsidRPr="00EE39D0">
        <w:rPr>
          <w:rFonts w:ascii="Verdana" w:hAnsi="Verdana"/>
          <w:sz w:val="20"/>
          <w:szCs w:val="20"/>
          <w:lang w:val="es-ES_tradnl"/>
        </w:rPr>
        <w:t xml:space="preserve"> para implementar cursos o capacitaciones sobre derechos sexuales y reproductivos para funcionarios públicos. </w:t>
      </w:r>
    </w:p>
    <w:p w14:paraId="2BF0DF2B" w14:textId="7E5562D8" w:rsidR="00667D9F" w:rsidRPr="00F01F21" w:rsidRDefault="00CF4CFF"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3604C0">
        <w:rPr>
          <w:rFonts w:ascii="Verdana" w:hAnsi="Verdana"/>
          <w:sz w:val="20"/>
          <w:szCs w:val="20"/>
          <w:lang w:val="es-ES_tradnl"/>
        </w:rPr>
        <w:t xml:space="preserve">Según lo indicado por el Estado, </w:t>
      </w:r>
      <w:r w:rsidR="00813720" w:rsidRPr="003604C0">
        <w:rPr>
          <w:rFonts w:ascii="Verdana" w:hAnsi="Verdana"/>
          <w:sz w:val="20"/>
          <w:szCs w:val="20"/>
          <w:lang w:val="es-ES_tradnl"/>
        </w:rPr>
        <w:t xml:space="preserve">en febrero de 2017 la Presidencia de la República de Costa Rica </w:t>
      </w:r>
      <w:r w:rsidR="00BB2F48">
        <w:rPr>
          <w:rFonts w:ascii="Verdana" w:hAnsi="Verdana"/>
          <w:sz w:val="20"/>
          <w:szCs w:val="20"/>
          <w:lang w:val="es-ES_tradnl"/>
        </w:rPr>
        <w:t>y el Ministerio de Relaciones Exteriores</w:t>
      </w:r>
      <w:r w:rsidR="002C32AC">
        <w:rPr>
          <w:rFonts w:ascii="Verdana" w:hAnsi="Verdana"/>
          <w:sz w:val="20"/>
          <w:szCs w:val="20"/>
          <w:lang w:val="es-ES_tradnl"/>
        </w:rPr>
        <w:t xml:space="preserve"> y Culto</w:t>
      </w:r>
      <w:r w:rsidR="00BB2F48">
        <w:rPr>
          <w:rFonts w:ascii="Verdana" w:hAnsi="Verdana"/>
          <w:sz w:val="20"/>
          <w:szCs w:val="20"/>
          <w:lang w:val="es-ES_tradnl"/>
        </w:rPr>
        <w:t xml:space="preserve"> </w:t>
      </w:r>
      <w:r w:rsidR="00813720" w:rsidRPr="003604C0">
        <w:rPr>
          <w:rFonts w:ascii="Verdana" w:hAnsi="Verdana"/>
          <w:sz w:val="20"/>
          <w:szCs w:val="20"/>
          <w:lang w:val="es-ES_tradnl"/>
        </w:rPr>
        <w:t>“</w:t>
      </w:r>
      <w:proofErr w:type="spellStart"/>
      <w:r w:rsidR="00813720" w:rsidRPr="003604C0">
        <w:rPr>
          <w:rFonts w:ascii="Verdana" w:hAnsi="Verdana"/>
          <w:sz w:val="20"/>
          <w:szCs w:val="20"/>
          <w:lang w:val="es-ES_tradnl"/>
        </w:rPr>
        <w:t>gestion</w:t>
      </w:r>
      <w:proofErr w:type="spellEnd"/>
      <w:r w:rsidR="00BB2F48">
        <w:rPr>
          <w:rFonts w:ascii="Verdana" w:hAnsi="Verdana"/>
          <w:sz w:val="20"/>
          <w:szCs w:val="20"/>
          <w:lang w:val="es-ES_tradnl"/>
        </w:rPr>
        <w:t>[aron]</w:t>
      </w:r>
      <w:r w:rsidR="00813720" w:rsidRPr="003604C0">
        <w:rPr>
          <w:rFonts w:ascii="Verdana" w:hAnsi="Verdana"/>
          <w:sz w:val="20"/>
          <w:szCs w:val="20"/>
          <w:lang w:val="es-ES_tradnl"/>
        </w:rPr>
        <w:t xml:space="preserve"> una primera sesión de trabajo con la Defensoría de los Habitantes […] para generar un marco de trabajo para implementar capacitaciones o cursos para difundir información sobre los derechos sexuales y reproductivos</w:t>
      </w:r>
      <w:r w:rsidR="00E578E3" w:rsidRPr="003604C0">
        <w:rPr>
          <w:rFonts w:ascii="Verdana" w:hAnsi="Verdana"/>
          <w:sz w:val="20"/>
          <w:szCs w:val="20"/>
          <w:lang w:val="es-ES_tradnl"/>
        </w:rPr>
        <w:t xml:space="preserve"> en funcionarios públicos”</w:t>
      </w:r>
      <w:r w:rsidR="00BB2F48">
        <w:rPr>
          <w:rStyle w:val="Refdenotaalpie"/>
          <w:rFonts w:ascii="Verdana" w:hAnsi="Verdana"/>
          <w:sz w:val="20"/>
          <w:szCs w:val="20"/>
          <w:lang w:val="es-ES_tradnl"/>
        </w:rPr>
        <w:footnoteReference w:id="16"/>
      </w:r>
      <w:r w:rsidR="00E578E3" w:rsidRPr="003604C0">
        <w:rPr>
          <w:rFonts w:ascii="Verdana" w:hAnsi="Verdana"/>
          <w:sz w:val="20"/>
          <w:szCs w:val="20"/>
          <w:lang w:val="es-ES_tradnl"/>
        </w:rPr>
        <w:t xml:space="preserve">. En dicha sesión, se planteó la posibilidad de “replicar” </w:t>
      </w:r>
      <w:r w:rsidR="002C32AC">
        <w:rPr>
          <w:rFonts w:ascii="Verdana" w:hAnsi="Verdana"/>
          <w:sz w:val="20"/>
          <w:szCs w:val="20"/>
          <w:lang w:val="es-ES_tradnl"/>
        </w:rPr>
        <w:t>el “</w:t>
      </w:r>
      <w:r w:rsidR="002C32AC" w:rsidRPr="003604C0">
        <w:rPr>
          <w:rFonts w:ascii="Verdana" w:hAnsi="Verdana"/>
          <w:sz w:val="20"/>
          <w:szCs w:val="20"/>
          <w:lang w:val="es-ES_tradnl"/>
        </w:rPr>
        <w:t xml:space="preserve">modelo de capacitación” que desde hacía tres años estaba implementando la Defensoría de los Habitantes junto con la Escuela Judicial de Costa Rica, en cumplimiento de lo ordenado en la Sentencia del Caso </w:t>
      </w:r>
      <w:r w:rsidR="002C32AC" w:rsidRPr="003604C0">
        <w:rPr>
          <w:rFonts w:ascii="Verdana" w:hAnsi="Verdana"/>
          <w:i/>
          <w:iCs/>
          <w:sz w:val="20"/>
          <w:szCs w:val="20"/>
          <w:lang w:val="es-ES_tradnl"/>
        </w:rPr>
        <w:t>Artavia Murillo y otros</w:t>
      </w:r>
      <w:r w:rsidR="002C32AC">
        <w:rPr>
          <w:rFonts w:ascii="Verdana" w:hAnsi="Verdana"/>
          <w:i/>
          <w:iCs/>
          <w:sz w:val="20"/>
          <w:szCs w:val="20"/>
          <w:lang w:val="es-ES_tradnl"/>
        </w:rPr>
        <w:t xml:space="preserve">, </w:t>
      </w:r>
      <w:r w:rsidR="002C32AC" w:rsidRPr="008C4144">
        <w:rPr>
          <w:rFonts w:ascii="Verdana" w:hAnsi="Verdana"/>
          <w:iCs/>
          <w:sz w:val="20"/>
          <w:szCs w:val="20"/>
          <w:lang w:val="es-ES_tradnl"/>
        </w:rPr>
        <w:t>así como de</w:t>
      </w:r>
      <w:r w:rsidR="00E578E3" w:rsidRPr="003604C0">
        <w:rPr>
          <w:rFonts w:ascii="Verdana" w:hAnsi="Verdana"/>
          <w:sz w:val="20"/>
          <w:szCs w:val="20"/>
          <w:lang w:val="es-ES_tradnl"/>
        </w:rPr>
        <w:t xml:space="preserve"> “expandir […] la participación [a otros] actores estratégicos” </w:t>
      </w:r>
      <w:r w:rsidR="00667D9F" w:rsidRPr="00667D9F">
        <w:rPr>
          <w:rFonts w:ascii="Verdana" w:hAnsi="Verdana"/>
          <w:sz w:val="20"/>
          <w:szCs w:val="20"/>
          <w:lang w:val="es-ES_tradnl"/>
        </w:rPr>
        <w:t>(</w:t>
      </w:r>
      <w:r w:rsidR="00667D9F" w:rsidRPr="00667D9F">
        <w:rPr>
          <w:rFonts w:ascii="Verdana" w:hAnsi="Verdana"/>
          <w:i/>
          <w:iCs/>
          <w:sz w:val="20"/>
          <w:szCs w:val="20"/>
          <w:lang w:val="es-ES_tradnl"/>
        </w:rPr>
        <w:t>infra</w:t>
      </w:r>
      <w:r w:rsidR="00667D9F" w:rsidRPr="00667D9F">
        <w:rPr>
          <w:rFonts w:ascii="Verdana" w:hAnsi="Verdana"/>
          <w:sz w:val="20"/>
          <w:szCs w:val="20"/>
          <w:lang w:val="es-ES_tradnl"/>
        </w:rPr>
        <w:t xml:space="preserve"> Considerando </w:t>
      </w:r>
      <w:r w:rsidR="002C32AC">
        <w:rPr>
          <w:rFonts w:ascii="Verdana" w:hAnsi="Verdana"/>
          <w:sz w:val="20"/>
          <w:szCs w:val="20"/>
          <w:lang w:val="es-ES_tradnl"/>
        </w:rPr>
        <w:t>13</w:t>
      </w:r>
      <w:r w:rsidR="00667D9F" w:rsidRPr="00667D9F">
        <w:rPr>
          <w:rFonts w:ascii="Verdana" w:hAnsi="Verdana"/>
          <w:sz w:val="20"/>
          <w:szCs w:val="20"/>
          <w:lang w:val="es-ES_tradnl"/>
        </w:rPr>
        <w:t>)</w:t>
      </w:r>
      <w:r w:rsidR="00E578E3" w:rsidRPr="00667D9F">
        <w:rPr>
          <w:rFonts w:ascii="Verdana" w:hAnsi="Verdana"/>
          <w:sz w:val="20"/>
          <w:szCs w:val="20"/>
          <w:lang w:val="es-ES_tradnl"/>
        </w:rPr>
        <w:t>.</w:t>
      </w:r>
      <w:r w:rsidR="00E578E3" w:rsidRPr="003604C0">
        <w:rPr>
          <w:rFonts w:ascii="Verdana" w:hAnsi="Verdana"/>
          <w:sz w:val="20"/>
          <w:szCs w:val="20"/>
          <w:lang w:val="es-ES_tradnl"/>
        </w:rPr>
        <w:t xml:space="preserve"> </w:t>
      </w:r>
      <w:r w:rsidR="00E578E3" w:rsidRPr="00B54B63">
        <w:rPr>
          <w:rFonts w:ascii="Verdana" w:hAnsi="Verdana"/>
          <w:color w:val="000000" w:themeColor="text1"/>
          <w:sz w:val="20"/>
          <w:szCs w:val="20"/>
          <w:lang w:val="es-ES_tradnl"/>
        </w:rPr>
        <w:t xml:space="preserve">Posteriormente, se </w:t>
      </w:r>
      <w:r w:rsidR="00BB2F48" w:rsidRPr="00B54B63">
        <w:rPr>
          <w:rFonts w:ascii="Verdana" w:hAnsi="Verdana"/>
          <w:color w:val="000000" w:themeColor="text1"/>
          <w:sz w:val="20"/>
          <w:szCs w:val="20"/>
          <w:lang w:val="es-ES_tradnl"/>
        </w:rPr>
        <w:t>solicitó a la</w:t>
      </w:r>
      <w:r w:rsidR="003604C0" w:rsidRPr="00B54B63">
        <w:rPr>
          <w:rFonts w:ascii="Verdana" w:hAnsi="Verdana"/>
          <w:color w:val="000000" w:themeColor="text1"/>
          <w:sz w:val="20"/>
          <w:szCs w:val="20"/>
          <w:lang w:val="es-ES_tradnl"/>
        </w:rPr>
        <w:t xml:space="preserve"> Escuela Judicial </w:t>
      </w:r>
      <w:r w:rsidR="00BB2F48" w:rsidRPr="00B54B63">
        <w:rPr>
          <w:rFonts w:ascii="Verdana" w:hAnsi="Verdana"/>
          <w:color w:val="000000" w:themeColor="text1"/>
          <w:sz w:val="20"/>
          <w:szCs w:val="20"/>
          <w:lang w:val="es-ES_tradnl"/>
        </w:rPr>
        <w:t xml:space="preserve">de Costa Rica “valorar la posibilidad de incorporar en el Taller de Derechos Humanos Sexuales y Reproductivos, a servidores de otros poderes e instituciones autónomas”, </w:t>
      </w:r>
      <w:r w:rsidR="002C32AC">
        <w:rPr>
          <w:rFonts w:ascii="Verdana" w:hAnsi="Verdana"/>
          <w:color w:val="000000" w:themeColor="text1"/>
          <w:sz w:val="20"/>
          <w:szCs w:val="20"/>
          <w:lang w:val="es-ES_tradnl"/>
        </w:rPr>
        <w:t>“</w:t>
      </w:r>
      <w:r w:rsidR="00BB2F48" w:rsidRPr="00B54B63">
        <w:rPr>
          <w:rFonts w:ascii="Verdana" w:hAnsi="Verdana"/>
          <w:color w:val="000000" w:themeColor="text1"/>
          <w:sz w:val="20"/>
          <w:szCs w:val="20"/>
          <w:lang w:val="es-ES_tradnl"/>
        </w:rPr>
        <w:t xml:space="preserve">debido a que guarda relación directa con las medidas de no repetición que se pactaron en el acuerdo </w:t>
      </w:r>
      <w:r w:rsidR="002C32AC">
        <w:rPr>
          <w:rFonts w:ascii="Verdana" w:hAnsi="Verdana"/>
          <w:color w:val="000000" w:themeColor="text1"/>
          <w:sz w:val="20"/>
          <w:szCs w:val="20"/>
          <w:lang w:val="es-ES_tradnl"/>
        </w:rPr>
        <w:t>[de solución amistosa]</w:t>
      </w:r>
      <w:r w:rsidR="00BB2F48" w:rsidRPr="00B54B63">
        <w:rPr>
          <w:rFonts w:ascii="Verdana" w:hAnsi="Verdana"/>
          <w:color w:val="000000" w:themeColor="text1"/>
          <w:sz w:val="20"/>
          <w:szCs w:val="20"/>
          <w:lang w:val="es-ES_tradnl"/>
        </w:rPr>
        <w:t>”</w:t>
      </w:r>
      <w:r w:rsidR="00BB2F48" w:rsidRPr="00B54B63">
        <w:rPr>
          <w:rStyle w:val="Refdenotaalpie"/>
          <w:rFonts w:ascii="Verdana" w:hAnsi="Verdana"/>
          <w:color w:val="000000" w:themeColor="text1"/>
          <w:sz w:val="20"/>
          <w:szCs w:val="20"/>
          <w:lang w:val="es-ES_tradnl"/>
        </w:rPr>
        <w:footnoteReference w:id="17"/>
      </w:r>
      <w:r w:rsidR="00BB2F48" w:rsidRPr="00B54B63">
        <w:rPr>
          <w:rFonts w:ascii="Verdana" w:hAnsi="Verdana"/>
          <w:color w:val="000000" w:themeColor="text1"/>
          <w:sz w:val="20"/>
          <w:szCs w:val="20"/>
          <w:lang w:val="es-ES_tradnl"/>
        </w:rPr>
        <w:t xml:space="preserve">. </w:t>
      </w:r>
      <w:r w:rsidR="00B54B63" w:rsidRPr="00F01F21">
        <w:rPr>
          <w:rFonts w:ascii="Verdana" w:hAnsi="Verdana"/>
          <w:sz w:val="20"/>
          <w:szCs w:val="20"/>
          <w:lang w:val="es-ES_tradnl"/>
        </w:rPr>
        <w:t xml:space="preserve">Además, en julio de 2017 se efectuó una reunión de trabajo </w:t>
      </w:r>
      <w:r w:rsidR="00223C0E" w:rsidRPr="00F01F21">
        <w:rPr>
          <w:rFonts w:ascii="Verdana" w:hAnsi="Verdana"/>
          <w:sz w:val="20"/>
          <w:szCs w:val="20"/>
          <w:lang w:val="es-ES_tradnl"/>
        </w:rPr>
        <w:t>con representantes de la academia y la sociedad civil y funcionarias estatales</w:t>
      </w:r>
      <w:r w:rsidR="00223C0E" w:rsidRPr="00F01F21">
        <w:rPr>
          <w:rStyle w:val="Refdenotaalpie"/>
          <w:rFonts w:ascii="Verdana" w:hAnsi="Verdana"/>
          <w:sz w:val="20"/>
          <w:szCs w:val="20"/>
          <w:lang w:val="es-ES_tradnl"/>
        </w:rPr>
        <w:footnoteReference w:id="18"/>
      </w:r>
      <w:r w:rsidR="00223C0E" w:rsidRPr="00F01F21">
        <w:rPr>
          <w:rFonts w:ascii="Verdana" w:hAnsi="Verdana"/>
          <w:sz w:val="20"/>
          <w:szCs w:val="20"/>
          <w:lang w:val="es-ES_tradnl"/>
        </w:rPr>
        <w:t xml:space="preserve"> para “</w:t>
      </w:r>
      <w:r w:rsidR="002C32AC">
        <w:rPr>
          <w:rFonts w:ascii="Verdana" w:hAnsi="Verdana"/>
          <w:sz w:val="20"/>
          <w:szCs w:val="20"/>
          <w:lang w:val="es-ES_tradnl"/>
        </w:rPr>
        <w:t>reflexión[</w:t>
      </w:r>
      <w:r w:rsidR="00223C0E" w:rsidRPr="00F01F21">
        <w:rPr>
          <w:rFonts w:ascii="Verdana" w:hAnsi="Verdana"/>
          <w:sz w:val="20"/>
          <w:szCs w:val="20"/>
          <w:lang w:val="es-ES_tradnl"/>
        </w:rPr>
        <w:t>ar</w:t>
      </w:r>
      <w:r w:rsidR="002C32AC">
        <w:rPr>
          <w:rFonts w:ascii="Verdana" w:hAnsi="Verdana"/>
          <w:sz w:val="20"/>
          <w:szCs w:val="20"/>
          <w:lang w:val="es-ES_tradnl"/>
        </w:rPr>
        <w:t>]</w:t>
      </w:r>
      <w:r w:rsidR="00223C0E" w:rsidRPr="00F01F21">
        <w:rPr>
          <w:rFonts w:ascii="Verdana" w:hAnsi="Verdana"/>
          <w:sz w:val="20"/>
          <w:szCs w:val="20"/>
          <w:lang w:val="es-ES_tradnl"/>
        </w:rPr>
        <w:t xml:space="preserve"> en torno a la situación actual de los derechos sexuales y reproductivos en el Estados”</w:t>
      </w:r>
      <w:r w:rsidR="00223C0E" w:rsidRPr="00F01F21">
        <w:rPr>
          <w:rStyle w:val="Refdenotaalpie"/>
          <w:rFonts w:ascii="Verdana" w:hAnsi="Verdana"/>
          <w:sz w:val="20"/>
          <w:szCs w:val="20"/>
          <w:lang w:val="es-ES_tradnl"/>
        </w:rPr>
        <w:footnoteReference w:id="19"/>
      </w:r>
      <w:r w:rsidR="005E32AF" w:rsidRPr="00F01F21">
        <w:rPr>
          <w:rFonts w:ascii="Verdana" w:hAnsi="Verdana"/>
          <w:sz w:val="20"/>
          <w:szCs w:val="20"/>
          <w:lang w:val="es-ES_tradnl"/>
        </w:rPr>
        <w:t>.</w:t>
      </w:r>
      <w:r w:rsidR="005E32AF" w:rsidRPr="00F01F21">
        <w:rPr>
          <w:rFonts w:ascii="Verdana" w:hAnsi="Verdana"/>
          <w:b/>
          <w:bCs/>
          <w:sz w:val="20"/>
          <w:szCs w:val="20"/>
          <w:lang w:val="es-ES_tradnl"/>
        </w:rPr>
        <w:t xml:space="preserve"> </w:t>
      </w:r>
      <w:r w:rsidR="00667D9F" w:rsidRPr="00F01F21">
        <w:rPr>
          <w:rFonts w:ascii="Verdana" w:hAnsi="Verdana"/>
          <w:sz w:val="20"/>
          <w:szCs w:val="20"/>
          <w:lang w:val="es-ES_tradnl"/>
        </w:rPr>
        <w:t xml:space="preserve">Como resultado de lo anterior, se </w:t>
      </w:r>
      <w:r w:rsidR="005F3FE8">
        <w:rPr>
          <w:rFonts w:ascii="Verdana" w:hAnsi="Verdana"/>
          <w:sz w:val="20"/>
          <w:szCs w:val="20"/>
          <w:lang w:val="es-ES_tradnl"/>
        </w:rPr>
        <w:t xml:space="preserve">incluyó </w:t>
      </w:r>
      <w:r w:rsidR="00667D9F" w:rsidRPr="00F01F21">
        <w:rPr>
          <w:rFonts w:ascii="Verdana" w:hAnsi="Verdana"/>
          <w:sz w:val="20"/>
          <w:szCs w:val="20"/>
          <w:lang w:val="es-ES_tradnl"/>
        </w:rPr>
        <w:t xml:space="preserve">a varios funcionarios de la Caja Costarricense del Seguro Social, del </w:t>
      </w:r>
      <w:r w:rsidR="00667D9F" w:rsidRPr="00F01F21">
        <w:rPr>
          <w:rFonts w:ascii="Verdana" w:hAnsi="Verdana"/>
          <w:sz w:val="20"/>
          <w:szCs w:val="20"/>
          <w:lang w:val="es-ES"/>
        </w:rPr>
        <w:t xml:space="preserve">Centro de Desarrollo Estratégico e Información en Salud y Seguridad Social, del Ministerio de Relaciones Exteriores y Culto y de la Presidencia de la República en </w:t>
      </w:r>
      <w:r w:rsidR="00BE2E3A">
        <w:rPr>
          <w:rFonts w:ascii="Verdana" w:hAnsi="Verdana"/>
          <w:sz w:val="20"/>
          <w:szCs w:val="20"/>
          <w:lang w:val="es-ES"/>
        </w:rPr>
        <w:t xml:space="preserve">un </w:t>
      </w:r>
      <w:r w:rsidR="00667D9F" w:rsidRPr="00F01F21">
        <w:rPr>
          <w:rFonts w:ascii="Verdana" w:hAnsi="Verdana"/>
          <w:sz w:val="20"/>
          <w:szCs w:val="20"/>
          <w:lang w:val="es-ES"/>
        </w:rPr>
        <w:t>taller</w:t>
      </w:r>
      <w:r w:rsidR="00BE2E3A">
        <w:rPr>
          <w:rFonts w:ascii="Verdana" w:hAnsi="Verdana"/>
          <w:sz w:val="20"/>
          <w:szCs w:val="20"/>
          <w:lang w:val="es-ES"/>
        </w:rPr>
        <w:t xml:space="preserve"> sobre</w:t>
      </w:r>
      <w:r w:rsidR="00667D9F" w:rsidRPr="00F01F21">
        <w:rPr>
          <w:rFonts w:ascii="Verdana" w:hAnsi="Verdana"/>
          <w:sz w:val="20"/>
          <w:szCs w:val="20"/>
          <w:lang w:val="es-ES"/>
        </w:rPr>
        <w:t xml:space="preserve"> </w:t>
      </w:r>
      <w:r w:rsidR="00410B79" w:rsidRPr="00F01F21">
        <w:rPr>
          <w:rFonts w:ascii="Verdana" w:hAnsi="Verdana"/>
          <w:sz w:val="20"/>
          <w:szCs w:val="20"/>
          <w:lang w:val="es-ES"/>
        </w:rPr>
        <w:t>“Derechos Humanos y Estándares Interamericanos” y</w:t>
      </w:r>
      <w:r w:rsidR="00BE2E3A">
        <w:rPr>
          <w:rFonts w:ascii="Verdana" w:hAnsi="Verdana"/>
          <w:sz w:val="20"/>
          <w:szCs w:val="20"/>
          <w:lang w:val="es-ES"/>
        </w:rPr>
        <w:t xml:space="preserve"> </w:t>
      </w:r>
      <w:r w:rsidR="007A1F2A">
        <w:rPr>
          <w:rFonts w:ascii="Verdana" w:hAnsi="Verdana"/>
          <w:sz w:val="20"/>
          <w:szCs w:val="20"/>
          <w:lang w:val="es-ES"/>
        </w:rPr>
        <w:t xml:space="preserve">en </w:t>
      </w:r>
      <w:r w:rsidR="00BE2E3A">
        <w:rPr>
          <w:rFonts w:ascii="Verdana" w:hAnsi="Verdana"/>
          <w:sz w:val="20"/>
          <w:szCs w:val="20"/>
          <w:lang w:val="es-ES"/>
        </w:rPr>
        <w:t>dos talleres sobre</w:t>
      </w:r>
      <w:r w:rsidR="00410B79" w:rsidRPr="00F01F21">
        <w:rPr>
          <w:rFonts w:ascii="Verdana" w:hAnsi="Verdana"/>
          <w:sz w:val="20"/>
          <w:szCs w:val="20"/>
          <w:lang w:val="es-ES"/>
        </w:rPr>
        <w:t xml:space="preserve"> “Derechos Humanos Sexuales y Reproductivos” impartidos </w:t>
      </w:r>
      <w:r w:rsidR="00BE2E3A">
        <w:rPr>
          <w:rFonts w:ascii="Verdana" w:hAnsi="Verdana"/>
          <w:sz w:val="20"/>
          <w:szCs w:val="20"/>
          <w:lang w:val="es-ES"/>
        </w:rPr>
        <w:t>en el segundo semestre del</w:t>
      </w:r>
      <w:r w:rsidR="00410B79" w:rsidRPr="00F01F21">
        <w:rPr>
          <w:rFonts w:ascii="Verdana" w:hAnsi="Verdana"/>
          <w:sz w:val="20"/>
          <w:szCs w:val="20"/>
          <w:lang w:val="es-ES"/>
        </w:rPr>
        <w:t xml:space="preserve"> 2017</w:t>
      </w:r>
      <w:r w:rsidR="005F3FE8">
        <w:rPr>
          <w:rFonts w:ascii="Verdana" w:hAnsi="Verdana"/>
          <w:sz w:val="20"/>
          <w:szCs w:val="20"/>
          <w:lang w:val="es-ES"/>
        </w:rPr>
        <w:t xml:space="preserve"> por la Escuela Judicial de Costa Rica</w:t>
      </w:r>
      <w:r w:rsidR="00BE2E3A">
        <w:rPr>
          <w:rStyle w:val="Refdenotaalpie"/>
          <w:rFonts w:ascii="Verdana" w:hAnsi="Verdana"/>
          <w:sz w:val="20"/>
          <w:szCs w:val="20"/>
          <w:lang w:val="es-ES"/>
        </w:rPr>
        <w:footnoteReference w:id="20"/>
      </w:r>
      <w:r w:rsidR="00410B79" w:rsidRPr="00F01F21">
        <w:rPr>
          <w:rFonts w:ascii="Verdana" w:hAnsi="Verdana"/>
          <w:sz w:val="20"/>
          <w:szCs w:val="20"/>
          <w:lang w:val="es-ES"/>
        </w:rPr>
        <w:t>.</w:t>
      </w:r>
    </w:p>
    <w:p w14:paraId="52AE3A01" w14:textId="01A0AE28" w:rsidR="00D6169D" w:rsidRPr="00D6169D" w:rsidRDefault="002D67E7" w:rsidP="006634DD">
      <w:pPr>
        <w:pStyle w:val="Prrafodelista"/>
        <w:numPr>
          <w:ilvl w:val="0"/>
          <w:numId w:val="3"/>
        </w:numPr>
        <w:spacing w:before="120" w:after="120" w:line="240" w:lineRule="auto"/>
        <w:ind w:left="0" w:firstLine="0"/>
        <w:contextualSpacing w:val="0"/>
        <w:jc w:val="both"/>
        <w:rPr>
          <w:rFonts w:ascii="Verdana" w:hAnsi="Verdana"/>
          <w:color w:val="FF0000"/>
          <w:sz w:val="20"/>
          <w:szCs w:val="20"/>
          <w:lang w:val="es-ES_tradnl"/>
        </w:rPr>
      </w:pPr>
      <w:r w:rsidRPr="00F01F21">
        <w:rPr>
          <w:rFonts w:ascii="Verdana" w:hAnsi="Verdana"/>
          <w:sz w:val="20"/>
          <w:szCs w:val="20"/>
          <w:lang w:val="es-ES_tradnl"/>
        </w:rPr>
        <w:t xml:space="preserve">La Corte valora positivamente los acercamientos efectuados por el Estado con la Defensoría de los Habitantes, la Escuela Judicial de Costa Rica, la Caja Costarricense del Seguro Social y </w:t>
      </w:r>
      <w:r w:rsidR="00D6169D">
        <w:rPr>
          <w:rFonts w:ascii="Verdana" w:hAnsi="Verdana"/>
          <w:sz w:val="20"/>
          <w:szCs w:val="20"/>
          <w:lang w:val="es-ES_tradnl"/>
        </w:rPr>
        <w:t xml:space="preserve">varias </w:t>
      </w:r>
      <w:r w:rsidRPr="00F01F21">
        <w:rPr>
          <w:rFonts w:ascii="Verdana" w:hAnsi="Verdana"/>
          <w:sz w:val="20"/>
          <w:szCs w:val="20"/>
          <w:lang w:val="es-ES_tradnl"/>
        </w:rPr>
        <w:t>actor</w:t>
      </w:r>
      <w:r w:rsidR="00D6169D">
        <w:rPr>
          <w:rFonts w:ascii="Verdana" w:hAnsi="Verdana"/>
          <w:sz w:val="20"/>
          <w:szCs w:val="20"/>
          <w:lang w:val="es-ES_tradnl"/>
        </w:rPr>
        <w:t>a</w:t>
      </w:r>
      <w:r w:rsidRPr="00F01F21">
        <w:rPr>
          <w:rFonts w:ascii="Verdana" w:hAnsi="Verdana"/>
          <w:sz w:val="20"/>
          <w:szCs w:val="20"/>
          <w:lang w:val="es-ES_tradnl"/>
        </w:rPr>
        <w:t xml:space="preserve">s de la academia y la sociedad civil para continuar con sus </w:t>
      </w:r>
      <w:r w:rsidRPr="00F01F21">
        <w:rPr>
          <w:rFonts w:ascii="Verdana" w:hAnsi="Verdana"/>
          <w:sz w:val="20"/>
          <w:szCs w:val="20"/>
          <w:lang w:val="es-ES_tradnl"/>
        </w:rPr>
        <w:lastRenderedPageBreak/>
        <w:t>esfuerzos de capacitación en materia de derechos humanos, en particular</w:t>
      </w:r>
      <w:r w:rsidR="008A4E86">
        <w:rPr>
          <w:rFonts w:ascii="Verdana" w:hAnsi="Verdana"/>
          <w:sz w:val="20"/>
          <w:szCs w:val="20"/>
          <w:lang w:val="es-ES_tradnl"/>
        </w:rPr>
        <w:t>,</w:t>
      </w:r>
      <w:r w:rsidRPr="00F01F21">
        <w:rPr>
          <w:rFonts w:ascii="Verdana" w:hAnsi="Verdana"/>
          <w:sz w:val="20"/>
          <w:szCs w:val="20"/>
          <w:lang w:val="es-ES_tradnl"/>
        </w:rPr>
        <w:t xml:space="preserve"> </w:t>
      </w:r>
      <w:r w:rsidR="008A4E86">
        <w:rPr>
          <w:rFonts w:ascii="Verdana" w:hAnsi="Verdana"/>
          <w:sz w:val="20"/>
          <w:szCs w:val="20"/>
          <w:lang w:val="es-ES_tradnl"/>
        </w:rPr>
        <w:t xml:space="preserve">de </w:t>
      </w:r>
      <w:r w:rsidRPr="00F01F21">
        <w:rPr>
          <w:rFonts w:ascii="Verdana" w:hAnsi="Verdana"/>
          <w:sz w:val="20"/>
          <w:szCs w:val="20"/>
          <w:lang w:val="es-ES_tradnl"/>
        </w:rPr>
        <w:t xml:space="preserve">derechos sexuales y reproductivos. </w:t>
      </w:r>
    </w:p>
    <w:p w14:paraId="00F419D9" w14:textId="3D334BC3" w:rsidR="00591F47" w:rsidRDefault="00F01F21" w:rsidP="006634DD">
      <w:pPr>
        <w:pStyle w:val="Prrafodelista"/>
        <w:numPr>
          <w:ilvl w:val="0"/>
          <w:numId w:val="3"/>
        </w:numPr>
        <w:spacing w:before="120" w:after="120" w:line="240" w:lineRule="auto"/>
        <w:ind w:left="0" w:firstLine="0"/>
        <w:contextualSpacing w:val="0"/>
        <w:jc w:val="both"/>
        <w:rPr>
          <w:rFonts w:ascii="Verdana" w:hAnsi="Verdana"/>
          <w:color w:val="0070C0"/>
          <w:sz w:val="20"/>
          <w:szCs w:val="20"/>
          <w:lang w:val="es-ES_tradnl"/>
        </w:rPr>
      </w:pPr>
      <w:r w:rsidRPr="00591F47">
        <w:rPr>
          <w:rFonts w:ascii="Verdana" w:hAnsi="Verdana"/>
          <w:sz w:val="20"/>
          <w:szCs w:val="20"/>
          <w:lang w:val="es-ES_tradnl"/>
        </w:rPr>
        <w:t xml:space="preserve">Asimismo, se destaca que el Estado haya decidido </w:t>
      </w:r>
      <w:r w:rsidR="005E2D00" w:rsidRPr="00591F47">
        <w:rPr>
          <w:rFonts w:ascii="Verdana" w:hAnsi="Verdana"/>
          <w:sz w:val="20"/>
          <w:szCs w:val="20"/>
          <w:lang w:val="es-ES_tradnl"/>
        </w:rPr>
        <w:t xml:space="preserve">aprovechar los esfuerzos ya desplegados para cumplir con la medida de </w:t>
      </w:r>
      <w:r w:rsidR="008A4E86">
        <w:rPr>
          <w:rFonts w:ascii="Verdana" w:hAnsi="Verdana"/>
          <w:sz w:val="20"/>
          <w:szCs w:val="20"/>
          <w:lang w:val="es-ES_tradnl"/>
        </w:rPr>
        <w:t xml:space="preserve">reparación relativa a la </w:t>
      </w:r>
      <w:r w:rsidR="005E2D00" w:rsidRPr="00591F47">
        <w:rPr>
          <w:rFonts w:ascii="Verdana" w:hAnsi="Verdana"/>
          <w:sz w:val="20"/>
          <w:szCs w:val="20"/>
          <w:lang w:val="es-ES_tradnl"/>
        </w:rPr>
        <w:t xml:space="preserve">capacitación de funcionarios judiciales ordenada en </w:t>
      </w:r>
      <w:r w:rsidR="008A4E86">
        <w:rPr>
          <w:rFonts w:ascii="Verdana" w:hAnsi="Verdana"/>
          <w:sz w:val="20"/>
          <w:szCs w:val="20"/>
          <w:lang w:val="es-ES_tradnl"/>
        </w:rPr>
        <w:t>la Sentencia d</w:t>
      </w:r>
      <w:r w:rsidR="005E2D00" w:rsidRPr="00591F47">
        <w:rPr>
          <w:rFonts w:ascii="Verdana" w:hAnsi="Verdana"/>
          <w:sz w:val="20"/>
          <w:szCs w:val="20"/>
          <w:lang w:val="es-ES_tradnl"/>
        </w:rPr>
        <w:t xml:space="preserve">el caso </w:t>
      </w:r>
      <w:r w:rsidR="005E2D00" w:rsidRPr="00591F47">
        <w:rPr>
          <w:rFonts w:ascii="Verdana" w:hAnsi="Verdana"/>
          <w:i/>
          <w:iCs/>
          <w:sz w:val="20"/>
          <w:szCs w:val="20"/>
          <w:lang w:val="es-ES_tradnl"/>
        </w:rPr>
        <w:t xml:space="preserve">Artavia </w:t>
      </w:r>
      <w:r w:rsidR="005E2D00" w:rsidRPr="00AB0CA3">
        <w:rPr>
          <w:rFonts w:ascii="Verdana" w:hAnsi="Verdana"/>
          <w:i/>
          <w:iCs/>
          <w:sz w:val="20"/>
          <w:szCs w:val="20"/>
          <w:lang w:val="es-ES_tradnl"/>
        </w:rPr>
        <w:t>Murillo y otros</w:t>
      </w:r>
      <w:r w:rsidR="005E2D00" w:rsidRPr="00AB0CA3">
        <w:rPr>
          <w:rFonts w:ascii="Verdana" w:hAnsi="Verdana"/>
          <w:sz w:val="20"/>
          <w:szCs w:val="20"/>
          <w:lang w:val="es-ES_tradnl"/>
        </w:rPr>
        <w:t xml:space="preserve">, para implementar también la medida dispuesta en este caso. </w:t>
      </w:r>
      <w:r w:rsidR="00591F47" w:rsidRPr="00AB0CA3">
        <w:rPr>
          <w:rFonts w:ascii="Verdana" w:hAnsi="Verdana"/>
          <w:sz w:val="20"/>
          <w:szCs w:val="20"/>
          <w:lang w:val="es-ES_tradnl"/>
        </w:rPr>
        <w:t xml:space="preserve">Al respecto, se recuerda que en </w:t>
      </w:r>
      <w:r w:rsidR="00C504A1" w:rsidRPr="00AB0CA3">
        <w:rPr>
          <w:rFonts w:ascii="Verdana" w:hAnsi="Verdana"/>
          <w:sz w:val="20"/>
          <w:szCs w:val="20"/>
          <w:lang w:val="es-ES_tradnl"/>
        </w:rPr>
        <w:t>dicho caso</w:t>
      </w:r>
      <w:r w:rsidR="00591F47" w:rsidRPr="00AB0CA3">
        <w:rPr>
          <w:rFonts w:ascii="Verdana" w:hAnsi="Verdana"/>
          <w:sz w:val="20"/>
          <w:szCs w:val="20"/>
          <w:lang w:val="es-ES_tradnl"/>
        </w:rPr>
        <w:t xml:space="preserve"> la Corte declaró el cumplimiento total de la reparación relativa a “implementar programas </w:t>
      </w:r>
      <w:r w:rsidR="008A4E86">
        <w:rPr>
          <w:rFonts w:ascii="Verdana" w:hAnsi="Verdana"/>
          <w:sz w:val="20"/>
          <w:szCs w:val="20"/>
          <w:lang w:val="es-ES_tradnl"/>
        </w:rPr>
        <w:t xml:space="preserve">y </w:t>
      </w:r>
      <w:r w:rsidR="00591F47" w:rsidRPr="00AB0CA3">
        <w:rPr>
          <w:rFonts w:ascii="Verdana" w:hAnsi="Verdana"/>
          <w:sz w:val="20"/>
          <w:szCs w:val="20"/>
          <w:lang w:val="es-ES_tradnl"/>
        </w:rPr>
        <w:t xml:space="preserve">cursos permanentes de educación y capacitación en derechos humanos, derechos reproductivos y no discriminación, dirigidos a funcionarios judiciales”, al considerar que </w:t>
      </w:r>
      <w:r w:rsidR="008A4E86">
        <w:rPr>
          <w:rFonts w:ascii="Verdana" w:hAnsi="Verdana"/>
          <w:sz w:val="20"/>
          <w:szCs w:val="20"/>
          <w:lang w:val="es-ES_tradnl"/>
        </w:rPr>
        <w:t>Costa Rica</w:t>
      </w:r>
      <w:r w:rsidR="004E2A09" w:rsidRPr="00AB0CA3">
        <w:rPr>
          <w:rFonts w:ascii="Verdana" w:hAnsi="Verdana"/>
          <w:sz w:val="20"/>
          <w:szCs w:val="20"/>
          <w:lang w:val="es-ES_tradnl"/>
        </w:rPr>
        <w:t xml:space="preserve"> había </w:t>
      </w:r>
      <w:r w:rsidR="008433E8" w:rsidRPr="00AB0CA3">
        <w:rPr>
          <w:rFonts w:ascii="Verdana" w:hAnsi="Verdana"/>
          <w:sz w:val="20"/>
          <w:szCs w:val="20"/>
          <w:lang w:val="es-ES_tradnl"/>
        </w:rPr>
        <w:t xml:space="preserve">diseñado y puesto en ejecución, de manera permanente, un taller </w:t>
      </w:r>
      <w:r w:rsidR="0003021B" w:rsidRPr="00AB0CA3">
        <w:rPr>
          <w:rFonts w:ascii="Verdana" w:hAnsi="Verdana"/>
          <w:sz w:val="20"/>
          <w:szCs w:val="20"/>
          <w:lang w:val="es-ES_tradnl"/>
        </w:rPr>
        <w:t>denominado “Derechos humanos sexuales y reproductivos”, dirigido a funcionarios judiciales e impartido por la Escuela Judicial de Costa Rica</w:t>
      </w:r>
      <w:r w:rsidR="0003021B" w:rsidRPr="00AB0CA3">
        <w:rPr>
          <w:rStyle w:val="Refdenotaalpie"/>
          <w:rFonts w:ascii="Verdana" w:hAnsi="Verdana"/>
          <w:sz w:val="20"/>
          <w:szCs w:val="20"/>
          <w:lang w:val="es-ES_tradnl"/>
        </w:rPr>
        <w:footnoteReference w:id="21"/>
      </w:r>
      <w:r w:rsidR="0003021B" w:rsidRPr="00AB0CA3">
        <w:rPr>
          <w:rFonts w:ascii="Verdana" w:hAnsi="Verdana"/>
          <w:sz w:val="20"/>
          <w:szCs w:val="20"/>
          <w:lang w:val="es-ES_tradnl"/>
        </w:rPr>
        <w:t xml:space="preserve">. Con las acciones implementadas por </w:t>
      </w:r>
      <w:r w:rsidR="008A4E86">
        <w:rPr>
          <w:rFonts w:ascii="Verdana" w:hAnsi="Verdana"/>
          <w:sz w:val="20"/>
          <w:szCs w:val="20"/>
          <w:lang w:val="es-ES_tradnl"/>
        </w:rPr>
        <w:t>el Estado</w:t>
      </w:r>
      <w:r w:rsidR="0003021B" w:rsidRPr="00AB0CA3">
        <w:rPr>
          <w:rFonts w:ascii="Verdana" w:hAnsi="Verdana"/>
          <w:sz w:val="20"/>
          <w:szCs w:val="20"/>
          <w:lang w:val="es-ES_tradnl"/>
        </w:rPr>
        <w:t xml:space="preserve"> para dar cumplimiento a la reparación ordenada en </w:t>
      </w:r>
      <w:r w:rsidR="00903D3D" w:rsidRPr="00AB0CA3">
        <w:rPr>
          <w:rFonts w:ascii="Verdana" w:hAnsi="Verdana"/>
          <w:sz w:val="20"/>
          <w:szCs w:val="20"/>
          <w:lang w:val="es-ES_tradnl"/>
        </w:rPr>
        <w:t>la Sentencia del</w:t>
      </w:r>
      <w:r w:rsidR="0003021B" w:rsidRPr="00AB0CA3">
        <w:rPr>
          <w:rFonts w:ascii="Verdana" w:hAnsi="Verdana"/>
          <w:sz w:val="20"/>
          <w:szCs w:val="20"/>
          <w:lang w:val="es-ES_tradnl"/>
        </w:rPr>
        <w:t xml:space="preserve"> caso </w:t>
      </w:r>
      <w:r w:rsidR="0003021B" w:rsidRPr="00AB0CA3">
        <w:rPr>
          <w:rFonts w:ascii="Verdana" w:hAnsi="Verdana"/>
          <w:i/>
          <w:iCs/>
          <w:sz w:val="20"/>
          <w:szCs w:val="20"/>
          <w:lang w:val="es-ES_tradnl"/>
        </w:rPr>
        <w:t>Gómez Murillo y otros</w:t>
      </w:r>
      <w:r w:rsidR="0003021B" w:rsidRPr="00AB0CA3">
        <w:rPr>
          <w:rFonts w:ascii="Verdana" w:hAnsi="Verdana"/>
          <w:sz w:val="20"/>
          <w:szCs w:val="20"/>
          <w:lang w:val="es-ES_tradnl"/>
        </w:rPr>
        <w:t xml:space="preserve">, se abrió la posibilidad </w:t>
      </w:r>
      <w:r w:rsidR="00903D3D" w:rsidRPr="00AB0CA3">
        <w:rPr>
          <w:rFonts w:ascii="Verdana" w:hAnsi="Verdana"/>
          <w:sz w:val="20"/>
          <w:szCs w:val="20"/>
          <w:lang w:val="es-ES_tradnl"/>
        </w:rPr>
        <w:t>a</w:t>
      </w:r>
      <w:r w:rsidR="0003021B" w:rsidRPr="00AB0CA3">
        <w:rPr>
          <w:rFonts w:ascii="Verdana" w:hAnsi="Verdana"/>
          <w:sz w:val="20"/>
          <w:szCs w:val="20"/>
          <w:lang w:val="es-ES_tradnl"/>
        </w:rPr>
        <w:t xml:space="preserve"> que otros actores relevantes </w:t>
      </w:r>
      <w:r w:rsidR="00903D3D" w:rsidRPr="00AB0CA3">
        <w:rPr>
          <w:rFonts w:ascii="Verdana" w:hAnsi="Verdana"/>
          <w:sz w:val="20"/>
          <w:szCs w:val="20"/>
          <w:lang w:val="es-ES_tradnl"/>
        </w:rPr>
        <w:t>de</w:t>
      </w:r>
      <w:r w:rsidR="0003021B" w:rsidRPr="00AB0CA3">
        <w:rPr>
          <w:rFonts w:ascii="Verdana" w:hAnsi="Verdana"/>
          <w:sz w:val="20"/>
          <w:szCs w:val="20"/>
          <w:lang w:val="es-ES_tradnl"/>
        </w:rPr>
        <w:t xml:space="preserve"> ramas distinta a la judicial</w:t>
      </w:r>
      <w:r w:rsidR="00382856" w:rsidRPr="00AB0CA3">
        <w:rPr>
          <w:rFonts w:ascii="Verdana" w:hAnsi="Verdana"/>
          <w:sz w:val="20"/>
          <w:szCs w:val="20"/>
          <w:lang w:val="es-ES_tradnl"/>
        </w:rPr>
        <w:t>, principalmente de la Caja Costarricense del Seguro Social,</w:t>
      </w:r>
      <w:r w:rsidR="0003021B" w:rsidRPr="00AB0CA3">
        <w:rPr>
          <w:rFonts w:ascii="Verdana" w:hAnsi="Verdana"/>
          <w:sz w:val="20"/>
          <w:szCs w:val="20"/>
          <w:lang w:val="es-ES_tradnl"/>
        </w:rPr>
        <w:t xml:space="preserve"> </w:t>
      </w:r>
      <w:r w:rsidR="00382856" w:rsidRPr="00AB0CA3">
        <w:rPr>
          <w:rFonts w:ascii="Verdana" w:hAnsi="Verdana"/>
          <w:sz w:val="20"/>
          <w:szCs w:val="20"/>
          <w:lang w:val="es-ES_tradnl"/>
        </w:rPr>
        <w:t>reciban</w:t>
      </w:r>
      <w:r w:rsidR="0003021B" w:rsidRPr="00AB0CA3">
        <w:rPr>
          <w:rFonts w:ascii="Verdana" w:hAnsi="Verdana"/>
          <w:sz w:val="20"/>
          <w:szCs w:val="20"/>
          <w:lang w:val="es-ES_tradnl"/>
        </w:rPr>
        <w:t xml:space="preserve"> </w:t>
      </w:r>
      <w:r w:rsidR="00B57A81">
        <w:rPr>
          <w:rFonts w:ascii="Verdana" w:hAnsi="Verdana"/>
          <w:sz w:val="20"/>
          <w:szCs w:val="20"/>
          <w:lang w:val="es-ES_tradnl"/>
        </w:rPr>
        <w:t xml:space="preserve">capacitación a través de </w:t>
      </w:r>
      <w:r w:rsidR="0003021B" w:rsidRPr="00AB0CA3">
        <w:rPr>
          <w:rFonts w:ascii="Verdana" w:hAnsi="Verdana"/>
          <w:sz w:val="20"/>
          <w:szCs w:val="20"/>
          <w:lang w:val="es-ES_tradnl"/>
        </w:rPr>
        <w:t>dich</w:t>
      </w:r>
      <w:r w:rsidR="00903D3D" w:rsidRPr="00AB0CA3">
        <w:rPr>
          <w:rFonts w:ascii="Verdana" w:hAnsi="Verdana"/>
          <w:sz w:val="20"/>
          <w:szCs w:val="20"/>
          <w:lang w:val="es-ES_tradnl"/>
        </w:rPr>
        <w:t>o taller</w:t>
      </w:r>
      <w:r w:rsidR="00382856" w:rsidRPr="00AB0CA3">
        <w:rPr>
          <w:rFonts w:ascii="Verdana" w:hAnsi="Verdana"/>
          <w:sz w:val="20"/>
          <w:szCs w:val="20"/>
          <w:lang w:val="es-ES_tradnl"/>
        </w:rPr>
        <w:t xml:space="preserve"> (</w:t>
      </w:r>
      <w:r w:rsidR="00382856" w:rsidRPr="00AB0CA3">
        <w:rPr>
          <w:rFonts w:ascii="Verdana" w:hAnsi="Verdana"/>
          <w:i/>
          <w:iCs/>
          <w:sz w:val="20"/>
          <w:szCs w:val="20"/>
          <w:lang w:val="es-ES_tradnl"/>
        </w:rPr>
        <w:t>supra</w:t>
      </w:r>
      <w:r w:rsidR="00382856" w:rsidRPr="00AB0CA3">
        <w:rPr>
          <w:rFonts w:ascii="Verdana" w:hAnsi="Verdana"/>
          <w:sz w:val="20"/>
          <w:szCs w:val="20"/>
          <w:lang w:val="es-ES_tradnl"/>
        </w:rPr>
        <w:t xml:space="preserve"> Considerando </w:t>
      </w:r>
      <w:r w:rsidR="008A4E86">
        <w:rPr>
          <w:rFonts w:ascii="Verdana" w:hAnsi="Verdana"/>
          <w:sz w:val="20"/>
          <w:szCs w:val="20"/>
          <w:lang w:val="es-ES_tradnl"/>
        </w:rPr>
        <w:t>11</w:t>
      </w:r>
      <w:r w:rsidR="00382856" w:rsidRPr="00AB0CA3">
        <w:rPr>
          <w:rFonts w:ascii="Verdana" w:hAnsi="Verdana"/>
          <w:sz w:val="20"/>
          <w:szCs w:val="20"/>
          <w:lang w:val="es-ES_tradnl"/>
        </w:rPr>
        <w:t>)</w:t>
      </w:r>
      <w:r w:rsidR="0003021B" w:rsidRPr="00AB0CA3">
        <w:rPr>
          <w:rFonts w:ascii="Verdana" w:hAnsi="Verdana"/>
          <w:sz w:val="20"/>
          <w:szCs w:val="20"/>
          <w:lang w:val="es-ES_tradnl"/>
        </w:rPr>
        <w:t xml:space="preserve">. </w:t>
      </w:r>
    </w:p>
    <w:p w14:paraId="2F90595F" w14:textId="4A736DB2" w:rsidR="001C3A7B" w:rsidRPr="00E356A7" w:rsidRDefault="001C3A7B" w:rsidP="006634DD">
      <w:pPr>
        <w:pStyle w:val="Prrafodelista"/>
        <w:numPr>
          <w:ilvl w:val="0"/>
          <w:numId w:val="3"/>
        </w:numPr>
        <w:spacing w:before="120" w:after="120" w:line="240" w:lineRule="auto"/>
        <w:ind w:left="0" w:firstLine="0"/>
        <w:contextualSpacing w:val="0"/>
        <w:jc w:val="both"/>
        <w:rPr>
          <w:rFonts w:ascii="Verdana" w:hAnsi="Verdana"/>
          <w:color w:val="0070C0"/>
          <w:sz w:val="20"/>
          <w:szCs w:val="20"/>
          <w:lang w:val="es-ES_tradnl"/>
        </w:rPr>
      </w:pPr>
      <w:r w:rsidRPr="00E356A7">
        <w:rPr>
          <w:rFonts w:ascii="Verdana" w:hAnsi="Verdana"/>
          <w:sz w:val="20"/>
          <w:szCs w:val="20"/>
          <w:lang w:val="es-ES_tradnl"/>
        </w:rPr>
        <w:t xml:space="preserve">Adicionalmente, la Corte toma nota de </w:t>
      </w:r>
      <w:r w:rsidR="00BE2E3A" w:rsidRPr="00E356A7">
        <w:rPr>
          <w:rFonts w:ascii="Verdana" w:hAnsi="Verdana"/>
          <w:sz w:val="20"/>
          <w:szCs w:val="20"/>
          <w:lang w:val="es-ES_tradnl"/>
        </w:rPr>
        <w:t xml:space="preserve">que </w:t>
      </w:r>
      <w:r w:rsidR="00AB0CA3" w:rsidRPr="00E356A7">
        <w:rPr>
          <w:rFonts w:ascii="Verdana" w:hAnsi="Verdana"/>
          <w:sz w:val="20"/>
          <w:szCs w:val="20"/>
          <w:lang w:val="es-ES_tradnl"/>
        </w:rPr>
        <w:t>las personas que reciban el referido taller, “serían seleccionadas como posibles formadoras</w:t>
      </w:r>
      <w:r w:rsidR="0012384F">
        <w:rPr>
          <w:rFonts w:ascii="Verdana" w:hAnsi="Verdana"/>
          <w:sz w:val="20"/>
          <w:szCs w:val="20"/>
          <w:lang w:val="es-ES_tradnl"/>
        </w:rPr>
        <w:t xml:space="preserve"> en otras instituciones</w:t>
      </w:r>
      <w:r w:rsidR="00AB0CA3" w:rsidRPr="00E356A7">
        <w:rPr>
          <w:rFonts w:ascii="Verdana" w:hAnsi="Verdana"/>
          <w:sz w:val="20"/>
          <w:szCs w:val="20"/>
          <w:lang w:val="es-ES_tradnl"/>
        </w:rPr>
        <w:t>”, con el fin de que “</w:t>
      </w:r>
      <w:r w:rsidR="0012384F">
        <w:rPr>
          <w:rFonts w:ascii="Verdana" w:hAnsi="Verdana"/>
          <w:sz w:val="20"/>
          <w:szCs w:val="20"/>
          <w:lang w:val="es-ES_tradnl"/>
        </w:rPr>
        <w:t>[</w:t>
      </w:r>
      <w:r w:rsidR="00AB0CA3" w:rsidRPr="00E356A7">
        <w:rPr>
          <w:rFonts w:ascii="Verdana" w:hAnsi="Verdana"/>
          <w:sz w:val="20"/>
          <w:szCs w:val="20"/>
          <w:lang w:val="es-ES_tradnl"/>
        </w:rPr>
        <w:t>e</w:t>
      </w:r>
      <w:r w:rsidR="0012384F">
        <w:rPr>
          <w:rFonts w:ascii="Verdana" w:hAnsi="Verdana"/>
          <w:sz w:val="20"/>
          <w:szCs w:val="20"/>
          <w:lang w:val="es-ES_tradnl"/>
        </w:rPr>
        <w:t>]</w:t>
      </w:r>
      <w:r w:rsidR="00AB0CA3" w:rsidRPr="00E356A7">
        <w:rPr>
          <w:rFonts w:ascii="Verdana" w:hAnsi="Verdana"/>
          <w:sz w:val="20"/>
          <w:szCs w:val="20"/>
          <w:lang w:val="es-ES_tradnl"/>
        </w:rPr>
        <w:t xml:space="preserve">n una segunda fase” de implementación de la medida “el curso </w:t>
      </w:r>
      <w:r w:rsidR="0012384F" w:rsidRPr="00E356A7">
        <w:rPr>
          <w:rFonts w:ascii="Verdana" w:hAnsi="Verdana"/>
          <w:sz w:val="20"/>
          <w:szCs w:val="20"/>
          <w:lang w:val="es-ES_tradnl"/>
        </w:rPr>
        <w:t>[</w:t>
      </w:r>
      <w:r w:rsidR="00AB0CA3" w:rsidRPr="00E356A7">
        <w:rPr>
          <w:rFonts w:ascii="Verdana" w:hAnsi="Verdana"/>
          <w:sz w:val="20"/>
          <w:szCs w:val="20"/>
          <w:lang w:val="es-ES_tradnl"/>
        </w:rPr>
        <w:t xml:space="preserve">sea ofrecido] en varias instituciones del Estado, […] </w:t>
      </w:r>
      <w:proofErr w:type="spellStart"/>
      <w:r w:rsidR="00AB0CA3" w:rsidRPr="00E356A7">
        <w:rPr>
          <w:rFonts w:ascii="Verdana" w:hAnsi="Verdana"/>
          <w:sz w:val="20"/>
          <w:szCs w:val="20"/>
          <w:lang w:val="es-ES_tradnl"/>
        </w:rPr>
        <w:t>hac</w:t>
      </w:r>
      <w:proofErr w:type="spellEnd"/>
      <w:r w:rsidR="00AB0CA3" w:rsidRPr="00E356A7">
        <w:rPr>
          <w:rFonts w:ascii="Verdana" w:hAnsi="Verdana"/>
          <w:sz w:val="20"/>
          <w:szCs w:val="20"/>
          <w:lang w:val="es-ES_tradnl"/>
        </w:rPr>
        <w:t>[</w:t>
      </w:r>
      <w:proofErr w:type="spellStart"/>
      <w:r w:rsidR="00AB0CA3" w:rsidRPr="00E356A7">
        <w:rPr>
          <w:rFonts w:ascii="Verdana" w:hAnsi="Verdana"/>
          <w:sz w:val="20"/>
          <w:szCs w:val="20"/>
          <w:lang w:val="es-ES_tradnl"/>
        </w:rPr>
        <w:t>iendo</w:t>
      </w:r>
      <w:proofErr w:type="spellEnd"/>
      <w:r w:rsidR="00AB0CA3" w:rsidRPr="00E356A7">
        <w:rPr>
          <w:rFonts w:ascii="Verdana" w:hAnsi="Verdana"/>
          <w:sz w:val="20"/>
          <w:szCs w:val="20"/>
          <w:lang w:val="es-ES_tradnl"/>
        </w:rPr>
        <w:t>] uso de los diseños curriculares y otros materiales creados para estos talleres</w:t>
      </w:r>
      <w:r w:rsidR="0012384F">
        <w:rPr>
          <w:rFonts w:ascii="Verdana" w:hAnsi="Verdana"/>
          <w:sz w:val="20"/>
          <w:szCs w:val="20"/>
          <w:lang w:val="es-ES_tradnl"/>
        </w:rPr>
        <w:t xml:space="preserve"> por la Escuela Judicial</w:t>
      </w:r>
      <w:r w:rsidR="00AB0CA3" w:rsidRPr="00E356A7">
        <w:rPr>
          <w:rFonts w:ascii="Verdana" w:hAnsi="Verdana"/>
          <w:sz w:val="20"/>
          <w:szCs w:val="20"/>
          <w:lang w:val="es-ES_tradnl"/>
        </w:rPr>
        <w:t>”</w:t>
      </w:r>
      <w:r w:rsidR="00AB0CA3" w:rsidRPr="00E356A7">
        <w:rPr>
          <w:rStyle w:val="Refdenotaalpie"/>
          <w:rFonts w:ascii="Verdana" w:hAnsi="Verdana"/>
          <w:sz w:val="20"/>
          <w:szCs w:val="20"/>
          <w:lang w:val="es-ES_tradnl"/>
        </w:rPr>
        <w:footnoteReference w:id="22"/>
      </w:r>
      <w:r w:rsidRPr="00E356A7">
        <w:rPr>
          <w:rFonts w:ascii="Verdana" w:hAnsi="Verdana"/>
          <w:sz w:val="20"/>
          <w:szCs w:val="20"/>
          <w:lang w:val="es-ES_tradnl"/>
        </w:rPr>
        <w:t>. Esta medida</w:t>
      </w:r>
      <w:r w:rsidR="00E356A7" w:rsidRPr="00E356A7">
        <w:rPr>
          <w:rFonts w:ascii="Verdana" w:hAnsi="Verdana"/>
          <w:sz w:val="20"/>
          <w:szCs w:val="20"/>
          <w:lang w:val="es-ES_tradnl"/>
        </w:rPr>
        <w:t xml:space="preserve"> concreta</w:t>
      </w:r>
      <w:r w:rsidR="00AB0CA3" w:rsidRPr="00E356A7">
        <w:rPr>
          <w:rFonts w:ascii="Verdana" w:hAnsi="Verdana"/>
          <w:sz w:val="20"/>
          <w:szCs w:val="20"/>
          <w:lang w:val="es-ES_tradnl"/>
        </w:rPr>
        <w:t>, sumada al compromiso expresado por Costa Rica de continuar “</w:t>
      </w:r>
      <w:r w:rsidR="00A473E2">
        <w:rPr>
          <w:rFonts w:ascii="Verdana" w:hAnsi="Verdana"/>
          <w:sz w:val="20"/>
          <w:szCs w:val="20"/>
          <w:lang w:val="es-ES_tradnl"/>
        </w:rPr>
        <w:t xml:space="preserve"> </w:t>
      </w:r>
      <w:proofErr w:type="spellStart"/>
      <w:r w:rsidR="00A473E2">
        <w:rPr>
          <w:rFonts w:ascii="Verdana" w:hAnsi="Verdana"/>
          <w:sz w:val="20"/>
          <w:szCs w:val="20"/>
          <w:lang w:val="es-ES_tradnl"/>
        </w:rPr>
        <w:t>promo</w:t>
      </w:r>
      <w:r w:rsidR="0012384F">
        <w:rPr>
          <w:rFonts w:ascii="Verdana" w:hAnsi="Verdana"/>
          <w:sz w:val="20"/>
          <w:szCs w:val="20"/>
          <w:lang w:val="es-ES_tradnl"/>
        </w:rPr>
        <w:t>v</w:t>
      </w:r>
      <w:proofErr w:type="spellEnd"/>
      <w:r w:rsidR="0012384F">
        <w:rPr>
          <w:rFonts w:ascii="Verdana" w:hAnsi="Verdana"/>
          <w:sz w:val="20"/>
          <w:szCs w:val="20"/>
          <w:lang w:val="es-ES_tradnl"/>
        </w:rPr>
        <w:t>[</w:t>
      </w:r>
      <w:proofErr w:type="spellStart"/>
      <w:r w:rsidR="0012384F">
        <w:rPr>
          <w:rFonts w:ascii="Verdana" w:hAnsi="Verdana"/>
          <w:sz w:val="20"/>
          <w:szCs w:val="20"/>
          <w:lang w:val="es-ES_tradnl"/>
        </w:rPr>
        <w:t>iendo</w:t>
      </w:r>
      <w:proofErr w:type="spellEnd"/>
      <w:r w:rsidR="0012384F">
        <w:rPr>
          <w:rFonts w:ascii="Verdana" w:hAnsi="Verdana"/>
          <w:sz w:val="20"/>
          <w:szCs w:val="20"/>
          <w:lang w:val="es-ES_tradnl"/>
        </w:rPr>
        <w:t xml:space="preserve">], </w:t>
      </w:r>
      <w:r w:rsidR="00E356A7" w:rsidRPr="00E356A7">
        <w:rPr>
          <w:rFonts w:ascii="Verdana" w:hAnsi="Verdana"/>
          <w:sz w:val="20"/>
          <w:szCs w:val="20"/>
          <w:lang w:val="es-ES_tradnl"/>
        </w:rPr>
        <w:t>genera[</w:t>
      </w:r>
      <w:proofErr w:type="spellStart"/>
      <w:r w:rsidR="00E356A7" w:rsidRPr="00E356A7">
        <w:rPr>
          <w:rFonts w:ascii="Verdana" w:hAnsi="Verdana"/>
          <w:sz w:val="20"/>
          <w:szCs w:val="20"/>
          <w:lang w:val="es-ES_tradnl"/>
        </w:rPr>
        <w:t>ndo</w:t>
      </w:r>
      <w:proofErr w:type="spellEnd"/>
      <w:r w:rsidR="00E356A7" w:rsidRPr="00E356A7">
        <w:rPr>
          <w:rFonts w:ascii="Verdana" w:hAnsi="Verdana"/>
          <w:sz w:val="20"/>
          <w:szCs w:val="20"/>
          <w:lang w:val="es-ES_tradnl"/>
        </w:rPr>
        <w:t xml:space="preserve">] y </w:t>
      </w:r>
      <w:proofErr w:type="spellStart"/>
      <w:r w:rsidR="00E356A7" w:rsidRPr="00E356A7">
        <w:rPr>
          <w:rFonts w:ascii="Verdana" w:hAnsi="Verdana"/>
          <w:sz w:val="20"/>
          <w:szCs w:val="20"/>
          <w:lang w:val="es-ES_tradnl"/>
        </w:rPr>
        <w:t>difundi</w:t>
      </w:r>
      <w:proofErr w:type="spellEnd"/>
      <w:r w:rsidR="00E356A7" w:rsidRPr="00E356A7">
        <w:rPr>
          <w:rFonts w:ascii="Verdana" w:hAnsi="Verdana"/>
          <w:sz w:val="20"/>
          <w:szCs w:val="20"/>
          <w:lang w:val="es-ES_tradnl"/>
        </w:rPr>
        <w:t>[</w:t>
      </w:r>
      <w:proofErr w:type="spellStart"/>
      <w:r w:rsidR="00E356A7" w:rsidRPr="00E356A7">
        <w:rPr>
          <w:rFonts w:ascii="Verdana" w:hAnsi="Verdana"/>
          <w:sz w:val="20"/>
          <w:szCs w:val="20"/>
          <w:lang w:val="es-ES_tradnl"/>
        </w:rPr>
        <w:t>endo</w:t>
      </w:r>
      <w:proofErr w:type="spellEnd"/>
      <w:r w:rsidR="00E356A7" w:rsidRPr="00E356A7">
        <w:rPr>
          <w:rFonts w:ascii="Verdana" w:hAnsi="Verdana"/>
          <w:sz w:val="20"/>
          <w:szCs w:val="20"/>
          <w:lang w:val="es-ES_tradnl"/>
        </w:rPr>
        <w:t>] procesos de capacitaciones en derechos humanos, de manera que se implementen las disposiciones de la […] Corte [Interamericana] en la formación de los servidores estatales</w:t>
      </w:r>
      <w:r w:rsidR="00AB0CA3" w:rsidRPr="00E356A7">
        <w:rPr>
          <w:rFonts w:ascii="Verdana" w:hAnsi="Verdana"/>
          <w:sz w:val="20"/>
          <w:szCs w:val="20"/>
          <w:lang w:val="es-ES_tradnl"/>
        </w:rPr>
        <w:t>”,</w:t>
      </w:r>
      <w:r w:rsidRPr="00E356A7">
        <w:rPr>
          <w:rFonts w:ascii="Verdana" w:hAnsi="Verdana"/>
          <w:sz w:val="20"/>
          <w:szCs w:val="20"/>
          <w:lang w:val="es-ES_tradnl"/>
        </w:rPr>
        <w:t xml:space="preserve"> </w:t>
      </w:r>
      <w:r w:rsidR="00AB0CA3" w:rsidRPr="00E356A7">
        <w:rPr>
          <w:rFonts w:ascii="Verdana" w:hAnsi="Verdana"/>
          <w:sz w:val="20"/>
          <w:szCs w:val="20"/>
          <w:lang w:val="es-ES_tradnl"/>
        </w:rPr>
        <w:t xml:space="preserve">están orientados a </w:t>
      </w:r>
      <w:r w:rsidRPr="00E356A7">
        <w:rPr>
          <w:rFonts w:ascii="Verdana" w:hAnsi="Verdana"/>
          <w:sz w:val="20"/>
          <w:szCs w:val="20"/>
          <w:lang w:val="es-ES_tradnl"/>
        </w:rPr>
        <w:t xml:space="preserve">solventar lo señalado por el representante de las víctimas respecto a la necesidad de permanencia e institucionalización de las medidas </w:t>
      </w:r>
      <w:r w:rsidR="00AB0CA3" w:rsidRPr="00E356A7">
        <w:rPr>
          <w:rFonts w:ascii="Verdana" w:hAnsi="Verdana"/>
          <w:sz w:val="20"/>
          <w:szCs w:val="20"/>
          <w:lang w:val="es-ES_tradnl"/>
        </w:rPr>
        <w:t xml:space="preserve">de capacitación </w:t>
      </w:r>
      <w:r w:rsidRPr="00E356A7">
        <w:rPr>
          <w:rFonts w:ascii="Verdana" w:hAnsi="Verdana"/>
          <w:sz w:val="20"/>
          <w:szCs w:val="20"/>
          <w:lang w:val="es-ES_tradnl"/>
        </w:rPr>
        <w:t>adoptadas por el Estado (</w:t>
      </w:r>
      <w:r w:rsidRPr="00E356A7">
        <w:rPr>
          <w:rFonts w:ascii="Verdana" w:hAnsi="Verdana"/>
          <w:i/>
          <w:iCs/>
          <w:sz w:val="20"/>
          <w:szCs w:val="20"/>
          <w:lang w:val="es-ES_tradnl"/>
        </w:rPr>
        <w:t>supra</w:t>
      </w:r>
      <w:r w:rsidRPr="00E356A7">
        <w:rPr>
          <w:rFonts w:ascii="Verdana" w:hAnsi="Verdana"/>
          <w:sz w:val="20"/>
          <w:szCs w:val="20"/>
          <w:lang w:val="es-ES_tradnl"/>
        </w:rPr>
        <w:t xml:space="preserve"> Considerando </w:t>
      </w:r>
      <w:r w:rsidR="0012384F">
        <w:rPr>
          <w:rFonts w:ascii="Verdana" w:hAnsi="Verdana"/>
          <w:sz w:val="20"/>
          <w:szCs w:val="20"/>
          <w:lang w:val="es-ES_tradnl"/>
        </w:rPr>
        <w:t>10</w:t>
      </w:r>
      <w:r w:rsidRPr="00E356A7">
        <w:rPr>
          <w:rFonts w:ascii="Verdana" w:hAnsi="Verdana"/>
          <w:sz w:val="20"/>
          <w:szCs w:val="20"/>
          <w:lang w:val="es-ES_tradnl"/>
        </w:rPr>
        <w:t xml:space="preserve"> y nota al pie </w:t>
      </w:r>
      <w:r w:rsidR="0012384F">
        <w:rPr>
          <w:rFonts w:ascii="Verdana" w:hAnsi="Verdana"/>
          <w:sz w:val="20"/>
          <w:szCs w:val="20"/>
          <w:lang w:val="es-ES_tradnl"/>
        </w:rPr>
        <w:t>15</w:t>
      </w:r>
      <w:r w:rsidRPr="00E356A7">
        <w:rPr>
          <w:rFonts w:ascii="Verdana" w:hAnsi="Verdana"/>
          <w:sz w:val="20"/>
          <w:szCs w:val="20"/>
          <w:lang w:val="es-ES_tradnl"/>
        </w:rPr>
        <w:t xml:space="preserve">). </w:t>
      </w:r>
    </w:p>
    <w:p w14:paraId="4FC16C8D" w14:textId="18934C2A" w:rsidR="001C3A7B" w:rsidRDefault="001C3A7B" w:rsidP="006634DD">
      <w:pPr>
        <w:pStyle w:val="Prrafodelista"/>
        <w:numPr>
          <w:ilvl w:val="0"/>
          <w:numId w:val="3"/>
        </w:numPr>
        <w:spacing w:before="120" w:after="120" w:line="240" w:lineRule="auto"/>
        <w:ind w:left="0" w:firstLine="0"/>
        <w:contextualSpacing w:val="0"/>
        <w:jc w:val="both"/>
        <w:rPr>
          <w:rFonts w:ascii="Verdana" w:hAnsi="Verdana"/>
          <w:color w:val="0070C0"/>
          <w:sz w:val="20"/>
          <w:szCs w:val="20"/>
          <w:lang w:val="es-ES_tradnl"/>
        </w:rPr>
      </w:pPr>
      <w:r>
        <w:rPr>
          <w:rFonts w:ascii="Verdana" w:hAnsi="Verdana"/>
          <w:sz w:val="20"/>
          <w:szCs w:val="20"/>
          <w:lang w:val="es-ES_tradnl"/>
        </w:rPr>
        <w:t>La Corte considera que los referidos acercamientos</w:t>
      </w:r>
      <w:r w:rsidR="0012384F">
        <w:rPr>
          <w:rFonts w:ascii="Verdana" w:hAnsi="Verdana"/>
          <w:sz w:val="20"/>
          <w:szCs w:val="20"/>
          <w:lang w:val="es-ES_tradnl"/>
        </w:rPr>
        <w:t xml:space="preserve"> y</w:t>
      </w:r>
      <w:r>
        <w:rPr>
          <w:rFonts w:ascii="Verdana" w:hAnsi="Verdana"/>
          <w:sz w:val="20"/>
          <w:szCs w:val="20"/>
          <w:lang w:val="es-ES_tradnl"/>
        </w:rPr>
        <w:t xml:space="preserve"> las capacitaciones realizadas hasta el momento mediante los mencionados talleres (</w:t>
      </w:r>
      <w:r w:rsidRPr="001C3A7B">
        <w:rPr>
          <w:rFonts w:ascii="Verdana" w:hAnsi="Verdana"/>
          <w:i/>
          <w:iCs/>
          <w:sz w:val="20"/>
          <w:szCs w:val="20"/>
          <w:lang w:val="es-ES_tradnl"/>
        </w:rPr>
        <w:t>supra</w:t>
      </w:r>
      <w:r>
        <w:rPr>
          <w:rFonts w:ascii="Verdana" w:hAnsi="Verdana"/>
          <w:sz w:val="20"/>
          <w:szCs w:val="20"/>
          <w:lang w:val="es-ES_tradnl"/>
        </w:rPr>
        <w:t xml:space="preserve"> Considerando</w:t>
      </w:r>
      <w:r w:rsidR="0012384F">
        <w:rPr>
          <w:rFonts w:ascii="Verdana" w:hAnsi="Verdana"/>
          <w:sz w:val="20"/>
          <w:szCs w:val="20"/>
          <w:lang w:val="es-ES_tradnl"/>
        </w:rPr>
        <w:t>s</w:t>
      </w:r>
      <w:r>
        <w:rPr>
          <w:rFonts w:ascii="Verdana" w:hAnsi="Verdana"/>
          <w:sz w:val="20"/>
          <w:szCs w:val="20"/>
          <w:lang w:val="es-ES_tradnl"/>
        </w:rPr>
        <w:t xml:space="preserve"> </w:t>
      </w:r>
      <w:r w:rsidR="0012384F">
        <w:rPr>
          <w:rFonts w:ascii="Verdana" w:hAnsi="Verdana"/>
          <w:sz w:val="20"/>
          <w:szCs w:val="20"/>
          <w:lang w:val="es-ES_tradnl"/>
        </w:rPr>
        <w:t xml:space="preserve">11 y 12), así como </w:t>
      </w:r>
      <w:r>
        <w:rPr>
          <w:rFonts w:ascii="Verdana" w:hAnsi="Verdana"/>
          <w:sz w:val="20"/>
          <w:szCs w:val="20"/>
          <w:lang w:val="es-ES_tradnl"/>
        </w:rPr>
        <w:t>el compromiso asumido por el Estado</w:t>
      </w:r>
      <w:r w:rsidR="0012384F">
        <w:rPr>
          <w:rFonts w:ascii="Verdana" w:hAnsi="Verdana"/>
          <w:sz w:val="20"/>
          <w:szCs w:val="20"/>
          <w:lang w:val="es-ES_tradnl"/>
        </w:rPr>
        <w:t xml:space="preserve"> </w:t>
      </w:r>
      <w:r>
        <w:rPr>
          <w:rFonts w:ascii="Verdana" w:hAnsi="Verdana"/>
          <w:sz w:val="20"/>
          <w:szCs w:val="20"/>
          <w:lang w:val="es-ES_tradnl"/>
        </w:rPr>
        <w:t>(</w:t>
      </w:r>
      <w:r w:rsidRPr="00AB0CA3">
        <w:rPr>
          <w:rFonts w:ascii="Verdana" w:hAnsi="Verdana"/>
          <w:i/>
          <w:iCs/>
          <w:sz w:val="20"/>
          <w:szCs w:val="20"/>
          <w:lang w:val="es-ES_tradnl"/>
        </w:rPr>
        <w:t>supra</w:t>
      </w:r>
      <w:r>
        <w:rPr>
          <w:rFonts w:ascii="Verdana" w:hAnsi="Verdana"/>
          <w:sz w:val="20"/>
          <w:szCs w:val="20"/>
          <w:lang w:val="es-ES_tradnl"/>
        </w:rPr>
        <w:t xml:space="preserve"> Considerando </w:t>
      </w:r>
      <w:r w:rsidR="0012384F">
        <w:rPr>
          <w:rFonts w:ascii="Verdana" w:hAnsi="Verdana"/>
          <w:sz w:val="20"/>
          <w:szCs w:val="20"/>
          <w:lang w:val="es-ES_tradnl"/>
        </w:rPr>
        <w:t xml:space="preserve">14), </w:t>
      </w:r>
      <w:r>
        <w:rPr>
          <w:rFonts w:ascii="Verdana" w:hAnsi="Verdana"/>
          <w:sz w:val="20"/>
          <w:szCs w:val="20"/>
          <w:lang w:val="es-ES_tradnl"/>
        </w:rPr>
        <w:t xml:space="preserve">son </w:t>
      </w:r>
      <w:r w:rsidR="00AB0CA3">
        <w:rPr>
          <w:rFonts w:ascii="Verdana" w:hAnsi="Verdana"/>
          <w:sz w:val="20"/>
          <w:szCs w:val="20"/>
          <w:lang w:val="es-ES_tradnl"/>
        </w:rPr>
        <w:t xml:space="preserve">acordes y </w:t>
      </w:r>
      <w:r>
        <w:rPr>
          <w:rFonts w:ascii="Verdana" w:hAnsi="Verdana"/>
          <w:sz w:val="20"/>
          <w:szCs w:val="20"/>
          <w:lang w:val="es-ES_tradnl"/>
        </w:rPr>
        <w:t>suficientes para declarar el cumplimiento total de esta medida</w:t>
      </w:r>
      <w:r w:rsidR="0012384F">
        <w:rPr>
          <w:rFonts w:ascii="Verdana" w:hAnsi="Verdana"/>
          <w:sz w:val="20"/>
          <w:szCs w:val="20"/>
          <w:lang w:val="es-ES_tradnl"/>
        </w:rPr>
        <w:t xml:space="preserve"> de reparación</w:t>
      </w:r>
      <w:r w:rsidR="00AB0CA3">
        <w:rPr>
          <w:rFonts w:ascii="Verdana" w:hAnsi="Verdana"/>
          <w:sz w:val="20"/>
          <w:szCs w:val="20"/>
          <w:lang w:val="es-ES_tradnl"/>
        </w:rPr>
        <w:t>. Además,</w:t>
      </w:r>
      <w:r>
        <w:rPr>
          <w:rFonts w:ascii="Verdana" w:hAnsi="Verdana"/>
          <w:sz w:val="20"/>
          <w:szCs w:val="20"/>
          <w:lang w:val="es-ES_tradnl"/>
        </w:rPr>
        <w:t xml:space="preserve"> </w:t>
      </w:r>
      <w:r w:rsidR="000E0538">
        <w:rPr>
          <w:rFonts w:ascii="Verdana" w:hAnsi="Verdana"/>
          <w:sz w:val="20"/>
          <w:szCs w:val="20"/>
          <w:lang w:val="es-ES_tradnl"/>
        </w:rPr>
        <w:t xml:space="preserve">en atención a la buena fe del Estado en el cumplimiento de sus obligaciones, las referidas acciones y compromisos </w:t>
      </w:r>
      <w:r>
        <w:rPr>
          <w:rFonts w:ascii="Verdana" w:hAnsi="Verdana"/>
          <w:sz w:val="20"/>
          <w:szCs w:val="20"/>
          <w:lang w:val="es-ES_tradnl"/>
        </w:rPr>
        <w:t xml:space="preserve">brindan al Tribunal seguridad de que Costa Rica continuará </w:t>
      </w:r>
      <w:r w:rsidR="000E0538">
        <w:rPr>
          <w:rFonts w:ascii="Verdana" w:hAnsi="Verdana"/>
          <w:sz w:val="20"/>
          <w:szCs w:val="20"/>
          <w:lang w:val="es-ES_tradnl"/>
        </w:rPr>
        <w:t xml:space="preserve">capacitando a funcionarios estatales en materia de derechos humanos. </w:t>
      </w:r>
      <w:r>
        <w:rPr>
          <w:rFonts w:ascii="Verdana" w:hAnsi="Verdana"/>
          <w:color w:val="0070C0"/>
          <w:sz w:val="20"/>
          <w:szCs w:val="20"/>
          <w:lang w:val="es-ES_tradnl"/>
        </w:rPr>
        <w:t xml:space="preserve"> </w:t>
      </w:r>
    </w:p>
    <w:p w14:paraId="4A6E36CD" w14:textId="77777777" w:rsidR="00F82A9C" w:rsidRPr="00BE2E3A" w:rsidRDefault="003E073F"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sidRPr="00BE2E3A">
        <w:rPr>
          <w:rFonts w:ascii="Verdana" w:hAnsi="Verdana"/>
          <w:sz w:val="20"/>
          <w:szCs w:val="20"/>
        </w:rPr>
        <w:t xml:space="preserve">En </w:t>
      </w:r>
      <w:r w:rsidR="00BE2E3A" w:rsidRPr="00BE2E3A">
        <w:rPr>
          <w:rFonts w:ascii="Verdana" w:hAnsi="Verdana"/>
          <w:sz w:val="20"/>
          <w:szCs w:val="20"/>
        </w:rPr>
        <w:t xml:space="preserve">virtud lo anterior, </w:t>
      </w:r>
      <w:r w:rsidR="0045429B" w:rsidRPr="00BE2E3A">
        <w:rPr>
          <w:rFonts w:ascii="Verdana" w:hAnsi="Verdana"/>
          <w:sz w:val="20"/>
          <w:szCs w:val="20"/>
        </w:rPr>
        <w:t>el</w:t>
      </w:r>
      <w:r w:rsidR="00122C0E" w:rsidRPr="00BE2E3A">
        <w:rPr>
          <w:rFonts w:ascii="Verdana" w:hAnsi="Verdana"/>
          <w:sz w:val="20"/>
          <w:szCs w:val="20"/>
        </w:rPr>
        <w:t xml:space="preserve"> Tribunal</w:t>
      </w:r>
      <w:r w:rsidR="00231173" w:rsidRPr="00BE2E3A">
        <w:rPr>
          <w:rFonts w:ascii="Verdana" w:hAnsi="Verdana"/>
          <w:sz w:val="20"/>
          <w:szCs w:val="20"/>
        </w:rPr>
        <w:t xml:space="preserve"> </w:t>
      </w:r>
      <w:r w:rsidR="00BE2E3A" w:rsidRPr="00BE2E3A">
        <w:rPr>
          <w:rFonts w:ascii="Verdana" w:hAnsi="Verdana"/>
          <w:sz w:val="20"/>
          <w:szCs w:val="20"/>
        </w:rPr>
        <w:t>considera que</w:t>
      </w:r>
      <w:r w:rsidR="0045429B" w:rsidRPr="00BE2E3A">
        <w:rPr>
          <w:rFonts w:ascii="Verdana" w:hAnsi="Verdana"/>
          <w:sz w:val="20"/>
          <w:szCs w:val="20"/>
        </w:rPr>
        <w:t xml:space="preserve"> </w:t>
      </w:r>
      <w:r w:rsidRPr="00BE2E3A">
        <w:rPr>
          <w:rFonts w:ascii="Verdana" w:hAnsi="Verdana"/>
          <w:sz w:val="20"/>
          <w:szCs w:val="20"/>
        </w:rPr>
        <w:t xml:space="preserve">Costa Rica ha dado cumplimiento total a la reparación </w:t>
      </w:r>
      <w:r w:rsidR="00BE2E3A" w:rsidRPr="00BE2E3A">
        <w:rPr>
          <w:rFonts w:ascii="Verdana" w:hAnsi="Verdana"/>
          <w:sz w:val="20"/>
          <w:szCs w:val="20"/>
        </w:rPr>
        <w:t xml:space="preserve">relativa a propiciar diversos acercamientos </w:t>
      </w:r>
      <w:r w:rsidR="00BE2E3A" w:rsidRPr="00BE2E3A">
        <w:rPr>
          <w:rFonts w:ascii="Verdana" w:hAnsi="Verdana"/>
          <w:sz w:val="20"/>
          <w:szCs w:val="20"/>
          <w:lang w:val="es-ES_tradnl"/>
        </w:rPr>
        <w:t xml:space="preserve">a efecto de generar procesos de capacitación en derechos humanos, dirigidos a funcionarios y funcionarias de los diversos poderes del Estado, así como de la Caja Costarricense del Seguro Social, </w:t>
      </w:r>
      <w:r w:rsidRPr="00BE2E3A">
        <w:rPr>
          <w:rFonts w:ascii="Verdana" w:hAnsi="Verdana"/>
          <w:sz w:val="20"/>
          <w:szCs w:val="20"/>
        </w:rPr>
        <w:t xml:space="preserve">ordenada en el punto </w:t>
      </w:r>
      <w:r w:rsidR="004218BD">
        <w:rPr>
          <w:rFonts w:ascii="Verdana" w:hAnsi="Verdana"/>
          <w:sz w:val="20"/>
          <w:szCs w:val="20"/>
        </w:rPr>
        <w:t>resolutivo</w:t>
      </w:r>
      <w:r w:rsidRPr="00BE2E3A">
        <w:rPr>
          <w:rFonts w:ascii="Verdana" w:hAnsi="Verdana"/>
          <w:sz w:val="20"/>
          <w:szCs w:val="20"/>
        </w:rPr>
        <w:t xml:space="preserve"> sexto, literal c) de la Sentencia.</w:t>
      </w:r>
    </w:p>
    <w:p w14:paraId="013922E7" w14:textId="77777777" w:rsidR="0046099C" w:rsidRDefault="0046099C" w:rsidP="006634DD">
      <w:pPr>
        <w:pStyle w:val="Prrafodelista"/>
        <w:spacing w:before="120" w:after="120" w:line="240" w:lineRule="auto"/>
        <w:ind w:left="0"/>
        <w:contextualSpacing w:val="0"/>
        <w:jc w:val="both"/>
        <w:rPr>
          <w:rFonts w:ascii="Verdana" w:hAnsi="Verdana"/>
          <w:sz w:val="20"/>
          <w:szCs w:val="20"/>
        </w:rPr>
      </w:pPr>
    </w:p>
    <w:p w14:paraId="1AD29ADE" w14:textId="77777777" w:rsidR="00224E09" w:rsidRDefault="00224E09" w:rsidP="006634DD">
      <w:pPr>
        <w:pStyle w:val="Prrafodelista"/>
        <w:spacing w:before="120" w:after="120" w:line="240" w:lineRule="auto"/>
        <w:ind w:left="0"/>
        <w:contextualSpacing w:val="0"/>
        <w:jc w:val="both"/>
        <w:rPr>
          <w:rFonts w:ascii="Verdana" w:hAnsi="Verdana"/>
          <w:sz w:val="20"/>
          <w:szCs w:val="20"/>
        </w:rPr>
      </w:pPr>
    </w:p>
    <w:p w14:paraId="07FCB5E3" w14:textId="77777777" w:rsidR="00D45803" w:rsidRDefault="00D45803" w:rsidP="006634DD">
      <w:pPr>
        <w:pStyle w:val="Prrafodelista"/>
        <w:numPr>
          <w:ilvl w:val="0"/>
          <w:numId w:val="8"/>
        </w:numPr>
        <w:spacing w:before="120" w:after="120" w:line="240" w:lineRule="auto"/>
        <w:contextualSpacing w:val="0"/>
        <w:jc w:val="both"/>
        <w:outlineLvl w:val="0"/>
        <w:rPr>
          <w:rStyle w:val="nfasissutil"/>
          <w:rFonts w:ascii="Verdana" w:hAnsi="Verdana"/>
          <w:b/>
          <w:color w:val="000000" w:themeColor="text1"/>
          <w:sz w:val="20"/>
          <w:szCs w:val="20"/>
        </w:rPr>
      </w:pPr>
      <w:bookmarkStart w:id="6" w:name="_Toc21945229"/>
      <w:bookmarkStart w:id="7" w:name="tercera_reparación"/>
      <w:r>
        <w:rPr>
          <w:rStyle w:val="nfasissutil"/>
          <w:rFonts w:ascii="Verdana" w:hAnsi="Verdana"/>
          <w:b/>
          <w:color w:val="000000" w:themeColor="text1"/>
          <w:sz w:val="20"/>
          <w:szCs w:val="20"/>
        </w:rPr>
        <w:lastRenderedPageBreak/>
        <w:t xml:space="preserve">Fortalecer los programas </w:t>
      </w:r>
      <w:r w:rsidR="0046099C">
        <w:rPr>
          <w:rStyle w:val="nfasissutil"/>
          <w:rFonts w:ascii="Verdana" w:hAnsi="Verdana"/>
          <w:b/>
          <w:color w:val="000000" w:themeColor="text1"/>
          <w:sz w:val="20"/>
          <w:szCs w:val="20"/>
        </w:rPr>
        <w:t>educativos dirigidos a</w:t>
      </w:r>
      <w:r>
        <w:rPr>
          <w:rStyle w:val="nfasissutil"/>
          <w:rFonts w:ascii="Verdana" w:hAnsi="Verdana"/>
          <w:b/>
          <w:color w:val="000000" w:themeColor="text1"/>
          <w:sz w:val="20"/>
          <w:szCs w:val="20"/>
        </w:rPr>
        <w:t xml:space="preserve"> propiciar una formación en derechos humanos</w:t>
      </w:r>
      <w:bookmarkEnd w:id="6"/>
    </w:p>
    <w:bookmarkEnd w:id="7"/>
    <w:p w14:paraId="04DA8143" w14:textId="77777777" w:rsidR="00231173" w:rsidRPr="00231173" w:rsidRDefault="00231173" w:rsidP="006634DD">
      <w:pPr>
        <w:pStyle w:val="Prrafodelista"/>
        <w:spacing w:before="120" w:after="120" w:line="240" w:lineRule="auto"/>
        <w:ind w:left="1068"/>
        <w:contextualSpacing w:val="0"/>
        <w:jc w:val="both"/>
        <w:rPr>
          <w:rFonts w:ascii="Verdana" w:hAnsi="Verdana"/>
          <w:sz w:val="20"/>
          <w:szCs w:val="20"/>
        </w:rPr>
      </w:pPr>
      <w:r>
        <w:rPr>
          <w:rFonts w:ascii="Verdana" w:hAnsi="Verdana"/>
          <w:i/>
          <w:sz w:val="20"/>
          <w:szCs w:val="20"/>
        </w:rPr>
        <w:t xml:space="preserve">C.1. Medida </w:t>
      </w:r>
      <w:r w:rsidR="00AE24A9">
        <w:rPr>
          <w:rFonts w:ascii="Verdana" w:hAnsi="Verdana"/>
          <w:i/>
          <w:sz w:val="20"/>
          <w:szCs w:val="20"/>
        </w:rPr>
        <w:t>o</w:t>
      </w:r>
      <w:r>
        <w:rPr>
          <w:rFonts w:ascii="Verdana" w:hAnsi="Verdana"/>
          <w:i/>
          <w:sz w:val="20"/>
          <w:szCs w:val="20"/>
        </w:rPr>
        <w:t>rdenada por la Corte</w:t>
      </w:r>
    </w:p>
    <w:p w14:paraId="4D9DA45E" w14:textId="06069C1D" w:rsidR="0046099C" w:rsidRDefault="00231173"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rPr>
        <w:t xml:space="preserve">En el punto </w:t>
      </w:r>
      <w:r w:rsidR="004218BD">
        <w:rPr>
          <w:rFonts w:ascii="Verdana" w:hAnsi="Verdana"/>
          <w:sz w:val="20"/>
          <w:szCs w:val="20"/>
        </w:rPr>
        <w:t>resolutivo</w:t>
      </w:r>
      <w:r>
        <w:rPr>
          <w:rFonts w:ascii="Verdana" w:hAnsi="Verdana"/>
          <w:sz w:val="20"/>
          <w:szCs w:val="20"/>
        </w:rPr>
        <w:t xml:space="preserve"> sexto, literal </w:t>
      </w:r>
      <w:r w:rsidR="00045473">
        <w:rPr>
          <w:rFonts w:ascii="Verdana" w:hAnsi="Verdana"/>
          <w:sz w:val="20"/>
          <w:szCs w:val="20"/>
        </w:rPr>
        <w:t>d)</w:t>
      </w:r>
      <w:r w:rsidR="0046099C">
        <w:rPr>
          <w:rFonts w:ascii="Verdana" w:hAnsi="Verdana"/>
          <w:sz w:val="20"/>
          <w:szCs w:val="20"/>
        </w:rPr>
        <w:t xml:space="preserve"> </w:t>
      </w:r>
      <w:r w:rsidR="0046099C" w:rsidRPr="00F60CF3">
        <w:rPr>
          <w:rFonts w:ascii="Verdana" w:hAnsi="Verdana"/>
          <w:sz w:val="20"/>
          <w:szCs w:val="20"/>
          <w:lang w:val="es-ES_tradnl"/>
        </w:rPr>
        <w:t xml:space="preserve">y en los párrafos 55 a 57 de la Sentencia, la Corte homologó que el Estado debe </w:t>
      </w:r>
      <w:r w:rsidR="0046099C">
        <w:rPr>
          <w:rFonts w:ascii="Verdana" w:hAnsi="Verdana"/>
          <w:sz w:val="20"/>
          <w:szCs w:val="20"/>
          <w:lang w:val="es-ES_tradnl"/>
        </w:rPr>
        <w:t xml:space="preserve">“fortalecer, en un plazo razonable, los programas educativos dirigidos a propiciar una formación en derechos humanos, en los términos </w:t>
      </w:r>
      <w:r w:rsidR="00F233D5">
        <w:rPr>
          <w:rFonts w:ascii="Verdana" w:hAnsi="Verdana"/>
          <w:sz w:val="20"/>
          <w:szCs w:val="20"/>
          <w:lang w:val="es-ES_tradnl"/>
        </w:rPr>
        <w:t>[</w:t>
      </w:r>
      <w:r w:rsidR="0046099C">
        <w:rPr>
          <w:rFonts w:ascii="Verdana" w:hAnsi="Verdana"/>
          <w:sz w:val="20"/>
          <w:szCs w:val="20"/>
          <w:lang w:val="es-ES_tradnl"/>
        </w:rPr>
        <w:t>de los referidos párrafos</w:t>
      </w:r>
      <w:r w:rsidR="00F233D5">
        <w:rPr>
          <w:rFonts w:ascii="Verdana" w:hAnsi="Verdana"/>
          <w:sz w:val="20"/>
          <w:szCs w:val="20"/>
          <w:lang w:val="es-ES_tradnl"/>
        </w:rPr>
        <w:t>]”</w:t>
      </w:r>
      <w:r w:rsidR="0046099C">
        <w:rPr>
          <w:rFonts w:ascii="Verdana" w:hAnsi="Verdana"/>
          <w:sz w:val="20"/>
          <w:szCs w:val="20"/>
          <w:lang w:val="es-ES_tradnl"/>
        </w:rPr>
        <w:t xml:space="preserve">. </w:t>
      </w:r>
      <w:r w:rsidR="006A1654" w:rsidRPr="006A1654">
        <w:rPr>
          <w:rFonts w:ascii="Verdana" w:hAnsi="Verdana"/>
          <w:sz w:val="20"/>
          <w:szCs w:val="20"/>
          <w:lang w:val="es-ES_tradnl"/>
        </w:rPr>
        <w:t xml:space="preserve">En el Acuerdo de solución amistosa homologado por la Corte, </w:t>
      </w:r>
      <w:r w:rsidR="00F233D5">
        <w:rPr>
          <w:rFonts w:ascii="Verdana" w:hAnsi="Verdana"/>
          <w:sz w:val="20"/>
          <w:szCs w:val="20"/>
          <w:lang w:val="es-ES_tradnl"/>
        </w:rPr>
        <w:t>las partes acordaron que,</w:t>
      </w:r>
      <w:r w:rsidR="006A1654" w:rsidRPr="006A1654">
        <w:rPr>
          <w:rFonts w:ascii="Verdana" w:hAnsi="Verdana"/>
          <w:sz w:val="20"/>
          <w:szCs w:val="20"/>
          <w:lang w:val="es-ES_tradnl"/>
        </w:rPr>
        <w:t xml:space="preserve"> “a través del Ministerio de Educación Pública”, </w:t>
      </w:r>
      <w:r w:rsidR="00F233D5">
        <w:rPr>
          <w:rFonts w:ascii="Verdana" w:hAnsi="Verdana"/>
          <w:sz w:val="20"/>
          <w:szCs w:val="20"/>
          <w:lang w:val="es-ES_tradnl"/>
        </w:rPr>
        <w:t xml:space="preserve">el Estado </w:t>
      </w:r>
      <w:r w:rsidR="006A1654" w:rsidRPr="006A1654">
        <w:rPr>
          <w:rFonts w:ascii="Verdana" w:hAnsi="Verdana"/>
          <w:sz w:val="20"/>
          <w:szCs w:val="20"/>
          <w:lang w:val="es-ES_tradnl"/>
        </w:rPr>
        <w:t>“</w:t>
      </w:r>
      <w:r w:rsidR="00F233D5">
        <w:rPr>
          <w:rFonts w:ascii="Verdana" w:hAnsi="Verdana"/>
          <w:sz w:val="20"/>
          <w:szCs w:val="20"/>
          <w:lang w:val="es-ES_tradnl"/>
        </w:rPr>
        <w:t xml:space="preserve">buscará fortalecer </w:t>
      </w:r>
      <w:r w:rsidR="006A1654" w:rsidRPr="006A1654">
        <w:rPr>
          <w:rFonts w:ascii="Verdana" w:hAnsi="Verdana"/>
          <w:sz w:val="20"/>
          <w:szCs w:val="20"/>
          <w:lang w:val="es-ES_tradnl"/>
        </w:rPr>
        <w:t>los programas educativos de educación básica dirigidos a propiciar una formación en derechos humanos, no discriminación y respecto de la autonomía de la voluntad”.</w:t>
      </w:r>
    </w:p>
    <w:p w14:paraId="33B7951C" w14:textId="77E1C294" w:rsidR="0046099C" w:rsidRDefault="00383E6C"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También</w:t>
      </w:r>
      <w:r w:rsidR="00AE24A9">
        <w:rPr>
          <w:rFonts w:ascii="Verdana" w:hAnsi="Verdana"/>
          <w:sz w:val="20"/>
          <w:szCs w:val="20"/>
          <w:lang w:val="es-ES_tradnl"/>
        </w:rPr>
        <w:t>, a efecto de</w:t>
      </w:r>
      <w:r>
        <w:rPr>
          <w:rFonts w:ascii="Verdana" w:hAnsi="Verdana"/>
          <w:sz w:val="20"/>
          <w:szCs w:val="20"/>
          <w:lang w:val="es-ES_tradnl"/>
        </w:rPr>
        <w:t xml:space="preserve"> </w:t>
      </w:r>
      <w:r w:rsidR="00FB1004">
        <w:rPr>
          <w:rFonts w:ascii="Verdana" w:hAnsi="Verdana"/>
          <w:sz w:val="20"/>
          <w:szCs w:val="20"/>
          <w:lang w:val="es-ES_tradnl"/>
        </w:rPr>
        <w:t xml:space="preserve">concretar la supervisión de cumplimiento de </w:t>
      </w:r>
      <w:r>
        <w:rPr>
          <w:rFonts w:ascii="Verdana" w:hAnsi="Verdana"/>
          <w:sz w:val="20"/>
          <w:szCs w:val="20"/>
          <w:lang w:val="es-ES_tradnl"/>
        </w:rPr>
        <w:t xml:space="preserve">esta medida, </w:t>
      </w:r>
      <w:r w:rsidR="0046099C" w:rsidRPr="00F60CF3">
        <w:rPr>
          <w:rFonts w:ascii="Verdana" w:hAnsi="Verdana"/>
          <w:sz w:val="20"/>
          <w:szCs w:val="20"/>
          <w:lang w:val="es-ES_tradnl"/>
        </w:rPr>
        <w:t xml:space="preserve">la Corte </w:t>
      </w:r>
      <w:r w:rsidR="0046099C">
        <w:rPr>
          <w:rFonts w:ascii="Verdana" w:hAnsi="Verdana"/>
          <w:sz w:val="20"/>
          <w:szCs w:val="20"/>
          <w:lang w:val="es-ES_tradnl"/>
        </w:rPr>
        <w:t>dispuso</w:t>
      </w:r>
      <w:r w:rsidR="0046099C" w:rsidRPr="00F60CF3">
        <w:rPr>
          <w:rFonts w:ascii="Verdana" w:hAnsi="Verdana"/>
          <w:sz w:val="20"/>
          <w:szCs w:val="20"/>
          <w:lang w:val="es-ES_tradnl"/>
        </w:rPr>
        <w:t xml:space="preserve"> </w:t>
      </w:r>
      <w:r>
        <w:rPr>
          <w:rFonts w:ascii="Verdana" w:hAnsi="Verdana"/>
          <w:sz w:val="20"/>
          <w:szCs w:val="20"/>
          <w:lang w:val="es-ES_tradnl"/>
        </w:rPr>
        <w:t xml:space="preserve">un plazo de seis meses para que las partes indicaran </w:t>
      </w:r>
      <w:r w:rsidR="0046099C" w:rsidRPr="00F60CF3">
        <w:rPr>
          <w:rFonts w:ascii="Verdana" w:hAnsi="Verdana"/>
          <w:sz w:val="20"/>
          <w:szCs w:val="20"/>
          <w:lang w:val="es-ES_tradnl"/>
        </w:rPr>
        <w:t xml:space="preserve">las </w:t>
      </w:r>
      <w:r w:rsidR="00F233D5">
        <w:rPr>
          <w:rFonts w:ascii="Verdana" w:hAnsi="Verdana"/>
          <w:sz w:val="20"/>
          <w:szCs w:val="20"/>
          <w:lang w:val="es-ES_tradnl"/>
        </w:rPr>
        <w:t>acciones</w:t>
      </w:r>
      <w:r w:rsidR="00F233D5" w:rsidRPr="00F60CF3">
        <w:rPr>
          <w:rFonts w:ascii="Verdana" w:hAnsi="Verdana"/>
          <w:sz w:val="20"/>
          <w:szCs w:val="20"/>
          <w:lang w:val="es-ES_tradnl"/>
        </w:rPr>
        <w:t xml:space="preserve"> </w:t>
      </w:r>
      <w:r w:rsidR="0046099C" w:rsidRPr="00F60CF3">
        <w:rPr>
          <w:rFonts w:ascii="Verdana" w:hAnsi="Verdana"/>
          <w:sz w:val="20"/>
          <w:szCs w:val="20"/>
          <w:lang w:val="es-ES_tradnl"/>
        </w:rPr>
        <w:t>específicas que se esperan del Estado para dar</w:t>
      </w:r>
      <w:r>
        <w:rPr>
          <w:rFonts w:ascii="Verdana" w:hAnsi="Verdana"/>
          <w:sz w:val="20"/>
          <w:szCs w:val="20"/>
          <w:lang w:val="es-ES_tradnl"/>
        </w:rPr>
        <w:t>le</w:t>
      </w:r>
      <w:r w:rsidR="0046099C" w:rsidRPr="00F60CF3">
        <w:rPr>
          <w:rFonts w:ascii="Verdana" w:hAnsi="Verdana"/>
          <w:sz w:val="20"/>
          <w:szCs w:val="20"/>
          <w:lang w:val="es-ES_tradnl"/>
        </w:rPr>
        <w:t xml:space="preserve"> cumplimiento </w:t>
      </w:r>
      <w:r>
        <w:rPr>
          <w:rFonts w:ascii="Verdana" w:hAnsi="Verdana"/>
          <w:sz w:val="20"/>
          <w:szCs w:val="20"/>
          <w:lang w:val="es-ES_tradnl"/>
        </w:rPr>
        <w:t xml:space="preserve">y </w:t>
      </w:r>
      <w:r w:rsidR="0046099C" w:rsidRPr="00F60CF3">
        <w:rPr>
          <w:rFonts w:ascii="Verdana" w:hAnsi="Verdana"/>
          <w:sz w:val="20"/>
          <w:szCs w:val="20"/>
          <w:lang w:val="es-ES_tradnl"/>
        </w:rPr>
        <w:t>los plazos para su ejecución</w:t>
      </w:r>
      <w:r>
        <w:rPr>
          <w:rFonts w:ascii="Verdana" w:hAnsi="Verdana"/>
          <w:sz w:val="20"/>
          <w:szCs w:val="20"/>
          <w:lang w:val="es-ES_tradnl"/>
        </w:rPr>
        <w:t xml:space="preserve"> (</w:t>
      </w:r>
      <w:r w:rsidRPr="00383E6C">
        <w:rPr>
          <w:rFonts w:ascii="Verdana" w:hAnsi="Verdana"/>
          <w:i/>
          <w:iCs/>
          <w:sz w:val="20"/>
          <w:szCs w:val="20"/>
          <w:lang w:val="es-ES_tradnl"/>
        </w:rPr>
        <w:t>supra</w:t>
      </w:r>
      <w:r>
        <w:rPr>
          <w:rFonts w:ascii="Verdana" w:hAnsi="Verdana"/>
          <w:sz w:val="20"/>
          <w:szCs w:val="20"/>
          <w:lang w:val="es-ES_tradnl"/>
        </w:rPr>
        <w:t xml:space="preserve"> Considerando </w:t>
      </w:r>
      <w:r w:rsidR="00F233D5">
        <w:rPr>
          <w:rFonts w:ascii="Verdana" w:hAnsi="Verdana"/>
          <w:sz w:val="20"/>
          <w:szCs w:val="20"/>
          <w:lang w:val="es-ES_tradnl"/>
        </w:rPr>
        <w:t>8</w:t>
      </w:r>
      <w:r>
        <w:rPr>
          <w:rFonts w:ascii="Verdana" w:hAnsi="Verdana"/>
          <w:sz w:val="20"/>
          <w:szCs w:val="20"/>
          <w:lang w:val="es-ES_tradnl"/>
        </w:rPr>
        <w:t>)</w:t>
      </w:r>
      <w:r w:rsidR="0046099C">
        <w:rPr>
          <w:rStyle w:val="Refdenotaalpie"/>
          <w:rFonts w:ascii="Verdana" w:hAnsi="Verdana"/>
          <w:sz w:val="20"/>
          <w:szCs w:val="20"/>
          <w:lang w:val="es-ES_tradnl"/>
        </w:rPr>
        <w:footnoteReference w:id="23"/>
      </w:r>
      <w:r w:rsidR="0046099C" w:rsidRPr="00F60CF3">
        <w:rPr>
          <w:rFonts w:ascii="Verdana" w:hAnsi="Verdana"/>
          <w:sz w:val="20"/>
          <w:szCs w:val="20"/>
          <w:lang w:val="es-ES_tradnl"/>
        </w:rPr>
        <w:t xml:space="preserve">. </w:t>
      </w:r>
    </w:p>
    <w:p w14:paraId="24E024FF" w14:textId="77777777" w:rsidR="00045473" w:rsidRPr="002B17BF" w:rsidRDefault="002B17BF" w:rsidP="006634DD">
      <w:pPr>
        <w:pStyle w:val="Prrafodelista"/>
        <w:spacing w:before="120" w:after="120" w:line="240" w:lineRule="auto"/>
        <w:ind w:left="1068"/>
        <w:contextualSpacing w:val="0"/>
        <w:jc w:val="both"/>
        <w:rPr>
          <w:rFonts w:ascii="Verdana" w:hAnsi="Verdana"/>
          <w:i/>
          <w:sz w:val="20"/>
          <w:szCs w:val="20"/>
        </w:rPr>
      </w:pPr>
      <w:r>
        <w:rPr>
          <w:rFonts w:ascii="Verdana" w:hAnsi="Verdana"/>
          <w:i/>
          <w:sz w:val="20"/>
          <w:szCs w:val="20"/>
        </w:rPr>
        <w:t>C.2. Consideraciones de la Corte</w:t>
      </w:r>
    </w:p>
    <w:p w14:paraId="45F80B99" w14:textId="256BC0FE" w:rsidR="004D5508" w:rsidRPr="001A4171" w:rsidRDefault="00754402"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rPr>
        <w:t xml:space="preserve">En similar sentido con lo ocurrido con la </w:t>
      </w:r>
      <w:r w:rsidR="001A4171">
        <w:rPr>
          <w:rFonts w:ascii="Verdana" w:hAnsi="Verdana"/>
          <w:sz w:val="20"/>
          <w:szCs w:val="20"/>
        </w:rPr>
        <w:t>reparación</w:t>
      </w:r>
      <w:r w:rsidR="00AE24A9">
        <w:rPr>
          <w:rFonts w:ascii="Verdana" w:hAnsi="Verdana"/>
          <w:sz w:val="20"/>
          <w:szCs w:val="20"/>
        </w:rPr>
        <w:t xml:space="preserve"> anterior</w:t>
      </w:r>
      <w:r w:rsidR="001A2998">
        <w:rPr>
          <w:rFonts w:ascii="Verdana" w:hAnsi="Verdana"/>
          <w:sz w:val="20"/>
          <w:szCs w:val="20"/>
        </w:rPr>
        <w:t xml:space="preserve"> </w:t>
      </w:r>
      <w:r w:rsidR="001A2998">
        <w:rPr>
          <w:rFonts w:ascii="Verdana" w:hAnsi="Verdana"/>
          <w:sz w:val="20"/>
          <w:szCs w:val="20"/>
          <w:lang w:val="es-ES_tradnl"/>
        </w:rPr>
        <w:t>(</w:t>
      </w:r>
      <w:r w:rsidR="001A2998" w:rsidRPr="001A4171">
        <w:rPr>
          <w:rFonts w:ascii="Verdana" w:hAnsi="Verdana"/>
          <w:i/>
          <w:iCs/>
          <w:sz w:val="20"/>
          <w:szCs w:val="20"/>
          <w:lang w:val="es-ES_tradnl"/>
        </w:rPr>
        <w:t>supra</w:t>
      </w:r>
      <w:r w:rsidR="001A2998">
        <w:rPr>
          <w:rFonts w:ascii="Verdana" w:hAnsi="Verdana"/>
          <w:sz w:val="20"/>
          <w:szCs w:val="20"/>
          <w:lang w:val="es-ES_tradnl"/>
        </w:rPr>
        <w:t xml:space="preserve"> Considerando </w:t>
      </w:r>
      <w:r w:rsidR="00520C2D">
        <w:rPr>
          <w:rFonts w:ascii="Verdana" w:hAnsi="Verdana"/>
          <w:sz w:val="20"/>
          <w:szCs w:val="20"/>
          <w:lang w:val="es-ES_tradnl"/>
        </w:rPr>
        <w:t>9</w:t>
      </w:r>
      <w:r w:rsidR="001A2998">
        <w:rPr>
          <w:rFonts w:ascii="Verdana" w:hAnsi="Verdana"/>
          <w:sz w:val="20"/>
          <w:szCs w:val="20"/>
          <w:lang w:val="es-ES_tradnl"/>
        </w:rPr>
        <w:t>)</w:t>
      </w:r>
      <w:r w:rsidR="00AE24A9">
        <w:rPr>
          <w:rFonts w:ascii="Verdana" w:hAnsi="Verdana"/>
          <w:sz w:val="20"/>
          <w:szCs w:val="20"/>
        </w:rPr>
        <w:t xml:space="preserve">, las partes </w:t>
      </w:r>
      <w:r w:rsidR="001A4171">
        <w:rPr>
          <w:rFonts w:ascii="Verdana" w:hAnsi="Verdana"/>
          <w:sz w:val="20"/>
          <w:szCs w:val="20"/>
        </w:rPr>
        <w:t xml:space="preserve">tampoco </w:t>
      </w:r>
      <w:r w:rsidR="00AE24A9" w:rsidRPr="00AE24A9">
        <w:rPr>
          <w:rFonts w:ascii="Verdana" w:hAnsi="Verdana"/>
          <w:sz w:val="20"/>
          <w:szCs w:val="20"/>
          <w:lang w:val="es-ES_tradnl"/>
        </w:rPr>
        <w:t xml:space="preserve">cumplieron con identificar las </w:t>
      </w:r>
      <w:r w:rsidR="00520C2D">
        <w:rPr>
          <w:rFonts w:ascii="Verdana" w:hAnsi="Verdana"/>
          <w:sz w:val="20"/>
          <w:szCs w:val="20"/>
          <w:lang w:val="es-ES_tradnl"/>
        </w:rPr>
        <w:t>acciones</w:t>
      </w:r>
      <w:r w:rsidR="00520C2D" w:rsidRPr="00AE24A9">
        <w:rPr>
          <w:rFonts w:ascii="Verdana" w:hAnsi="Verdana"/>
          <w:sz w:val="20"/>
          <w:szCs w:val="20"/>
          <w:lang w:val="es-ES_tradnl"/>
        </w:rPr>
        <w:t xml:space="preserve"> </w:t>
      </w:r>
      <w:r w:rsidR="00AE24A9" w:rsidRPr="00AE24A9">
        <w:rPr>
          <w:rFonts w:ascii="Verdana" w:hAnsi="Verdana"/>
          <w:sz w:val="20"/>
          <w:szCs w:val="20"/>
          <w:lang w:val="es-ES_tradnl"/>
        </w:rPr>
        <w:t>específicas que</w:t>
      </w:r>
      <w:r w:rsidR="00520C2D">
        <w:rPr>
          <w:rFonts w:ascii="Verdana" w:hAnsi="Verdana"/>
          <w:sz w:val="20"/>
          <w:szCs w:val="20"/>
          <w:lang w:val="es-ES_tradnl"/>
        </w:rPr>
        <w:t xml:space="preserve"> el Estado</w:t>
      </w:r>
      <w:r w:rsidR="00AE24A9" w:rsidRPr="00AE24A9">
        <w:rPr>
          <w:rFonts w:ascii="Verdana" w:hAnsi="Verdana"/>
          <w:sz w:val="20"/>
          <w:szCs w:val="20"/>
          <w:lang w:val="es-ES_tradnl"/>
        </w:rPr>
        <w:t xml:space="preserve"> debía implementar para dar cumplimiento a esta medida de reparación y que serían objeto de supervisión por parte de la Corte</w:t>
      </w:r>
      <w:r w:rsidR="001A4171">
        <w:rPr>
          <w:rFonts w:ascii="Verdana" w:hAnsi="Verdana"/>
          <w:sz w:val="20"/>
          <w:szCs w:val="20"/>
          <w:lang w:val="es-ES_tradnl"/>
        </w:rPr>
        <w:t xml:space="preserve">. </w:t>
      </w:r>
    </w:p>
    <w:p w14:paraId="57E1D8ED" w14:textId="3668CADA" w:rsidR="009E79B7" w:rsidRPr="009F69D4" w:rsidRDefault="001A4171"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lang w:val="es-ES_tradnl"/>
        </w:rPr>
        <w:t xml:space="preserve">En su informe de febrero de 2018, el </w:t>
      </w:r>
      <w:r w:rsidRPr="00E93AE4">
        <w:rPr>
          <w:rFonts w:ascii="Verdana" w:hAnsi="Verdana"/>
          <w:i/>
          <w:iCs/>
          <w:sz w:val="20"/>
          <w:szCs w:val="20"/>
          <w:lang w:val="es-ES_tradnl"/>
        </w:rPr>
        <w:t>Estado</w:t>
      </w:r>
      <w:r>
        <w:rPr>
          <w:rFonts w:ascii="Verdana" w:hAnsi="Verdana"/>
          <w:sz w:val="20"/>
          <w:szCs w:val="20"/>
          <w:lang w:val="es-ES_tradnl"/>
        </w:rPr>
        <w:t xml:space="preserve"> </w:t>
      </w:r>
      <w:r w:rsidR="00E93AE4">
        <w:rPr>
          <w:rFonts w:ascii="Verdana" w:hAnsi="Verdana"/>
          <w:sz w:val="20"/>
          <w:szCs w:val="20"/>
          <w:lang w:val="es-ES_tradnl"/>
        </w:rPr>
        <w:t>“expuso los alcances de la reforma educativa sobre afectividad y sexualidad integral, partiendo de un enfoque de derechos humanos” que fue “realizada en el año 2017” por el Ministerio de Educación Pública</w:t>
      </w:r>
      <w:r w:rsidR="00520C2D">
        <w:rPr>
          <w:rFonts w:ascii="Verdana" w:hAnsi="Verdana"/>
          <w:sz w:val="20"/>
          <w:szCs w:val="20"/>
          <w:lang w:val="es-ES_tradnl"/>
        </w:rPr>
        <w:t>;</w:t>
      </w:r>
      <w:r w:rsidR="00E93AE4">
        <w:rPr>
          <w:rFonts w:ascii="Verdana" w:hAnsi="Verdana"/>
          <w:sz w:val="20"/>
          <w:szCs w:val="20"/>
          <w:lang w:val="es-ES_tradnl"/>
        </w:rPr>
        <w:t xml:space="preserve"> “</w:t>
      </w:r>
      <w:proofErr w:type="spellStart"/>
      <w:r w:rsidR="00E93AE4">
        <w:rPr>
          <w:rFonts w:ascii="Verdana" w:hAnsi="Verdana"/>
          <w:sz w:val="20"/>
          <w:szCs w:val="20"/>
          <w:lang w:val="es-ES_tradnl"/>
        </w:rPr>
        <w:t>mencion</w:t>
      </w:r>
      <w:proofErr w:type="spellEnd"/>
      <w:r w:rsidR="00E93AE4">
        <w:rPr>
          <w:rFonts w:ascii="Verdana" w:hAnsi="Verdana"/>
          <w:sz w:val="20"/>
          <w:szCs w:val="20"/>
          <w:lang w:val="es-ES_tradnl"/>
        </w:rPr>
        <w:t>[</w:t>
      </w:r>
      <w:proofErr w:type="spellStart"/>
      <w:r w:rsidR="00E93AE4">
        <w:rPr>
          <w:rFonts w:ascii="Verdana" w:hAnsi="Verdana"/>
          <w:sz w:val="20"/>
          <w:szCs w:val="20"/>
          <w:lang w:val="es-ES_tradnl"/>
        </w:rPr>
        <w:t>ó</w:t>
      </w:r>
      <w:proofErr w:type="spellEnd"/>
      <w:r w:rsidR="00E93AE4">
        <w:rPr>
          <w:rFonts w:ascii="Verdana" w:hAnsi="Verdana"/>
          <w:sz w:val="20"/>
          <w:szCs w:val="20"/>
          <w:lang w:val="es-ES_tradnl"/>
        </w:rPr>
        <w:t>] otros procesos vinculados a educación para la efectividad y sexualidad integral que ha desarrollado [dicho Ministerio]”</w:t>
      </w:r>
      <w:r w:rsidR="00520C2D">
        <w:rPr>
          <w:rFonts w:ascii="Verdana" w:hAnsi="Verdana"/>
          <w:sz w:val="20"/>
          <w:szCs w:val="20"/>
          <w:lang w:val="es-ES_tradnl"/>
        </w:rPr>
        <w:t xml:space="preserve"> tales como la “[r]</w:t>
      </w:r>
      <w:proofErr w:type="spellStart"/>
      <w:r w:rsidR="00520C2D">
        <w:rPr>
          <w:rFonts w:ascii="Verdana" w:hAnsi="Verdana"/>
          <w:sz w:val="20"/>
          <w:szCs w:val="20"/>
          <w:lang w:val="es-ES_tradnl"/>
        </w:rPr>
        <w:t>evisión</w:t>
      </w:r>
      <w:proofErr w:type="spellEnd"/>
      <w:r w:rsidR="00520C2D">
        <w:rPr>
          <w:rFonts w:ascii="Verdana" w:hAnsi="Verdana"/>
          <w:sz w:val="20"/>
          <w:szCs w:val="20"/>
          <w:lang w:val="es-ES_tradnl"/>
        </w:rPr>
        <w:t xml:space="preserve"> de los contenidos sobre Derechos Humanos que se abordan en los programas de estudio de Estudios Sociales y Cívica de Primaria y Secundaria”</w:t>
      </w:r>
      <w:r w:rsidR="00E93AE4">
        <w:rPr>
          <w:rFonts w:ascii="Verdana" w:hAnsi="Verdana"/>
          <w:sz w:val="20"/>
          <w:szCs w:val="20"/>
          <w:lang w:val="es-ES_tradnl"/>
        </w:rPr>
        <w:t xml:space="preserve">, e indicó que “se </w:t>
      </w:r>
      <w:proofErr w:type="spellStart"/>
      <w:r w:rsidR="00E93AE4">
        <w:rPr>
          <w:rFonts w:ascii="Verdana" w:hAnsi="Verdana"/>
          <w:sz w:val="20"/>
          <w:szCs w:val="20"/>
          <w:lang w:val="es-ES_tradnl"/>
        </w:rPr>
        <w:t>enc</w:t>
      </w:r>
      <w:proofErr w:type="spellEnd"/>
      <w:r w:rsidR="00E93AE4">
        <w:rPr>
          <w:rFonts w:ascii="Verdana" w:hAnsi="Verdana"/>
          <w:sz w:val="20"/>
          <w:szCs w:val="20"/>
          <w:lang w:val="es-ES_tradnl"/>
        </w:rPr>
        <w:t>[</w:t>
      </w:r>
      <w:proofErr w:type="spellStart"/>
      <w:r w:rsidR="00E93AE4">
        <w:rPr>
          <w:rFonts w:ascii="Verdana" w:hAnsi="Verdana"/>
          <w:sz w:val="20"/>
          <w:szCs w:val="20"/>
          <w:lang w:val="es-ES_tradnl"/>
        </w:rPr>
        <w:t>ontraba</w:t>
      </w:r>
      <w:proofErr w:type="spellEnd"/>
      <w:r w:rsidR="00E93AE4">
        <w:rPr>
          <w:rFonts w:ascii="Verdana" w:hAnsi="Verdana"/>
          <w:sz w:val="20"/>
          <w:szCs w:val="20"/>
          <w:lang w:val="es-ES_tradnl"/>
        </w:rPr>
        <w:t>] gestionando</w:t>
      </w:r>
      <w:r w:rsidR="008D1B7C">
        <w:rPr>
          <w:rFonts w:ascii="Verdana" w:hAnsi="Verdana"/>
          <w:sz w:val="20"/>
          <w:szCs w:val="20"/>
          <w:lang w:val="es-ES_tradnl"/>
        </w:rPr>
        <w:t xml:space="preserve"> la Creación de una Comisión para el Diseño e Implementación de una Política Nacional de Educación en Derechos Humanos” (</w:t>
      </w:r>
      <w:r w:rsidR="008D1B7C" w:rsidRPr="008D1B7C">
        <w:rPr>
          <w:rFonts w:ascii="Verdana" w:hAnsi="Verdana"/>
          <w:i/>
          <w:iCs/>
          <w:sz w:val="20"/>
          <w:szCs w:val="20"/>
          <w:lang w:val="es-ES_tradnl"/>
        </w:rPr>
        <w:t xml:space="preserve">infra </w:t>
      </w:r>
      <w:r w:rsidR="008D1B7C">
        <w:rPr>
          <w:rFonts w:ascii="Verdana" w:hAnsi="Verdana"/>
          <w:sz w:val="20"/>
          <w:szCs w:val="20"/>
          <w:lang w:val="es-ES_tradnl"/>
        </w:rPr>
        <w:t xml:space="preserve">Considerandos </w:t>
      </w:r>
      <w:r w:rsidR="00520C2D">
        <w:rPr>
          <w:rFonts w:ascii="Verdana" w:hAnsi="Verdana"/>
          <w:sz w:val="20"/>
          <w:szCs w:val="20"/>
          <w:lang w:val="es-ES_tradnl"/>
        </w:rPr>
        <w:t xml:space="preserve">21 a 23 y 26). </w:t>
      </w:r>
      <w:r w:rsidR="008C3818" w:rsidRPr="00B75A7C">
        <w:rPr>
          <w:rFonts w:ascii="Verdana" w:hAnsi="Verdana"/>
          <w:sz w:val="20"/>
          <w:szCs w:val="20"/>
          <w:lang w:val="es-ES_tradnl"/>
        </w:rPr>
        <w:t xml:space="preserve">El </w:t>
      </w:r>
      <w:r w:rsidR="008C3818" w:rsidRPr="00B75A7C">
        <w:rPr>
          <w:rFonts w:ascii="Verdana" w:hAnsi="Verdana"/>
          <w:i/>
          <w:iCs/>
          <w:sz w:val="20"/>
          <w:szCs w:val="20"/>
          <w:lang w:val="es-ES_tradnl"/>
        </w:rPr>
        <w:t>representante de las víctimas</w:t>
      </w:r>
      <w:r w:rsidR="008C3818" w:rsidRPr="00B75A7C">
        <w:rPr>
          <w:rFonts w:ascii="Verdana" w:hAnsi="Verdana"/>
          <w:sz w:val="20"/>
          <w:szCs w:val="20"/>
          <w:lang w:val="es-ES_tradnl"/>
        </w:rPr>
        <w:t xml:space="preserve"> </w:t>
      </w:r>
      <w:r w:rsidR="009F69D4" w:rsidRPr="00B75A7C">
        <w:rPr>
          <w:rFonts w:ascii="Verdana" w:hAnsi="Verdana"/>
          <w:sz w:val="20"/>
          <w:szCs w:val="20"/>
          <w:lang w:val="es-ES_tradnl"/>
        </w:rPr>
        <w:t>observó que “se han adoptado medidas para la educación en derechos humanos</w:t>
      </w:r>
      <w:r w:rsidR="00D377D3">
        <w:rPr>
          <w:rFonts w:ascii="Verdana" w:hAnsi="Verdana"/>
          <w:sz w:val="20"/>
          <w:szCs w:val="20"/>
          <w:lang w:val="es-ES_tradnl"/>
        </w:rPr>
        <w:t xml:space="preserve"> </w:t>
      </w:r>
      <w:r w:rsidR="00520C2D">
        <w:rPr>
          <w:rFonts w:ascii="Verdana" w:hAnsi="Verdana"/>
          <w:sz w:val="20"/>
          <w:szCs w:val="20"/>
          <w:lang w:val="es-ES_tradnl"/>
        </w:rPr>
        <w:t>y</w:t>
      </w:r>
      <w:r w:rsidR="009F69D4" w:rsidRPr="00B75A7C">
        <w:rPr>
          <w:rFonts w:ascii="Verdana" w:hAnsi="Verdana"/>
          <w:sz w:val="20"/>
          <w:szCs w:val="20"/>
          <w:lang w:val="es-ES_tradnl"/>
        </w:rPr>
        <w:t xml:space="preserve"> específicamente en los derechos sexuales y reproductivos, todo en el ámbito educativo”</w:t>
      </w:r>
      <w:r w:rsidR="00192E57" w:rsidRPr="00B75A7C">
        <w:rPr>
          <w:rFonts w:ascii="Verdana" w:hAnsi="Verdana"/>
          <w:sz w:val="20"/>
          <w:szCs w:val="20"/>
          <w:lang w:val="es-ES_tradnl"/>
        </w:rPr>
        <w:t>.</w:t>
      </w:r>
      <w:r w:rsidR="00192E57">
        <w:rPr>
          <w:rFonts w:ascii="Verdana" w:hAnsi="Verdana"/>
          <w:sz w:val="20"/>
          <w:szCs w:val="20"/>
          <w:lang w:val="es-ES_tradnl"/>
        </w:rPr>
        <w:t xml:space="preserve"> La </w:t>
      </w:r>
      <w:r w:rsidR="00192E57" w:rsidRPr="00192E57">
        <w:rPr>
          <w:rFonts w:ascii="Verdana" w:hAnsi="Verdana"/>
          <w:i/>
          <w:iCs/>
          <w:sz w:val="20"/>
          <w:szCs w:val="20"/>
          <w:lang w:val="es-ES_tradnl"/>
        </w:rPr>
        <w:t>Comisión Interamericana</w:t>
      </w:r>
      <w:r w:rsidR="00192E57">
        <w:rPr>
          <w:rFonts w:ascii="Verdana" w:hAnsi="Verdana"/>
          <w:sz w:val="20"/>
          <w:szCs w:val="20"/>
          <w:lang w:val="es-ES_tradnl"/>
        </w:rPr>
        <w:t xml:space="preserve"> reconoció que “el Estado informó ampliamente acerca de numerosos cambios en materia de derechos humanos que ha venido haciendo en sus programas de educación pública” y tomó nota de lo indicado respecto a que las gestiones que está realizando para la creación de la referida comisión. </w:t>
      </w:r>
      <w:r w:rsidR="00192E57" w:rsidRPr="00192E57">
        <w:rPr>
          <w:rFonts w:ascii="Verdana" w:hAnsi="Verdana"/>
          <w:sz w:val="20"/>
          <w:szCs w:val="20"/>
        </w:rPr>
        <w:t>E</w:t>
      </w:r>
      <w:r w:rsidR="00C176AD" w:rsidRPr="00192E57">
        <w:rPr>
          <w:rFonts w:ascii="Verdana" w:hAnsi="Verdana"/>
          <w:sz w:val="20"/>
          <w:szCs w:val="20"/>
          <w:lang w:val="es-ES_tradnl"/>
        </w:rPr>
        <w:t xml:space="preserve">l representante </w:t>
      </w:r>
      <w:r w:rsidR="00192E57" w:rsidRPr="00192E57">
        <w:rPr>
          <w:rFonts w:ascii="Verdana" w:hAnsi="Verdana"/>
          <w:sz w:val="20"/>
          <w:szCs w:val="20"/>
          <w:lang w:val="es-ES_tradnl"/>
        </w:rPr>
        <w:t xml:space="preserve">y </w:t>
      </w:r>
      <w:r w:rsidR="00C176AD" w:rsidRPr="00192E57">
        <w:rPr>
          <w:rFonts w:ascii="Verdana" w:hAnsi="Verdana"/>
          <w:sz w:val="20"/>
          <w:szCs w:val="20"/>
          <w:lang w:val="es-ES_tradnl"/>
        </w:rPr>
        <w:t xml:space="preserve">la Comisión </w:t>
      </w:r>
      <w:r w:rsidR="00192E57" w:rsidRPr="00192E57">
        <w:rPr>
          <w:rFonts w:ascii="Verdana" w:hAnsi="Verdana"/>
          <w:sz w:val="20"/>
          <w:szCs w:val="20"/>
          <w:lang w:val="es-ES_tradnl"/>
        </w:rPr>
        <w:t xml:space="preserve">no indicaron otras acciones que debieran ser implementadas por el Estado para dar cumplimiento a este punto de la Sentencia. </w:t>
      </w:r>
      <w:r w:rsidR="00192E57" w:rsidRPr="009E79B7">
        <w:rPr>
          <w:rFonts w:ascii="Verdana" w:hAnsi="Verdana"/>
          <w:sz w:val="20"/>
          <w:szCs w:val="20"/>
          <w:lang w:val="es-ES_tradnl"/>
        </w:rPr>
        <w:t xml:space="preserve">Por ello, la Corte </w:t>
      </w:r>
      <w:r w:rsidR="00AA7F82" w:rsidRPr="009E79B7">
        <w:rPr>
          <w:rFonts w:ascii="Verdana" w:hAnsi="Verdana"/>
          <w:sz w:val="20"/>
          <w:szCs w:val="20"/>
          <w:lang w:val="es-ES_tradnl"/>
        </w:rPr>
        <w:t xml:space="preserve">entiende que existe conformidad con las acciones señaladas por el Estado en </w:t>
      </w:r>
      <w:r w:rsidR="00520C2D">
        <w:rPr>
          <w:rFonts w:ascii="Verdana" w:hAnsi="Verdana"/>
          <w:sz w:val="20"/>
          <w:szCs w:val="20"/>
          <w:lang w:val="es-ES_tradnl"/>
        </w:rPr>
        <w:t>el referido</w:t>
      </w:r>
      <w:r w:rsidR="00520C2D" w:rsidRPr="009E79B7">
        <w:rPr>
          <w:rFonts w:ascii="Verdana" w:hAnsi="Verdana"/>
          <w:sz w:val="20"/>
          <w:szCs w:val="20"/>
          <w:lang w:val="es-ES_tradnl"/>
        </w:rPr>
        <w:t xml:space="preserve"> </w:t>
      </w:r>
      <w:r w:rsidR="00AA7F82" w:rsidRPr="009E79B7">
        <w:rPr>
          <w:rFonts w:ascii="Verdana" w:hAnsi="Verdana"/>
          <w:sz w:val="20"/>
          <w:szCs w:val="20"/>
          <w:lang w:val="es-ES_tradnl"/>
        </w:rPr>
        <w:t>informe</w:t>
      </w:r>
      <w:r w:rsidR="004128B3">
        <w:rPr>
          <w:rFonts w:ascii="Verdana" w:hAnsi="Verdana"/>
          <w:sz w:val="20"/>
          <w:szCs w:val="20"/>
          <w:lang w:val="es-ES_tradnl"/>
        </w:rPr>
        <w:t xml:space="preserve"> y, consecuentemente, </w:t>
      </w:r>
      <w:r w:rsidR="00AA7F82" w:rsidRPr="009E79B7">
        <w:rPr>
          <w:rFonts w:ascii="Verdana" w:hAnsi="Verdana"/>
          <w:sz w:val="20"/>
          <w:szCs w:val="20"/>
          <w:lang w:val="es-ES_tradnl"/>
        </w:rPr>
        <w:t xml:space="preserve">sólo </w:t>
      </w:r>
      <w:r w:rsidR="009E79B7" w:rsidRPr="009E79B7">
        <w:rPr>
          <w:rFonts w:ascii="Verdana" w:hAnsi="Verdana"/>
          <w:sz w:val="20"/>
          <w:szCs w:val="20"/>
          <w:lang w:val="es-ES_tradnl"/>
        </w:rPr>
        <w:t xml:space="preserve">se pronunciará respecto a si las </w:t>
      </w:r>
      <w:r w:rsidR="00007E51">
        <w:rPr>
          <w:rFonts w:ascii="Verdana" w:hAnsi="Verdana"/>
          <w:sz w:val="20"/>
          <w:szCs w:val="20"/>
          <w:lang w:val="es-ES_tradnl"/>
        </w:rPr>
        <w:t xml:space="preserve">mismas </w:t>
      </w:r>
      <w:r w:rsidR="009E79B7" w:rsidRPr="009E79B7">
        <w:rPr>
          <w:rFonts w:ascii="Verdana" w:hAnsi="Verdana"/>
          <w:sz w:val="20"/>
          <w:szCs w:val="20"/>
          <w:lang w:val="es-ES_tradnl"/>
        </w:rPr>
        <w:t>son suficientes para considerar el cumplimiento de esta reparación.</w:t>
      </w:r>
    </w:p>
    <w:p w14:paraId="0E4BEEF7" w14:textId="5585D908" w:rsidR="003447B7" w:rsidRPr="003447B7" w:rsidRDefault="009F69D4"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sidRPr="005E43E6">
        <w:rPr>
          <w:rFonts w:ascii="Verdana" w:hAnsi="Verdana"/>
          <w:sz w:val="20"/>
          <w:szCs w:val="20"/>
          <w:lang w:val="es-ES_tradnl"/>
        </w:rPr>
        <w:t xml:space="preserve">La Corte nota que el </w:t>
      </w:r>
      <w:r w:rsidRPr="00A15754">
        <w:rPr>
          <w:rFonts w:ascii="Verdana" w:hAnsi="Verdana"/>
          <w:sz w:val="20"/>
          <w:szCs w:val="20"/>
          <w:lang w:val="es-ES_tradnl"/>
        </w:rPr>
        <w:t xml:space="preserve">Estado </w:t>
      </w:r>
      <w:r w:rsidR="00D92101" w:rsidRPr="00A15754">
        <w:rPr>
          <w:rFonts w:ascii="Verdana" w:hAnsi="Verdana"/>
          <w:sz w:val="20"/>
          <w:szCs w:val="20"/>
          <w:lang w:val="es-ES_tradnl"/>
        </w:rPr>
        <w:t>aportó un informe elaborado por el Ministerio de Educación Pública</w:t>
      </w:r>
      <w:r w:rsidR="00D92101" w:rsidRPr="00A15754">
        <w:rPr>
          <w:rStyle w:val="Refdenotaalpie"/>
          <w:rFonts w:ascii="Verdana" w:hAnsi="Verdana"/>
          <w:sz w:val="20"/>
          <w:szCs w:val="20"/>
          <w:lang w:val="es-ES_tradnl"/>
        </w:rPr>
        <w:footnoteReference w:id="24"/>
      </w:r>
      <w:r w:rsidR="00D92101" w:rsidRPr="00A15754">
        <w:rPr>
          <w:rFonts w:ascii="Verdana" w:hAnsi="Verdana"/>
          <w:sz w:val="20"/>
          <w:szCs w:val="20"/>
          <w:lang w:val="es-ES_tradnl"/>
        </w:rPr>
        <w:t>, en el cual se explican</w:t>
      </w:r>
      <w:r w:rsidRPr="005E43E6">
        <w:rPr>
          <w:rFonts w:ascii="Verdana" w:hAnsi="Verdana"/>
          <w:sz w:val="20"/>
          <w:szCs w:val="20"/>
          <w:lang w:val="es-ES_tradnl"/>
        </w:rPr>
        <w:t xml:space="preserve"> </w:t>
      </w:r>
      <w:r w:rsidR="00514D5C">
        <w:rPr>
          <w:rFonts w:ascii="Verdana" w:hAnsi="Verdana"/>
          <w:sz w:val="20"/>
          <w:szCs w:val="20"/>
          <w:lang w:val="es-ES_tradnl"/>
        </w:rPr>
        <w:t xml:space="preserve">las </w:t>
      </w:r>
      <w:r w:rsidRPr="005E43E6">
        <w:rPr>
          <w:rFonts w:ascii="Verdana" w:hAnsi="Verdana"/>
          <w:sz w:val="20"/>
          <w:szCs w:val="20"/>
          <w:lang w:val="es-ES_tradnl"/>
        </w:rPr>
        <w:t xml:space="preserve">acciones </w:t>
      </w:r>
      <w:r w:rsidR="00D92101">
        <w:rPr>
          <w:rFonts w:ascii="Verdana" w:hAnsi="Verdana"/>
          <w:sz w:val="20"/>
          <w:szCs w:val="20"/>
          <w:lang w:val="es-ES_tradnl"/>
        </w:rPr>
        <w:t xml:space="preserve">implementadas </w:t>
      </w:r>
      <w:r w:rsidRPr="005E43E6">
        <w:rPr>
          <w:rFonts w:ascii="Verdana" w:hAnsi="Verdana"/>
          <w:sz w:val="20"/>
          <w:szCs w:val="20"/>
          <w:lang w:val="es-ES_tradnl"/>
        </w:rPr>
        <w:t xml:space="preserve">antes de la emisión de esta Sentencia, con el fin de incluir dentro de los programas de educación los temas de “afectividad y sexualidad integral”, así como </w:t>
      </w:r>
      <w:r w:rsidR="00514D5C">
        <w:rPr>
          <w:rFonts w:ascii="Verdana" w:hAnsi="Verdana"/>
          <w:sz w:val="20"/>
          <w:szCs w:val="20"/>
          <w:lang w:val="es-ES_tradnl"/>
        </w:rPr>
        <w:t xml:space="preserve">las </w:t>
      </w:r>
      <w:r w:rsidRPr="005E43E6">
        <w:rPr>
          <w:rFonts w:ascii="Verdana" w:hAnsi="Verdana"/>
          <w:sz w:val="20"/>
          <w:szCs w:val="20"/>
          <w:lang w:val="es-ES_tradnl"/>
        </w:rPr>
        <w:t xml:space="preserve">reformas educativas </w:t>
      </w:r>
      <w:r w:rsidR="003447B7">
        <w:rPr>
          <w:rFonts w:ascii="Verdana" w:hAnsi="Verdana"/>
          <w:sz w:val="20"/>
          <w:szCs w:val="20"/>
          <w:lang w:val="es-ES_tradnl"/>
        </w:rPr>
        <w:t xml:space="preserve">llevadas a cabo </w:t>
      </w:r>
      <w:r w:rsidRPr="005E43E6">
        <w:rPr>
          <w:rFonts w:ascii="Verdana" w:hAnsi="Verdana"/>
          <w:sz w:val="20"/>
          <w:szCs w:val="20"/>
          <w:lang w:val="es-ES_tradnl"/>
        </w:rPr>
        <w:t xml:space="preserve">con posterioridad a esta Sentencia. Al respecto, </w:t>
      </w:r>
      <w:r w:rsidR="003447B7">
        <w:rPr>
          <w:rFonts w:ascii="Verdana" w:hAnsi="Verdana"/>
          <w:sz w:val="20"/>
          <w:szCs w:val="20"/>
          <w:lang w:val="es-ES_tradnl"/>
        </w:rPr>
        <w:t xml:space="preserve">en dicho informe se </w:t>
      </w:r>
      <w:r w:rsidRPr="005E43E6">
        <w:rPr>
          <w:rFonts w:ascii="Verdana" w:hAnsi="Verdana"/>
          <w:sz w:val="20"/>
          <w:szCs w:val="20"/>
          <w:lang w:val="es-ES_tradnl"/>
        </w:rPr>
        <w:lastRenderedPageBreak/>
        <w:t xml:space="preserve">indicó que </w:t>
      </w:r>
      <w:r w:rsidR="006C2992" w:rsidRPr="005E43E6">
        <w:rPr>
          <w:rFonts w:ascii="Verdana" w:hAnsi="Verdana"/>
          <w:sz w:val="20"/>
          <w:szCs w:val="20"/>
          <w:lang w:val="es-ES_tradnl"/>
        </w:rPr>
        <w:t xml:space="preserve">en </w:t>
      </w:r>
      <w:r w:rsidR="00514D5C">
        <w:rPr>
          <w:rFonts w:ascii="Verdana" w:hAnsi="Verdana"/>
          <w:sz w:val="20"/>
          <w:szCs w:val="20"/>
          <w:lang w:val="es-ES_tradnl"/>
        </w:rPr>
        <w:t xml:space="preserve">junio del </w:t>
      </w:r>
      <w:r w:rsidR="006C2992" w:rsidRPr="005E43E6">
        <w:rPr>
          <w:rFonts w:ascii="Verdana" w:hAnsi="Verdana"/>
          <w:sz w:val="20"/>
          <w:szCs w:val="20"/>
          <w:lang w:val="es-ES_tradnl"/>
        </w:rPr>
        <w:t>2012 el “Consejo Superior de Educación aprobó el primer Programa de Educación para la Afectividad y la Sexualidad integral”, que forma parte de “los programas de Estudio de Ciencias en el III ciclo”, y que en el 2015 se efectuó una “revisión” de la implementación de dicho programa</w:t>
      </w:r>
      <w:r w:rsidR="00A15754">
        <w:rPr>
          <w:rFonts w:ascii="Verdana" w:hAnsi="Verdana"/>
          <w:sz w:val="20"/>
          <w:szCs w:val="20"/>
          <w:lang w:val="es-ES_tradnl"/>
        </w:rPr>
        <w:t xml:space="preserve">, así como </w:t>
      </w:r>
      <w:r w:rsidR="006C2992" w:rsidRPr="005E43E6">
        <w:rPr>
          <w:rFonts w:ascii="Verdana" w:hAnsi="Verdana"/>
          <w:sz w:val="20"/>
          <w:szCs w:val="20"/>
          <w:lang w:val="es-ES_tradnl"/>
        </w:rPr>
        <w:t xml:space="preserve">la “formulación de un nuevo programa de educación para la afectividad y sexualidad </w:t>
      </w:r>
      <w:r w:rsidR="00514D5C">
        <w:rPr>
          <w:rFonts w:ascii="Verdana" w:hAnsi="Verdana"/>
          <w:sz w:val="20"/>
          <w:szCs w:val="20"/>
          <w:lang w:val="es-ES_tradnl"/>
        </w:rPr>
        <w:t>I</w:t>
      </w:r>
      <w:r w:rsidR="006C2992" w:rsidRPr="005E43E6">
        <w:rPr>
          <w:rFonts w:ascii="Verdana" w:hAnsi="Verdana"/>
          <w:sz w:val="20"/>
          <w:szCs w:val="20"/>
          <w:lang w:val="es-ES_tradnl"/>
        </w:rPr>
        <w:t xml:space="preserve">ntegral, dirigido a estudiantes de </w:t>
      </w:r>
      <w:r w:rsidR="00514D5C">
        <w:rPr>
          <w:rFonts w:ascii="Verdana" w:hAnsi="Verdana"/>
          <w:sz w:val="20"/>
          <w:szCs w:val="20"/>
          <w:lang w:val="es-ES_tradnl"/>
        </w:rPr>
        <w:t>E</w:t>
      </w:r>
      <w:r w:rsidR="006C2992" w:rsidRPr="005E43E6">
        <w:rPr>
          <w:rFonts w:ascii="Verdana" w:hAnsi="Verdana"/>
          <w:sz w:val="20"/>
          <w:szCs w:val="20"/>
          <w:lang w:val="es-ES_tradnl"/>
        </w:rPr>
        <w:t xml:space="preserve">ducación </w:t>
      </w:r>
      <w:r w:rsidR="00514D5C">
        <w:rPr>
          <w:rFonts w:ascii="Verdana" w:hAnsi="Verdana"/>
          <w:sz w:val="20"/>
          <w:szCs w:val="20"/>
          <w:lang w:val="es-ES_tradnl"/>
        </w:rPr>
        <w:t>D</w:t>
      </w:r>
      <w:r w:rsidR="006C2992" w:rsidRPr="005E43E6">
        <w:rPr>
          <w:rFonts w:ascii="Verdana" w:hAnsi="Verdana"/>
          <w:sz w:val="20"/>
          <w:szCs w:val="20"/>
          <w:lang w:val="es-ES_tradnl"/>
        </w:rPr>
        <w:t xml:space="preserve">iversificada”. </w:t>
      </w:r>
      <w:r w:rsidR="002C1479" w:rsidRPr="005E43E6">
        <w:rPr>
          <w:rFonts w:ascii="Verdana" w:hAnsi="Verdana"/>
          <w:sz w:val="20"/>
          <w:szCs w:val="20"/>
          <w:lang w:val="es-ES_tradnl"/>
        </w:rPr>
        <w:t>A</w:t>
      </w:r>
      <w:r w:rsidR="008B576E">
        <w:rPr>
          <w:rFonts w:ascii="Verdana" w:hAnsi="Verdana"/>
          <w:sz w:val="20"/>
          <w:szCs w:val="20"/>
          <w:lang w:val="es-ES_tradnl"/>
        </w:rPr>
        <w:t>dicionalmente</w:t>
      </w:r>
      <w:r w:rsidR="002C1479" w:rsidRPr="005E43E6">
        <w:rPr>
          <w:rFonts w:ascii="Verdana" w:hAnsi="Verdana"/>
          <w:sz w:val="20"/>
          <w:szCs w:val="20"/>
          <w:lang w:val="es-ES_tradnl"/>
        </w:rPr>
        <w:t>, se refirió al “diseño” de un “Modelo Institucional de Educación para la Afectividad y la Sexualidad Integral”</w:t>
      </w:r>
      <w:r w:rsidR="00514D5C">
        <w:rPr>
          <w:rFonts w:ascii="Verdana" w:hAnsi="Verdana"/>
          <w:sz w:val="20"/>
          <w:szCs w:val="20"/>
          <w:lang w:val="es-ES_tradnl"/>
        </w:rPr>
        <w:t>, el cual</w:t>
      </w:r>
      <w:r w:rsidR="00D92101" w:rsidRPr="00D92101">
        <w:rPr>
          <w:rFonts w:ascii="Verdana" w:hAnsi="Verdana"/>
          <w:sz w:val="20"/>
          <w:szCs w:val="20"/>
          <w:lang w:val="es-ES_tradnl"/>
        </w:rPr>
        <w:t xml:space="preserve"> se fundamenta, entre otros, en los “enfoques” de “derechos humanos”, “diversidades”, “interculturalidad”, “género” y “educación inclusiva”,  y plantea,</w:t>
      </w:r>
      <w:r w:rsidR="00D92101">
        <w:rPr>
          <w:rFonts w:ascii="Verdana" w:hAnsi="Verdana"/>
          <w:b/>
          <w:bCs/>
          <w:sz w:val="20"/>
          <w:szCs w:val="20"/>
          <w:lang w:val="es-ES_tradnl"/>
        </w:rPr>
        <w:t xml:space="preserve"> </w:t>
      </w:r>
      <w:r w:rsidR="005E43E6" w:rsidRPr="005E43E6">
        <w:rPr>
          <w:rFonts w:ascii="Verdana" w:hAnsi="Verdana"/>
          <w:sz w:val="20"/>
          <w:szCs w:val="20"/>
          <w:lang w:val="es-ES_tradnl"/>
        </w:rPr>
        <w:t>a través de un “</w:t>
      </w:r>
      <w:r w:rsidR="00514D5C">
        <w:rPr>
          <w:rFonts w:ascii="Verdana" w:hAnsi="Verdana"/>
          <w:sz w:val="20"/>
          <w:szCs w:val="20"/>
          <w:lang w:val="es-ES_tradnl"/>
        </w:rPr>
        <w:t>modelo</w:t>
      </w:r>
      <w:r w:rsidR="00514D5C" w:rsidRPr="005E43E6">
        <w:rPr>
          <w:rFonts w:ascii="Verdana" w:hAnsi="Verdana"/>
          <w:sz w:val="20"/>
          <w:szCs w:val="20"/>
          <w:lang w:val="es-ES_tradnl"/>
        </w:rPr>
        <w:t xml:space="preserve"> </w:t>
      </w:r>
      <w:r w:rsidR="005E43E6" w:rsidRPr="005E43E6">
        <w:rPr>
          <w:rFonts w:ascii="Verdana" w:hAnsi="Verdana"/>
          <w:sz w:val="20"/>
          <w:szCs w:val="20"/>
          <w:lang w:val="es-ES_tradnl"/>
        </w:rPr>
        <w:t>mixto”</w:t>
      </w:r>
      <w:r w:rsidR="00514D5C">
        <w:rPr>
          <w:rFonts w:ascii="Verdana" w:hAnsi="Verdana"/>
          <w:sz w:val="20"/>
          <w:szCs w:val="20"/>
          <w:lang w:val="es-ES_tradnl"/>
        </w:rPr>
        <w:t>,</w:t>
      </w:r>
      <w:r w:rsidR="005E43E6" w:rsidRPr="005E43E6">
        <w:rPr>
          <w:rFonts w:ascii="Verdana" w:hAnsi="Verdana"/>
          <w:sz w:val="20"/>
          <w:szCs w:val="20"/>
          <w:lang w:val="es-ES_tradnl"/>
        </w:rPr>
        <w:t xml:space="preserve"> </w:t>
      </w:r>
      <w:r w:rsidR="002C2240">
        <w:rPr>
          <w:rFonts w:ascii="Verdana" w:hAnsi="Verdana"/>
          <w:sz w:val="20"/>
          <w:szCs w:val="20"/>
          <w:lang w:val="es-ES_tradnl"/>
        </w:rPr>
        <w:t xml:space="preserve">la integración de los temas </w:t>
      </w:r>
      <w:r w:rsidR="00514D5C">
        <w:rPr>
          <w:rFonts w:ascii="Verdana" w:hAnsi="Verdana"/>
          <w:sz w:val="20"/>
          <w:szCs w:val="20"/>
          <w:lang w:val="es-ES_tradnl"/>
        </w:rPr>
        <w:t>vinculados a la</w:t>
      </w:r>
      <w:r w:rsidR="00514D5C" w:rsidRPr="005E43E6">
        <w:rPr>
          <w:rFonts w:ascii="Verdana" w:hAnsi="Verdana"/>
          <w:sz w:val="20"/>
          <w:szCs w:val="20"/>
          <w:lang w:val="es-ES_tradnl"/>
        </w:rPr>
        <w:t xml:space="preserve"> </w:t>
      </w:r>
      <w:r w:rsidR="002C2240" w:rsidRPr="005E43E6">
        <w:rPr>
          <w:rFonts w:ascii="Verdana" w:hAnsi="Verdana"/>
          <w:sz w:val="20"/>
          <w:szCs w:val="20"/>
          <w:lang w:val="es-ES_tradnl"/>
        </w:rPr>
        <w:t>afectividad y la sexualidad integral</w:t>
      </w:r>
      <w:r w:rsidR="00514D5C">
        <w:rPr>
          <w:rFonts w:ascii="Verdana" w:hAnsi="Verdana"/>
          <w:sz w:val="20"/>
          <w:szCs w:val="20"/>
          <w:lang w:val="es-ES_tradnl"/>
        </w:rPr>
        <w:t>,</w:t>
      </w:r>
      <w:r w:rsidR="002C2240" w:rsidRPr="005E43E6">
        <w:rPr>
          <w:rFonts w:ascii="Verdana" w:hAnsi="Verdana"/>
          <w:sz w:val="20"/>
          <w:szCs w:val="20"/>
          <w:lang w:val="es-ES_tradnl"/>
        </w:rPr>
        <w:t xml:space="preserve"> </w:t>
      </w:r>
      <w:r w:rsidR="005E43E6" w:rsidRPr="005E43E6">
        <w:rPr>
          <w:rFonts w:ascii="Verdana" w:hAnsi="Verdana"/>
          <w:sz w:val="20"/>
          <w:szCs w:val="20"/>
          <w:lang w:val="es-ES_tradnl"/>
        </w:rPr>
        <w:t xml:space="preserve">“tanto en </w:t>
      </w:r>
      <w:r w:rsidR="00514D5C">
        <w:rPr>
          <w:rFonts w:ascii="Verdana" w:hAnsi="Verdana"/>
          <w:sz w:val="20"/>
          <w:szCs w:val="20"/>
          <w:lang w:val="es-ES_tradnl"/>
        </w:rPr>
        <w:t>P</w:t>
      </w:r>
      <w:r w:rsidR="00514D5C" w:rsidRPr="005E43E6">
        <w:rPr>
          <w:rFonts w:ascii="Verdana" w:hAnsi="Verdana"/>
          <w:sz w:val="20"/>
          <w:szCs w:val="20"/>
          <w:lang w:val="es-ES_tradnl"/>
        </w:rPr>
        <w:t xml:space="preserve">rogramas </w:t>
      </w:r>
      <w:r w:rsidR="005E43E6" w:rsidRPr="005E43E6">
        <w:rPr>
          <w:rFonts w:ascii="Verdana" w:hAnsi="Verdana"/>
          <w:sz w:val="20"/>
          <w:szCs w:val="20"/>
          <w:lang w:val="es-ES_tradnl"/>
        </w:rPr>
        <w:t xml:space="preserve">de </w:t>
      </w:r>
      <w:r w:rsidR="00514D5C">
        <w:rPr>
          <w:rFonts w:ascii="Verdana" w:hAnsi="Verdana"/>
          <w:sz w:val="20"/>
          <w:szCs w:val="20"/>
          <w:lang w:val="es-ES_tradnl"/>
        </w:rPr>
        <w:t>E</w:t>
      </w:r>
      <w:r w:rsidR="00514D5C" w:rsidRPr="005E43E6">
        <w:rPr>
          <w:rFonts w:ascii="Verdana" w:hAnsi="Verdana"/>
          <w:sz w:val="20"/>
          <w:szCs w:val="20"/>
          <w:lang w:val="es-ES_tradnl"/>
        </w:rPr>
        <w:t xml:space="preserve">studio </w:t>
      </w:r>
      <w:r w:rsidR="005E43E6" w:rsidRPr="005E43E6">
        <w:rPr>
          <w:rFonts w:ascii="Verdana" w:hAnsi="Verdana"/>
          <w:sz w:val="20"/>
          <w:szCs w:val="20"/>
          <w:lang w:val="es-ES_tradnl"/>
        </w:rPr>
        <w:t>de Educación Preescolar, Ciencias, Educación para la Vida Cotidiana, Orientación, Psicología, Estudios Sociales y Educación Cívica</w:t>
      </w:r>
      <w:r w:rsidR="00514D5C">
        <w:rPr>
          <w:rFonts w:ascii="Verdana" w:hAnsi="Verdana"/>
          <w:sz w:val="20"/>
          <w:szCs w:val="20"/>
          <w:lang w:val="es-ES_tradnl"/>
        </w:rPr>
        <w:t>”</w:t>
      </w:r>
      <w:r w:rsidR="005E43E6" w:rsidRPr="005E43E6">
        <w:rPr>
          <w:rFonts w:ascii="Verdana" w:hAnsi="Verdana"/>
          <w:sz w:val="20"/>
          <w:szCs w:val="20"/>
          <w:lang w:val="es-ES_tradnl"/>
        </w:rPr>
        <w:t xml:space="preserve">, como en </w:t>
      </w:r>
      <w:r w:rsidR="00514D5C">
        <w:rPr>
          <w:rFonts w:ascii="Verdana" w:hAnsi="Verdana"/>
          <w:sz w:val="20"/>
          <w:szCs w:val="20"/>
          <w:lang w:val="es-ES_tradnl"/>
        </w:rPr>
        <w:t>“</w:t>
      </w:r>
      <w:r w:rsidR="005E43E6" w:rsidRPr="005E43E6">
        <w:rPr>
          <w:rFonts w:ascii="Verdana" w:hAnsi="Verdana"/>
          <w:sz w:val="20"/>
          <w:szCs w:val="20"/>
          <w:lang w:val="es-ES_tradnl"/>
        </w:rPr>
        <w:t xml:space="preserve">el desarrollo de espacios curriculares específicos”. </w:t>
      </w:r>
    </w:p>
    <w:p w14:paraId="121B3EAB" w14:textId="77777777" w:rsidR="009F69D4" w:rsidRPr="005E43E6" w:rsidRDefault="003447B7"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sidRPr="003447B7">
        <w:rPr>
          <w:rFonts w:ascii="Verdana" w:hAnsi="Verdana"/>
          <w:sz w:val="20"/>
          <w:szCs w:val="20"/>
          <w:lang w:val="es-ES_tradnl"/>
        </w:rPr>
        <w:t xml:space="preserve">Adicionalmente, </w:t>
      </w:r>
      <w:r>
        <w:rPr>
          <w:rFonts w:ascii="Verdana" w:hAnsi="Verdana"/>
          <w:sz w:val="20"/>
          <w:szCs w:val="20"/>
          <w:lang w:val="es-ES_tradnl"/>
        </w:rPr>
        <w:t>como anexo al</w:t>
      </w:r>
      <w:r w:rsidR="00003A31">
        <w:rPr>
          <w:rFonts w:ascii="Verdana" w:hAnsi="Verdana"/>
          <w:sz w:val="20"/>
          <w:szCs w:val="20"/>
          <w:lang w:val="es-ES_tradnl"/>
        </w:rPr>
        <w:t xml:space="preserve"> referido</w:t>
      </w:r>
      <w:r>
        <w:rPr>
          <w:rFonts w:ascii="Verdana" w:hAnsi="Verdana"/>
          <w:sz w:val="20"/>
          <w:szCs w:val="20"/>
          <w:lang w:val="es-ES_tradnl"/>
        </w:rPr>
        <w:t xml:space="preserve"> informe del Ministerio de Educación Pública se aportó una tabla que indica los “[c]</w:t>
      </w:r>
      <w:proofErr w:type="spellStart"/>
      <w:r>
        <w:rPr>
          <w:rFonts w:ascii="Verdana" w:hAnsi="Verdana"/>
          <w:sz w:val="20"/>
          <w:szCs w:val="20"/>
          <w:lang w:val="es-ES_tradnl"/>
        </w:rPr>
        <w:t>ontenidos</w:t>
      </w:r>
      <w:proofErr w:type="spellEnd"/>
      <w:r>
        <w:rPr>
          <w:rFonts w:ascii="Verdana" w:hAnsi="Verdana"/>
          <w:sz w:val="20"/>
          <w:szCs w:val="20"/>
          <w:lang w:val="es-ES_tradnl"/>
        </w:rPr>
        <w:t xml:space="preserve"> sobre Derechos Humanos que se abordan en los programas de Estudios Sociales y Educación Cívica de primaria y secundaria”</w:t>
      </w:r>
      <w:r w:rsidR="00003A31">
        <w:rPr>
          <w:rFonts w:ascii="Verdana" w:hAnsi="Verdana"/>
          <w:sz w:val="20"/>
          <w:szCs w:val="20"/>
          <w:lang w:val="es-ES_tradnl"/>
        </w:rPr>
        <w:t xml:space="preserve">, del cual se desprende que se </w:t>
      </w:r>
      <w:r w:rsidR="000B780A">
        <w:rPr>
          <w:rFonts w:ascii="Verdana" w:hAnsi="Verdana"/>
          <w:sz w:val="20"/>
          <w:szCs w:val="20"/>
          <w:lang w:val="es-ES_tradnl"/>
        </w:rPr>
        <w:t xml:space="preserve">está </w:t>
      </w:r>
      <w:r w:rsidR="00003A31">
        <w:rPr>
          <w:rFonts w:ascii="Verdana" w:hAnsi="Verdana"/>
          <w:sz w:val="20"/>
          <w:szCs w:val="20"/>
          <w:lang w:val="es-ES_tradnl"/>
        </w:rPr>
        <w:t>brinda</w:t>
      </w:r>
      <w:r w:rsidR="000B780A">
        <w:rPr>
          <w:rFonts w:ascii="Verdana" w:hAnsi="Verdana"/>
          <w:sz w:val="20"/>
          <w:szCs w:val="20"/>
          <w:lang w:val="es-ES_tradnl"/>
        </w:rPr>
        <w:t>ndo</w:t>
      </w:r>
      <w:r w:rsidR="00003A31">
        <w:rPr>
          <w:rFonts w:ascii="Verdana" w:hAnsi="Verdana"/>
          <w:sz w:val="20"/>
          <w:szCs w:val="20"/>
          <w:lang w:val="es-ES_tradnl"/>
        </w:rPr>
        <w:t xml:space="preserve"> a los estudiantes formación sobre diversos derechos</w:t>
      </w:r>
      <w:r w:rsidR="00003A31">
        <w:rPr>
          <w:rStyle w:val="Refdenotaalpie"/>
          <w:rFonts w:ascii="Verdana" w:hAnsi="Verdana"/>
          <w:sz w:val="20"/>
          <w:szCs w:val="20"/>
          <w:lang w:val="es-ES_tradnl"/>
        </w:rPr>
        <w:footnoteReference w:id="25"/>
      </w:r>
      <w:r>
        <w:rPr>
          <w:rFonts w:ascii="Verdana" w:hAnsi="Verdana"/>
          <w:sz w:val="20"/>
          <w:szCs w:val="20"/>
          <w:lang w:val="es-ES_tradnl"/>
        </w:rPr>
        <w:t xml:space="preserve">. </w:t>
      </w:r>
    </w:p>
    <w:p w14:paraId="3A3FDDCB" w14:textId="424393DD" w:rsidR="009E79B7" w:rsidRPr="00817116" w:rsidRDefault="008B576E"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lang w:val="es-ES_tradnl"/>
        </w:rPr>
        <w:t xml:space="preserve">En cuanto a acciones implementadas después de la emisión de la Sentencia, Costa Rica se refirió a la “transformación curricular ‘Educar </w:t>
      </w:r>
      <w:r w:rsidR="005B17B5">
        <w:rPr>
          <w:rFonts w:ascii="Verdana" w:hAnsi="Verdana"/>
          <w:sz w:val="20"/>
          <w:szCs w:val="20"/>
          <w:lang w:val="es-ES_tradnl"/>
        </w:rPr>
        <w:t xml:space="preserve">para una </w:t>
      </w:r>
      <w:r w:rsidR="006D350A">
        <w:rPr>
          <w:rFonts w:ascii="Verdana" w:hAnsi="Verdana"/>
          <w:sz w:val="20"/>
          <w:szCs w:val="20"/>
          <w:lang w:val="es-ES_tradnl"/>
        </w:rPr>
        <w:t>Nueva Ciudadanía’”</w:t>
      </w:r>
      <w:r w:rsidR="00D92101">
        <w:rPr>
          <w:rFonts w:ascii="Verdana" w:hAnsi="Verdana"/>
          <w:sz w:val="20"/>
          <w:szCs w:val="20"/>
          <w:lang w:val="es-ES_tradnl"/>
        </w:rPr>
        <w:t>, en el marco de la cual</w:t>
      </w:r>
      <w:r w:rsidR="00D35D5B">
        <w:rPr>
          <w:rFonts w:ascii="Verdana" w:hAnsi="Verdana"/>
          <w:sz w:val="20"/>
          <w:szCs w:val="20"/>
          <w:lang w:val="es-ES_tradnl"/>
        </w:rPr>
        <w:t>,</w:t>
      </w:r>
      <w:r w:rsidR="00D92101">
        <w:rPr>
          <w:rFonts w:ascii="Verdana" w:hAnsi="Verdana"/>
          <w:sz w:val="20"/>
          <w:szCs w:val="20"/>
          <w:lang w:val="es-ES_tradnl"/>
        </w:rPr>
        <w:t xml:space="preserve"> </w:t>
      </w:r>
      <w:r w:rsidR="00751AC9">
        <w:rPr>
          <w:rFonts w:ascii="Verdana" w:hAnsi="Verdana"/>
          <w:sz w:val="20"/>
          <w:szCs w:val="20"/>
          <w:lang w:val="es-ES_tradnl"/>
        </w:rPr>
        <w:t>en el 2017</w:t>
      </w:r>
      <w:r w:rsidR="00D35D5B">
        <w:rPr>
          <w:rFonts w:ascii="Verdana" w:hAnsi="Verdana"/>
          <w:sz w:val="20"/>
          <w:szCs w:val="20"/>
          <w:lang w:val="es-ES_tradnl"/>
        </w:rPr>
        <w:t>,</w:t>
      </w:r>
      <w:r w:rsidR="00751AC9">
        <w:rPr>
          <w:rFonts w:ascii="Verdana" w:hAnsi="Verdana"/>
          <w:sz w:val="20"/>
          <w:szCs w:val="20"/>
          <w:lang w:val="es-ES_tradnl"/>
        </w:rPr>
        <w:t xml:space="preserve"> se realizó una “reforma […] sobre el tema de educación para la afectividad y sexualidad integral partiendo del enfoque de derechos humanos”</w:t>
      </w:r>
      <w:r w:rsidR="00D35D5B">
        <w:rPr>
          <w:rFonts w:ascii="Verdana" w:hAnsi="Verdana"/>
          <w:sz w:val="20"/>
          <w:szCs w:val="20"/>
          <w:lang w:val="es-ES_tradnl"/>
        </w:rPr>
        <w:t xml:space="preserve">. </w:t>
      </w:r>
      <w:r w:rsidR="0079126E" w:rsidRPr="0079126E">
        <w:rPr>
          <w:rFonts w:ascii="Verdana" w:hAnsi="Verdana"/>
          <w:sz w:val="20"/>
          <w:szCs w:val="20"/>
          <w:lang w:val="es-ES_tradnl"/>
        </w:rPr>
        <w:t xml:space="preserve">Como parte de esa reforma, se transformaron algunos de los </w:t>
      </w:r>
      <w:r w:rsidR="00A15754">
        <w:rPr>
          <w:rFonts w:ascii="Verdana" w:hAnsi="Verdana"/>
          <w:sz w:val="20"/>
          <w:szCs w:val="20"/>
          <w:lang w:val="es-ES_tradnl"/>
        </w:rPr>
        <w:t xml:space="preserve">referidos </w:t>
      </w:r>
      <w:r w:rsidR="0079126E" w:rsidRPr="0079126E">
        <w:rPr>
          <w:rFonts w:ascii="Verdana" w:hAnsi="Verdana"/>
          <w:sz w:val="20"/>
          <w:szCs w:val="20"/>
          <w:lang w:val="es-ES_tradnl"/>
        </w:rPr>
        <w:t>programas de estudio,</w:t>
      </w:r>
      <w:r w:rsidR="0079126E">
        <w:rPr>
          <w:rFonts w:ascii="Verdana" w:hAnsi="Verdana"/>
          <w:b/>
          <w:bCs/>
          <w:sz w:val="20"/>
          <w:szCs w:val="20"/>
          <w:lang w:val="es-ES_tradnl"/>
        </w:rPr>
        <w:t xml:space="preserve"> </w:t>
      </w:r>
      <w:r w:rsidR="0079126E">
        <w:rPr>
          <w:rFonts w:ascii="Verdana" w:hAnsi="Verdana"/>
          <w:sz w:val="20"/>
          <w:szCs w:val="20"/>
          <w:lang w:val="es-ES_tradnl"/>
        </w:rPr>
        <w:t>se realizó un “[m]apeo y análisis de Programas de Estudios vigentes en el Ministerio de Educación Pública en relación con la afectividad y la sexualidad integral”</w:t>
      </w:r>
      <w:r w:rsidR="00A15754">
        <w:rPr>
          <w:rFonts w:ascii="Verdana" w:hAnsi="Verdana"/>
          <w:sz w:val="20"/>
          <w:szCs w:val="20"/>
          <w:lang w:val="es-ES_tradnl"/>
        </w:rPr>
        <w:t xml:space="preserve"> que permitió determinar la cantidad de asignaturas por ciclo educativo que comprendían la formación en estos temas</w:t>
      </w:r>
      <w:r w:rsidR="0079126E">
        <w:rPr>
          <w:rFonts w:ascii="Verdana" w:hAnsi="Verdana"/>
          <w:sz w:val="20"/>
          <w:szCs w:val="20"/>
          <w:lang w:val="es-ES_tradnl"/>
        </w:rPr>
        <w:t xml:space="preserve"> y fueron aprobados</w:t>
      </w:r>
      <w:r w:rsidR="00A15754">
        <w:rPr>
          <w:rFonts w:ascii="Verdana" w:hAnsi="Verdana"/>
          <w:sz w:val="20"/>
          <w:szCs w:val="20"/>
          <w:lang w:val="es-ES_tradnl"/>
        </w:rPr>
        <w:t>,</w:t>
      </w:r>
      <w:r w:rsidR="0079126E">
        <w:rPr>
          <w:rFonts w:ascii="Verdana" w:hAnsi="Verdana"/>
          <w:sz w:val="20"/>
          <w:szCs w:val="20"/>
          <w:lang w:val="es-ES_tradnl"/>
        </w:rPr>
        <w:t xml:space="preserve"> por acuerdo del Consejo Superior de Educación</w:t>
      </w:r>
      <w:r w:rsidR="007C588D">
        <w:rPr>
          <w:rFonts w:ascii="Verdana" w:hAnsi="Verdana"/>
          <w:sz w:val="20"/>
          <w:szCs w:val="20"/>
          <w:lang w:val="es-ES_tradnl"/>
        </w:rPr>
        <w:t xml:space="preserve"> de Costa Rica</w:t>
      </w:r>
      <w:r w:rsidR="00A15754">
        <w:rPr>
          <w:rFonts w:ascii="Verdana" w:hAnsi="Verdana"/>
          <w:sz w:val="20"/>
          <w:szCs w:val="20"/>
          <w:lang w:val="es-ES_tradnl"/>
        </w:rPr>
        <w:t>,</w:t>
      </w:r>
      <w:r w:rsidR="0079126E">
        <w:rPr>
          <w:rFonts w:ascii="Verdana" w:hAnsi="Verdana"/>
          <w:sz w:val="20"/>
          <w:szCs w:val="20"/>
          <w:lang w:val="es-ES_tradnl"/>
        </w:rPr>
        <w:t xml:space="preserve"> dos </w:t>
      </w:r>
      <w:r w:rsidR="00A15754">
        <w:rPr>
          <w:rFonts w:ascii="Verdana" w:hAnsi="Verdana"/>
          <w:sz w:val="20"/>
          <w:szCs w:val="20"/>
          <w:lang w:val="es-ES_tradnl"/>
        </w:rPr>
        <w:t>“[p]</w:t>
      </w:r>
      <w:proofErr w:type="spellStart"/>
      <w:r w:rsidR="00A15754">
        <w:rPr>
          <w:rFonts w:ascii="Verdana" w:hAnsi="Verdana"/>
          <w:sz w:val="20"/>
          <w:szCs w:val="20"/>
          <w:lang w:val="es-ES_tradnl"/>
        </w:rPr>
        <w:t>rogramas</w:t>
      </w:r>
      <w:proofErr w:type="spellEnd"/>
      <w:r w:rsidR="00A15754">
        <w:rPr>
          <w:rFonts w:ascii="Verdana" w:hAnsi="Verdana"/>
          <w:sz w:val="20"/>
          <w:szCs w:val="20"/>
          <w:lang w:val="es-ES_tradnl"/>
        </w:rPr>
        <w:t xml:space="preserve"> específicos sobre educación para la afectividad y sexualidad integral”, uno para el tercer ciclo de educación general básica (de séptimo a noveno año de secundaria)</w:t>
      </w:r>
      <w:r w:rsidR="00F4049A">
        <w:rPr>
          <w:rStyle w:val="Refdenotaalpie"/>
          <w:rFonts w:ascii="Verdana" w:hAnsi="Verdana"/>
          <w:sz w:val="20"/>
          <w:szCs w:val="20"/>
          <w:lang w:val="es-ES_tradnl"/>
        </w:rPr>
        <w:footnoteReference w:id="26"/>
      </w:r>
      <w:r w:rsidR="00A15754">
        <w:rPr>
          <w:rFonts w:ascii="Verdana" w:hAnsi="Verdana"/>
          <w:sz w:val="20"/>
          <w:szCs w:val="20"/>
          <w:lang w:val="es-ES_tradnl"/>
        </w:rPr>
        <w:t xml:space="preserve"> y otro para el ciclo de educación diversificada (décimo año de secundaria)</w:t>
      </w:r>
      <w:r w:rsidR="00A15754">
        <w:rPr>
          <w:rStyle w:val="Refdenotaalpie"/>
          <w:rFonts w:ascii="Verdana" w:hAnsi="Verdana"/>
          <w:sz w:val="20"/>
          <w:szCs w:val="20"/>
          <w:lang w:val="es-ES_tradnl"/>
        </w:rPr>
        <w:footnoteReference w:id="27"/>
      </w:r>
      <w:r w:rsidR="00A15754">
        <w:rPr>
          <w:rFonts w:ascii="Verdana" w:hAnsi="Verdana"/>
          <w:sz w:val="20"/>
          <w:szCs w:val="20"/>
          <w:lang w:val="es-ES_tradnl"/>
        </w:rPr>
        <w:t xml:space="preserve">. </w:t>
      </w:r>
      <w:r w:rsidR="00817116">
        <w:rPr>
          <w:rFonts w:ascii="Verdana" w:hAnsi="Verdana"/>
          <w:sz w:val="20"/>
          <w:szCs w:val="20"/>
          <w:lang w:val="es-ES_tradnl"/>
        </w:rPr>
        <w:t>Estos programas específicos entraron en vigencia a partir del 2018.</w:t>
      </w:r>
    </w:p>
    <w:p w14:paraId="3F2C8D03" w14:textId="3A4AD9DC" w:rsidR="00740D07" w:rsidRPr="00740D07" w:rsidRDefault="00817116"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lang w:val="es-ES_tradnl"/>
        </w:rPr>
        <w:t>La Corte valora positivamente las acciones realizadas por el Estado con posterioridad a la Sentencia (</w:t>
      </w:r>
      <w:r w:rsidRPr="00817116">
        <w:rPr>
          <w:rFonts w:ascii="Verdana" w:hAnsi="Verdana"/>
          <w:i/>
          <w:iCs/>
          <w:sz w:val="20"/>
          <w:szCs w:val="20"/>
          <w:lang w:val="es-ES_tradnl"/>
        </w:rPr>
        <w:t xml:space="preserve">supra </w:t>
      </w:r>
      <w:r>
        <w:rPr>
          <w:rFonts w:ascii="Verdana" w:hAnsi="Verdana"/>
          <w:sz w:val="20"/>
          <w:szCs w:val="20"/>
          <w:lang w:val="es-ES_tradnl"/>
        </w:rPr>
        <w:t xml:space="preserve">Considerando </w:t>
      </w:r>
      <w:r w:rsidR="007C588D">
        <w:rPr>
          <w:rFonts w:ascii="Verdana" w:hAnsi="Verdana"/>
          <w:sz w:val="20"/>
          <w:szCs w:val="20"/>
          <w:lang w:val="es-ES_tradnl"/>
        </w:rPr>
        <w:t>23</w:t>
      </w:r>
      <w:r>
        <w:rPr>
          <w:rFonts w:ascii="Verdana" w:hAnsi="Verdana"/>
          <w:sz w:val="20"/>
          <w:szCs w:val="20"/>
          <w:lang w:val="es-ES_tradnl"/>
        </w:rPr>
        <w:t>)</w:t>
      </w:r>
      <w:r w:rsidR="00B279E7">
        <w:rPr>
          <w:rFonts w:ascii="Verdana" w:hAnsi="Verdana"/>
          <w:sz w:val="20"/>
          <w:szCs w:val="20"/>
          <w:lang w:val="es-ES_tradnl"/>
        </w:rPr>
        <w:t>,</w:t>
      </w:r>
      <w:r>
        <w:rPr>
          <w:rFonts w:ascii="Verdana" w:hAnsi="Verdana"/>
          <w:sz w:val="20"/>
          <w:szCs w:val="20"/>
          <w:lang w:val="es-ES_tradnl"/>
        </w:rPr>
        <w:t xml:space="preserve"> en tanto han estado orientadas </w:t>
      </w:r>
      <w:r w:rsidR="00B279E7">
        <w:rPr>
          <w:rFonts w:ascii="Verdana" w:hAnsi="Verdana"/>
          <w:sz w:val="20"/>
          <w:szCs w:val="20"/>
          <w:lang w:val="es-ES_tradnl"/>
        </w:rPr>
        <w:t xml:space="preserve">a </w:t>
      </w:r>
      <w:r>
        <w:rPr>
          <w:rFonts w:ascii="Verdana" w:hAnsi="Verdana"/>
          <w:sz w:val="20"/>
          <w:szCs w:val="20"/>
          <w:lang w:val="es-ES_tradnl"/>
        </w:rPr>
        <w:t xml:space="preserve">fortalecer los programas educativos mediante la formación en derechos humanos, principalmente derechos sexuales y reproductivos. </w:t>
      </w:r>
      <w:r w:rsidR="008F44F5">
        <w:rPr>
          <w:rFonts w:ascii="Verdana" w:hAnsi="Verdana"/>
          <w:sz w:val="20"/>
          <w:szCs w:val="20"/>
          <w:lang w:val="es-ES_tradnl"/>
        </w:rPr>
        <w:t xml:space="preserve">Este tipo de acciones son acordes con la reparación homologada en la Sentencia. </w:t>
      </w:r>
      <w:r w:rsidR="00740D07">
        <w:rPr>
          <w:rFonts w:ascii="Verdana" w:hAnsi="Verdana"/>
          <w:sz w:val="20"/>
          <w:szCs w:val="20"/>
          <w:lang w:val="es-ES_tradnl"/>
        </w:rPr>
        <w:t xml:space="preserve">Asimismo, </w:t>
      </w:r>
      <w:r w:rsidR="007C588D">
        <w:rPr>
          <w:rFonts w:ascii="Verdana" w:hAnsi="Verdana"/>
          <w:sz w:val="20"/>
          <w:szCs w:val="20"/>
          <w:lang w:val="es-ES_tradnl"/>
        </w:rPr>
        <w:t>el Tribunal</w:t>
      </w:r>
      <w:r w:rsidR="00740D07">
        <w:rPr>
          <w:rFonts w:ascii="Verdana" w:hAnsi="Verdana"/>
          <w:sz w:val="20"/>
          <w:szCs w:val="20"/>
          <w:lang w:val="es-ES_tradnl"/>
        </w:rPr>
        <w:t xml:space="preserve"> destaca que</w:t>
      </w:r>
      <w:r w:rsidR="00014A18">
        <w:rPr>
          <w:rFonts w:ascii="Verdana" w:hAnsi="Verdana"/>
          <w:sz w:val="20"/>
          <w:szCs w:val="20"/>
          <w:lang w:val="es-ES_tradnl"/>
        </w:rPr>
        <w:t>,</w:t>
      </w:r>
      <w:r w:rsidR="00740D07">
        <w:rPr>
          <w:rFonts w:ascii="Verdana" w:hAnsi="Verdana"/>
          <w:sz w:val="20"/>
          <w:szCs w:val="20"/>
          <w:lang w:val="es-ES_tradnl"/>
        </w:rPr>
        <w:t xml:space="preserve"> con las reformas </w:t>
      </w:r>
      <w:r w:rsidR="007C588D">
        <w:rPr>
          <w:rFonts w:ascii="Verdana" w:hAnsi="Verdana"/>
          <w:sz w:val="20"/>
          <w:szCs w:val="20"/>
          <w:lang w:val="es-ES_tradnl"/>
        </w:rPr>
        <w:t xml:space="preserve">educativas </w:t>
      </w:r>
      <w:r w:rsidR="00740D07">
        <w:rPr>
          <w:rFonts w:ascii="Verdana" w:hAnsi="Verdana"/>
          <w:sz w:val="20"/>
          <w:szCs w:val="20"/>
          <w:lang w:val="es-ES_tradnl"/>
        </w:rPr>
        <w:t>realizadas en el 2017</w:t>
      </w:r>
      <w:r w:rsidR="00014A18">
        <w:rPr>
          <w:rFonts w:ascii="Verdana" w:hAnsi="Verdana"/>
          <w:sz w:val="20"/>
          <w:szCs w:val="20"/>
          <w:lang w:val="es-ES_tradnl"/>
        </w:rPr>
        <w:t>,</w:t>
      </w:r>
      <w:r w:rsidR="00740D07">
        <w:rPr>
          <w:rFonts w:ascii="Verdana" w:hAnsi="Verdana"/>
          <w:sz w:val="20"/>
          <w:szCs w:val="20"/>
          <w:lang w:val="es-ES_tradnl"/>
        </w:rPr>
        <w:t xml:space="preserve"> se haya incluido dentro de los programas de estudio el análisis de los derechos humanos contenidos en las </w:t>
      </w:r>
      <w:r w:rsidR="007C588D">
        <w:rPr>
          <w:rFonts w:ascii="Verdana" w:hAnsi="Verdana"/>
          <w:sz w:val="20"/>
          <w:szCs w:val="20"/>
          <w:lang w:val="es-ES_tradnl"/>
        </w:rPr>
        <w:t xml:space="preserve">Sentencias </w:t>
      </w:r>
      <w:r w:rsidR="00740D07">
        <w:rPr>
          <w:rFonts w:ascii="Verdana" w:hAnsi="Verdana"/>
          <w:sz w:val="20"/>
          <w:szCs w:val="20"/>
          <w:lang w:val="es-ES_tradnl"/>
        </w:rPr>
        <w:t xml:space="preserve">emitidas por </w:t>
      </w:r>
      <w:r w:rsidR="00740D07">
        <w:rPr>
          <w:rFonts w:ascii="Verdana" w:hAnsi="Verdana"/>
          <w:sz w:val="20"/>
          <w:szCs w:val="20"/>
          <w:lang w:val="es-ES_tradnl"/>
        </w:rPr>
        <w:lastRenderedPageBreak/>
        <w:t xml:space="preserve">la Corte Interamericana contra Costa Rica en los casos relacionados con </w:t>
      </w:r>
      <w:r w:rsidR="007C588D">
        <w:rPr>
          <w:rFonts w:ascii="Verdana" w:hAnsi="Verdana"/>
          <w:sz w:val="20"/>
          <w:szCs w:val="20"/>
          <w:lang w:val="es-ES_tradnl"/>
        </w:rPr>
        <w:t xml:space="preserve">el acceso a </w:t>
      </w:r>
      <w:r w:rsidR="00740D07">
        <w:rPr>
          <w:rFonts w:ascii="Verdana" w:hAnsi="Verdana"/>
          <w:sz w:val="20"/>
          <w:szCs w:val="20"/>
          <w:lang w:val="es-ES_tradnl"/>
        </w:rPr>
        <w:t>la técnica FIV</w:t>
      </w:r>
      <w:r w:rsidR="00DD0BB1">
        <w:rPr>
          <w:rStyle w:val="Refdenotaalpie"/>
          <w:rFonts w:ascii="Verdana" w:hAnsi="Verdana"/>
          <w:sz w:val="20"/>
          <w:szCs w:val="20"/>
          <w:lang w:val="es-ES_tradnl"/>
        </w:rPr>
        <w:footnoteReference w:id="28"/>
      </w:r>
      <w:r w:rsidR="00740D07">
        <w:rPr>
          <w:rFonts w:ascii="Verdana" w:hAnsi="Verdana"/>
          <w:sz w:val="20"/>
          <w:szCs w:val="20"/>
          <w:lang w:val="es-ES_tradnl"/>
        </w:rPr>
        <w:t>.</w:t>
      </w:r>
    </w:p>
    <w:p w14:paraId="2B2A84E2" w14:textId="596A2C71" w:rsidR="00817116" w:rsidRPr="00B279E7" w:rsidRDefault="00817116"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Pr>
          <w:rFonts w:ascii="Verdana" w:hAnsi="Verdana"/>
          <w:sz w:val="20"/>
          <w:szCs w:val="20"/>
          <w:lang w:val="es-ES_tradnl"/>
        </w:rPr>
        <w:t xml:space="preserve">Tanto con las acciones implementadas con anterioridad a la </w:t>
      </w:r>
      <w:r w:rsidR="00B279E7">
        <w:rPr>
          <w:rFonts w:ascii="Verdana" w:hAnsi="Verdana"/>
          <w:sz w:val="20"/>
          <w:szCs w:val="20"/>
          <w:lang w:val="es-ES_tradnl"/>
        </w:rPr>
        <w:t>S</w:t>
      </w:r>
      <w:r>
        <w:rPr>
          <w:rFonts w:ascii="Verdana" w:hAnsi="Verdana"/>
          <w:sz w:val="20"/>
          <w:szCs w:val="20"/>
          <w:lang w:val="es-ES_tradnl"/>
        </w:rPr>
        <w:t>entencia</w:t>
      </w:r>
      <w:r w:rsidR="007C588D">
        <w:rPr>
          <w:rFonts w:ascii="Verdana" w:hAnsi="Verdana"/>
          <w:sz w:val="20"/>
          <w:szCs w:val="20"/>
          <w:lang w:val="es-ES_tradnl"/>
        </w:rPr>
        <w:t>,</w:t>
      </w:r>
      <w:r>
        <w:rPr>
          <w:rFonts w:ascii="Verdana" w:hAnsi="Verdana"/>
          <w:sz w:val="20"/>
          <w:szCs w:val="20"/>
          <w:lang w:val="es-ES_tradnl"/>
        </w:rPr>
        <w:t xml:space="preserve"> como </w:t>
      </w:r>
      <w:r w:rsidR="00B279E7">
        <w:rPr>
          <w:rFonts w:ascii="Verdana" w:hAnsi="Verdana"/>
          <w:sz w:val="20"/>
          <w:szCs w:val="20"/>
          <w:lang w:val="es-ES_tradnl"/>
        </w:rPr>
        <w:t xml:space="preserve">con aquellas efectuadas </w:t>
      </w:r>
      <w:r>
        <w:rPr>
          <w:rFonts w:ascii="Verdana" w:hAnsi="Verdana"/>
          <w:sz w:val="20"/>
          <w:szCs w:val="20"/>
          <w:lang w:val="es-ES_tradnl"/>
        </w:rPr>
        <w:t>luego de su emisión, Costa Rica está procurando brind</w:t>
      </w:r>
      <w:r w:rsidR="00B279E7">
        <w:rPr>
          <w:rFonts w:ascii="Verdana" w:hAnsi="Verdana"/>
          <w:sz w:val="20"/>
          <w:szCs w:val="20"/>
          <w:lang w:val="es-ES_tradnl"/>
        </w:rPr>
        <w:t>ar</w:t>
      </w:r>
      <w:r>
        <w:rPr>
          <w:rFonts w:ascii="Verdana" w:hAnsi="Verdana"/>
          <w:sz w:val="20"/>
          <w:szCs w:val="20"/>
          <w:lang w:val="es-ES_tradnl"/>
        </w:rPr>
        <w:t xml:space="preserve"> formación en materia de afectividad y sexualidad integral en todos los niveles educativos</w:t>
      </w:r>
      <w:r w:rsidR="00B279E7">
        <w:rPr>
          <w:rFonts w:ascii="Verdana" w:hAnsi="Verdana"/>
          <w:sz w:val="20"/>
          <w:szCs w:val="20"/>
          <w:lang w:val="es-ES_tradnl"/>
        </w:rPr>
        <w:t>, desde preescolar hasta educación diversificada y que dicha formación se reali</w:t>
      </w:r>
      <w:r w:rsidR="00014A18">
        <w:rPr>
          <w:rFonts w:ascii="Verdana" w:hAnsi="Verdana"/>
          <w:sz w:val="20"/>
          <w:szCs w:val="20"/>
          <w:lang w:val="es-ES_tradnl"/>
        </w:rPr>
        <w:t>ce</w:t>
      </w:r>
      <w:r w:rsidR="00B279E7">
        <w:rPr>
          <w:rFonts w:ascii="Verdana" w:hAnsi="Verdana"/>
          <w:sz w:val="20"/>
          <w:szCs w:val="20"/>
          <w:lang w:val="es-ES_tradnl"/>
        </w:rPr>
        <w:t xml:space="preserve"> de acuerdo </w:t>
      </w:r>
      <w:r w:rsidR="00A14498">
        <w:rPr>
          <w:rFonts w:ascii="Verdana" w:hAnsi="Verdana"/>
          <w:sz w:val="20"/>
          <w:szCs w:val="20"/>
          <w:lang w:val="es-ES_tradnl"/>
        </w:rPr>
        <w:t>con el</w:t>
      </w:r>
      <w:r>
        <w:rPr>
          <w:rFonts w:ascii="Verdana" w:hAnsi="Verdana"/>
          <w:sz w:val="20"/>
          <w:szCs w:val="20"/>
          <w:lang w:val="es-ES_tradnl"/>
        </w:rPr>
        <w:t xml:space="preserve"> grado de desarrollo que tienen los estudiantes en cada nivel</w:t>
      </w:r>
      <w:r w:rsidR="00B279E7">
        <w:rPr>
          <w:rFonts w:ascii="Verdana" w:hAnsi="Verdana"/>
          <w:sz w:val="20"/>
          <w:szCs w:val="20"/>
          <w:lang w:val="es-ES_tradnl"/>
        </w:rPr>
        <w:t>.</w:t>
      </w:r>
      <w:r w:rsidR="00740D07">
        <w:rPr>
          <w:rFonts w:ascii="Verdana" w:hAnsi="Verdana"/>
          <w:sz w:val="20"/>
          <w:szCs w:val="20"/>
          <w:lang w:val="es-ES_tradnl"/>
        </w:rPr>
        <w:t xml:space="preserve"> </w:t>
      </w:r>
    </w:p>
    <w:p w14:paraId="19388EF2" w14:textId="0841016B" w:rsidR="00314F5D" w:rsidRPr="00314F5D" w:rsidRDefault="00B279E7"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sidRPr="00314F5D">
        <w:rPr>
          <w:rFonts w:ascii="Verdana" w:hAnsi="Verdana"/>
          <w:sz w:val="20"/>
          <w:szCs w:val="20"/>
        </w:rPr>
        <w:t>Adicionalment</w:t>
      </w:r>
      <w:r w:rsidR="008F44F5" w:rsidRPr="00314F5D">
        <w:rPr>
          <w:rFonts w:ascii="Verdana" w:hAnsi="Verdana"/>
          <w:sz w:val="20"/>
          <w:szCs w:val="20"/>
        </w:rPr>
        <w:t>e, la Corte nota que el Estado se encontraría implementando acciones</w:t>
      </w:r>
      <w:r w:rsidR="00014A18">
        <w:rPr>
          <w:rFonts w:ascii="Verdana" w:hAnsi="Verdana"/>
          <w:sz w:val="20"/>
          <w:szCs w:val="20"/>
        </w:rPr>
        <w:t xml:space="preserve"> dirigidas a llegar a </w:t>
      </w:r>
      <w:r w:rsidR="008F44F5" w:rsidRPr="00314F5D">
        <w:rPr>
          <w:rFonts w:ascii="Verdana" w:hAnsi="Verdana"/>
          <w:sz w:val="20"/>
          <w:szCs w:val="20"/>
        </w:rPr>
        <w:t>garantizar la</w:t>
      </w:r>
      <w:r w:rsidR="00314F5D" w:rsidRPr="00314F5D">
        <w:rPr>
          <w:rFonts w:ascii="Verdana" w:hAnsi="Verdana"/>
          <w:sz w:val="20"/>
          <w:szCs w:val="20"/>
        </w:rPr>
        <w:t xml:space="preserve"> permanencia de la</w:t>
      </w:r>
      <w:r w:rsidR="008F44F5" w:rsidRPr="00314F5D">
        <w:rPr>
          <w:rFonts w:ascii="Verdana" w:hAnsi="Verdana"/>
          <w:sz w:val="20"/>
          <w:szCs w:val="20"/>
        </w:rPr>
        <w:t xml:space="preserve"> formación en derechos humanos</w:t>
      </w:r>
      <w:r w:rsidR="00314F5D" w:rsidRPr="00314F5D">
        <w:rPr>
          <w:rFonts w:ascii="Verdana" w:hAnsi="Verdana"/>
          <w:sz w:val="20"/>
          <w:szCs w:val="20"/>
        </w:rPr>
        <w:t xml:space="preserve"> en instituciones públicas</w:t>
      </w:r>
      <w:r w:rsidR="008F44F5" w:rsidRPr="00314F5D">
        <w:rPr>
          <w:rFonts w:ascii="Verdana" w:hAnsi="Verdana"/>
          <w:sz w:val="20"/>
          <w:szCs w:val="20"/>
        </w:rPr>
        <w:t xml:space="preserve">. Al respecto, </w:t>
      </w:r>
      <w:r w:rsidR="00A70F71" w:rsidRPr="00314F5D">
        <w:rPr>
          <w:rFonts w:ascii="Verdana" w:hAnsi="Verdana"/>
          <w:sz w:val="20"/>
          <w:szCs w:val="20"/>
        </w:rPr>
        <w:t>en su informe de febrero de 2018</w:t>
      </w:r>
      <w:r w:rsidRPr="00314F5D">
        <w:rPr>
          <w:rFonts w:ascii="Verdana" w:hAnsi="Verdana"/>
          <w:sz w:val="20"/>
          <w:szCs w:val="20"/>
        </w:rPr>
        <w:t xml:space="preserve"> </w:t>
      </w:r>
      <w:r w:rsidR="008F44F5" w:rsidRPr="00314F5D">
        <w:rPr>
          <w:rFonts w:ascii="Verdana" w:hAnsi="Verdana"/>
          <w:sz w:val="20"/>
          <w:szCs w:val="20"/>
        </w:rPr>
        <w:t xml:space="preserve">mencionó </w:t>
      </w:r>
      <w:r w:rsidRPr="00314F5D">
        <w:rPr>
          <w:rFonts w:ascii="Verdana" w:hAnsi="Verdana"/>
          <w:sz w:val="20"/>
          <w:szCs w:val="20"/>
        </w:rPr>
        <w:t>que</w:t>
      </w:r>
      <w:r w:rsidR="00A70F71" w:rsidRPr="00314F5D">
        <w:rPr>
          <w:rFonts w:ascii="Verdana" w:hAnsi="Verdana"/>
          <w:sz w:val="20"/>
          <w:szCs w:val="20"/>
        </w:rPr>
        <w:t xml:space="preserve"> </w:t>
      </w:r>
      <w:r w:rsidR="007C588D">
        <w:rPr>
          <w:rFonts w:ascii="Verdana" w:hAnsi="Verdana"/>
          <w:sz w:val="20"/>
          <w:szCs w:val="20"/>
        </w:rPr>
        <w:t xml:space="preserve">“se </w:t>
      </w:r>
      <w:proofErr w:type="spellStart"/>
      <w:r w:rsidR="007C588D">
        <w:rPr>
          <w:rFonts w:ascii="Verdana" w:hAnsi="Verdana"/>
          <w:sz w:val="20"/>
          <w:szCs w:val="20"/>
        </w:rPr>
        <w:t>enc</w:t>
      </w:r>
      <w:proofErr w:type="spellEnd"/>
      <w:r w:rsidR="007C588D">
        <w:rPr>
          <w:rFonts w:ascii="Verdana" w:hAnsi="Verdana"/>
          <w:sz w:val="20"/>
          <w:szCs w:val="20"/>
        </w:rPr>
        <w:t>[</w:t>
      </w:r>
      <w:proofErr w:type="spellStart"/>
      <w:r w:rsidR="007C588D">
        <w:rPr>
          <w:rFonts w:ascii="Verdana" w:hAnsi="Verdana"/>
          <w:sz w:val="20"/>
          <w:szCs w:val="20"/>
        </w:rPr>
        <w:t>ontraba</w:t>
      </w:r>
      <w:proofErr w:type="spellEnd"/>
      <w:r w:rsidR="007C588D">
        <w:rPr>
          <w:rFonts w:ascii="Verdana" w:hAnsi="Verdana"/>
          <w:sz w:val="20"/>
          <w:szCs w:val="20"/>
        </w:rPr>
        <w:t xml:space="preserve">] en </w:t>
      </w:r>
      <w:r w:rsidR="00A70F71" w:rsidRPr="00314F5D">
        <w:rPr>
          <w:rFonts w:ascii="Verdana" w:hAnsi="Verdana"/>
          <w:sz w:val="20"/>
          <w:szCs w:val="20"/>
        </w:rPr>
        <w:t>fase final de revisiones” para su “posterior emisión”,</w:t>
      </w:r>
      <w:r w:rsidRPr="00314F5D">
        <w:rPr>
          <w:rFonts w:ascii="Verdana" w:hAnsi="Verdana"/>
          <w:sz w:val="20"/>
          <w:szCs w:val="20"/>
        </w:rPr>
        <w:t xml:space="preserve"> </w:t>
      </w:r>
      <w:r w:rsidR="00A14498" w:rsidRPr="00314F5D">
        <w:rPr>
          <w:rFonts w:ascii="Verdana" w:hAnsi="Verdana"/>
          <w:sz w:val="20"/>
          <w:szCs w:val="20"/>
        </w:rPr>
        <w:t>una propuesta</w:t>
      </w:r>
      <w:r w:rsidR="007C588D">
        <w:rPr>
          <w:rFonts w:ascii="Verdana" w:hAnsi="Verdana"/>
          <w:sz w:val="20"/>
          <w:szCs w:val="20"/>
        </w:rPr>
        <w:t>,</w:t>
      </w:r>
      <w:r w:rsidR="00A14498" w:rsidRPr="00314F5D">
        <w:rPr>
          <w:rFonts w:ascii="Verdana" w:hAnsi="Verdana"/>
          <w:sz w:val="20"/>
          <w:szCs w:val="20"/>
        </w:rPr>
        <w:t xml:space="preserve"> elaborada </w:t>
      </w:r>
      <w:r w:rsidR="007C588D">
        <w:rPr>
          <w:rFonts w:ascii="Verdana" w:hAnsi="Verdana"/>
          <w:sz w:val="20"/>
          <w:szCs w:val="20"/>
        </w:rPr>
        <w:t xml:space="preserve">de manera conjunta </w:t>
      </w:r>
      <w:r w:rsidR="00A14498" w:rsidRPr="00314F5D">
        <w:rPr>
          <w:rFonts w:ascii="Verdana" w:hAnsi="Verdana"/>
          <w:sz w:val="20"/>
          <w:szCs w:val="20"/>
        </w:rPr>
        <w:t xml:space="preserve">por el Poder Ejecutivo </w:t>
      </w:r>
      <w:r w:rsidR="007C588D">
        <w:rPr>
          <w:rFonts w:ascii="Verdana" w:hAnsi="Verdana"/>
          <w:sz w:val="20"/>
          <w:szCs w:val="20"/>
        </w:rPr>
        <w:t xml:space="preserve">y la Defensoría de los Habitantes, </w:t>
      </w:r>
      <w:r w:rsidR="00A14498" w:rsidRPr="00314F5D">
        <w:rPr>
          <w:rFonts w:ascii="Verdana" w:hAnsi="Verdana"/>
          <w:sz w:val="20"/>
          <w:szCs w:val="20"/>
        </w:rPr>
        <w:t xml:space="preserve">relativa a </w:t>
      </w:r>
      <w:r w:rsidR="00A70F71" w:rsidRPr="00314F5D">
        <w:rPr>
          <w:rFonts w:ascii="Verdana" w:hAnsi="Verdana"/>
          <w:sz w:val="20"/>
          <w:szCs w:val="20"/>
        </w:rPr>
        <w:t>“la creación de una Comisión para el Diseño e Implementación de una Política Nacional de Educación en Derechos Humanos</w:t>
      </w:r>
      <w:r w:rsidR="00A14498" w:rsidRPr="00314F5D">
        <w:rPr>
          <w:rFonts w:ascii="Verdana" w:hAnsi="Verdana"/>
          <w:sz w:val="20"/>
          <w:szCs w:val="20"/>
        </w:rPr>
        <w:t>”</w:t>
      </w:r>
      <w:r w:rsidR="00A14498" w:rsidRPr="00314F5D">
        <w:rPr>
          <w:rStyle w:val="Refdenotaalpie"/>
          <w:rFonts w:ascii="Verdana" w:hAnsi="Verdana"/>
          <w:sz w:val="20"/>
          <w:szCs w:val="20"/>
        </w:rPr>
        <w:footnoteReference w:id="29"/>
      </w:r>
      <w:r w:rsidR="00A14498" w:rsidRPr="00314F5D">
        <w:rPr>
          <w:rFonts w:ascii="Verdana" w:hAnsi="Verdana"/>
          <w:sz w:val="20"/>
          <w:szCs w:val="20"/>
        </w:rPr>
        <w:t xml:space="preserve">, la cual tendría el </w:t>
      </w:r>
      <w:r w:rsidR="007C588D">
        <w:rPr>
          <w:rFonts w:ascii="Verdana" w:hAnsi="Verdana"/>
          <w:sz w:val="20"/>
          <w:szCs w:val="20"/>
        </w:rPr>
        <w:t>“</w:t>
      </w:r>
      <w:r w:rsidR="00A14498" w:rsidRPr="00314F5D">
        <w:rPr>
          <w:rFonts w:ascii="Verdana" w:hAnsi="Verdana"/>
          <w:sz w:val="20"/>
          <w:szCs w:val="20"/>
        </w:rPr>
        <w:t>objetivo</w:t>
      </w:r>
      <w:r w:rsidR="007C588D">
        <w:rPr>
          <w:rFonts w:ascii="Verdana" w:hAnsi="Verdana"/>
          <w:sz w:val="20"/>
          <w:szCs w:val="20"/>
        </w:rPr>
        <w:t xml:space="preserve"> </w:t>
      </w:r>
      <w:proofErr w:type="spellStart"/>
      <w:r w:rsidR="007C588D">
        <w:rPr>
          <w:rFonts w:ascii="Verdana" w:hAnsi="Verdana"/>
          <w:sz w:val="20"/>
          <w:szCs w:val="20"/>
        </w:rPr>
        <w:t>princicipal</w:t>
      </w:r>
      <w:proofErr w:type="spellEnd"/>
      <w:r w:rsidR="007C588D">
        <w:rPr>
          <w:rFonts w:ascii="Verdana" w:hAnsi="Verdana"/>
          <w:sz w:val="20"/>
          <w:szCs w:val="20"/>
        </w:rPr>
        <w:t>”</w:t>
      </w:r>
      <w:r w:rsidR="00A14498" w:rsidRPr="00314F5D">
        <w:rPr>
          <w:rFonts w:ascii="Verdana" w:hAnsi="Verdana"/>
          <w:sz w:val="20"/>
          <w:szCs w:val="20"/>
        </w:rPr>
        <w:t xml:space="preserve"> de “asegurar que la [e]</w:t>
      </w:r>
      <w:proofErr w:type="spellStart"/>
      <w:r w:rsidR="00A14498" w:rsidRPr="00314F5D">
        <w:rPr>
          <w:rFonts w:ascii="Verdana" w:hAnsi="Verdana"/>
          <w:sz w:val="20"/>
          <w:szCs w:val="20"/>
        </w:rPr>
        <w:t>ducación</w:t>
      </w:r>
      <w:proofErr w:type="spellEnd"/>
      <w:r w:rsidR="00A14498" w:rsidRPr="00314F5D">
        <w:rPr>
          <w:rFonts w:ascii="Verdana" w:hAnsi="Verdana"/>
          <w:sz w:val="20"/>
          <w:szCs w:val="20"/>
        </w:rPr>
        <w:t xml:space="preserve"> en </w:t>
      </w:r>
      <w:r w:rsidR="007C588D">
        <w:rPr>
          <w:rFonts w:ascii="Verdana" w:hAnsi="Verdana"/>
          <w:sz w:val="20"/>
          <w:szCs w:val="20"/>
        </w:rPr>
        <w:t>D</w:t>
      </w:r>
      <w:r w:rsidR="007C588D" w:rsidRPr="00314F5D">
        <w:rPr>
          <w:rFonts w:ascii="Verdana" w:hAnsi="Verdana"/>
          <w:sz w:val="20"/>
          <w:szCs w:val="20"/>
        </w:rPr>
        <w:t xml:space="preserve">erechos </w:t>
      </w:r>
      <w:r w:rsidR="007C588D">
        <w:rPr>
          <w:rFonts w:ascii="Verdana" w:hAnsi="Verdana"/>
          <w:sz w:val="20"/>
          <w:szCs w:val="20"/>
        </w:rPr>
        <w:t>H</w:t>
      </w:r>
      <w:r w:rsidR="007C588D" w:rsidRPr="00314F5D">
        <w:rPr>
          <w:rFonts w:ascii="Verdana" w:hAnsi="Verdana"/>
          <w:sz w:val="20"/>
          <w:szCs w:val="20"/>
        </w:rPr>
        <w:t xml:space="preserve">umanos </w:t>
      </w:r>
      <w:r w:rsidR="00314F5D" w:rsidRPr="00314F5D">
        <w:rPr>
          <w:rFonts w:ascii="Verdana" w:hAnsi="Verdana"/>
          <w:sz w:val="20"/>
          <w:szCs w:val="20"/>
        </w:rPr>
        <w:t xml:space="preserve">sea permanente en la agenda y quehacer de las instituciones públicas, de conformidad con los convenios internacionales, para fortalecer el respeto, protección y garantía de los derechos humanos, promoviendo una cultura democrática de paz, igualdad y no discriminación”. </w:t>
      </w:r>
    </w:p>
    <w:p w14:paraId="29D0A046" w14:textId="1F36B641" w:rsidR="009E79B7" w:rsidRPr="00F4049A" w:rsidRDefault="00314F5D" w:rsidP="006634DD">
      <w:pPr>
        <w:pStyle w:val="Prrafodelista"/>
        <w:numPr>
          <w:ilvl w:val="0"/>
          <w:numId w:val="3"/>
        </w:numPr>
        <w:spacing w:before="120" w:after="120" w:line="240" w:lineRule="auto"/>
        <w:ind w:left="0" w:firstLine="0"/>
        <w:contextualSpacing w:val="0"/>
        <w:jc w:val="both"/>
        <w:rPr>
          <w:rFonts w:ascii="Verdana" w:hAnsi="Verdana"/>
          <w:sz w:val="20"/>
          <w:szCs w:val="20"/>
        </w:rPr>
      </w:pPr>
      <w:r w:rsidRPr="00314F5D">
        <w:rPr>
          <w:rFonts w:ascii="Verdana" w:hAnsi="Verdana"/>
          <w:sz w:val="20"/>
          <w:szCs w:val="20"/>
        </w:rPr>
        <w:t>Tomando en cuenta las acciones implementadas por el Estado</w:t>
      </w:r>
      <w:r w:rsidR="007C588D">
        <w:rPr>
          <w:rFonts w:ascii="Verdana" w:hAnsi="Verdana"/>
          <w:sz w:val="20"/>
          <w:szCs w:val="20"/>
        </w:rPr>
        <w:t xml:space="preserve"> (</w:t>
      </w:r>
      <w:r w:rsidR="007C588D" w:rsidRPr="008C4144">
        <w:rPr>
          <w:rFonts w:ascii="Verdana" w:hAnsi="Verdana"/>
          <w:i/>
          <w:sz w:val="20"/>
          <w:szCs w:val="20"/>
        </w:rPr>
        <w:t>supra</w:t>
      </w:r>
      <w:r w:rsidR="007C588D">
        <w:rPr>
          <w:rFonts w:ascii="Verdana" w:hAnsi="Verdana"/>
          <w:sz w:val="20"/>
          <w:szCs w:val="20"/>
        </w:rPr>
        <w:t xml:space="preserve"> Considerandos 21 a 24)</w:t>
      </w:r>
      <w:r w:rsidRPr="00314F5D">
        <w:rPr>
          <w:rFonts w:ascii="Verdana" w:hAnsi="Verdana"/>
          <w:sz w:val="20"/>
          <w:szCs w:val="20"/>
        </w:rPr>
        <w:t xml:space="preserve">, su compromiso de continuar fortaleciendo la formación en derechos humanos </w:t>
      </w:r>
      <w:r w:rsidR="007C588D">
        <w:rPr>
          <w:rFonts w:ascii="Verdana" w:hAnsi="Verdana"/>
          <w:sz w:val="20"/>
          <w:szCs w:val="20"/>
        </w:rPr>
        <w:t>(</w:t>
      </w:r>
      <w:r w:rsidR="007C588D" w:rsidRPr="008C4144">
        <w:rPr>
          <w:rFonts w:ascii="Verdana" w:hAnsi="Verdana"/>
          <w:i/>
          <w:sz w:val="20"/>
          <w:szCs w:val="20"/>
        </w:rPr>
        <w:t>supra</w:t>
      </w:r>
      <w:r w:rsidR="007C588D">
        <w:rPr>
          <w:rFonts w:ascii="Verdana" w:hAnsi="Verdana"/>
          <w:sz w:val="20"/>
          <w:szCs w:val="20"/>
        </w:rPr>
        <w:t xml:space="preserve"> Considerando 26) </w:t>
      </w:r>
      <w:r w:rsidRPr="00314F5D">
        <w:rPr>
          <w:rFonts w:ascii="Verdana" w:hAnsi="Verdana"/>
          <w:sz w:val="20"/>
          <w:szCs w:val="20"/>
        </w:rPr>
        <w:t xml:space="preserve">y lo observado por el representante y </w:t>
      </w:r>
      <w:r w:rsidR="007C588D">
        <w:rPr>
          <w:rFonts w:ascii="Verdana" w:hAnsi="Verdana"/>
          <w:sz w:val="20"/>
          <w:szCs w:val="20"/>
        </w:rPr>
        <w:t xml:space="preserve">por </w:t>
      </w:r>
      <w:r w:rsidRPr="00314F5D">
        <w:rPr>
          <w:rFonts w:ascii="Verdana" w:hAnsi="Verdana"/>
          <w:sz w:val="20"/>
          <w:szCs w:val="20"/>
        </w:rPr>
        <w:t>la Comisión</w:t>
      </w:r>
      <w:r w:rsidR="00FB01B6">
        <w:rPr>
          <w:rFonts w:ascii="Verdana" w:hAnsi="Verdana"/>
          <w:sz w:val="20"/>
          <w:szCs w:val="20"/>
        </w:rPr>
        <w:t xml:space="preserve"> (</w:t>
      </w:r>
      <w:r w:rsidR="00FB01B6" w:rsidRPr="00FB01B6">
        <w:rPr>
          <w:rFonts w:ascii="Verdana" w:hAnsi="Verdana"/>
          <w:i/>
          <w:sz w:val="20"/>
          <w:szCs w:val="20"/>
        </w:rPr>
        <w:t>supra</w:t>
      </w:r>
      <w:r w:rsidR="00FB01B6">
        <w:rPr>
          <w:rFonts w:ascii="Verdana" w:hAnsi="Verdana"/>
          <w:sz w:val="20"/>
          <w:szCs w:val="20"/>
        </w:rPr>
        <w:t xml:space="preserve"> Considerando </w:t>
      </w:r>
      <w:r w:rsidR="00007E51">
        <w:rPr>
          <w:rFonts w:ascii="Verdana" w:hAnsi="Verdana"/>
          <w:sz w:val="20"/>
          <w:szCs w:val="20"/>
        </w:rPr>
        <w:t>20</w:t>
      </w:r>
      <w:r w:rsidR="00FB01B6">
        <w:rPr>
          <w:rFonts w:ascii="Verdana" w:hAnsi="Verdana"/>
          <w:sz w:val="20"/>
          <w:szCs w:val="20"/>
        </w:rPr>
        <w:t>)</w:t>
      </w:r>
      <w:r w:rsidRPr="00314F5D">
        <w:rPr>
          <w:rFonts w:ascii="Verdana" w:hAnsi="Verdana"/>
          <w:sz w:val="20"/>
          <w:szCs w:val="20"/>
        </w:rPr>
        <w:t xml:space="preserve">, este Tribunal considera que los esfuerzos desplegados por Costa Rica son </w:t>
      </w:r>
      <w:r w:rsidR="0030517A">
        <w:rPr>
          <w:rFonts w:ascii="Verdana" w:hAnsi="Verdana"/>
          <w:sz w:val="20"/>
          <w:szCs w:val="20"/>
        </w:rPr>
        <w:t xml:space="preserve">acordes y </w:t>
      </w:r>
      <w:r w:rsidRPr="00314F5D">
        <w:rPr>
          <w:rFonts w:ascii="Verdana" w:hAnsi="Verdana"/>
          <w:sz w:val="20"/>
          <w:szCs w:val="20"/>
        </w:rPr>
        <w:t xml:space="preserve">suficientes para considerar el cumplimiento total de la medida de reparación ordenada en el punto resolutivo sexto, literal d) </w:t>
      </w:r>
      <w:r w:rsidRPr="00314F5D">
        <w:rPr>
          <w:rFonts w:ascii="Verdana" w:hAnsi="Verdana"/>
          <w:sz w:val="20"/>
          <w:szCs w:val="20"/>
          <w:lang w:val="es-ES_tradnl"/>
        </w:rPr>
        <w:t>de la Sentencia, relativa a fortalecer los programas educativos dirigidos a propiciar una formación en derechos humanos.</w:t>
      </w:r>
      <w:r w:rsidR="0030517A">
        <w:rPr>
          <w:rFonts w:ascii="Verdana" w:hAnsi="Verdana"/>
          <w:sz w:val="20"/>
          <w:szCs w:val="20"/>
          <w:lang w:val="es-ES_tradnl"/>
        </w:rPr>
        <w:t xml:space="preserve"> </w:t>
      </w:r>
    </w:p>
    <w:p w14:paraId="0E4111A7" w14:textId="77777777" w:rsidR="006C004D" w:rsidRPr="0030517A" w:rsidRDefault="006C004D" w:rsidP="006634DD">
      <w:pPr>
        <w:pStyle w:val="Prrafodelista"/>
        <w:spacing w:before="120" w:after="120" w:line="240" w:lineRule="auto"/>
        <w:ind w:left="0"/>
        <w:contextualSpacing w:val="0"/>
        <w:jc w:val="both"/>
        <w:rPr>
          <w:rFonts w:ascii="Verdana" w:hAnsi="Verdana"/>
          <w:sz w:val="20"/>
          <w:szCs w:val="20"/>
        </w:rPr>
      </w:pPr>
    </w:p>
    <w:p w14:paraId="714EFA53" w14:textId="77777777" w:rsidR="00CA2E99" w:rsidRPr="00A93C0C" w:rsidRDefault="008C2C8A" w:rsidP="006634DD">
      <w:pPr>
        <w:pStyle w:val="Prrafodelista"/>
        <w:numPr>
          <w:ilvl w:val="0"/>
          <w:numId w:val="8"/>
        </w:numPr>
        <w:spacing w:before="120" w:after="120" w:line="240" w:lineRule="auto"/>
        <w:contextualSpacing w:val="0"/>
        <w:jc w:val="both"/>
        <w:outlineLvl w:val="0"/>
        <w:rPr>
          <w:rStyle w:val="nfasissutil"/>
          <w:rFonts w:ascii="Verdana" w:hAnsi="Verdana"/>
          <w:b/>
          <w:color w:val="000000" w:themeColor="text1"/>
          <w:sz w:val="20"/>
          <w:szCs w:val="20"/>
        </w:rPr>
      </w:pPr>
      <w:bookmarkStart w:id="8" w:name="_Toc21945230"/>
      <w:bookmarkStart w:id="9" w:name="cuarta_reparación"/>
      <w:r>
        <w:rPr>
          <w:rStyle w:val="nfasissutil"/>
          <w:rFonts w:ascii="Verdana" w:hAnsi="Verdana"/>
          <w:b/>
          <w:color w:val="000000" w:themeColor="text1"/>
          <w:sz w:val="20"/>
          <w:szCs w:val="20"/>
        </w:rPr>
        <w:t>Iniciar una discusión amplia y participativa acerca de la maternidad por subrogación</w:t>
      </w:r>
      <w:bookmarkEnd w:id="8"/>
      <w:r>
        <w:rPr>
          <w:rStyle w:val="nfasissutil"/>
          <w:rFonts w:ascii="Verdana" w:hAnsi="Verdana"/>
          <w:b/>
          <w:color w:val="000000" w:themeColor="text1"/>
          <w:sz w:val="20"/>
          <w:szCs w:val="20"/>
        </w:rPr>
        <w:t xml:space="preserve"> </w:t>
      </w:r>
    </w:p>
    <w:bookmarkEnd w:id="9"/>
    <w:p w14:paraId="7DE62701" w14:textId="77777777" w:rsidR="00CA2E99" w:rsidRPr="004B7091" w:rsidRDefault="003D5C6B" w:rsidP="006634DD">
      <w:pPr>
        <w:pStyle w:val="Prrafodelista"/>
        <w:spacing w:before="120" w:after="120" w:line="240" w:lineRule="auto"/>
        <w:ind w:left="1416"/>
        <w:contextualSpacing w:val="0"/>
        <w:jc w:val="both"/>
        <w:rPr>
          <w:rFonts w:ascii="Verdana" w:hAnsi="Verdana"/>
          <w:i/>
          <w:sz w:val="20"/>
          <w:szCs w:val="20"/>
          <w:lang w:val="es-ES_tradnl"/>
        </w:rPr>
      </w:pPr>
      <w:r>
        <w:rPr>
          <w:rFonts w:ascii="Verdana" w:hAnsi="Verdana"/>
          <w:i/>
          <w:sz w:val="20"/>
          <w:szCs w:val="20"/>
          <w:lang w:val="es-ES_tradnl"/>
        </w:rPr>
        <w:t xml:space="preserve">D.1. Medida </w:t>
      </w:r>
      <w:r w:rsidR="008C2C8A">
        <w:rPr>
          <w:rFonts w:ascii="Verdana" w:hAnsi="Verdana"/>
          <w:i/>
          <w:sz w:val="20"/>
          <w:szCs w:val="20"/>
          <w:lang w:val="es-ES_tradnl"/>
        </w:rPr>
        <w:t>o</w:t>
      </w:r>
      <w:r>
        <w:rPr>
          <w:rFonts w:ascii="Verdana" w:hAnsi="Verdana"/>
          <w:i/>
          <w:sz w:val="20"/>
          <w:szCs w:val="20"/>
          <w:lang w:val="es-ES_tradnl"/>
        </w:rPr>
        <w:t xml:space="preserve">rdenada por la Corte </w:t>
      </w:r>
    </w:p>
    <w:p w14:paraId="01733E17" w14:textId="77777777" w:rsidR="008C2C8A" w:rsidRDefault="004B7091"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 xml:space="preserve">En el punto </w:t>
      </w:r>
      <w:r w:rsidR="004218BD">
        <w:rPr>
          <w:rFonts w:ascii="Verdana" w:hAnsi="Verdana"/>
          <w:sz w:val="20"/>
          <w:szCs w:val="20"/>
          <w:lang w:val="es-ES_tradnl"/>
        </w:rPr>
        <w:t xml:space="preserve">resolutivo </w:t>
      </w:r>
      <w:r>
        <w:rPr>
          <w:rFonts w:ascii="Verdana" w:hAnsi="Verdana"/>
          <w:sz w:val="20"/>
          <w:szCs w:val="20"/>
          <w:lang w:val="es-ES_tradnl"/>
        </w:rPr>
        <w:t>sexto, literal e)</w:t>
      </w:r>
      <w:r w:rsidR="008C2C8A">
        <w:rPr>
          <w:rFonts w:ascii="Verdana" w:hAnsi="Verdana"/>
          <w:sz w:val="20"/>
          <w:szCs w:val="20"/>
          <w:lang w:val="es-ES_tradnl"/>
        </w:rPr>
        <w:t xml:space="preserve"> y los párrafos 55 a 57 de la Sentencia</w:t>
      </w:r>
      <w:r>
        <w:rPr>
          <w:rFonts w:ascii="Verdana" w:hAnsi="Verdana"/>
          <w:sz w:val="20"/>
          <w:szCs w:val="20"/>
          <w:lang w:val="es-ES_tradnl"/>
        </w:rPr>
        <w:t xml:space="preserve">, la Corte homologó </w:t>
      </w:r>
      <w:r w:rsidR="008C2C8A">
        <w:rPr>
          <w:rFonts w:ascii="Verdana" w:hAnsi="Verdana"/>
          <w:sz w:val="20"/>
          <w:szCs w:val="20"/>
          <w:lang w:val="es-ES_tradnl"/>
        </w:rPr>
        <w:t xml:space="preserve">que el Estado debe “iniciar, </w:t>
      </w:r>
      <w:r w:rsidRPr="008C2C8A">
        <w:rPr>
          <w:rFonts w:ascii="Verdana" w:hAnsi="Verdana"/>
          <w:sz w:val="20"/>
          <w:szCs w:val="20"/>
          <w:lang w:val="es-ES_tradnl"/>
        </w:rPr>
        <w:t>en un plazo razonable, una discusión amplia y participativa acerca de la maternidad por subrogación como procedimiento para la procreación</w:t>
      </w:r>
      <w:r w:rsidR="001247C2" w:rsidRPr="008C2C8A">
        <w:rPr>
          <w:rFonts w:ascii="Verdana" w:hAnsi="Verdana"/>
          <w:sz w:val="20"/>
          <w:szCs w:val="20"/>
          <w:lang w:val="es-ES_tradnl"/>
        </w:rPr>
        <w:t xml:space="preserve">”. </w:t>
      </w:r>
    </w:p>
    <w:p w14:paraId="3D219B0C" w14:textId="40E0239D" w:rsidR="008C2C8A" w:rsidRPr="008C2C8A" w:rsidRDefault="008C2C8A"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8C2C8A">
        <w:rPr>
          <w:rFonts w:ascii="Verdana" w:hAnsi="Verdana"/>
          <w:sz w:val="20"/>
          <w:szCs w:val="20"/>
          <w:lang w:val="es-ES_tradnl"/>
        </w:rPr>
        <w:t>También, a efecto de concretar la supervisión de cumplimiento de esta medida, la Corte dispuso un plazo de seis meses para que las partes indicaran las medidas específicas que se esperan del Estado para darle cumplimiento y los plazos para su ejecución (</w:t>
      </w:r>
      <w:r w:rsidRPr="008C2C8A">
        <w:rPr>
          <w:rFonts w:ascii="Verdana" w:hAnsi="Verdana"/>
          <w:i/>
          <w:iCs/>
          <w:sz w:val="20"/>
          <w:szCs w:val="20"/>
          <w:lang w:val="es-ES_tradnl"/>
        </w:rPr>
        <w:t>supra</w:t>
      </w:r>
      <w:r w:rsidRPr="008C2C8A">
        <w:rPr>
          <w:rFonts w:ascii="Verdana" w:hAnsi="Verdana"/>
          <w:sz w:val="20"/>
          <w:szCs w:val="20"/>
          <w:lang w:val="es-ES_tradnl"/>
        </w:rPr>
        <w:t xml:space="preserve"> Considerando</w:t>
      </w:r>
      <w:r w:rsidR="00D377D3">
        <w:rPr>
          <w:rFonts w:ascii="Verdana" w:hAnsi="Verdana"/>
          <w:sz w:val="20"/>
          <w:szCs w:val="20"/>
          <w:lang w:val="es-ES_tradnl"/>
        </w:rPr>
        <w:t>s</w:t>
      </w:r>
      <w:r w:rsidRPr="008C2C8A">
        <w:rPr>
          <w:rFonts w:ascii="Verdana" w:hAnsi="Verdana"/>
          <w:sz w:val="20"/>
          <w:szCs w:val="20"/>
          <w:lang w:val="es-ES_tradnl"/>
        </w:rPr>
        <w:t xml:space="preserve"> </w:t>
      </w:r>
      <w:r w:rsidR="00D377D3">
        <w:rPr>
          <w:rFonts w:ascii="Verdana" w:hAnsi="Verdana"/>
          <w:sz w:val="20"/>
          <w:szCs w:val="20"/>
          <w:lang w:val="es-ES_tradnl"/>
        </w:rPr>
        <w:t>8 y 18</w:t>
      </w:r>
      <w:r w:rsidRPr="008C2C8A">
        <w:rPr>
          <w:rFonts w:ascii="Verdana" w:hAnsi="Verdana"/>
          <w:sz w:val="20"/>
          <w:szCs w:val="20"/>
          <w:lang w:val="es-ES_tradnl"/>
        </w:rPr>
        <w:t>)</w:t>
      </w:r>
      <w:r>
        <w:rPr>
          <w:rStyle w:val="Refdenotaalpie"/>
          <w:rFonts w:ascii="Verdana" w:hAnsi="Verdana"/>
          <w:sz w:val="20"/>
          <w:szCs w:val="20"/>
          <w:lang w:val="es-ES_tradnl"/>
        </w:rPr>
        <w:footnoteReference w:id="30"/>
      </w:r>
      <w:r w:rsidRPr="008C2C8A">
        <w:rPr>
          <w:rFonts w:ascii="Verdana" w:hAnsi="Verdana"/>
          <w:sz w:val="20"/>
          <w:szCs w:val="20"/>
          <w:lang w:val="es-ES_tradnl"/>
        </w:rPr>
        <w:t xml:space="preserve">. </w:t>
      </w:r>
    </w:p>
    <w:p w14:paraId="39630F09" w14:textId="77777777" w:rsidR="00224E09" w:rsidRDefault="00224E09" w:rsidP="006634DD">
      <w:pPr>
        <w:pStyle w:val="Prrafodelista"/>
        <w:spacing w:before="120" w:after="120" w:line="240" w:lineRule="auto"/>
        <w:ind w:left="1416"/>
        <w:contextualSpacing w:val="0"/>
        <w:jc w:val="both"/>
        <w:rPr>
          <w:rFonts w:ascii="Verdana" w:hAnsi="Verdana"/>
          <w:i/>
          <w:sz w:val="20"/>
          <w:szCs w:val="20"/>
          <w:lang w:val="es-ES_tradnl"/>
        </w:rPr>
      </w:pPr>
    </w:p>
    <w:p w14:paraId="2844B04D" w14:textId="77777777" w:rsidR="00224E09" w:rsidRDefault="00224E09" w:rsidP="006634DD">
      <w:pPr>
        <w:pStyle w:val="Prrafodelista"/>
        <w:spacing w:before="120" w:after="120" w:line="240" w:lineRule="auto"/>
        <w:ind w:left="1416"/>
        <w:contextualSpacing w:val="0"/>
        <w:jc w:val="both"/>
        <w:rPr>
          <w:rFonts w:ascii="Verdana" w:hAnsi="Verdana"/>
          <w:i/>
          <w:sz w:val="20"/>
          <w:szCs w:val="20"/>
          <w:lang w:val="es-ES_tradnl"/>
        </w:rPr>
      </w:pPr>
    </w:p>
    <w:p w14:paraId="6E2C4041" w14:textId="77777777" w:rsidR="00224E09" w:rsidRDefault="00224E09" w:rsidP="006634DD">
      <w:pPr>
        <w:pStyle w:val="Prrafodelista"/>
        <w:spacing w:before="120" w:after="120" w:line="240" w:lineRule="auto"/>
        <w:ind w:left="1416"/>
        <w:contextualSpacing w:val="0"/>
        <w:jc w:val="both"/>
        <w:rPr>
          <w:rFonts w:ascii="Verdana" w:hAnsi="Verdana"/>
          <w:i/>
          <w:sz w:val="20"/>
          <w:szCs w:val="20"/>
          <w:lang w:val="es-ES_tradnl"/>
        </w:rPr>
      </w:pPr>
    </w:p>
    <w:p w14:paraId="4D45F905" w14:textId="77777777" w:rsidR="004B7091" w:rsidRDefault="004B7091" w:rsidP="006634DD">
      <w:pPr>
        <w:pStyle w:val="Prrafodelista"/>
        <w:spacing w:before="120" w:after="120" w:line="240" w:lineRule="auto"/>
        <w:ind w:left="1416"/>
        <w:contextualSpacing w:val="0"/>
        <w:jc w:val="both"/>
        <w:rPr>
          <w:rFonts w:ascii="Verdana" w:hAnsi="Verdana"/>
          <w:i/>
          <w:sz w:val="20"/>
          <w:szCs w:val="20"/>
          <w:lang w:val="es-ES_tradnl"/>
        </w:rPr>
      </w:pPr>
      <w:r>
        <w:rPr>
          <w:rFonts w:ascii="Verdana" w:hAnsi="Verdana"/>
          <w:i/>
          <w:sz w:val="20"/>
          <w:szCs w:val="20"/>
          <w:lang w:val="es-ES_tradnl"/>
        </w:rPr>
        <w:lastRenderedPageBreak/>
        <w:t>D.2. Consideraciones de la Corte</w:t>
      </w:r>
    </w:p>
    <w:p w14:paraId="106F1C12" w14:textId="71C30B49" w:rsidR="008C2C8A" w:rsidRDefault="008C2C8A"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8C2C8A">
        <w:rPr>
          <w:rFonts w:ascii="Verdana" w:hAnsi="Verdana"/>
          <w:sz w:val="20"/>
          <w:szCs w:val="20"/>
          <w:lang w:val="es-ES_tradnl"/>
        </w:rPr>
        <w:t xml:space="preserve">Para esta medida de reparación, </w:t>
      </w:r>
      <w:r w:rsidRPr="008C2C8A">
        <w:rPr>
          <w:rFonts w:ascii="Verdana" w:hAnsi="Verdana"/>
          <w:sz w:val="20"/>
          <w:szCs w:val="20"/>
        </w:rPr>
        <w:t xml:space="preserve">las partes tampoco </w:t>
      </w:r>
      <w:r w:rsidRPr="008C2C8A">
        <w:rPr>
          <w:rFonts w:ascii="Verdana" w:hAnsi="Verdana"/>
          <w:sz w:val="20"/>
          <w:szCs w:val="20"/>
          <w:lang w:val="es-ES_tradnl"/>
        </w:rPr>
        <w:t>cumplieron con identificar e indicar las acciones específicas que se debían implementar para darle cumplimiento y que serían objeto de supervisión por parte de la Corte (</w:t>
      </w:r>
      <w:r w:rsidRPr="008C2C8A">
        <w:rPr>
          <w:rFonts w:ascii="Verdana" w:hAnsi="Verdana"/>
          <w:i/>
          <w:iCs/>
          <w:sz w:val="20"/>
          <w:szCs w:val="20"/>
          <w:lang w:val="es-ES_tradnl"/>
        </w:rPr>
        <w:t xml:space="preserve">supra </w:t>
      </w:r>
      <w:r w:rsidRPr="008C2C8A">
        <w:rPr>
          <w:rFonts w:ascii="Verdana" w:hAnsi="Verdana"/>
          <w:sz w:val="20"/>
          <w:szCs w:val="20"/>
          <w:lang w:val="es-ES_tradnl"/>
        </w:rPr>
        <w:t xml:space="preserve">Considerandos </w:t>
      </w:r>
      <w:r w:rsidR="00D377D3">
        <w:rPr>
          <w:rFonts w:ascii="Verdana" w:hAnsi="Verdana"/>
          <w:sz w:val="20"/>
          <w:szCs w:val="20"/>
          <w:lang w:val="es-ES_tradnl"/>
        </w:rPr>
        <w:t>9 y 19</w:t>
      </w:r>
      <w:r w:rsidRPr="008C2C8A">
        <w:rPr>
          <w:rFonts w:ascii="Verdana" w:hAnsi="Verdana"/>
          <w:sz w:val="20"/>
          <w:szCs w:val="20"/>
          <w:lang w:val="es-ES_tradnl"/>
        </w:rPr>
        <w:t xml:space="preserve">). </w:t>
      </w:r>
    </w:p>
    <w:p w14:paraId="11949D8F" w14:textId="7C4792EE" w:rsidR="004B7091" w:rsidRDefault="008C2C8A"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 xml:space="preserve">En el informe de febrero de 2018 </w:t>
      </w:r>
      <w:r w:rsidRPr="002A7DB2">
        <w:rPr>
          <w:rFonts w:ascii="Verdana" w:hAnsi="Verdana"/>
          <w:i/>
          <w:iCs/>
          <w:sz w:val="20"/>
          <w:szCs w:val="20"/>
          <w:lang w:val="es-ES_tradnl"/>
        </w:rPr>
        <w:t>Costa Rica</w:t>
      </w:r>
      <w:r>
        <w:rPr>
          <w:rFonts w:ascii="Verdana" w:hAnsi="Verdana"/>
          <w:sz w:val="20"/>
          <w:szCs w:val="20"/>
          <w:lang w:val="es-ES_tradnl"/>
        </w:rPr>
        <w:t xml:space="preserve"> </w:t>
      </w:r>
      <w:r w:rsidR="002A7DB2">
        <w:rPr>
          <w:rFonts w:ascii="Verdana" w:hAnsi="Verdana"/>
          <w:sz w:val="20"/>
          <w:szCs w:val="20"/>
          <w:lang w:val="es-ES_tradnl"/>
        </w:rPr>
        <w:t xml:space="preserve">sostuvo </w:t>
      </w:r>
      <w:r>
        <w:rPr>
          <w:rFonts w:ascii="Verdana" w:hAnsi="Verdana"/>
          <w:sz w:val="20"/>
          <w:szCs w:val="20"/>
          <w:lang w:val="es-ES_tradnl"/>
        </w:rPr>
        <w:t xml:space="preserve">que </w:t>
      </w:r>
      <w:r w:rsidR="002A7DB2">
        <w:rPr>
          <w:rFonts w:ascii="Verdana" w:hAnsi="Verdana"/>
          <w:sz w:val="20"/>
          <w:szCs w:val="20"/>
          <w:lang w:val="es-ES_tradnl"/>
        </w:rPr>
        <w:t xml:space="preserve">en enero de 2018 </w:t>
      </w:r>
      <w:r>
        <w:rPr>
          <w:rFonts w:ascii="Verdana" w:hAnsi="Verdana"/>
          <w:sz w:val="20"/>
          <w:szCs w:val="20"/>
          <w:lang w:val="es-ES_tradnl"/>
        </w:rPr>
        <w:t>“se solicitó a la Escuela Judicial concretar un foro sobre dicha materia, con expertos en dicha temática</w:t>
      </w:r>
      <w:r w:rsidR="00D377D3">
        <w:rPr>
          <w:rFonts w:ascii="Verdana" w:hAnsi="Verdana"/>
          <w:sz w:val="20"/>
          <w:szCs w:val="20"/>
          <w:lang w:val="es-ES_tradnl"/>
        </w:rPr>
        <w:t xml:space="preserve"> y</w:t>
      </w:r>
      <w:r>
        <w:rPr>
          <w:rFonts w:ascii="Verdana" w:hAnsi="Verdana"/>
          <w:sz w:val="20"/>
          <w:szCs w:val="20"/>
          <w:lang w:val="es-ES_tradnl"/>
        </w:rPr>
        <w:t xml:space="preserve"> dirigido a funcionarios judiciales”</w:t>
      </w:r>
      <w:r w:rsidR="002A7DB2">
        <w:rPr>
          <w:rStyle w:val="Refdenotaalpie"/>
          <w:rFonts w:ascii="Verdana" w:hAnsi="Verdana"/>
          <w:sz w:val="20"/>
          <w:szCs w:val="20"/>
          <w:lang w:val="es-ES_tradnl"/>
        </w:rPr>
        <w:footnoteReference w:id="31"/>
      </w:r>
      <w:r w:rsidR="000A1CCE">
        <w:rPr>
          <w:rFonts w:ascii="Verdana" w:hAnsi="Verdana"/>
          <w:sz w:val="20"/>
          <w:szCs w:val="20"/>
          <w:lang w:val="es-ES_tradnl"/>
        </w:rPr>
        <w:t>,</w:t>
      </w:r>
      <w:r w:rsidR="007F6683">
        <w:rPr>
          <w:rFonts w:ascii="Verdana" w:hAnsi="Verdana"/>
          <w:sz w:val="20"/>
          <w:szCs w:val="20"/>
          <w:lang w:val="es-ES_tradnl"/>
        </w:rPr>
        <w:t xml:space="preserve"> que ésta </w:t>
      </w:r>
      <w:r w:rsidR="000A1CCE">
        <w:rPr>
          <w:rFonts w:ascii="Verdana" w:hAnsi="Verdana"/>
          <w:sz w:val="20"/>
          <w:szCs w:val="20"/>
          <w:lang w:val="es-ES_tradnl"/>
        </w:rPr>
        <w:t xml:space="preserve">accedió a tal solicitud y que </w:t>
      </w:r>
      <w:r w:rsidR="00D377D3">
        <w:rPr>
          <w:rFonts w:ascii="Verdana" w:hAnsi="Verdana"/>
          <w:sz w:val="20"/>
          <w:szCs w:val="20"/>
          <w:lang w:val="es-ES_tradnl"/>
        </w:rPr>
        <w:t xml:space="preserve">su </w:t>
      </w:r>
      <w:r w:rsidR="000A1CCE">
        <w:rPr>
          <w:rFonts w:ascii="Verdana" w:hAnsi="Verdana"/>
          <w:sz w:val="20"/>
          <w:szCs w:val="20"/>
          <w:lang w:val="es-ES_tradnl"/>
        </w:rPr>
        <w:t xml:space="preserve">subdirectora </w:t>
      </w:r>
      <w:r w:rsidR="000A1CCE" w:rsidRPr="000A1CCE">
        <w:rPr>
          <w:rFonts w:ascii="Verdana" w:hAnsi="Verdana"/>
          <w:sz w:val="20"/>
          <w:szCs w:val="20"/>
          <w:lang w:val="es-ES_tradnl"/>
        </w:rPr>
        <w:t>estaba trabajando en el tema</w:t>
      </w:r>
      <w:r w:rsidR="000A1CCE" w:rsidRPr="000A1CCE">
        <w:rPr>
          <w:rStyle w:val="Refdenotaalpie"/>
          <w:rFonts w:ascii="Verdana" w:hAnsi="Verdana"/>
          <w:sz w:val="20"/>
          <w:szCs w:val="20"/>
          <w:lang w:val="es-ES_tradnl"/>
        </w:rPr>
        <w:footnoteReference w:id="32"/>
      </w:r>
      <w:r w:rsidRPr="000A1CCE">
        <w:rPr>
          <w:rFonts w:ascii="Verdana" w:hAnsi="Verdana"/>
          <w:sz w:val="20"/>
          <w:szCs w:val="20"/>
          <w:lang w:val="es-ES_tradnl"/>
        </w:rPr>
        <w:t>.</w:t>
      </w:r>
      <w:r w:rsidR="000A1CCE" w:rsidRPr="000A1CCE">
        <w:rPr>
          <w:rFonts w:ascii="Verdana" w:hAnsi="Verdana"/>
          <w:sz w:val="20"/>
          <w:szCs w:val="20"/>
          <w:lang w:val="es-ES_tradnl"/>
        </w:rPr>
        <w:t xml:space="preserve"> También aportó copia del afiche elaborado para el foro</w:t>
      </w:r>
      <w:r w:rsidR="000A1CCE" w:rsidRPr="00E5780A">
        <w:rPr>
          <w:rFonts w:ascii="Verdana" w:hAnsi="Verdana"/>
          <w:sz w:val="20"/>
          <w:szCs w:val="20"/>
          <w:lang w:val="es-ES_tradnl"/>
        </w:rPr>
        <w:t>, en el cual se indica que se trata de un “foro virtual sobre subrogación de vientre”.</w:t>
      </w:r>
      <w:r w:rsidR="000A1CCE" w:rsidRPr="00E5780A">
        <w:rPr>
          <w:rFonts w:ascii="Verdana" w:hAnsi="Verdana"/>
          <w:b/>
          <w:bCs/>
          <w:sz w:val="20"/>
          <w:szCs w:val="20"/>
          <w:lang w:val="es-ES_tradnl"/>
        </w:rPr>
        <w:t xml:space="preserve"> </w:t>
      </w:r>
      <w:r w:rsidR="00D377D3" w:rsidRPr="00E5780A">
        <w:rPr>
          <w:rFonts w:ascii="Verdana" w:hAnsi="Verdana"/>
          <w:b/>
          <w:bCs/>
          <w:sz w:val="20"/>
          <w:szCs w:val="20"/>
          <w:lang w:val="es-ES_tradnl"/>
        </w:rPr>
        <w:t xml:space="preserve"> </w:t>
      </w:r>
      <w:r w:rsidR="00D377D3" w:rsidRPr="00E5780A">
        <w:rPr>
          <w:rFonts w:ascii="Verdana" w:hAnsi="Verdana"/>
          <w:bCs/>
          <w:sz w:val="20"/>
          <w:szCs w:val="20"/>
          <w:lang w:val="es-ES_tradnl"/>
        </w:rPr>
        <w:t xml:space="preserve">El Estado sostuvo que el objetivo de este foro es “establecer las bases de un debate sobre la maternidad por subrogación, que permita fijar alcances y posibilidades en el marco jurídico legal vigente”. </w:t>
      </w:r>
      <w:r w:rsidR="002A7DB2" w:rsidRPr="00E5780A">
        <w:rPr>
          <w:rFonts w:ascii="Verdana" w:hAnsi="Verdana"/>
          <w:sz w:val="20"/>
          <w:szCs w:val="20"/>
          <w:lang w:val="es-ES_tradnl"/>
        </w:rPr>
        <w:t xml:space="preserve">Si bien el </w:t>
      </w:r>
      <w:r w:rsidR="002A7DB2" w:rsidRPr="00E5780A">
        <w:rPr>
          <w:rFonts w:ascii="Verdana" w:hAnsi="Verdana"/>
          <w:i/>
          <w:iCs/>
          <w:sz w:val="20"/>
          <w:szCs w:val="20"/>
          <w:lang w:val="es-ES_tradnl"/>
        </w:rPr>
        <w:t>representante de las víctimas</w:t>
      </w:r>
      <w:r w:rsidR="002A7DB2" w:rsidRPr="00E5780A">
        <w:rPr>
          <w:rFonts w:ascii="Verdana" w:hAnsi="Verdana"/>
          <w:sz w:val="20"/>
          <w:szCs w:val="20"/>
          <w:lang w:val="es-ES_tradnl"/>
        </w:rPr>
        <w:t xml:space="preserve"> no especificó </w:t>
      </w:r>
      <w:r w:rsidR="00D377D3" w:rsidRPr="00E5780A">
        <w:rPr>
          <w:rFonts w:ascii="Verdana" w:hAnsi="Verdana"/>
          <w:sz w:val="20"/>
          <w:szCs w:val="20"/>
          <w:lang w:val="es-ES_tradnl"/>
        </w:rPr>
        <w:t xml:space="preserve">acciones </w:t>
      </w:r>
      <w:r w:rsidR="002A7DB2" w:rsidRPr="00E5780A">
        <w:rPr>
          <w:rFonts w:ascii="Verdana" w:hAnsi="Verdana"/>
          <w:sz w:val="20"/>
          <w:szCs w:val="20"/>
          <w:lang w:val="es-ES_tradnl"/>
        </w:rPr>
        <w:t>concretas para dar cumplimiento a esta medida, en sus observaciones al referido informe</w:t>
      </w:r>
      <w:r w:rsidR="002A7DB2" w:rsidRPr="00E5780A">
        <w:rPr>
          <w:rFonts w:ascii="Verdana" w:hAnsi="Verdana"/>
          <w:b/>
          <w:bCs/>
          <w:sz w:val="20"/>
          <w:szCs w:val="20"/>
          <w:lang w:val="es-ES_tradnl"/>
        </w:rPr>
        <w:t xml:space="preserve"> </w:t>
      </w:r>
      <w:r w:rsidR="00771E92" w:rsidRPr="00E5780A">
        <w:rPr>
          <w:rFonts w:ascii="Verdana" w:hAnsi="Verdana"/>
          <w:sz w:val="20"/>
          <w:szCs w:val="20"/>
          <w:lang w:val="es-ES_tradnl"/>
        </w:rPr>
        <w:t>advirtió que “espera</w:t>
      </w:r>
      <w:r w:rsidR="00771E92" w:rsidRPr="000A1CCE">
        <w:rPr>
          <w:rFonts w:ascii="Verdana" w:hAnsi="Verdana"/>
          <w:sz w:val="20"/>
          <w:szCs w:val="20"/>
          <w:lang w:val="es-ES_tradnl"/>
        </w:rPr>
        <w:t xml:space="preserve"> que el Poder Ejecutivo en coordinación con la Defensoría de los Habitantes, promueva el debate sobre ese procedimiento de procreación específicamente en el ámbito judicial y académico”. Por su parte, la </w:t>
      </w:r>
      <w:r w:rsidR="00771E92" w:rsidRPr="000A1CCE">
        <w:rPr>
          <w:rFonts w:ascii="Verdana" w:hAnsi="Verdana"/>
          <w:i/>
          <w:sz w:val="20"/>
          <w:szCs w:val="20"/>
          <w:lang w:val="es-ES_tradnl"/>
        </w:rPr>
        <w:t>Comisión</w:t>
      </w:r>
      <w:r w:rsidR="00771E92" w:rsidRPr="000A1CCE">
        <w:rPr>
          <w:rFonts w:ascii="Verdana" w:hAnsi="Verdana"/>
          <w:sz w:val="20"/>
          <w:szCs w:val="20"/>
          <w:lang w:val="es-ES_tradnl"/>
        </w:rPr>
        <w:t xml:space="preserve"> </w:t>
      </w:r>
      <w:r w:rsidR="002A7DB2" w:rsidRPr="008C4144">
        <w:rPr>
          <w:rFonts w:ascii="Verdana" w:hAnsi="Verdana"/>
          <w:i/>
          <w:sz w:val="20"/>
          <w:szCs w:val="20"/>
          <w:lang w:val="es-ES_tradnl"/>
        </w:rPr>
        <w:t>Interamericana</w:t>
      </w:r>
      <w:r w:rsidR="002A7DB2" w:rsidRPr="000A1CCE">
        <w:rPr>
          <w:rFonts w:ascii="Verdana" w:hAnsi="Verdana"/>
          <w:sz w:val="20"/>
          <w:szCs w:val="20"/>
          <w:lang w:val="es-ES_tradnl"/>
        </w:rPr>
        <w:t xml:space="preserve"> </w:t>
      </w:r>
      <w:r w:rsidR="00D377D3">
        <w:rPr>
          <w:rFonts w:ascii="Verdana" w:hAnsi="Verdana"/>
          <w:sz w:val="20"/>
          <w:szCs w:val="20"/>
          <w:lang w:val="es-ES_tradnl"/>
        </w:rPr>
        <w:t>observó</w:t>
      </w:r>
      <w:r w:rsidR="00D377D3" w:rsidRPr="000A1CCE">
        <w:rPr>
          <w:rFonts w:ascii="Verdana" w:hAnsi="Verdana"/>
          <w:sz w:val="20"/>
          <w:szCs w:val="20"/>
          <w:lang w:val="es-ES_tradnl"/>
        </w:rPr>
        <w:t xml:space="preserve"> </w:t>
      </w:r>
      <w:r w:rsidR="00E312A4" w:rsidRPr="000A1CCE">
        <w:rPr>
          <w:rFonts w:ascii="Verdana" w:hAnsi="Verdana"/>
          <w:sz w:val="20"/>
          <w:szCs w:val="20"/>
          <w:lang w:val="es-ES_tradnl"/>
        </w:rPr>
        <w:t>que el Estado “</w:t>
      </w:r>
      <w:r w:rsidR="00D377D3">
        <w:rPr>
          <w:rFonts w:ascii="Verdana" w:hAnsi="Verdana"/>
          <w:sz w:val="20"/>
          <w:szCs w:val="20"/>
          <w:lang w:val="es-ES_tradnl"/>
        </w:rPr>
        <w:t>i</w:t>
      </w:r>
      <w:r w:rsidR="00E312A4" w:rsidRPr="000A1CCE">
        <w:rPr>
          <w:rFonts w:ascii="Verdana" w:hAnsi="Verdana"/>
          <w:sz w:val="20"/>
          <w:szCs w:val="20"/>
          <w:lang w:val="es-ES_tradnl"/>
        </w:rPr>
        <w:t>nformó […</w:t>
      </w:r>
      <w:r w:rsidR="00F07492">
        <w:rPr>
          <w:rFonts w:ascii="Verdana" w:hAnsi="Verdana"/>
          <w:sz w:val="20"/>
          <w:szCs w:val="20"/>
          <w:lang w:val="es-ES_tradnl"/>
        </w:rPr>
        <w:t xml:space="preserve"> </w:t>
      </w:r>
      <w:r w:rsidR="00E312A4" w:rsidRPr="000A1CCE">
        <w:rPr>
          <w:rFonts w:ascii="Verdana" w:hAnsi="Verdana"/>
          <w:sz w:val="20"/>
          <w:szCs w:val="20"/>
          <w:lang w:val="es-ES_tradnl"/>
        </w:rPr>
        <w:t>sobre] la iniciación de una discusión amplia y participativa acerca de la maternidad por subrogación</w:t>
      </w:r>
      <w:r w:rsidR="000A1CCE" w:rsidRPr="000A1CCE">
        <w:rPr>
          <w:rFonts w:ascii="Verdana" w:hAnsi="Verdana"/>
          <w:sz w:val="20"/>
          <w:szCs w:val="20"/>
          <w:lang w:val="es-ES_tradnl"/>
        </w:rPr>
        <w:t xml:space="preserve">, </w:t>
      </w:r>
      <w:r w:rsidR="00D377D3">
        <w:rPr>
          <w:rFonts w:ascii="Verdana" w:hAnsi="Verdana"/>
          <w:sz w:val="20"/>
          <w:szCs w:val="20"/>
          <w:lang w:val="es-ES_tradnl"/>
        </w:rPr>
        <w:t>[</w:t>
      </w:r>
      <w:r w:rsidR="00E312A4" w:rsidRPr="000A1CCE">
        <w:rPr>
          <w:rFonts w:ascii="Verdana" w:hAnsi="Verdana"/>
          <w:sz w:val="20"/>
          <w:szCs w:val="20"/>
          <w:lang w:val="es-ES_tradnl"/>
        </w:rPr>
        <w:t>la c</w:t>
      </w:r>
      <w:r w:rsidR="00CB538F" w:rsidRPr="000A1CCE">
        <w:rPr>
          <w:rFonts w:ascii="Verdana" w:hAnsi="Verdana"/>
          <w:sz w:val="20"/>
          <w:szCs w:val="20"/>
          <w:lang w:val="es-ES_tradnl"/>
        </w:rPr>
        <w:t>ual] se encuentra en desarrollo”</w:t>
      </w:r>
      <w:r w:rsidR="000A1CCE" w:rsidRPr="000A1CCE">
        <w:rPr>
          <w:rFonts w:ascii="Verdana" w:hAnsi="Verdana"/>
          <w:sz w:val="20"/>
          <w:szCs w:val="20"/>
          <w:lang w:val="es-ES_tradnl"/>
        </w:rPr>
        <w:t>.</w:t>
      </w:r>
    </w:p>
    <w:p w14:paraId="2E9FD92E" w14:textId="7651C164" w:rsidR="00C26AF9" w:rsidRPr="00E5780A" w:rsidRDefault="00C26AF9" w:rsidP="00E5780A">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E5780A">
        <w:rPr>
          <w:rFonts w:ascii="Verdana" w:hAnsi="Verdana"/>
          <w:sz w:val="20"/>
          <w:szCs w:val="20"/>
          <w:lang w:val="es-ES_tradnl"/>
        </w:rPr>
        <w:t>La Corte valora positivamente los pasos adelantados por el Estado para realizar un foro virtual sobre maternidad por subrogación</w:t>
      </w:r>
      <w:r w:rsidR="00A95FC7" w:rsidRPr="00E5780A">
        <w:rPr>
          <w:rFonts w:ascii="Verdana" w:hAnsi="Verdana"/>
          <w:sz w:val="20"/>
          <w:szCs w:val="20"/>
          <w:lang w:val="es-ES_tradnl"/>
        </w:rPr>
        <w:t>, en tanto demuestra que está adoptando acciones para iniciar una discusión sobre esta temática</w:t>
      </w:r>
      <w:r w:rsidR="00AC6623" w:rsidRPr="00E5780A">
        <w:rPr>
          <w:rFonts w:ascii="Verdana" w:hAnsi="Verdana"/>
          <w:sz w:val="20"/>
          <w:szCs w:val="20"/>
          <w:lang w:val="es-ES_tradnl"/>
        </w:rPr>
        <w:t>, lo cual es acorde a la reparación homologada por este Tribunal en la Sentencia</w:t>
      </w:r>
      <w:r w:rsidRPr="00E5780A">
        <w:rPr>
          <w:rFonts w:ascii="Verdana" w:hAnsi="Verdana"/>
          <w:sz w:val="20"/>
          <w:szCs w:val="20"/>
          <w:lang w:val="es-ES_tradnl"/>
        </w:rPr>
        <w:t>.</w:t>
      </w:r>
      <w:r w:rsidR="000A1CCE" w:rsidRPr="00E5780A">
        <w:rPr>
          <w:rFonts w:ascii="Verdana" w:hAnsi="Verdana"/>
          <w:sz w:val="20"/>
          <w:szCs w:val="20"/>
          <w:lang w:val="es-ES_tradnl"/>
        </w:rPr>
        <w:t xml:space="preserve"> </w:t>
      </w:r>
      <w:r w:rsidR="00A95FC7" w:rsidRPr="00E5780A">
        <w:rPr>
          <w:rFonts w:ascii="Verdana" w:hAnsi="Verdana"/>
          <w:sz w:val="20"/>
          <w:szCs w:val="20"/>
          <w:lang w:val="es-ES_tradnl"/>
        </w:rPr>
        <w:t>En atención</w:t>
      </w:r>
      <w:r w:rsidR="00E5780A" w:rsidRPr="00E5780A">
        <w:rPr>
          <w:rFonts w:ascii="Verdana" w:hAnsi="Verdana"/>
          <w:sz w:val="20"/>
          <w:szCs w:val="20"/>
          <w:lang w:val="es-ES_tradnl"/>
        </w:rPr>
        <w:t xml:space="preserve"> a la buena fe de Costa Rica en el cumplimiento de sus obligaciones y </w:t>
      </w:r>
      <w:r w:rsidR="00A95FC7" w:rsidRPr="00E5780A">
        <w:rPr>
          <w:rFonts w:ascii="Verdana" w:hAnsi="Verdana"/>
          <w:sz w:val="20"/>
          <w:szCs w:val="20"/>
          <w:lang w:val="es-ES_tradnl"/>
        </w:rPr>
        <w:t xml:space="preserve">al compromiso asumido por </w:t>
      </w:r>
      <w:r w:rsidR="00E5780A" w:rsidRPr="00E5780A">
        <w:rPr>
          <w:rFonts w:ascii="Verdana" w:hAnsi="Verdana"/>
          <w:sz w:val="20"/>
          <w:szCs w:val="20"/>
          <w:lang w:val="es-ES_tradnl"/>
        </w:rPr>
        <w:t>éste</w:t>
      </w:r>
      <w:r w:rsidR="00A95FC7" w:rsidRPr="00E5780A">
        <w:rPr>
          <w:rFonts w:ascii="Verdana" w:hAnsi="Verdana"/>
          <w:sz w:val="20"/>
          <w:szCs w:val="20"/>
          <w:lang w:val="es-ES_tradnl"/>
        </w:rPr>
        <w:t xml:space="preserve"> de iniciar dicha discusión de manera amplia y participativa, el Tribunal considera beneficioso que, con independencia del presente proceso de supervisión de cumplimiento, el Estado</w:t>
      </w:r>
      <w:r w:rsidR="00E5780A" w:rsidRPr="00E5780A">
        <w:rPr>
          <w:rFonts w:ascii="Verdana" w:hAnsi="Verdana"/>
          <w:sz w:val="20"/>
          <w:szCs w:val="20"/>
          <w:lang w:val="es-ES_tradnl"/>
        </w:rPr>
        <w:t xml:space="preserve"> continúe fortaleciendo la discusión sobre la maternidad por subrogación como procedimiento de procreación, en los términos de la reparación homologada por la Corte. </w:t>
      </w:r>
      <w:r w:rsidR="00A95FC7" w:rsidRPr="00E5780A">
        <w:rPr>
          <w:rFonts w:ascii="Verdana" w:hAnsi="Verdana"/>
          <w:sz w:val="20"/>
          <w:szCs w:val="20"/>
          <w:lang w:val="es-ES_tradnl"/>
        </w:rPr>
        <w:t>No obstante, de conformidad con lo dispuesto en el párrafo 57 de la Sen</w:t>
      </w:r>
      <w:r w:rsidR="00C71F60" w:rsidRPr="00E5780A">
        <w:rPr>
          <w:rFonts w:ascii="Verdana" w:hAnsi="Verdana"/>
          <w:sz w:val="20"/>
          <w:szCs w:val="20"/>
          <w:lang w:val="es-ES_tradnl"/>
        </w:rPr>
        <w:t>tencia (</w:t>
      </w:r>
      <w:r w:rsidR="00C71F60" w:rsidRPr="00E5780A">
        <w:rPr>
          <w:rFonts w:ascii="Verdana" w:hAnsi="Verdana"/>
          <w:i/>
          <w:sz w:val="20"/>
          <w:szCs w:val="20"/>
          <w:lang w:val="es-ES_tradnl"/>
        </w:rPr>
        <w:t>supra</w:t>
      </w:r>
      <w:r w:rsidR="00C71F60" w:rsidRPr="00E5780A">
        <w:rPr>
          <w:rFonts w:ascii="Verdana" w:hAnsi="Verdana"/>
          <w:sz w:val="20"/>
          <w:szCs w:val="20"/>
          <w:lang w:val="es-ES_tradnl"/>
        </w:rPr>
        <w:t xml:space="preserve"> Considerando 8), </w:t>
      </w:r>
      <w:r w:rsidR="00E5780A" w:rsidRPr="00E5780A">
        <w:rPr>
          <w:rFonts w:ascii="Verdana" w:hAnsi="Verdana"/>
          <w:sz w:val="20"/>
          <w:szCs w:val="20"/>
          <w:lang w:val="es-ES_tradnl"/>
        </w:rPr>
        <w:t xml:space="preserve">las </w:t>
      </w:r>
      <w:r w:rsidR="00A95FC7" w:rsidRPr="00E5780A">
        <w:rPr>
          <w:rFonts w:ascii="Verdana" w:hAnsi="Verdana"/>
          <w:sz w:val="20"/>
          <w:szCs w:val="20"/>
          <w:lang w:val="es-ES_tradnl"/>
        </w:rPr>
        <w:t>otras acciones</w:t>
      </w:r>
      <w:r w:rsidR="00E5780A" w:rsidRPr="00E5780A">
        <w:rPr>
          <w:rFonts w:ascii="Verdana" w:hAnsi="Verdana"/>
          <w:sz w:val="20"/>
          <w:szCs w:val="20"/>
          <w:lang w:val="es-ES_tradnl"/>
        </w:rPr>
        <w:t xml:space="preserve"> que realice el Estado</w:t>
      </w:r>
      <w:r w:rsidR="00A95FC7" w:rsidRPr="00E5780A">
        <w:rPr>
          <w:rFonts w:ascii="Verdana" w:hAnsi="Verdana"/>
          <w:sz w:val="20"/>
          <w:szCs w:val="20"/>
          <w:lang w:val="es-ES_tradnl"/>
        </w:rPr>
        <w:t xml:space="preserve"> no serán supervisadas por este Tribunal.</w:t>
      </w:r>
      <w:r w:rsidR="005F165B" w:rsidRPr="00E5780A">
        <w:rPr>
          <w:rFonts w:ascii="Verdana" w:hAnsi="Verdana"/>
          <w:sz w:val="20"/>
          <w:szCs w:val="20"/>
          <w:lang w:val="es-ES_tradnl"/>
        </w:rPr>
        <w:t xml:space="preserve"> </w:t>
      </w:r>
    </w:p>
    <w:p w14:paraId="455B74E7" w14:textId="0BB6B67F" w:rsidR="003C242C" w:rsidRPr="003C242C" w:rsidRDefault="00E5780A"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Por consiguiente</w:t>
      </w:r>
      <w:r w:rsidR="003F741E">
        <w:rPr>
          <w:rFonts w:ascii="Verdana" w:hAnsi="Verdana"/>
          <w:sz w:val="20"/>
          <w:szCs w:val="20"/>
          <w:lang w:val="es-ES_tradnl"/>
        </w:rPr>
        <w:t>, la Corte</w:t>
      </w:r>
      <w:r w:rsidR="003C242C">
        <w:rPr>
          <w:rFonts w:ascii="Verdana" w:hAnsi="Verdana"/>
          <w:sz w:val="20"/>
          <w:szCs w:val="20"/>
          <w:lang w:val="es-ES_tradnl"/>
        </w:rPr>
        <w:t xml:space="preserve"> </w:t>
      </w:r>
      <w:r w:rsidR="00A95FC7">
        <w:rPr>
          <w:rFonts w:ascii="Verdana" w:hAnsi="Verdana"/>
          <w:sz w:val="20"/>
          <w:szCs w:val="20"/>
          <w:lang w:val="es-ES_tradnl"/>
        </w:rPr>
        <w:t>considera que el Estado ha dado</w:t>
      </w:r>
      <w:r w:rsidR="003C242C">
        <w:rPr>
          <w:rFonts w:ascii="Verdana" w:hAnsi="Verdana"/>
          <w:sz w:val="20"/>
          <w:szCs w:val="20"/>
          <w:lang w:val="es-ES_tradnl"/>
        </w:rPr>
        <w:t xml:space="preserve"> cumplimiento </w:t>
      </w:r>
      <w:r w:rsidR="00A95FC7">
        <w:rPr>
          <w:rFonts w:ascii="Verdana" w:hAnsi="Verdana"/>
          <w:sz w:val="20"/>
          <w:szCs w:val="20"/>
          <w:lang w:val="es-ES_tradnl"/>
        </w:rPr>
        <w:t xml:space="preserve">total a </w:t>
      </w:r>
      <w:r w:rsidR="003C242C">
        <w:rPr>
          <w:rFonts w:ascii="Verdana" w:hAnsi="Verdana"/>
          <w:sz w:val="20"/>
          <w:szCs w:val="20"/>
          <w:lang w:val="es-ES_tradnl"/>
        </w:rPr>
        <w:t>la medida relativa a iniciar</w:t>
      </w:r>
      <w:r w:rsidR="003C242C" w:rsidRPr="008C2C8A">
        <w:rPr>
          <w:rFonts w:ascii="Verdana" w:hAnsi="Verdana"/>
          <w:sz w:val="20"/>
          <w:szCs w:val="20"/>
          <w:lang w:val="es-ES_tradnl"/>
        </w:rPr>
        <w:t xml:space="preserve"> una discusión amplia y participativa acerca de la maternidad por subrogación como procedimiento para la procreación</w:t>
      </w:r>
      <w:r w:rsidR="003C242C">
        <w:rPr>
          <w:rFonts w:ascii="Verdana" w:hAnsi="Verdana"/>
          <w:sz w:val="20"/>
          <w:szCs w:val="20"/>
          <w:lang w:val="es-ES_tradnl"/>
        </w:rPr>
        <w:t xml:space="preserve">, ordenada en el </w:t>
      </w:r>
      <w:r w:rsidR="003C242C" w:rsidRPr="003C242C">
        <w:rPr>
          <w:rFonts w:ascii="Verdana" w:hAnsi="Verdana"/>
          <w:sz w:val="20"/>
          <w:szCs w:val="20"/>
          <w:lang w:val="es-ES_tradnl"/>
        </w:rPr>
        <w:t xml:space="preserve">punto </w:t>
      </w:r>
      <w:r w:rsidR="004218BD">
        <w:rPr>
          <w:rFonts w:ascii="Verdana" w:hAnsi="Verdana"/>
          <w:sz w:val="20"/>
          <w:szCs w:val="20"/>
          <w:lang w:val="es-ES_tradnl"/>
        </w:rPr>
        <w:t>resolutivo</w:t>
      </w:r>
      <w:r w:rsidR="003C242C" w:rsidRPr="003C242C">
        <w:rPr>
          <w:rFonts w:ascii="Verdana" w:hAnsi="Verdana"/>
          <w:sz w:val="20"/>
          <w:szCs w:val="20"/>
          <w:lang w:val="es-ES_tradnl"/>
        </w:rPr>
        <w:t xml:space="preserve"> sexto, literal e) de la Sentencia</w:t>
      </w:r>
      <w:r w:rsidR="003C242C">
        <w:rPr>
          <w:rFonts w:ascii="Verdana" w:hAnsi="Verdana"/>
          <w:sz w:val="20"/>
          <w:szCs w:val="20"/>
          <w:lang w:val="es-ES_tradnl"/>
        </w:rPr>
        <w:t xml:space="preserve">. </w:t>
      </w:r>
      <w:r w:rsidR="003C242C" w:rsidRPr="003C242C">
        <w:rPr>
          <w:rFonts w:ascii="Verdana" w:hAnsi="Verdana"/>
          <w:sz w:val="20"/>
          <w:szCs w:val="20"/>
          <w:lang w:val="es-ES_tradnl"/>
        </w:rPr>
        <w:t xml:space="preserve"> </w:t>
      </w:r>
    </w:p>
    <w:p w14:paraId="60A0AEC9" w14:textId="77777777" w:rsidR="003C242C" w:rsidRDefault="003C242C" w:rsidP="006634DD">
      <w:pPr>
        <w:pStyle w:val="Prrafodelista"/>
        <w:spacing w:before="120" w:after="120" w:line="240" w:lineRule="auto"/>
        <w:ind w:left="0"/>
        <w:contextualSpacing w:val="0"/>
        <w:jc w:val="both"/>
        <w:rPr>
          <w:rFonts w:ascii="Verdana" w:hAnsi="Verdana"/>
          <w:sz w:val="20"/>
          <w:szCs w:val="20"/>
          <w:lang w:val="es-ES_tradnl"/>
        </w:rPr>
      </w:pPr>
    </w:p>
    <w:p w14:paraId="0F5E524E" w14:textId="77777777" w:rsidR="00C50956" w:rsidRPr="00D8720F" w:rsidRDefault="00C50956" w:rsidP="006634DD">
      <w:pPr>
        <w:pStyle w:val="Prrafodelista"/>
        <w:numPr>
          <w:ilvl w:val="0"/>
          <w:numId w:val="8"/>
        </w:numPr>
        <w:spacing w:before="120" w:after="120" w:line="240" w:lineRule="auto"/>
        <w:contextualSpacing w:val="0"/>
        <w:jc w:val="both"/>
        <w:outlineLvl w:val="0"/>
        <w:rPr>
          <w:rStyle w:val="nfasissutil"/>
          <w:rFonts w:ascii="Verdana" w:hAnsi="Verdana"/>
          <w:b/>
          <w:color w:val="auto"/>
          <w:sz w:val="20"/>
          <w:szCs w:val="20"/>
        </w:rPr>
      </w:pPr>
      <w:bookmarkStart w:id="10" w:name="_Toc21945231"/>
      <w:bookmarkStart w:id="11" w:name="quinta_reparación"/>
      <w:r w:rsidRPr="00D8720F">
        <w:rPr>
          <w:rStyle w:val="nfasissutil"/>
          <w:rFonts w:ascii="Verdana" w:hAnsi="Verdana"/>
          <w:b/>
          <w:color w:val="auto"/>
          <w:sz w:val="20"/>
          <w:szCs w:val="20"/>
        </w:rPr>
        <w:t>Indemnizaciones por daño material e inmaterial y reintegro de costas y gastos</w:t>
      </w:r>
      <w:bookmarkEnd w:id="10"/>
    </w:p>
    <w:bookmarkEnd w:id="11"/>
    <w:p w14:paraId="3088226D" w14:textId="77777777" w:rsidR="00C50956" w:rsidRPr="00D8720F" w:rsidRDefault="00714097" w:rsidP="006634DD">
      <w:pPr>
        <w:pStyle w:val="Prrafodelista"/>
        <w:spacing w:before="120" w:after="120" w:line="240" w:lineRule="auto"/>
        <w:ind w:left="1068"/>
        <w:contextualSpacing w:val="0"/>
        <w:jc w:val="both"/>
        <w:rPr>
          <w:rFonts w:ascii="Verdana" w:hAnsi="Verdana"/>
          <w:i/>
          <w:sz w:val="20"/>
          <w:szCs w:val="20"/>
          <w:lang w:val="es-ES_tradnl"/>
        </w:rPr>
      </w:pPr>
      <w:r w:rsidRPr="00D8720F">
        <w:rPr>
          <w:rFonts w:ascii="Verdana" w:hAnsi="Verdana"/>
          <w:i/>
          <w:sz w:val="20"/>
          <w:szCs w:val="20"/>
          <w:lang w:val="es-ES_tradnl"/>
        </w:rPr>
        <w:t>E.1. Medida</w:t>
      </w:r>
      <w:r w:rsidR="003C242C" w:rsidRPr="00D8720F">
        <w:rPr>
          <w:rFonts w:ascii="Verdana" w:hAnsi="Verdana"/>
          <w:i/>
          <w:sz w:val="20"/>
          <w:szCs w:val="20"/>
          <w:lang w:val="es-ES_tradnl"/>
        </w:rPr>
        <w:t xml:space="preserve">s </w:t>
      </w:r>
      <w:r w:rsidR="00D8720F" w:rsidRPr="00D8720F">
        <w:rPr>
          <w:rFonts w:ascii="Verdana" w:hAnsi="Verdana"/>
          <w:i/>
          <w:sz w:val="20"/>
          <w:szCs w:val="20"/>
          <w:lang w:val="es-ES_tradnl"/>
        </w:rPr>
        <w:t>ordenadas</w:t>
      </w:r>
      <w:r w:rsidRPr="00D8720F">
        <w:rPr>
          <w:rFonts w:ascii="Verdana" w:hAnsi="Verdana"/>
          <w:i/>
          <w:sz w:val="20"/>
          <w:szCs w:val="20"/>
          <w:lang w:val="es-ES_tradnl"/>
        </w:rPr>
        <w:t xml:space="preserve"> por la Corte</w:t>
      </w:r>
    </w:p>
    <w:p w14:paraId="719D69E4" w14:textId="77777777" w:rsidR="004218BD" w:rsidRPr="00D8720F" w:rsidRDefault="004E272A"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D8720F">
        <w:rPr>
          <w:rFonts w:ascii="Verdana" w:hAnsi="Verdana"/>
          <w:sz w:val="20"/>
          <w:szCs w:val="20"/>
          <w:lang w:val="es-ES_tradnl"/>
        </w:rPr>
        <w:t xml:space="preserve">En el punto </w:t>
      </w:r>
      <w:r w:rsidR="004218BD" w:rsidRPr="00D8720F">
        <w:rPr>
          <w:rFonts w:ascii="Verdana" w:hAnsi="Verdana"/>
          <w:sz w:val="20"/>
          <w:szCs w:val="20"/>
          <w:lang w:val="es-ES_tradnl"/>
        </w:rPr>
        <w:t>resolutivo</w:t>
      </w:r>
      <w:r w:rsidRPr="00D8720F">
        <w:rPr>
          <w:rFonts w:ascii="Verdana" w:hAnsi="Verdana"/>
          <w:sz w:val="20"/>
          <w:szCs w:val="20"/>
          <w:lang w:val="es-ES_tradnl"/>
        </w:rPr>
        <w:t xml:space="preserve"> sexto, literales f) y g)</w:t>
      </w:r>
      <w:r w:rsidR="004218BD" w:rsidRPr="00D8720F">
        <w:rPr>
          <w:rFonts w:ascii="Verdana" w:hAnsi="Verdana"/>
          <w:sz w:val="20"/>
          <w:szCs w:val="20"/>
          <w:lang w:val="es-ES_tradnl"/>
        </w:rPr>
        <w:t xml:space="preserve"> </w:t>
      </w:r>
      <w:r w:rsidR="005407B3" w:rsidRPr="00D8720F">
        <w:rPr>
          <w:rFonts w:ascii="Verdana" w:hAnsi="Verdana"/>
          <w:sz w:val="20"/>
          <w:szCs w:val="20"/>
          <w:lang w:val="es-ES_tradnl"/>
        </w:rPr>
        <w:t xml:space="preserve">y los párrafos 58 a 61 </w:t>
      </w:r>
      <w:r w:rsidR="004218BD" w:rsidRPr="00D8720F">
        <w:rPr>
          <w:rFonts w:ascii="Verdana" w:hAnsi="Verdana"/>
          <w:sz w:val="20"/>
          <w:szCs w:val="20"/>
          <w:lang w:val="es-ES_tradnl"/>
        </w:rPr>
        <w:t xml:space="preserve">de la Sentencia, la Corte dispuso que </w:t>
      </w:r>
      <w:r w:rsidR="005407B3" w:rsidRPr="00D8720F">
        <w:rPr>
          <w:rFonts w:ascii="Verdana" w:hAnsi="Verdana"/>
          <w:sz w:val="20"/>
          <w:szCs w:val="20"/>
          <w:lang w:val="es-ES_tradnl"/>
        </w:rPr>
        <w:t>“</w:t>
      </w:r>
      <w:r w:rsidR="00A74EC5" w:rsidRPr="00D8720F">
        <w:rPr>
          <w:rFonts w:ascii="Verdana" w:hAnsi="Verdana"/>
          <w:sz w:val="20"/>
          <w:szCs w:val="20"/>
          <w:lang w:val="es-ES_tradnl"/>
        </w:rPr>
        <w:t>en un plazo máximo de doce meses a partir de la notificación de [la] homologación</w:t>
      </w:r>
      <w:r w:rsidR="0067177E" w:rsidRPr="00D8720F">
        <w:rPr>
          <w:rFonts w:ascii="Verdana" w:hAnsi="Verdana"/>
          <w:sz w:val="20"/>
          <w:szCs w:val="20"/>
          <w:lang w:val="es-ES_tradnl"/>
        </w:rPr>
        <w:t xml:space="preserve"> […] de[l] Acuerdo”</w:t>
      </w:r>
      <w:r w:rsidR="005407B3" w:rsidRPr="00D8720F">
        <w:rPr>
          <w:rFonts w:ascii="Verdana" w:hAnsi="Verdana"/>
          <w:sz w:val="20"/>
          <w:szCs w:val="20"/>
          <w:lang w:val="es-ES_tradnl"/>
        </w:rPr>
        <w:t xml:space="preserve"> </w:t>
      </w:r>
      <w:r w:rsidR="004218BD" w:rsidRPr="00D8720F">
        <w:rPr>
          <w:rFonts w:ascii="Verdana" w:hAnsi="Verdana"/>
          <w:sz w:val="20"/>
          <w:szCs w:val="20"/>
          <w:lang w:val="es-ES_tradnl"/>
        </w:rPr>
        <w:t>el Estado debe:</w:t>
      </w:r>
    </w:p>
    <w:p w14:paraId="3EF435CE" w14:textId="77777777" w:rsidR="007D5256" w:rsidRPr="00D8720F" w:rsidRDefault="004E272A" w:rsidP="006634DD">
      <w:pPr>
        <w:pStyle w:val="Prrafodelista"/>
        <w:numPr>
          <w:ilvl w:val="0"/>
          <w:numId w:val="15"/>
        </w:numPr>
        <w:spacing w:before="120" w:after="120" w:line="240" w:lineRule="auto"/>
        <w:contextualSpacing w:val="0"/>
        <w:jc w:val="both"/>
        <w:rPr>
          <w:rFonts w:ascii="Verdana" w:hAnsi="Verdana"/>
          <w:sz w:val="20"/>
          <w:szCs w:val="20"/>
          <w:lang w:val="es-ES_tradnl"/>
        </w:rPr>
      </w:pPr>
      <w:r w:rsidRPr="00D8720F">
        <w:rPr>
          <w:rFonts w:ascii="Verdana" w:hAnsi="Verdana"/>
          <w:sz w:val="20"/>
          <w:szCs w:val="20"/>
          <w:lang w:val="es-ES_tradnl"/>
        </w:rPr>
        <w:lastRenderedPageBreak/>
        <w:t>“pagar a cada una de las víctimas las cantidades acordadas por concepto de indemnizaciones del daño material y del daño inmaterial, en los términos del párrafo 58</w:t>
      </w:r>
      <w:r w:rsidR="005823AC" w:rsidRPr="00D8720F">
        <w:rPr>
          <w:rStyle w:val="Refdenotaalpie"/>
          <w:rFonts w:ascii="Verdana" w:hAnsi="Verdana"/>
          <w:sz w:val="20"/>
          <w:szCs w:val="20"/>
          <w:lang w:val="es-ES_tradnl"/>
        </w:rPr>
        <w:footnoteReference w:id="33"/>
      </w:r>
      <w:r w:rsidRPr="00D8720F">
        <w:rPr>
          <w:rFonts w:ascii="Verdana" w:hAnsi="Verdana"/>
          <w:sz w:val="20"/>
          <w:szCs w:val="20"/>
          <w:lang w:val="es-ES_tradnl"/>
        </w:rPr>
        <w:t xml:space="preserve"> de [la Sentencia]”</w:t>
      </w:r>
      <w:r w:rsidR="007D5256" w:rsidRPr="00D8720F">
        <w:rPr>
          <w:rFonts w:ascii="Verdana" w:hAnsi="Verdana"/>
          <w:sz w:val="20"/>
          <w:szCs w:val="20"/>
          <w:lang w:val="es-ES_tradnl"/>
        </w:rPr>
        <w:t>,</w:t>
      </w:r>
      <w:r w:rsidRPr="00D8720F">
        <w:rPr>
          <w:rFonts w:ascii="Verdana" w:hAnsi="Verdana"/>
          <w:sz w:val="20"/>
          <w:szCs w:val="20"/>
          <w:lang w:val="es-ES_tradnl"/>
        </w:rPr>
        <w:t xml:space="preserve"> y </w:t>
      </w:r>
    </w:p>
    <w:p w14:paraId="39C101EB" w14:textId="24892F14" w:rsidR="007D5256" w:rsidRPr="00D8720F" w:rsidRDefault="004E272A" w:rsidP="006634DD">
      <w:pPr>
        <w:pStyle w:val="Prrafodelista"/>
        <w:numPr>
          <w:ilvl w:val="0"/>
          <w:numId w:val="15"/>
        </w:numPr>
        <w:spacing w:before="120" w:after="120" w:line="240" w:lineRule="auto"/>
        <w:contextualSpacing w:val="0"/>
        <w:jc w:val="both"/>
        <w:rPr>
          <w:rFonts w:ascii="Verdana" w:hAnsi="Verdana"/>
          <w:sz w:val="20"/>
          <w:szCs w:val="20"/>
          <w:lang w:val="es-ES_tradnl"/>
        </w:rPr>
      </w:pPr>
      <w:r w:rsidRPr="00D8720F">
        <w:rPr>
          <w:rFonts w:ascii="Verdana" w:hAnsi="Verdana"/>
          <w:sz w:val="20"/>
          <w:szCs w:val="20"/>
          <w:lang w:val="es-ES_tradnl"/>
        </w:rPr>
        <w:t>“pagar la cantidad acordada por concepto de reintegro de costas y</w:t>
      </w:r>
      <w:r w:rsidR="006A1654">
        <w:rPr>
          <w:rFonts w:ascii="Verdana" w:hAnsi="Verdana"/>
          <w:sz w:val="20"/>
          <w:szCs w:val="20"/>
          <w:lang w:val="es-ES_tradnl"/>
        </w:rPr>
        <w:t xml:space="preserve"> gastos al </w:t>
      </w:r>
      <w:r w:rsidR="00375CCC">
        <w:rPr>
          <w:rFonts w:ascii="Verdana" w:hAnsi="Verdana"/>
          <w:sz w:val="20"/>
          <w:szCs w:val="20"/>
          <w:lang w:val="es-ES_tradnl"/>
        </w:rPr>
        <w:t>r</w:t>
      </w:r>
      <w:r w:rsidR="006A1654">
        <w:rPr>
          <w:rFonts w:ascii="Verdana" w:hAnsi="Verdana"/>
          <w:sz w:val="20"/>
          <w:szCs w:val="20"/>
          <w:lang w:val="es-ES_tradnl"/>
        </w:rPr>
        <w:t xml:space="preserve">epresentante </w:t>
      </w:r>
      <w:proofErr w:type="spellStart"/>
      <w:r w:rsidR="006A1654">
        <w:rPr>
          <w:rFonts w:ascii="Verdana" w:hAnsi="Verdana"/>
          <w:sz w:val="20"/>
          <w:szCs w:val="20"/>
          <w:lang w:val="es-ES_tradnl"/>
        </w:rPr>
        <w:t>Hubert</w:t>
      </w:r>
      <w:r w:rsidR="00375CCC">
        <w:rPr>
          <w:rFonts w:ascii="Verdana" w:hAnsi="Verdana"/>
          <w:sz w:val="20"/>
          <w:szCs w:val="20"/>
          <w:lang w:val="es-ES_tradnl"/>
        </w:rPr>
        <w:t>h</w:t>
      </w:r>
      <w:proofErr w:type="spellEnd"/>
      <w:r w:rsidRPr="00D8720F">
        <w:rPr>
          <w:rFonts w:ascii="Verdana" w:hAnsi="Verdana"/>
          <w:sz w:val="20"/>
          <w:szCs w:val="20"/>
          <w:lang w:val="es-ES_tradnl"/>
        </w:rPr>
        <w:t xml:space="preserve"> May Cantillano, en los términos del párrafo 59</w:t>
      </w:r>
      <w:r w:rsidR="005823AC" w:rsidRPr="00D8720F">
        <w:rPr>
          <w:rStyle w:val="Refdenotaalpie"/>
          <w:rFonts w:ascii="Verdana" w:hAnsi="Verdana"/>
          <w:sz w:val="20"/>
          <w:szCs w:val="20"/>
          <w:lang w:val="es-ES_tradnl"/>
        </w:rPr>
        <w:footnoteReference w:id="34"/>
      </w:r>
      <w:r w:rsidRPr="00D8720F">
        <w:rPr>
          <w:rFonts w:ascii="Verdana" w:hAnsi="Verdana"/>
          <w:sz w:val="20"/>
          <w:szCs w:val="20"/>
          <w:lang w:val="es-ES_tradnl"/>
        </w:rPr>
        <w:t xml:space="preserve"> de [la Sentencia</w:t>
      </w:r>
      <w:r w:rsidR="00B73793" w:rsidRPr="00D8720F">
        <w:rPr>
          <w:rFonts w:ascii="Verdana" w:hAnsi="Verdana"/>
          <w:sz w:val="20"/>
          <w:szCs w:val="20"/>
          <w:lang w:val="es-ES_tradnl"/>
        </w:rPr>
        <w:t>]</w:t>
      </w:r>
      <w:r w:rsidRPr="00D8720F">
        <w:rPr>
          <w:rFonts w:ascii="Verdana" w:hAnsi="Verdana"/>
          <w:sz w:val="20"/>
          <w:szCs w:val="20"/>
          <w:lang w:val="es-ES_tradnl"/>
        </w:rPr>
        <w:t>”</w:t>
      </w:r>
      <w:r w:rsidR="003E4104" w:rsidRPr="00D8720F">
        <w:rPr>
          <w:rFonts w:ascii="Verdana" w:hAnsi="Verdana"/>
          <w:sz w:val="20"/>
          <w:szCs w:val="20"/>
          <w:lang w:val="es-ES_tradnl"/>
        </w:rPr>
        <w:t xml:space="preserve">. </w:t>
      </w:r>
    </w:p>
    <w:p w14:paraId="6DF2FFAA" w14:textId="77777777" w:rsidR="008C4144" w:rsidRDefault="008C4144" w:rsidP="006634DD">
      <w:pPr>
        <w:pStyle w:val="Prrafodelista"/>
        <w:spacing w:before="120" w:after="0" w:line="240" w:lineRule="auto"/>
        <w:ind w:left="1068"/>
        <w:jc w:val="both"/>
        <w:rPr>
          <w:rFonts w:ascii="Verdana" w:hAnsi="Verdana"/>
          <w:i/>
          <w:sz w:val="20"/>
          <w:szCs w:val="20"/>
          <w:lang w:val="es-ES_tradnl"/>
        </w:rPr>
      </w:pPr>
    </w:p>
    <w:p w14:paraId="3C73654B" w14:textId="77777777" w:rsidR="00714097" w:rsidRPr="00D8720F" w:rsidRDefault="00714097" w:rsidP="006634DD">
      <w:pPr>
        <w:pStyle w:val="Prrafodelista"/>
        <w:spacing w:before="120" w:after="0" w:line="240" w:lineRule="auto"/>
        <w:ind w:left="1068"/>
        <w:jc w:val="both"/>
        <w:rPr>
          <w:rFonts w:ascii="Verdana" w:hAnsi="Verdana"/>
          <w:i/>
          <w:sz w:val="20"/>
          <w:szCs w:val="20"/>
          <w:lang w:val="es-ES_tradnl"/>
        </w:rPr>
      </w:pPr>
      <w:r w:rsidRPr="00D8720F">
        <w:rPr>
          <w:rFonts w:ascii="Verdana" w:hAnsi="Verdana"/>
          <w:i/>
          <w:sz w:val="20"/>
          <w:szCs w:val="20"/>
          <w:lang w:val="es-ES_tradnl"/>
        </w:rPr>
        <w:t>E.2. Consideraciones de la Corte</w:t>
      </w:r>
    </w:p>
    <w:p w14:paraId="3201CEAE" w14:textId="44FC6794" w:rsidR="007723DA" w:rsidRPr="00D8720F" w:rsidRDefault="003B581F" w:rsidP="006634DD">
      <w:pPr>
        <w:pStyle w:val="Prrafodelista"/>
        <w:numPr>
          <w:ilvl w:val="0"/>
          <w:numId w:val="3"/>
        </w:numPr>
        <w:spacing w:before="120" w:after="0" w:line="240" w:lineRule="auto"/>
        <w:ind w:left="0" w:firstLine="0"/>
        <w:contextualSpacing w:val="0"/>
        <w:jc w:val="both"/>
        <w:rPr>
          <w:rFonts w:ascii="Verdana" w:hAnsi="Verdana"/>
          <w:sz w:val="20"/>
          <w:szCs w:val="20"/>
          <w:lang w:val="es-ES_tradnl"/>
        </w:rPr>
      </w:pPr>
      <w:r w:rsidRPr="00D8720F">
        <w:rPr>
          <w:rFonts w:ascii="Verdana" w:hAnsi="Verdana"/>
          <w:sz w:val="20"/>
          <w:szCs w:val="20"/>
          <w:lang w:val="es-ES_tradnl"/>
        </w:rPr>
        <w:t>Con base en la documentación presentada por el Estado</w:t>
      </w:r>
      <w:r w:rsidRPr="00D8720F">
        <w:rPr>
          <w:rStyle w:val="Refdenotaalpie"/>
          <w:rFonts w:ascii="Verdana" w:hAnsi="Verdana"/>
          <w:sz w:val="20"/>
          <w:szCs w:val="20"/>
          <w:lang w:val="es-ES_tradnl"/>
        </w:rPr>
        <w:footnoteReference w:id="35"/>
      </w:r>
      <w:r w:rsidRPr="00D8720F">
        <w:rPr>
          <w:rFonts w:ascii="Verdana" w:hAnsi="Verdana"/>
          <w:sz w:val="20"/>
          <w:szCs w:val="20"/>
          <w:lang w:val="es-ES_tradnl"/>
        </w:rPr>
        <w:t xml:space="preserve">, así como lo </w:t>
      </w:r>
      <w:r w:rsidR="00375CCC">
        <w:rPr>
          <w:rFonts w:ascii="Verdana" w:hAnsi="Verdana"/>
          <w:sz w:val="20"/>
          <w:szCs w:val="20"/>
          <w:lang w:val="es-ES_tradnl"/>
        </w:rPr>
        <w:t>afirmado</w:t>
      </w:r>
      <w:r w:rsidR="00375CCC" w:rsidRPr="00D8720F">
        <w:rPr>
          <w:rFonts w:ascii="Verdana" w:hAnsi="Verdana"/>
          <w:sz w:val="20"/>
          <w:szCs w:val="20"/>
          <w:lang w:val="es-ES_tradnl"/>
        </w:rPr>
        <w:t xml:space="preserve"> </w:t>
      </w:r>
      <w:r w:rsidRPr="00D8720F">
        <w:rPr>
          <w:rFonts w:ascii="Verdana" w:hAnsi="Verdana"/>
          <w:sz w:val="20"/>
          <w:szCs w:val="20"/>
          <w:lang w:val="es-ES_tradnl"/>
        </w:rPr>
        <w:t xml:space="preserve">por el </w:t>
      </w:r>
      <w:r w:rsidR="00CB51EB" w:rsidRPr="00D8720F">
        <w:rPr>
          <w:rFonts w:ascii="Verdana" w:hAnsi="Verdana"/>
          <w:sz w:val="20"/>
          <w:szCs w:val="20"/>
          <w:lang w:val="es-ES_tradnl"/>
        </w:rPr>
        <w:t>r</w:t>
      </w:r>
      <w:r w:rsidRPr="00D8720F">
        <w:rPr>
          <w:rFonts w:ascii="Verdana" w:hAnsi="Verdana"/>
          <w:sz w:val="20"/>
          <w:szCs w:val="20"/>
          <w:lang w:val="es-ES_tradnl"/>
        </w:rPr>
        <w:t>epresentante de las víctimas</w:t>
      </w:r>
      <w:r w:rsidR="00375CCC">
        <w:rPr>
          <w:rFonts w:ascii="Verdana" w:hAnsi="Verdana"/>
          <w:sz w:val="20"/>
          <w:szCs w:val="20"/>
          <w:lang w:val="es-ES_tradnl"/>
        </w:rPr>
        <w:t xml:space="preserve"> respecto a que los pagos fueron realizados</w:t>
      </w:r>
      <w:r w:rsidR="008E0209" w:rsidRPr="00D8720F">
        <w:rPr>
          <w:rStyle w:val="Refdenotaalpie"/>
          <w:rFonts w:ascii="Verdana" w:hAnsi="Verdana"/>
          <w:sz w:val="20"/>
          <w:szCs w:val="20"/>
          <w:lang w:val="es-ES_tradnl"/>
        </w:rPr>
        <w:footnoteReference w:id="36"/>
      </w:r>
      <w:r w:rsidRPr="00D8720F">
        <w:rPr>
          <w:rFonts w:ascii="Verdana" w:hAnsi="Verdana"/>
          <w:sz w:val="20"/>
          <w:szCs w:val="20"/>
          <w:lang w:val="es-ES_tradnl"/>
        </w:rPr>
        <w:t xml:space="preserve"> y</w:t>
      </w:r>
      <w:r w:rsidR="00375CCC">
        <w:rPr>
          <w:rFonts w:ascii="Verdana" w:hAnsi="Verdana"/>
          <w:sz w:val="20"/>
          <w:szCs w:val="20"/>
          <w:lang w:val="es-ES_tradnl"/>
        </w:rPr>
        <w:t xml:space="preserve"> las observaciones de</w:t>
      </w:r>
      <w:r w:rsidRPr="00D8720F">
        <w:rPr>
          <w:rFonts w:ascii="Verdana" w:hAnsi="Verdana"/>
          <w:sz w:val="20"/>
          <w:szCs w:val="20"/>
          <w:lang w:val="es-ES_tradnl"/>
        </w:rPr>
        <w:t xml:space="preserve"> la Comisión Interamericana</w:t>
      </w:r>
      <w:r w:rsidRPr="00D8720F">
        <w:rPr>
          <w:rStyle w:val="Refdenotaalpie"/>
          <w:rFonts w:ascii="Verdana" w:hAnsi="Verdana"/>
          <w:sz w:val="20"/>
          <w:szCs w:val="20"/>
          <w:lang w:val="es-ES_tradnl"/>
        </w:rPr>
        <w:footnoteReference w:id="37"/>
      </w:r>
      <w:r w:rsidRPr="00D8720F">
        <w:rPr>
          <w:rFonts w:ascii="Verdana" w:hAnsi="Verdana"/>
          <w:sz w:val="20"/>
          <w:szCs w:val="20"/>
          <w:lang w:val="es-ES_tradnl"/>
        </w:rPr>
        <w:t>,</w:t>
      </w:r>
      <w:r w:rsidR="00CB51EB" w:rsidRPr="00D8720F">
        <w:rPr>
          <w:rFonts w:ascii="Verdana" w:hAnsi="Verdana"/>
          <w:sz w:val="20"/>
          <w:szCs w:val="20"/>
          <w:lang w:val="es-ES_tradnl"/>
        </w:rPr>
        <w:t xml:space="preserve"> </w:t>
      </w:r>
      <w:r w:rsidRPr="00D8720F">
        <w:rPr>
          <w:rFonts w:ascii="Verdana" w:hAnsi="Verdana"/>
          <w:sz w:val="20"/>
          <w:szCs w:val="20"/>
          <w:lang w:val="es-ES_tradnl"/>
        </w:rPr>
        <w:t xml:space="preserve">este Tribunal </w:t>
      </w:r>
      <w:r w:rsidR="00CB51EB" w:rsidRPr="00D8720F">
        <w:rPr>
          <w:rFonts w:ascii="Verdana" w:hAnsi="Verdana"/>
          <w:sz w:val="20"/>
          <w:szCs w:val="20"/>
          <w:lang w:val="es-ES_tradnl"/>
        </w:rPr>
        <w:t xml:space="preserve">constata que, dentro del plazo otorgado en la </w:t>
      </w:r>
      <w:r w:rsidR="00375CCC">
        <w:rPr>
          <w:rFonts w:ascii="Verdana" w:hAnsi="Verdana"/>
          <w:sz w:val="20"/>
          <w:szCs w:val="20"/>
          <w:lang w:val="es-ES_tradnl"/>
        </w:rPr>
        <w:t>Sentencia</w:t>
      </w:r>
      <w:r w:rsidR="00CB51EB" w:rsidRPr="00D8720F">
        <w:rPr>
          <w:rFonts w:ascii="Verdana" w:hAnsi="Verdana"/>
          <w:sz w:val="20"/>
          <w:szCs w:val="20"/>
          <w:lang w:val="es-ES_tradnl"/>
        </w:rPr>
        <w:t xml:space="preserve">, </w:t>
      </w:r>
      <w:r w:rsidR="007723DA" w:rsidRPr="00D8720F">
        <w:rPr>
          <w:rFonts w:ascii="Verdana" w:hAnsi="Verdana"/>
          <w:sz w:val="20"/>
          <w:szCs w:val="20"/>
          <w:lang w:val="es-ES_tradnl"/>
        </w:rPr>
        <w:t>Costa Rica: i)</w:t>
      </w:r>
      <w:r w:rsidR="00CB51EB" w:rsidRPr="00D8720F">
        <w:rPr>
          <w:rFonts w:ascii="Verdana" w:hAnsi="Verdana"/>
          <w:sz w:val="20"/>
          <w:szCs w:val="20"/>
          <w:lang w:val="es-ES_tradnl"/>
        </w:rPr>
        <w:t xml:space="preserve"> pagó a cada una de las doce víctimas </w:t>
      </w:r>
      <w:r w:rsidR="007723DA" w:rsidRPr="00D8720F">
        <w:rPr>
          <w:rFonts w:ascii="Verdana" w:hAnsi="Verdana"/>
          <w:sz w:val="20"/>
          <w:szCs w:val="20"/>
          <w:lang w:val="es-ES_tradnl"/>
        </w:rPr>
        <w:t xml:space="preserve">la cantidad homologada en la </w:t>
      </w:r>
      <w:r w:rsidR="0058323D">
        <w:rPr>
          <w:rFonts w:ascii="Verdana" w:hAnsi="Verdana"/>
          <w:sz w:val="20"/>
          <w:szCs w:val="20"/>
          <w:lang w:val="es-ES_tradnl"/>
        </w:rPr>
        <w:t>S</w:t>
      </w:r>
      <w:r w:rsidR="007723DA" w:rsidRPr="00D8720F">
        <w:rPr>
          <w:rFonts w:ascii="Verdana" w:hAnsi="Verdana"/>
          <w:sz w:val="20"/>
          <w:szCs w:val="20"/>
          <w:lang w:val="es-ES_tradnl"/>
        </w:rPr>
        <w:t>entencia por concepto de indemnización compensatoria de los daños material e inmaterial, y ii) canceló al representante de las víctimas el monto acordado por concepto de reintegro de costas y gastos.</w:t>
      </w:r>
    </w:p>
    <w:p w14:paraId="0A62BA49" w14:textId="138296A5" w:rsidR="007723DA" w:rsidRPr="007723DA" w:rsidRDefault="007723DA" w:rsidP="006634DD">
      <w:pPr>
        <w:pStyle w:val="Prrafodelista"/>
        <w:numPr>
          <w:ilvl w:val="0"/>
          <w:numId w:val="3"/>
        </w:numPr>
        <w:spacing w:before="120" w:after="120" w:line="240" w:lineRule="auto"/>
        <w:ind w:left="0" w:firstLine="0"/>
        <w:contextualSpacing w:val="0"/>
        <w:jc w:val="both"/>
        <w:rPr>
          <w:rFonts w:ascii="Verdana" w:hAnsi="Verdana"/>
          <w:sz w:val="20"/>
          <w:szCs w:val="20"/>
          <w:lang w:val="es-ES_tradnl"/>
        </w:rPr>
      </w:pPr>
      <w:r w:rsidRPr="00D8720F">
        <w:rPr>
          <w:rFonts w:ascii="Verdana" w:hAnsi="Verdana"/>
          <w:sz w:val="20"/>
          <w:szCs w:val="20"/>
          <w:lang w:val="es-ES_tradnl"/>
        </w:rPr>
        <w:t>En consecuencia</w:t>
      </w:r>
      <w:r w:rsidRPr="007723DA">
        <w:rPr>
          <w:rFonts w:ascii="Verdana" w:hAnsi="Verdana"/>
          <w:sz w:val="20"/>
          <w:szCs w:val="20"/>
          <w:lang w:val="es-ES_tradnl"/>
        </w:rPr>
        <w:t>, la Corte concluye que el Estado ha dado cumplimiento total al pago de las indemnizaciones por concepto de daño material e inmaterial y al reintegro de costas y gastos, ordenadas en el punto resolutivo sexto, literales f) y g) de la Sentencia.</w:t>
      </w:r>
    </w:p>
    <w:p w14:paraId="2BFD6043" w14:textId="77777777" w:rsidR="00A95FC7" w:rsidRDefault="00A95FC7" w:rsidP="006634DD">
      <w:pPr>
        <w:pStyle w:val="Prrafodelista"/>
        <w:spacing w:before="120" w:after="120" w:line="240" w:lineRule="auto"/>
        <w:ind w:left="0"/>
        <w:contextualSpacing w:val="0"/>
        <w:jc w:val="both"/>
        <w:rPr>
          <w:rFonts w:ascii="Verdana" w:hAnsi="Verdana"/>
          <w:b/>
          <w:sz w:val="20"/>
          <w:szCs w:val="20"/>
          <w:lang w:val="es-ES_tradnl"/>
        </w:rPr>
      </w:pPr>
    </w:p>
    <w:p w14:paraId="08914A88" w14:textId="77777777" w:rsidR="00D93681" w:rsidRPr="003901C9" w:rsidRDefault="00D93681" w:rsidP="006634DD">
      <w:pPr>
        <w:pStyle w:val="Prrafodelista"/>
        <w:spacing w:before="120" w:after="120" w:line="240" w:lineRule="auto"/>
        <w:ind w:left="0"/>
        <w:contextualSpacing w:val="0"/>
        <w:jc w:val="both"/>
        <w:rPr>
          <w:rFonts w:ascii="Verdana" w:hAnsi="Verdana"/>
          <w:b/>
          <w:sz w:val="20"/>
          <w:szCs w:val="20"/>
          <w:lang w:val="es-ES_tradnl"/>
        </w:rPr>
      </w:pPr>
      <w:r w:rsidRPr="003901C9">
        <w:rPr>
          <w:rFonts w:ascii="Verdana" w:hAnsi="Verdana"/>
          <w:b/>
          <w:sz w:val="20"/>
          <w:szCs w:val="20"/>
          <w:lang w:val="es-ES_tradnl"/>
        </w:rPr>
        <w:t xml:space="preserve">POR TANTO: </w:t>
      </w:r>
    </w:p>
    <w:p w14:paraId="48E4E5E0" w14:textId="77777777" w:rsidR="00D93681" w:rsidRPr="003901C9" w:rsidRDefault="00396717" w:rsidP="006634DD">
      <w:pPr>
        <w:pStyle w:val="Prrafodelista"/>
        <w:spacing w:before="120" w:after="120" w:line="240" w:lineRule="auto"/>
        <w:ind w:left="0"/>
        <w:contextualSpacing w:val="0"/>
        <w:jc w:val="both"/>
        <w:rPr>
          <w:rFonts w:ascii="Verdana" w:hAnsi="Verdana"/>
          <w:b/>
          <w:sz w:val="20"/>
          <w:szCs w:val="20"/>
          <w:lang w:val="es-ES_tradnl"/>
        </w:rPr>
      </w:pPr>
      <w:r>
        <w:rPr>
          <w:rFonts w:ascii="Verdana" w:hAnsi="Verdana"/>
          <w:b/>
          <w:sz w:val="20"/>
          <w:szCs w:val="20"/>
          <w:lang w:val="es-ES_tradnl"/>
        </w:rPr>
        <w:t>LA CO</w:t>
      </w:r>
      <w:r w:rsidR="00D93681" w:rsidRPr="003901C9">
        <w:rPr>
          <w:rFonts w:ascii="Verdana" w:hAnsi="Verdana"/>
          <w:b/>
          <w:sz w:val="20"/>
          <w:szCs w:val="20"/>
          <w:lang w:val="es-ES_tradnl"/>
        </w:rPr>
        <w:t>RTE INTERAMERICANA DE DERECHOS HUMANOS</w:t>
      </w:r>
    </w:p>
    <w:p w14:paraId="10538B22" w14:textId="77777777" w:rsidR="00D93681" w:rsidRPr="003901C9" w:rsidRDefault="00D93681" w:rsidP="006634DD">
      <w:pPr>
        <w:pStyle w:val="Prrafodelista"/>
        <w:spacing w:before="120" w:after="120" w:line="240" w:lineRule="auto"/>
        <w:ind w:left="0"/>
        <w:contextualSpacing w:val="0"/>
        <w:jc w:val="both"/>
        <w:rPr>
          <w:rFonts w:ascii="Verdana" w:hAnsi="Verdana"/>
          <w:sz w:val="20"/>
          <w:szCs w:val="20"/>
        </w:rPr>
      </w:pPr>
      <w:r w:rsidRPr="003901C9">
        <w:rPr>
          <w:rFonts w:ascii="Verdana" w:hAnsi="Verdana"/>
          <w:sz w:val="20"/>
          <w:szCs w:val="20"/>
          <w:lang w:val="es-ES_tradnl"/>
        </w:rPr>
        <w:t xml:space="preserve">En el ejercicio de sus atribuciones de supervisión del cumplimiento de sus decisiones, de conformidad con los artículos 33, </w:t>
      </w:r>
      <w:r w:rsidRPr="003901C9">
        <w:rPr>
          <w:rFonts w:ascii="Verdana" w:hAnsi="Verdana"/>
          <w:sz w:val="20"/>
          <w:szCs w:val="20"/>
        </w:rPr>
        <w:t>62.1, 62.3, 65, 67 y 68.1 de la Convención Americana sobre Derechos Humanos, 24, 25 y 30 del Estatuto, y 31.2 y 69 de su Reglamento,</w:t>
      </w:r>
    </w:p>
    <w:p w14:paraId="1B0C109A" w14:textId="77777777" w:rsidR="00375CCC" w:rsidRDefault="00375CCC" w:rsidP="006634DD">
      <w:pPr>
        <w:pStyle w:val="Prrafodelista"/>
        <w:spacing w:before="120" w:after="120" w:line="240" w:lineRule="auto"/>
        <w:ind w:left="0"/>
        <w:contextualSpacing w:val="0"/>
        <w:jc w:val="both"/>
        <w:rPr>
          <w:rFonts w:ascii="Verdana" w:hAnsi="Verdana"/>
          <w:b/>
          <w:sz w:val="20"/>
          <w:szCs w:val="20"/>
        </w:rPr>
      </w:pPr>
    </w:p>
    <w:p w14:paraId="700D5923" w14:textId="77777777" w:rsidR="00D93681" w:rsidRPr="003901C9" w:rsidRDefault="00D93681" w:rsidP="006634DD">
      <w:pPr>
        <w:pStyle w:val="Prrafodelista"/>
        <w:spacing w:before="120" w:after="120" w:line="240" w:lineRule="auto"/>
        <w:ind w:left="0"/>
        <w:contextualSpacing w:val="0"/>
        <w:jc w:val="both"/>
        <w:rPr>
          <w:rFonts w:ascii="Verdana" w:hAnsi="Verdana"/>
          <w:b/>
          <w:sz w:val="20"/>
          <w:szCs w:val="20"/>
        </w:rPr>
      </w:pPr>
      <w:r w:rsidRPr="003901C9">
        <w:rPr>
          <w:rFonts w:ascii="Verdana" w:hAnsi="Verdana"/>
          <w:b/>
          <w:sz w:val="20"/>
          <w:szCs w:val="20"/>
        </w:rPr>
        <w:t>RESUELVE:</w:t>
      </w:r>
    </w:p>
    <w:p w14:paraId="4B217FFC" w14:textId="2AF8303C" w:rsidR="00D93681" w:rsidRDefault="00D93681" w:rsidP="006634DD">
      <w:pPr>
        <w:pStyle w:val="Prrafodelista"/>
        <w:numPr>
          <w:ilvl w:val="0"/>
          <w:numId w:val="16"/>
        </w:numPr>
        <w:spacing w:before="120" w:after="120" w:line="240" w:lineRule="auto"/>
        <w:ind w:left="0" w:firstLine="0"/>
        <w:jc w:val="both"/>
        <w:rPr>
          <w:rFonts w:ascii="Verdana" w:hAnsi="Verdana"/>
          <w:sz w:val="20"/>
          <w:szCs w:val="20"/>
          <w:lang w:val="es-ES_tradnl"/>
        </w:rPr>
      </w:pPr>
      <w:r w:rsidRPr="00952B8F">
        <w:rPr>
          <w:rFonts w:ascii="Verdana" w:hAnsi="Verdana"/>
          <w:sz w:val="20"/>
          <w:szCs w:val="20"/>
          <w:lang w:val="es-ES_tradnl"/>
        </w:rPr>
        <w:t>Declarar</w:t>
      </w:r>
      <w:r w:rsidR="004D5508" w:rsidRPr="00952B8F">
        <w:rPr>
          <w:rFonts w:ascii="Verdana" w:hAnsi="Verdana"/>
          <w:sz w:val="20"/>
          <w:szCs w:val="20"/>
          <w:lang w:val="es-ES_tradnl"/>
        </w:rPr>
        <w:t>,</w:t>
      </w:r>
      <w:r w:rsidRPr="00952B8F">
        <w:rPr>
          <w:rFonts w:ascii="Verdana" w:hAnsi="Verdana"/>
          <w:sz w:val="20"/>
          <w:szCs w:val="20"/>
          <w:lang w:val="es-ES_tradnl"/>
        </w:rPr>
        <w:t xml:space="preserve"> de conformidad con lo señalado en </w:t>
      </w:r>
      <w:r w:rsidR="006947F9" w:rsidRPr="00952B8F">
        <w:rPr>
          <w:rFonts w:ascii="Verdana" w:hAnsi="Verdana"/>
          <w:sz w:val="20"/>
          <w:szCs w:val="20"/>
          <w:lang w:val="es-ES_tradnl"/>
        </w:rPr>
        <w:t xml:space="preserve">los Considerandos </w:t>
      </w:r>
      <w:r w:rsidR="00375CCC">
        <w:rPr>
          <w:rFonts w:ascii="Verdana" w:hAnsi="Verdana"/>
          <w:sz w:val="20"/>
          <w:szCs w:val="20"/>
          <w:lang w:val="es-ES_tradnl"/>
        </w:rPr>
        <w:t>6, 16, 27, 33 y 36</w:t>
      </w:r>
      <w:r w:rsidR="00375CCC" w:rsidRPr="00952B8F">
        <w:rPr>
          <w:rFonts w:ascii="Verdana" w:hAnsi="Verdana"/>
          <w:sz w:val="20"/>
          <w:szCs w:val="20"/>
          <w:lang w:val="es-ES_tradnl"/>
        </w:rPr>
        <w:t xml:space="preserve"> </w:t>
      </w:r>
      <w:r w:rsidRPr="00952B8F">
        <w:rPr>
          <w:rFonts w:ascii="Verdana" w:hAnsi="Verdana"/>
          <w:sz w:val="20"/>
          <w:szCs w:val="20"/>
          <w:lang w:val="es-ES_tradnl"/>
        </w:rPr>
        <w:t xml:space="preserve">de la presente Resolución, que el Estado ha dado cumplimiento total a las siguientes medidas de reparación: </w:t>
      </w:r>
    </w:p>
    <w:p w14:paraId="46939045" w14:textId="77777777" w:rsidR="008C4144" w:rsidRPr="00952B8F" w:rsidRDefault="008C4144" w:rsidP="008C4144">
      <w:pPr>
        <w:pStyle w:val="Prrafodelista"/>
        <w:spacing w:before="120" w:after="120" w:line="240" w:lineRule="auto"/>
        <w:ind w:left="0"/>
        <w:jc w:val="both"/>
        <w:rPr>
          <w:rFonts w:ascii="Verdana" w:hAnsi="Verdana"/>
          <w:sz w:val="20"/>
          <w:szCs w:val="20"/>
          <w:lang w:val="es-ES_tradnl"/>
        </w:rPr>
      </w:pPr>
    </w:p>
    <w:p w14:paraId="5F37D284" w14:textId="2778693D" w:rsidR="00D8720F" w:rsidRDefault="00D8720F" w:rsidP="006634DD">
      <w:pPr>
        <w:pStyle w:val="Prrafodelista"/>
        <w:numPr>
          <w:ilvl w:val="0"/>
          <w:numId w:val="13"/>
        </w:numPr>
        <w:spacing w:before="120" w:after="120" w:line="240" w:lineRule="auto"/>
        <w:contextualSpacing w:val="0"/>
        <w:jc w:val="both"/>
        <w:rPr>
          <w:rFonts w:ascii="Verdana" w:hAnsi="Verdana"/>
          <w:sz w:val="20"/>
          <w:szCs w:val="20"/>
          <w:lang w:val="es-ES_tradnl"/>
        </w:rPr>
      </w:pPr>
      <w:r>
        <w:rPr>
          <w:rFonts w:ascii="Verdana" w:hAnsi="Verdana"/>
          <w:sz w:val="20"/>
          <w:szCs w:val="20"/>
          <w:lang w:val="es-ES_tradnl"/>
        </w:rPr>
        <w:t>“realizar las publicaciones indicadas en la […] Sentencia, en los términos de los párrafos 51 y 52 de la [misma]” (</w:t>
      </w:r>
      <w:r w:rsidRPr="00D8720F">
        <w:rPr>
          <w:rFonts w:ascii="Verdana" w:hAnsi="Verdana"/>
          <w:i/>
          <w:iCs/>
          <w:sz w:val="20"/>
          <w:szCs w:val="20"/>
          <w:lang w:val="es-ES_tradnl"/>
        </w:rPr>
        <w:t>punto resolutivo sexto</w:t>
      </w:r>
      <w:r w:rsidR="00375CCC">
        <w:rPr>
          <w:rFonts w:ascii="Verdana" w:hAnsi="Verdana"/>
          <w:i/>
          <w:iCs/>
          <w:sz w:val="20"/>
          <w:szCs w:val="20"/>
          <w:lang w:val="es-ES_tradnl"/>
        </w:rPr>
        <w:t>,</w:t>
      </w:r>
      <w:r w:rsidRPr="00D8720F">
        <w:rPr>
          <w:rFonts w:ascii="Verdana" w:hAnsi="Verdana"/>
          <w:i/>
          <w:iCs/>
          <w:sz w:val="20"/>
          <w:szCs w:val="20"/>
          <w:lang w:val="es-ES_tradnl"/>
        </w:rPr>
        <w:t xml:space="preserve"> literal a</w:t>
      </w:r>
      <w:r w:rsidRPr="000A5F91">
        <w:rPr>
          <w:rFonts w:ascii="Verdana" w:hAnsi="Verdana"/>
          <w:i/>
          <w:iCs/>
          <w:sz w:val="20"/>
          <w:szCs w:val="20"/>
          <w:lang w:val="es-ES_tradnl"/>
        </w:rPr>
        <w:t>)</w:t>
      </w:r>
      <w:r w:rsidR="000A5F91">
        <w:rPr>
          <w:rFonts w:ascii="Verdana" w:hAnsi="Verdana"/>
          <w:sz w:val="20"/>
          <w:szCs w:val="20"/>
          <w:lang w:val="es-ES_tradnl"/>
        </w:rPr>
        <w:t xml:space="preserve"> </w:t>
      </w:r>
      <w:r w:rsidR="000A5F91" w:rsidRPr="006A1654">
        <w:rPr>
          <w:rFonts w:ascii="Verdana" w:hAnsi="Verdana"/>
          <w:i/>
          <w:sz w:val="20"/>
          <w:szCs w:val="20"/>
          <w:lang w:val="es-ES_tradnl"/>
        </w:rPr>
        <w:t>de la Sentencia</w:t>
      </w:r>
      <w:r w:rsidR="000A5F91">
        <w:rPr>
          <w:rFonts w:ascii="Verdana" w:hAnsi="Verdana"/>
          <w:sz w:val="20"/>
          <w:szCs w:val="20"/>
          <w:lang w:val="es-ES_tradnl"/>
        </w:rPr>
        <w:t>)</w:t>
      </w:r>
      <w:r w:rsidR="0058323D">
        <w:rPr>
          <w:rFonts w:ascii="Verdana" w:hAnsi="Verdana"/>
          <w:sz w:val="20"/>
          <w:szCs w:val="20"/>
          <w:lang w:val="es-ES_tradnl"/>
        </w:rPr>
        <w:t>;</w:t>
      </w:r>
    </w:p>
    <w:p w14:paraId="7B940856" w14:textId="30577ADC" w:rsidR="00D8720F" w:rsidRDefault="00D8720F" w:rsidP="006634DD">
      <w:pPr>
        <w:pStyle w:val="Prrafodelista"/>
        <w:numPr>
          <w:ilvl w:val="0"/>
          <w:numId w:val="13"/>
        </w:numPr>
        <w:spacing w:before="120" w:after="120" w:line="240" w:lineRule="auto"/>
        <w:contextualSpacing w:val="0"/>
        <w:jc w:val="both"/>
        <w:rPr>
          <w:rFonts w:ascii="Verdana" w:hAnsi="Verdana"/>
          <w:sz w:val="20"/>
          <w:szCs w:val="20"/>
          <w:lang w:val="es-ES_tradnl"/>
        </w:rPr>
      </w:pPr>
      <w:r>
        <w:rPr>
          <w:rFonts w:ascii="Verdana" w:hAnsi="Verdana"/>
          <w:sz w:val="20"/>
          <w:szCs w:val="20"/>
          <w:lang w:val="es-ES_tradnl"/>
        </w:rPr>
        <w:lastRenderedPageBreak/>
        <w:t>“propiciar</w:t>
      </w:r>
      <w:r w:rsidR="005318AE">
        <w:rPr>
          <w:rFonts w:ascii="Verdana" w:hAnsi="Verdana"/>
          <w:sz w:val="20"/>
          <w:szCs w:val="20"/>
          <w:lang w:val="es-ES_tradnl"/>
        </w:rPr>
        <w:t xml:space="preserve"> […] </w:t>
      </w:r>
      <w:r>
        <w:rPr>
          <w:rFonts w:ascii="Verdana" w:hAnsi="Verdana"/>
          <w:sz w:val="20"/>
          <w:szCs w:val="20"/>
          <w:lang w:val="es-ES_tradnl"/>
        </w:rPr>
        <w:t>acercamientos con la Defensoría de los Habitantes de la República</w:t>
      </w:r>
      <w:r w:rsidR="005318AE">
        <w:rPr>
          <w:rFonts w:ascii="Verdana" w:hAnsi="Verdana"/>
          <w:sz w:val="20"/>
          <w:szCs w:val="20"/>
          <w:lang w:val="es-ES_tradnl"/>
        </w:rPr>
        <w:t>, con instituciones académicas, así como con organismos internacionales especializados en derechos humanos a efecto de generar procesos de capacitación en derechos humanos, dirigidos a funcionarios de diversos poderes del Estado y la Caja Costarricense del Seguro Social</w:t>
      </w:r>
      <w:r w:rsidR="00942A2D">
        <w:rPr>
          <w:rFonts w:ascii="Verdana" w:hAnsi="Verdana"/>
          <w:sz w:val="20"/>
          <w:szCs w:val="20"/>
          <w:lang w:val="es-ES_tradnl"/>
        </w:rPr>
        <w:t>”</w:t>
      </w:r>
      <w:r w:rsidR="005318AE">
        <w:rPr>
          <w:rFonts w:ascii="Verdana" w:hAnsi="Verdana"/>
          <w:sz w:val="20"/>
          <w:szCs w:val="20"/>
          <w:lang w:val="es-ES_tradnl"/>
        </w:rPr>
        <w:t xml:space="preserve"> (</w:t>
      </w:r>
      <w:r w:rsidR="005318AE" w:rsidRPr="00D8720F">
        <w:rPr>
          <w:rFonts w:ascii="Verdana" w:hAnsi="Verdana"/>
          <w:i/>
          <w:iCs/>
          <w:sz w:val="20"/>
          <w:szCs w:val="20"/>
          <w:lang w:val="es-ES_tradnl"/>
        </w:rPr>
        <w:t>punto resolutivo sexto</w:t>
      </w:r>
      <w:r w:rsidR="00375CCC">
        <w:rPr>
          <w:rFonts w:ascii="Verdana" w:hAnsi="Verdana"/>
          <w:i/>
          <w:iCs/>
          <w:sz w:val="20"/>
          <w:szCs w:val="20"/>
          <w:lang w:val="es-ES_tradnl"/>
        </w:rPr>
        <w:t>,</w:t>
      </w:r>
      <w:r w:rsidR="005318AE" w:rsidRPr="00D8720F">
        <w:rPr>
          <w:rFonts w:ascii="Verdana" w:hAnsi="Verdana"/>
          <w:i/>
          <w:iCs/>
          <w:sz w:val="20"/>
          <w:szCs w:val="20"/>
          <w:lang w:val="es-ES_tradnl"/>
        </w:rPr>
        <w:t xml:space="preserve"> literal </w:t>
      </w:r>
      <w:r w:rsidR="005318AE">
        <w:rPr>
          <w:rFonts w:ascii="Verdana" w:hAnsi="Verdana"/>
          <w:i/>
          <w:iCs/>
          <w:sz w:val="20"/>
          <w:szCs w:val="20"/>
          <w:lang w:val="es-ES_tradnl"/>
        </w:rPr>
        <w:t>c</w:t>
      </w:r>
      <w:r w:rsidR="000A5F91" w:rsidRPr="000A5F91">
        <w:rPr>
          <w:rFonts w:ascii="Verdana" w:hAnsi="Verdana"/>
          <w:i/>
          <w:iCs/>
          <w:sz w:val="20"/>
          <w:szCs w:val="20"/>
          <w:lang w:val="es-ES_tradnl"/>
        </w:rPr>
        <w:t>)</w:t>
      </w:r>
      <w:r w:rsidR="000A5F91">
        <w:rPr>
          <w:rFonts w:ascii="Verdana" w:hAnsi="Verdana"/>
          <w:sz w:val="20"/>
          <w:szCs w:val="20"/>
          <w:lang w:val="es-ES_tradnl"/>
        </w:rPr>
        <w:t xml:space="preserve"> </w:t>
      </w:r>
      <w:r w:rsidR="000A5F91" w:rsidRPr="006A1654">
        <w:rPr>
          <w:rFonts w:ascii="Verdana" w:hAnsi="Verdana"/>
          <w:i/>
          <w:sz w:val="20"/>
          <w:szCs w:val="20"/>
          <w:lang w:val="es-ES_tradnl"/>
        </w:rPr>
        <w:t>de la Sentencia</w:t>
      </w:r>
      <w:r w:rsidR="000A5F91">
        <w:rPr>
          <w:rFonts w:ascii="Verdana" w:hAnsi="Verdana"/>
          <w:sz w:val="20"/>
          <w:szCs w:val="20"/>
          <w:lang w:val="es-ES_tradnl"/>
        </w:rPr>
        <w:t>)</w:t>
      </w:r>
      <w:r w:rsidR="005318AE">
        <w:rPr>
          <w:rFonts w:ascii="Verdana" w:hAnsi="Verdana"/>
          <w:sz w:val="20"/>
          <w:szCs w:val="20"/>
          <w:lang w:val="es-ES_tradnl"/>
        </w:rPr>
        <w:t xml:space="preserve">; </w:t>
      </w:r>
    </w:p>
    <w:p w14:paraId="7910CB24" w14:textId="7071DF72" w:rsidR="005318AE" w:rsidRDefault="000A5F91" w:rsidP="006634DD">
      <w:pPr>
        <w:pStyle w:val="Prrafodelista"/>
        <w:numPr>
          <w:ilvl w:val="0"/>
          <w:numId w:val="13"/>
        </w:numPr>
        <w:spacing w:before="120" w:after="120" w:line="240" w:lineRule="auto"/>
        <w:contextualSpacing w:val="0"/>
        <w:jc w:val="both"/>
        <w:rPr>
          <w:rFonts w:ascii="Verdana" w:hAnsi="Verdana"/>
          <w:sz w:val="20"/>
          <w:szCs w:val="20"/>
          <w:lang w:val="es-ES_tradnl"/>
        </w:rPr>
      </w:pPr>
      <w:r>
        <w:rPr>
          <w:rFonts w:ascii="Verdana" w:hAnsi="Verdana"/>
          <w:sz w:val="20"/>
          <w:szCs w:val="20"/>
          <w:lang w:val="es-ES_tradnl"/>
        </w:rPr>
        <w:t>“fortalecer […] los programas educativos dirigidos a propiciar una formación en derechos humanos” (</w:t>
      </w:r>
      <w:r w:rsidRPr="00D8720F">
        <w:rPr>
          <w:rFonts w:ascii="Verdana" w:hAnsi="Verdana"/>
          <w:i/>
          <w:iCs/>
          <w:sz w:val="20"/>
          <w:szCs w:val="20"/>
          <w:lang w:val="es-ES_tradnl"/>
        </w:rPr>
        <w:t>punto resolutivo sexto</w:t>
      </w:r>
      <w:r w:rsidR="00375CCC">
        <w:rPr>
          <w:rFonts w:ascii="Verdana" w:hAnsi="Verdana"/>
          <w:i/>
          <w:iCs/>
          <w:sz w:val="20"/>
          <w:szCs w:val="20"/>
          <w:lang w:val="es-ES_tradnl"/>
        </w:rPr>
        <w:t>,</w:t>
      </w:r>
      <w:r w:rsidRPr="00D8720F">
        <w:rPr>
          <w:rFonts w:ascii="Verdana" w:hAnsi="Verdana"/>
          <w:i/>
          <w:iCs/>
          <w:sz w:val="20"/>
          <w:szCs w:val="20"/>
          <w:lang w:val="es-ES_tradnl"/>
        </w:rPr>
        <w:t xml:space="preserve"> literal </w:t>
      </w:r>
      <w:r>
        <w:rPr>
          <w:rFonts w:ascii="Verdana" w:hAnsi="Verdana"/>
          <w:i/>
          <w:iCs/>
          <w:sz w:val="20"/>
          <w:szCs w:val="20"/>
          <w:lang w:val="es-ES_tradnl"/>
        </w:rPr>
        <w:t>d</w:t>
      </w:r>
      <w:r w:rsidRPr="000A5F91">
        <w:rPr>
          <w:rFonts w:ascii="Verdana" w:hAnsi="Verdana"/>
          <w:i/>
          <w:iCs/>
          <w:sz w:val="20"/>
          <w:szCs w:val="20"/>
          <w:lang w:val="es-ES_tradnl"/>
        </w:rPr>
        <w:t>)</w:t>
      </w:r>
      <w:r>
        <w:rPr>
          <w:rFonts w:ascii="Verdana" w:hAnsi="Verdana"/>
          <w:sz w:val="20"/>
          <w:szCs w:val="20"/>
          <w:lang w:val="es-ES_tradnl"/>
        </w:rPr>
        <w:t xml:space="preserve"> </w:t>
      </w:r>
      <w:r w:rsidRPr="006A1654">
        <w:rPr>
          <w:rFonts w:ascii="Verdana" w:hAnsi="Verdana"/>
          <w:i/>
          <w:sz w:val="20"/>
          <w:szCs w:val="20"/>
          <w:lang w:val="es-ES_tradnl"/>
        </w:rPr>
        <w:t>de la Sentencia</w:t>
      </w:r>
      <w:r>
        <w:rPr>
          <w:rFonts w:ascii="Verdana" w:hAnsi="Verdana"/>
          <w:sz w:val="20"/>
          <w:szCs w:val="20"/>
          <w:lang w:val="es-ES_tradnl"/>
        </w:rPr>
        <w:t xml:space="preserve">); </w:t>
      </w:r>
    </w:p>
    <w:p w14:paraId="7B351EE8" w14:textId="4C5560E3" w:rsidR="00375CCC" w:rsidRDefault="00375CCC" w:rsidP="006634DD">
      <w:pPr>
        <w:pStyle w:val="Prrafodelista"/>
        <w:numPr>
          <w:ilvl w:val="0"/>
          <w:numId w:val="13"/>
        </w:numPr>
        <w:spacing w:before="120" w:after="120" w:line="240" w:lineRule="auto"/>
        <w:contextualSpacing w:val="0"/>
        <w:jc w:val="both"/>
        <w:rPr>
          <w:rFonts w:ascii="Verdana" w:hAnsi="Verdana"/>
          <w:sz w:val="20"/>
          <w:szCs w:val="20"/>
          <w:lang w:val="es-ES_tradnl"/>
        </w:rPr>
      </w:pPr>
      <w:r>
        <w:rPr>
          <w:rFonts w:ascii="Verdana" w:hAnsi="Verdana"/>
          <w:sz w:val="20"/>
          <w:szCs w:val="20"/>
          <w:lang w:val="es-ES_tradnl"/>
        </w:rPr>
        <w:t>“iniciar […] una discusión amplia y participativa acerca de la maternidad por subrogación como procedimiento para la procreación” (</w:t>
      </w:r>
      <w:r w:rsidRPr="00D8720F">
        <w:rPr>
          <w:rFonts w:ascii="Verdana" w:hAnsi="Verdana"/>
          <w:i/>
          <w:iCs/>
          <w:sz w:val="20"/>
          <w:szCs w:val="20"/>
          <w:lang w:val="es-ES_tradnl"/>
        </w:rPr>
        <w:t>punto resolutivo sexto</w:t>
      </w:r>
      <w:r>
        <w:rPr>
          <w:rFonts w:ascii="Verdana" w:hAnsi="Verdana"/>
          <w:i/>
          <w:iCs/>
          <w:sz w:val="20"/>
          <w:szCs w:val="20"/>
          <w:lang w:val="es-ES_tradnl"/>
        </w:rPr>
        <w:t>,</w:t>
      </w:r>
      <w:r w:rsidRPr="00D8720F">
        <w:rPr>
          <w:rFonts w:ascii="Verdana" w:hAnsi="Verdana"/>
          <w:i/>
          <w:iCs/>
          <w:sz w:val="20"/>
          <w:szCs w:val="20"/>
          <w:lang w:val="es-ES_tradnl"/>
        </w:rPr>
        <w:t xml:space="preserve"> literal </w:t>
      </w:r>
      <w:r>
        <w:rPr>
          <w:rFonts w:ascii="Verdana" w:hAnsi="Verdana"/>
          <w:i/>
          <w:iCs/>
          <w:sz w:val="20"/>
          <w:szCs w:val="20"/>
          <w:lang w:val="es-ES_tradnl"/>
        </w:rPr>
        <w:t>3</w:t>
      </w:r>
      <w:r w:rsidRPr="000A5F91">
        <w:rPr>
          <w:rFonts w:ascii="Verdana" w:hAnsi="Verdana"/>
          <w:i/>
          <w:iCs/>
          <w:sz w:val="20"/>
          <w:szCs w:val="20"/>
          <w:lang w:val="es-ES_tradnl"/>
        </w:rPr>
        <w:t>)</w:t>
      </w:r>
      <w:r>
        <w:rPr>
          <w:rFonts w:ascii="Verdana" w:hAnsi="Verdana"/>
          <w:sz w:val="20"/>
          <w:szCs w:val="20"/>
          <w:lang w:val="es-ES_tradnl"/>
        </w:rPr>
        <w:t xml:space="preserve"> </w:t>
      </w:r>
      <w:r w:rsidRPr="006A1654">
        <w:rPr>
          <w:rFonts w:ascii="Verdana" w:hAnsi="Verdana"/>
          <w:i/>
          <w:sz w:val="20"/>
          <w:szCs w:val="20"/>
          <w:lang w:val="es-ES_tradnl"/>
        </w:rPr>
        <w:t>de la Sentencia</w:t>
      </w:r>
      <w:r>
        <w:rPr>
          <w:rFonts w:ascii="Verdana" w:hAnsi="Verdana"/>
          <w:sz w:val="20"/>
          <w:szCs w:val="20"/>
          <w:lang w:val="es-ES_tradnl"/>
        </w:rPr>
        <w:t>);</w:t>
      </w:r>
    </w:p>
    <w:p w14:paraId="144E26AE" w14:textId="6E901786" w:rsidR="000A5F91" w:rsidRDefault="000A5F91" w:rsidP="006634DD">
      <w:pPr>
        <w:pStyle w:val="Prrafodelista"/>
        <w:numPr>
          <w:ilvl w:val="0"/>
          <w:numId w:val="13"/>
        </w:numPr>
        <w:spacing w:before="120" w:after="120" w:line="240" w:lineRule="auto"/>
        <w:contextualSpacing w:val="0"/>
        <w:jc w:val="both"/>
        <w:rPr>
          <w:rFonts w:ascii="Verdana" w:hAnsi="Verdana"/>
          <w:sz w:val="20"/>
          <w:szCs w:val="20"/>
          <w:lang w:val="es-ES_tradnl"/>
        </w:rPr>
      </w:pPr>
      <w:r>
        <w:rPr>
          <w:rFonts w:ascii="Verdana" w:hAnsi="Verdana"/>
          <w:sz w:val="20"/>
          <w:szCs w:val="20"/>
          <w:lang w:val="es-ES_tradnl"/>
        </w:rPr>
        <w:t>“pagar a cada una de las víctimas las cantidades acordadas por concepto de indemnizaciones del daño material e inmaterial” (</w:t>
      </w:r>
      <w:r w:rsidRPr="00D8720F">
        <w:rPr>
          <w:rFonts w:ascii="Verdana" w:hAnsi="Verdana"/>
          <w:i/>
          <w:iCs/>
          <w:sz w:val="20"/>
          <w:szCs w:val="20"/>
          <w:lang w:val="es-ES_tradnl"/>
        </w:rPr>
        <w:t>punto resolutivo sexto</w:t>
      </w:r>
      <w:r w:rsidR="00375CCC">
        <w:rPr>
          <w:rFonts w:ascii="Verdana" w:hAnsi="Verdana"/>
          <w:i/>
          <w:iCs/>
          <w:sz w:val="20"/>
          <w:szCs w:val="20"/>
          <w:lang w:val="es-ES_tradnl"/>
        </w:rPr>
        <w:t>,</w:t>
      </w:r>
      <w:r w:rsidRPr="00D8720F">
        <w:rPr>
          <w:rFonts w:ascii="Verdana" w:hAnsi="Verdana"/>
          <w:i/>
          <w:iCs/>
          <w:sz w:val="20"/>
          <w:szCs w:val="20"/>
          <w:lang w:val="es-ES_tradnl"/>
        </w:rPr>
        <w:t xml:space="preserve"> literal </w:t>
      </w:r>
      <w:r>
        <w:rPr>
          <w:rFonts w:ascii="Verdana" w:hAnsi="Verdana"/>
          <w:i/>
          <w:iCs/>
          <w:sz w:val="20"/>
          <w:szCs w:val="20"/>
          <w:lang w:val="es-ES_tradnl"/>
        </w:rPr>
        <w:t>f</w:t>
      </w:r>
      <w:r w:rsidRPr="000A5F91">
        <w:rPr>
          <w:rFonts w:ascii="Verdana" w:hAnsi="Verdana"/>
          <w:i/>
          <w:iCs/>
          <w:sz w:val="20"/>
          <w:szCs w:val="20"/>
          <w:lang w:val="es-ES_tradnl"/>
        </w:rPr>
        <w:t>)</w:t>
      </w:r>
      <w:r>
        <w:rPr>
          <w:rFonts w:ascii="Verdana" w:hAnsi="Verdana"/>
          <w:sz w:val="20"/>
          <w:szCs w:val="20"/>
          <w:lang w:val="es-ES_tradnl"/>
        </w:rPr>
        <w:t xml:space="preserve"> </w:t>
      </w:r>
      <w:r w:rsidRPr="006A1654">
        <w:rPr>
          <w:rFonts w:ascii="Verdana" w:hAnsi="Verdana"/>
          <w:i/>
          <w:sz w:val="20"/>
          <w:szCs w:val="20"/>
          <w:lang w:val="es-ES_tradnl"/>
        </w:rPr>
        <w:t>de la Sentencia</w:t>
      </w:r>
      <w:r>
        <w:rPr>
          <w:rFonts w:ascii="Verdana" w:hAnsi="Verdana"/>
          <w:sz w:val="20"/>
          <w:szCs w:val="20"/>
          <w:lang w:val="es-ES_tradnl"/>
        </w:rPr>
        <w:t>), y</w:t>
      </w:r>
    </w:p>
    <w:p w14:paraId="152EABC4" w14:textId="6EEEB434" w:rsidR="000A5F91" w:rsidRDefault="000A5F91" w:rsidP="006634DD">
      <w:pPr>
        <w:pStyle w:val="Prrafodelista"/>
        <w:numPr>
          <w:ilvl w:val="0"/>
          <w:numId w:val="13"/>
        </w:numPr>
        <w:spacing w:before="120" w:after="120" w:line="240" w:lineRule="auto"/>
        <w:contextualSpacing w:val="0"/>
        <w:jc w:val="both"/>
        <w:rPr>
          <w:rFonts w:ascii="Verdana" w:hAnsi="Verdana"/>
          <w:sz w:val="20"/>
          <w:szCs w:val="20"/>
          <w:lang w:val="es-ES_tradnl"/>
        </w:rPr>
      </w:pPr>
      <w:r>
        <w:rPr>
          <w:rFonts w:ascii="Verdana" w:hAnsi="Verdana"/>
          <w:sz w:val="20"/>
          <w:szCs w:val="20"/>
          <w:lang w:val="es-ES_tradnl"/>
        </w:rPr>
        <w:t>“pagar la cantidad acordada por concepto de reintegro de costas y</w:t>
      </w:r>
      <w:r w:rsidR="006A1654">
        <w:rPr>
          <w:rFonts w:ascii="Verdana" w:hAnsi="Verdana"/>
          <w:sz w:val="20"/>
          <w:szCs w:val="20"/>
          <w:lang w:val="es-ES_tradnl"/>
        </w:rPr>
        <w:t xml:space="preserve"> gastos al representante Hubert</w:t>
      </w:r>
      <w:r>
        <w:rPr>
          <w:rFonts w:ascii="Verdana" w:hAnsi="Verdana"/>
          <w:sz w:val="20"/>
          <w:szCs w:val="20"/>
          <w:lang w:val="es-ES_tradnl"/>
        </w:rPr>
        <w:t xml:space="preserve"> May Cantillano” (</w:t>
      </w:r>
      <w:r w:rsidRPr="00D8720F">
        <w:rPr>
          <w:rFonts w:ascii="Verdana" w:hAnsi="Verdana"/>
          <w:i/>
          <w:iCs/>
          <w:sz w:val="20"/>
          <w:szCs w:val="20"/>
          <w:lang w:val="es-ES_tradnl"/>
        </w:rPr>
        <w:t>punto resolutivo sexto</w:t>
      </w:r>
      <w:r w:rsidR="00375CCC">
        <w:rPr>
          <w:rFonts w:ascii="Verdana" w:hAnsi="Verdana"/>
          <w:i/>
          <w:iCs/>
          <w:sz w:val="20"/>
          <w:szCs w:val="20"/>
          <w:lang w:val="es-ES_tradnl"/>
        </w:rPr>
        <w:t>,</w:t>
      </w:r>
      <w:r w:rsidRPr="00D8720F">
        <w:rPr>
          <w:rFonts w:ascii="Verdana" w:hAnsi="Verdana"/>
          <w:i/>
          <w:iCs/>
          <w:sz w:val="20"/>
          <w:szCs w:val="20"/>
          <w:lang w:val="es-ES_tradnl"/>
        </w:rPr>
        <w:t xml:space="preserve"> literal </w:t>
      </w:r>
      <w:r>
        <w:rPr>
          <w:rFonts w:ascii="Verdana" w:hAnsi="Verdana"/>
          <w:i/>
          <w:iCs/>
          <w:sz w:val="20"/>
          <w:szCs w:val="20"/>
          <w:lang w:val="es-ES_tradnl"/>
        </w:rPr>
        <w:t>g</w:t>
      </w:r>
      <w:r w:rsidRPr="000A5F91">
        <w:rPr>
          <w:rFonts w:ascii="Verdana" w:hAnsi="Verdana"/>
          <w:i/>
          <w:iCs/>
          <w:sz w:val="20"/>
          <w:szCs w:val="20"/>
          <w:lang w:val="es-ES_tradnl"/>
        </w:rPr>
        <w:t>)</w:t>
      </w:r>
      <w:r>
        <w:rPr>
          <w:rFonts w:ascii="Verdana" w:hAnsi="Verdana"/>
          <w:sz w:val="20"/>
          <w:szCs w:val="20"/>
          <w:lang w:val="es-ES_tradnl"/>
        </w:rPr>
        <w:t xml:space="preserve"> </w:t>
      </w:r>
      <w:r w:rsidRPr="006A1654">
        <w:rPr>
          <w:rFonts w:ascii="Verdana" w:hAnsi="Verdana"/>
          <w:i/>
          <w:sz w:val="20"/>
          <w:szCs w:val="20"/>
          <w:lang w:val="es-ES_tradnl"/>
        </w:rPr>
        <w:t>de la Sentencia</w:t>
      </w:r>
      <w:r w:rsidRPr="00952B8F">
        <w:rPr>
          <w:rFonts w:ascii="Verdana" w:hAnsi="Verdana"/>
          <w:sz w:val="20"/>
          <w:szCs w:val="20"/>
          <w:lang w:val="es-ES_tradnl"/>
        </w:rPr>
        <w:t>).</w:t>
      </w:r>
    </w:p>
    <w:p w14:paraId="01DFBCCA" w14:textId="77777777" w:rsidR="008C4144" w:rsidRPr="00952B8F" w:rsidRDefault="008C4144" w:rsidP="008C4144">
      <w:pPr>
        <w:pStyle w:val="Prrafodelista"/>
        <w:spacing w:before="120" w:after="120" w:line="240" w:lineRule="auto"/>
        <w:contextualSpacing w:val="0"/>
        <w:jc w:val="both"/>
        <w:rPr>
          <w:rFonts w:ascii="Verdana" w:hAnsi="Verdana"/>
          <w:sz w:val="20"/>
          <w:szCs w:val="20"/>
          <w:lang w:val="es-ES_tradnl"/>
        </w:rPr>
      </w:pPr>
    </w:p>
    <w:p w14:paraId="3A804DC7" w14:textId="7B36AC4E" w:rsidR="00952B8F" w:rsidRDefault="00375CCC" w:rsidP="006634DD">
      <w:pPr>
        <w:pStyle w:val="Prrafodelista"/>
        <w:numPr>
          <w:ilvl w:val="0"/>
          <w:numId w:val="16"/>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 xml:space="preserve">Dar por concluido el caso </w:t>
      </w:r>
      <w:r w:rsidRPr="00E5780A">
        <w:rPr>
          <w:rFonts w:ascii="Verdana" w:hAnsi="Verdana"/>
          <w:i/>
          <w:sz w:val="20"/>
          <w:szCs w:val="20"/>
          <w:lang w:val="es-ES_tradnl"/>
        </w:rPr>
        <w:t>Gómez Murillo y otros</w:t>
      </w:r>
      <w:r>
        <w:rPr>
          <w:rFonts w:ascii="Verdana" w:hAnsi="Verdana"/>
          <w:sz w:val="20"/>
          <w:szCs w:val="20"/>
          <w:lang w:val="es-ES_tradnl"/>
        </w:rPr>
        <w:t xml:space="preserve"> dado que la República de Costa Rica ha dado cumplimiento a lo dispuesto en la Sentencia emitida por la Corte el 29 de noviembre de 2016.</w:t>
      </w:r>
    </w:p>
    <w:p w14:paraId="6734A162" w14:textId="71FFF07D" w:rsidR="00952B8F" w:rsidRDefault="00375CCC" w:rsidP="006634DD">
      <w:pPr>
        <w:pStyle w:val="Prrafodelista"/>
        <w:numPr>
          <w:ilvl w:val="0"/>
          <w:numId w:val="16"/>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Comunicar esta Resolución a la Asamblea General de la Organización de Estados Americanos por conducto del Informe Anual de la Corte Interamericana de Derechos Humanos</w:t>
      </w:r>
      <w:r w:rsidR="00A473E2">
        <w:rPr>
          <w:rFonts w:ascii="Verdana" w:hAnsi="Verdana"/>
          <w:sz w:val="20"/>
          <w:szCs w:val="20"/>
          <w:lang w:val="es-ES_tradnl"/>
        </w:rPr>
        <w:t xml:space="preserve"> del año 2019</w:t>
      </w:r>
      <w:r>
        <w:rPr>
          <w:rFonts w:ascii="Verdana" w:hAnsi="Verdana"/>
          <w:sz w:val="20"/>
          <w:szCs w:val="20"/>
          <w:lang w:val="es-ES_tradnl"/>
        </w:rPr>
        <w:t>.</w:t>
      </w:r>
    </w:p>
    <w:p w14:paraId="6920217D" w14:textId="5360B49F" w:rsidR="00952B8F" w:rsidRPr="00952B8F" w:rsidRDefault="00375CCC" w:rsidP="006634DD">
      <w:pPr>
        <w:pStyle w:val="Prrafodelista"/>
        <w:numPr>
          <w:ilvl w:val="0"/>
          <w:numId w:val="16"/>
        </w:numPr>
        <w:spacing w:before="120" w:after="120" w:line="240" w:lineRule="auto"/>
        <w:ind w:left="0" w:firstLine="0"/>
        <w:contextualSpacing w:val="0"/>
        <w:jc w:val="both"/>
        <w:rPr>
          <w:rFonts w:ascii="Verdana" w:hAnsi="Verdana"/>
          <w:sz w:val="20"/>
          <w:szCs w:val="20"/>
          <w:lang w:val="es-ES_tradnl"/>
        </w:rPr>
      </w:pPr>
      <w:r>
        <w:rPr>
          <w:rFonts w:ascii="Verdana" w:hAnsi="Verdana"/>
          <w:sz w:val="20"/>
          <w:szCs w:val="20"/>
          <w:lang w:val="es-ES_tradnl"/>
        </w:rPr>
        <w:t xml:space="preserve">Archivar el expediente del </w:t>
      </w:r>
      <w:r w:rsidRPr="008C4144">
        <w:rPr>
          <w:rFonts w:ascii="Verdana" w:hAnsi="Verdana"/>
          <w:i/>
          <w:sz w:val="20"/>
          <w:szCs w:val="20"/>
          <w:lang w:val="es-ES_tradnl"/>
        </w:rPr>
        <w:t>Caso Gómez Murillo y otros Vs. Costa Rica</w:t>
      </w:r>
      <w:r>
        <w:rPr>
          <w:rFonts w:ascii="Verdana" w:hAnsi="Verdana"/>
          <w:i/>
          <w:sz w:val="20"/>
          <w:szCs w:val="20"/>
          <w:lang w:val="es-ES_tradnl"/>
        </w:rPr>
        <w:t>.</w:t>
      </w:r>
    </w:p>
    <w:p w14:paraId="09555B21" w14:textId="3F09C71C" w:rsidR="00AD27D7" w:rsidRDefault="00351088" w:rsidP="006634DD">
      <w:pPr>
        <w:spacing w:before="240" w:line="240" w:lineRule="auto"/>
        <w:jc w:val="both"/>
        <w:rPr>
          <w:rFonts w:ascii="Verdana" w:hAnsi="Verdana"/>
          <w:sz w:val="20"/>
          <w:szCs w:val="20"/>
          <w:lang w:val="es-ES_tradnl"/>
        </w:rPr>
      </w:pPr>
      <w:r>
        <w:rPr>
          <w:rFonts w:ascii="Verdana" w:hAnsi="Verdana"/>
          <w:sz w:val="20"/>
          <w:szCs w:val="20"/>
          <w:lang w:val="es-ES_tradnl"/>
        </w:rPr>
        <w:t>6.</w:t>
      </w:r>
      <w:r>
        <w:rPr>
          <w:rFonts w:ascii="Verdana" w:hAnsi="Verdana"/>
          <w:sz w:val="20"/>
          <w:szCs w:val="20"/>
          <w:lang w:val="es-ES_tradnl"/>
        </w:rPr>
        <w:tab/>
      </w:r>
      <w:r w:rsidRPr="00351088">
        <w:rPr>
          <w:rFonts w:ascii="Verdana" w:hAnsi="Verdana"/>
          <w:sz w:val="20"/>
          <w:szCs w:val="20"/>
          <w:lang w:val="es-ES_tradnl"/>
        </w:rPr>
        <w:t>Disponer que la Secretaría de la Corte notifique la prese</w:t>
      </w:r>
      <w:r>
        <w:rPr>
          <w:rFonts w:ascii="Verdana" w:hAnsi="Verdana"/>
          <w:sz w:val="20"/>
          <w:szCs w:val="20"/>
          <w:lang w:val="es-ES_tradnl"/>
        </w:rPr>
        <w:t>nte Resolución al Estado, a</w:t>
      </w:r>
      <w:r w:rsidR="00952B8F">
        <w:rPr>
          <w:rFonts w:ascii="Verdana" w:hAnsi="Verdana"/>
          <w:sz w:val="20"/>
          <w:szCs w:val="20"/>
          <w:lang w:val="es-ES_tradnl"/>
        </w:rPr>
        <w:t>l</w:t>
      </w:r>
      <w:r>
        <w:rPr>
          <w:rFonts w:ascii="Verdana" w:hAnsi="Verdana"/>
          <w:sz w:val="20"/>
          <w:szCs w:val="20"/>
          <w:lang w:val="es-ES_tradnl"/>
        </w:rPr>
        <w:t xml:space="preserve"> </w:t>
      </w:r>
      <w:r w:rsidRPr="00351088">
        <w:rPr>
          <w:rFonts w:ascii="Verdana" w:hAnsi="Verdana"/>
          <w:sz w:val="20"/>
          <w:szCs w:val="20"/>
          <w:lang w:val="es-ES_tradnl"/>
        </w:rPr>
        <w:t>representante de la</w:t>
      </w:r>
      <w:r w:rsidR="00952B8F">
        <w:rPr>
          <w:rFonts w:ascii="Verdana" w:hAnsi="Verdana"/>
          <w:sz w:val="20"/>
          <w:szCs w:val="20"/>
          <w:lang w:val="es-ES_tradnl"/>
        </w:rPr>
        <w:t>s</w:t>
      </w:r>
      <w:r w:rsidRPr="00351088">
        <w:rPr>
          <w:rFonts w:ascii="Verdana" w:hAnsi="Verdana"/>
          <w:sz w:val="20"/>
          <w:szCs w:val="20"/>
          <w:lang w:val="es-ES_tradnl"/>
        </w:rPr>
        <w:t xml:space="preserve"> víctima</w:t>
      </w:r>
      <w:r w:rsidR="00952B8F">
        <w:rPr>
          <w:rFonts w:ascii="Verdana" w:hAnsi="Verdana"/>
          <w:sz w:val="20"/>
          <w:szCs w:val="20"/>
          <w:lang w:val="es-ES_tradnl"/>
        </w:rPr>
        <w:t>s</w:t>
      </w:r>
      <w:r w:rsidRPr="00351088">
        <w:rPr>
          <w:rFonts w:ascii="Verdana" w:hAnsi="Verdana"/>
          <w:sz w:val="20"/>
          <w:szCs w:val="20"/>
          <w:lang w:val="es-ES_tradnl"/>
        </w:rPr>
        <w:t xml:space="preserve"> y a la Comisión Interamericana de Derechos Humanos.</w:t>
      </w:r>
    </w:p>
    <w:p w14:paraId="752841CE" w14:textId="77777777" w:rsidR="00AD27D7" w:rsidRDefault="00AD27D7">
      <w:pPr>
        <w:rPr>
          <w:rFonts w:ascii="Verdana" w:hAnsi="Verdana"/>
          <w:sz w:val="20"/>
          <w:szCs w:val="20"/>
          <w:lang w:val="es-ES_tradnl"/>
        </w:rPr>
      </w:pPr>
      <w:r>
        <w:rPr>
          <w:rFonts w:ascii="Verdana" w:hAnsi="Verdana"/>
          <w:sz w:val="20"/>
          <w:szCs w:val="20"/>
          <w:lang w:val="es-ES_tradnl"/>
        </w:rPr>
        <w:br w:type="page"/>
      </w:r>
    </w:p>
    <w:p w14:paraId="676274E3" w14:textId="77777777" w:rsidR="00851845" w:rsidRPr="00847B73" w:rsidRDefault="00851845" w:rsidP="00851845">
      <w:pPr>
        <w:keepNext/>
        <w:spacing w:after="0" w:line="240" w:lineRule="auto"/>
        <w:jc w:val="both"/>
        <w:outlineLvl w:val="0"/>
        <w:rPr>
          <w:rFonts w:ascii="Verdana" w:hAnsi="Verdana" w:cs="Verdana"/>
          <w:b/>
          <w:bCs/>
          <w:sz w:val="20"/>
          <w:lang w:val="es-ES"/>
        </w:rPr>
      </w:pPr>
      <w:r w:rsidRPr="00847B73">
        <w:rPr>
          <w:rFonts w:ascii="Verdana" w:hAnsi="Verdana" w:cs="Courier New"/>
          <w:noProof/>
          <w:sz w:val="20"/>
          <w:lang w:val="es-AR"/>
        </w:rPr>
        <w:lastRenderedPageBreak/>
        <w:t xml:space="preserve">Corte IDH. </w:t>
      </w:r>
      <w:r w:rsidRPr="00847B73">
        <w:rPr>
          <w:rFonts w:ascii="Verdana" w:hAnsi="Verdana"/>
          <w:bCs/>
          <w:i/>
          <w:sz w:val="20"/>
        </w:rPr>
        <w:t xml:space="preserve">Caso </w:t>
      </w:r>
      <w:r>
        <w:rPr>
          <w:rFonts w:ascii="Verdana" w:hAnsi="Verdana"/>
          <w:bCs/>
          <w:i/>
          <w:sz w:val="20"/>
        </w:rPr>
        <w:t>Gómez Murillo y otros Vs. Costa Rica.</w:t>
      </w:r>
      <w:r w:rsidRPr="00847B73">
        <w:rPr>
          <w:rFonts w:ascii="Verdana" w:hAnsi="Verdana"/>
          <w:bCs/>
          <w:i/>
          <w:sz w:val="20"/>
        </w:rPr>
        <w:t xml:space="preserve"> </w:t>
      </w:r>
      <w:r>
        <w:rPr>
          <w:rFonts w:ascii="Verdana" w:hAnsi="Verdana" w:cs="Arial"/>
          <w:sz w:val="20"/>
        </w:rPr>
        <w:t>Supervisión de Cumplimiento de Sentencia.</w:t>
      </w:r>
      <w:r>
        <w:rPr>
          <w:rFonts w:ascii="Verdana" w:hAnsi="Verdana" w:cs="Arial"/>
          <w:i/>
          <w:sz w:val="20"/>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rPr>
        <w:t xml:space="preserve"> de </w:t>
      </w:r>
      <w:r>
        <w:rPr>
          <w:rFonts w:ascii="Verdana" w:hAnsi="Verdana"/>
          <w:sz w:val="20"/>
        </w:rPr>
        <w:t xml:space="preserve">noviembre </w:t>
      </w:r>
      <w:r w:rsidRPr="00847B73">
        <w:rPr>
          <w:rFonts w:ascii="Verdana" w:hAnsi="Verdana"/>
          <w:sz w:val="20"/>
        </w:rPr>
        <w:t>de 2019</w:t>
      </w:r>
      <w:r w:rsidRPr="00847B73">
        <w:rPr>
          <w:rFonts w:ascii="Verdana" w:hAnsi="Verdana"/>
          <w:sz w:val="20"/>
          <w:lang w:val="es-ES"/>
        </w:rPr>
        <w:t xml:space="preserve">. </w:t>
      </w:r>
    </w:p>
    <w:p w14:paraId="472B145D" w14:textId="77777777" w:rsidR="00851845" w:rsidRPr="00847B73" w:rsidRDefault="00851845" w:rsidP="00851845">
      <w:pPr>
        <w:spacing w:after="0" w:line="240" w:lineRule="auto"/>
        <w:jc w:val="center"/>
        <w:rPr>
          <w:rFonts w:ascii="Verdana" w:hAnsi="Verdana"/>
          <w:sz w:val="20"/>
          <w:lang w:val="es-ES"/>
        </w:rPr>
      </w:pPr>
    </w:p>
    <w:p w14:paraId="0689524F" w14:textId="77777777" w:rsidR="00851845" w:rsidRDefault="00851845" w:rsidP="00851845">
      <w:pPr>
        <w:spacing w:after="0" w:line="240" w:lineRule="auto"/>
        <w:rPr>
          <w:rFonts w:ascii="Verdana" w:hAnsi="Verdana"/>
          <w:sz w:val="20"/>
          <w:lang w:val="es-ES"/>
        </w:rPr>
      </w:pPr>
    </w:p>
    <w:p w14:paraId="47137CD4" w14:textId="77777777" w:rsidR="00851845" w:rsidRDefault="00851845" w:rsidP="00851845">
      <w:pPr>
        <w:spacing w:after="0" w:line="240" w:lineRule="auto"/>
        <w:rPr>
          <w:rFonts w:ascii="Verdana" w:hAnsi="Verdana"/>
          <w:sz w:val="20"/>
          <w:lang w:val="es-ES"/>
        </w:rPr>
      </w:pPr>
    </w:p>
    <w:p w14:paraId="51A8A396" w14:textId="77777777" w:rsidR="00851845" w:rsidRPr="00847B73" w:rsidRDefault="00851845" w:rsidP="00851845">
      <w:pPr>
        <w:spacing w:after="0" w:line="240" w:lineRule="auto"/>
        <w:rPr>
          <w:rFonts w:ascii="Verdana" w:hAnsi="Verdana"/>
          <w:sz w:val="20"/>
          <w:lang w:val="es-ES"/>
        </w:rPr>
      </w:pPr>
    </w:p>
    <w:p w14:paraId="5D275BAB" w14:textId="77777777" w:rsidR="00851845" w:rsidRPr="00D31312" w:rsidRDefault="00851845" w:rsidP="00851845">
      <w:pPr>
        <w:spacing w:after="0" w:line="240" w:lineRule="auto"/>
        <w:jc w:val="center"/>
        <w:rPr>
          <w:rFonts w:ascii="Verdana" w:hAnsi="Verdana"/>
          <w:sz w:val="20"/>
          <w:lang w:val="es-CO"/>
        </w:rPr>
      </w:pPr>
    </w:p>
    <w:p w14:paraId="49F48716" w14:textId="77777777" w:rsidR="00851845" w:rsidRPr="00847B73" w:rsidRDefault="00851845" w:rsidP="00851845">
      <w:pPr>
        <w:spacing w:after="0" w:line="240" w:lineRule="auto"/>
        <w:jc w:val="center"/>
        <w:rPr>
          <w:rFonts w:ascii="Verdana" w:hAnsi="Verdana"/>
          <w:sz w:val="20"/>
          <w:lang w:val="es-ES"/>
        </w:rPr>
      </w:pPr>
      <w:r w:rsidRPr="00847B73">
        <w:rPr>
          <w:rFonts w:ascii="Verdana" w:hAnsi="Verdana"/>
          <w:sz w:val="20"/>
          <w:lang w:val="pt-BR"/>
        </w:rPr>
        <w:t>Eduardo Vio Grossi</w:t>
      </w:r>
    </w:p>
    <w:p w14:paraId="44EF3A46" w14:textId="77777777" w:rsidR="00851845" w:rsidRDefault="00851845" w:rsidP="00851845">
      <w:pPr>
        <w:spacing w:after="0" w:line="240" w:lineRule="auto"/>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4D9891C6" w14:textId="77777777" w:rsidR="00851845" w:rsidRDefault="00851845" w:rsidP="00851845">
      <w:pPr>
        <w:spacing w:after="0" w:line="240" w:lineRule="auto"/>
        <w:jc w:val="center"/>
        <w:rPr>
          <w:rFonts w:ascii="Verdana" w:hAnsi="Verdana"/>
          <w:sz w:val="20"/>
          <w:lang w:val="pt-BR"/>
        </w:rPr>
      </w:pPr>
    </w:p>
    <w:p w14:paraId="711D426D" w14:textId="77777777" w:rsidR="00851845" w:rsidRDefault="00851845" w:rsidP="00851845">
      <w:pPr>
        <w:spacing w:after="0" w:line="240" w:lineRule="auto"/>
        <w:jc w:val="center"/>
        <w:rPr>
          <w:rFonts w:ascii="Verdana" w:hAnsi="Verdana"/>
          <w:sz w:val="20"/>
          <w:lang w:val="pt-BR"/>
        </w:rPr>
      </w:pPr>
    </w:p>
    <w:p w14:paraId="0A8A4636" w14:textId="77777777" w:rsidR="00851845" w:rsidRDefault="00851845" w:rsidP="00851845">
      <w:pPr>
        <w:spacing w:after="0" w:line="240" w:lineRule="auto"/>
        <w:jc w:val="center"/>
        <w:rPr>
          <w:rFonts w:ascii="Verdana" w:hAnsi="Verdana"/>
          <w:sz w:val="20"/>
          <w:lang w:val="pt-BR"/>
        </w:rPr>
      </w:pPr>
    </w:p>
    <w:p w14:paraId="75B44DC5" w14:textId="77777777" w:rsidR="00851845" w:rsidRDefault="00851845" w:rsidP="00851845">
      <w:pPr>
        <w:spacing w:after="0" w:line="240" w:lineRule="auto"/>
        <w:jc w:val="center"/>
        <w:rPr>
          <w:rFonts w:ascii="Verdana" w:hAnsi="Verdana"/>
          <w:sz w:val="20"/>
          <w:lang w:val="pt-BR"/>
        </w:rPr>
      </w:pPr>
    </w:p>
    <w:p w14:paraId="21187BB3" w14:textId="77777777" w:rsidR="00851845" w:rsidRPr="00847B73" w:rsidRDefault="00851845" w:rsidP="00851845">
      <w:pPr>
        <w:spacing w:after="0" w:line="240" w:lineRule="auto"/>
        <w:jc w:val="center"/>
        <w:rPr>
          <w:rFonts w:ascii="Verdana" w:hAnsi="Verdana"/>
          <w:sz w:val="20"/>
          <w:lang w:val="pt-BR"/>
        </w:rPr>
      </w:pPr>
    </w:p>
    <w:p w14:paraId="289B5CC2" w14:textId="77777777" w:rsidR="00851845" w:rsidRPr="00847B73" w:rsidRDefault="00851845" w:rsidP="00851845">
      <w:pPr>
        <w:spacing w:after="0" w:line="240" w:lineRule="auto"/>
        <w:jc w:val="center"/>
        <w:rPr>
          <w:rFonts w:ascii="Verdana" w:hAnsi="Verdana"/>
          <w:sz w:val="20"/>
          <w:lang w:val="pt-BR"/>
        </w:rPr>
      </w:pPr>
    </w:p>
    <w:p w14:paraId="5170A698" w14:textId="77777777" w:rsidR="00851845" w:rsidRDefault="00851845" w:rsidP="00851845">
      <w:pPr>
        <w:spacing w:after="0" w:line="240" w:lineRule="auto"/>
        <w:rPr>
          <w:rFonts w:ascii="Verdana" w:hAnsi="Verdana"/>
          <w:sz w:val="20"/>
          <w:lang w:val="pt-BR"/>
        </w:rPr>
      </w:pPr>
      <w:r w:rsidRPr="00847B73">
        <w:rPr>
          <w:rFonts w:ascii="Verdana" w:hAnsi="Verdana"/>
          <w:sz w:val="20"/>
          <w:lang w:val="pt-BR"/>
        </w:rPr>
        <w:t>H</w:t>
      </w:r>
      <w:r>
        <w:rPr>
          <w:rFonts w:ascii="Verdana" w:hAnsi="Verdana"/>
          <w:sz w:val="20"/>
          <w:lang w:val="pt-BR"/>
        </w:rPr>
        <w:t>umberto Antonio Sierra Porto</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r w:rsidRPr="00EA41A8">
        <w:rPr>
          <w:rFonts w:ascii="Verdana" w:hAnsi="Verdana"/>
          <w:sz w:val="20"/>
          <w:lang w:val="pt-BR"/>
        </w:rPr>
        <w:t xml:space="preserve"> </w:t>
      </w:r>
      <w:r w:rsidRPr="00847B73">
        <w:rPr>
          <w:rFonts w:ascii="Verdana" w:hAnsi="Verdana"/>
          <w:sz w:val="20"/>
          <w:lang w:val="pt-BR"/>
        </w:rPr>
        <w:t>Eugenio Raúl Zaffaroni</w:t>
      </w:r>
    </w:p>
    <w:p w14:paraId="69B3FBA5" w14:textId="77777777" w:rsidR="00851845" w:rsidRDefault="00851845" w:rsidP="00851845">
      <w:pPr>
        <w:spacing w:after="0" w:line="240" w:lineRule="auto"/>
        <w:rPr>
          <w:rFonts w:ascii="Verdana" w:hAnsi="Verdana"/>
          <w:sz w:val="20"/>
          <w:lang w:val="pt-BR"/>
        </w:rPr>
      </w:pPr>
    </w:p>
    <w:p w14:paraId="38C9CE65" w14:textId="77777777" w:rsidR="00851845" w:rsidRDefault="00851845" w:rsidP="00851845">
      <w:pPr>
        <w:spacing w:after="0" w:line="240" w:lineRule="auto"/>
        <w:rPr>
          <w:rFonts w:ascii="Verdana" w:hAnsi="Verdana"/>
          <w:sz w:val="20"/>
          <w:lang w:val="pt-BR"/>
        </w:rPr>
      </w:pPr>
    </w:p>
    <w:p w14:paraId="30FFD049" w14:textId="77777777" w:rsidR="00851845" w:rsidRDefault="00851845" w:rsidP="00851845">
      <w:pPr>
        <w:spacing w:after="0" w:line="240" w:lineRule="auto"/>
        <w:rPr>
          <w:rFonts w:ascii="Verdana" w:hAnsi="Verdana"/>
          <w:sz w:val="20"/>
          <w:lang w:val="pt-BR"/>
        </w:rPr>
      </w:pPr>
    </w:p>
    <w:p w14:paraId="60E640F5" w14:textId="77777777" w:rsidR="00851845" w:rsidRDefault="00851845" w:rsidP="00851845">
      <w:pPr>
        <w:spacing w:after="0" w:line="240" w:lineRule="auto"/>
        <w:rPr>
          <w:rFonts w:ascii="Verdana" w:hAnsi="Verdana"/>
          <w:sz w:val="20"/>
          <w:lang w:val="pt-BR"/>
        </w:rPr>
      </w:pPr>
    </w:p>
    <w:p w14:paraId="7C56D8EF" w14:textId="77777777" w:rsidR="00851845" w:rsidRPr="00847B73" w:rsidRDefault="00851845" w:rsidP="00851845">
      <w:pPr>
        <w:spacing w:after="0" w:line="240" w:lineRule="auto"/>
        <w:rPr>
          <w:rFonts w:ascii="Verdana" w:hAnsi="Verdana"/>
          <w:sz w:val="20"/>
          <w:lang w:val="pt-BR"/>
        </w:rPr>
      </w:pPr>
    </w:p>
    <w:p w14:paraId="2ACD322D" w14:textId="77777777" w:rsidR="00851845" w:rsidRPr="00847B73" w:rsidRDefault="00851845" w:rsidP="00851845">
      <w:pPr>
        <w:spacing w:after="0" w:line="240" w:lineRule="auto"/>
        <w:rPr>
          <w:rFonts w:ascii="Verdana" w:hAnsi="Verdana"/>
          <w:sz w:val="20"/>
        </w:rPr>
      </w:pPr>
      <w:r w:rsidRPr="00847B73">
        <w:rPr>
          <w:rFonts w:ascii="Verdana" w:hAnsi="Verdana"/>
          <w:sz w:val="20"/>
          <w:lang w:val="pt-BR"/>
        </w:rPr>
        <w:t>L. Patricio Pazmiño Freire</w:t>
      </w:r>
      <w:r w:rsidRPr="00EA41A8">
        <w:rPr>
          <w:rFonts w:ascii="Verdana" w:hAnsi="Verdana"/>
          <w:sz w:val="20"/>
        </w:rPr>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sidRPr="00847B73">
        <w:rPr>
          <w:rFonts w:ascii="Verdana" w:hAnsi="Verdana"/>
          <w:sz w:val="20"/>
        </w:rPr>
        <w:t>Ricardo C. Pérez Manrique</w:t>
      </w:r>
    </w:p>
    <w:p w14:paraId="1D0AAAD0" w14:textId="77777777" w:rsidR="00851845" w:rsidRPr="00847B73" w:rsidRDefault="00851845" w:rsidP="00851845">
      <w:pPr>
        <w:spacing w:after="0" w:line="240" w:lineRule="auto"/>
        <w:jc w:val="both"/>
        <w:rPr>
          <w:rFonts w:ascii="Verdana" w:hAnsi="Verdana"/>
          <w:sz w:val="20"/>
        </w:rPr>
      </w:pPr>
    </w:p>
    <w:p w14:paraId="3D47A576" w14:textId="77777777" w:rsidR="00851845" w:rsidRDefault="00851845" w:rsidP="00851845">
      <w:pPr>
        <w:spacing w:after="0" w:line="240" w:lineRule="auto"/>
        <w:jc w:val="both"/>
        <w:rPr>
          <w:rFonts w:ascii="Verdana" w:hAnsi="Verdana"/>
          <w:sz w:val="20"/>
          <w:lang w:val="pt-BR"/>
        </w:rPr>
      </w:pPr>
    </w:p>
    <w:p w14:paraId="00A366AE" w14:textId="77777777" w:rsidR="00851845" w:rsidRDefault="00851845" w:rsidP="00851845">
      <w:pPr>
        <w:spacing w:after="0" w:line="240" w:lineRule="auto"/>
        <w:rPr>
          <w:rFonts w:ascii="Verdana" w:hAnsi="Verdana"/>
          <w:sz w:val="20"/>
          <w:lang w:val="pt-BR"/>
        </w:rPr>
      </w:pPr>
    </w:p>
    <w:p w14:paraId="434E42B1" w14:textId="77777777" w:rsidR="00851845" w:rsidRPr="00847B73" w:rsidRDefault="00851845" w:rsidP="00851845">
      <w:pPr>
        <w:spacing w:after="0" w:line="240" w:lineRule="auto"/>
        <w:rPr>
          <w:rFonts w:ascii="Verdana" w:hAnsi="Verdana"/>
          <w:sz w:val="20"/>
          <w:lang w:val="pt-BR"/>
        </w:rPr>
      </w:pPr>
    </w:p>
    <w:p w14:paraId="17A6C747" w14:textId="77777777" w:rsidR="00851845" w:rsidRDefault="00851845" w:rsidP="00851845">
      <w:pPr>
        <w:spacing w:after="0" w:line="240" w:lineRule="auto"/>
        <w:jc w:val="center"/>
        <w:rPr>
          <w:rFonts w:ascii="Verdana" w:hAnsi="Verdana"/>
          <w:sz w:val="20"/>
          <w:lang w:val="pt-BR"/>
        </w:rPr>
      </w:pPr>
    </w:p>
    <w:p w14:paraId="7437ACC2" w14:textId="77777777" w:rsidR="00851845" w:rsidRDefault="00851845" w:rsidP="00851845">
      <w:pPr>
        <w:spacing w:after="0" w:line="240" w:lineRule="auto"/>
        <w:jc w:val="center"/>
        <w:rPr>
          <w:rFonts w:ascii="Verdana" w:hAnsi="Verdana"/>
          <w:sz w:val="20"/>
          <w:lang w:val="pt-BR"/>
        </w:rPr>
      </w:pPr>
    </w:p>
    <w:p w14:paraId="16EB7C23" w14:textId="77777777" w:rsidR="00851845" w:rsidRPr="00847B73" w:rsidRDefault="00851845" w:rsidP="00851845">
      <w:pPr>
        <w:spacing w:after="0" w:line="240" w:lineRule="auto"/>
        <w:jc w:val="center"/>
        <w:rPr>
          <w:rFonts w:ascii="Verdana" w:hAnsi="Verdana"/>
          <w:sz w:val="20"/>
          <w:lang w:val="pt-BR"/>
        </w:rPr>
      </w:pPr>
      <w:r w:rsidRPr="00847B73">
        <w:rPr>
          <w:rFonts w:ascii="Verdana" w:hAnsi="Verdana"/>
          <w:sz w:val="20"/>
          <w:lang w:val="pt-BR"/>
        </w:rPr>
        <w:t>Pablo Saavedra Alessandri</w:t>
      </w:r>
    </w:p>
    <w:p w14:paraId="63060AED" w14:textId="77777777" w:rsidR="00851845" w:rsidRPr="00847B73" w:rsidRDefault="00851845" w:rsidP="00851845">
      <w:pPr>
        <w:spacing w:after="0" w:line="240" w:lineRule="auto"/>
        <w:jc w:val="center"/>
        <w:rPr>
          <w:rFonts w:ascii="Verdana" w:hAnsi="Verdana"/>
          <w:sz w:val="20"/>
          <w:lang w:val="pt-BR"/>
        </w:rPr>
      </w:pPr>
      <w:r w:rsidRPr="00847B73">
        <w:rPr>
          <w:rFonts w:ascii="Verdana" w:hAnsi="Verdana"/>
          <w:sz w:val="20"/>
          <w:lang w:val="pt-BR"/>
        </w:rPr>
        <w:t>Secretario</w:t>
      </w:r>
    </w:p>
    <w:p w14:paraId="79DE197C" w14:textId="77777777" w:rsidR="00851845" w:rsidRPr="00847B73" w:rsidRDefault="00851845" w:rsidP="00851845">
      <w:pPr>
        <w:spacing w:after="0" w:line="240" w:lineRule="auto"/>
        <w:rPr>
          <w:rFonts w:ascii="Verdana" w:hAnsi="Verdana"/>
          <w:sz w:val="20"/>
          <w:lang w:val="pt-BR"/>
        </w:rPr>
      </w:pPr>
    </w:p>
    <w:p w14:paraId="58849FC2" w14:textId="77777777" w:rsidR="00851845" w:rsidRPr="00847B73" w:rsidRDefault="00851845" w:rsidP="00851845">
      <w:pPr>
        <w:pStyle w:val="Textonotapie"/>
        <w:rPr>
          <w:rFonts w:ascii="Verdana" w:hAnsi="Verdana"/>
          <w:lang w:val="pt-BR"/>
        </w:rPr>
      </w:pPr>
    </w:p>
    <w:p w14:paraId="72F1BD19" w14:textId="77777777" w:rsidR="00851845" w:rsidRPr="00847B73" w:rsidRDefault="00851845" w:rsidP="00851845">
      <w:pPr>
        <w:spacing w:after="0" w:line="240" w:lineRule="auto"/>
        <w:rPr>
          <w:rFonts w:ascii="Verdana" w:hAnsi="Verdana"/>
          <w:sz w:val="20"/>
          <w:lang w:val="pt-BR"/>
        </w:rPr>
      </w:pPr>
    </w:p>
    <w:p w14:paraId="3EF0704D" w14:textId="77777777" w:rsidR="00851845" w:rsidRPr="00847B73" w:rsidRDefault="00851845" w:rsidP="00851845">
      <w:pPr>
        <w:pStyle w:val="Textonotapie"/>
        <w:rPr>
          <w:rFonts w:ascii="Verdana" w:hAnsi="Verdana"/>
          <w:lang w:val="pt-BR"/>
        </w:rPr>
      </w:pPr>
    </w:p>
    <w:p w14:paraId="29111C81" w14:textId="77777777" w:rsidR="00851845" w:rsidRPr="00847B73" w:rsidRDefault="00851845" w:rsidP="00851845">
      <w:pPr>
        <w:spacing w:after="0" w:line="240" w:lineRule="auto"/>
        <w:jc w:val="both"/>
        <w:rPr>
          <w:rFonts w:ascii="Verdana" w:hAnsi="Verdana"/>
          <w:sz w:val="20"/>
          <w:lang w:val="pt-BR"/>
        </w:rPr>
      </w:pPr>
      <w:r w:rsidRPr="00847B73">
        <w:rPr>
          <w:rFonts w:ascii="Verdana" w:hAnsi="Verdana"/>
          <w:sz w:val="20"/>
          <w:lang w:val="pt-BR"/>
        </w:rPr>
        <w:t>Comuníquese y ejecútese,</w:t>
      </w:r>
    </w:p>
    <w:p w14:paraId="107F553C" w14:textId="77777777" w:rsidR="00851845" w:rsidRPr="00847B73" w:rsidRDefault="00851845" w:rsidP="00851845">
      <w:pPr>
        <w:spacing w:after="0" w:line="240" w:lineRule="auto"/>
        <w:jc w:val="both"/>
        <w:rPr>
          <w:rFonts w:ascii="Verdana" w:hAnsi="Verdana"/>
          <w:sz w:val="20"/>
          <w:lang w:val="pt-BR"/>
        </w:rPr>
      </w:pPr>
    </w:p>
    <w:p w14:paraId="7FF5A680" w14:textId="77777777" w:rsidR="00851845" w:rsidRPr="00847B73" w:rsidRDefault="00851845" w:rsidP="00851845">
      <w:pPr>
        <w:spacing w:after="0" w:line="240" w:lineRule="auto"/>
        <w:jc w:val="both"/>
        <w:rPr>
          <w:rFonts w:ascii="Verdana" w:hAnsi="Verdana"/>
          <w:sz w:val="20"/>
          <w:lang w:val="pt-BR"/>
        </w:rPr>
      </w:pPr>
    </w:p>
    <w:p w14:paraId="0E017630" w14:textId="77777777" w:rsidR="00851845" w:rsidRPr="00847B73" w:rsidRDefault="00851845" w:rsidP="00851845">
      <w:pPr>
        <w:spacing w:after="0" w:line="240" w:lineRule="auto"/>
        <w:jc w:val="both"/>
        <w:rPr>
          <w:rFonts w:ascii="Verdana" w:hAnsi="Verdana"/>
          <w:sz w:val="20"/>
          <w:lang w:val="pt-BR"/>
        </w:rPr>
      </w:pPr>
    </w:p>
    <w:p w14:paraId="691FC250" w14:textId="77777777" w:rsidR="00851845" w:rsidRDefault="00851845" w:rsidP="00851845">
      <w:pPr>
        <w:spacing w:after="0" w:line="240" w:lineRule="auto"/>
        <w:jc w:val="both"/>
        <w:rPr>
          <w:rFonts w:ascii="Verdana" w:hAnsi="Verdana"/>
          <w:sz w:val="20"/>
          <w:lang w:val="pt-BR"/>
        </w:rPr>
      </w:pPr>
    </w:p>
    <w:p w14:paraId="026E5DB8" w14:textId="77777777" w:rsidR="00851845" w:rsidRDefault="00851845" w:rsidP="00851845">
      <w:pPr>
        <w:spacing w:after="0" w:line="240" w:lineRule="auto"/>
        <w:jc w:val="both"/>
        <w:rPr>
          <w:rFonts w:ascii="Verdana" w:hAnsi="Verdana"/>
          <w:sz w:val="20"/>
          <w:lang w:val="pt-BR"/>
        </w:rPr>
      </w:pPr>
    </w:p>
    <w:p w14:paraId="5F0E0979" w14:textId="77777777" w:rsidR="00851845" w:rsidRPr="00847B73" w:rsidRDefault="00851845" w:rsidP="00851845">
      <w:pPr>
        <w:spacing w:after="0" w:line="240" w:lineRule="auto"/>
        <w:jc w:val="both"/>
        <w:rPr>
          <w:rFonts w:ascii="Verdana" w:hAnsi="Verdana"/>
          <w:sz w:val="20"/>
          <w:lang w:val="pt-BR"/>
        </w:rPr>
      </w:pPr>
    </w:p>
    <w:p w14:paraId="388E588D" w14:textId="77777777" w:rsidR="00851845" w:rsidRPr="00D31312" w:rsidRDefault="00851845" w:rsidP="00851845">
      <w:pPr>
        <w:spacing w:after="0" w:line="240" w:lineRule="auto"/>
        <w:jc w:val="center"/>
        <w:rPr>
          <w:rFonts w:ascii="Verdana" w:hAnsi="Verdana"/>
          <w:sz w:val="20"/>
          <w:lang w:val="es-CO"/>
        </w:rPr>
      </w:pPr>
    </w:p>
    <w:p w14:paraId="47E7F1CA" w14:textId="77777777" w:rsidR="00851845" w:rsidRPr="00847B73" w:rsidRDefault="00851845" w:rsidP="00851845">
      <w:pPr>
        <w:spacing w:after="0" w:line="240" w:lineRule="auto"/>
        <w:ind w:left="5664" w:firstLine="708"/>
        <w:jc w:val="center"/>
        <w:rPr>
          <w:rFonts w:ascii="Verdana" w:hAnsi="Verdana"/>
          <w:sz w:val="20"/>
          <w:lang w:val="es-ES"/>
        </w:rPr>
      </w:pPr>
      <w:r w:rsidRPr="00847B73">
        <w:rPr>
          <w:rFonts w:ascii="Verdana" w:hAnsi="Verdana"/>
          <w:sz w:val="20"/>
          <w:lang w:val="pt-BR"/>
        </w:rPr>
        <w:t>Eduardo Vio Grossi</w:t>
      </w:r>
    </w:p>
    <w:p w14:paraId="2833A0AF" w14:textId="77777777" w:rsidR="00851845" w:rsidRPr="00847B73" w:rsidRDefault="00851845" w:rsidP="00851845">
      <w:pPr>
        <w:spacing w:after="0" w:line="240" w:lineRule="auto"/>
        <w:ind w:left="5664" w:firstLine="708"/>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w:t>
      </w:r>
    </w:p>
    <w:p w14:paraId="5FA82C4B" w14:textId="77777777" w:rsidR="00851845" w:rsidRPr="00847B73" w:rsidRDefault="00851845" w:rsidP="00851845">
      <w:pPr>
        <w:spacing w:after="0" w:line="240" w:lineRule="auto"/>
        <w:jc w:val="center"/>
        <w:rPr>
          <w:rFonts w:ascii="Verdana" w:hAnsi="Verdana"/>
          <w:sz w:val="20"/>
          <w:lang w:val="pt-BR"/>
        </w:rPr>
      </w:pPr>
    </w:p>
    <w:p w14:paraId="51B82777" w14:textId="77777777" w:rsidR="00851845" w:rsidRDefault="00851845" w:rsidP="00851845">
      <w:pPr>
        <w:spacing w:after="0" w:line="240" w:lineRule="auto"/>
        <w:jc w:val="both"/>
        <w:rPr>
          <w:rFonts w:ascii="Verdana" w:hAnsi="Verdana"/>
          <w:sz w:val="20"/>
          <w:lang w:val="pt-BR"/>
        </w:rPr>
      </w:pPr>
    </w:p>
    <w:p w14:paraId="20CEE17D" w14:textId="77777777" w:rsidR="00851845" w:rsidRPr="00847B73" w:rsidRDefault="00851845" w:rsidP="00851845">
      <w:pPr>
        <w:spacing w:after="0" w:line="240" w:lineRule="auto"/>
        <w:jc w:val="both"/>
        <w:rPr>
          <w:rFonts w:ascii="Verdana" w:hAnsi="Verdana"/>
          <w:sz w:val="20"/>
          <w:lang w:val="pt-BR"/>
        </w:rPr>
      </w:pPr>
    </w:p>
    <w:p w14:paraId="01E60230" w14:textId="77777777" w:rsidR="00851845" w:rsidRDefault="00851845" w:rsidP="00851845">
      <w:pPr>
        <w:spacing w:after="0" w:line="240" w:lineRule="auto"/>
        <w:jc w:val="both"/>
        <w:rPr>
          <w:rFonts w:ascii="Verdana" w:hAnsi="Verdana"/>
          <w:sz w:val="20"/>
          <w:lang w:val="pt-BR"/>
        </w:rPr>
      </w:pPr>
    </w:p>
    <w:p w14:paraId="6FEE9206" w14:textId="77777777" w:rsidR="00851845" w:rsidRPr="00847B73" w:rsidRDefault="00851845" w:rsidP="00851845">
      <w:pPr>
        <w:spacing w:after="0" w:line="240" w:lineRule="auto"/>
        <w:jc w:val="both"/>
        <w:rPr>
          <w:rFonts w:ascii="Verdana" w:hAnsi="Verdana"/>
          <w:sz w:val="20"/>
          <w:lang w:val="pt-BR"/>
        </w:rPr>
      </w:pPr>
    </w:p>
    <w:p w14:paraId="2E64DEED" w14:textId="77777777" w:rsidR="00851845" w:rsidRPr="00847B73" w:rsidRDefault="00851845" w:rsidP="00851845">
      <w:pPr>
        <w:spacing w:after="0" w:line="240" w:lineRule="auto"/>
        <w:jc w:val="both"/>
        <w:rPr>
          <w:rFonts w:ascii="Verdana" w:hAnsi="Verdana"/>
          <w:sz w:val="20"/>
          <w:lang w:val="es-ES"/>
        </w:rPr>
      </w:pPr>
      <w:r w:rsidRPr="00847B73">
        <w:rPr>
          <w:rFonts w:ascii="Verdana" w:hAnsi="Verdana"/>
          <w:sz w:val="20"/>
          <w:lang w:val="es-ES"/>
        </w:rPr>
        <w:t>Pablo Saavedra Alessandri</w:t>
      </w:r>
    </w:p>
    <w:p w14:paraId="6EC9067B" w14:textId="77777777" w:rsidR="00851845" w:rsidRPr="00FC7D8B" w:rsidRDefault="00851845" w:rsidP="00851845">
      <w:pPr>
        <w:spacing w:after="0" w:line="240" w:lineRule="auto"/>
        <w:rPr>
          <w:rFonts w:ascii="Verdana" w:hAnsi="Verdana"/>
          <w:sz w:val="20"/>
        </w:rPr>
      </w:pPr>
      <w:r w:rsidRPr="00847B73">
        <w:rPr>
          <w:rFonts w:ascii="Verdana" w:hAnsi="Verdana"/>
          <w:sz w:val="20"/>
          <w:lang w:val="es-ES"/>
        </w:rPr>
        <w:tab/>
      </w:r>
      <w:r w:rsidRPr="00847B73">
        <w:rPr>
          <w:rFonts w:ascii="Verdana" w:hAnsi="Verdana"/>
          <w:sz w:val="20"/>
        </w:rPr>
        <w:t>Secretario</w:t>
      </w:r>
    </w:p>
    <w:p w14:paraId="4C06E19B" w14:textId="77777777" w:rsidR="00D93681" w:rsidRPr="0027324E" w:rsidRDefault="00D93681" w:rsidP="00851845">
      <w:pPr>
        <w:spacing w:after="0" w:line="240" w:lineRule="auto"/>
        <w:jc w:val="both"/>
        <w:rPr>
          <w:rFonts w:ascii="Verdana" w:hAnsi="Verdana"/>
          <w:sz w:val="20"/>
          <w:szCs w:val="20"/>
          <w:lang w:val="es-ES_tradnl"/>
        </w:rPr>
      </w:pPr>
    </w:p>
    <w:sectPr w:rsidR="00D93681" w:rsidRPr="0027324E" w:rsidSect="00AD27D7">
      <w:headerReference w:type="default" r:id="rId8"/>
      <w:footerReference w:type="default" r:id="rId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4E08" w14:textId="77777777" w:rsidR="00FA717A" w:rsidRDefault="00FA717A" w:rsidP="003442E0">
      <w:pPr>
        <w:spacing w:after="0" w:line="240" w:lineRule="auto"/>
      </w:pPr>
      <w:r>
        <w:separator/>
      </w:r>
    </w:p>
  </w:endnote>
  <w:endnote w:type="continuationSeparator" w:id="0">
    <w:p w14:paraId="731F7E11" w14:textId="77777777" w:rsidR="00FA717A" w:rsidRDefault="00FA717A" w:rsidP="00344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73234"/>
      <w:docPartObj>
        <w:docPartGallery w:val="Page Numbers (Bottom of Page)"/>
        <w:docPartUnique/>
      </w:docPartObj>
    </w:sdtPr>
    <w:sdtEndPr>
      <w:rPr>
        <w:rFonts w:ascii="Verdana" w:hAnsi="Verdana"/>
        <w:sz w:val="20"/>
        <w:szCs w:val="20"/>
      </w:rPr>
    </w:sdtEndPr>
    <w:sdtContent>
      <w:p w14:paraId="5A326101" w14:textId="77777777" w:rsidR="00F233D5" w:rsidRPr="00394230" w:rsidRDefault="00F233D5">
        <w:pPr>
          <w:pStyle w:val="Piedepgina"/>
          <w:jc w:val="center"/>
          <w:rPr>
            <w:rFonts w:ascii="Verdana" w:hAnsi="Verdana"/>
            <w:sz w:val="20"/>
            <w:szCs w:val="20"/>
          </w:rPr>
        </w:pPr>
        <w:r w:rsidRPr="00394230">
          <w:rPr>
            <w:rFonts w:ascii="Verdana" w:hAnsi="Verdana"/>
            <w:sz w:val="20"/>
            <w:szCs w:val="20"/>
          </w:rPr>
          <w:t>-</w:t>
        </w:r>
        <w:r w:rsidRPr="00394230">
          <w:rPr>
            <w:rFonts w:ascii="Verdana" w:hAnsi="Verdana"/>
            <w:sz w:val="20"/>
            <w:szCs w:val="20"/>
          </w:rPr>
          <w:fldChar w:fldCharType="begin"/>
        </w:r>
        <w:r w:rsidRPr="00394230">
          <w:rPr>
            <w:rFonts w:ascii="Verdana" w:hAnsi="Verdana"/>
            <w:sz w:val="20"/>
            <w:szCs w:val="20"/>
          </w:rPr>
          <w:instrText>PAGE   \* MERGEFORMAT</w:instrText>
        </w:r>
        <w:r w:rsidRPr="00394230">
          <w:rPr>
            <w:rFonts w:ascii="Verdana" w:hAnsi="Verdana"/>
            <w:sz w:val="20"/>
            <w:szCs w:val="20"/>
          </w:rPr>
          <w:fldChar w:fldCharType="separate"/>
        </w:r>
        <w:r w:rsidR="00851845" w:rsidRPr="00851845">
          <w:rPr>
            <w:rFonts w:ascii="Verdana" w:hAnsi="Verdana"/>
            <w:noProof/>
            <w:sz w:val="20"/>
            <w:szCs w:val="20"/>
            <w:lang w:val="es-ES"/>
          </w:rPr>
          <w:t>13</w:t>
        </w:r>
        <w:r w:rsidRPr="00394230">
          <w:rPr>
            <w:rFonts w:ascii="Verdana" w:hAnsi="Verdana"/>
            <w:sz w:val="20"/>
            <w:szCs w:val="20"/>
          </w:rPr>
          <w:fldChar w:fldCharType="end"/>
        </w:r>
        <w:r w:rsidRPr="00394230">
          <w:rPr>
            <w:rFonts w:ascii="Verdana" w:hAnsi="Verdana"/>
            <w:sz w:val="20"/>
            <w:szCs w:val="20"/>
          </w:rPr>
          <w:t>-</w:t>
        </w:r>
      </w:p>
    </w:sdtContent>
  </w:sdt>
  <w:p w14:paraId="59C05088" w14:textId="77777777" w:rsidR="00F233D5" w:rsidRDefault="00F233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E26A" w14:textId="77777777" w:rsidR="00FA717A" w:rsidRDefault="00FA717A" w:rsidP="003442E0">
      <w:pPr>
        <w:spacing w:after="0" w:line="240" w:lineRule="auto"/>
      </w:pPr>
      <w:r>
        <w:separator/>
      </w:r>
    </w:p>
  </w:footnote>
  <w:footnote w:type="continuationSeparator" w:id="0">
    <w:p w14:paraId="70F8A6AA" w14:textId="77777777" w:rsidR="00FA717A" w:rsidRDefault="00FA717A" w:rsidP="003442E0">
      <w:pPr>
        <w:spacing w:after="0" w:line="240" w:lineRule="auto"/>
      </w:pPr>
      <w:r>
        <w:continuationSeparator/>
      </w:r>
    </w:p>
  </w:footnote>
  <w:footnote w:id="1">
    <w:p w14:paraId="0BAAEEBA" w14:textId="0D5377C4" w:rsidR="00F233D5" w:rsidRPr="00224E09" w:rsidRDefault="00F233D5" w:rsidP="003447B7">
      <w:pPr>
        <w:pStyle w:val="Textonotapie"/>
        <w:tabs>
          <w:tab w:val="left" w:pos="426"/>
        </w:tabs>
        <w:jc w:val="both"/>
        <w:rPr>
          <w:rFonts w:ascii="Verdana" w:hAnsi="Verdana"/>
          <w:color w:val="000000" w:themeColor="text1"/>
          <w:sz w:val="16"/>
          <w:szCs w:val="16"/>
          <w:lang w:val="es-CR"/>
        </w:rPr>
      </w:pPr>
      <w:r w:rsidRPr="00224E09">
        <w:rPr>
          <w:rFonts w:ascii="Verdana" w:hAnsi="Verdana"/>
          <w:sz w:val="16"/>
          <w:szCs w:val="16"/>
          <w:vertAlign w:val="superscript"/>
          <w:lang w:val="es-CR"/>
        </w:rPr>
        <w:t>*</w:t>
      </w:r>
      <w:r w:rsidRPr="00224E09">
        <w:rPr>
          <w:rFonts w:ascii="Verdana" w:hAnsi="Verdana"/>
          <w:sz w:val="16"/>
          <w:szCs w:val="16"/>
          <w:lang w:val="es-CR"/>
        </w:rPr>
        <w:t xml:space="preserve"> </w:t>
      </w:r>
      <w:r w:rsidRPr="00224E09">
        <w:rPr>
          <w:rFonts w:ascii="Verdana" w:hAnsi="Verdana"/>
          <w:color w:val="000000" w:themeColor="text1"/>
          <w:sz w:val="16"/>
          <w:szCs w:val="16"/>
          <w:lang w:val="es-CR"/>
        </w:rPr>
        <w:tab/>
      </w:r>
      <w:r w:rsidRPr="00224E09">
        <w:rPr>
          <w:rFonts w:ascii="Verdana" w:hAnsi="Verdana"/>
          <w:color w:val="000000" w:themeColor="text1"/>
          <w:sz w:val="16"/>
          <w:szCs w:val="16"/>
          <w:lang w:val="es-CR"/>
        </w:rPr>
        <w:tab/>
        <w:t xml:space="preserve">La Jueza Elizabeth Odio Benito, de nacionalidad costarricense, no participó en la deliberación y firma del presente caso, ni en el conocimiento y deliberación de la presente Resolución de supervisión de cumplimiento, de conformidad con lo establecido en el artículo 19.1 del Reglamento de la Corte. </w:t>
      </w:r>
      <w:r w:rsidRPr="00224E09">
        <w:rPr>
          <w:rFonts w:ascii="Verdana" w:hAnsi="Verdana"/>
          <w:sz w:val="16"/>
          <w:szCs w:val="16"/>
          <w:lang w:val="es-CR"/>
        </w:rPr>
        <w:t>El Juez Eduardo Ferrer Mac-</w:t>
      </w:r>
      <w:proofErr w:type="spellStart"/>
      <w:r w:rsidRPr="00224E09">
        <w:rPr>
          <w:rFonts w:ascii="Verdana" w:hAnsi="Verdana"/>
          <w:sz w:val="16"/>
          <w:szCs w:val="16"/>
          <w:lang w:val="es-CR"/>
        </w:rPr>
        <w:t>Gregor</w:t>
      </w:r>
      <w:proofErr w:type="spellEnd"/>
      <w:r w:rsidRPr="00224E09">
        <w:rPr>
          <w:rFonts w:ascii="Verdana" w:hAnsi="Verdana"/>
          <w:sz w:val="16"/>
          <w:szCs w:val="16"/>
          <w:lang w:val="es-CR"/>
        </w:rPr>
        <w:t xml:space="preserve"> </w:t>
      </w:r>
      <w:proofErr w:type="spellStart"/>
      <w:r w:rsidRPr="00224E09">
        <w:rPr>
          <w:rFonts w:ascii="Verdana" w:hAnsi="Verdana"/>
          <w:sz w:val="16"/>
          <w:szCs w:val="16"/>
          <w:lang w:val="es-CR"/>
        </w:rPr>
        <w:t>Poisot</w:t>
      </w:r>
      <w:proofErr w:type="spellEnd"/>
      <w:r w:rsidRPr="00224E09">
        <w:rPr>
          <w:rFonts w:ascii="Verdana" w:hAnsi="Verdana"/>
          <w:sz w:val="16"/>
          <w:szCs w:val="16"/>
          <w:lang w:val="es-CR"/>
        </w:rPr>
        <w:t xml:space="preserve"> no participó en la deliberación y firma de la presente Resolución por razones de fuerza mayor.</w:t>
      </w:r>
    </w:p>
    <w:p w14:paraId="37950A2C" w14:textId="19AF3928" w:rsidR="00F233D5" w:rsidRPr="00224E09" w:rsidRDefault="00F233D5" w:rsidP="003447B7">
      <w:pPr>
        <w:pStyle w:val="Textonotapie"/>
        <w:tabs>
          <w:tab w:val="left" w:pos="426"/>
        </w:tabs>
        <w:jc w:val="both"/>
        <w:rPr>
          <w:rFonts w:ascii="Verdana" w:hAnsi="Verdana"/>
          <w:sz w:val="16"/>
          <w:szCs w:val="16"/>
          <w:lang w:val="es-CR"/>
        </w:rPr>
      </w:pPr>
      <w:r w:rsidRPr="00224E09">
        <w:rPr>
          <w:rStyle w:val="Refdenotaalpie"/>
          <w:rFonts w:ascii="Verdana" w:hAnsi="Verdana"/>
          <w:color w:val="000000" w:themeColor="text1"/>
          <w:sz w:val="16"/>
          <w:szCs w:val="16"/>
        </w:rPr>
        <w:footnoteRef/>
      </w:r>
      <w:r w:rsidRPr="00224E09">
        <w:rPr>
          <w:rFonts w:ascii="Verdana" w:hAnsi="Verdana"/>
          <w:color w:val="000000" w:themeColor="text1"/>
          <w:sz w:val="16"/>
          <w:szCs w:val="16"/>
          <w:lang w:val="es-CR"/>
        </w:rPr>
        <w:t xml:space="preserve"> </w:t>
      </w:r>
      <w:r w:rsidRPr="00224E09">
        <w:rPr>
          <w:rFonts w:ascii="Verdana" w:hAnsi="Verdana"/>
          <w:color w:val="000000" w:themeColor="text1"/>
          <w:sz w:val="16"/>
          <w:szCs w:val="16"/>
          <w:lang w:val="es-CR"/>
        </w:rPr>
        <w:tab/>
      </w:r>
      <w:r w:rsidRPr="00224E09">
        <w:rPr>
          <w:rFonts w:ascii="Verdana" w:hAnsi="Verdana"/>
          <w:color w:val="000000" w:themeColor="text1"/>
          <w:sz w:val="16"/>
          <w:szCs w:val="16"/>
          <w:lang w:val="es-CR"/>
        </w:rPr>
        <w:tab/>
        <w:t xml:space="preserve">La Sentencia fue notificada a las partes el 20 de diciembre de 2016. </w:t>
      </w:r>
      <w:r w:rsidRPr="00224E09">
        <w:rPr>
          <w:rFonts w:ascii="Verdana" w:hAnsi="Verdana"/>
          <w:i/>
          <w:color w:val="000000" w:themeColor="text1"/>
          <w:sz w:val="16"/>
          <w:szCs w:val="16"/>
          <w:lang w:val="es-CR"/>
        </w:rPr>
        <w:t>Cfr. Caso Gómez Murillo y otros vs. Costa Rica.</w:t>
      </w:r>
      <w:r w:rsidRPr="00224E09">
        <w:rPr>
          <w:rFonts w:ascii="Verdana" w:hAnsi="Verdana"/>
          <w:color w:val="000000" w:themeColor="text1"/>
          <w:sz w:val="16"/>
          <w:szCs w:val="16"/>
          <w:lang w:val="es-CR"/>
        </w:rPr>
        <w:t xml:space="preserve"> Sentencia de 29 de noviembre de 2016. Serie C No. 326. Disponible en: </w:t>
      </w:r>
      <w:hyperlink r:id="rId1" w:history="1">
        <w:r w:rsidRPr="00224E09">
          <w:rPr>
            <w:rStyle w:val="Hipervnculo"/>
            <w:rFonts w:ascii="Verdana" w:hAnsi="Verdana"/>
            <w:sz w:val="16"/>
            <w:szCs w:val="16"/>
            <w:lang w:val="es-CR"/>
          </w:rPr>
          <w:t>http://www.corteidh.or.cr/docs/casos/articulos/seriec_326_esp.pdf</w:t>
        </w:r>
      </w:hyperlink>
      <w:r w:rsidRPr="00224E09">
        <w:rPr>
          <w:rStyle w:val="Hipervnculo"/>
          <w:rFonts w:ascii="Verdana" w:hAnsi="Verdana"/>
          <w:color w:val="000000" w:themeColor="text1"/>
          <w:sz w:val="16"/>
          <w:szCs w:val="16"/>
          <w:u w:val="none"/>
          <w:lang w:val="es-CR"/>
        </w:rPr>
        <w:t>.</w:t>
      </w:r>
    </w:p>
  </w:footnote>
  <w:footnote w:id="2">
    <w:p w14:paraId="6BB40117" w14:textId="6092919B"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El señor Hubert May Cantillano. </w:t>
      </w:r>
    </w:p>
  </w:footnote>
  <w:footnote w:id="3">
    <w:p w14:paraId="739AB7A7" w14:textId="77777777" w:rsidR="00F233D5" w:rsidRPr="00224E09" w:rsidRDefault="00F233D5" w:rsidP="003447B7">
      <w:pPr>
        <w:pStyle w:val="Sinespaciado"/>
        <w:jc w:val="both"/>
        <w:rPr>
          <w:rStyle w:val="TextonotapieCar"/>
          <w:rFonts w:ascii="Verdana" w:eastAsiaTheme="minorHAnsi" w:hAnsi="Verdana" w:cstheme="minorBidi"/>
          <w:sz w:val="16"/>
          <w:szCs w:val="16"/>
          <w:lang w:val="es-CR"/>
        </w:rPr>
      </w:pPr>
      <w:r w:rsidRPr="00224E09">
        <w:rPr>
          <w:rStyle w:val="Refdenotaalpie"/>
          <w:rFonts w:ascii="Verdana" w:hAnsi="Verdana"/>
          <w:sz w:val="16"/>
          <w:szCs w:val="16"/>
        </w:rPr>
        <w:footnoteRef/>
      </w:r>
      <w:r w:rsidRPr="00224E09">
        <w:rPr>
          <w:rFonts w:ascii="Verdana" w:hAnsi="Verdana"/>
          <w:sz w:val="16"/>
          <w:szCs w:val="16"/>
        </w:rPr>
        <w:t xml:space="preserve"> </w:t>
      </w:r>
      <w:r w:rsidRPr="00224E09">
        <w:rPr>
          <w:rFonts w:ascii="Verdana" w:hAnsi="Verdana"/>
          <w:sz w:val="16"/>
          <w:szCs w:val="16"/>
        </w:rPr>
        <w:tab/>
        <w:t xml:space="preserve">Daniel Gerardo Gómez Murillo, Aída Marcela Garita Sánchez, Roberto Pérez Gutiérrez, Silvia María Sosa Ulate, Luis Miguel Cruz </w:t>
      </w:r>
      <w:proofErr w:type="spellStart"/>
      <w:r w:rsidRPr="00224E09">
        <w:rPr>
          <w:rFonts w:ascii="Verdana" w:hAnsi="Verdana"/>
          <w:sz w:val="16"/>
          <w:szCs w:val="16"/>
        </w:rPr>
        <w:t>Comparaz</w:t>
      </w:r>
      <w:proofErr w:type="spellEnd"/>
      <w:r w:rsidRPr="00224E09">
        <w:rPr>
          <w:rFonts w:ascii="Verdana" w:hAnsi="Verdana"/>
          <w:sz w:val="16"/>
          <w:szCs w:val="16"/>
        </w:rPr>
        <w:t xml:space="preserve">, Raquel </w:t>
      </w:r>
      <w:proofErr w:type="spellStart"/>
      <w:r w:rsidRPr="00224E09">
        <w:rPr>
          <w:rFonts w:ascii="Verdana" w:hAnsi="Verdana"/>
          <w:sz w:val="16"/>
          <w:szCs w:val="16"/>
        </w:rPr>
        <w:t>Sanvicente</w:t>
      </w:r>
      <w:proofErr w:type="spellEnd"/>
      <w:r w:rsidRPr="00224E09">
        <w:rPr>
          <w:rFonts w:ascii="Verdana" w:hAnsi="Verdana"/>
          <w:sz w:val="16"/>
          <w:szCs w:val="16"/>
        </w:rPr>
        <w:t xml:space="preserve"> Rojas, Randall Alberto Torres Quirós, </w:t>
      </w:r>
      <w:proofErr w:type="spellStart"/>
      <w:r w:rsidRPr="00224E09">
        <w:rPr>
          <w:rFonts w:ascii="Verdana" w:hAnsi="Verdana"/>
          <w:sz w:val="16"/>
          <w:szCs w:val="16"/>
        </w:rPr>
        <w:t>Geanina</w:t>
      </w:r>
      <w:proofErr w:type="spellEnd"/>
      <w:r w:rsidRPr="00224E09">
        <w:rPr>
          <w:rFonts w:ascii="Verdana" w:hAnsi="Verdana"/>
          <w:sz w:val="16"/>
          <w:szCs w:val="16"/>
        </w:rPr>
        <w:t xml:space="preserve"> Isela Marín Rankin, Carlos Edgardo López Vega, Albania Elizondo Rodríguez, Miguel Acuña Cartín y Patricia Núñez Marín.</w:t>
      </w:r>
    </w:p>
  </w:footnote>
  <w:footnote w:id="4">
    <w:p w14:paraId="187456A1" w14:textId="5B90CCB5" w:rsidR="00F233D5" w:rsidRPr="00224E09" w:rsidRDefault="00F233D5" w:rsidP="003447B7">
      <w:pPr>
        <w:pStyle w:val="Textonotapie"/>
        <w:jc w:val="both"/>
        <w:rPr>
          <w:rFonts w:ascii="Verdana" w:hAnsi="Verdana"/>
          <w:sz w:val="16"/>
          <w:szCs w:val="16"/>
          <w:lang w:val="es-CR"/>
        </w:rPr>
      </w:pPr>
      <w:r w:rsidRPr="00224E09">
        <w:rPr>
          <w:rStyle w:val="Refdenotaalpie"/>
          <w:rFonts w:ascii="Verdana" w:hAnsi="Verdana"/>
          <w:sz w:val="16"/>
          <w:szCs w:val="16"/>
        </w:rPr>
        <w:footnoteRef/>
      </w:r>
      <w:r w:rsidRPr="00224E09">
        <w:rPr>
          <w:rFonts w:ascii="Verdana" w:hAnsi="Verdana"/>
          <w:sz w:val="16"/>
          <w:szCs w:val="16"/>
          <w:lang w:val="es-CR"/>
        </w:rPr>
        <w:t xml:space="preserve"> </w:t>
      </w:r>
      <w:r w:rsidRPr="00224E09">
        <w:rPr>
          <w:rFonts w:ascii="Verdana" w:hAnsi="Verdana"/>
          <w:sz w:val="16"/>
          <w:szCs w:val="16"/>
          <w:lang w:val="es-CR"/>
        </w:rPr>
        <w:tab/>
        <w:t>Facultad que además se desprende de lo dispuesto en los artículos 33, 62.1, 62.3 y 65 de la Convención Americana sobre Derechos Humanos y 30 de su Estatuto y se encuentra regulada en el artículo 69 de su Reglamento.</w:t>
      </w:r>
    </w:p>
  </w:footnote>
  <w:footnote w:id="5">
    <w:p w14:paraId="422C1171" w14:textId="282965BB"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Dicha resolución se pronuncia sobre las tres garantías de no repetición ordenadas en </w:t>
      </w:r>
      <w:r w:rsidRPr="00224E09">
        <w:rPr>
          <w:rFonts w:ascii="Verdana" w:hAnsi="Verdana"/>
          <w:sz w:val="16"/>
          <w:szCs w:val="16"/>
          <w:lang w:val="es-ES_tradnl"/>
        </w:rPr>
        <w:t xml:space="preserve">los puntos dispositivos segundo, tercero y cuarto de la Sentencia del caso </w:t>
      </w:r>
      <w:r w:rsidRPr="00224E09">
        <w:rPr>
          <w:rFonts w:ascii="Verdana" w:hAnsi="Verdana"/>
          <w:i/>
          <w:sz w:val="16"/>
          <w:szCs w:val="16"/>
          <w:lang w:val="es-ES_tradnl"/>
        </w:rPr>
        <w:t>Artavia Murillo y otros</w:t>
      </w:r>
      <w:r w:rsidRPr="00224E09">
        <w:rPr>
          <w:rFonts w:ascii="Verdana" w:hAnsi="Verdana"/>
          <w:sz w:val="16"/>
          <w:szCs w:val="16"/>
          <w:lang w:val="es-ES_tradnl"/>
        </w:rPr>
        <w:t xml:space="preserve"> y las dos garantías de no repetición ordenadas en los puntos resolutivos sexto, literal b) y séptimo de la Sentencia del presente caso.</w:t>
      </w:r>
    </w:p>
  </w:footnote>
  <w:footnote w:id="6">
    <w:p w14:paraId="2FA5E34F" w14:textId="139FD7B0" w:rsidR="00F233D5" w:rsidRPr="00224E09" w:rsidRDefault="00F233D5" w:rsidP="003447B7">
      <w:pPr>
        <w:pStyle w:val="Textonotapie"/>
        <w:tabs>
          <w:tab w:val="left" w:pos="426"/>
        </w:tabs>
        <w:jc w:val="both"/>
        <w:rPr>
          <w:rFonts w:ascii="Verdana" w:hAnsi="Verdana"/>
          <w:sz w:val="16"/>
          <w:szCs w:val="16"/>
          <w:lang w:val="es-CR"/>
        </w:rPr>
      </w:pPr>
      <w:r w:rsidRPr="00224E09">
        <w:rPr>
          <w:rStyle w:val="Refdenotaalpie"/>
          <w:rFonts w:ascii="Verdana" w:hAnsi="Verdana"/>
          <w:sz w:val="16"/>
          <w:szCs w:val="16"/>
        </w:rPr>
        <w:footnoteRef/>
      </w:r>
      <w:r w:rsidRPr="00224E09">
        <w:rPr>
          <w:rFonts w:ascii="Verdana" w:hAnsi="Verdana"/>
          <w:i/>
          <w:color w:val="000000"/>
          <w:sz w:val="16"/>
          <w:szCs w:val="16"/>
          <w:lang w:val="es-AR"/>
        </w:rPr>
        <w:t xml:space="preserve"> </w:t>
      </w:r>
      <w:r w:rsidRPr="00224E09">
        <w:rPr>
          <w:rFonts w:ascii="Verdana" w:hAnsi="Verdana"/>
          <w:i/>
          <w:color w:val="000000"/>
          <w:sz w:val="16"/>
          <w:szCs w:val="16"/>
          <w:lang w:val="es-AR"/>
        </w:rPr>
        <w:tab/>
        <w:t xml:space="preserve">Cfr. </w:t>
      </w:r>
      <w:r w:rsidRPr="00224E09">
        <w:rPr>
          <w:rFonts w:ascii="Verdana" w:hAnsi="Verdana"/>
          <w:i/>
          <w:sz w:val="16"/>
          <w:szCs w:val="16"/>
          <w:lang w:val="es-CR"/>
        </w:rPr>
        <w:t>Caso Cinco Pensionistas Vs. Perú.</w:t>
      </w:r>
      <w:r w:rsidRPr="00224E09">
        <w:rPr>
          <w:rFonts w:ascii="Verdana" w:hAnsi="Verdana"/>
          <w:sz w:val="16"/>
          <w:szCs w:val="16"/>
          <w:lang w:val="es-CR"/>
        </w:rPr>
        <w:t xml:space="preserve"> </w:t>
      </w:r>
      <w:r w:rsidRPr="00224E09">
        <w:rPr>
          <w:rFonts w:ascii="Verdana" w:hAnsi="Verdana"/>
          <w:i/>
          <w:sz w:val="16"/>
          <w:szCs w:val="16"/>
          <w:lang w:val="es-CR"/>
        </w:rPr>
        <w:t>Supervisión de Cumplimiento de Sentencia.</w:t>
      </w:r>
      <w:r w:rsidRPr="00224E09">
        <w:rPr>
          <w:rFonts w:ascii="Verdana" w:hAnsi="Verdana"/>
          <w:sz w:val="16"/>
          <w:szCs w:val="16"/>
          <w:lang w:val="es-CR"/>
        </w:rPr>
        <w:t xml:space="preserve"> Resolución de la Corte Interamericana de Derechos Humanos de 17 de noviembre de 2004, Considerando 5, y </w:t>
      </w:r>
      <w:r w:rsidR="000B50C8" w:rsidRPr="00224E09">
        <w:rPr>
          <w:rStyle w:val="Textoennegrita"/>
          <w:rFonts w:ascii="Verdana" w:hAnsi="Verdana"/>
          <w:b w:val="0"/>
          <w:i/>
          <w:color w:val="000000"/>
          <w:sz w:val="16"/>
          <w:szCs w:val="16"/>
          <w:shd w:val="clear" w:color="auto" w:fill="FFFFFF"/>
          <w:lang w:val="es-CR"/>
        </w:rPr>
        <w:t xml:space="preserve">Caso Carvajal </w:t>
      </w:r>
      <w:proofErr w:type="spellStart"/>
      <w:r w:rsidR="000B50C8" w:rsidRPr="00224E09">
        <w:rPr>
          <w:rStyle w:val="Textoennegrita"/>
          <w:rFonts w:ascii="Verdana" w:hAnsi="Verdana"/>
          <w:b w:val="0"/>
          <w:i/>
          <w:color w:val="000000"/>
          <w:sz w:val="16"/>
          <w:szCs w:val="16"/>
          <w:shd w:val="clear" w:color="auto" w:fill="FFFFFF"/>
          <w:lang w:val="es-CR"/>
        </w:rPr>
        <w:t>Carvajal</w:t>
      </w:r>
      <w:proofErr w:type="spellEnd"/>
      <w:r w:rsidR="000B50C8" w:rsidRPr="00224E09">
        <w:rPr>
          <w:rStyle w:val="Textoennegrita"/>
          <w:rFonts w:ascii="Verdana" w:hAnsi="Verdana"/>
          <w:b w:val="0"/>
          <w:i/>
          <w:color w:val="000000"/>
          <w:sz w:val="16"/>
          <w:szCs w:val="16"/>
          <w:shd w:val="clear" w:color="auto" w:fill="FFFFFF"/>
          <w:lang w:val="es-CR"/>
        </w:rPr>
        <w:t xml:space="preserve"> y otros Vs. Colombia. Supervisión de Cumplimiento de Sentencia.</w:t>
      </w:r>
      <w:r w:rsidR="000B50C8" w:rsidRPr="00224E09">
        <w:rPr>
          <w:rStyle w:val="Textoennegrita"/>
          <w:rFonts w:ascii="Verdana" w:hAnsi="Verdana"/>
          <w:b w:val="0"/>
          <w:color w:val="000000"/>
          <w:sz w:val="16"/>
          <w:szCs w:val="16"/>
          <w:shd w:val="clear" w:color="auto" w:fill="FFFFFF"/>
          <w:lang w:val="es-CR"/>
        </w:rPr>
        <w:t xml:space="preserve"> Resolución de la Corte Interamericana de Derechos Humanos de 7 de octubre de 2019, Considerando </w:t>
      </w:r>
      <w:r w:rsidR="00AE2358" w:rsidRPr="00224E09">
        <w:rPr>
          <w:rStyle w:val="Textoennegrita"/>
          <w:rFonts w:ascii="Verdana" w:hAnsi="Verdana"/>
          <w:b w:val="0"/>
          <w:color w:val="000000"/>
          <w:sz w:val="16"/>
          <w:szCs w:val="16"/>
          <w:shd w:val="clear" w:color="auto" w:fill="FFFFFF"/>
          <w:lang w:val="es-CR"/>
        </w:rPr>
        <w:t>2.</w:t>
      </w:r>
    </w:p>
  </w:footnote>
  <w:footnote w:id="7">
    <w:p w14:paraId="0A0E1D94" w14:textId="76106899" w:rsidR="00F233D5" w:rsidRPr="00224E09" w:rsidRDefault="00F233D5" w:rsidP="003447B7">
      <w:pPr>
        <w:pStyle w:val="Textonotapie"/>
        <w:tabs>
          <w:tab w:val="left" w:pos="426"/>
        </w:tabs>
        <w:ind w:right="4"/>
        <w:jc w:val="both"/>
        <w:rPr>
          <w:rFonts w:ascii="Verdana" w:hAnsi="Verdana"/>
          <w:b/>
          <w:color w:val="000000"/>
          <w:sz w:val="16"/>
          <w:szCs w:val="16"/>
          <w:lang w:val="es-CR"/>
        </w:rPr>
      </w:pPr>
      <w:r w:rsidRPr="00224E09">
        <w:rPr>
          <w:rStyle w:val="Refdenotaalpie"/>
          <w:rFonts w:ascii="Verdana" w:hAnsi="Verdana"/>
          <w:sz w:val="16"/>
          <w:szCs w:val="16"/>
        </w:rPr>
        <w:footnoteRef/>
      </w:r>
      <w:r w:rsidRPr="00224E09">
        <w:rPr>
          <w:rFonts w:ascii="Verdana" w:hAnsi="Verdana"/>
          <w:sz w:val="16"/>
          <w:szCs w:val="16"/>
          <w:lang w:val="es-CR"/>
        </w:rPr>
        <w:t xml:space="preserve"> </w:t>
      </w:r>
      <w:r w:rsidRPr="00224E09">
        <w:rPr>
          <w:rFonts w:ascii="Verdana" w:hAnsi="Verdana"/>
          <w:sz w:val="16"/>
          <w:szCs w:val="16"/>
          <w:lang w:val="es-CR"/>
        </w:rPr>
        <w:tab/>
      </w:r>
      <w:r w:rsidRPr="00224E09">
        <w:rPr>
          <w:rFonts w:ascii="Verdana" w:hAnsi="Verdana"/>
          <w:i/>
          <w:sz w:val="16"/>
          <w:szCs w:val="16"/>
          <w:lang w:val="es-CR"/>
        </w:rPr>
        <w:t xml:space="preserve">Cfr. Caso </w:t>
      </w:r>
      <w:proofErr w:type="spellStart"/>
      <w:r w:rsidRPr="00224E09">
        <w:rPr>
          <w:rFonts w:ascii="Verdana" w:hAnsi="Verdana"/>
          <w:i/>
          <w:sz w:val="16"/>
          <w:szCs w:val="16"/>
          <w:lang w:val="es-CR"/>
        </w:rPr>
        <w:t>Ivcher</w:t>
      </w:r>
      <w:proofErr w:type="spellEnd"/>
      <w:r w:rsidRPr="00224E09">
        <w:rPr>
          <w:rFonts w:ascii="Verdana" w:hAnsi="Verdana"/>
          <w:i/>
          <w:sz w:val="16"/>
          <w:szCs w:val="16"/>
          <w:lang w:val="es-CR"/>
        </w:rPr>
        <w:t xml:space="preserve"> </w:t>
      </w:r>
      <w:proofErr w:type="spellStart"/>
      <w:r w:rsidRPr="00224E09">
        <w:rPr>
          <w:rFonts w:ascii="Verdana" w:hAnsi="Verdana"/>
          <w:i/>
          <w:sz w:val="16"/>
          <w:szCs w:val="16"/>
          <w:lang w:val="es-CR"/>
        </w:rPr>
        <w:t>Bronstein</w:t>
      </w:r>
      <w:proofErr w:type="spellEnd"/>
      <w:r w:rsidRPr="00224E09">
        <w:rPr>
          <w:rFonts w:ascii="Verdana" w:hAnsi="Verdana"/>
          <w:i/>
          <w:sz w:val="16"/>
          <w:szCs w:val="16"/>
          <w:lang w:val="es-CR"/>
        </w:rPr>
        <w:t xml:space="preserve"> Vs. Perú. Competencia</w:t>
      </w:r>
      <w:r w:rsidRPr="00224E09">
        <w:rPr>
          <w:rFonts w:ascii="Verdana" w:hAnsi="Verdana"/>
          <w:sz w:val="16"/>
          <w:szCs w:val="16"/>
          <w:lang w:val="es-CR"/>
        </w:rPr>
        <w:t xml:space="preserve">. Sentencia de la Corte Interamericana de Derechos Humanos de 24 de septiembre de 1999. Serie C No. 54, párr. 37, y </w:t>
      </w:r>
      <w:r w:rsidR="00AE2358" w:rsidRPr="00224E09">
        <w:rPr>
          <w:rFonts w:ascii="Verdana" w:hAnsi="Verdana"/>
          <w:i/>
          <w:sz w:val="16"/>
          <w:szCs w:val="16"/>
          <w:lang w:val="es-CR"/>
        </w:rPr>
        <w:t xml:space="preserve">Caso </w:t>
      </w:r>
      <w:r w:rsidR="00AE2358" w:rsidRPr="00224E09">
        <w:rPr>
          <w:rStyle w:val="Textoennegrita"/>
          <w:rFonts w:ascii="Verdana" w:hAnsi="Verdana"/>
          <w:b w:val="0"/>
          <w:i/>
          <w:color w:val="000000"/>
          <w:sz w:val="16"/>
          <w:szCs w:val="16"/>
          <w:shd w:val="clear" w:color="auto" w:fill="FFFFFF"/>
          <w:lang w:val="es-CR"/>
        </w:rPr>
        <w:t xml:space="preserve">Carvajal </w:t>
      </w:r>
      <w:proofErr w:type="spellStart"/>
      <w:r w:rsidR="00AE2358" w:rsidRPr="00224E09">
        <w:rPr>
          <w:rStyle w:val="Textoennegrita"/>
          <w:rFonts w:ascii="Verdana" w:hAnsi="Verdana"/>
          <w:b w:val="0"/>
          <w:i/>
          <w:color w:val="000000"/>
          <w:sz w:val="16"/>
          <w:szCs w:val="16"/>
          <w:shd w:val="clear" w:color="auto" w:fill="FFFFFF"/>
          <w:lang w:val="es-CR"/>
        </w:rPr>
        <w:t>Carvajal</w:t>
      </w:r>
      <w:proofErr w:type="spellEnd"/>
      <w:r w:rsidR="00AE2358" w:rsidRPr="00224E09">
        <w:rPr>
          <w:rStyle w:val="Textoennegrita"/>
          <w:rFonts w:ascii="Verdana" w:hAnsi="Verdana"/>
          <w:b w:val="0"/>
          <w:i/>
          <w:color w:val="000000"/>
          <w:sz w:val="16"/>
          <w:szCs w:val="16"/>
          <w:shd w:val="clear" w:color="auto" w:fill="FFFFFF"/>
          <w:lang w:val="es-CR"/>
        </w:rPr>
        <w:t xml:space="preserve"> y otros Vs. Colombia</w:t>
      </w:r>
      <w:r w:rsidRPr="00224E09">
        <w:rPr>
          <w:rStyle w:val="Textoennegrita"/>
          <w:rFonts w:ascii="Verdana" w:hAnsi="Verdana"/>
          <w:b w:val="0"/>
          <w:i/>
          <w:color w:val="000000"/>
          <w:sz w:val="16"/>
          <w:szCs w:val="16"/>
          <w:shd w:val="clear" w:color="auto" w:fill="FFFFFF"/>
          <w:lang w:val="es-CR"/>
        </w:rPr>
        <w:t xml:space="preserve">, supra </w:t>
      </w:r>
      <w:r w:rsidRPr="00224E09">
        <w:rPr>
          <w:rStyle w:val="Textoennegrita"/>
          <w:rFonts w:ascii="Verdana" w:hAnsi="Verdana"/>
          <w:b w:val="0"/>
          <w:color w:val="000000"/>
          <w:sz w:val="16"/>
          <w:szCs w:val="16"/>
          <w:shd w:val="clear" w:color="auto" w:fill="FFFFFF"/>
          <w:lang w:val="es-CR"/>
        </w:rPr>
        <w:t>nota</w:t>
      </w:r>
      <w:r w:rsidRPr="00224E09">
        <w:rPr>
          <w:rStyle w:val="Textoennegrita"/>
          <w:rFonts w:ascii="Verdana" w:hAnsi="Verdana"/>
          <w:b w:val="0"/>
          <w:i/>
          <w:color w:val="000000"/>
          <w:sz w:val="16"/>
          <w:szCs w:val="16"/>
          <w:shd w:val="clear" w:color="auto" w:fill="FFFFFF"/>
          <w:lang w:val="es-CR"/>
        </w:rPr>
        <w:t xml:space="preserve"> </w:t>
      </w:r>
      <w:r w:rsidRPr="00224E09">
        <w:rPr>
          <w:rStyle w:val="Textoennegrita"/>
          <w:rFonts w:ascii="Verdana" w:hAnsi="Verdana"/>
          <w:b w:val="0"/>
          <w:color w:val="000000"/>
          <w:sz w:val="16"/>
          <w:szCs w:val="16"/>
          <w:shd w:val="clear" w:color="auto" w:fill="FFFFFF"/>
          <w:lang w:val="es-CR"/>
        </w:rPr>
        <w:t>6</w:t>
      </w:r>
      <w:r w:rsidRPr="00224E09">
        <w:rPr>
          <w:rStyle w:val="Textoennegrita"/>
          <w:rFonts w:ascii="Verdana" w:hAnsi="Verdana"/>
          <w:b w:val="0"/>
          <w:i/>
          <w:color w:val="000000"/>
          <w:sz w:val="16"/>
          <w:szCs w:val="16"/>
          <w:shd w:val="clear" w:color="auto" w:fill="FFFFFF"/>
          <w:lang w:val="es-CR"/>
        </w:rPr>
        <w:t>.</w:t>
      </w:r>
    </w:p>
  </w:footnote>
  <w:footnote w:id="8">
    <w:p w14:paraId="5A915C01" w14:textId="66CBF82A" w:rsidR="00F233D5" w:rsidRPr="00224E09" w:rsidRDefault="00F233D5" w:rsidP="003447B7">
      <w:pPr>
        <w:pStyle w:val="Textonotapie"/>
        <w:jc w:val="both"/>
        <w:rPr>
          <w:rFonts w:ascii="Verdana" w:hAnsi="Verdana"/>
          <w:b/>
          <w:bCs/>
          <w:sz w:val="16"/>
          <w:szCs w:val="16"/>
          <w:lang w:val="es-CR"/>
        </w:rPr>
      </w:pPr>
      <w:r w:rsidRPr="00224E09">
        <w:rPr>
          <w:rStyle w:val="Refdenotaalpie"/>
          <w:rFonts w:ascii="Verdana" w:hAnsi="Verdana"/>
          <w:sz w:val="16"/>
          <w:szCs w:val="16"/>
          <w:lang w:val="es-CR"/>
        </w:rPr>
        <w:footnoteRef/>
      </w:r>
      <w:r w:rsidRPr="00224E09">
        <w:rPr>
          <w:rFonts w:ascii="Verdana" w:hAnsi="Verdana"/>
          <w:sz w:val="16"/>
          <w:szCs w:val="16"/>
          <w:lang w:val="es-CR"/>
        </w:rPr>
        <w:t xml:space="preserve"> </w:t>
      </w:r>
      <w:r w:rsidRPr="00224E09">
        <w:rPr>
          <w:rFonts w:ascii="Verdana" w:hAnsi="Verdana"/>
          <w:sz w:val="16"/>
          <w:szCs w:val="16"/>
          <w:lang w:val="es-CR"/>
        </w:rPr>
        <w:tab/>
        <w:t xml:space="preserve">Explicó que por medio de los Alcances Nº 59 y N° 60 del Diario Oficial “La Gaceta”, ambos publicados del 16 de marzo de 2017, se realizó la publicación de la Sentencia y del voto disidente del Juez Eduardo Vio Grossi. Asimismo, indicó que en el Alcance Nº 62 de dicho diario, publicado 17 de marzo de 2017, se efectuó la publicación Acuerdo de arreglo amistoso. </w:t>
      </w:r>
    </w:p>
  </w:footnote>
  <w:footnote w:id="9">
    <w:p w14:paraId="158376C5" w14:textId="2E09C567" w:rsidR="00F233D5" w:rsidRPr="00224E09" w:rsidRDefault="00F233D5" w:rsidP="003447B7">
      <w:pPr>
        <w:pStyle w:val="Textonotapie"/>
        <w:jc w:val="both"/>
        <w:rPr>
          <w:rFonts w:ascii="Verdana" w:hAnsi="Verdana"/>
          <w:b/>
          <w:bCs/>
          <w:sz w:val="16"/>
          <w:szCs w:val="16"/>
          <w:lang w:val="es-CR"/>
        </w:rPr>
      </w:pPr>
      <w:r w:rsidRPr="00224E09">
        <w:rPr>
          <w:rStyle w:val="Refdenotaalpie"/>
          <w:rFonts w:ascii="Verdana" w:hAnsi="Verdana"/>
          <w:sz w:val="16"/>
          <w:szCs w:val="16"/>
        </w:rPr>
        <w:footnoteRef/>
      </w:r>
      <w:r w:rsidRPr="00224E09">
        <w:rPr>
          <w:rFonts w:ascii="Verdana" w:hAnsi="Verdana"/>
          <w:sz w:val="16"/>
          <w:szCs w:val="16"/>
          <w:lang w:val="es-CR"/>
        </w:rPr>
        <w:t xml:space="preserve"> </w:t>
      </w:r>
      <w:r w:rsidRPr="00224E09">
        <w:rPr>
          <w:rFonts w:ascii="Verdana" w:hAnsi="Verdana"/>
          <w:sz w:val="16"/>
          <w:szCs w:val="16"/>
          <w:lang w:val="es-CR"/>
        </w:rPr>
        <w:tab/>
        <w:t xml:space="preserve">En sus escritos de 12 de septiembre de 2018 y de 30 de octubre de 2019 expresó que las publicaciones “han sido cumplidas a satisfacción y </w:t>
      </w:r>
      <w:proofErr w:type="spellStart"/>
      <w:r w:rsidRPr="00224E09">
        <w:rPr>
          <w:rFonts w:ascii="Verdana" w:hAnsi="Verdana"/>
          <w:sz w:val="16"/>
          <w:szCs w:val="16"/>
          <w:lang w:val="es-CR"/>
        </w:rPr>
        <w:t>solicit</w:t>
      </w:r>
      <w:proofErr w:type="spellEnd"/>
      <w:r w:rsidRPr="00224E09">
        <w:rPr>
          <w:rFonts w:ascii="Verdana" w:hAnsi="Verdana"/>
          <w:sz w:val="16"/>
          <w:szCs w:val="16"/>
          <w:lang w:val="es-CR"/>
        </w:rPr>
        <w:t>[</w:t>
      </w:r>
      <w:proofErr w:type="spellStart"/>
      <w:r w:rsidRPr="00224E09">
        <w:rPr>
          <w:rFonts w:ascii="Verdana" w:hAnsi="Verdana"/>
          <w:sz w:val="16"/>
          <w:szCs w:val="16"/>
          <w:lang w:val="es-CR"/>
        </w:rPr>
        <w:t>ó</w:t>
      </w:r>
      <w:proofErr w:type="spellEnd"/>
      <w:r w:rsidRPr="00224E09">
        <w:rPr>
          <w:rFonts w:ascii="Verdana" w:hAnsi="Verdana"/>
          <w:sz w:val="16"/>
          <w:szCs w:val="16"/>
          <w:lang w:val="es-CR"/>
        </w:rPr>
        <w:t xml:space="preserve">] tener por cumplido tal aspecto de la [Sentencia]”.  </w:t>
      </w:r>
    </w:p>
  </w:footnote>
  <w:footnote w:id="10">
    <w:p w14:paraId="6F702653" w14:textId="7E7B05B4" w:rsidR="00F233D5" w:rsidRPr="00224E09" w:rsidRDefault="00F233D5" w:rsidP="003447B7">
      <w:pPr>
        <w:pStyle w:val="Textonotapie"/>
        <w:jc w:val="both"/>
        <w:rPr>
          <w:rFonts w:ascii="Verdana" w:hAnsi="Verdana"/>
          <w:sz w:val="16"/>
          <w:szCs w:val="16"/>
          <w:lang w:val="es-CR"/>
        </w:rPr>
      </w:pPr>
      <w:r w:rsidRPr="00224E09">
        <w:rPr>
          <w:rStyle w:val="Refdenotaalpie"/>
          <w:rFonts w:ascii="Verdana" w:hAnsi="Verdana"/>
          <w:sz w:val="16"/>
          <w:szCs w:val="16"/>
        </w:rPr>
        <w:footnoteRef/>
      </w:r>
      <w:r w:rsidRPr="00224E09">
        <w:rPr>
          <w:rFonts w:ascii="Verdana" w:hAnsi="Verdana"/>
          <w:sz w:val="16"/>
          <w:szCs w:val="16"/>
          <w:lang w:val="es-CR"/>
        </w:rPr>
        <w:t xml:space="preserve"> </w:t>
      </w:r>
      <w:r w:rsidRPr="00224E09">
        <w:rPr>
          <w:rFonts w:ascii="Verdana" w:hAnsi="Verdana"/>
          <w:sz w:val="16"/>
          <w:szCs w:val="16"/>
          <w:lang w:val="es-CR"/>
        </w:rPr>
        <w:tab/>
        <w:t xml:space="preserve">Observó que “el Estado ha realizado las publicaciones”. </w:t>
      </w:r>
    </w:p>
  </w:footnote>
  <w:footnote w:id="11">
    <w:p w14:paraId="3C7B3849" w14:textId="4611C1EE" w:rsidR="00F233D5" w:rsidRPr="00224E09" w:rsidRDefault="00F233D5" w:rsidP="003447B7">
      <w:pPr>
        <w:pStyle w:val="Textonotapie"/>
        <w:tabs>
          <w:tab w:val="left" w:pos="709"/>
        </w:tabs>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sz w:val="16"/>
          <w:szCs w:val="16"/>
          <w:lang w:val="es-ES"/>
        </w:rPr>
        <w:t>Cfr</w:t>
      </w:r>
      <w:r w:rsidRPr="00224E09">
        <w:rPr>
          <w:rFonts w:ascii="Verdana" w:hAnsi="Verdana"/>
          <w:sz w:val="16"/>
          <w:szCs w:val="16"/>
          <w:lang w:val="es-ES"/>
        </w:rPr>
        <w:t xml:space="preserve">. Copia de las publicaciones de la Sentencia de 29 de noviembre de 2016, del voto disidente del Juez Eduardo Vio Grossi a dicha Sentencia y del Acuerdo de solución amistosa, realizados en los Alcances Nos. 59, 60 y 62 del Diario Oficial “La Gaceta” de 16 y 17 de marzo de 2017 (anexos al informe estatal de 5 de febrero de 2018). </w:t>
      </w:r>
    </w:p>
  </w:footnote>
  <w:footnote w:id="12">
    <w:p w14:paraId="5E2B255B" w14:textId="3AC52EFA" w:rsidR="00F233D5" w:rsidRPr="00224E09" w:rsidRDefault="00F233D5" w:rsidP="003447B7">
      <w:pPr>
        <w:pStyle w:val="Textonotapie"/>
        <w:jc w:val="both"/>
        <w:rPr>
          <w:rFonts w:ascii="Verdana" w:hAnsi="Verdana"/>
          <w:sz w:val="16"/>
          <w:szCs w:val="16"/>
          <w:lang w:val="es-CR"/>
        </w:rPr>
      </w:pPr>
      <w:r w:rsidRPr="00224E09">
        <w:rPr>
          <w:rStyle w:val="Refdenotaalpie"/>
          <w:rFonts w:ascii="Verdana" w:hAnsi="Verdana"/>
          <w:sz w:val="16"/>
          <w:szCs w:val="16"/>
        </w:rPr>
        <w:footnoteRef/>
      </w:r>
      <w:r w:rsidRPr="00224E09">
        <w:rPr>
          <w:rFonts w:ascii="Verdana" w:hAnsi="Verdana"/>
          <w:sz w:val="16"/>
          <w:szCs w:val="16"/>
          <w:lang w:val="es-CR"/>
        </w:rPr>
        <w:t xml:space="preserve"> </w:t>
      </w:r>
      <w:r w:rsidRPr="00224E09">
        <w:rPr>
          <w:rFonts w:ascii="Verdana" w:hAnsi="Verdana"/>
          <w:sz w:val="16"/>
          <w:szCs w:val="16"/>
          <w:lang w:val="es-CR"/>
        </w:rPr>
        <w:tab/>
        <w:t xml:space="preserve">El Estado indicó que “[e]l 22 de diciembre de 2016, la Presidencia de la República procedió con la publicación de la sentencia de homologación y del acuerdo de solución amistosa”. </w:t>
      </w:r>
      <w:r w:rsidRPr="00224E09">
        <w:rPr>
          <w:rFonts w:ascii="Verdana" w:hAnsi="Verdana"/>
          <w:sz w:val="16"/>
          <w:szCs w:val="16"/>
          <w:lang w:val="es-ES_tradnl"/>
        </w:rPr>
        <w:t xml:space="preserve">También indicó que dicha publicación se encuentra disponible en el siguiente enlace: </w:t>
      </w:r>
      <w:hyperlink r:id="rId2" w:history="1">
        <w:r w:rsidRPr="00224E09">
          <w:rPr>
            <w:rStyle w:val="Hipervnculo"/>
            <w:rFonts w:ascii="Verdana" w:hAnsi="Verdana"/>
            <w:sz w:val="16"/>
            <w:szCs w:val="16"/>
            <w:lang w:val="es-CR"/>
          </w:rPr>
          <w:t>https://presidencia.go.cr/sentencia-corte-interamericana-de-derechos-humanos-caso-gomez-murillo-y-otros-vs-costa-rica/</w:t>
        </w:r>
      </w:hyperlink>
      <w:r w:rsidRPr="00224E09">
        <w:rPr>
          <w:rFonts w:ascii="Verdana" w:hAnsi="Verdana"/>
          <w:sz w:val="16"/>
          <w:szCs w:val="16"/>
          <w:lang w:val="es-CR"/>
        </w:rPr>
        <w:t xml:space="preserve">. </w:t>
      </w:r>
      <w:r w:rsidRPr="00224E09">
        <w:rPr>
          <w:rFonts w:ascii="Verdana" w:hAnsi="Verdana"/>
          <w:i/>
          <w:iCs/>
          <w:sz w:val="16"/>
          <w:szCs w:val="16"/>
          <w:lang w:val="es-CR"/>
        </w:rPr>
        <w:t>Cfr</w:t>
      </w:r>
      <w:r w:rsidRPr="00224E09">
        <w:rPr>
          <w:rFonts w:ascii="Verdana" w:hAnsi="Verdana"/>
          <w:sz w:val="16"/>
          <w:szCs w:val="16"/>
          <w:lang w:val="es-CR"/>
        </w:rPr>
        <w:t>. Datos brindados por la Unidad de Producción de Contenido Multimedia del Ministerio de Comunicación de la Presidencia de la República de Costa Rica sobre la fecha de publicación y enlace para la consulta de dicha publicación (anexo al informe estatal de 25 de septiembre de 2019).</w:t>
      </w:r>
    </w:p>
  </w:footnote>
  <w:footnote w:id="13">
    <w:p w14:paraId="3844EFEC" w14:textId="13619CBD" w:rsidR="00F233D5" w:rsidRPr="00224E09" w:rsidRDefault="00F233D5" w:rsidP="003447B7">
      <w:pPr>
        <w:pStyle w:val="Textonotapie"/>
        <w:jc w:val="both"/>
        <w:rPr>
          <w:rFonts w:ascii="Verdana" w:hAnsi="Verdana"/>
          <w:sz w:val="16"/>
          <w:szCs w:val="16"/>
          <w:highlight w:val="yellow"/>
          <w:lang w:val="es-CR"/>
        </w:rPr>
      </w:pPr>
      <w:r w:rsidRPr="00224E09">
        <w:rPr>
          <w:rStyle w:val="Refdenotaalpie"/>
          <w:rFonts w:ascii="Verdana" w:hAnsi="Verdana"/>
          <w:sz w:val="16"/>
          <w:szCs w:val="16"/>
        </w:rPr>
        <w:footnoteRef/>
      </w:r>
      <w:r w:rsidRPr="00224E09">
        <w:rPr>
          <w:rFonts w:ascii="Verdana" w:hAnsi="Verdana"/>
          <w:sz w:val="16"/>
          <w:szCs w:val="16"/>
          <w:lang w:val="es-CR"/>
        </w:rPr>
        <w:t xml:space="preserve"> </w:t>
      </w:r>
      <w:r w:rsidRPr="00224E09">
        <w:rPr>
          <w:rFonts w:ascii="Verdana" w:hAnsi="Verdana"/>
          <w:sz w:val="16"/>
          <w:szCs w:val="16"/>
          <w:lang w:val="es-CR"/>
        </w:rPr>
        <w:tab/>
        <w:t xml:space="preserve">El Estado indicó que “[e]l 4 de agosto de 2016, el Ministerio de Relaciones Exteriores y Culto oficiosamente publicó el escrito de solución amistosa [y] el 29 de noviembre de 2016, […] llevó a cabo la publicación de la Sentencia homologatoria”. </w:t>
      </w:r>
      <w:r w:rsidRPr="00224E09">
        <w:rPr>
          <w:rFonts w:ascii="Verdana" w:hAnsi="Verdana"/>
          <w:sz w:val="16"/>
          <w:szCs w:val="16"/>
          <w:lang w:val="es-ES_tradnl"/>
        </w:rPr>
        <w:t xml:space="preserve">También indicó que dicha publicación se encuentra disponible en el siguiente enlace: </w:t>
      </w:r>
      <w:hyperlink r:id="rId3" w:history="1">
        <w:r w:rsidRPr="00224E09">
          <w:rPr>
            <w:rStyle w:val="Hipervnculo"/>
            <w:rFonts w:ascii="Verdana" w:hAnsi="Verdana"/>
            <w:sz w:val="16"/>
            <w:szCs w:val="16"/>
            <w:lang w:val="es-CR"/>
          </w:rPr>
          <w:t>https://www.rree.go.cr/files/includes/files.php?id=967&amp;tipo=documentos</w:t>
        </w:r>
      </w:hyperlink>
      <w:r w:rsidRPr="00224E09">
        <w:rPr>
          <w:rFonts w:ascii="Verdana" w:hAnsi="Verdana"/>
          <w:sz w:val="16"/>
          <w:szCs w:val="16"/>
          <w:lang w:val="es-CR"/>
        </w:rPr>
        <w:t xml:space="preserve"> y</w:t>
      </w:r>
      <w:r w:rsidRPr="00224E09">
        <w:rPr>
          <w:rFonts w:ascii="Verdana" w:eastAsiaTheme="minorHAnsi" w:hAnsi="Verdana" w:cstheme="minorBidi"/>
          <w:sz w:val="16"/>
          <w:szCs w:val="16"/>
          <w:lang w:val="es-CR"/>
        </w:rPr>
        <w:t xml:space="preserve"> </w:t>
      </w:r>
      <w:hyperlink r:id="rId4" w:history="1">
        <w:r w:rsidRPr="00224E09">
          <w:rPr>
            <w:rStyle w:val="Hipervnculo"/>
            <w:rFonts w:ascii="Verdana" w:hAnsi="Verdana"/>
            <w:sz w:val="16"/>
            <w:szCs w:val="16"/>
            <w:lang w:val="es-CR"/>
          </w:rPr>
          <w:t>https://www.rree.go.cr/files/includes/files.php?id=968&amp;tipo=documentos</w:t>
        </w:r>
      </w:hyperlink>
      <w:r w:rsidRPr="00224E09">
        <w:rPr>
          <w:rFonts w:ascii="Verdana" w:hAnsi="Verdana"/>
          <w:sz w:val="16"/>
          <w:szCs w:val="16"/>
          <w:lang w:val="es-ES"/>
        </w:rPr>
        <w:t xml:space="preserve">. </w:t>
      </w:r>
      <w:r w:rsidRPr="00224E09">
        <w:rPr>
          <w:rFonts w:ascii="Verdana" w:hAnsi="Verdana"/>
          <w:i/>
          <w:iCs/>
          <w:sz w:val="16"/>
          <w:szCs w:val="16"/>
          <w:lang w:val="es-ES"/>
        </w:rPr>
        <w:t>Cfr</w:t>
      </w:r>
      <w:r w:rsidRPr="00224E09">
        <w:rPr>
          <w:rFonts w:ascii="Verdana" w:hAnsi="Verdana"/>
          <w:sz w:val="16"/>
          <w:szCs w:val="16"/>
          <w:lang w:val="es-ES"/>
        </w:rPr>
        <w:t xml:space="preserve">. </w:t>
      </w:r>
      <w:r w:rsidRPr="00224E09">
        <w:rPr>
          <w:rFonts w:ascii="Verdana" w:hAnsi="Verdana"/>
          <w:sz w:val="16"/>
          <w:szCs w:val="16"/>
          <w:lang w:val="es-CR"/>
        </w:rPr>
        <w:t xml:space="preserve">Datos brindados por el Centro de Tecnologías de Información y Comunicación del Ministerio de Relaciones Exteriores y Culto sobre la fecha de publicación y el enlace para la consulta de dicha publicación (anexo al informe estatal de 25 de septiembre de 2019). </w:t>
      </w:r>
    </w:p>
  </w:footnote>
  <w:footnote w:id="14">
    <w:p w14:paraId="47B4FEBC" w14:textId="77777777"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Párr. 57. </w:t>
      </w:r>
    </w:p>
  </w:footnote>
  <w:footnote w:id="15">
    <w:p w14:paraId="059D4F83" w14:textId="1C50C492"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El </w:t>
      </w:r>
      <w:r w:rsidRPr="00224E09">
        <w:rPr>
          <w:rFonts w:ascii="Verdana" w:hAnsi="Verdana"/>
          <w:i/>
          <w:iCs/>
          <w:sz w:val="16"/>
          <w:szCs w:val="16"/>
          <w:lang w:val="es-ES"/>
        </w:rPr>
        <w:t>representante</w:t>
      </w:r>
      <w:r w:rsidRPr="00224E09">
        <w:rPr>
          <w:rFonts w:ascii="Verdana" w:hAnsi="Verdana"/>
          <w:sz w:val="16"/>
          <w:szCs w:val="16"/>
          <w:lang w:val="es-ES"/>
        </w:rPr>
        <w:t xml:space="preserve"> expresó que “concuerda con el informe del Estado”. Asimismo, expresó que “se reconocen [los] esfuerzos de capacitación de funcionarios públicos, en el ámbito de los derechos humanos de interés, esfuerzos que deben ser sostenidos e institucionalizados”. De manera general, </w:t>
      </w:r>
      <w:r w:rsidRPr="00224E09">
        <w:rPr>
          <w:rFonts w:ascii="Verdana" w:hAnsi="Verdana"/>
          <w:i/>
          <w:iCs/>
          <w:sz w:val="16"/>
          <w:szCs w:val="16"/>
          <w:lang w:val="es-ES"/>
        </w:rPr>
        <w:t>la Comisión</w:t>
      </w:r>
      <w:r w:rsidRPr="00224E09">
        <w:rPr>
          <w:rFonts w:ascii="Verdana" w:hAnsi="Verdana"/>
          <w:sz w:val="16"/>
          <w:szCs w:val="16"/>
          <w:lang w:val="es-ES"/>
        </w:rPr>
        <w:t xml:space="preserve"> tomó nota de que “han habido varios avances” en el cumplimiento de la Sentencia. Además, observó que el Estado informó sobre “la realización de un proceso participativo para generar procesos de capacitación en derechos humanos”, los cuales “se encuentran […] en desarrollo”.</w:t>
      </w:r>
    </w:p>
  </w:footnote>
  <w:footnote w:id="16">
    <w:p w14:paraId="7F000690" w14:textId="6191E6B6" w:rsidR="00F233D5" w:rsidRPr="00224E09" w:rsidRDefault="00F233D5" w:rsidP="003447B7">
      <w:pPr>
        <w:pStyle w:val="Textonotapie"/>
        <w:jc w:val="both"/>
        <w:rPr>
          <w:rFonts w:ascii="Verdana" w:hAnsi="Verdana"/>
          <w:b/>
          <w:bCs/>
          <w:sz w:val="16"/>
          <w:szCs w:val="16"/>
          <w:lang w:val="es-CR"/>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sz w:val="16"/>
          <w:szCs w:val="16"/>
          <w:lang w:val="es-CR"/>
        </w:rPr>
        <w:t xml:space="preserve">Cfr. </w:t>
      </w:r>
      <w:r w:rsidRPr="00224E09">
        <w:rPr>
          <w:rFonts w:ascii="Verdana" w:hAnsi="Verdana"/>
          <w:sz w:val="16"/>
          <w:szCs w:val="16"/>
          <w:lang w:val="es-CR"/>
        </w:rPr>
        <w:t xml:space="preserve">Minuta de reunión de trabajo de Caso Gómez Murillo en seguimiento a Sentencia homologatoria de la Corte IDH, de 21 de febrero de 2017 (anexo al informe estatal de 5 de febrero de 2018). </w:t>
      </w:r>
    </w:p>
  </w:footnote>
  <w:footnote w:id="17">
    <w:p w14:paraId="3F08C86F" w14:textId="489B87E5" w:rsidR="00F233D5" w:rsidRPr="00224E09" w:rsidRDefault="00F233D5" w:rsidP="003447B7">
      <w:pPr>
        <w:pStyle w:val="Textonotapie"/>
        <w:jc w:val="both"/>
        <w:rPr>
          <w:rFonts w:ascii="Verdana" w:hAnsi="Verdana"/>
          <w:b/>
          <w:bCs/>
          <w:sz w:val="16"/>
          <w:szCs w:val="16"/>
          <w:lang w:val="es-CR"/>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iCs/>
          <w:sz w:val="16"/>
          <w:szCs w:val="16"/>
          <w:lang w:val="es-ES"/>
        </w:rPr>
        <w:t>Cfr.</w:t>
      </w:r>
      <w:r w:rsidRPr="00224E09">
        <w:rPr>
          <w:rFonts w:ascii="Verdana" w:hAnsi="Verdana"/>
          <w:sz w:val="16"/>
          <w:szCs w:val="16"/>
          <w:lang w:val="es-ES"/>
        </w:rPr>
        <w:t xml:space="preserve"> Oficio DJ-112-2017 de 23 de febrero de 2017 </w:t>
      </w:r>
      <w:r w:rsidRPr="00224E09">
        <w:rPr>
          <w:rFonts w:ascii="Verdana" w:hAnsi="Verdana"/>
          <w:sz w:val="16"/>
          <w:szCs w:val="16"/>
          <w:lang w:val="es-CR"/>
        </w:rPr>
        <w:t xml:space="preserve">suscrito por el Agente del presente caso ante la Corte Interamericana, dirigido </w:t>
      </w:r>
      <w:r w:rsidRPr="00224E09">
        <w:rPr>
          <w:rFonts w:ascii="Verdana" w:hAnsi="Verdana"/>
          <w:sz w:val="16"/>
          <w:szCs w:val="16"/>
          <w:lang w:val="es-ES"/>
        </w:rPr>
        <w:t xml:space="preserve">al Consejo Directivo de la Escuela Judicial Licenciado Édgar Cervantes Villalta (anexo al informe estatal de 5 de febrero de 2018). </w:t>
      </w:r>
    </w:p>
  </w:footnote>
  <w:footnote w:id="18">
    <w:p w14:paraId="4EFE298F" w14:textId="44395B62"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ab/>
      </w:r>
      <w:r w:rsidRPr="00224E09">
        <w:rPr>
          <w:rFonts w:ascii="Verdana" w:hAnsi="Verdana"/>
          <w:i/>
          <w:iCs/>
          <w:sz w:val="16"/>
          <w:szCs w:val="16"/>
          <w:lang w:val="es-ES"/>
        </w:rPr>
        <w:t>Cfr</w:t>
      </w:r>
      <w:r w:rsidRPr="00224E09">
        <w:rPr>
          <w:rFonts w:ascii="Verdana" w:hAnsi="Verdana"/>
          <w:sz w:val="16"/>
          <w:szCs w:val="16"/>
          <w:lang w:val="es-ES"/>
        </w:rPr>
        <w:t xml:space="preserve">. “Minuta de la reunión con la academia y la sociedad civil” de 3 de julio de 2017 (anexo al informe estatal de 5 de febrero de 2018). </w:t>
      </w:r>
    </w:p>
  </w:footnote>
  <w:footnote w:id="19">
    <w:p w14:paraId="078D279F" w14:textId="7A83514B"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Participaron las señoras Delia Rivas Valdés, Gabriela Arguedas Ramírez y Ana Cristina Castillo como “invitadas de la academia y la sociedad civil”. También se había invitado a otras dos mujeres representantes de la sociedad civil y a la Directora Ejecutiva del Centro de Desarrollo Estratégico e Información en Salud y Seguridad Social, quienes no pudieron Asistir. Además, estuvieron presentes funcionarias de la Defensoría de los Habitantes, del Ministerio de Relaciones Exteriores y Culto y las agentes del caso, quienes son asesoras legales de la Presidencia de la República. Para la reunión “[s]e establecieron cuatro temáticas claves a manera de reflexión”, entre ellas: “¿[c]</w:t>
      </w:r>
      <w:proofErr w:type="spellStart"/>
      <w:r w:rsidRPr="00224E09">
        <w:rPr>
          <w:rFonts w:ascii="Verdana" w:hAnsi="Verdana"/>
          <w:sz w:val="16"/>
          <w:szCs w:val="16"/>
          <w:lang w:val="es-ES"/>
        </w:rPr>
        <w:t>ómo</w:t>
      </w:r>
      <w:proofErr w:type="spellEnd"/>
      <w:r w:rsidRPr="00224E09">
        <w:rPr>
          <w:rFonts w:ascii="Verdana" w:hAnsi="Verdana"/>
          <w:sz w:val="16"/>
          <w:szCs w:val="16"/>
          <w:lang w:val="es-ES"/>
        </w:rPr>
        <w:t xml:space="preserve"> [valoran] el escenario actual de derechos sexuales y reproductivos [en Costa Rica]?, ¿[e]l Estado ha avanzado en este tema con posterioridad a la Sentencia del caso Artavia Murillo?, ¿[c]</w:t>
      </w:r>
      <w:proofErr w:type="spellStart"/>
      <w:r w:rsidRPr="00224E09">
        <w:rPr>
          <w:rFonts w:ascii="Verdana" w:hAnsi="Verdana"/>
          <w:sz w:val="16"/>
          <w:szCs w:val="16"/>
          <w:lang w:val="es-ES"/>
        </w:rPr>
        <w:t>uáles</w:t>
      </w:r>
      <w:proofErr w:type="spellEnd"/>
      <w:r w:rsidRPr="00224E09">
        <w:rPr>
          <w:rFonts w:ascii="Verdana" w:hAnsi="Verdana"/>
          <w:sz w:val="16"/>
          <w:szCs w:val="16"/>
          <w:lang w:val="es-ES"/>
        </w:rPr>
        <w:t xml:space="preserve"> son los desafíos para el Estado en esta materia? ¿[q]</w:t>
      </w:r>
      <w:proofErr w:type="spellStart"/>
      <w:r w:rsidRPr="00224E09">
        <w:rPr>
          <w:rFonts w:ascii="Verdana" w:hAnsi="Verdana"/>
          <w:sz w:val="16"/>
          <w:szCs w:val="16"/>
          <w:lang w:val="es-ES"/>
        </w:rPr>
        <w:t>ué</w:t>
      </w:r>
      <w:proofErr w:type="spellEnd"/>
      <w:r w:rsidRPr="00224E09">
        <w:rPr>
          <w:rFonts w:ascii="Verdana" w:hAnsi="Verdana"/>
          <w:sz w:val="16"/>
          <w:szCs w:val="16"/>
          <w:lang w:val="es-ES"/>
        </w:rPr>
        <w:t xml:space="preserve"> más se debe hacer?, y ¿[c]</w:t>
      </w:r>
      <w:proofErr w:type="spellStart"/>
      <w:r w:rsidRPr="00224E09">
        <w:rPr>
          <w:rFonts w:ascii="Verdana" w:hAnsi="Verdana"/>
          <w:sz w:val="16"/>
          <w:szCs w:val="16"/>
          <w:lang w:val="es-ES"/>
        </w:rPr>
        <w:t>ómo</w:t>
      </w:r>
      <w:proofErr w:type="spellEnd"/>
      <w:r w:rsidRPr="00224E09">
        <w:rPr>
          <w:rFonts w:ascii="Verdana" w:hAnsi="Verdana"/>
          <w:sz w:val="16"/>
          <w:szCs w:val="16"/>
          <w:lang w:val="es-ES"/>
        </w:rPr>
        <w:t xml:space="preserve"> se debería desarrollar el proceso de capacitación de servidoras y servidores públicos y en manos de quien debería estar para lograr su consolidación?”. </w:t>
      </w:r>
    </w:p>
  </w:footnote>
  <w:footnote w:id="20">
    <w:p w14:paraId="4D35BBFA" w14:textId="6888BA0E"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El Estado explicó que “[e]n un primer taller, realizado los días 17, 24 y 31 de agosto de 2017, se incluyó a 2 funcionarios del Centro de Desarrollo Estratégico e Información en Salud y Seguridad Social (CENDEISS). En las fechas 06 y 20 de octubre y 03 y 17 de noviembre de 2017, se realizó un segundo Taller sobre Derechos Humanos y Estándares interamericanos, con la participación de servidores de la Presidencia de la República, Ministerio de Relaciones Exteriores y Culto, y la C[aja Costarricense de Seguro Social]. Finalmente, el 23 de noviembre, 06 y 13 de diciembre de 2017, se realizó un nuevo Taller de Derechos Sexuales y Reproductivos, con la participación de servidores del CENDEISS, correspondientes a la Subárea de Posgrado y Campos Docentes del CENDEISS, Hospital México y Hospital de las Mujeres Dr. Adolfo Carit Eva”. </w:t>
      </w:r>
    </w:p>
  </w:footnote>
  <w:footnote w:id="21">
    <w:p w14:paraId="21794F06" w14:textId="08B43C70"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color w:val="000000" w:themeColor="text1"/>
          <w:sz w:val="16"/>
          <w:szCs w:val="16"/>
          <w:lang w:val="es-CR"/>
        </w:rPr>
        <w:t xml:space="preserve">Cfr. Caso Artavia Murillo y otros (“Fecundación In Vitro”) Vs. Costa Rica. </w:t>
      </w:r>
      <w:r w:rsidRPr="00224E09">
        <w:rPr>
          <w:rStyle w:val="Textoennegrita"/>
          <w:rFonts w:ascii="Verdana" w:hAnsi="Verdana"/>
          <w:b w:val="0"/>
          <w:i/>
          <w:color w:val="000000"/>
          <w:sz w:val="16"/>
          <w:szCs w:val="16"/>
          <w:shd w:val="clear" w:color="auto" w:fill="FFFFFF"/>
          <w:lang w:val="es-CR"/>
        </w:rPr>
        <w:t xml:space="preserve">Excepciones Preliminares, Fondo, Reparaciones y Costas. </w:t>
      </w:r>
      <w:r w:rsidRPr="00224E09">
        <w:rPr>
          <w:rStyle w:val="Textoennegrita"/>
          <w:rFonts w:ascii="Verdana" w:hAnsi="Verdana"/>
          <w:b w:val="0"/>
          <w:color w:val="000000"/>
          <w:sz w:val="16"/>
          <w:szCs w:val="16"/>
          <w:shd w:val="clear" w:color="auto" w:fill="FFFFFF"/>
          <w:lang w:val="es-CR"/>
        </w:rPr>
        <w:t>Sentencia de 28 de noviembre de 2012. Serie C No. 257,</w:t>
      </w:r>
      <w:r w:rsidRPr="00224E09">
        <w:rPr>
          <w:rFonts w:ascii="Verdana" w:hAnsi="Verdana"/>
          <w:color w:val="000000" w:themeColor="text1"/>
          <w:sz w:val="16"/>
          <w:szCs w:val="16"/>
          <w:lang w:val="es-CR"/>
        </w:rPr>
        <w:t xml:space="preserve"> punto dispositivo sexto y párr. 341, y </w:t>
      </w:r>
      <w:r w:rsidRPr="00224E09">
        <w:rPr>
          <w:rFonts w:ascii="Verdana" w:hAnsi="Verdana"/>
          <w:i/>
          <w:iCs/>
          <w:color w:val="000000" w:themeColor="text1"/>
          <w:sz w:val="16"/>
          <w:szCs w:val="16"/>
          <w:lang w:val="es-CR"/>
        </w:rPr>
        <w:t>Caso Artavia Murillo y otros (“Fecundación In Vitro”) Vs. Costa Rica. Supervisión de Cumplimiento de Sentencia</w:t>
      </w:r>
      <w:r w:rsidRPr="00224E09">
        <w:rPr>
          <w:rFonts w:ascii="Verdana" w:hAnsi="Verdana"/>
          <w:color w:val="000000" w:themeColor="text1"/>
          <w:sz w:val="16"/>
          <w:szCs w:val="16"/>
          <w:lang w:val="es-CR"/>
        </w:rPr>
        <w:t>. Resolución de la Corte Interamericana de Derechos Humanos de 26 de febrero de 2016, Considerandos 57 a 65.</w:t>
      </w:r>
    </w:p>
  </w:footnote>
  <w:footnote w:id="22">
    <w:p w14:paraId="45D94D8E" w14:textId="4944195C" w:rsidR="00F233D5" w:rsidRPr="00224E09" w:rsidRDefault="00F233D5" w:rsidP="003447B7">
      <w:pPr>
        <w:pStyle w:val="Textonotapie"/>
        <w:jc w:val="both"/>
        <w:rPr>
          <w:rFonts w:ascii="Verdana" w:hAnsi="Verdana"/>
          <w:b/>
          <w:bCs/>
          <w:sz w:val="16"/>
          <w:szCs w:val="16"/>
          <w:lang w:val="es-CR"/>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iCs/>
          <w:sz w:val="16"/>
          <w:szCs w:val="16"/>
          <w:lang w:val="es-ES"/>
        </w:rPr>
        <w:t>Cfr.</w:t>
      </w:r>
      <w:r w:rsidRPr="00224E09">
        <w:rPr>
          <w:rFonts w:ascii="Verdana" w:hAnsi="Verdana"/>
          <w:sz w:val="16"/>
          <w:szCs w:val="16"/>
          <w:lang w:val="es-ES"/>
        </w:rPr>
        <w:t xml:space="preserve"> Oficio DJ-112-2017 de 23 de febrero de 2017, </w:t>
      </w:r>
      <w:r w:rsidRPr="00224E09">
        <w:rPr>
          <w:rFonts w:ascii="Verdana" w:hAnsi="Verdana"/>
          <w:i/>
          <w:sz w:val="16"/>
          <w:szCs w:val="16"/>
          <w:lang w:val="es-ES"/>
        </w:rPr>
        <w:t xml:space="preserve">supra </w:t>
      </w:r>
      <w:r w:rsidRPr="00224E09">
        <w:rPr>
          <w:rFonts w:ascii="Verdana" w:hAnsi="Verdana"/>
          <w:sz w:val="16"/>
          <w:szCs w:val="16"/>
          <w:lang w:val="es-ES"/>
        </w:rPr>
        <w:t xml:space="preserve">nota 17. </w:t>
      </w:r>
    </w:p>
  </w:footnote>
  <w:footnote w:id="23">
    <w:p w14:paraId="3FAEBB78" w14:textId="77777777"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Párr. 57. </w:t>
      </w:r>
    </w:p>
  </w:footnote>
  <w:footnote w:id="24">
    <w:p w14:paraId="2D5ABD51" w14:textId="6D6A4B52"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iCs/>
          <w:sz w:val="16"/>
          <w:szCs w:val="16"/>
          <w:lang w:val="es-ES"/>
        </w:rPr>
        <w:t>Cfr</w:t>
      </w:r>
      <w:r w:rsidRPr="00224E09">
        <w:rPr>
          <w:rFonts w:ascii="Verdana" w:hAnsi="Verdana"/>
          <w:sz w:val="16"/>
          <w:szCs w:val="16"/>
          <w:lang w:val="es-ES"/>
        </w:rPr>
        <w:t>. “Informe referente al proceso de acatamiento del punto resolutivo [sexto, literal d)] de la Sentencia sobre el Caso Gómez Murillo y otros Vs. Costa Rica</w:t>
      </w:r>
      <w:r w:rsidR="00514D5C" w:rsidRPr="00224E09">
        <w:rPr>
          <w:rFonts w:ascii="Verdana" w:hAnsi="Verdana"/>
          <w:sz w:val="16"/>
          <w:szCs w:val="16"/>
          <w:lang w:val="es-ES"/>
        </w:rPr>
        <w:t>”</w:t>
      </w:r>
      <w:r w:rsidRPr="00224E09">
        <w:rPr>
          <w:rFonts w:ascii="Verdana" w:hAnsi="Verdana"/>
          <w:sz w:val="16"/>
          <w:szCs w:val="16"/>
          <w:lang w:val="es-ES"/>
        </w:rPr>
        <w:t>, elaborado por el despacho de la Ministra de Educación Pública (anexo al informe estatal de 5 de febrero de 2018).</w:t>
      </w:r>
    </w:p>
  </w:footnote>
  <w:footnote w:id="25">
    <w:p w14:paraId="0D1D9449" w14:textId="1282A791" w:rsidR="00F233D5" w:rsidRPr="00224E09" w:rsidRDefault="00F233D5" w:rsidP="00003A31">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En este documento se indica que se abordan los derechos a la vida, a la familia, al nombre, a la identidad, a la protección, a la seguridad, a la salud y a la educación, a la libertad de expresión, a la identidad cultural y a la autodeterminación de los pueblos, a un ambiente saludable, al desarrollo sostenible, a la protección de la vida natural y preservación de las especies, a la libertad individual, a la libertad de culto y la diversidad, a la igualdad, a la paz, a la identidad de género, a la participación política, a la asociación, al voto, al trabajo, entre otros. </w:t>
      </w:r>
      <w:r w:rsidRPr="00224E09">
        <w:rPr>
          <w:rFonts w:ascii="Verdana" w:hAnsi="Verdana"/>
          <w:i/>
          <w:iCs/>
          <w:sz w:val="16"/>
          <w:szCs w:val="16"/>
          <w:lang w:val="es-ES"/>
        </w:rPr>
        <w:t>Cfr</w:t>
      </w:r>
      <w:r w:rsidRPr="00224E09">
        <w:rPr>
          <w:rFonts w:ascii="Verdana" w:hAnsi="Verdana"/>
          <w:sz w:val="16"/>
          <w:szCs w:val="16"/>
          <w:lang w:val="es-ES"/>
        </w:rPr>
        <w:t>. Cuadro de Contenidos sobre Derechos Humanos que se abordan en los programas de estudio de Estudios Sociales y Educación Cívica de Primaria y Secundaria, elaborado por el Ministerio de Educación Pública de Costa Rica (anexo al informe es</w:t>
      </w:r>
      <w:r w:rsidR="00224E09">
        <w:rPr>
          <w:rFonts w:ascii="Verdana" w:hAnsi="Verdana"/>
          <w:sz w:val="16"/>
          <w:szCs w:val="16"/>
          <w:lang w:val="es-ES"/>
        </w:rPr>
        <w:t>tatal de 5 de febrero de 2018).</w:t>
      </w:r>
    </w:p>
  </w:footnote>
  <w:footnote w:id="26">
    <w:p w14:paraId="42CE6F6A" w14:textId="0DB5FCC7"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iCs/>
          <w:sz w:val="16"/>
          <w:szCs w:val="16"/>
          <w:lang w:val="es-ES"/>
        </w:rPr>
        <w:t>Cfr</w:t>
      </w:r>
      <w:r w:rsidRPr="00224E09">
        <w:rPr>
          <w:rFonts w:ascii="Verdana" w:hAnsi="Verdana"/>
          <w:sz w:val="16"/>
          <w:szCs w:val="16"/>
          <w:lang w:val="es-ES"/>
        </w:rPr>
        <w:t xml:space="preserve">. Oficio CSE-SG-0401-2017 de 23 de mayo de 2017, emitido por el Consejo </w:t>
      </w:r>
      <w:r w:rsidR="00514D5C" w:rsidRPr="00224E09">
        <w:rPr>
          <w:rFonts w:ascii="Verdana" w:hAnsi="Verdana"/>
          <w:sz w:val="16"/>
          <w:szCs w:val="16"/>
          <w:lang w:val="es-ES"/>
        </w:rPr>
        <w:t xml:space="preserve">Superior </w:t>
      </w:r>
      <w:r w:rsidRPr="00224E09">
        <w:rPr>
          <w:rFonts w:ascii="Verdana" w:hAnsi="Verdana"/>
          <w:sz w:val="16"/>
          <w:szCs w:val="16"/>
          <w:lang w:val="es-ES"/>
        </w:rPr>
        <w:t>de Educación de Costa Rica, y Programa de estudio de Educación para la afectividad y Sexualidad Integral para III ciclo</w:t>
      </w:r>
      <w:r w:rsidR="00514D5C" w:rsidRPr="00224E09">
        <w:rPr>
          <w:rFonts w:ascii="Verdana" w:hAnsi="Verdana"/>
          <w:sz w:val="16"/>
          <w:szCs w:val="16"/>
          <w:lang w:val="es-ES"/>
        </w:rPr>
        <w:t xml:space="preserve"> de educación general básica</w:t>
      </w:r>
      <w:r w:rsidRPr="00224E09">
        <w:rPr>
          <w:rFonts w:ascii="Verdana" w:hAnsi="Verdana"/>
          <w:sz w:val="16"/>
          <w:szCs w:val="16"/>
          <w:lang w:val="es-ES"/>
        </w:rPr>
        <w:t xml:space="preserve"> (anexos al informe estatal de 5 de febrero de 2018)</w:t>
      </w:r>
      <w:r w:rsidR="00514D5C" w:rsidRPr="00224E09">
        <w:rPr>
          <w:rFonts w:ascii="Verdana" w:hAnsi="Verdana"/>
          <w:sz w:val="16"/>
          <w:szCs w:val="16"/>
          <w:lang w:val="es-ES"/>
        </w:rPr>
        <w:t>.</w:t>
      </w:r>
    </w:p>
  </w:footnote>
  <w:footnote w:id="27">
    <w:p w14:paraId="04950682" w14:textId="4BB04417"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iCs/>
          <w:sz w:val="16"/>
          <w:szCs w:val="16"/>
          <w:lang w:val="es-ES"/>
        </w:rPr>
        <w:t>Cfr</w:t>
      </w:r>
      <w:r w:rsidRPr="00224E09">
        <w:rPr>
          <w:rFonts w:ascii="Verdana" w:hAnsi="Verdana"/>
          <w:sz w:val="16"/>
          <w:szCs w:val="16"/>
          <w:lang w:val="es-ES"/>
        </w:rPr>
        <w:t xml:space="preserve">. Oficio CSE-SG-0664-2017 de 18 de julio de 2017, emitido por el Consejo </w:t>
      </w:r>
      <w:r w:rsidR="00514D5C" w:rsidRPr="00224E09">
        <w:rPr>
          <w:rFonts w:ascii="Verdana" w:hAnsi="Verdana"/>
          <w:sz w:val="16"/>
          <w:szCs w:val="16"/>
          <w:lang w:val="es-ES"/>
        </w:rPr>
        <w:t xml:space="preserve">Superior </w:t>
      </w:r>
      <w:r w:rsidRPr="00224E09">
        <w:rPr>
          <w:rFonts w:ascii="Verdana" w:hAnsi="Verdana"/>
          <w:sz w:val="16"/>
          <w:szCs w:val="16"/>
          <w:lang w:val="es-ES"/>
        </w:rPr>
        <w:t xml:space="preserve">de Educación </w:t>
      </w:r>
      <w:r w:rsidR="00514D5C" w:rsidRPr="00224E09">
        <w:rPr>
          <w:rFonts w:ascii="Verdana" w:hAnsi="Verdana"/>
          <w:sz w:val="16"/>
          <w:szCs w:val="16"/>
          <w:lang w:val="es-ES"/>
        </w:rPr>
        <w:t>de Costa Rica</w:t>
      </w:r>
      <w:r w:rsidRPr="00224E09">
        <w:rPr>
          <w:rFonts w:ascii="Verdana" w:hAnsi="Verdana"/>
          <w:sz w:val="16"/>
          <w:szCs w:val="16"/>
          <w:lang w:val="es-ES"/>
        </w:rPr>
        <w:t xml:space="preserve">, y Programa de estudio de Afectividad y Sexualidad Integral para Educación Diversificada (anexos al informe estatal de 5 de febrero de 2018). </w:t>
      </w:r>
    </w:p>
  </w:footnote>
  <w:footnote w:id="28">
    <w:p w14:paraId="64276A43" w14:textId="4430FABA" w:rsidR="00F233D5" w:rsidRPr="00224E09" w:rsidRDefault="00F233D5" w:rsidP="003447B7">
      <w:pPr>
        <w:pStyle w:val="Textonotapie"/>
        <w:jc w:val="both"/>
        <w:rPr>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iCs/>
          <w:sz w:val="16"/>
          <w:szCs w:val="16"/>
          <w:lang w:val="es-ES"/>
        </w:rPr>
        <w:t>Cfr</w:t>
      </w:r>
      <w:r w:rsidRPr="00224E09">
        <w:rPr>
          <w:rFonts w:ascii="Verdana" w:hAnsi="Verdana"/>
          <w:sz w:val="16"/>
          <w:szCs w:val="16"/>
          <w:lang w:val="es-ES"/>
        </w:rPr>
        <w:t xml:space="preserve">. Informe elaborado por el despacho de la Ministra de Educación Pública, </w:t>
      </w:r>
      <w:r w:rsidRPr="00224E09">
        <w:rPr>
          <w:rFonts w:ascii="Verdana" w:hAnsi="Verdana"/>
          <w:i/>
          <w:sz w:val="16"/>
          <w:szCs w:val="16"/>
          <w:lang w:val="es-ES"/>
        </w:rPr>
        <w:t>supra</w:t>
      </w:r>
      <w:r w:rsidRPr="00224E09">
        <w:rPr>
          <w:rFonts w:ascii="Verdana" w:hAnsi="Verdana"/>
          <w:sz w:val="16"/>
          <w:szCs w:val="16"/>
          <w:lang w:val="es-ES"/>
        </w:rPr>
        <w:t xml:space="preserve"> nota </w:t>
      </w:r>
      <w:r w:rsidR="00514D5C" w:rsidRPr="00224E09">
        <w:rPr>
          <w:rFonts w:ascii="Verdana" w:hAnsi="Verdana"/>
          <w:sz w:val="16"/>
          <w:szCs w:val="16"/>
          <w:lang w:val="es-ES"/>
        </w:rPr>
        <w:t xml:space="preserve">24. </w:t>
      </w:r>
    </w:p>
  </w:footnote>
  <w:footnote w:id="29">
    <w:p w14:paraId="57247FA7" w14:textId="3AAC6C1D"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Indicó que estaría “liderada por el </w:t>
      </w:r>
      <w:proofErr w:type="gramStart"/>
      <w:r w:rsidRPr="00224E09">
        <w:rPr>
          <w:rFonts w:ascii="Verdana" w:hAnsi="Verdana"/>
          <w:sz w:val="16"/>
          <w:szCs w:val="16"/>
          <w:lang w:val="es-ES"/>
        </w:rPr>
        <w:t>M[</w:t>
      </w:r>
      <w:proofErr w:type="spellStart"/>
      <w:proofErr w:type="gramEnd"/>
      <w:r w:rsidRPr="00224E09">
        <w:rPr>
          <w:rFonts w:ascii="Verdana" w:hAnsi="Verdana"/>
          <w:sz w:val="16"/>
          <w:szCs w:val="16"/>
          <w:lang w:val="es-ES"/>
        </w:rPr>
        <w:t>inisterio</w:t>
      </w:r>
      <w:proofErr w:type="spellEnd"/>
      <w:r w:rsidRPr="00224E09">
        <w:rPr>
          <w:rFonts w:ascii="Verdana" w:hAnsi="Verdana"/>
          <w:sz w:val="16"/>
          <w:szCs w:val="16"/>
          <w:lang w:val="es-ES"/>
        </w:rPr>
        <w:t xml:space="preserve"> de Educación Pública], e integrada por el Ministerio de Justicia y Paz, el Ministerio de Planificación y Política Económica y el Ministerio de Cultura y Juventud”.</w:t>
      </w:r>
    </w:p>
  </w:footnote>
  <w:footnote w:id="30">
    <w:p w14:paraId="2E42186A" w14:textId="77777777"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t xml:space="preserve">Párr. 57. </w:t>
      </w:r>
    </w:p>
  </w:footnote>
  <w:footnote w:id="31">
    <w:p w14:paraId="38AF5FD1" w14:textId="29B0C720"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Pr="00224E09">
        <w:rPr>
          <w:rFonts w:ascii="Verdana" w:hAnsi="Verdana"/>
          <w:i/>
          <w:iCs/>
          <w:sz w:val="16"/>
          <w:szCs w:val="16"/>
          <w:lang w:val="es-ES"/>
        </w:rPr>
        <w:t>Cfr.</w:t>
      </w:r>
      <w:r w:rsidRPr="00224E09">
        <w:rPr>
          <w:rFonts w:ascii="Verdana" w:hAnsi="Verdana"/>
          <w:sz w:val="16"/>
          <w:szCs w:val="16"/>
          <w:lang w:val="es-ES"/>
        </w:rPr>
        <w:t xml:space="preserve"> Oficio </w:t>
      </w:r>
      <w:r w:rsidRPr="00224E09">
        <w:rPr>
          <w:rFonts w:ascii="Verdana" w:hAnsi="Verdana"/>
          <w:sz w:val="16"/>
          <w:szCs w:val="16"/>
          <w:lang w:val="es-CR"/>
        </w:rPr>
        <w:t xml:space="preserve">DJ-031-2018 de 19 de enero de 2018 suscrito por el Agente </w:t>
      </w:r>
      <w:r w:rsidR="00C71F60" w:rsidRPr="00224E09">
        <w:rPr>
          <w:rFonts w:ascii="Verdana" w:hAnsi="Verdana"/>
          <w:sz w:val="16"/>
          <w:szCs w:val="16"/>
          <w:lang w:val="es-CR"/>
        </w:rPr>
        <w:t xml:space="preserve"> del presente caso ante la Corte Interamericana</w:t>
      </w:r>
      <w:r w:rsidRPr="00224E09">
        <w:rPr>
          <w:rFonts w:ascii="Verdana" w:hAnsi="Verdana"/>
          <w:sz w:val="16"/>
          <w:szCs w:val="16"/>
          <w:lang w:val="es-CR"/>
        </w:rPr>
        <w:t xml:space="preserve">, dirigido a la Directora de la Escuela Judicial </w:t>
      </w:r>
      <w:r w:rsidR="00C71F60" w:rsidRPr="00224E09">
        <w:rPr>
          <w:rFonts w:ascii="Verdana" w:hAnsi="Verdana"/>
          <w:sz w:val="16"/>
          <w:szCs w:val="16"/>
          <w:lang w:val="es-CR"/>
        </w:rPr>
        <w:t>Licenciado Édgar Cervantes Villalta</w:t>
      </w:r>
      <w:r w:rsidRPr="00224E09">
        <w:rPr>
          <w:rFonts w:ascii="Verdana" w:hAnsi="Verdana"/>
          <w:sz w:val="16"/>
          <w:szCs w:val="16"/>
          <w:lang w:val="es-CR"/>
        </w:rPr>
        <w:t xml:space="preserve"> (anexo al informe estatal de 5 de febrero de 2018). </w:t>
      </w:r>
    </w:p>
  </w:footnote>
  <w:footnote w:id="32">
    <w:p w14:paraId="3AFBAF71" w14:textId="4430F685" w:rsidR="00F233D5" w:rsidRPr="00224E09" w:rsidRDefault="00F233D5" w:rsidP="003447B7">
      <w:pPr>
        <w:pStyle w:val="Textonotapie"/>
        <w:jc w:val="both"/>
        <w:rPr>
          <w:rFonts w:ascii="Verdana" w:hAnsi="Verdana"/>
          <w:sz w:val="16"/>
          <w:szCs w:val="16"/>
          <w:lang w:val="es-ES"/>
        </w:rPr>
      </w:pPr>
      <w:r w:rsidRPr="00224E09">
        <w:rPr>
          <w:rStyle w:val="Refdenotaalpie"/>
          <w:rFonts w:ascii="Verdana" w:hAnsi="Verdana"/>
          <w:sz w:val="16"/>
          <w:szCs w:val="16"/>
        </w:rPr>
        <w:footnoteRef/>
      </w:r>
      <w:r w:rsidRPr="00224E09">
        <w:rPr>
          <w:rFonts w:ascii="Verdana" w:hAnsi="Verdana"/>
          <w:sz w:val="16"/>
          <w:szCs w:val="16"/>
          <w:lang w:val="es-ES"/>
        </w:rPr>
        <w:t xml:space="preserve"> </w:t>
      </w:r>
      <w:r w:rsidRPr="00224E09">
        <w:rPr>
          <w:rFonts w:ascii="Verdana" w:hAnsi="Verdana"/>
          <w:sz w:val="16"/>
          <w:szCs w:val="16"/>
          <w:lang w:val="es-ES"/>
        </w:rPr>
        <w:tab/>
      </w:r>
      <w:r w:rsidR="00C71F60" w:rsidRPr="00224E09">
        <w:rPr>
          <w:rFonts w:ascii="Verdana" w:hAnsi="Verdana"/>
          <w:i/>
          <w:iCs/>
          <w:sz w:val="16"/>
          <w:szCs w:val="16"/>
          <w:lang w:val="es-ES"/>
        </w:rPr>
        <w:t xml:space="preserve">Cfr. </w:t>
      </w:r>
      <w:r w:rsidRPr="00224E09">
        <w:rPr>
          <w:rFonts w:ascii="Verdana" w:hAnsi="Verdana"/>
          <w:sz w:val="16"/>
          <w:szCs w:val="16"/>
          <w:lang w:val="es-ES"/>
        </w:rPr>
        <w:t>Oficio EJ-DIR-014-2018 de 22 de enero de 2018 suscrito por la Directora de la Escuela Judicial</w:t>
      </w:r>
      <w:r w:rsidR="00C71F60" w:rsidRPr="00224E09">
        <w:rPr>
          <w:rFonts w:ascii="Verdana" w:hAnsi="Verdana"/>
          <w:sz w:val="16"/>
          <w:szCs w:val="16"/>
          <w:lang w:val="es-ES"/>
        </w:rPr>
        <w:t xml:space="preserve"> </w:t>
      </w:r>
      <w:r w:rsidR="00C71F60" w:rsidRPr="00224E09">
        <w:rPr>
          <w:rFonts w:ascii="Verdana" w:hAnsi="Verdana"/>
          <w:sz w:val="16"/>
          <w:szCs w:val="16"/>
          <w:lang w:val="es-CR"/>
        </w:rPr>
        <w:t>Licenciado Édgar Cervantes Villalta</w:t>
      </w:r>
      <w:r w:rsidRPr="00224E09">
        <w:rPr>
          <w:rFonts w:ascii="Verdana" w:hAnsi="Verdana"/>
          <w:sz w:val="16"/>
          <w:szCs w:val="16"/>
          <w:lang w:val="es-ES"/>
        </w:rPr>
        <w:t xml:space="preserve">, dirigido al Agente </w:t>
      </w:r>
      <w:r w:rsidR="00C71F60" w:rsidRPr="00224E09">
        <w:rPr>
          <w:rFonts w:ascii="Verdana" w:hAnsi="Verdana"/>
          <w:sz w:val="16"/>
          <w:szCs w:val="16"/>
          <w:lang w:val="es-CR"/>
        </w:rPr>
        <w:t>del presente caso ante la Corte Interamericana</w:t>
      </w:r>
      <w:r w:rsidRPr="00224E09">
        <w:rPr>
          <w:rFonts w:ascii="Verdana" w:hAnsi="Verdana"/>
          <w:sz w:val="16"/>
          <w:szCs w:val="16"/>
          <w:lang w:val="es-CR"/>
        </w:rPr>
        <w:t xml:space="preserve"> (anexo al informe estatal de 5 de febrero de 2018). </w:t>
      </w:r>
    </w:p>
  </w:footnote>
  <w:footnote w:id="33">
    <w:p w14:paraId="648645B6" w14:textId="256E1E97" w:rsidR="00F233D5" w:rsidRPr="00224E09" w:rsidRDefault="00F233D5" w:rsidP="003447B7">
      <w:pPr>
        <w:pStyle w:val="Textonotapie"/>
        <w:jc w:val="both"/>
        <w:rPr>
          <w:rFonts w:ascii="Verdana" w:hAnsi="Verdana"/>
          <w:sz w:val="16"/>
          <w:szCs w:val="16"/>
          <w:lang w:val="es-CR"/>
        </w:rPr>
      </w:pPr>
      <w:r w:rsidRPr="00224E09">
        <w:rPr>
          <w:rStyle w:val="Refdenotaalpie"/>
          <w:rFonts w:ascii="Verdana" w:hAnsi="Verdana"/>
          <w:sz w:val="16"/>
          <w:szCs w:val="16"/>
          <w:lang w:val="es-CR"/>
        </w:rPr>
        <w:footnoteRef/>
      </w:r>
      <w:r w:rsidRPr="00224E09">
        <w:rPr>
          <w:rFonts w:ascii="Verdana" w:hAnsi="Verdana"/>
          <w:sz w:val="16"/>
          <w:szCs w:val="16"/>
          <w:lang w:val="es-CR"/>
        </w:rPr>
        <w:t xml:space="preserve"> </w:t>
      </w:r>
      <w:r w:rsidRPr="00224E09">
        <w:rPr>
          <w:rFonts w:ascii="Verdana" w:hAnsi="Verdana"/>
          <w:sz w:val="16"/>
          <w:szCs w:val="16"/>
          <w:lang w:val="es-CR"/>
        </w:rPr>
        <w:tab/>
        <w:t xml:space="preserve">En el párrafo 58 “[el] Tribunal </w:t>
      </w:r>
      <w:proofErr w:type="spellStart"/>
      <w:r w:rsidRPr="00224E09">
        <w:rPr>
          <w:rFonts w:ascii="Verdana" w:hAnsi="Verdana"/>
          <w:sz w:val="16"/>
          <w:szCs w:val="16"/>
          <w:lang w:val="es-CR"/>
        </w:rPr>
        <w:t>homolog</w:t>
      </w:r>
      <w:proofErr w:type="spellEnd"/>
      <w:r w:rsidRPr="00224E09">
        <w:rPr>
          <w:rFonts w:ascii="Verdana" w:hAnsi="Verdana"/>
          <w:sz w:val="16"/>
          <w:szCs w:val="16"/>
          <w:lang w:val="es-CR"/>
        </w:rPr>
        <w:t>[</w:t>
      </w:r>
      <w:proofErr w:type="spellStart"/>
      <w:r w:rsidRPr="00224E09">
        <w:rPr>
          <w:rFonts w:ascii="Verdana" w:hAnsi="Verdana"/>
          <w:sz w:val="16"/>
          <w:szCs w:val="16"/>
          <w:lang w:val="es-CR"/>
        </w:rPr>
        <w:t>ó</w:t>
      </w:r>
      <w:proofErr w:type="spellEnd"/>
      <w:r w:rsidRPr="00224E09">
        <w:rPr>
          <w:rFonts w:ascii="Verdana" w:hAnsi="Verdana"/>
          <w:sz w:val="16"/>
          <w:szCs w:val="16"/>
          <w:lang w:val="es-CR"/>
        </w:rPr>
        <w:t>] las reparaciones asumidas por el Estado de entregar la indemnización compensatoria de US$25.000,00 (veinticinco mil dólares de los Estados Unidos de América) a cada una de [las doce víctimas]” (</w:t>
      </w:r>
      <w:r w:rsidRPr="00224E09">
        <w:rPr>
          <w:rFonts w:ascii="Verdana" w:hAnsi="Verdana"/>
          <w:i/>
          <w:iCs/>
          <w:sz w:val="16"/>
          <w:szCs w:val="16"/>
          <w:lang w:val="es-CR"/>
        </w:rPr>
        <w:t xml:space="preserve">supra </w:t>
      </w:r>
      <w:r w:rsidRPr="00224E09">
        <w:rPr>
          <w:rFonts w:ascii="Verdana" w:hAnsi="Verdana"/>
          <w:sz w:val="16"/>
          <w:szCs w:val="16"/>
          <w:lang w:val="es-CR"/>
        </w:rPr>
        <w:t>nota al pie 3).</w:t>
      </w:r>
    </w:p>
  </w:footnote>
  <w:footnote w:id="34">
    <w:p w14:paraId="0E2D31C9" w14:textId="548DB424" w:rsidR="00F233D5" w:rsidRPr="00224E09" w:rsidRDefault="00F233D5" w:rsidP="003447B7">
      <w:pPr>
        <w:pStyle w:val="Textonotapie"/>
        <w:jc w:val="both"/>
        <w:rPr>
          <w:rFonts w:ascii="Verdana" w:hAnsi="Verdana"/>
          <w:sz w:val="16"/>
          <w:szCs w:val="16"/>
          <w:lang w:val="es-CR"/>
        </w:rPr>
      </w:pPr>
      <w:r w:rsidRPr="00224E09">
        <w:rPr>
          <w:rStyle w:val="Refdenotaalpie"/>
          <w:rFonts w:ascii="Verdana" w:hAnsi="Verdana"/>
          <w:sz w:val="16"/>
          <w:szCs w:val="16"/>
          <w:lang w:val="es-CR"/>
        </w:rPr>
        <w:footnoteRef/>
      </w:r>
      <w:r w:rsidRPr="00224E09">
        <w:rPr>
          <w:rFonts w:ascii="Verdana" w:hAnsi="Verdana"/>
          <w:sz w:val="16"/>
          <w:szCs w:val="16"/>
          <w:lang w:val="es-CR"/>
        </w:rPr>
        <w:t xml:space="preserve"> </w:t>
      </w:r>
      <w:r w:rsidRPr="00224E09">
        <w:rPr>
          <w:rFonts w:ascii="Verdana" w:hAnsi="Verdana"/>
          <w:sz w:val="16"/>
          <w:szCs w:val="16"/>
          <w:lang w:val="es-CR"/>
        </w:rPr>
        <w:tab/>
        <w:t xml:space="preserve">El párrafo 59 </w:t>
      </w:r>
      <w:r w:rsidR="00375CCC" w:rsidRPr="00224E09">
        <w:rPr>
          <w:rFonts w:ascii="Verdana" w:hAnsi="Verdana"/>
          <w:sz w:val="16"/>
          <w:szCs w:val="16"/>
          <w:lang w:val="es-CR"/>
        </w:rPr>
        <w:t>“</w:t>
      </w:r>
      <w:r w:rsidRPr="00224E09">
        <w:rPr>
          <w:rFonts w:ascii="Verdana" w:hAnsi="Verdana"/>
          <w:sz w:val="16"/>
          <w:szCs w:val="16"/>
          <w:lang w:val="es-CR"/>
        </w:rPr>
        <w:t xml:space="preserve">el Tribunal </w:t>
      </w:r>
      <w:proofErr w:type="spellStart"/>
      <w:r w:rsidRPr="00224E09">
        <w:rPr>
          <w:rFonts w:ascii="Verdana" w:hAnsi="Verdana"/>
          <w:sz w:val="16"/>
          <w:szCs w:val="16"/>
          <w:lang w:val="es-CR"/>
        </w:rPr>
        <w:t>homolog</w:t>
      </w:r>
      <w:proofErr w:type="spellEnd"/>
      <w:r w:rsidRPr="00224E09">
        <w:rPr>
          <w:rFonts w:ascii="Verdana" w:hAnsi="Verdana"/>
          <w:sz w:val="16"/>
          <w:szCs w:val="16"/>
          <w:lang w:val="es-CR"/>
        </w:rPr>
        <w:t>[</w:t>
      </w:r>
      <w:proofErr w:type="spellStart"/>
      <w:r w:rsidRPr="00224E09">
        <w:rPr>
          <w:rFonts w:ascii="Verdana" w:hAnsi="Verdana"/>
          <w:sz w:val="16"/>
          <w:szCs w:val="16"/>
          <w:lang w:val="es-CR"/>
        </w:rPr>
        <w:t>ó</w:t>
      </w:r>
      <w:proofErr w:type="spellEnd"/>
      <w:r w:rsidRPr="00224E09">
        <w:rPr>
          <w:rFonts w:ascii="Verdana" w:hAnsi="Verdana"/>
          <w:sz w:val="16"/>
          <w:szCs w:val="16"/>
          <w:lang w:val="es-CR"/>
        </w:rPr>
        <w:t xml:space="preserve">] lo dispuesto en el acuerdo respecto al reintegro de costas y gastos”. En punto octavo del </w:t>
      </w:r>
      <w:r w:rsidR="00375CCC" w:rsidRPr="00224E09">
        <w:rPr>
          <w:rFonts w:ascii="Verdana" w:hAnsi="Verdana"/>
          <w:sz w:val="16"/>
          <w:szCs w:val="16"/>
          <w:lang w:val="es-CR"/>
        </w:rPr>
        <w:t>Acuerdo</w:t>
      </w:r>
      <w:r w:rsidRPr="00224E09">
        <w:rPr>
          <w:rFonts w:ascii="Verdana" w:hAnsi="Verdana"/>
          <w:sz w:val="16"/>
          <w:szCs w:val="16"/>
          <w:lang w:val="es-CR"/>
        </w:rPr>
        <w:t>, se acordó “[r]</w:t>
      </w:r>
      <w:proofErr w:type="spellStart"/>
      <w:r w:rsidRPr="00224E09">
        <w:rPr>
          <w:rFonts w:ascii="Verdana" w:hAnsi="Verdana"/>
          <w:sz w:val="16"/>
          <w:szCs w:val="16"/>
          <w:lang w:val="es-CR"/>
        </w:rPr>
        <w:t>econocer</w:t>
      </w:r>
      <w:proofErr w:type="spellEnd"/>
      <w:r w:rsidRPr="00224E09">
        <w:rPr>
          <w:rFonts w:ascii="Verdana" w:hAnsi="Verdana"/>
          <w:sz w:val="16"/>
          <w:szCs w:val="16"/>
          <w:lang w:val="es-CR"/>
        </w:rPr>
        <w:t xml:space="preserve"> [al representante legal Hubert May Cantillano] el pago de costas personales y procesales generadas como consecuencia de la realización de este proceso ante la Corte Interamericana de Derechos Humanos, las cuales se establecen en la misma suma otorgada en la sentencia del caso Artavia Murillo contra Costa Rica, esto es, un único pago por la suma total de quince mil dólares de los Estados Unidos de América ($15</w:t>
      </w:r>
      <w:r w:rsidR="00A473E2" w:rsidRPr="00224E09">
        <w:rPr>
          <w:rFonts w:ascii="Verdana" w:hAnsi="Verdana"/>
          <w:sz w:val="16"/>
          <w:szCs w:val="16"/>
          <w:lang w:val="es-CR"/>
        </w:rPr>
        <w:t>.</w:t>
      </w:r>
      <w:r w:rsidRPr="00224E09">
        <w:rPr>
          <w:rFonts w:ascii="Verdana" w:hAnsi="Verdana"/>
          <w:sz w:val="16"/>
          <w:szCs w:val="16"/>
          <w:lang w:val="es-CR"/>
        </w:rPr>
        <w:t xml:space="preserve">000,00)”. </w:t>
      </w:r>
    </w:p>
  </w:footnote>
  <w:footnote w:id="35">
    <w:p w14:paraId="76DB9740" w14:textId="24FF95E7" w:rsidR="00F233D5" w:rsidRPr="00224E09" w:rsidRDefault="00F233D5" w:rsidP="003447B7">
      <w:pPr>
        <w:pStyle w:val="Textonotapie"/>
        <w:jc w:val="both"/>
        <w:rPr>
          <w:rFonts w:ascii="Verdana" w:hAnsi="Verdana"/>
          <w:sz w:val="16"/>
          <w:szCs w:val="16"/>
          <w:lang w:val="es-CR"/>
        </w:rPr>
      </w:pPr>
      <w:r w:rsidRPr="00224E09">
        <w:rPr>
          <w:rStyle w:val="Refdenotaalpie"/>
          <w:rFonts w:ascii="Verdana" w:hAnsi="Verdana"/>
          <w:sz w:val="16"/>
          <w:szCs w:val="16"/>
          <w:lang w:val="es-CR"/>
        </w:rPr>
        <w:footnoteRef/>
      </w:r>
      <w:r w:rsidRPr="00224E09">
        <w:rPr>
          <w:rFonts w:ascii="Verdana" w:hAnsi="Verdana"/>
          <w:sz w:val="16"/>
          <w:szCs w:val="16"/>
          <w:lang w:val="es-CR"/>
        </w:rPr>
        <w:t xml:space="preserve"> </w:t>
      </w:r>
      <w:r w:rsidRPr="00224E09">
        <w:rPr>
          <w:rFonts w:ascii="Verdana" w:hAnsi="Verdana"/>
          <w:sz w:val="16"/>
          <w:szCs w:val="16"/>
          <w:lang w:val="es-CR"/>
        </w:rPr>
        <w:tab/>
        <w:t xml:space="preserve">El Estado aportó un oficio emitida por el Ministerio de Hacienda, de la cual se desprende que los pagos a las doce víctimas y a su representante legal fueron efectuados el 23 de febrero de 2017. </w:t>
      </w:r>
      <w:r w:rsidRPr="00224E09">
        <w:rPr>
          <w:rFonts w:ascii="Verdana" w:hAnsi="Verdana"/>
          <w:i/>
          <w:sz w:val="16"/>
          <w:szCs w:val="16"/>
          <w:lang w:val="es-CR"/>
        </w:rPr>
        <w:t xml:space="preserve">Cfr. </w:t>
      </w:r>
      <w:r w:rsidRPr="00224E09">
        <w:rPr>
          <w:rFonts w:ascii="Verdana" w:hAnsi="Verdana"/>
          <w:sz w:val="16"/>
          <w:szCs w:val="16"/>
          <w:lang w:val="es-CR"/>
        </w:rPr>
        <w:t xml:space="preserve">Oficio DRF-173-2017 emitida por la Jefa del Departamento Financiero del Ministerio de Hacienda de Costa Rica el 2 de marzo de 2017 (anexo al informe estatal de 5 de febrero de 2018). </w:t>
      </w:r>
    </w:p>
  </w:footnote>
  <w:footnote w:id="36">
    <w:p w14:paraId="61466B08" w14:textId="77777777" w:rsidR="00F233D5" w:rsidRPr="00224E09" w:rsidRDefault="00F233D5" w:rsidP="003447B7">
      <w:pPr>
        <w:pStyle w:val="Textonotapie"/>
        <w:jc w:val="both"/>
        <w:rPr>
          <w:rFonts w:ascii="Verdana" w:hAnsi="Verdana"/>
          <w:sz w:val="16"/>
          <w:szCs w:val="16"/>
          <w:lang w:val="es-CR"/>
        </w:rPr>
      </w:pPr>
      <w:r w:rsidRPr="00224E09">
        <w:rPr>
          <w:rStyle w:val="Refdenotaalpie"/>
          <w:rFonts w:ascii="Verdana" w:hAnsi="Verdana"/>
          <w:sz w:val="16"/>
          <w:szCs w:val="16"/>
          <w:lang w:val="es-CR"/>
        </w:rPr>
        <w:footnoteRef/>
      </w:r>
      <w:r w:rsidRPr="00224E09">
        <w:rPr>
          <w:rFonts w:ascii="Verdana" w:hAnsi="Verdana"/>
          <w:sz w:val="16"/>
          <w:szCs w:val="16"/>
          <w:lang w:val="es-CR"/>
        </w:rPr>
        <w:t xml:space="preserve"> </w:t>
      </w:r>
      <w:r w:rsidRPr="00224E09">
        <w:rPr>
          <w:rFonts w:ascii="Verdana" w:hAnsi="Verdana"/>
          <w:sz w:val="16"/>
          <w:szCs w:val="16"/>
          <w:lang w:val="es-CR"/>
        </w:rPr>
        <w:tab/>
        <w:t>Confirmó que el Estado “[ha] realizado los pagos ordenados”.</w:t>
      </w:r>
    </w:p>
  </w:footnote>
  <w:footnote w:id="37">
    <w:p w14:paraId="65850A9D" w14:textId="77777777" w:rsidR="00F233D5" w:rsidRPr="00224E09" w:rsidRDefault="00F233D5" w:rsidP="003447B7">
      <w:pPr>
        <w:pStyle w:val="Textonotapie"/>
        <w:jc w:val="both"/>
        <w:rPr>
          <w:rFonts w:ascii="Verdana" w:hAnsi="Verdana"/>
          <w:sz w:val="16"/>
          <w:szCs w:val="16"/>
          <w:lang w:val="es-CR"/>
        </w:rPr>
      </w:pPr>
      <w:r w:rsidRPr="00224E09">
        <w:rPr>
          <w:rStyle w:val="Refdenotaalpie"/>
          <w:rFonts w:ascii="Verdana" w:hAnsi="Verdana"/>
          <w:sz w:val="16"/>
          <w:szCs w:val="16"/>
          <w:lang w:val="es-CR"/>
        </w:rPr>
        <w:footnoteRef/>
      </w:r>
      <w:r w:rsidRPr="00224E09">
        <w:rPr>
          <w:rFonts w:ascii="Verdana" w:hAnsi="Verdana"/>
          <w:sz w:val="16"/>
          <w:szCs w:val="16"/>
          <w:lang w:val="es-CR"/>
        </w:rPr>
        <w:t xml:space="preserve"> </w:t>
      </w:r>
      <w:r w:rsidRPr="00224E09">
        <w:rPr>
          <w:rFonts w:ascii="Verdana" w:hAnsi="Verdana"/>
          <w:sz w:val="16"/>
          <w:szCs w:val="16"/>
          <w:lang w:val="es-CR"/>
        </w:rPr>
        <w:tab/>
        <w:t>Observó que “el Estado ha realizado […] los pagos de indemnizaciones correspondientes”.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0038" w14:textId="7399C77A" w:rsidR="00F233D5" w:rsidRPr="00183C43" w:rsidRDefault="00F233D5">
    <w:pPr>
      <w:pStyle w:val="Encabezado"/>
      <w:jc w:val="center"/>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C61"/>
    <w:multiLevelType w:val="hybridMultilevel"/>
    <w:tmpl w:val="9942105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4022D9"/>
    <w:multiLevelType w:val="hybridMultilevel"/>
    <w:tmpl w:val="4E00AE38"/>
    <w:lvl w:ilvl="0" w:tplc="140A0017">
      <w:start w:val="1"/>
      <w:numFmt w:val="lowerLetter"/>
      <w:lvlText w:val="%1)"/>
      <w:lvlJc w:val="left"/>
      <w:pPr>
        <w:ind w:left="795" w:hanging="360"/>
      </w:pPr>
    </w:lvl>
    <w:lvl w:ilvl="1" w:tplc="140A0019" w:tentative="1">
      <w:start w:val="1"/>
      <w:numFmt w:val="lowerLetter"/>
      <w:lvlText w:val="%2."/>
      <w:lvlJc w:val="left"/>
      <w:pPr>
        <w:ind w:left="1515" w:hanging="360"/>
      </w:pPr>
    </w:lvl>
    <w:lvl w:ilvl="2" w:tplc="140A001B" w:tentative="1">
      <w:start w:val="1"/>
      <w:numFmt w:val="lowerRoman"/>
      <w:lvlText w:val="%3."/>
      <w:lvlJc w:val="right"/>
      <w:pPr>
        <w:ind w:left="2235" w:hanging="180"/>
      </w:pPr>
    </w:lvl>
    <w:lvl w:ilvl="3" w:tplc="140A000F" w:tentative="1">
      <w:start w:val="1"/>
      <w:numFmt w:val="decimal"/>
      <w:lvlText w:val="%4."/>
      <w:lvlJc w:val="left"/>
      <w:pPr>
        <w:ind w:left="2955" w:hanging="360"/>
      </w:pPr>
    </w:lvl>
    <w:lvl w:ilvl="4" w:tplc="140A0019" w:tentative="1">
      <w:start w:val="1"/>
      <w:numFmt w:val="lowerLetter"/>
      <w:lvlText w:val="%5."/>
      <w:lvlJc w:val="left"/>
      <w:pPr>
        <w:ind w:left="3675" w:hanging="360"/>
      </w:pPr>
    </w:lvl>
    <w:lvl w:ilvl="5" w:tplc="140A001B" w:tentative="1">
      <w:start w:val="1"/>
      <w:numFmt w:val="lowerRoman"/>
      <w:lvlText w:val="%6."/>
      <w:lvlJc w:val="right"/>
      <w:pPr>
        <w:ind w:left="4395" w:hanging="180"/>
      </w:pPr>
    </w:lvl>
    <w:lvl w:ilvl="6" w:tplc="140A000F" w:tentative="1">
      <w:start w:val="1"/>
      <w:numFmt w:val="decimal"/>
      <w:lvlText w:val="%7."/>
      <w:lvlJc w:val="left"/>
      <w:pPr>
        <w:ind w:left="5115" w:hanging="360"/>
      </w:pPr>
    </w:lvl>
    <w:lvl w:ilvl="7" w:tplc="140A0019" w:tentative="1">
      <w:start w:val="1"/>
      <w:numFmt w:val="lowerLetter"/>
      <w:lvlText w:val="%8."/>
      <w:lvlJc w:val="left"/>
      <w:pPr>
        <w:ind w:left="5835" w:hanging="360"/>
      </w:pPr>
    </w:lvl>
    <w:lvl w:ilvl="8" w:tplc="140A001B" w:tentative="1">
      <w:start w:val="1"/>
      <w:numFmt w:val="lowerRoman"/>
      <w:lvlText w:val="%9."/>
      <w:lvlJc w:val="right"/>
      <w:pPr>
        <w:ind w:left="6555" w:hanging="180"/>
      </w:pPr>
    </w:lvl>
  </w:abstractNum>
  <w:abstractNum w:abstractNumId="2" w15:restartNumberingAfterBreak="0">
    <w:nsid w:val="08D056DA"/>
    <w:multiLevelType w:val="hybridMultilevel"/>
    <w:tmpl w:val="460217DC"/>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22066838"/>
    <w:multiLevelType w:val="hybridMultilevel"/>
    <w:tmpl w:val="6352A806"/>
    <w:lvl w:ilvl="0" w:tplc="996EB5C0">
      <w:start w:val="1"/>
      <w:numFmt w:val="decimal"/>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3F0A92"/>
    <w:multiLevelType w:val="hybridMultilevel"/>
    <w:tmpl w:val="328EFE12"/>
    <w:lvl w:ilvl="0" w:tplc="996EB5C0">
      <w:start w:val="1"/>
      <w:numFmt w:val="decimal"/>
      <w:lvlText w:val="%1."/>
      <w:lvlJc w:val="left"/>
      <w:pPr>
        <w:ind w:left="360" w:hanging="360"/>
      </w:pPr>
      <w:rPr>
        <w:rFonts w:hint="default"/>
        <w:b w:val="0"/>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289B05F7"/>
    <w:multiLevelType w:val="hybridMultilevel"/>
    <w:tmpl w:val="DF10FDA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E070A6D"/>
    <w:multiLevelType w:val="hybridMultilevel"/>
    <w:tmpl w:val="46B865F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410B75E6"/>
    <w:multiLevelType w:val="hybridMultilevel"/>
    <w:tmpl w:val="29923818"/>
    <w:lvl w:ilvl="0" w:tplc="AB404D7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6C77AC4"/>
    <w:multiLevelType w:val="hybridMultilevel"/>
    <w:tmpl w:val="198687CA"/>
    <w:lvl w:ilvl="0" w:tplc="44DAE080">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4BBE0E90"/>
    <w:multiLevelType w:val="hybridMultilevel"/>
    <w:tmpl w:val="191CA4A4"/>
    <w:lvl w:ilvl="0" w:tplc="24229A20">
      <w:start w:val="1"/>
      <w:numFmt w:val="decimal"/>
      <w:lvlText w:val="%1."/>
      <w:lvlJc w:val="left"/>
      <w:pPr>
        <w:ind w:left="720" w:hanging="360"/>
      </w:pPr>
      <w:rPr>
        <w:rFonts w:ascii="Verdana" w:hAnsi="Verdana" w:hint="default"/>
        <w:b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0" w15:restartNumberingAfterBreak="0">
    <w:nsid w:val="52DC1753"/>
    <w:multiLevelType w:val="hybridMultilevel"/>
    <w:tmpl w:val="B1F4893A"/>
    <w:lvl w:ilvl="0" w:tplc="140A0015">
      <w:start w:val="1"/>
      <w:numFmt w:val="upp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1" w15:restartNumberingAfterBreak="0">
    <w:nsid w:val="57E07DBB"/>
    <w:multiLevelType w:val="hybridMultilevel"/>
    <w:tmpl w:val="65B08590"/>
    <w:lvl w:ilvl="0" w:tplc="594C54C2">
      <w:start w:val="1"/>
      <w:numFmt w:val="decimal"/>
      <w:lvlText w:val="%1."/>
      <w:lvlJc w:val="left"/>
      <w:pPr>
        <w:ind w:left="720" w:hanging="360"/>
      </w:pPr>
      <w:rPr>
        <w:rFonts w:hint="default"/>
        <w:b w:val="0"/>
        <w:color w:val="000000" w:themeColor="text1"/>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85C5314"/>
    <w:multiLevelType w:val="hybridMultilevel"/>
    <w:tmpl w:val="40E4FE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A83027E"/>
    <w:multiLevelType w:val="hybridMultilevel"/>
    <w:tmpl w:val="34DAE2D2"/>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779D0567"/>
    <w:multiLevelType w:val="hybridMultilevel"/>
    <w:tmpl w:val="231A0D48"/>
    <w:lvl w:ilvl="0" w:tplc="0938123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0"/>
  </w:num>
  <w:num w:numId="5">
    <w:abstractNumId w:val="2"/>
  </w:num>
  <w:num w:numId="6">
    <w:abstractNumId w:val="2"/>
  </w:num>
  <w:num w:numId="7">
    <w:abstractNumId w:val="13"/>
  </w:num>
  <w:num w:numId="8">
    <w:abstractNumId w:val="10"/>
  </w:num>
  <w:num w:numId="9">
    <w:abstractNumId w:val="14"/>
  </w:num>
  <w:num w:numId="10">
    <w:abstractNumId w:val="1"/>
  </w:num>
  <w:num w:numId="11">
    <w:abstractNumId w:val="4"/>
  </w:num>
  <w:num w:numId="12">
    <w:abstractNumId w:val="8"/>
  </w:num>
  <w:num w:numId="13">
    <w:abstractNumId w:val="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2E0"/>
    <w:rsid w:val="000031DF"/>
    <w:rsid w:val="00003A31"/>
    <w:rsid w:val="00006186"/>
    <w:rsid w:val="00007E51"/>
    <w:rsid w:val="00014A18"/>
    <w:rsid w:val="00017372"/>
    <w:rsid w:val="0002405A"/>
    <w:rsid w:val="0003021B"/>
    <w:rsid w:val="0004269A"/>
    <w:rsid w:val="000427C5"/>
    <w:rsid w:val="00045473"/>
    <w:rsid w:val="00060D55"/>
    <w:rsid w:val="00061049"/>
    <w:rsid w:val="00064224"/>
    <w:rsid w:val="000647DB"/>
    <w:rsid w:val="000752F5"/>
    <w:rsid w:val="0008250C"/>
    <w:rsid w:val="00083253"/>
    <w:rsid w:val="00083B9B"/>
    <w:rsid w:val="000933CE"/>
    <w:rsid w:val="000964E0"/>
    <w:rsid w:val="000A1CCE"/>
    <w:rsid w:val="000A42A7"/>
    <w:rsid w:val="000A5F91"/>
    <w:rsid w:val="000A704E"/>
    <w:rsid w:val="000A7181"/>
    <w:rsid w:val="000B493D"/>
    <w:rsid w:val="000B50C8"/>
    <w:rsid w:val="000B7719"/>
    <w:rsid w:val="000B780A"/>
    <w:rsid w:val="000C603F"/>
    <w:rsid w:val="000D61D6"/>
    <w:rsid w:val="000E044C"/>
    <w:rsid w:val="000E0538"/>
    <w:rsid w:val="000E1955"/>
    <w:rsid w:val="000E2096"/>
    <w:rsid w:val="000E2490"/>
    <w:rsid w:val="000E5F4E"/>
    <w:rsid w:val="000E6D63"/>
    <w:rsid w:val="00104952"/>
    <w:rsid w:val="001102F4"/>
    <w:rsid w:val="00110ECB"/>
    <w:rsid w:val="00116AB7"/>
    <w:rsid w:val="00122C0E"/>
    <w:rsid w:val="0012384F"/>
    <w:rsid w:val="001247C2"/>
    <w:rsid w:val="00125F95"/>
    <w:rsid w:val="0013701F"/>
    <w:rsid w:val="0014166D"/>
    <w:rsid w:val="001437E5"/>
    <w:rsid w:val="001454F8"/>
    <w:rsid w:val="00156EF2"/>
    <w:rsid w:val="00162381"/>
    <w:rsid w:val="00162E8B"/>
    <w:rsid w:val="00174DBE"/>
    <w:rsid w:val="00175A67"/>
    <w:rsid w:val="00182FAA"/>
    <w:rsid w:val="00183C43"/>
    <w:rsid w:val="001910C4"/>
    <w:rsid w:val="00191F18"/>
    <w:rsid w:val="00192E57"/>
    <w:rsid w:val="001978F8"/>
    <w:rsid w:val="001A2735"/>
    <w:rsid w:val="001A2998"/>
    <w:rsid w:val="001A3B66"/>
    <w:rsid w:val="001A4171"/>
    <w:rsid w:val="001B50D8"/>
    <w:rsid w:val="001C23F1"/>
    <w:rsid w:val="001C3906"/>
    <w:rsid w:val="001C3A7B"/>
    <w:rsid w:val="001D3DB1"/>
    <w:rsid w:val="001D5204"/>
    <w:rsid w:val="001D5CF3"/>
    <w:rsid w:val="001D66EE"/>
    <w:rsid w:val="001E479D"/>
    <w:rsid w:val="00203B7E"/>
    <w:rsid w:val="00204A96"/>
    <w:rsid w:val="00207415"/>
    <w:rsid w:val="00210AAC"/>
    <w:rsid w:val="002148DE"/>
    <w:rsid w:val="00223BA8"/>
    <w:rsid w:val="00223C0E"/>
    <w:rsid w:val="00224E09"/>
    <w:rsid w:val="0022625C"/>
    <w:rsid w:val="002301D0"/>
    <w:rsid w:val="00231173"/>
    <w:rsid w:val="00231611"/>
    <w:rsid w:val="00232551"/>
    <w:rsid w:val="0024655E"/>
    <w:rsid w:val="00246746"/>
    <w:rsid w:val="00252B21"/>
    <w:rsid w:val="0025678B"/>
    <w:rsid w:val="00267842"/>
    <w:rsid w:val="0027324E"/>
    <w:rsid w:val="00275362"/>
    <w:rsid w:val="00275895"/>
    <w:rsid w:val="00281AEF"/>
    <w:rsid w:val="00291309"/>
    <w:rsid w:val="00291C94"/>
    <w:rsid w:val="002A021D"/>
    <w:rsid w:val="002A1A65"/>
    <w:rsid w:val="002A228B"/>
    <w:rsid w:val="002A7687"/>
    <w:rsid w:val="002A7DB2"/>
    <w:rsid w:val="002B0C3A"/>
    <w:rsid w:val="002B17BF"/>
    <w:rsid w:val="002B791C"/>
    <w:rsid w:val="002C1479"/>
    <w:rsid w:val="002C2240"/>
    <w:rsid w:val="002C32AC"/>
    <w:rsid w:val="002D2C35"/>
    <w:rsid w:val="002D67E7"/>
    <w:rsid w:val="002F2BA8"/>
    <w:rsid w:val="002F4131"/>
    <w:rsid w:val="002F43B3"/>
    <w:rsid w:val="002F5BDF"/>
    <w:rsid w:val="002F7704"/>
    <w:rsid w:val="0030517A"/>
    <w:rsid w:val="0031308A"/>
    <w:rsid w:val="00314DF5"/>
    <w:rsid w:val="00314F5D"/>
    <w:rsid w:val="00320682"/>
    <w:rsid w:val="003235E3"/>
    <w:rsid w:val="00327D69"/>
    <w:rsid w:val="00340482"/>
    <w:rsid w:val="00343FC0"/>
    <w:rsid w:val="003442E0"/>
    <w:rsid w:val="003447B7"/>
    <w:rsid w:val="00344CA4"/>
    <w:rsid w:val="00345719"/>
    <w:rsid w:val="00351088"/>
    <w:rsid w:val="00357000"/>
    <w:rsid w:val="00357034"/>
    <w:rsid w:val="0036010F"/>
    <w:rsid w:val="003604C0"/>
    <w:rsid w:val="0036213C"/>
    <w:rsid w:val="00366BF1"/>
    <w:rsid w:val="00371AD2"/>
    <w:rsid w:val="00375CCC"/>
    <w:rsid w:val="00382856"/>
    <w:rsid w:val="00383E6C"/>
    <w:rsid w:val="003849EE"/>
    <w:rsid w:val="003901C9"/>
    <w:rsid w:val="00390E22"/>
    <w:rsid w:val="00394230"/>
    <w:rsid w:val="003942AF"/>
    <w:rsid w:val="003949FA"/>
    <w:rsid w:val="00396717"/>
    <w:rsid w:val="003A37BB"/>
    <w:rsid w:val="003A62C5"/>
    <w:rsid w:val="003B1286"/>
    <w:rsid w:val="003B581F"/>
    <w:rsid w:val="003C242C"/>
    <w:rsid w:val="003D5C6B"/>
    <w:rsid w:val="003E073F"/>
    <w:rsid w:val="003E21CE"/>
    <w:rsid w:val="003E4104"/>
    <w:rsid w:val="003F741E"/>
    <w:rsid w:val="003F7543"/>
    <w:rsid w:val="004024A2"/>
    <w:rsid w:val="00405BF0"/>
    <w:rsid w:val="00410B79"/>
    <w:rsid w:val="004128B3"/>
    <w:rsid w:val="0041354E"/>
    <w:rsid w:val="004218BD"/>
    <w:rsid w:val="00426032"/>
    <w:rsid w:val="004271D2"/>
    <w:rsid w:val="00442426"/>
    <w:rsid w:val="0045020C"/>
    <w:rsid w:val="0045429B"/>
    <w:rsid w:val="00455400"/>
    <w:rsid w:val="00456D51"/>
    <w:rsid w:val="0046099C"/>
    <w:rsid w:val="00461687"/>
    <w:rsid w:val="00461FB2"/>
    <w:rsid w:val="00466FB5"/>
    <w:rsid w:val="004734ED"/>
    <w:rsid w:val="00475A5D"/>
    <w:rsid w:val="00475B60"/>
    <w:rsid w:val="004839C0"/>
    <w:rsid w:val="004859BF"/>
    <w:rsid w:val="00493F70"/>
    <w:rsid w:val="00494AA2"/>
    <w:rsid w:val="004A7990"/>
    <w:rsid w:val="004B16D9"/>
    <w:rsid w:val="004B7091"/>
    <w:rsid w:val="004C1DA2"/>
    <w:rsid w:val="004C3F21"/>
    <w:rsid w:val="004D5508"/>
    <w:rsid w:val="004D65B7"/>
    <w:rsid w:val="004E03FD"/>
    <w:rsid w:val="004E1A3A"/>
    <w:rsid w:val="004E2254"/>
    <w:rsid w:val="004E272A"/>
    <w:rsid w:val="004E2A09"/>
    <w:rsid w:val="004E318B"/>
    <w:rsid w:val="004E631E"/>
    <w:rsid w:val="004E662B"/>
    <w:rsid w:val="004F131B"/>
    <w:rsid w:val="00501383"/>
    <w:rsid w:val="00502F83"/>
    <w:rsid w:val="005133F2"/>
    <w:rsid w:val="00514D5C"/>
    <w:rsid w:val="00520C2D"/>
    <w:rsid w:val="0052184A"/>
    <w:rsid w:val="005225B4"/>
    <w:rsid w:val="005318AE"/>
    <w:rsid w:val="00534C11"/>
    <w:rsid w:val="0053545A"/>
    <w:rsid w:val="00536956"/>
    <w:rsid w:val="00536F47"/>
    <w:rsid w:val="005407B3"/>
    <w:rsid w:val="00543972"/>
    <w:rsid w:val="00553F6E"/>
    <w:rsid w:val="00572553"/>
    <w:rsid w:val="005738AD"/>
    <w:rsid w:val="00576EDF"/>
    <w:rsid w:val="005803F4"/>
    <w:rsid w:val="005823AC"/>
    <w:rsid w:val="0058323D"/>
    <w:rsid w:val="00584CD5"/>
    <w:rsid w:val="00586ABE"/>
    <w:rsid w:val="00587D35"/>
    <w:rsid w:val="00591F0A"/>
    <w:rsid w:val="00591F47"/>
    <w:rsid w:val="00593C2C"/>
    <w:rsid w:val="00595442"/>
    <w:rsid w:val="005A2103"/>
    <w:rsid w:val="005A483D"/>
    <w:rsid w:val="005A7917"/>
    <w:rsid w:val="005B17B5"/>
    <w:rsid w:val="005B47C8"/>
    <w:rsid w:val="005B4DD8"/>
    <w:rsid w:val="005B6D76"/>
    <w:rsid w:val="005B7DF5"/>
    <w:rsid w:val="005C2B09"/>
    <w:rsid w:val="005C3385"/>
    <w:rsid w:val="005C3FDD"/>
    <w:rsid w:val="005C74CF"/>
    <w:rsid w:val="005D1306"/>
    <w:rsid w:val="005D5224"/>
    <w:rsid w:val="005E0320"/>
    <w:rsid w:val="005E117E"/>
    <w:rsid w:val="005E2D00"/>
    <w:rsid w:val="005E32AF"/>
    <w:rsid w:val="005E3433"/>
    <w:rsid w:val="005E43E6"/>
    <w:rsid w:val="005E5948"/>
    <w:rsid w:val="005F165B"/>
    <w:rsid w:val="005F3FE8"/>
    <w:rsid w:val="005F61B7"/>
    <w:rsid w:val="005F74A4"/>
    <w:rsid w:val="00600710"/>
    <w:rsid w:val="00603044"/>
    <w:rsid w:val="00606503"/>
    <w:rsid w:val="00610CA1"/>
    <w:rsid w:val="0061279E"/>
    <w:rsid w:val="00621CB3"/>
    <w:rsid w:val="006263F5"/>
    <w:rsid w:val="0062707C"/>
    <w:rsid w:val="006349CA"/>
    <w:rsid w:val="00637204"/>
    <w:rsid w:val="006428D0"/>
    <w:rsid w:val="0064755E"/>
    <w:rsid w:val="006550EC"/>
    <w:rsid w:val="00656520"/>
    <w:rsid w:val="006634DD"/>
    <w:rsid w:val="00663DA0"/>
    <w:rsid w:val="006640D6"/>
    <w:rsid w:val="00667D9F"/>
    <w:rsid w:val="0067177E"/>
    <w:rsid w:val="006734D7"/>
    <w:rsid w:val="006828D5"/>
    <w:rsid w:val="00685B46"/>
    <w:rsid w:val="006864DD"/>
    <w:rsid w:val="00687F82"/>
    <w:rsid w:val="006915EC"/>
    <w:rsid w:val="00694308"/>
    <w:rsid w:val="006947E3"/>
    <w:rsid w:val="006947F9"/>
    <w:rsid w:val="006A1501"/>
    <w:rsid w:val="006A1654"/>
    <w:rsid w:val="006A2B79"/>
    <w:rsid w:val="006A488D"/>
    <w:rsid w:val="006A4BE1"/>
    <w:rsid w:val="006B2A8B"/>
    <w:rsid w:val="006C004D"/>
    <w:rsid w:val="006C0332"/>
    <w:rsid w:val="006C2992"/>
    <w:rsid w:val="006C534A"/>
    <w:rsid w:val="006D184F"/>
    <w:rsid w:val="006D350A"/>
    <w:rsid w:val="006D5B0C"/>
    <w:rsid w:val="006D635A"/>
    <w:rsid w:val="006D7DBB"/>
    <w:rsid w:val="006E1E93"/>
    <w:rsid w:val="006E5DC8"/>
    <w:rsid w:val="006F1346"/>
    <w:rsid w:val="006F4CF8"/>
    <w:rsid w:val="007040E0"/>
    <w:rsid w:val="007072F7"/>
    <w:rsid w:val="00714097"/>
    <w:rsid w:val="00726CB1"/>
    <w:rsid w:val="0073115F"/>
    <w:rsid w:val="00740D07"/>
    <w:rsid w:val="007414AD"/>
    <w:rsid w:val="00745D4E"/>
    <w:rsid w:val="00750995"/>
    <w:rsid w:val="00751AC9"/>
    <w:rsid w:val="00754402"/>
    <w:rsid w:val="0076012A"/>
    <w:rsid w:val="00771E92"/>
    <w:rsid w:val="007723DA"/>
    <w:rsid w:val="00780872"/>
    <w:rsid w:val="0078101A"/>
    <w:rsid w:val="0079126E"/>
    <w:rsid w:val="007A1F2A"/>
    <w:rsid w:val="007A262C"/>
    <w:rsid w:val="007A31FE"/>
    <w:rsid w:val="007A358D"/>
    <w:rsid w:val="007B0B68"/>
    <w:rsid w:val="007C588D"/>
    <w:rsid w:val="007C6DB5"/>
    <w:rsid w:val="007D1A02"/>
    <w:rsid w:val="007D5256"/>
    <w:rsid w:val="007D78E6"/>
    <w:rsid w:val="007E73FC"/>
    <w:rsid w:val="007F2310"/>
    <w:rsid w:val="007F6683"/>
    <w:rsid w:val="008076AD"/>
    <w:rsid w:val="00812B7A"/>
    <w:rsid w:val="00813720"/>
    <w:rsid w:val="00817116"/>
    <w:rsid w:val="00817DE0"/>
    <w:rsid w:val="00820237"/>
    <w:rsid w:val="008206AF"/>
    <w:rsid w:val="008260A8"/>
    <w:rsid w:val="00827DEC"/>
    <w:rsid w:val="00832306"/>
    <w:rsid w:val="00834BE6"/>
    <w:rsid w:val="00840EBA"/>
    <w:rsid w:val="008433A8"/>
    <w:rsid w:val="008433E8"/>
    <w:rsid w:val="0084523A"/>
    <w:rsid w:val="0085140E"/>
    <w:rsid w:val="00851845"/>
    <w:rsid w:val="00862205"/>
    <w:rsid w:val="00863896"/>
    <w:rsid w:val="00872F22"/>
    <w:rsid w:val="00876509"/>
    <w:rsid w:val="0088111B"/>
    <w:rsid w:val="00885D29"/>
    <w:rsid w:val="008976F5"/>
    <w:rsid w:val="008A101D"/>
    <w:rsid w:val="008A2442"/>
    <w:rsid w:val="008A4E86"/>
    <w:rsid w:val="008A5CC4"/>
    <w:rsid w:val="008A755B"/>
    <w:rsid w:val="008B573D"/>
    <w:rsid w:val="008B576E"/>
    <w:rsid w:val="008C2C8A"/>
    <w:rsid w:val="008C36D0"/>
    <w:rsid w:val="008C3818"/>
    <w:rsid w:val="008C4144"/>
    <w:rsid w:val="008C5044"/>
    <w:rsid w:val="008C6351"/>
    <w:rsid w:val="008D1B7C"/>
    <w:rsid w:val="008D2FFA"/>
    <w:rsid w:val="008E0209"/>
    <w:rsid w:val="008E5C22"/>
    <w:rsid w:val="008F0F55"/>
    <w:rsid w:val="008F18A3"/>
    <w:rsid w:val="008F44F5"/>
    <w:rsid w:val="00903D3D"/>
    <w:rsid w:val="00904E83"/>
    <w:rsid w:val="0090615C"/>
    <w:rsid w:val="00912CFC"/>
    <w:rsid w:val="00914344"/>
    <w:rsid w:val="00942A2D"/>
    <w:rsid w:val="00943629"/>
    <w:rsid w:val="00952B8F"/>
    <w:rsid w:val="00960870"/>
    <w:rsid w:val="00962213"/>
    <w:rsid w:val="00962F26"/>
    <w:rsid w:val="00963132"/>
    <w:rsid w:val="009679B6"/>
    <w:rsid w:val="009722E2"/>
    <w:rsid w:val="00973349"/>
    <w:rsid w:val="00974084"/>
    <w:rsid w:val="0097640A"/>
    <w:rsid w:val="00992DA0"/>
    <w:rsid w:val="0099308B"/>
    <w:rsid w:val="009961D3"/>
    <w:rsid w:val="009A376C"/>
    <w:rsid w:val="009B0249"/>
    <w:rsid w:val="009B212D"/>
    <w:rsid w:val="009B3CFE"/>
    <w:rsid w:val="009B4CF1"/>
    <w:rsid w:val="009B7227"/>
    <w:rsid w:val="009C1802"/>
    <w:rsid w:val="009C7A9C"/>
    <w:rsid w:val="009D68E4"/>
    <w:rsid w:val="009E120D"/>
    <w:rsid w:val="009E79B7"/>
    <w:rsid w:val="009F356F"/>
    <w:rsid w:val="009F3652"/>
    <w:rsid w:val="009F63EA"/>
    <w:rsid w:val="009F69D4"/>
    <w:rsid w:val="00A0190A"/>
    <w:rsid w:val="00A075AE"/>
    <w:rsid w:val="00A11698"/>
    <w:rsid w:val="00A13E31"/>
    <w:rsid w:val="00A14498"/>
    <w:rsid w:val="00A14A59"/>
    <w:rsid w:val="00A15754"/>
    <w:rsid w:val="00A20216"/>
    <w:rsid w:val="00A236D1"/>
    <w:rsid w:val="00A2673A"/>
    <w:rsid w:val="00A30ABF"/>
    <w:rsid w:val="00A35C11"/>
    <w:rsid w:val="00A35EDD"/>
    <w:rsid w:val="00A36A0F"/>
    <w:rsid w:val="00A37F27"/>
    <w:rsid w:val="00A46A41"/>
    <w:rsid w:val="00A473E2"/>
    <w:rsid w:val="00A47503"/>
    <w:rsid w:val="00A552BA"/>
    <w:rsid w:val="00A6369D"/>
    <w:rsid w:val="00A70F71"/>
    <w:rsid w:val="00A71A9B"/>
    <w:rsid w:val="00A74EC5"/>
    <w:rsid w:val="00A75186"/>
    <w:rsid w:val="00A76CBE"/>
    <w:rsid w:val="00A81FA7"/>
    <w:rsid w:val="00A823C2"/>
    <w:rsid w:val="00A860F6"/>
    <w:rsid w:val="00A93C0C"/>
    <w:rsid w:val="00A95FC7"/>
    <w:rsid w:val="00AA4B2A"/>
    <w:rsid w:val="00AA6546"/>
    <w:rsid w:val="00AA6799"/>
    <w:rsid w:val="00AA7F7C"/>
    <w:rsid w:val="00AA7F82"/>
    <w:rsid w:val="00AB00C4"/>
    <w:rsid w:val="00AB0CA3"/>
    <w:rsid w:val="00AB5F55"/>
    <w:rsid w:val="00AC2550"/>
    <w:rsid w:val="00AC5D3C"/>
    <w:rsid w:val="00AC6530"/>
    <w:rsid w:val="00AC6623"/>
    <w:rsid w:val="00AD27D7"/>
    <w:rsid w:val="00AD3AB7"/>
    <w:rsid w:val="00AE0C9E"/>
    <w:rsid w:val="00AE2358"/>
    <w:rsid w:val="00AE24A9"/>
    <w:rsid w:val="00AE36A6"/>
    <w:rsid w:val="00AF4DD4"/>
    <w:rsid w:val="00B02723"/>
    <w:rsid w:val="00B10CB3"/>
    <w:rsid w:val="00B1679C"/>
    <w:rsid w:val="00B24E2D"/>
    <w:rsid w:val="00B276D3"/>
    <w:rsid w:val="00B279E7"/>
    <w:rsid w:val="00B34715"/>
    <w:rsid w:val="00B37654"/>
    <w:rsid w:val="00B45F6D"/>
    <w:rsid w:val="00B53192"/>
    <w:rsid w:val="00B5443A"/>
    <w:rsid w:val="00B54B63"/>
    <w:rsid w:val="00B56FF5"/>
    <w:rsid w:val="00B57A81"/>
    <w:rsid w:val="00B6015A"/>
    <w:rsid w:val="00B70BE3"/>
    <w:rsid w:val="00B71257"/>
    <w:rsid w:val="00B73793"/>
    <w:rsid w:val="00B75A7C"/>
    <w:rsid w:val="00B8106E"/>
    <w:rsid w:val="00B873C7"/>
    <w:rsid w:val="00B97157"/>
    <w:rsid w:val="00BA5C1D"/>
    <w:rsid w:val="00BB1F17"/>
    <w:rsid w:val="00BB2F48"/>
    <w:rsid w:val="00BC0F86"/>
    <w:rsid w:val="00BD15A1"/>
    <w:rsid w:val="00BD2681"/>
    <w:rsid w:val="00BD3C91"/>
    <w:rsid w:val="00BE2E3A"/>
    <w:rsid w:val="00BE40FD"/>
    <w:rsid w:val="00BF3C14"/>
    <w:rsid w:val="00C01D80"/>
    <w:rsid w:val="00C14963"/>
    <w:rsid w:val="00C176AD"/>
    <w:rsid w:val="00C24D88"/>
    <w:rsid w:val="00C26AF9"/>
    <w:rsid w:val="00C31DE1"/>
    <w:rsid w:val="00C337C4"/>
    <w:rsid w:val="00C33DC4"/>
    <w:rsid w:val="00C3557E"/>
    <w:rsid w:val="00C35B05"/>
    <w:rsid w:val="00C4473B"/>
    <w:rsid w:val="00C504A1"/>
    <w:rsid w:val="00C50956"/>
    <w:rsid w:val="00C50EEA"/>
    <w:rsid w:val="00C516D2"/>
    <w:rsid w:val="00C67E28"/>
    <w:rsid w:val="00C71F60"/>
    <w:rsid w:val="00C75FC9"/>
    <w:rsid w:val="00C87670"/>
    <w:rsid w:val="00C92A99"/>
    <w:rsid w:val="00C952FA"/>
    <w:rsid w:val="00CA0C24"/>
    <w:rsid w:val="00CA0FB5"/>
    <w:rsid w:val="00CA2A34"/>
    <w:rsid w:val="00CA2E99"/>
    <w:rsid w:val="00CB46DA"/>
    <w:rsid w:val="00CB51EB"/>
    <w:rsid w:val="00CB538F"/>
    <w:rsid w:val="00CC5511"/>
    <w:rsid w:val="00CD4951"/>
    <w:rsid w:val="00CE2994"/>
    <w:rsid w:val="00CE3AE1"/>
    <w:rsid w:val="00CF4B0B"/>
    <w:rsid w:val="00CF4CFF"/>
    <w:rsid w:val="00CF680F"/>
    <w:rsid w:val="00D04CE5"/>
    <w:rsid w:val="00D13F58"/>
    <w:rsid w:val="00D222A1"/>
    <w:rsid w:val="00D2481D"/>
    <w:rsid w:val="00D35D5B"/>
    <w:rsid w:val="00D377D3"/>
    <w:rsid w:val="00D45803"/>
    <w:rsid w:val="00D47160"/>
    <w:rsid w:val="00D6169D"/>
    <w:rsid w:val="00D66C32"/>
    <w:rsid w:val="00D72377"/>
    <w:rsid w:val="00D8720F"/>
    <w:rsid w:val="00D903F3"/>
    <w:rsid w:val="00D92101"/>
    <w:rsid w:val="00D93681"/>
    <w:rsid w:val="00DA3E21"/>
    <w:rsid w:val="00DB4D5E"/>
    <w:rsid w:val="00DC1872"/>
    <w:rsid w:val="00DC7C5B"/>
    <w:rsid w:val="00DD0BB1"/>
    <w:rsid w:val="00DD2676"/>
    <w:rsid w:val="00DE2B90"/>
    <w:rsid w:val="00DE30CC"/>
    <w:rsid w:val="00DF4305"/>
    <w:rsid w:val="00DF43D1"/>
    <w:rsid w:val="00E01382"/>
    <w:rsid w:val="00E014D7"/>
    <w:rsid w:val="00E02259"/>
    <w:rsid w:val="00E04440"/>
    <w:rsid w:val="00E05849"/>
    <w:rsid w:val="00E142AE"/>
    <w:rsid w:val="00E211D0"/>
    <w:rsid w:val="00E23F47"/>
    <w:rsid w:val="00E25939"/>
    <w:rsid w:val="00E312A4"/>
    <w:rsid w:val="00E3232F"/>
    <w:rsid w:val="00E356A7"/>
    <w:rsid w:val="00E5328D"/>
    <w:rsid w:val="00E534F6"/>
    <w:rsid w:val="00E5780A"/>
    <w:rsid w:val="00E578E3"/>
    <w:rsid w:val="00E61024"/>
    <w:rsid w:val="00E625F7"/>
    <w:rsid w:val="00E6549F"/>
    <w:rsid w:val="00E66B52"/>
    <w:rsid w:val="00E66CB5"/>
    <w:rsid w:val="00E73DFC"/>
    <w:rsid w:val="00E747FB"/>
    <w:rsid w:val="00E77C85"/>
    <w:rsid w:val="00E81652"/>
    <w:rsid w:val="00E93AE4"/>
    <w:rsid w:val="00EA3B90"/>
    <w:rsid w:val="00EB4C75"/>
    <w:rsid w:val="00EC0EE4"/>
    <w:rsid w:val="00EC1360"/>
    <w:rsid w:val="00EC72DF"/>
    <w:rsid w:val="00ED1831"/>
    <w:rsid w:val="00ED3863"/>
    <w:rsid w:val="00ED48F5"/>
    <w:rsid w:val="00ED669B"/>
    <w:rsid w:val="00ED74C6"/>
    <w:rsid w:val="00EE39D0"/>
    <w:rsid w:val="00EF104A"/>
    <w:rsid w:val="00EF3280"/>
    <w:rsid w:val="00EF3A31"/>
    <w:rsid w:val="00EF5BBC"/>
    <w:rsid w:val="00EF7661"/>
    <w:rsid w:val="00F01F21"/>
    <w:rsid w:val="00F07492"/>
    <w:rsid w:val="00F15B76"/>
    <w:rsid w:val="00F212BD"/>
    <w:rsid w:val="00F217F8"/>
    <w:rsid w:val="00F233D5"/>
    <w:rsid w:val="00F26A95"/>
    <w:rsid w:val="00F32606"/>
    <w:rsid w:val="00F36775"/>
    <w:rsid w:val="00F4049A"/>
    <w:rsid w:val="00F46055"/>
    <w:rsid w:val="00F46534"/>
    <w:rsid w:val="00F60C3D"/>
    <w:rsid w:val="00F60CF3"/>
    <w:rsid w:val="00F612DD"/>
    <w:rsid w:val="00F62E1C"/>
    <w:rsid w:val="00F67BA8"/>
    <w:rsid w:val="00F73D30"/>
    <w:rsid w:val="00F741CF"/>
    <w:rsid w:val="00F8185D"/>
    <w:rsid w:val="00F82A9C"/>
    <w:rsid w:val="00F87650"/>
    <w:rsid w:val="00FA17B9"/>
    <w:rsid w:val="00FA2A3C"/>
    <w:rsid w:val="00FA717A"/>
    <w:rsid w:val="00FB01B6"/>
    <w:rsid w:val="00FB0DFA"/>
    <w:rsid w:val="00FB1004"/>
    <w:rsid w:val="00FB155A"/>
    <w:rsid w:val="00FB2888"/>
    <w:rsid w:val="00FD0C14"/>
    <w:rsid w:val="00FD2EDA"/>
    <w:rsid w:val="00FE2942"/>
    <w:rsid w:val="00FF0F89"/>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121DF"/>
  <w15:docId w15:val="{D560C7CF-7C83-445E-BA7A-2371AE34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B7"/>
  </w:style>
  <w:style w:type="paragraph" w:styleId="Ttulo1">
    <w:name w:val="heading 1"/>
    <w:basedOn w:val="Normal"/>
    <w:next w:val="Normal"/>
    <w:link w:val="Ttulo1Car"/>
    <w:uiPriority w:val="9"/>
    <w:qFormat/>
    <w:rsid w:val="00A37F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37F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A37F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A37F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37F2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A37F2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ootnote,Párrafo de lista1,List Paragraph1,Cuadrícula clara - Énfasis 31,Colorful List - Accent 11,List Paragraph2,Lista vistosa - Énfasis 11"/>
    <w:basedOn w:val="Normal"/>
    <w:link w:val="PrrafodelistaCar"/>
    <w:uiPriority w:val="34"/>
    <w:qFormat/>
    <w:rsid w:val="003442E0"/>
    <w:pPr>
      <w:ind w:left="720"/>
      <w:contextualSpacing/>
    </w:p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qFormat/>
    <w:locked/>
    <w:rsid w:val="003442E0"/>
    <w:rPr>
      <w:rFonts w:ascii="Calibri" w:eastAsia="Calibri" w:hAnsi="Calibri" w:cs="Times New Roman"/>
      <w:sz w:val="20"/>
      <w:szCs w:val="20"/>
      <w:lang w:val="en-U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nhideWhenUsed/>
    <w:qFormat/>
    <w:rsid w:val="003442E0"/>
    <w:pPr>
      <w:spacing w:after="0" w:line="240" w:lineRule="auto"/>
    </w:pPr>
    <w:rPr>
      <w:rFonts w:ascii="Calibri" w:eastAsia="Calibri" w:hAnsi="Calibri" w:cs="Times New Roman"/>
      <w:sz w:val="20"/>
      <w:szCs w:val="20"/>
      <w:lang w:val="en-US"/>
    </w:rPr>
  </w:style>
  <w:style w:type="character" w:customStyle="1" w:styleId="TextonotapieCar1">
    <w:name w:val="Texto nota pie Car1"/>
    <w:basedOn w:val="Fuentedeprrafopredeter"/>
    <w:uiPriority w:val="99"/>
    <w:semiHidden/>
    <w:rsid w:val="003442E0"/>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link w:val="4GChar"/>
    <w:unhideWhenUsed/>
    <w:qFormat/>
    <w:rsid w:val="003442E0"/>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3442E0"/>
    <w:pPr>
      <w:spacing w:after="0" w:line="240" w:lineRule="auto"/>
      <w:jc w:val="both"/>
    </w:pPr>
    <w:rPr>
      <w:vertAlign w:val="superscript"/>
    </w:rPr>
  </w:style>
  <w:style w:type="character" w:customStyle="1" w:styleId="Hipervnculo1">
    <w:name w:val="Hipervínculo1"/>
    <w:basedOn w:val="Fuentedeprrafopredeter"/>
    <w:uiPriority w:val="99"/>
    <w:unhideWhenUsed/>
    <w:rsid w:val="003442E0"/>
    <w:rPr>
      <w:color w:val="0000FF"/>
      <w:u w:val="single"/>
    </w:rPr>
  </w:style>
  <w:style w:type="character" w:styleId="Hipervnculo">
    <w:name w:val="Hyperlink"/>
    <w:basedOn w:val="Fuentedeprrafopredeter"/>
    <w:uiPriority w:val="99"/>
    <w:unhideWhenUsed/>
    <w:rsid w:val="003442E0"/>
    <w:rPr>
      <w:color w:val="0000FF" w:themeColor="hyperlink"/>
      <w:u w:val="single"/>
    </w:rPr>
  </w:style>
  <w:style w:type="character" w:customStyle="1" w:styleId="PrrafodelistaCar">
    <w:name w:val="Párrafo de lista Car"/>
    <w:aliases w:val="Footnote Car,Párrafo de lista1 Car,List Paragraph1 Car,Cuadrícula clara - Énfasis 31 Car,Colorful List - Accent 11 Car,List Paragraph2 Car,Lista vistosa - Énfasis 11 Car"/>
    <w:link w:val="Prrafodelista"/>
    <w:uiPriority w:val="34"/>
    <w:locked/>
    <w:rsid w:val="003442E0"/>
  </w:style>
  <w:style w:type="paragraph" w:styleId="Sinespaciado">
    <w:name w:val="No Spacing"/>
    <w:uiPriority w:val="1"/>
    <w:qFormat/>
    <w:rsid w:val="00A37F27"/>
    <w:pPr>
      <w:spacing w:after="0" w:line="240" w:lineRule="auto"/>
    </w:pPr>
  </w:style>
  <w:style w:type="character" w:customStyle="1" w:styleId="Ttulo1Car">
    <w:name w:val="Título 1 Car"/>
    <w:basedOn w:val="Fuentedeprrafopredeter"/>
    <w:link w:val="Ttulo1"/>
    <w:uiPriority w:val="9"/>
    <w:rsid w:val="00A37F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A37F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37F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37F2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37F2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A37F27"/>
    <w:rPr>
      <w:rFonts w:asciiTheme="majorHAnsi" w:eastAsiaTheme="majorEastAsia" w:hAnsiTheme="majorHAnsi" w:cstheme="majorBidi"/>
      <w:i/>
      <w:iCs/>
      <w:color w:val="243F60" w:themeColor="accent1" w:themeShade="7F"/>
    </w:rPr>
  </w:style>
  <w:style w:type="character" w:styleId="Refdecomentario">
    <w:name w:val="annotation reference"/>
    <w:basedOn w:val="Fuentedeprrafopredeter"/>
    <w:uiPriority w:val="99"/>
    <w:semiHidden/>
    <w:unhideWhenUsed/>
    <w:rsid w:val="00EF5BBC"/>
    <w:rPr>
      <w:sz w:val="16"/>
      <w:szCs w:val="16"/>
    </w:rPr>
  </w:style>
  <w:style w:type="paragraph" w:styleId="Textocomentario">
    <w:name w:val="annotation text"/>
    <w:basedOn w:val="Normal"/>
    <w:link w:val="TextocomentarioCar"/>
    <w:uiPriority w:val="99"/>
    <w:semiHidden/>
    <w:unhideWhenUsed/>
    <w:rsid w:val="00EF5B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5BBC"/>
    <w:rPr>
      <w:sz w:val="20"/>
      <w:szCs w:val="20"/>
    </w:rPr>
  </w:style>
  <w:style w:type="paragraph" w:styleId="Asuntodelcomentario">
    <w:name w:val="annotation subject"/>
    <w:basedOn w:val="Textocomentario"/>
    <w:next w:val="Textocomentario"/>
    <w:link w:val="AsuntodelcomentarioCar"/>
    <w:uiPriority w:val="99"/>
    <w:semiHidden/>
    <w:unhideWhenUsed/>
    <w:rsid w:val="00EF5BBC"/>
    <w:rPr>
      <w:b/>
      <w:bCs/>
    </w:rPr>
  </w:style>
  <w:style w:type="character" w:customStyle="1" w:styleId="AsuntodelcomentarioCar">
    <w:name w:val="Asunto del comentario Car"/>
    <w:basedOn w:val="TextocomentarioCar"/>
    <w:link w:val="Asuntodelcomentario"/>
    <w:uiPriority w:val="99"/>
    <w:semiHidden/>
    <w:rsid w:val="00EF5BBC"/>
    <w:rPr>
      <w:b/>
      <w:bCs/>
      <w:sz w:val="20"/>
      <w:szCs w:val="20"/>
    </w:rPr>
  </w:style>
  <w:style w:type="paragraph" w:styleId="Textodeglobo">
    <w:name w:val="Balloon Text"/>
    <w:basedOn w:val="Normal"/>
    <w:link w:val="TextodegloboCar"/>
    <w:uiPriority w:val="99"/>
    <w:semiHidden/>
    <w:unhideWhenUsed/>
    <w:rsid w:val="00EF5B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5BBC"/>
    <w:rPr>
      <w:rFonts w:ascii="Tahoma" w:hAnsi="Tahoma" w:cs="Tahoma"/>
      <w:sz w:val="16"/>
      <w:szCs w:val="16"/>
    </w:rPr>
  </w:style>
  <w:style w:type="paragraph" w:styleId="Encabezado">
    <w:name w:val="header"/>
    <w:basedOn w:val="Normal"/>
    <w:link w:val="EncabezadoCar"/>
    <w:uiPriority w:val="99"/>
    <w:unhideWhenUsed/>
    <w:rsid w:val="00183C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3C43"/>
  </w:style>
  <w:style w:type="paragraph" w:styleId="Piedepgina">
    <w:name w:val="footer"/>
    <w:basedOn w:val="Normal"/>
    <w:link w:val="PiedepginaCar"/>
    <w:uiPriority w:val="99"/>
    <w:unhideWhenUsed/>
    <w:rsid w:val="00183C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3C43"/>
  </w:style>
  <w:style w:type="paragraph" w:styleId="Revisin">
    <w:name w:val="Revision"/>
    <w:hidden/>
    <w:uiPriority w:val="99"/>
    <w:semiHidden/>
    <w:rsid w:val="000C603F"/>
    <w:pPr>
      <w:spacing w:after="0" w:line="240" w:lineRule="auto"/>
    </w:pPr>
  </w:style>
  <w:style w:type="character" w:styleId="nfasissutil">
    <w:name w:val="Subtle Emphasis"/>
    <w:basedOn w:val="Fuentedeprrafopredeter"/>
    <w:uiPriority w:val="19"/>
    <w:qFormat/>
    <w:rsid w:val="002D2C35"/>
    <w:rPr>
      <w:i/>
      <w:iCs/>
      <w:color w:val="808080" w:themeColor="text1" w:themeTint="7F"/>
    </w:rPr>
  </w:style>
  <w:style w:type="character" w:styleId="Hipervnculovisitado">
    <w:name w:val="FollowedHyperlink"/>
    <w:basedOn w:val="Fuentedeprrafopredeter"/>
    <w:uiPriority w:val="99"/>
    <w:semiHidden/>
    <w:unhideWhenUsed/>
    <w:rsid w:val="002D2C35"/>
    <w:rPr>
      <w:color w:val="800080" w:themeColor="followedHyperlink"/>
      <w:u w:val="single"/>
    </w:rPr>
  </w:style>
  <w:style w:type="character" w:styleId="Textoennegrita">
    <w:name w:val="Strong"/>
    <w:basedOn w:val="Fuentedeprrafopredeter"/>
    <w:uiPriority w:val="22"/>
    <w:qFormat/>
    <w:rsid w:val="0073115F"/>
    <w:rPr>
      <w:b/>
      <w:bCs/>
    </w:rPr>
  </w:style>
  <w:style w:type="character" w:styleId="Textodelmarcadordeposicin">
    <w:name w:val="Placeholder Text"/>
    <w:basedOn w:val="Fuentedeprrafopredeter"/>
    <w:uiPriority w:val="99"/>
    <w:semiHidden/>
    <w:rsid w:val="00E356A7"/>
    <w:rPr>
      <w:color w:val="808080"/>
    </w:rPr>
  </w:style>
  <w:style w:type="paragraph" w:styleId="TDC1">
    <w:name w:val="toc 1"/>
    <w:basedOn w:val="Normal"/>
    <w:next w:val="Normal"/>
    <w:autoRedefine/>
    <w:uiPriority w:val="39"/>
    <w:unhideWhenUsed/>
    <w:rsid w:val="002F2BA8"/>
    <w:pPr>
      <w:tabs>
        <w:tab w:val="left" w:pos="660"/>
        <w:tab w:val="right" w:leader="dot" w:pos="8505"/>
      </w:tabs>
      <w:spacing w:after="100"/>
      <w:ind w:right="333"/>
      <w:jc w:val="both"/>
    </w:pPr>
  </w:style>
  <w:style w:type="character" w:styleId="Nmerodelnea">
    <w:name w:val="line number"/>
    <w:basedOn w:val="Fuentedeprrafopredeter"/>
    <w:uiPriority w:val="99"/>
    <w:semiHidden/>
    <w:unhideWhenUsed/>
    <w:rsid w:val="004E6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71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rree.go.cr/files/includes/files.php?id=967&amp;tipo=documentos" TargetMode="External"/><Relationship Id="rId2" Type="http://schemas.openxmlformats.org/officeDocument/2006/relationships/hyperlink" Target="https://presidencia.go.cr/sentencia-corte-interamericana-de-derechos-humanos-caso-gomez-murillo-y-otros-vs-costa-rica/" TargetMode="External"/><Relationship Id="rId1" Type="http://schemas.openxmlformats.org/officeDocument/2006/relationships/hyperlink" Target="http://www.corteidh.or.cr/docs/casos/articulos/seriec_326_esp.pdf" TargetMode="External"/><Relationship Id="rId4" Type="http://schemas.openxmlformats.org/officeDocument/2006/relationships/hyperlink" Target="https://www.rree.go.cr/files/includes/files.php?id=968&amp;tipo=document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9D5F6-CA1C-4F8E-9CAD-E0C2D091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4791</Words>
  <Characters>26353</Characters>
  <Application>Microsoft Office Word</Application>
  <DocSecurity>0</DocSecurity>
  <Lines>219</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Francella Hernandez</cp:lastModifiedBy>
  <cp:revision>2</cp:revision>
  <cp:lastPrinted>2019-12-03T21:37:00Z</cp:lastPrinted>
  <dcterms:created xsi:type="dcterms:W3CDTF">2019-12-03T23:22:00Z</dcterms:created>
  <dcterms:modified xsi:type="dcterms:W3CDTF">2019-12-03T23:22:00Z</dcterms:modified>
</cp:coreProperties>
</file>