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D762" w14:textId="77777777" w:rsidR="00CA25FE" w:rsidRPr="004B4F0F" w:rsidRDefault="00CA25FE" w:rsidP="00D0573D">
      <w:pPr>
        <w:spacing w:after="0" w:line="240" w:lineRule="auto"/>
        <w:jc w:val="center"/>
        <w:rPr>
          <w:rFonts w:ascii="Verdana" w:hAnsi="Verdana"/>
          <w:b/>
          <w:sz w:val="20"/>
          <w:szCs w:val="20"/>
          <w:lang w:val="es-CR"/>
        </w:rPr>
      </w:pPr>
    </w:p>
    <w:p w14:paraId="1F8DCE54" w14:textId="77777777" w:rsidR="0075474E" w:rsidRPr="004B4F0F" w:rsidRDefault="0075474E" w:rsidP="00D0573D">
      <w:pPr>
        <w:tabs>
          <w:tab w:val="left" w:pos="7477"/>
        </w:tabs>
        <w:spacing w:after="0" w:line="240" w:lineRule="auto"/>
        <w:jc w:val="center"/>
        <w:rPr>
          <w:rFonts w:ascii="Verdana" w:hAnsi="Verdana"/>
          <w:b/>
          <w:sz w:val="20"/>
          <w:szCs w:val="20"/>
          <w:lang w:val="es-CR"/>
        </w:rPr>
      </w:pPr>
    </w:p>
    <w:p w14:paraId="1E312C95" w14:textId="77777777" w:rsidR="00D3707F" w:rsidRPr="004B4F0F" w:rsidRDefault="00D3707F" w:rsidP="00BE4D13">
      <w:pPr>
        <w:spacing w:after="0" w:line="240" w:lineRule="auto"/>
        <w:jc w:val="center"/>
        <w:rPr>
          <w:rFonts w:ascii="Verdana" w:hAnsi="Verdana"/>
          <w:b/>
          <w:sz w:val="20"/>
          <w:szCs w:val="20"/>
          <w:lang w:val="es-CR"/>
        </w:rPr>
      </w:pPr>
    </w:p>
    <w:p w14:paraId="5F880F38" w14:textId="77777777" w:rsidR="00BE4D13" w:rsidRPr="004B4F0F" w:rsidRDefault="00BE4D13" w:rsidP="00BE4D13">
      <w:pPr>
        <w:spacing w:after="0" w:line="240" w:lineRule="auto"/>
        <w:jc w:val="center"/>
        <w:rPr>
          <w:rFonts w:ascii="Verdana" w:hAnsi="Verdana"/>
          <w:b/>
          <w:sz w:val="20"/>
          <w:szCs w:val="20"/>
          <w:lang w:val="es-CR"/>
        </w:rPr>
      </w:pPr>
    </w:p>
    <w:p w14:paraId="01BCAEF0" w14:textId="77777777" w:rsidR="00BE4D13" w:rsidRPr="004B4F0F" w:rsidRDefault="00BE4D13" w:rsidP="00D0573D">
      <w:pPr>
        <w:spacing w:after="0" w:line="240" w:lineRule="auto"/>
        <w:jc w:val="center"/>
        <w:rPr>
          <w:rFonts w:ascii="Verdana" w:hAnsi="Verdana"/>
          <w:b/>
          <w:sz w:val="20"/>
          <w:szCs w:val="20"/>
          <w:lang w:val="es-CR"/>
        </w:rPr>
      </w:pPr>
    </w:p>
    <w:p w14:paraId="3E8FEDA0" w14:textId="77777777" w:rsidR="00BE4D13" w:rsidRDefault="00BE4D13" w:rsidP="00D0573D">
      <w:pPr>
        <w:spacing w:after="0" w:line="240" w:lineRule="auto"/>
        <w:jc w:val="center"/>
        <w:rPr>
          <w:rFonts w:ascii="Verdana" w:hAnsi="Verdana"/>
          <w:b/>
          <w:sz w:val="20"/>
          <w:szCs w:val="20"/>
          <w:lang w:val="es-CR"/>
        </w:rPr>
      </w:pPr>
    </w:p>
    <w:p w14:paraId="329BF50F" w14:textId="77777777" w:rsidR="00BE4D13" w:rsidRPr="00BE4D13" w:rsidRDefault="00BE4D13" w:rsidP="00D0573D">
      <w:pPr>
        <w:spacing w:after="0" w:line="240" w:lineRule="auto"/>
        <w:jc w:val="center"/>
        <w:rPr>
          <w:rFonts w:ascii="Verdana" w:hAnsi="Verdana"/>
          <w:b/>
          <w:sz w:val="20"/>
          <w:szCs w:val="20"/>
          <w:lang w:val="es-CR"/>
        </w:rPr>
      </w:pPr>
    </w:p>
    <w:p w14:paraId="24151A71" w14:textId="77777777" w:rsidR="0075474E" w:rsidRPr="00875DDD" w:rsidRDefault="0075474E" w:rsidP="0075474E">
      <w:pPr>
        <w:spacing w:after="0" w:line="240" w:lineRule="auto"/>
        <w:jc w:val="center"/>
        <w:rPr>
          <w:rFonts w:ascii="Verdana" w:hAnsi="Verdana"/>
          <w:b/>
          <w:sz w:val="20"/>
          <w:szCs w:val="20"/>
          <w:lang w:val="es-CR"/>
        </w:rPr>
      </w:pPr>
      <w:bookmarkStart w:id="0" w:name="_GoBack"/>
      <w:r w:rsidRPr="00875DDD">
        <w:rPr>
          <w:rFonts w:ascii="Verdana" w:hAnsi="Verdana"/>
          <w:b/>
          <w:sz w:val="20"/>
          <w:szCs w:val="20"/>
          <w:lang w:val="es-CR"/>
        </w:rPr>
        <w:t>RESOLUCIÓN DE LA</w:t>
      </w:r>
    </w:p>
    <w:p w14:paraId="58A41A4B" w14:textId="77777777" w:rsidR="0075474E" w:rsidRPr="00875DDD" w:rsidRDefault="0075474E" w:rsidP="0075474E">
      <w:pPr>
        <w:spacing w:after="0" w:line="240" w:lineRule="auto"/>
        <w:jc w:val="center"/>
        <w:rPr>
          <w:rFonts w:ascii="Verdana" w:hAnsi="Verdana"/>
          <w:b/>
          <w:sz w:val="20"/>
          <w:szCs w:val="20"/>
          <w:lang w:val="es-CR"/>
        </w:rPr>
      </w:pPr>
    </w:p>
    <w:p w14:paraId="2A91A6C2" w14:textId="77777777" w:rsidR="0075474E" w:rsidRPr="00875DDD" w:rsidRDefault="0075474E" w:rsidP="0075474E">
      <w:pPr>
        <w:spacing w:after="0" w:line="240" w:lineRule="auto"/>
        <w:jc w:val="center"/>
        <w:rPr>
          <w:rFonts w:ascii="Verdana" w:hAnsi="Verdana"/>
          <w:b/>
          <w:sz w:val="20"/>
          <w:szCs w:val="20"/>
          <w:lang w:val="es-CR"/>
        </w:rPr>
      </w:pPr>
      <w:r w:rsidRPr="00875DDD">
        <w:rPr>
          <w:rFonts w:ascii="Verdana" w:hAnsi="Verdana"/>
          <w:b/>
          <w:sz w:val="20"/>
          <w:szCs w:val="20"/>
          <w:lang w:val="es-CR"/>
        </w:rPr>
        <w:t>CORTE INTERAMERICANA DE DERECHOS HUMANOS</w:t>
      </w:r>
      <w:r w:rsidR="00BE4D13" w:rsidRPr="00D0573D">
        <w:rPr>
          <w:rFonts w:ascii="Verdana" w:hAnsi="Verdana"/>
          <w:b/>
          <w:sz w:val="20"/>
          <w:szCs w:val="20"/>
          <w:vertAlign w:val="superscript"/>
          <w:lang w:val="es-CR"/>
        </w:rPr>
        <w:t>*</w:t>
      </w:r>
    </w:p>
    <w:p w14:paraId="30B72F74" w14:textId="77777777" w:rsidR="0075474E" w:rsidRPr="00875DDD" w:rsidRDefault="0075474E" w:rsidP="0075474E">
      <w:pPr>
        <w:spacing w:after="0" w:line="240" w:lineRule="auto"/>
        <w:jc w:val="center"/>
        <w:rPr>
          <w:rFonts w:ascii="Verdana" w:hAnsi="Verdana"/>
          <w:b/>
          <w:sz w:val="20"/>
          <w:szCs w:val="20"/>
          <w:lang w:val="es-CR"/>
        </w:rPr>
      </w:pPr>
    </w:p>
    <w:p w14:paraId="7EA439D9" w14:textId="77777777" w:rsidR="0075474E" w:rsidRPr="00875DDD" w:rsidRDefault="0075474E" w:rsidP="0075474E">
      <w:pPr>
        <w:spacing w:after="0" w:line="240" w:lineRule="auto"/>
        <w:jc w:val="center"/>
        <w:rPr>
          <w:rFonts w:ascii="Verdana" w:hAnsi="Verdana"/>
          <w:b/>
          <w:sz w:val="20"/>
          <w:szCs w:val="20"/>
          <w:lang w:val="es-CR"/>
        </w:rPr>
      </w:pPr>
      <w:r w:rsidRPr="00875DDD">
        <w:rPr>
          <w:rFonts w:ascii="Verdana" w:hAnsi="Verdana"/>
          <w:b/>
          <w:sz w:val="20"/>
          <w:szCs w:val="20"/>
          <w:lang w:val="es-CR"/>
        </w:rPr>
        <w:t xml:space="preserve">DE </w:t>
      </w:r>
      <w:r w:rsidR="00B670E5">
        <w:rPr>
          <w:rFonts w:ascii="Verdana" w:hAnsi="Verdana"/>
          <w:b/>
          <w:sz w:val="20"/>
          <w:szCs w:val="20"/>
          <w:lang w:val="es-CR"/>
        </w:rPr>
        <w:t>22</w:t>
      </w:r>
      <w:r w:rsidR="00B670E5" w:rsidRPr="00875DDD">
        <w:rPr>
          <w:rFonts w:ascii="Verdana" w:hAnsi="Verdana"/>
          <w:b/>
          <w:sz w:val="20"/>
          <w:szCs w:val="20"/>
          <w:lang w:val="es-CR"/>
        </w:rPr>
        <w:t xml:space="preserve"> </w:t>
      </w:r>
      <w:r w:rsidRPr="00875DDD">
        <w:rPr>
          <w:rFonts w:ascii="Verdana" w:hAnsi="Verdana"/>
          <w:b/>
          <w:sz w:val="20"/>
          <w:szCs w:val="20"/>
          <w:lang w:val="es-CR"/>
        </w:rPr>
        <w:t xml:space="preserve">DE </w:t>
      </w:r>
      <w:r w:rsidR="00D3707F">
        <w:rPr>
          <w:rFonts w:ascii="Verdana" w:hAnsi="Verdana"/>
          <w:b/>
          <w:sz w:val="20"/>
          <w:szCs w:val="20"/>
          <w:lang w:val="es-CR"/>
        </w:rPr>
        <w:t>NOVIEMBRE</w:t>
      </w:r>
      <w:r w:rsidRPr="00875DDD">
        <w:rPr>
          <w:rFonts w:ascii="Verdana" w:hAnsi="Verdana"/>
          <w:b/>
          <w:sz w:val="20"/>
          <w:szCs w:val="20"/>
          <w:lang w:val="es-CR"/>
        </w:rPr>
        <w:t xml:space="preserve"> DE 2019</w:t>
      </w:r>
    </w:p>
    <w:p w14:paraId="7D4C2952" w14:textId="77777777" w:rsidR="0075474E" w:rsidRPr="00875DDD" w:rsidRDefault="0075474E" w:rsidP="0075474E">
      <w:pPr>
        <w:spacing w:after="0" w:line="240" w:lineRule="auto"/>
        <w:jc w:val="center"/>
        <w:rPr>
          <w:rFonts w:ascii="Verdana" w:hAnsi="Verdana"/>
          <w:b/>
          <w:sz w:val="20"/>
          <w:szCs w:val="20"/>
          <w:lang w:val="es-CR"/>
        </w:rPr>
      </w:pPr>
    </w:p>
    <w:p w14:paraId="6DDA39C7" w14:textId="77777777" w:rsidR="0075474E" w:rsidRPr="00D3707F" w:rsidRDefault="0075474E" w:rsidP="0075474E">
      <w:pPr>
        <w:spacing w:after="0" w:line="240" w:lineRule="auto"/>
        <w:jc w:val="center"/>
        <w:rPr>
          <w:rFonts w:ascii="Verdana" w:hAnsi="Verdana"/>
          <w:b/>
          <w:i/>
          <w:sz w:val="20"/>
          <w:szCs w:val="20"/>
          <w:lang w:val="es-CR"/>
        </w:rPr>
      </w:pPr>
      <w:r w:rsidRPr="00D3707F">
        <w:rPr>
          <w:rFonts w:ascii="Verdana" w:hAnsi="Verdana"/>
          <w:b/>
          <w:i/>
          <w:sz w:val="20"/>
          <w:szCs w:val="20"/>
          <w:lang w:val="es-CR"/>
        </w:rPr>
        <w:t>CASO GONZÁLEZ MEDINA Y FAMILIARES VS. REPÚBLICA DOMINICANA</w:t>
      </w:r>
    </w:p>
    <w:p w14:paraId="67E78565" w14:textId="77777777" w:rsidR="0075474E" w:rsidRDefault="0075474E" w:rsidP="0075474E">
      <w:pPr>
        <w:spacing w:after="0" w:line="240" w:lineRule="auto"/>
        <w:jc w:val="center"/>
        <w:rPr>
          <w:rFonts w:ascii="Verdana" w:hAnsi="Verdana"/>
          <w:b/>
          <w:sz w:val="20"/>
          <w:szCs w:val="20"/>
          <w:lang w:val="es-CR"/>
        </w:rPr>
      </w:pPr>
    </w:p>
    <w:p w14:paraId="37F56881" w14:textId="77777777" w:rsidR="0075474E" w:rsidRDefault="0075474E" w:rsidP="0075474E">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bookmarkEnd w:id="0"/>
    <w:p w14:paraId="5CB6FD85" w14:textId="77777777" w:rsidR="0075474E" w:rsidRDefault="0075474E" w:rsidP="008C689A">
      <w:pPr>
        <w:spacing w:before="120" w:after="120" w:line="240" w:lineRule="auto"/>
        <w:rPr>
          <w:rFonts w:ascii="Verdana" w:hAnsi="Verdana"/>
          <w:b/>
          <w:sz w:val="20"/>
          <w:szCs w:val="20"/>
          <w:lang w:val="es-CR"/>
        </w:rPr>
      </w:pPr>
      <w:r>
        <w:rPr>
          <w:rFonts w:ascii="Verdana" w:hAnsi="Verdana"/>
          <w:b/>
          <w:sz w:val="20"/>
          <w:szCs w:val="20"/>
          <w:lang w:val="es-CR"/>
        </w:rPr>
        <w:br/>
        <w:t>VISTO:</w:t>
      </w:r>
    </w:p>
    <w:p w14:paraId="7328BD4A" w14:textId="77777777" w:rsidR="0075474E" w:rsidRPr="00D3707F" w:rsidRDefault="0075474E" w:rsidP="008C689A">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1" w:name="_Ref26342676"/>
      <w:r w:rsidRPr="00D3707F">
        <w:rPr>
          <w:rFonts w:ascii="Verdana" w:hAnsi="Verdana"/>
          <w:sz w:val="20"/>
          <w:szCs w:val="20"/>
          <w:lang w:val="es-CR"/>
        </w:rPr>
        <w:t xml:space="preserve">La Sentencia </w:t>
      </w:r>
      <w:r w:rsidR="00D3707F" w:rsidRPr="00D3707F">
        <w:rPr>
          <w:rFonts w:ascii="Verdana" w:hAnsi="Verdana"/>
          <w:sz w:val="20"/>
          <w:szCs w:val="20"/>
          <w:lang w:val="es-CR"/>
        </w:rPr>
        <w:t xml:space="preserve">de excepciones preliminares, fondo, reparaciones y costas </w:t>
      </w:r>
      <w:r w:rsidRPr="00D3707F">
        <w:rPr>
          <w:rFonts w:ascii="Verdana" w:hAnsi="Verdana"/>
          <w:sz w:val="20"/>
          <w:szCs w:val="20"/>
          <w:lang w:val="es-CR"/>
        </w:rPr>
        <w:t>emitida por la Corte Interamericana de Derechos Humanos (en adelante “la Corte</w:t>
      </w:r>
      <w:r w:rsidR="00BE4D13">
        <w:rPr>
          <w:rFonts w:ascii="Verdana" w:hAnsi="Verdana"/>
          <w:sz w:val="20"/>
          <w:szCs w:val="20"/>
          <w:lang w:val="es-CR"/>
        </w:rPr>
        <w:t xml:space="preserve"> Interamericana</w:t>
      </w:r>
      <w:r w:rsidRPr="00D3707F">
        <w:rPr>
          <w:rFonts w:ascii="Verdana" w:hAnsi="Verdana"/>
          <w:sz w:val="20"/>
          <w:szCs w:val="20"/>
          <w:lang w:val="es-CR"/>
        </w:rPr>
        <w:t>”</w:t>
      </w:r>
      <w:r w:rsidR="00624882">
        <w:rPr>
          <w:rFonts w:ascii="Verdana" w:hAnsi="Verdana"/>
          <w:sz w:val="20"/>
          <w:szCs w:val="20"/>
          <w:lang w:val="es-CR"/>
        </w:rPr>
        <w:t>, “la Corte”</w:t>
      </w:r>
      <w:r w:rsidRPr="00D3707F">
        <w:rPr>
          <w:rFonts w:ascii="Verdana" w:hAnsi="Verdana"/>
          <w:sz w:val="20"/>
          <w:szCs w:val="20"/>
          <w:lang w:val="es-CR"/>
        </w:rPr>
        <w:t xml:space="preserve"> o “el Tribunal”) el 27 de febrero de 2012</w:t>
      </w:r>
      <w:r w:rsidRPr="00D3707F">
        <w:rPr>
          <w:rStyle w:val="Refdenotaalpie"/>
          <w:rFonts w:ascii="Verdana" w:hAnsi="Verdana"/>
          <w:sz w:val="20"/>
          <w:szCs w:val="20"/>
          <w:lang w:val="es-CR"/>
        </w:rPr>
        <w:footnoteReference w:id="1"/>
      </w:r>
      <w:r w:rsidRPr="00D3707F">
        <w:rPr>
          <w:rFonts w:ascii="Verdana" w:hAnsi="Verdana"/>
          <w:sz w:val="20"/>
          <w:szCs w:val="20"/>
          <w:lang w:val="es-CR"/>
        </w:rPr>
        <w:t>. La Corte determinó</w:t>
      </w:r>
      <w:r w:rsidR="003E68D9" w:rsidRPr="00D3707F">
        <w:rPr>
          <w:rFonts w:ascii="Verdana" w:hAnsi="Verdana"/>
          <w:sz w:val="20"/>
          <w:szCs w:val="20"/>
          <w:lang w:val="es-CR"/>
        </w:rPr>
        <w:t xml:space="preserve"> que la República Dominicana </w:t>
      </w:r>
      <w:r w:rsidR="005D0C04" w:rsidRPr="00D3707F">
        <w:rPr>
          <w:rFonts w:ascii="Verdana" w:hAnsi="Verdana"/>
          <w:sz w:val="20"/>
          <w:szCs w:val="20"/>
          <w:lang w:val="es-CR"/>
        </w:rPr>
        <w:t xml:space="preserve">(en adelante “el Estado” o “República Dominicana”) </w:t>
      </w:r>
      <w:r w:rsidR="00BE4D13">
        <w:rPr>
          <w:rFonts w:ascii="Verdana" w:hAnsi="Verdana"/>
          <w:sz w:val="20"/>
          <w:szCs w:val="20"/>
          <w:lang w:val="es-CR"/>
        </w:rPr>
        <w:t>incurrió en responsabilidad internacional</w:t>
      </w:r>
      <w:r w:rsidR="00D3707F" w:rsidRPr="00D3707F">
        <w:rPr>
          <w:rFonts w:ascii="Verdana" w:hAnsi="Verdana"/>
          <w:sz w:val="20"/>
          <w:szCs w:val="20"/>
          <w:lang w:val="es-CR"/>
        </w:rPr>
        <w:t xml:space="preserve"> por la desaparición forzada del señor </w:t>
      </w:r>
      <w:r w:rsidR="00624882">
        <w:rPr>
          <w:rFonts w:ascii="Verdana" w:hAnsi="Verdana"/>
          <w:sz w:val="20"/>
          <w:szCs w:val="20"/>
          <w:lang w:val="es-CR"/>
        </w:rPr>
        <w:t xml:space="preserve">Narciso </w:t>
      </w:r>
      <w:r w:rsidR="00D3707F" w:rsidRPr="00D3707F">
        <w:rPr>
          <w:rFonts w:ascii="Verdana" w:hAnsi="Verdana"/>
          <w:sz w:val="20"/>
          <w:szCs w:val="20"/>
          <w:lang w:val="es-CR"/>
        </w:rPr>
        <w:t xml:space="preserve">González Medina, y por las consiguientes violaciones a los derechos a la libertad personal, a la integridad personal, a la vida y al reconocimiento de la personalidad jurídica, </w:t>
      </w:r>
      <w:r w:rsidR="00624882">
        <w:rPr>
          <w:rFonts w:ascii="Verdana" w:hAnsi="Verdana"/>
          <w:sz w:val="20"/>
          <w:szCs w:val="20"/>
          <w:lang w:val="es-CR"/>
        </w:rPr>
        <w:t xml:space="preserve">así como por </w:t>
      </w:r>
      <w:r w:rsidR="00BE4D13">
        <w:rPr>
          <w:rFonts w:ascii="Verdana" w:hAnsi="Verdana"/>
          <w:sz w:val="20"/>
          <w:szCs w:val="20"/>
          <w:lang w:val="es-CR"/>
        </w:rPr>
        <w:t>el incumplimiento de</w:t>
      </w:r>
      <w:r w:rsidR="00624882">
        <w:rPr>
          <w:rFonts w:ascii="Verdana" w:hAnsi="Verdana"/>
          <w:sz w:val="20"/>
          <w:szCs w:val="20"/>
          <w:lang w:val="es-CR"/>
        </w:rPr>
        <w:t xml:space="preserve"> su obligación de garantizar los derechos contenidos en los artículos 1, 6 y 8 de la Convención Interamericana para Prevenir y Sancionar la Tortura</w:t>
      </w:r>
      <w:r w:rsidR="00D3707F" w:rsidRPr="00D3707F">
        <w:rPr>
          <w:rFonts w:ascii="Verdana" w:hAnsi="Verdana"/>
          <w:sz w:val="20"/>
          <w:szCs w:val="20"/>
          <w:lang w:val="es-CR"/>
        </w:rPr>
        <w:t>. La Corte determinó que lo sucedido al señor González Medina constituyó una desaparición forzada que inició el 26 de mayo de 1994,</w:t>
      </w:r>
      <w:r w:rsidR="00624882">
        <w:rPr>
          <w:rFonts w:ascii="Verdana" w:hAnsi="Verdana"/>
          <w:sz w:val="20"/>
          <w:szCs w:val="20"/>
          <w:lang w:val="es-CR"/>
        </w:rPr>
        <w:t xml:space="preserve"> y que</w:t>
      </w:r>
      <w:r w:rsidR="00D3707F" w:rsidRPr="00D3707F">
        <w:rPr>
          <w:rFonts w:ascii="Verdana" w:hAnsi="Verdana"/>
          <w:sz w:val="20"/>
          <w:szCs w:val="20"/>
          <w:lang w:val="es-CR"/>
        </w:rPr>
        <w:t xml:space="preserve"> continuaba a la fecha en que la República Dominicana reconoció la competencia contenciosa de esta Corte y persist</w:t>
      </w:r>
      <w:r w:rsidR="00624882">
        <w:rPr>
          <w:rFonts w:ascii="Verdana" w:hAnsi="Verdana"/>
          <w:sz w:val="20"/>
          <w:szCs w:val="20"/>
          <w:lang w:val="es-CR"/>
        </w:rPr>
        <w:t>ía aún al momento de la emisión de la Sentencia</w:t>
      </w:r>
      <w:r w:rsidR="00D3707F" w:rsidRPr="00D3707F">
        <w:rPr>
          <w:rFonts w:ascii="Verdana" w:hAnsi="Verdana"/>
          <w:sz w:val="20"/>
          <w:szCs w:val="20"/>
          <w:lang w:val="es-CR"/>
        </w:rPr>
        <w:t>, en virtud de que no se ha</w:t>
      </w:r>
      <w:r w:rsidR="00624882">
        <w:rPr>
          <w:rFonts w:ascii="Verdana" w:hAnsi="Verdana"/>
          <w:sz w:val="20"/>
          <w:szCs w:val="20"/>
          <w:lang w:val="es-CR"/>
        </w:rPr>
        <w:t>bía</w:t>
      </w:r>
      <w:r w:rsidR="00D3707F" w:rsidRPr="00D3707F">
        <w:rPr>
          <w:rFonts w:ascii="Verdana" w:hAnsi="Verdana"/>
          <w:sz w:val="20"/>
          <w:szCs w:val="20"/>
          <w:lang w:val="es-CR"/>
        </w:rPr>
        <w:t xml:space="preserve"> determinado su paradero.  Asimismo, este Tribunal declaró la responsabilidad internacional del Estado por la violación de los derechos a las garantías judiciales, a la protección judicial y a la integridad personal, en perjuicio de sus familiares: su cónyuge Luz Altagracia Ramírez, y sus hijos Ernesto, </w:t>
      </w:r>
      <w:proofErr w:type="spellStart"/>
      <w:r w:rsidR="00D3707F" w:rsidRPr="00D3707F">
        <w:rPr>
          <w:rFonts w:ascii="Verdana" w:hAnsi="Verdana"/>
          <w:sz w:val="20"/>
          <w:szCs w:val="20"/>
          <w:lang w:val="es-CR"/>
        </w:rPr>
        <w:t>Rhina</w:t>
      </w:r>
      <w:proofErr w:type="spellEnd"/>
      <w:r w:rsidR="00D3707F" w:rsidRPr="00D3707F">
        <w:rPr>
          <w:rFonts w:ascii="Verdana" w:hAnsi="Verdana"/>
          <w:sz w:val="20"/>
          <w:szCs w:val="20"/>
          <w:lang w:val="es-CR"/>
        </w:rPr>
        <w:t xml:space="preserve"> </w:t>
      </w:r>
      <w:proofErr w:type="spellStart"/>
      <w:r w:rsidR="00D3707F" w:rsidRPr="00D3707F">
        <w:rPr>
          <w:rFonts w:ascii="Verdana" w:hAnsi="Verdana"/>
          <w:sz w:val="20"/>
          <w:szCs w:val="20"/>
          <w:lang w:val="es-CR"/>
        </w:rPr>
        <w:t>Yokasta</w:t>
      </w:r>
      <w:proofErr w:type="spellEnd"/>
      <w:r w:rsidR="00D3707F" w:rsidRPr="00D3707F">
        <w:rPr>
          <w:rFonts w:ascii="Verdana" w:hAnsi="Verdana"/>
          <w:sz w:val="20"/>
          <w:szCs w:val="20"/>
          <w:lang w:val="es-CR"/>
        </w:rPr>
        <w:t xml:space="preserve">, </w:t>
      </w:r>
      <w:proofErr w:type="spellStart"/>
      <w:r w:rsidR="00D3707F" w:rsidRPr="00D3707F">
        <w:rPr>
          <w:rFonts w:ascii="Verdana" w:hAnsi="Verdana"/>
          <w:sz w:val="20"/>
          <w:szCs w:val="20"/>
          <w:lang w:val="es-CR"/>
        </w:rPr>
        <w:t>Jennie</w:t>
      </w:r>
      <w:proofErr w:type="spellEnd"/>
      <w:r w:rsidR="00D3707F" w:rsidRPr="00D3707F">
        <w:rPr>
          <w:rFonts w:ascii="Verdana" w:hAnsi="Verdana"/>
          <w:sz w:val="20"/>
          <w:szCs w:val="20"/>
          <w:lang w:val="es-CR"/>
        </w:rPr>
        <w:t xml:space="preserve"> Rosanna y Amaury, todos de apellidos González Ramírez. </w:t>
      </w:r>
      <w:r w:rsidR="00EA2E81" w:rsidRPr="00D3707F">
        <w:rPr>
          <w:rFonts w:ascii="Verdana" w:hAnsi="Verdana"/>
          <w:sz w:val="20"/>
          <w:szCs w:val="20"/>
          <w:lang w:val="es-CR"/>
        </w:rPr>
        <w:t>El Tribunal concluyó que su Sentencia constituye por sí misma una forma de reparación y, adicionalmente, ordenó al Estado determinadas medidas de reparación (</w:t>
      </w:r>
      <w:r w:rsidR="00EA2E81" w:rsidRPr="00D3707F">
        <w:rPr>
          <w:rFonts w:ascii="Verdana" w:hAnsi="Verdana"/>
          <w:i/>
          <w:sz w:val="20"/>
          <w:szCs w:val="20"/>
          <w:lang w:val="es-CR"/>
        </w:rPr>
        <w:t xml:space="preserve">infra </w:t>
      </w:r>
      <w:r w:rsidR="00EA2E81" w:rsidRPr="00D3707F">
        <w:rPr>
          <w:rFonts w:ascii="Verdana" w:hAnsi="Verdana"/>
          <w:sz w:val="20"/>
          <w:szCs w:val="20"/>
          <w:lang w:val="es-CR"/>
        </w:rPr>
        <w:t xml:space="preserve">Considerando </w:t>
      </w:r>
      <w:r w:rsidR="00624882">
        <w:rPr>
          <w:rFonts w:ascii="Verdana" w:hAnsi="Verdana"/>
          <w:sz w:val="20"/>
          <w:szCs w:val="20"/>
          <w:lang w:val="es-CR"/>
        </w:rPr>
        <w:fldChar w:fldCharType="begin"/>
      </w:r>
      <w:r w:rsidR="00624882">
        <w:rPr>
          <w:rFonts w:ascii="Verdana" w:hAnsi="Verdana"/>
          <w:sz w:val="20"/>
          <w:szCs w:val="20"/>
          <w:lang w:val="es-CR"/>
        </w:rPr>
        <w:instrText xml:space="preserve"> REF _Ref26337816 \r \h </w:instrText>
      </w:r>
      <w:r w:rsidR="00624882">
        <w:rPr>
          <w:rFonts w:ascii="Verdana" w:hAnsi="Verdana"/>
          <w:sz w:val="20"/>
          <w:szCs w:val="20"/>
          <w:lang w:val="es-CR"/>
        </w:rPr>
      </w:r>
      <w:r w:rsidR="00624882">
        <w:rPr>
          <w:rFonts w:ascii="Verdana" w:hAnsi="Verdana"/>
          <w:sz w:val="20"/>
          <w:szCs w:val="20"/>
          <w:lang w:val="es-CR"/>
        </w:rPr>
        <w:fldChar w:fldCharType="separate"/>
      </w:r>
      <w:r w:rsidR="00462D62">
        <w:rPr>
          <w:rFonts w:ascii="Verdana" w:hAnsi="Verdana"/>
          <w:sz w:val="20"/>
          <w:szCs w:val="20"/>
          <w:lang w:val="es-CR"/>
        </w:rPr>
        <w:t>1</w:t>
      </w:r>
      <w:r w:rsidR="00624882">
        <w:rPr>
          <w:rFonts w:ascii="Verdana" w:hAnsi="Verdana"/>
          <w:sz w:val="20"/>
          <w:szCs w:val="20"/>
          <w:lang w:val="es-CR"/>
        </w:rPr>
        <w:fldChar w:fldCharType="end"/>
      </w:r>
      <w:r w:rsidR="00EA2E81" w:rsidRPr="00D3707F">
        <w:rPr>
          <w:rFonts w:ascii="Verdana" w:hAnsi="Verdana"/>
          <w:sz w:val="20"/>
          <w:szCs w:val="20"/>
          <w:lang w:val="es-CR"/>
        </w:rPr>
        <w:t>).</w:t>
      </w:r>
      <w:bookmarkEnd w:id="1"/>
      <w:r w:rsidR="00EA2E81" w:rsidRPr="00D3707F">
        <w:rPr>
          <w:rFonts w:ascii="Verdana" w:hAnsi="Verdana"/>
          <w:sz w:val="20"/>
          <w:szCs w:val="20"/>
          <w:lang w:val="es-CR"/>
        </w:rPr>
        <w:t xml:space="preserve"> </w:t>
      </w:r>
    </w:p>
    <w:p w14:paraId="7CF2C840" w14:textId="77777777" w:rsidR="008C689A" w:rsidRPr="00582F42" w:rsidRDefault="008C689A" w:rsidP="008C689A">
      <w:pPr>
        <w:pStyle w:val="Prrafodelista"/>
        <w:numPr>
          <w:ilvl w:val="0"/>
          <w:numId w:val="1"/>
        </w:numPr>
        <w:spacing w:before="120" w:after="120" w:line="240" w:lineRule="auto"/>
        <w:ind w:left="0" w:firstLine="0"/>
        <w:contextualSpacing w:val="0"/>
        <w:jc w:val="both"/>
        <w:rPr>
          <w:rFonts w:ascii="Verdana" w:hAnsi="Verdana"/>
          <w:b/>
          <w:sz w:val="20"/>
          <w:szCs w:val="20"/>
          <w:lang w:val="es-CR"/>
        </w:rPr>
      </w:pPr>
      <w:r>
        <w:rPr>
          <w:rFonts w:ascii="Verdana" w:hAnsi="Verdana"/>
          <w:sz w:val="20"/>
          <w:szCs w:val="20"/>
          <w:lang w:val="es-CR"/>
        </w:rPr>
        <w:t>El escrito presentado por los representantes de las víctimas (en adelante “los representantes”)</w:t>
      </w:r>
      <w:r>
        <w:rPr>
          <w:rStyle w:val="Refdenotaalpie"/>
          <w:rFonts w:ascii="Verdana" w:hAnsi="Verdana"/>
          <w:sz w:val="20"/>
          <w:szCs w:val="20"/>
          <w:lang w:val="es-CR"/>
        </w:rPr>
        <w:footnoteReference w:id="2"/>
      </w:r>
      <w:r>
        <w:rPr>
          <w:rFonts w:ascii="Verdana" w:hAnsi="Verdana"/>
          <w:sz w:val="20"/>
          <w:szCs w:val="20"/>
          <w:lang w:val="es-CR"/>
        </w:rPr>
        <w:t xml:space="preserve"> el 20 de mayo de 2013</w:t>
      </w:r>
      <w:r w:rsidR="00EF0C75">
        <w:rPr>
          <w:rFonts w:ascii="Verdana" w:hAnsi="Verdana"/>
          <w:sz w:val="20"/>
          <w:szCs w:val="20"/>
          <w:lang w:val="es-CR"/>
        </w:rPr>
        <w:t xml:space="preserve">, mediante el cual hicieron notar que el Estado no había presentado el informe </w:t>
      </w:r>
      <w:r w:rsidR="00BE4D13">
        <w:rPr>
          <w:rFonts w:ascii="Verdana" w:hAnsi="Verdana"/>
          <w:sz w:val="20"/>
          <w:szCs w:val="20"/>
          <w:lang w:val="es-CR"/>
        </w:rPr>
        <w:t xml:space="preserve">requerido en la Sentencia </w:t>
      </w:r>
      <w:r w:rsidR="00EF0C75">
        <w:rPr>
          <w:rFonts w:ascii="Verdana" w:hAnsi="Verdana"/>
          <w:sz w:val="20"/>
          <w:szCs w:val="20"/>
          <w:lang w:val="es-CR"/>
        </w:rPr>
        <w:t>sobre las medidas para cumplir con la</w:t>
      </w:r>
      <w:r w:rsidR="00BE4D13">
        <w:rPr>
          <w:rFonts w:ascii="Verdana" w:hAnsi="Verdana"/>
          <w:sz w:val="20"/>
          <w:szCs w:val="20"/>
          <w:lang w:val="es-CR"/>
        </w:rPr>
        <w:t>s reparaciones ordenadas en la misma</w:t>
      </w:r>
      <w:r w:rsidR="00EF0C75">
        <w:rPr>
          <w:rFonts w:ascii="Verdana" w:hAnsi="Verdana"/>
          <w:sz w:val="20"/>
          <w:szCs w:val="20"/>
          <w:lang w:val="es-CR"/>
        </w:rPr>
        <w:t>, a pesar de que ya había vencido el plazo de un año que le fue otorgado</w:t>
      </w:r>
      <w:r>
        <w:rPr>
          <w:rFonts w:ascii="Verdana" w:hAnsi="Verdana"/>
          <w:sz w:val="20"/>
          <w:szCs w:val="20"/>
          <w:lang w:val="es-CR"/>
        </w:rPr>
        <w:t xml:space="preserve">. </w:t>
      </w:r>
    </w:p>
    <w:p w14:paraId="08F92F92" w14:textId="77777777" w:rsidR="00582F42" w:rsidRDefault="00582F42" w:rsidP="00582F42">
      <w:pPr>
        <w:pStyle w:val="Prrafodelista"/>
        <w:spacing w:before="120" w:after="120" w:line="240" w:lineRule="auto"/>
        <w:ind w:left="0"/>
        <w:contextualSpacing w:val="0"/>
        <w:jc w:val="both"/>
        <w:rPr>
          <w:rFonts w:ascii="Verdana" w:hAnsi="Verdana"/>
          <w:b/>
          <w:sz w:val="20"/>
          <w:szCs w:val="20"/>
          <w:lang w:val="es-CR"/>
        </w:rPr>
      </w:pPr>
    </w:p>
    <w:p w14:paraId="5AA2B24E" w14:textId="77777777" w:rsidR="008C689A" w:rsidRPr="00E079EC" w:rsidRDefault="008C689A" w:rsidP="008C689A">
      <w:pPr>
        <w:pStyle w:val="Prrafodelista"/>
        <w:numPr>
          <w:ilvl w:val="0"/>
          <w:numId w:val="1"/>
        </w:numPr>
        <w:spacing w:before="120" w:after="120" w:line="240" w:lineRule="auto"/>
        <w:ind w:left="0" w:firstLine="0"/>
        <w:contextualSpacing w:val="0"/>
        <w:jc w:val="both"/>
        <w:rPr>
          <w:rFonts w:ascii="Verdana" w:hAnsi="Verdana"/>
          <w:b/>
          <w:sz w:val="20"/>
          <w:szCs w:val="20"/>
          <w:lang w:val="es-CR"/>
        </w:rPr>
      </w:pPr>
      <w:r w:rsidRPr="00E079EC">
        <w:rPr>
          <w:rFonts w:ascii="Verdana" w:hAnsi="Verdana"/>
          <w:sz w:val="20"/>
          <w:szCs w:val="20"/>
          <w:lang w:val="es-CR"/>
        </w:rPr>
        <w:lastRenderedPageBreak/>
        <w:t>La</w:t>
      </w:r>
      <w:r w:rsidR="00405F8A">
        <w:rPr>
          <w:rFonts w:ascii="Verdana" w:hAnsi="Verdana"/>
          <w:sz w:val="20"/>
          <w:szCs w:val="20"/>
          <w:lang w:val="es-CR"/>
        </w:rPr>
        <w:t>s</w:t>
      </w:r>
      <w:r w:rsidRPr="00E079EC">
        <w:rPr>
          <w:rFonts w:ascii="Verdana" w:hAnsi="Verdana"/>
          <w:sz w:val="20"/>
          <w:szCs w:val="20"/>
          <w:lang w:val="es-CR"/>
        </w:rPr>
        <w:t xml:space="preserve"> nota</w:t>
      </w:r>
      <w:r w:rsidR="00405F8A">
        <w:rPr>
          <w:rFonts w:ascii="Verdana" w:hAnsi="Verdana"/>
          <w:sz w:val="20"/>
          <w:szCs w:val="20"/>
          <w:lang w:val="es-CR"/>
        </w:rPr>
        <w:t>s</w:t>
      </w:r>
      <w:r w:rsidRPr="00E079EC">
        <w:rPr>
          <w:rFonts w:ascii="Verdana" w:hAnsi="Verdana"/>
          <w:sz w:val="20"/>
          <w:szCs w:val="20"/>
          <w:lang w:val="es-CR"/>
        </w:rPr>
        <w:t xml:space="preserve"> de la Secretaría de la Corte (en adelante “la Secretaría”) de 22 de mayo</w:t>
      </w:r>
      <w:r w:rsidR="00405F8A">
        <w:rPr>
          <w:rFonts w:ascii="Verdana" w:hAnsi="Verdana"/>
          <w:sz w:val="20"/>
          <w:szCs w:val="20"/>
          <w:lang w:val="es-CR"/>
        </w:rPr>
        <w:t xml:space="preserve"> y 26 de junio</w:t>
      </w:r>
      <w:r w:rsidRPr="00E079EC">
        <w:rPr>
          <w:rFonts w:ascii="Verdana" w:hAnsi="Verdana"/>
          <w:sz w:val="20"/>
          <w:szCs w:val="20"/>
          <w:lang w:val="es-CR"/>
        </w:rPr>
        <w:t xml:space="preserve"> de 2013, </w:t>
      </w:r>
      <w:r w:rsidR="00E079EC">
        <w:rPr>
          <w:rFonts w:ascii="Verdana" w:hAnsi="Verdana"/>
          <w:sz w:val="20"/>
          <w:szCs w:val="20"/>
          <w:lang w:val="es-CR"/>
        </w:rPr>
        <w:t>mediante la</w:t>
      </w:r>
      <w:r w:rsidR="00EF4F78">
        <w:rPr>
          <w:rFonts w:ascii="Verdana" w:hAnsi="Verdana"/>
          <w:sz w:val="20"/>
          <w:szCs w:val="20"/>
          <w:lang w:val="es-CR"/>
        </w:rPr>
        <w:t>s</w:t>
      </w:r>
      <w:r w:rsidR="00E079EC">
        <w:rPr>
          <w:rFonts w:ascii="Verdana" w:hAnsi="Verdana"/>
          <w:sz w:val="20"/>
          <w:szCs w:val="20"/>
          <w:lang w:val="es-CR"/>
        </w:rPr>
        <w:t xml:space="preserve"> cual</w:t>
      </w:r>
      <w:r w:rsidR="00EF4F78">
        <w:rPr>
          <w:rFonts w:ascii="Verdana" w:hAnsi="Verdana"/>
          <w:sz w:val="20"/>
          <w:szCs w:val="20"/>
          <w:lang w:val="es-CR"/>
        </w:rPr>
        <w:t>es</w:t>
      </w:r>
      <w:r w:rsidR="00E079EC">
        <w:rPr>
          <w:rFonts w:ascii="Verdana" w:hAnsi="Verdana"/>
          <w:sz w:val="20"/>
          <w:szCs w:val="20"/>
          <w:lang w:val="es-CR"/>
        </w:rPr>
        <w:t xml:space="preserve">, siguiendo instrucciones del Presidente de la Corte, se recordó al Estado que el plazo para presentar el </w:t>
      </w:r>
      <w:r w:rsidR="00EF0C75">
        <w:rPr>
          <w:rFonts w:ascii="Verdana" w:hAnsi="Verdana"/>
          <w:sz w:val="20"/>
          <w:szCs w:val="20"/>
          <w:lang w:val="es-CR"/>
        </w:rPr>
        <w:t xml:space="preserve">referido </w:t>
      </w:r>
      <w:r w:rsidR="00E079EC">
        <w:rPr>
          <w:rFonts w:ascii="Verdana" w:hAnsi="Verdana"/>
          <w:sz w:val="20"/>
          <w:szCs w:val="20"/>
          <w:lang w:val="es-CR"/>
        </w:rPr>
        <w:t xml:space="preserve">informe había vencido y se le solicitó que lo remitiera a la mayor brevedad. </w:t>
      </w:r>
      <w:r w:rsidR="00E079EC" w:rsidRPr="00E079EC">
        <w:rPr>
          <w:rFonts w:ascii="Verdana" w:hAnsi="Verdana"/>
          <w:b/>
          <w:sz w:val="20"/>
          <w:szCs w:val="20"/>
          <w:lang w:val="es-CR"/>
        </w:rPr>
        <w:t xml:space="preserve"> </w:t>
      </w:r>
    </w:p>
    <w:p w14:paraId="2E9F3201" w14:textId="77777777" w:rsidR="007736F9" w:rsidRDefault="007736F9" w:rsidP="008C689A">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2" w:name="_Ref26340715"/>
      <w:r>
        <w:rPr>
          <w:rFonts w:ascii="Verdana" w:hAnsi="Verdana"/>
          <w:sz w:val="20"/>
          <w:szCs w:val="20"/>
          <w:lang w:val="es-CR"/>
        </w:rPr>
        <w:t>Los</w:t>
      </w:r>
      <w:r w:rsidR="005F4E5C">
        <w:rPr>
          <w:rFonts w:ascii="Verdana" w:hAnsi="Verdana"/>
          <w:sz w:val="20"/>
          <w:szCs w:val="20"/>
          <w:lang w:val="es-CR"/>
        </w:rPr>
        <w:t xml:space="preserve"> </w:t>
      </w:r>
      <w:r w:rsidR="004028A5">
        <w:rPr>
          <w:rFonts w:ascii="Verdana" w:hAnsi="Verdana"/>
          <w:sz w:val="20"/>
          <w:szCs w:val="20"/>
          <w:lang w:val="es-CR"/>
        </w:rPr>
        <w:t>informe</w:t>
      </w:r>
      <w:r>
        <w:rPr>
          <w:rFonts w:ascii="Verdana" w:hAnsi="Verdana"/>
          <w:sz w:val="20"/>
          <w:szCs w:val="20"/>
          <w:lang w:val="es-CR"/>
        </w:rPr>
        <w:t>s</w:t>
      </w:r>
      <w:r w:rsidR="005F4E5C">
        <w:rPr>
          <w:rFonts w:ascii="Verdana" w:hAnsi="Verdana"/>
          <w:sz w:val="20"/>
          <w:szCs w:val="20"/>
          <w:lang w:val="es-CR"/>
        </w:rPr>
        <w:t xml:space="preserve"> presentado</w:t>
      </w:r>
      <w:r>
        <w:rPr>
          <w:rFonts w:ascii="Verdana" w:hAnsi="Verdana"/>
          <w:sz w:val="20"/>
          <w:szCs w:val="20"/>
          <w:lang w:val="es-CR"/>
        </w:rPr>
        <w:t>s</w:t>
      </w:r>
      <w:r w:rsidR="005F4E5C">
        <w:rPr>
          <w:rFonts w:ascii="Verdana" w:hAnsi="Verdana"/>
          <w:sz w:val="20"/>
          <w:szCs w:val="20"/>
          <w:lang w:val="es-CR"/>
        </w:rPr>
        <w:t xml:space="preserve"> por el Estado el 1</w:t>
      </w:r>
      <w:r w:rsidR="00EF4F78">
        <w:rPr>
          <w:rFonts w:ascii="Verdana" w:hAnsi="Verdana"/>
          <w:sz w:val="20"/>
          <w:szCs w:val="20"/>
          <w:lang w:val="es-CR"/>
        </w:rPr>
        <w:t>7</w:t>
      </w:r>
      <w:r w:rsidR="005F4E5C">
        <w:rPr>
          <w:rFonts w:ascii="Verdana" w:hAnsi="Verdana"/>
          <w:sz w:val="20"/>
          <w:szCs w:val="20"/>
          <w:lang w:val="es-CR"/>
        </w:rPr>
        <w:t xml:space="preserve"> de septiembre de 2013, </w:t>
      </w:r>
      <w:r>
        <w:rPr>
          <w:rFonts w:ascii="Verdana" w:hAnsi="Verdana"/>
          <w:sz w:val="20"/>
          <w:szCs w:val="20"/>
          <w:lang w:val="es-CR"/>
        </w:rPr>
        <w:t xml:space="preserve">el </w:t>
      </w:r>
      <w:r w:rsidRPr="004028A5">
        <w:rPr>
          <w:rFonts w:ascii="Verdana" w:hAnsi="Verdana"/>
          <w:sz w:val="20"/>
          <w:szCs w:val="20"/>
          <w:lang w:val="es-CR"/>
        </w:rPr>
        <w:t>23 de abril y</w:t>
      </w:r>
      <w:r>
        <w:rPr>
          <w:rFonts w:ascii="Verdana" w:hAnsi="Verdana"/>
          <w:sz w:val="20"/>
          <w:szCs w:val="20"/>
          <w:lang w:val="es-CR"/>
        </w:rPr>
        <w:t xml:space="preserve"> el </w:t>
      </w:r>
      <w:r w:rsidRPr="004028A5">
        <w:rPr>
          <w:rFonts w:ascii="Verdana" w:hAnsi="Verdana"/>
          <w:sz w:val="20"/>
          <w:szCs w:val="20"/>
          <w:lang w:val="es-CR"/>
        </w:rPr>
        <w:t>4 de julio de 2014, relativo</w:t>
      </w:r>
      <w:r>
        <w:rPr>
          <w:rFonts w:ascii="Verdana" w:hAnsi="Verdana"/>
          <w:sz w:val="20"/>
          <w:szCs w:val="20"/>
          <w:lang w:val="es-CR"/>
        </w:rPr>
        <w:t>s</w:t>
      </w:r>
      <w:r w:rsidRPr="004028A5">
        <w:rPr>
          <w:rFonts w:ascii="Verdana" w:hAnsi="Verdana"/>
          <w:sz w:val="20"/>
          <w:szCs w:val="20"/>
          <w:lang w:val="es-CR"/>
        </w:rPr>
        <w:t xml:space="preserve"> </w:t>
      </w:r>
      <w:r>
        <w:rPr>
          <w:rFonts w:ascii="Verdana" w:hAnsi="Verdana"/>
          <w:sz w:val="20"/>
          <w:szCs w:val="20"/>
          <w:lang w:val="es-CR"/>
        </w:rPr>
        <w:t>al cumplimiento de algunas de las</w:t>
      </w:r>
      <w:r w:rsidRPr="004028A5">
        <w:rPr>
          <w:rFonts w:ascii="Verdana" w:hAnsi="Verdana"/>
          <w:sz w:val="20"/>
          <w:szCs w:val="20"/>
          <w:lang w:val="es-CR"/>
        </w:rPr>
        <w:t xml:space="preserve"> medidas de reparación ordenadas en la Sentencia.</w:t>
      </w:r>
      <w:bookmarkEnd w:id="2"/>
      <w:r w:rsidRPr="004028A5">
        <w:rPr>
          <w:rFonts w:ascii="Verdana" w:hAnsi="Verdana"/>
          <w:sz w:val="20"/>
          <w:szCs w:val="20"/>
          <w:lang w:val="es-CR"/>
        </w:rPr>
        <w:t xml:space="preserve"> </w:t>
      </w:r>
    </w:p>
    <w:p w14:paraId="2C4E17C5" w14:textId="77777777" w:rsidR="00EF0C75" w:rsidRPr="00572104" w:rsidRDefault="007736F9" w:rsidP="008C689A">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7736F9">
        <w:rPr>
          <w:rFonts w:ascii="Verdana" w:hAnsi="Verdana"/>
          <w:sz w:val="20"/>
          <w:szCs w:val="20"/>
          <w:lang w:val="es-CR"/>
        </w:rPr>
        <w:t>Los</w:t>
      </w:r>
      <w:r w:rsidR="008C689A" w:rsidRPr="007736F9">
        <w:rPr>
          <w:rFonts w:ascii="Verdana" w:hAnsi="Verdana"/>
          <w:sz w:val="20"/>
          <w:szCs w:val="20"/>
          <w:lang w:val="es-CR"/>
        </w:rPr>
        <w:t xml:space="preserve"> e</w:t>
      </w:r>
      <w:r w:rsidR="00EF0C75" w:rsidRPr="007736F9">
        <w:rPr>
          <w:rFonts w:ascii="Verdana" w:hAnsi="Verdana"/>
          <w:sz w:val="20"/>
          <w:szCs w:val="20"/>
          <w:lang w:val="es-CR"/>
        </w:rPr>
        <w:t>scrito</w:t>
      </w:r>
      <w:r w:rsidRPr="007736F9">
        <w:rPr>
          <w:rFonts w:ascii="Verdana" w:hAnsi="Verdana"/>
          <w:sz w:val="20"/>
          <w:szCs w:val="20"/>
          <w:lang w:val="es-CR"/>
        </w:rPr>
        <w:t>s</w:t>
      </w:r>
      <w:r w:rsidR="00EF0C75" w:rsidRPr="007736F9">
        <w:rPr>
          <w:rFonts w:ascii="Verdana" w:hAnsi="Verdana"/>
          <w:sz w:val="20"/>
          <w:szCs w:val="20"/>
          <w:lang w:val="es-CR"/>
        </w:rPr>
        <w:t xml:space="preserve"> presentado</w:t>
      </w:r>
      <w:r w:rsidRPr="007736F9">
        <w:rPr>
          <w:rFonts w:ascii="Verdana" w:hAnsi="Verdana"/>
          <w:sz w:val="20"/>
          <w:szCs w:val="20"/>
          <w:lang w:val="es-CR"/>
        </w:rPr>
        <w:t>s</w:t>
      </w:r>
      <w:r w:rsidR="00EF0C75" w:rsidRPr="007736F9">
        <w:rPr>
          <w:rFonts w:ascii="Verdana" w:hAnsi="Verdana"/>
          <w:sz w:val="20"/>
          <w:szCs w:val="20"/>
          <w:lang w:val="es-CR"/>
        </w:rPr>
        <w:t xml:space="preserve"> por los representantes el 24 de octubre de 2013</w:t>
      </w:r>
      <w:r w:rsidRPr="007736F9">
        <w:rPr>
          <w:rFonts w:ascii="Verdana" w:hAnsi="Verdana"/>
          <w:sz w:val="20"/>
          <w:szCs w:val="20"/>
          <w:lang w:val="es-CR"/>
        </w:rPr>
        <w:t xml:space="preserve"> y el 20 de agosto de </w:t>
      </w:r>
      <w:proofErr w:type="gramStart"/>
      <w:r w:rsidRPr="007736F9">
        <w:rPr>
          <w:rFonts w:ascii="Verdana" w:hAnsi="Verdana"/>
          <w:sz w:val="20"/>
          <w:szCs w:val="20"/>
          <w:lang w:val="es-CR"/>
        </w:rPr>
        <w:t xml:space="preserve">2014 </w:t>
      </w:r>
      <w:r w:rsidR="00EF0C75" w:rsidRPr="007736F9">
        <w:rPr>
          <w:rFonts w:ascii="Verdana" w:hAnsi="Verdana"/>
          <w:sz w:val="20"/>
          <w:szCs w:val="20"/>
          <w:lang w:val="es-CR"/>
        </w:rPr>
        <w:t>,</w:t>
      </w:r>
      <w:proofErr w:type="gramEnd"/>
      <w:r w:rsidR="00EF0C75" w:rsidRPr="007736F9">
        <w:rPr>
          <w:rFonts w:ascii="Verdana" w:hAnsi="Verdana"/>
          <w:sz w:val="20"/>
          <w:szCs w:val="20"/>
          <w:lang w:val="es-CR"/>
        </w:rPr>
        <w:t xml:space="preserve"> mediante </w:t>
      </w:r>
      <w:r w:rsidR="00BE4D13">
        <w:rPr>
          <w:rFonts w:ascii="Verdana" w:hAnsi="Verdana"/>
          <w:sz w:val="20"/>
          <w:szCs w:val="20"/>
          <w:lang w:val="es-CR"/>
        </w:rPr>
        <w:t>los cuales</w:t>
      </w:r>
      <w:r w:rsidR="00BE4D13" w:rsidRPr="007736F9">
        <w:rPr>
          <w:rFonts w:ascii="Verdana" w:hAnsi="Verdana"/>
          <w:sz w:val="20"/>
          <w:szCs w:val="20"/>
          <w:lang w:val="es-CR"/>
        </w:rPr>
        <w:t xml:space="preserve"> </w:t>
      </w:r>
      <w:r w:rsidR="00644445" w:rsidRPr="007736F9">
        <w:rPr>
          <w:rFonts w:ascii="Verdana" w:hAnsi="Verdana"/>
          <w:sz w:val="20"/>
          <w:szCs w:val="20"/>
          <w:lang w:val="es-CR"/>
        </w:rPr>
        <w:t>presentaron sus observaciones a</w:t>
      </w:r>
      <w:r w:rsidRPr="007736F9">
        <w:rPr>
          <w:rFonts w:ascii="Verdana" w:hAnsi="Verdana"/>
          <w:sz w:val="20"/>
          <w:szCs w:val="20"/>
          <w:lang w:val="es-CR"/>
        </w:rPr>
        <w:t xml:space="preserve"> </w:t>
      </w:r>
      <w:r w:rsidR="00644445" w:rsidRPr="007736F9">
        <w:rPr>
          <w:rFonts w:ascii="Verdana" w:hAnsi="Verdana"/>
          <w:sz w:val="20"/>
          <w:szCs w:val="20"/>
          <w:lang w:val="es-CR"/>
        </w:rPr>
        <w:t>l</w:t>
      </w:r>
      <w:r w:rsidRPr="007736F9">
        <w:rPr>
          <w:rFonts w:ascii="Verdana" w:hAnsi="Verdana"/>
          <w:sz w:val="20"/>
          <w:szCs w:val="20"/>
          <w:lang w:val="es-CR"/>
        </w:rPr>
        <w:t>os</w:t>
      </w:r>
      <w:r w:rsidR="00644445" w:rsidRPr="007736F9">
        <w:rPr>
          <w:rFonts w:ascii="Verdana" w:hAnsi="Verdana"/>
          <w:sz w:val="20"/>
          <w:szCs w:val="20"/>
          <w:lang w:val="es-CR"/>
        </w:rPr>
        <w:t xml:space="preserve"> referido</w:t>
      </w:r>
      <w:r w:rsidRPr="007736F9">
        <w:rPr>
          <w:rFonts w:ascii="Verdana" w:hAnsi="Verdana"/>
          <w:sz w:val="20"/>
          <w:szCs w:val="20"/>
          <w:lang w:val="es-CR"/>
        </w:rPr>
        <w:t>s</w:t>
      </w:r>
      <w:r w:rsidR="00644445" w:rsidRPr="007736F9">
        <w:rPr>
          <w:rFonts w:ascii="Verdana" w:hAnsi="Verdana"/>
          <w:sz w:val="20"/>
          <w:szCs w:val="20"/>
          <w:lang w:val="es-CR"/>
        </w:rPr>
        <w:t xml:space="preserve"> </w:t>
      </w:r>
      <w:r w:rsidR="00EF0C75" w:rsidRPr="007736F9">
        <w:rPr>
          <w:rFonts w:ascii="Verdana" w:hAnsi="Verdana"/>
          <w:sz w:val="20"/>
          <w:szCs w:val="20"/>
          <w:lang w:val="es-CR"/>
        </w:rPr>
        <w:t>informe</w:t>
      </w:r>
      <w:r w:rsidRPr="007736F9">
        <w:rPr>
          <w:rFonts w:ascii="Verdana" w:hAnsi="Verdana"/>
          <w:sz w:val="20"/>
          <w:szCs w:val="20"/>
          <w:lang w:val="es-CR"/>
        </w:rPr>
        <w:t>s</w:t>
      </w:r>
      <w:r w:rsidR="00EF0C75" w:rsidRPr="007736F9">
        <w:rPr>
          <w:rFonts w:ascii="Verdana" w:hAnsi="Verdana"/>
          <w:sz w:val="20"/>
          <w:szCs w:val="20"/>
          <w:lang w:val="es-CR"/>
        </w:rPr>
        <w:t xml:space="preserve"> estatal</w:t>
      </w:r>
      <w:r w:rsidRPr="007736F9">
        <w:rPr>
          <w:rFonts w:ascii="Verdana" w:hAnsi="Verdana"/>
          <w:sz w:val="20"/>
          <w:szCs w:val="20"/>
          <w:lang w:val="es-CR"/>
        </w:rPr>
        <w:t>es</w:t>
      </w:r>
      <w:r w:rsidR="00644445" w:rsidRPr="007736F9">
        <w:rPr>
          <w:rFonts w:ascii="Verdana" w:hAnsi="Verdana"/>
          <w:sz w:val="20"/>
          <w:szCs w:val="20"/>
          <w:lang w:val="es-CR"/>
        </w:rPr>
        <w:t xml:space="preserve"> (</w:t>
      </w:r>
      <w:r w:rsidR="00644445" w:rsidRPr="007736F9">
        <w:rPr>
          <w:rFonts w:ascii="Verdana" w:hAnsi="Verdana"/>
          <w:i/>
          <w:sz w:val="20"/>
          <w:szCs w:val="20"/>
          <w:lang w:val="es-CR"/>
        </w:rPr>
        <w:t xml:space="preserve">supra </w:t>
      </w:r>
      <w:r w:rsidR="00644445" w:rsidRPr="007736F9">
        <w:rPr>
          <w:rFonts w:ascii="Verdana" w:hAnsi="Verdana"/>
          <w:sz w:val="20"/>
          <w:szCs w:val="20"/>
          <w:lang w:val="es-CR"/>
        </w:rPr>
        <w:t xml:space="preserve">Visto </w:t>
      </w:r>
      <w:r w:rsidR="00DF0B05">
        <w:rPr>
          <w:rFonts w:ascii="Verdana" w:hAnsi="Verdana"/>
          <w:sz w:val="20"/>
          <w:szCs w:val="20"/>
          <w:lang w:val="es-CR"/>
        </w:rPr>
        <w:fldChar w:fldCharType="begin"/>
      </w:r>
      <w:r w:rsidR="00DF0B05">
        <w:rPr>
          <w:rFonts w:ascii="Verdana" w:hAnsi="Verdana"/>
          <w:sz w:val="20"/>
          <w:szCs w:val="20"/>
          <w:lang w:val="es-CR"/>
        </w:rPr>
        <w:instrText xml:space="preserve"> REF _Ref26340715 \r \h </w:instrText>
      </w:r>
      <w:r w:rsidR="00DF0B05">
        <w:rPr>
          <w:rFonts w:ascii="Verdana" w:hAnsi="Verdana"/>
          <w:sz w:val="20"/>
          <w:szCs w:val="20"/>
          <w:lang w:val="es-CR"/>
        </w:rPr>
      </w:r>
      <w:r w:rsidR="00DF0B05">
        <w:rPr>
          <w:rFonts w:ascii="Verdana" w:hAnsi="Verdana"/>
          <w:sz w:val="20"/>
          <w:szCs w:val="20"/>
          <w:lang w:val="es-CR"/>
        </w:rPr>
        <w:fldChar w:fldCharType="separate"/>
      </w:r>
      <w:r w:rsidR="00462D62">
        <w:rPr>
          <w:rFonts w:ascii="Verdana" w:hAnsi="Verdana"/>
          <w:sz w:val="20"/>
          <w:szCs w:val="20"/>
          <w:lang w:val="es-CR"/>
        </w:rPr>
        <w:t>4</w:t>
      </w:r>
      <w:r w:rsidR="00DF0B05">
        <w:rPr>
          <w:rFonts w:ascii="Verdana" w:hAnsi="Verdana"/>
          <w:sz w:val="20"/>
          <w:szCs w:val="20"/>
          <w:lang w:val="es-CR"/>
        </w:rPr>
        <w:fldChar w:fldCharType="end"/>
      </w:r>
      <w:r w:rsidR="00644445" w:rsidRPr="007736F9">
        <w:rPr>
          <w:rFonts w:ascii="Verdana" w:hAnsi="Verdana"/>
          <w:sz w:val="20"/>
          <w:szCs w:val="20"/>
          <w:lang w:val="es-CR"/>
        </w:rPr>
        <w:t>) e hicieron notar que el Estado “no se refirió</w:t>
      </w:r>
      <w:r w:rsidR="00EF0C75" w:rsidRPr="007736F9">
        <w:rPr>
          <w:rFonts w:ascii="Verdana" w:hAnsi="Verdana"/>
          <w:sz w:val="20"/>
          <w:szCs w:val="20"/>
          <w:lang w:val="es-CR"/>
        </w:rPr>
        <w:t xml:space="preserve"> </w:t>
      </w:r>
      <w:r w:rsidR="009E480F">
        <w:rPr>
          <w:rFonts w:ascii="Verdana" w:hAnsi="Verdana"/>
          <w:sz w:val="20"/>
          <w:szCs w:val="20"/>
          <w:lang w:val="es-CR"/>
        </w:rPr>
        <w:t xml:space="preserve">a </w:t>
      </w:r>
      <w:r w:rsidR="00644445" w:rsidRPr="007736F9">
        <w:rPr>
          <w:rFonts w:ascii="Verdana" w:hAnsi="Verdana"/>
          <w:sz w:val="20"/>
          <w:szCs w:val="20"/>
          <w:lang w:val="es-CR"/>
        </w:rPr>
        <w:t xml:space="preserve">las otras medidas </w:t>
      </w:r>
      <w:r w:rsidR="00644445" w:rsidRPr="00572104">
        <w:rPr>
          <w:rFonts w:ascii="Verdana" w:hAnsi="Verdana"/>
          <w:sz w:val="20"/>
          <w:szCs w:val="20"/>
          <w:lang w:val="es-CR"/>
        </w:rPr>
        <w:t>de reparación” ordenadas en la Sentencia</w:t>
      </w:r>
      <w:r w:rsidR="00EF0C75" w:rsidRPr="00572104">
        <w:rPr>
          <w:rFonts w:ascii="Verdana" w:hAnsi="Verdana"/>
          <w:sz w:val="20"/>
          <w:szCs w:val="20"/>
          <w:lang w:val="es-CR"/>
        </w:rPr>
        <w:t xml:space="preserve">. </w:t>
      </w:r>
    </w:p>
    <w:p w14:paraId="4AF2BE60" w14:textId="77777777" w:rsidR="006C7FC8" w:rsidRPr="00572104" w:rsidRDefault="008D5D14" w:rsidP="00572104">
      <w:pPr>
        <w:pStyle w:val="Prrafodelista"/>
        <w:numPr>
          <w:ilvl w:val="0"/>
          <w:numId w:val="1"/>
        </w:numPr>
        <w:spacing w:before="120" w:after="120" w:line="240" w:lineRule="auto"/>
        <w:ind w:left="0" w:firstLine="0"/>
        <w:contextualSpacing w:val="0"/>
        <w:jc w:val="both"/>
        <w:rPr>
          <w:rFonts w:ascii="Verdana" w:hAnsi="Verdana"/>
          <w:sz w:val="20"/>
          <w:szCs w:val="20"/>
          <w:lang w:val="es-CR"/>
        </w:rPr>
      </w:pPr>
      <w:r w:rsidRPr="00572104">
        <w:rPr>
          <w:rFonts w:ascii="Verdana" w:hAnsi="Verdana"/>
          <w:sz w:val="20"/>
          <w:szCs w:val="20"/>
          <w:lang w:val="es-CR"/>
        </w:rPr>
        <w:t xml:space="preserve">Los </w:t>
      </w:r>
      <w:r w:rsidR="006C7FC8" w:rsidRPr="00572104">
        <w:rPr>
          <w:rFonts w:ascii="Verdana" w:hAnsi="Verdana"/>
          <w:sz w:val="20"/>
          <w:szCs w:val="20"/>
          <w:lang w:val="es-CR"/>
        </w:rPr>
        <w:t>escrito</w:t>
      </w:r>
      <w:r w:rsidRPr="00572104">
        <w:rPr>
          <w:rFonts w:ascii="Verdana" w:hAnsi="Verdana"/>
          <w:sz w:val="20"/>
          <w:szCs w:val="20"/>
          <w:lang w:val="es-CR"/>
        </w:rPr>
        <w:t>s</w:t>
      </w:r>
      <w:r w:rsidR="006C7FC8" w:rsidRPr="00572104">
        <w:rPr>
          <w:rFonts w:ascii="Verdana" w:hAnsi="Verdana"/>
          <w:sz w:val="20"/>
          <w:szCs w:val="20"/>
          <w:lang w:val="es-CR"/>
        </w:rPr>
        <w:t xml:space="preserve"> de observaciones presentado</w:t>
      </w:r>
      <w:r w:rsidRPr="00572104">
        <w:rPr>
          <w:rFonts w:ascii="Verdana" w:hAnsi="Verdana"/>
          <w:sz w:val="20"/>
          <w:szCs w:val="20"/>
          <w:lang w:val="es-CR"/>
        </w:rPr>
        <w:t>s</w:t>
      </w:r>
      <w:r w:rsidR="006C7FC8" w:rsidRPr="00572104">
        <w:rPr>
          <w:rFonts w:ascii="Verdana" w:hAnsi="Verdana"/>
          <w:sz w:val="20"/>
          <w:szCs w:val="20"/>
          <w:lang w:val="es-CR"/>
        </w:rPr>
        <w:t xml:space="preserve"> por la Comisión Interamericana de Derechos Humanos (en adelante “la Comisión Interamericana” o “la Comisión”) </w:t>
      </w:r>
      <w:r w:rsidR="001F1632" w:rsidRPr="00572104">
        <w:rPr>
          <w:rFonts w:ascii="Verdana" w:hAnsi="Verdana"/>
          <w:sz w:val="20"/>
          <w:szCs w:val="20"/>
          <w:lang w:val="es-CR"/>
        </w:rPr>
        <w:t>el 25 de</w:t>
      </w:r>
      <w:r w:rsidRPr="00572104">
        <w:rPr>
          <w:rFonts w:ascii="Verdana" w:hAnsi="Verdana"/>
          <w:sz w:val="20"/>
          <w:szCs w:val="20"/>
          <w:lang w:val="es-CR"/>
        </w:rPr>
        <w:t xml:space="preserve"> </w:t>
      </w:r>
      <w:r w:rsidR="006C7FC8" w:rsidRPr="00572104">
        <w:rPr>
          <w:rFonts w:ascii="Verdana" w:hAnsi="Verdana"/>
          <w:sz w:val="20"/>
          <w:szCs w:val="20"/>
          <w:lang w:val="es-CR"/>
        </w:rPr>
        <w:t>noviembre de 2013</w:t>
      </w:r>
      <w:r w:rsidR="00214AB2" w:rsidRPr="00572104">
        <w:rPr>
          <w:rFonts w:ascii="Verdana" w:hAnsi="Verdana"/>
          <w:b/>
          <w:sz w:val="20"/>
          <w:szCs w:val="20"/>
          <w:lang w:val="es-CR"/>
        </w:rPr>
        <w:t xml:space="preserve"> </w:t>
      </w:r>
      <w:r w:rsidRPr="00572104">
        <w:rPr>
          <w:rFonts w:ascii="Verdana" w:hAnsi="Verdana"/>
          <w:sz w:val="20"/>
          <w:szCs w:val="20"/>
          <w:lang w:val="es-CR"/>
        </w:rPr>
        <w:t xml:space="preserve">y </w:t>
      </w:r>
      <w:r w:rsidR="001F1632" w:rsidRPr="00572104">
        <w:rPr>
          <w:rFonts w:ascii="Verdana" w:hAnsi="Verdana"/>
          <w:sz w:val="20"/>
          <w:szCs w:val="20"/>
          <w:lang w:val="es-CR"/>
        </w:rPr>
        <w:t>el 15 de octubre de 2014</w:t>
      </w:r>
      <w:r w:rsidR="006C7FC8" w:rsidRPr="00572104">
        <w:rPr>
          <w:rFonts w:ascii="Verdana" w:hAnsi="Verdana"/>
          <w:sz w:val="20"/>
          <w:szCs w:val="20"/>
          <w:lang w:val="es-CR"/>
        </w:rPr>
        <w:t xml:space="preserve">. </w:t>
      </w:r>
      <w:r w:rsidR="006C7FC8" w:rsidRPr="00572104">
        <w:rPr>
          <w:rFonts w:ascii="Verdana" w:hAnsi="Verdana"/>
          <w:b/>
          <w:sz w:val="20"/>
          <w:szCs w:val="20"/>
          <w:lang w:val="es-CR"/>
        </w:rPr>
        <w:t xml:space="preserve"> </w:t>
      </w:r>
    </w:p>
    <w:p w14:paraId="5D7E5299" w14:textId="77777777" w:rsidR="00572104" w:rsidRDefault="008D5D14" w:rsidP="00572104">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3" w:name="_Ref26343141"/>
      <w:r w:rsidRPr="00572104">
        <w:rPr>
          <w:rFonts w:ascii="Verdana" w:hAnsi="Verdana"/>
          <w:sz w:val="20"/>
          <w:szCs w:val="20"/>
          <w:lang w:val="es-CR"/>
        </w:rPr>
        <w:t xml:space="preserve">La nota de </w:t>
      </w:r>
      <w:r w:rsidR="00BE4D13">
        <w:rPr>
          <w:rFonts w:ascii="Verdana" w:hAnsi="Verdana"/>
          <w:sz w:val="20"/>
          <w:szCs w:val="20"/>
          <w:lang w:val="es-CR"/>
        </w:rPr>
        <w:t xml:space="preserve">la </w:t>
      </w:r>
      <w:r w:rsidRPr="00572104">
        <w:rPr>
          <w:rFonts w:ascii="Verdana" w:hAnsi="Verdana"/>
          <w:sz w:val="20"/>
          <w:szCs w:val="20"/>
          <w:lang w:val="es-CR"/>
        </w:rPr>
        <w:t>Secretaría de 26 de octubre de 2016</w:t>
      </w:r>
      <w:r w:rsidR="0043346B" w:rsidRPr="00572104">
        <w:rPr>
          <w:rFonts w:ascii="Verdana" w:hAnsi="Verdana"/>
          <w:sz w:val="20"/>
          <w:szCs w:val="20"/>
          <w:lang w:val="es-CR"/>
        </w:rPr>
        <w:t xml:space="preserve">, </w:t>
      </w:r>
      <w:r w:rsidR="00214AB2" w:rsidRPr="00572104">
        <w:rPr>
          <w:rFonts w:ascii="Verdana" w:hAnsi="Verdana"/>
          <w:sz w:val="20"/>
          <w:szCs w:val="20"/>
          <w:lang w:val="es-CR"/>
        </w:rPr>
        <w:t xml:space="preserve">mediante la cual “se </w:t>
      </w:r>
      <w:proofErr w:type="spellStart"/>
      <w:r w:rsidR="00214AB2" w:rsidRPr="00572104">
        <w:rPr>
          <w:rFonts w:ascii="Verdana" w:hAnsi="Verdana"/>
          <w:sz w:val="20"/>
          <w:szCs w:val="20"/>
          <w:lang w:val="es-CR"/>
        </w:rPr>
        <w:t>rec</w:t>
      </w:r>
      <w:proofErr w:type="spellEnd"/>
      <w:r w:rsidR="00214AB2" w:rsidRPr="00572104">
        <w:rPr>
          <w:rFonts w:ascii="Verdana" w:hAnsi="Verdana"/>
          <w:sz w:val="20"/>
          <w:szCs w:val="20"/>
          <w:lang w:val="es-CR"/>
        </w:rPr>
        <w:t>[</w:t>
      </w:r>
      <w:proofErr w:type="spellStart"/>
      <w:r w:rsidR="00214AB2" w:rsidRPr="00572104">
        <w:rPr>
          <w:rFonts w:ascii="Verdana" w:hAnsi="Verdana"/>
          <w:sz w:val="20"/>
          <w:szCs w:val="20"/>
          <w:lang w:val="es-CR"/>
        </w:rPr>
        <w:t>ordó</w:t>
      </w:r>
      <w:proofErr w:type="spellEnd"/>
      <w:r w:rsidR="00214AB2" w:rsidRPr="00572104">
        <w:rPr>
          <w:rFonts w:ascii="Verdana" w:hAnsi="Verdana"/>
          <w:sz w:val="20"/>
          <w:szCs w:val="20"/>
          <w:lang w:val="es-CR"/>
        </w:rPr>
        <w:t xml:space="preserve">] al Estado de República Dominicana que la última ocasión en que presentó información sobre el cumplimiento de la Sentencia fue el 4 de julio de 2014” y que “venció el plazo […] para </w:t>
      </w:r>
      <w:r w:rsidR="00572104" w:rsidRPr="00572104">
        <w:rPr>
          <w:rFonts w:ascii="Verdana" w:hAnsi="Verdana"/>
          <w:sz w:val="20"/>
          <w:szCs w:val="20"/>
          <w:lang w:val="es-CR"/>
        </w:rPr>
        <w:t>que cumpla con reintegrar al Fondo de Asistencia Legal de Víctimas</w:t>
      </w:r>
      <w:r w:rsidR="009E480F">
        <w:rPr>
          <w:rFonts w:ascii="Verdana" w:hAnsi="Verdana"/>
          <w:sz w:val="20"/>
          <w:szCs w:val="20"/>
          <w:lang w:val="es-CR"/>
        </w:rPr>
        <w:t xml:space="preserve"> […] la cantidad […] ordenada en la misma</w:t>
      </w:r>
      <w:r w:rsidR="00572104" w:rsidRPr="00572104">
        <w:rPr>
          <w:rFonts w:ascii="Verdana" w:hAnsi="Verdana"/>
          <w:sz w:val="20"/>
          <w:szCs w:val="20"/>
          <w:lang w:val="es-CR"/>
        </w:rPr>
        <w:t xml:space="preserve">”. Además, siguiendo instrucciones del </w:t>
      </w:r>
      <w:r w:rsidR="009E480F">
        <w:rPr>
          <w:rFonts w:ascii="Verdana" w:hAnsi="Verdana"/>
          <w:sz w:val="20"/>
          <w:szCs w:val="20"/>
          <w:lang w:val="es-CR"/>
        </w:rPr>
        <w:t>Pleno de la Corte</w:t>
      </w:r>
      <w:r w:rsidR="00572104" w:rsidRPr="00572104">
        <w:rPr>
          <w:rFonts w:ascii="Verdana" w:hAnsi="Verdana"/>
          <w:sz w:val="20"/>
          <w:szCs w:val="20"/>
          <w:lang w:val="es-CR"/>
        </w:rPr>
        <w:t>, se otorgó al Estado un plazo hasta el 9 de enero de 2017 para que “</w:t>
      </w:r>
      <w:proofErr w:type="spellStart"/>
      <w:r w:rsidR="00572104" w:rsidRPr="00572104">
        <w:rPr>
          <w:rFonts w:ascii="Verdana" w:hAnsi="Verdana"/>
          <w:sz w:val="20"/>
          <w:szCs w:val="20"/>
          <w:lang w:val="es-CR"/>
        </w:rPr>
        <w:t>present</w:t>
      </w:r>
      <w:proofErr w:type="spellEnd"/>
      <w:r w:rsidR="00572104" w:rsidRPr="00572104">
        <w:rPr>
          <w:rFonts w:ascii="Verdana" w:hAnsi="Verdana"/>
          <w:sz w:val="20"/>
          <w:szCs w:val="20"/>
          <w:lang w:val="es-CR"/>
        </w:rPr>
        <w:t xml:space="preserve">[ara] </w:t>
      </w:r>
      <w:r w:rsidRPr="00572104">
        <w:rPr>
          <w:rFonts w:ascii="Verdana" w:hAnsi="Verdana"/>
          <w:sz w:val="20"/>
          <w:szCs w:val="20"/>
          <w:lang w:val="es-CR"/>
        </w:rPr>
        <w:t xml:space="preserve">información actualizada, completa y detallada sobre el cumplimiento de las reparaciones ordenadas en [el] caso y sobre el </w:t>
      </w:r>
      <w:r w:rsidR="00572104" w:rsidRPr="00572104">
        <w:rPr>
          <w:rFonts w:ascii="Verdana" w:hAnsi="Verdana"/>
          <w:sz w:val="20"/>
          <w:szCs w:val="20"/>
          <w:lang w:val="es-CR"/>
        </w:rPr>
        <w:t xml:space="preserve">[referido] </w:t>
      </w:r>
      <w:r w:rsidRPr="00572104">
        <w:rPr>
          <w:rFonts w:ascii="Verdana" w:hAnsi="Verdana"/>
          <w:sz w:val="20"/>
          <w:szCs w:val="20"/>
          <w:lang w:val="es-CR"/>
        </w:rPr>
        <w:t>reintegro”</w:t>
      </w:r>
      <w:r w:rsidR="00572104" w:rsidRPr="00572104">
        <w:rPr>
          <w:rFonts w:ascii="Verdana" w:hAnsi="Verdana"/>
          <w:sz w:val="20"/>
          <w:szCs w:val="20"/>
          <w:lang w:val="es-CR"/>
        </w:rPr>
        <w:t>.</w:t>
      </w:r>
      <w:bookmarkEnd w:id="3"/>
      <w:r w:rsidR="00572104" w:rsidRPr="00572104">
        <w:rPr>
          <w:rFonts w:ascii="Verdana" w:hAnsi="Verdana"/>
          <w:sz w:val="20"/>
          <w:szCs w:val="20"/>
          <w:lang w:val="es-CR"/>
        </w:rPr>
        <w:t xml:space="preserve"> </w:t>
      </w:r>
      <w:r w:rsidRPr="00572104">
        <w:rPr>
          <w:rFonts w:ascii="Verdana" w:hAnsi="Verdana"/>
          <w:sz w:val="20"/>
          <w:szCs w:val="20"/>
          <w:lang w:val="es-CR"/>
        </w:rPr>
        <w:t xml:space="preserve"> </w:t>
      </w:r>
    </w:p>
    <w:p w14:paraId="52339CBC" w14:textId="77777777" w:rsidR="008D5D14" w:rsidRPr="00A23E43" w:rsidRDefault="00572104" w:rsidP="00A23E43">
      <w:pPr>
        <w:pStyle w:val="Prrafodelista"/>
        <w:numPr>
          <w:ilvl w:val="0"/>
          <w:numId w:val="1"/>
        </w:numPr>
        <w:spacing w:before="120" w:after="120" w:line="240" w:lineRule="auto"/>
        <w:ind w:left="0" w:firstLine="0"/>
        <w:contextualSpacing w:val="0"/>
        <w:jc w:val="both"/>
        <w:rPr>
          <w:rFonts w:ascii="Verdana" w:hAnsi="Verdana"/>
          <w:sz w:val="20"/>
          <w:szCs w:val="20"/>
          <w:lang w:val="es-CR"/>
        </w:rPr>
      </w:pPr>
      <w:bookmarkStart w:id="4" w:name="_Ref26343571"/>
      <w:r w:rsidRPr="00A23E43">
        <w:rPr>
          <w:rFonts w:ascii="Verdana" w:hAnsi="Verdana"/>
          <w:sz w:val="20"/>
          <w:szCs w:val="20"/>
          <w:lang w:val="es-CR"/>
        </w:rPr>
        <w:t xml:space="preserve">Las </w:t>
      </w:r>
      <w:r w:rsidR="00A23E43" w:rsidRPr="00A23E43">
        <w:rPr>
          <w:rFonts w:ascii="Verdana" w:hAnsi="Verdana"/>
          <w:sz w:val="20"/>
          <w:szCs w:val="20"/>
          <w:lang w:val="es-CR"/>
        </w:rPr>
        <w:t xml:space="preserve">dos </w:t>
      </w:r>
      <w:r w:rsidRPr="00A23E43">
        <w:rPr>
          <w:rFonts w:ascii="Verdana" w:hAnsi="Verdana"/>
          <w:sz w:val="20"/>
          <w:szCs w:val="20"/>
          <w:lang w:val="es-CR"/>
        </w:rPr>
        <w:t xml:space="preserve">notas de la Secretaría </w:t>
      </w:r>
      <w:r w:rsidR="00A23E43" w:rsidRPr="00A23E43">
        <w:rPr>
          <w:rFonts w:ascii="Verdana" w:hAnsi="Verdana"/>
          <w:sz w:val="20"/>
          <w:szCs w:val="20"/>
          <w:lang w:val="es-CR"/>
        </w:rPr>
        <w:t xml:space="preserve">remitidas el </w:t>
      </w:r>
      <w:r w:rsidR="008D5D14" w:rsidRPr="00A23E43">
        <w:rPr>
          <w:rFonts w:ascii="Verdana" w:hAnsi="Verdana"/>
          <w:sz w:val="20"/>
          <w:szCs w:val="20"/>
          <w:lang w:val="es-CR"/>
        </w:rPr>
        <w:t xml:space="preserve">4 de julio de 2017 </w:t>
      </w:r>
      <w:r w:rsidR="00A23E43" w:rsidRPr="00A23E43">
        <w:rPr>
          <w:rFonts w:ascii="Verdana" w:hAnsi="Verdana"/>
          <w:sz w:val="20"/>
          <w:szCs w:val="20"/>
          <w:lang w:val="es-CR"/>
        </w:rPr>
        <w:t>y el 21 de diciembre de 2018</w:t>
      </w:r>
      <w:r w:rsidR="0043346B" w:rsidRPr="00A23E43">
        <w:rPr>
          <w:rFonts w:ascii="Verdana" w:hAnsi="Verdana"/>
          <w:sz w:val="20"/>
          <w:szCs w:val="20"/>
          <w:lang w:val="es-CR"/>
        </w:rPr>
        <w:t xml:space="preserve"> mediante las cuales, siguiendo instrucciones del Presidente del Tribunal, se recordó al Estado el vencimiento del plazo para presentar el referido informe</w:t>
      </w:r>
      <w:r w:rsidR="00BE4D13">
        <w:rPr>
          <w:rFonts w:ascii="Verdana" w:hAnsi="Verdana"/>
          <w:sz w:val="20"/>
          <w:szCs w:val="20"/>
          <w:lang w:val="es-CR"/>
        </w:rPr>
        <w:t xml:space="preserve"> (</w:t>
      </w:r>
      <w:r w:rsidR="00BE4D13" w:rsidRPr="00D0573D">
        <w:rPr>
          <w:rFonts w:ascii="Verdana" w:hAnsi="Verdana"/>
          <w:i/>
          <w:sz w:val="20"/>
          <w:szCs w:val="20"/>
          <w:lang w:val="es-CR"/>
        </w:rPr>
        <w:t>supra</w:t>
      </w:r>
      <w:r w:rsidR="00BE4D13">
        <w:rPr>
          <w:rFonts w:ascii="Verdana" w:hAnsi="Verdana"/>
          <w:sz w:val="20"/>
          <w:szCs w:val="20"/>
          <w:lang w:val="es-CR"/>
        </w:rPr>
        <w:t xml:space="preserve"> Visto 7)</w:t>
      </w:r>
      <w:r w:rsidR="0043346B" w:rsidRPr="00A23E43">
        <w:rPr>
          <w:rFonts w:ascii="Verdana" w:hAnsi="Verdana"/>
          <w:sz w:val="20"/>
          <w:szCs w:val="20"/>
          <w:lang w:val="es-CR"/>
        </w:rPr>
        <w:t xml:space="preserve"> y se solicitó que lo remitiera a la mayor brevedad posible.</w:t>
      </w:r>
      <w:bookmarkEnd w:id="4"/>
      <w:r w:rsidR="0043346B" w:rsidRPr="00A23E43">
        <w:rPr>
          <w:rFonts w:ascii="Verdana" w:hAnsi="Verdana"/>
          <w:sz w:val="20"/>
          <w:szCs w:val="20"/>
          <w:lang w:val="es-CR"/>
        </w:rPr>
        <w:t xml:space="preserve"> </w:t>
      </w:r>
    </w:p>
    <w:p w14:paraId="2110BA61" w14:textId="77777777" w:rsidR="0043346B" w:rsidRDefault="0043346B" w:rsidP="00572104">
      <w:pPr>
        <w:pStyle w:val="Prrafodelista"/>
        <w:spacing w:before="120" w:after="120" w:line="240" w:lineRule="auto"/>
        <w:ind w:left="0"/>
        <w:contextualSpacing w:val="0"/>
        <w:jc w:val="both"/>
        <w:rPr>
          <w:rFonts w:ascii="Verdana" w:hAnsi="Verdana"/>
          <w:sz w:val="20"/>
          <w:szCs w:val="20"/>
          <w:lang w:val="es-CR"/>
        </w:rPr>
      </w:pPr>
    </w:p>
    <w:p w14:paraId="19CAEC2A" w14:textId="77777777" w:rsidR="00704B0E" w:rsidRDefault="00704B0E" w:rsidP="00572104">
      <w:pPr>
        <w:pStyle w:val="Prrafodelista"/>
        <w:spacing w:before="120" w:after="120" w:line="240" w:lineRule="auto"/>
        <w:ind w:left="0"/>
        <w:contextualSpacing w:val="0"/>
        <w:jc w:val="both"/>
        <w:rPr>
          <w:rFonts w:ascii="Verdana" w:hAnsi="Verdana"/>
          <w:b/>
          <w:sz w:val="20"/>
          <w:szCs w:val="20"/>
          <w:lang w:val="es-CR"/>
        </w:rPr>
      </w:pPr>
      <w:r>
        <w:rPr>
          <w:rFonts w:ascii="Verdana" w:hAnsi="Verdana"/>
          <w:b/>
          <w:sz w:val="20"/>
          <w:szCs w:val="20"/>
          <w:lang w:val="es-CR"/>
        </w:rPr>
        <w:t>CONSIDERANDO QUE:</w:t>
      </w:r>
    </w:p>
    <w:p w14:paraId="18D2C154" w14:textId="77777777" w:rsidR="00704B0E" w:rsidRDefault="00704B0E" w:rsidP="00572104">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5" w:name="_Ref26337816"/>
      <w:r>
        <w:rPr>
          <w:rFonts w:ascii="Verdana" w:hAnsi="Verdana"/>
          <w:sz w:val="20"/>
          <w:szCs w:val="20"/>
          <w:lang w:val="es-CR"/>
        </w:rPr>
        <w:t>En el ejercicio de su función jurisdiccional de supervisar el cumplimiento de sus decisiones</w:t>
      </w:r>
      <w:r>
        <w:rPr>
          <w:rStyle w:val="Refdenotaalpie"/>
          <w:rFonts w:ascii="Verdana" w:hAnsi="Verdana"/>
          <w:sz w:val="20"/>
          <w:szCs w:val="20"/>
          <w:lang w:val="es-CR"/>
        </w:rPr>
        <w:footnoteReference w:id="3"/>
      </w:r>
      <w:r>
        <w:rPr>
          <w:rFonts w:ascii="Verdana" w:hAnsi="Verdana"/>
          <w:sz w:val="20"/>
          <w:szCs w:val="20"/>
          <w:lang w:val="es-CR"/>
        </w:rPr>
        <w:t>, la Corte ha venido supervisando la ejecución de la Sentencia emitida en el presente caso hace más de siete años (</w:t>
      </w:r>
      <w:r>
        <w:rPr>
          <w:rFonts w:ascii="Verdana" w:hAnsi="Verdana"/>
          <w:i/>
          <w:sz w:val="20"/>
          <w:szCs w:val="20"/>
          <w:lang w:val="es-CR"/>
        </w:rPr>
        <w:t xml:space="preserve">supra </w:t>
      </w:r>
      <w:r>
        <w:rPr>
          <w:rFonts w:ascii="Verdana" w:hAnsi="Verdana"/>
          <w:sz w:val="20"/>
          <w:szCs w:val="20"/>
          <w:lang w:val="es-CR"/>
        </w:rPr>
        <w:t xml:space="preserve">Visto </w:t>
      </w:r>
      <w:r w:rsidR="00F80D34">
        <w:rPr>
          <w:rFonts w:ascii="Verdana" w:hAnsi="Verdana"/>
          <w:sz w:val="20"/>
          <w:szCs w:val="20"/>
          <w:lang w:val="es-CR"/>
        </w:rPr>
        <w:fldChar w:fldCharType="begin"/>
      </w:r>
      <w:r w:rsidR="00F80D34">
        <w:rPr>
          <w:rFonts w:ascii="Verdana" w:hAnsi="Verdana"/>
          <w:sz w:val="20"/>
          <w:szCs w:val="20"/>
          <w:lang w:val="es-CR"/>
        </w:rPr>
        <w:instrText xml:space="preserve"> REF _Ref26342676 \r \h </w:instrText>
      </w:r>
      <w:r w:rsidR="00F80D34">
        <w:rPr>
          <w:rFonts w:ascii="Verdana" w:hAnsi="Verdana"/>
          <w:sz w:val="20"/>
          <w:szCs w:val="20"/>
          <w:lang w:val="es-CR"/>
        </w:rPr>
      </w:r>
      <w:r w:rsidR="00F80D34">
        <w:rPr>
          <w:rFonts w:ascii="Verdana" w:hAnsi="Verdana"/>
          <w:sz w:val="20"/>
          <w:szCs w:val="20"/>
          <w:lang w:val="es-CR"/>
        </w:rPr>
        <w:fldChar w:fldCharType="separate"/>
      </w:r>
      <w:r w:rsidR="00462D62">
        <w:rPr>
          <w:rFonts w:ascii="Verdana" w:hAnsi="Verdana"/>
          <w:sz w:val="20"/>
          <w:szCs w:val="20"/>
          <w:lang w:val="es-CR"/>
        </w:rPr>
        <w:t>1</w:t>
      </w:r>
      <w:r w:rsidR="00F80D34">
        <w:rPr>
          <w:rFonts w:ascii="Verdana" w:hAnsi="Verdana"/>
          <w:sz w:val="20"/>
          <w:szCs w:val="20"/>
          <w:lang w:val="es-CR"/>
        </w:rPr>
        <w:fldChar w:fldCharType="end"/>
      </w:r>
      <w:r>
        <w:rPr>
          <w:rFonts w:ascii="Verdana" w:hAnsi="Verdana"/>
          <w:sz w:val="20"/>
          <w:szCs w:val="20"/>
          <w:lang w:val="es-CR"/>
        </w:rPr>
        <w:t xml:space="preserve">). En la Sentencia, el Tribunal dispuso </w:t>
      </w:r>
      <w:r w:rsidR="00522283">
        <w:rPr>
          <w:rFonts w:ascii="Verdana" w:hAnsi="Verdana"/>
          <w:sz w:val="20"/>
          <w:szCs w:val="20"/>
          <w:lang w:val="es-CR"/>
        </w:rPr>
        <w:t>diez</w:t>
      </w:r>
      <w:r>
        <w:rPr>
          <w:rFonts w:ascii="Verdana" w:hAnsi="Verdana"/>
          <w:sz w:val="20"/>
          <w:szCs w:val="20"/>
          <w:lang w:val="es-CR"/>
        </w:rPr>
        <w:t xml:space="preserve"> medidas de reparación  y el reintegro al Fondo de Asistencia Legal de Víctimas de la Corte Interamericana, correspondiente a los gastos realizados durante la etapa de fondo</w:t>
      </w:r>
      <w:r w:rsidR="00E97639">
        <w:rPr>
          <w:rFonts w:ascii="Verdana" w:hAnsi="Verdana"/>
          <w:sz w:val="20"/>
          <w:szCs w:val="20"/>
          <w:lang w:val="es-CR"/>
        </w:rPr>
        <w:t xml:space="preserve"> (</w:t>
      </w:r>
      <w:r w:rsidR="00E97639">
        <w:rPr>
          <w:rFonts w:ascii="Verdana" w:hAnsi="Verdana"/>
          <w:i/>
          <w:sz w:val="20"/>
          <w:szCs w:val="20"/>
          <w:lang w:val="es-CR"/>
        </w:rPr>
        <w:t xml:space="preserve">infra </w:t>
      </w:r>
      <w:r w:rsidR="00E97639">
        <w:rPr>
          <w:rFonts w:ascii="Verdana" w:hAnsi="Verdana"/>
          <w:sz w:val="20"/>
          <w:szCs w:val="20"/>
          <w:lang w:val="es-CR"/>
        </w:rPr>
        <w:t>punto resolutivo 4)</w:t>
      </w:r>
      <w:r>
        <w:rPr>
          <w:rFonts w:ascii="Verdana" w:hAnsi="Verdana"/>
          <w:sz w:val="20"/>
          <w:szCs w:val="20"/>
          <w:lang w:val="es-CR"/>
        </w:rPr>
        <w:t>.</w:t>
      </w:r>
      <w:bookmarkEnd w:id="5"/>
      <w:r>
        <w:rPr>
          <w:rFonts w:ascii="Verdana" w:hAnsi="Verdana"/>
          <w:sz w:val="20"/>
          <w:szCs w:val="20"/>
          <w:lang w:val="es-CR"/>
        </w:rPr>
        <w:t xml:space="preserve"> </w:t>
      </w:r>
    </w:p>
    <w:p w14:paraId="684F8496" w14:textId="77777777" w:rsidR="00E04F51" w:rsidRDefault="00522283" w:rsidP="00E04F51">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6" w:name="_Ref26361005"/>
      <w:r w:rsidRPr="00CE6A3E">
        <w:rPr>
          <w:rFonts w:ascii="Verdana" w:hAnsi="Verdana"/>
          <w:sz w:val="20"/>
          <w:szCs w:val="20"/>
          <w:lang w:val="es-CR"/>
        </w:rPr>
        <w:t>República Dominicana tiene cuatro casos en etapa de supervisión de cumplimiento de Sentencia, en los cuales el Pleno de la Corte y/o su Presidencia han realizado múltiples requerimientos de información al Estado sobre la implementación de las reparaciones ordenadas en</w:t>
      </w:r>
      <w:r w:rsidR="00E97639">
        <w:rPr>
          <w:rFonts w:ascii="Verdana" w:hAnsi="Verdana"/>
          <w:sz w:val="20"/>
          <w:szCs w:val="20"/>
          <w:lang w:val="es-CR"/>
        </w:rPr>
        <w:t xml:space="preserve"> la Sentencia de</w:t>
      </w:r>
      <w:r w:rsidRPr="00CE6A3E">
        <w:rPr>
          <w:rFonts w:ascii="Verdana" w:hAnsi="Verdana"/>
          <w:sz w:val="20"/>
          <w:szCs w:val="20"/>
          <w:lang w:val="es-CR"/>
        </w:rPr>
        <w:t xml:space="preserve"> cada uno. Sin embargo, tales requerimientos no han sido atendidos. En julio de 2014, es decir, hace cinco años y cuatro meses, fue la última vez que el Estado dirigió algún escrito a esta Corte relacionado con el cumplimiento de </w:t>
      </w:r>
      <w:r>
        <w:rPr>
          <w:rFonts w:ascii="Verdana" w:hAnsi="Verdana"/>
          <w:sz w:val="20"/>
          <w:szCs w:val="20"/>
          <w:lang w:val="es-CR"/>
        </w:rPr>
        <w:t xml:space="preserve">las </w:t>
      </w:r>
      <w:r w:rsidRPr="00CE6A3E">
        <w:rPr>
          <w:rFonts w:ascii="Verdana" w:hAnsi="Verdana"/>
          <w:sz w:val="20"/>
          <w:szCs w:val="20"/>
          <w:lang w:val="es-CR"/>
        </w:rPr>
        <w:t>reparaciones</w:t>
      </w:r>
      <w:r>
        <w:rPr>
          <w:rFonts w:ascii="Verdana" w:hAnsi="Verdana"/>
          <w:sz w:val="20"/>
          <w:szCs w:val="20"/>
          <w:lang w:val="es-CR"/>
        </w:rPr>
        <w:t xml:space="preserve"> ordenadas por este Tribunal</w:t>
      </w:r>
      <w:r w:rsidRPr="00CE6A3E">
        <w:rPr>
          <w:rFonts w:ascii="Verdana" w:hAnsi="Verdana"/>
          <w:sz w:val="20"/>
          <w:szCs w:val="20"/>
          <w:lang w:val="es-CR"/>
        </w:rPr>
        <w:t xml:space="preserve">, lo cual sucedió en el </w:t>
      </w:r>
      <w:r>
        <w:rPr>
          <w:rFonts w:ascii="Verdana" w:hAnsi="Verdana"/>
          <w:sz w:val="20"/>
          <w:szCs w:val="20"/>
          <w:lang w:val="es-CR"/>
        </w:rPr>
        <w:t>presente caso (</w:t>
      </w:r>
      <w:r w:rsidRPr="00340446">
        <w:rPr>
          <w:rFonts w:ascii="Verdana" w:hAnsi="Verdana"/>
          <w:i/>
          <w:sz w:val="20"/>
          <w:szCs w:val="20"/>
          <w:lang w:val="es-CR"/>
        </w:rPr>
        <w:t>supra</w:t>
      </w:r>
      <w:r>
        <w:rPr>
          <w:rFonts w:ascii="Verdana" w:hAnsi="Verdana"/>
          <w:sz w:val="20"/>
          <w:szCs w:val="20"/>
          <w:lang w:val="es-CR"/>
        </w:rPr>
        <w:t xml:space="preserve"> Visto</w:t>
      </w:r>
      <w:r w:rsidR="00340446">
        <w:rPr>
          <w:rFonts w:ascii="Verdana" w:hAnsi="Verdana"/>
          <w:sz w:val="20"/>
          <w:szCs w:val="20"/>
          <w:lang w:val="es-CR"/>
        </w:rPr>
        <w:t>s</w:t>
      </w:r>
      <w:r>
        <w:rPr>
          <w:rFonts w:ascii="Verdana" w:hAnsi="Verdana"/>
          <w:sz w:val="20"/>
          <w:szCs w:val="20"/>
          <w:lang w:val="es-CR"/>
        </w:rPr>
        <w:t xml:space="preserve"> </w:t>
      </w:r>
      <w:r w:rsidR="001A6803">
        <w:rPr>
          <w:rFonts w:ascii="Verdana" w:hAnsi="Verdana"/>
          <w:sz w:val="20"/>
          <w:szCs w:val="20"/>
          <w:lang w:val="es-CR"/>
        </w:rPr>
        <w:fldChar w:fldCharType="begin"/>
      </w:r>
      <w:r w:rsidR="001A6803">
        <w:rPr>
          <w:rFonts w:ascii="Verdana" w:hAnsi="Verdana"/>
          <w:sz w:val="20"/>
          <w:szCs w:val="20"/>
          <w:lang w:val="es-CR"/>
        </w:rPr>
        <w:instrText xml:space="preserve"> REF _Ref26340715 \r \h </w:instrText>
      </w:r>
      <w:r w:rsidR="001A6803">
        <w:rPr>
          <w:rFonts w:ascii="Verdana" w:hAnsi="Verdana"/>
          <w:sz w:val="20"/>
          <w:szCs w:val="20"/>
          <w:lang w:val="es-CR"/>
        </w:rPr>
      </w:r>
      <w:r w:rsidR="001A6803">
        <w:rPr>
          <w:rFonts w:ascii="Verdana" w:hAnsi="Verdana"/>
          <w:sz w:val="20"/>
          <w:szCs w:val="20"/>
          <w:lang w:val="es-CR"/>
        </w:rPr>
        <w:fldChar w:fldCharType="separate"/>
      </w:r>
      <w:r w:rsidR="00462D62">
        <w:rPr>
          <w:rFonts w:ascii="Verdana" w:hAnsi="Verdana"/>
          <w:sz w:val="20"/>
          <w:szCs w:val="20"/>
          <w:lang w:val="es-CR"/>
        </w:rPr>
        <w:t>4</w:t>
      </w:r>
      <w:r w:rsidR="001A6803">
        <w:rPr>
          <w:rFonts w:ascii="Verdana" w:hAnsi="Verdana"/>
          <w:sz w:val="20"/>
          <w:szCs w:val="20"/>
          <w:lang w:val="es-CR"/>
        </w:rPr>
        <w:fldChar w:fldCharType="end"/>
      </w:r>
      <w:r w:rsidR="00340446">
        <w:rPr>
          <w:rFonts w:ascii="Verdana" w:hAnsi="Verdana"/>
          <w:sz w:val="20"/>
          <w:szCs w:val="20"/>
          <w:lang w:val="es-CR"/>
        </w:rPr>
        <w:t xml:space="preserve"> y </w:t>
      </w:r>
      <w:r w:rsidR="001A6803">
        <w:rPr>
          <w:rFonts w:ascii="Verdana" w:hAnsi="Verdana"/>
          <w:sz w:val="20"/>
          <w:szCs w:val="20"/>
          <w:lang w:val="es-CR"/>
        </w:rPr>
        <w:fldChar w:fldCharType="begin"/>
      </w:r>
      <w:r w:rsidR="001A6803">
        <w:rPr>
          <w:rFonts w:ascii="Verdana" w:hAnsi="Verdana"/>
          <w:sz w:val="20"/>
          <w:szCs w:val="20"/>
          <w:lang w:val="es-CR"/>
        </w:rPr>
        <w:instrText xml:space="preserve"> REF _Ref26343141 \r \h </w:instrText>
      </w:r>
      <w:r w:rsidR="001A6803">
        <w:rPr>
          <w:rFonts w:ascii="Verdana" w:hAnsi="Verdana"/>
          <w:sz w:val="20"/>
          <w:szCs w:val="20"/>
          <w:lang w:val="es-CR"/>
        </w:rPr>
      </w:r>
      <w:r w:rsidR="001A6803">
        <w:rPr>
          <w:rFonts w:ascii="Verdana" w:hAnsi="Verdana"/>
          <w:sz w:val="20"/>
          <w:szCs w:val="20"/>
          <w:lang w:val="es-CR"/>
        </w:rPr>
        <w:fldChar w:fldCharType="separate"/>
      </w:r>
      <w:r w:rsidR="00462D62">
        <w:rPr>
          <w:rFonts w:ascii="Verdana" w:hAnsi="Verdana"/>
          <w:sz w:val="20"/>
          <w:szCs w:val="20"/>
          <w:lang w:val="es-CR"/>
        </w:rPr>
        <w:t>7</w:t>
      </w:r>
      <w:r w:rsidR="001A6803">
        <w:rPr>
          <w:rFonts w:ascii="Verdana" w:hAnsi="Verdana"/>
          <w:sz w:val="20"/>
          <w:szCs w:val="20"/>
          <w:lang w:val="es-CR"/>
        </w:rPr>
        <w:fldChar w:fldCharType="end"/>
      </w:r>
      <w:r>
        <w:rPr>
          <w:rFonts w:ascii="Verdana" w:hAnsi="Verdana"/>
          <w:sz w:val="20"/>
          <w:szCs w:val="20"/>
          <w:lang w:val="es-CR"/>
        </w:rPr>
        <w:t>)</w:t>
      </w:r>
      <w:r w:rsidRPr="00CE6A3E">
        <w:rPr>
          <w:rFonts w:ascii="Verdana" w:hAnsi="Verdana"/>
          <w:sz w:val="20"/>
          <w:szCs w:val="20"/>
          <w:lang w:val="es-CR"/>
        </w:rPr>
        <w:t xml:space="preserve">. En su informe de labores del año 2018 </w:t>
      </w:r>
      <w:r>
        <w:rPr>
          <w:rFonts w:ascii="Verdana" w:hAnsi="Verdana"/>
          <w:sz w:val="20"/>
          <w:szCs w:val="20"/>
          <w:lang w:val="es-CR"/>
        </w:rPr>
        <w:t>la Corte</w:t>
      </w:r>
      <w:r w:rsidRPr="00CE6A3E">
        <w:rPr>
          <w:rFonts w:ascii="Verdana" w:hAnsi="Verdana"/>
          <w:sz w:val="20"/>
          <w:szCs w:val="20"/>
          <w:lang w:val="es-CR"/>
        </w:rPr>
        <w:t xml:space="preserve"> hizo notar la falta de presentación de informes por parte de República Dominicana</w:t>
      </w:r>
      <w:r w:rsidRPr="00CE6A3E">
        <w:rPr>
          <w:rStyle w:val="Refdenotaalpie"/>
          <w:rFonts w:ascii="Verdana" w:hAnsi="Verdana"/>
          <w:sz w:val="20"/>
          <w:szCs w:val="20"/>
          <w:lang w:val="es-CR"/>
        </w:rPr>
        <w:footnoteReference w:id="4"/>
      </w:r>
      <w:r w:rsidRPr="00CE6A3E">
        <w:rPr>
          <w:rFonts w:ascii="Verdana" w:hAnsi="Verdana"/>
          <w:sz w:val="20"/>
          <w:szCs w:val="20"/>
          <w:lang w:val="es-CR"/>
        </w:rPr>
        <w:t>.</w:t>
      </w:r>
      <w:bookmarkEnd w:id="6"/>
    </w:p>
    <w:p w14:paraId="4D9E5CDC" w14:textId="77777777" w:rsidR="00E04F51" w:rsidRPr="00E04F51" w:rsidRDefault="00340446" w:rsidP="00E04F51">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7" w:name="_Ref26351970"/>
      <w:r w:rsidRPr="004A045B">
        <w:rPr>
          <w:rFonts w:ascii="Verdana" w:hAnsi="Verdana"/>
          <w:sz w:val="20"/>
          <w:szCs w:val="20"/>
          <w:lang w:val="es-CR"/>
        </w:rPr>
        <w:lastRenderedPageBreak/>
        <w:t xml:space="preserve">En el presente caso el Estado presentó información </w:t>
      </w:r>
      <w:r w:rsidR="008D04D8" w:rsidRPr="004A045B">
        <w:rPr>
          <w:rFonts w:ascii="Verdana" w:hAnsi="Verdana"/>
          <w:sz w:val="20"/>
          <w:szCs w:val="20"/>
          <w:lang w:val="es-CR"/>
        </w:rPr>
        <w:t>en 2013 y 2014 (</w:t>
      </w:r>
      <w:r w:rsidR="008D04D8" w:rsidRPr="004A045B">
        <w:rPr>
          <w:rFonts w:ascii="Verdana" w:hAnsi="Verdana"/>
          <w:i/>
          <w:sz w:val="20"/>
          <w:szCs w:val="20"/>
          <w:lang w:val="es-CR"/>
        </w:rPr>
        <w:t>supra</w:t>
      </w:r>
      <w:r w:rsidR="008D04D8" w:rsidRPr="004A045B">
        <w:rPr>
          <w:rFonts w:ascii="Verdana" w:hAnsi="Verdana"/>
          <w:sz w:val="20"/>
          <w:szCs w:val="20"/>
          <w:lang w:val="es-CR"/>
        </w:rPr>
        <w:t xml:space="preserve"> Visto </w:t>
      </w:r>
      <w:r w:rsidR="001A6803">
        <w:rPr>
          <w:rFonts w:ascii="Verdana" w:hAnsi="Verdana"/>
          <w:sz w:val="20"/>
          <w:szCs w:val="20"/>
          <w:lang w:val="es-CR"/>
        </w:rPr>
        <w:fldChar w:fldCharType="begin"/>
      </w:r>
      <w:r w:rsidR="001A6803">
        <w:rPr>
          <w:rFonts w:ascii="Verdana" w:hAnsi="Verdana"/>
          <w:sz w:val="20"/>
          <w:szCs w:val="20"/>
          <w:lang w:val="es-CR"/>
        </w:rPr>
        <w:instrText xml:space="preserve"> REF _Ref26340715 \r \h </w:instrText>
      </w:r>
      <w:r w:rsidR="001A6803">
        <w:rPr>
          <w:rFonts w:ascii="Verdana" w:hAnsi="Verdana"/>
          <w:sz w:val="20"/>
          <w:szCs w:val="20"/>
          <w:lang w:val="es-CR"/>
        </w:rPr>
      </w:r>
      <w:r w:rsidR="001A6803">
        <w:rPr>
          <w:rFonts w:ascii="Verdana" w:hAnsi="Verdana"/>
          <w:sz w:val="20"/>
          <w:szCs w:val="20"/>
          <w:lang w:val="es-CR"/>
        </w:rPr>
        <w:fldChar w:fldCharType="separate"/>
      </w:r>
      <w:r w:rsidR="00462D62">
        <w:rPr>
          <w:rFonts w:ascii="Verdana" w:hAnsi="Verdana"/>
          <w:sz w:val="20"/>
          <w:szCs w:val="20"/>
          <w:lang w:val="es-CR"/>
        </w:rPr>
        <w:t>4</w:t>
      </w:r>
      <w:r w:rsidR="001A6803">
        <w:rPr>
          <w:rFonts w:ascii="Verdana" w:hAnsi="Verdana"/>
          <w:sz w:val="20"/>
          <w:szCs w:val="20"/>
          <w:lang w:val="es-CR"/>
        </w:rPr>
        <w:fldChar w:fldCharType="end"/>
      </w:r>
      <w:r w:rsidR="008D04D8" w:rsidRPr="004A045B">
        <w:rPr>
          <w:rFonts w:ascii="Verdana" w:hAnsi="Verdana"/>
          <w:sz w:val="20"/>
          <w:szCs w:val="20"/>
          <w:lang w:val="es-CR"/>
        </w:rPr>
        <w:t xml:space="preserve">). </w:t>
      </w:r>
      <w:r w:rsidR="008D04D8" w:rsidRPr="004A045B">
        <w:rPr>
          <w:rFonts w:ascii="Verdana" w:hAnsi="Verdana" w:cs="Arial"/>
          <w:sz w:val="20"/>
          <w:szCs w:val="20"/>
          <w:lang w:val="es-CR"/>
        </w:rPr>
        <w:t xml:space="preserve">Sin embargo, la información presentada no comprende todas las medidas de reparación ordenadas en la Sentencia, ya que sólo se refirió a </w:t>
      </w:r>
      <w:r w:rsidR="00E04F51" w:rsidRPr="004A045B">
        <w:rPr>
          <w:rFonts w:ascii="Verdana" w:hAnsi="Verdana" w:cs="Arial"/>
          <w:sz w:val="20"/>
          <w:szCs w:val="20"/>
          <w:lang w:val="es-CR"/>
        </w:rPr>
        <w:t>seis</w:t>
      </w:r>
      <w:r w:rsidR="008D04D8" w:rsidRPr="004A045B">
        <w:rPr>
          <w:rFonts w:ascii="Verdana" w:hAnsi="Verdana" w:cs="Arial"/>
          <w:sz w:val="20"/>
          <w:szCs w:val="20"/>
          <w:lang w:val="es-CR"/>
        </w:rPr>
        <w:t xml:space="preserve"> de las </w:t>
      </w:r>
      <w:r w:rsidR="00E04F51" w:rsidRPr="004A045B">
        <w:rPr>
          <w:rFonts w:ascii="Verdana" w:hAnsi="Verdana" w:cs="Arial"/>
          <w:sz w:val="20"/>
          <w:szCs w:val="20"/>
          <w:lang w:val="es-CR"/>
        </w:rPr>
        <w:t>diez</w:t>
      </w:r>
      <w:r w:rsidR="008D04D8" w:rsidRPr="004A045B">
        <w:rPr>
          <w:rFonts w:ascii="Verdana" w:hAnsi="Verdana" w:cs="Arial"/>
          <w:sz w:val="20"/>
          <w:szCs w:val="20"/>
          <w:lang w:val="es-CR"/>
        </w:rPr>
        <w:t xml:space="preserve"> reparaciones dispuestas por este Tribunal (</w:t>
      </w:r>
      <w:r w:rsidR="008D04D8" w:rsidRPr="004A045B">
        <w:rPr>
          <w:rFonts w:ascii="Verdana" w:hAnsi="Verdana" w:cs="Arial"/>
          <w:i/>
          <w:sz w:val="20"/>
          <w:szCs w:val="20"/>
          <w:lang w:val="es-CR"/>
        </w:rPr>
        <w:t>infra</w:t>
      </w:r>
      <w:r w:rsidR="008D04D8" w:rsidRPr="004A045B">
        <w:rPr>
          <w:rFonts w:ascii="Verdana" w:hAnsi="Verdana" w:cs="Arial"/>
          <w:sz w:val="20"/>
          <w:szCs w:val="20"/>
          <w:lang w:val="es-CR"/>
        </w:rPr>
        <w:t xml:space="preserve"> Considerandos </w:t>
      </w:r>
      <w:r w:rsidR="001A6803">
        <w:rPr>
          <w:rFonts w:ascii="Verdana" w:hAnsi="Verdana" w:cs="Arial"/>
          <w:sz w:val="20"/>
          <w:szCs w:val="20"/>
          <w:lang w:val="es-CR"/>
        </w:rPr>
        <w:fldChar w:fldCharType="begin"/>
      </w:r>
      <w:r w:rsidR="001A6803">
        <w:rPr>
          <w:rFonts w:ascii="Verdana" w:hAnsi="Verdana" w:cs="Arial"/>
          <w:sz w:val="20"/>
          <w:szCs w:val="20"/>
          <w:lang w:val="es-CR"/>
        </w:rPr>
        <w:instrText xml:space="preserve"> REF _Ref26342824 \r \h </w:instrText>
      </w:r>
      <w:r w:rsidR="001A6803">
        <w:rPr>
          <w:rFonts w:ascii="Verdana" w:hAnsi="Verdana" w:cs="Arial"/>
          <w:sz w:val="20"/>
          <w:szCs w:val="20"/>
          <w:lang w:val="es-CR"/>
        </w:rPr>
      </w:r>
      <w:r w:rsidR="001A6803">
        <w:rPr>
          <w:rFonts w:ascii="Verdana" w:hAnsi="Verdana" w:cs="Arial"/>
          <w:sz w:val="20"/>
          <w:szCs w:val="20"/>
          <w:lang w:val="es-CR"/>
        </w:rPr>
        <w:fldChar w:fldCharType="separate"/>
      </w:r>
      <w:r w:rsidR="00462D62">
        <w:rPr>
          <w:rFonts w:ascii="Verdana" w:hAnsi="Verdana" w:cs="Arial"/>
          <w:sz w:val="20"/>
          <w:szCs w:val="20"/>
          <w:lang w:val="es-CR"/>
        </w:rPr>
        <w:t>6</w:t>
      </w:r>
      <w:r w:rsidR="001A6803">
        <w:rPr>
          <w:rFonts w:ascii="Verdana" w:hAnsi="Verdana" w:cs="Arial"/>
          <w:sz w:val="20"/>
          <w:szCs w:val="20"/>
          <w:lang w:val="es-CR"/>
        </w:rPr>
        <w:fldChar w:fldCharType="end"/>
      </w:r>
      <w:r w:rsidR="00401B6C">
        <w:rPr>
          <w:rFonts w:ascii="Verdana" w:hAnsi="Verdana" w:cs="Arial"/>
          <w:sz w:val="20"/>
          <w:szCs w:val="20"/>
          <w:lang w:val="es-CR"/>
        </w:rPr>
        <w:t xml:space="preserve"> y 10</w:t>
      </w:r>
      <w:r w:rsidR="008D04D8" w:rsidRPr="004A045B">
        <w:rPr>
          <w:rFonts w:ascii="Verdana" w:hAnsi="Verdana" w:cs="Arial"/>
          <w:sz w:val="20"/>
          <w:szCs w:val="20"/>
          <w:lang w:val="es-CR"/>
        </w:rPr>
        <w:t xml:space="preserve">). </w:t>
      </w:r>
      <w:r w:rsidR="00E04F51" w:rsidRPr="004A045B">
        <w:rPr>
          <w:rFonts w:ascii="Verdana" w:hAnsi="Verdana" w:cs="Arial"/>
          <w:sz w:val="20"/>
          <w:szCs w:val="20"/>
          <w:lang w:val="es-CR"/>
        </w:rPr>
        <w:t xml:space="preserve">Tanto los </w:t>
      </w:r>
      <w:r w:rsidR="00E04F51" w:rsidRPr="004A045B">
        <w:rPr>
          <w:rFonts w:ascii="Verdana" w:hAnsi="Verdana" w:cs="Arial"/>
          <w:i/>
          <w:sz w:val="20"/>
          <w:szCs w:val="20"/>
          <w:lang w:val="es-CR"/>
        </w:rPr>
        <w:t xml:space="preserve">representantes </w:t>
      </w:r>
      <w:r w:rsidR="00E04F51" w:rsidRPr="004A045B">
        <w:rPr>
          <w:rFonts w:ascii="Verdana" w:hAnsi="Verdana" w:cs="Arial"/>
          <w:sz w:val="20"/>
          <w:szCs w:val="20"/>
          <w:lang w:val="es-CR"/>
        </w:rPr>
        <w:t xml:space="preserve">como la </w:t>
      </w:r>
      <w:r w:rsidR="00E04F51" w:rsidRPr="004A045B">
        <w:rPr>
          <w:rFonts w:ascii="Verdana" w:hAnsi="Verdana" w:cs="Arial"/>
          <w:i/>
          <w:sz w:val="20"/>
          <w:szCs w:val="20"/>
          <w:lang w:val="es-CR"/>
        </w:rPr>
        <w:t>Comisión</w:t>
      </w:r>
      <w:r w:rsidR="00E04F51" w:rsidRPr="004A045B">
        <w:rPr>
          <w:rFonts w:ascii="Verdana" w:hAnsi="Verdana" w:cs="Arial"/>
          <w:sz w:val="20"/>
          <w:szCs w:val="20"/>
          <w:lang w:val="es-CR"/>
        </w:rPr>
        <w:t xml:space="preserve"> </w:t>
      </w:r>
      <w:r w:rsidR="009C5407">
        <w:rPr>
          <w:rFonts w:ascii="Verdana" w:hAnsi="Verdana" w:cs="Arial"/>
          <w:sz w:val="20"/>
          <w:szCs w:val="20"/>
          <w:lang w:val="es-CR"/>
        </w:rPr>
        <w:t xml:space="preserve">presentaron sus observaciones a la referida información, e </w:t>
      </w:r>
      <w:r w:rsidR="00E04F51" w:rsidRPr="00E04F51">
        <w:rPr>
          <w:rFonts w:ascii="Verdana" w:hAnsi="Verdana" w:cs="Arial"/>
          <w:sz w:val="20"/>
          <w:szCs w:val="20"/>
          <w:lang w:val="es-CR"/>
        </w:rPr>
        <w:t>hicieron notar el incumplimiento y falta de información respecto de varias de las reparaciones ordenadas</w:t>
      </w:r>
      <w:r w:rsidR="00401B6C">
        <w:rPr>
          <w:rFonts w:ascii="Verdana" w:hAnsi="Verdana" w:cs="Arial"/>
          <w:sz w:val="20"/>
          <w:szCs w:val="20"/>
          <w:lang w:val="es-CR"/>
        </w:rPr>
        <w:t xml:space="preserve"> (</w:t>
      </w:r>
      <w:r w:rsidR="00401B6C" w:rsidRPr="00D0573D">
        <w:rPr>
          <w:rFonts w:ascii="Verdana" w:hAnsi="Verdana" w:cs="Arial"/>
          <w:i/>
          <w:sz w:val="20"/>
          <w:szCs w:val="20"/>
          <w:lang w:val="es-CR"/>
        </w:rPr>
        <w:t xml:space="preserve">infra </w:t>
      </w:r>
      <w:r w:rsidR="00401B6C">
        <w:rPr>
          <w:rFonts w:ascii="Verdana" w:hAnsi="Verdana" w:cs="Arial"/>
          <w:sz w:val="20"/>
          <w:szCs w:val="20"/>
          <w:lang w:val="es-CR"/>
        </w:rPr>
        <w:t>Considerandos 7 a 9)</w:t>
      </w:r>
      <w:r w:rsidR="00E04F51">
        <w:rPr>
          <w:rStyle w:val="Refdenotaalpie"/>
          <w:rFonts w:ascii="Verdana" w:hAnsi="Verdana" w:cs="Arial"/>
          <w:sz w:val="20"/>
          <w:szCs w:val="20"/>
          <w:lang w:val="es-CR"/>
        </w:rPr>
        <w:footnoteReference w:id="5"/>
      </w:r>
      <w:r w:rsidR="00E04F51" w:rsidRPr="00E04F51">
        <w:rPr>
          <w:rFonts w:ascii="Verdana" w:hAnsi="Verdana" w:cs="Arial"/>
          <w:sz w:val="20"/>
          <w:szCs w:val="20"/>
          <w:lang w:val="es-CR"/>
        </w:rPr>
        <w:t>.</w:t>
      </w:r>
      <w:bookmarkEnd w:id="7"/>
      <w:r w:rsidR="00E04F51" w:rsidRPr="00E04F51">
        <w:rPr>
          <w:rFonts w:ascii="Verdana" w:hAnsi="Verdana"/>
          <w:b/>
          <w:sz w:val="16"/>
          <w:szCs w:val="16"/>
          <w:lang w:val="es-CR"/>
        </w:rPr>
        <w:t xml:space="preserve"> </w:t>
      </w:r>
    </w:p>
    <w:p w14:paraId="4F5D531D" w14:textId="77777777" w:rsidR="00C566D8" w:rsidRPr="00762259" w:rsidRDefault="00E04F51" w:rsidP="006A164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762259">
        <w:rPr>
          <w:rFonts w:ascii="Verdana" w:hAnsi="Verdana" w:cs="Arial"/>
          <w:sz w:val="20"/>
          <w:szCs w:val="20"/>
          <w:lang w:val="es-CR"/>
        </w:rPr>
        <w:t xml:space="preserve">Mediante nota de </w:t>
      </w:r>
      <w:r w:rsidR="00401B6C">
        <w:rPr>
          <w:rFonts w:ascii="Verdana" w:hAnsi="Verdana" w:cs="Arial"/>
          <w:sz w:val="20"/>
          <w:szCs w:val="20"/>
          <w:lang w:val="es-CR"/>
        </w:rPr>
        <w:t xml:space="preserve">la </w:t>
      </w:r>
      <w:r w:rsidRPr="00762259">
        <w:rPr>
          <w:rFonts w:ascii="Verdana" w:hAnsi="Verdana" w:cs="Arial"/>
          <w:sz w:val="20"/>
          <w:szCs w:val="20"/>
          <w:lang w:val="es-CR"/>
        </w:rPr>
        <w:t xml:space="preserve">Secretaría de </w:t>
      </w:r>
      <w:r w:rsidRPr="00762259">
        <w:rPr>
          <w:rFonts w:ascii="Verdana" w:hAnsi="Verdana"/>
          <w:sz w:val="20"/>
          <w:szCs w:val="20"/>
          <w:lang w:val="es-CR"/>
        </w:rPr>
        <w:t>octubre de 2016</w:t>
      </w:r>
      <w:r w:rsidR="008D04D8" w:rsidRPr="00762259">
        <w:rPr>
          <w:rFonts w:ascii="Verdana" w:hAnsi="Verdana" w:cs="Arial"/>
          <w:sz w:val="20"/>
          <w:szCs w:val="20"/>
          <w:lang w:val="es-CR"/>
        </w:rPr>
        <w:t xml:space="preserve">, se </w:t>
      </w:r>
      <w:r w:rsidRPr="00762259">
        <w:rPr>
          <w:rFonts w:ascii="Verdana" w:hAnsi="Verdana" w:cs="Arial"/>
          <w:sz w:val="20"/>
          <w:szCs w:val="20"/>
          <w:lang w:val="es-CR"/>
        </w:rPr>
        <w:t>recordó</w:t>
      </w:r>
      <w:r w:rsidR="008D04D8" w:rsidRPr="00762259">
        <w:rPr>
          <w:rFonts w:ascii="Verdana" w:hAnsi="Verdana" w:cs="Arial"/>
          <w:sz w:val="20"/>
          <w:szCs w:val="20"/>
          <w:lang w:val="es-CR"/>
        </w:rPr>
        <w:t xml:space="preserve"> al Estado que en julio de 2014 fue la última ocasión en que presentó información sobre el cumplimiento de esta Sentencia, y se </w:t>
      </w:r>
      <w:r w:rsidR="00C566D8" w:rsidRPr="00762259">
        <w:rPr>
          <w:rFonts w:ascii="Verdana" w:hAnsi="Verdana" w:cs="Arial"/>
          <w:sz w:val="20"/>
          <w:szCs w:val="20"/>
          <w:lang w:val="es-CR"/>
        </w:rPr>
        <w:t>l</w:t>
      </w:r>
      <w:r w:rsidR="008D04D8" w:rsidRPr="00762259">
        <w:rPr>
          <w:rFonts w:ascii="Verdana" w:hAnsi="Verdana" w:cs="Arial"/>
          <w:sz w:val="20"/>
          <w:szCs w:val="20"/>
          <w:lang w:val="es-CR"/>
        </w:rPr>
        <w:t>e requirió la presentación de un nuevo informe, el cual venció el 9 de enero de 2017 (</w:t>
      </w:r>
      <w:r w:rsidR="008D04D8" w:rsidRPr="00762259">
        <w:rPr>
          <w:rFonts w:ascii="Verdana" w:hAnsi="Verdana" w:cs="Arial"/>
          <w:i/>
          <w:sz w:val="20"/>
          <w:szCs w:val="20"/>
          <w:lang w:val="es-CR"/>
        </w:rPr>
        <w:t>supra</w:t>
      </w:r>
      <w:r w:rsidR="008D04D8" w:rsidRPr="00762259">
        <w:rPr>
          <w:rFonts w:ascii="Verdana" w:hAnsi="Verdana" w:cs="Arial"/>
          <w:sz w:val="20"/>
          <w:szCs w:val="20"/>
          <w:lang w:val="es-CR"/>
        </w:rPr>
        <w:t xml:space="preserve"> Visto </w:t>
      </w:r>
      <w:r w:rsidR="00637FE8">
        <w:rPr>
          <w:rFonts w:ascii="Verdana" w:hAnsi="Verdana" w:cs="Arial"/>
          <w:sz w:val="20"/>
          <w:szCs w:val="20"/>
          <w:lang w:val="es-CR"/>
        </w:rPr>
        <w:fldChar w:fldCharType="begin"/>
      </w:r>
      <w:r w:rsidR="00637FE8">
        <w:rPr>
          <w:rFonts w:ascii="Verdana" w:hAnsi="Verdana" w:cs="Arial"/>
          <w:sz w:val="20"/>
          <w:szCs w:val="20"/>
          <w:lang w:val="es-CR"/>
        </w:rPr>
        <w:instrText xml:space="preserve"> REF _Ref26343141 \r \h </w:instrText>
      </w:r>
      <w:r w:rsidR="00637FE8">
        <w:rPr>
          <w:rFonts w:ascii="Verdana" w:hAnsi="Verdana" w:cs="Arial"/>
          <w:sz w:val="20"/>
          <w:szCs w:val="20"/>
          <w:lang w:val="es-CR"/>
        </w:rPr>
      </w:r>
      <w:r w:rsidR="00637FE8">
        <w:rPr>
          <w:rFonts w:ascii="Verdana" w:hAnsi="Verdana" w:cs="Arial"/>
          <w:sz w:val="20"/>
          <w:szCs w:val="20"/>
          <w:lang w:val="es-CR"/>
        </w:rPr>
        <w:fldChar w:fldCharType="separate"/>
      </w:r>
      <w:r w:rsidR="00462D62">
        <w:rPr>
          <w:rFonts w:ascii="Verdana" w:hAnsi="Verdana" w:cs="Arial"/>
          <w:sz w:val="20"/>
          <w:szCs w:val="20"/>
          <w:lang w:val="es-CR"/>
        </w:rPr>
        <w:t>7</w:t>
      </w:r>
      <w:r w:rsidR="00637FE8">
        <w:rPr>
          <w:rFonts w:ascii="Verdana" w:hAnsi="Verdana" w:cs="Arial"/>
          <w:sz w:val="20"/>
          <w:szCs w:val="20"/>
          <w:lang w:val="es-CR"/>
        </w:rPr>
        <w:fldChar w:fldCharType="end"/>
      </w:r>
      <w:r w:rsidR="008D04D8" w:rsidRPr="00762259">
        <w:rPr>
          <w:rFonts w:ascii="Verdana" w:hAnsi="Verdana" w:cs="Arial"/>
          <w:sz w:val="20"/>
          <w:szCs w:val="20"/>
          <w:lang w:val="es-CR"/>
        </w:rPr>
        <w:t>)</w:t>
      </w:r>
      <w:r w:rsidR="00637FE8">
        <w:rPr>
          <w:rFonts w:ascii="Verdana" w:hAnsi="Verdana" w:cs="Arial"/>
          <w:sz w:val="20"/>
          <w:szCs w:val="20"/>
          <w:lang w:val="es-CR"/>
        </w:rPr>
        <w:t>.</w:t>
      </w:r>
      <w:r w:rsidR="008D04D8" w:rsidRPr="00762259">
        <w:rPr>
          <w:rFonts w:ascii="Verdana" w:hAnsi="Verdana" w:cs="Arial"/>
          <w:sz w:val="20"/>
          <w:szCs w:val="20"/>
          <w:lang w:val="es-CR"/>
        </w:rPr>
        <w:t xml:space="preserve"> </w:t>
      </w:r>
      <w:r w:rsidR="00C566D8" w:rsidRPr="00762259">
        <w:rPr>
          <w:rFonts w:ascii="Verdana" w:hAnsi="Verdana"/>
          <w:sz w:val="20"/>
          <w:szCs w:val="20"/>
          <w:lang w:val="es-CR"/>
        </w:rPr>
        <w:t xml:space="preserve">Ante la falta de presentación del referido informe, siguiendo instrucciones del </w:t>
      </w:r>
      <w:proofErr w:type="gramStart"/>
      <w:r w:rsidR="00C566D8" w:rsidRPr="00762259">
        <w:rPr>
          <w:rFonts w:ascii="Verdana" w:hAnsi="Verdana"/>
          <w:sz w:val="20"/>
          <w:szCs w:val="20"/>
          <w:lang w:val="es-CR"/>
        </w:rPr>
        <w:t>Presidente</w:t>
      </w:r>
      <w:proofErr w:type="gramEnd"/>
      <w:r w:rsidR="00C566D8" w:rsidRPr="00762259">
        <w:rPr>
          <w:rFonts w:ascii="Verdana" w:hAnsi="Verdana"/>
          <w:sz w:val="20"/>
          <w:szCs w:val="20"/>
          <w:lang w:val="es-CR"/>
        </w:rPr>
        <w:t xml:space="preserve"> de la Corte, se le han reiterado las solicitudes de su remisión</w:t>
      </w:r>
      <w:r w:rsidR="00401B6C">
        <w:rPr>
          <w:rFonts w:ascii="Verdana" w:hAnsi="Verdana"/>
          <w:sz w:val="20"/>
          <w:szCs w:val="20"/>
          <w:lang w:val="es-CR"/>
        </w:rPr>
        <w:t xml:space="preserve"> en dos oportunidades</w:t>
      </w:r>
      <w:r w:rsidR="00C566D8" w:rsidRPr="00762259">
        <w:rPr>
          <w:rFonts w:ascii="Verdana" w:hAnsi="Verdana"/>
          <w:sz w:val="20"/>
          <w:szCs w:val="20"/>
          <w:lang w:val="es-CR"/>
        </w:rPr>
        <w:t xml:space="preserve"> (</w:t>
      </w:r>
      <w:r w:rsidR="00C566D8" w:rsidRPr="00762259">
        <w:rPr>
          <w:rFonts w:ascii="Verdana" w:hAnsi="Verdana"/>
          <w:i/>
          <w:sz w:val="20"/>
          <w:szCs w:val="20"/>
          <w:lang w:val="es-CR"/>
        </w:rPr>
        <w:t xml:space="preserve">supra </w:t>
      </w:r>
      <w:r w:rsidR="00C566D8" w:rsidRPr="00762259">
        <w:rPr>
          <w:rFonts w:ascii="Verdana" w:hAnsi="Verdana"/>
          <w:sz w:val="20"/>
          <w:szCs w:val="20"/>
          <w:lang w:val="es-CR"/>
        </w:rPr>
        <w:t xml:space="preserve">Vistos </w:t>
      </w:r>
      <w:r w:rsidR="00637FE8">
        <w:rPr>
          <w:rFonts w:ascii="Verdana" w:hAnsi="Verdana"/>
          <w:sz w:val="20"/>
          <w:szCs w:val="20"/>
          <w:lang w:val="es-CR"/>
        </w:rPr>
        <w:fldChar w:fldCharType="begin"/>
      </w:r>
      <w:r w:rsidR="00637FE8">
        <w:rPr>
          <w:rFonts w:ascii="Verdana" w:hAnsi="Verdana"/>
          <w:sz w:val="20"/>
          <w:szCs w:val="20"/>
          <w:lang w:val="es-CR"/>
        </w:rPr>
        <w:instrText xml:space="preserve"> REF _Ref26343571 \r \h </w:instrText>
      </w:r>
      <w:r w:rsidR="00637FE8">
        <w:rPr>
          <w:rFonts w:ascii="Verdana" w:hAnsi="Verdana"/>
          <w:sz w:val="20"/>
          <w:szCs w:val="20"/>
          <w:lang w:val="es-CR"/>
        </w:rPr>
      </w:r>
      <w:r w:rsidR="00637FE8">
        <w:rPr>
          <w:rFonts w:ascii="Verdana" w:hAnsi="Verdana"/>
          <w:sz w:val="20"/>
          <w:szCs w:val="20"/>
          <w:lang w:val="es-CR"/>
        </w:rPr>
        <w:fldChar w:fldCharType="separate"/>
      </w:r>
      <w:r w:rsidR="00462D62">
        <w:rPr>
          <w:rFonts w:ascii="Verdana" w:hAnsi="Verdana"/>
          <w:sz w:val="20"/>
          <w:szCs w:val="20"/>
          <w:lang w:val="es-CR"/>
        </w:rPr>
        <w:t>8</w:t>
      </w:r>
      <w:r w:rsidR="00637FE8">
        <w:rPr>
          <w:rFonts w:ascii="Verdana" w:hAnsi="Verdana"/>
          <w:sz w:val="20"/>
          <w:szCs w:val="20"/>
          <w:lang w:val="es-CR"/>
        </w:rPr>
        <w:fldChar w:fldCharType="end"/>
      </w:r>
      <w:r w:rsidR="00C566D8" w:rsidRPr="00762259">
        <w:rPr>
          <w:rFonts w:ascii="Verdana" w:hAnsi="Verdana"/>
          <w:sz w:val="20"/>
          <w:szCs w:val="20"/>
          <w:lang w:val="es-CR"/>
        </w:rPr>
        <w:t>). A pesar de los requerimientos realizados, el Estado no presentó el informe.</w:t>
      </w:r>
    </w:p>
    <w:p w14:paraId="4A4A6EA7" w14:textId="77777777" w:rsidR="008D04D8" w:rsidRPr="00762259" w:rsidRDefault="004B25DE" w:rsidP="006A164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762259">
        <w:rPr>
          <w:rFonts w:ascii="Verdana" w:hAnsi="Verdana"/>
          <w:sz w:val="20"/>
          <w:szCs w:val="20"/>
          <w:lang w:val="es-CR"/>
        </w:rPr>
        <w:t>En la presente Resolución la Corte se pronunciará</w:t>
      </w:r>
      <w:r w:rsidR="00E04F51" w:rsidRPr="00762259">
        <w:rPr>
          <w:rFonts w:ascii="Verdana" w:hAnsi="Verdana"/>
          <w:sz w:val="20"/>
          <w:szCs w:val="20"/>
          <w:lang w:val="es-CR"/>
        </w:rPr>
        <w:t>,</w:t>
      </w:r>
      <w:r w:rsidRPr="00762259">
        <w:rPr>
          <w:rFonts w:ascii="Verdana" w:hAnsi="Verdana"/>
          <w:sz w:val="20"/>
          <w:szCs w:val="20"/>
          <w:lang w:val="es-CR"/>
        </w:rPr>
        <w:t xml:space="preserve"> primeramente, sobre la información que ha sido presentada por el Estado respecto al cumplimiento de </w:t>
      </w:r>
      <w:r w:rsidR="00E04F51" w:rsidRPr="00762259">
        <w:rPr>
          <w:rFonts w:ascii="Verdana" w:hAnsi="Verdana"/>
          <w:sz w:val="20"/>
          <w:szCs w:val="20"/>
          <w:lang w:val="es-CR"/>
        </w:rPr>
        <w:t>seis</w:t>
      </w:r>
      <w:r w:rsidRPr="00762259">
        <w:rPr>
          <w:rFonts w:ascii="Verdana" w:hAnsi="Verdana"/>
          <w:sz w:val="20"/>
          <w:szCs w:val="20"/>
          <w:lang w:val="es-CR"/>
        </w:rPr>
        <w:t xml:space="preserve"> de las </w:t>
      </w:r>
      <w:r w:rsidR="00401B6C">
        <w:rPr>
          <w:rFonts w:ascii="Verdana" w:hAnsi="Verdana"/>
          <w:sz w:val="20"/>
          <w:szCs w:val="20"/>
          <w:lang w:val="es-CR"/>
        </w:rPr>
        <w:t xml:space="preserve">diez </w:t>
      </w:r>
      <w:r w:rsidRPr="00762259">
        <w:rPr>
          <w:rFonts w:ascii="Verdana" w:hAnsi="Verdana"/>
          <w:sz w:val="20"/>
          <w:szCs w:val="20"/>
          <w:lang w:val="es-CR"/>
        </w:rPr>
        <w:t>reparaciones ordenadas en la Sentencia (</w:t>
      </w:r>
      <w:r w:rsidRPr="00762259">
        <w:rPr>
          <w:rFonts w:ascii="Verdana" w:hAnsi="Verdana"/>
          <w:i/>
          <w:sz w:val="20"/>
          <w:szCs w:val="20"/>
          <w:lang w:val="es-CR"/>
        </w:rPr>
        <w:t xml:space="preserve">infra </w:t>
      </w:r>
      <w:r w:rsidRPr="00762259">
        <w:rPr>
          <w:rFonts w:ascii="Verdana" w:hAnsi="Verdana"/>
          <w:sz w:val="20"/>
          <w:szCs w:val="20"/>
          <w:lang w:val="es-CR"/>
        </w:rPr>
        <w:t xml:space="preserve">Considerando </w:t>
      </w:r>
      <w:r w:rsidR="00637FE8">
        <w:rPr>
          <w:rFonts w:ascii="Verdana" w:hAnsi="Verdana"/>
          <w:sz w:val="20"/>
          <w:szCs w:val="20"/>
          <w:lang w:val="es-CR"/>
        </w:rPr>
        <w:fldChar w:fldCharType="begin"/>
      </w:r>
      <w:r w:rsidR="00637FE8">
        <w:rPr>
          <w:rFonts w:ascii="Verdana" w:hAnsi="Verdana"/>
          <w:sz w:val="20"/>
          <w:szCs w:val="20"/>
          <w:lang w:val="es-CR"/>
        </w:rPr>
        <w:instrText xml:space="preserve"> REF _Ref26342824 \r \h </w:instrText>
      </w:r>
      <w:r w:rsidR="00637FE8">
        <w:rPr>
          <w:rFonts w:ascii="Verdana" w:hAnsi="Verdana"/>
          <w:sz w:val="20"/>
          <w:szCs w:val="20"/>
          <w:lang w:val="es-CR"/>
        </w:rPr>
      </w:r>
      <w:r w:rsidR="00637FE8">
        <w:rPr>
          <w:rFonts w:ascii="Verdana" w:hAnsi="Verdana"/>
          <w:sz w:val="20"/>
          <w:szCs w:val="20"/>
          <w:lang w:val="es-CR"/>
        </w:rPr>
        <w:fldChar w:fldCharType="separate"/>
      </w:r>
      <w:r w:rsidR="00462D62">
        <w:rPr>
          <w:rFonts w:ascii="Verdana" w:hAnsi="Verdana"/>
          <w:sz w:val="20"/>
          <w:szCs w:val="20"/>
          <w:lang w:val="es-CR"/>
        </w:rPr>
        <w:t>6</w:t>
      </w:r>
      <w:r w:rsidR="00637FE8">
        <w:rPr>
          <w:rFonts w:ascii="Verdana" w:hAnsi="Verdana"/>
          <w:sz w:val="20"/>
          <w:szCs w:val="20"/>
          <w:lang w:val="es-CR"/>
        </w:rPr>
        <w:fldChar w:fldCharType="end"/>
      </w:r>
      <w:r w:rsidR="00401B6C">
        <w:rPr>
          <w:rFonts w:ascii="Verdana" w:hAnsi="Verdana"/>
          <w:sz w:val="20"/>
          <w:szCs w:val="20"/>
          <w:lang w:val="es-CR"/>
        </w:rPr>
        <w:t xml:space="preserve"> a 10</w:t>
      </w:r>
      <w:r w:rsidRPr="00762259">
        <w:rPr>
          <w:rFonts w:ascii="Verdana" w:hAnsi="Verdana"/>
          <w:sz w:val="20"/>
          <w:szCs w:val="20"/>
          <w:lang w:val="es-CR"/>
        </w:rPr>
        <w:t xml:space="preserve">), y en segundo lugar, </w:t>
      </w:r>
      <w:r w:rsidR="00E04F51" w:rsidRPr="00762259">
        <w:rPr>
          <w:rFonts w:ascii="Verdana" w:hAnsi="Verdana"/>
          <w:sz w:val="20"/>
          <w:szCs w:val="20"/>
          <w:lang w:val="es-CR"/>
        </w:rPr>
        <w:t xml:space="preserve">se referirá a </w:t>
      </w:r>
      <w:r w:rsidRPr="00762259">
        <w:rPr>
          <w:rFonts w:ascii="Verdana" w:hAnsi="Verdana"/>
          <w:sz w:val="20"/>
          <w:szCs w:val="20"/>
          <w:lang w:val="es-CR"/>
        </w:rPr>
        <w:t>la omisión de República Dominicana de su obligación de informar sobre el cumplimiento de la Sentencia</w:t>
      </w:r>
      <w:r w:rsidR="00401B6C">
        <w:rPr>
          <w:rFonts w:ascii="Verdana" w:hAnsi="Verdana"/>
          <w:sz w:val="20"/>
          <w:szCs w:val="20"/>
          <w:lang w:val="es-CR"/>
        </w:rPr>
        <w:t xml:space="preserve"> (</w:t>
      </w:r>
      <w:r w:rsidR="00401B6C" w:rsidRPr="00D0573D">
        <w:rPr>
          <w:rFonts w:ascii="Verdana" w:hAnsi="Verdana"/>
          <w:i/>
          <w:sz w:val="20"/>
          <w:szCs w:val="20"/>
          <w:lang w:val="es-CR"/>
        </w:rPr>
        <w:t>infra</w:t>
      </w:r>
      <w:r w:rsidR="00401B6C">
        <w:rPr>
          <w:rFonts w:ascii="Verdana" w:hAnsi="Verdana"/>
          <w:sz w:val="20"/>
          <w:szCs w:val="20"/>
          <w:lang w:val="es-CR"/>
        </w:rPr>
        <w:t xml:space="preserve"> Considerandos 11 a 21)</w:t>
      </w:r>
      <w:r w:rsidRPr="00762259">
        <w:rPr>
          <w:rFonts w:ascii="Verdana" w:hAnsi="Verdana"/>
          <w:sz w:val="20"/>
          <w:szCs w:val="20"/>
          <w:lang w:val="es-CR"/>
        </w:rPr>
        <w:t>.</w:t>
      </w:r>
    </w:p>
    <w:p w14:paraId="2483E4D2" w14:textId="77777777" w:rsidR="004B25DE" w:rsidRPr="004B25DE" w:rsidRDefault="004B25DE" w:rsidP="006A164F">
      <w:pPr>
        <w:pStyle w:val="Prrafodelista"/>
        <w:spacing w:before="120" w:after="120" w:line="240" w:lineRule="auto"/>
        <w:ind w:left="0"/>
        <w:contextualSpacing w:val="0"/>
        <w:jc w:val="both"/>
        <w:rPr>
          <w:rFonts w:ascii="Verdana" w:hAnsi="Verdana"/>
          <w:sz w:val="20"/>
          <w:szCs w:val="20"/>
          <w:highlight w:val="green"/>
          <w:lang w:val="es-CR"/>
        </w:rPr>
      </w:pPr>
    </w:p>
    <w:p w14:paraId="72EE1232" w14:textId="77777777" w:rsidR="006A164F" w:rsidRDefault="006A164F" w:rsidP="00D0573D">
      <w:pPr>
        <w:pStyle w:val="Ttulo2"/>
        <w:numPr>
          <w:ilvl w:val="0"/>
          <w:numId w:val="4"/>
        </w:numPr>
        <w:spacing w:before="120" w:after="120" w:line="240" w:lineRule="auto"/>
        <w:jc w:val="both"/>
        <w:rPr>
          <w:rFonts w:ascii="Verdana" w:hAnsi="Verdana"/>
          <w:b/>
          <w:i/>
          <w:color w:val="auto"/>
          <w:sz w:val="20"/>
          <w:szCs w:val="20"/>
          <w:lang w:val="es-CR"/>
        </w:rPr>
      </w:pPr>
      <w:r>
        <w:rPr>
          <w:rFonts w:ascii="Verdana" w:hAnsi="Verdana"/>
          <w:b/>
          <w:i/>
          <w:color w:val="auto"/>
          <w:sz w:val="20"/>
          <w:szCs w:val="20"/>
          <w:lang w:val="es-CR"/>
        </w:rPr>
        <w:t>Información y observaciones de las partes y de la Comisión</w:t>
      </w:r>
      <w:r w:rsidR="00401B6C">
        <w:rPr>
          <w:rFonts w:ascii="Verdana" w:hAnsi="Verdana"/>
          <w:b/>
          <w:i/>
          <w:color w:val="auto"/>
          <w:sz w:val="20"/>
          <w:szCs w:val="20"/>
          <w:lang w:val="es-CR"/>
        </w:rPr>
        <w:t xml:space="preserve"> sobre el cumplimiento de las reparaciones</w:t>
      </w:r>
    </w:p>
    <w:p w14:paraId="323CF410" w14:textId="77777777" w:rsidR="006A164F" w:rsidRDefault="006A164F" w:rsidP="006A164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8" w:name="_Ref26342824"/>
      <w:r>
        <w:rPr>
          <w:rFonts w:ascii="Verdana" w:hAnsi="Verdana"/>
          <w:sz w:val="20"/>
          <w:szCs w:val="20"/>
          <w:lang w:val="es-CR"/>
        </w:rPr>
        <w:t xml:space="preserve">En sus informes </w:t>
      </w:r>
      <w:r w:rsidR="00E04F51" w:rsidRPr="00B27788">
        <w:rPr>
          <w:rFonts w:ascii="Verdana" w:hAnsi="Verdana"/>
          <w:i/>
          <w:sz w:val="20"/>
          <w:szCs w:val="20"/>
          <w:lang w:val="es-CR"/>
        </w:rPr>
        <w:t>República Dominicana</w:t>
      </w:r>
      <w:r>
        <w:rPr>
          <w:rFonts w:ascii="Verdana" w:hAnsi="Verdana"/>
          <w:sz w:val="20"/>
          <w:szCs w:val="20"/>
          <w:lang w:val="es-CR"/>
        </w:rPr>
        <w:t xml:space="preserve"> </w:t>
      </w:r>
      <w:r w:rsidR="00E04F51">
        <w:rPr>
          <w:rFonts w:ascii="Verdana" w:hAnsi="Verdana"/>
          <w:sz w:val="20"/>
          <w:szCs w:val="20"/>
          <w:lang w:val="es-CR"/>
        </w:rPr>
        <w:t>informó lo siguiente</w:t>
      </w:r>
      <w:r>
        <w:rPr>
          <w:rFonts w:ascii="Verdana" w:hAnsi="Verdana"/>
          <w:sz w:val="20"/>
          <w:szCs w:val="20"/>
          <w:lang w:val="es-CR"/>
        </w:rPr>
        <w:t>:</w:t>
      </w:r>
      <w:bookmarkEnd w:id="8"/>
    </w:p>
    <w:p w14:paraId="676BD2DE" w14:textId="77777777" w:rsidR="006A164F" w:rsidRPr="004A045B" w:rsidRDefault="00401B6C" w:rsidP="006A164F">
      <w:pPr>
        <w:pStyle w:val="Prrafodelista"/>
        <w:numPr>
          <w:ilvl w:val="0"/>
          <w:numId w:val="7"/>
        </w:numPr>
        <w:spacing w:before="120" w:after="120" w:line="240" w:lineRule="auto"/>
        <w:contextualSpacing w:val="0"/>
        <w:jc w:val="both"/>
        <w:rPr>
          <w:rFonts w:ascii="Verdana" w:hAnsi="Verdana"/>
          <w:sz w:val="20"/>
          <w:szCs w:val="20"/>
          <w:lang w:val="es-CR"/>
        </w:rPr>
      </w:pPr>
      <w:bookmarkStart w:id="9" w:name="_Ref26345505"/>
      <w:r>
        <w:rPr>
          <w:rFonts w:ascii="Verdana" w:hAnsi="Verdana"/>
          <w:sz w:val="20"/>
          <w:szCs w:val="20"/>
          <w:lang w:val="es-CR"/>
        </w:rPr>
        <w:t>e</w:t>
      </w:r>
      <w:r w:rsidRPr="004A045B">
        <w:rPr>
          <w:rFonts w:ascii="Verdana" w:hAnsi="Verdana"/>
          <w:sz w:val="20"/>
          <w:szCs w:val="20"/>
          <w:lang w:val="es-CR"/>
        </w:rPr>
        <w:t xml:space="preserve">n </w:t>
      </w:r>
      <w:r w:rsidR="004A045B" w:rsidRPr="004A045B">
        <w:rPr>
          <w:rFonts w:ascii="Verdana" w:hAnsi="Verdana"/>
          <w:sz w:val="20"/>
          <w:szCs w:val="20"/>
          <w:lang w:val="es-CR"/>
        </w:rPr>
        <w:t xml:space="preserve">cuanto a la reparación ordenada en el </w:t>
      </w:r>
      <w:r w:rsidR="004A045B" w:rsidRPr="004A045B">
        <w:rPr>
          <w:rFonts w:ascii="Verdana" w:hAnsi="Verdana"/>
          <w:i/>
          <w:sz w:val="20"/>
          <w:szCs w:val="20"/>
          <w:lang w:val="es-CR"/>
        </w:rPr>
        <w:t>punto dispositivo segundo de la Sentencia</w:t>
      </w:r>
      <w:r w:rsidR="004A045B" w:rsidRPr="004A045B">
        <w:rPr>
          <w:rFonts w:ascii="Verdana" w:hAnsi="Verdana"/>
          <w:sz w:val="20"/>
          <w:szCs w:val="20"/>
          <w:lang w:val="es-CR"/>
        </w:rPr>
        <w:t xml:space="preserve">, relativa a “continuar y realizar las investigaciones y procesos necesarios […] con el fin de establecer la verdad de los hechos, así como de determinar y, en su caso, sancionar a los responsables de la desaparición forzada de Narciso González Medina”, el Estado solo informó que “la Procuraduría </w:t>
      </w:r>
      <w:r w:rsidR="0023567D">
        <w:rPr>
          <w:rFonts w:ascii="Verdana" w:hAnsi="Verdana"/>
          <w:sz w:val="20"/>
          <w:szCs w:val="20"/>
          <w:lang w:val="es-CR"/>
        </w:rPr>
        <w:t xml:space="preserve">General </w:t>
      </w:r>
      <w:r w:rsidR="004A045B" w:rsidRPr="004A045B">
        <w:rPr>
          <w:rFonts w:ascii="Verdana" w:hAnsi="Verdana"/>
          <w:sz w:val="20"/>
          <w:szCs w:val="20"/>
          <w:lang w:val="es-CR"/>
        </w:rPr>
        <w:t xml:space="preserve">de la República emitió la Resolución No. 000073, del 5 de julio de 2013, por medio de la cual </w:t>
      </w:r>
      <w:r w:rsidRPr="004A045B">
        <w:rPr>
          <w:rFonts w:ascii="Verdana" w:hAnsi="Verdana"/>
          <w:sz w:val="20"/>
          <w:szCs w:val="20"/>
          <w:lang w:val="es-CR"/>
        </w:rPr>
        <w:t>orden</w:t>
      </w:r>
      <w:r>
        <w:rPr>
          <w:rFonts w:ascii="Verdana" w:hAnsi="Verdana"/>
          <w:sz w:val="20"/>
          <w:szCs w:val="20"/>
          <w:lang w:val="es-CR"/>
        </w:rPr>
        <w:t>[</w:t>
      </w:r>
      <w:proofErr w:type="spellStart"/>
      <w:r>
        <w:rPr>
          <w:rFonts w:ascii="Verdana" w:hAnsi="Verdana"/>
          <w:sz w:val="20"/>
          <w:szCs w:val="20"/>
          <w:lang w:val="es-CR"/>
        </w:rPr>
        <w:t>ó</w:t>
      </w:r>
      <w:proofErr w:type="spellEnd"/>
      <w:r>
        <w:rPr>
          <w:rFonts w:ascii="Verdana" w:hAnsi="Verdana"/>
          <w:sz w:val="20"/>
          <w:szCs w:val="20"/>
          <w:lang w:val="es-CR"/>
        </w:rPr>
        <w:t>]</w:t>
      </w:r>
      <w:r w:rsidRPr="004A045B">
        <w:rPr>
          <w:rFonts w:ascii="Verdana" w:hAnsi="Verdana"/>
          <w:sz w:val="20"/>
          <w:szCs w:val="20"/>
          <w:lang w:val="es-CR"/>
        </w:rPr>
        <w:t xml:space="preserve"> </w:t>
      </w:r>
      <w:r w:rsidR="004A045B" w:rsidRPr="004A045B">
        <w:rPr>
          <w:rFonts w:ascii="Verdana" w:hAnsi="Verdana"/>
          <w:sz w:val="20"/>
          <w:szCs w:val="20"/>
          <w:lang w:val="es-CR"/>
        </w:rPr>
        <w:t>a la Procuraduría Fiscal del Distrito Nacional</w:t>
      </w:r>
      <w:r w:rsidR="004A045B">
        <w:rPr>
          <w:rFonts w:ascii="Verdana" w:hAnsi="Verdana"/>
          <w:sz w:val="20"/>
          <w:szCs w:val="20"/>
          <w:lang w:val="es-CR"/>
        </w:rPr>
        <w:t>, […] la reapertura y continuación de las investigaciones sobre el paradero y destino final del señor Narciso González Medina”.</w:t>
      </w:r>
      <w:bookmarkEnd w:id="9"/>
      <w:r w:rsidR="004A045B">
        <w:rPr>
          <w:rFonts w:ascii="Verdana" w:hAnsi="Verdana"/>
          <w:sz w:val="20"/>
          <w:szCs w:val="20"/>
          <w:lang w:val="es-CR"/>
        </w:rPr>
        <w:t xml:space="preserve"> </w:t>
      </w:r>
    </w:p>
    <w:p w14:paraId="2E856C4F" w14:textId="77777777" w:rsidR="004A045B" w:rsidRPr="00847F61" w:rsidRDefault="004A045B" w:rsidP="006A164F">
      <w:pPr>
        <w:pStyle w:val="Prrafodelista"/>
        <w:numPr>
          <w:ilvl w:val="0"/>
          <w:numId w:val="7"/>
        </w:numPr>
        <w:spacing w:before="120" w:after="120" w:line="240" w:lineRule="auto"/>
        <w:contextualSpacing w:val="0"/>
        <w:jc w:val="both"/>
        <w:rPr>
          <w:rFonts w:ascii="Verdana" w:hAnsi="Verdana"/>
          <w:sz w:val="20"/>
          <w:szCs w:val="20"/>
          <w:lang w:val="es-CR"/>
        </w:rPr>
      </w:pPr>
      <w:bookmarkStart w:id="10" w:name="_Ref26345725"/>
      <w:r w:rsidRPr="00AF7020">
        <w:rPr>
          <w:rFonts w:ascii="Verdana" w:hAnsi="Verdana"/>
          <w:sz w:val="20"/>
          <w:szCs w:val="20"/>
          <w:lang w:val="es-CR"/>
        </w:rPr>
        <w:t xml:space="preserve">Respecto de la reparación ordenada en el </w:t>
      </w:r>
      <w:r w:rsidRPr="00AF7020">
        <w:rPr>
          <w:rFonts w:ascii="Verdana" w:hAnsi="Verdana"/>
          <w:i/>
          <w:sz w:val="20"/>
          <w:szCs w:val="20"/>
          <w:lang w:val="es-CR"/>
        </w:rPr>
        <w:t>punto dispositivo quinto de la Sentencia</w:t>
      </w:r>
      <w:r w:rsidRPr="00AF7020">
        <w:rPr>
          <w:rFonts w:ascii="Verdana" w:hAnsi="Verdana"/>
          <w:sz w:val="20"/>
          <w:szCs w:val="20"/>
          <w:lang w:val="es-CR"/>
        </w:rPr>
        <w:t>, relativa a re</w:t>
      </w:r>
      <w:r w:rsidR="00AF7020" w:rsidRPr="00AF7020">
        <w:rPr>
          <w:rFonts w:ascii="Verdana" w:hAnsi="Verdana"/>
          <w:sz w:val="20"/>
          <w:szCs w:val="20"/>
          <w:lang w:val="es-CR"/>
        </w:rPr>
        <w:t xml:space="preserve">alizar la publicación y difusión de la Sentencia y su resumen oficial, informó que </w:t>
      </w:r>
      <w:r w:rsidR="008E44C3">
        <w:rPr>
          <w:rFonts w:ascii="Verdana" w:hAnsi="Verdana"/>
          <w:sz w:val="20"/>
          <w:szCs w:val="20"/>
          <w:lang w:val="es-CR"/>
        </w:rPr>
        <w:t>“ha publicado el resumen oficial de la Sentencia […] en la Gaceta Oficial de 26 de octubre de 2012 [y] en el periódico ‘El Nuevo Diario’ en su edición del 13 de octubre de 2012”</w:t>
      </w:r>
      <w:r w:rsidR="008E44C3">
        <w:rPr>
          <w:rStyle w:val="Refdenotaalpie"/>
          <w:rFonts w:ascii="Verdana" w:hAnsi="Verdana"/>
          <w:sz w:val="20"/>
          <w:szCs w:val="20"/>
          <w:lang w:val="es-CR"/>
        </w:rPr>
        <w:footnoteReference w:id="6"/>
      </w:r>
      <w:r w:rsidR="008E44C3">
        <w:rPr>
          <w:rFonts w:ascii="Verdana" w:hAnsi="Verdana"/>
          <w:sz w:val="20"/>
          <w:szCs w:val="20"/>
          <w:lang w:val="es-CR"/>
        </w:rPr>
        <w:t xml:space="preserve">. Además, que “la Sentencia íntegra está disponible en la página </w:t>
      </w:r>
      <w:r w:rsidR="0023567D">
        <w:rPr>
          <w:rFonts w:ascii="Verdana" w:hAnsi="Verdana"/>
          <w:sz w:val="20"/>
          <w:szCs w:val="20"/>
          <w:lang w:val="es-CR"/>
        </w:rPr>
        <w:t xml:space="preserve">web </w:t>
      </w:r>
      <w:r w:rsidR="008E44C3">
        <w:rPr>
          <w:rFonts w:ascii="Verdana" w:hAnsi="Verdana"/>
          <w:sz w:val="20"/>
          <w:szCs w:val="20"/>
          <w:lang w:val="es-CR"/>
        </w:rPr>
        <w:t>del Ministerio de Relaciones Exteriores”</w:t>
      </w:r>
      <w:r w:rsidR="008E44C3">
        <w:rPr>
          <w:rStyle w:val="Refdenotaalpie"/>
          <w:rFonts w:ascii="Verdana" w:hAnsi="Verdana"/>
          <w:sz w:val="20"/>
          <w:szCs w:val="20"/>
          <w:lang w:val="es-CR"/>
        </w:rPr>
        <w:footnoteReference w:id="7"/>
      </w:r>
      <w:r w:rsidR="008E44C3">
        <w:rPr>
          <w:rFonts w:ascii="Verdana" w:hAnsi="Verdana"/>
          <w:sz w:val="20"/>
          <w:szCs w:val="20"/>
          <w:lang w:val="es-CR"/>
        </w:rPr>
        <w:t>.</w:t>
      </w:r>
      <w:bookmarkEnd w:id="10"/>
      <w:r w:rsidR="008E44C3">
        <w:rPr>
          <w:rFonts w:ascii="Verdana" w:hAnsi="Verdana"/>
          <w:sz w:val="20"/>
          <w:szCs w:val="20"/>
          <w:lang w:val="es-CR"/>
        </w:rPr>
        <w:t xml:space="preserve"> </w:t>
      </w:r>
    </w:p>
    <w:p w14:paraId="4F98EE7C" w14:textId="77777777" w:rsidR="00847F61" w:rsidRDefault="00440566" w:rsidP="00B9250A">
      <w:pPr>
        <w:pStyle w:val="Prrafodelista"/>
        <w:numPr>
          <w:ilvl w:val="0"/>
          <w:numId w:val="7"/>
        </w:numPr>
        <w:spacing w:before="120" w:after="120" w:line="240" w:lineRule="auto"/>
        <w:contextualSpacing w:val="0"/>
        <w:jc w:val="both"/>
        <w:rPr>
          <w:rFonts w:ascii="Verdana" w:hAnsi="Verdana"/>
          <w:sz w:val="20"/>
          <w:szCs w:val="20"/>
          <w:lang w:val="es-CR"/>
        </w:rPr>
      </w:pPr>
      <w:bookmarkStart w:id="11" w:name="_Ref26346260"/>
      <w:r w:rsidRPr="00A657DB">
        <w:rPr>
          <w:rFonts w:ascii="Verdana" w:hAnsi="Verdana"/>
          <w:sz w:val="20"/>
          <w:szCs w:val="20"/>
          <w:lang w:val="es-CR"/>
        </w:rPr>
        <w:t xml:space="preserve">Respecto de las medidas ordenadas en los </w:t>
      </w:r>
      <w:r w:rsidRPr="00A657DB">
        <w:rPr>
          <w:rFonts w:ascii="Verdana" w:hAnsi="Verdana"/>
          <w:i/>
          <w:sz w:val="20"/>
          <w:szCs w:val="20"/>
          <w:lang w:val="es-CR"/>
        </w:rPr>
        <w:t>puntos dispositivos cuarto y sexto a octavo de la Sentencia</w:t>
      </w:r>
      <w:r w:rsidRPr="00A657DB">
        <w:rPr>
          <w:rFonts w:ascii="Verdana" w:hAnsi="Verdana"/>
          <w:sz w:val="20"/>
          <w:szCs w:val="20"/>
          <w:lang w:val="es-CR"/>
        </w:rPr>
        <w:t xml:space="preserve">, relativas a “brindar […] tratamiento médico y psicológico o psiquiátrico a las víctimas […]”, “realizar un acto público de reconocimiento de responsabilidad internacional”, “colocar una placa conmemorativa en el Centro Cultural Narciso González […]” y “realizar un documental audiovisual sobre la vida del señor Narciso González Medina […]”, el Estado informó que </w:t>
      </w:r>
      <w:r w:rsidR="00A657DB">
        <w:rPr>
          <w:rFonts w:ascii="Verdana" w:hAnsi="Verdana"/>
          <w:sz w:val="20"/>
          <w:szCs w:val="20"/>
          <w:lang w:val="es-CR"/>
        </w:rPr>
        <w:t xml:space="preserve">en una reunión celebrada el 23 de abril </w:t>
      </w:r>
      <w:r w:rsidR="00A657DB">
        <w:rPr>
          <w:rFonts w:ascii="Verdana" w:hAnsi="Verdana"/>
          <w:sz w:val="20"/>
          <w:szCs w:val="20"/>
          <w:lang w:val="es-CR"/>
        </w:rPr>
        <w:lastRenderedPageBreak/>
        <w:t>de 2014, a la cual asistieron, entre otros, autoridades de la Procuraduría General de la República, las víctimas y sus representantes</w:t>
      </w:r>
      <w:r w:rsidR="00401B6C">
        <w:rPr>
          <w:rFonts w:ascii="Verdana" w:hAnsi="Verdana"/>
          <w:sz w:val="20"/>
          <w:szCs w:val="20"/>
          <w:lang w:val="es-CR"/>
        </w:rPr>
        <w:t>,</w:t>
      </w:r>
      <w:r w:rsidR="00A657DB">
        <w:rPr>
          <w:rFonts w:ascii="Verdana" w:hAnsi="Verdana"/>
          <w:sz w:val="20"/>
          <w:szCs w:val="20"/>
          <w:lang w:val="es-CR"/>
        </w:rPr>
        <w:t xml:space="preserve"> se tomaron determinados acuerdos</w:t>
      </w:r>
      <w:r w:rsidR="00A657DB">
        <w:rPr>
          <w:rStyle w:val="Refdenotaalpie"/>
          <w:rFonts w:ascii="Verdana" w:hAnsi="Verdana"/>
          <w:sz w:val="20"/>
          <w:szCs w:val="20"/>
          <w:lang w:val="es-CR"/>
        </w:rPr>
        <w:footnoteReference w:id="8"/>
      </w:r>
      <w:r w:rsidR="00A657DB">
        <w:rPr>
          <w:rFonts w:ascii="Verdana" w:hAnsi="Verdana"/>
          <w:sz w:val="20"/>
          <w:szCs w:val="20"/>
          <w:lang w:val="es-CR"/>
        </w:rPr>
        <w:t>.</w:t>
      </w:r>
      <w:bookmarkEnd w:id="11"/>
      <w:r w:rsidR="00A657DB">
        <w:rPr>
          <w:rFonts w:ascii="Verdana" w:hAnsi="Verdana"/>
          <w:sz w:val="20"/>
          <w:szCs w:val="20"/>
          <w:lang w:val="es-CR"/>
        </w:rPr>
        <w:t xml:space="preserve"> </w:t>
      </w:r>
    </w:p>
    <w:p w14:paraId="3901F871" w14:textId="77777777" w:rsidR="0070786E" w:rsidRPr="00A657DB" w:rsidRDefault="0070786E" w:rsidP="0070786E">
      <w:pPr>
        <w:pStyle w:val="Prrafodelista"/>
        <w:spacing w:before="120" w:after="120" w:line="240" w:lineRule="auto"/>
        <w:contextualSpacing w:val="0"/>
        <w:jc w:val="both"/>
        <w:rPr>
          <w:rFonts w:ascii="Verdana" w:hAnsi="Verdana"/>
          <w:sz w:val="20"/>
          <w:szCs w:val="20"/>
          <w:lang w:val="es-CR"/>
        </w:rPr>
      </w:pPr>
    </w:p>
    <w:p w14:paraId="1BA4E863" w14:textId="77777777" w:rsidR="00B9250A" w:rsidRDefault="00B9250A" w:rsidP="00B9250A">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2" w:name="_Ref26359780"/>
      <w:r>
        <w:rPr>
          <w:rFonts w:ascii="Verdana" w:hAnsi="Verdana"/>
          <w:sz w:val="20"/>
          <w:szCs w:val="20"/>
          <w:lang w:val="es-CR"/>
        </w:rPr>
        <w:t xml:space="preserve">En relación con lo anterior, </w:t>
      </w:r>
      <w:r w:rsidRPr="00D0573D">
        <w:rPr>
          <w:rFonts w:ascii="Verdana" w:hAnsi="Verdana"/>
          <w:sz w:val="20"/>
          <w:szCs w:val="20"/>
          <w:lang w:val="es-CR"/>
        </w:rPr>
        <w:t>los</w:t>
      </w:r>
      <w:r w:rsidRPr="00B27788">
        <w:rPr>
          <w:rFonts w:ascii="Verdana" w:hAnsi="Verdana"/>
          <w:i/>
          <w:sz w:val="20"/>
          <w:szCs w:val="20"/>
          <w:lang w:val="es-CR"/>
        </w:rPr>
        <w:t xml:space="preserve"> representantes</w:t>
      </w:r>
      <w:r>
        <w:rPr>
          <w:rFonts w:ascii="Verdana" w:hAnsi="Verdana"/>
          <w:sz w:val="20"/>
          <w:szCs w:val="20"/>
          <w:lang w:val="es-CR"/>
        </w:rPr>
        <w:t xml:space="preserve"> observaron:</w:t>
      </w:r>
      <w:bookmarkEnd w:id="12"/>
    </w:p>
    <w:p w14:paraId="2073CF92" w14:textId="77777777" w:rsidR="00B27788" w:rsidRDefault="00B9250A" w:rsidP="00B27788">
      <w:pPr>
        <w:pStyle w:val="Prrafodelista"/>
        <w:numPr>
          <w:ilvl w:val="0"/>
          <w:numId w:val="9"/>
        </w:numPr>
        <w:spacing w:before="120" w:after="120" w:line="240" w:lineRule="auto"/>
        <w:contextualSpacing w:val="0"/>
        <w:jc w:val="both"/>
        <w:rPr>
          <w:rFonts w:ascii="Verdana" w:hAnsi="Verdana"/>
          <w:sz w:val="20"/>
          <w:szCs w:val="20"/>
          <w:lang w:val="es-CR"/>
        </w:rPr>
      </w:pPr>
      <w:r>
        <w:rPr>
          <w:rFonts w:ascii="Verdana" w:hAnsi="Verdana"/>
          <w:sz w:val="20"/>
          <w:szCs w:val="20"/>
          <w:lang w:val="es-CR"/>
        </w:rPr>
        <w:t xml:space="preserve">Respecto de la medida ordenada en el </w:t>
      </w:r>
      <w:r w:rsidRPr="00B9250A">
        <w:rPr>
          <w:rFonts w:ascii="Verdana" w:hAnsi="Verdana"/>
          <w:i/>
          <w:sz w:val="20"/>
          <w:szCs w:val="20"/>
          <w:lang w:val="es-CR"/>
        </w:rPr>
        <w:t>punto dispositivo segundo</w:t>
      </w:r>
      <w:r>
        <w:rPr>
          <w:rFonts w:ascii="Verdana" w:hAnsi="Verdana"/>
          <w:sz w:val="20"/>
          <w:szCs w:val="20"/>
          <w:lang w:val="es-CR"/>
        </w:rPr>
        <w:t xml:space="preserve"> (</w:t>
      </w:r>
      <w:r w:rsidRPr="00B9250A">
        <w:rPr>
          <w:rFonts w:ascii="Verdana" w:hAnsi="Verdana"/>
          <w:i/>
          <w:sz w:val="20"/>
          <w:szCs w:val="20"/>
          <w:lang w:val="es-CR"/>
        </w:rPr>
        <w:t>supra</w:t>
      </w:r>
      <w:r>
        <w:rPr>
          <w:rFonts w:ascii="Verdana" w:hAnsi="Verdana"/>
          <w:sz w:val="20"/>
          <w:szCs w:val="20"/>
          <w:lang w:val="es-CR"/>
        </w:rPr>
        <w:t xml:space="preserve"> Considerando </w:t>
      </w:r>
      <w:r w:rsidR="00F24E46">
        <w:rPr>
          <w:rFonts w:ascii="Verdana" w:hAnsi="Verdana"/>
          <w:sz w:val="20"/>
          <w:szCs w:val="20"/>
          <w:lang w:val="es-CR"/>
        </w:rPr>
        <w:fldChar w:fldCharType="begin"/>
      </w:r>
      <w:r w:rsidR="00F24E46">
        <w:rPr>
          <w:rFonts w:ascii="Verdana" w:hAnsi="Verdana"/>
          <w:sz w:val="20"/>
          <w:szCs w:val="20"/>
          <w:lang w:val="es-CR"/>
        </w:rPr>
        <w:instrText xml:space="preserve"> REF _Ref26342824 \r \h </w:instrText>
      </w:r>
      <w:r w:rsidR="00F24E46">
        <w:rPr>
          <w:rFonts w:ascii="Verdana" w:hAnsi="Verdana"/>
          <w:sz w:val="20"/>
          <w:szCs w:val="20"/>
          <w:lang w:val="es-CR"/>
        </w:rPr>
      </w:r>
      <w:r w:rsidR="00F24E46">
        <w:rPr>
          <w:rFonts w:ascii="Verdana" w:hAnsi="Verdana"/>
          <w:sz w:val="20"/>
          <w:szCs w:val="20"/>
          <w:lang w:val="es-CR"/>
        </w:rPr>
        <w:fldChar w:fldCharType="separate"/>
      </w:r>
      <w:r w:rsidR="00462D62">
        <w:rPr>
          <w:rFonts w:ascii="Verdana" w:hAnsi="Verdana"/>
          <w:sz w:val="20"/>
          <w:szCs w:val="20"/>
          <w:lang w:val="es-CR"/>
        </w:rPr>
        <w:t>6</w:t>
      </w:r>
      <w:r w:rsidR="00F24E46">
        <w:rPr>
          <w:rFonts w:ascii="Verdana" w:hAnsi="Verdana"/>
          <w:sz w:val="20"/>
          <w:szCs w:val="20"/>
          <w:lang w:val="es-CR"/>
        </w:rPr>
        <w:fldChar w:fldCharType="end"/>
      </w:r>
      <w:r w:rsidR="00F24E46">
        <w:rPr>
          <w:rFonts w:ascii="Verdana" w:hAnsi="Verdana"/>
          <w:sz w:val="20"/>
          <w:szCs w:val="20"/>
          <w:lang w:val="es-CR"/>
        </w:rPr>
        <w:t>.</w:t>
      </w:r>
      <w:r w:rsidR="00F24E46">
        <w:rPr>
          <w:rFonts w:ascii="Verdana" w:hAnsi="Verdana"/>
          <w:sz w:val="20"/>
          <w:szCs w:val="20"/>
          <w:lang w:val="es-CR"/>
        </w:rPr>
        <w:fldChar w:fldCharType="begin"/>
      </w:r>
      <w:r w:rsidR="00F24E46">
        <w:rPr>
          <w:rFonts w:ascii="Verdana" w:hAnsi="Verdana"/>
          <w:sz w:val="20"/>
          <w:szCs w:val="20"/>
          <w:lang w:val="es-CR"/>
        </w:rPr>
        <w:instrText xml:space="preserve"> REF _Ref26345505 \r \h </w:instrText>
      </w:r>
      <w:r w:rsidR="00F24E46">
        <w:rPr>
          <w:rFonts w:ascii="Verdana" w:hAnsi="Verdana"/>
          <w:sz w:val="20"/>
          <w:szCs w:val="20"/>
          <w:lang w:val="es-CR"/>
        </w:rPr>
      </w:r>
      <w:r w:rsidR="00F24E46">
        <w:rPr>
          <w:rFonts w:ascii="Verdana" w:hAnsi="Verdana"/>
          <w:sz w:val="20"/>
          <w:szCs w:val="20"/>
          <w:lang w:val="es-CR"/>
        </w:rPr>
        <w:fldChar w:fldCharType="separate"/>
      </w:r>
      <w:r w:rsidR="00462D62">
        <w:rPr>
          <w:rFonts w:ascii="Verdana" w:hAnsi="Verdana"/>
          <w:sz w:val="20"/>
          <w:szCs w:val="20"/>
          <w:lang w:val="es-CR"/>
        </w:rPr>
        <w:t>a)</w:t>
      </w:r>
      <w:r w:rsidR="00F24E46">
        <w:rPr>
          <w:rFonts w:ascii="Verdana" w:hAnsi="Verdana"/>
          <w:sz w:val="20"/>
          <w:szCs w:val="20"/>
          <w:lang w:val="es-CR"/>
        </w:rPr>
        <w:fldChar w:fldCharType="end"/>
      </w:r>
      <w:r>
        <w:rPr>
          <w:rFonts w:ascii="Verdana" w:hAnsi="Verdana"/>
          <w:sz w:val="20"/>
          <w:szCs w:val="20"/>
          <w:lang w:val="es-CR"/>
        </w:rPr>
        <w:t xml:space="preserve">), en su primer escrito de observaciones indicaron que la reapertura de la investigación se trata de un “primer paso para dar cumplimiento” a lo ordenado, pero que se “requiere que se realicen diligencias adicionales”. En su último escrito de observaciones hicieron notar que República Dominicana “no presentó información actualizada sobre el estado actual de las </w:t>
      </w:r>
      <w:r w:rsidR="00B27788">
        <w:rPr>
          <w:rFonts w:ascii="Verdana" w:hAnsi="Verdana"/>
          <w:sz w:val="20"/>
          <w:szCs w:val="20"/>
          <w:lang w:val="es-CR"/>
        </w:rPr>
        <w:t xml:space="preserve">investigaciones”. </w:t>
      </w:r>
    </w:p>
    <w:p w14:paraId="15EED0F5" w14:textId="77777777" w:rsidR="00B9250A" w:rsidRDefault="00B27788" w:rsidP="001E2FBE">
      <w:pPr>
        <w:pStyle w:val="Prrafodelista"/>
        <w:numPr>
          <w:ilvl w:val="0"/>
          <w:numId w:val="9"/>
        </w:numPr>
        <w:spacing w:before="120" w:after="120" w:line="240" w:lineRule="auto"/>
        <w:contextualSpacing w:val="0"/>
        <w:jc w:val="both"/>
        <w:rPr>
          <w:rFonts w:ascii="Verdana" w:hAnsi="Verdana"/>
          <w:b/>
          <w:sz w:val="20"/>
          <w:szCs w:val="20"/>
          <w:lang w:val="es-CR"/>
        </w:rPr>
      </w:pPr>
      <w:r w:rsidRPr="00B27788">
        <w:rPr>
          <w:rFonts w:ascii="Verdana" w:hAnsi="Verdana"/>
          <w:sz w:val="20"/>
          <w:szCs w:val="20"/>
          <w:lang w:val="es-CR"/>
        </w:rPr>
        <w:t xml:space="preserve">En cuanto a la medida ordenada en el </w:t>
      </w:r>
      <w:r w:rsidRPr="00B27788">
        <w:rPr>
          <w:rFonts w:ascii="Verdana" w:hAnsi="Verdana"/>
          <w:i/>
          <w:sz w:val="20"/>
          <w:szCs w:val="20"/>
          <w:lang w:val="es-CR"/>
        </w:rPr>
        <w:t>punto dispositivo quinto de la Sentencia</w:t>
      </w:r>
      <w:r w:rsidR="00E95A35">
        <w:rPr>
          <w:rFonts w:ascii="Verdana" w:hAnsi="Verdana"/>
          <w:i/>
          <w:sz w:val="20"/>
          <w:szCs w:val="20"/>
          <w:lang w:val="es-CR"/>
        </w:rPr>
        <w:t xml:space="preserve"> </w:t>
      </w:r>
      <w:r w:rsidR="00E95A35">
        <w:rPr>
          <w:rFonts w:ascii="Verdana" w:hAnsi="Verdana"/>
          <w:sz w:val="20"/>
          <w:szCs w:val="20"/>
          <w:lang w:val="es-CR"/>
        </w:rPr>
        <w:t>(</w:t>
      </w:r>
      <w:r w:rsidR="00E95A35" w:rsidRPr="00B9250A">
        <w:rPr>
          <w:rFonts w:ascii="Verdana" w:hAnsi="Verdana"/>
          <w:i/>
          <w:sz w:val="20"/>
          <w:szCs w:val="20"/>
          <w:lang w:val="es-CR"/>
        </w:rPr>
        <w:t>supra</w:t>
      </w:r>
      <w:r w:rsidR="00E95A35">
        <w:rPr>
          <w:rFonts w:ascii="Verdana" w:hAnsi="Verdana"/>
          <w:sz w:val="20"/>
          <w:szCs w:val="20"/>
          <w:lang w:val="es-CR"/>
        </w:rPr>
        <w:t xml:space="preserve"> Considerando </w:t>
      </w:r>
      <w:r w:rsidR="00F24E46">
        <w:rPr>
          <w:rFonts w:ascii="Verdana" w:hAnsi="Verdana"/>
          <w:sz w:val="20"/>
          <w:szCs w:val="20"/>
          <w:lang w:val="es-CR"/>
        </w:rPr>
        <w:fldChar w:fldCharType="begin"/>
      </w:r>
      <w:r w:rsidR="00F24E46">
        <w:rPr>
          <w:rFonts w:ascii="Verdana" w:hAnsi="Verdana"/>
          <w:sz w:val="20"/>
          <w:szCs w:val="20"/>
          <w:lang w:val="es-CR"/>
        </w:rPr>
        <w:instrText xml:space="preserve"> REF _Ref26342824 \r \h </w:instrText>
      </w:r>
      <w:r w:rsidR="00F24E46">
        <w:rPr>
          <w:rFonts w:ascii="Verdana" w:hAnsi="Verdana"/>
          <w:sz w:val="20"/>
          <w:szCs w:val="20"/>
          <w:lang w:val="es-CR"/>
        </w:rPr>
      </w:r>
      <w:r w:rsidR="00F24E46">
        <w:rPr>
          <w:rFonts w:ascii="Verdana" w:hAnsi="Verdana"/>
          <w:sz w:val="20"/>
          <w:szCs w:val="20"/>
          <w:lang w:val="es-CR"/>
        </w:rPr>
        <w:fldChar w:fldCharType="separate"/>
      </w:r>
      <w:r w:rsidR="00462D62">
        <w:rPr>
          <w:rFonts w:ascii="Verdana" w:hAnsi="Verdana"/>
          <w:sz w:val="20"/>
          <w:szCs w:val="20"/>
          <w:lang w:val="es-CR"/>
        </w:rPr>
        <w:t>6</w:t>
      </w:r>
      <w:r w:rsidR="00F24E46">
        <w:rPr>
          <w:rFonts w:ascii="Verdana" w:hAnsi="Verdana"/>
          <w:sz w:val="20"/>
          <w:szCs w:val="20"/>
          <w:lang w:val="es-CR"/>
        </w:rPr>
        <w:fldChar w:fldCharType="end"/>
      </w:r>
      <w:r w:rsidR="00F24E46">
        <w:rPr>
          <w:rFonts w:ascii="Verdana" w:hAnsi="Verdana"/>
          <w:sz w:val="20"/>
          <w:szCs w:val="20"/>
          <w:lang w:val="es-CR"/>
        </w:rPr>
        <w:t>.</w:t>
      </w:r>
      <w:r w:rsidR="00F24E46">
        <w:rPr>
          <w:rFonts w:ascii="Verdana" w:hAnsi="Verdana"/>
          <w:sz w:val="20"/>
          <w:szCs w:val="20"/>
          <w:lang w:val="es-CR"/>
        </w:rPr>
        <w:fldChar w:fldCharType="begin"/>
      </w:r>
      <w:r w:rsidR="00F24E46">
        <w:rPr>
          <w:rFonts w:ascii="Verdana" w:hAnsi="Verdana"/>
          <w:sz w:val="20"/>
          <w:szCs w:val="20"/>
          <w:lang w:val="es-CR"/>
        </w:rPr>
        <w:instrText xml:space="preserve"> REF _Ref26345725 \r \h </w:instrText>
      </w:r>
      <w:r w:rsidR="00F24E46">
        <w:rPr>
          <w:rFonts w:ascii="Verdana" w:hAnsi="Verdana"/>
          <w:sz w:val="20"/>
          <w:szCs w:val="20"/>
          <w:lang w:val="es-CR"/>
        </w:rPr>
      </w:r>
      <w:r w:rsidR="00F24E46">
        <w:rPr>
          <w:rFonts w:ascii="Verdana" w:hAnsi="Verdana"/>
          <w:sz w:val="20"/>
          <w:szCs w:val="20"/>
          <w:lang w:val="es-CR"/>
        </w:rPr>
        <w:fldChar w:fldCharType="separate"/>
      </w:r>
      <w:r w:rsidR="00462D62">
        <w:rPr>
          <w:rFonts w:ascii="Verdana" w:hAnsi="Verdana"/>
          <w:sz w:val="20"/>
          <w:szCs w:val="20"/>
          <w:lang w:val="es-CR"/>
        </w:rPr>
        <w:t>b)</w:t>
      </w:r>
      <w:r w:rsidR="00F24E46">
        <w:rPr>
          <w:rFonts w:ascii="Verdana" w:hAnsi="Verdana"/>
          <w:sz w:val="20"/>
          <w:szCs w:val="20"/>
          <w:lang w:val="es-CR"/>
        </w:rPr>
        <w:fldChar w:fldCharType="end"/>
      </w:r>
      <w:r w:rsidR="00E95A35">
        <w:rPr>
          <w:rFonts w:ascii="Verdana" w:hAnsi="Verdana"/>
          <w:sz w:val="20"/>
          <w:szCs w:val="20"/>
          <w:lang w:val="es-CR"/>
        </w:rPr>
        <w:t>)</w:t>
      </w:r>
      <w:r w:rsidRPr="00B27788">
        <w:rPr>
          <w:rFonts w:ascii="Verdana" w:hAnsi="Verdana"/>
          <w:sz w:val="20"/>
          <w:szCs w:val="20"/>
          <w:lang w:val="es-CR"/>
        </w:rPr>
        <w:t>, hicieron notar que el Estado “no remitió una copia de la Gaceta Oficial” en la cual habría realizado la publicación del resumen de la Sentencia. Además, respecto a la publicación del referido resumen en un diario de amplia circulación nacional, objetaron que el periódico “El Nuevo Diario”, “no constituye ‘un diario de amplia circulación nacional’ como lo requiere la Sentencia”</w:t>
      </w:r>
      <w:r>
        <w:rPr>
          <w:rStyle w:val="Refdenotaalpie"/>
          <w:rFonts w:ascii="Verdana" w:hAnsi="Verdana"/>
          <w:sz w:val="20"/>
          <w:szCs w:val="20"/>
          <w:lang w:val="es-CR"/>
        </w:rPr>
        <w:footnoteReference w:id="9"/>
      </w:r>
      <w:r>
        <w:rPr>
          <w:rFonts w:ascii="Verdana" w:hAnsi="Verdana"/>
          <w:sz w:val="20"/>
          <w:szCs w:val="20"/>
          <w:lang w:val="es-CR"/>
        </w:rPr>
        <w:t xml:space="preserve">. También, señalaron que “no [era] posible acceder” a la publicación de la Sentencia en la página </w:t>
      </w:r>
      <w:r w:rsidRPr="00D0573D">
        <w:rPr>
          <w:rFonts w:ascii="Verdana" w:hAnsi="Verdana"/>
          <w:i/>
          <w:sz w:val="20"/>
          <w:szCs w:val="20"/>
          <w:lang w:val="es-CR"/>
        </w:rPr>
        <w:t>web</w:t>
      </w:r>
      <w:r>
        <w:rPr>
          <w:rFonts w:ascii="Verdana" w:hAnsi="Verdana"/>
          <w:sz w:val="20"/>
          <w:szCs w:val="20"/>
          <w:lang w:val="es-CR"/>
        </w:rPr>
        <w:t xml:space="preserve"> del Ministerio de Relaciones Exteriores” “a través del […] enlace, ni de la manera descrita en el informe estatal”. </w:t>
      </w:r>
    </w:p>
    <w:p w14:paraId="05D31455" w14:textId="77777777" w:rsidR="00E42DF4" w:rsidRPr="00CE7125" w:rsidRDefault="00E95A35" w:rsidP="001E2FBE">
      <w:pPr>
        <w:pStyle w:val="Prrafodelista"/>
        <w:numPr>
          <w:ilvl w:val="0"/>
          <w:numId w:val="9"/>
        </w:numPr>
        <w:spacing w:before="120" w:after="120" w:line="240" w:lineRule="auto"/>
        <w:contextualSpacing w:val="0"/>
        <w:jc w:val="both"/>
        <w:rPr>
          <w:rFonts w:ascii="Verdana" w:hAnsi="Verdana"/>
          <w:sz w:val="20"/>
          <w:szCs w:val="20"/>
          <w:lang w:val="es-CR"/>
        </w:rPr>
      </w:pPr>
      <w:r w:rsidRPr="00E95A35">
        <w:rPr>
          <w:rFonts w:ascii="Verdana" w:hAnsi="Verdana"/>
          <w:sz w:val="20"/>
          <w:szCs w:val="20"/>
          <w:lang w:val="es-CR"/>
        </w:rPr>
        <w:t xml:space="preserve">Sobre las medidas ordenadas en los </w:t>
      </w:r>
      <w:r w:rsidRPr="00E95A35">
        <w:rPr>
          <w:rFonts w:ascii="Verdana" w:hAnsi="Verdana"/>
          <w:i/>
          <w:sz w:val="20"/>
          <w:szCs w:val="20"/>
          <w:lang w:val="es-CR"/>
        </w:rPr>
        <w:t xml:space="preserve">puntos dispositivos cuarto y sexto a octavo </w:t>
      </w:r>
      <w:r w:rsidRPr="00E95A35">
        <w:rPr>
          <w:rFonts w:ascii="Verdana" w:hAnsi="Verdana"/>
          <w:sz w:val="20"/>
          <w:szCs w:val="20"/>
          <w:lang w:val="es-CR"/>
        </w:rPr>
        <w:t>(</w:t>
      </w:r>
      <w:r w:rsidRPr="00E95A35">
        <w:rPr>
          <w:rFonts w:ascii="Verdana" w:hAnsi="Verdana"/>
          <w:i/>
          <w:sz w:val="20"/>
          <w:szCs w:val="20"/>
          <w:lang w:val="es-CR"/>
        </w:rPr>
        <w:t>supra</w:t>
      </w:r>
      <w:r w:rsidRPr="00E95A35">
        <w:rPr>
          <w:rFonts w:ascii="Verdana" w:hAnsi="Verdana"/>
          <w:sz w:val="20"/>
          <w:szCs w:val="20"/>
          <w:lang w:val="es-CR"/>
        </w:rPr>
        <w:t xml:space="preserve"> Considerando </w:t>
      </w:r>
      <w:r w:rsidR="00514A5C">
        <w:rPr>
          <w:rFonts w:ascii="Verdana" w:hAnsi="Verdana"/>
          <w:sz w:val="20"/>
          <w:szCs w:val="20"/>
          <w:lang w:val="es-CR"/>
        </w:rPr>
        <w:fldChar w:fldCharType="begin"/>
      </w:r>
      <w:r w:rsidR="00514A5C">
        <w:rPr>
          <w:rFonts w:ascii="Verdana" w:hAnsi="Verdana"/>
          <w:sz w:val="20"/>
          <w:szCs w:val="20"/>
          <w:lang w:val="es-CR"/>
        </w:rPr>
        <w:instrText xml:space="preserve"> REF _Ref26342824 \r \h </w:instrText>
      </w:r>
      <w:r w:rsidR="00514A5C">
        <w:rPr>
          <w:rFonts w:ascii="Verdana" w:hAnsi="Verdana"/>
          <w:sz w:val="20"/>
          <w:szCs w:val="20"/>
          <w:lang w:val="es-CR"/>
        </w:rPr>
      </w:r>
      <w:r w:rsidR="00514A5C">
        <w:rPr>
          <w:rFonts w:ascii="Verdana" w:hAnsi="Verdana"/>
          <w:sz w:val="20"/>
          <w:szCs w:val="20"/>
          <w:lang w:val="es-CR"/>
        </w:rPr>
        <w:fldChar w:fldCharType="separate"/>
      </w:r>
      <w:r w:rsidR="00462D62">
        <w:rPr>
          <w:rFonts w:ascii="Verdana" w:hAnsi="Verdana"/>
          <w:sz w:val="20"/>
          <w:szCs w:val="20"/>
          <w:lang w:val="es-CR"/>
        </w:rPr>
        <w:t>6</w:t>
      </w:r>
      <w:r w:rsidR="00514A5C">
        <w:rPr>
          <w:rFonts w:ascii="Verdana" w:hAnsi="Verdana"/>
          <w:sz w:val="20"/>
          <w:szCs w:val="20"/>
          <w:lang w:val="es-CR"/>
        </w:rPr>
        <w:fldChar w:fldCharType="end"/>
      </w:r>
      <w:r w:rsidR="00514A5C">
        <w:rPr>
          <w:rFonts w:ascii="Verdana" w:hAnsi="Verdana"/>
          <w:sz w:val="20"/>
          <w:szCs w:val="20"/>
          <w:lang w:val="es-CR"/>
        </w:rPr>
        <w:t>.</w:t>
      </w:r>
      <w:r w:rsidR="00514A5C">
        <w:rPr>
          <w:rFonts w:ascii="Verdana" w:hAnsi="Verdana"/>
          <w:sz w:val="20"/>
          <w:szCs w:val="20"/>
          <w:lang w:val="es-CR"/>
        </w:rPr>
        <w:fldChar w:fldCharType="begin"/>
      </w:r>
      <w:r w:rsidR="00514A5C">
        <w:rPr>
          <w:rFonts w:ascii="Verdana" w:hAnsi="Verdana"/>
          <w:sz w:val="20"/>
          <w:szCs w:val="20"/>
          <w:lang w:val="es-CR"/>
        </w:rPr>
        <w:instrText xml:space="preserve"> REF _Ref26346260 \r \h </w:instrText>
      </w:r>
      <w:r w:rsidR="00514A5C">
        <w:rPr>
          <w:rFonts w:ascii="Verdana" w:hAnsi="Verdana"/>
          <w:sz w:val="20"/>
          <w:szCs w:val="20"/>
          <w:lang w:val="es-CR"/>
        </w:rPr>
      </w:r>
      <w:r w:rsidR="00514A5C">
        <w:rPr>
          <w:rFonts w:ascii="Verdana" w:hAnsi="Verdana"/>
          <w:sz w:val="20"/>
          <w:szCs w:val="20"/>
          <w:lang w:val="es-CR"/>
        </w:rPr>
        <w:fldChar w:fldCharType="separate"/>
      </w:r>
      <w:r w:rsidR="00462D62">
        <w:rPr>
          <w:rFonts w:ascii="Verdana" w:hAnsi="Verdana"/>
          <w:sz w:val="20"/>
          <w:szCs w:val="20"/>
          <w:lang w:val="es-CR"/>
        </w:rPr>
        <w:t>c)</w:t>
      </w:r>
      <w:r w:rsidR="00514A5C">
        <w:rPr>
          <w:rFonts w:ascii="Verdana" w:hAnsi="Verdana"/>
          <w:sz w:val="20"/>
          <w:szCs w:val="20"/>
          <w:lang w:val="es-CR"/>
        </w:rPr>
        <w:fldChar w:fldCharType="end"/>
      </w:r>
      <w:r w:rsidRPr="00E95A35">
        <w:rPr>
          <w:rFonts w:ascii="Verdana" w:hAnsi="Verdana"/>
          <w:sz w:val="20"/>
          <w:szCs w:val="20"/>
          <w:lang w:val="es-CR"/>
        </w:rPr>
        <w:t>)</w:t>
      </w:r>
      <w:r>
        <w:rPr>
          <w:rFonts w:ascii="Verdana" w:hAnsi="Verdana"/>
          <w:sz w:val="20"/>
          <w:szCs w:val="20"/>
          <w:lang w:val="es-CR"/>
        </w:rPr>
        <w:t xml:space="preserve">, </w:t>
      </w:r>
      <w:r w:rsidR="00E42DF4">
        <w:rPr>
          <w:rFonts w:ascii="Verdana" w:hAnsi="Verdana"/>
          <w:sz w:val="20"/>
          <w:szCs w:val="20"/>
          <w:lang w:val="es-CR"/>
        </w:rPr>
        <w:t>se refirieron, fundamentalmente, a las acciones que habían realizado los familiares de las víctimas para dar seguimiento a los acuerdos a los que llegaron con la Procuraduría General de la República en la reunión de abril de 201</w:t>
      </w:r>
      <w:r w:rsidR="008A7EF1">
        <w:rPr>
          <w:rFonts w:ascii="Verdana" w:hAnsi="Verdana"/>
          <w:sz w:val="20"/>
          <w:szCs w:val="20"/>
          <w:lang w:val="es-CR"/>
        </w:rPr>
        <w:t>4</w:t>
      </w:r>
      <w:r w:rsidR="00401B6C">
        <w:rPr>
          <w:rFonts w:ascii="Verdana" w:hAnsi="Verdana"/>
          <w:sz w:val="20"/>
          <w:szCs w:val="20"/>
          <w:lang w:val="es-CR"/>
        </w:rPr>
        <w:t>, pero hicieron notar que ninguna de estas medidas de reparación ha sido cumplida</w:t>
      </w:r>
      <w:r w:rsidR="00E42DF4">
        <w:rPr>
          <w:rFonts w:ascii="Verdana" w:hAnsi="Verdana"/>
          <w:sz w:val="20"/>
          <w:szCs w:val="20"/>
          <w:lang w:val="es-CR"/>
        </w:rPr>
        <w:t>.</w:t>
      </w:r>
      <w:r w:rsidRPr="00E95A35">
        <w:rPr>
          <w:rFonts w:ascii="Verdana" w:hAnsi="Verdana"/>
          <w:i/>
          <w:sz w:val="20"/>
          <w:szCs w:val="20"/>
          <w:lang w:val="es-CR"/>
        </w:rPr>
        <w:t xml:space="preserve"> </w:t>
      </w:r>
    </w:p>
    <w:p w14:paraId="0DBFC5BE" w14:textId="77777777" w:rsidR="00CE7125" w:rsidRDefault="00CE7125" w:rsidP="00CE7125">
      <w:pPr>
        <w:pStyle w:val="Prrafodelista"/>
        <w:spacing w:before="120" w:after="120" w:line="240" w:lineRule="auto"/>
        <w:contextualSpacing w:val="0"/>
        <w:jc w:val="both"/>
        <w:rPr>
          <w:rFonts w:ascii="Verdana" w:hAnsi="Verdana"/>
          <w:sz w:val="20"/>
          <w:szCs w:val="20"/>
          <w:lang w:val="es-CR"/>
        </w:rPr>
      </w:pPr>
    </w:p>
    <w:p w14:paraId="1111BABB" w14:textId="77777777" w:rsidR="00E42DF4" w:rsidRPr="001E2FBE" w:rsidRDefault="00E42DF4" w:rsidP="001E2FBE">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Adicionalmente, los </w:t>
      </w:r>
      <w:r w:rsidRPr="00D0573D">
        <w:rPr>
          <w:rFonts w:ascii="Verdana" w:hAnsi="Verdana"/>
          <w:i/>
          <w:sz w:val="20"/>
          <w:szCs w:val="20"/>
          <w:lang w:val="es-CR"/>
        </w:rPr>
        <w:t>representantes</w:t>
      </w:r>
      <w:r>
        <w:rPr>
          <w:rFonts w:ascii="Verdana" w:hAnsi="Verdana"/>
          <w:sz w:val="20"/>
          <w:szCs w:val="20"/>
          <w:lang w:val="es-CR"/>
        </w:rPr>
        <w:t xml:space="preserve"> hicieron notar que en sus informes “el Estado no hizo referencia a los puntos resolutivos […] tercero, noveno [y] décimo” de la Sentencia</w:t>
      </w:r>
      <w:r w:rsidR="00A61567">
        <w:rPr>
          <w:rFonts w:ascii="Verdana" w:hAnsi="Verdana"/>
          <w:sz w:val="20"/>
          <w:szCs w:val="20"/>
          <w:lang w:val="es-CR"/>
        </w:rPr>
        <w:t xml:space="preserve"> (</w:t>
      </w:r>
      <w:r w:rsidR="00A61567" w:rsidRPr="00A61567">
        <w:rPr>
          <w:rFonts w:ascii="Verdana" w:hAnsi="Verdana"/>
          <w:i/>
          <w:sz w:val="20"/>
          <w:szCs w:val="20"/>
          <w:lang w:val="es-CR"/>
        </w:rPr>
        <w:t>infra</w:t>
      </w:r>
      <w:r w:rsidR="00A61567">
        <w:rPr>
          <w:rFonts w:ascii="Verdana" w:hAnsi="Verdana"/>
          <w:sz w:val="20"/>
          <w:szCs w:val="20"/>
          <w:lang w:val="es-CR"/>
        </w:rPr>
        <w:t xml:space="preserve"> punto resolutivo</w:t>
      </w:r>
      <w:r w:rsidR="00514A5C">
        <w:rPr>
          <w:rFonts w:ascii="Verdana" w:hAnsi="Verdana"/>
          <w:sz w:val="20"/>
          <w:szCs w:val="20"/>
          <w:lang w:val="es-CR"/>
        </w:rPr>
        <w:t xml:space="preserve"> </w:t>
      </w:r>
      <w:r w:rsidR="00514A5C">
        <w:rPr>
          <w:rFonts w:ascii="Verdana" w:hAnsi="Verdana"/>
          <w:sz w:val="20"/>
          <w:szCs w:val="20"/>
          <w:lang w:val="es-CR"/>
        </w:rPr>
        <w:fldChar w:fldCharType="begin"/>
      </w:r>
      <w:r w:rsidR="00514A5C">
        <w:rPr>
          <w:rFonts w:ascii="Verdana" w:hAnsi="Verdana"/>
          <w:sz w:val="20"/>
          <w:szCs w:val="20"/>
          <w:lang w:val="es-CR"/>
        </w:rPr>
        <w:instrText xml:space="preserve"> REF _Ref26346394 \r \h </w:instrText>
      </w:r>
      <w:r w:rsidR="00514A5C">
        <w:rPr>
          <w:rFonts w:ascii="Verdana" w:hAnsi="Verdana"/>
          <w:sz w:val="20"/>
          <w:szCs w:val="20"/>
          <w:lang w:val="es-CR"/>
        </w:rPr>
      </w:r>
      <w:r w:rsidR="00514A5C">
        <w:rPr>
          <w:rFonts w:ascii="Verdana" w:hAnsi="Verdana"/>
          <w:sz w:val="20"/>
          <w:szCs w:val="20"/>
          <w:lang w:val="es-CR"/>
        </w:rPr>
        <w:fldChar w:fldCharType="separate"/>
      </w:r>
      <w:r w:rsidR="00462D62">
        <w:rPr>
          <w:rFonts w:ascii="Verdana" w:hAnsi="Verdana"/>
          <w:sz w:val="20"/>
          <w:szCs w:val="20"/>
          <w:lang w:val="es-CR"/>
        </w:rPr>
        <w:t>4</w:t>
      </w:r>
      <w:r w:rsidR="00514A5C">
        <w:rPr>
          <w:rFonts w:ascii="Verdana" w:hAnsi="Verdana"/>
          <w:sz w:val="20"/>
          <w:szCs w:val="20"/>
          <w:lang w:val="es-CR"/>
        </w:rPr>
        <w:fldChar w:fldCharType="end"/>
      </w:r>
      <w:r w:rsidR="00A61567">
        <w:rPr>
          <w:rFonts w:ascii="Verdana" w:hAnsi="Verdana"/>
          <w:sz w:val="20"/>
          <w:szCs w:val="20"/>
          <w:lang w:val="es-CR"/>
        </w:rPr>
        <w:t>)</w:t>
      </w:r>
      <w:r>
        <w:rPr>
          <w:rFonts w:ascii="Verdana" w:hAnsi="Verdana"/>
          <w:sz w:val="20"/>
          <w:szCs w:val="20"/>
          <w:lang w:val="es-CR"/>
        </w:rPr>
        <w:t>. Sin perjuicio de lo anterior, formularon algunas observaciones al respecto en relación a su estado de cumplimiento.</w:t>
      </w:r>
    </w:p>
    <w:p w14:paraId="70354DF4" w14:textId="77777777" w:rsidR="00054655" w:rsidRPr="00C92EA6" w:rsidRDefault="001E2FBE" w:rsidP="00054655">
      <w:pPr>
        <w:pStyle w:val="Prrafodelista"/>
        <w:numPr>
          <w:ilvl w:val="0"/>
          <w:numId w:val="2"/>
        </w:numPr>
        <w:spacing w:before="120" w:after="120" w:line="240" w:lineRule="auto"/>
        <w:ind w:left="0" w:firstLine="0"/>
        <w:contextualSpacing w:val="0"/>
        <w:jc w:val="both"/>
        <w:rPr>
          <w:rFonts w:ascii="Verdana" w:hAnsi="Verdana"/>
          <w:b/>
          <w:sz w:val="20"/>
          <w:szCs w:val="20"/>
          <w:lang w:val="es-CR"/>
        </w:rPr>
      </w:pPr>
      <w:r>
        <w:rPr>
          <w:rFonts w:ascii="Verdana" w:hAnsi="Verdana"/>
          <w:sz w:val="20"/>
          <w:szCs w:val="20"/>
          <w:lang w:val="es-CR"/>
        </w:rPr>
        <w:t xml:space="preserve">La </w:t>
      </w:r>
      <w:r w:rsidRPr="00223FB6">
        <w:rPr>
          <w:rFonts w:ascii="Verdana" w:hAnsi="Verdana"/>
          <w:i/>
          <w:sz w:val="20"/>
          <w:szCs w:val="20"/>
          <w:lang w:val="es-CR"/>
        </w:rPr>
        <w:t>Comisión Interamericana</w:t>
      </w:r>
      <w:r w:rsidR="008A7EF1">
        <w:rPr>
          <w:rFonts w:ascii="Verdana" w:hAnsi="Verdana"/>
          <w:i/>
          <w:sz w:val="20"/>
          <w:szCs w:val="20"/>
          <w:lang w:val="es-CR"/>
        </w:rPr>
        <w:t xml:space="preserve"> </w:t>
      </w:r>
      <w:r w:rsidR="008A7EF1">
        <w:rPr>
          <w:rFonts w:ascii="Verdana" w:hAnsi="Verdana"/>
          <w:sz w:val="20"/>
          <w:szCs w:val="20"/>
          <w:lang w:val="es-CR"/>
        </w:rPr>
        <w:t>observó</w:t>
      </w:r>
      <w:r w:rsidR="008A7EF1" w:rsidRPr="008A7EF1">
        <w:rPr>
          <w:rFonts w:ascii="Verdana" w:hAnsi="Verdana"/>
          <w:sz w:val="20"/>
          <w:szCs w:val="20"/>
          <w:lang w:val="es-CR"/>
        </w:rPr>
        <w:t xml:space="preserve"> que</w:t>
      </w:r>
      <w:r w:rsidR="008A7EF1">
        <w:rPr>
          <w:rFonts w:ascii="Verdana" w:hAnsi="Verdana"/>
          <w:i/>
          <w:sz w:val="20"/>
          <w:szCs w:val="20"/>
          <w:lang w:val="es-CR"/>
        </w:rPr>
        <w:t xml:space="preserve"> </w:t>
      </w:r>
      <w:r w:rsidR="008A7EF1" w:rsidRPr="008A7EF1">
        <w:rPr>
          <w:rFonts w:ascii="Verdana" w:hAnsi="Verdana"/>
          <w:sz w:val="20"/>
          <w:szCs w:val="20"/>
          <w:lang w:val="es-CR"/>
        </w:rPr>
        <w:t>de los informes presentados por el Estado “no resultan avances en el cumplimiento de la Sentencia”.</w:t>
      </w:r>
      <w:r w:rsidR="008A7EF1">
        <w:rPr>
          <w:rFonts w:ascii="Verdana" w:hAnsi="Verdana"/>
          <w:sz w:val="20"/>
          <w:szCs w:val="20"/>
          <w:lang w:val="es-CR"/>
        </w:rPr>
        <w:t xml:space="preserve"> Además, hizo notar que “la reunión [de abril de 2014] informada [por el Estado] se </w:t>
      </w:r>
      <w:proofErr w:type="spellStart"/>
      <w:r w:rsidR="008A7EF1">
        <w:rPr>
          <w:rFonts w:ascii="Verdana" w:hAnsi="Verdana"/>
          <w:sz w:val="20"/>
          <w:szCs w:val="20"/>
          <w:lang w:val="es-CR"/>
        </w:rPr>
        <w:t>produ</w:t>
      </w:r>
      <w:proofErr w:type="spellEnd"/>
      <w:r w:rsidR="008A7EF1">
        <w:rPr>
          <w:rFonts w:ascii="Verdana" w:hAnsi="Verdana"/>
          <w:sz w:val="20"/>
          <w:szCs w:val="20"/>
          <w:lang w:val="es-CR"/>
        </w:rPr>
        <w:t>[</w:t>
      </w:r>
      <w:proofErr w:type="spellStart"/>
      <w:r w:rsidR="008A7EF1">
        <w:rPr>
          <w:rFonts w:ascii="Verdana" w:hAnsi="Verdana"/>
          <w:sz w:val="20"/>
          <w:szCs w:val="20"/>
          <w:lang w:val="es-CR"/>
        </w:rPr>
        <w:t>jo</w:t>
      </w:r>
      <w:proofErr w:type="spellEnd"/>
      <w:r w:rsidR="008A7EF1">
        <w:rPr>
          <w:rFonts w:ascii="Verdana" w:hAnsi="Verdana"/>
          <w:sz w:val="20"/>
          <w:szCs w:val="20"/>
          <w:lang w:val="es-CR"/>
        </w:rPr>
        <w:t xml:space="preserve">] a más de dos años de emitida la Sentencia de la Corte, vencidos los plazos para el cumplimiento de tales medidas y </w:t>
      </w:r>
      <w:proofErr w:type="spellStart"/>
      <w:r w:rsidR="00A07372">
        <w:rPr>
          <w:rFonts w:ascii="Verdana" w:hAnsi="Verdana"/>
          <w:sz w:val="20"/>
          <w:szCs w:val="20"/>
          <w:lang w:val="es-CR"/>
        </w:rPr>
        <w:t>constitu</w:t>
      </w:r>
      <w:proofErr w:type="spellEnd"/>
      <w:r w:rsidR="00A07372">
        <w:rPr>
          <w:rFonts w:ascii="Verdana" w:hAnsi="Verdana"/>
          <w:sz w:val="20"/>
          <w:szCs w:val="20"/>
          <w:lang w:val="es-CR"/>
        </w:rPr>
        <w:t>[</w:t>
      </w:r>
      <w:proofErr w:type="spellStart"/>
      <w:r w:rsidR="00A07372">
        <w:rPr>
          <w:rFonts w:ascii="Verdana" w:hAnsi="Verdana"/>
          <w:sz w:val="20"/>
          <w:szCs w:val="20"/>
          <w:lang w:val="es-CR"/>
        </w:rPr>
        <w:t>ía</w:t>
      </w:r>
      <w:proofErr w:type="spellEnd"/>
      <w:r w:rsidR="00A07372">
        <w:rPr>
          <w:rFonts w:ascii="Verdana" w:hAnsi="Verdana"/>
          <w:sz w:val="20"/>
          <w:szCs w:val="20"/>
          <w:lang w:val="es-CR"/>
        </w:rPr>
        <w:t xml:space="preserve">] </w:t>
      </w:r>
      <w:r w:rsidR="008A7EF1">
        <w:rPr>
          <w:rFonts w:ascii="Verdana" w:hAnsi="Verdana"/>
          <w:sz w:val="20"/>
          <w:szCs w:val="20"/>
          <w:lang w:val="es-CR"/>
        </w:rPr>
        <w:t xml:space="preserve">apenas un paso inicial para el cumplimiento de algunas medidas de reparación”. También, </w:t>
      </w:r>
      <w:r w:rsidR="008A7EF1">
        <w:rPr>
          <w:rFonts w:ascii="Verdana" w:hAnsi="Verdana"/>
          <w:sz w:val="20"/>
          <w:szCs w:val="20"/>
          <w:lang w:val="es-CR"/>
        </w:rPr>
        <w:lastRenderedPageBreak/>
        <w:t>expresó su “preocupación” “[por]que el Estado ha omitido cumplir con su deber de informar sobre [otras] reparaciones” ordenadas en la Sentencia</w:t>
      </w:r>
      <w:r w:rsidR="00C92EA6">
        <w:rPr>
          <w:rFonts w:ascii="Verdana" w:hAnsi="Verdana"/>
          <w:sz w:val="20"/>
          <w:szCs w:val="20"/>
          <w:lang w:val="es-CR"/>
        </w:rPr>
        <w:t>.</w:t>
      </w:r>
    </w:p>
    <w:p w14:paraId="47FC886B" w14:textId="77777777" w:rsidR="009C5407" w:rsidRPr="004D0A88" w:rsidRDefault="004B25DE" w:rsidP="00054655">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9C5407">
        <w:rPr>
          <w:rFonts w:ascii="Verdana" w:hAnsi="Verdana"/>
          <w:sz w:val="20"/>
          <w:szCs w:val="20"/>
          <w:lang w:val="es-CR"/>
        </w:rPr>
        <w:t xml:space="preserve">La Corte </w:t>
      </w:r>
      <w:r w:rsidR="009C5407" w:rsidRPr="009C5407">
        <w:rPr>
          <w:rFonts w:ascii="Verdana" w:hAnsi="Verdana" w:cs="Arial"/>
          <w:sz w:val="20"/>
          <w:szCs w:val="20"/>
          <w:lang w:val="es-CR"/>
        </w:rPr>
        <w:t xml:space="preserve">considera que la información aportada por el Estado denota que ninguna de las </w:t>
      </w:r>
      <w:r w:rsidR="009C5407">
        <w:rPr>
          <w:rFonts w:ascii="Verdana" w:hAnsi="Verdana" w:cs="Arial"/>
          <w:sz w:val="20"/>
          <w:szCs w:val="20"/>
          <w:lang w:val="es-CR"/>
        </w:rPr>
        <w:t xml:space="preserve">seis </w:t>
      </w:r>
      <w:r w:rsidR="009C5407" w:rsidRPr="009C5407">
        <w:rPr>
          <w:rFonts w:ascii="Verdana" w:hAnsi="Verdana" w:cs="Arial"/>
          <w:sz w:val="20"/>
          <w:szCs w:val="20"/>
          <w:lang w:val="es-CR"/>
        </w:rPr>
        <w:t xml:space="preserve">medidas de reparación a las que ha hecho referencia </w:t>
      </w:r>
      <w:r w:rsidR="009C5407">
        <w:rPr>
          <w:rFonts w:ascii="Verdana" w:hAnsi="Verdana" w:cs="Arial"/>
          <w:sz w:val="20"/>
          <w:szCs w:val="20"/>
          <w:lang w:val="es-CR"/>
        </w:rPr>
        <w:t xml:space="preserve">en sus informes </w:t>
      </w:r>
      <w:r w:rsidR="009C5407" w:rsidRPr="009C5407">
        <w:rPr>
          <w:rFonts w:ascii="Verdana" w:hAnsi="Verdana" w:cs="Arial"/>
          <w:sz w:val="20"/>
          <w:szCs w:val="20"/>
          <w:lang w:val="es-CR"/>
        </w:rPr>
        <w:t>han sido cumplidas o muestran avances sustanciales en su cumplimiento</w:t>
      </w:r>
      <w:r w:rsidR="00DB3174">
        <w:rPr>
          <w:rFonts w:ascii="Verdana" w:hAnsi="Verdana" w:cs="Arial"/>
          <w:sz w:val="20"/>
          <w:szCs w:val="20"/>
          <w:lang w:val="es-CR"/>
        </w:rPr>
        <w:t>, con excepción de las medidas relativas a la publicación y difusión de la Sentencia y de su resumen oficial, respecto de las cuales el Estado no ha hecho referencia a las objeciones planteadas por los representantes (</w:t>
      </w:r>
      <w:r w:rsidR="00DB3174" w:rsidRPr="00D0573D">
        <w:rPr>
          <w:rFonts w:ascii="Verdana" w:hAnsi="Verdana" w:cs="Arial"/>
          <w:i/>
          <w:sz w:val="20"/>
          <w:szCs w:val="20"/>
          <w:lang w:val="es-CR"/>
        </w:rPr>
        <w:t>supra</w:t>
      </w:r>
      <w:r w:rsidR="00DB3174">
        <w:rPr>
          <w:rFonts w:ascii="Verdana" w:hAnsi="Verdana" w:cs="Arial"/>
          <w:sz w:val="20"/>
          <w:szCs w:val="20"/>
          <w:lang w:val="es-CR"/>
        </w:rPr>
        <w:t xml:space="preserve"> Considerando 7.b) o no ha aportado todos los comprobantes requeridos por el Presidente del Tribunal</w:t>
      </w:r>
      <w:r w:rsidR="009C5407" w:rsidRPr="009C5407">
        <w:rPr>
          <w:rFonts w:ascii="Verdana" w:hAnsi="Verdana" w:cs="Arial"/>
          <w:sz w:val="20"/>
          <w:szCs w:val="20"/>
          <w:lang w:val="es-CR"/>
        </w:rPr>
        <w:t xml:space="preserve">. </w:t>
      </w:r>
      <w:r w:rsidR="009C5407">
        <w:rPr>
          <w:rFonts w:ascii="Verdana" w:hAnsi="Verdana" w:cs="Arial"/>
          <w:sz w:val="20"/>
          <w:szCs w:val="20"/>
          <w:lang w:val="es-CR"/>
        </w:rPr>
        <w:t>Además, en los más de siete años que este caso lleva en etapa de supervisión de cumplimiento de sentencia, el Estado no ha presentado información alguna respecto de las otras tres medidas de reparación ordenadas en la Sentencia.</w:t>
      </w:r>
    </w:p>
    <w:p w14:paraId="3E0A5799" w14:textId="77777777" w:rsidR="004D0A88" w:rsidRPr="009C5407" w:rsidRDefault="004D0A88" w:rsidP="004D0A88">
      <w:pPr>
        <w:pStyle w:val="Prrafodelista"/>
        <w:spacing w:before="120" w:after="120" w:line="240" w:lineRule="auto"/>
        <w:ind w:left="0"/>
        <w:contextualSpacing w:val="0"/>
        <w:jc w:val="both"/>
        <w:rPr>
          <w:rFonts w:ascii="Verdana" w:hAnsi="Verdana"/>
          <w:sz w:val="20"/>
          <w:szCs w:val="20"/>
          <w:lang w:val="es-CR"/>
        </w:rPr>
      </w:pPr>
    </w:p>
    <w:p w14:paraId="2DCF638C" w14:textId="77777777" w:rsidR="00A61567" w:rsidRPr="00A61567" w:rsidRDefault="00A61567" w:rsidP="00A61567">
      <w:pPr>
        <w:pStyle w:val="Ttulo2"/>
        <w:numPr>
          <w:ilvl w:val="0"/>
          <w:numId w:val="4"/>
        </w:numPr>
        <w:rPr>
          <w:rFonts w:ascii="Verdana" w:hAnsi="Verdana"/>
          <w:b/>
          <w:i/>
          <w:color w:val="auto"/>
          <w:sz w:val="20"/>
          <w:szCs w:val="20"/>
          <w:lang w:val="es-CR"/>
        </w:rPr>
      </w:pPr>
      <w:r w:rsidRPr="00A61567">
        <w:rPr>
          <w:rFonts w:ascii="Verdana" w:hAnsi="Verdana"/>
          <w:b/>
          <w:i/>
          <w:color w:val="auto"/>
          <w:sz w:val="20"/>
          <w:szCs w:val="20"/>
          <w:lang w:val="es-CR"/>
        </w:rPr>
        <w:t>Omisión del Estado de presentar información respecto al cumplimiento de la Sentencia</w:t>
      </w:r>
    </w:p>
    <w:p w14:paraId="082AB8F8" w14:textId="77777777" w:rsidR="00B15B7F" w:rsidRPr="00186C5F" w:rsidRDefault="004D0A88"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3" w:name="_Ref26363871"/>
      <w:r w:rsidRPr="00186C5F">
        <w:rPr>
          <w:rFonts w:ascii="Verdana" w:hAnsi="Verdana"/>
          <w:sz w:val="20"/>
          <w:szCs w:val="20"/>
          <w:lang w:val="es-CR"/>
        </w:rPr>
        <w:t xml:space="preserve">Tal como ha sido indicado, a pesar de los requerimientos que han sido realizados a República Dominicana </w:t>
      </w:r>
      <w:r w:rsidR="005676B1" w:rsidRPr="00186C5F">
        <w:rPr>
          <w:rFonts w:ascii="Verdana" w:hAnsi="Verdana"/>
          <w:sz w:val="20"/>
          <w:szCs w:val="20"/>
          <w:lang w:val="es-CR"/>
        </w:rPr>
        <w:t>desde julio de 2014</w:t>
      </w:r>
      <w:r w:rsidRPr="00186C5F">
        <w:rPr>
          <w:rFonts w:ascii="Verdana" w:hAnsi="Verdana"/>
          <w:sz w:val="20"/>
          <w:szCs w:val="20"/>
          <w:lang w:val="es-CR"/>
        </w:rPr>
        <w:t xml:space="preserve">, es decir hace cinco años y cuatro meses, no remite información </w:t>
      </w:r>
      <w:r w:rsidR="00186C5F" w:rsidRPr="00186C5F">
        <w:rPr>
          <w:rFonts w:ascii="Verdana" w:hAnsi="Verdana"/>
          <w:sz w:val="20"/>
          <w:szCs w:val="20"/>
          <w:lang w:val="es-CR"/>
        </w:rPr>
        <w:t xml:space="preserve">sobre el cumplimiento </w:t>
      </w:r>
      <w:r w:rsidR="00D7781D" w:rsidRPr="00186C5F">
        <w:rPr>
          <w:rFonts w:ascii="Verdana" w:hAnsi="Verdana"/>
          <w:sz w:val="20"/>
          <w:szCs w:val="20"/>
          <w:lang w:val="es-CR"/>
        </w:rPr>
        <w:t xml:space="preserve">de las medidas ordenadas en </w:t>
      </w:r>
      <w:r w:rsidR="00186C5F">
        <w:rPr>
          <w:rFonts w:ascii="Verdana" w:hAnsi="Verdana"/>
          <w:sz w:val="20"/>
          <w:szCs w:val="20"/>
          <w:lang w:val="es-CR"/>
        </w:rPr>
        <w:t>la Sentencia del</w:t>
      </w:r>
      <w:r w:rsidR="00D7781D" w:rsidRPr="00186C5F">
        <w:rPr>
          <w:rFonts w:ascii="Verdana" w:hAnsi="Verdana"/>
          <w:sz w:val="20"/>
          <w:szCs w:val="20"/>
          <w:lang w:val="es-CR"/>
        </w:rPr>
        <w:t xml:space="preserve"> presente caso</w:t>
      </w:r>
      <w:r w:rsidR="00186C5F">
        <w:rPr>
          <w:rFonts w:ascii="Verdana" w:hAnsi="Verdana"/>
          <w:sz w:val="20"/>
          <w:szCs w:val="20"/>
          <w:lang w:val="es-CR"/>
        </w:rPr>
        <w:t xml:space="preserve"> (</w:t>
      </w:r>
      <w:r w:rsidR="00186C5F" w:rsidRPr="00186C5F">
        <w:rPr>
          <w:rFonts w:ascii="Verdana" w:hAnsi="Verdana"/>
          <w:i/>
          <w:sz w:val="20"/>
          <w:szCs w:val="20"/>
          <w:lang w:val="es-CR"/>
        </w:rPr>
        <w:t xml:space="preserve">supra </w:t>
      </w:r>
      <w:r w:rsidR="00DB3174" w:rsidRPr="00D0573D">
        <w:rPr>
          <w:rFonts w:ascii="Verdana" w:hAnsi="Verdana"/>
          <w:sz w:val="20"/>
          <w:szCs w:val="20"/>
          <w:lang w:val="es-CR"/>
        </w:rPr>
        <w:t>Vistos 7 y 8 y</w:t>
      </w:r>
      <w:r w:rsidR="00DB3174">
        <w:rPr>
          <w:rFonts w:ascii="Verdana" w:hAnsi="Verdana"/>
          <w:i/>
          <w:sz w:val="20"/>
          <w:szCs w:val="20"/>
          <w:lang w:val="es-CR"/>
        </w:rPr>
        <w:t xml:space="preserve"> </w:t>
      </w:r>
      <w:r w:rsidR="00186C5F">
        <w:rPr>
          <w:rFonts w:ascii="Verdana" w:hAnsi="Verdana"/>
          <w:sz w:val="20"/>
          <w:szCs w:val="20"/>
          <w:lang w:val="es-CR"/>
        </w:rPr>
        <w:t xml:space="preserve">Considerando </w:t>
      </w:r>
      <w:r w:rsidR="00DB3174">
        <w:rPr>
          <w:rFonts w:ascii="Verdana" w:hAnsi="Verdana"/>
          <w:sz w:val="20"/>
          <w:szCs w:val="20"/>
          <w:lang w:val="es-CR"/>
        </w:rPr>
        <w:t>2</w:t>
      </w:r>
      <w:r w:rsidR="00186C5F">
        <w:rPr>
          <w:rFonts w:ascii="Verdana" w:hAnsi="Verdana"/>
          <w:sz w:val="20"/>
          <w:szCs w:val="20"/>
          <w:lang w:val="es-CR"/>
        </w:rPr>
        <w:t>).</w:t>
      </w:r>
      <w:bookmarkEnd w:id="13"/>
      <w:r w:rsidR="00D7781D" w:rsidRPr="00186C5F">
        <w:rPr>
          <w:rFonts w:ascii="Verdana" w:hAnsi="Verdana"/>
          <w:sz w:val="20"/>
          <w:szCs w:val="20"/>
          <w:lang w:val="es-CR"/>
        </w:rPr>
        <w:t xml:space="preserve"> </w:t>
      </w:r>
    </w:p>
    <w:p w14:paraId="6A06C407" w14:textId="77777777" w:rsidR="005B06C6" w:rsidRDefault="005A0C5B"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4" w:name="_Ref26355392"/>
      <w:r>
        <w:rPr>
          <w:rFonts w:ascii="Verdana" w:hAnsi="Verdana"/>
          <w:sz w:val="20"/>
          <w:szCs w:val="20"/>
          <w:lang w:val="es-CR"/>
        </w:rPr>
        <w:t>De c</w:t>
      </w:r>
      <w:r w:rsidR="00D7781D" w:rsidRPr="00D7781D">
        <w:rPr>
          <w:rFonts w:ascii="Verdana" w:hAnsi="Verdana"/>
          <w:sz w:val="20"/>
          <w:szCs w:val="20"/>
          <w:lang w:val="es-CR"/>
        </w:rPr>
        <w:t>onform</w:t>
      </w:r>
      <w:r>
        <w:rPr>
          <w:rFonts w:ascii="Verdana" w:hAnsi="Verdana"/>
          <w:sz w:val="20"/>
          <w:szCs w:val="20"/>
          <w:lang w:val="es-CR"/>
        </w:rPr>
        <w:t>idad</w:t>
      </w:r>
      <w:r w:rsidR="00D7781D" w:rsidRPr="00D7781D">
        <w:rPr>
          <w:rFonts w:ascii="Verdana" w:hAnsi="Verdana"/>
          <w:sz w:val="20"/>
          <w:szCs w:val="20"/>
          <w:lang w:val="es-CR"/>
        </w:rPr>
        <w:t xml:space="preserve"> </w:t>
      </w:r>
      <w:r>
        <w:rPr>
          <w:rFonts w:ascii="Verdana" w:hAnsi="Verdana"/>
          <w:sz w:val="20"/>
          <w:szCs w:val="20"/>
          <w:lang w:val="es-CR"/>
        </w:rPr>
        <w:t>con</w:t>
      </w:r>
      <w:r w:rsidR="00D7781D" w:rsidRPr="00D7781D">
        <w:rPr>
          <w:rFonts w:ascii="Verdana" w:hAnsi="Verdana"/>
          <w:sz w:val="20"/>
          <w:szCs w:val="20"/>
          <w:lang w:val="es-CR"/>
        </w:rPr>
        <w:t xml:space="preserve"> lo </w:t>
      </w:r>
      <w:r>
        <w:rPr>
          <w:rFonts w:ascii="Verdana" w:hAnsi="Verdana"/>
          <w:sz w:val="20"/>
          <w:szCs w:val="20"/>
          <w:lang w:val="es-CR"/>
        </w:rPr>
        <w:t>establecido</w:t>
      </w:r>
      <w:r w:rsidR="00D7781D" w:rsidRPr="00D7781D">
        <w:rPr>
          <w:rFonts w:ascii="Verdana" w:hAnsi="Verdana"/>
          <w:sz w:val="20"/>
          <w:szCs w:val="20"/>
          <w:lang w:val="es-CR"/>
        </w:rPr>
        <w:t xml:space="preserve"> en el artículo 68.1 de la Convención Americana </w:t>
      </w:r>
      <w:r w:rsidR="00FB69B6">
        <w:rPr>
          <w:rFonts w:ascii="Verdana" w:hAnsi="Verdana"/>
          <w:sz w:val="20"/>
          <w:szCs w:val="20"/>
          <w:lang w:val="es-CR"/>
        </w:rPr>
        <w:t xml:space="preserve">sobre Derechos Humanos </w:t>
      </w:r>
      <w:r w:rsidR="00D7781D" w:rsidRPr="00D7781D">
        <w:rPr>
          <w:rFonts w:ascii="Verdana" w:hAnsi="Verdana"/>
          <w:sz w:val="20"/>
          <w:szCs w:val="20"/>
          <w:lang w:val="es-CR"/>
        </w:rPr>
        <w:t xml:space="preserve">y tal como ha indicado la Corte, “[l]os Estados Partes en la Convención se comprometen a cumplir la decisión de la Corte en todo caso en que sean partes”. Esta obligación incluye el deber del Estado de informar </w:t>
      </w:r>
      <w:r>
        <w:rPr>
          <w:rFonts w:ascii="Verdana" w:hAnsi="Verdana"/>
          <w:sz w:val="20"/>
          <w:szCs w:val="20"/>
          <w:lang w:val="es-CR"/>
        </w:rPr>
        <w:t xml:space="preserve">a la Corte </w:t>
      </w:r>
      <w:r w:rsidR="00D7781D" w:rsidRPr="00D7781D">
        <w:rPr>
          <w:rFonts w:ascii="Verdana" w:hAnsi="Verdana"/>
          <w:sz w:val="20"/>
          <w:szCs w:val="20"/>
          <w:lang w:val="es-CR"/>
        </w:rPr>
        <w:t>sobre las medidas adoptadas para cumplir cada uno de los puntos ordenados, lo cual es fundamental para evaluar el estado de cumplimiento de la Sentencia en su conjunto</w:t>
      </w:r>
      <w:r w:rsidR="00D7781D">
        <w:rPr>
          <w:rStyle w:val="Refdenotaalpie"/>
          <w:rFonts w:ascii="Verdana" w:hAnsi="Verdana"/>
          <w:sz w:val="20"/>
          <w:szCs w:val="20"/>
          <w:lang w:val="es-CR"/>
        </w:rPr>
        <w:footnoteReference w:id="10"/>
      </w:r>
      <w:r w:rsidR="00D7781D" w:rsidRPr="00D7781D">
        <w:rPr>
          <w:rFonts w:ascii="Verdana" w:hAnsi="Verdana"/>
          <w:sz w:val="20"/>
          <w:szCs w:val="20"/>
          <w:lang w:val="es-CR"/>
        </w:rPr>
        <w:t>.</w:t>
      </w:r>
      <w:r w:rsidR="00D7781D">
        <w:rPr>
          <w:rFonts w:ascii="Verdana" w:hAnsi="Verdana"/>
          <w:sz w:val="20"/>
          <w:szCs w:val="20"/>
          <w:lang w:val="es-CR"/>
        </w:rPr>
        <w:t xml:space="preserve"> </w:t>
      </w:r>
      <w:r w:rsidR="00D7781D" w:rsidRPr="00D7781D">
        <w:rPr>
          <w:rFonts w:ascii="Verdana" w:hAnsi="Verdana"/>
          <w:sz w:val="20"/>
          <w:szCs w:val="20"/>
          <w:lang w:val="es-CR"/>
        </w:rPr>
        <w:t xml:space="preserve">Al efecto, cabe tener presente, además, que, según el artículo 67 de la Convención Americana, “[e]l fallo de la Corte será definitivo e inapelable”, de manera que, una vez que este Tribunal dicta sentencia, ella produce los efectos de cosa juzgada </w:t>
      </w:r>
      <w:r>
        <w:rPr>
          <w:rFonts w:ascii="Verdana" w:hAnsi="Verdana"/>
          <w:sz w:val="20"/>
          <w:szCs w:val="20"/>
          <w:lang w:val="es-CR"/>
        </w:rPr>
        <w:t xml:space="preserve">internacional </w:t>
      </w:r>
      <w:r w:rsidR="00D7781D" w:rsidRPr="00D7781D">
        <w:rPr>
          <w:rFonts w:ascii="Verdana" w:hAnsi="Verdana"/>
          <w:sz w:val="20"/>
          <w:szCs w:val="20"/>
          <w:lang w:val="es-CR"/>
        </w:rPr>
        <w:t>y debe ser prontamente cumplida por el Estado en forma íntegra</w:t>
      </w:r>
      <w:bookmarkStart w:id="15" w:name="_Ref26354812"/>
      <w:r>
        <w:rPr>
          <w:rStyle w:val="Refdenotaalpie"/>
          <w:rFonts w:ascii="Verdana" w:hAnsi="Verdana"/>
          <w:sz w:val="20"/>
          <w:szCs w:val="20"/>
          <w:lang w:val="es-CR"/>
        </w:rPr>
        <w:footnoteReference w:id="11"/>
      </w:r>
      <w:bookmarkEnd w:id="15"/>
      <w:r w:rsidR="00D7781D" w:rsidRPr="00D7781D">
        <w:rPr>
          <w:rFonts w:ascii="Verdana" w:hAnsi="Verdana"/>
          <w:sz w:val="20"/>
          <w:szCs w:val="20"/>
          <w:lang w:val="es-CR"/>
        </w:rPr>
        <w:t>.</w:t>
      </w:r>
      <w:bookmarkEnd w:id="14"/>
    </w:p>
    <w:p w14:paraId="209B3AC1" w14:textId="77777777" w:rsidR="00D7781D" w:rsidRDefault="00D7781D"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5B06C6">
        <w:rPr>
          <w:rFonts w:ascii="Verdana" w:hAnsi="Verdana"/>
          <w:sz w:val="20"/>
          <w:szCs w:val="20"/>
          <w:lang w:val="es-CR"/>
        </w:rPr>
        <w:t>De modo, entonces, los Estados Partes de la Convención Americana tienen la obligación convencional de implementar tanto a nivel internacional como interno y de forma pronta e íntegra, lo dispuesto por el Tribunal en las Sentencias que a ellos conciernan, obligación que, como lo señala el derecho internacional consuetudinario y lo ha recordado la Corte, vincula a todos los poderes y órganos estatales</w:t>
      </w:r>
      <w:r>
        <w:rPr>
          <w:rStyle w:val="Refdenotaalpie"/>
          <w:rFonts w:ascii="Verdana" w:hAnsi="Verdana"/>
          <w:sz w:val="20"/>
          <w:szCs w:val="20"/>
          <w:lang w:val="es-CR"/>
        </w:rPr>
        <w:footnoteReference w:id="12"/>
      </w:r>
      <w:r w:rsidRPr="005B06C6">
        <w:rPr>
          <w:rFonts w:ascii="Verdana" w:hAnsi="Verdana"/>
          <w:sz w:val="20"/>
          <w:szCs w:val="20"/>
          <w:lang w:val="es-CR"/>
        </w:rPr>
        <w:t xml:space="preserve"> y, de no cumplirse, se incurre en un ilícito internacional. Al respecto, es menester añadir que siempre, según el derecho internacional consuetudinario y lo afirmado por la Corte, al producirse un hecho ilícito atribuible a un Estado, surge la responsabilidad internacional de éste por violación de una norma internacional, dándose así origen a una relación jurídica nueva que consiste en la </w:t>
      </w:r>
      <w:r w:rsidRPr="005B06C6">
        <w:rPr>
          <w:rFonts w:ascii="Verdana" w:hAnsi="Verdana"/>
          <w:sz w:val="20"/>
          <w:szCs w:val="20"/>
          <w:lang w:val="es-CR"/>
        </w:rPr>
        <w:lastRenderedPageBreak/>
        <w:t>obligación de reparar</w:t>
      </w:r>
      <w:bookmarkStart w:id="16" w:name="_Ref26354572"/>
      <w:r>
        <w:rPr>
          <w:rStyle w:val="Refdenotaalpie"/>
          <w:rFonts w:ascii="Verdana" w:hAnsi="Verdana"/>
          <w:sz w:val="20"/>
          <w:szCs w:val="20"/>
          <w:lang w:val="es-CR"/>
        </w:rPr>
        <w:footnoteReference w:id="13"/>
      </w:r>
      <w:bookmarkEnd w:id="16"/>
      <w:r w:rsidRPr="005B06C6">
        <w:rPr>
          <w:rFonts w:ascii="Verdana" w:hAnsi="Verdana"/>
          <w:sz w:val="20"/>
          <w:szCs w:val="20"/>
          <w:lang w:val="es-CR"/>
        </w:rPr>
        <w:t>. Tal como ha indicado la Corte</w:t>
      </w:r>
      <w:r>
        <w:rPr>
          <w:rStyle w:val="Refdenotaalpie"/>
          <w:rFonts w:ascii="Verdana" w:hAnsi="Verdana"/>
          <w:sz w:val="20"/>
          <w:szCs w:val="20"/>
          <w:lang w:val="es-CR"/>
        </w:rPr>
        <w:footnoteReference w:id="14"/>
      </w:r>
      <w:r w:rsidRPr="005B06C6">
        <w:rPr>
          <w:rFonts w:ascii="Verdana" w:hAnsi="Verdana"/>
          <w:sz w:val="20"/>
          <w:szCs w:val="20"/>
          <w:lang w:val="es-CR"/>
        </w:rPr>
        <w:t>, el artículo 63.1 de la Convención reproduce el texto de una norma consuetudinaria que constituye uno de los principios fundamentales del derecho de la responsabilidad internacional de los Estados</w:t>
      </w:r>
      <w:r>
        <w:rPr>
          <w:rStyle w:val="Refdenotaalpie"/>
          <w:rFonts w:ascii="Verdana" w:hAnsi="Verdana"/>
          <w:sz w:val="20"/>
          <w:szCs w:val="20"/>
          <w:lang w:val="es-CR"/>
        </w:rPr>
        <w:footnoteReference w:id="15"/>
      </w:r>
      <w:r w:rsidRPr="005B06C6">
        <w:rPr>
          <w:rFonts w:ascii="Verdana" w:hAnsi="Verdana"/>
          <w:sz w:val="20"/>
          <w:szCs w:val="20"/>
          <w:lang w:val="es-CR"/>
        </w:rPr>
        <w:t>. La falta de ejecución de las reparaciones en el ámbito interno implica la negación al derecho de acceso a la justicia internacional</w:t>
      </w:r>
      <w:r>
        <w:rPr>
          <w:rStyle w:val="Refdenotaalpie"/>
          <w:rFonts w:ascii="Verdana" w:hAnsi="Verdana"/>
          <w:sz w:val="20"/>
          <w:szCs w:val="20"/>
          <w:lang w:val="es-CR"/>
        </w:rPr>
        <w:footnoteReference w:id="16"/>
      </w:r>
      <w:r w:rsidRPr="005B06C6">
        <w:rPr>
          <w:rFonts w:ascii="Verdana" w:hAnsi="Verdana"/>
          <w:sz w:val="20"/>
          <w:szCs w:val="20"/>
          <w:lang w:val="es-CR"/>
        </w:rPr>
        <w:t>.</w:t>
      </w:r>
    </w:p>
    <w:p w14:paraId="7E29BB67" w14:textId="77777777" w:rsidR="00186C5F" w:rsidRPr="003C3AC4"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7" w:name="_Ref26359367"/>
      <w:r>
        <w:rPr>
          <w:rFonts w:ascii="Verdana" w:hAnsi="Verdana"/>
          <w:sz w:val="20"/>
          <w:szCs w:val="20"/>
          <w:lang w:val="es-CR"/>
        </w:rPr>
        <w:t xml:space="preserve">La falta de presentación del referido informe de cumplimiento en el presente caso, habiendo </w:t>
      </w:r>
      <w:r w:rsidRPr="003C3AC4">
        <w:rPr>
          <w:rFonts w:ascii="Verdana" w:hAnsi="Verdana"/>
          <w:sz w:val="20"/>
          <w:szCs w:val="20"/>
          <w:lang w:val="es-CR"/>
        </w:rPr>
        <w:t xml:space="preserve">transcurrido un prolongado tiempo desde </w:t>
      </w:r>
      <w:r>
        <w:rPr>
          <w:rFonts w:ascii="Verdana" w:hAnsi="Verdana"/>
          <w:sz w:val="20"/>
          <w:szCs w:val="20"/>
          <w:lang w:val="es-CR"/>
        </w:rPr>
        <w:t>la última ocasión en que informó a este Tribunal</w:t>
      </w:r>
      <w:r w:rsidRPr="003C3AC4">
        <w:rPr>
          <w:rFonts w:ascii="Verdana" w:hAnsi="Verdana"/>
          <w:sz w:val="20"/>
          <w:szCs w:val="20"/>
          <w:lang w:val="es-CR"/>
        </w:rPr>
        <w:t xml:space="preserve"> (</w:t>
      </w:r>
      <w:r w:rsidRPr="003C3AC4">
        <w:rPr>
          <w:rFonts w:ascii="Verdana" w:hAnsi="Verdana"/>
          <w:i/>
          <w:sz w:val="20"/>
          <w:szCs w:val="20"/>
          <w:lang w:val="es-CR"/>
        </w:rPr>
        <w:t xml:space="preserve">supra </w:t>
      </w:r>
      <w:r w:rsidRPr="003C3AC4">
        <w:rPr>
          <w:rFonts w:ascii="Verdana" w:hAnsi="Verdana"/>
          <w:sz w:val="20"/>
          <w:szCs w:val="20"/>
          <w:lang w:val="es-CR"/>
        </w:rPr>
        <w:t xml:space="preserve">Considerando </w:t>
      </w:r>
      <w:r w:rsidR="000D4216">
        <w:rPr>
          <w:rFonts w:ascii="Verdana" w:hAnsi="Verdana"/>
          <w:sz w:val="20"/>
          <w:szCs w:val="20"/>
          <w:lang w:val="es-CR"/>
        </w:rPr>
        <w:fldChar w:fldCharType="begin"/>
      </w:r>
      <w:r w:rsidR="000D4216">
        <w:rPr>
          <w:rFonts w:ascii="Verdana" w:hAnsi="Verdana"/>
          <w:sz w:val="20"/>
          <w:szCs w:val="20"/>
          <w:lang w:val="es-CR"/>
        </w:rPr>
        <w:instrText xml:space="preserve"> REF _Ref26351970 \r \h </w:instrText>
      </w:r>
      <w:r w:rsidR="000D4216">
        <w:rPr>
          <w:rFonts w:ascii="Verdana" w:hAnsi="Verdana"/>
          <w:sz w:val="20"/>
          <w:szCs w:val="20"/>
          <w:lang w:val="es-CR"/>
        </w:rPr>
      </w:r>
      <w:r w:rsidR="000D4216">
        <w:rPr>
          <w:rFonts w:ascii="Verdana" w:hAnsi="Verdana"/>
          <w:sz w:val="20"/>
          <w:szCs w:val="20"/>
          <w:lang w:val="es-CR"/>
        </w:rPr>
        <w:fldChar w:fldCharType="separate"/>
      </w:r>
      <w:r w:rsidR="00462D62">
        <w:rPr>
          <w:rFonts w:ascii="Verdana" w:hAnsi="Verdana"/>
          <w:sz w:val="20"/>
          <w:szCs w:val="20"/>
          <w:lang w:val="es-CR"/>
        </w:rPr>
        <w:t>3</w:t>
      </w:r>
      <w:r w:rsidR="000D4216">
        <w:rPr>
          <w:rFonts w:ascii="Verdana" w:hAnsi="Verdana"/>
          <w:sz w:val="20"/>
          <w:szCs w:val="20"/>
          <w:lang w:val="es-CR"/>
        </w:rPr>
        <w:fldChar w:fldCharType="end"/>
      </w:r>
      <w:r w:rsidRPr="003C3AC4">
        <w:rPr>
          <w:rFonts w:ascii="Verdana" w:hAnsi="Verdana"/>
          <w:sz w:val="20"/>
          <w:szCs w:val="20"/>
          <w:lang w:val="es-CR"/>
        </w:rPr>
        <w:t xml:space="preserve">), sumado a la falta de respuesta del Estado ante los múltiples requerimientos </w:t>
      </w:r>
      <w:r>
        <w:rPr>
          <w:rFonts w:ascii="Verdana" w:hAnsi="Verdana"/>
          <w:sz w:val="20"/>
          <w:szCs w:val="20"/>
          <w:lang w:val="es-CR"/>
        </w:rPr>
        <w:t>de</w:t>
      </w:r>
      <w:r w:rsidR="00A8326D">
        <w:rPr>
          <w:rFonts w:ascii="Verdana" w:hAnsi="Verdana"/>
          <w:sz w:val="20"/>
          <w:szCs w:val="20"/>
          <w:lang w:val="es-CR"/>
        </w:rPr>
        <w:t xml:space="preserve">l Pleno </w:t>
      </w:r>
      <w:r w:rsidR="00BA3885">
        <w:rPr>
          <w:rFonts w:ascii="Verdana" w:hAnsi="Verdana"/>
          <w:sz w:val="20"/>
          <w:szCs w:val="20"/>
          <w:lang w:val="es-CR"/>
        </w:rPr>
        <w:t>o de</w:t>
      </w:r>
      <w:r w:rsidRPr="003C3AC4">
        <w:rPr>
          <w:rFonts w:ascii="Verdana" w:hAnsi="Verdana"/>
          <w:sz w:val="20"/>
          <w:szCs w:val="20"/>
          <w:lang w:val="es-CR"/>
        </w:rPr>
        <w:t xml:space="preserve"> la Presidencia de la Corte (</w:t>
      </w:r>
      <w:r w:rsidRPr="003C3AC4">
        <w:rPr>
          <w:rFonts w:ascii="Verdana" w:hAnsi="Verdana"/>
          <w:i/>
          <w:sz w:val="20"/>
          <w:szCs w:val="20"/>
          <w:lang w:val="es-CR"/>
        </w:rPr>
        <w:t xml:space="preserve">supra </w:t>
      </w:r>
      <w:r w:rsidRPr="003C3AC4">
        <w:rPr>
          <w:rFonts w:ascii="Verdana" w:hAnsi="Verdana"/>
          <w:sz w:val="20"/>
          <w:szCs w:val="20"/>
          <w:lang w:val="es-CR"/>
        </w:rPr>
        <w:t xml:space="preserve">Vistos </w:t>
      </w:r>
      <w:r w:rsidR="00BA3885">
        <w:rPr>
          <w:rFonts w:ascii="Verdana" w:hAnsi="Verdana"/>
          <w:sz w:val="20"/>
          <w:szCs w:val="20"/>
          <w:lang w:val="es-CR"/>
        </w:rPr>
        <w:fldChar w:fldCharType="begin"/>
      </w:r>
      <w:r w:rsidR="00BA3885">
        <w:rPr>
          <w:rFonts w:ascii="Verdana" w:hAnsi="Verdana"/>
          <w:sz w:val="20"/>
          <w:szCs w:val="20"/>
          <w:lang w:val="es-CR"/>
        </w:rPr>
        <w:instrText xml:space="preserve"> REF _Ref26343141 \r \h </w:instrText>
      </w:r>
      <w:r w:rsidR="00BA3885">
        <w:rPr>
          <w:rFonts w:ascii="Verdana" w:hAnsi="Verdana"/>
          <w:sz w:val="20"/>
          <w:szCs w:val="20"/>
          <w:lang w:val="es-CR"/>
        </w:rPr>
      </w:r>
      <w:r w:rsidR="00BA3885">
        <w:rPr>
          <w:rFonts w:ascii="Verdana" w:hAnsi="Verdana"/>
          <w:sz w:val="20"/>
          <w:szCs w:val="20"/>
          <w:lang w:val="es-CR"/>
        </w:rPr>
        <w:fldChar w:fldCharType="separate"/>
      </w:r>
      <w:r w:rsidR="00462D62">
        <w:rPr>
          <w:rFonts w:ascii="Verdana" w:hAnsi="Verdana"/>
          <w:sz w:val="20"/>
          <w:szCs w:val="20"/>
          <w:lang w:val="es-CR"/>
        </w:rPr>
        <w:t>7</w:t>
      </w:r>
      <w:r w:rsidR="00BA3885">
        <w:rPr>
          <w:rFonts w:ascii="Verdana" w:hAnsi="Verdana"/>
          <w:sz w:val="20"/>
          <w:szCs w:val="20"/>
          <w:lang w:val="es-CR"/>
        </w:rPr>
        <w:fldChar w:fldCharType="end"/>
      </w:r>
      <w:r w:rsidRPr="003C3AC4">
        <w:rPr>
          <w:rFonts w:ascii="Verdana" w:hAnsi="Verdana"/>
          <w:sz w:val="20"/>
          <w:szCs w:val="20"/>
          <w:lang w:val="es-CR"/>
        </w:rPr>
        <w:t xml:space="preserve"> y </w:t>
      </w:r>
      <w:r w:rsidR="00BA3885">
        <w:rPr>
          <w:rFonts w:ascii="Verdana" w:hAnsi="Verdana"/>
          <w:sz w:val="20"/>
          <w:szCs w:val="20"/>
          <w:lang w:val="es-CR"/>
        </w:rPr>
        <w:fldChar w:fldCharType="begin"/>
      </w:r>
      <w:r w:rsidR="00BA3885">
        <w:rPr>
          <w:rFonts w:ascii="Verdana" w:hAnsi="Verdana"/>
          <w:sz w:val="20"/>
          <w:szCs w:val="20"/>
          <w:lang w:val="es-CR"/>
        </w:rPr>
        <w:instrText xml:space="preserve"> REF _Ref26343571 \r \h </w:instrText>
      </w:r>
      <w:r w:rsidR="00BA3885">
        <w:rPr>
          <w:rFonts w:ascii="Verdana" w:hAnsi="Verdana"/>
          <w:sz w:val="20"/>
          <w:szCs w:val="20"/>
          <w:lang w:val="es-CR"/>
        </w:rPr>
      </w:r>
      <w:r w:rsidR="00BA3885">
        <w:rPr>
          <w:rFonts w:ascii="Verdana" w:hAnsi="Verdana"/>
          <w:sz w:val="20"/>
          <w:szCs w:val="20"/>
          <w:lang w:val="es-CR"/>
        </w:rPr>
        <w:fldChar w:fldCharType="separate"/>
      </w:r>
      <w:r w:rsidR="00462D62">
        <w:rPr>
          <w:rFonts w:ascii="Verdana" w:hAnsi="Verdana"/>
          <w:sz w:val="20"/>
          <w:szCs w:val="20"/>
          <w:lang w:val="es-CR"/>
        </w:rPr>
        <w:t>8</w:t>
      </w:r>
      <w:r w:rsidR="00BA3885">
        <w:rPr>
          <w:rFonts w:ascii="Verdana" w:hAnsi="Verdana"/>
          <w:sz w:val="20"/>
          <w:szCs w:val="20"/>
          <w:lang w:val="es-CR"/>
        </w:rPr>
        <w:fldChar w:fldCharType="end"/>
      </w:r>
      <w:r w:rsidRPr="003C3AC4">
        <w:rPr>
          <w:rFonts w:ascii="Verdana" w:hAnsi="Verdana"/>
          <w:sz w:val="20"/>
          <w:szCs w:val="20"/>
          <w:lang w:val="es-CR"/>
        </w:rPr>
        <w:t>), configuran un incumplimiento de República Dominicana de la obligación de informar al Tribunal. La Corte reitera que la inactividad de un Estado ante una jurisdicción internacional de derechos humanos es contraria al objetivo, fin y espíritu de la Convención Americana</w:t>
      </w:r>
      <w:r>
        <w:rPr>
          <w:rStyle w:val="Refdenotaalpie"/>
          <w:rFonts w:ascii="Verdana" w:hAnsi="Verdana"/>
          <w:sz w:val="20"/>
          <w:szCs w:val="20"/>
          <w:lang w:val="es-CR"/>
        </w:rPr>
        <w:footnoteReference w:id="17"/>
      </w:r>
      <w:r w:rsidRPr="003C3AC4">
        <w:rPr>
          <w:rFonts w:ascii="Verdana" w:hAnsi="Verdana"/>
          <w:sz w:val="20"/>
          <w:szCs w:val="20"/>
          <w:lang w:val="es-CR"/>
        </w:rPr>
        <w:t>.</w:t>
      </w:r>
      <w:bookmarkEnd w:id="17"/>
      <w:r w:rsidRPr="003C3AC4">
        <w:rPr>
          <w:rFonts w:ascii="Verdana" w:hAnsi="Verdana"/>
          <w:sz w:val="20"/>
          <w:szCs w:val="20"/>
          <w:lang w:val="es-CR"/>
        </w:rPr>
        <w:t xml:space="preserve"> </w:t>
      </w:r>
    </w:p>
    <w:p w14:paraId="22074E96" w14:textId="77777777" w:rsidR="00186C5F"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Pr>
          <w:rFonts w:ascii="Verdana" w:hAnsi="Verdana"/>
          <w:sz w:val="20"/>
          <w:szCs w:val="20"/>
          <w:lang w:val="es-CR"/>
        </w:rPr>
        <w:t>En ese sentido, en la etapa de supervisión de cumplimiento de Sentencia de otros casos</w:t>
      </w:r>
      <w:r>
        <w:rPr>
          <w:rStyle w:val="Refdenotaalpie"/>
          <w:rFonts w:ascii="Verdana" w:hAnsi="Verdana"/>
          <w:sz w:val="20"/>
          <w:szCs w:val="20"/>
          <w:lang w:val="es-CR"/>
        </w:rPr>
        <w:footnoteReference w:id="18"/>
      </w:r>
      <w:r>
        <w:rPr>
          <w:rFonts w:ascii="Verdana" w:hAnsi="Verdana"/>
          <w:sz w:val="20"/>
          <w:szCs w:val="20"/>
          <w:lang w:val="es-CR"/>
        </w:rPr>
        <w:t>, la Corte ha establecido que la falta del Estado a su deber de informar constituye un incumplimiento de las obligaciones convencionales establecidas en los artículos 67 y 68.1 de la Convención Americana (</w:t>
      </w:r>
      <w:r>
        <w:rPr>
          <w:rFonts w:ascii="Verdana" w:hAnsi="Verdana"/>
          <w:i/>
          <w:sz w:val="20"/>
          <w:szCs w:val="20"/>
          <w:lang w:val="es-CR"/>
        </w:rPr>
        <w:t xml:space="preserve">supra </w:t>
      </w:r>
      <w:r>
        <w:rPr>
          <w:rFonts w:ascii="Verdana" w:hAnsi="Verdana"/>
          <w:sz w:val="20"/>
          <w:szCs w:val="20"/>
          <w:lang w:val="es-CR"/>
        </w:rPr>
        <w:t xml:space="preserve">Considerando </w:t>
      </w:r>
      <w:r w:rsidR="00BA3885">
        <w:rPr>
          <w:rFonts w:ascii="Verdana" w:hAnsi="Verdana"/>
          <w:sz w:val="20"/>
          <w:szCs w:val="20"/>
          <w:lang w:val="es-CR"/>
        </w:rPr>
        <w:fldChar w:fldCharType="begin"/>
      </w:r>
      <w:r w:rsidR="00BA3885">
        <w:rPr>
          <w:rFonts w:ascii="Verdana" w:hAnsi="Verdana"/>
          <w:sz w:val="20"/>
          <w:szCs w:val="20"/>
          <w:lang w:val="es-CR"/>
        </w:rPr>
        <w:instrText xml:space="preserve"> REF _Ref26355392 \r \h </w:instrText>
      </w:r>
      <w:r w:rsidR="00BA3885">
        <w:rPr>
          <w:rFonts w:ascii="Verdana" w:hAnsi="Verdana"/>
          <w:sz w:val="20"/>
          <w:szCs w:val="20"/>
          <w:lang w:val="es-CR"/>
        </w:rPr>
      </w:r>
      <w:r w:rsidR="00BA3885">
        <w:rPr>
          <w:rFonts w:ascii="Verdana" w:hAnsi="Verdana"/>
          <w:sz w:val="20"/>
          <w:szCs w:val="20"/>
          <w:lang w:val="es-CR"/>
        </w:rPr>
        <w:fldChar w:fldCharType="separate"/>
      </w:r>
      <w:r w:rsidR="00462D62">
        <w:rPr>
          <w:rFonts w:ascii="Verdana" w:hAnsi="Verdana"/>
          <w:sz w:val="20"/>
          <w:szCs w:val="20"/>
          <w:lang w:val="es-CR"/>
        </w:rPr>
        <w:t>12</w:t>
      </w:r>
      <w:r w:rsidR="00BA3885">
        <w:rPr>
          <w:rFonts w:ascii="Verdana" w:hAnsi="Verdana"/>
          <w:sz w:val="20"/>
          <w:szCs w:val="20"/>
          <w:lang w:val="es-CR"/>
        </w:rPr>
        <w:fldChar w:fldCharType="end"/>
      </w:r>
      <w:r>
        <w:rPr>
          <w:rFonts w:ascii="Verdana" w:hAnsi="Verdana"/>
          <w:sz w:val="20"/>
          <w:szCs w:val="20"/>
          <w:lang w:val="es-CR"/>
        </w:rPr>
        <w:t xml:space="preserve">). </w:t>
      </w:r>
    </w:p>
    <w:p w14:paraId="0D5EA730" w14:textId="77777777" w:rsidR="00186C5F"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8D51AB">
        <w:rPr>
          <w:rFonts w:ascii="Verdana" w:hAnsi="Verdana"/>
          <w:sz w:val="20"/>
          <w:szCs w:val="20"/>
          <w:lang w:val="es-CR"/>
        </w:rPr>
        <w:t xml:space="preserve">Una constatación como la anterior fue realizada </w:t>
      </w:r>
      <w:r>
        <w:rPr>
          <w:rFonts w:ascii="Verdana" w:hAnsi="Verdana"/>
          <w:sz w:val="20"/>
          <w:szCs w:val="20"/>
          <w:lang w:val="es-CR"/>
        </w:rPr>
        <w:t xml:space="preserve">recientemente </w:t>
      </w:r>
      <w:r w:rsidRPr="008D51AB">
        <w:rPr>
          <w:rFonts w:ascii="Verdana" w:hAnsi="Verdana"/>
          <w:sz w:val="20"/>
          <w:szCs w:val="20"/>
          <w:lang w:val="es-CR"/>
        </w:rPr>
        <w:t xml:space="preserve">también </w:t>
      </w:r>
      <w:r>
        <w:rPr>
          <w:rFonts w:ascii="Verdana" w:hAnsi="Verdana"/>
          <w:sz w:val="20"/>
          <w:szCs w:val="20"/>
          <w:lang w:val="es-CR"/>
        </w:rPr>
        <w:t>para otros dos casos contra República Dominicana que se encuentran en etapa de supervisión de cumplimiento. E</w:t>
      </w:r>
      <w:r w:rsidRPr="008D51AB">
        <w:rPr>
          <w:rFonts w:ascii="Verdana" w:hAnsi="Verdana"/>
          <w:sz w:val="20"/>
          <w:szCs w:val="20"/>
          <w:lang w:val="es-CR"/>
        </w:rPr>
        <w:t xml:space="preserve">n la Resolución emitida en marzo de 2019 conjuntamente para el </w:t>
      </w:r>
      <w:r w:rsidRPr="008D51AB">
        <w:rPr>
          <w:rFonts w:ascii="Verdana" w:hAnsi="Verdana"/>
          <w:i/>
          <w:sz w:val="20"/>
          <w:szCs w:val="20"/>
          <w:lang w:val="es-CR"/>
        </w:rPr>
        <w:t>caso de las Niñas Yean y Bosico</w:t>
      </w:r>
      <w:r w:rsidRPr="008D51AB">
        <w:rPr>
          <w:rFonts w:ascii="Verdana" w:hAnsi="Verdana"/>
          <w:sz w:val="20"/>
          <w:szCs w:val="20"/>
          <w:lang w:val="es-CR"/>
        </w:rPr>
        <w:t xml:space="preserve"> y el </w:t>
      </w:r>
      <w:r w:rsidRPr="008D51AB">
        <w:rPr>
          <w:rFonts w:ascii="Verdana" w:hAnsi="Verdana"/>
          <w:i/>
          <w:sz w:val="20"/>
          <w:szCs w:val="20"/>
          <w:lang w:val="es-CR"/>
        </w:rPr>
        <w:t>caso de Personas Dominicanas y Haitianas expulsadas</w:t>
      </w:r>
      <w:r w:rsidRPr="008D51AB">
        <w:rPr>
          <w:rFonts w:ascii="Verdana" w:hAnsi="Verdana"/>
          <w:sz w:val="20"/>
          <w:szCs w:val="20"/>
          <w:lang w:val="es-CR"/>
        </w:rPr>
        <w:t>, se declaró que dicho Estado ha incumplido con su</w:t>
      </w:r>
      <w:r>
        <w:rPr>
          <w:rFonts w:ascii="Verdana" w:hAnsi="Verdana"/>
          <w:sz w:val="20"/>
          <w:szCs w:val="20"/>
          <w:lang w:val="es-CR"/>
        </w:rPr>
        <w:t>s</w:t>
      </w:r>
      <w:r w:rsidRPr="008D51AB">
        <w:rPr>
          <w:rFonts w:ascii="Verdana" w:hAnsi="Verdana"/>
          <w:sz w:val="20"/>
          <w:szCs w:val="20"/>
          <w:lang w:val="es-CR"/>
        </w:rPr>
        <w:t xml:space="preserve"> obligaci</w:t>
      </w:r>
      <w:r>
        <w:rPr>
          <w:rFonts w:ascii="Verdana" w:hAnsi="Verdana"/>
          <w:sz w:val="20"/>
          <w:szCs w:val="20"/>
          <w:lang w:val="es-CR"/>
        </w:rPr>
        <w:t>o</w:t>
      </w:r>
      <w:r w:rsidRPr="008D51AB">
        <w:rPr>
          <w:rFonts w:ascii="Verdana" w:hAnsi="Verdana"/>
          <w:sz w:val="20"/>
          <w:szCs w:val="20"/>
          <w:lang w:val="es-CR"/>
        </w:rPr>
        <w:t>n</w:t>
      </w:r>
      <w:r>
        <w:rPr>
          <w:rFonts w:ascii="Verdana" w:hAnsi="Verdana"/>
          <w:sz w:val="20"/>
          <w:szCs w:val="20"/>
          <w:lang w:val="es-CR"/>
        </w:rPr>
        <w:t>es</w:t>
      </w:r>
      <w:r w:rsidRPr="008D51AB">
        <w:rPr>
          <w:rFonts w:ascii="Verdana" w:hAnsi="Verdana"/>
          <w:sz w:val="20"/>
          <w:szCs w:val="20"/>
          <w:lang w:val="es-CR"/>
        </w:rPr>
        <w:t xml:space="preserve"> de informar a esta Corte sobre las medidas adoptadas para dar cumplimiento a las reparaciones pendientes en ambos casos y </w:t>
      </w:r>
      <w:r>
        <w:rPr>
          <w:rFonts w:ascii="Verdana" w:hAnsi="Verdana"/>
          <w:sz w:val="20"/>
          <w:szCs w:val="20"/>
          <w:lang w:val="es-CR"/>
        </w:rPr>
        <w:t xml:space="preserve">con su obligación </w:t>
      </w:r>
      <w:r w:rsidRPr="008D51AB">
        <w:rPr>
          <w:rFonts w:ascii="Verdana" w:hAnsi="Verdana"/>
          <w:sz w:val="20"/>
          <w:szCs w:val="20"/>
          <w:lang w:val="es-CR"/>
        </w:rPr>
        <w:t xml:space="preserve">de </w:t>
      </w:r>
      <w:r>
        <w:rPr>
          <w:rFonts w:ascii="Verdana" w:hAnsi="Verdana"/>
          <w:sz w:val="20"/>
          <w:szCs w:val="20"/>
          <w:lang w:val="es-CR"/>
        </w:rPr>
        <w:t>ejecutar tales</w:t>
      </w:r>
      <w:r w:rsidRPr="008D51AB">
        <w:rPr>
          <w:rFonts w:ascii="Verdana" w:hAnsi="Verdana"/>
          <w:sz w:val="20"/>
          <w:szCs w:val="20"/>
          <w:lang w:val="es-CR"/>
        </w:rPr>
        <w:t xml:space="preserve"> medidas</w:t>
      </w:r>
      <w:r w:rsidRPr="008D51AB">
        <w:rPr>
          <w:rStyle w:val="Refdenotaalpie"/>
          <w:rFonts w:ascii="Verdana" w:hAnsi="Verdana"/>
          <w:sz w:val="20"/>
          <w:szCs w:val="20"/>
          <w:lang w:val="es-CR"/>
        </w:rPr>
        <w:footnoteReference w:id="19"/>
      </w:r>
      <w:r w:rsidRPr="008D51AB">
        <w:rPr>
          <w:rFonts w:ascii="Verdana" w:hAnsi="Verdana"/>
          <w:sz w:val="20"/>
          <w:szCs w:val="20"/>
          <w:lang w:val="es-CR"/>
        </w:rPr>
        <w:t xml:space="preserve">. </w:t>
      </w:r>
    </w:p>
    <w:p w14:paraId="034095FD" w14:textId="77777777" w:rsidR="00186C5F" w:rsidRPr="00422F3B"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8D51AB">
        <w:rPr>
          <w:rFonts w:ascii="Verdana" w:hAnsi="Verdana"/>
          <w:sz w:val="20"/>
          <w:szCs w:val="20"/>
          <w:lang w:val="es-CR"/>
        </w:rPr>
        <w:t xml:space="preserve">Adicionalmente, en </w:t>
      </w:r>
      <w:r>
        <w:rPr>
          <w:rFonts w:ascii="Verdana" w:hAnsi="Verdana"/>
          <w:sz w:val="20"/>
          <w:szCs w:val="20"/>
          <w:lang w:val="es-CR"/>
        </w:rPr>
        <w:t>dicha</w:t>
      </w:r>
      <w:r w:rsidRPr="008D51AB">
        <w:rPr>
          <w:rFonts w:ascii="Verdana" w:hAnsi="Verdana"/>
          <w:sz w:val="20"/>
          <w:szCs w:val="20"/>
          <w:lang w:val="es-CR"/>
        </w:rPr>
        <w:t xml:space="preserve"> Resolución se hizo notar que “[l]os incumplimientos […] del deber de informar y de la obligación de ejecutar las medidas pendientes dispuestas por la Corte en estos dos casos, resultan particularmente graves porque parecieran ser una posición de desacato de República Dominicana a la obligatoriedad de las Sentencias de esta Corte, </w:t>
      </w:r>
      <w:r w:rsidRPr="003217E0">
        <w:rPr>
          <w:rFonts w:ascii="Verdana" w:hAnsi="Verdana"/>
          <w:sz w:val="20"/>
          <w:szCs w:val="20"/>
          <w:lang w:val="es-CR"/>
        </w:rPr>
        <w:t>fundamentalmente a partir del año 2014, puesto que la omisión de informar coincide cronológicamente con la emisión de la sentencia del Tribunal Constitucional de República Dominicana TC-256-14 que declaró la inconstitucionalidad del instrumento de aceptación de competencia de este tribunal internacional”</w:t>
      </w:r>
      <w:r w:rsidRPr="003217E0">
        <w:rPr>
          <w:rStyle w:val="Refdenotaalpie"/>
          <w:rFonts w:ascii="Verdana" w:hAnsi="Verdana"/>
          <w:sz w:val="20"/>
          <w:szCs w:val="20"/>
          <w:lang w:val="es-CR"/>
        </w:rPr>
        <w:footnoteReference w:id="20"/>
      </w:r>
      <w:r w:rsidRPr="003217E0">
        <w:rPr>
          <w:rFonts w:ascii="Verdana" w:hAnsi="Verdana"/>
          <w:sz w:val="20"/>
          <w:szCs w:val="20"/>
          <w:lang w:val="es-CR"/>
        </w:rPr>
        <w:t xml:space="preserve">. Al respecto, este Tribunal resolvió que la referida decisión judicial “no genera efectos jurídicos en el derecho internacional, así como </w:t>
      </w:r>
      <w:r w:rsidRPr="00422F3B">
        <w:rPr>
          <w:rFonts w:ascii="Verdana" w:hAnsi="Verdana"/>
          <w:sz w:val="20"/>
          <w:szCs w:val="20"/>
          <w:lang w:val="es-CR"/>
        </w:rPr>
        <w:lastRenderedPageBreak/>
        <w:t>cualquier consecuencia que se derive de ella”</w:t>
      </w:r>
      <w:r w:rsidRPr="00422F3B">
        <w:rPr>
          <w:rStyle w:val="Refdenotaalpie"/>
          <w:rFonts w:ascii="Verdana" w:hAnsi="Verdana"/>
          <w:sz w:val="20"/>
          <w:szCs w:val="20"/>
          <w:lang w:val="es-CR"/>
        </w:rPr>
        <w:footnoteReference w:id="21"/>
      </w:r>
      <w:r>
        <w:rPr>
          <w:rFonts w:ascii="Verdana" w:hAnsi="Verdana"/>
          <w:sz w:val="20"/>
          <w:szCs w:val="20"/>
          <w:lang w:val="es-CR"/>
        </w:rPr>
        <w:t>,</w:t>
      </w:r>
      <w:r w:rsidRPr="00422F3B">
        <w:rPr>
          <w:rFonts w:ascii="Verdana" w:hAnsi="Verdana"/>
          <w:sz w:val="20"/>
          <w:szCs w:val="20"/>
          <w:lang w:val="es-CR"/>
        </w:rPr>
        <w:t xml:space="preserve"> y que “[e]</w:t>
      </w:r>
      <w:proofErr w:type="spellStart"/>
      <w:r w:rsidRPr="00422F3B">
        <w:rPr>
          <w:rFonts w:ascii="Verdana" w:hAnsi="Verdana"/>
          <w:sz w:val="20"/>
          <w:szCs w:val="20"/>
          <w:lang w:val="es-CR"/>
        </w:rPr>
        <w:t>ste</w:t>
      </w:r>
      <w:proofErr w:type="spellEnd"/>
      <w:r w:rsidRPr="00422F3B">
        <w:rPr>
          <w:rFonts w:ascii="Verdana" w:hAnsi="Verdana"/>
          <w:sz w:val="20"/>
          <w:szCs w:val="20"/>
          <w:lang w:val="es-CR"/>
        </w:rPr>
        <w:t xml:space="preserve"> Tribunal mantiene su competencia contenciosa sobre República Dominicana, de conformidad con el artículo 62 de la Convención Americana, y su facultad jurisdiccional de supervisar el cumplimiento de sus decisiones”</w:t>
      </w:r>
      <w:r w:rsidRPr="00422F3B">
        <w:rPr>
          <w:rStyle w:val="Refdenotaalpie"/>
          <w:rFonts w:ascii="Verdana" w:hAnsi="Verdana"/>
          <w:sz w:val="20"/>
          <w:szCs w:val="20"/>
          <w:lang w:val="es-CR"/>
        </w:rPr>
        <w:footnoteReference w:id="22"/>
      </w:r>
      <w:r w:rsidRPr="00422F3B">
        <w:rPr>
          <w:rFonts w:ascii="Verdana" w:hAnsi="Verdana"/>
          <w:sz w:val="20"/>
          <w:szCs w:val="20"/>
          <w:lang w:val="es-CR"/>
        </w:rPr>
        <w:t>.</w:t>
      </w:r>
    </w:p>
    <w:p w14:paraId="5FC6AB34" w14:textId="77777777" w:rsidR="00186C5F" w:rsidRPr="00422F3B"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En el presente caso, además del referido incumplimiento del deber de informar (</w:t>
      </w:r>
      <w:r w:rsidRPr="00FC0B3E">
        <w:rPr>
          <w:rFonts w:ascii="Verdana" w:hAnsi="Verdana"/>
          <w:i/>
          <w:sz w:val="20"/>
          <w:szCs w:val="20"/>
          <w:lang w:val="es-CR"/>
        </w:rPr>
        <w:t>supra</w:t>
      </w:r>
      <w:r w:rsidRPr="00422F3B">
        <w:rPr>
          <w:rFonts w:ascii="Verdana" w:hAnsi="Verdana"/>
          <w:sz w:val="20"/>
          <w:szCs w:val="20"/>
          <w:lang w:val="es-CR"/>
        </w:rPr>
        <w:t xml:space="preserve"> Considerando </w:t>
      </w:r>
      <w:r w:rsidR="009A2840">
        <w:rPr>
          <w:rFonts w:ascii="Verdana" w:hAnsi="Verdana"/>
          <w:sz w:val="20"/>
          <w:szCs w:val="20"/>
          <w:lang w:val="es-CR"/>
        </w:rPr>
        <w:fldChar w:fldCharType="begin"/>
      </w:r>
      <w:r w:rsidR="009A2840">
        <w:rPr>
          <w:rFonts w:ascii="Verdana" w:hAnsi="Verdana"/>
          <w:sz w:val="20"/>
          <w:szCs w:val="20"/>
          <w:lang w:val="es-CR"/>
        </w:rPr>
        <w:instrText xml:space="preserve"> REF _Ref26359367 \r \h </w:instrText>
      </w:r>
      <w:r w:rsidR="009A2840">
        <w:rPr>
          <w:rFonts w:ascii="Verdana" w:hAnsi="Verdana"/>
          <w:sz w:val="20"/>
          <w:szCs w:val="20"/>
          <w:lang w:val="es-CR"/>
        </w:rPr>
      </w:r>
      <w:r w:rsidR="009A2840">
        <w:rPr>
          <w:rFonts w:ascii="Verdana" w:hAnsi="Verdana"/>
          <w:sz w:val="20"/>
          <w:szCs w:val="20"/>
          <w:lang w:val="es-CR"/>
        </w:rPr>
        <w:fldChar w:fldCharType="separate"/>
      </w:r>
      <w:r w:rsidR="00462D62">
        <w:rPr>
          <w:rFonts w:ascii="Verdana" w:hAnsi="Verdana"/>
          <w:sz w:val="20"/>
          <w:szCs w:val="20"/>
          <w:lang w:val="es-CR"/>
        </w:rPr>
        <w:t>14</w:t>
      </w:r>
      <w:r w:rsidR="009A2840">
        <w:rPr>
          <w:rFonts w:ascii="Verdana" w:hAnsi="Verdana"/>
          <w:sz w:val="20"/>
          <w:szCs w:val="20"/>
          <w:lang w:val="es-CR"/>
        </w:rPr>
        <w:fldChar w:fldCharType="end"/>
      </w:r>
      <w:r w:rsidRPr="00422F3B">
        <w:rPr>
          <w:rFonts w:ascii="Verdana" w:hAnsi="Verdana"/>
          <w:sz w:val="20"/>
          <w:szCs w:val="20"/>
          <w:lang w:val="es-CR"/>
        </w:rPr>
        <w:t xml:space="preserve">), </w:t>
      </w:r>
      <w:r>
        <w:rPr>
          <w:rFonts w:ascii="Verdana" w:hAnsi="Verdana"/>
          <w:sz w:val="20"/>
          <w:szCs w:val="20"/>
          <w:lang w:val="es-CR"/>
        </w:rPr>
        <w:t xml:space="preserve">los informes presentados por el Estado y las observaciones presentadas por los </w:t>
      </w:r>
      <w:r w:rsidRPr="00422F3B">
        <w:rPr>
          <w:rFonts w:ascii="Verdana" w:hAnsi="Verdana"/>
          <w:i/>
          <w:sz w:val="20"/>
          <w:szCs w:val="20"/>
          <w:lang w:val="es-CR"/>
        </w:rPr>
        <w:t>representantes de las víctimas</w:t>
      </w:r>
      <w:r w:rsidRPr="00422F3B">
        <w:rPr>
          <w:rFonts w:ascii="Verdana" w:hAnsi="Verdana"/>
          <w:sz w:val="20"/>
          <w:szCs w:val="20"/>
          <w:lang w:val="es-CR"/>
        </w:rPr>
        <w:t xml:space="preserve"> </w:t>
      </w:r>
      <w:r>
        <w:rPr>
          <w:rFonts w:ascii="Verdana" w:hAnsi="Verdana"/>
          <w:sz w:val="20"/>
          <w:szCs w:val="20"/>
          <w:lang w:val="es-CR"/>
        </w:rPr>
        <w:t>denotan que no hay avances en el cumplimiento de las medidas de reparación</w:t>
      </w:r>
      <w:r w:rsidRPr="00422F3B">
        <w:rPr>
          <w:rFonts w:ascii="Verdana" w:hAnsi="Verdana"/>
          <w:sz w:val="20"/>
          <w:szCs w:val="20"/>
          <w:lang w:val="es-CR"/>
        </w:rPr>
        <w:t xml:space="preserve"> (</w:t>
      </w:r>
      <w:r w:rsidRPr="00422F3B">
        <w:rPr>
          <w:rFonts w:ascii="Verdana" w:hAnsi="Verdana"/>
          <w:i/>
          <w:sz w:val="20"/>
          <w:szCs w:val="20"/>
          <w:lang w:val="es-CR"/>
        </w:rPr>
        <w:t>supra</w:t>
      </w:r>
      <w:r w:rsidRPr="00422F3B">
        <w:rPr>
          <w:rFonts w:ascii="Verdana" w:hAnsi="Verdana"/>
          <w:sz w:val="20"/>
          <w:szCs w:val="20"/>
          <w:lang w:val="es-CR"/>
        </w:rPr>
        <w:t xml:space="preserve"> </w:t>
      </w:r>
      <w:r>
        <w:rPr>
          <w:rFonts w:ascii="Verdana" w:hAnsi="Verdana"/>
          <w:sz w:val="20"/>
          <w:szCs w:val="20"/>
          <w:lang w:val="es-CR"/>
        </w:rPr>
        <w:t>Considerando</w:t>
      </w:r>
      <w:r w:rsidRPr="00422F3B">
        <w:rPr>
          <w:rFonts w:ascii="Verdana" w:hAnsi="Verdana"/>
          <w:sz w:val="20"/>
          <w:szCs w:val="20"/>
          <w:lang w:val="es-CR"/>
        </w:rPr>
        <w:t xml:space="preserve"> </w:t>
      </w:r>
      <w:r w:rsidR="009A2840">
        <w:rPr>
          <w:rFonts w:ascii="Verdana" w:hAnsi="Verdana"/>
          <w:sz w:val="20"/>
          <w:szCs w:val="20"/>
          <w:lang w:val="es-CR"/>
        </w:rPr>
        <w:fldChar w:fldCharType="begin"/>
      </w:r>
      <w:r w:rsidR="009A2840">
        <w:rPr>
          <w:rFonts w:ascii="Verdana" w:hAnsi="Verdana"/>
          <w:sz w:val="20"/>
          <w:szCs w:val="20"/>
          <w:lang w:val="es-CR"/>
        </w:rPr>
        <w:instrText xml:space="preserve"> REF _Ref26359780 \r \h </w:instrText>
      </w:r>
      <w:r w:rsidR="009A2840">
        <w:rPr>
          <w:rFonts w:ascii="Verdana" w:hAnsi="Verdana"/>
          <w:sz w:val="20"/>
          <w:szCs w:val="20"/>
          <w:lang w:val="es-CR"/>
        </w:rPr>
      </w:r>
      <w:r w:rsidR="009A2840">
        <w:rPr>
          <w:rFonts w:ascii="Verdana" w:hAnsi="Verdana"/>
          <w:sz w:val="20"/>
          <w:szCs w:val="20"/>
          <w:lang w:val="es-CR"/>
        </w:rPr>
        <w:fldChar w:fldCharType="separate"/>
      </w:r>
      <w:r w:rsidR="00462D62">
        <w:rPr>
          <w:rFonts w:ascii="Verdana" w:hAnsi="Verdana"/>
          <w:sz w:val="20"/>
          <w:szCs w:val="20"/>
          <w:lang w:val="es-CR"/>
        </w:rPr>
        <w:t>7</w:t>
      </w:r>
      <w:r w:rsidR="009A2840">
        <w:rPr>
          <w:rFonts w:ascii="Verdana" w:hAnsi="Verdana"/>
          <w:sz w:val="20"/>
          <w:szCs w:val="20"/>
          <w:lang w:val="es-CR"/>
        </w:rPr>
        <w:fldChar w:fldCharType="end"/>
      </w:r>
      <w:r w:rsidRPr="00422F3B">
        <w:rPr>
          <w:rFonts w:ascii="Verdana" w:hAnsi="Verdana"/>
          <w:sz w:val="20"/>
          <w:szCs w:val="20"/>
          <w:lang w:val="es-CR"/>
        </w:rPr>
        <w:t xml:space="preserve">). </w:t>
      </w:r>
    </w:p>
    <w:p w14:paraId="63A2CEBF" w14:textId="77777777" w:rsidR="00186C5F" w:rsidRPr="00422F3B"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Los incumplimientos constatados por este Tribunal del deber de informar y de la obligación de ejecutar las medidas pendientes dispuestas por la Corte en el presente caso, resultan particularmente graves tomando en consideración no solo el prolongado tiempo transcurrido desde la emisión de la respectiva Sentencia, sino que ello pareciera ser una posición generalizada de República Dominicana con respecto a los casos en etapa de supervisión de cumplimiento ante la Corte, fundamentalmente a partir del 2014 (</w:t>
      </w:r>
      <w:r w:rsidRPr="00FC0B3E">
        <w:rPr>
          <w:rFonts w:ascii="Verdana" w:hAnsi="Verdana"/>
          <w:i/>
          <w:sz w:val="20"/>
          <w:szCs w:val="20"/>
          <w:lang w:val="es-CR"/>
        </w:rPr>
        <w:t xml:space="preserve">supra </w:t>
      </w:r>
      <w:r w:rsidRPr="00422F3B">
        <w:rPr>
          <w:rFonts w:ascii="Verdana" w:hAnsi="Verdana"/>
          <w:sz w:val="20"/>
          <w:szCs w:val="20"/>
          <w:lang w:val="es-CR"/>
        </w:rPr>
        <w:t>Considerando</w:t>
      </w:r>
      <w:r w:rsidR="003315E4">
        <w:rPr>
          <w:rFonts w:ascii="Verdana" w:hAnsi="Verdana"/>
          <w:sz w:val="20"/>
          <w:szCs w:val="20"/>
          <w:lang w:val="es-CR"/>
        </w:rPr>
        <w:t>s</w:t>
      </w:r>
      <w:r w:rsidRPr="00422F3B">
        <w:rPr>
          <w:rFonts w:ascii="Verdana" w:hAnsi="Verdana"/>
          <w:sz w:val="20"/>
          <w:szCs w:val="20"/>
          <w:lang w:val="es-CR"/>
        </w:rPr>
        <w:t xml:space="preserve"> </w:t>
      </w:r>
      <w:r w:rsidR="00956504">
        <w:rPr>
          <w:rFonts w:ascii="Verdana" w:hAnsi="Verdana"/>
          <w:sz w:val="20"/>
          <w:szCs w:val="20"/>
          <w:lang w:val="es-CR"/>
        </w:rPr>
        <w:fldChar w:fldCharType="begin"/>
      </w:r>
      <w:r w:rsidR="00956504">
        <w:rPr>
          <w:rFonts w:ascii="Verdana" w:hAnsi="Verdana"/>
          <w:sz w:val="20"/>
          <w:szCs w:val="20"/>
          <w:lang w:val="es-CR"/>
        </w:rPr>
        <w:instrText xml:space="preserve"> REF _Ref26361005 \r \h </w:instrText>
      </w:r>
      <w:r w:rsidR="00956504">
        <w:rPr>
          <w:rFonts w:ascii="Verdana" w:hAnsi="Verdana"/>
          <w:sz w:val="20"/>
          <w:szCs w:val="20"/>
          <w:lang w:val="es-CR"/>
        </w:rPr>
      </w:r>
      <w:r w:rsidR="00956504">
        <w:rPr>
          <w:rFonts w:ascii="Verdana" w:hAnsi="Verdana"/>
          <w:sz w:val="20"/>
          <w:szCs w:val="20"/>
          <w:lang w:val="es-CR"/>
        </w:rPr>
        <w:fldChar w:fldCharType="separate"/>
      </w:r>
      <w:r w:rsidR="00462D62">
        <w:rPr>
          <w:rFonts w:ascii="Verdana" w:hAnsi="Verdana"/>
          <w:sz w:val="20"/>
          <w:szCs w:val="20"/>
          <w:lang w:val="es-CR"/>
        </w:rPr>
        <w:t>2</w:t>
      </w:r>
      <w:r w:rsidR="00956504">
        <w:rPr>
          <w:rFonts w:ascii="Verdana" w:hAnsi="Verdana"/>
          <w:sz w:val="20"/>
          <w:szCs w:val="20"/>
          <w:lang w:val="es-CR"/>
        </w:rPr>
        <w:fldChar w:fldCharType="end"/>
      </w:r>
      <w:r w:rsidR="003315E4">
        <w:rPr>
          <w:rFonts w:ascii="Verdana" w:hAnsi="Verdana"/>
          <w:sz w:val="20"/>
          <w:szCs w:val="20"/>
          <w:lang w:val="es-CR"/>
        </w:rPr>
        <w:t xml:space="preserve"> y 17</w:t>
      </w:r>
      <w:r w:rsidRPr="00422F3B">
        <w:rPr>
          <w:rFonts w:ascii="Verdana" w:hAnsi="Verdana"/>
          <w:sz w:val="20"/>
          <w:szCs w:val="20"/>
          <w:lang w:val="es-CR"/>
        </w:rPr>
        <w:t>).</w:t>
      </w:r>
    </w:p>
    <w:p w14:paraId="77E25298" w14:textId="77777777" w:rsidR="00186C5F" w:rsidRPr="00422F3B"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8" w:name="_Ref26363879"/>
      <w:r w:rsidRPr="00422F3B">
        <w:rPr>
          <w:rFonts w:ascii="Verdana" w:hAnsi="Verdana"/>
          <w:sz w:val="20"/>
          <w:szCs w:val="20"/>
          <w:lang w:val="es-CR"/>
        </w:rPr>
        <w:t>La Corte considera que dichos incumplimientos constituyen un desconocimiento de las obligaciones emanadas de las Sentencias dictadas por el Tribunal y de los compromisos convencionales del Estado, impide que se reparen las violaciones a los derechos humanos declaradas en el Fallo y despoja el efecto útil (</w:t>
      </w:r>
      <w:proofErr w:type="spellStart"/>
      <w:r w:rsidRPr="00422F3B">
        <w:rPr>
          <w:rFonts w:ascii="Verdana" w:hAnsi="Verdana"/>
          <w:i/>
          <w:sz w:val="20"/>
          <w:szCs w:val="20"/>
          <w:lang w:val="es-CR"/>
        </w:rPr>
        <w:t>effet</w:t>
      </w:r>
      <w:proofErr w:type="spellEnd"/>
      <w:r w:rsidRPr="00422F3B">
        <w:rPr>
          <w:rFonts w:ascii="Verdana" w:hAnsi="Verdana"/>
          <w:i/>
          <w:sz w:val="20"/>
          <w:szCs w:val="20"/>
          <w:lang w:val="es-CR"/>
        </w:rPr>
        <w:t xml:space="preserve"> </w:t>
      </w:r>
      <w:proofErr w:type="spellStart"/>
      <w:r w:rsidRPr="00422F3B">
        <w:rPr>
          <w:rFonts w:ascii="Verdana" w:hAnsi="Verdana"/>
          <w:i/>
          <w:sz w:val="20"/>
          <w:szCs w:val="20"/>
          <w:lang w:val="es-CR"/>
        </w:rPr>
        <w:t>utile</w:t>
      </w:r>
      <w:proofErr w:type="spellEnd"/>
      <w:r w:rsidRPr="00422F3B">
        <w:rPr>
          <w:rFonts w:ascii="Verdana" w:hAnsi="Verdana"/>
          <w:sz w:val="20"/>
          <w:szCs w:val="20"/>
          <w:lang w:val="es-CR"/>
        </w:rPr>
        <w:t>) de la Convención en el referido caso</w:t>
      </w:r>
      <w:r w:rsidRPr="00422F3B">
        <w:rPr>
          <w:rStyle w:val="Refdenotaalpie"/>
          <w:rFonts w:ascii="Verdana" w:hAnsi="Verdana"/>
          <w:sz w:val="20"/>
          <w:szCs w:val="20"/>
          <w:lang w:val="es-CR"/>
        </w:rPr>
        <w:footnoteReference w:id="23"/>
      </w:r>
      <w:r w:rsidRPr="00422F3B">
        <w:rPr>
          <w:rFonts w:ascii="Verdana" w:hAnsi="Verdana"/>
          <w:sz w:val="20"/>
          <w:szCs w:val="20"/>
          <w:lang w:val="es-CR"/>
        </w:rPr>
        <w:t>.</w:t>
      </w:r>
      <w:bookmarkEnd w:id="18"/>
    </w:p>
    <w:p w14:paraId="40878FEC" w14:textId="77777777" w:rsidR="00186C5F" w:rsidRPr="00422F3B" w:rsidRDefault="00186C5F" w:rsidP="00186C5F">
      <w:pPr>
        <w:pStyle w:val="Prrafodelista"/>
        <w:numPr>
          <w:ilvl w:val="0"/>
          <w:numId w:val="2"/>
        </w:numPr>
        <w:spacing w:before="120" w:after="120" w:line="240" w:lineRule="auto"/>
        <w:ind w:left="0" w:firstLine="0"/>
        <w:contextualSpacing w:val="0"/>
        <w:jc w:val="both"/>
        <w:rPr>
          <w:rFonts w:ascii="Verdana" w:hAnsi="Verdana"/>
          <w:sz w:val="20"/>
          <w:szCs w:val="20"/>
          <w:lang w:val="es-CR"/>
        </w:rPr>
      </w:pPr>
      <w:bookmarkStart w:id="19" w:name="_Ref26363914"/>
      <w:r w:rsidRPr="00422F3B">
        <w:rPr>
          <w:rFonts w:ascii="Verdana" w:hAnsi="Verdana"/>
          <w:sz w:val="20"/>
          <w:szCs w:val="20"/>
          <w:lang w:val="es-CR"/>
        </w:rPr>
        <w:t>Aunado a lo anterior,</w:t>
      </w:r>
      <w:bookmarkStart w:id="20" w:name="_Ref4773670"/>
      <w:r w:rsidRPr="00422F3B">
        <w:rPr>
          <w:rFonts w:ascii="Verdana" w:hAnsi="Verdana"/>
          <w:sz w:val="20"/>
          <w:szCs w:val="20"/>
          <w:lang w:val="es-CR"/>
        </w:rPr>
        <w:t xml:space="preserve"> República Dominicana también ha incumplido con su obligación de reintegrar al Fondo de Asistencia Legal de Víctimas de la Corte los gastos erogados durante la tramitación de la etapa de fondo </w:t>
      </w:r>
      <w:r w:rsidRPr="00FC0B3E">
        <w:rPr>
          <w:rFonts w:ascii="Verdana" w:hAnsi="Verdana"/>
          <w:sz w:val="20"/>
          <w:szCs w:val="20"/>
          <w:lang w:val="es-CR"/>
        </w:rPr>
        <w:t>del presente caso</w:t>
      </w:r>
      <w:r w:rsidRPr="00FC0B3E">
        <w:rPr>
          <w:rStyle w:val="Refdenotaalpie"/>
          <w:rFonts w:ascii="Verdana" w:hAnsi="Verdana"/>
          <w:sz w:val="20"/>
          <w:szCs w:val="20"/>
        </w:rPr>
        <w:footnoteReference w:id="24"/>
      </w:r>
      <w:r w:rsidRPr="00FC0B3E">
        <w:rPr>
          <w:rFonts w:ascii="Verdana" w:hAnsi="Verdana"/>
          <w:sz w:val="20"/>
          <w:szCs w:val="20"/>
          <w:lang w:val="es-CR"/>
        </w:rPr>
        <w:t xml:space="preserve">. </w:t>
      </w:r>
      <w:r w:rsidRPr="00186C5F">
        <w:rPr>
          <w:rFonts w:ascii="Verdana" w:hAnsi="Verdana"/>
          <w:sz w:val="20"/>
          <w:szCs w:val="20"/>
          <w:lang w:val="es-CR"/>
        </w:rPr>
        <w:t>La Corte se ha referido reiteradamente a la necesidad de que los Estados cumplan con los reintegros al Fondo de Asistencia para garantizar su sostenibilidad, pues ello repercute en el acceso a la justicia interamericana de las presuntas víctimas y, de ser el caso, víctimas ante este Tribunal que carecen de recursos económicos para ello</w:t>
      </w:r>
      <w:r w:rsidRPr="00FC0B3E">
        <w:rPr>
          <w:rStyle w:val="Refdenotaalpie"/>
          <w:rFonts w:ascii="Verdana" w:hAnsi="Verdana"/>
          <w:sz w:val="20"/>
          <w:szCs w:val="20"/>
        </w:rPr>
        <w:footnoteReference w:id="25"/>
      </w:r>
      <w:r w:rsidRPr="00186C5F">
        <w:rPr>
          <w:rFonts w:ascii="Verdana" w:hAnsi="Verdana"/>
          <w:sz w:val="20"/>
          <w:szCs w:val="20"/>
          <w:lang w:val="es-CR"/>
        </w:rPr>
        <w:t>. En ese sentido, es necesario que República Dominicana proceda a la mayor brevedad posible con el referido reintegro.</w:t>
      </w:r>
      <w:bookmarkEnd w:id="19"/>
      <w:bookmarkEnd w:id="20"/>
    </w:p>
    <w:p w14:paraId="2BA93092" w14:textId="77777777" w:rsidR="00EE524B" w:rsidRDefault="00EE524B">
      <w:pPr>
        <w:pStyle w:val="Prrafodelista"/>
        <w:spacing w:after="0" w:line="240" w:lineRule="auto"/>
        <w:ind w:left="0"/>
        <w:jc w:val="both"/>
        <w:rPr>
          <w:rFonts w:ascii="Verdana" w:hAnsi="Verdana"/>
          <w:sz w:val="20"/>
          <w:szCs w:val="20"/>
          <w:lang w:val="es-CR"/>
        </w:rPr>
      </w:pPr>
    </w:p>
    <w:p w14:paraId="14B910BB" w14:textId="77777777" w:rsidR="0070786E" w:rsidRDefault="0070786E" w:rsidP="00D0573D">
      <w:pPr>
        <w:spacing w:after="0" w:line="240" w:lineRule="auto"/>
        <w:jc w:val="both"/>
        <w:rPr>
          <w:rFonts w:ascii="Verdana" w:hAnsi="Verdana"/>
          <w:b/>
          <w:sz w:val="20"/>
          <w:szCs w:val="20"/>
          <w:lang w:val="es-CR"/>
        </w:rPr>
      </w:pPr>
    </w:p>
    <w:p w14:paraId="1AC3988C" w14:textId="77777777" w:rsidR="0070786E" w:rsidRDefault="0070786E" w:rsidP="00D0573D">
      <w:pPr>
        <w:spacing w:after="0" w:line="240" w:lineRule="auto"/>
        <w:jc w:val="both"/>
        <w:rPr>
          <w:rFonts w:ascii="Verdana" w:hAnsi="Verdana"/>
          <w:b/>
          <w:sz w:val="20"/>
          <w:szCs w:val="20"/>
          <w:lang w:val="es-CR"/>
        </w:rPr>
      </w:pPr>
    </w:p>
    <w:p w14:paraId="5CBFF8B1" w14:textId="77777777" w:rsidR="0070786E" w:rsidRDefault="0070786E" w:rsidP="00D0573D">
      <w:pPr>
        <w:spacing w:after="0" w:line="240" w:lineRule="auto"/>
        <w:jc w:val="both"/>
        <w:rPr>
          <w:rFonts w:ascii="Verdana" w:hAnsi="Verdana"/>
          <w:b/>
          <w:sz w:val="20"/>
          <w:szCs w:val="20"/>
          <w:lang w:val="es-CR"/>
        </w:rPr>
      </w:pPr>
    </w:p>
    <w:p w14:paraId="4BB4833B" w14:textId="77777777" w:rsidR="0070786E" w:rsidRDefault="0070786E" w:rsidP="00D0573D">
      <w:pPr>
        <w:spacing w:after="0" w:line="240" w:lineRule="auto"/>
        <w:jc w:val="both"/>
        <w:rPr>
          <w:rFonts w:ascii="Verdana" w:hAnsi="Verdana"/>
          <w:b/>
          <w:sz w:val="20"/>
          <w:szCs w:val="20"/>
          <w:lang w:val="es-CR"/>
        </w:rPr>
      </w:pPr>
    </w:p>
    <w:p w14:paraId="671B3B9C" w14:textId="77777777" w:rsidR="0070786E" w:rsidRDefault="0070786E" w:rsidP="00D0573D">
      <w:pPr>
        <w:spacing w:after="0" w:line="240" w:lineRule="auto"/>
        <w:jc w:val="both"/>
        <w:rPr>
          <w:rFonts w:ascii="Verdana" w:hAnsi="Verdana"/>
          <w:b/>
          <w:sz w:val="20"/>
          <w:szCs w:val="20"/>
          <w:lang w:val="es-CR"/>
        </w:rPr>
      </w:pPr>
    </w:p>
    <w:p w14:paraId="1ACAACF6" w14:textId="77777777" w:rsidR="00EE524B" w:rsidRDefault="00EE524B" w:rsidP="00D0573D">
      <w:pPr>
        <w:spacing w:after="0" w:line="240" w:lineRule="auto"/>
        <w:jc w:val="both"/>
        <w:rPr>
          <w:rFonts w:ascii="Verdana" w:hAnsi="Verdana"/>
          <w:b/>
          <w:sz w:val="20"/>
          <w:szCs w:val="20"/>
          <w:lang w:val="es-CR"/>
        </w:rPr>
      </w:pPr>
      <w:r>
        <w:rPr>
          <w:rFonts w:ascii="Verdana" w:hAnsi="Verdana"/>
          <w:b/>
          <w:sz w:val="20"/>
          <w:szCs w:val="20"/>
          <w:lang w:val="es-CR"/>
        </w:rPr>
        <w:lastRenderedPageBreak/>
        <w:t>POR TANTO,</w:t>
      </w:r>
    </w:p>
    <w:p w14:paraId="6C5A124F" w14:textId="77777777" w:rsidR="009A5876" w:rsidRDefault="009A5876" w:rsidP="00D0573D">
      <w:pPr>
        <w:spacing w:after="0" w:line="240" w:lineRule="auto"/>
        <w:jc w:val="both"/>
        <w:rPr>
          <w:rFonts w:ascii="Verdana" w:hAnsi="Verdana"/>
          <w:b/>
          <w:sz w:val="20"/>
          <w:szCs w:val="20"/>
          <w:lang w:val="es-CR"/>
        </w:rPr>
      </w:pPr>
    </w:p>
    <w:p w14:paraId="567D62B3" w14:textId="77777777" w:rsidR="00EE524B" w:rsidRDefault="00EE524B" w:rsidP="00D0573D">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23404C90" w14:textId="77777777" w:rsidR="009A5876" w:rsidRDefault="009A5876" w:rsidP="00D0573D">
      <w:pPr>
        <w:spacing w:after="0" w:line="240" w:lineRule="auto"/>
        <w:jc w:val="both"/>
        <w:rPr>
          <w:rFonts w:ascii="Verdana" w:hAnsi="Verdana"/>
          <w:b/>
          <w:sz w:val="20"/>
          <w:szCs w:val="20"/>
          <w:lang w:val="es-CR"/>
        </w:rPr>
      </w:pPr>
    </w:p>
    <w:p w14:paraId="74C5FA7D" w14:textId="77777777" w:rsidR="00EE524B" w:rsidRPr="00440B9A" w:rsidRDefault="00EE524B" w:rsidP="00D0573D">
      <w:pPr>
        <w:spacing w:after="0" w:line="240" w:lineRule="auto"/>
        <w:jc w:val="both"/>
        <w:rPr>
          <w:rFonts w:ascii="Verdana" w:hAnsi="Verdana"/>
          <w:sz w:val="20"/>
          <w:szCs w:val="20"/>
          <w:lang w:val="es-CR"/>
        </w:rPr>
      </w:pPr>
      <w:r w:rsidRPr="00440B9A">
        <w:rPr>
          <w:rFonts w:ascii="Verdana" w:hAnsi="Verdana"/>
          <w:sz w:val="20"/>
          <w:szCs w:val="20"/>
          <w:lang w:val="es-CR"/>
        </w:rPr>
        <w:t>en el ejercicio de sus atribuciones de supervisión del cumplimiento de sus decisiones, de conformidad con los artículos 33, 62.1, 62.3, 65, 67 y 68.1 de la Convención Americana sobre Derechos Humanos, 24</w:t>
      </w:r>
      <w:r w:rsidR="009A5876">
        <w:rPr>
          <w:rFonts w:ascii="Verdana" w:hAnsi="Verdana"/>
          <w:sz w:val="20"/>
          <w:szCs w:val="20"/>
          <w:lang w:val="es-CR"/>
        </w:rPr>
        <w:t>, 25</w:t>
      </w:r>
      <w:r w:rsidRPr="00440B9A">
        <w:rPr>
          <w:rFonts w:ascii="Verdana" w:hAnsi="Verdana"/>
          <w:sz w:val="20"/>
          <w:szCs w:val="20"/>
          <w:lang w:val="es-CR"/>
        </w:rPr>
        <w:t xml:space="preserve"> y 30 del Estatuto y 31.2 y 69 de su Reglamento,</w:t>
      </w:r>
    </w:p>
    <w:p w14:paraId="6A2786DE" w14:textId="77777777" w:rsidR="00EE524B" w:rsidRPr="00440B9A" w:rsidRDefault="00EE524B" w:rsidP="00D0573D">
      <w:pPr>
        <w:spacing w:after="0" w:line="240" w:lineRule="auto"/>
        <w:jc w:val="both"/>
        <w:rPr>
          <w:rFonts w:ascii="Verdana" w:hAnsi="Verdana"/>
          <w:sz w:val="20"/>
          <w:szCs w:val="20"/>
          <w:lang w:val="es-CR"/>
        </w:rPr>
      </w:pPr>
    </w:p>
    <w:p w14:paraId="096DDD6D" w14:textId="77777777" w:rsidR="00D0573D" w:rsidRDefault="00D0573D" w:rsidP="00D0573D">
      <w:pPr>
        <w:spacing w:after="0" w:line="240" w:lineRule="auto"/>
        <w:jc w:val="both"/>
        <w:rPr>
          <w:rFonts w:ascii="Verdana" w:hAnsi="Verdana"/>
          <w:b/>
          <w:sz w:val="20"/>
          <w:szCs w:val="20"/>
          <w:lang w:val="es-CR"/>
        </w:rPr>
      </w:pPr>
    </w:p>
    <w:p w14:paraId="56D44BDA" w14:textId="77777777" w:rsidR="00EE524B" w:rsidRDefault="00EE524B" w:rsidP="00D0573D">
      <w:pPr>
        <w:spacing w:after="0" w:line="240" w:lineRule="auto"/>
        <w:jc w:val="both"/>
        <w:rPr>
          <w:rFonts w:ascii="Verdana" w:hAnsi="Verdana"/>
          <w:b/>
          <w:sz w:val="20"/>
          <w:szCs w:val="20"/>
          <w:lang w:val="es-CR"/>
        </w:rPr>
      </w:pPr>
      <w:r w:rsidRPr="00440B9A">
        <w:rPr>
          <w:rFonts w:ascii="Verdana" w:hAnsi="Verdana"/>
          <w:b/>
          <w:sz w:val="20"/>
          <w:szCs w:val="20"/>
          <w:lang w:val="es-CR"/>
        </w:rPr>
        <w:t>DECLARA QUE:</w:t>
      </w:r>
    </w:p>
    <w:p w14:paraId="296EDF4F" w14:textId="77777777" w:rsidR="009A5876" w:rsidRPr="00440B9A" w:rsidRDefault="009A5876" w:rsidP="00D0573D">
      <w:pPr>
        <w:spacing w:after="0" w:line="240" w:lineRule="auto"/>
        <w:jc w:val="both"/>
        <w:rPr>
          <w:rFonts w:ascii="Verdana" w:hAnsi="Verdana"/>
          <w:b/>
          <w:sz w:val="20"/>
          <w:szCs w:val="20"/>
          <w:lang w:val="es-CR"/>
        </w:rPr>
      </w:pPr>
    </w:p>
    <w:p w14:paraId="1D79AFDF" w14:textId="77777777" w:rsidR="00EE524B" w:rsidRPr="00440B9A"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bookmarkStart w:id="21" w:name="_Ref26346407"/>
      <w:r w:rsidRPr="00440B9A">
        <w:rPr>
          <w:rFonts w:ascii="Verdana" w:hAnsi="Verdana"/>
          <w:sz w:val="20"/>
          <w:szCs w:val="20"/>
          <w:lang w:val="es-CR"/>
        </w:rPr>
        <w:t xml:space="preserve">El Estado ha incumplido durante </w:t>
      </w:r>
      <w:r>
        <w:rPr>
          <w:rFonts w:ascii="Verdana" w:hAnsi="Verdana"/>
          <w:sz w:val="20"/>
          <w:szCs w:val="20"/>
          <w:lang w:val="es-CR"/>
        </w:rPr>
        <w:t>cinco</w:t>
      </w:r>
      <w:r w:rsidRPr="00440B9A">
        <w:rPr>
          <w:rFonts w:ascii="Verdana" w:hAnsi="Verdana"/>
          <w:sz w:val="20"/>
          <w:szCs w:val="20"/>
          <w:lang w:val="es-CR"/>
        </w:rPr>
        <w:t xml:space="preserve"> años </w:t>
      </w:r>
      <w:r>
        <w:rPr>
          <w:rFonts w:ascii="Verdana" w:hAnsi="Verdana"/>
          <w:sz w:val="20"/>
          <w:szCs w:val="20"/>
          <w:lang w:val="es-CR"/>
        </w:rPr>
        <w:t xml:space="preserve">y cuatro meses </w:t>
      </w:r>
      <w:r w:rsidRPr="00440B9A">
        <w:rPr>
          <w:rFonts w:ascii="Verdana" w:hAnsi="Verdana"/>
          <w:sz w:val="20"/>
          <w:szCs w:val="20"/>
          <w:lang w:val="es-CR"/>
        </w:rPr>
        <w:t xml:space="preserve">su obligación de informar a esta Corte sobre las medidas adoptadas para dar cumplimiento a las reparaciones ordenadas en la Sentencia del presente caso, de conformidad con lo indicado en los Considerandos </w:t>
      </w:r>
      <w:r w:rsidR="009A5876">
        <w:rPr>
          <w:rFonts w:ascii="Verdana" w:hAnsi="Verdana"/>
          <w:sz w:val="20"/>
          <w:szCs w:val="20"/>
          <w:lang w:val="es-CR"/>
        </w:rPr>
        <w:fldChar w:fldCharType="begin"/>
      </w:r>
      <w:r w:rsidR="009A5876">
        <w:rPr>
          <w:rFonts w:ascii="Verdana" w:hAnsi="Verdana"/>
          <w:sz w:val="20"/>
          <w:szCs w:val="20"/>
          <w:lang w:val="es-CR"/>
        </w:rPr>
        <w:instrText xml:space="preserve"> REF _Ref26363871 \r \h </w:instrText>
      </w:r>
      <w:r w:rsidR="009A5876">
        <w:rPr>
          <w:rFonts w:ascii="Verdana" w:hAnsi="Verdana"/>
          <w:sz w:val="20"/>
          <w:szCs w:val="20"/>
          <w:lang w:val="es-CR"/>
        </w:rPr>
      </w:r>
      <w:r w:rsidR="009A5876">
        <w:rPr>
          <w:rFonts w:ascii="Verdana" w:hAnsi="Verdana"/>
          <w:sz w:val="20"/>
          <w:szCs w:val="20"/>
          <w:lang w:val="es-CR"/>
        </w:rPr>
        <w:fldChar w:fldCharType="separate"/>
      </w:r>
      <w:r w:rsidR="00462D62">
        <w:rPr>
          <w:rFonts w:ascii="Verdana" w:hAnsi="Verdana"/>
          <w:sz w:val="20"/>
          <w:szCs w:val="20"/>
          <w:lang w:val="es-CR"/>
        </w:rPr>
        <w:t>11</w:t>
      </w:r>
      <w:r w:rsidR="009A5876">
        <w:rPr>
          <w:rFonts w:ascii="Verdana" w:hAnsi="Verdana"/>
          <w:sz w:val="20"/>
          <w:szCs w:val="20"/>
          <w:lang w:val="es-CR"/>
        </w:rPr>
        <w:fldChar w:fldCharType="end"/>
      </w:r>
      <w:r w:rsidR="009A5876">
        <w:rPr>
          <w:rFonts w:ascii="Verdana" w:hAnsi="Verdana"/>
          <w:sz w:val="20"/>
          <w:szCs w:val="20"/>
          <w:lang w:val="es-CR"/>
        </w:rPr>
        <w:t xml:space="preserve"> a </w:t>
      </w:r>
      <w:r w:rsidR="009A5876">
        <w:rPr>
          <w:rFonts w:ascii="Verdana" w:hAnsi="Verdana"/>
          <w:sz w:val="20"/>
          <w:szCs w:val="20"/>
          <w:lang w:val="es-CR"/>
        </w:rPr>
        <w:fldChar w:fldCharType="begin"/>
      </w:r>
      <w:r w:rsidR="009A5876">
        <w:rPr>
          <w:rFonts w:ascii="Verdana" w:hAnsi="Verdana"/>
          <w:sz w:val="20"/>
          <w:szCs w:val="20"/>
          <w:lang w:val="es-CR"/>
        </w:rPr>
        <w:instrText xml:space="preserve"> REF _Ref26363879 \r \h </w:instrText>
      </w:r>
      <w:r w:rsidR="009A5876">
        <w:rPr>
          <w:rFonts w:ascii="Verdana" w:hAnsi="Verdana"/>
          <w:sz w:val="20"/>
          <w:szCs w:val="20"/>
          <w:lang w:val="es-CR"/>
        </w:rPr>
      </w:r>
      <w:r w:rsidR="009A5876">
        <w:rPr>
          <w:rFonts w:ascii="Verdana" w:hAnsi="Verdana"/>
          <w:sz w:val="20"/>
          <w:szCs w:val="20"/>
          <w:lang w:val="es-CR"/>
        </w:rPr>
        <w:fldChar w:fldCharType="separate"/>
      </w:r>
      <w:r w:rsidR="00462D62">
        <w:rPr>
          <w:rFonts w:ascii="Verdana" w:hAnsi="Verdana"/>
          <w:sz w:val="20"/>
          <w:szCs w:val="20"/>
          <w:lang w:val="es-CR"/>
        </w:rPr>
        <w:t>20</w:t>
      </w:r>
      <w:r w:rsidR="009A5876">
        <w:rPr>
          <w:rFonts w:ascii="Verdana" w:hAnsi="Verdana"/>
          <w:sz w:val="20"/>
          <w:szCs w:val="20"/>
          <w:lang w:val="es-CR"/>
        </w:rPr>
        <w:fldChar w:fldCharType="end"/>
      </w:r>
      <w:r w:rsidRPr="00440B9A">
        <w:rPr>
          <w:rFonts w:ascii="Verdana" w:hAnsi="Verdana"/>
          <w:sz w:val="20"/>
          <w:szCs w:val="20"/>
          <w:lang w:val="es-CR"/>
        </w:rPr>
        <w:t xml:space="preserve"> de la presente Resolución.</w:t>
      </w:r>
      <w:bookmarkEnd w:id="21"/>
    </w:p>
    <w:p w14:paraId="605CAD24"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5E6B2195" w14:textId="77777777" w:rsidR="00EE524B" w:rsidRPr="00440B9A"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sidRPr="00440B9A">
        <w:rPr>
          <w:rFonts w:ascii="Verdana" w:hAnsi="Verdana"/>
          <w:sz w:val="20"/>
          <w:szCs w:val="20"/>
          <w:lang w:val="es-CR"/>
        </w:rPr>
        <w:t xml:space="preserve">El Estado ha incumplido su obligación de ejecutar todas las reparaciones ordenadas en la Sentencia del presente caso, de conformidad con lo indicado en los Considerandos </w:t>
      </w:r>
      <w:r w:rsidR="003315E4">
        <w:rPr>
          <w:rFonts w:ascii="Verdana" w:hAnsi="Verdana"/>
          <w:sz w:val="20"/>
          <w:szCs w:val="20"/>
          <w:lang w:val="es-CR"/>
        </w:rPr>
        <w:t>6</w:t>
      </w:r>
      <w:r w:rsidR="009A5876">
        <w:rPr>
          <w:rFonts w:ascii="Verdana" w:hAnsi="Verdana"/>
          <w:sz w:val="20"/>
          <w:szCs w:val="20"/>
          <w:lang w:val="es-CR"/>
        </w:rPr>
        <w:t xml:space="preserve"> a </w:t>
      </w:r>
      <w:r w:rsidR="003315E4">
        <w:rPr>
          <w:rFonts w:ascii="Verdana" w:hAnsi="Verdana"/>
          <w:sz w:val="20"/>
          <w:szCs w:val="20"/>
          <w:lang w:val="es-CR"/>
        </w:rPr>
        <w:t>20</w:t>
      </w:r>
      <w:r w:rsidRPr="00440B9A">
        <w:rPr>
          <w:rFonts w:ascii="Verdana" w:hAnsi="Verdana"/>
          <w:sz w:val="20"/>
          <w:szCs w:val="20"/>
          <w:lang w:val="es-CR"/>
        </w:rPr>
        <w:t xml:space="preserve"> de la presente Resolución.</w:t>
      </w:r>
    </w:p>
    <w:p w14:paraId="4EF4335C"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09632F49" w14:textId="77777777" w:rsidR="00EE524B" w:rsidRPr="00440B9A"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sidRPr="00440B9A">
        <w:rPr>
          <w:rFonts w:ascii="Verdana" w:hAnsi="Verdana"/>
          <w:sz w:val="20"/>
          <w:szCs w:val="20"/>
          <w:lang w:val="es-CR"/>
        </w:rPr>
        <w:t xml:space="preserve">El Estado no ha cumplido con su obligación de reintegrar al Fondo de Asistencia Legal de Víctimas de la Corte Interamericana la cantidad erogada en la tramitación del presente caso, de conformidad con lo indicado en el Considerando </w:t>
      </w:r>
      <w:r w:rsidR="009A5876">
        <w:rPr>
          <w:rFonts w:ascii="Verdana" w:hAnsi="Verdana"/>
          <w:sz w:val="20"/>
          <w:szCs w:val="20"/>
          <w:lang w:val="es-CR"/>
        </w:rPr>
        <w:fldChar w:fldCharType="begin"/>
      </w:r>
      <w:r w:rsidR="009A5876">
        <w:rPr>
          <w:rFonts w:ascii="Verdana" w:hAnsi="Verdana"/>
          <w:sz w:val="20"/>
          <w:szCs w:val="20"/>
          <w:lang w:val="es-CR"/>
        </w:rPr>
        <w:instrText xml:space="preserve"> REF _Ref26363914 \r \h </w:instrText>
      </w:r>
      <w:r w:rsidR="009A5876">
        <w:rPr>
          <w:rFonts w:ascii="Verdana" w:hAnsi="Verdana"/>
          <w:sz w:val="20"/>
          <w:szCs w:val="20"/>
          <w:lang w:val="es-CR"/>
        </w:rPr>
      </w:r>
      <w:r w:rsidR="009A5876">
        <w:rPr>
          <w:rFonts w:ascii="Verdana" w:hAnsi="Verdana"/>
          <w:sz w:val="20"/>
          <w:szCs w:val="20"/>
          <w:lang w:val="es-CR"/>
        </w:rPr>
        <w:fldChar w:fldCharType="separate"/>
      </w:r>
      <w:r w:rsidR="00462D62">
        <w:rPr>
          <w:rFonts w:ascii="Verdana" w:hAnsi="Verdana"/>
          <w:sz w:val="20"/>
          <w:szCs w:val="20"/>
          <w:lang w:val="es-CR"/>
        </w:rPr>
        <w:t>21</w:t>
      </w:r>
      <w:r w:rsidR="009A5876">
        <w:rPr>
          <w:rFonts w:ascii="Verdana" w:hAnsi="Verdana"/>
          <w:sz w:val="20"/>
          <w:szCs w:val="20"/>
          <w:lang w:val="es-CR"/>
        </w:rPr>
        <w:fldChar w:fldCharType="end"/>
      </w:r>
      <w:r w:rsidRPr="00440B9A">
        <w:rPr>
          <w:rFonts w:ascii="Verdana" w:hAnsi="Verdana"/>
          <w:sz w:val="20"/>
          <w:szCs w:val="20"/>
          <w:lang w:val="es-CR"/>
        </w:rPr>
        <w:t xml:space="preserve"> de la presente Resolución.</w:t>
      </w:r>
    </w:p>
    <w:p w14:paraId="3D19B559" w14:textId="77777777" w:rsidR="00EE524B" w:rsidRDefault="00EE524B" w:rsidP="00D0573D">
      <w:pPr>
        <w:spacing w:after="0" w:line="240" w:lineRule="auto"/>
        <w:jc w:val="both"/>
        <w:rPr>
          <w:rFonts w:ascii="Verdana" w:hAnsi="Verdana"/>
          <w:b/>
          <w:sz w:val="20"/>
          <w:szCs w:val="20"/>
          <w:lang w:val="es-CR"/>
        </w:rPr>
      </w:pPr>
    </w:p>
    <w:p w14:paraId="1E4EE928" w14:textId="77777777" w:rsidR="00EE524B" w:rsidRDefault="00EE524B" w:rsidP="00D0573D">
      <w:pPr>
        <w:spacing w:after="0" w:line="240" w:lineRule="auto"/>
        <w:jc w:val="both"/>
        <w:rPr>
          <w:rFonts w:ascii="Verdana" w:hAnsi="Verdana"/>
          <w:b/>
          <w:sz w:val="20"/>
          <w:szCs w:val="20"/>
          <w:lang w:val="es-CR"/>
        </w:rPr>
      </w:pPr>
      <w:r>
        <w:rPr>
          <w:rFonts w:ascii="Verdana" w:hAnsi="Verdana"/>
          <w:b/>
          <w:sz w:val="20"/>
          <w:szCs w:val="20"/>
          <w:lang w:val="es-CR"/>
        </w:rPr>
        <w:t>Y RESUELVE:</w:t>
      </w:r>
    </w:p>
    <w:p w14:paraId="5453647E" w14:textId="77777777" w:rsidR="009A5876" w:rsidRDefault="009A5876" w:rsidP="00D0573D">
      <w:pPr>
        <w:spacing w:after="0" w:line="240" w:lineRule="auto"/>
        <w:jc w:val="both"/>
        <w:rPr>
          <w:rFonts w:ascii="Verdana" w:hAnsi="Verdana"/>
          <w:b/>
          <w:sz w:val="20"/>
          <w:szCs w:val="20"/>
          <w:lang w:val="es-CR"/>
        </w:rPr>
      </w:pPr>
    </w:p>
    <w:p w14:paraId="1E43221F" w14:textId="77777777" w:rsidR="00EE524B"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bookmarkStart w:id="22" w:name="_Ref26346394"/>
      <w:r>
        <w:rPr>
          <w:rFonts w:ascii="Verdana" w:hAnsi="Verdana"/>
          <w:sz w:val="20"/>
          <w:szCs w:val="20"/>
          <w:lang w:val="es-CR"/>
        </w:rPr>
        <w:t>Mantener abierto el procedimiento de supervisión de cumplimiento respecto de todas las medidas de reparación ordenadas en la Sentencia del presente caso:</w:t>
      </w:r>
      <w:bookmarkEnd w:id="22"/>
    </w:p>
    <w:p w14:paraId="1080CBC4"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3815E323"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continuar y realizar las investigaciones y procesos necesarios, en un plazo razonable, con el fin de establecer la verdad de los hechos, así como de determinar y, en su caso, sancionar a los responsables de la desaparición forzada de Narciso González Medina </w:t>
      </w:r>
      <w:r w:rsidRPr="00D0573D">
        <w:rPr>
          <w:rFonts w:ascii="Verdana" w:hAnsi="Verdana"/>
          <w:i/>
          <w:sz w:val="20"/>
          <w:szCs w:val="20"/>
          <w:lang w:val="es-CR"/>
        </w:rPr>
        <w:t>(punto dispositivo segundo de la Sentencia)</w:t>
      </w:r>
      <w:r w:rsidRPr="00D0573D">
        <w:rPr>
          <w:rFonts w:ascii="Verdana" w:hAnsi="Verdana"/>
          <w:sz w:val="20"/>
          <w:szCs w:val="20"/>
          <w:lang w:val="es-CR"/>
        </w:rPr>
        <w:t>;</w:t>
      </w:r>
    </w:p>
    <w:p w14:paraId="3AB793C0"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efectuar, a la mayor brevedad, una búsqueda seria, en la cual realice todos los esfuerzos para determinar el paradero del señor Narciso González Medina </w:t>
      </w:r>
      <w:r w:rsidRPr="00D0573D">
        <w:rPr>
          <w:rFonts w:ascii="Verdana" w:hAnsi="Verdana"/>
          <w:i/>
          <w:sz w:val="20"/>
          <w:szCs w:val="20"/>
          <w:lang w:val="es-CR"/>
        </w:rPr>
        <w:t>(punto dispositivo tercero de la Sentencia);</w:t>
      </w:r>
    </w:p>
    <w:p w14:paraId="2FAC0504"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brindar, de forma inmediata, el tratamiento médico y psicológico o psiquiátrico a las víctimas que así lo soliciten </w:t>
      </w:r>
      <w:r w:rsidRPr="00D0573D">
        <w:rPr>
          <w:rFonts w:ascii="Verdana" w:hAnsi="Verdana"/>
          <w:i/>
          <w:sz w:val="20"/>
          <w:szCs w:val="20"/>
          <w:lang w:val="es-CR"/>
        </w:rPr>
        <w:t>(punto dispositivo cuarto de la Sentencia);</w:t>
      </w:r>
    </w:p>
    <w:p w14:paraId="7549433D"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realizar las publicaciones de la Sentencia y el resumen oficial indicadas en el párrafo 295 de la misma </w:t>
      </w:r>
      <w:r w:rsidRPr="00D0573D">
        <w:rPr>
          <w:rFonts w:ascii="Verdana" w:hAnsi="Verdana"/>
          <w:i/>
          <w:sz w:val="20"/>
          <w:szCs w:val="20"/>
          <w:lang w:val="es-CR"/>
        </w:rPr>
        <w:t>(punto dispositivo quinto de la Sentencia);</w:t>
      </w:r>
    </w:p>
    <w:p w14:paraId="16A584BB"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realizar un acto público de reconocimiento de responsabilidad internacional por los hechos del presente caso </w:t>
      </w:r>
      <w:r w:rsidRPr="00D0573D">
        <w:rPr>
          <w:rFonts w:ascii="Verdana" w:hAnsi="Verdana"/>
          <w:i/>
          <w:sz w:val="20"/>
          <w:szCs w:val="20"/>
          <w:lang w:val="es-CR"/>
        </w:rPr>
        <w:t>(punto dispositivo sexto de la Sentencia);</w:t>
      </w:r>
    </w:p>
    <w:p w14:paraId="66E1C04A"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colocar una placa conmemorativa en el Centro Cultural Narciso González en la que se haga alusión a esta Sentencia, a los hechos del caso y a las circunstancias en que ocurrieron </w:t>
      </w:r>
      <w:r w:rsidRPr="00D0573D">
        <w:rPr>
          <w:rFonts w:ascii="Verdana" w:hAnsi="Verdana"/>
          <w:i/>
          <w:sz w:val="20"/>
          <w:szCs w:val="20"/>
          <w:lang w:val="es-CR"/>
        </w:rPr>
        <w:t>(punto dispositivo séptimo de la Sentencia);</w:t>
      </w:r>
    </w:p>
    <w:p w14:paraId="7D9AC639"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realizar un documental audiovisual sobre la vida del señor Narciso González Medina, en el que se haga referencia a su obra periodística, literaria y creativa, así como su contribución a la cultura dominicana </w:t>
      </w:r>
      <w:r w:rsidRPr="00D0573D">
        <w:rPr>
          <w:rFonts w:ascii="Verdana" w:hAnsi="Verdana"/>
          <w:i/>
          <w:sz w:val="20"/>
          <w:szCs w:val="20"/>
          <w:lang w:val="es-CR"/>
        </w:rPr>
        <w:t>(punto dispositivo octavo de la Sentencia);</w:t>
      </w:r>
    </w:p>
    <w:p w14:paraId="35B375C3"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garantizar que la aplicación de las normas de su derecho interno y el funcionamiento de sus instituciones permitan realizar una investigación adecuada de la desaparición forzada y, en caso de que éstas sean insuficientes, realizar las reformas legislativas o </w:t>
      </w:r>
      <w:r w:rsidRPr="00D0573D">
        <w:rPr>
          <w:rFonts w:ascii="Verdana" w:hAnsi="Verdana"/>
          <w:sz w:val="20"/>
          <w:szCs w:val="20"/>
          <w:lang w:val="es-CR"/>
        </w:rPr>
        <w:lastRenderedPageBreak/>
        <w:t xml:space="preserve">adoptar las medidas administrativas, judiciales u otras que sean necesarias para alcanzar dicho objetivo </w:t>
      </w:r>
      <w:r w:rsidRPr="00D0573D">
        <w:rPr>
          <w:rFonts w:ascii="Verdana" w:hAnsi="Verdana"/>
          <w:i/>
          <w:sz w:val="20"/>
          <w:szCs w:val="20"/>
          <w:lang w:val="es-CR"/>
        </w:rPr>
        <w:t>(punto dispositivo noveno de la Sentencia);</w:t>
      </w:r>
    </w:p>
    <w:p w14:paraId="40B999D3"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pagar las cantidades fijadas en los párrafos 313, 314 y 320 de la Sentencia, por concepto de indemnizaciones por daños materiales e inmateriales, y por el reintegro de costas y gastos </w:t>
      </w:r>
      <w:r w:rsidRPr="00D0573D">
        <w:rPr>
          <w:rFonts w:ascii="Verdana" w:hAnsi="Verdana"/>
          <w:i/>
          <w:sz w:val="20"/>
          <w:szCs w:val="20"/>
          <w:lang w:val="es-CR"/>
        </w:rPr>
        <w:t xml:space="preserve">(punto dispositivo décimo de la Sentencia), </w:t>
      </w:r>
      <w:r w:rsidRPr="00D0573D">
        <w:rPr>
          <w:rFonts w:ascii="Verdana" w:hAnsi="Verdana"/>
          <w:sz w:val="20"/>
          <w:szCs w:val="20"/>
          <w:lang w:val="es-CR"/>
        </w:rPr>
        <w:t>y</w:t>
      </w:r>
    </w:p>
    <w:p w14:paraId="2B4F0148" w14:textId="77777777" w:rsidR="00EE524B" w:rsidRPr="00D0573D" w:rsidRDefault="00EE524B" w:rsidP="00D0573D">
      <w:pPr>
        <w:pStyle w:val="Prrafodelista"/>
        <w:numPr>
          <w:ilvl w:val="0"/>
          <w:numId w:val="10"/>
        </w:numPr>
        <w:spacing w:after="40" w:line="240" w:lineRule="auto"/>
        <w:ind w:left="714" w:hanging="357"/>
        <w:contextualSpacing w:val="0"/>
        <w:jc w:val="both"/>
        <w:rPr>
          <w:rFonts w:ascii="Verdana" w:hAnsi="Verdana"/>
          <w:sz w:val="20"/>
          <w:szCs w:val="20"/>
          <w:lang w:val="es-CR"/>
        </w:rPr>
      </w:pPr>
      <w:r w:rsidRPr="00D0573D">
        <w:rPr>
          <w:rFonts w:ascii="Verdana" w:hAnsi="Verdana"/>
          <w:sz w:val="20"/>
          <w:szCs w:val="20"/>
          <w:lang w:val="es-CR"/>
        </w:rPr>
        <w:t xml:space="preserve">pagar la cantidad fijada en el párrafo 329 de la Sentencia por concepto de reintegro al Fondo de Asistencia Legal de Víctimas de la Corte Interamericana </w:t>
      </w:r>
      <w:r w:rsidRPr="00D0573D">
        <w:rPr>
          <w:rFonts w:ascii="Verdana" w:hAnsi="Verdana"/>
          <w:i/>
          <w:sz w:val="20"/>
          <w:szCs w:val="20"/>
          <w:lang w:val="es-CR"/>
        </w:rPr>
        <w:t>(punto dispositivo décimo de la Sentencia).</w:t>
      </w:r>
    </w:p>
    <w:p w14:paraId="10F0E187"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0408BEA1" w14:textId="77777777" w:rsidR="00EE524B"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Pr>
          <w:rFonts w:ascii="Verdana" w:hAnsi="Verdana"/>
          <w:sz w:val="20"/>
          <w:szCs w:val="20"/>
          <w:lang w:val="es-CR"/>
        </w:rPr>
        <w:t xml:space="preserve"> </w:t>
      </w:r>
      <w:r w:rsidRPr="00422F3B">
        <w:rPr>
          <w:rFonts w:ascii="Verdana" w:hAnsi="Verdana"/>
          <w:sz w:val="20"/>
          <w:szCs w:val="20"/>
          <w:lang w:val="es-CR"/>
        </w:rPr>
        <w:t>Disponer que República Dominicana adopte, en definitiva y a la mayor brevedad posible, las medidas que sean necesarias para dar efectivo y pronto cumplimiento a todas las reparaciones ordenadas en la Sentencia de este caso, de acuerdo con lo considerado en la presente Resolución</w:t>
      </w:r>
      <w:r w:rsidR="00305094">
        <w:rPr>
          <w:rFonts w:ascii="Verdana" w:hAnsi="Verdana"/>
          <w:sz w:val="20"/>
          <w:szCs w:val="20"/>
          <w:lang w:val="es-CR"/>
        </w:rPr>
        <w:t>,</w:t>
      </w:r>
      <w:r w:rsidRPr="00422F3B">
        <w:rPr>
          <w:rFonts w:ascii="Verdana" w:hAnsi="Verdana"/>
          <w:sz w:val="20"/>
          <w:szCs w:val="20"/>
          <w:lang w:val="es-CR"/>
        </w:rPr>
        <w:t xml:space="preserve"> y con lo estipulado en el artículo 68.1 de la Convención Americana sobre Derechos Humanos. </w:t>
      </w:r>
    </w:p>
    <w:p w14:paraId="5E85DE02"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50A2E36B" w14:textId="77777777" w:rsidR="00EE524B" w:rsidRPr="00422F3B"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 xml:space="preserve">Requerir al Estado que, a más tardar el </w:t>
      </w:r>
      <w:r w:rsidR="003315E4">
        <w:rPr>
          <w:rFonts w:ascii="Verdana" w:hAnsi="Verdana"/>
          <w:sz w:val="20"/>
          <w:szCs w:val="20"/>
          <w:lang w:val="es-CR"/>
        </w:rPr>
        <w:t>3</w:t>
      </w:r>
      <w:r w:rsidR="003315E4" w:rsidRPr="00422F3B">
        <w:rPr>
          <w:rFonts w:ascii="Verdana" w:hAnsi="Verdana"/>
          <w:sz w:val="20"/>
          <w:szCs w:val="20"/>
          <w:lang w:val="es-CR"/>
        </w:rPr>
        <w:t xml:space="preserve"> </w:t>
      </w:r>
      <w:r w:rsidRPr="00422F3B">
        <w:rPr>
          <w:rFonts w:ascii="Verdana" w:hAnsi="Verdana"/>
          <w:sz w:val="20"/>
          <w:szCs w:val="20"/>
          <w:lang w:val="es-CR"/>
        </w:rPr>
        <w:t xml:space="preserve">de </w:t>
      </w:r>
      <w:r w:rsidR="003315E4">
        <w:rPr>
          <w:rFonts w:ascii="Verdana" w:hAnsi="Verdana"/>
          <w:sz w:val="20"/>
          <w:szCs w:val="20"/>
          <w:lang w:val="es-CR"/>
        </w:rPr>
        <w:t>marzo</w:t>
      </w:r>
      <w:r w:rsidR="003315E4" w:rsidRPr="00422F3B">
        <w:rPr>
          <w:rFonts w:ascii="Verdana" w:hAnsi="Verdana"/>
          <w:sz w:val="20"/>
          <w:szCs w:val="20"/>
          <w:lang w:val="es-CR"/>
        </w:rPr>
        <w:t xml:space="preserve"> </w:t>
      </w:r>
      <w:r w:rsidRPr="00422F3B">
        <w:rPr>
          <w:rFonts w:ascii="Verdana" w:hAnsi="Verdana"/>
          <w:sz w:val="20"/>
          <w:szCs w:val="20"/>
          <w:lang w:val="es-CR"/>
        </w:rPr>
        <w:t xml:space="preserve">de 2020, presente a la Corte Interamericana de Derechos Humanos un informe, en el cual indique las medidas adoptadas para cumplir con las reparaciones ordenadas por esta Corte en la Sentencia. </w:t>
      </w:r>
    </w:p>
    <w:p w14:paraId="13FB60E8"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2DC16060" w14:textId="77777777" w:rsidR="00EE524B" w:rsidRPr="00422F3B"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Requerir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6E9B1046" w14:textId="77777777" w:rsidR="009A5876" w:rsidRDefault="009A5876" w:rsidP="00D0573D">
      <w:pPr>
        <w:pStyle w:val="Prrafodelista"/>
        <w:spacing w:after="0" w:line="240" w:lineRule="auto"/>
        <w:ind w:left="0"/>
        <w:contextualSpacing w:val="0"/>
        <w:jc w:val="both"/>
        <w:rPr>
          <w:rFonts w:ascii="Verdana" w:hAnsi="Verdana"/>
          <w:sz w:val="20"/>
          <w:szCs w:val="20"/>
          <w:lang w:val="es-CR"/>
        </w:rPr>
      </w:pPr>
    </w:p>
    <w:p w14:paraId="4DCC3F9F" w14:textId="77777777" w:rsidR="00462D62" w:rsidRDefault="00EE524B" w:rsidP="00D0573D">
      <w:pPr>
        <w:pStyle w:val="Prrafodelista"/>
        <w:numPr>
          <w:ilvl w:val="0"/>
          <w:numId w:val="3"/>
        </w:numPr>
        <w:spacing w:after="0" w:line="240" w:lineRule="auto"/>
        <w:ind w:left="0" w:firstLine="0"/>
        <w:contextualSpacing w:val="0"/>
        <w:jc w:val="both"/>
        <w:rPr>
          <w:rFonts w:ascii="Verdana" w:hAnsi="Verdana"/>
          <w:sz w:val="20"/>
          <w:szCs w:val="20"/>
          <w:lang w:val="es-CR"/>
        </w:rPr>
      </w:pPr>
      <w:r w:rsidRPr="00422F3B">
        <w:rPr>
          <w:rFonts w:ascii="Verdana" w:hAnsi="Verdana"/>
          <w:sz w:val="20"/>
          <w:szCs w:val="20"/>
          <w:lang w:val="es-CR"/>
        </w:rPr>
        <w:t xml:space="preserve">Disponer que la Secretaría de la Corte notifique la presente Resolución al Estado, a los representantes de las víctimas y a la Comisión Interamericana de Derechos Humanos. </w:t>
      </w:r>
      <w:r w:rsidR="00045EDB" w:rsidRPr="00EE524B">
        <w:rPr>
          <w:rFonts w:ascii="Verdana" w:hAnsi="Verdana"/>
          <w:sz w:val="20"/>
          <w:szCs w:val="20"/>
          <w:lang w:val="es-CR"/>
        </w:rPr>
        <w:t xml:space="preserve"> </w:t>
      </w:r>
    </w:p>
    <w:p w14:paraId="2FB189B5" w14:textId="77777777" w:rsidR="00462D62" w:rsidRDefault="00462D62">
      <w:pPr>
        <w:rPr>
          <w:rFonts w:ascii="Verdana" w:hAnsi="Verdana"/>
          <w:sz w:val="20"/>
          <w:szCs w:val="20"/>
          <w:lang w:val="es-CR"/>
        </w:rPr>
      </w:pPr>
      <w:r>
        <w:rPr>
          <w:rFonts w:ascii="Verdana" w:hAnsi="Verdana"/>
          <w:sz w:val="20"/>
          <w:szCs w:val="20"/>
          <w:lang w:val="es-CR"/>
        </w:rPr>
        <w:br w:type="page"/>
      </w:r>
    </w:p>
    <w:p w14:paraId="48FCC184" w14:textId="77777777" w:rsidR="00B31BE1" w:rsidRPr="00847B73" w:rsidRDefault="00B31BE1" w:rsidP="00B31BE1">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González Medina y familiares Vs. República Dominicana.</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p w14:paraId="2398B9D9" w14:textId="77777777" w:rsidR="00B31BE1" w:rsidRPr="00847B73" w:rsidRDefault="00B31BE1" w:rsidP="00B31BE1">
      <w:pPr>
        <w:spacing w:after="0" w:line="240" w:lineRule="auto"/>
        <w:jc w:val="center"/>
        <w:rPr>
          <w:rFonts w:ascii="Verdana" w:hAnsi="Verdana"/>
          <w:sz w:val="20"/>
          <w:lang w:val="es-ES"/>
        </w:rPr>
      </w:pPr>
    </w:p>
    <w:p w14:paraId="351E8BF4" w14:textId="77777777" w:rsidR="00B31BE1" w:rsidRPr="00847B73" w:rsidRDefault="00B31BE1" w:rsidP="00B31BE1">
      <w:pPr>
        <w:spacing w:after="0" w:line="240" w:lineRule="auto"/>
        <w:jc w:val="center"/>
        <w:rPr>
          <w:rFonts w:ascii="Verdana" w:hAnsi="Verdana"/>
          <w:sz w:val="20"/>
          <w:lang w:val="es-ES"/>
        </w:rPr>
      </w:pPr>
    </w:p>
    <w:p w14:paraId="6FEBEC79" w14:textId="77777777" w:rsidR="00B31BE1" w:rsidRPr="00826239" w:rsidRDefault="00B31BE1" w:rsidP="00B31BE1">
      <w:pPr>
        <w:tabs>
          <w:tab w:val="left" w:pos="567"/>
        </w:tabs>
        <w:spacing w:after="0" w:line="240" w:lineRule="auto"/>
        <w:ind w:right="4"/>
        <w:jc w:val="center"/>
        <w:rPr>
          <w:rFonts w:ascii="Verdana" w:hAnsi="Verdana"/>
          <w:b/>
          <w:smallCaps/>
          <w:sz w:val="20"/>
          <w:lang w:val="es-CO"/>
        </w:rPr>
      </w:pPr>
    </w:p>
    <w:p w14:paraId="48DBE02F" w14:textId="77777777" w:rsidR="00B31BE1" w:rsidRPr="00D31312" w:rsidRDefault="00B31BE1" w:rsidP="00B31BE1">
      <w:pPr>
        <w:spacing w:after="0" w:line="240" w:lineRule="auto"/>
        <w:rPr>
          <w:rFonts w:ascii="Verdana" w:hAnsi="Verdana"/>
          <w:sz w:val="20"/>
          <w:lang w:val="es-CO"/>
        </w:rPr>
      </w:pPr>
    </w:p>
    <w:p w14:paraId="3634393A" w14:textId="77777777" w:rsidR="00B31BE1" w:rsidRPr="00847B73" w:rsidRDefault="00B31BE1" w:rsidP="00B31BE1">
      <w:pPr>
        <w:spacing w:after="0" w:line="240" w:lineRule="auto"/>
        <w:rPr>
          <w:rFonts w:ascii="Verdana" w:hAnsi="Verdana"/>
          <w:sz w:val="20"/>
          <w:lang w:val="es-ES"/>
        </w:rPr>
      </w:pPr>
    </w:p>
    <w:p w14:paraId="0C842ADC" w14:textId="77777777" w:rsidR="00B31BE1" w:rsidRPr="00847B73" w:rsidRDefault="00B31BE1" w:rsidP="00B31BE1">
      <w:pPr>
        <w:spacing w:after="0" w:line="240" w:lineRule="auto"/>
        <w:rPr>
          <w:rFonts w:ascii="Verdana" w:hAnsi="Verdana"/>
          <w:sz w:val="20"/>
          <w:lang w:val="es-ES"/>
        </w:rPr>
      </w:pPr>
    </w:p>
    <w:p w14:paraId="456CE3A8" w14:textId="77777777" w:rsidR="00B31BE1" w:rsidRDefault="00B31BE1" w:rsidP="00B31BE1">
      <w:pPr>
        <w:spacing w:after="0" w:line="240" w:lineRule="auto"/>
        <w:jc w:val="center"/>
        <w:rPr>
          <w:rFonts w:ascii="Verdana" w:hAnsi="Verdana"/>
          <w:sz w:val="20"/>
          <w:lang w:val="pt-BR"/>
        </w:rPr>
      </w:pPr>
      <w:r w:rsidRPr="00847B73">
        <w:rPr>
          <w:rFonts w:ascii="Verdana" w:hAnsi="Verdana"/>
          <w:sz w:val="20"/>
          <w:lang w:val="pt-BR"/>
        </w:rPr>
        <w:t xml:space="preserve">Eduardo Vio Grossi </w:t>
      </w:r>
    </w:p>
    <w:p w14:paraId="7D668489" w14:textId="77777777" w:rsidR="00B31BE1" w:rsidRPr="00847B73" w:rsidRDefault="00B31BE1" w:rsidP="00B31BE1">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60F77A2C" w14:textId="77777777" w:rsidR="00B31BE1" w:rsidRPr="00847B73" w:rsidRDefault="00B31BE1" w:rsidP="00B31BE1">
      <w:pPr>
        <w:spacing w:after="0" w:line="240" w:lineRule="auto"/>
        <w:jc w:val="both"/>
        <w:rPr>
          <w:rFonts w:ascii="Verdana" w:hAnsi="Verdana"/>
          <w:sz w:val="20"/>
          <w:lang w:val="pt-BR"/>
        </w:rPr>
      </w:pPr>
    </w:p>
    <w:p w14:paraId="1116D450" w14:textId="77777777" w:rsidR="00B31BE1" w:rsidRPr="00847B73" w:rsidRDefault="00B31BE1" w:rsidP="00B31BE1">
      <w:pPr>
        <w:spacing w:after="0" w:line="240" w:lineRule="auto"/>
        <w:jc w:val="both"/>
        <w:rPr>
          <w:rFonts w:ascii="Verdana" w:hAnsi="Verdana"/>
          <w:sz w:val="20"/>
          <w:lang w:val="pt-BR"/>
        </w:rPr>
      </w:pPr>
    </w:p>
    <w:p w14:paraId="33DBAAE0" w14:textId="77777777" w:rsidR="00B31BE1" w:rsidRDefault="00B31BE1" w:rsidP="00B31BE1">
      <w:pPr>
        <w:spacing w:after="0" w:line="240" w:lineRule="auto"/>
        <w:jc w:val="both"/>
        <w:rPr>
          <w:rFonts w:ascii="Verdana" w:hAnsi="Verdana"/>
          <w:sz w:val="20"/>
          <w:lang w:val="pt-BR"/>
        </w:rPr>
      </w:pPr>
    </w:p>
    <w:p w14:paraId="0D37147E" w14:textId="77777777" w:rsidR="00B31BE1" w:rsidRDefault="00B31BE1" w:rsidP="00B31BE1">
      <w:pPr>
        <w:spacing w:after="0" w:line="240" w:lineRule="auto"/>
        <w:jc w:val="both"/>
        <w:rPr>
          <w:rFonts w:ascii="Verdana" w:hAnsi="Verdana"/>
          <w:sz w:val="20"/>
          <w:lang w:val="pt-BR"/>
        </w:rPr>
      </w:pPr>
    </w:p>
    <w:p w14:paraId="1519D355" w14:textId="77777777" w:rsidR="00B31BE1" w:rsidRPr="00847B73" w:rsidRDefault="00B31BE1" w:rsidP="00B31BE1">
      <w:pPr>
        <w:spacing w:after="0" w:line="240" w:lineRule="auto"/>
        <w:jc w:val="both"/>
        <w:rPr>
          <w:rFonts w:ascii="Verdana" w:hAnsi="Verdana"/>
          <w:sz w:val="20"/>
          <w:lang w:val="pt-BR"/>
        </w:rPr>
      </w:pPr>
    </w:p>
    <w:p w14:paraId="1ACD2824" w14:textId="77777777" w:rsidR="00B31BE1" w:rsidRDefault="00B31BE1" w:rsidP="00B31BE1">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sidRPr="00DF599A">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Elizabeth Odio Benito</w:t>
      </w:r>
    </w:p>
    <w:p w14:paraId="4B89B2C3" w14:textId="77777777" w:rsidR="00B31BE1" w:rsidRDefault="00B31BE1" w:rsidP="00B31BE1">
      <w:pPr>
        <w:spacing w:after="0" w:line="240" w:lineRule="auto"/>
        <w:rPr>
          <w:rFonts w:ascii="Verdana" w:hAnsi="Verdana"/>
          <w:sz w:val="20"/>
          <w:lang w:val="pt-BR"/>
        </w:rPr>
      </w:pPr>
    </w:p>
    <w:p w14:paraId="7C9BB9D4" w14:textId="77777777" w:rsidR="00B31BE1" w:rsidRDefault="00B31BE1" w:rsidP="00B31BE1">
      <w:pPr>
        <w:spacing w:after="0" w:line="240" w:lineRule="auto"/>
        <w:rPr>
          <w:rFonts w:ascii="Verdana" w:hAnsi="Verdana"/>
          <w:sz w:val="20"/>
          <w:lang w:val="pt-BR"/>
        </w:rPr>
      </w:pPr>
    </w:p>
    <w:p w14:paraId="7D34F5CB" w14:textId="77777777" w:rsidR="00B31BE1" w:rsidRDefault="00B31BE1" w:rsidP="00B31BE1">
      <w:pPr>
        <w:spacing w:after="0" w:line="240" w:lineRule="auto"/>
        <w:rPr>
          <w:rFonts w:ascii="Verdana" w:hAnsi="Verdana"/>
          <w:sz w:val="20"/>
          <w:lang w:val="pt-BR"/>
        </w:rPr>
      </w:pPr>
    </w:p>
    <w:p w14:paraId="73C66FA5" w14:textId="77777777" w:rsidR="00B31BE1" w:rsidRPr="00847B73" w:rsidRDefault="00B31BE1" w:rsidP="00B31BE1">
      <w:pPr>
        <w:spacing w:after="0" w:line="240" w:lineRule="auto"/>
        <w:rPr>
          <w:rFonts w:ascii="Verdana" w:hAnsi="Verdana"/>
          <w:sz w:val="20"/>
          <w:lang w:val="pt-BR"/>
        </w:rPr>
      </w:pPr>
    </w:p>
    <w:p w14:paraId="1EB5F35F" w14:textId="77777777" w:rsidR="00B31BE1" w:rsidRPr="00847B73" w:rsidRDefault="00B31BE1" w:rsidP="00B31BE1">
      <w:pPr>
        <w:spacing w:after="0" w:line="240" w:lineRule="auto"/>
        <w:jc w:val="both"/>
        <w:rPr>
          <w:rFonts w:ascii="Verdana" w:hAnsi="Verdana"/>
          <w:sz w:val="20"/>
          <w:lang w:val="pt-BR"/>
        </w:rPr>
      </w:pPr>
    </w:p>
    <w:p w14:paraId="454642AD" w14:textId="77777777" w:rsidR="00B31BE1" w:rsidRPr="00847B73" w:rsidRDefault="00B31BE1" w:rsidP="00B31BE1">
      <w:pPr>
        <w:spacing w:after="0" w:line="240" w:lineRule="auto"/>
        <w:rPr>
          <w:rFonts w:ascii="Verdana" w:hAnsi="Verdana"/>
          <w:sz w:val="20"/>
          <w:lang w:val="pt-BR"/>
        </w:rPr>
      </w:pPr>
      <w:r w:rsidRPr="00847B73">
        <w:rPr>
          <w:rFonts w:ascii="Verdana" w:hAnsi="Verdana"/>
          <w:sz w:val="20"/>
          <w:lang w:val="pt-BR"/>
        </w:rPr>
        <w:t xml:space="preserve">Eugenio Raúl Zaffaroni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847B73">
        <w:rPr>
          <w:rFonts w:ascii="Verdana" w:hAnsi="Verdana"/>
          <w:sz w:val="20"/>
          <w:lang w:val="pt-BR"/>
        </w:rPr>
        <w:t>L. Patricio Pazmiño Freire</w:t>
      </w:r>
    </w:p>
    <w:p w14:paraId="3378C569" w14:textId="77777777" w:rsidR="00B31BE1" w:rsidRPr="00847B73" w:rsidRDefault="00B31BE1" w:rsidP="00B31BE1">
      <w:pPr>
        <w:spacing w:after="0" w:line="240" w:lineRule="auto"/>
        <w:rPr>
          <w:rFonts w:ascii="Verdana" w:hAnsi="Verdana"/>
          <w:sz w:val="20"/>
          <w:lang w:val="pt-BR"/>
        </w:rPr>
      </w:pPr>
    </w:p>
    <w:p w14:paraId="3B3A0976" w14:textId="77777777" w:rsidR="00B31BE1" w:rsidRDefault="00B31BE1" w:rsidP="00B31BE1">
      <w:pPr>
        <w:spacing w:after="0" w:line="240" w:lineRule="auto"/>
        <w:rPr>
          <w:rFonts w:ascii="Verdana" w:hAnsi="Verdana"/>
          <w:sz w:val="20"/>
          <w:lang w:val="pt-BR"/>
        </w:rPr>
      </w:pPr>
    </w:p>
    <w:p w14:paraId="3C89D62C" w14:textId="77777777" w:rsidR="00B31BE1" w:rsidRPr="00847B73" w:rsidRDefault="00B31BE1" w:rsidP="00B31BE1">
      <w:pPr>
        <w:spacing w:after="0" w:line="240" w:lineRule="auto"/>
        <w:rPr>
          <w:rFonts w:ascii="Verdana" w:hAnsi="Verdana"/>
          <w:sz w:val="20"/>
          <w:lang w:val="pt-BR"/>
        </w:rPr>
      </w:pPr>
    </w:p>
    <w:p w14:paraId="0EEA3BD1" w14:textId="77777777" w:rsidR="00B31BE1" w:rsidRPr="00847B73" w:rsidRDefault="00B31BE1" w:rsidP="00B31BE1">
      <w:pPr>
        <w:spacing w:after="0" w:line="240" w:lineRule="auto"/>
        <w:rPr>
          <w:rFonts w:ascii="Verdana" w:hAnsi="Verdana"/>
          <w:sz w:val="20"/>
          <w:lang w:val="pt-BR"/>
        </w:rPr>
      </w:pPr>
    </w:p>
    <w:p w14:paraId="4B056EA2" w14:textId="77777777" w:rsidR="00B31BE1" w:rsidRPr="00847B73" w:rsidRDefault="00B31BE1" w:rsidP="00B31BE1">
      <w:pPr>
        <w:spacing w:after="0" w:line="240" w:lineRule="auto"/>
        <w:jc w:val="center"/>
        <w:rPr>
          <w:rFonts w:ascii="Verdana" w:hAnsi="Verdana"/>
          <w:sz w:val="20"/>
          <w:lang w:val="pt-BR"/>
        </w:rPr>
      </w:pPr>
    </w:p>
    <w:p w14:paraId="2A720F0D" w14:textId="77777777" w:rsidR="00B31BE1" w:rsidRPr="00847B73" w:rsidRDefault="00B31BE1" w:rsidP="00B31BE1">
      <w:pPr>
        <w:spacing w:after="0" w:line="240" w:lineRule="auto"/>
        <w:jc w:val="center"/>
        <w:rPr>
          <w:rFonts w:ascii="Verdana" w:hAnsi="Verdana"/>
          <w:sz w:val="20"/>
          <w:lang w:val="es-CR"/>
        </w:rPr>
      </w:pPr>
      <w:r w:rsidRPr="00847B73">
        <w:rPr>
          <w:rFonts w:ascii="Verdana" w:hAnsi="Verdana"/>
          <w:sz w:val="20"/>
          <w:lang w:val="es-CR"/>
        </w:rPr>
        <w:t>Ricardo C. Pérez Manrique</w:t>
      </w:r>
    </w:p>
    <w:p w14:paraId="74B82329" w14:textId="77777777" w:rsidR="00B31BE1" w:rsidRPr="00847B73" w:rsidRDefault="00B31BE1" w:rsidP="00B31BE1">
      <w:pPr>
        <w:spacing w:after="0" w:line="240" w:lineRule="auto"/>
        <w:jc w:val="center"/>
        <w:rPr>
          <w:rFonts w:ascii="Verdana" w:hAnsi="Verdana"/>
          <w:sz w:val="20"/>
          <w:lang w:val="es-CR"/>
        </w:rPr>
      </w:pPr>
    </w:p>
    <w:p w14:paraId="5729D9FF" w14:textId="77777777" w:rsidR="00B31BE1" w:rsidRDefault="00B31BE1" w:rsidP="00B31BE1">
      <w:pPr>
        <w:spacing w:after="0" w:line="240" w:lineRule="auto"/>
        <w:jc w:val="both"/>
        <w:rPr>
          <w:rFonts w:ascii="Verdana" w:hAnsi="Verdana"/>
          <w:sz w:val="20"/>
          <w:lang w:val="pt-BR"/>
        </w:rPr>
      </w:pPr>
    </w:p>
    <w:p w14:paraId="7B9D0072" w14:textId="77777777" w:rsidR="00B31BE1" w:rsidRPr="00847B73" w:rsidRDefault="00B31BE1" w:rsidP="00B31BE1">
      <w:pPr>
        <w:spacing w:after="0" w:line="240" w:lineRule="auto"/>
        <w:jc w:val="both"/>
        <w:rPr>
          <w:rFonts w:ascii="Verdana" w:hAnsi="Verdana"/>
          <w:sz w:val="20"/>
          <w:lang w:val="pt-BR"/>
        </w:rPr>
      </w:pPr>
    </w:p>
    <w:p w14:paraId="51271C6F" w14:textId="77777777" w:rsidR="00B31BE1" w:rsidRPr="00847B73" w:rsidRDefault="00B31BE1" w:rsidP="00B31BE1">
      <w:pPr>
        <w:spacing w:after="0" w:line="240" w:lineRule="auto"/>
        <w:jc w:val="both"/>
        <w:rPr>
          <w:rFonts w:ascii="Verdana" w:hAnsi="Verdana"/>
          <w:sz w:val="20"/>
          <w:lang w:val="pt-BR"/>
        </w:rPr>
      </w:pPr>
    </w:p>
    <w:p w14:paraId="647AB473" w14:textId="77777777" w:rsidR="00B31BE1" w:rsidRPr="00847B73" w:rsidRDefault="00B31BE1" w:rsidP="00B31BE1">
      <w:pPr>
        <w:spacing w:after="0" w:line="240" w:lineRule="auto"/>
        <w:jc w:val="both"/>
        <w:rPr>
          <w:rFonts w:ascii="Verdana" w:hAnsi="Verdana"/>
          <w:sz w:val="20"/>
          <w:lang w:val="pt-BR"/>
        </w:rPr>
      </w:pPr>
    </w:p>
    <w:p w14:paraId="52698FB8" w14:textId="77777777" w:rsidR="00B31BE1" w:rsidRPr="00847B73" w:rsidRDefault="00B31BE1" w:rsidP="00B31BE1">
      <w:pPr>
        <w:spacing w:after="0" w:line="240" w:lineRule="auto"/>
        <w:jc w:val="center"/>
        <w:rPr>
          <w:rFonts w:ascii="Verdana" w:hAnsi="Verdana"/>
          <w:sz w:val="20"/>
          <w:lang w:val="pt-BR"/>
        </w:rPr>
      </w:pPr>
      <w:r w:rsidRPr="00847B73">
        <w:rPr>
          <w:rFonts w:ascii="Verdana" w:hAnsi="Verdana"/>
          <w:sz w:val="20"/>
          <w:lang w:val="pt-BR"/>
        </w:rPr>
        <w:t>Pablo Saavedra Alessandri</w:t>
      </w:r>
    </w:p>
    <w:p w14:paraId="36BB6DEC" w14:textId="77777777" w:rsidR="00B31BE1" w:rsidRPr="00847B73" w:rsidRDefault="00B31BE1" w:rsidP="00B31BE1">
      <w:pPr>
        <w:spacing w:after="0" w:line="240" w:lineRule="auto"/>
        <w:jc w:val="center"/>
        <w:rPr>
          <w:rFonts w:ascii="Verdana" w:hAnsi="Verdana"/>
          <w:sz w:val="20"/>
          <w:lang w:val="pt-BR"/>
        </w:rPr>
      </w:pPr>
      <w:r w:rsidRPr="00847B73">
        <w:rPr>
          <w:rFonts w:ascii="Verdana" w:hAnsi="Verdana"/>
          <w:sz w:val="20"/>
          <w:lang w:val="pt-BR"/>
        </w:rPr>
        <w:t>Secretario</w:t>
      </w:r>
    </w:p>
    <w:p w14:paraId="4F74B5AC" w14:textId="77777777" w:rsidR="00B31BE1" w:rsidRPr="00847B73" w:rsidRDefault="00B31BE1" w:rsidP="00B31BE1">
      <w:pPr>
        <w:spacing w:after="0" w:line="240" w:lineRule="auto"/>
        <w:rPr>
          <w:rFonts w:ascii="Verdana" w:hAnsi="Verdana"/>
          <w:sz w:val="20"/>
          <w:lang w:val="pt-BR"/>
        </w:rPr>
      </w:pPr>
    </w:p>
    <w:p w14:paraId="4B6A7780" w14:textId="77777777" w:rsidR="00B31BE1" w:rsidRPr="00847B73" w:rsidRDefault="00B31BE1" w:rsidP="00B31BE1">
      <w:pPr>
        <w:pStyle w:val="Textonotapie"/>
        <w:rPr>
          <w:rFonts w:ascii="Verdana" w:hAnsi="Verdana"/>
          <w:lang w:val="pt-BR"/>
        </w:rPr>
      </w:pPr>
    </w:p>
    <w:p w14:paraId="4E77588B" w14:textId="77777777" w:rsidR="00B31BE1" w:rsidRPr="00847B73" w:rsidRDefault="00B31BE1" w:rsidP="00B31BE1">
      <w:pPr>
        <w:spacing w:after="0" w:line="240" w:lineRule="auto"/>
        <w:jc w:val="both"/>
        <w:rPr>
          <w:rFonts w:ascii="Verdana" w:hAnsi="Verdana"/>
          <w:sz w:val="20"/>
          <w:lang w:val="pt-BR"/>
        </w:rPr>
      </w:pPr>
      <w:r w:rsidRPr="00847B73">
        <w:rPr>
          <w:rFonts w:ascii="Verdana" w:hAnsi="Verdana"/>
          <w:sz w:val="20"/>
          <w:lang w:val="pt-BR"/>
        </w:rPr>
        <w:t>Comuníquese y ejecútese,</w:t>
      </w:r>
    </w:p>
    <w:p w14:paraId="538CADAD" w14:textId="77777777" w:rsidR="00B31BE1" w:rsidRPr="00847B73" w:rsidRDefault="00B31BE1" w:rsidP="00B31BE1">
      <w:pPr>
        <w:spacing w:after="0" w:line="240" w:lineRule="auto"/>
        <w:jc w:val="both"/>
        <w:rPr>
          <w:rFonts w:ascii="Verdana" w:hAnsi="Verdana"/>
          <w:sz w:val="20"/>
          <w:lang w:val="pt-BR"/>
        </w:rPr>
      </w:pPr>
    </w:p>
    <w:p w14:paraId="56EFB63D" w14:textId="77777777" w:rsidR="00B31BE1" w:rsidRPr="00847B73" w:rsidRDefault="00B31BE1" w:rsidP="00B31BE1">
      <w:pPr>
        <w:spacing w:after="0" w:line="240" w:lineRule="auto"/>
        <w:jc w:val="both"/>
        <w:rPr>
          <w:rFonts w:ascii="Verdana" w:hAnsi="Verdana"/>
          <w:sz w:val="20"/>
          <w:lang w:val="pt-BR"/>
        </w:rPr>
      </w:pPr>
    </w:p>
    <w:p w14:paraId="452F2DAF" w14:textId="77777777" w:rsidR="00B31BE1" w:rsidRPr="00847B73" w:rsidRDefault="00B31BE1" w:rsidP="00B31BE1">
      <w:pPr>
        <w:spacing w:after="0" w:line="240" w:lineRule="auto"/>
        <w:jc w:val="both"/>
        <w:rPr>
          <w:rFonts w:ascii="Verdana" w:hAnsi="Verdana"/>
          <w:sz w:val="20"/>
          <w:lang w:val="pt-BR"/>
        </w:rPr>
      </w:pPr>
    </w:p>
    <w:p w14:paraId="3DF85F27" w14:textId="77777777" w:rsidR="00B31BE1" w:rsidRDefault="00B31BE1" w:rsidP="00B31BE1">
      <w:pPr>
        <w:spacing w:after="0" w:line="240" w:lineRule="auto"/>
        <w:jc w:val="both"/>
        <w:rPr>
          <w:rFonts w:ascii="Verdana" w:hAnsi="Verdana"/>
          <w:sz w:val="20"/>
          <w:lang w:val="pt-BR"/>
        </w:rPr>
      </w:pPr>
    </w:p>
    <w:p w14:paraId="7C672711" w14:textId="77777777" w:rsidR="00B31BE1" w:rsidRPr="00847B73" w:rsidRDefault="00B31BE1" w:rsidP="00B31BE1">
      <w:pPr>
        <w:spacing w:after="0" w:line="240" w:lineRule="auto"/>
        <w:jc w:val="both"/>
        <w:rPr>
          <w:rFonts w:ascii="Verdana" w:hAnsi="Verdana"/>
          <w:sz w:val="20"/>
          <w:lang w:val="pt-BR"/>
        </w:rPr>
      </w:pPr>
    </w:p>
    <w:p w14:paraId="1C52B775" w14:textId="77777777" w:rsidR="00B31BE1" w:rsidRDefault="00B31BE1" w:rsidP="00B31BE1">
      <w:pPr>
        <w:spacing w:after="0" w:line="240" w:lineRule="auto"/>
        <w:ind w:left="4956"/>
        <w:jc w:val="center"/>
        <w:rPr>
          <w:rFonts w:ascii="Verdana" w:hAnsi="Verdana"/>
          <w:sz w:val="20"/>
          <w:lang w:val="pt-BR"/>
        </w:rPr>
      </w:pPr>
      <w:r w:rsidRPr="00847B73">
        <w:rPr>
          <w:rFonts w:ascii="Verdana" w:hAnsi="Verdana"/>
          <w:sz w:val="20"/>
          <w:lang w:val="pt-BR"/>
        </w:rPr>
        <w:t xml:space="preserve">Eduardo Vio Grossi </w:t>
      </w:r>
    </w:p>
    <w:p w14:paraId="2C54B5C8" w14:textId="77777777" w:rsidR="00B31BE1" w:rsidRPr="00847B73" w:rsidRDefault="00B31BE1" w:rsidP="00B31BE1">
      <w:pPr>
        <w:spacing w:after="0" w:line="240" w:lineRule="auto"/>
        <w:ind w:left="4956"/>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48CE8EED" w14:textId="77777777" w:rsidR="00B31BE1" w:rsidRDefault="00B31BE1" w:rsidP="00B31BE1">
      <w:pPr>
        <w:spacing w:after="0" w:line="240" w:lineRule="auto"/>
        <w:jc w:val="both"/>
        <w:rPr>
          <w:rFonts w:ascii="Verdana" w:hAnsi="Verdana"/>
          <w:sz w:val="20"/>
          <w:lang w:val="pt-BR"/>
        </w:rPr>
      </w:pPr>
    </w:p>
    <w:p w14:paraId="374DE8B3" w14:textId="77777777" w:rsidR="00B31BE1" w:rsidRDefault="00B31BE1" w:rsidP="00B31BE1">
      <w:pPr>
        <w:spacing w:after="0" w:line="240" w:lineRule="auto"/>
        <w:jc w:val="both"/>
        <w:rPr>
          <w:rFonts w:ascii="Verdana" w:hAnsi="Verdana"/>
          <w:sz w:val="20"/>
          <w:lang w:val="pt-BR"/>
        </w:rPr>
      </w:pPr>
    </w:p>
    <w:p w14:paraId="42E4E342" w14:textId="77777777" w:rsidR="00B31BE1" w:rsidRPr="00847B73" w:rsidRDefault="00B31BE1" w:rsidP="00B31BE1">
      <w:pPr>
        <w:spacing w:after="0" w:line="240" w:lineRule="auto"/>
        <w:jc w:val="both"/>
        <w:rPr>
          <w:rFonts w:ascii="Verdana" w:hAnsi="Verdana"/>
          <w:sz w:val="20"/>
          <w:lang w:val="pt-BR"/>
        </w:rPr>
      </w:pPr>
    </w:p>
    <w:p w14:paraId="61EF38B6" w14:textId="77777777" w:rsidR="00B31BE1" w:rsidRPr="00847B73" w:rsidRDefault="00B31BE1" w:rsidP="00B31BE1">
      <w:pPr>
        <w:spacing w:after="0" w:line="240" w:lineRule="auto"/>
        <w:jc w:val="both"/>
        <w:rPr>
          <w:rFonts w:ascii="Verdana" w:hAnsi="Verdana"/>
          <w:sz w:val="20"/>
          <w:lang w:val="pt-BR"/>
        </w:rPr>
      </w:pPr>
    </w:p>
    <w:p w14:paraId="315F80E0" w14:textId="77777777" w:rsidR="00B31BE1" w:rsidRPr="00847B73" w:rsidRDefault="00B31BE1" w:rsidP="00B31BE1">
      <w:pPr>
        <w:spacing w:after="0" w:line="240" w:lineRule="auto"/>
        <w:jc w:val="both"/>
        <w:rPr>
          <w:rFonts w:ascii="Verdana" w:hAnsi="Verdana"/>
          <w:sz w:val="20"/>
          <w:lang w:val="es-ES"/>
        </w:rPr>
      </w:pPr>
      <w:r w:rsidRPr="00847B73">
        <w:rPr>
          <w:rFonts w:ascii="Verdana" w:hAnsi="Verdana"/>
          <w:sz w:val="20"/>
          <w:lang w:val="es-ES"/>
        </w:rPr>
        <w:t>Pablo Saavedra Alessandri</w:t>
      </w:r>
    </w:p>
    <w:p w14:paraId="37DFD449" w14:textId="77777777" w:rsidR="00B31BE1" w:rsidRPr="00FC7D8B" w:rsidRDefault="00B31BE1" w:rsidP="00B31BE1">
      <w:pPr>
        <w:spacing w:after="0" w:line="240" w:lineRule="auto"/>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20DFD63A" w14:textId="77777777" w:rsidR="00045EDB" w:rsidRPr="00EE524B" w:rsidRDefault="00045EDB" w:rsidP="00B31BE1">
      <w:pPr>
        <w:pStyle w:val="Prrafodelista"/>
        <w:spacing w:after="0" w:line="240" w:lineRule="auto"/>
        <w:ind w:left="0"/>
        <w:contextualSpacing w:val="0"/>
        <w:jc w:val="both"/>
        <w:rPr>
          <w:rFonts w:ascii="Verdana" w:hAnsi="Verdana"/>
          <w:sz w:val="20"/>
          <w:szCs w:val="20"/>
          <w:lang w:val="es-CR"/>
        </w:rPr>
      </w:pPr>
    </w:p>
    <w:sectPr w:rsidR="00045EDB" w:rsidRPr="00EE524B" w:rsidSect="00462D6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AF0D" w14:textId="77777777" w:rsidR="008B073A" w:rsidRDefault="008B073A" w:rsidP="0075474E">
      <w:pPr>
        <w:spacing w:after="0" w:line="240" w:lineRule="auto"/>
      </w:pPr>
      <w:r>
        <w:separator/>
      </w:r>
    </w:p>
  </w:endnote>
  <w:endnote w:type="continuationSeparator" w:id="0">
    <w:p w14:paraId="34E7A5AE" w14:textId="77777777" w:rsidR="008B073A" w:rsidRDefault="008B073A" w:rsidP="0075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567338"/>
      <w:docPartObj>
        <w:docPartGallery w:val="Page Numbers (Bottom of Page)"/>
        <w:docPartUnique/>
      </w:docPartObj>
    </w:sdtPr>
    <w:sdtEndPr/>
    <w:sdtContent>
      <w:p w14:paraId="275903B3" w14:textId="77777777" w:rsidR="00CE7125" w:rsidRDefault="00CE7125">
        <w:pPr>
          <w:pStyle w:val="Piedepgina"/>
          <w:jc w:val="center"/>
        </w:pPr>
        <w:r w:rsidRPr="00CE7125">
          <w:rPr>
            <w:rFonts w:ascii="Verdana" w:hAnsi="Verdana"/>
            <w:sz w:val="20"/>
            <w:szCs w:val="20"/>
          </w:rPr>
          <w:t>-</w:t>
        </w:r>
        <w:r w:rsidRPr="00CE7125">
          <w:rPr>
            <w:rFonts w:ascii="Verdana" w:hAnsi="Verdana"/>
            <w:sz w:val="20"/>
            <w:szCs w:val="20"/>
          </w:rPr>
          <w:fldChar w:fldCharType="begin"/>
        </w:r>
        <w:r w:rsidRPr="00CE7125">
          <w:rPr>
            <w:rFonts w:ascii="Verdana" w:hAnsi="Verdana"/>
            <w:sz w:val="20"/>
            <w:szCs w:val="20"/>
          </w:rPr>
          <w:instrText>PAGE   \* MERGEFORMAT</w:instrText>
        </w:r>
        <w:r w:rsidRPr="00CE7125">
          <w:rPr>
            <w:rFonts w:ascii="Verdana" w:hAnsi="Verdana"/>
            <w:sz w:val="20"/>
            <w:szCs w:val="20"/>
          </w:rPr>
          <w:fldChar w:fldCharType="separate"/>
        </w:r>
        <w:r w:rsidR="00B31BE1" w:rsidRPr="00B31BE1">
          <w:rPr>
            <w:rFonts w:ascii="Verdana" w:hAnsi="Verdana"/>
            <w:noProof/>
            <w:sz w:val="20"/>
            <w:szCs w:val="20"/>
            <w:lang w:val="es-ES"/>
          </w:rPr>
          <w:t>10</w:t>
        </w:r>
        <w:r w:rsidRPr="00CE7125">
          <w:rPr>
            <w:rFonts w:ascii="Verdana" w:hAnsi="Verdana"/>
            <w:sz w:val="20"/>
            <w:szCs w:val="20"/>
          </w:rPr>
          <w:fldChar w:fldCharType="end"/>
        </w:r>
        <w:r w:rsidRPr="00CE7125">
          <w:rPr>
            <w:rFonts w:ascii="Verdana" w:hAnsi="Verdana"/>
            <w:sz w:val="20"/>
            <w:szCs w:val="20"/>
          </w:rPr>
          <w:t>-</w:t>
        </w:r>
      </w:p>
    </w:sdtContent>
  </w:sdt>
  <w:p w14:paraId="1CEFBF00" w14:textId="77777777" w:rsidR="00CE7125" w:rsidRDefault="00CE71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D00FC" w14:textId="77777777" w:rsidR="008B073A" w:rsidRDefault="008B073A" w:rsidP="0075474E">
      <w:pPr>
        <w:spacing w:after="0" w:line="240" w:lineRule="auto"/>
      </w:pPr>
      <w:r>
        <w:separator/>
      </w:r>
    </w:p>
  </w:footnote>
  <w:footnote w:type="continuationSeparator" w:id="0">
    <w:p w14:paraId="24B024F2" w14:textId="77777777" w:rsidR="008B073A" w:rsidRDefault="008B073A" w:rsidP="0075474E">
      <w:pPr>
        <w:spacing w:after="0" w:line="240" w:lineRule="auto"/>
      </w:pPr>
      <w:r>
        <w:continuationSeparator/>
      </w:r>
    </w:p>
  </w:footnote>
  <w:footnote w:id="1">
    <w:p w14:paraId="397B21C2" w14:textId="77777777" w:rsidR="00BE4D13" w:rsidRPr="00354BEB" w:rsidRDefault="00BE4D13" w:rsidP="008C689A">
      <w:pPr>
        <w:pStyle w:val="Textonotapie"/>
        <w:jc w:val="both"/>
        <w:rPr>
          <w:rFonts w:ascii="Verdana" w:hAnsi="Verdana"/>
          <w:sz w:val="16"/>
          <w:szCs w:val="16"/>
          <w:lang w:val="es-CR"/>
        </w:rPr>
      </w:pPr>
      <w:r w:rsidRPr="00354BEB">
        <w:rPr>
          <w:rFonts w:ascii="Verdana" w:hAnsi="Verdana"/>
          <w:sz w:val="16"/>
          <w:szCs w:val="16"/>
          <w:vertAlign w:val="superscript"/>
          <w:lang w:val="es-CR"/>
        </w:rPr>
        <w:t>*</w:t>
      </w:r>
      <w:r w:rsidRPr="00354BEB">
        <w:rPr>
          <w:rFonts w:ascii="Verdana" w:hAnsi="Verdana"/>
          <w:sz w:val="16"/>
          <w:szCs w:val="16"/>
          <w:lang w:val="es-CR"/>
        </w:rPr>
        <w:tab/>
        <w:t>El Juez Eduardo Ferrer Mac-</w:t>
      </w:r>
      <w:proofErr w:type="spellStart"/>
      <w:r w:rsidRPr="00354BEB">
        <w:rPr>
          <w:rFonts w:ascii="Verdana" w:hAnsi="Verdana"/>
          <w:sz w:val="16"/>
          <w:szCs w:val="16"/>
          <w:lang w:val="es-CR"/>
        </w:rPr>
        <w:t>Gregor</w:t>
      </w:r>
      <w:proofErr w:type="spellEnd"/>
      <w:r w:rsidRPr="00354BEB">
        <w:rPr>
          <w:rFonts w:ascii="Verdana" w:hAnsi="Verdana"/>
          <w:sz w:val="16"/>
          <w:szCs w:val="16"/>
          <w:lang w:val="es-CR"/>
        </w:rPr>
        <w:t xml:space="preserve"> </w:t>
      </w:r>
      <w:proofErr w:type="spellStart"/>
      <w:r w:rsidRPr="00354BEB">
        <w:rPr>
          <w:rFonts w:ascii="Verdana" w:hAnsi="Verdana"/>
          <w:sz w:val="16"/>
          <w:szCs w:val="16"/>
          <w:lang w:val="es-CR"/>
        </w:rPr>
        <w:t>Poisot</w:t>
      </w:r>
      <w:proofErr w:type="spellEnd"/>
      <w:r w:rsidRPr="00354BEB">
        <w:rPr>
          <w:rFonts w:ascii="Verdana" w:hAnsi="Verdana"/>
          <w:sz w:val="16"/>
          <w:szCs w:val="16"/>
          <w:lang w:val="es-CR"/>
        </w:rPr>
        <w:t xml:space="preserve"> no participó en la deliberación y firma de la presente Resolución por razones de fuerza mayor.</w:t>
      </w:r>
    </w:p>
    <w:p w14:paraId="43CAD9F5" w14:textId="77777777" w:rsidR="00E95A35" w:rsidRPr="00354BEB" w:rsidRDefault="00E95A35" w:rsidP="008C689A">
      <w:pPr>
        <w:pStyle w:val="Textonotapie"/>
        <w:jc w:val="both"/>
        <w:rPr>
          <w:rFonts w:ascii="Verdana" w:hAnsi="Verdana"/>
          <w:i/>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 xml:space="preserve">Cfr. Caso González Medina y familiares Vs. República Dominicana. Excepciones Preliminares, Fondo, Reparaciones y Costas. </w:t>
      </w:r>
      <w:r w:rsidRPr="00354BEB">
        <w:rPr>
          <w:rFonts w:ascii="Verdana" w:hAnsi="Verdana"/>
          <w:sz w:val="16"/>
          <w:szCs w:val="16"/>
          <w:lang w:val="es-CR"/>
        </w:rPr>
        <w:t>Sentencia de 27 de febrero de 2012. Serie C No. 240</w:t>
      </w:r>
      <w:r w:rsidR="00BE4D13" w:rsidRPr="00354BEB">
        <w:rPr>
          <w:rFonts w:ascii="Verdana" w:hAnsi="Verdana"/>
          <w:sz w:val="16"/>
          <w:szCs w:val="16"/>
          <w:lang w:val="es-CR"/>
        </w:rPr>
        <w:t>.</w:t>
      </w:r>
      <w:r w:rsidRPr="00354BEB">
        <w:rPr>
          <w:rFonts w:ascii="Verdana" w:hAnsi="Verdana"/>
          <w:sz w:val="16"/>
          <w:szCs w:val="16"/>
          <w:lang w:val="es-CR"/>
        </w:rPr>
        <w:t xml:space="preserve"> </w:t>
      </w:r>
      <w:r w:rsidR="00BE4D13" w:rsidRPr="00354BEB">
        <w:rPr>
          <w:rFonts w:ascii="Verdana" w:hAnsi="Verdana"/>
          <w:sz w:val="16"/>
          <w:szCs w:val="16"/>
          <w:lang w:val="es-CR"/>
        </w:rPr>
        <w:t xml:space="preserve">Disponible </w:t>
      </w:r>
      <w:r w:rsidRPr="00354BEB">
        <w:rPr>
          <w:rFonts w:ascii="Verdana" w:hAnsi="Verdana"/>
          <w:sz w:val="16"/>
          <w:szCs w:val="16"/>
          <w:lang w:val="es-CR"/>
        </w:rPr>
        <w:t xml:space="preserve">en: </w:t>
      </w:r>
      <w:hyperlink r:id="rId1" w:history="1">
        <w:r w:rsidRPr="00354BEB">
          <w:rPr>
            <w:rStyle w:val="Hipervnculo"/>
            <w:rFonts w:ascii="Verdana" w:hAnsi="Verdana"/>
            <w:sz w:val="16"/>
            <w:szCs w:val="16"/>
            <w:lang w:val="es-CR"/>
          </w:rPr>
          <w:t>http://corteidh.or.cr/docs/casos/articulos/seriec_240_esp.pdf</w:t>
        </w:r>
      </w:hyperlink>
      <w:r w:rsidRPr="00354BEB">
        <w:rPr>
          <w:rFonts w:ascii="Verdana" w:hAnsi="Verdana"/>
          <w:sz w:val="16"/>
          <w:szCs w:val="16"/>
          <w:lang w:val="es-CR"/>
        </w:rPr>
        <w:t>. La Sentencia fue notificada el 2 de abril de 2012.</w:t>
      </w:r>
    </w:p>
  </w:footnote>
  <w:footnote w:id="2">
    <w:p w14:paraId="5818549C" w14:textId="77777777" w:rsidR="00E95A35" w:rsidRPr="00354BEB" w:rsidRDefault="00E95A35" w:rsidP="008C689A">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El Centro por la Justicia y el Derecho Internacional (CEJIL) y la Comisión de la Verdad, Tomás Castro Montenegro.</w:t>
      </w:r>
    </w:p>
  </w:footnote>
  <w:footnote w:id="3">
    <w:p w14:paraId="3872BEE3" w14:textId="77777777" w:rsidR="00E95A35" w:rsidRPr="00354BEB" w:rsidRDefault="00E95A35" w:rsidP="00704B0E">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 xml:space="preserve">Facultad que además se desprende de lo dispuesto en los artículos 33, 62.1, 62.3 y 65 de la Convención Americana </w:t>
      </w:r>
      <w:r w:rsidR="00E97639" w:rsidRPr="00354BEB">
        <w:rPr>
          <w:rFonts w:ascii="Verdana" w:hAnsi="Verdana"/>
          <w:sz w:val="16"/>
          <w:szCs w:val="16"/>
          <w:lang w:val="es-CR"/>
        </w:rPr>
        <w:t xml:space="preserve">sobre Derechos Humanos </w:t>
      </w:r>
      <w:r w:rsidRPr="00354BEB">
        <w:rPr>
          <w:rFonts w:ascii="Verdana" w:hAnsi="Verdana"/>
          <w:sz w:val="16"/>
          <w:szCs w:val="16"/>
          <w:lang w:val="es-CR"/>
        </w:rPr>
        <w:t>y 30 de su Estatuto y se encuentra regulada en el artículo 69 de su Reglamento.</w:t>
      </w:r>
    </w:p>
  </w:footnote>
  <w:footnote w:id="4">
    <w:p w14:paraId="2511D89E" w14:textId="77777777" w:rsidR="00E95A35" w:rsidRPr="00354BEB" w:rsidRDefault="00E95A35" w:rsidP="00522283">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sz w:val="16"/>
          <w:szCs w:val="16"/>
          <w:lang w:val="es-CR"/>
        </w:rPr>
        <w:t xml:space="preserve"> Informe Anual de la Corte Interamericana de Derechos Humanos de 2018, pág. 97, disponible en: </w:t>
      </w:r>
      <w:hyperlink r:id="rId2" w:history="1">
        <w:r w:rsidRPr="00354BEB">
          <w:rPr>
            <w:rStyle w:val="Hipervnculo"/>
            <w:rFonts w:ascii="Verdana" w:hAnsi="Verdana"/>
            <w:sz w:val="16"/>
            <w:szCs w:val="16"/>
            <w:lang w:val="es-CR"/>
          </w:rPr>
          <w:t>http://www.corteidh.or.cr/tablas/informe2018/espanol.pdf</w:t>
        </w:r>
      </w:hyperlink>
      <w:r w:rsidRPr="00354BEB">
        <w:rPr>
          <w:rFonts w:ascii="Verdana" w:hAnsi="Verdana"/>
          <w:sz w:val="16"/>
          <w:szCs w:val="16"/>
          <w:lang w:val="es-CR"/>
        </w:rPr>
        <w:t>.</w:t>
      </w:r>
    </w:p>
  </w:footnote>
  <w:footnote w:id="5">
    <w:p w14:paraId="38AFEA2F" w14:textId="77777777" w:rsidR="00E95A35" w:rsidRPr="00354BEB" w:rsidRDefault="00E95A35">
      <w:pPr>
        <w:pStyle w:val="Textonotapie"/>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cs="Arial"/>
          <w:sz w:val="16"/>
          <w:szCs w:val="16"/>
          <w:lang w:val="es-CR"/>
        </w:rPr>
        <w:t xml:space="preserve">Además, los representantes solicitaron que se convocara a una audiencia de supervisión de cumplimiento. </w:t>
      </w:r>
    </w:p>
  </w:footnote>
  <w:footnote w:id="6">
    <w:p w14:paraId="4FB7DD2C" w14:textId="77777777" w:rsidR="00E95A35" w:rsidRPr="00354BEB" w:rsidRDefault="00E95A35" w:rsidP="00D0573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 xml:space="preserve">Junto con su escrito de 23 de abril de 2014 el Estado aportó un “ejemplar físico del periódico ‘El Nuevo Diario’, del sábado 13 de octubre de 2012 […], en el cual aparece la publicación </w:t>
      </w:r>
      <w:proofErr w:type="gramStart"/>
      <w:r w:rsidRPr="00354BEB">
        <w:rPr>
          <w:rFonts w:ascii="Verdana" w:hAnsi="Verdana"/>
          <w:sz w:val="16"/>
          <w:szCs w:val="16"/>
          <w:lang w:val="es-CR"/>
        </w:rPr>
        <w:t>de[</w:t>
      </w:r>
      <w:proofErr w:type="gramEnd"/>
      <w:r w:rsidRPr="00354BEB">
        <w:rPr>
          <w:rFonts w:ascii="Verdana" w:hAnsi="Verdana"/>
          <w:sz w:val="16"/>
          <w:szCs w:val="16"/>
          <w:lang w:val="es-CR"/>
        </w:rPr>
        <w:t xml:space="preserve">l resumen] de dicha Sentencia”. </w:t>
      </w:r>
    </w:p>
  </w:footnote>
  <w:footnote w:id="7">
    <w:p w14:paraId="5BACC17E" w14:textId="77777777" w:rsidR="00E95A35" w:rsidRPr="00354BEB" w:rsidRDefault="00E95A35" w:rsidP="00D0573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En el informe de</w:t>
      </w:r>
      <w:r w:rsidR="00401B6C" w:rsidRPr="00354BEB">
        <w:rPr>
          <w:rFonts w:ascii="Verdana" w:hAnsi="Verdana"/>
          <w:sz w:val="16"/>
          <w:szCs w:val="16"/>
          <w:lang w:val="es-CR"/>
        </w:rPr>
        <w:t xml:space="preserve"> 17 de</w:t>
      </w:r>
      <w:r w:rsidRPr="00354BEB">
        <w:rPr>
          <w:rFonts w:ascii="Verdana" w:hAnsi="Verdana"/>
          <w:sz w:val="16"/>
          <w:szCs w:val="16"/>
          <w:lang w:val="es-CR"/>
        </w:rPr>
        <w:t xml:space="preserve"> septiembre de 2013 el Estado indicó el enlace electrónico en el cual puede ser consultada dicha publicación.</w:t>
      </w:r>
    </w:p>
  </w:footnote>
  <w:footnote w:id="8">
    <w:p w14:paraId="0D87D6D1" w14:textId="77777777" w:rsidR="00E95A35" w:rsidRPr="00354BEB" w:rsidRDefault="00E95A35" w:rsidP="00B27788">
      <w:pPr>
        <w:pStyle w:val="Textonotapie"/>
        <w:jc w:val="both"/>
        <w:rPr>
          <w:rFonts w:ascii="Verdana" w:hAnsi="Verdana"/>
          <w:b/>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 xml:space="preserve">Al respecto, </w:t>
      </w:r>
      <w:r w:rsidR="00DB3174" w:rsidRPr="00354BEB">
        <w:rPr>
          <w:rFonts w:ascii="Verdana" w:hAnsi="Verdana"/>
          <w:sz w:val="16"/>
          <w:szCs w:val="16"/>
          <w:lang w:val="es-CR"/>
        </w:rPr>
        <w:t xml:space="preserve">indicó </w:t>
      </w:r>
      <w:r w:rsidRPr="00354BEB">
        <w:rPr>
          <w:rFonts w:ascii="Verdana" w:hAnsi="Verdana"/>
          <w:sz w:val="16"/>
          <w:szCs w:val="16"/>
          <w:lang w:val="es-CR"/>
        </w:rPr>
        <w:t>que “[e]n dicho encuentro se acordó lo siguiente: 1- Que la familia de la víctima suministraría</w:t>
      </w:r>
      <w:r w:rsidR="0023567D" w:rsidRPr="00354BEB">
        <w:rPr>
          <w:rFonts w:ascii="Verdana" w:hAnsi="Verdana"/>
          <w:sz w:val="16"/>
          <w:szCs w:val="16"/>
          <w:lang w:val="es-CR"/>
        </w:rPr>
        <w:t>n</w:t>
      </w:r>
      <w:r w:rsidRPr="00354BEB">
        <w:rPr>
          <w:rFonts w:ascii="Verdana" w:hAnsi="Verdana"/>
          <w:sz w:val="16"/>
          <w:szCs w:val="16"/>
          <w:lang w:val="es-CR"/>
        </w:rPr>
        <w:t xml:space="preserve"> el mensaje que ellos desean que se imprima en la tarjeta o placa que será colocada en honor al Profesor González Medina, así como el lugar exacto de su instalación. 2- De igual modo, se dieron los primeros pasos de las negociaciones para la realización de un acto de conmemoración de su obra y sus aportes en nuestro país. En esta misma reunión se acordó que su familia </w:t>
      </w:r>
      <w:r w:rsidR="00DB3174" w:rsidRPr="00354BEB">
        <w:rPr>
          <w:rFonts w:ascii="Verdana" w:hAnsi="Verdana"/>
          <w:sz w:val="16"/>
          <w:szCs w:val="16"/>
          <w:lang w:val="es-CR"/>
        </w:rPr>
        <w:t xml:space="preserve">[…] </w:t>
      </w:r>
      <w:r w:rsidRPr="00354BEB">
        <w:rPr>
          <w:rFonts w:ascii="Verdana" w:hAnsi="Verdana"/>
          <w:sz w:val="16"/>
          <w:szCs w:val="16"/>
          <w:lang w:val="es-CR"/>
        </w:rPr>
        <w:t xml:space="preserve">suministraría información y materiales sobre lo que ellos entienden que debe versar un documental sobre la vida y legado del Profesor González Medina, el cual resaltaría su vida familiar, obra periodística y trabajos realizados como guionista de humor. A tales fines, la Procuraduría General de la República ha contactado y se ha reunido con periodistas e investigadores dominicanos con el propósito de recopilar más datos al respecto. 3- En lo relativo con el tratamiento de las víctimas, según lo ordenado en el punto dispositivo 4 de la Sentencia, se ha puesto a disposición de la familia González Ramírez el uso del Centro de Atención </w:t>
      </w:r>
      <w:r w:rsidR="00D04927" w:rsidRPr="00354BEB">
        <w:rPr>
          <w:rFonts w:ascii="Verdana" w:hAnsi="Verdana"/>
          <w:sz w:val="16"/>
          <w:szCs w:val="16"/>
          <w:lang w:val="es-CR"/>
        </w:rPr>
        <w:t xml:space="preserve">a </w:t>
      </w:r>
      <w:r w:rsidRPr="00354BEB">
        <w:rPr>
          <w:rFonts w:ascii="Verdana" w:hAnsi="Verdana"/>
          <w:sz w:val="16"/>
          <w:szCs w:val="16"/>
          <w:lang w:val="es-CR"/>
        </w:rPr>
        <w:t xml:space="preserve">Sobrevivientes de Violencia de la Procuraduría Fiscal del Distrito Nacional”. El Estado agregó que “se está a la espera de que los familiares o sus representantes legales envíen a la Procuraduría General de la República las informaciones completas para proceder con todo lo acordado”. </w:t>
      </w:r>
    </w:p>
  </w:footnote>
  <w:footnote w:id="9">
    <w:p w14:paraId="2F48D3D0" w14:textId="77777777" w:rsidR="00E95A35" w:rsidRPr="00354BEB" w:rsidRDefault="00E95A35" w:rsidP="00B27788">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Agregaron que, por ello, “los familiares de las víctimas prefieren que publique la Sentencia en un periódico de amplia circulación y de distribución gratuita, para [que] sea conocida por el mayor número de personas”.</w:t>
      </w:r>
    </w:p>
  </w:footnote>
  <w:footnote w:id="10">
    <w:p w14:paraId="17F29BC5" w14:textId="77777777" w:rsidR="00E95A35" w:rsidRPr="00354BEB" w:rsidRDefault="00E95A35" w:rsidP="00D7781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Cinco Pensionistas Vs. Perú. Supervisión de Cumplimiento de Sentencia</w:t>
      </w:r>
      <w:r w:rsidRPr="00354BEB">
        <w:rPr>
          <w:rFonts w:ascii="Verdana" w:hAnsi="Verdana"/>
          <w:sz w:val="16"/>
          <w:szCs w:val="16"/>
          <w:lang w:val="es-CR"/>
        </w:rPr>
        <w:t xml:space="preserve">. Resolución de la Corte Interamericana de Derechos Humanos de 17 de noviembre de 2004, Considerando </w:t>
      </w:r>
      <w:r w:rsidR="00DB3174" w:rsidRPr="00354BEB">
        <w:rPr>
          <w:rFonts w:ascii="Verdana" w:hAnsi="Verdana"/>
          <w:sz w:val="16"/>
          <w:szCs w:val="16"/>
          <w:lang w:val="es-CR"/>
        </w:rPr>
        <w:t>5</w:t>
      </w:r>
      <w:r w:rsidRPr="00354BEB">
        <w:rPr>
          <w:rFonts w:ascii="Verdana" w:hAnsi="Verdana"/>
          <w:sz w:val="16"/>
          <w:szCs w:val="16"/>
          <w:lang w:val="es-CR"/>
        </w:rPr>
        <w:t xml:space="preserve">, y </w:t>
      </w:r>
      <w:r w:rsidR="005A0C5B" w:rsidRPr="00354BEB">
        <w:rPr>
          <w:rFonts w:ascii="Verdana" w:hAnsi="Verdana"/>
          <w:i/>
          <w:sz w:val="16"/>
          <w:szCs w:val="16"/>
          <w:lang w:val="es-CR"/>
        </w:rPr>
        <w:t>Caso Amrhein y otros Vs. Costa Rica. Supervisión de Cumplimiento de Sentencia y Reintegro al Fondo de Asistencia Legal de Víctimas</w:t>
      </w:r>
      <w:r w:rsidR="005A0C5B" w:rsidRPr="00354BEB">
        <w:rPr>
          <w:rFonts w:ascii="Verdana" w:hAnsi="Verdana"/>
          <w:sz w:val="16"/>
          <w:szCs w:val="16"/>
          <w:lang w:val="es-CR"/>
        </w:rPr>
        <w:t>. Resolución de la Corte Interamericana de Derechos Humanos de 7 de octubre de 2019</w:t>
      </w:r>
      <w:r w:rsidRPr="00354BEB">
        <w:rPr>
          <w:rFonts w:ascii="Verdana" w:hAnsi="Verdana"/>
          <w:sz w:val="16"/>
          <w:szCs w:val="16"/>
          <w:lang w:val="es-CR"/>
        </w:rPr>
        <w:t xml:space="preserve">, Considerando </w:t>
      </w:r>
      <w:r w:rsidR="00DB3174" w:rsidRPr="00354BEB">
        <w:rPr>
          <w:rFonts w:ascii="Verdana" w:hAnsi="Verdana"/>
          <w:sz w:val="16"/>
          <w:szCs w:val="16"/>
          <w:lang w:val="es-CR"/>
        </w:rPr>
        <w:t>2</w:t>
      </w:r>
      <w:r w:rsidRPr="00354BEB">
        <w:rPr>
          <w:rFonts w:ascii="Verdana" w:hAnsi="Verdana"/>
          <w:sz w:val="16"/>
          <w:szCs w:val="16"/>
          <w:lang w:val="es-CR"/>
        </w:rPr>
        <w:t xml:space="preserve">.  </w:t>
      </w:r>
    </w:p>
  </w:footnote>
  <w:footnote w:id="11">
    <w:p w14:paraId="514E99CD" w14:textId="77777777" w:rsidR="005A0C5B" w:rsidRPr="00354BEB" w:rsidRDefault="005A0C5B" w:rsidP="00D0573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Gelman Vs. Uruguay. Supervisión de Cumplimiento de Sentencia.</w:t>
      </w:r>
      <w:r w:rsidRPr="00354BEB">
        <w:rPr>
          <w:rFonts w:ascii="Verdana" w:hAnsi="Verdana"/>
          <w:sz w:val="16"/>
          <w:szCs w:val="16"/>
          <w:lang w:val="es-CR"/>
        </w:rPr>
        <w:t xml:space="preserve"> Resolución de la Corte Interamericana de Derechos Humanos de 20 de marzo de 2013, Considerandos 61 y 68, y </w:t>
      </w:r>
      <w:r w:rsidRPr="00354BEB">
        <w:rPr>
          <w:rStyle w:val="Textoennegrita"/>
          <w:rFonts w:ascii="Verdana" w:hAnsi="Verdana"/>
          <w:b w:val="0"/>
          <w:i/>
          <w:color w:val="000000"/>
          <w:sz w:val="16"/>
          <w:szCs w:val="16"/>
          <w:shd w:val="clear" w:color="auto" w:fill="FFFFFF"/>
          <w:lang w:val="es-CR"/>
        </w:rPr>
        <w:t>Caso de las Niñas Yean y Bosico y Caso de Personas dominicanas y haitianas expulsadas Vs. República Dominicana. Supervisión de Cumplimiento de Sentencias y Competencia.</w:t>
      </w:r>
      <w:r w:rsidRPr="00354BEB">
        <w:rPr>
          <w:rStyle w:val="Textoennegrita"/>
          <w:rFonts w:ascii="Verdana" w:hAnsi="Verdana"/>
          <w:b w:val="0"/>
          <w:color w:val="000000"/>
          <w:sz w:val="16"/>
          <w:szCs w:val="16"/>
          <w:shd w:val="clear" w:color="auto" w:fill="FFFFFF"/>
          <w:lang w:val="es-CR"/>
        </w:rPr>
        <w:t xml:space="preserve"> Resolución de la Corte Interamericana de Derechos Humanos de 12 de marzo de 2019, Considerando 20.</w:t>
      </w:r>
    </w:p>
  </w:footnote>
  <w:footnote w:id="12">
    <w:p w14:paraId="4F6F2104" w14:textId="77777777" w:rsidR="00E95A35" w:rsidRPr="00354BEB" w:rsidRDefault="00E95A35" w:rsidP="00D7781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 xml:space="preserve">Cfr. Caso Castillo Petruzzi y otros Vs. Perú. Supervisión de Cumplimiento de Sentencia. </w:t>
      </w:r>
      <w:r w:rsidRPr="00354BEB">
        <w:rPr>
          <w:rFonts w:ascii="Verdana" w:hAnsi="Verdana"/>
          <w:sz w:val="16"/>
          <w:szCs w:val="16"/>
          <w:lang w:val="es-CR"/>
        </w:rPr>
        <w:t xml:space="preserve">Resolución de la Corte Interamericana de Derechos Humanos de 17 de noviembre de 1999, Considerando </w:t>
      </w:r>
      <w:r w:rsidR="00FB69B6" w:rsidRPr="00354BEB">
        <w:rPr>
          <w:rFonts w:ascii="Verdana" w:hAnsi="Verdana"/>
          <w:sz w:val="16"/>
          <w:szCs w:val="16"/>
          <w:lang w:val="es-CR"/>
        </w:rPr>
        <w:t>3</w:t>
      </w:r>
      <w:r w:rsidRPr="00354BEB">
        <w:rPr>
          <w:rFonts w:ascii="Verdana" w:hAnsi="Verdana"/>
          <w:sz w:val="16"/>
          <w:szCs w:val="16"/>
          <w:lang w:val="es-CR"/>
        </w:rPr>
        <w:t xml:space="preserve">, y </w:t>
      </w:r>
      <w:r w:rsidR="000D4216" w:rsidRPr="00354BEB">
        <w:rPr>
          <w:rFonts w:ascii="Verdana" w:hAnsi="Verdana"/>
          <w:i/>
          <w:sz w:val="16"/>
          <w:szCs w:val="16"/>
          <w:lang w:val="es-CR"/>
        </w:rPr>
        <w:t>Caso de las Niñas Yean y Bosico y Caso de Personas dominicanas y haitianas expulsadas Vs. República Dominicana</w:t>
      </w:r>
      <w:r w:rsidRPr="00354BEB">
        <w:rPr>
          <w:rFonts w:ascii="Verdana" w:hAnsi="Verdana"/>
          <w:sz w:val="16"/>
          <w:szCs w:val="16"/>
          <w:lang w:val="es-CR"/>
        </w:rPr>
        <w:t>,</w:t>
      </w:r>
      <w:r w:rsidR="00FB69B6" w:rsidRPr="00354BEB">
        <w:rPr>
          <w:rFonts w:ascii="Verdana" w:hAnsi="Verdana"/>
          <w:sz w:val="16"/>
          <w:szCs w:val="16"/>
          <w:lang w:val="es-CR"/>
        </w:rPr>
        <w:t xml:space="preserve"> </w:t>
      </w:r>
      <w:r w:rsidR="00FB69B6" w:rsidRPr="00354BEB">
        <w:rPr>
          <w:rFonts w:ascii="Verdana" w:hAnsi="Verdana"/>
          <w:i/>
          <w:sz w:val="16"/>
          <w:szCs w:val="16"/>
          <w:lang w:val="es-CR"/>
        </w:rPr>
        <w:t xml:space="preserve">supra </w:t>
      </w:r>
      <w:r w:rsidR="00FB69B6" w:rsidRPr="00354BEB">
        <w:rPr>
          <w:rFonts w:ascii="Verdana" w:hAnsi="Verdana"/>
          <w:sz w:val="16"/>
          <w:szCs w:val="16"/>
          <w:lang w:val="es-CR"/>
        </w:rPr>
        <w:t>nota 11,</w:t>
      </w:r>
      <w:r w:rsidRPr="00354BEB">
        <w:rPr>
          <w:rFonts w:ascii="Verdana" w:hAnsi="Verdana"/>
          <w:sz w:val="16"/>
          <w:szCs w:val="16"/>
          <w:lang w:val="es-CR"/>
        </w:rPr>
        <w:t xml:space="preserve"> Considerando </w:t>
      </w:r>
      <w:r w:rsidR="000D4216" w:rsidRPr="00354BEB">
        <w:rPr>
          <w:rFonts w:ascii="Verdana" w:hAnsi="Verdana"/>
          <w:sz w:val="16"/>
          <w:szCs w:val="16"/>
          <w:lang w:val="es-CR"/>
        </w:rPr>
        <w:t>21</w:t>
      </w:r>
      <w:r w:rsidRPr="00354BEB">
        <w:rPr>
          <w:rFonts w:ascii="Verdana" w:hAnsi="Verdana"/>
          <w:sz w:val="16"/>
          <w:szCs w:val="16"/>
          <w:lang w:val="es-CR"/>
        </w:rPr>
        <w:t xml:space="preserve">. </w:t>
      </w:r>
    </w:p>
  </w:footnote>
  <w:footnote w:id="13">
    <w:p w14:paraId="75528498" w14:textId="77777777" w:rsidR="00E95A35" w:rsidRPr="00354BEB" w:rsidRDefault="00E95A35" w:rsidP="005676B1">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Garrido y Baigorria Vs. Argentina. Reparaciones y costas.</w:t>
      </w:r>
      <w:r w:rsidRPr="00354BEB">
        <w:rPr>
          <w:rFonts w:ascii="Verdana" w:hAnsi="Verdana"/>
          <w:sz w:val="16"/>
          <w:szCs w:val="16"/>
          <w:lang w:val="es-CR"/>
        </w:rPr>
        <w:t xml:space="preserve"> Sentencia de 27 de agosto de 1998. Serie C No. 39, párr. 40 y </w:t>
      </w:r>
      <w:r w:rsidR="000D4216" w:rsidRPr="00354BEB">
        <w:rPr>
          <w:rFonts w:ascii="Verdana" w:hAnsi="Verdana"/>
          <w:i/>
          <w:sz w:val="16"/>
          <w:szCs w:val="16"/>
          <w:lang w:val="es-CR"/>
        </w:rPr>
        <w:t>Caso del Pueblo Saramaka Vs. Surinam. Supervisión de Cumplimiento de Sentencia</w:t>
      </w:r>
      <w:r w:rsidR="000D4216" w:rsidRPr="00354BEB">
        <w:rPr>
          <w:rFonts w:ascii="Verdana" w:hAnsi="Verdana"/>
          <w:sz w:val="16"/>
          <w:szCs w:val="16"/>
          <w:lang w:val="es-CR"/>
        </w:rPr>
        <w:t>. Resolución de la Corte Interamericana de Derechos Humanos de 26 de septiembre de 2018</w:t>
      </w:r>
      <w:r w:rsidRPr="00354BEB">
        <w:rPr>
          <w:rFonts w:ascii="Verdana" w:hAnsi="Verdana"/>
          <w:sz w:val="16"/>
          <w:szCs w:val="16"/>
          <w:lang w:val="es-CR"/>
        </w:rPr>
        <w:t xml:space="preserve">, Considerando </w:t>
      </w:r>
      <w:r w:rsidR="000D4216" w:rsidRPr="00354BEB">
        <w:rPr>
          <w:rFonts w:ascii="Verdana" w:hAnsi="Verdana"/>
          <w:sz w:val="16"/>
          <w:szCs w:val="16"/>
          <w:lang w:val="es-CR"/>
        </w:rPr>
        <w:t>3</w:t>
      </w:r>
      <w:r w:rsidRPr="00354BEB">
        <w:rPr>
          <w:rFonts w:ascii="Verdana" w:hAnsi="Verdana"/>
          <w:sz w:val="16"/>
          <w:szCs w:val="16"/>
          <w:lang w:val="es-CR"/>
        </w:rPr>
        <w:t>.</w:t>
      </w:r>
    </w:p>
  </w:footnote>
  <w:footnote w:id="14">
    <w:p w14:paraId="79B5BBDE" w14:textId="77777777" w:rsidR="00E95A35" w:rsidRPr="00354BEB" w:rsidRDefault="00E95A35" w:rsidP="00D7781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 xml:space="preserve">Cfr. Caso Castillo Páez Vs. Perú. Reparaciones y Costas. </w:t>
      </w:r>
      <w:r w:rsidRPr="00354BEB">
        <w:rPr>
          <w:rFonts w:ascii="Verdana" w:hAnsi="Verdana"/>
          <w:sz w:val="16"/>
          <w:szCs w:val="16"/>
          <w:lang w:val="es-CR"/>
        </w:rPr>
        <w:t>Sentencia de 27 de noviembre de 1998. Serie C No. 43, párr. 50, y</w:t>
      </w:r>
      <w:r w:rsidR="00A8326D" w:rsidRPr="00354BEB">
        <w:rPr>
          <w:rFonts w:ascii="Verdana" w:hAnsi="Verdana"/>
          <w:i/>
          <w:sz w:val="16"/>
          <w:szCs w:val="16"/>
          <w:lang w:val="es-CR"/>
        </w:rPr>
        <w:t xml:space="preserve"> Caso del Pueblo Saramaka Vs. Surinam</w:t>
      </w:r>
      <w:r w:rsidRPr="00354BEB">
        <w:rPr>
          <w:rFonts w:ascii="Verdana" w:hAnsi="Verdana"/>
          <w:i/>
          <w:sz w:val="16"/>
          <w:szCs w:val="16"/>
          <w:lang w:val="es-CR"/>
        </w:rPr>
        <w:t xml:space="preserve">, supra </w:t>
      </w:r>
      <w:r w:rsidRPr="00354BEB">
        <w:rPr>
          <w:rFonts w:ascii="Verdana" w:hAnsi="Verdana"/>
          <w:sz w:val="16"/>
          <w:szCs w:val="16"/>
          <w:lang w:val="es-CR"/>
        </w:rPr>
        <w:t xml:space="preserve">nota </w:t>
      </w:r>
      <w:r w:rsidR="00A8326D" w:rsidRPr="00354BEB">
        <w:rPr>
          <w:rFonts w:ascii="Verdana" w:hAnsi="Verdana"/>
          <w:sz w:val="16"/>
          <w:szCs w:val="16"/>
          <w:lang w:val="es-CR"/>
        </w:rPr>
        <w:fldChar w:fldCharType="begin"/>
      </w:r>
      <w:r w:rsidR="00A8326D" w:rsidRPr="00354BEB">
        <w:rPr>
          <w:rFonts w:ascii="Verdana" w:hAnsi="Verdana"/>
          <w:sz w:val="16"/>
          <w:szCs w:val="16"/>
          <w:lang w:val="es-CR"/>
        </w:rPr>
        <w:instrText xml:space="preserve"> NOTEREF _Ref26354572 \h </w:instrText>
      </w:r>
      <w:r w:rsidR="00354BEB" w:rsidRPr="00354BEB">
        <w:rPr>
          <w:rFonts w:ascii="Verdana" w:hAnsi="Verdana"/>
          <w:sz w:val="16"/>
          <w:szCs w:val="16"/>
          <w:lang w:val="es-CR"/>
        </w:rPr>
        <w:instrText xml:space="preserve"> \* MERGEFORMAT </w:instrText>
      </w:r>
      <w:r w:rsidR="00A8326D" w:rsidRPr="00354BEB">
        <w:rPr>
          <w:rFonts w:ascii="Verdana" w:hAnsi="Verdana"/>
          <w:sz w:val="16"/>
          <w:szCs w:val="16"/>
          <w:lang w:val="es-CR"/>
        </w:rPr>
      </w:r>
      <w:r w:rsidR="00A8326D" w:rsidRPr="00354BEB">
        <w:rPr>
          <w:rFonts w:ascii="Verdana" w:hAnsi="Verdana"/>
          <w:sz w:val="16"/>
          <w:szCs w:val="16"/>
          <w:lang w:val="es-CR"/>
        </w:rPr>
        <w:fldChar w:fldCharType="separate"/>
      </w:r>
      <w:r w:rsidR="00462D62">
        <w:rPr>
          <w:rFonts w:ascii="Verdana" w:hAnsi="Verdana"/>
          <w:sz w:val="16"/>
          <w:szCs w:val="16"/>
          <w:lang w:val="es-CR"/>
        </w:rPr>
        <w:t>13</w:t>
      </w:r>
      <w:r w:rsidR="00A8326D" w:rsidRPr="00354BEB">
        <w:rPr>
          <w:rFonts w:ascii="Verdana" w:hAnsi="Verdana"/>
          <w:sz w:val="16"/>
          <w:szCs w:val="16"/>
          <w:lang w:val="es-CR"/>
        </w:rPr>
        <w:fldChar w:fldCharType="end"/>
      </w:r>
      <w:r w:rsidRPr="00354BEB">
        <w:rPr>
          <w:rFonts w:ascii="Verdana" w:hAnsi="Verdana"/>
          <w:sz w:val="16"/>
          <w:szCs w:val="16"/>
          <w:lang w:val="es-CR"/>
        </w:rPr>
        <w:t xml:space="preserve">, Considerando </w:t>
      </w:r>
      <w:r w:rsidR="00A8326D" w:rsidRPr="00354BEB">
        <w:rPr>
          <w:rFonts w:ascii="Verdana" w:hAnsi="Verdana"/>
          <w:sz w:val="16"/>
          <w:szCs w:val="16"/>
          <w:lang w:val="es-CR"/>
        </w:rPr>
        <w:t>3</w:t>
      </w:r>
      <w:r w:rsidRPr="00354BEB">
        <w:rPr>
          <w:rFonts w:ascii="Verdana" w:hAnsi="Verdana"/>
          <w:sz w:val="16"/>
          <w:szCs w:val="16"/>
          <w:lang w:val="es-CR"/>
        </w:rPr>
        <w:t>.</w:t>
      </w:r>
    </w:p>
  </w:footnote>
  <w:footnote w:id="15">
    <w:p w14:paraId="4BF52F34" w14:textId="77777777" w:rsidR="00E95A35" w:rsidRPr="00354BEB" w:rsidRDefault="00E95A35" w:rsidP="00D7781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Barrios Altos Vs. Perú. Supervisión de Cumplimiento de Sentencia.</w:t>
      </w:r>
      <w:r w:rsidRPr="00354BEB">
        <w:rPr>
          <w:rFonts w:ascii="Verdana" w:hAnsi="Verdana"/>
          <w:sz w:val="16"/>
          <w:szCs w:val="16"/>
          <w:lang w:val="es-CR"/>
        </w:rPr>
        <w:t xml:space="preserve"> Resolución de la Corte Interamericana de Derechos Humanos de 22 de septiembre de 2005, Considerando </w:t>
      </w:r>
      <w:r w:rsidR="00FB69B6" w:rsidRPr="00354BEB">
        <w:rPr>
          <w:rFonts w:ascii="Verdana" w:hAnsi="Verdana"/>
          <w:sz w:val="16"/>
          <w:szCs w:val="16"/>
          <w:lang w:val="es-CR"/>
        </w:rPr>
        <w:t>7</w:t>
      </w:r>
      <w:r w:rsidRPr="00354BEB">
        <w:rPr>
          <w:rFonts w:ascii="Verdana" w:hAnsi="Verdana"/>
          <w:sz w:val="16"/>
          <w:szCs w:val="16"/>
          <w:lang w:val="es-CR"/>
        </w:rPr>
        <w:t xml:space="preserve">, y </w:t>
      </w:r>
      <w:r w:rsidR="00A8326D" w:rsidRPr="00354BEB">
        <w:rPr>
          <w:rFonts w:ascii="Verdana" w:hAnsi="Verdana"/>
          <w:i/>
          <w:sz w:val="16"/>
          <w:szCs w:val="16"/>
          <w:lang w:val="es-CR"/>
        </w:rPr>
        <w:t xml:space="preserve">Caso del Pueblo Saramaka Vs. Surinam, supra </w:t>
      </w:r>
      <w:r w:rsidR="00A8326D" w:rsidRPr="00354BEB">
        <w:rPr>
          <w:rFonts w:ascii="Verdana" w:hAnsi="Verdana"/>
          <w:sz w:val="16"/>
          <w:szCs w:val="16"/>
          <w:lang w:val="es-CR"/>
        </w:rPr>
        <w:t xml:space="preserve">nota </w:t>
      </w:r>
      <w:r w:rsidR="00A8326D" w:rsidRPr="00354BEB">
        <w:rPr>
          <w:rFonts w:ascii="Verdana" w:hAnsi="Verdana"/>
          <w:sz w:val="16"/>
          <w:szCs w:val="16"/>
          <w:lang w:val="es-CR"/>
        </w:rPr>
        <w:fldChar w:fldCharType="begin"/>
      </w:r>
      <w:r w:rsidR="00A8326D" w:rsidRPr="00354BEB">
        <w:rPr>
          <w:rFonts w:ascii="Verdana" w:hAnsi="Verdana"/>
          <w:sz w:val="16"/>
          <w:szCs w:val="16"/>
          <w:lang w:val="es-CR"/>
        </w:rPr>
        <w:instrText xml:space="preserve"> NOTEREF _Ref26354572 \h </w:instrText>
      </w:r>
      <w:r w:rsidR="00354BEB" w:rsidRPr="00354BEB">
        <w:rPr>
          <w:rFonts w:ascii="Verdana" w:hAnsi="Verdana"/>
          <w:sz w:val="16"/>
          <w:szCs w:val="16"/>
          <w:lang w:val="es-CR"/>
        </w:rPr>
        <w:instrText xml:space="preserve"> \* MERGEFORMAT </w:instrText>
      </w:r>
      <w:r w:rsidR="00A8326D" w:rsidRPr="00354BEB">
        <w:rPr>
          <w:rFonts w:ascii="Verdana" w:hAnsi="Verdana"/>
          <w:sz w:val="16"/>
          <w:szCs w:val="16"/>
          <w:lang w:val="es-CR"/>
        </w:rPr>
      </w:r>
      <w:r w:rsidR="00A8326D" w:rsidRPr="00354BEB">
        <w:rPr>
          <w:rFonts w:ascii="Verdana" w:hAnsi="Verdana"/>
          <w:sz w:val="16"/>
          <w:szCs w:val="16"/>
          <w:lang w:val="es-CR"/>
        </w:rPr>
        <w:fldChar w:fldCharType="separate"/>
      </w:r>
      <w:r w:rsidR="00462D62">
        <w:rPr>
          <w:rFonts w:ascii="Verdana" w:hAnsi="Verdana"/>
          <w:sz w:val="16"/>
          <w:szCs w:val="16"/>
          <w:lang w:val="es-CR"/>
        </w:rPr>
        <w:t>13</w:t>
      </w:r>
      <w:r w:rsidR="00A8326D" w:rsidRPr="00354BEB">
        <w:rPr>
          <w:rFonts w:ascii="Verdana" w:hAnsi="Verdana"/>
          <w:sz w:val="16"/>
          <w:szCs w:val="16"/>
          <w:lang w:val="es-CR"/>
        </w:rPr>
        <w:fldChar w:fldCharType="end"/>
      </w:r>
      <w:r w:rsidR="00A8326D" w:rsidRPr="00354BEB">
        <w:rPr>
          <w:rFonts w:ascii="Verdana" w:hAnsi="Verdana"/>
          <w:sz w:val="16"/>
          <w:szCs w:val="16"/>
          <w:lang w:val="es-CR"/>
        </w:rPr>
        <w:t>, Considerando 3</w:t>
      </w:r>
      <w:r w:rsidRPr="00354BEB">
        <w:rPr>
          <w:rFonts w:ascii="Verdana" w:hAnsi="Verdana"/>
          <w:sz w:val="16"/>
          <w:szCs w:val="16"/>
          <w:lang w:val="es-CR"/>
        </w:rPr>
        <w:t>.</w:t>
      </w:r>
    </w:p>
  </w:footnote>
  <w:footnote w:id="16">
    <w:p w14:paraId="1820CBF7" w14:textId="77777777" w:rsidR="00E95A35" w:rsidRPr="00354BEB" w:rsidRDefault="00E95A35" w:rsidP="00D7781D">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Baena Ricardo y otros Vs. Panamá. Competencia.</w:t>
      </w:r>
      <w:r w:rsidRPr="00354BEB">
        <w:rPr>
          <w:rFonts w:ascii="Verdana" w:hAnsi="Verdana"/>
          <w:sz w:val="16"/>
          <w:szCs w:val="16"/>
          <w:lang w:val="es-CR"/>
        </w:rPr>
        <w:t xml:space="preserve"> Sentencia de 28 de noviembre de 2003. Serie C No. 104, párr. 83 y </w:t>
      </w:r>
      <w:r w:rsidR="00A8326D" w:rsidRPr="00354BEB">
        <w:rPr>
          <w:rFonts w:ascii="Verdana" w:hAnsi="Verdana"/>
          <w:i/>
          <w:sz w:val="16"/>
          <w:szCs w:val="16"/>
          <w:lang w:val="es-CR"/>
        </w:rPr>
        <w:t>Caso de Personas dominicanas y haitianas expulsadas Vs. República Dominicana</w:t>
      </w:r>
      <w:r w:rsidRPr="00354BEB">
        <w:rPr>
          <w:rFonts w:ascii="Verdana" w:hAnsi="Verdana"/>
          <w:i/>
          <w:sz w:val="16"/>
          <w:szCs w:val="16"/>
          <w:lang w:val="es-CR"/>
        </w:rPr>
        <w:t xml:space="preserve">, supra </w:t>
      </w:r>
      <w:r w:rsidRPr="00354BEB">
        <w:rPr>
          <w:rFonts w:ascii="Verdana" w:hAnsi="Verdana"/>
          <w:sz w:val="16"/>
          <w:szCs w:val="16"/>
          <w:lang w:val="es-CR"/>
        </w:rPr>
        <w:t xml:space="preserve">nota </w:t>
      </w:r>
      <w:r w:rsidR="00A8326D" w:rsidRPr="00354BEB">
        <w:rPr>
          <w:rFonts w:ascii="Verdana" w:hAnsi="Verdana"/>
          <w:sz w:val="16"/>
          <w:szCs w:val="16"/>
          <w:lang w:val="es-CR"/>
        </w:rPr>
        <w:fldChar w:fldCharType="begin"/>
      </w:r>
      <w:r w:rsidR="00A8326D"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A8326D" w:rsidRPr="00354BEB">
        <w:rPr>
          <w:rFonts w:ascii="Verdana" w:hAnsi="Verdana"/>
          <w:sz w:val="16"/>
          <w:szCs w:val="16"/>
          <w:lang w:val="es-CR"/>
        </w:rPr>
      </w:r>
      <w:r w:rsidR="00A8326D" w:rsidRPr="00354BEB">
        <w:rPr>
          <w:rFonts w:ascii="Verdana" w:hAnsi="Verdana"/>
          <w:sz w:val="16"/>
          <w:szCs w:val="16"/>
          <w:lang w:val="es-CR"/>
        </w:rPr>
        <w:fldChar w:fldCharType="separate"/>
      </w:r>
      <w:r w:rsidR="00462D62">
        <w:rPr>
          <w:rFonts w:ascii="Verdana" w:hAnsi="Verdana"/>
          <w:sz w:val="16"/>
          <w:szCs w:val="16"/>
          <w:lang w:val="es-CR"/>
        </w:rPr>
        <w:t>11</w:t>
      </w:r>
      <w:r w:rsidR="00A8326D" w:rsidRPr="00354BEB">
        <w:rPr>
          <w:rFonts w:ascii="Verdana" w:hAnsi="Verdana"/>
          <w:sz w:val="16"/>
          <w:szCs w:val="16"/>
          <w:lang w:val="es-CR"/>
        </w:rPr>
        <w:fldChar w:fldCharType="end"/>
      </w:r>
      <w:r w:rsidRPr="00354BEB">
        <w:rPr>
          <w:rFonts w:ascii="Verdana" w:hAnsi="Verdana"/>
          <w:sz w:val="16"/>
          <w:szCs w:val="16"/>
          <w:lang w:val="es-CR"/>
        </w:rPr>
        <w:t xml:space="preserve">, Considerando </w:t>
      </w:r>
      <w:r w:rsidR="00A8326D" w:rsidRPr="00354BEB">
        <w:rPr>
          <w:rFonts w:ascii="Verdana" w:hAnsi="Verdana"/>
          <w:sz w:val="16"/>
          <w:szCs w:val="16"/>
          <w:lang w:val="es-CR"/>
        </w:rPr>
        <w:t>21</w:t>
      </w:r>
      <w:r w:rsidRPr="00354BEB">
        <w:rPr>
          <w:rFonts w:ascii="Verdana" w:hAnsi="Verdana"/>
          <w:sz w:val="16"/>
          <w:szCs w:val="16"/>
          <w:lang w:val="es-CR"/>
        </w:rPr>
        <w:t>.</w:t>
      </w:r>
    </w:p>
  </w:footnote>
  <w:footnote w:id="17">
    <w:p w14:paraId="3D3D6FB0" w14:textId="77777777" w:rsidR="00186C5F" w:rsidRPr="00354BEB" w:rsidRDefault="00186C5F" w:rsidP="00186C5F">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 Caso Caesar Vs. Trinidad y Tobago. Fondo, Reparaciones y Costas.</w:t>
      </w:r>
      <w:r w:rsidRPr="00354BEB">
        <w:rPr>
          <w:rFonts w:ascii="Verdana" w:hAnsi="Verdana"/>
          <w:sz w:val="16"/>
          <w:szCs w:val="16"/>
          <w:lang w:val="es-CR"/>
        </w:rPr>
        <w:t xml:space="preserve"> Sentencia de 11 de marzo de 2005. Serie C No. 123, párr. 38, y </w:t>
      </w:r>
      <w:r w:rsidR="00BA3885" w:rsidRPr="00354BEB">
        <w:rPr>
          <w:rFonts w:ascii="Verdana" w:hAnsi="Verdana"/>
          <w:i/>
          <w:sz w:val="16"/>
          <w:szCs w:val="16"/>
          <w:lang w:val="es-CR"/>
        </w:rPr>
        <w:t xml:space="preserve">Caso de Personas dominicanas y haitianas expulsadas Vs. República Dominicana, supra </w:t>
      </w:r>
      <w:r w:rsidR="00BA3885" w:rsidRPr="00354BEB">
        <w:rPr>
          <w:rFonts w:ascii="Verdana" w:hAnsi="Verdana"/>
          <w:sz w:val="16"/>
          <w:szCs w:val="16"/>
          <w:lang w:val="es-CR"/>
        </w:rPr>
        <w:t xml:space="preserve">nota </w:t>
      </w:r>
      <w:r w:rsidR="00BA3885" w:rsidRPr="00354BEB">
        <w:rPr>
          <w:rFonts w:ascii="Verdana" w:hAnsi="Verdana"/>
          <w:sz w:val="16"/>
          <w:szCs w:val="16"/>
          <w:lang w:val="es-CR"/>
        </w:rPr>
        <w:fldChar w:fldCharType="begin"/>
      </w:r>
      <w:r w:rsidR="00BA3885"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BA3885" w:rsidRPr="00354BEB">
        <w:rPr>
          <w:rFonts w:ascii="Verdana" w:hAnsi="Verdana"/>
          <w:sz w:val="16"/>
          <w:szCs w:val="16"/>
          <w:lang w:val="es-CR"/>
        </w:rPr>
      </w:r>
      <w:r w:rsidR="00BA3885" w:rsidRPr="00354BEB">
        <w:rPr>
          <w:rFonts w:ascii="Verdana" w:hAnsi="Verdana"/>
          <w:sz w:val="16"/>
          <w:szCs w:val="16"/>
          <w:lang w:val="es-CR"/>
        </w:rPr>
        <w:fldChar w:fldCharType="separate"/>
      </w:r>
      <w:r w:rsidR="00462D62">
        <w:rPr>
          <w:rFonts w:ascii="Verdana" w:hAnsi="Verdana"/>
          <w:sz w:val="16"/>
          <w:szCs w:val="16"/>
          <w:lang w:val="es-CR"/>
        </w:rPr>
        <w:t>11</w:t>
      </w:r>
      <w:r w:rsidR="00BA3885" w:rsidRPr="00354BEB">
        <w:rPr>
          <w:rFonts w:ascii="Verdana" w:hAnsi="Verdana"/>
          <w:sz w:val="16"/>
          <w:szCs w:val="16"/>
          <w:lang w:val="es-CR"/>
        </w:rPr>
        <w:fldChar w:fldCharType="end"/>
      </w:r>
      <w:r w:rsidR="00BA3885" w:rsidRPr="00354BEB">
        <w:rPr>
          <w:rFonts w:ascii="Verdana" w:hAnsi="Verdana"/>
          <w:sz w:val="16"/>
          <w:szCs w:val="16"/>
          <w:lang w:val="es-CR"/>
        </w:rPr>
        <w:t>, Considerando 23</w:t>
      </w:r>
      <w:r w:rsidRPr="00354BEB">
        <w:rPr>
          <w:rFonts w:ascii="Verdana" w:hAnsi="Verdana"/>
          <w:sz w:val="16"/>
          <w:szCs w:val="16"/>
          <w:lang w:val="es-CR"/>
        </w:rPr>
        <w:t>.</w:t>
      </w:r>
    </w:p>
  </w:footnote>
  <w:footnote w:id="18">
    <w:p w14:paraId="78F28C2D" w14:textId="77777777" w:rsidR="00186C5F" w:rsidRPr="00354BEB" w:rsidRDefault="00186C5F" w:rsidP="00186C5F">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sz w:val="16"/>
          <w:szCs w:val="16"/>
          <w:lang w:val="es-CR"/>
        </w:rPr>
        <w:t xml:space="preserve"> </w:t>
      </w:r>
      <w:r w:rsidRPr="00354BEB">
        <w:rPr>
          <w:rFonts w:ascii="Verdana" w:hAnsi="Verdana"/>
          <w:i/>
          <w:sz w:val="16"/>
          <w:szCs w:val="16"/>
          <w:lang w:val="es-CR"/>
        </w:rPr>
        <w:t>Caso Caesar Vs. Trinidad y Tobago. Supervisión de Cumplimiento de Sentencia.</w:t>
      </w:r>
      <w:r w:rsidRPr="00354BEB">
        <w:rPr>
          <w:rFonts w:ascii="Verdana" w:hAnsi="Verdana"/>
          <w:sz w:val="16"/>
          <w:szCs w:val="16"/>
          <w:lang w:val="es-CR"/>
        </w:rPr>
        <w:t xml:space="preserve"> Resolución de la Corte Interamericana de Derechos Humanos de 21 de noviembre de 2007, Considerando 11, y </w:t>
      </w:r>
      <w:r w:rsidR="00BA3885" w:rsidRPr="00354BEB">
        <w:rPr>
          <w:rFonts w:ascii="Verdana" w:hAnsi="Verdana"/>
          <w:i/>
          <w:sz w:val="16"/>
          <w:szCs w:val="16"/>
          <w:lang w:val="es-CR"/>
        </w:rPr>
        <w:t xml:space="preserve">Caso de Personas dominicanas y haitianas expulsadas Vs. República Dominicana, supra </w:t>
      </w:r>
      <w:r w:rsidR="00BA3885" w:rsidRPr="00354BEB">
        <w:rPr>
          <w:rFonts w:ascii="Verdana" w:hAnsi="Verdana"/>
          <w:sz w:val="16"/>
          <w:szCs w:val="16"/>
          <w:lang w:val="es-CR"/>
        </w:rPr>
        <w:t xml:space="preserve">nota </w:t>
      </w:r>
      <w:r w:rsidR="00BA3885" w:rsidRPr="00354BEB">
        <w:rPr>
          <w:rFonts w:ascii="Verdana" w:hAnsi="Verdana"/>
          <w:sz w:val="16"/>
          <w:szCs w:val="16"/>
          <w:lang w:val="es-CR"/>
        </w:rPr>
        <w:fldChar w:fldCharType="begin"/>
      </w:r>
      <w:r w:rsidR="00BA3885"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BA3885" w:rsidRPr="00354BEB">
        <w:rPr>
          <w:rFonts w:ascii="Verdana" w:hAnsi="Verdana"/>
          <w:sz w:val="16"/>
          <w:szCs w:val="16"/>
          <w:lang w:val="es-CR"/>
        </w:rPr>
      </w:r>
      <w:r w:rsidR="00BA3885" w:rsidRPr="00354BEB">
        <w:rPr>
          <w:rFonts w:ascii="Verdana" w:hAnsi="Verdana"/>
          <w:sz w:val="16"/>
          <w:szCs w:val="16"/>
          <w:lang w:val="es-CR"/>
        </w:rPr>
        <w:fldChar w:fldCharType="separate"/>
      </w:r>
      <w:r w:rsidR="00462D62">
        <w:rPr>
          <w:rFonts w:ascii="Verdana" w:hAnsi="Verdana"/>
          <w:sz w:val="16"/>
          <w:szCs w:val="16"/>
          <w:lang w:val="es-CR"/>
        </w:rPr>
        <w:t>11</w:t>
      </w:r>
      <w:r w:rsidR="00BA3885" w:rsidRPr="00354BEB">
        <w:rPr>
          <w:rFonts w:ascii="Verdana" w:hAnsi="Verdana"/>
          <w:sz w:val="16"/>
          <w:szCs w:val="16"/>
          <w:lang w:val="es-CR"/>
        </w:rPr>
        <w:fldChar w:fldCharType="end"/>
      </w:r>
      <w:r w:rsidRPr="00354BEB">
        <w:rPr>
          <w:rFonts w:ascii="Verdana" w:hAnsi="Verdana"/>
          <w:sz w:val="16"/>
          <w:szCs w:val="16"/>
          <w:lang w:val="es-CR"/>
        </w:rPr>
        <w:t xml:space="preserve">, Considerando </w:t>
      </w:r>
      <w:r w:rsidR="00BA3885" w:rsidRPr="00354BEB">
        <w:rPr>
          <w:rFonts w:ascii="Verdana" w:hAnsi="Verdana"/>
          <w:sz w:val="16"/>
          <w:szCs w:val="16"/>
          <w:lang w:val="es-CR"/>
        </w:rPr>
        <w:t>2</w:t>
      </w:r>
      <w:r w:rsidRPr="00354BEB">
        <w:rPr>
          <w:rFonts w:ascii="Verdana" w:hAnsi="Verdana"/>
          <w:sz w:val="16"/>
          <w:szCs w:val="16"/>
          <w:lang w:val="es-CR"/>
        </w:rPr>
        <w:t>4.</w:t>
      </w:r>
    </w:p>
  </w:footnote>
  <w:footnote w:id="19">
    <w:p w14:paraId="0BF88101" w14:textId="77777777" w:rsidR="00186C5F" w:rsidRPr="00354BEB" w:rsidRDefault="00186C5F" w:rsidP="00186C5F">
      <w:pPr>
        <w:pStyle w:val="Textonotapie"/>
        <w:jc w:val="both"/>
        <w:rPr>
          <w:rFonts w:ascii="Verdana" w:hAnsi="Verdana"/>
          <w:b/>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b/>
          <w:i/>
          <w:sz w:val="16"/>
          <w:szCs w:val="16"/>
          <w:lang w:val="es-CR"/>
        </w:rPr>
        <w:t xml:space="preserve"> </w:t>
      </w:r>
      <w:r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BA3885" w:rsidRPr="00354BEB">
        <w:rPr>
          <w:rFonts w:ascii="Verdana" w:hAnsi="Verdana"/>
          <w:i/>
          <w:sz w:val="16"/>
          <w:szCs w:val="16"/>
          <w:lang w:val="es-CR"/>
        </w:rPr>
        <w:t xml:space="preserve">supra </w:t>
      </w:r>
      <w:r w:rsidR="00BA3885" w:rsidRPr="00354BEB">
        <w:rPr>
          <w:rFonts w:ascii="Verdana" w:hAnsi="Verdana"/>
          <w:sz w:val="16"/>
          <w:szCs w:val="16"/>
          <w:lang w:val="es-CR"/>
        </w:rPr>
        <w:t xml:space="preserve">nota </w:t>
      </w:r>
      <w:r w:rsidR="00BA3885" w:rsidRPr="00354BEB">
        <w:rPr>
          <w:rFonts w:ascii="Verdana" w:hAnsi="Verdana"/>
          <w:sz w:val="16"/>
          <w:szCs w:val="16"/>
          <w:lang w:val="es-CR"/>
        </w:rPr>
        <w:fldChar w:fldCharType="begin"/>
      </w:r>
      <w:r w:rsidR="00BA3885"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BA3885" w:rsidRPr="00354BEB">
        <w:rPr>
          <w:rFonts w:ascii="Verdana" w:hAnsi="Verdana"/>
          <w:sz w:val="16"/>
          <w:szCs w:val="16"/>
          <w:lang w:val="es-CR"/>
        </w:rPr>
      </w:r>
      <w:r w:rsidR="00BA3885" w:rsidRPr="00354BEB">
        <w:rPr>
          <w:rFonts w:ascii="Verdana" w:hAnsi="Verdana"/>
          <w:sz w:val="16"/>
          <w:szCs w:val="16"/>
          <w:lang w:val="es-CR"/>
        </w:rPr>
        <w:fldChar w:fldCharType="separate"/>
      </w:r>
      <w:r w:rsidR="00462D62">
        <w:rPr>
          <w:rFonts w:ascii="Verdana" w:hAnsi="Verdana"/>
          <w:sz w:val="16"/>
          <w:szCs w:val="16"/>
          <w:lang w:val="es-CR"/>
        </w:rPr>
        <w:t>11</w:t>
      </w:r>
      <w:r w:rsidR="00BA3885" w:rsidRPr="00354BEB">
        <w:rPr>
          <w:rFonts w:ascii="Verdana" w:hAnsi="Verdana"/>
          <w:sz w:val="16"/>
          <w:szCs w:val="16"/>
          <w:lang w:val="es-CR"/>
        </w:rPr>
        <w:fldChar w:fldCharType="end"/>
      </w:r>
      <w:r w:rsidRPr="00354BEB">
        <w:rPr>
          <w:rStyle w:val="Textoennegrita"/>
          <w:rFonts w:ascii="Verdana" w:hAnsi="Verdana"/>
          <w:b w:val="0"/>
          <w:color w:val="000000"/>
          <w:sz w:val="16"/>
          <w:szCs w:val="16"/>
          <w:shd w:val="clear" w:color="auto" w:fill="FFFFFF"/>
          <w:lang w:val="es-CR"/>
        </w:rPr>
        <w:t>, puntos resolutivos primero y segundo.</w:t>
      </w:r>
    </w:p>
  </w:footnote>
  <w:footnote w:id="20">
    <w:p w14:paraId="5779B125" w14:textId="77777777" w:rsidR="00186C5F" w:rsidRPr="00354BEB" w:rsidRDefault="00186C5F" w:rsidP="00186C5F">
      <w:pPr>
        <w:pStyle w:val="Textonotapie"/>
        <w:jc w:val="both"/>
        <w:rPr>
          <w:rFonts w:ascii="Verdana" w:hAnsi="Verdana"/>
          <w:b/>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b/>
          <w:i/>
          <w:sz w:val="16"/>
          <w:szCs w:val="16"/>
          <w:lang w:val="es-CR"/>
        </w:rPr>
        <w:t xml:space="preserve"> </w:t>
      </w:r>
      <w:r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0720C6" w:rsidRPr="00354BEB">
        <w:rPr>
          <w:rFonts w:ascii="Verdana" w:hAnsi="Verdana"/>
          <w:i/>
          <w:sz w:val="16"/>
          <w:szCs w:val="16"/>
          <w:lang w:val="es-CR"/>
        </w:rPr>
        <w:t xml:space="preserve">supra </w:t>
      </w:r>
      <w:r w:rsidR="000720C6" w:rsidRPr="00354BEB">
        <w:rPr>
          <w:rFonts w:ascii="Verdana" w:hAnsi="Verdana"/>
          <w:sz w:val="16"/>
          <w:szCs w:val="16"/>
          <w:lang w:val="es-CR"/>
        </w:rPr>
        <w:t xml:space="preserve">nota </w:t>
      </w:r>
      <w:r w:rsidR="000720C6" w:rsidRPr="00354BEB">
        <w:rPr>
          <w:rFonts w:ascii="Verdana" w:hAnsi="Verdana"/>
          <w:sz w:val="16"/>
          <w:szCs w:val="16"/>
          <w:lang w:val="es-CR"/>
        </w:rPr>
        <w:fldChar w:fldCharType="begin"/>
      </w:r>
      <w:r w:rsidR="000720C6"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0720C6" w:rsidRPr="00354BEB">
        <w:rPr>
          <w:rFonts w:ascii="Verdana" w:hAnsi="Verdana"/>
          <w:sz w:val="16"/>
          <w:szCs w:val="16"/>
          <w:lang w:val="es-CR"/>
        </w:rPr>
      </w:r>
      <w:r w:rsidR="000720C6" w:rsidRPr="00354BEB">
        <w:rPr>
          <w:rFonts w:ascii="Verdana" w:hAnsi="Verdana"/>
          <w:sz w:val="16"/>
          <w:szCs w:val="16"/>
          <w:lang w:val="es-CR"/>
        </w:rPr>
        <w:fldChar w:fldCharType="separate"/>
      </w:r>
      <w:r w:rsidR="00462D62">
        <w:rPr>
          <w:rFonts w:ascii="Verdana" w:hAnsi="Verdana"/>
          <w:sz w:val="16"/>
          <w:szCs w:val="16"/>
          <w:lang w:val="es-CR"/>
        </w:rPr>
        <w:t>11</w:t>
      </w:r>
      <w:r w:rsidR="000720C6" w:rsidRPr="00354BEB">
        <w:rPr>
          <w:rFonts w:ascii="Verdana" w:hAnsi="Verdana"/>
          <w:sz w:val="16"/>
          <w:szCs w:val="16"/>
          <w:lang w:val="es-CR"/>
        </w:rPr>
        <w:fldChar w:fldCharType="end"/>
      </w:r>
      <w:r w:rsidRPr="00354BEB">
        <w:rPr>
          <w:rStyle w:val="Textoennegrita"/>
          <w:rFonts w:ascii="Verdana" w:hAnsi="Verdana"/>
          <w:b w:val="0"/>
          <w:color w:val="000000"/>
          <w:sz w:val="16"/>
          <w:szCs w:val="16"/>
          <w:shd w:val="clear" w:color="auto" w:fill="FFFFFF"/>
          <w:lang w:val="es-CR"/>
        </w:rPr>
        <w:t>, Considerandos 4, 35 y 38.</w:t>
      </w:r>
    </w:p>
  </w:footnote>
  <w:footnote w:id="21">
    <w:p w14:paraId="728DB19A" w14:textId="77777777" w:rsidR="00186C5F" w:rsidRPr="00354BEB" w:rsidRDefault="00186C5F" w:rsidP="00186C5F">
      <w:pPr>
        <w:pStyle w:val="Textonotapie"/>
        <w:jc w:val="both"/>
        <w:rPr>
          <w:rFonts w:ascii="Verdana" w:hAnsi="Verdana"/>
          <w:b/>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b/>
          <w:i/>
          <w:sz w:val="16"/>
          <w:szCs w:val="16"/>
          <w:lang w:val="es-CR"/>
        </w:rPr>
        <w:t xml:space="preserve"> </w:t>
      </w:r>
      <w:r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0720C6" w:rsidRPr="00354BEB">
        <w:rPr>
          <w:rFonts w:ascii="Verdana" w:hAnsi="Verdana"/>
          <w:i/>
          <w:sz w:val="16"/>
          <w:szCs w:val="16"/>
          <w:lang w:val="es-CR"/>
        </w:rPr>
        <w:t xml:space="preserve">supra </w:t>
      </w:r>
      <w:r w:rsidR="000720C6" w:rsidRPr="00354BEB">
        <w:rPr>
          <w:rFonts w:ascii="Verdana" w:hAnsi="Verdana"/>
          <w:sz w:val="16"/>
          <w:szCs w:val="16"/>
          <w:lang w:val="es-CR"/>
        </w:rPr>
        <w:t xml:space="preserve">nota </w:t>
      </w:r>
      <w:r w:rsidR="000720C6" w:rsidRPr="00354BEB">
        <w:rPr>
          <w:rFonts w:ascii="Verdana" w:hAnsi="Verdana"/>
          <w:sz w:val="16"/>
          <w:szCs w:val="16"/>
          <w:lang w:val="es-CR"/>
        </w:rPr>
        <w:fldChar w:fldCharType="begin"/>
      </w:r>
      <w:r w:rsidR="000720C6"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0720C6" w:rsidRPr="00354BEB">
        <w:rPr>
          <w:rFonts w:ascii="Verdana" w:hAnsi="Verdana"/>
          <w:sz w:val="16"/>
          <w:szCs w:val="16"/>
          <w:lang w:val="es-CR"/>
        </w:rPr>
      </w:r>
      <w:r w:rsidR="000720C6" w:rsidRPr="00354BEB">
        <w:rPr>
          <w:rFonts w:ascii="Verdana" w:hAnsi="Verdana"/>
          <w:sz w:val="16"/>
          <w:szCs w:val="16"/>
          <w:lang w:val="es-CR"/>
        </w:rPr>
        <w:fldChar w:fldCharType="separate"/>
      </w:r>
      <w:r w:rsidR="00462D62">
        <w:rPr>
          <w:rFonts w:ascii="Verdana" w:hAnsi="Verdana"/>
          <w:sz w:val="16"/>
          <w:szCs w:val="16"/>
          <w:lang w:val="es-CR"/>
        </w:rPr>
        <w:t>11</w:t>
      </w:r>
      <w:r w:rsidR="000720C6" w:rsidRPr="00354BEB">
        <w:rPr>
          <w:rFonts w:ascii="Verdana" w:hAnsi="Verdana"/>
          <w:sz w:val="16"/>
          <w:szCs w:val="16"/>
          <w:lang w:val="es-CR"/>
        </w:rPr>
        <w:fldChar w:fldCharType="end"/>
      </w:r>
      <w:r w:rsidRPr="00354BEB">
        <w:rPr>
          <w:rStyle w:val="Textoennegrita"/>
          <w:rFonts w:ascii="Verdana" w:hAnsi="Verdana"/>
          <w:b w:val="0"/>
          <w:color w:val="000000"/>
          <w:sz w:val="16"/>
          <w:szCs w:val="16"/>
          <w:shd w:val="clear" w:color="auto" w:fill="FFFFFF"/>
          <w:lang w:val="es-CR"/>
        </w:rPr>
        <w:t>, Considerandos 38 a 76 y punto resolutivo cuarto.</w:t>
      </w:r>
    </w:p>
  </w:footnote>
  <w:footnote w:id="22">
    <w:p w14:paraId="40E366FE" w14:textId="77777777" w:rsidR="00186C5F" w:rsidRPr="00354BEB" w:rsidRDefault="00186C5F" w:rsidP="00186C5F">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b/>
          <w:i/>
          <w:sz w:val="16"/>
          <w:szCs w:val="16"/>
          <w:lang w:val="es-CR"/>
        </w:rPr>
        <w:t xml:space="preserve"> </w:t>
      </w:r>
      <w:r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0720C6" w:rsidRPr="00354BEB">
        <w:rPr>
          <w:rFonts w:ascii="Verdana" w:hAnsi="Verdana"/>
          <w:i/>
          <w:sz w:val="16"/>
          <w:szCs w:val="16"/>
          <w:lang w:val="es-CR"/>
        </w:rPr>
        <w:t xml:space="preserve">supra </w:t>
      </w:r>
      <w:r w:rsidR="000720C6" w:rsidRPr="00354BEB">
        <w:rPr>
          <w:rFonts w:ascii="Verdana" w:hAnsi="Verdana"/>
          <w:sz w:val="16"/>
          <w:szCs w:val="16"/>
          <w:lang w:val="es-CR"/>
        </w:rPr>
        <w:t xml:space="preserve">nota </w:t>
      </w:r>
      <w:r w:rsidR="000720C6" w:rsidRPr="00354BEB">
        <w:rPr>
          <w:rFonts w:ascii="Verdana" w:hAnsi="Verdana"/>
          <w:sz w:val="16"/>
          <w:szCs w:val="16"/>
          <w:lang w:val="es-CR"/>
        </w:rPr>
        <w:fldChar w:fldCharType="begin"/>
      </w:r>
      <w:r w:rsidR="000720C6"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0720C6" w:rsidRPr="00354BEB">
        <w:rPr>
          <w:rFonts w:ascii="Verdana" w:hAnsi="Verdana"/>
          <w:sz w:val="16"/>
          <w:szCs w:val="16"/>
          <w:lang w:val="es-CR"/>
        </w:rPr>
      </w:r>
      <w:r w:rsidR="000720C6" w:rsidRPr="00354BEB">
        <w:rPr>
          <w:rFonts w:ascii="Verdana" w:hAnsi="Verdana"/>
          <w:sz w:val="16"/>
          <w:szCs w:val="16"/>
          <w:lang w:val="es-CR"/>
        </w:rPr>
        <w:fldChar w:fldCharType="separate"/>
      </w:r>
      <w:r w:rsidR="00462D62">
        <w:rPr>
          <w:rFonts w:ascii="Verdana" w:hAnsi="Verdana"/>
          <w:sz w:val="16"/>
          <w:szCs w:val="16"/>
          <w:lang w:val="es-CR"/>
        </w:rPr>
        <w:t>11</w:t>
      </w:r>
      <w:r w:rsidR="000720C6" w:rsidRPr="00354BEB">
        <w:rPr>
          <w:rFonts w:ascii="Verdana" w:hAnsi="Verdana"/>
          <w:sz w:val="16"/>
          <w:szCs w:val="16"/>
          <w:lang w:val="es-CR"/>
        </w:rPr>
        <w:fldChar w:fldCharType="end"/>
      </w:r>
      <w:r w:rsidRPr="00354BEB">
        <w:rPr>
          <w:rStyle w:val="Textoennegrita"/>
          <w:rFonts w:ascii="Verdana" w:hAnsi="Verdana"/>
          <w:b w:val="0"/>
          <w:color w:val="000000"/>
          <w:sz w:val="16"/>
          <w:szCs w:val="16"/>
          <w:shd w:val="clear" w:color="auto" w:fill="FFFFFF"/>
          <w:lang w:val="es-CR"/>
        </w:rPr>
        <w:t>, punto resolutivo quinto.</w:t>
      </w:r>
    </w:p>
  </w:footnote>
  <w:footnote w:id="23">
    <w:p w14:paraId="6EF2F676" w14:textId="77777777" w:rsidR="00186C5F" w:rsidRPr="00354BEB" w:rsidRDefault="00186C5F" w:rsidP="00186C5F">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 xml:space="preserve">Cfr. Caso Yatama Vs. Nicaragua, Supervisión de Cumplimiento de Sentencia. </w:t>
      </w:r>
      <w:r w:rsidRPr="00354BEB">
        <w:rPr>
          <w:rFonts w:ascii="Verdana" w:hAnsi="Verdana"/>
          <w:sz w:val="16"/>
          <w:szCs w:val="16"/>
          <w:lang w:val="es-CR"/>
        </w:rPr>
        <w:t xml:space="preserve">Resolución de la Corte Interamericana de Derechos Humanos de 22 de agosto de 2013, Considerando </w:t>
      </w:r>
      <w:r w:rsidR="003315E4" w:rsidRPr="00354BEB">
        <w:rPr>
          <w:rFonts w:ascii="Verdana" w:hAnsi="Verdana"/>
          <w:sz w:val="16"/>
          <w:szCs w:val="16"/>
          <w:lang w:val="es-CR"/>
        </w:rPr>
        <w:t>15</w:t>
      </w:r>
      <w:r w:rsidRPr="00354BEB">
        <w:rPr>
          <w:rFonts w:ascii="Verdana" w:hAnsi="Verdana"/>
          <w:sz w:val="16"/>
          <w:szCs w:val="16"/>
          <w:lang w:val="es-CR"/>
        </w:rPr>
        <w:t xml:space="preserve">, y </w:t>
      </w:r>
      <w:r w:rsidR="003315E4"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w:t>
      </w:r>
      <w:r w:rsidR="003315E4" w:rsidRPr="00354BEB">
        <w:rPr>
          <w:rFonts w:ascii="Verdana" w:hAnsi="Verdana"/>
          <w:i/>
          <w:sz w:val="16"/>
          <w:szCs w:val="16"/>
          <w:lang w:val="es-CR"/>
        </w:rPr>
        <w:t xml:space="preserve">supra </w:t>
      </w:r>
      <w:r w:rsidR="003315E4" w:rsidRPr="00354BEB">
        <w:rPr>
          <w:rFonts w:ascii="Verdana" w:hAnsi="Verdana"/>
          <w:sz w:val="16"/>
          <w:szCs w:val="16"/>
          <w:lang w:val="es-CR"/>
        </w:rPr>
        <w:t xml:space="preserve">nota </w:t>
      </w:r>
      <w:r w:rsidR="003315E4" w:rsidRPr="00354BEB">
        <w:rPr>
          <w:rFonts w:ascii="Verdana" w:hAnsi="Verdana"/>
          <w:sz w:val="16"/>
          <w:szCs w:val="16"/>
          <w:lang w:val="es-CR"/>
        </w:rPr>
        <w:fldChar w:fldCharType="begin"/>
      </w:r>
      <w:r w:rsidR="003315E4" w:rsidRPr="00354BEB">
        <w:rPr>
          <w:rFonts w:ascii="Verdana" w:hAnsi="Verdana"/>
          <w:sz w:val="16"/>
          <w:szCs w:val="16"/>
          <w:lang w:val="es-CR"/>
        </w:rPr>
        <w:instrText xml:space="preserve"> NOTEREF _Ref26354812 \h </w:instrText>
      </w:r>
      <w:r w:rsidR="00354BEB" w:rsidRPr="00354BEB">
        <w:rPr>
          <w:rFonts w:ascii="Verdana" w:hAnsi="Verdana"/>
          <w:sz w:val="16"/>
          <w:szCs w:val="16"/>
          <w:lang w:val="es-CR"/>
        </w:rPr>
        <w:instrText xml:space="preserve"> \* MERGEFORMAT </w:instrText>
      </w:r>
      <w:r w:rsidR="003315E4" w:rsidRPr="00354BEB">
        <w:rPr>
          <w:rFonts w:ascii="Verdana" w:hAnsi="Verdana"/>
          <w:sz w:val="16"/>
          <w:szCs w:val="16"/>
          <w:lang w:val="es-CR"/>
        </w:rPr>
      </w:r>
      <w:r w:rsidR="003315E4" w:rsidRPr="00354BEB">
        <w:rPr>
          <w:rFonts w:ascii="Verdana" w:hAnsi="Verdana"/>
          <w:sz w:val="16"/>
          <w:szCs w:val="16"/>
          <w:lang w:val="es-CR"/>
        </w:rPr>
        <w:fldChar w:fldCharType="separate"/>
      </w:r>
      <w:r w:rsidR="00462D62">
        <w:rPr>
          <w:rFonts w:ascii="Verdana" w:hAnsi="Verdana"/>
          <w:sz w:val="16"/>
          <w:szCs w:val="16"/>
          <w:lang w:val="es-CR"/>
        </w:rPr>
        <w:t>11</w:t>
      </w:r>
      <w:r w:rsidR="003315E4" w:rsidRPr="00354BEB">
        <w:rPr>
          <w:rFonts w:ascii="Verdana" w:hAnsi="Verdana"/>
          <w:sz w:val="16"/>
          <w:szCs w:val="16"/>
          <w:lang w:val="es-CR"/>
        </w:rPr>
        <w:fldChar w:fldCharType="end"/>
      </w:r>
      <w:r w:rsidRPr="00354BEB">
        <w:rPr>
          <w:rFonts w:ascii="Verdana" w:hAnsi="Verdana"/>
          <w:sz w:val="16"/>
          <w:szCs w:val="16"/>
          <w:lang w:val="es-CR"/>
        </w:rPr>
        <w:t xml:space="preserve">, Considerando </w:t>
      </w:r>
      <w:r w:rsidR="003315E4" w:rsidRPr="00354BEB">
        <w:rPr>
          <w:rFonts w:ascii="Verdana" w:hAnsi="Verdana"/>
          <w:sz w:val="16"/>
          <w:szCs w:val="16"/>
          <w:lang w:val="es-CR"/>
        </w:rPr>
        <w:t>36</w:t>
      </w:r>
      <w:r w:rsidRPr="00354BEB">
        <w:rPr>
          <w:rFonts w:ascii="Verdana" w:hAnsi="Verdana"/>
          <w:sz w:val="16"/>
          <w:szCs w:val="16"/>
          <w:lang w:val="es-CR"/>
        </w:rPr>
        <w:t>.</w:t>
      </w:r>
    </w:p>
  </w:footnote>
  <w:footnote w:id="24">
    <w:p w14:paraId="79E6050D" w14:textId="77777777" w:rsidR="00186C5F" w:rsidRPr="00354BEB" w:rsidRDefault="00186C5F" w:rsidP="009A5876">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t>Esta obligación fue dispuesta en el punto dispositivo décimo y el párrafo 332 de la Sentencia. En dicho párrafo “la Corte orden[</w:t>
      </w:r>
      <w:proofErr w:type="spellStart"/>
      <w:r w:rsidRPr="00354BEB">
        <w:rPr>
          <w:rFonts w:ascii="Verdana" w:hAnsi="Verdana"/>
          <w:sz w:val="16"/>
          <w:szCs w:val="16"/>
          <w:lang w:val="es-CR"/>
        </w:rPr>
        <w:t>ó</w:t>
      </w:r>
      <w:proofErr w:type="spellEnd"/>
      <w:r w:rsidRPr="00354BEB">
        <w:rPr>
          <w:rFonts w:ascii="Verdana" w:hAnsi="Verdana"/>
          <w:sz w:val="16"/>
          <w:szCs w:val="16"/>
          <w:lang w:val="es-CR"/>
        </w:rPr>
        <w:t xml:space="preserve">] al Estado el reintegro a dicho Fondo de la cantidad de US$ 2.219,48 (dos mil doscientos diecinueve dólares de los Estados Unidos de América con cuarenta y ocho centavos) por concepto de gastos realizados para la presentación de </w:t>
      </w:r>
      <w:r w:rsidR="009A5876" w:rsidRPr="00354BEB">
        <w:rPr>
          <w:rFonts w:ascii="Verdana" w:hAnsi="Verdana"/>
          <w:sz w:val="16"/>
          <w:szCs w:val="16"/>
          <w:lang w:val="es-CR"/>
        </w:rPr>
        <w:t xml:space="preserve">las </w:t>
      </w:r>
      <w:r w:rsidRPr="00354BEB">
        <w:rPr>
          <w:rFonts w:ascii="Verdana" w:hAnsi="Verdana"/>
          <w:sz w:val="16"/>
          <w:szCs w:val="16"/>
          <w:lang w:val="es-CR"/>
        </w:rPr>
        <w:t xml:space="preserve">declaraciones de una presunta víctima y de un testigo en la audiencia pública </w:t>
      </w:r>
      <w:r w:rsidR="009A5876" w:rsidRPr="00354BEB">
        <w:rPr>
          <w:rFonts w:ascii="Verdana" w:hAnsi="Verdana"/>
          <w:sz w:val="16"/>
          <w:szCs w:val="16"/>
          <w:lang w:val="es-CR"/>
        </w:rPr>
        <w:t xml:space="preserve">en la audiencia pública </w:t>
      </w:r>
      <w:r w:rsidRPr="00354BEB">
        <w:rPr>
          <w:rFonts w:ascii="Verdana" w:hAnsi="Verdana"/>
          <w:sz w:val="16"/>
          <w:szCs w:val="16"/>
          <w:lang w:val="es-CR"/>
        </w:rPr>
        <w:t>del presente caso”. Se dispuso que “[</w:t>
      </w:r>
      <w:r w:rsidR="00B76A2B" w:rsidRPr="00354BEB">
        <w:rPr>
          <w:rFonts w:ascii="Verdana" w:hAnsi="Verdana"/>
          <w:sz w:val="16"/>
          <w:szCs w:val="16"/>
          <w:lang w:val="es-CR"/>
        </w:rPr>
        <w:t>d]</w:t>
      </w:r>
      <w:proofErr w:type="spellStart"/>
      <w:r w:rsidR="00B76A2B" w:rsidRPr="00354BEB">
        <w:rPr>
          <w:rFonts w:ascii="Verdana" w:hAnsi="Verdana"/>
          <w:sz w:val="16"/>
          <w:szCs w:val="16"/>
          <w:lang w:val="es-CR"/>
        </w:rPr>
        <w:t>icha</w:t>
      </w:r>
      <w:proofErr w:type="spellEnd"/>
      <w:r w:rsidR="00B76A2B" w:rsidRPr="00354BEB">
        <w:rPr>
          <w:rFonts w:ascii="Verdana" w:hAnsi="Verdana"/>
          <w:sz w:val="16"/>
          <w:szCs w:val="16"/>
          <w:lang w:val="es-CR"/>
        </w:rPr>
        <w:t xml:space="preserve"> cantidad </w:t>
      </w:r>
      <w:proofErr w:type="spellStart"/>
      <w:r w:rsidRPr="00354BEB">
        <w:rPr>
          <w:rFonts w:ascii="Verdana" w:hAnsi="Verdana"/>
          <w:sz w:val="16"/>
          <w:szCs w:val="16"/>
          <w:lang w:val="es-CR"/>
        </w:rPr>
        <w:t>deb</w:t>
      </w:r>
      <w:proofErr w:type="spellEnd"/>
      <w:r w:rsidRPr="00354BEB">
        <w:rPr>
          <w:rFonts w:ascii="Verdana" w:hAnsi="Verdana"/>
          <w:sz w:val="16"/>
          <w:szCs w:val="16"/>
          <w:lang w:val="es-CR"/>
        </w:rPr>
        <w:t>[</w:t>
      </w:r>
      <w:proofErr w:type="spellStart"/>
      <w:r w:rsidRPr="00354BEB">
        <w:rPr>
          <w:rFonts w:ascii="Verdana" w:hAnsi="Verdana"/>
          <w:sz w:val="16"/>
          <w:szCs w:val="16"/>
          <w:lang w:val="es-CR"/>
        </w:rPr>
        <w:t>ía</w:t>
      </w:r>
      <w:proofErr w:type="spellEnd"/>
      <w:r w:rsidRPr="00354BEB">
        <w:rPr>
          <w:rFonts w:ascii="Verdana" w:hAnsi="Verdana"/>
          <w:sz w:val="16"/>
          <w:szCs w:val="16"/>
          <w:lang w:val="es-CR"/>
        </w:rPr>
        <w:t>] ser reintegrad</w:t>
      </w:r>
      <w:r w:rsidR="009A5876" w:rsidRPr="00354BEB">
        <w:rPr>
          <w:rFonts w:ascii="Verdana" w:hAnsi="Verdana"/>
          <w:sz w:val="16"/>
          <w:szCs w:val="16"/>
          <w:lang w:val="es-CR"/>
        </w:rPr>
        <w:t>a</w:t>
      </w:r>
      <w:r w:rsidRPr="00354BEB">
        <w:rPr>
          <w:rFonts w:ascii="Verdana" w:hAnsi="Verdana"/>
          <w:sz w:val="16"/>
          <w:szCs w:val="16"/>
          <w:lang w:val="es-CR"/>
        </w:rPr>
        <w:t xml:space="preserve"> </w:t>
      </w:r>
      <w:r w:rsidR="009A5876" w:rsidRPr="00354BEB">
        <w:rPr>
          <w:rFonts w:ascii="Verdana" w:hAnsi="Verdana"/>
          <w:sz w:val="16"/>
          <w:szCs w:val="16"/>
          <w:lang w:val="es-CR"/>
        </w:rPr>
        <w:t>[</w:t>
      </w:r>
      <w:r w:rsidRPr="00354BEB">
        <w:rPr>
          <w:rFonts w:ascii="Verdana" w:hAnsi="Verdana"/>
          <w:sz w:val="16"/>
          <w:szCs w:val="16"/>
          <w:lang w:val="es-CR"/>
        </w:rPr>
        <w:t>a la Corte Interamericana</w:t>
      </w:r>
      <w:r w:rsidR="009A5876" w:rsidRPr="00354BEB">
        <w:rPr>
          <w:rFonts w:ascii="Verdana" w:hAnsi="Verdana"/>
          <w:sz w:val="16"/>
          <w:szCs w:val="16"/>
          <w:lang w:val="es-CR"/>
        </w:rPr>
        <w:t>]</w:t>
      </w:r>
      <w:r w:rsidRPr="00354BEB">
        <w:rPr>
          <w:rFonts w:ascii="Verdana" w:hAnsi="Verdana"/>
          <w:sz w:val="16"/>
          <w:szCs w:val="16"/>
          <w:lang w:val="es-CR"/>
        </w:rPr>
        <w:t xml:space="preserve"> en el plazo de noventa días, contado a partir de la notificación del presente Fallo”. Ese plazo venció hace </w:t>
      </w:r>
      <w:r w:rsidR="00EE524B" w:rsidRPr="00354BEB">
        <w:rPr>
          <w:rFonts w:ascii="Verdana" w:hAnsi="Verdana"/>
          <w:sz w:val="16"/>
          <w:szCs w:val="16"/>
          <w:lang w:val="es-CR"/>
        </w:rPr>
        <w:t>siete años y cuatro meses</w:t>
      </w:r>
      <w:r w:rsidRPr="00354BEB">
        <w:rPr>
          <w:rFonts w:ascii="Verdana" w:hAnsi="Verdana"/>
          <w:sz w:val="16"/>
          <w:szCs w:val="16"/>
          <w:lang w:val="es-CR"/>
        </w:rPr>
        <w:t xml:space="preserve">, el </w:t>
      </w:r>
      <w:r w:rsidR="00B76A2B" w:rsidRPr="00354BEB">
        <w:rPr>
          <w:rFonts w:ascii="Verdana" w:hAnsi="Verdana"/>
          <w:sz w:val="16"/>
          <w:szCs w:val="16"/>
          <w:lang w:val="es-CR"/>
        </w:rPr>
        <w:t>1 de</w:t>
      </w:r>
      <w:r w:rsidR="00EE524B" w:rsidRPr="00354BEB">
        <w:rPr>
          <w:rFonts w:ascii="Verdana" w:hAnsi="Verdana"/>
          <w:sz w:val="16"/>
          <w:szCs w:val="16"/>
          <w:lang w:val="es-CR"/>
        </w:rPr>
        <w:t xml:space="preserve"> julio de 2012</w:t>
      </w:r>
      <w:r w:rsidRPr="00354BEB">
        <w:rPr>
          <w:rFonts w:ascii="Verdana" w:hAnsi="Verdana"/>
          <w:sz w:val="16"/>
          <w:szCs w:val="16"/>
          <w:lang w:val="es-CR"/>
        </w:rPr>
        <w:t>, sin que a la fecha de emisión de la presente Resolución el Estado haya hecho referencia a dicho reintegro o pagado monto alguno a este Tribunal, a pesar de los recordatorios que le fueron realizados.</w:t>
      </w:r>
    </w:p>
  </w:footnote>
  <w:footnote w:id="25">
    <w:p w14:paraId="085CAB0D" w14:textId="77777777" w:rsidR="00186C5F" w:rsidRPr="00354BEB" w:rsidRDefault="00186C5F" w:rsidP="00186C5F">
      <w:pPr>
        <w:pStyle w:val="Textonotapie"/>
        <w:jc w:val="both"/>
        <w:rPr>
          <w:rFonts w:ascii="Verdana" w:hAnsi="Verdana"/>
          <w:sz w:val="16"/>
          <w:szCs w:val="16"/>
          <w:lang w:val="es-CR"/>
        </w:rPr>
      </w:pPr>
      <w:r w:rsidRPr="00354BEB">
        <w:rPr>
          <w:rStyle w:val="Refdenotaalpie"/>
          <w:rFonts w:ascii="Verdana" w:hAnsi="Verdana"/>
          <w:sz w:val="16"/>
          <w:szCs w:val="16"/>
        </w:rPr>
        <w:footnoteRef/>
      </w:r>
      <w:r w:rsidRPr="00354BEB">
        <w:rPr>
          <w:rFonts w:ascii="Verdana" w:hAnsi="Verdana"/>
          <w:sz w:val="16"/>
          <w:szCs w:val="16"/>
          <w:lang w:val="es-CR"/>
        </w:rPr>
        <w:t xml:space="preserve"> </w:t>
      </w:r>
      <w:r w:rsidRPr="00354BEB">
        <w:rPr>
          <w:rFonts w:ascii="Verdana" w:hAnsi="Verdana"/>
          <w:sz w:val="16"/>
          <w:szCs w:val="16"/>
          <w:lang w:val="es-CR"/>
        </w:rPr>
        <w:tab/>
      </w:r>
      <w:r w:rsidRPr="00354BEB">
        <w:rPr>
          <w:rFonts w:ascii="Verdana" w:hAnsi="Verdana"/>
          <w:i/>
          <w:sz w:val="16"/>
          <w:szCs w:val="16"/>
          <w:lang w:val="es-CR"/>
        </w:rPr>
        <w:t>Cfr.</w:t>
      </w:r>
      <w:r w:rsidRPr="00354BEB">
        <w:rPr>
          <w:rFonts w:ascii="Verdana" w:hAnsi="Verdana"/>
          <w:sz w:val="16"/>
          <w:szCs w:val="16"/>
          <w:lang w:val="es-CR"/>
        </w:rPr>
        <w:t xml:space="preserve"> </w:t>
      </w:r>
      <w:r w:rsidRPr="00354BEB">
        <w:rPr>
          <w:rStyle w:val="Textoennegrita"/>
          <w:rFonts w:ascii="Verdana" w:hAnsi="Verdana"/>
          <w:b w:val="0"/>
          <w:i/>
          <w:color w:val="000000"/>
          <w:sz w:val="16"/>
          <w:szCs w:val="16"/>
          <w:shd w:val="clear" w:color="auto" w:fill="FFFFFF"/>
          <w:lang w:val="es-CR"/>
        </w:rPr>
        <w:t xml:space="preserve">Casos </w:t>
      </w:r>
      <w:proofErr w:type="spellStart"/>
      <w:r w:rsidRPr="00354BEB">
        <w:rPr>
          <w:rStyle w:val="Textoennegrita"/>
          <w:rFonts w:ascii="Verdana" w:hAnsi="Verdana"/>
          <w:b w:val="0"/>
          <w:i/>
          <w:color w:val="000000"/>
          <w:sz w:val="16"/>
          <w:szCs w:val="16"/>
          <w:shd w:val="clear" w:color="auto" w:fill="FFFFFF"/>
          <w:lang w:val="es-CR"/>
        </w:rPr>
        <w:t>Chocrón</w:t>
      </w:r>
      <w:proofErr w:type="spellEnd"/>
      <w:r w:rsidRPr="00354BEB">
        <w:rPr>
          <w:rStyle w:val="Textoennegrita"/>
          <w:rFonts w:ascii="Verdana" w:hAnsi="Verdana"/>
          <w:b w:val="0"/>
          <w:i/>
          <w:color w:val="000000"/>
          <w:sz w:val="16"/>
          <w:szCs w:val="16"/>
          <w:shd w:val="clear" w:color="auto" w:fill="FFFFFF"/>
          <w:lang w:val="es-CR"/>
        </w:rPr>
        <w:t xml:space="preserve"> </w:t>
      </w:r>
      <w:proofErr w:type="spellStart"/>
      <w:r w:rsidRPr="00354BEB">
        <w:rPr>
          <w:rStyle w:val="Textoennegrita"/>
          <w:rFonts w:ascii="Verdana" w:hAnsi="Verdana"/>
          <w:b w:val="0"/>
          <w:i/>
          <w:color w:val="000000"/>
          <w:sz w:val="16"/>
          <w:szCs w:val="16"/>
          <w:shd w:val="clear" w:color="auto" w:fill="FFFFFF"/>
          <w:lang w:val="es-CR"/>
        </w:rPr>
        <w:t>Chocrón</w:t>
      </w:r>
      <w:proofErr w:type="spellEnd"/>
      <w:r w:rsidRPr="00354BEB">
        <w:rPr>
          <w:rStyle w:val="Textoennegrita"/>
          <w:rFonts w:ascii="Verdana" w:hAnsi="Verdana"/>
          <w:b w:val="0"/>
          <w:i/>
          <w:color w:val="000000"/>
          <w:sz w:val="16"/>
          <w:szCs w:val="16"/>
          <w:shd w:val="clear" w:color="auto" w:fill="FFFFFF"/>
          <w:lang w:val="es-CR"/>
        </w:rPr>
        <w:t xml:space="preserve">, Díaz peña y Uzcátegui y otros </w:t>
      </w:r>
      <w:r w:rsidRPr="00354BEB">
        <w:rPr>
          <w:rFonts w:ascii="Verdana" w:hAnsi="Verdana"/>
          <w:bCs/>
          <w:i/>
          <w:sz w:val="16"/>
          <w:szCs w:val="16"/>
          <w:lang w:val="es-CR"/>
        </w:rPr>
        <w:t>Vs</w:t>
      </w:r>
      <w:r w:rsidRPr="00354BEB">
        <w:rPr>
          <w:rStyle w:val="Textoennegrita"/>
          <w:rFonts w:ascii="Verdana" w:hAnsi="Verdana"/>
          <w:b w:val="0"/>
          <w:i/>
          <w:color w:val="000000"/>
          <w:sz w:val="16"/>
          <w:szCs w:val="16"/>
          <w:shd w:val="clear" w:color="auto" w:fill="FFFFFF"/>
          <w:lang w:val="es-CR"/>
        </w:rPr>
        <w:t>. Venezuela</w:t>
      </w:r>
      <w:r w:rsidRPr="00354BEB">
        <w:rPr>
          <w:rStyle w:val="Textoennegrita"/>
          <w:rFonts w:ascii="Verdana" w:hAnsi="Verdana"/>
          <w:b w:val="0"/>
          <w:color w:val="000000"/>
          <w:sz w:val="16"/>
          <w:szCs w:val="16"/>
          <w:shd w:val="clear" w:color="auto" w:fill="FFFFFF"/>
          <w:lang w:val="es-CR"/>
        </w:rPr>
        <w:t xml:space="preserve">, supra nota 49, Considerando 5, </w:t>
      </w:r>
      <w:r w:rsidRPr="00354BEB">
        <w:rPr>
          <w:rStyle w:val="Textoennegrita"/>
          <w:rFonts w:ascii="Verdana" w:hAnsi="Verdana"/>
          <w:b w:val="0"/>
          <w:i/>
          <w:color w:val="000000"/>
          <w:sz w:val="16"/>
          <w:szCs w:val="16"/>
          <w:shd w:val="clear" w:color="auto" w:fill="FFFFFF"/>
          <w:lang w:val="es-CR"/>
        </w:rPr>
        <w:t xml:space="preserve">Caso de las Niñas Yean y Bosico y Caso de Personas dominicanas y haitianas expulsadas, supra </w:t>
      </w:r>
      <w:r w:rsidRPr="00354BEB">
        <w:rPr>
          <w:rStyle w:val="Textoennegrita"/>
          <w:rFonts w:ascii="Verdana" w:hAnsi="Verdana"/>
          <w:b w:val="0"/>
          <w:color w:val="000000"/>
          <w:sz w:val="16"/>
          <w:szCs w:val="16"/>
          <w:shd w:val="clear" w:color="auto" w:fill="FFFFFF"/>
          <w:lang w:val="es-CR"/>
        </w:rPr>
        <w:t xml:space="preserve">nota </w:t>
      </w:r>
      <w:r w:rsidR="00956504" w:rsidRPr="00354BEB">
        <w:rPr>
          <w:rStyle w:val="Textoennegrita"/>
          <w:rFonts w:ascii="Verdana" w:hAnsi="Verdana"/>
          <w:b w:val="0"/>
          <w:color w:val="000000"/>
          <w:sz w:val="16"/>
          <w:szCs w:val="16"/>
          <w:shd w:val="clear" w:color="auto" w:fill="FFFFFF"/>
          <w:lang w:val="es-CR"/>
        </w:rPr>
        <w:fldChar w:fldCharType="begin"/>
      </w:r>
      <w:r w:rsidR="00956504" w:rsidRPr="00354BEB">
        <w:rPr>
          <w:rStyle w:val="Textoennegrita"/>
          <w:rFonts w:ascii="Verdana" w:hAnsi="Verdana"/>
          <w:b w:val="0"/>
          <w:color w:val="000000"/>
          <w:sz w:val="16"/>
          <w:szCs w:val="16"/>
          <w:shd w:val="clear" w:color="auto" w:fill="FFFFFF"/>
          <w:lang w:val="es-CR"/>
        </w:rPr>
        <w:instrText xml:space="preserve"> NOTEREF _Ref26354812 \h </w:instrText>
      </w:r>
      <w:r w:rsidR="00354BEB" w:rsidRPr="00354BEB">
        <w:rPr>
          <w:rStyle w:val="Textoennegrita"/>
          <w:rFonts w:ascii="Verdana" w:hAnsi="Verdana"/>
          <w:b w:val="0"/>
          <w:color w:val="000000"/>
          <w:sz w:val="16"/>
          <w:szCs w:val="16"/>
          <w:shd w:val="clear" w:color="auto" w:fill="FFFFFF"/>
          <w:lang w:val="es-CR"/>
        </w:rPr>
        <w:instrText xml:space="preserve"> \* MERGEFORMAT </w:instrText>
      </w:r>
      <w:r w:rsidR="00956504" w:rsidRPr="00354BEB">
        <w:rPr>
          <w:rStyle w:val="Textoennegrita"/>
          <w:rFonts w:ascii="Verdana" w:hAnsi="Verdana"/>
          <w:b w:val="0"/>
          <w:color w:val="000000"/>
          <w:sz w:val="16"/>
          <w:szCs w:val="16"/>
          <w:shd w:val="clear" w:color="auto" w:fill="FFFFFF"/>
          <w:lang w:val="es-CR"/>
        </w:rPr>
      </w:r>
      <w:r w:rsidR="00956504" w:rsidRPr="00354BEB">
        <w:rPr>
          <w:rStyle w:val="Textoennegrita"/>
          <w:rFonts w:ascii="Verdana" w:hAnsi="Verdana"/>
          <w:b w:val="0"/>
          <w:color w:val="000000"/>
          <w:sz w:val="16"/>
          <w:szCs w:val="16"/>
          <w:shd w:val="clear" w:color="auto" w:fill="FFFFFF"/>
          <w:lang w:val="es-CR"/>
        </w:rPr>
        <w:fldChar w:fldCharType="separate"/>
      </w:r>
      <w:r w:rsidR="00462D62">
        <w:rPr>
          <w:rStyle w:val="Textoennegrita"/>
          <w:rFonts w:ascii="Verdana" w:hAnsi="Verdana"/>
          <w:b w:val="0"/>
          <w:color w:val="000000"/>
          <w:sz w:val="16"/>
          <w:szCs w:val="16"/>
          <w:shd w:val="clear" w:color="auto" w:fill="FFFFFF"/>
          <w:lang w:val="es-CR"/>
        </w:rPr>
        <w:t>11</w:t>
      </w:r>
      <w:r w:rsidR="00956504" w:rsidRPr="00354BEB">
        <w:rPr>
          <w:rStyle w:val="Textoennegrita"/>
          <w:rFonts w:ascii="Verdana" w:hAnsi="Verdana"/>
          <w:b w:val="0"/>
          <w:color w:val="000000"/>
          <w:sz w:val="16"/>
          <w:szCs w:val="16"/>
          <w:shd w:val="clear" w:color="auto" w:fill="FFFFFF"/>
          <w:lang w:val="es-CR"/>
        </w:rPr>
        <w:fldChar w:fldCharType="end"/>
      </w:r>
      <w:r w:rsidRPr="00354BEB">
        <w:rPr>
          <w:rStyle w:val="Textoennegrita"/>
          <w:rFonts w:ascii="Verdana" w:hAnsi="Verdana"/>
          <w:b w:val="0"/>
          <w:color w:val="000000"/>
          <w:sz w:val="16"/>
          <w:szCs w:val="16"/>
          <w:shd w:val="clear" w:color="auto" w:fill="FFFFFF"/>
          <w:lang w:val="es-CR"/>
        </w:rPr>
        <w:t>, Considerando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694C" w14:textId="77777777" w:rsidR="00E95A35" w:rsidRPr="00CA25FE" w:rsidRDefault="00E95A35" w:rsidP="00CA25FE">
    <w:pPr>
      <w:pStyle w:val="Encabezado"/>
      <w:jc w:val="right"/>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071"/>
    <w:multiLevelType w:val="hybridMultilevel"/>
    <w:tmpl w:val="859ADE0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5B24CB"/>
    <w:multiLevelType w:val="hybridMultilevel"/>
    <w:tmpl w:val="439AB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55EC8"/>
    <w:multiLevelType w:val="hybridMultilevel"/>
    <w:tmpl w:val="C840EB18"/>
    <w:lvl w:ilvl="0" w:tplc="7BA6EC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41241"/>
    <w:multiLevelType w:val="hybridMultilevel"/>
    <w:tmpl w:val="13AE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2482C"/>
    <w:multiLevelType w:val="hybridMultilevel"/>
    <w:tmpl w:val="114E3F7E"/>
    <w:lvl w:ilvl="0" w:tplc="1572097A">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0837214"/>
    <w:multiLevelType w:val="hybridMultilevel"/>
    <w:tmpl w:val="460834EC"/>
    <w:lvl w:ilvl="0" w:tplc="BDD8A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95B9E"/>
    <w:multiLevelType w:val="hybridMultilevel"/>
    <w:tmpl w:val="E9B6A2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E6A4F2C"/>
    <w:multiLevelType w:val="hybridMultilevel"/>
    <w:tmpl w:val="D7C8BA2C"/>
    <w:lvl w:ilvl="0" w:tplc="D0140842">
      <w:start w:val="1"/>
      <w:numFmt w:val="decimal"/>
      <w:lvlText w:val="%1."/>
      <w:lvlJc w:val="left"/>
      <w:pPr>
        <w:ind w:left="1065" w:hanging="705"/>
      </w:pPr>
      <w:rPr>
        <w:rFonts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7C1E71"/>
    <w:multiLevelType w:val="hybridMultilevel"/>
    <w:tmpl w:val="DA8A6D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F3E4FC0"/>
    <w:multiLevelType w:val="hybridMultilevel"/>
    <w:tmpl w:val="898A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74E"/>
    <w:rsid w:val="00045EDB"/>
    <w:rsid w:val="00054655"/>
    <w:rsid w:val="00064B0C"/>
    <w:rsid w:val="00066D2E"/>
    <w:rsid w:val="000720C6"/>
    <w:rsid w:val="00075244"/>
    <w:rsid w:val="000D4216"/>
    <w:rsid w:val="00186C5F"/>
    <w:rsid w:val="00196AD8"/>
    <w:rsid w:val="00197690"/>
    <w:rsid w:val="001A6803"/>
    <w:rsid w:val="001D53DA"/>
    <w:rsid w:val="001E2ECD"/>
    <w:rsid w:val="001E2FBE"/>
    <w:rsid w:val="001E6A28"/>
    <w:rsid w:val="001F1632"/>
    <w:rsid w:val="00214AB2"/>
    <w:rsid w:val="00223FB6"/>
    <w:rsid w:val="0023567D"/>
    <w:rsid w:val="00246120"/>
    <w:rsid w:val="00305094"/>
    <w:rsid w:val="003315E4"/>
    <w:rsid w:val="00340446"/>
    <w:rsid w:val="003431A9"/>
    <w:rsid w:val="00354BEB"/>
    <w:rsid w:val="003E68D9"/>
    <w:rsid w:val="00401B6C"/>
    <w:rsid w:val="004028A5"/>
    <w:rsid w:val="00405F8A"/>
    <w:rsid w:val="0043346B"/>
    <w:rsid w:val="00440566"/>
    <w:rsid w:val="00462D62"/>
    <w:rsid w:val="004A045B"/>
    <w:rsid w:val="004B25DE"/>
    <w:rsid w:val="004B4F0F"/>
    <w:rsid w:val="004B55D5"/>
    <w:rsid w:val="004D0A88"/>
    <w:rsid w:val="00514A5C"/>
    <w:rsid w:val="00516E09"/>
    <w:rsid w:val="00517D4F"/>
    <w:rsid w:val="00522283"/>
    <w:rsid w:val="005676B1"/>
    <w:rsid w:val="00572104"/>
    <w:rsid w:val="00582F42"/>
    <w:rsid w:val="005A0C5B"/>
    <w:rsid w:val="005A11C2"/>
    <w:rsid w:val="005B06C6"/>
    <w:rsid w:val="005B68D3"/>
    <w:rsid w:val="005D0C04"/>
    <w:rsid w:val="005F257B"/>
    <w:rsid w:val="005F4866"/>
    <w:rsid w:val="005F4E5C"/>
    <w:rsid w:val="0061737A"/>
    <w:rsid w:val="00624882"/>
    <w:rsid w:val="00624A7A"/>
    <w:rsid w:val="00637FE8"/>
    <w:rsid w:val="00644445"/>
    <w:rsid w:val="00665CAE"/>
    <w:rsid w:val="006A164F"/>
    <w:rsid w:val="006C7FC8"/>
    <w:rsid w:val="00704B0E"/>
    <w:rsid w:val="0070786E"/>
    <w:rsid w:val="00753497"/>
    <w:rsid w:val="0075474E"/>
    <w:rsid w:val="00762259"/>
    <w:rsid w:val="007736F9"/>
    <w:rsid w:val="007A65F6"/>
    <w:rsid w:val="00847F61"/>
    <w:rsid w:val="008619F6"/>
    <w:rsid w:val="00875DDD"/>
    <w:rsid w:val="00896432"/>
    <w:rsid w:val="008A7EF1"/>
    <w:rsid w:val="008B073A"/>
    <w:rsid w:val="008C34B3"/>
    <w:rsid w:val="008C689A"/>
    <w:rsid w:val="008D04D8"/>
    <w:rsid w:val="008D5D14"/>
    <w:rsid w:val="008E44C3"/>
    <w:rsid w:val="00956504"/>
    <w:rsid w:val="009A2840"/>
    <w:rsid w:val="009A5876"/>
    <w:rsid w:val="009C5407"/>
    <w:rsid w:val="009E480F"/>
    <w:rsid w:val="009F6758"/>
    <w:rsid w:val="00A07372"/>
    <w:rsid w:val="00A23E43"/>
    <w:rsid w:val="00A279B8"/>
    <w:rsid w:val="00A61567"/>
    <w:rsid w:val="00A657DB"/>
    <w:rsid w:val="00A8326D"/>
    <w:rsid w:val="00AF7020"/>
    <w:rsid w:val="00B15B7F"/>
    <w:rsid w:val="00B27788"/>
    <w:rsid w:val="00B31BE1"/>
    <w:rsid w:val="00B400A6"/>
    <w:rsid w:val="00B4627D"/>
    <w:rsid w:val="00B54FDF"/>
    <w:rsid w:val="00B670E5"/>
    <w:rsid w:val="00B76A2B"/>
    <w:rsid w:val="00B82F33"/>
    <w:rsid w:val="00B9250A"/>
    <w:rsid w:val="00BA3885"/>
    <w:rsid w:val="00BE21DA"/>
    <w:rsid w:val="00BE4D13"/>
    <w:rsid w:val="00BE5610"/>
    <w:rsid w:val="00C566D8"/>
    <w:rsid w:val="00C7347B"/>
    <w:rsid w:val="00C86AA0"/>
    <w:rsid w:val="00C92EA6"/>
    <w:rsid w:val="00CA25FE"/>
    <w:rsid w:val="00CD05F3"/>
    <w:rsid w:val="00CE7125"/>
    <w:rsid w:val="00D04927"/>
    <w:rsid w:val="00D0573D"/>
    <w:rsid w:val="00D3707F"/>
    <w:rsid w:val="00D466CA"/>
    <w:rsid w:val="00D7781D"/>
    <w:rsid w:val="00DB2084"/>
    <w:rsid w:val="00DB3174"/>
    <w:rsid w:val="00DF0B05"/>
    <w:rsid w:val="00E04F51"/>
    <w:rsid w:val="00E079EC"/>
    <w:rsid w:val="00E42DF4"/>
    <w:rsid w:val="00E95A35"/>
    <w:rsid w:val="00E97639"/>
    <w:rsid w:val="00EA1058"/>
    <w:rsid w:val="00EA2E81"/>
    <w:rsid w:val="00EE524B"/>
    <w:rsid w:val="00EF0C75"/>
    <w:rsid w:val="00EF4F78"/>
    <w:rsid w:val="00F02096"/>
    <w:rsid w:val="00F24E46"/>
    <w:rsid w:val="00F80D34"/>
    <w:rsid w:val="00FB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39DCD"/>
  <w15:chartTrackingRefBased/>
  <w15:docId w15:val="{BE77C406-8B6B-470F-8E9F-937EE3A9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BE21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75474E"/>
  </w:style>
  <w:style w:type="paragraph" w:styleId="Prrafodelista">
    <w:name w:val="List Paragraph"/>
    <w:basedOn w:val="Normal"/>
    <w:uiPriority w:val="34"/>
    <w:qFormat/>
    <w:rsid w:val="0075474E"/>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75474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rsid w:val="0075474E"/>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iPriority w:val="99"/>
    <w:unhideWhenUsed/>
    <w:qFormat/>
    <w:rsid w:val="0075474E"/>
    <w:rPr>
      <w:vertAlign w:val="superscript"/>
    </w:rPr>
  </w:style>
  <w:style w:type="character" w:styleId="Hipervnculo">
    <w:name w:val="Hyperlink"/>
    <w:basedOn w:val="Fuentedeprrafopredeter"/>
    <w:uiPriority w:val="99"/>
    <w:unhideWhenUsed/>
    <w:rsid w:val="0075474E"/>
    <w:rPr>
      <w:color w:val="0563C1" w:themeColor="hyperlink"/>
      <w:u w:val="single"/>
    </w:rPr>
  </w:style>
  <w:style w:type="paragraph" w:styleId="Encabezado">
    <w:name w:val="header"/>
    <w:basedOn w:val="Normal"/>
    <w:link w:val="EncabezadoCar"/>
    <w:uiPriority w:val="99"/>
    <w:unhideWhenUsed/>
    <w:rsid w:val="00CA25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A25FE"/>
  </w:style>
  <w:style w:type="paragraph" w:styleId="Piedepgina">
    <w:name w:val="footer"/>
    <w:basedOn w:val="Normal"/>
    <w:link w:val="PiedepginaCar"/>
    <w:uiPriority w:val="99"/>
    <w:unhideWhenUsed/>
    <w:rsid w:val="00CA25F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A25FE"/>
  </w:style>
  <w:style w:type="character" w:customStyle="1" w:styleId="Ttulo2Car">
    <w:name w:val="Título 2 Car"/>
    <w:basedOn w:val="Fuentedeprrafopredeter"/>
    <w:link w:val="Ttulo2"/>
    <w:uiPriority w:val="9"/>
    <w:rsid w:val="00BE21DA"/>
    <w:rPr>
      <w:rFonts w:asciiTheme="majorHAnsi" w:eastAsiaTheme="majorEastAsia" w:hAnsiTheme="majorHAnsi" w:cstheme="majorBidi"/>
      <w:color w:val="2E74B5" w:themeColor="accent1" w:themeShade="BF"/>
      <w:sz w:val="26"/>
      <w:szCs w:val="2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22283"/>
    <w:pPr>
      <w:spacing w:after="0" w:line="240" w:lineRule="auto"/>
      <w:jc w:val="both"/>
    </w:pPr>
    <w:rPr>
      <w:vertAlign w:val="superscript"/>
    </w:rPr>
  </w:style>
  <w:style w:type="character" w:customStyle="1" w:styleId="Listavistosa-nfasis1Car">
    <w:name w:val="Lista vistosa - Énfasis 1 Car"/>
    <w:aliases w:val="Footnote Car,Párrafo de lista1 Car"/>
    <w:link w:val="Listavistosa-nfasis1"/>
    <w:uiPriority w:val="34"/>
    <w:rsid w:val="00E04F51"/>
  </w:style>
  <w:style w:type="table" w:styleId="Listavistosa-nfasis1">
    <w:name w:val="Colorful List Accent 1"/>
    <w:basedOn w:val="Tablanormal"/>
    <w:link w:val="Listavistosa-nfasis1Car"/>
    <w:uiPriority w:val="34"/>
    <w:semiHidden/>
    <w:unhideWhenUsed/>
    <w:rsid w:val="00E04F51"/>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Textoennegrita">
    <w:name w:val="Strong"/>
    <w:basedOn w:val="Fuentedeprrafopredeter"/>
    <w:uiPriority w:val="22"/>
    <w:qFormat/>
    <w:rsid w:val="00186C5F"/>
    <w:rPr>
      <w:b/>
      <w:bCs/>
    </w:rPr>
  </w:style>
  <w:style w:type="paragraph" w:styleId="Textodeglobo">
    <w:name w:val="Balloon Text"/>
    <w:basedOn w:val="Normal"/>
    <w:link w:val="TextodegloboCar"/>
    <w:uiPriority w:val="99"/>
    <w:semiHidden/>
    <w:unhideWhenUsed/>
    <w:rsid w:val="00BE4D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4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tablas/informe2018/espanol.pdf" TargetMode="External"/><Relationship Id="rId1" Type="http://schemas.openxmlformats.org/officeDocument/2006/relationships/hyperlink" Target="http://corteidh.or.cr/docs/casos/articulos/seriec_240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2178D-DC92-4405-8EE4-057E8D6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21297</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2</cp:revision>
  <cp:lastPrinted>2019-12-12T18:43:00Z</cp:lastPrinted>
  <dcterms:created xsi:type="dcterms:W3CDTF">2019-12-12T22:57:00Z</dcterms:created>
  <dcterms:modified xsi:type="dcterms:W3CDTF">2019-12-12T22:57:00Z</dcterms:modified>
</cp:coreProperties>
</file>