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4345D" w14:textId="77777777" w:rsidR="002C337D" w:rsidRDefault="002C337D" w:rsidP="009607F0">
      <w:pPr>
        <w:jc w:val="center"/>
        <w:rPr>
          <w:rFonts w:ascii="Verdana" w:hAnsi="Verdana"/>
          <w:b/>
          <w:sz w:val="20"/>
          <w:lang w:val="es-MX"/>
        </w:rPr>
      </w:pPr>
    </w:p>
    <w:p w14:paraId="58864DAE" w14:textId="77777777" w:rsidR="009607F0" w:rsidRDefault="009607F0" w:rsidP="009607F0">
      <w:pPr>
        <w:jc w:val="center"/>
        <w:rPr>
          <w:rFonts w:ascii="Verdana" w:hAnsi="Verdana"/>
          <w:b/>
          <w:sz w:val="20"/>
          <w:lang w:val="es-MX"/>
        </w:rPr>
      </w:pPr>
    </w:p>
    <w:p w14:paraId="335F02F9" w14:textId="77777777" w:rsidR="009607F0" w:rsidRDefault="009607F0" w:rsidP="009607F0">
      <w:pPr>
        <w:jc w:val="center"/>
        <w:rPr>
          <w:rFonts w:ascii="Verdana" w:hAnsi="Verdana"/>
          <w:b/>
          <w:sz w:val="20"/>
          <w:lang w:val="es-MX"/>
        </w:rPr>
      </w:pPr>
    </w:p>
    <w:p w14:paraId="5F01E079" w14:textId="77777777" w:rsidR="009607F0" w:rsidRDefault="009607F0" w:rsidP="009607F0">
      <w:pPr>
        <w:jc w:val="center"/>
        <w:rPr>
          <w:rFonts w:ascii="Verdana" w:hAnsi="Verdana"/>
          <w:b/>
          <w:sz w:val="20"/>
          <w:lang w:val="es-MX"/>
        </w:rPr>
      </w:pPr>
    </w:p>
    <w:p w14:paraId="660D6FE0" w14:textId="77777777" w:rsidR="009607F0" w:rsidRDefault="009607F0" w:rsidP="009607F0">
      <w:pPr>
        <w:jc w:val="center"/>
        <w:rPr>
          <w:rFonts w:ascii="Verdana" w:hAnsi="Verdana"/>
          <w:b/>
          <w:sz w:val="20"/>
          <w:lang w:val="es-MX"/>
        </w:rPr>
      </w:pPr>
    </w:p>
    <w:p w14:paraId="2C89D020" w14:textId="77777777" w:rsidR="009607F0" w:rsidRDefault="009607F0" w:rsidP="009607F0">
      <w:pPr>
        <w:jc w:val="center"/>
        <w:rPr>
          <w:rFonts w:ascii="Verdana" w:hAnsi="Verdana"/>
          <w:b/>
          <w:sz w:val="20"/>
          <w:lang w:val="es-MX"/>
        </w:rPr>
      </w:pPr>
    </w:p>
    <w:p w14:paraId="3E0216BE" w14:textId="77777777" w:rsidR="009607F0" w:rsidRPr="00A53850" w:rsidRDefault="009607F0" w:rsidP="009607F0">
      <w:pPr>
        <w:jc w:val="center"/>
        <w:rPr>
          <w:rFonts w:ascii="Verdana" w:hAnsi="Verdana"/>
          <w:b/>
          <w:sz w:val="20"/>
          <w:lang w:val="es-MX"/>
        </w:rPr>
      </w:pPr>
    </w:p>
    <w:p w14:paraId="6239859C" w14:textId="77777777" w:rsidR="008740E4" w:rsidRPr="00A53850" w:rsidRDefault="008740E4" w:rsidP="009607F0">
      <w:pPr>
        <w:jc w:val="center"/>
        <w:rPr>
          <w:rFonts w:ascii="Verdana" w:hAnsi="Verdana"/>
          <w:b/>
          <w:sz w:val="20"/>
          <w:lang w:val="es-MX"/>
        </w:rPr>
      </w:pPr>
      <w:r w:rsidRPr="00A53850">
        <w:rPr>
          <w:rFonts w:ascii="Verdana" w:hAnsi="Verdana"/>
          <w:b/>
          <w:sz w:val="20"/>
          <w:lang w:val="es-MX"/>
        </w:rPr>
        <w:t xml:space="preserve">RESOLUCIÓN DE LA </w:t>
      </w:r>
    </w:p>
    <w:p w14:paraId="53C7A9DB" w14:textId="77777777" w:rsidR="008740E4" w:rsidRPr="00A53850" w:rsidRDefault="008740E4" w:rsidP="009607F0">
      <w:pPr>
        <w:jc w:val="center"/>
        <w:rPr>
          <w:rFonts w:ascii="Verdana" w:hAnsi="Verdana"/>
          <w:b/>
          <w:sz w:val="20"/>
        </w:rPr>
      </w:pPr>
      <w:r w:rsidRPr="00A53850">
        <w:rPr>
          <w:rFonts w:ascii="Verdana" w:hAnsi="Verdana"/>
          <w:b/>
          <w:sz w:val="20"/>
          <w:lang w:val="es-MX"/>
        </w:rPr>
        <w:t>CORTE INTERAMERICANA DE DERECHOS HUMANOS</w:t>
      </w:r>
    </w:p>
    <w:p w14:paraId="2DCC1DE3" w14:textId="77777777" w:rsidR="00CF0AF8" w:rsidRPr="00A53850" w:rsidRDefault="00CF0AF8" w:rsidP="009607F0">
      <w:pPr>
        <w:rPr>
          <w:rFonts w:ascii="Verdana" w:hAnsi="Verdana"/>
          <w:sz w:val="20"/>
        </w:rPr>
      </w:pPr>
    </w:p>
    <w:p w14:paraId="0AA35374" w14:textId="20B461B7" w:rsidR="008740E4" w:rsidRPr="00A53850" w:rsidRDefault="00AA2740" w:rsidP="009607F0">
      <w:pPr>
        <w:jc w:val="center"/>
        <w:rPr>
          <w:rFonts w:ascii="Verdana" w:hAnsi="Verdana"/>
          <w:b/>
          <w:sz w:val="20"/>
          <w:lang w:val="es-MX"/>
        </w:rPr>
      </w:pPr>
      <w:r w:rsidRPr="00A53850">
        <w:rPr>
          <w:rFonts w:ascii="Verdana" w:hAnsi="Verdana"/>
          <w:b/>
          <w:sz w:val="20"/>
          <w:lang w:val="es-MX"/>
        </w:rPr>
        <w:t>DE</w:t>
      </w:r>
      <w:r w:rsidR="006E0601" w:rsidRPr="00A53850">
        <w:rPr>
          <w:rFonts w:ascii="Verdana" w:hAnsi="Verdana"/>
          <w:b/>
          <w:sz w:val="20"/>
          <w:lang w:val="es-MX"/>
        </w:rPr>
        <w:t xml:space="preserve"> </w:t>
      </w:r>
      <w:r w:rsidR="0098419B" w:rsidRPr="00A53850">
        <w:rPr>
          <w:rFonts w:ascii="Verdana" w:hAnsi="Verdana"/>
          <w:b/>
          <w:sz w:val="20"/>
          <w:lang w:val="es-MX"/>
        </w:rPr>
        <w:t>7</w:t>
      </w:r>
      <w:r w:rsidR="00326BEF" w:rsidRPr="00A53850">
        <w:rPr>
          <w:rFonts w:ascii="Verdana" w:hAnsi="Verdana"/>
          <w:b/>
          <w:sz w:val="20"/>
          <w:lang w:val="es-MX"/>
        </w:rPr>
        <w:t xml:space="preserve"> DE </w:t>
      </w:r>
      <w:r w:rsidR="00B55203" w:rsidRPr="00A53850">
        <w:rPr>
          <w:rFonts w:ascii="Verdana" w:hAnsi="Verdana"/>
          <w:b/>
          <w:sz w:val="20"/>
          <w:lang w:val="es-MX"/>
        </w:rPr>
        <w:t>OCTUBRE</w:t>
      </w:r>
      <w:r w:rsidR="005C44B6" w:rsidRPr="00A53850">
        <w:rPr>
          <w:rFonts w:ascii="Verdana" w:hAnsi="Verdana"/>
          <w:b/>
          <w:sz w:val="20"/>
          <w:lang w:val="es-MX"/>
        </w:rPr>
        <w:t xml:space="preserve"> </w:t>
      </w:r>
      <w:r w:rsidRPr="00A53850">
        <w:rPr>
          <w:rFonts w:ascii="Verdana" w:hAnsi="Verdana"/>
          <w:b/>
          <w:sz w:val="20"/>
          <w:lang w:val="es-MX"/>
        </w:rPr>
        <w:t xml:space="preserve">DE </w:t>
      </w:r>
      <w:r w:rsidR="0085676A" w:rsidRPr="00A53850">
        <w:rPr>
          <w:rFonts w:ascii="Verdana" w:hAnsi="Verdana"/>
          <w:b/>
          <w:sz w:val="20"/>
          <w:lang w:val="es-MX"/>
        </w:rPr>
        <w:t>201</w:t>
      </w:r>
      <w:r w:rsidR="00542428" w:rsidRPr="00A53850">
        <w:rPr>
          <w:rFonts w:ascii="Verdana" w:hAnsi="Verdana"/>
          <w:b/>
          <w:sz w:val="20"/>
          <w:lang w:val="es-MX"/>
        </w:rPr>
        <w:t>9</w:t>
      </w:r>
    </w:p>
    <w:p w14:paraId="36C52F48" w14:textId="77777777" w:rsidR="00CF0AF8" w:rsidRPr="00A53850" w:rsidRDefault="00CF0AF8" w:rsidP="009607F0">
      <w:pPr>
        <w:rPr>
          <w:rFonts w:ascii="Verdana" w:hAnsi="Verdana"/>
          <w:b/>
          <w:i/>
          <w:sz w:val="20"/>
          <w:lang w:val="es-MX"/>
        </w:rPr>
      </w:pPr>
    </w:p>
    <w:p w14:paraId="45B3A217" w14:textId="48DE588A" w:rsidR="008740E4" w:rsidRPr="00A53850" w:rsidRDefault="009207F7" w:rsidP="009607F0">
      <w:pPr>
        <w:jc w:val="center"/>
        <w:rPr>
          <w:rFonts w:ascii="Verdana" w:hAnsi="Verdana"/>
          <w:b/>
          <w:i/>
          <w:sz w:val="20"/>
          <w:lang w:val="es-MX"/>
        </w:rPr>
      </w:pPr>
      <w:r w:rsidRPr="00A53850">
        <w:rPr>
          <w:rFonts w:ascii="Verdana" w:hAnsi="Verdana"/>
          <w:b/>
          <w:i/>
          <w:sz w:val="20"/>
          <w:lang w:val="es-CR"/>
        </w:rPr>
        <w:t>CASO GUDIEL ÁLVAREZ Y OTROS (</w:t>
      </w:r>
      <w:r w:rsidRPr="00A53850">
        <w:rPr>
          <w:rStyle w:val="Textoennegrita"/>
          <w:rFonts w:ascii="Verdana" w:hAnsi="Verdana"/>
          <w:i/>
          <w:color w:val="000000"/>
          <w:sz w:val="20"/>
          <w:shd w:val="clear" w:color="auto" w:fill="FFFFFF"/>
        </w:rPr>
        <w:t xml:space="preserve">"DIARIO MILITAR") </w:t>
      </w:r>
      <w:r w:rsidRPr="00A53850">
        <w:rPr>
          <w:rFonts w:ascii="Verdana" w:hAnsi="Verdana"/>
          <w:b/>
          <w:i/>
          <w:sz w:val="20"/>
          <w:lang w:val="es-CR"/>
        </w:rPr>
        <w:t xml:space="preserve">VS. </w:t>
      </w:r>
      <w:r w:rsidRPr="00A53850">
        <w:rPr>
          <w:rFonts w:ascii="Verdana" w:hAnsi="Verdana"/>
          <w:b/>
          <w:i/>
          <w:sz w:val="20"/>
          <w:lang w:val="es-MX"/>
        </w:rPr>
        <w:t>GUATEMALA</w:t>
      </w:r>
    </w:p>
    <w:p w14:paraId="175E2A65" w14:textId="77777777" w:rsidR="00CF0AF8" w:rsidRPr="00A53850" w:rsidRDefault="00CF0AF8" w:rsidP="009607F0">
      <w:pPr>
        <w:rPr>
          <w:rFonts w:ascii="Verdana" w:hAnsi="Verdana"/>
          <w:b/>
          <w:i/>
          <w:sz w:val="20"/>
          <w:lang w:val="es-MX"/>
        </w:rPr>
      </w:pPr>
    </w:p>
    <w:p w14:paraId="128D1699" w14:textId="1765C630" w:rsidR="008740E4" w:rsidRPr="00A53850" w:rsidRDefault="009207F7" w:rsidP="009607F0">
      <w:pPr>
        <w:jc w:val="center"/>
        <w:rPr>
          <w:rFonts w:ascii="Verdana" w:hAnsi="Verdana"/>
          <w:b/>
          <w:sz w:val="20"/>
          <w:lang w:val="es-MX"/>
        </w:rPr>
      </w:pPr>
      <w:r w:rsidRPr="00A53850">
        <w:rPr>
          <w:rFonts w:ascii="Verdana" w:hAnsi="Verdana"/>
          <w:b/>
          <w:sz w:val="20"/>
          <w:lang w:val="es-MX"/>
        </w:rPr>
        <w:t>SUPERVISIÓN DE CUMPLIMIENTO DE SENTENCIA</w:t>
      </w:r>
    </w:p>
    <w:p w14:paraId="49A89E02" w14:textId="77777777" w:rsidR="00451930" w:rsidRPr="00A53850" w:rsidRDefault="00451930" w:rsidP="009607F0">
      <w:pPr>
        <w:jc w:val="both"/>
        <w:rPr>
          <w:rFonts w:ascii="Verdana" w:hAnsi="Verdana"/>
          <w:b/>
          <w:sz w:val="20"/>
          <w:lang w:val="es-MX"/>
        </w:rPr>
      </w:pPr>
    </w:p>
    <w:p w14:paraId="64C295EE" w14:textId="77777777" w:rsidR="00E707EC" w:rsidRPr="00A53850" w:rsidRDefault="008740E4" w:rsidP="009607F0">
      <w:pPr>
        <w:jc w:val="both"/>
        <w:rPr>
          <w:rFonts w:ascii="Verdana" w:hAnsi="Verdana"/>
          <w:b/>
          <w:sz w:val="20"/>
          <w:lang w:val="es-MX"/>
        </w:rPr>
      </w:pPr>
      <w:r w:rsidRPr="00A53850">
        <w:rPr>
          <w:rFonts w:ascii="Verdana" w:hAnsi="Verdana"/>
          <w:b/>
          <w:sz w:val="20"/>
          <w:lang w:val="es-MX"/>
        </w:rPr>
        <w:t>VISTO:</w:t>
      </w:r>
    </w:p>
    <w:p w14:paraId="647A090B" w14:textId="77777777" w:rsidR="00AC77EB" w:rsidRPr="00A53850" w:rsidRDefault="00AC77EB" w:rsidP="009607F0">
      <w:pPr>
        <w:jc w:val="both"/>
        <w:rPr>
          <w:rFonts w:ascii="Verdana" w:hAnsi="Verdana"/>
          <w:b/>
          <w:sz w:val="20"/>
          <w:lang w:val="es-MX"/>
        </w:rPr>
      </w:pPr>
    </w:p>
    <w:p w14:paraId="17FEB82F" w14:textId="2F8EE640" w:rsidR="00BA0FE6" w:rsidRPr="009607F0" w:rsidRDefault="008740E4" w:rsidP="009607F0">
      <w:pPr>
        <w:numPr>
          <w:ilvl w:val="0"/>
          <w:numId w:val="24"/>
        </w:numPr>
        <w:autoSpaceDE w:val="0"/>
        <w:autoSpaceDN w:val="0"/>
        <w:adjustRightInd w:val="0"/>
        <w:ind w:left="0" w:firstLine="0"/>
        <w:jc w:val="both"/>
        <w:rPr>
          <w:rFonts w:ascii="Verdana" w:hAnsi="Verdana"/>
          <w:color w:val="000000" w:themeColor="text1"/>
          <w:sz w:val="20"/>
          <w:shd w:val="clear" w:color="auto" w:fill="FFFFFF" w:themeFill="background1"/>
          <w:lang w:val="es-CR"/>
        </w:rPr>
      </w:pPr>
      <w:r w:rsidRPr="00A53850">
        <w:rPr>
          <w:rFonts w:ascii="Verdana" w:hAnsi="Verdana"/>
          <w:sz w:val="20"/>
          <w:lang w:val="es-MX"/>
        </w:rPr>
        <w:t xml:space="preserve">La Sentencia </w:t>
      </w:r>
      <w:r w:rsidR="000E30E1" w:rsidRPr="00A53850">
        <w:rPr>
          <w:rFonts w:ascii="Verdana" w:hAnsi="Verdana"/>
          <w:sz w:val="20"/>
          <w:lang w:val="es-CR"/>
        </w:rPr>
        <w:t>de</w:t>
      </w:r>
      <w:r w:rsidR="00CD6FBF" w:rsidRPr="00A53850">
        <w:rPr>
          <w:rFonts w:ascii="Verdana" w:hAnsi="Verdana"/>
          <w:sz w:val="20"/>
          <w:lang w:val="es-CR"/>
        </w:rPr>
        <w:t xml:space="preserve"> fondo, reparaciones y costas (en adelante “la Sentencia”) dictada por la Corte Interamericana de Derechos Humanos (en adelante “la Corte Interamericana”, “</w:t>
      </w:r>
      <w:r w:rsidR="000E30E1" w:rsidRPr="00A53850">
        <w:rPr>
          <w:rFonts w:ascii="Verdana" w:hAnsi="Verdana"/>
          <w:sz w:val="20"/>
          <w:lang w:val="es-CR"/>
        </w:rPr>
        <w:t>la Corte” o “el Tribunal”) el 20 de n</w:t>
      </w:r>
      <w:r w:rsidR="00CD6FBF" w:rsidRPr="00A53850">
        <w:rPr>
          <w:rFonts w:ascii="Verdana" w:hAnsi="Verdana"/>
          <w:sz w:val="20"/>
          <w:lang w:val="es-CR"/>
        </w:rPr>
        <w:t>o</w:t>
      </w:r>
      <w:r w:rsidR="000E30E1" w:rsidRPr="00A53850">
        <w:rPr>
          <w:rFonts w:ascii="Verdana" w:hAnsi="Verdana"/>
          <w:sz w:val="20"/>
          <w:lang w:val="es-CR"/>
        </w:rPr>
        <w:t>viembre de 2012</w:t>
      </w:r>
      <w:r w:rsidR="001447FF" w:rsidRPr="00A53850">
        <w:rPr>
          <w:rStyle w:val="Refdenotaalpie"/>
          <w:rFonts w:ascii="Verdana" w:hAnsi="Verdana"/>
          <w:sz w:val="20"/>
          <w:lang w:val="es-CR"/>
        </w:rPr>
        <w:footnoteReference w:id="1"/>
      </w:r>
      <w:r w:rsidR="00CD6FBF" w:rsidRPr="00A53850">
        <w:rPr>
          <w:rFonts w:ascii="Verdana" w:hAnsi="Verdana"/>
          <w:sz w:val="20"/>
          <w:lang w:val="es-CR"/>
        </w:rPr>
        <w:t xml:space="preserve">. </w:t>
      </w:r>
      <w:r w:rsidR="00DF17D4" w:rsidRPr="00A53850">
        <w:rPr>
          <w:rFonts w:ascii="Verdana" w:hAnsi="Verdana"/>
          <w:sz w:val="20"/>
          <w:lang w:val="es-CR"/>
        </w:rPr>
        <w:t xml:space="preserve">Tomando en cuenta el reconocimiento parcial de responsabilidad efectuado por </w:t>
      </w:r>
      <w:r w:rsidR="00CD6FBF" w:rsidRPr="00A53850">
        <w:rPr>
          <w:rFonts w:ascii="Verdana" w:hAnsi="Verdana"/>
          <w:sz w:val="20"/>
          <w:lang w:val="es-CR"/>
        </w:rPr>
        <w:t>la República de Guatemala (en adelante “el Estado” o “Guatemala”)</w:t>
      </w:r>
      <w:r w:rsidR="00DF17D4" w:rsidRPr="00A53850">
        <w:rPr>
          <w:rFonts w:ascii="Verdana" w:hAnsi="Verdana"/>
          <w:sz w:val="20"/>
          <w:lang w:val="es-CR"/>
        </w:rPr>
        <w:t>, la Corte declaró su responsabilidad internacional</w:t>
      </w:r>
      <w:r w:rsidR="00CD6FBF" w:rsidRPr="00A53850">
        <w:rPr>
          <w:rFonts w:ascii="Verdana" w:hAnsi="Verdana"/>
          <w:sz w:val="20"/>
          <w:lang w:val="es-CR"/>
        </w:rPr>
        <w:t xml:space="preserve"> por la </w:t>
      </w:r>
      <w:r w:rsidR="00A879BB" w:rsidRPr="00A53850">
        <w:rPr>
          <w:rFonts w:ascii="Verdana" w:hAnsi="Verdana"/>
          <w:sz w:val="20"/>
          <w:lang w:val="es-CR"/>
        </w:rPr>
        <w:t xml:space="preserve">desaparición forzada de </w:t>
      </w:r>
      <w:r w:rsidR="007E38C5" w:rsidRPr="00A53850">
        <w:rPr>
          <w:rFonts w:ascii="Verdana" w:hAnsi="Verdana"/>
          <w:color w:val="000000" w:themeColor="text1"/>
          <w:sz w:val="20"/>
          <w:shd w:val="clear" w:color="auto" w:fill="FFFFFF" w:themeFill="background1"/>
          <w:lang w:val="es-CR"/>
        </w:rPr>
        <w:t xml:space="preserve">26 </w:t>
      </w:r>
      <w:r w:rsidR="0014717A" w:rsidRPr="00A53850">
        <w:rPr>
          <w:rFonts w:ascii="Verdana" w:hAnsi="Verdana"/>
          <w:color w:val="000000" w:themeColor="text1"/>
          <w:sz w:val="20"/>
          <w:shd w:val="clear" w:color="auto" w:fill="FFFFFF" w:themeFill="background1"/>
          <w:lang w:val="es-CR"/>
        </w:rPr>
        <w:t>personas</w:t>
      </w:r>
      <w:r w:rsidR="007E38C5" w:rsidRPr="00A53850">
        <w:rPr>
          <w:rStyle w:val="Refdenotaalpie"/>
          <w:rFonts w:ascii="Verdana" w:hAnsi="Verdana"/>
          <w:color w:val="000000" w:themeColor="text1"/>
          <w:sz w:val="20"/>
          <w:shd w:val="clear" w:color="auto" w:fill="FFFFFF" w:themeFill="background1"/>
          <w:lang w:val="es-CR"/>
        </w:rPr>
        <w:footnoteReference w:id="2"/>
      </w:r>
      <w:r w:rsidR="00A879BB" w:rsidRPr="00A53850">
        <w:rPr>
          <w:rFonts w:ascii="Verdana" w:hAnsi="Verdana"/>
          <w:color w:val="000000" w:themeColor="text1"/>
          <w:sz w:val="20"/>
          <w:shd w:val="clear" w:color="auto" w:fill="FFFFFF" w:themeFill="background1"/>
          <w:lang w:val="es-CR"/>
        </w:rPr>
        <w:t>,</w:t>
      </w:r>
      <w:r w:rsidR="00AB6C75" w:rsidRPr="00A53850">
        <w:rPr>
          <w:rFonts w:ascii="Verdana" w:hAnsi="Verdana"/>
          <w:color w:val="000000" w:themeColor="text1"/>
          <w:sz w:val="20"/>
          <w:shd w:val="clear" w:color="auto" w:fill="FFFFFF" w:themeFill="background1"/>
          <w:lang w:val="es-CR"/>
        </w:rPr>
        <w:t xml:space="preserve"> </w:t>
      </w:r>
      <w:r w:rsidR="00A879BB" w:rsidRPr="00A53850">
        <w:rPr>
          <w:rFonts w:ascii="Verdana" w:hAnsi="Verdana"/>
          <w:sz w:val="20"/>
        </w:rPr>
        <w:t xml:space="preserve">quienes aparecían </w:t>
      </w:r>
      <w:r w:rsidR="000C6041" w:rsidRPr="00A53850">
        <w:rPr>
          <w:rFonts w:ascii="Verdana" w:hAnsi="Verdana"/>
          <w:sz w:val="20"/>
        </w:rPr>
        <w:t>registradas en un documento de inteligencia militar guatemalteco conocido como el “Diario Militar”</w:t>
      </w:r>
      <w:r w:rsidR="0014717A" w:rsidRPr="00A53850">
        <w:rPr>
          <w:rFonts w:ascii="Verdana" w:hAnsi="Verdana"/>
          <w:sz w:val="20"/>
        </w:rPr>
        <w:t>.</w:t>
      </w:r>
      <w:r w:rsidR="000C6041" w:rsidRPr="00A53850">
        <w:rPr>
          <w:rFonts w:ascii="Verdana" w:hAnsi="Verdana"/>
          <w:sz w:val="20"/>
        </w:rPr>
        <w:t xml:space="preserve"> </w:t>
      </w:r>
      <w:r w:rsidR="0014717A" w:rsidRPr="00A53850">
        <w:rPr>
          <w:rFonts w:ascii="Verdana" w:hAnsi="Verdana"/>
          <w:sz w:val="20"/>
        </w:rPr>
        <w:t xml:space="preserve">Las desapariciones iniciaron entre 1983 y 1985 </w:t>
      </w:r>
      <w:r w:rsidR="000C6041" w:rsidRPr="00A53850">
        <w:rPr>
          <w:rFonts w:ascii="Verdana" w:hAnsi="Verdana"/>
          <w:sz w:val="20"/>
        </w:rPr>
        <w:t xml:space="preserve">en el contexto del conflicto armado interno en Guatemala. </w:t>
      </w:r>
      <w:r w:rsidR="00DF17D4" w:rsidRPr="00A53850">
        <w:rPr>
          <w:rFonts w:ascii="Verdana" w:hAnsi="Verdana"/>
          <w:sz w:val="20"/>
        </w:rPr>
        <w:t xml:space="preserve">Dos de ellos eran niños al inicio de la desaparición forzada, por lo que el Estado incumplió su deber de adoptar medidas especiales de protección. </w:t>
      </w:r>
      <w:r w:rsidR="00DC606E" w:rsidRPr="00A53850">
        <w:rPr>
          <w:rFonts w:ascii="Verdana" w:hAnsi="Verdana"/>
          <w:color w:val="000000" w:themeColor="text1"/>
          <w:sz w:val="20"/>
          <w:shd w:val="clear" w:color="auto" w:fill="FFFFFF" w:themeFill="background1"/>
          <w:lang w:val="es-CR"/>
        </w:rPr>
        <w:t>Tribunal también</w:t>
      </w:r>
      <w:r w:rsidR="00AB6C75" w:rsidRPr="00A53850">
        <w:rPr>
          <w:rFonts w:ascii="Verdana" w:hAnsi="Verdana"/>
          <w:color w:val="000000" w:themeColor="text1"/>
          <w:sz w:val="20"/>
          <w:shd w:val="clear" w:color="auto" w:fill="FFFFFF" w:themeFill="background1"/>
          <w:lang w:val="es-CR"/>
        </w:rPr>
        <w:t xml:space="preserve"> declaró que el Estado era responsable </w:t>
      </w:r>
      <w:r w:rsidR="0014717A" w:rsidRPr="00A53850">
        <w:rPr>
          <w:rFonts w:ascii="Verdana" w:hAnsi="Verdana"/>
          <w:color w:val="000000" w:themeColor="text1"/>
          <w:sz w:val="20"/>
          <w:shd w:val="clear" w:color="auto" w:fill="FFFFFF" w:themeFill="background1"/>
          <w:lang w:val="es-CR"/>
        </w:rPr>
        <w:t xml:space="preserve">por la falta de investigación de dichas desapariciones, de la muerte de Rudy Gustavo Figueroa Muñoz </w:t>
      </w:r>
      <w:r w:rsidR="00DF17D4" w:rsidRPr="00A53850">
        <w:rPr>
          <w:rFonts w:ascii="Verdana" w:hAnsi="Verdana"/>
          <w:sz w:val="20"/>
        </w:rPr>
        <w:t>y de la alegada detención y tortura de Wendy e Igor Santizo Méndez.</w:t>
      </w:r>
      <w:r w:rsidR="00DF17D4" w:rsidRPr="00A53850">
        <w:rPr>
          <w:rFonts w:ascii="Verdana" w:hAnsi="Verdana"/>
          <w:color w:val="000000" w:themeColor="text1"/>
          <w:sz w:val="20"/>
          <w:shd w:val="clear" w:color="auto" w:fill="FFFFFF" w:themeFill="background1"/>
          <w:lang w:val="es-CR"/>
        </w:rPr>
        <w:t xml:space="preserve"> Asimismo, l</w:t>
      </w:r>
      <w:r w:rsidR="00FE4D23" w:rsidRPr="00A53850">
        <w:rPr>
          <w:rFonts w:ascii="Verdana" w:hAnsi="Verdana"/>
          <w:color w:val="000000" w:themeColor="text1"/>
          <w:sz w:val="20"/>
          <w:shd w:val="clear" w:color="auto" w:fill="FFFFFF" w:themeFill="background1"/>
          <w:lang w:val="es-CR"/>
        </w:rPr>
        <w:t xml:space="preserve">a Corte declaró </w:t>
      </w:r>
      <w:r w:rsidR="003E4AA8" w:rsidRPr="00A53850">
        <w:rPr>
          <w:rFonts w:ascii="Verdana" w:hAnsi="Verdana"/>
          <w:color w:val="000000" w:themeColor="text1"/>
          <w:sz w:val="20"/>
          <w:shd w:val="clear" w:color="auto" w:fill="FFFFFF" w:themeFill="background1"/>
          <w:lang w:val="es-CR"/>
        </w:rPr>
        <w:t xml:space="preserve">que el Estado era responsable por la violación de los derechos </w:t>
      </w:r>
      <w:r w:rsidR="00DF17D4" w:rsidRPr="00A53850">
        <w:rPr>
          <w:rFonts w:ascii="Verdana" w:hAnsi="Verdana"/>
          <w:color w:val="000000" w:themeColor="text1"/>
          <w:sz w:val="20"/>
          <w:shd w:val="clear" w:color="auto" w:fill="FFFFFF" w:themeFill="background1"/>
          <w:lang w:val="es-CR"/>
        </w:rPr>
        <w:t>a la integridad personal, la protección de la familia, la libertad de asociación y los derechos políticos de los familiares de las víctimas de desaparición forzada</w:t>
      </w:r>
      <w:r w:rsidR="002B7900" w:rsidRPr="00A53850">
        <w:rPr>
          <w:rStyle w:val="Refdenotaalpie"/>
          <w:rFonts w:ascii="Verdana" w:hAnsi="Verdana"/>
          <w:sz w:val="20"/>
          <w:lang w:val="es-CR"/>
        </w:rPr>
        <w:footnoteReference w:id="3"/>
      </w:r>
      <w:r w:rsidR="002267CA" w:rsidRPr="00A53850">
        <w:rPr>
          <w:rFonts w:ascii="Verdana" w:hAnsi="Verdana"/>
          <w:color w:val="000000" w:themeColor="text1"/>
          <w:sz w:val="20"/>
          <w:shd w:val="clear" w:color="auto" w:fill="FFFFFF" w:themeFill="background1"/>
          <w:lang w:val="es-CR"/>
        </w:rPr>
        <w:t>.</w:t>
      </w:r>
      <w:r w:rsidR="00AB6C75" w:rsidRPr="00A53850">
        <w:rPr>
          <w:rFonts w:ascii="Verdana" w:hAnsi="Verdana"/>
          <w:sz w:val="20"/>
          <w:lang w:val="es-CR"/>
        </w:rPr>
        <w:t xml:space="preserve"> </w:t>
      </w:r>
      <w:r w:rsidR="00065736" w:rsidRPr="00A53850">
        <w:rPr>
          <w:rFonts w:ascii="Verdana" w:hAnsi="Verdana"/>
          <w:sz w:val="20"/>
        </w:rPr>
        <w:t>La Corte estableció que su Sentencia constituye por sí misma una forma de reparación y ordenó al Estado la adopción de diversas medidas de reparación adicionales (</w:t>
      </w:r>
      <w:r w:rsidR="00065736" w:rsidRPr="00A53850">
        <w:rPr>
          <w:rFonts w:ascii="Verdana" w:hAnsi="Verdana"/>
          <w:i/>
          <w:sz w:val="20"/>
        </w:rPr>
        <w:t>infra</w:t>
      </w:r>
      <w:r w:rsidR="00065736" w:rsidRPr="00A53850">
        <w:rPr>
          <w:rFonts w:ascii="Verdana" w:hAnsi="Verdana"/>
          <w:sz w:val="20"/>
        </w:rPr>
        <w:t xml:space="preserve"> Considerando 1).</w:t>
      </w:r>
    </w:p>
    <w:p w14:paraId="484B6D46" w14:textId="77777777" w:rsidR="009607F0" w:rsidRPr="00A53850" w:rsidRDefault="009607F0" w:rsidP="009607F0">
      <w:pPr>
        <w:autoSpaceDE w:val="0"/>
        <w:autoSpaceDN w:val="0"/>
        <w:adjustRightInd w:val="0"/>
        <w:jc w:val="both"/>
        <w:rPr>
          <w:rFonts w:ascii="Verdana" w:hAnsi="Verdana"/>
          <w:color w:val="000000" w:themeColor="text1"/>
          <w:sz w:val="20"/>
          <w:shd w:val="clear" w:color="auto" w:fill="FFFFFF" w:themeFill="background1"/>
          <w:lang w:val="es-CR"/>
        </w:rPr>
      </w:pPr>
    </w:p>
    <w:p w14:paraId="21ECAC0E" w14:textId="5E6F284E" w:rsidR="00332062" w:rsidRPr="009607F0" w:rsidRDefault="00332062" w:rsidP="009607F0">
      <w:pPr>
        <w:numPr>
          <w:ilvl w:val="0"/>
          <w:numId w:val="24"/>
        </w:numPr>
        <w:autoSpaceDE w:val="0"/>
        <w:autoSpaceDN w:val="0"/>
        <w:adjustRightInd w:val="0"/>
        <w:ind w:left="0" w:firstLine="0"/>
        <w:jc w:val="both"/>
        <w:rPr>
          <w:rFonts w:ascii="Verdana" w:hAnsi="Verdana"/>
          <w:color w:val="000000" w:themeColor="text1"/>
          <w:sz w:val="20"/>
          <w:shd w:val="clear" w:color="auto" w:fill="FFFFFF" w:themeFill="background1"/>
          <w:lang w:val="es-CR"/>
        </w:rPr>
      </w:pPr>
      <w:r w:rsidRPr="00A53850">
        <w:rPr>
          <w:rFonts w:ascii="Verdana" w:hAnsi="Verdana"/>
          <w:color w:val="000000" w:themeColor="text1"/>
          <w:sz w:val="20"/>
          <w:shd w:val="clear" w:color="auto" w:fill="FFFFFF" w:themeFill="background1"/>
        </w:rPr>
        <w:t>La Sentencia de</w:t>
      </w:r>
      <w:r w:rsidRPr="00A53850">
        <w:rPr>
          <w:rFonts w:ascii="Verdana" w:hAnsi="Verdana"/>
          <w:b/>
          <w:bCs/>
          <w:color w:val="000000"/>
          <w:sz w:val="20"/>
          <w:shd w:val="clear" w:color="auto" w:fill="FFFFFF"/>
        </w:rPr>
        <w:t xml:space="preserve"> </w:t>
      </w:r>
      <w:r w:rsidR="00DC606E" w:rsidRPr="00A53850">
        <w:rPr>
          <w:rFonts w:ascii="Verdana" w:hAnsi="Verdana"/>
          <w:bCs/>
          <w:color w:val="000000" w:themeColor="text1"/>
          <w:sz w:val="20"/>
          <w:shd w:val="clear" w:color="auto" w:fill="FFFFFF" w:themeFill="background1"/>
        </w:rPr>
        <w:t>i</w:t>
      </w:r>
      <w:r w:rsidRPr="00A53850">
        <w:rPr>
          <w:rFonts w:ascii="Verdana" w:hAnsi="Verdana"/>
          <w:bCs/>
          <w:color w:val="000000" w:themeColor="text1"/>
          <w:sz w:val="20"/>
          <w:shd w:val="clear" w:color="auto" w:fill="FFFFFF" w:themeFill="background1"/>
        </w:rPr>
        <w:t xml:space="preserve">nterpretación de la Sentencia </w:t>
      </w:r>
      <w:r w:rsidRPr="00A53850">
        <w:rPr>
          <w:rFonts w:ascii="Verdana" w:hAnsi="Verdana"/>
          <w:color w:val="000000" w:themeColor="text1"/>
          <w:sz w:val="20"/>
          <w:shd w:val="clear" w:color="auto" w:fill="FFFFFF" w:themeFill="background1"/>
        </w:rPr>
        <w:t>emitida por la Corte el 19 de agosto de 2013</w:t>
      </w:r>
      <w:r w:rsidRPr="00A53850">
        <w:rPr>
          <w:rStyle w:val="Refdenotaalpie"/>
          <w:rFonts w:ascii="Verdana" w:hAnsi="Verdana"/>
          <w:color w:val="000000" w:themeColor="text1"/>
          <w:sz w:val="20"/>
          <w:shd w:val="clear" w:color="auto" w:fill="FFFFFF" w:themeFill="background1"/>
        </w:rPr>
        <w:footnoteReference w:id="4"/>
      </w:r>
      <w:r w:rsidRPr="00A53850">
        <w:rPr>
          <w:rFonts w:ascii="Verdana" w:hAnsi="Verdana"/>
          <w:color w:val="000000" w:themeColor="text1"/>
          <w:sz w:val="20"/>
          <w:shd w:val="clear" w:color="auto" w:fill="FFFFFF" w:themeFill="background1"/>
        </w:rPr>
        <w:t>.</w:t>
      </w:r>
    </w:p>
    <w:p w14:paraId="10ABFF8F" w14:textId="77777777" w:rsidR="009607F0" w:rsidRPr="00A53850" w:rsidRDefault="009607F0" w:rsidP="009607F0">
      <w:pPr>
        <w:autoSpaceDE w:val="0"/>
        <w:autoSpaceDN w:val="0"/>
        <w:adjustRightInd w:val="0"/>
        <w:jc w:val="both"/>
        <w:rPr>
          <w:rFonts w:ascii="Verdana" w:hAnsi="Verdana"/>
          <w:color w:val="000000" w:themeColor="text1"/>
          <w:sz w:val="20"/>
          <w:shd w:val="clear" w:color="auto" w:fill="FFFFFF" w:themeFill="background1"/>
          <w:lang w:val="es-CR"/>
        </w:rPr>
      </w:pPr>
    </w:p>
    <w:p w14:paraId="0F916BC8" w14:textId="77777777" w:rsidR="00F2550E" w:rsidRPr="009607F0" w:rsidRDefault="00F2550E" w:rsidP="009607F0">
      <w:pPr>
        <w:numPr>
          <w:ilvl w:val="0"/>
          <w:numId w:val="24"/>
        </w:numPr>
        <w:autoSpaceDE w:val="0"/>
        <w:autoSpaceDN w:val="0"/>
        <w:adjustRightInd w:val="0"/>
        <w:ind w:left="0" w:firstLine="0"/>
        <w:jc w:val="both"/>
        <w:rPr>
          <w:rFonts w:ascii="Verdana" w:eastAsia="Calibri" w:hAnsi="Verdana" w:cs="Arial"/>
          <w:sz w:val="20"/>
          <w:lang w:val="es-CR" w:eastAsia="es-CR"/>
        </w:rPr>
      </w:pPr>
      <w:r w:rsidRPr="00A53850">
        <w:rPr>
          <w:rFonts w:ascii="Verdana" w:hAnsi="Verdana"/>
          <w:sz w:val="20"/>
        </w:rPr>
        <w:lastRenderedPageBreak/>
        <w:t>La</w:t>
      </w:r>
      <w:r w:rsidR="0022014E" w:rsidRPr="00A53850">
        <w:rPr>
          <w:rFonts w:ascii="Verdana" w:hAnsi="Verdana"/>
          <w:sz w:val="20"/>
        </w:rPr>
        <w:t xml:space="preserve"> </w:t>
      </w:r>
      <w:r w:rsidR="00727C35" w:rsidRPr="00A53850">
        <w:rPr>
          <w:rFonts w:ascii="Verdana" w:hAnsi="Verdana"/>
          <w:sz w:val="20"/>
        </w:rPr>
        <w:t>resolución</w:t>
      </w:r>
      <w:r w:rsidR="0022014E" w:rsidRPr="00A53850">
        <w:rPr>
          <w:rFonts w:ascii="Verdana" w:hAnsi="Verdana"/>
          <w:sz w:val="20"/>
        </w:rPr>
        <w:t xml:space="preserve"> de supervisión de cu</w:t>
      </w:r>
      <w:r w:rsidR="007B55DB" w:rsidRPr="00A53850">
        <w:rPr>
          <w:rFonts w:ascii="Verdana" w:hAnsi="Verdana"/>
          <w:sz w:val="20"/>
        </w:rPr>
        <w:t>mplimiento de sentencia emitida por el Tribunal el</w:t>
      </w:r>
      <w:r w:rsidR="00565360" w:rsidRPr="00A53850">
        <w:rPr>
          <w:rFonts w:ascii="Verdana" w:hAnsi="Verdana"/>
          <w:sz w:val="20"/>
        </w:rPr>
        <w:t xml:space="preserve"> </w:t>
      </w:r>
      <w:r w:rsidR="007B55DB" w:rsidRPr="00A53850">
        <w:rPr>
          <w:rFonts w:ascii="Verdana" w:hAnsi="Verdana"/>
          <w:sz w:val="20"/>
        </w:rPr>
        <w:t>21 de agosto</w:t>
      </w:r>
      <w:r w:rsidR="00565360" w:rsidRPr="00A53850">
        <w:rPr>
          <w:rFonts w:ascii="Verdana" w:hAnsi="Verdana"/>
          <w:sz w:val="20"/>
        </w:rPr>
        <w:t xml:space="preserve"> de 201</w:t>
      </w:r>
      <w:r w:rsidR="007B55DB" w:rsidRPr="00A53850">
        <w:rPr>
          <w:rFonts w:ascii="Verdana" w:hAnsi="Verdana"/>
          <w:sz w:val="20"/>
        </w:rPr>
        <w:t>4</w:t>
      </w:r>
      <w:r w:rsidR="0022014E" w:rsidRPr="00A53850">
        <w:rPr>
          <w:rStyle w:val="Refdenotaalpie"/>
          <w:rFonts w:ascii="Verdana" w:hAnsi="Verdana"/>
          <w:sz w:val="20"/>
        </w:rPr>
        <w:footnoteReference w:id="5"/>
      </w:r>
      <w:r w:rsidR="0022014E" w:rsidRPr="00A53850">
        <w:rPr>
          <w:rFonts w:ascii="Verdana" w:hAnsi="Verdana"/>
          <w:sz w:val="20"/>
        </w:rPr>
        <w:t>.</w:t>
      </w:r>
    </w:p>
    <w:p w14:paraId="59CE85BE" w14:textId="77777777" w:rsidR="009607F0" w:rsidRPr="00A53850" w:rsidRDefault="009607F0" w:rsidP="009607F0">
      <w:pPr>
        <w:autoSpaceDE w:val="0"/>
        <w:autoSpaceDN w:val="0"/>
        <w:adjustRightInd w:val="0"/>
        <w:jc w:val="both"/>
        <w:rPr>
          <w:rFonts w:ascii="Verdana" w:eastAsia="Calibri" w:hAnsi="Verdana" w:cs="Arial"/>
          <w:sz w:val="20"/>
          <w:lang w:val="es-CR" w:eastAsia="es-CR"/>
        </w:rPr>
      </w:pPr>
    </w:p>
    <w:p w14:paraId="58E09133" w14:textId="400369D4" w:rsidR="00DE33A1" w:rsidRDefault="007B55DB" w:rsidP="009607F0">
      <w:pPr>
        <w:numPr>
          <w:ilvl w:val="0"/>
          <w:numId w:val="24"/>
        </w:numPr>
        <w:autoSpaceDE w:val="0"/>
        <w:autoSpaceDN w:val="0"/>
        <w:adjustRightInd w:val="0"/>
        <w:ind w:left="0" w:firstLine="0"/>
        <w:jc w:val="both"/>
        <w:rPr>
          <w:rFonts w:ascii="Verdana" w:eastAsia="Calibri" w:hAnsi="Verdana" w:cs="Arial"/>
          <w:sz w:val="20"/>
          <w:lang w:val="es-CR" w:eastAsia="es-CR"/>
        </w:rPr>
      </w:pPr>
      <w:r w:rsidRPr="00A53850">
        <w:rPr>
          <w:rFonts w:ascii="Verdana" w:eastAsia="Calibri" w:hAnsi="Verdana" w:cs="Arial"/>
          <w:sz w:val="20"/>
          <w:lang w:val="es-CR" w:eastAsia="es-CR"/>
        </w:rPr>
        <w:t xml:space="preserve">Los </w:t>
      </w:r>
      <w:r w:rsidR="00DE33A1" w:rsidRPr="00A53850">
        <w:rPr>
          <w:rFonts w:ascii="Verdana" w:eastAsia="Calibri" w:hAnsi="Verdana" w:cs="Arial"/>
          <w:sz w:val="20"/>
          <w:lang w:val="es-CR" w:eastAsia="es-CR"/>
        </w:rPr>
        <w:t>informes prese</w:t>
      </w:r>
      <w:r w:rsidR="00A7343E" w:rsidRPr="00A53850">
        <w:rPr>
          <w:rFonts w:ascii="Verdana" w:eastAsia="Calibri" w:hAnsi="Verdana" w:cs="Arial"/>
          <w:sz w:val="20"/>
          <w:lang w:val="es-CR" w:eastAsia="es-CR"/>
        </w:rPr>
        <w:t xml:space="preserve">ntados por el Estado </w:t>
      </w:r>
      <w:r w:rsidR="00A91E27" w:rsidRPr="00A53850">
        <w:rPr>
          <w:rFonts w:ascii="Verdana" w:eastAsia="Calibri" w:hAnsi="Verdana" w:cs="Arial"/>
          <w:sz w:val="20"/>
          <w:lang w:val="es-CR" w:eastAsia="es-CR"/>
        </w:rPr>
        <w:t>entre agosto de 2016 y n</w:t>
      </w:r>
      <w:r w:rsidR="00A7343E" w:rsidRPr="00A53850">
        <w:rPr>
          <w:rFonts w:ascii="Verdana" w:eastAsia="Calibri" w:hAnsi="Verdana" w:cs="Arial"/>
          <w:sz w:val="20"/>
          <w:lang w:val="es-CR" w:eastAsia="es-CR"/>
        </w:rPr>
        <w:t>o</w:t>
      </w:r>
      <w:r w:rsidR="00A91E27" w:rsidRPr="00A53850">
        <w:rPr>
          <w:rFonts w:ascii="Verdana" w:eastAsia="Calibri" w:hAnsi="Verdana" w:cs="Arial"/>
          <w:sz w:val="20"/>
          <w:lang w:val="es-CR" w:eastAsia="es-CR"/>
        </w:rPr>
        <w:t>viembre de 2018</w:t>
      </w:r>
      <w:r w:rsidR="002C6D7F" w:rsidRPr="00A53850">
        <w:rPr>
          <w:rFonts w:ascii="Verdana" w:eastAsia="Calibri" w:hAnsi="Verdana" w:cs="Arial"/>
          <w:sz w:val="20"/>
          <w:lang w:val="es-CR" w:eastAsia="es-CR"/>
        </w:rPr>
        <w:t>,</w:t>
      </w:r>
      <w:r w:rsidR="00A91E27" w:rsidRPr="00A53850">
        <w:rPr>
          <w:rFonts w:ascii="Verdana" w:eastAsia="Calibri" w:hAnsi="Verdana" w:cs="Arial"/>
          <w:sz w:val="20"/>
          <w:lang w:val="es-CR" w:eastAsia="es-CR"/>
        </w:rPr>
        <w:t xml:space="preserve"> </w:t>
      </w:r>
      <w:r w:rsidR="002C6D7F" w:rsidRPr="00A53850">
        <w:rPr>
          <w:rFonts w:ascii="Verdana" w:hAnsi="Verdana"/>
          <w:sz w:val="20"/>
        </w:rPr>
        <w:t>en respuesta a solicitudes efectuadas por la Corte o su Presidente mediante notas de la Secretaría del Tribunal</w:t>
      </w:r>
      <w:r w:rsidR="00DE33A1" w:rsidRPr="00A53850">
        <w:rPr>
          <w:rFonts w:ascii="Verdana" w:eastAsia="Calibri" w:hAnsi="Verdana" w:cs="Arial"/>
          <w:sz w:val="20"/>
          <w:lang w:val="es-CR" w:eastAsia="es-CR"/>
        </w:rPr>
        <w:t>.</w:t>
      </w:r>
    </w:p>
    <w:p w14:paraId="55AAD94E" w14:textId="77777777" w:rsidR="009607F0" w:rsidRPr="00A53850" w:rsidRDefault="009607F0" w:rsidP="009607F0">
      <w:pPr>
        <w:autoSpaceDE w:val="0"/>
        <w:autoSpaceDN w:val="0"/>
        <w:adjustRightInd w:val="0"/>
        <w:jc w:val="both"/>
        <w:rPr>
          <w:rFonts w:ascii="Verdana" w:eastAsia="Calibri" w:hAnsi="Verdana" w:cs="Arial"/>
          <w:sz w:val="20"/>
          <w:lang w:val="es-CR" w:eastAsia="es-CR"/>
        </w:rPr>
      </w:pPr>
    </w:p>
    <w:p w14:paraId="3A2F3E8C" w14:textId="1B657258" w:rsidR="00D82C19" w:rsidRPr="009607F0" w:rsidRDefault="00A7343E" w:rsidP="009607F0">
      <w:pPr>
        <w:numPr>
          <w:ilvl w:val="0"/>
          <w:numId w:val="24"/>
        </w:numPr>
        <w:autoSpaceDE w:val="0"/>
        <w:autoSpaceDN w:val="0"/>
        <w:adjustRightInd w:val="0"/>
        <w:ind w:left="0" w:firstLine="0"/>
        <w:jc w:val="both"/>
        <w:rPr>
          <w:rFonts w:ascii="Verdana" w:eastAsia="Calibri" w:hAnsi="Verdana" w:cs="Arial"/>
          <w:b/>
          <w:sz w:val="20"/>
          <w:lang w:val="es-CR" w:eastAsia="es-CR"/>
        </w:rPr>
      </w:pPr>
      <w:r w:rsidRPr="00A53850">
        <w:rPr>
          <w:rFonts w:ascii="Verdana" w:eastAsia="Calibri" w:hAnsi="Verdana" w:cs="Arial"/>
          <w:sz w:val="20"/>
          <w:lang w:val="es-CR" w:eastAsia="es-CR"/>
        </w:rPr>
        <w:t xml:space="preserve">Los </w:t>
      </w:r>
      <w:r w:rsidR="00D82C19" w:rsidRPr="00A53850">
        <w:rPr>
          <w:rFonts w:ascii="Verdana" w:eastAsia="Calibri" w:hAnsi="Verdana" w:cs="Arial"/>
          <w:sz w:val="20"/>
          <w:lang w:val="es-CR" w:eastAsia="es-CR"/>
        </w:rPr>
        <w:t>escrito</w:t>
      </w:r>
      <w:r w:rsidR="00C33061" w:rsidRPr="00A53850">
        <w:rPr>
          <w:rFonts w:ascii="Verdana" w:eastAsia="Calibri" w:hAnsi="Verdana" w:cs="Arial"/>
          <w:sz w:val="20"/>
          <w:lang w:val="es-CR" w:eastAsia="es-CR"/>
        </w:rPr>
        <w:t>s</w:t>
      </w:r>
      <w:r w:rsidR="00D82C19" w:rsidRPr="00A53850">
        <w:rPr>
          <w:rFonts w:ascii="Verdana" w:eastAsia="Calibri" w:hAnsi="Verdana" w:cs="Arial"/>
          <w:sz w:val="20"/>
          <w:lang w:val="es-CR" w:eastAsia="es-CR"/>
        </w:rPr>
        <w:t xml:space="preserve"> </w:t>
      </w:r>
      <w:r w:rsidR="00285EAA" w:rsidRPr="00A53850">
        <w:rPr>
          <w:rFonts w:ascii="Verdana" w:eastAsia="Calibri" w:hAnsi="Verdana" w:cs="Arial"/>
          <w:sz w:val="20"/>
          <w:lang w:val="es-CR" w:eastAsia="es-CR"/>
        </w:rPr>
        <w:t xml:space="preserve">de observaciones </w:t>
      </w:r>
      <w:r w:rsidR="00D82C19" w:rsidRPr="00A53850">
        <w:rPr>
          <w:rFonts w:ascii="Verdana" w:eastAsia="Calibri" w:hAnsi="Verdana" w:cs="Arial"/>
          <w:sz w:val="20"/>
          <w:lang w:val="es-CR" w:eastAsia="es-CR"/>
        </w:rPr>
        <w:t>presentado</w:t>
      </w:r>
      <w:r w:rsidR="00C33061" w:rsidRPr="00A53850">
        <w:rPr>
          <w:rFonts w:ascii="Verdana" w:eastAsia="Calibri" w:hAnsi="Verdana" w:cs="Arial"/>
          <w:sz w:val="20"/>
          <w:lang w:val="es-CR" w:eastAsia="es-CR"/>
        </w:rPr>
        <w:t>s</w:t>
      </w:r>
      <w:r w:rsidR="00D82C19" w:rsidRPr="00A53850">
        <w:rPr>
          <w:rFonts w:ascii="Verdana" w:eastAsia="Calibri" w:hAnsi="Verdana" w:cs="Arial"/>
          <w:sz w:val="20"/>
          <w:lang w:val="es-CR" w:eastAsia="es-CR"/>
        </w:rPr>
        <w:t xml:space="preserve"> </w:t>
      </w:r>
      <w:r w:rsidR="00285EAA" w:rsidRPr="00A53850">
        <w:rPr>
          <w:rFonts w:ascii="Verdana" w:eastAsia="Calibri" w:hAnsi="Verdana" w:cs="Arial"/>
          <w:sz w:val="20"/>
          <w:lang w:val="es-CR" w:eastAsia="es-CR"/>
        </w:rPr>
        <w:t>por los representantes de las víctimas</w:t>
      </w:r>
      <w:r w:rsidR="00285EAA" w:rsidRPr="00A53850">
        <w:rPr>
          <w:rStyle w:val="Refdenotaalpie"/>
          <w:rFonts w:ascii="Verdana" w:eastAsia="Calibri" w:hAnsi="Verdana" w:cs="Arial"/>
          <w:sz w:val="20"/>
          <w:lang w:val="es-CR" w:eastAsia="es-CR"/>
        </w:rPr>
        <w:footnoteReference w:id="6"/>
      </w:r>
      <w:r w:rsidR="00285EAA" w:rsidRPr="00A53850">
        <w:rPr>
          <w:rFonts w:ascii="Verdana" w:eastAsia="Calibri" w:hAnsi="Verdana" w:cs="Arial"/>
          <w:sz w:val="20"/>
          <w:lang w:val="es-CR" w:eastAsia="es-CR"/>
        </w:rPr>
        <w:t xml:space="preserve"> </w:t>
      </w:r>
      <w:r w:rsidR="00D82C19" w:rsidRPr="00A53850">
        <w:rPr>
          <w:rFonts w:ascii="Verdana" w:eastAsia="Calibri" w:hAnsi="Verdana" w:cs="Arial"/>
          <w:sz w:val="20"/>
          <w:lang w:val="es-CR" w:eastAsia="es-CR"/>
        </w:rPr>
        <w:t>e</w:t>
      </w:r>
      <w:r w:rsidR="00C33061" w:rsidRPr="00A53850">
        <w:rPr>
          <w:rFonts w:ascii="Verdana" w:eastAsia="Calibri" w:hAnsi="Verdana" w:cs="Arial"/>
          <w:sz w:val="20"/>
          <w:lang w:val="es-CR" w:eastAsia="es-CR"/>
        </w:rPr>
        <w:t>ntre</w:t>
      </w:r>
      <w:r w:rsidR="00D82C19" w:rsidRPr="00A53850">
        <w:rPr>
          <w:rFonts w:ascii="Verdana" w:eastAsia="Calibri" w:hAnsi="Verdana" w:cs="Arial"/>
          <w:sz w:val="20"/>
          <w:lang w:val="es-CR" w:eastAsia="es-CR"/>
        </w:rPr>
        <w:t xml:space="preserve"> </w:t>
      </w:r>
      <w:r w:rsidR="002C5784" w:rsidRPr="00A53850">
        <w:rPr>
          <w:rFonts w:ascii="Verdana" w:eastAsia="Calibri" w:hAnsi="Verdana" w:cs="Arial"/>
          <w:sz w:val="20"/>
          <w:lang w:val="es-CR" w:eastAsia="es-CR"/>
        </w:rPr>
        <w:t>mayo</w:t>
      </w:r>
      <w:r w:rsidR="00A91E27" w:rsidRPr="00A53850">
        <w:rPr>
          <w:rFonts w:ascii="Verdana" w:eastAsia="Calibri" w:hAnsi="Verdana" w:cs="Arial"/>
          <w:sz w:val="20"/>
          <w:lang w:val="es-CR" w:eastAsia="es-CR"/>
        </w:rPr>
        <w:t xml:space="preserve"> de 2016 y mayo de 2019</w:t>
      </w:r>
      <w:r w:rsidR="00285EAA" w:rsidRPr="00A53850">
        <w:rPr>
          <w:rFonts w:ascii="Verdana" w:eastAsia="Calibri" w:hAnsi="Verdana" w:cs="Arial"/>
          <w:sz w:val="20"/>
          <w:lang w:val="es-CR" w:eastAsia="es-CR"/>
        </w:rPr>
        <w:t>.</w:t>
      </w:r>
    </w:p>
    <w:p w14:paraId="6437AE7E" w14:textId="77777777" w:rsidR="009607F0" w:rsidRPr="00A53850" w:rsidRDefault="009607F0" w:rsidP="009607F0">
      <w:pPr>
        <w:autoSpaceDE w:val="0"/>
        <w:autoSpaceDN w:val="0"/>
        <w:adjustRightInd w:val="0"/>
        <w:jc w:val="both"/>
        <w:rPr>
          <w:rFonts w:ascii="Verdana" w:eastAsia="Calibri" w:hAnsi="Verdana" w:cs="Arial"/>
          <w:b/>
          <w:sz w:val="20"/>
          <w:lang w:val="es-CR" w:eastAsia="es-CR"/>
        </w:rPr>
      </w:pPr>
    </w:p>
    <w:p w14:paraId="417F65B7" w14:textId="46C55B81" w:rsidR="00D82C19" w:rsidRPr="00A53850" w:rsidRDefault="000430DA" w:rsidP="009607F0">
      <w:pPr>
        <w:numPr>
          <w:ilvl w:val="0"/>
          <w:numId w:val="24"/>
        </w:numPr>
        <w:autoSpaceDE w:val="0"/>
        <w:autoSpaceDN w:val="0"/>
        <w:adjustRightInd w:val="0"/>
        <w:ind w:left="0" w:firstLine="0"/>
        <w:jc w:val="both"/>
        <w:rPr>
          <w:rFonts w:ascii="Verdana" w:eastAsia="Calibri" w:hAnsi="Verdana" w:cs="Arial"/>
          <w:sz w:val="20"/>
          <w:lang w:val="es-CR" w:eastAsia="es-CR"/>
        </w:rPr>
      </w:pPr>
      <w:r w:rsidRPr="00A53850">
        <w:rPr>
          <w:rFonts w:ascii="Verdana" w:eastAsia="Calibri" w:hAnsi="Verdana" w:cs="Arial"/>
          <w:sz w:val="20"/>
          <w:lang w:val="es-CR" w:eastAsia="es-CR"/>
        </w:rPr>
        <w:t xml:space="preserve">Los </w:t>
      </w:r>
      <w:r w:rsidR="00D82C19" w:rsidRPr="00A53850">
        <w:rPr>
          <w:rFonts w:ascii="Verdana" w:eastAsia="Calibri" w:hAnsi="Verdana" w:cs="Arial"/>
          <w:sz w:val="20"/>
          <w:lang w:val="es-CR" w:eastAsia="es-CR"/>
        </w:rPr>
        <w:t>escrito</w:t>
      </w:r>
      <w:r w:rsidR="00F215BA" w:rsidRPr="00A53850">
        <w:rPr>
          <w:rFonts w:ascii="Verdana" w:eastAsia="Calibri" w:hAnsi="Verdana" w:cs="Arial"/>
          <w:sz w:val="20"/>
          <w:lang w:val="es-CR" w:eastAsia="es-CR"/>
        </w:rPr>
        <w:t>s</w:t>
      </w:r>
      <w:r w:rsidR="00D82C19" w:rsidRPr="00A53850">
        <w:rPr>
          <w:rFonts w:ascii="Verdana" w:eastAsia="Calibri" w:hAnsi="Verdana" w:cs="Arial"/>
          <w:sz w:val="20"/>
          <w:lang w:val="es-CR" w:eastAsia="es-CR"/>
        </w:rPr>
        <w:t xml:space="preserve"> </w:t>
      </w:r>
      <w:r w:rsidRPr="00A53850">
        <w:rPr>
          <w:rFonts w:ascii="Verdana" w:eastAsia="Calibri" w:hAnsi="Verdana" w:cs="Arial"/>
          <w:sz w:val="20"/>
          <w:lang w:val="es-CR" w:eastAsia="es-CR"/>
        </w:rPr>
        <w:t xml:space="preserve">de observaciones </w:t>
      </w:r>
      <w:r w:rsidR="00D82C19" w:rsidRPr="00A53850">
        <w:rPr>
          <w:rFonts w:ascii="Verdana" w:eastAsia="Calibri" w:hAnsi="Verdana" w:cs="Arial"/>
          <w:sz w:val="20"/>
          <w:lang w:val="es-CR" w:eastAsia="es-CR"/>
        </w:rPr>
        <w:t>presentado</w:t>
      </w:r>
      <w:r w:rsidR="00F215BA" w:rsidRPr="00A53850">
        <w:rPr>
          <w:rFonts w:ascii="Verdana" w:eastAsia="Calibri" w:hAnsi="Verdana" w:cs="Arial"/>
          <w:sz w:val="20"/>
          <w:lang w:val="es-CR" w:eastAsia="es-CR"/>
        </w:rPr>
        <w:t>s</w:t>
      </w:r>
      <w:r w:rsidR="00D82C19" w:rsidRPr="00A53850">
        <w:rPr>
          <w:rFonts w:ascii="Verdana" w:eastAsia="Calibri" w:hAnsi="Verdana" w:cs="Arial"/>
          <w:sz w:val="20"/>
          <w:lang w:val="es-CR" w:eastAsia="es-CR"/>
        </w:rPr>
        <w:t xml:space="preserve"> </w:t>
      </w:r>
      <w:r w:rsidRPr="00A53850">
        <w:rPr>
          <w:rFonts w:ascii="Verdana" w:eastAsia="Calibri" w:hAnsi="Verdana" w:cs="Arial"/>
          <w:sz w:val="20"/>
          <w:lang w:val="es-CR" w:eastAsia="es-CR"/>
        </w:rPr>
        <w:t xml:space="preserve">por la Comisión Interamericana de Derechos Humanos </w:t>
      </w:r>
      <w:r w:rsidRPr="00A53850">
        <w:rPr>
          <w:rFonts w:ascii="Verdana" w:eastAsia="Calibri" w:hAnsi="Verdana" w:cs="Arial"/>
          <w:sz w:val="20"/>
          <w:lang w:eastAsia="es-CR"/>
        </w:rPr>
        <w:t>(en adelante “la Comisión Interamericana” o “la Co</w:t>
      </w:r>
      <w:r w:rsidR="009E28F1" w:rsidRPr="00A53850">
        <w:rPr>
          <w:rFonts w:ascii="Verdana" w:eastAsia="Calibri" w:hAnsi="Verdana" w:cs="Arial"/>
          <w:sz w:val="20"/>
          <w:lang w:eastAsia="es-CR"/>
        </w:rPr>
        <w:t xml:space="preserve">misión”) entre octubre de 2016 </w:t>
      </w:r>
      <w:r w:rsidRPr="00A53850">
        <w:rPr>
          <w:rFonts w:ascii="Verdana" w:eastAsia="Calibri" w:hAnsi="Verdana" w:cs="Arial"/>
          <w:sz w:val="20"/>
          <w:lang w:eastAsia="es-CR"/>
        </w:rPr>
        <w:t xml:space="preserve">y </w:t>
      </w:r>
      <w:r w:rsidR="009E28F1" w:rsidRPr="00A53850">
        <w:rPr>
          <w:rFonts w:ascii="Verdana" w:eastAsia="Calibri" w:hAnsi="Verdana" w:cs="Arial"/>
          <w:sz w:val="20"/>
          <w:lang w:eastAsia="es-CR"/>
        </w:rPr>
        <w:t>enero de 2019</w:t>
      </w:r>
      <w:r w:rsidRPr="00A53850">
        <w:rPr>
          <w:rFonts w:ascii="Verdana" w:eastAsia="Calibri" w:hAnsi="Verdana" w:cs="Arial"/>
          <w:sz w:val="20"/>
          <w:lang w:eastAsia="es-CR"/>
        </w:rPr>
        <w:t>.</w:t>
      </w:r>
    </w:p>
    <w:p w14:paraId="26E0E6E8" w14:textId="77777777" w:rsidR="00A145F7" w:rsidRPr="009607F0" w:rsidRDefault="00A145F7" w:rsidP="009607F0">
      <w:pPr>
        <w:jc w:val="both"/>
        <w:rPr>
          <w:rFonts w:ascii="Verdana" w:hAnsi="Verdana"/>
          <w:b/>
          <w:sz w:val="20"/>
          <w:lang w:val="es-MX"/>
        </w:rPr>
      </w:pPr>
    </w:p>
    <w:p w14:paraId="1E48570F" w14:textId="5840A3A7" w:rsidR="009607F0" w:rsidRDefault="008740E4" w:rsidP="009607F0">
      <w:pPr>
        <w:jc w:val="both"/>
        <w:rPr>
          <w:rFonts w:ascii="Verdana" w:hAnsi="Verdana"/>
          <w:b/>
          <w:sz w:val="20"/>
          <w:lang w:val="es-MX"/>
        </w:rPr>
      </w:pPr>
      <w:r w:rsidRPr="00A53850">
        <w:rPr>
          <w:rFonts w:ascii="Verdana" w:hAnsi="Verdana"/>
          <w:b/>
          <w:sz w:val="20"/>
          <w:lang w:val="es-MX"/>
        </w:rPr>
        <w:t>CONSIDERANDO QUE:</w:t>
      </w:r>
    </w:p>
    <w:p w14:paraId="42D32944" w14:textId="77777777" w:rsidR="009607F0" w:rsidRPr="00A53850" w:rsidRDefault="009607F0" w:rsidP="009607F0">
      <w:pPr>
        <w:jc w:val="both"/>
        <w:rPr>
          <w:rFonts w:ascii="Verdana" w:hAnsi="Verdana"/>
          <w:b/>
          <w:sz w:val="20"/>
          <w:lang w:val="es-MX"/>
        </w:rPr>
      </w:pPr>
    </w:p>
    <w:p w14:paraId="3240CBF8" w14:textId="1C544379" w:rsidR="00DB2780" w:rsidRDefault="003365E6" w:rsidP="009607F0">
      <w:pPr>
        <w:numPr>
          <w:ilvl w:val="0"/>
          <w:numId w:val="5"/>
        </w:numPr>
        <w:ind w:left="0" w:right="9" w:firstLine="0"/>
        <w:jc w:val="both"/>
        <w:rPr>
          <w:rFonts w:ascii="Verdana" w:hAnsi="Verdana"/>
          <w:sz w:val="20"/>
        </w:rPr>
      </w:pPr>
      <w:r w:rsidRPr="00A53850">
        <w:rPr>
          <w:rFonts w:ascii="Verdana" w:hAnsi="Verdana"/>
          <w:sz w:val="20"/>
        </w:rPr>
        <w:t>En el ejercicio de su función jurisdiccional de supervisar el cumplimiento de sus decisiones</w:t>
      </w:r>
      <w:r w:rsidR="005E60C3" w:rsidRPr="00A53850">
        <w:rPr>
          <w:rStyle w:val="Refdenotaalpie"/>
          <w:rFonts w:ascii="Verdana" w:hAnsi="Verdana"/>
          <w:sz w:val="20"/>
        </w:rPr>
        <w:footnoteReference w:id="7"/>
      </w:r>
      <w:r w:rsidRPr="00A53850">
        <w:rPr>
          <w:rFonts w:ascii="Verdana" w:hAnsi="Verdana"/>
          <w:sz w:val="20"/>
        </w:rPr>
        <w:t xml:space="preserve">, la Corte ha venido </w:t>
      </w:r>
      <w:r w:rsidR="00EE573C" w:rsidRPr="00A53850">
        <w:rPr>
          <w:rFonts w:ascii="Verdana" w:hAnsi="Verdana"/>
          <w:sz w:val="20"/>
        </w:rPr>
        <w:t>supervisando</w:t>
      </w:r>
      <w:r w:rsidRPr="00A53850">
        <w:rPr>
          <w:rFonts w:ascii="Verdana" w:hAnsi="Verdana"/>
          <w:sz w:val="20"/>
        </w:rPr>
        <w:t xml:space="preserve"> la ejecución de la Sentencia </w:t>
      </w:r>
      <w:r w:rsidR="00291900" w:rsidRPr="00A53850">
        <w:rPr>
          <w:rFonts w:ascii="Verdana" w:hAnsi="Verdana"/>
          <w:sz w:val="20"/>
        </w:rPr>
        <w:t>emitida en</w:t>
      </w:r>
      <w:r w:rsidRPr="00A53850">
        <w:rPr>
          <w:rFonts w:ascii="Verdana" w:hAnsi="Verdana"/>
          <w:sz w:val="20"/>
        </w:rPr>
        <w:t xml:space="preserve"> el presente caso </w:t>
      </w:r>
      <w:r w:rsidR="005E60C3" w:rsidRPr="00A53850">
        <w:rPr>
          <w:rFonts w:ascii="Verdana" w:hAnsi="Verdana"/>
          <w:sz w:val="20"/>
        </w:rPr>
        <w:t xml:space="preserve">en </w:t>
      </w:r>
      <w:r w:rsidR="00C565A2" w:rsidRPr="00A53850">
        <w:rPr>
          <w:rFonts w:ascii="Verdana" w:hAnsi="Verdana"/>
          <w:sz w:val="20"/>
        </w:rPr>
        <w:t xml:space="preserve">el </w:t>
      </w:r>
      <w:r w:rsidR="005E60C3" w:rsidRPr="00A53850">
        <w:rPr>
          <w:rFonts w:ascii="Verdana" w:hAnsi="Verdana"/>
          <w:sz w:val="20"/>
        </w:rPr>
        <w:t xml:space="preserve">año </w:t>
      </w:r>
      <w:r w:rsidR="00C565A2" w:rsidRPr="00A53850">
        <w:rPr>
          <w:rFonts w:ascii="Verdana" w:hAnsi="Verdana"/>
          <w:sz w:val="20"/>
        </w:rPr>
        <w:t>20</w:t>
      </w:r>
      <w:r w:rsidR="00876062" w:rsidRPr="00A53850">
        <w:rPr>
          <w:rFonts w:ascii="Verdana" w:hAnsi="Verdana"/>
          <w:sz w:val="20"/>
        </w:rPr>
        <w:t>1</w:t>
      </w:r>
      <w:r w:rsidR="00034155" w:rsidRPr="00A53850">
        <w:rPr>
          <w:rFonts w:ascii="Verdana" w:hAnsi="Verdana"/>
          <w:sz w:val="20"/>
        </w:rPr>
        <w:t>2</w:t>
      </w:r>
      <w:r w:rsidR="00C565A2" w:rsidRPr="00A53850">
        <w:rPr>
          <w:rFonts w:ascii="Verdana" w:hAnsi="Verdana"/>
          <w:sz w:val="20"/>
        </w:rPr>
        <w:t xml:space="preserve"> </w:t>
      </w:r>
      <w:r w:rsidRPr="00A53850">
        <w:rPr>
          <w:rFonts w:ascii="Verdana" w:hAnsi="Verdana"/>
          <w:sz w:val="20"/>
        </w:rPr>
        <w:t>(</w:t>
      </w:r>
      <w:r w:rsidRPr="00A53850">
        <w:rPr>
          <w:rFonts w:ascii="Verdana" w:hAnsi="Verdana"/>
          <w:i/>
          <w:sz w:val="20"/>
        </w:rPr>
        <w:t>supra</w:t>
      </w:r>
      <w:r w:rsidR="00D867D9" w:rsidRPr="00A53850">
        <w:rPr>
          <w:rFonts w:ascii="Verdana" w:hAnsi="Verdana"/>
          <w:sz w:val="20"/>
        </w:rPr>
        <w:t xml:space="preserve"> Visto </w:t>
      </w:r>
      <w:r w:rsidR="00DE33A1" w:rsidRPr="00A53850">
        <w:rPr>
          <w:rFonts w:ascii="Verdana" w:hAnsi="Verdana"/>
          <w:sz w:val="20"/>
        </w:rPr>
        <w:t>1</w:t>
      </w:r>
      <w:r w:rsidRPr="00A53850">
        <w:rPr>
          <w:rFonts w:ascii="Verdana" w:hAnsi="Verdana"/>
          <w:sz w:val="20"/>
        </w:rPr>
        <w:t>)</w:t>
      </w:r>
      <w:r w:rsidR="00467E35" w:rsidRPr="00A53850">
        <w:rPr>
          <w:rFonts w:ascii="Verdana" w:hAnsi="Verdana"/>
          <w:sz w:val="20"/>
        </w:rPr>
        <w:t>.</w:t>
      </w:r>
      <w:r w:rsidR="00062135" w:rsidRPr="00A53850">
        <w:rPr>
          <w:rFonts w:ascii="Verdana" w:hAnsi="Verdana"/>
          <w:sz w:val="20"/>
        </w:rPr>
        <w:t xml:space="preserve"> </w:t>
      </w:r>
      <w:r w:rsidR="00DB2780" w:rsidRPr="00A53850">
        <w:rPr>
          <w:rFonts w:ascii="Verdana" w:hAnsi="Verdana"/>
          <w:sz w:val="20"/>
        </w:rPr>
        <w:t xml:space="preserve">La Corte </w:t>
      </w:r>
      <w:r w:rsidR="00285EAA" w:rsidRPr="00A53850">
        <w:rPr>
          <w:rFonts w:ascii="Verdana" w:hAnsi="Verdana"/>
          <w:sz w:val="20"/>
        </w:rPr>
        <w:t>emitió</w:t>
      </w:r>
      <w:r w:rsidR="00DB2780" w:rsidRPr="00A53850">
        <w:rPr>
          <w:rFonts w:ascii="Verdana" w:hAnsi="Verdana"/>
          <w:sz w:val="20"/>
        </w:rPr>
        <w:t xml:space="preserve"> </w:t>
      </w:r>
      <w:r w:rsidR="00034155" w:rsidRPr="00A53850">
        <w:rPr>
          <w:rFonts w:ascii="Verdana" w:hAnsi="Verdana"/>
          <w:sz w:val="20"/>
        </w:rPr>
        <w:t>una resolución</w:t>
      </w:r>
      <w:r w:rsidR="00DB2780" w:rsidRPr="00A53850">
        <w:rPr>
          <w:rFonts w:ascii="Verdana" w:hAnsi="Verdana"/>
          <w:sz w:val="20"/>
        </w:rPr>
        <w:t xml:space="preserve"> de supervisión de cumplimiento de Sentencia</w:t>
      </w:r>
      <w:r w:rsidR="00285EAA" w:rsidRPr="00A53850">
        <w:rPr>
          <w:rFonts w:ascii="Verdana" w:hAnsi="Verdana"/>
          <w:sz w:val="20"/>
        </w:rPr>
        <w:t xml:space="preserve"> el</w:t>
      </w:r>
      <w:r w:rsidR="00DB2780" w:rsidRPr="00A53850">
        <w:rPr>
          <w:rFonts w:ascii="Verdana" w:hAnsi="Verdana"/>
          <w:sz w:val="20"/>
        </w:rPr>
        <w:t xml:space="preserve"> </w:t>
      </w:r>
      <w:r w:rsidR="00285EAA" w:rsidRPr="00A53850">
        <w:rPr>
          <w:rFonts w:ascii="Verdana" w:hAnsi="Verdana"/>
          <w:sz w:val="20"/>
        </w:rPr>
        <w:t xml:space="preserve">21 de agosto de 2014 </w:t>
      </w:r>
      <w:r w:rsidR="00DB2780" w:rsidRPr="00A53850">
        <w:rPr>
          <w:rFonts w:ascii="Verdana" w:hAnsi="Verdana"/>
          <w:sz w:val="20"/>
        </w:rPr>
        <w:t>(</w:t>
      </w:r>
      <w:r w:rsidR="00DB2780" w:rsidRPr="00A53850">
        <w:rPr>
          <w:rFonts w:ascii="Verdana" w:hAnsi="Verdana"/>
          <w:i/>
          <w:sz w:val="20"/>
        </w:rPr>
        <w:t>supra</w:t>
      </w:r>
      <w:r w:rsidR="00034155" w:rsidRPr="00A53850">
        <w:rPr>
          <w:rFonts w:ascii="Verdana" w:hAnsi="Verdana"/>
          <w:sz w:val="20"/>
        </w:rPr>
        <w:t xml:space="preserve"> Visto 3</w:t>
      </w:r>
      <w:r w:rsidR="00DB2780" w:rsidRPr="00A53850">
        <w:rPr>
          <w:rFonts w:ascii="Verdana" w:hAnsi="Verdana"/>
          <w:sz w:val="20"/>
        </w:rPr>
        <w:t>)</w:t>
      </w:r>
      <w:r w:rsidR="00034155" w:rsidRPr="00A53850">
        <w:rPr>
          <w:rFonts w:ascii="Verdana" w:hAnsi="Verdana"/>
          <w:sz w:val="20"/>
        </w:rPr>
        <w:t>,</w:t>
      </w:r>
      <w:r w:rsidR="009A51A5" w:rsidRPr="00A53850">
        <w:rPr>
          <w:rFonts w:ascii="Verdana" w:hAnsi="Verdana"/>
          <w:sz w:val="20"/>
        </w:rPr>
        <w:t xml:space="preserve"> </w:t>
      </w:r>
      <w:r w:rsidR="00034155" w:rsidRPr="00A53850">
        <w:rPr>
          <w:rFonts w:ascii="Verdana" w:hAnsi="Verdana"/>
          <w:sz w:val="20"/>
        </w:rPr>
        <w:t xml:space="preserve">en la cual, </w:t>
      </w:r>
      <w:r w:rsidR="00616435" w:rsidRPr="00A53850">
        <w:rPr>
          <w:rFonts w:ascii="Verdana" w:hAnsi="Verdana"/>
          <w:sz w:val="20"/>
        </w:rPr>
        <w:t xml:space="preserve">resolvió que la posición asumida por Guatemala en el 2013, durante la etapa de supervisión de cumplimiento de sentencia constituía “un acto de evidente desacato </w:t>
      </w:r>
      <w:r w:rsidR="003E5AF8" w:rsidRPr="00A53850">
        <w:rPr>
          <w:rFonts w:ascii="Verdana" w:hAnsi="Verdana"/>
          <w:sz w:val="20"/>
        </w:rPr>
        <w:t xml:space="preserve">del Estado respecto de la obligatoriedad” de la Sentencia y le </w:t>
      </w:r>
      <w:r w:rsidR="00034155" w:rsidRPr="00A53850">
        <w:rPr>
          <w:rFonts w:ascii="Verdana" w:hAnsi="Verdana"/>
          <w:sz w:val="20"/>
        </w:rPr>
        <w:t xml:space="preserve">requirió </w:t>
      </w:r>
      <w:r w:rsidR="003E5AF8" w:rsidRPr="00A53850">
        <w:rPr>
          <w:rFonts w:ascii="Verdana" w:hAnsi="Verdana"/>
          <w:sz w:val="20"/>
        </w:rPr>
        <w:t>dar cumplimiento a la misma</w:t>
      </w:r>
      <w:r w:rsidR="00034155" w:rsidRPr="00A53850">
        <w:rPr>
          <w:rFonts w:ascii="Verdana" w:hAnsi="Verdana"/>
          <w:sz w:val="20"/>
        </w:rPr>
        <w:t xml:space="preserve">. </w:t>
      </w:r>
    </w:p>
    <w:p w14:paraId="211D4364" w14:textId="77777777" w:rsidR="009607F0" w:rsidRPr="00A53850" w:rsidRDefault="009607F0" w:rsidP="009607F0">
      <w:pPr>
        <w:ind w:right="9"/>
        <w:jc w:val="both"/>
        <w:rPr>
          <w:rFonts w:ascii="Verdana" w:hAnsi="Verdana"/>
          <w:sz w:val="20"/>
        </w:rPr>
      </w:pPr>
    </w:p>
    <w:p w14:paraId="7ADDAA6E" w14:textId="5BADD2D6" w:rsidR="00062135" w:rsidRPr="009607F0" w:rsidRDefault="006B57A3" w:rsidP="009607F0">
      <w:pPr>
        <w:numPr>
          <w:ilvl w:val="0"/>
          <w:numId w:val="5"/>
        </w:numPr>
        <w:ind w:left="0" w:right="9" w:firstLine="0"/>
        <w:jc w:val="both"/>
        <w:rPr>
          <w:rFonts w:ascii="Verdana" w:hAnsi="Verdana"/>
          <w:sz w:val="20"/>
        </w:rPr>
      </w:pPr>
      <w:r w:rsidRPr="00A53850">
        <w:rPr>
          <w:rFonts w:ascii="Verdana" w:hAnsi="Verdana"/>
          <w:sz w:val="20"/>
        </w:rPr>
        <w:t xml:space="preserve">De conformidad </w:t>
      </w:r>
      <w:r w:rsidR="00062135" w:rsidRPr="00A53850">
        <w:rPr>
          <w:rFonts w:ascii="Verdana" w:hAnsi="Verdana"/>
          <w:sz w:val="20"/>
        </w:rPr>
        <w:t xml:space="preserve">con </w:t>
      </w:r>
      <w:r w:rsidR="00062135" w:rsidRPr="00A53850">
        <w:rPr>
          <w:rFonts w:ascii="Verdana" w:hAnsi="Verdana"/>
          <w:sz w:val="20"/>
          <w:lang w:val="es-ES"/>
        </w:rPr>
        <w:t>lo establecido en el artículo</w:t>
      </w:r>
      <w:r w:rsidR="00062135" w:rsidRPr="00A53850">
        <w:rPr>
          <w:rFonts w:ascii="Verdana" w:hAnsi="Verdana"/>
          <w:sz w:val="20"/>
        </w:rPr>
        <w:t xml:space="preserve"> </w:t>
      </w:r>
      <w:r w:rsidR="00062135" w:rsidRPr="00A53850">
        <w:rPr>
          <w:rFonts w:ascii="Verdana" w:hAnsi="Verdana"/>
          <w:sz w:val="20"/>
          <w:lang w:val="es-CO"/>
        </w:rPr>
        <w:t>68.1 de la Convención Americana</w:t>
      </w:r>
      <w:r w:rsidR="005173EB" w:rsidRPr="00A53850">
        <w:rPr>
          <w:rFonts w:ascii="Verdana" w:hAnsi="Verdana"/>
          <w:sz w:val="20"/>
          <w:lang w:val="es-CO"/>
        </w:rPr>
        <w:t xml:space="preserve"> </w:t>
      </w:r>
      <w:r w:rsidR="00D14A9D" w:rsidRPr="00A53850">
        <w:rPr>
          <w:rFonts w:ascii="Verdana" w:hAnsi="Verdana"/>
          <w:sz w:val="20"/>
          <w:lang w:val="es-CO"/>
        </w:rPr>
        <w:t>sobre</w:t>
      </w:r>
      <w:r w:rsidR="005173EB" w:rsidRPr="00A53850">
        <w:rPr>
          <w:rFonts w:ascii="Verdana" w:hAnsi="Verdana"/>
          <w:sz w:val="20"/>
          <w:lang w:val="es-CO"/>
        </w:rPr>
        <w:t xml:space="preserve"> Derechos Humanos</w:t>
      </w:r>
      <w:r w:rsidR="00062135" w:rsidRPr="00A53850">
        <w:rPr>
          <w:rFonts w:ascii="Verdana" w:hAnsi="Verdana"/>
          <w:sz w:val="20"/>
          <w:lang w:val="es-CO"/>
        </w:rPr>
        <w:t xml:space="preserve">, “[l]os Estados Partes en la Convención se comprometen a cumplir la decisión de la </w:t>
      </w:r>
      <w:r w:rsidR="00062135" w:rsidRPr="00A53850">
        <w:rPr>
          <w:rFonts w:ascii="Verdana" w:hAnsi="Verdana"/>
          <w:sz w:val="20"/>
          <w:lang w:val="es-MX"/>
        </w:rPr>
        <w:t>Corte en todo caso en que sean parte</w:t>
      </w:r>
      <w:r w:rsidR="00062135" w:rsidRPr="00A53850">
        <w:rPr>
          <w:rFonts w:ascii="Verdana" w:hAnsi="Verdana"/>
          <w:i/>
          <w:sz w:val="20"/>
          <w:lang w:val="es-MX"/>
        </w:rPr>
        <w:t>s”</w:t>
      </w:r>
      <w:r w:rsidR="00062135" w:rsidRPr="00A53850">
        <w:rPr>
          <w:rFonts w:ascii="Verdana" w:hAnsi="Verdana" w:cs="Verdana"/>
          <w:i/>
          <w:sz w:val="20"/>
          <w:lang w:val="es-MX"/>
        </w:rPr>
        <w:t>.</w:t>
      </w:r>
      <w:r w:rsidR="00062135" w:rsidRPr="00A53850">
        <w:rPr>
          <w:rFonts w:ascii="Verdana" w:hAnsi="Verdana" w:cs="Verdana"/>
          <w:sz w:val="20"/>
          <w:lang w:val="es-MX"/>
        </w:rPr>
        <w:t xml:space="preserve"> </w:t>
      </w:r>
      <w:r w:rsidR="00062135" w:rsidRPr="00A53850">
        <w:rPr>
          <w:rFonts w:ascii="Verdana" w:hAnsi="Verdana"/>
          <w:sz w:val="20"/>
          <w:lang w:val="es-MX"/>
        </w:rPr>
        <w:t xml:space="preserve">Esta obligación incluye el deber del Estado de informar a la Corte sobre las medidas </w:t>
      </w:r>
      <w:r w:rsidR="00062135" w:rsidRPr="00FF3984">
        <w:rPr>
          <w:rFonts w:ascii="Verdana" w:hAnsi="Verdana"/>
          <w:sz w:val="20"/>
          <w:lang w:val="es-CR"/>
        </w:rPr>
        <w:t>adoptadas</w:t>
      </w:r>
      <w:r w:rsidR="00062135" w:rsidRPr="00A53850">
        <w:rPr>
          <w:rFonts w:ascii="Verdana" w:hAnsi="Verdana"/>
          <w:sz w:val="20"/>
        </w:rPr>
        <w:t xml:space="preserve"> para cumplir cada uno de los puntos ordenados por ésta, lo cual es funda</w:t>
      </w:r>
      <w:r w:rsidR="00062135" w:rsidRPr="00A53850">
        <w:rPr>
          <w:rFonts w:ascii="Verdana" w:hAnsi="Verdana"/>
          <w:sz w:val="20"/>
          <w:lang w:val="es-MX"/>
        </w:rPr>
        <w:t xml:space="preserve">mental para </w:t>
      </w:r>
      <w:r w:rsidR="00062135" w:rsidRPr="00FF3984">
        <w:rPr>
          <w:rFonts w:ascii="Verdana" w:hAnsi="Verdana"/>
          <w:sz w:val="20"/>
          <w:lang w:val="es-CR"/>
        </w:rPr>
        <w:t>evaluar</w:t>
      </w:r>
      <w:r w:rsidR="00062135" w:rsidRPr="00A53850">
        <w:rPr>
          <w:rFonts w:ascii="Verdana" w:hAnsi="Verdana"/>
          <w:sz w:val="20"/>
        </w:rPr>
        <w:t xml:space="preserve"> el estado de cumplimiento de la Sentencia en su conjunto</w:t>
      </w:r>
      <w:r w:rsidR="00062135" w:rsidRPr="00A53850">
        <w:rPr>
          <w:rStyle w:val="Refdenotaalpie"/>
          <w:rFonts w:ascii="Verdana" w:hAnsi="Verdana"/>
          <w:sz w:val="20"/>
        </w:rPr>
        <w:footnoteReference w:id="8"/>
      </w:r>
      <w:r w:rsidR="00062135" w:rsidRPr="00A53850">
        <w:rPr>
          <w:rFonts w:ascii="Verdana" w:hAnsi="Verdana"/>
          <w:sz w:val="20"/>
        </w:rPr>
        <w:t xml:space="preserve">. </w:t>
      </w:r>
      <w:r w:rsidR="00062135" w:rsidRPr="00A53850">
        <w:rPr>
          <w:rFonts w:ascii="Verdana" w:hAnsi="Verdana" w:cs="Verdana"/>
          <w:sz w:val="20"/>
          <w:lang w:val="es-ES"/>
        </w:rPr>
        <w:t>Los Estados Parte en la Convención deben garantizar el cumplimiento de las disposiciones convencionales y sus efectos propios (</w:t>
      </w:r>
      <w:proofErr w:type="spellStart"/>
      <w:r w:rsidR="00062135" w:rsidRPr="00A53850">
        <w:rPr>
          <w:rFonts w:ascii="Verdana" w:hAnsi="Verdana" w:cs="Verdana-Italic"/>
          <w:i/>
          <w:iCs/>
          <w:sz w:val="20"/>
          <w:lang w:val="es-ES"/>
        </w:rPr>
        <w:t>effet</w:t>
      </w:r>
      <w:proofErr w:type="spellEnd"/>
      <w:r w:rsidR="00062135" w:rsidRPr="00A53850">
        <w:rPr>
          <w:rFonts w:ascii="Verdana" w:hAnsi="Verdana" w:cs="Verdana-Italic"/>
          <w:i/>
          <w:iCs/>
          <w:sz w:val="20"/>
          <w:lang w:val="es-ES"/>
        </w:rPr>
        <w:t xml:space="preserve"> </w:t>
      </w:r>
      <w:proofErr w:type="spellStart"/>
      <w:r w:rsidR="00062135" w:rsidRPr="00A53850">
        <w:rPr>
          <w:rFonts w:ascii="Verdana" w:hAnsi="Verdana" w:cs="Verdana-Italic"/>
          <w:i/>
          <w:iCs/>
          <w:sz w:val="20"/>
          <w:lang w:val="es-ES"/>
        </w:rPr>
        <w:t>utile</w:t>
      </w:r>
      <w:proofErr w:type="spellEnd"/>
      <w:r w:rsidR="00062135" w:rsidRPr="00A53850">
        <w:rPr>
          <w:rFonts w:ascii="Verdana" w:hAnsi="Verdana" w:cs="Verdana"/>
          <w:sz w:val="20"/>
          <w:lang w:val="es-ES"/>
        </w:rPr>
        <w:t>) en el plano de sus respectivos derechos internos. Estas obligaciones deben ser interpretadas y aplicadas de manera que la garantía protegida sea verdaderamente práctica y eficaz, teniendo presente la naturaleza especial de los tratados de derechos humanos</w:t>
      </w:r>
      <w:r w:rsidR="00062135" w:rsidRPr="00A53850">
        <w:rPr>
          <w:rStyle w:val="Refdenotaalpie"/>
          <w:rFonts w:ascii="Verdana" w:hAnsi="Verdana" w:cs="Verdana"/>
          <w:sz w:val="20"/>
        </w:rPr>
        <w:footnoteReference w:id="9"/>
      </w:r>
      <w:r w:rsidR="00062135" w:rsidRPr="00A53850">
        <w:rPr>
          <w:rFonts w:ascii="Verdana" w:hAnsi="Verdana" w:cs="Verdana"/>
          <w:sz w:val="20"/>
          <w:lang w:val="es-ES"/>
        </w:rPr>
        <w:t>.</w:t>
      </w:r>
    </w:p>
    <w:p w14:paraId="7AAF290B" w14:textId="77777777" w:rsidR="009607F0" w:rsidRPr="00A53850" w:rsidRDefault="009607F0" w:rsidP="009607F0">
      <w:pPr>
        <w:ind w:right="9"/>
        <w:jc w:val="both"/>
        <w:rPr>
          <w:rFonts w:ascii="Verdana" w:hAnsi="Verdana"/>
          <w:sz w:val="20"/>
        </w:rPr>
      </w:pPr>
    </w:p>
    <w:p w14:paraId="6327A672" w14:textId="3AF19C64" w:rsidR="003E7667" w:rsidRPr="009607F0" w:rsidRDefault="003E5AF8" w:rsidP="009607F0">
      <w:pPr>
        <w:numPr>
          <w:ilvl w:val="0"/>
          <w:numId w:val="5"/>
        </w:numPr>
        <w:ind w:left="0" w:firstLine="0"/>
        <w:jc w:val="both"/>
        <w:rPr>
          <w:rFonts w:ascii="Verdana" w:hAnsi="Verdana"/>
          <w:sz w:val="20"/>
          <w:lang w:val="es-CR"/>
        </w:rPr>
      </w:pPr>
      <w:r w:rsidRPr="00A53850">
        <w:rPr>
          <w:rFonts w:ascii="Verdana" w:hAnsi="Verdana"/>
          <w:sz w:val="20"/>
        </w:rPr>
        <w:t xml:space="preserve">Tomando en cuenta la información aportada por el Estado a partir de 2016, </w:t>
      </w:r>
      <w:r w:rsidR="000A6F3A" w:rsidRPr="00A53850">
        <w:rPr>
          <w:rFonts w:ascii="Verdana" w:hAnsi="Verdana"/>
          <w:sz w:val="20"/>
        </w:rPr>
        <w:t>e</w:t>
      </w:r>
      <w:r w:rsidR="00EA5CA1" w:rsidRPr="00A53850">
        <w:rPr>
          <w:rFonts w:ascii="Verdana" w:hAnsi="Verdana"/>
          <w:sz w:val="20"/>
        </w:rPr>
        <w:t>n la presente resolución l</w:t>
      </w:r>
      <w:r w:rsidR="009A51A5" w:rsidRPr="00A53850">
        <w:rPr>
          <w:rFonts w:ascii="Verdana" w:hAnsi="Verdana"/>
          <w:sz w:val="20"/>
        </w:rPr>
        <w:t>a Corte se pronunciará sobre la</w:t>
      </w:r>
      <w:r w:rsidR="00EA5CA1" w:rsidRPr="00A53850">
        <w:rPr>
          <w:rFonts w:ascii="Verdana" w:hAnsi="Verdana"/>
          <w:sz w:val="20"/>
        </w:rPr>
        <w:t>s</w:t>
      </w:r>
      <w:r w:rsidR="009A51A5" w:rsidRPr="00A53850">
        <w:rPr>
          <w:rFonts w:ascii="Verdana" w:hAnsi="Verdana"/>
          <w:sz w:val="20"/>
        </w:rPr>
        <w:t xml:space="preserve"> medida</w:t>
      </w:r>
      <w:r w:rsidR="00EA5CA1" w:rsidRPr="00A53850">
        <w:rPr>
          <w:rFonts w:ascii="Verdana" w:hAnsi="Verdana"/>
          <w:sz w:val="20"/>
        </w:rPr>
        <w:t xml:space="preserve">s de reparación relativas a </w:t>
      </w:r>
      <w:r w:rsidR="003F10F6" w:rsidRPr="00A53850">
        <w:rPr>
          <w:rFonts w:ascii="Verdana" w:hAnsi="Verdana"/>
          <w:sz w:val="20"/>
        </w:rPr>
        <w:t xml:space="preserve">la publicación y difusión de la Sentencia </w:t>
      </w:r>
      <w:r w:rsidR="007043CB" w:rsidRPr="00A53850">
        <w:rPr>
          <w:rFonts w:ascii="Verdana" w:hAnsi="Verdana"/>
          <w:sz w:val="20"/>
        </w:rPr>
        <w:t xml:space="preserve">y </w:t>
      </w:r>
      <w:r w:rsidR="003F10F6" w:rsidRPr="00A53850">
        <w:rPr>
          <w:rFonts w:ascii="Verdana" w:hAnsi="Verdana"/>
          <w:sz w:val="20"/>
        </w:rPr>
        <w:t>el pago de las indemnizaciones</w:t>
      </w:r>
      <w:r w:rsidR="00B65953" w:rsidRPr="00A53850">
        <w:rPr>
          <w:rFonts w:ascii="Verdana" w:hAnsi="Verdana"/>
          <w:sz w:val="20"/>
        </w:rPr>
        <w:t xml:space="preserve"> por concepto de daño</w:t>
      </w:r>
      <w:r w:rsidR="00DD0B1E" w:rsidRPr="00A53850">
        <w:rPr>
          <w:rFonts w:ascii="Verdana" w:hAnsi="Verdana"/>
          <w:sz w:val="20"/>
        </w:rPr>
        <w:t>s</w:t>
      </w:r>
      <w:r w:rsidR="00B65953" w:rsidRPr="00A53850">
        <w:rPr>
          <w:rFonts w:ascii="Verdana" w:hAnsi="Verdana"/>
          <w:sz w:val="20"/>
        </w:rPr>
        <w:t xml:space="preserve"> material</w:t>
      </w:r>
      <w:r w:rsidR="00DD0B1E" w:rsidRPr="00A53850">
        <w:rPr>
          <w:rFonts w:ascii="Verdana" w:hAnsi="Verdana"/>
          <w:sz w:val="20"/>
        </w:rPr>
        <w:t>es, daños inmateriales y el reintegro de costas y gastos</w:t>
      </w:r>
      <w:r w:rsidR="009A51A5" w:rsidRPr="00A53850">
        <w:rPr>
          <w:rFonts w:ascii="Verdana" w:hAnsi="Verdana"/>
          <w:sz w:val="20"/>
        </w:rPr>
        <w:t>.</w:t>
      </w:r>
      <w:r w:rsidR="000A0917" w:rsidRPr="00A53850">
        <w:rPr>
          <w:rFonts w:ascii="Verdana" w:hAnsi="Verdana"/>
          <w:sz w:val="20"/>
        </w:rPr>
        <w:t xml:space="preserve"> En una posterior resolución se pronunciará sobre la</w:t>
      </w:r>
      <w:r w:rsidR="003F10F6" w:rsidRPr="00A53850">
        <w:rPr>
          <w:rFonts w:ascii="Verdana" w:hAnsi="Verdana"/>
          <w:sz w:val="20"/>
        </w:rPr>
        <w:t>s</w:t>
      </w:r>
      <w:r w:rsidR="000A0917" w:rsidRPr="00A53850">
        <w:rPr>
          <w:rFonts w:ascii="Verdana" w:hAnsi="Verdana"/>
          <w:sz w:val="20"/>
        </w:rPr>
        <w:t xml:space="preserve"> </w:t>
      </w:r>
      <w:r w:rsidR="000349D5" w:rsidRPr="00A53850">
        <w:rPr>
          <w:rFonts w:ascii="Verdana" w:hAnsi="Verdana"/>
          <w:sz w:val="20"/>
        </w:rPr>
        <w:t xml:space="preserve">demás </w:t>
      </w:r>
      <w:r w:rsidR="000A0917" w:rsidRPr="00A53850">
        <w:rPr>
          <w:rFonts w:ascii="Verdana" w:hAnsi="Verdana"/>
          <w:sz w:val="20"/>
        </w:rPr>
        <w:t>medida</w:t>
      </w:r>
      <w:r w:rsidR="003F10F6" w:rsidRPr="00A53850">
        <w:rPr>
          <w:rFonts w:ascii="Verdana" w:hAnsi="Verdana"/>
          <w:sz w:val="20"/>
        </w:rPr>
        <w:t>s</w:t>
      </w:r>
      <w:r w:rsidR="000A0917" w:rsidRPr="00A53850">
        <w:rPr>
          <w:rFonts w:ascii="Verdana" w:hAnsi="Verdana"/>
          <w:sz w:val="20"/>
        </w:rPr>
        <w:t xml:space="preserve"> </w:t>
      </w:r>
      <w:r w:rsidR="00B65953" w:rsidRPr="00A53850">
        <w:rPr>
          <w:rFonts w:ascii="Verdana" w:hAnsi="Verdana"/>
          <w:sz w:val="20"/>
        </w:rPr>
        <w:t>pendientes de cumplimiento</w:t>
      </w:r>
      <w:r w:rsidR="00F36712">
        <w:rPr>
          <w:rFonts w:ascii="Verdana" w:hAnsi="Verdana"/>
          <w:sz w:val="20"/>
        </w:rPr>
        <w:t xml:space="preserve"> (</w:t>
      </w:r>
      <w:r w:rsidR="00F36712">
        <w:rPr>
          <w:rFonts w:ascii="Verdana" w:hAnsi="Verdana"/>
          <w:i/>
          <w:sz w:val="20"/>
        </w:rPr>
        <w:t xml:space="preserve">infra </w:t>
      </w:r>
      <w:r w:rsidR="00F36712">
        <w:rPr>
          <w:rFonts w:ascii="Verdana" w:hAnsi="Verdana"/>
          <w:sz w:val="20"/>
        </w:rPr>
        <w:t>punto resolutivo 3)</w:t>
      </w:r>
      <w:r w:rsidR="00DC23E9" w:rsidRPr="00A53850">
        <w:rPr>
          <w:rFonts w:ascii="Verdana" w:hAnsi="Verdana"/>
          <w:sz w:val="20"/>
        </w:rPr>
        <w:t>.</w:t>
      </w:r>
      <w:r w:rsidR="00EA5CA1" w:rsidRPr="00A53850">
        <w:rPr>
          <w:rFonts w:ascii="Verdana" w:hAnsi="Verdana"/>
          <w:sz w:val="20"/>
        </w:rPr>
        <w:t xml:space="preserve"> </w:t>
      </w:r>
    </w:p>
    <w:p w14:paraId="56AC02B9" w14:textId="77777777" w:rsidR="009607F0" w:rsidRDefault="009607F0" w:rsidP="00FF3984">
      <w:pPr>
        <w:widowControl w:val="0"/>
        <w:jc w:val="both"/>
        <w:rPr>
          <w:rFonts w:ascii="Verdana" w:hAnsi="Verdana"/>
          <w:sz w:val="20"/>
          <w:lang w:val="es-CR"/>
        </w:rPr>
      </w:pPr>
    </w:p>
    <w:p w14:paraId="6BA81997" w14:textId="13540040" w:rsidR="00BB5FEF" w:rsidRDefault="00BB5FEF">
      <w:pPr>
        <w:rPr>
          <w:rFonts w:ascii="Verdana" w:hAnsi="Verdana"/>
          <w:sz w:val="20"/>
          <w:lang w:val="es-CR"/>
        </w:rPr>
      </w:pPr>
      <w:r>
        <w:rPr>
          <w:rFonts w:ascii="Verdana" w:hAnsi="Verdana"/>
          <w:sz w:val="20"/>
          <w:lang w:val="es-CR"/>
        </w:rPr>
        <w:br w:type="page"/>
      </w:r>
    </w:p>
    <w:p w14:paraId="03294D11" w14:textId="77777777" w:rsidR="000C0808" w:rsidRPr="00A53850" w:rsidRDefault="001B7BC4" w:rsidP="00FF3984">
      <w:pPr>
        <w:pStyle w:val="Ttulo1"/>
        <w:keepNext w:val="0"/>
        <w:widowControl w:val="0"/>
        <w:numPr>
          <w:ilvl w:val="0"/>
          <w:numId w:val="25"/>
        </w:numPr>
        <w:spacing w:before="0" w:after="0"/>
        <w:jc w:val="both"/>
        <w:rPr>
          <w:rFonts w:ascii="Verdana" w:hAnsi="Verdana"/>
          <w:i/>
          <w:sz w:val="20"/>
          <w:szCs w:val="20"/>
        </w:rPr>
      </w:pPr>
      <w:bookmarkStart w:id="0" w:name="_Toc12359832"/>
      <w:r w:rsidRPr="00A53850">
        <w:rPr>
          <w:rFonts w:ascii="Verdana" w:hAnsi="Verdana"/>
          <w:i/>
          <w:sz w:val="20"/>
          <w:szCs w:val="20"/>
        </w:rPr>
        <w:lastRenderedPageBreak/>
        <w:t>Publicación y difusión de la Sentencia</w:t>
      </w:r>
      <w:bookmarkEnd w:id="0"/>
    </w:p>
    <w:p w14:paraId="1F22E886" w14:textId="77777777" w:rsidR="00FE4018" w:rsidRPr="00A53850" w:rsidRDefault="00FE4018" w:rsidP="00FF3984">
      <w:pPr>
        <w:widowControl w:val="0"/>
        <w:rPr>
          <w:rFonts w:ascii="Verdana" w:hAnsi="Verdana"/>
          <w:sz w:val="20"/>
        </w:rPr>
      </w:pPr>
    </w:p>
    <w:p w14:paraId="091CA067" w14:textId="59BC2902" w:rsidR="009607F0" w:rsidRDefault="009607F0" w:rsidP="00FF3984">
      <w:pPr>
        <w:widowControl w:val="0"/>
        <w:jc w:val="both"/>
        <w:rPr>
          <w:rFonts w:ascii="Verdana" w:hAnsi="Verdana"/>
          <w:i/>
          <w:sz w:val="20"/>
        </w:rPr>
      </w:pPr>
      <w:r>
        <w:rPr>
          <w:rFonts w:ascii="Verdana" w:hAnsi="Verdana"/>
          <w:i/>
          <w:sz w:val="20"/>
        </w:rPr>
        <w:tab/>
      </w:r>
      <w:r w:rsidR="00FD33E5" w:rsidRPr="00A53850">
        <w:rPr>
          <w:rFonts w:ascii="Verdana" w:hAnsi="Verdana"/>
          <w:i/>
          <w:sz w:val="20"/>
        </w:rPr>
        <w:t>A.1 Medida</w:t>
      </w:r>
      <w:r w:rsidR="00195FE1" w:rsidRPr="00A53850">
        <w:rPr>
          <w:rFonts w:ascii="Verdana" w:hAnsi="Verdana"/>
          <w:i/>
          <w:sz w:val="20"/>
        </w:rPr>
        <w:t>s</w:t>
      </w:r>
      <w:r w:rsidR="00FD33E5" w:rsidRPr="00A53850">
        <w:rPr>
          <w:rFonts w:ascii="Verdana" w:hAnsi="Verdana"/>
          <w:i/>
          <w:sz w:val="20"/>
        </w:rPr>
        <w:t xml:space="preserve"> ordenada</w:t>
      </w:r>
      <w:r w:rsidR="00195FE1" w:rsidRPr="00A53850">
        <w:rPr>
          <w:rFonts w:ascii="Verdana" w:hAnsi="Verdana"/>
          <w:i/>
          <w:sz w:val="20"/>
        </w:rPr>
        <w:t>s</w:t>
      </w:r>
      <w:r w:rsidR="00FD33E5" w:rsidRPr="00A53850">
        <w:rPr>
          <w:rFonts w:ascii="Verdana" w:hAnsi="Verdana"/>
          <w:i/>
          <w:sz w:val="20"/>
        </w:rPr>
        <w:t xml:space="preserve"> por la Corte </w:t>
      </w:r>
    </w:p>
    <w:p w14:paraId="4C23F051" w14:textId="77777777" w:rsidR="009607F0" w:rsidRPr="00A53850" w:rsidRDefault="009607F0" w:rsidP="009607F0">
      <w:pPr>
        <w:jc w:val="both"/>
        <w:rPr>
          <w:rFonts w:ascii="Verdana" w:hAnsi="Verdana"/>
          <w:i/>
          <w:sz w:val="20"/>
        </w:rPr>
      </w:pPr>
    </w:p>
    <w:p w14:paraId="1FF6E8D8" w14:textId="1C90D89A" w:rsidR="00453AFC" w:rsidRPr="00A53850" w:rsidRDefault="00CD6A77" w:rsidP="009607F0">
      <w:pPr>
        <w:numPr>
          <w:ilvl w:val="0"/>
          <w:numId w:val="5"/>
        </w:numPr>
        <w:ind w:left="0" w:firstLine="0"/>
        <w:jc w:val="both"/>
        <w:rPr>
          <w:rFonts w:ascii="Verdana" w:hAnsi="Verdana"/>
          <w:sz w:val="20"/>
        </w:rPr>
      </w:pPr>
      <w:r w:rsidRPr="00A53850">
        <w:rPr>
          <w:rFonts w:ascii="Verdana" w:hAnsi="Verdana"/>
          <w:sz w:val="20"/>
        </w:rPr>
        <w:t xml:space="preserve">En el punto </w:t>
      </w:r>
      <w:r w:rsidR="001B7BC4" w:rsidRPr="00A53850">
        <w:rPr>
          <w:rFonts w:ascii="Verdana" w:hAnsi="Verdana"/>
          <w:sz w:val="20"/>
        </w:rPr>
        <w:t>dispositivo quinto y</w:t>
      </w:r>
      <w:r w:rsidR="00072D6B" w:rsidRPr="00A53850">
        <w:rPr>
          <w:rFonts w:ascii="Verdana" w:hAnsi="Verdana"/>
          <w:sz w:val="20"/>
        </w:rPr>
        <w:t xml:space="preserve"> en</w:t>
      </w:r>
      <w:r w:rsidR="001B7BC4" w:rsidRPr="00A53850">
        <w:rPr>
          <w:rFonts w:ascii="Verdana" w:hAnsi="Verdana"/>
          <w:sz w:val="20"/>
        </w:rPr>
        <w:t xml:space="preserve"> el párrafo 342</w:t>
      </w:r>
      <w:r w:rsidR="009A51A5" w:rsidRPr="00A53850">
        <w:rPr>
          <w:rFonts w:ascii="Verdana" w:hAnsi="Verdana"/>
          <w:sz w:val="20"/>
        </w:rPr>
        <w:t xml:space="preserve"> </w:t>
      </w:r>
      <w:r w:rsidR="00383E0D" w:rsidRPr="00A53850">
        <w:rPr>
          <w:rFonts w:ascii="Verdana" w:hAnsi="Verdana"/>
          <w:sz w:val="20"/>
        </w:rPr>
        <w:t>de la Sentencia,</w:t>
      </w:r>
      <w:r w:rsidR="00780CC9" w:rsidRPr="00A53850">
        <w:rPr>
          <w:rFonts w:ascii="Verdana" w:hAnsi="Verdana"/>
          <w:sz w:val="20"/>
        </w:rPr>
        <w:t xml:space="preserve"> la Corte dispuso que el Estado deb</w:t>
      </w:r>
      <w:r w:rsidR="001B7BC4" w:rsidRPr="00A53850">
        <w:rPr>
          <w:rFonts w:ascii="Verdana" w:hAnsi="Verdana"/>
          <w:sz w:val="20"/>
        </w:rPr>
        <w:t>ía publicar, “en un plazo de seis meses, contado a partir de la notificación de la […] Sentencia: a) el resumen oficial […] elaborado por la Corte, por una sola vez en el diario oficial; b) el resumen oficial […], por una sola vez, en un diario de amplia circulación nacional, y c) la […] Sentencia en su integridad, disponible por un período de un año, en un sitio web oficial</w:t>
      </w:r>
      <w:r w:rsidR="009A51A5" w:rsidRPr="00A53850">
        <w:rPr>
          <w:rFonts w:ascii="Verdana" w:hAnsi="Verdana"/>
          <w:sz w:val="20"/>
        </w:rPr>
        <w:t>”.</w:t>
      </w:r>
      <w:r w:rsidR="00453AFC" w:rsidRPr="00A53850">
        <w:rPr>
          <w:rFonts w:ascii="Verdana" w:hAnsi="Verdana"/>
          <w:sz w:val="20"/>
        </w:rPr>
        <w:t xml:space="preserve"> </w:t>
      </w:r>
    </w:p>
    <w:p w14:paraId="193F2570" w14:textId="77777777" w:rsidR="00FE4018" w:rsidRPr="00A53850" w:rsidRDefault="00FE4018" w:rsidP="009607F0">
      <w:pPr>
        <w:jc w:val="both"/>
        <w:rPr>
          <w:rFonts w:ascii="Verdana" w:hAnsi="Verdana"/>
          <w:sz w:val="20"/>
        </w:rPr>
      </w:pPr>
    </w:p>
    <w:p w14:paraId="5E4F67A8" w14:textId="227E2438" w:rsidR="008F3B82" w:rsidRPr="00A53850" w:rsidRDefault="009607F0" w:rsidP="00FF3984">
      <w:pPr>
        <w:tabs>
          <w:tab w:val="left" w:pos="567"/>
        </w:tabs>
        <w:jc w:val="both"/>
        <w:rPr>
          <w:rFonts w:ascii="Verdana" w:hAnsi="Verdana"/>
          <w:i/>
          <w:sz w:val="20"/>
        </w:rPr>
      </w:pPr>
      <w:r>
        <w:rPr>
          <w:rFonts w:ascii="Verdana" w:hAnsi="Verdana"/>
          <w:i/>
          <w:sz w:val="20"/>
        </w:rPr>
        <w:tab/>
      </w:r>
      <w:r w:rsidR="008F3B82" w:rsidRPr="00A53850">
        <w:rPr>
          <w:rFonts w:ascii="Verdana" w:hAnsi="Verdana"/>
          <w:i/>
          <w:sz w:val="20"/>
        </w:rPr>
        <w:t>A.2 Consideraciones de la Corte</w:t>
      </w:r>
    </w:p>
    <w:p w14:paraId="268BFB7A" w14:textId="77777777" w:rsidR="00FE4018" w:rsidRPr="00A53850" w:rsidRDefault="00FE4018" w:rsidP="009607F0">
      <w:pPr>
        <w:tabs>
          <w:tab w:val="left" w:pos="567"/>
        </w:tabs>
        <w:ind w:firstLine="709"/>
        <w:jc w:val="both"/>
        <w:rPr>
          <w:rFonts w:ascii="Verdana" w:hAnsi="Verdana"/>
          <w:i/>
          <w:sz w:val="20"/>
        </w:rPr>
      </w:pPr>
    </w:p>
    <w:p w14:paraId="216D87E0" w14:textId="315C3326" w:rsidR="00C25996" w:rsidRDefault="001B7BC4" w:rsidP="009607F0">
      <w:pPr>
        <w:numPr>
          <w:ilvl w:val="0"/>
          <w:numId w:val="5"/>
        </w:numPr>
        <w:ind w:left="0" w:firstLine="0"/>
        <w:jc w:val="both"/>
        <w:rPr>
          <w:rFonts w:ascii="Verdana" w:hAnsi="Verdana"/>
          <w:sz w:val="20"/>
        </w:rPr>
      </w:pPr>
      <w:r w:rsidRPr="00A53850">
        <w:rPr>
          <w:rFonts w:ascii="Verdana" w:hAnsi="Verdana"/>
          <w:sz w:val="20"/>
        </w:rPr>
        <w:t xml:space="preserve">Con base en los comprobantes aportados por el Estado y lo observado por </w:t>
      </w:r>
      <w:r w:rsidR="0025489F" w:rsidRPr="00A53850">
        <w:rPr>
          <w:rFonts w:ascii="Verdana" w:hAnsi="Verdana"/>
          <w:sz w:val="20"/>
        </w:rPr>
        <w:t>l</w:t>
      </w:r>
      <w:r w:rsidR="004A34F3" w:rsidRPr="00A53850">
        <w:rPr>
          <w:rFonts w:ascii="Verdana" w:hAnsi="Verdana"/>
          <w:sz w:val="20"/>
        </w:rPr>
        <w:t>os</w:t>
      </w:r>
      <w:r w:rsidRPr="00A53850">
        <w:rPr>
          <w:rFonts w:ascii="Verdana" w:hAnsi="Verdana"/>
          <w:sz w:val="20"/>
        </w:rPr>
        <w:t xml:space="preserve"> representante</w:t>
      </w:r>
      <w:r w:rsidR="004A34F3" w:rsidRPr="00A53850">
        <w:rPr>
          <w:rFonts w:ascii="Verdana" w:hAnsi="Verdana"/>
          <w:sz w:val="20"/>
        </w:rPr>
        <w:t>s</w:t>
      </w:r>
      <w:r w:rsidRPr="00A53850">
        <w:rPr>
          <w:rFonts w:ascii="Verdana" w:hAnsi="Verdana"/>
          <w:sz w:val="20"/>
        </w:rPr>
        <w:t xml:space="preserve"> de las víctimas</w:t>
      </w:r>
      <w:r w:rsidRPr="00A53850">
        <w:rPr>
          <w:rStyle w:val="Refdenotaalpie"/>
          <w:rFonts w:ascii="Verdana" w:hAnsi="Verdana"/>
          <w:sz w:val="20"/>
        </w:rPr>
        <w:footnoteReference w:id="10"/>
      </w:r>
      <w:r w:rsidR="00E4050E" w:rsidRPr="00A53850">
        <w:rPr>
          <w:rFonts w:ascii="Verdana" w:hAnsi="Verdana"/>
          <w:sz w:val="20"/>
        </w:rPr>
        <w:t xml:space="preserve"> y la Comisión Interamericana</w:t>
      </w:r>
      <w:r w:rsidR="00E4050E" w:rsidRPr="00A53850">
        <w:rPr>
          <w:rStyle w:val="Refdenotaalpie"/>
          <w:rFonts w:ascii="Verdana" w:hAnsi="Verdana"/>
          <w:sz w:val="20"/>
        </w:rPr>
        <w:footnoteReference w:id="11"/>
      </w:r>
      <w:r w:rsidRPr="00A53850">
        <w:rPr>
          <w:rFonts w:ascii="Verdana" w:hAnsi="Verdana"/>
          <w:sz w:val="20"/>
        </w:rPr>
        <w:t>, la Corte</w:t>
      </w:r>
      <w:r w:rsidR="00FE4018" w:rsidRPr="00A53850">
        <w:rPr>
          <w:rFonts w:ascii="Verdana" w:hAnsi="Verdana"/>
          <w:sz w:val="20"/>
        </w:rPr>
        <w:t xml:space="preserve"> constata</w:t>
      </w:r>
      <w:r w:rsidRPr="00A53850">
        <w:rPr>
          <w:rFonts w:ascii="Verdana" w:hAnsi="Verdana"/>
          <w:sz w:val="20"/>
        </w:rPr>
        <w:t xml:space="preserve"> que, </w:t>
      </w:r>
      <w:r w:rsidR="0025489F" w:rsidRPr="00A53850">
        <w:rPr>
          <w:rFonts w:ascii="Verdana" w:hAnsi="Verdana"/>
          <w:sz w:val="20"/>
        </w:rPr>
        <w:t xml:space="preserve">con posterioridad al vencimiento </w:t>
      </w:r>
      <w:r w:rsidR="0056408F" w:rsidRPr="00A53850">
        <w:rPr>
          <w:rFonts w:ascii="Verdana" w:hAnsi="Verdana"/>
          <w:sz w:val="20"/>
        </w:rPr>
        <w:t>d</w:t>
      </w:r>
      <w:r w:rsidR="0025489F" w:rsidRPr="00A53850">
        <w:rPr>
          <w:rFonts w:ascii="Verdana" w:hAnsi="Verdana"/>
          <w:sz w:val="20"/>
        </w:rPr>
        <w:t>el plazo otorgado en la Sentencia</w:t>
      </w:r>
      <w:r w:rsidR="00EE721B" w:rsidRPr="00A53850">
        <w:rPr>
          <w:rFonts w:ascii="Verdana" w:hAnsi="Verdana"/>
          <w:sz w:val="20"/>
        </w:rPr>
        <w:t xml:space="preserve">, </w:t>
      </w:r>
      <w:r w:rsidRPr="00A53850">
        <w:rPr>
          <w:rFonts w:ascii="Verdana" w:hAnsi="Verdana"/>
          <w:sz w:val="20"/>
        </w:rPr>
        <w:t>el Estado cumplió con</w:t>
      </w:r>
      <w:r w:rsidR="009C4404" w:rsidRPr="00A53850">
        <w:rPr>
          <w:rFonts w:ascii="Verdana" w:hAnsi="Verdana"/>
          <w:sz w:val="20"/>
        </w:rPr>
        <w:t xml:space="preserve"> publicar</w:t>
      </w:r>
      <w:r w:rsidR="00460F2A" w:rsidRPr="00A53850">
        <w:rPr>
          <w:rFonts w:ascii="Verdana" w:hAnsi="Verdana"/>
          <w:sz w:val="20"/>
        </w:rPr>
        <w:t>:</w:t>
      </w:r>
      <w:r w:rsidR="009C4404" w:rsidRPr="00A53850">
        <w:rPr>
          <w:rFonts w:ascii="Verdana" w:hAnsi="Verdana"/>
          <w:sz w:val="20"/>
        </w:rPr>
        <w:t xml:space="preserve"> i)</w:t>
      </w:r>
      <w:r w:rsidRPr="00A53850">
        <w:rPr>
          <w:rFonts w:ascii="Verdana" w:hAnsi="Verdana"/>
          <w:sz w:val="20"/>
        </w:rPr>
        <w:t xml:space="preserve"> e</w:t>
      </w:r>
      <w:r w:rsidR="00EE721B" w:rsidRPr="00A53850">
        <w:rPr>
          <w:rFonts w:ascii="Verdana" w:hAnsi="Verdana"/>
          <w:sz w:val="20"/>
        </w:rPr>
        <w:t xml:space="preserve">l resumen oficial de </w:t>
      </w:r>
      <w:r w:rsidR="0025489F" w:rsidRPr="00A53850">
        <w:rPr>
          <w:rFonts w:ascii="Verdana" w:hAnsi="Verdana"/>
          <w:sz w:val="20"/>
        </w:rPr>
        <w:t>la Sentencia</w:t>
      </w:r>
      <w:r w:rsidR="00EE721B" w:rsidRPr="00A53850">
        <w:rPr>
          <w:rFonts w:ascii="Verdana" w:hAnsi="Verdana"/>
          <w:sz w:val="20"/>
        </w:rPr>
        <w:t xml:space="preserve"> en el </w:t>
      </w:r>
      <w:r w:rsidR="0025489F" w:rsidRPr="00A53850">
        <w:rPr>
          <w:rFonts w:ascii="Verdana" w:hAnsi="Verdana"/>
          <w:sz w:val="20"/>
        </w:rPr>
        <w:t xml:space="preserve">Diario Oficial </w:t>
      </w:r>
      <w:r w:rsidR="00EE721B" w:rsidRPr="00A53850">
        <w:rPr>
          <w:rFonts w:ascii="Verdana" w:hAnsi="Verdana"/>
          <w:sz w:val="20"/>
        </w:rPr>
        <w:t>“Centro</w:t>
      </w:r>
      <w:r w:rsidR="0025489F" w:rsidRPr="00A53850">
        <w:rPr>
          <w:rFonts w:ascii="Verdana" w:hAnsi="Verdana"/>
          <w:sz w:val="20"/>
        </w:rPr>
        <w:t xml:space="preserve"> A</w:t>
      </w:r>
      <w:r w:rsidR="00EE721B" w:rsidRPr="00A53850">
        <w:rPr>
          <w:rFonts w:ascii="Verdana" w:hAnsi="Verdana"/>
          <w:sz w:val="20"/>
        </w:rPr>
        <w:t>mérica”</w:t>
      </w:r>
      <w:r w:rsidR="00EE721B" w:rsidRPr="00A53850">
        <w:rPr>
          <w:rStyle w:val="Refdenotaalpie"/>
          <w:rFonts w:ascii="Verdana" w:hAnsi="Verdana"/>
          <w:sz w:val="20"/>
        </w:rPr>
        <w:footnoteReference w:id="12"/>
      </w:r>
      <w:r w:rsidR="009C4404" w:rsidRPr="00A53850">
        <w:rPr>
          <w:rFonts w:ascii="Verdana" w:hAnsi="Verdana"/>
          <w:sz w:val="20"/>
        </w:rPr>
        <w:t xml:space="preserve"> y </w:t>
      </w:r>
      <w:r w:rsidR="00460F2A" w:rsidRPr="00A53850">
        <w:rPr>
          <w:rFonts w:ascii="Verdana" w:hAnsi="Verdana"/>
          <w:sz w:val="20"/>
        </w:rPr>
        <w:t xml:space="preserve">ii) el resumen oficial </w:t>
      </w:r>
      <w:r w:rsidR="00EE721B" w:rsidRPr="00A53850">
        <w:rPr>
          <w:rFonts w:ascii="Verdana" w:hAnsi="Verdana"/>
          <w:sz w:val="20"/>
        </w:rPr>
        <w:t xml:space="preserve">en </w:t>
      </w:r>
      <w:r w:rsidR="002346F6" w:rsidRPr="00A53850">
        <w:rPr>
          <w:rFonts w:ascii="Verdana" w:hAnsi="Verdana"/>
          <w:sz w:val="20"/>
        </w:rPr>
        <w:t>el d</w:t>
      </w:r>
      <w:r w:rsidR="00E106DA" w:rsidRPr="00A53850">
        <w:rPr>
          <w:rFonts w:ascii="Verdana" w:hAnsi="Verdana"/>
          <w:sz w:val="20"/>
        </w:rPr>
        <w:t xml:space="preserve">iario </w:t>
      </w:r>
      <w:r w:rsidR="00EE721B" w:rsidRPr="00A53850">
        <w:rPr>
          <w:rFonts w:ascii="Verdana" w:hAnsi="Verdana"/>
          <w:sz w:val="20"/>
        </w:rPr>
        <w:t>Prensa Libre</w:t>
      </w:r>
      <w:r w:rsidR="0025489F" w:rsidRPr="00A53850">
        <w:rPr>
          <w:rFonts w:ascii="Verdana" w:hAnsi="Verdana"/>
          <w:sz w:val="20"/>
        </w:rPr>
        <w:t xml:space="preserve"> “diario de amplia circulación nacional”</w:t>
      </w:r>
      <w:r w:rsidR="00EE721B" w:rsidRPr="00A53850">
        <w:rPr>
          <w:rStyle w:val="Refdenotaalpie"/>
          <w:rFonts w:ascii="Verdana" w:hAnsi="Verdana"/>
          <w:sz w:val="20"/>
        </w:rPr>
        <w:footnoteReference w:id="13"/>
      </w:r>
      <w:r w:rsidR="00B86EA7" w:rsidRPr="00A53850">
        <w:rPr>
          <w:rFonts w:ascii="Verdana" w:hAnsi="Verdana"/>
          <w:sz w:val="20"/>
        </w:rPr>
        <w:t>.</w:t>
      </w:r>
      <w:r w:rsidR="00FE4018" w:rsidRPr="00A53850">
        <w:rPr>
          <w:rFonts w:ascii="Verdana" w:hAnsi="Verdana"/>
          <w:sz w:val="20"/>
        </w:rPr>
        <w:t xml:space="preserve"> </w:t>
      </w:r>
      <w:r w:rsidR="00B86EA7" w:rsidRPr="00A53850">
        <w:rPr>
          <w:rFonts w:ascii="Verdana" w:hAnsi="Verdana"/>
          <w:sz w:val="20"/>
        </w:rPr>
        <w:t xml:space="preserve">En lo que respecta a la publicación de la Sentencia en “un sitio web oficial durante el periodo de un año”, en su informe de 23 de febrero de 2017 </w:t>
      </w:r>
      <w:r w:rsidR="004E27F8" w:rsidRPr="00A53850">
        <w:rPr>
          <w:rFonts w:ascii="Verdana" w:hAnsi="Verdana"/>
          <w:sz w:val="20"/>
        </w:rPr>
        <w:t xml:space="preserve">Guatemala </w:t>
      </w:r>
      <w:r w:rsidR="00B86EA7" w:rsidRPr="00A53850">
        <w:rPr>
          <w:rFonts w:ascii="Verdana" w:hAnsi="Verdana"/>
          <w:sz w:val="20"/>
        </w:rPr>
        <w:t>remiti</w:t>
      </w:r>
      <w:r w:rsidR="002346F6" w:rsidRPr="00A53850">
        <w:rPr>
          <w:rFonts w:ascii="Verdana" w:hAnsi="Verdana"/>
          <w:sz w:val="20"/>
        </w:rPr>
        <w:t xml:space="preserve">ó </w:t>
      </w:r>
      <w:r w:rsidR="00CB01A3">
        <w:rPr>
          <w:rFonts w:ascii="Verdana" w:hAnsi="Verdana"/>
          <w:sz w:val="20"/>
        </w:rPr>
        <w:t>un</w:t>
      </w:r>
      <w:r w:rsidR="00CB01A3" w:rsidRPr="00A53850">
        <w:rPr>
          <w:rFonts w:ascii="Verdana" w:hAnsi="Verdana"/>
          <w:sz w:val="20"/>
        </w:rPr>
        <w:t xml:space="preserve"> </w:t>
      </w:r>
      <w:r w:rsidR="00B86EA7" w:rsidRPr="00A53850">
        <w:rPr>
          <w:rFonts w:ascii="Verdana" w:hAnsi="Verdana"/>
          <w:sz w:val="20"/>
        </w:rPr>
        <w:t>enlace electrónico</w:t>
      </w:r>
      <w:r w:rsidR="00460F2A" w:rsidRPr="00A53850">
        <w:rPr>
          <w:rStyle w:val="Refdenotaalpie"/>
          <w:rFonts w:ascii="Verdana" w:hAnsi="Verdana"/>
          <w:sz w:val="20"/>
        </w:rPr>
        <w:footnoteReference w:id="14"/>
      </w:r>
      <w:r w:rsidR="0057554A">
        <w:rPr>
          <w:rFonts w:ascii="Verdana" w:hAnsi="Verdana"/>
          <w:sz w:val="20"/>
        </w:rPr>
        <w:t xml:space="preserve"> </w:t>
      </w:r>
      <w:r w:rsidR="00460F2A" w:rsidRPr="00A53850">
        <w:rPr>
          <w:rFonts w:ascii="Verdana" w:hAnsi="Verdana"/>
          <w:sz w:val="20"/>
        </w:rPr>
        <w:t xml:space="preserve"> </w:t>
      </w:r>
      <w:r w:rsidR="00CB01A3">
        <w:rPr>
          <w:rFonts w:ascii="Verdana" w:hAnsi="Verdana"/>
          <w:sz w:val="20"/>
        </w:rPr>
        <w:t>d</w:t>
      </w:r>
      <w:r w:rsidR="00460F2A" w:rsidRPr="00A53850">
        <w:rPr>
          <w:rFonts w:ascii="Verdana" w:hAnsi="Verdana"/>
          <w:sz w:val="20"/>
        </w:rPr>
        <w:t xml:space="preserve">el sitio web oficial de la Comisión Presidencial Coordinadora de la Política del Ejecutivo en materia de Derechos Humanos (COPREDEH), </w:t>
      </w:r>
      <w:r w:rsidR="000436E6" w:rsidRPr="00A53850">
        <w:rPr>
          <w:rFonts w:ascii="Verdana" w:hAnsi="Verdana"/>
          <w:sz w:val="20"/>
        </w:rPr>
        <w:t xml:space="preserve">por lo cual se toma esa fecha como el inicio de la publicación, la cual </w:t>
      </w:r>
      <w:r w:rsidR="0085241F">
        <w:rPr>
          <w:rFonts w:ascii="Verdana" w:hAnsi="Verdana"/>
          <w:sz w:val="20"/>
        </w:rPr>
        <w:t xml:space="preserve">desde entonces </w:t>
      </w:r>
      <w:r w:rsidR="00F51E81" w:rsidRPr="00A53850">
        <w:rPr>
          <w:rFonts w:ascii="Verdana" w:hAnsi="Verdana"/>
          <w:sz w:val="20"/>
        </w:rPr>
        <w:t>ha mantenido vigente</w:t>
      </w:r>
      <w:r w:rsidR="000436E6" w:rsidRPr="00A53850">
        <w:rPr>
          <w:rFonts w:ascii="Verdana" w:hAnsi="Verdana"/>
          <w:sz w:val="20"/>
        </w:rPr>
        <w:t>, superando el periodo de un año.</w:t>
      </w:r>
      <w:r w:rsidR="00460F2A" w:rsidRPr="00A53850">
        <w:rPr>
          <w:rFonts w:ascii="Verdana" w:hAnsi="Verdana"/>
          <w:sz w:val="20"/>
        </w:rPr>
        <w:t xml:space="preserve"> </w:t>
      </w:r>
    </w:p>
    <w:p w14:paraId="19C74312" w14:textId="77777777" w:rsidR="009607F0" w:rsidRPr="00A53850" w:rsidRDefault="009607F0" w:rsidP="009607F0">
      <w:pPr>
        <w:jc w:val="both"/>
        <w:rPr>
          <w:rFonts w:ascii="Verdana" w:hAnsi="Verdana"/>
          <w:sz w:val="20"/>
        </w:rPr>
      </w:pPr>
    </w:p>
    <w:p w14:paraId="6DD1C70E" w14:textId="606DC046" w:rsidR="00B74171" w:rsidRPr="00A53850" w:rsidRDefault="00D91C92" w:rsidP="009607F0">
      <w:pPr>
        <w:numPr>
          <w:ilvl w:val="0"/>
          <w:numId w:val="5"/>
        </w:numPr>
        <w:ind w:left="0" w:firstLine="0"/>
        <w:jc w:val="both"/>
        <w:rPr>
          <w:rFonts w:ascii="Verdana" w:hAnsi="Verdana"/>
          <w:sz w:val="20"/>
        </w:rPr>
      </w:pPr>
      <w:r w:rsidRPr="00A53850">
        <w:rPr>
          <w:rFonts w:ascii="Verdana" w:hAnsi="Verdana"/>
          <w:sz w:val="20"/>
        </w:rPr>
        <w:t xml:space="preserve">En virtud de lo anterior, la Corte </w:t>
      </w:r>
      <w:r w:rsidR="002D4822" w:rsidRPr="00A53850">
        <w:rPr>
          <w:rFonts w:ascii="Verdana" w:hAnsi="Verdana"/>
          <w:sz w:val="20"/>
        </w:rPr>
        <w:t xml:space="preserve">considera </w:t>
      </w:r>
      <w:r w:rsidRPr="00A53850">
        <w:rPr>
          <w:rFonts w:ascii="Verdana" w:hAnsi="Verdana"/>
          <w:sz w:val="20"/>
        </w:rPr>
        <w:t>que el Estado ha dado cumplimiento total a las medidas de publicación y difusión de la Sentencia y de su resumen oficial, ordenadas en el punto dispositivo quinto de la misma.</w:t>
      </w:r>
    </w:p>
    <w:p w14:paraId="083524A6" w14:textId="77777777" w:rsidR="00AF10F7" w:rsidRPr="00A53850" w:rsidRDefault="00AF10F7" w:rsidP="00FF3984">
      <w:pPr>
        <w:widowControl w:val="0"/>
        <w:jc w:val="both"/>
        <w:rPr>
          <w:rFonts w:ascii="Verdana" w:hAnsi="Verdana"/>
          <w:sz w:val="20"/>
        </w:rPr>
      </w:pPr>
    </w:p>
    <w:p w14:paraId="23CE492B" w14:textId="19710DEC" w:rsidR="003E7667" w:rsidRDefault="00FE4018" w:rsidP="00FF3984">
      <w:pPr>
        <w:pStyle w:val="Ttulo1"/>
        <w:keepNext w:val="0"/>
        <w:widowControl w:val="0"/>
        <w:numPr>
          <w:ilvl w:val="0"/>
          <w:numId w:val="25"/>
        </w:numPr>
        <w:spacing w:before="0" w:after="0"/>
        <w:jc w:val="both"/>
        <w:rPr>
          <w:rFonts w:ascii="Verdana" w:hAnsi="Verdana"/>
          <w:i/>
          <w:sz w:val="20"/>
          <w:szCs w:val="20"/>
        </w:rPr>
      </w:pPr>
      <w:bookmarkStart w:id="1" w:name="_Toc12359833"/>
      <w:r w:rsidRPr="00A53850">
        <w:rPr>
          <w:rFonts w:ascii="Verdana" w:hAnsi="Verdana"/>
          <w:i/>
          <w:sz w:val="20"/>
          <w:szCs w:val="20"/>
        </w:rPr>
        <w:t>Pago de i</w:t>
      </w:r>
      <w:r w:rsidR="00D91C92" w:rsidRPr="00A53850">
        <w:rPr>
          <w:rFonts w:ascii="Verdana" w:hAnsi="Verdana"/>
          <w:i/>
          <w:sz w:val="20"/>
          <w:szCs w:val="20"/>
        </w:rPr>
        <w:t xml:space="preserve">ndemnizaciones por </w:t>
      </w:r>
      <w:r w:rsidRPr="00A53850">
        <w:rPr>
          <w:rFonts w:ascii="Verdana" w:hAnsi="Verdana"/>
          <w:i/>
          <w:sz w:val="20"/>
          <w:szCs w:val="20"/>
        </w:rPr>
        <w:t xml:space="preserve">concepto de </w:t>
      </w:r>
      <w:r w:rsidR="00D91C92" w:rsidRPr="00A53850">
        <w:rPr>
          <w:rFonts w:ascii="Verdana" w:hAnsi="Verdana"/>
          <w:i/>
          <w:sz w:val="20"/>
          <w:szCs w:val="20"/>
        </w:rPr>
        <w:t>daño</w:t>
      </w:r>
      <w:r w:rsidRPr="00A53850">
        <w:rPr>
          <w:rFonts w:ascii="Verdana" w:hAnsi="Verdana"/>
          <w:i/>
          <w:sz w:val="20"/>
          <w:szCs w:val="20"/>
        </w:rPr>
        <w:t>s</w:t>
      </w:r>
      <w:r w:rsidR="00D91C92" w:rsidRPr="00A53850">
        <w:rPr>
          <w:rFonts w:ascii="Verdana" w:hAnsi="Verdana"/>
          <w:i/>
          <w:sz w:val="20"/>
          <w:szCs w:val="20"/>
        </w:rPr>
        <w:t xml:space="preserve"> </w:t>
      </w:r>
      <w:bookmarkEnd w:id="1"/>
      <w:r w:rsidRPr="00A53850">
        <w:rPr>
          <w:rFonts w:ascii="Verdana" w:hAnsi="Verdana"/>
          <w:i/>
          <w:sz w:val="20"/>
          <w:szCs w:val="20"/>
        </w:rPr>
        <w:t xml:space="preserve">materiales </w:t>
      </w:r>
      <w:r w:rsidR="00DF2756" w:rsidRPr="00A53850">
        <w:rPr>
          <w:rFonts w:ascii="Verdana" w:hAnsi="Verdana"/>
          <w:i/>
          <w:sz w:val="20"/>
          <w:szCs w:val="20"/>
        </w:rPr>
        <w:t>y daño</w:t>
      </w:r>
      <w:r w:rsidRPr="00A53850">
        <w:rPr>
          <w:rFonts w:ascii="Verdana" w:hAnsi="Verdana"/>
          <w:i/>
          <w:sz w:val="20"/>
          <w:szCs w:val="20"/>
        </w:rPr>
        <w:t>s</w:t>
      </w:r>
      <w:r w:rsidR="00DF2756" w:rsidRPr="00A53850">
        <w:rPr>
          <w:rFonts w:ascii="Verdana" w:hAnsi="Verdana"/>
          <w:i/>
          <w:sz w:val="20"/>
          <w:szCs w:val="20"/>
        </w:rPr>
        <w:t xml:space="preserve"> inmaterial</w:t>
      </w:r>
      <w:r w:rsidRPr="00A53850">
        <w:rPr>
          <w:rFonts w:ascii="Verdana" w:hAnsi="Verdana"/>
          <w:i/>
          <w:sz w:val="20"/>
          <w:szCs w:val="20"/>
        </w:rPr>
        <w:t>es</w:t>
      </w:r>
      <w:r w:rsidR="00C95711" w:rsidRPr="00A53850">
        <w:rPr>
          <w:rFonts w:ascii="Verdana" w:hAnsi="Verdana"/>
          <w:i/>
          <w:sz w:val="20"/>
          <w:szCs w:val="20"/>
        </w:rPr>
        <w:t xml:space="preserve"> y reintegro de costas y gastos</w:t>
      </w:r>
    </w:p>
    <w:p w14:paraId="3BD9AB72" w14:textId="77777777" w:rsidR="008A73FA" w:rsidRPr="00A53850" w:rsidRDefault="008A73FA" w:rsidP="00FF3984">
      <w:pPr>
        <w:widowControl w:val="0"/>
        <w:rPr>
          <w:rFonts w:ascii="Verdana" w:hAnsi="Verdana"/>
          <w:sz w:val="20"/>
        </w:rPr>
      </w:pPr>
    </w:p>
    <w:p w14:paraId="0211311B" w14:textId="29F77FAB" w:rsidR="000E5FA3" w:rsidRDefault="003E7667" w:rsidP="00FF3984">
      <w:pPr>
        <w:ind w:firstLine="360"/>
        <w:jc w:val="both"/>
        <w:rPr>
          <w:rFonts w:ascii="Verdana" w:hAnsi="Verdana"/>
          <w:i/>
          <w:sz w:val="20"/>
        </w:rPr>
      </w:pPr>
      <w:r w:rsidRPr="00A53850">
        <w:rPr>
          <w:rFonts w:ascii="Verdana" w:hAnsi="Verdana"/>
          <w:i/>
          <w:sz w:val="20"/>
        </w:rPr>
        <w:t>B.1 Medida ordenada</w:t>
      </w:r>
      <w:r w:rsidR="00D91C92" w:rsidRPr="00A53850">
        <w:rPr>
          <w:rFonts w:ascii="Verdana" w:hAnsi="Verdana"/>
          <w:i/>
          <w:sz w:val="20"/>
        </w:rPr>
        <w:t xml:space="preserve"> por la Corte</w:t>
      </w:r>
    </w:p>
    <w:p w14:paraId="0C64D5BF" w14:textId="77777777" w:rsidR="009607F0" w:rsidRPr="00A53850" w:rsidRDefault="009607F0" w:rsidP="009607F0">
      <w:pPr>
        <w:jc w:val="both"/>
        <w:rPr>
          <w:rFonts w:ascii="Verdana" w:hAnsi="Verdana"/>
          <w:sz w:val="20"/>
          <w:lang w:val="es-CR"/>
        </w:rPr>
      </w:pPr>
    </w:p>
    <w:p w14:paraId="28B0B4F4" w14:textId="3E9D93F7" w:rsidR="00231F0A" w:rsidRDefault="00231F0A" w:rsidP="009607F0">
      <w:pPr>
        <w:numPr>
          <w:ilvl w:val="0"/>
          <w:numId w:val="5"/>
        </w:numPr>
        <w:ind w:left="0" w:firstLine="0"/>
        <w:jc w:val="both"/>
        <w:rPr>
          <w:rFonts w:ascii="Verdana" w:hAnsi="Verdana"/>
          <w:sz w:val="20"/>
        </w:rPr>
      </w:pPr>
      <w:r w:rsidRPr="00A53850">
        <w:rPr>
          <w:rFonts w:ascii="Verdana" w:hAnsi="Verdana"/>
          <w:sz w:val="20"/>
        </w:rPr>
        <w:t xml:space="preserve">En el punto dispositivo octavo </w:t>
      </w:r>
      <w:r w:rsidR="00BB4332" w:rsidRPr="00A53850">
        <w:rPr>
          <w:rFonts w:ascii="Verdana" w:hAnsi="Verdana"/>
          <w:sz w:val="20"/>
        </w:rPr>
        <w:t>y en los párrafos 363, 367, 371</w:t>
      </w:r>
      <w:r w:rsidR="00C03FCA">
        <w:rPr>
          <w:rFonts w:ascii="Verdana" w:hAnsi="Verdana"/>
          <w:sz w:val="20"/>
        </w:rPr>
        <w:t>,</w:t>
      </w:r>
      <w:r w:rsidR="000501CD">
        <w:rPr>
          <w:rFonts w:ascii="Verdana" w:hAnsi="Verdana"/>
          <w:sz w:val="20"/>
        </w:rPr>
        <w:t>373 y</w:t>
      </w:r>
      <w:r w:rsidR="00BB4332" w:rsidRPr="00A53850">
        <w:rPr>
          <w:rFonts w:ascii="Verdana" w:hAnsi="Verdana"/>
          <w:sz w:val="20"/>
        </w:rPr>
        <w:t xml:space="preserve"> 374 de la Sentencia, la Corte dispuso que el Estado debía pagar</w:t>
      </w:r>
      <w:r w:rsidR="00C03FCA">
        <w:rPr>
          <w:rFonts w:ascii="Verdana" w:hAnsi="Verdana"/>
          <w:sz w:val="20"/>
        </w:rPr>
        <w:t>,</w:t>
      </w:r>
      <w:r w:rsidR="00BB4332" w:rsidRPr="00A53850">
        <w:rPr>
          <w:rFonts w:ascii="Verdana" w:hAnsi="Verdana"/>
          <w:sz w:val="20"/>
        </w:rPr>
        <w:t xml:space="preserve"> en </w:t>
      </w:r>
      <w:r w:rsidR="00C03FCA">
        <w:rPr>
          <w:rFonts w:ascii="Verdana" w:hAnsi="Verdana"/>
          <w:sz w:val="20"/>
        </w:rPr>
        <w:t>el</w:t>
      </w:r>
      <w:r w:rsidR="00C03FCA" w:rsidRPr="00A53850">
        <w:rPr>
          <w:rFonts w:ascii="Verdana" w:hAnsi="Verdana"/>
          <w:sz w:val="20"/>
        </w:rPr>
        <w:t xml:space="preserve"> </w:t>
      </w:r>
      <w:r w:rsidR="00BB4332" w:rsidRPr="00A53850">
        <w:rPr>
          <w:rFonts w:ascii="Verdana" w:hAnsi="Verdana"/>
          <w:sz w:val="20"/>
        </w:rPr>
        <w:t>plazo de dos años contados a partir de la notificación de la Sentencia</w:t>
      </w:r>
      <w:r w:rsidR="00C03FCA">
        <w:rPr>
          <w:rFonts w:ascii="Verdana" w:hAnsi="Verdana"/>
          <w:sz w:val="20"/>
        </w:rPr>
        <w:t>,</w:t>
      </w:r>
      <w:r w:rsidR="00BB4332" w:rsidRPr="00A53850">
        <w:rPr>
          <w:rFonts w:ascii="Verdana" w:hAnsi="Verdana"/>
          <w:sz w:val="20"/>
        </w:rPr>
        <w:t xml:space="preserve"> las cantidades fijadas por concepto de indemnizaciones por daños materiales e inmateriales y reintegro de costas y gastos</w:t>
      </w:r>
      <w:r w:rsidR="0062177D">
        <w:rPr>
          <w:rFonts w:ascii="Verdana" w:hAnsi="Verdana"/>
          <w:sz w:val="20"/>
        </w:rPr>
        <w:t>:</w:t>
      </w:r>
      <w:r w:rsidR="00BB4332" w:rsidRPr="00A53850">
        <w:rPr>
          <w:rFonts w:ascii="Verdana" w:hAnsi="Verdana"/>
          <w:sz w:val="20"/>
        </w:rPr>
        <w:t xml:space="preserve"> </w:t>
      </w:r>
    </w:p>
    <w:p w14:paraId="1368A973" w14:textId="77777777" w:rsidR="009607F0" w:rsidRPr="00A53850" w:rsidRDefault="009607F0" w:rsidP="009607F0">
      <w:pPr>
        <w:jc w:val="both"/>
        <w:rPr>
          <w:rFonts w:ascii="Verdana" w:hAnsi="Verdana"/>
          <w:sz w:val="20"/>
        </w:rPr>
      </w:pPr>
    </w:p>
    <w:p w14:paraId="367F700A" w14:textId="4F46E680" w:rsidR="0062177D" w:rsidRDefault="00BB4332" w:rsidP="009607F0">
      <w:pPr>
        <w:pStyle w:val="Prrafodelista"/>
        <w:numPr>
          <w:ilvl w:val="0"/>
          <w:numId w:val="34"/>
        </w:numPr>
        <w:jc w:val="both"/>
        <w:rPr>
          <w:rFonts w:ascii="Verdana" w:hAnsi="Verdana"/>
          <w:sz w:val="20"/>
        </w:rPr>
      </w:pPr>
      <w:r w:rsidRPr="00A53850">
        <w:rPr>
          <w:rFonts w:ascii="Verdana" w:hAnsi="Verdana"/>
          <w:sz w:val="20"/>
        </w:rPr>
        <w:t>respecto</w:t>
      </w:r>
      <w:r w:rsidR="00864EB9" w:rsidRPr="00A53850">
        <w:rPr>
          <w:rFonts w:ascii="Verdana" w:hAnsi="Verdana"/>
          <w:sz w:val="20"/>
        </w:rPr>
        <w:t xml:space="preserve"> </w:t>
      </w:r>
      <w:r w:rsidR="0062177D">
        <w:rPr>
          <w:rFonts w:ascii="Verdana" w:hAnsi="Verdana"/>
          <w:sz w:val="20"/>
        </w:rPr>
        <w:t>de</w:t>
      </w:r>
      <w:r w:rsidR="00864EB9" w:rsidRPr="00A53850">
        <w:rPr>
          <w:rFonts w:ascii="Verdana" w:hAnsi="Verdana"/>
          <w:sz w:val="20"/>
        </w:rPr>
        <w:t xml:space="preserve"> las </w:t>
      </w:r>
      <w:r w:rsidR="00C33DCB" w:rsidRPr="00A53850">
        <w:rPr>
          <w:rFonts w:ascii="Verdana" w:hAnsi="Verdana"/>
          <w:sz w:val="20"/>
        </w:rPr>
        <w:t>indemnizaciones</w:t>
      </w:r>
      <w:r w:rsidR="00864EB9" w:rsidRPr="00A53850">
        <w:rPr>
          <w:rFonts w:ascii="Verdana" w:hAnsi="Verdana"/>
          <w:sz w:val="20"/>
        </w:rPr>
        <w:t xml:space="preserve"> por concepto de </w:t>
      </w:r>
      <w:r w:rsidR="0062177D">
        <w:rPr>
          <w:rFonts w:ascii="Verdana" w:hAnsi="Verdana"/>
          <w:sz w:val="20"/>
        </w:rPr>
        <w:t>ingresos dejados de percibir</w:t>
      </w:r>
      <w:r w:rsidR="00864EB9" w:rsidRPr="00A53850">
        <w:rPr>
          <w:rFonts w:ascii="Verdana" w:hAnsi="Verdana"/>
          <w:sz w:val="20"/>
        </w:rPr>
        <w:t xml:space="preserve">, </w:t>
      </w:r>
      <w:r w:rsidR="00A034C7" w:rsidRPr="00A53850">
        <w:rPr>
          <w:rFonts w:ascii="Verdana" w:hAnsi="Verdana"/>
          <w:sz w:val="20"/>
        </w:rPr>
        <w:t xml:space="preserve">la Sentencia </w:t>
      </w:r>
      <w:r w:rsidR="00737399" w:rsidRPr="00A53850">
        <w:rPr>
          <w:rFonts w:ascii="Verdana" w:hAnsi="Verdana"/>
          <w:sz w:val="20"/>
        </w:rPr>
        <w:t>dispuso que el Estado deb</w:t>
      </w:r>
      <w:r w:rsidR="00FB73DB">
        <w:rPr>
          <w:rFonts w:ascii="Verdana" w:hAnsi="Verdana"/>
          <w:sz w:val="20"/>
        </w:rPr>
        <w:t>ía</w:t>
      </w:r>
      <w:r w:rsidR="00737399" w:rsidRPr="00A53850">
        <w:rPr>
          <w:rFonts w:ascii="Verdana" w:hAnsi="Verdana"/>
          <w:sz w:val="20"/>
        </w:rPr>
        <w:t xml:space="preserve"> pagar las cantidades fijadas en </w:t>
      </w:r>
      <w:r w:rsidR="00864EB9" w:rsidRPr="00A53850">
        <w:rPr>
          <w:rFonts w:ascii="Verdana" w:hAnsi="Verdana"/>
          <w:sz w:val="20"/>
        </w:rPr>
        <w:t>el</w:t>
      </w:r>
      <w:r w:rsidR="00737399" w:rsidRPr="00A53850">
        <w:rPr>
          <w:rFonts w:ascii="Verdana" w:hAnsi="Verdana"/>
          <w:sz w:val="20"/>
        </w:rPr>
        <w:t xml:space="preserve"> párrafo 363</w:t>
      </w:r>
      <w:r w:rsidR="00737399" w:rsidRPr="00A53850">
        <w:rPr>
          <w:rStyle w:val="Refdenotaalpie"/>
          <w:rFonts w:ascii="Verdana" w:hAnsi="Verdana"/>
          <w:sz w:val="20"/>
        </w:rPr>
        <w:footnoteReference w:id="15"/>
      </w:r>
      <w:r w:rsidR="00737399" w:rsidRPr="00A53850">
        <w:rPr>
          <w:rFonts w:ascii="Verdana" w:hAnsi="Verdana"/>
          <w:sz w:val="20"/>
        </w:rPr>
        <w:t xml:space="preserve"> </w:t>
      </w:r>
      <w:r w:rsidR="0062177D">
        <w:rPr>
          <w:rFonts w:ascii="Verdana" w:hAnsi="Verdana"/>
          <w:sz w:val="20"/>
        </w:rPr>
        <w:t>a favor de</w:t>
      </w:r>
      <w:r w:rsidR="0062177D" w:rsidRPr="00A53850">
        <w:rPr>
          <w:rFonts w:ascii="Verdana" w:hAnsi="Verdana"/>
          <w:sz w:val="20"/>
        </w:rPr>
        <w:t xml:space="preserve"> </w:t>
      </w:r>
      <w:r w:rsidR="00864EB9" w:rsidRPr="00A53850">
        <w:rPr>
          <w:rFonts w:ascii="Verdana" w:hAnsi="Verdana"/>
          <w:sz w:val="20"/>
        </w:rPr>
        <w:t xml:space="preserve">las </w:t>
      </w:r>
      <w:r w:rsidR="0062177D">
        <w:rPr>
          <w:rFonts w:ascii="Verdana" w:hAnsi="Verdana"/>
          <w:sz w:val="20"/>
        </w:rPr>
        <w:t xml:space="preserve">26 </w:t>
      </w:r>
      <w:r w:rsidR="00864EB9" w:rsidRPr="00A53850">
        <w:rPr>
          <w:rFonts w:ascii="Verdana" w:hAnsi="Verdana"/>
          <w:sz w:val="20"/>
        </w:rPr>
        <w:t>víctimas de desaparición forzada</w:t>
      </w:r>
      <w:r w:rsidR="0062177D">
        <w:rPr>
          <w:rFonts w:ascii="Verdana" w:hAnsi="Verdana"/>
          <w:sz w:val="20"/>
        </w:rPr>
        <w:t>, siguiendo los criterios</w:t>
      </w:r>
      <w:r w:rsidR="00754F1A">
        <w:rPr>
          <w:rFonts w:ascii="Verdana" w:hAnsi="Verdana"/>
          <w:sz w:val="20"/>
        </w:rPr>
        <w:t xml:space="preserve"> de distribución</w:t>
      </w:r>
      <w:r w:rsidR="0062177D">
        <w:rPr>
          <w:rFonts w:ascii="Verdana" w:hAnsi="Verdana"/>
          <w:sz w:val="20"/>
        </w:rPr>
        <w:t xml:space="preserve"> establecidos en el párrafo 364 del Fallo internacional</w:t>
      </w:r>
      <w:r w:rsidR="0062177D" w:rsidRPr="00A53850">
        <w:rPr>
          <w:rStyle w:val="Refdenotaalpie"/>
          <w:rFonts w:ascii="Verdana" w:hAnsi="Verdana"/>
          <w:sz w:val="20"/>
        </w:rPr>
        <w:footnoteReference w:id="16"/>
      </w:r>
      <w:r w:rsidR="0062177D">
        <w:rPr>
          <w:rFonts w:ascii="Verdana" w:hAnsi="Verdana"/>
          <w:sz w:val="20"/>
        </w:rPr>
        <w:t>;</w:t>
      </w:r>
      <w:r w:rsidR="00864EB9" w:rsidRPr="00A53850">
        <w:rPr>
          <w:rFonts w:ascii="Verdana" w:hAnsi="Verdana"/>
          <w:sz w:val="20"/>
        </w:rPr>
        <w:t xml:space="preserve"> </w:t>
      </w:r>
    </w:p>
    <w:p w14:paraId="376CD0F2" w14:textId="2CD82567" w:rsidR="00BB4332" w:rsidRPr="00A53850" w:rsidRDefault="0062177D" w:rsidP="009607F0">
      <w:pPr>
        <w:pStyle w:val="Prrafodelista"/>
        <w:numPr>
          <w:ilvl w:val="0"/>
          <w:numId w:val="34"/>
        </w:numPr>
        <w:jc w:val="both"/>
        <w:rPr>
          <w:rFonts w:ascii="Verdana" w:hAnsi="Verdana"/>
          <w:sz w:val="20"/>
        </w:rPr>
      </w:pPr>
      <w:r>
        <w:rPr>
          <w:rFonts w:ascii="Verdana" w:hAnsi="Verdana"/>
          <w:sz w:val="20"/>
        </w:rPr>
        <w:t xml:space="preserve">respecto de las indemnizaciones por concepto </w:t>
      </w:r>
      <w:r w:rsidRPr="00A53850">
        <w:rPr>
          <w:rFonts w:ascii="Verdana" w:hAnsi="Verdana"/>
          <w:sz w:val="20"/>
        </w:rPr>
        <w:t>de daño emergente</w:t>
      </w:r>
      <w:r w:rsidRPr="00A53850">
        <w:rPr>
          <w:rStyle w:val="Refdenotaalpie"/>
          <w:rFonts w:ascii="Verdana" w:hAnsi="Verdana"/>
          <w:sz w:val="20"/>
        </w:rPr>
        <w:footnoteReference w:id="17"/>
      </w:r>
      <w:r>
        <w:rPr>
          <w:rFonts w:ascii="Verdana" w:hAnsi="Verdana"/>
          <w:sz w:val="20"/>
        </w:rPr>
        <w:t>, el Tribunal dispuso que Guatemala debía pagar las cantidades fijadas</w:t>
      </w:r>
      <w:r w:rsidR="00864EB9" w:rsidRPr="00A53850">
        <w:rPr>
          <w:rFonts w:ascii="Verdana" w:hAnsi="Verdana"/>
          <w:sz w:val="20"/>
        </w:rPr>
        <w:t xml:space="preserve"> en el párrafo 367</w:t>
      </w:r>
      <w:r w:rsidR="00864EB9" w:rsidRPr="00A53850">
        <w:rPr>
          <w:rStyle w:val="Refdenotaalpie"/>
          <w:rFonts w:ascii="Verdana" w:hAnsi="Verdana"/>
          <w:sz w:val="20"/>
        </w:rPr>
        <w:footnoteReference w:id="18"/>
      </w:r>
      <w:r w:rsidR="00864EB9" w:rsidRPr="00A53850">
        <w:rPr>
          <w:rFonts w:ascii="Verdana" w:hAnsi="Verdana"/>
          <w:sz w:val="20"/>
        </w:rPr>
        <w:t xml:space="preserve"> </w:t>
      </w:r>
      <w:r>
        <w:rPr>
          <w:rFonts w:ascii="Verdana" w:hAnsi="Verdana"/>
          <w:sz w:val="20"/>
        </w:rPr>
        <w:t>de la Sentencia a</w:t>
      </w:r>
      <w:r w:rsidR="00B236D3">
        <w:rPr>
          <w:rFonts w:ascii="Verdana" w:hAnsi="Verdana"/>
          <w:sz w:val="20"/>
        </w:rPr>
        <w:t xml:space="preserve"> favor</w:t>
      </w:r>
      <w:r w:rsidR="00F53153">
        <w:rPr>
          <w:rFonts w:ascii="Verdana" w:hAnsi="Verdana"/>
          <w:sz w:val="20"/>
        </w:rPr>
        <w:t xml:space="preserve"> de </w:t>
      </w:r>
      <w:r w:rsidR="00864EB9" w:rsidRPr="00A53850">
        <w:rPr>
          <w:rFonts w:ascii="Verdana" w:hAnsi="Verdana"/>
          <w:sz w:val="20"/>
        </w:rPr>
        <w:t>cada grupo familiar</w:t>
      </w:r>
      <w:r w:rsidR="00BB4332" w:rsidRPr="00A53850">
        <w:rPr>
          <w:rFonts w:ascii="Verdana" w:hAnsi="Verdana"/>
          <w:sz w:val="20"/>
        </w:rPr>
        <w:t>;</w:t>
      </w:r>
    </w:p>
    <w:p w14:paraId="742AB067" w14:textId="27292284" w:rsidR="00BB4332" w:rsidRPr="00A53850" w:rsidRDefault="00BB4332" w:rsidP="009607F0">
      <w:pPr>
        <w:pStyle w:val="Prrafodelista"/>
        <w:numPr>
          <w:ilvl w:val="0"/>
          <w:numId w:val="34"/>
        </w:numPr>
        <w:jc w:val="both"/>
        <w:rPr>
          <w:rFonts w:ascii="Verdana" w:hAnsi="Verdana"/>
          <w:sz w:val="20"/>
        </w:rPr>
      </w:pPr>
      <w:r w:rsidRPr="00A53850">
        <w:rPr>
          <w:rFonts w:ascii="Verdana" w:hAnsi="Verdana"/>
          <w:sz w:val="20"/>
        </w:rPr>
        <w:t xml:space="preserve">respecto </w:t>
      </w:r>
      <w:r w:rsidR="00FF03C6" w:rsidRPr="00A53850">
        <w:rPr>
          <w:rFonts w:ascii="Verdana" w:hAnsi="Verdana"/>
          <w:sz w:val="20"/>
        </w:rPr>
        <w:t xml:space="preserve">a las indemnizaciones por concepto de daños inmateriales, </w:t>
      </w:r>
      <w:r w:rsidRPr="00A53850">
        <w:rPr>
          <w:rFonts w:ascii="Verdana" w:hAnsi="Verdana"/>
          <w:sz w:val="20"/>
        </w:rPr>
        <w:t>la Sentencia</w:t>
      </w:r>
      <w:r w:rsidR="00FF03C6" w:rsidRPr="00A53850">
        <w:rPr>
          <w:rFonts w:ascii="Verdana" w:hAnsi="Verdana"/>
          <w:sz w:val="20"/>
        </w:rPr>
        <w:t xml:space="preserve"> dispuso que el Estado de</w:t>
      </w:r>
      <w:r w:rsidR="00A034C7" w:rsidRPr="00A53850">
        <w:rPr>
          <w:rFonts w:ascii="Verdana" w:hAnsi="Verdana"/>
          <w:sz w:val="20"/>
        </w:rPr>
        <w:t>b</w:t>
      </w:r>
      <w:r w:rsidR="00FB73DB">
        <w:rPr>
          <w:rFonts w:ascii="Verdana" w:hAnsi="Verdana"/>
          <w:sz w:val="20"/>
        </w:rPr>
        <w:t>ía</w:t>
      </w:r>
      <w:r w:rsidR="00FF03C6" w:rsidRPr="00A53850">
        <w:rPr>
          <w:rFonts w:ascii="Verdana" w:hAnsi="Verdana"/>
          <w:sz w:val="20"/>
        </w:rPr>
        <w:t xml:space="preserve"> pagar las cantidades fijadas en los párrafos 371</w:t>
      </w:r>
      <w:r w:rsidR="00FF03C6" w:rsidRPr="00A53850">
        <w:rPr>
          <w:rStyle w:val="Refdenotaalpie"/>
          <w:rFonts w:ascii="Verdana" w:hAnsi="Verdana"/>
          <w:sz w:val="20"/>
        </w:rPr>
        <w:footnoteReference w:id="19"/>
      </w:r>
      <w:r w:rsidR="00FF03C6" w:rsidRPr="00A53850">
        <w:rPr>
          <w:rFonts w:ascii="Verdana" w:hAnsi="Verdana"/>
          <w:sz w:val="20"/>
        </w:rPr>
        <w:t>, 373</w:t>
      </w:r>
      <w:r w:rsidR="00FF03C6" w:rsidRPr="00A53850">
        <w:rPr>
          <w:rStyle w:val="Refdenotaalpie"/>
          <w:rFonts w:ascii="Verdana" w:hAnsi="Verdana"/>
          <w:sz w:val="20"/>
        </w:rPr>
        <w:footnoteReference w:id="20"/>
      </w:r>
      <w:r w:rsidR="00FF03C6" w:rsidRPr="00A53850">
        <w:rPr>
          <w:rFonts w:ascii="Verdana" w:hAnsi="Verdana"/>
          <w:sz w:val="20"/>
        </w:rPr>
        <w:t xml:space="preserve"> y 374</w:t>
      </w:r>
      <w:r w:rsidR="009D0AD6">
        <w:rPr>
          <w:rFonts w:ascii="Verdana" w:hAnsi="Verdana"/>
          <w:sz w:val="20"/>
        </w:rPr>
        <w:t xml:space="preserve"> de la Sentencia</w:t>
      </w:r>
      <w:r w:rsidR="00FF03C6" w:rsidRPr="00A53850">
        <w:rPr>
          <w:rStyle w:val="Refdenotaalpie"/>
          <w:rFonts w:ascii="Verdana" w:hAnsi="Verdana"/>
          <w:sz w:val="20"/>
        </w:rPr>
        <w:footnoteReference w:id="21"/>
      </w:r>
      <w:r w:rsidR="0062177D">
        <w:rPr>
          <w:rFonts w:ascii="Verdana" w:hAnsi="Verdana"/>
          <w:sz w:val="20"/>
        </w:rPr>
        <w:t>, a favor de las “víctimas registradas en el Diario Militar” y los “familiares víctimas”</w:t>
      </w:r>
      <w:r w:rsidR="0062177D">
        <w:rPr>
          <w:rStyle w:val="Refdenotaalpie"/>
          <w:rFonts w:ascii="Verdana" w:hAnsi="Verdana"/>
          <w:sz w:val="20"/>
        </w:rPr>
        <w:footnoteReference w:id="22"/>
      </w:r>
      <w:r w:rsidR="00FF03C6" w:rsidRPr="00A53850">
        <w:rPr>
          <w:rFonts w:ascii="Verdana" w:hAnsi="Verdana"/>
          <w:sz w:val="20"/>
        </w:rPr>
        <w:t xml:space="preserve">. </w:t>
      </w:r>
      <w:r w:rsidR="007927A3">
        <w:rPr>
          <w:rFonts w:ascii="Verdana" w:hAnsi="Verdana"/>
          <w:sz w:val="20"/>
        </w:rPr>
        <w:t>A su vez, d</w:t>
      </w:r>
      <w:r w:rsidR="00FF03C6" w:rsidRPr="00A53850">
        <w:rPr>
          <w:rFonts w:ascii="Verdana" w:hAnsi="Verdana"/>
          <w:sz w:val="20"/>
        </w:rPr>
        <w:t xml:space="preserve">e acuerdo </w:t>
      </w:r>
      <w:r w:rsidR="00A034C7" w:rsidRPr="00A53850">
        <w:rPr>
          <w:rFonts w:ascii="Verdana" w:hAnsi="Verdana"/>
          <w:sz w:val="20"/>
        </w:rPr>
        <w:t>con</w:t>
      </w:r>
      <w:r w:rsidR="00FF03C6" w:rsidRPr="00A53850">
        <w:rPr>
          <w:rFonts w:ascii="Verdana" w:hAnsi="Verdana"/>
          <w:sz w:val="20"/>
        </w:rPr>
        <w:t xml:space="preserve"> la Sentencia de interpretación, la distribución de las indemnizaciones fijadas por </w:t>
      </w:r>
      <w:r w:rsidR="0029475F">
        <w:rPr>
          <w:rFonts w:ascii="Verdana" w:hAnsi="Verdana"/>
          <w:sz w:val="20"/>
        </w:rPr>
        <w:t xml:space="preserve">concepto de los daños inmateriales </w:t>
      </w:r>
      <w:r w:rsidR="00FF03C6" w:rsidRPr="00A53850">
        <w:rPr>
          <w:rFonts w:ascii="Verdana" w:hAnsi="Verdana"/>
          <w:sz w:val="20"/>
        </w:rPr>
        <w:t xml:space="preserve">sufrido por las </w:t>
      </w:r>
      <w:r w:rsidR="0029475F">
        <w:rPr>
          <w:rFonts w:ascii="Verdana" w:hAnsi="Verdana"/>
          <w:sz w:val="20"/>
        </w:rPr>
        <w:t>“</w:t>
      </w:r>
      <w:r w:rsidR="00FF03C6" w:rsidRPr="00A53850">
        <w:rPr>
          <w:rFonts w:ascii="Verdana" w:hAnsi="Verdana"/>
          <w:sz w:val="20"/>
        </w:rPr>
        <w:t>víctimas de desaparición forzada</w:t>
      </w:r>
      <w:r w:rsidR="0029475F">
        <w:rPr>
          <w:rFonts w:ascii="Verdana" w:hAnsi="Verdana"/>
          <w:sz w:val="20"/>
        </w:rPr>
        <w:t>”</w:t>
      </w:r>
      <w:r w:rsidR="00FF03C6" w:rsidRPr="00A53850">
        <w:rPr>
          <w:rFonts w:ascii="Verdana" w:hAnsi="Verdana"/>
          <w:sz w:val="20"/>
        </w:rPr>
        <w:t xml:space="preserve"> deb</w:t>
      </w:r>
      <w:r w:rsidR="00F51B9E">
        <w:rPr>
          <w:rFonts w:ascii="Verdana" w:hAnsi="Verdana"/>
          <w:sz w:val="20"/>
        </w:rPr>
        <w:t>ía</w:t>
      </w:r>
      <w:r w:rsidR="00FF03C6" w:rsidRPr="00A53850">
        <w:rPr>
          <w:rFonts w:ascii="Verdana" w:hAnsi="Verdana"/>
          <w:sz w:val="20"/>
        </w:rPr>
        <w:t xml:space="preserve"> </w:t>
      </w:r>
      <w:r w:rsidR="007927A3">
        <w:rPr>
          <w:rFonts w:ascii="Verdana" w:hAnsi="Verdana"/>
          <w:sz w:val="20"/>
        </w:rPr>
        <w:t>realizarse</w:t>
      </w:r>
      <w:r w:rsidR="007927A3" w:rsidRPr="00A53850">
        <w:rPr>
          <w:rFonts w:ascii="Verdana" w:hAnsi="Verdana"/>
          <w:sz w:val="20"/>
        </w:rPr>
        <w:t xml:space="preserve"> </w:t>
      </w:r>
      <w:r w:rsidR="00FF03C6" w:rsidRPr="00A53850">
        <w:rPr>
          <w:rFonts w:ascii="Verdana" w:hAnsi="Verdana"/>
          <w:sz w:val="20"/>
        </w:rPr>
        <w:t xml:space="preserve">conforme a lo dispuesto en el párrafo </w:t>
      </w:r>
      <w:r w:rsidR="007927A3">
        <w:rPr>
          <w:rFonts w:ascii="Verdana" w:hAnsi="Verdana"/>
          <w:sz w:val="20"/>
        </w:rPr>
        <w:t>3</w:t>
      </w:r>
      <w:r w:rsidR="0029475F">
        <w:rPr>
          <w:rFonts w:ascii="Verdana" w:hAnsi="Verdana"/>
          <w:sz w:val="20"/>
        </w:rPr>
        <w:t>64</w:t>
      </w:r>
      <w:r w:rsidR="007927A3" w:rsidRPr="00A53850">
        <w:rPr>
          <w:rFonts w:ascii="Verdana" w:hAnsi="Verdana"/>
          <w:sz w:val="20"/>
        </w:rPr>
        <w:t xml:space="preserve"> </w:t>
      </w:r>
      <w:r w:rsidR="00FF03C6" w:rsidRPr="00A53850">
        <w:rPr>
          <w:rFonts w:ascii="Verdana" w:hAnsi="Verdana"/>
          <w:sz w:val="20"/>
        </w:rPr>
        <w:t xml:space="preserve">de la </w:t>
      </w:r>
      <w:r w:rsidR="00FF03C6" w:rsidRPr="00A53850">
        <w:rPr>
          <w:rFonts w:ascii="Verdana" w:hAnsi="Verdana"/>
          <w:sz w:val="20"/>
        </w:rPr>
        <w:lastRenderedPageBreak/>
        <w:t>Sentencia</w:t>
      </w:r>
      <w:r w:rsidR="00FF03C6" w:rsidRPr="00A53850">
        <w:rPr>
          <w:rStyle w:val="Refdenotaalpie"/>
          <w:rFonts w:ascii="Verdana" w:hAnsi="Verdana"/>
          <w:sz w:val="20"/>
        </w:rPr>
        <w:footnoteReference w:id="23"/>
      </w:r>
      <w:r w:rsidR="0029475F">
        <w:rPr>
          <w:rFonts w:ascii="Verdana" w:hAnsi="Verdana"/>
          <w:sz w:val="20"/>
        </w:rPr>
        <w:t xml:space="preserve">, mientras que la distribución de las referidas indemnizaciones a favor de los familiares víctimas </w:t>
      </w:r>
      <w:r w:rsidR="0029475F" w:rsidRPr="00A53850">
        <w:rPr>
          <w:rFonts w:ascii="Verdana" w:hAnsi="Verdana"/>
          <w:sz w:val="20"/>
        </w:rPr>
        <w:t>que hubieren fallecido antes de la Sentencia o previo al pago</w:t>
      </w:r>
      <w:r w:rsidR="0029475F">
        <w:rPr>
          <w:rFonts w:ascii="Verdana" w:hAnsi="Verdana"/>
          <w:sz w:val="20"/>
        </w:rPr>
        <w:t xml:space="preserve"> debía realizarse de conformidad con lo </w:t>
      </w:r>
      <w:r w:rsidR="00FF03C6" w:rsidRPr="00A53850">
        <w:rPr>
          <w:rFonts w:ascii="Verdana" w:hAnsi="Verdana"/>
          <w:sz w:val="20"/>
        </w:rPr>
        <w:t xml:space="preserve">dispuesto en el párrafo 385 de </w:t>
      </w:r>
      <w:r w:rsidR="0029475F">
        <w:rPr>
          <w:rFonts w:ascii="Verdana" w:hAnsi="Verdana"/>
          <w:sz w:val="20"/>
        </w:rPr>
        <w:t>la Sentencia</w:t>
      </w:r>
      <w:r w:rsidR="00FF03C6" w:rsidRPr="00A53850">
        <w:rPr>
          <w:rStyle w:val="Refdenotaalpie"/>
          <w:rFonts w:ascii="Verdana" w:hAnsi="Verdana"/>
          <w:sz w:val="20"/>
        </w:rPr>
        <w:footnoteReference w:id="24"/>
      </w:r>
      <w:r w:rsidRPr="00A53850">
        <w:rPr>
          <w:rFonts w:ascii="Verdana" w:hAnsi="Verdana"/>
          <w:sz w:val="20"/>
        </w:rPr>
        <w:t>, y</w:t>
      </w:r>
    </w:p>
    <w:p w14:paraId="3A46583B" w14:textId="55A63EC4" w:rsidR="00F30109" w:rsidRPr="00A53850" w:rsidRDefault="00BB4332" w:rsidP="009607F0">
      <w:pPr>
        <w:pStyle w:val="Prrafodelista"/>
        <w:numPr>
          <w:ilvl w:val="0"/>
          <w:numId w:val="34"/>
        </w:numPr>
        <w:jc w:val="both"/>
        <w:rPr>
          <w:rFonts w:ascii="Verdana" w:hAnsi="Verdana"/>
          <w:sz w:val="20"/>
        </w:rPr>
      </w:pPr>
      <w:r w:rsidRPr="00A53850">
        <w:rPr>
          <w:rFonts w:ascii="Verdana" w:hAnsi="Verdana"/>
          <w:sz w:val="20"/>
        </w:rPr>
        <w:t>respecto</w:t>
      </w:r>
      <w:r w:rsidR="00F30109" w:rsidRPr="00A53850">
        <w:rPr>
          <w:rFonts w:ascii="Verdana" w:hAnsi="Verdana"/>
          <w:sz w:val="20"/>
        </w:rPr>
        <w:t xml:space="preserve"> al reintegro de costas y gastos, </w:t>
      </w:r>
      <w:r w:rsidRPr="00A53850">
        <w:rPr>
          <w:rFonts w:ascii="Verdana" w:hAnsi="Verdana"/>
          <w:sz w:val="20"/>
        </w:rPr>
        <w:t>la Corte</w:t>
      </w:r>
      <w:r w:rsidR="00F30109" w:rsidRPr="00A53850">
        <w:rPr>
          <w:rFonts w:ascii="Verdana" w:hAnsi="Verdana"/>
          <w:sz w:val="20"/>
        </w:rPr>
        <w:t xml:space="preserve"> dispuso que el Estado deb</w:t>
      </w:r>
      <w:r w:rsidR="0029475F">
        <w:rPr>
          <w:rFonts w:ascii="Verdana" w:hAnsi="Verdana"/>
          <w:sz w:val="20"/>
        </w:rPr>
        <w:t>ía</w:t>
      </w:r>
      <w:r w:rsidR="00F30109" w:rsidRPr="00A53850">
        <w:rPr>
          <w:rFonts w:ascii="Verdana" w:hAnsi="Verdana"/>
          <w:sz w:val="20"/>
        </w:rPr>
        <w:t xml:space="preserve"> pagar las cantidades fijadas </w:t>
      </w:r>
      <w:r w:rsidR="0029475F">
        <w:rPr>
          <w:rFonts w:ascii="Verdana" w:hAnsi="Verdana"/>
          <w:sz w:val="20"/>
        </w:rPr>
        <w:t>e</w:t>
      </w:r>
      <w:r w:rsidR="00F30109" w:rsidRPr="00A53850">
        <w:rPr>
          <w:rFonts w:ascii="Verdana" w:hAnsi="Verdana"/>
          <w:sz w:val="20"/>
        </w:rPr>
        <w:t>n el párrafo</w:t>
      </w:r>
      <w:r w:rsidR="00C33DCB" w:rsidRPr="00A53850">
        <w:rPr>
          <w:rFonts w:ascii="Verdana" w:hAnsi="Verdana"/>
          <w:sz w:val="20"/>
        </w:rPr>
        <w:t xml:space="preserve"> 383</w:t>
      </w:r>
      <w:r w:rsidR="0029475F" w:rsidRPr="00A53850">
        <w:rPr>
          <w:rStyle w:val="Refdenotaalpie"/>
          <w:rFonts w:ascii="Verdana" w:hAnsi="Verdana"/>
          <w:sz w:val="20"/>
        </w:rPr>
        <w:footnoteReference w:id="25"/>
      </w:r>
      <w:r w:rsidR="0029475F" w:rsidRPr="00A53850">
        <w:rPr>
          <w:rFonts w:ascii="Verdana" w:hAnsi="Verdana"/>
          <w:sz w:val="20"/>
        </w:rPr>
        <w:t xml:space="preserve"> </w:t>
      </w:r>
      <w:r w:rsidR="0029475F">
        <w:rPr>
          <w:rFonts w:ascii="Verdana" w:hAnsi="Verdana"/>
          <w:sz w:val="20"/>
        </w:rPr>
        <w:t xml:space="preserve">de la Sentencia </w:t>
      </w:r>
      <w:r w:rsidR="00C33DCB" w:rsidRPr="00A53850">
        <w:rPr>
          <w:rFonts w:ascii="Verdana" w:hAnsi="Verdana"/>
          <w:sz w:val="20"/>
        </w:rPr>
        <w:t>directamente a las organizaciones representantes.</w:t>
      </w:r>
    </w:p>
    <w:p w14:paraId="71468B8D" w14:textId="77777777" w:rsidR="00A948F4" w:rsidRPr="009607F0" w:rsidRDefault="00A948F4" w:rsidP="009607F0">
      <w:pPr>
        <w:jc w:val="both"/>
        <w:rPr>
          <w:rFonts w:ascii="Verdana" w:hAnsi="Verdana"/>
          <w:sz w:val="20"/>
        </w:rPr>
      </w:pPr>
    </w:p>
    <w:p w14:paraId="6F1FA303" w14:textId="72D550A4" w:rsidR="00793203" w:rsidRPr="00A53850" w:rsidRDefault="003E7667" w:rsidP="00FF3984">
      <w:pPr>
        <w:ind w:firstLine="720"/>
        <w:jc w:val="both"/>
        <w:rPr>
          <w:rFonts w:ascii="Verdana" w:hAnsi="Verdana"/>
          <w:i/>
          <w:sz w:val="20"/>
        </w:rPr>
      </w:pPr>
      <w:r w:rsidRPr="00A53850">
        <w:rPr>
          <w:rFonts w:ascii="Verdana" w:hAnsi="Verdana"/>
          <w:i/>
          <w:sz w:val="20"/>
        </w:rPr>
        <w:t>B.2 Consideraciones de la Corte</w:t>
      </w:r>
    </w:p>
    <w:p w14:paraId="3A648BAC" w14:textId="77777777" w:rsidR="00A948F4" w:rsidRPr="00A53850" w:rsidRDefault="00A948F4" w:rsidP="009607F0">
      <w:pPr>
        <w:jc w:val="both"/>
        <w:rPr>
          <w:rFonts w:ascii="Verdana" w:hAnsi="Verdana"/>
          <w:i/>
          <w:sz w:val="20"/>
        </w:rPr>
      </w:pPr>
    </w:p>
    <w:p w14:paraId="7CCAB09E" w14:textId="36D92E7C" w:rsidR="00086752" w:rsidRPr="009607F0" w:rsidRDefault="001904BD" w:rsidP="009607F0">
      <w:pPr>
        <w:pStyle w:val="Textonotapie"/>
        <w:numPr>
          <w:ilvl w:val="0"/>
          <w:numId w:val="5"/>
        </w:numPr>
        <w:ind w:left="0" w:firstLine="0"/>
        <w:jc w:val="both"/>
        <w:rPr>
          <w:rFonts w:ascii="Verdana" w:hAnsi="Verdana"/>
          <w:sz w:val="20"/>
        </w:rPr>
      </w:pPr>
      <w:r w:rsidRPr="00A53850">
        <w:rPr>
          <w:rFonts w:ascii="Verdana" w:hAnsi="Verdana"/>
          <w:sz w:val="20"/>
        </w:rPr>
        <w:t>E</w:t>
      </w:r>
      <w:r w:rsidR="00B651A3" w:rsidRPr="00A53850">
        <w:rPr>
          <w:rFonts w:ascii="Verdana" w:hAnsi="Verdana"/>
          <w:sz w:val="20"/>
        </w:rPr>
        <w:t xml:space="preserve">l Tribunal </w:t>
      </w:r>
      <w:r w:rsidR="00843992" w:rsidRPr="00A53850">
        <w:rPr>
          <w:rFonts w:ascii="Verdana" w:hAnsi="Verdana"/>
          <w:sz w:val="20"/>
        </w:rPr>
        <w:t xml:space="preserve">observa </w:t>
      </w:r>
      <w:r w:rsidR="00A06B60" w:rsidRPr="00A53850">
        <w:rPr>
          <w:rFonts w:ascii="Verdana" w:hAnsi="Verdana"/>
          <w:sz w:val="20"/>
        </w:rPr>
        <w:t xml:space="preserve">que </w:t>
      </w:r>
      <w:r w:rsidR="000E5FA3" w:rsidRPr="00A53850">
        <w:rPr>
          <w:rFonts w:ascii="Verdana" w:hAnsi="Verdana"/>
          <w:sz w:val="20"/>
        </w:rPr>
        <w:t>recién e</w:t>
      </w:r>
      <w:r w:rsidR="006C3D70" w:rsidRPr="00A53850">
        <w:rPr>
          <w:rFonts w:ascii="Verdana" w:hAnsi="Verdana"/>
          <w:sz w:val="20"/>
        </w:rPr>
        <w:t xml:space="preserve">n el </w:t>
      </w:r>
      <w:r w:rsidR="0092012B" w:rsidRPr="00A53850">
        <w:rPr>
          <w:rFonts w:ascii="Verdana" w:hAnsi="Verdana"/>
          <w:sz w:val="20"/>
        </w:rPr>
        <w:t xml:space="preserve">mes de enero </w:t>
      </w:r>
      <w:r w:rsidR="006C3D70" w:rsidRPr="00A53850">
        <w:rPr>
          <w:rFonts w:ascii="Verdana" w:hAnsi="Verdana"/>
          <w:sz w:val="20"/>
        </w:rPr>
        <w:t>2018</w:t>
      </w:r>
      <w:r w:rsidR="000E5FA3" w:rsidRPr="00A53850">
        <w:rPr>
          <w:rFonts w:ascii="Verdana" w:hAnsi="Verdana"/>
          <w:sz w:val="20"/>
        </w:rPr>
        <w:t xml:space="preserve"> </w:t>
      </w:r>
      <w:r w:rsidR="00843992" w:rsidRPr="00A53850">
        <w:rPr>
          <w:rFonts w:ascii="Verdana" w:hAnsi="Verdana"/>
          <w:sz w:val="20"/>
        </w:rPr>
        <w:t xml:space="preserve">el Estado </w:t>
      </w:r>
      <w:r w:rsidR="006C3D70" w:rsidRPr="00A53850">
        <w:rPr>
          <w:rFonts w:ascii="Verdana" w:hAnsi="Verdana"/>
          <w:sz w:val="20"/>
        </w:rPr>
        <w:t>informó</w:t>
      </w:r>
      <w:r w:rsidR="00843992" w:rsidRPr="00A53850">
        <w:rPr>
          <w:rFonts w:ascii="Verdana" w:hAnsi="Verdana"/>
          <w:sz w:val="20"/>
        </w:rPr>
        <w:t xml:space="preserve"> que habría </w:t>
      </w:r>
      <w:r w:rsidR="00B651A3" w:rsidRPr="00A53850">
        <w:rPr>
          <w:rFonts w:ascii="Verdana" w:hAnsi="Verdana"/>
          <w:sz w:val="20"/>
        </w:rPr>
        <w:t>paga</w:t>
      </w:r>
      <w:r w:rsidR="00843992" w:rsidRPr="00A53850">
        <w:rPr>
          <w:rFonts w:ascii="Verdana" w:hAnsi="Verdana"/>
          <w:sz w:val="20"/>
        </w:rPr>
        <w:t>do</w:t>
      </w:r>
      <w:r w:rsidR="00B651A3" w:rsidRPr="00A53850">
        <w:rPr>
          <w:rFonts w:ascii="Verdana" w:hAnsi="Verdana"/>
          <w:sz w:val="20"/>
        </w:rPr>
        <w:t xml:space="preserve"> </w:t>
      </w:r>
      <w:r w:rsidR="00514EFD" w:rsidRPr="00A53850">
        <w:rPr>
          <w:rFonts w:ascii="Verdana" w:hAnsi="Verdana"/>
          <w:sz w:val="20"/>
        </w:rPr>
        <w:t xml:space="preserve">la indemnización por concepto de daño emergente </w:t>
      </w:r>
      <w:r w:rsidR="00B651A3" w:rsidRPr="00A53850">
        <w:rPr>
          <w:rFonts w:ascii="Verdana" w:hAnsi="Verdana"/>
          <w:sz w:val="20"/>
        </w:rPr>
        <w:t>a</w:t>
      </w:r>
      <w:r w:rsidR="002D5047" w:rsidRPr="00A53850">
        <w:rPr>
          <w:rFonts w:ascii="Verdana" w:hAnsi="Verdana"/>
          <w:sz w:val="20"/>
        </w:rPr>
        <w:t xml:space="preserve"> </w:t>
      </w:r>
      <w:r w:rsidR="00871E8A" w:rsidRPr="00A53850">
        <w:rPr>
          <w:rFonts w:ascii="Verdana" w:hAnsi="Verdana"/>
          <w:sz w:val="20"/>
        </w:rPr>
        <w:t xml:space="preserve">un total de 23 </w:t>
      </w:r>
      <w:r w:rsidR="002D5047" w:rsidRPr="00A53850">
        <w:rPr>
          <w:rFonts w:ascii="Verdana" w:hAnsi="Verdana"/>
          <w:sz w:val="20"/>
        </w:rPr>
        <w:t xml:space="preserve">grupos familiares de </w:t>
      </w:r>
      <w:r w:rsidR="00871E8A" w:rsidRPr="00A53850">
        <w:rPr>
          <w:rFonts w:ascii="Verdana" w:hAnsi="Verdana"/>
          <w:sz w:val="20"/>
        </w:rPr>
        <w:t xml:space="preserve">las </w:t>
      </w:r>
      <w:r w:rsidR="002D5047" w:rsidRPr="00A53850">
        <w:rPr>
          <w:rFonts w:ascii="Verdana" w:hAnsi="Verdana"/>
          <w:sz w:val="20"/>
        </w:rPr>
        <w:t>víctimas de desaparición forzada</w:t>
      </w:r>
      <w:r w:rsidR="00843992" w:rsidRPr="00A53850">
        <w:rPr>
          <w:rFonts w:ascii="Verdana" w:hAnsi="Verdana"/>
          <w:sz w:val="20"/>
        </w:rPr>
        <w:t xml:space="preserve">. </w:t>
      </w:r>
      <w:r w:rsidR="000A7814" w:rsidRPr="00A53850">
        <w:rPr>
          <w:rFonts w:ascii="Verdana" w:hAnsi="Verdana"/>
          <w:sz w:val="20"/>
        </w:rPr>
        <w:t>E</w:t>
      </w:r>
      <w:r w:rsidR="00843992" w:rsidRPr="00A53850">
        <w:rPr>
          <w:rFonts w:ascii="Verdana" w:hAnsi="Verdana"/>
          <w:sz w:val="20"/>
        </w:rPr>
        <w:t xml:space="preserve">l Estado </w:t>
      </w:r>
      <w:r w:rsidR="00E42665" w:rsidRPr="00A53850">
        <w:rPr>
          <w:rFonts w:ascii="Verdana" w:hAnsi="Verdana"/>
          <w:sz w:val="20"/>
        </w:rPr>
        <w:t xml:space="preserve">remitió </w:t>
      </w:r>
      <w:r w:rsidR="004F3473">
        <w:rPr>
          <w:rFonts w:ascii="Verdana" w:hAnsi="Verdana"/>
          <w:sz w:val="20"/>
        </w:rPr>
        <w:t xml:space="preserve">en dicha fecha </w:t>
      </w:r>
      <w:r w:rsidR="00E42665" w:rsidRPr="00A53850">
        <w:rPr>
          <w:rFonts w:ascii="Verdana" w:hAnsi="Verdana"/>
          <w:sz w:val="20"/>
        </w:rPr>
        <w:t>los comprobantes de</w:t>
      </w:r>
      <w:r w:rsidR="00843992" w:rsidRPr="00A53850">
        <w:rPr>
          <w:rFonts w:ascii="Verdana" w:hAnsi="Verdana"/>
          <w:sz w:val="20"/>
        </w:rPr>
        <w:t xml:space="preserve"> un primer pago por concepto de daño emergente a </w:t>
      </w:r>
      <w:r w:rsidR="002745C3" w:rsidRPr="00A53850">
        <w:rPr>
          <w:rFonts w:ascii="Verdana" w:hAnsi="Verdana"/>
          <w:sz w:val="20"/>
        </w:rPr>
        <w:t>los</w:t>
      </w:r>
      <w:r w:rsidR="00843992" w:rsidRPr="00A53850">
        <w:rPr>
          <w:rFonts w:ascii="Verdana" w:hAnsi="Verdana"/>
          <w:sz w:val="20"/>
        </w:rPr>
        <w:t xml:space="preserve"> </w:t>
      </w:r>
      <w:r w:rsidR="006643DE" w:rsidRPr="00A53850">
        <w:rPr>
          <w:rFonts w:ascii="Verdana" w:hAnsi="Verdana"/>
          <w:sz w:val="20"/>
        </w:rPr>
        <w:t>representantes de</w:t>
      </w:r>
      <w:r w:rsidR="008F5726" w:rsidRPr="00A53850">
        <w:rPr>
          <w:rFonts w:ascii="Verdana" w:hAnsi="Verdana"/>
          <w:sz w:val="20"/>
        </w:rPr>
        <w:t xml:space="preserve"> </w:t>
      </w:r>
      <w:r w:rsidR="006643DE" w:rsidRPr="00A53850">
        <w:rPr>
          <w:rFonts w:ascii="Verdana" w:hAnsi="Verdana"/>
          <w:sz w:val="20"/>
        </w:rPr>
        <w:t>l</w:t>
      </w:r>
      <w:r w:rsidR="008F5726" w:rsidRPr="00A53850">
        <w:rPr>
          <w:rFonts w:ascii="Verdana" w:hAnsi="Verdana"/>
          <w:sz w:val="20"/>
        </w:rPr>
        <w:t>os</w:t>
      </w:r>
      <w:r w:rsidR="006643DE" w:rsidRPr="00A53850">
        <w:rPr>
          <w:rFonts w:ascii="Verdana" w:hAnsi="Verdana"/>
          <w:sz w:val="20"/>
        </w:rPr>
        <w:t xml:space="preserve"> grupo</w:t>
      </w:r>
      <w:r w:rsidR="008F5726" w:rsidRPr="00A53850">
        <w:rPr>
          <w:rFonts w:ascii="Verdana" w:hAnsi="Verdana"/>
          <w:sz w:val="20"/>
        </w:rPr>
        <w:t>s</w:t>
      </w:r>
      <w:r w:rsidR="006643DE" w:rsidRPr="00A53850">
        <w:rPr>
          <w:rFonts w:ascii="Verdana" w:hAnsi="Verdana"/>
          <w:sz w:val="20"/>
        </w:rPr>
        <w:t xml:space="preserve"> familiar</w:t>
      </w:r>
      <w:r w:rsidR="008F5726" w:rsidRPr="00A53850">
        <w:rPr>
          <w:rFonts w:ascii="Verdana" w:hAnsi="Verdana"/>
          <w:sz w:val="20"/>
        </w:rPr>
        <w:t>es</w:t>
      </w:r>
      <w:r w:rsidR="006643DE" w:rsidRPr="00A53850">
        <w:rPr>
          <w:rFonts w:ascii="Verdana" w:hAnsi="Verdana"/>
          <w:sz w:val="20"/>
        </w:rPr>
        <w:t xml:space="preserve"> de 8 víctimas de desaparición forzada</w:t>
      </w:r>
      <w:r w:rsidR="00843992" w:rsidRPr="00A53850">
        <w:rPr>
          <w:rStyle w:val="Refdenotaalpie"/>
          <w:rFonts w:ascii="Verdana" w:hAnsi="Verdana"/>
          <w:sz w:val="20"/>
        </w:rPr>
        <w:footnoteReference w:id="26"/>
      </w:r>
      <w:r w:rsidR="00843992" w:rsidRPr="00A53850">
        <w:rPr>
          <w:rFonts w:ascii="Verdana" w:hAnsi="Verdana"/>
          <w:sz w:val="20"/>
        </w:rPr>
        <w:t>.</w:t>
      </w:r>
      <w:r w:rsidR="000E5FA3" w:rsidRPr="00A53850">
        <w:rPr>
          <w:rFonts w:ascii="Verdana" w:hAnsi="Verdana"/>
          <w:sz w:val="20"/>
        </w:rPr>
        <w:t xml:space="preserve"> </w:t>
      </w:r>
      <w:r w:rsidRPr="00A53850">
        <w:rPr>
          <w:rFonts w:ascii="Verdana" w:hAnsi="Verdana"/>
          <w:sz w:val="20"/>
        </w:rPr>
        <w:t>Posteriormente, informó que</w:t>
      </w:r>
      <w:r w:rsidR="00843992" w:rsidRPr="00A53850">
        <w:rPr>
          <w:rFonts w:ascii="Verdana" w:hAnsi="Verdana"/>
          <w:sz w:val="20"/>
        </w:rPr>
        <w:t xml:space="preserve"> </w:t>
      </w:r>
      <w:r w:rsidR="00061F79" w:rsidRPr="00A53850">
        <w:rPr>
          <w:rFonts w:ascii="Verdana" w:hAnsi="Verdana"/>
          <w:sz w:val="20"/>
        </w:rPr>
        <w:t>otros pagos</w:t>
      </w:r>
      <w:r w:rsidR="00843992" w:rsidRPr="00A53850">
        <w:rPr>
          <w:rFonts w:ascii="Verdana" w:hAnsi="Verdana"/>
          <w:sz w:val="20"/>
        </w:rPr>
        <w:t xml:space="preserve"> se </w:t>
      </w:r>
      <w:r w:rsidRPr="00A53850">
        <w:rPr>
          <w:rFonts w:ascii="Verdana" w:hAnsi="Verdana"/>
          <w:sz w:val="20"/>
        </w:rPr>
        <w:t>habrí</w:t>
      </w:r>
      <w:r w:rsidR="00843992" w:rsidRPr="00A53850">
        <w:rPr>
          <w:rFonts w:ascii="Verdana" w:hAnsi="Verdana"/>
          <w:sz w:val="20"/>
        </w:rPr>
        <w:t>a</w:t>
      </w:r>
      <w:r w:rsidR="00061F79" w:rsidRPr="00A53850">
        <w:rPr>
          <w:rFonts w:ascii="Verdana" w:hAnsi="Verdana"/>
          <w:sz w:val="20"/>
        </w:rPr>
        <w:t>n</w:t>
      </w:r>
      <w:r w:rsidR="00843992" w:rsidRPr="00A53850">
        <w:rPr>
          <w:rFonts w:ascii="Verdana" w:hAnsi="Verdana"/>
          <w:sz w:val="20"/>
        </w:rPr>
        <w:t xml:space="preserve"> realizado los días 31 de agosto</w:t>
      </w:r>
      <w:r w:rsidR="00871E8A" w:rsidRPr="00A53850">
        <w:rPr>
          <w:rFonts w:ascii="Verdana" w:hAnsi="Verdana"/>
          <w:sz w:val="20"/>
        </w:rPr>
        <w:t xml:space="preserve"> (2 pagos)</w:t>
      </w:r>
      <w:r w:rsidR="00843992" w:rsidRPr="00A53850">
        <w:rPr>
          <w:rFonts w:ascii="Verdana" w:hAnsi="Verdana"/>
          <w:sz w:val="20"/>
        </w:rPr>
        <w:t>, 7 de noviembre</w:t>
      </w:r>
      <w:r w:rsidR="00871E8A" w:rsidRPr="00A53850">
        <w:rPr>
          <w:rFonts w:ascii="Verdana" w:hAnsi="Verdana"/>
          <w:sz w:val="20"/>
        </w:rPr>
        <w:t xml:space="preserve"> (11 pagos)</w:t>
      </w:r>
      <w:r w:rsidR="00843992" w:rsidRPr="00A53850">
        <w:rPr>
          <w:rFonts w:ascii="Verdana" w:hAnsi="Verdana"/>
          <w:sz w:val="20"/>
        </w:rPr>
        <w:t xml:space="preserve"> y 14 de noviembre</w:t>
      </w:r>
      <w:r w:rsidR="00DF2615" w:rsidRPr="00A53850">
        <w:rPr>
          <w:rFonts w:ascii="Verdana" w:hAnsi="Verdana"/>
          <w:sz w:val="20"/>
        </w:rPr>
        <w:t xml:space="preserve"> (2 pagos)</w:t>
      </w:r>
      <w:r w:rsidR="00843992" w:rsidRPr="00A53850">
        <w:rPr>
          <w:rFonts w:ascii="Verdana" w:hAnsi="Verdana"/>
          <w:sz w:val="20"/>
        </w:rPr>
        <w:t xml:space="preserve"> de 2018</w:t>
      </w:r>
      <w:r w:rsidR="00871E8A" w:rsidRPr="00A53850">
        <w:rPr>
          <w:rFonts w:ascii="Verdana" w:hAnsi="Verdana"/>
          <w:sz w:val="20"/>
        </w:rPr>
        <w:t xml:space="preserve"> </w:t>
      </w:r>
      <w:r w:rsidR="00843992" w:rsidRPr="00A53850">
        <w:rPr>
          <w:rFonts w:ascii="Verdana" w:hAnsi="Verdana"/>
          <w:sz w:val="20"/>
        </w:rPr>
        <w:t xml:space="preserve">a </w:t>
      </w:r>
      <w:r w:rsidR="000A7814" w:rsidRPr="00A53850">
        <w:rPr>
          <w:rFonts w:ascii="Verdana" w:hAnsi="Verdana"/>
          <w:sz w:val="20"/>
        </w:rPr>
        <w:t>favor de</w:t>
      </w:r>
      <w:r w:rsidR="00DB5587" w:rsidRPr="00A53850">
        <w:rPr>
          <w:rFonts w:ascii="Verdana" w:hAnsi="Verdana"/>
          <w:sz w:val="20"/>
        </w:rPr>
        <w:t xml:space="preserve"> </w:t>
      </w:r>
      <w:r w:rsidR="006643DE" w:rsidRPr="00A53850">
        <w:rPr>
          <w:rFonts w:ascii="Verdana" w:hAnsi="Verdana"/>
          <w:sz w:val="20"/>
        </w:rPr>
        <w:t xml:space="preserve">otros 15 representantes de grupos familiares </w:t>
      </w:r>
      <w:r w:rsidR="0084646B" w:rsidRPr="00A53850">
        <w:rPr>
          <w:rFonts w:ascii="Verdana" w:hAnsi="Verdana"/>
          <w:sz w:val="20"/>
        </w:rPr>
        <w:t xml:space="preserve">de </w:t>
      </w:r>
      <w:r w:rsidR="00DB5587" w:rsidRPr="00A53850">
        <w:rPr>
          <w:rFonts w:ascii="Verdana" w:hAnsi="Verdana"/>
          <w:sz w:val="20"/>
        </w:rPr>
        <w:t xml:space="preserve">víctimas </w:t>
      </w:r>
      <w:r w:rsidR="002D5047" w:rsidRPr="00A53850">
        <w:rPr>
          <w:rFonts w:ascii="Verdana" w:hAnsi="Verdana"/>
          <w:sz w:val="20"/>
        </w:rPr>
        <w:t>de desaparición forzada</w:t>
      </w:r>
      <w:r w:rsidR="0092067B" w:rsidRPr="00A53850">
        <w:rPr>
          <w:rFonts w:ascii="Verdana" w:hAnsi="Verdana"/>
          <w:sz w:val="20"/>
        </w:rPr>
        <w:t>.</w:t>
      </w:r>
      <w:r w:rsidR="002D5047" w:rsidRPr="00A53850">
        <w:rPr>
          <w:rFonts w:ascii="Verdana" w:hAnsi="Verdana"/>
          <w:sz w:val="20"/>
        </w:rPr>
        <w:t xml:space="preserve"> </w:t>
      </w:r>
      <w:r w:rsidR="000A7814" w:rsidRPr="00A53850">
        <w:rPr>
          <w:rFonts w:ascii="Verdana" w:hAnsi="Verdana"/>
          <w:sz w:val="20"/>
        </w:rPr>
        <w:t xml:space="preserve">Aun cuando </w:t>
      </w:r>
      <w:r w:rsidR="00EF3538" w:rsidRPr="00A53850">
        <w:rPr>
          <w:rFonts w:ascii="Verdana" w:hAnsi="Verdana"/>
          <w:sz w:val="20"/>
        </w:rPr>
        <w:t>e</w:t>
      </w:r>
      <w:r w:rsidR="00843992" w:rsidRPr="00A53850">
        <w:rPr>
          <w:rFonts w:ascii="Verdana" w:hAnsi="Verdana"/>
          <w:sz w:val="20"/>
        </w:rPr>
        <w:t xml:space="preserve">l Estado no aportó los comprobantes </w:t>
      </w:r>
      <w:r w:rsidR="00E42665" w:rsidRPr="00A53850">
        <w:rPr>
          <w:rFonts w:ascii="Verdana" w:hAnsi="Verdana"/>
          <w:sz w:val="20"/>
        </w:rPr>
        <w:t xml:space="preserve">de </w:t>
      </w:r>
      <w:r w:rsidR="00AC77EB" w:rsidRPr="00A53850">
        <w:rPr>
          <w:rFonts w:ascii="Verdana" w:hAnsi="Verdana"/>
          <w:sz w:val="20"/>
        </w:rPr>
        <w:t>e</w:t>
      </w:r>
      <w:r w:rsidR="00E42665" w:rsidRPr="00A53850">
        <w:rPr>
          <w:rFonts w:ascii="Verdana" w:hAnsi="Verdana"/>
          <w:sz w:val="20"/>
        </w:rPr>
        <w:t xml:space="preserve">stos </w:t>
      </w:r>
      <w:r w:rsidR="000A7814" w:rsidRPr="00A53850">
        <w:rPr>
          <w:rFonts w:ascii="Verdana" w:hAnsi="Verdana"/>
          <w:sz w:val="20"/>
        </w:rPr>
        <w:t xml:space="preserve">últimos </w:t>
      </w:r>
      <w:r w:rsidR="00E42665" w:rsidRPr="00A53850">
        <w:rPr>
          <w:rFonts w:ascii="Verdana" w:hAnsi="Verdana"/>
          <w:sz w:val="20"/>
        </w:rPr>
        <w:t>pagos</w:t>
      </w:r>
      <w:r w:rsidR="000A7814" w:rsidRPr="00A53850">
        <w:rPr>
          <w:rFonts w:ascii="Verdana" w:hAnsi="Verdana"/>
          <w:sz w:val="20"/>
        </w:rPr>
        <w:t>,</w:t>
      </w:r>
      <w:r w:rsidR="00EF3538" w:rsidRPr="00A53850">
        <w:rPr>
          <w:rFonts w:ascii="Verdana" w:hAnsi="Verdana"/>
          <w:sz w:val="20"/>
        </w:rPr>
        <w:t xml:space="preserve"> </w:t>
      </w:r>
      <w:r w:rsidR="004A34F3" w:rsidRPr="00A53850">
        <w:rPr>
          <w:rFonts w:ascii="Verdana" w:hAnsi="Verdana"/>
          <w:sz w:val="20"/>
        </w:rPr>
        <w:t>los representantes</w:t>
      </w:r>
      <w:r w:rsidR="00EF3538" w:rsidRPr="00A53850">
        <w:rPr>
          <w:rFonts w:ascii="Verdana" w:hAnsi="Verdana"/>
          <w:sz w:val="20"/>
        </w:rPr>
        <w:t xml:space="preserve"> </w:t>
      </w:r>
      <w:r w:rsidR="00A9043C" w:rsidRPr="00A53850">
        <w:rPr>
          <w:rFonts w:ascii="Verdana" w:hAnsi="Verdana"/>
          <w:sz w:val="20"/>
        </w:rPr>
        <w:t xml:space="preserve">no controvirtieron lo indicado por el Estado </w:t>
      </w:r>
      <w:r w:rsidR="00EF3538" w:rsidRPr="00A53850">
        <w:rPr>
          <w:rFonts w:ascii="Verdana" w:hAnsi="Verdana"/>
          <w:sz w:val="20"/>
        </w:rPr>
        <w:t>en sus observaciones de diciembre de 2018</w:t>
      </w:r>
      <w:r w:rsidR="00A9043C">
        <w:rPr>
          <w:rFonts w:ascii="Verdana" w:hAnsi="Verdana"/>
          <w:sz w:val="20"/>
        </w:rPr>
        <w:t>;</w:t>
      </w:r>
      <w:r w:rsidRPr="00A53850">
        <w:rPr>
          <w:rFonts w:ascii="Verdana" w:hAnsi="Verdana"/>
          <w:sz w:val="20"/>
        </w:rPr>
        <w:t xml:space="preserve"> por el contrario, </w:t>
      </w:r>
      <w:r w:rsidR="000A7814" w:rsidRPr="00A53850">
        <w:rPr>
          <w:rFonts w:ascii="Verdana" w:hAnsi="Verdana"/>
          <w:sz w:val="20"/>
        </w:rPr>
        <w:t>confirm</w:t>
      </w:r>
      <w:r w:rsidR="00DB5587" w:rsidRPr="00A53850">
        <w:rPr>
          <w:rFonts w:ascii="Verdana" w:hAnsi="Verdana"/>
          <w:sz w:val="20"/>
        </w:rPr>
        <w:t>aron</w:t>
      </w:r>
      <w:r w:rsidR="000A7814" w:rsidRPr="00A53850">
        <w:rPr>
          <w:rFonts w:ascii="Verdana" w:hAnsi="Verdana"/>
          <w:sz w:val="20"/>
        </w:rPr>
        <w:t xml:space="preserve"> </w:t>
      </w:r>
      <w:r w:rsidR="00EF3538" w:rsidRPr="00A53850">
        <w:rPr>
          <w:rFonts w:ascii="Verdana" w:hAnsi="Verdana"/>
          <w:sz w:val="20"/>
        </w:rPr>
        <w:t>que “[d]</w:t>
      </w:r>
      <w:proofErr w:type="spellStart"/>
      <w:r w:rsidR="00EF3538" w:rsidRPr="00A53850">
        <w:rPr>
          <w:rFonts w:ascii="Verdana" w:hAnsi="Verdana"/>
          <w:sz w:val="20"/>
        </w:rPr>
        <w:t>urante</w:t>
      </w:r>
      <w:proofErr w:type="spellEnd"/>
      <w:r w:rsidR="00EF3538" w:rsidRPr="00A53850">
        <w:rPr>
          <w:rFonts w:ascii="Verdana" w:hAnsi="Verdana"/>
          <w:sz w:val="20"/>
        </w:rPr>
        <w:t xml:space="preserve"> el 2018, se hizo efectivo el pago de indemnización por </w:t>
      </w:r>
      <w:r w:rsidR="00572993" w:rsidRPr="00A53850">
        <w:rPr>
          <w:rFonts w:ascii="Verdana" w:hAnsi="Verdana"/>
          <w:sz w:val="20"/>
        </w:rPr>
        <w:t>[</w:t>
      </w:r>
      <w:r w:rsidR="00EF3538" w:rsidRPr="00A53850">
        <w:rPr>
          <w:rFonts w:ascii="Verdana" w:hAnsi="Verdana"/>
          <w:sz w:val="20"/>
        </w:rPr>
        <w:t>este</w:t>
      </w:r>
      <w:r w:rsidR="00572993" w:rsidRPr="00A53850">
        <w:rPr>
          <w:rFonts w:ascii="Verdana" w:hAnsi="Verdana"/>
          <w:sz w:val="20"/>
        </w:rPr>
        <w:t>]</w:t>
      </w:r>
      <w:r w:rsidR="00EF3538" w:rsidRPr="00A53850">
        <w:rPr>
          <w:rFonts w:ascii="Verdana" w:hAnsi="Verdana"/>
          <w:sz w:val="20"/>
        </w:rPr>
        <w:t xml:space="preserve"> concepto</w:t>
      </w:r>
      <w:r w:rsidRPr="00A53850">
        <w:rPr>
          <w:rFonts w:ascii="Verdana" w:hAnsi="Verdana"/>
          <w:sz w:val="20"/>
        </w:rPr>
        <w:t xml:space="preserve"> </w:t>
      </w:r>
      <w:r w:rsidR="00572993" w:rsidRPr="00A53850">
        <w:rPr>
          <w:rFonts w:ascii="Verdana" w:hAnsi="Verdana"/>
          <w:sz w:val="20"/>
        </w:rPr>
        <w:t xml:space="preserve">[…] </w:t>
      </w:r>
      <w:r w:rsidRPr="00A53850">
        <w:rPr>
          <w:rFonts w:ascii="Verdana" w:hAnsi="Verdana"/>
          <w:sz w:val="20"/>
        </w:rPr>
        <w:t>a</w:t>
      </w:r>
      <w:r w:rsidR="00DB5587" w:rsidRPr="00A53850">
        <w:rPr>
          <w:rFonts w:ascii="Verdana" w:hAnsi="Verdana"/>
          <w:sz w:val="20"/>
        </w:rPr>
        <w:t xml:space="preserve"> [</w:t>
      </w:r>
      <w:r w:rsidR="006643DE" w:rsidRPr="00A53850">
        <w:rPr>
          <w:rFonts w:ascii="Verdana" w:hAnsi="Verdana"/>
          <w:sz w:val="20"/>
        </w:rPr>
        <w:t xml:space="preserve">los representantes de grupos </w:t>
      </w:r>
      <w:r w:rsidR="00DB5587" w:rsidRPr="00A53850">
        <w:rPr>
          <w:rFonts w:ascii="Verdana" w:hAnsi="Verdana"/>
          <w:sz w:val="20"/>
        </w:rPr>
        <w:t>familiares de víctimas de</w:t>
      </w:r>
      <w:r w:rsidR="000867F4" w:rsidRPr="00A53850">
        <w:rPr>
          <w:rFonts w:ascii="Verdana" w:hAnsi="Verdana"/>
          <w:sz w:val="20"/>
        </w:rPr>
        <w:t xml:space="preserve"> desaparición forzada</w:t>
      </w:r>
      <w:r w:rsidR="00DB5587" w:rsidRPr="00A53850">
        <w:rPr>
          <w:rFonts w:ascii="Verdana" w:hAnsi="Verdana"/>
          <w:sz w:val="20"/>
        </w:rPr>
        <w:t>]</w:t>
      </w:r>
      <w:r w:rsidR="00EF3538" w:rsidRPr="00A53850">
        <w:rPr>
          <w:rFonts w:ascii="Verdana" w:hAnsi="Verdana"/>
          <w:sz w:val="20"/>
        </w:rPr>
        <w:t xml:space="preserve"> </w:t>
      </w:r>
      <w:r w:rsidRPr="00A53850">
        <w:rPr>
          <w:rFonts w:ascii="Verdana" w:hAnsi="Verdana"/>
          <w:sz w:val="20"/>
        </w:rPr>
        <w:t>[…], totalizando a la fecha […] veintitrés pagos de daño emergente”</w:t>
      </w:r>
      <w:r w:rsidR="000A7814" w:rsidRPr="00A53850">
        <w:rPr>
          <w:rFonts w:ascii="Verdana" w:hAnsi="Verdana"/>
          <w:sz w:val="20"/>
        </w:rPr>
        <w:t>,</w:t>
      </w:r>
      <w:r w:rsidR="007E47A8" w:rsidRPr="00A53850">
        <w:rPr>
          <w:rFonts w:ascii="Verdana" w:hAnsi="Verdana"/>
          <w:sz w:val="20"/>
        </w:rPr>
        <w:t xml:space="preserve"> quedando pendiente el pago de “un grupo familiar [correspondie</w:t>
      </w:r>
      <w:r w:rsidR="00D959E1" w:rsidRPr="00A53850">
        <w:rPr>
          <w:rFonts w:ascii="Verdana" w:hAnsi="Verdana"/>
          <w:sz w:val="20"/>
        </w:rPr>
        <w:t xml:space="preserve">nte] a las víctimas </w:t>
      </w:r>
      <w:proofErr w:type="spellStart"/>
      <w:r w:rsidR="00D959E1" w:rsidRPr="00A53850">
        <w:rPr>
          <w:rFonts w:ascii="Verdana" w:hAnsi="Verdana"/>
          <w:sz w:val="20"/>
        </w:rPr>
        <w:t>Zolio</w:t>
      </w:r>
      <w:proofErr w:type="spellEnd"/>
      <w:r w:rsidR="00D959E1" w:rsidRPr="00A53850">
        <w:rPr>
          <w:rFonts w:ascii="Verdana" w:hAnsi="Verdana"/>
          <w:sz w:val="20"/>
        </w:rPr>
        <w:t xml:space="preserve"> Canale</w:t>
      </w:r>
      <w:r w:rsidR="007E47A8" w:rsidRPr="00A53850">
        <w:rPr>
          <w:rFonts w:ascii="Verdana" w:hAnsi="Verdana"/>
          <w:sz w:val="20"/>
        </w:rPr>
        <w:t xml:space="preserve">s Salazar y </w:t>
      </w:r>
      <w:r w:rsidR="00DA2C3A" w:rsidRPr="00A53850">
        <w:rPr>
          <w:rFonts w:ascii="Verdana" w:hAnsi="Verdana"/>
          <w:sz w:val="20"/>
        </w:rPr>
        <w:t>Moisés</w:t>
      </w:r>
      <w:r w:rsidR="007E47A8" w:rsidRPr="00A53850">
        <w:rPr>
          <w:rFonts w:ascii="Verdana" w:hAnsi="Verdana"/>
          <w:sz w:val="20"/>
        </w:rPr>
        <w:t xml:space="preserve"> Canales Godoy”</w:t>
      </w:r>
      <w:r w:rsidR="00A9043C">
        <w:rPr>
          <w:rStyle w:val="Refdenotaalpie"/>
          <w:rFonts w:ascii="Verdana" w:hAnsi="Verdana"/>
          <w:sz w:val="20"/>
        </w:rPr>
        <w:footnoteReference w:id="27"/>
      </w:r>
      <w:r w:rsidR="00DA2C3A" w:rsidRPr="00A53850">
        <w:rPr>
          <w:rFonts w:ascii="Verdana" w:hAnsi="Verdana"/>
          <w:sz w:val="20"/>
        </w:rPr>
        <w:t>.</w:t>
      </w:r>
      <w:r w:rsidR="007E47A8" w:rsidRPr="00A53850">
        <w:rPr>
          <w:rFonts w:ascii="Verdana" w:hAnsi="Verdana"/>
          <w:sz w:val="20"/>
        </w:rPr>
        <w:t xml:space="preserve"> </w:t>
      </w:r>
      <w:r w:rsidR="00C24273" w:rsidRPr="00A53850">
        <w:rPr>
          <w:rFonts w:ascii="Verdana" w:hAnsi="Verdana"/>
          <w:sz w:val="20"/>
        </w:rPr>
        <w:t>Además</w:t>
      </w:r>
      <w:r w:rsidR="000A7814" w:rsidRPr="00A53850">
        <w:rPr>
          <w:rFonts w:ascii="Verdana" w:hAnsi="Verdana"/>
          <w:sz w:val="20"/>
        </w:rPr>
        <w:t>,</w:t>
      </w:r>
      <w:r w:rsidR="005E575A" w:rsidRPr="00A53850">
        <w:rPr>
          <w:rFonts w:ascii="Verdana" w:hAnsi="Verdana"/>
          <w:sz w:val="20"/>
        </w:rPr>
        <w:t xml:space="preserve"> los representantes</w:t>
      </w:r>
      <w:r w:rsidR="00C24273" w:rsidRPr="00A53850">
        <w:rPr>
          <w:rFonts w:ascii="Verdana" w:hAnsi="Verdana"/>
          <w:sz w:val="20"/>
        </w:rPr>
        <w:t xml:space="preserve"> </w:t>
      </w:r>
      <w:r w:rsidR="000A7814" w:rsidRPr="00A53850">
        <w:rPr>
          <w:rFonts w:ascii="Verdana" w:hAnsi="Verdana"/>
          <w:sz w:val="20"/>
        </w:rPr>
        <w:t>sostuv</w:t>
      </w:r>
      <w:r w:rsidR="005E575A" w:rsidRPr="00A53850">
        <w:rPr>
          <w:rFonts w:ascii="Verdana" w:hAnsi="Verdana"/>
          <w:sz w:val="20"/>
        </w:rPr>
        <w:t>ieron</w:t>
      </w:r>
      <w:r w:rsidR="000A7814" w:rsidRPr="00A53850">
        <w:rPr>
          <w:rFonts w:ascii="Verdana" w:hAnsi="Verdana"/>
          <w:sz w:val="20"/>
        </w:rPr>
        <w:t xml:space="preserve"> </w:t>
      </w:r>
      <w:r w:rsidR="00C24273" w:rsidRPr="00A53850">
        <w:rPr>
          <w:rFonts w:ascii="Verdana" w:hAnsi="Verdana"/>
          <w:sz w:val="20"/>
        </w:rPr>
        <w:t xml:space="preserve">que el monto que </w:t>
      </w:r>
      <w:r w:rsidR="00DA2C3A" w:rsidRPr="00A53850">
        <w:rPr>
          <w:rFonts w:ascii="Verdana" w:hAnsi="Verdana"/>
          <w:sz w:val="20"/>
        </w:rPr>
        <w:t xml:space="preserve">“estaba presupuestado para </w:t>
      </w:r>
      <w:r w:rsidR="005841E7" w:rsidRPr="00A53850">
        <w:rPr>
          <w:rFonts w:ascii="Verdana" w:hAnsi="Verdana"/>
          <w:sz w:val="20"/>
        </w:rPr>
        <w:t xml:space="preserve">[el pago </w:t>
      </w:r>
      <w:r w:rsidR="00871E8A" w:rsidRPr="00A53850">
        <w:rPr>
          <w:rFonts w:ascii="Verdana" w:hAnsi="Verdana"/>
          <w:sz w:val="20"/>
        </w:rPr>
        <w:t xml:space="preserve">del grupo familiar de </w:t>
      </w:r>
      <w:r w:rsidR="00D959E1" w:rsidRPr="00A53850">
        <w:rPr>
          <w:rFonts w:ascii="Verdana" w:hAnsi="Verdana"/>
          <w:sz w:val="20"/>
        </w:rPr>
        <w:t>las víctimas Canales Salazar y Canales Godoy</w:t>
      </w:r>
      <w:r w:rsidR="00871E8A" w:rsidRPr="00A53850">
        <w:rPr>
          <w:rFonts w:ascii="Verdana" w:hAnsi="Verdana"/>
          <w:sz w:val="20"/>
        </w:rPr>
        <w:t>]</w:t>
      </w:r>
      <w:r w:rsidR="00DA2C3A" w:rsidRPr="00A53850">
        <w:rPr>
          <w:rFonts w:ascii="Verdana" w:hAnsi="Verdana"/>
          <w:sz w:val="20"/>
        </w:rPr>
        <w:t>, fue distribuido entre las demás familias para el pago de los ingresos dejados de percibir”</w:t>
      </w:r>
      <w:r w:rsidR="00D70B1D">
        <w:rPr>
          <w:rStyle w:val="Refdenotaalpie"/>
          <w:rFonts w:ascii="Verdana" w:hAnsi="Verdana"/>
          <w:sz w:val="20"/>
        </w:rPr>
        <w:footnoteReference w:id="28"/>
      </w:r>
      <w:r w:rsidR="00DA2C3A" w:rsidRPr="00A53850">
        <w:rPr>
          <w:rFonts w:ascii="Verdana" w:hAnsi="Verdana"/>
          <w:sz w:val="20"/>
        </w:rPr>
        <w:t xml:space="preserve"> (</w:t>
      </w:r>
      <w:r w:rsidR="00DA2C3A" w:rsidRPr="00A53850">
        <w:rPr>
          <w:rFonts w:ascii="Verdana" w:hAnsi="Verdana"/>
          <w:i/>
          <w:sz w:val="20"/>
        </w:rPr>
        <w:t xml:space="preserve">infra </w:t>
      </w:r>
      <w:r w:rsidR="00D959E1" w:rsidRPr="00A53850">
        <w:rPr>
          <w:rFonts w:ascii="Verdana" w:hAnsi="Verdana"/>
          <w:sz w:val="20"/>
        </w:rPr>
        <w:t xml:space="preserve">Considerando </w:t>
      </w:r>
      <w:r w:rsidR="00020C3D" w:rsidRPr="00A53850">
        <w:rPr>
          <w:rFonts w:ascii="Verdana" w:hAnsi="Verdana"/>
          <w:sz w:val="20"/>
        </w:rPr>
        <w:t>10</w:t>
      </w:r>
      <w:r w:rsidR="00DA2C3A" w:rsidRPr="00A53850">
        <w:rPr>
          <w:rFonts w:ascii="Verdana" w:hAnsi="Verdana"/>
          <w:sz w:val="20"/>
        </w:rPr>
        <w:t>).</w:t>
      </w:r>
      <w:r w:rsidR="00DA2C3A" w:rsidRPr="00A53850">
        <w:rPr>
          <w:rFonts w:ascii="Verdana" w:hAnsi="Verdana"/>
          <w:b/>
          <w:sz w:val="20"/>
        </w:rPr>
        <w:t xml:space="preserve"> </w:t>
      </w:r>
    </w:p>
    <w:p w14:paraId="602F4BA7" w14:textId="77777777" w:rsidR="009607F0" w:rsidRPr="00A53850" w:rsidRDefault="009607F0" w:rsidP="009607F0">
      <w:pPr>
        <w:pStyle w:val="Textonotapie"/>
        <w:jc w:val="both"/>
        <w:rPr>
          <w:rFonts w:ascii="Verdana" w:hAnsi="Verdana"/>
          <w:sz w:val="20"/>
        </w:rPr>
      </w:pPr>
    </w:p>
    <w:p w14:paraId="2EE0E05A" w14:textId="5C7CBE60" w:rsidR="00B0621C" w:rsidRDefault="00086752" w:rsidP="009607F0">
      <w:pPr>
        <w:numPr>
          <w:ilvl w:val="0"/>
          <w:numId w:val="5"/>
        </w:numPr>
        <w:ind w:left="0" w:firstLine="0"/>
        <w:jc w:val="both"/>
        <w:rPr>
          <w:rFonts w:ascii="Verdana" w:hAnsi="Verdana"/>
          <w:sz w:val="20"/>
        </w:rPr>
      </w:pPr>
      <w:r w:rsidRPr="00A53850">
        <w:rPr>
          <w:rFonts w:ascii="Verdana" w:hAnsi="Verdana"/>
          <w:sz w:val="20"/>
        </w:rPr>
        <w:t xml:space="preserve">El Tribunal valora </w:t>
      </w:r>
      <w:r w:rsidR="005E575A" w:rsidRPr="00A53850">
        <w:rPr>
          <w:rFonts w:ascii="Verdana" w:hAnsi="Verdana"/>
          <w:sz w:val="20"/>
        </w:rPr>
        <w:t xml:space="preserve">positivamente </w:t>
      </w:r>
      <w:r w:rsidRPr="00A53850">
        <w:rPr>
          <w:rFonts w:ascii="Verdana" w:hAnsi="Verdana"/>
          <w:sz w:val="20"/>
        </w:rPr>
        <w:t xml:space="preserve">que el Estado haya pagado a 23 grupos familiares el monto dispuesto en la Sentencia por concepto de daño emergente, lo </w:t>
      </w:r>
      <w:r w:rsidR="0071747B" w:rsidRPr="00A53850">
        <w:rPr>
          <w:rFonts w:ascii="Verdana" w:hAnsi="Verdana"/>
          <w:sz w:val="20"/>
        </w:rPr>
        <w:t xml:space="preserve">cual </w:t>
      </w:r>
      <w:r w:rsidRPr="00A53850">
        <w:rPr>
          <w:rFonts w:ascii="Verdana" w:hAnsi="Verdana"/>
          <w:sz w:val="20"/>
        </w:rPr>
        <w:t>fue confirmado por los representantes de las víctimas (</w:t>
      </w:r>
      <w:r w:rsidRPr="00A53850">
        <w:rPr>
          <w:rFonts w:ascii="Verdana" w:hAnsi="Verdana"/>
          <w:i/>
          <w:sz w:val="20"/>
        </w:rPr>
        <w:t>supra</w:t>
      </w:r>
      <w:r w:rsidRPr="00A53850">
        <w:rPr>
          <w:rFonts w:ascii="Verdana" w:hAnsi="Verdana"/>
          <w:sz w:val="20"/>
        </w:rPr>
        <w:t xml:space="preserve"> Considerando</w:t>
      </w:r>
      <w:r w:rsidR="001C4DB6" w:rsidRPr="00A53850">
        <w:rPr>
          <w:rFonts w:ascii="Verdana" w:hAnsi="Verdana"/>
          <w:sz w:val="20"/>
        </w:rPr>
        <w:t xml:space="preserve"> </w:t>
      </w:r>
      <w:r w:rsidR="00020C3D" w:rsidRPr="00A53850">
        <w:rPr>
          <w:rFonts w:ascii="Verdana" w:hAnsi="Verdana"/>
          <w:sz w:val="20"/>
        </w:rPr>
        <w:t>8</w:t>
      </w:r>
      <w:r w:rsidRPr="00A53850">
        <w:rPr>
          <w:rFonts w:ascii="Verdana" w:hAnsi="Verdana"/>
          <w:sz w:val="20"/>
        </w:rPr>
        <w:t xml:space="preserve">). Sin embargo, la Corte </w:t>
      </w:r>
      <w:r w:rsidR="005E575A" w:rsidRPr="00A53850">
        <w:rPr>
          <w:rFonts w:ascii="Verdana" w:hAnsi="Verdana"/>
          <w:sz w:val="20"/>
        </w:rPr>
        <w:t xml:space="preserve">observa </w:t>
      </w:r>
      <w:r w:rsidRPr="00A53850">
        <w:rPr>
          <w:rFonts w:ascii="Verdana" w:hAnsi="Verdana"/>
          <w:sz w:val="20"/>
        </w:rPr>
        <w:t>que</w:t>
      </w:r>
      <w:r w:rsidR="00B0621C">
        <w:rPr>
          <w:rFonts w:ascii="Verdana" w:hAnsi="Verdana"/>
          <w:sz w:val="20"/>
        </w:rPr>
        <w:t xml:space="preserve"> se encuentra pendiente el pago a favor del grupo familiar de las </w:t>
      </w:r>
      <w:r w:rsidR="00B0621C" w:rsidRPr="00A53850">
        <w:rPr>
          <w:rFonts w:ascii="Verdana" w:hAnsi="Verdana"/>
          <w:sz w:val="20"/>
        </w:rPr>
        <w:t xml:space="preserve">víctimas de desaparición forzada </w:t>
      </w:r>
      <w:proofErr w:type="spellStart"/>
      <w:r w:rsidR="00B0621C" w:rsidRPr="00A53850">
        <w:rPr>
          <w:rFonts w:ascii="Verdana" w:hAnsi="Verdana"/>
          <w:sz w:val="20"/>
        </w:rPr>
        <w:t>Zolio</w:t>
      </w:r>
      <w:proofErr w:type="spellEnd"/>
      <w:r w:rsidR="00B0621C" w:rsidRPr="00A53850">
        <w:rPr>
          <w:rFonts w:ascii="Verdana" w:hAnsi="Verdana"/>
          <w:sz w:val="20"/>
        </w:rPr>
        <w:t xml:space="preserve"> Canales Salazar y Moisés Canales Godoy</w:t>
      </w:r>
      <w:r w:rsidR="00B0621C">
        <w:rPr>
          <w:rFonts w:ascii="Verdana" w:hAnsi="Verdana"/>
          <w:sz w:val="20"/>
        </w:rPr>
        <w:t xml:space="preserve">. Asimismo, el Tribunal constata que los </w:t>
      </w:r>
      <w:r w:rsidRPr="00A53850">
        <w:rPr>
          <w:rFonts w:ascii="Verdana" w:hAnsi="Verdana"/>
          <w:sz w:val="20"/>
        </w:rPr>
        <w:t xml:space="preserve">pagos </w:t>
      </w:r>
      <w:r w:rsidR="00B0621C">
        <w:rPr>
          <w:rFonts w:ascii="Verdana" w:hAnsi="Verdana"/>
          <w:sz w:val="20"/>
        </w:rPr>
        <w:t>ya realizados (</w:t>
      </w:r>
      <w:r w:rsidR="00B0621C">
        <w:rPr>
          <w:rFonts w:ascii="Verdana" w:hAnsi="Verdana"/>
          <w:i/>
          <w:sz w:val="20"/>
        </w:rPr>
        <w:t xml:space="preserve">supra </w:t>
      </w:r>
      <w:r w:rsidR="00B0621C">
        <w:rPr>
          <w:rFonts w:ascii="Verdana" w:hAnsi="Verdana"/>
          <w:sz w:val="20"/>
        </w:rPr>
        <w:t xml:space="preserve">Considerando 8) </w:t>
      </w:r>
      <w:r w:rsidRPr="00A53850">
        <w:rPr>
          <w:rFonts w:ascii="Verdana" w:hAnsi="Verdana"/>
          <w:sz w:val="20"/>
        </w:rPr>
        <w:t>fueron efectuados fuera del plazo de dos años</w:t>
      </w:r>
      <w:r w:rsidR="00F23CA8" w:rsidRPr="00A53850">
        <w:rPr>
          <w:rFonts w:ascii="Verdana" w:hAnsi="Verdana"/>
          <w:sz w:val="20"/>
        </w:rPr>
        <w:t xml:space="preserve"> dispuesto en </w:t>
      </w:r>
      <w:r w:rsidRPr="00A53850">
        <w:rPr>
          <w:rFonts w:ascii="Verdana" w:hAnsi="Verdana"/>
          <w:sz w:val="20"/>
        </w:rPr>
        <w:t>la Sentencia (</w:t>
      </w:r>
      <w:r w:rsidRPr="00A53850">
        <w:rPr>
          <w:rFonts w:ascii="Verdana" w:hAnsi="Verdana"/>
          <w:i/>
          <w:sz w:val="20"/>
        </w:rPr>
        <w:t>supra</w:t>
      </w:r>
      <w:r w:rsidRPr="00A53850">
        <w:rPr>
          <w:rFonts w:ascii="Verdana" w:hAnsi="Verdana"/>
          <w:sz w:val="20"/>
        </w:rPr>
        <w:t xml:space="preserve"> Considerando </w:t>
      </w:r>
      <w:r w:rsidR="00B0621C">
        <w:rPr>
          <w:rFonts w:ascii="Verdana" w:hAnsi="Verdana"/>
          <w:sz w:val="20"/>
        </w:rPr>
        <w:t>7</w:t>
      </w:r>
      <w:r w:rsidRPr="00A53850">
        <w:rPr>
          <w:rFonts w:ascii="Verdana" w:hAnsi="Verdana"/>
          <w:sz w:val="20"/>
        </w:rPr>
        <w:t>)</w:t>
      </w:r>
      <w:r w:rsidR="0071747B" w:rsidRPr="00A53850">
        <w:rPr>
          <w:rFonts w:ascii="Verdana" w:hAnsi="Verdana"/>
          <w:sz w:val="20"/>
        </w:rPr>
        <w:t xml:space="preserve">, el cual </w:t>
      </w:r>
      <w:r w:rsidRPr="00A53850">
        <w:rPr>
          <w:rFonts w:ascii="Verdana" w:hAnsi="Verdana"/>
          <w:sz w:val="20"/>
        </w:rPr>
        <w:t>venció el 24 de diciembre de 2014</w:t>
      </w:r>
      <w:r w:rsidR="00B0621C">
        <w:rPr>
          <w:rFonts w:ascii="Verdana" w:hAnsi="Verdana"/>
          <w:sz w:val="20"/>
        </w:rPr>
        <w:t xml:space="preserve">. Por tanto, el Estado deberá pagar los respectivos </w:t>
      </w:r>
      <w:r w:rsidRPr="00A53850">
        <w:rPr>
          <w:rFonts w:ascii="Verdana" w:hAnsi="Verdana"/>
          <w:sz w:val="20"/>
        </w:rPr>
        <w:t xml:space="preserve">intereses moratorios </w:t>
      </w:r>
      <w:r w:rsidR="00B0621C">
        <w:rPr>
          <w:rFonts w:ascii="Verdana" w:hAnsi="Verdana"/>
          <w:sz w:val="20"/>
        </w:rPr>
        <w:t>a partir de la fecha señalada, según fue establecido en la Sentencia</w:t>
      </w:r>
      <w:r w:rsidRPr="00A53850">
        <w:rPr>
          <w:rStyle w:val="Refdenotaalpie"/>
          <w:rFonts w:ascii="Verdana" w:hAnsi="Verdana"/>
          <w:sz w:val="20"/>
        </w:rPr>
        <w:footnoteReference w:id="29"/>
      </w:r>
      <w:r w:rsidRPr="00A53850">
        <w:rPr>
          <w:rFonts w:ascii="Verdana" w:hAnsi="Verdana"/>
          <w:sz w:val="20"/>
        </w:rPr>
        <w:t xml:space="preserve">. </w:t>
      </w:r>
    </w:p>
    <w:p w14:paraId="51214F09" w14:textId="77777777" w:rsidR="00B0621C" w:rsidRDefault="00B0621C" w:rsidP="00FF3984">
      <w:pPr>
        <w:pStyle w:val="Prrafodelista"/>
        <w:rPr>
          <w:rFonts w:ascii="Verdana" w:hAnsi="Verdana"/>
          <w:sz w:val="20"/>
        </w:rPr>
      </w:pPr>
    </w:p>
    <w:p w14:paraId="2A826984" w14:textId="72291B64" w:rsidR="00086752" w:rsidRDefault="00086752" w:rsidP="009607F0">
      <w:pPr>
        <w:numPr>
          <w:ilvl w:val="0"/>
          <w:numId w:val="5"/>
        </w:numPr>
        <w:ind w:left="0" w:firstLine="0"/>
        <w:jc w:val="both"/>
        <w:rPr>
          <w:rFonts w:ascii="Verdana" w:hAnsi="Verdana"/>
          <w:sz w:val="20"/>
        </w:rPr>
      </w:pPr>
      <w:r w:rsidRPr="00A53850">
        <w:rPr>
          <w:rFonts w:ascii="Verdana" w:hAnsi="Verdana"/>
          <w:sz w:val="20"/>
        </w:rPr>
        <w:lastRenderedPageBreak/>
        <w:t xml:space="preserve">En virtud de </w:t>
      </w:r>
      <w:r w:rsidR="00C16619">
        <w:rPr>
          <w:rFonts w:ascii="Verdana" w:hAnsi="Verdana"/>
          <w:sz w:val="20"/>
        </w:rPr>
        <w:t>lo anterior</w:t>
      </w:r>
      <w:r w:rsidR="003308ED" w:rsidRPr="00A53850">
        <w:rPr>
          <w:rFonts w:ascii="Verdana" w:hAnsi="Verdana"/>
          <w:sz w:val="20"/>
        </w:rPr>
        <w:t>,</w:t>
      </w:r>
      <w:r w:rsidRPr="00A53850">
        <w:rPr>
          <w:rFonts w:ascii="Verdana" w:hAnsi="Verdana"/>
          <w:sz w:val="20"/>
        </w:rPr>
        <w:t xml:space="preserve"> la Corte considera que el Estado ha dado cumplimiento parcial a</w:t>
      </w:r>
      <w:r w:rsidR="0071747B" w:rsidRPr="00A53850">
        <w:rPr>
          <w:rFonts w:ascii="Verdana" w:hAnsi="Verdana"/>
          <w:sz w:val="20"/>
        </w:rPr>
        <w:t>l pago de</w:t>
      </w:r>
      <w:r w:rsidRPr="00A53850">
        <w:rPr>
          <w:rFonts w:ascii="Verdana" w:hAnsi="Verdana"/>
          <w:sz w:val="20"/>
        </w:rPr>
        <w:t xml:space="preserve"> la</w:t>
      </w:r>
      <w:r w:rsidR="0071747B" w:rsidRPr="00A53850">
        <w:rPr>
          <w:rFonts w:ascii="Verdana" w:hAnsi="Verdana"/>
          <w:sz w:val="20"/>
        </w:rPr>
        <w:t>s</w:t>
      </w:r>
      <w:r w:rsidRPr="00A53850">
        <w:rPr>
          <w:rFonts w:ascii="Verdana" w:hAnsi="Verdana"/>
          <w:sz w:val="20"/>
        </w:rPr>
        <w:t xml:space="preserve"> indemnizaci</w:t>
      </w:r>
      <w:r w:rsidR="0071747B" w:rsidRPr="00A53850">
        <w:rPr>
          <w:rFonts w:ascii="Verdana" w:hAnsi="Verdana"/>
          <w:sz w:val="20"/>
        </w:rPr>
        <w:t>ones</w:t>
      </w:r>
      <w:r w:rsidRPr="00A53850">
        <w:rPr>
          <w:rFonts w:ascii="Verdana" w:hAnsi="Verdana"/>
          <w:sz w:val="20"/>
        </w:rPr>
        <w:t xml:space="preserve"> </w:t>
      </w:r>
      <w:r w:rsidR="004C7FD7">
        <w:rPr>
          <w:rFonts w:ascii="Verdana" w:hAnsi="Verdana"/>
          <w:sz w:val="20"/>
        </w:rPr>
        <w:t>por concepto de</w:t>
      </w:r>
      <w:r w:rsidRPr="00A53850">
        <w:rPr>
          <w:rFonts w:ascii="Verdana" w:hAnsi="Verdana"/>
          <w:sz w:val="20"/>
        </w:rPr>
        <w:t xml:space="preserve"> daño emergente, quedando pendiente</w:t>
      </w:r>
      <w:r w:rsidR="00B0621C">
        <w:rPr>
          <w:rFonts w:ascii="Verdana" w:hAnsi="Verdana"/>
          <w:sz w:val="20"/>
        </w:rPr>
        <w:t xml:space="preserve"> de cumplimiento</w:t>
      </w:r>
      <w:r w:rsidRPr="00A53850">
        <w:rPr>
          <w:rFonts w:ascii="Verdana" w:hAnsi="Verdana"/>
          <w:sz w:val="20"/>
        </w:rPr>
        <w:t xml:space="preserve"> el pago </w:t>
      </w:r>
      <w:r w:rsidR="004C7FD7">
        <w:rPr>
          <w:rFonts w:ascii="Verdana" w:hAnsi="Verdana"/>
          <w:sz w:val="20"/>
        </w:rPr>
        <w:t>a favor del</w:t>
      </w:r>
      <w:r w:rsidR="004C7FD7" w:rsidRPr="00A53850">
        <w:rPr>
          <w:rFonts w:ascii="Verdana" w:hAnsi="Verdana"/>
          <w:sz w:val="20"/>
        </w:rPr>
        <w:t xml:space="preserve"> </w:t>
      </w:r>
      <w:r w:rsidRPr="00A53850">
        <w:rPr>
          <w:rFonts w:ascii="Verdana" w:hAnsi="Verdana"/>
          <w:sz w:val="20"/>
        </w:rPr>
        <w:t xml:space="preserve">grupo familiar de las víctimas de desaparición forzada </w:t>
      </w:r>
      <w:proofErr w:type="spellStart"/>
      <w:r w:rsidRPr="00A53850">
        <w:rPr>
          <w:rFonts w:ascii="Verdana" w:hAnsi="Verdana"/>
          <w:sz w:val="20"/>
        </w:rPr>
        <w:t>Zolio</w:t>
      </w:r>
      <w:proofErr w:type="spellEnd"/>
      <w:r w:rsidRPr="00A53850">
        <w:rPr>
          <w:rFonts w:ascii="Verdana" w:hAnsi="Verdana"/>
          <w:sz w:val="20"/>
        </w:rPr>
        <w:t xml:space="preserve"> Canales Salazar y Moisés Canales Godoy, así como</w:t>
      </w:r>
      <w:r w:rsidR="002372C8">
        <w:rPr>
          <w:rFonts w:ascii="Verdana" w:hAnsi="Verdana"/>
          <w:sz w:val="20"/>
        </w:rPr>
        <w:t xml:space="preserve"> pagar</w:t>
      </w:r>
      <w:r w:rsidRPr="00A53850">
        <w:rPr>
          <w:rFonts w:ascii="Verdana" w:hAnsi="Verdana"/>
          <w:sz w:val="20"/>
        </w:rPr>
        <w:t xml:space="preserve"> los respectivos intereses moratorios a favor de los 24 grupos familiares de las 26 víctimas de desaparición forzada. </w:t>
      </w:r>
      <w:r w:rsidR="0085510F">
        <w:rPr>
          <w:rFonts w:ascii="Verdana" w:hAnsi="Verdana"/>
          <w:sz w:val="20"/>
        </w:rPr>
        <w:t>El Tribunal</w:t>
      </w:r>
      <w:r w:rsidR="0085510F" w:rsidRPr="00C95A5C">
        <w:rPr>
          <w:rFonts w:ascii="Verdana" w:hAnsi="Verdana"/>
          <w:sz w:val="20"/>
        </w:rPr>
        <w:t xml:space="preserve"> requiere al Estado</w:t>
      </w:r>
      <w:r w:rsidR="0085510F" w:rsidRPr="00FC2A82">
        <w:rPr>
          <w:rFonts w:ascii="Verdana" w:hAnsi="Verdana"/>
          <w:sz w:val="20"/>
        </w:rPr>
        <w:t xml:space="preserve"> </w:t>
      </w:r>
      <w:r w:rsidR="0085510F">
        <w:rPr>
          <w:rFonts w:ascii="Verdana" w:hAnsi="Verdana"/>
          <w:sz w:val="20"/>
        </w:rPr>
        <w:t>que dentro del plazo establecido en el punto resolutivo quinto de la presente Resolución</w:t>
      </w:r>
      <w:r w:rsidR="0085510F" w:rsidRPr="00C95A5C">
        <w:rPr>
          <w:rFonts w:ascii="Verdana" w:hAnsi="Verdana"/>
          <w:sz w:val="20"/>
        </w:rPr>
        <w:t xml:space="preserve"> indique los avances en el cumplimiento de esta medida de reparación.</w:t>
      </w:r>
    </w:p>
    <w:p w14:paraId="117639A9" w14:textId="77777777" w:rsidR="009607F0" w:rsidRPr="00A53850" w:rsidRDefault="009607F0" w:rsidP="009607F0">
      <w:pPr>
        <w:jc w:val="both"/>
        <w:rPr>
          <w:rFonts w:ascii="Verdana" w:hAnsi="Verdana"/>
          <w:sz w:val="20"/>
        </w:rPr>
      </w:pPr>
    </w:p>
    <w:p w14:paraId="16A8AE2A" w14:textId="3CDEDCE8" w:rsidR="00D253BD" w:rsidRPr="009607F0" w:rsidRDefault="00D253BD" w:rsidP="009607F0">
      <w:pPr>
        <w:numPr>
          <w:ilvl w:val="0"/>
          <w:numId w:val="5"/>
        </w:numPr>
        <w:ind w:left="0" w:firstLine="0"/>
        <w:jc w:val="both"/>
        <w:rPr>
          <w:rFonts w:ascii="Verdana" w:hAnsi="Verdana"/>
          <w:sz w:val="20"/>
        </w:rPr>
      </w:pPr>
      <w:r w:rsidRPr="00A53850">
        <w:rPr>
          <w:rFonts w:ascii="Verdana" w:hAnsi="Verdana"/>
          <w:sz w:val="20"/>
        </w:rPr>
        <w:t>E</w:t>
      </w:r>
      <w:r w:rsidR="00C02B36" w:rsidRPr="00A53850">
        <w:rPr>
          <w:rFonts w:ascii="Verdana" w:hAnsi="Verdana"/>
          <w:sz w:val="20"/>
        </w:rPr>
        <w:t xml:space="preserve">n relación </w:t>
      </w:r>
      <w:r w:rsidR="002745C3" w:rsidRPr="00A53850">
        <w:rPr>
          <w:rFonts w:ascii="Verdana" w:hAnsi="Verdana"/>
          <w:sz w:val="20"/>
        </w:rPr>
        <w:t xml:space="preserve">con el </w:t>
      </w:r>
      <w:r w:rsidR="00C83E77" w:rsidRPr="00A53850">
        <w:rPr>
          <w:rFonts w:ascii="Verdana" w:hAnsi="Verdana"/>
          <w:sz w:val="20"/>
        </w:rPr>
        <w:t xml:space="preserve">pago de las indemnizaciones por concepto de los </w:t>
      </w:r>
      <w:r w:rsidR="00C02B36" w:rsidRPr="00A53850">
        <w:rPr>
          <w:rFonts w:ascii="Verdana" w:hAnsi="Verdana"/>
          <w:sz w:val="20"/>
        </w:rPr>
        <w:t>ingresos dejados de percibir</w:t>
      </w:r>
      <w:r w:rsidR="005615D3" w:rsidRPr="00A53850">
        <w:rPr>
          <w:rFonts w:ascii="Verdana" w:hAnsi="Verdana"/>
          <w:sz w:val="20"/>
        </w:rPr>
        <w:t xml:space="preserve"> </w:t>
      </w:r>
      <w:r w:rsidR="00B31482">
        <w:rPr>
          <w:rFonts w:ascii="Verdana" w:hAnsi="Verdana"/>
          <w:sz w:val="20"/>
        </w:rPr>
        <w:t>a favor de las</w:t>
      </w:r>
      <w:r w:rsidR="00C83E77" w:rsidRPr="00A53850">
        <w:rPr>
          <w:rFonts w:ascii="Verdana" w:hAnsi="Verdana"/>
          <w:sz w:val="20"/>
        </w:rPr>
        <w:t xml:space="preserve"> 26 víctimas de desaparición forzada, </w:t>
      </w:r>
      <w:r w:rsidR="00C02B36" w:rsidRPr="00A53850">
        <w:rPr>
          <w:rFonts w:ascii="Verdana" w:hAnsi="Verdana"/>
          <w:sz w:val="20"/>
        </w:rPr>
        <w:t xml:space="preserve">el Estado </w:t>
      </w:r>
      <w:r w:rsidR="001013E1" w:rsidRPr="00A53850">
        <w:rPr>
          <w:rFonts w:ascii="Verdana" w:hAnsi="Verdana"/>
          <w:sz w:val="20"/>
        </w:rPr>
        <w:t xml:space="preserve">afirmó </w:t>
      </w:r>
      <w:r w:rsidR="00C21860" w:rsidRPr="00A53850">
        <w:rPr>
          <w:rFonts w:ascii="Verdana" w:hAnsi="Verdana"/>
          <w:sz w:val="20"/>
        </w:rPr>
        <w:t>que “</w:t>
      </w:r>
      <w:r w:rsidR="005615D3" w:rsidRPr="00A53850">
        <w:rPr>
          <w:rFonts w:ascii="Verdana" w:hAnsi="Verdana"/>
          <w:sz w:val="20"/>
        </w:rPr>
        <w:t xml:space="preserve">se [pudo] </w:t>
      </w:r>
      <w:r w:rsidR="00C21860" w:rsidRPr="00A53850">
        <w:rPr>
          <w:rFonts w:ascii="Verdana" w:hAnsi="Verdana"/>
          <w:sz w:val="20"/>
        </w:rPr>
        <w:t xml:space="preserve">efectuar </w:t>
      </w:r>
      <w:r w:rsidR="001E19E4" w:rsidRPr="00A53850">
        <w:rPr>
          <w:rFonts w:ascii="Verdana" w:hAnsi="Verdana"/>
          <w:sz w:val="20"/>
        </w:rPr>
        <w:t>un primer abono</w:t>
      </w:r>
      <w:r w:rsidR="00742531" w:rsidRPr="00A53850">
        <w:rPr>
          <w:rFonts w:ascii="Verdana" w:hAnsi="Verdana"/>
          <w:sz w:val="20"/>
        </w:rPr>
        <w:t xml:space="preserve"> </w:t>
      </w:r>
      <w:r w:rsidR="00C21860" w:rsidRPr="00A53850">
        <w:rPr>
          <w:rFonts w:ascii="Verdana" w:hAnsi="Verdana"/>
          <w:sz w:val="20"/>
        </w:rPr>
        <w:t>por el monto de [</w:t>
      </w:r>
      <w:r w:rsidR="00742531" w:rsidRPr="00A53850">
        <w:rPr>
          <w:rFonts w:ascii="Verdana" w:hAnsi="Verdana"/>
          <w:sz w:val="20"/>
        </w:rPr>
        <w:t>US</w:t>
      </w:r>
      <w:r w:rsidR="00837046" w:rsidRPr="00A53850">
        <w:rPr>
          <w:rFonts w:ascii="Verdana" w:hAnsi="Verdana"/>
          <w:sz w:val="20"/>
        </w:rPr>
        <w:t xml:space="preserve">D </w:t>
      </w:r>
      <w:r w:rsidR="00742531" w:rsidRPr="00A53850">
        <w:rPr>
          <w:rFonts w:ascii="Verdana" w:hAnsi="Verdana"/>
          <w:sz w:val="20"/>
        </w:rPr>
        <w:t>$7</w:t>
      </w:r>
      <w:r w:rsidR="00C02B36" w:rsidRPr="00A53850">
        <w:rPr>
          <w:rFonts w:ascii="Verdana" w:hAnsi="Verdana"/>
          <w:sz w:val="20"/>
        </w:rPr>
        <w:t>,</w:t>
      </w:r>
      <w:r w:rsidR="00742531" w:rsidRPr="00A53850">
        <w:rPr>
          <w:rFonts w:ascii="Verdana" w:hAnsi="Verdana"/>
          <w:sz w:val="20"/>
        </w:rPr>
        <w:t>500</w:t>
      </w:r>
      <w:r w:rsidR="001760DF" w:rsidRPr="00A53850">
        <w:rPr>
          <w:rFonts w:ascii="Verdana" w:hAnsi="Verdana"/>
          <w:sz w:val="20"/>
        </w:rPr>
        <w:t>.00</w:t>
      </w:r>
      <w:r w:rsidR="00742531" w:rsidRPr="00A53850">
        <w:rPr>
          <w:rFonts w:ascii="Verdana" w:hAnsi="Verdana"/>
          <w:sz w:val="20"/>
        </w:rPr>
        <w:t xml:space="preserve"> (siete mil quinientos dólares de los Estados Unidos de América)</w:t>
      </w:r>
      <w:r w:rsidR="00C21860" w:rsidRPr="00A53850">
        <w:rPr>
          <w:rFonts w:ascii="Verdana" w:hAnsi="Verdana"/>
          <w:sz w:val="20"/>
        </w:rPr>
        <w:t>] a</w:t>
      </w:r>
      <w:r w:rsidR="005615D3" w:rsidRPr="00A53850">
        <w:rPr>
          <w:rFonts w:ascii="Verdana" w:hAnsi="Verdana"/>
          <w:sz w:val="20"/>
        </w:rPr>
        <w:t xml:space="preserve"> cada uno de los 23 beneficiarios consignados en la Sentencia y priorizados de común acuerdo entre la Fundación Myrna Mack y los beneficiarios”</w:t>
      </w:r>
      <w:r w:rsidR="00045F7E">
        <w:rPr>
          <w:rStyle w:val="Refdenotaalpie"/>
          <w:rFonts w:ascii="Verdana" w:hAnsi="Verdana"/>
          <w:sz w:val="20"/>
        </w:rPr>
        <w:footnoteReference w:id="30"/>
      </w:r>
      <w:r w:rsidR="005615D3" w:rsidRPr="00A53850">
        <w:rPr>
          <w:rFonts w:ascii="Verdana" w:hAnsi="Verdana"/>
          <w:sz w:val="20"/>
        </w:rPr>
        <w:t xml:space="preserve">. Por su parte, </w:t>
      </w:r>
      <w:r w:rsidR="004A34F3" w:rsidRPr="00A53850">
        <w:rPr>
          <w:rFonts w:ascii="Verdana" w:hAnsi="Verdana"/>
          <w:sz w:val="20"/>
        </w:rPr>
        <w:t>los representantes</w:t>
      </w:r>
      <w:r w:rsidR="00E42665" w:rsidRPr="00A53850">
        <w:rPr>
          <w:rFonts w:ascii="Verdana" w:hAnsi="Verdana"/>
          <w:sz w:val="20"/>
        </w:rPr>
        <w:t xml:space="preserve"> </w:t>
      </w:r>
      <w:r w:rsidR="00B31482">
        <w:rPr>
          <w:rFonts w:ascii="Verdana" w:hAnsi="Verdana"/>
          <w:sz w:val="20"/>
        </w:rPr>
        <w:t xml:space="preserve">contradijeron el número de las víctimas cuyos beneficiarios recibieron el referido pago, en tanto </w:t>
      </w:r>
      <w:r w:rsidR="00C83E77" w:rsidRPr="00A53850">
        <w:rPr>
          <w:rFonts w:ascii="Verdana" w:hAnsi="Verdana"/>
          <w:sz w:val="20"/>
        </w:rPr>
        <w:t xml:space="preserve">reconocieron </w:t>
      </w:r>
      <w:r w:rsidR="00B45D16" w:rsidRPr="00A53850">
        <w:rPr>
          <w:rFonts w:ascii="Verdana" w:hAnsi="Verdana"/>
          <w:sz w:val="20"/>
        </w:rPr>
        <w:t xml:space="preserve">que </w:t>
      </w:r>
      <w:r w:rsidR="002745C3" w:rsidRPr="00A53850">
        <w:rPr>
          <w:rFonts w:ascii="Verdana" w:hAnsi="Verdana"/>
          <w:sz w:val="20"/>
        </w:rPr>
        <w:t>el Estado efectuó</w:t>
      </w:r>
      <w:r w:rsidR="00B45D16" w:rsidRPr="00A53850">
        <w:rPr>
          <w:rFonts w:ascii="Verdana" w:hAnsi="Verdana"/>
          <w:sz w:val="20"/>
        </w:rPr>
        <w:t xml:space="preserve"> un abono </w:t>
      </w:r>
      <w:r w:rsidR="00C83E77" w:rsidRPr="00A53850">
        <w:rPr>
          <w:rFonts w:ascii="Verdana" w:hAnsi="Verdana"/>
          <w:sz w:val="20"/>
        </w:rPr>
        <w:t>a</w:t>
      </w:r>
      <w:r w:rsidR="002745C3" w:rsidRPr="00A53850">
        <w:rPr>
          <w:rFonts w:ascii="Verdana" w:hAnsi="Verdana"/>
          <w:sz w:val="20"/>
        </w:rPr>
        <w:t xml:space="preserve"> favor de</w:t>
      </w:r>
      <w:r w:rsidR="00C83E77" w:rsidRPr="00A53850">
        <w:rPr>
          <w:rFonts w:ascii="Verdana" w:hAnsi="Verdana"/>
          <w:sz w:val="20"/>
        </w:rPr>
        <w:t xml:space="preserve"> los beneficiarios de 22 víctimas</w:t>
      </w:r>
      <w:r w:rsidR="00301714" w:rsidRPr="00A53850">
        <w:rPr>
          <w:rFonts w:ascii="Verdana" w:hAnsi="Verdana"/>
          <w:sz w:val="20"/>
        </w:rPr>
        <w:t xml:space="preserve"> de desaparición forzada</w:t>
      </w:r>
      <w:r w:rsidR="002745C3" w:rsidRPr="00A53850">
        <w:rPr>
          <w:rStyle w:val="Refdenotaalpie"/>
          <w:rFonts w:ascii="Verdana" w:hAnsi="Verdana"/>
          <w:sz w:val="20"/>
        </w:rPr>
        <w:footnoteReference w:id="31"/>
      </w:r>
      <w:r w:rsidR="005615D3" w:rsidRPr="00A53850">
        <w:rPr>
          <w:rFonts w:ascii="Verdana" w:hAnsi="Verdana"/>
          <w:sz w:val="20"/>
        </w:rPr>
        <w:t xml:space="preserve">. </w:t>
      </w:r>
      <w:r w:rsidR="00B31482">
        <w:rPr>
          <w:rFonts w:ascii="Verdana" w:hAnsi="Verdana"/>
          <w:sz w:val="20"/>
        </w:rPr>
        <w:t>Adicionalmente, indicaron</w:t>
      </w:r>
      <w:r w:rsidR="005615D3" w:rsidRPr="00A53850">
        <w:rPr>
          <w:rFonts w:ascii="Verdana" w:hAnsi="Verdana"/>
          <w:sz w:val="20"/>
        </w:rPr>
        <w:t xml:space="preserve"> </w:t>
      </w:r>
      <w:r w:rsidR="000A7814" w:rsidRPr="00A53850">
        <w:rPr>
          <w:rFonts w:ascii="Verdana" w:hAnsi="Verdana"/>
          <w:sz w:val="20"/>
        </w:rPr>
        <w:t xml:space="preserve">respecto </w:t>
      </w:r>
      <w:r w:rsidR="00B45D16" w:rsidRPr="00A53850">
        <w:rPr>
          <w:rFonts w:ascii="Verdana" w:hAnsi="Verdana"/>
          <w:sz w:val="20"/>
        </w:rPr>
        <w:t xml:space="preserve">de </w:t>
      </w:r>
      <w:r w:rsidR="00B31482">
        <w:rPr>
          <w:rFonts w:ascii="Verdana" w:hAnsi="Verdana"/>
          <w:sz w:val="20"/>
        </w:rPr>
        <w:t>los beneficiarios de las</w:t>
      </w:r>
      <w:r w:rsidR="00B45D16" w:rsidRPr="00A53850">
        <w:rPr>
          <w:rFonts w:ascii="Verdana" w:hAnsi="Verdana"/>
          <w:sz w:val="20"/>
        </w:rPr>
        <w:t xml:space="preserve"> </w:t>
      </w:r>
      <w:r w:rsidR="00A0658F" w:rsidRPr="00A53850">
        <w:rPr>
          <w:rFonts w:ascii="Verdana" w:hAnsi="Verdana"/>
          <w:sz w:val="20"/>
        </w:rPr>
        <w:t>“</w:t>
      </w:r>
      <w:r w:rsidR="00B45D16" w:rsidRPr="00A53850">
        <w:rPr>
          <w:rFonts w:ascii="Verdana" w:hAnsi="Verdana"/>
          <w:sz w:val="20"/>
        </w:rPr>
        <w:t>cuatro víctimas</w:t>
      </w:r>
      <w:r w:rsidR="00B31482">
        <w:rPr>
          <w:rFonts w:ascii="Verdana" w:hAnsi="Verdana"/>
          <w:sz w:val="20"/>
        </w:rPr>
        <w:t>” restantes de recibir el pago, que</w:t>
      </w:r>
      <w:r w:rsidR="00B45D16" w:rsidRPr="00A53850">
        <w:rPr>
          <w:rFonts w:ascii="Verdana" w:hAnsi="Verdana"/>
          <w:sz w:val="20"/>
        </w:rPr>
        <w:t xml:space="preserve"> </w:t>
      </w:r>
      <w:r w:rsidR="00B31482">
        <w:rPr>
          <w:rFonts w:ascii="Verdana" w:hAnsi="Verdana"/>
          <w:sz w:val="20"/>
        </w:rPr>
        <w:t>“</w:t>
      </w:r>
      <w:r w:rsidR="00B45D16" w:rsidRPr="00A53850">
        <w:rPr>
          <w:rFonts w:ascii="Verdana" w:hAnsi="Verdana"/>
          <w:sz w:val="20"/>
        </w:rPr>
        <w:t xml:space="preserve">una no cuenta con </w:t>
      </w:r>
      <w:r w:rsidR="008F5726" w:rsidRPr="00A53850">
        <w:rPr>
          <w:rFonts w:ascii="Verdana" w:hAnsi="Verdana"/>
          <w:sz w:val="20"/>
        </w:rPr>
        <w:t xml:space="preserve">[familiares] </w:t>
      </w:r>
      <w:r w:rsidR="00B45D16" w:rsidRPr="00A53850">
        <w:rPr>
          <w:rFonts w:ascii="Verdana" w:hAnsi="Verdana"/>
          <w:sz w:val="20"/>
        </w:rPr>
        <w:t>vivos o herederos que hayan radicado un proceso sucesorio</w:t>
      </w:r>
      <w:r w:rsidR="00E42665" w:rsidRPr="00A53850">
        <w:rPr>
          <w:rFonts w:ascii="Verdana" w:hAnsi="Verdana"/>
          <w:sz w:val="20"/>
        </w:rPr>
        <w:t>,</w:t>
      </w:r>
      <w:r w:rsidR="00B45D16" w:rsidRPr="00A53850">
        <w:rPr>
          <w:rFonts w:ascii="Verdana" w:hAnsi="Verdana"/>
          <w:sz w:val="20"/>
        </w:rPr>
        <w:t xml:space="preserve"> y los [</w:t>
      </w:r>
      <w:r w:rsidR="008F5726" w:rsidRPr="00A53850">
        <w:rPr>
          <w:rFonts w:ascii="Verdana" w:hAnsi="Verdana"/>
          <w:sz w:val="20"/>
        </w:rPr>
        <w:t xml:space="preserve">familiares </w:t>
      </w:r>
      <w:r w:rsidR="00B45D16" w:rsidRPr="00A53850">
        <w:rPr>
          <w:rFonts w:ascii="Verdana" w:hAnsi="Verdana"/>
          <w:sz w:val="20"/>
        </w:rPr>
        <w:t xml:space="preserve">de las tres víctimas restantes] no viven en Guatemala, y aun no se cuentan con los documentos </w:t>
      </w:r>
      <w:r w:rsidR="00C24273" w:rsidRPr="00A53850">
        <w:rPr>
          <w:rFonts w:ascii="Verdana" w:hAnsi="Verdana"/>
          <w:sz w:val="20"/>
        </w:rPr>
        <w:t xml:space="preserve">que COPREDEH requiere para </w:t>
      </w:r>
      <w:r w:rsidR="002036F8" w:rsidRPr="00A53850">
        <w:rPr>
          <w:rFonts w:ascii="Verdana" w:hAnsi="Verdana"/>
          <w:sz w:val="20"/>
        </w:rPr>
        <w:t>los [familiares]</w:t>
      </w:r>
      <w:r w:rsidR="00C24273" w:rsidRPr="00A53850">
        <w:rPr>
          <w:rFonts w:ascii="Verdana" w:hAnsi="Verdana"/>
          <w:sz w:val="20"/>
        </w:rPr>
        <w:t xml:space="preserve"> que viven en el extranjero”</w:t>
      </w:r>
      <w:r w:rsidR="00045F7E">
        <w:rPr>
          <w:rStyle w:val="Refdenotaalpie"/>
          <w:rFonts w:ascii="Verdana" w:hAnsi="Verdana"/>
          <w:sz w:val="20"/>
        </w:rPr>
        <w:footnoteReference w:id="32"/>
      </w:r>
      <w:r w:rsidR="00C24273" w:rsidRPr="00A53850">
        <w:rPr>
          <w:rFonts w:ascii="Verdana" w:hAnsi="Verdana"/>
          <w:sz w:val="20"/>
        </w:rPr>
        <w:t xml:space="preserve">. </w:t>
      </w:r>
      <w:r w:rsidR="00B31482">
        <w:rPr>
          <w:rFonts w:ascii="Verdana" w:hAnsi="Verdana"/>
          <w:sz w:val="20"/>
        </w:rPr>
        <w:t>Los representantes c</w:t>
      </w:r>
      <w:r w:rsidR="00C83E77" w:rsidRPr="00A53850">
        <w:rPr>
          <w:rFonts w:ascii="Verdana" w:hAnsi="Verdana"/>
          <w:sz w:val="20"/>
        </w:rPr>
        <w:t xml:space="preserve">oncluyeron </w:t>
      </w:r>
      <w:r w:rsidR="00534F37" w:rsidRPr="00A53850">
        <w:rPr>
          <w:rFonts w:ascii="Verdana" w:hAnsi="Verdana"/>
          <w:sz w:val="20"/>
        </w:rPr>
        <w:t xml:space="preserve">que “hace falta completar el abono otorgado a los beneficiarios de 22 víctimas registradas en el Diario Militar y hacer el pago completo a los beneficiarios de las cuatro víctimas restantes, que son Julio Alberto Estrada Illescas, Luz Haydée Méndez Calderon, </w:t>
      </w:r>
      <w:proofErr w:type="spellStart"/>
      <w:r w:rsidR="00534F37" w:rsidRPr="00A53850">
        <w:rPr>
          <w:rFonts w:ascii="Verdana" w:hAnsi="Verdana"/>
          <w:sz w:val="20"/>
        </w:rPr>
        <w:t>Zolio</w:t>
      </w:r>
      <w:proofErr w:type="spellEnd"/>
      <w:r w:rsidR="00534F37" w:rsidRPr="00A53850">
        <w:rPr>
          <w:rFonts w:ascii="Verdana" w:hAnsi="Verdana"/>
          <w:sz w:val="20"/>
        </w:rPr>
        <w:t xml:space="preserve"> Canales Salazar y Moisés Canales Godoy”</w:t>
      </w:r>
      <w:r w:rsidR="00045F7E">
        <w:rPr>
          <w:rStyle w:val="Refdenotaalpie"/>
          <w:rFonts w:ascii="Verdana" w:hAnsi="Verdana"/>
          <w:sz w:val="20"/>
        </w:rPr>
        <w:footnoteReference w:id="33"/>
      </w:r>
      <w:r w:rsidR="00C83E77" w:rsidRPr="00A53850">
        <w:rPr>
          <w:rFonts w:ascii="Verdana" w:hAnsi="Verdana"/>
          <w:sz w:val="20"/>
        </w:rPr>
        <w:t>.</w:t>
      </w:r>
      <w:r w:rsidR="00534F37" w:rsidRPr="00A53850">
        <w:rPr>
          <w:rFonts w:ascii="Verdana" w:hAnsi="Verdana"/>
          <w:b/>
          <w:sz w:val="20"/>
        </w:rPr>
        <w:t xml:space="preserve"> </w:t>
      </w:r>
    </w:p>
    <w:p w14:paraId="22D29FCA" w14:textId="77777777" w:rsidR="009607F0" w:rsidRPr="00A53850" w:rsidRDefault="009607F0" w:rsidP="009607F0">
      <w:pPr>
        <w:jc w:val="both"/>
        <w:rPr>
          <w:rFonts w:ascii="Verdana" w:hAnsi="Verdana"/>
          <w:sz w:val="20"/>
        </w:rPr>
      </w:pPr>
    </w:p>
    <w:p w14:paraId="273E297E" w14:textId="4CCD767D" w:rsidR="00C16619" w:rsidRDefault="00FF03C6" w:rsidP="00FF3984">
      <w:pPr>
        <w:numPr>
          <w:ilvl w:val="0"/>
          <w:numId w:val="5"/>
        </w:numPr>
        <w:ind w:left="0" w:firstLine="0"/>
        <w:jc w:val="both"/>
        <w:rPr>
          <w:rFonts w:ascii="Verdana" w:hAnsi="Verdana"/>
          <w:sz w:val="20"/>
        </w:rPr>
      </w:pPr>
      <w:r w:rsidRPr="00A53850">
        <w:rPr>
          <w:rFonts w:ascii="Verdana" w:hAnsi="Verdana"/>
          <w:sz w:val="20"/>
        </w:rPr>
        <w:t xml:space="preserve">Al respecto, la Corte nota que tanto el Estado como los representantes de las víctimas coinciden en que se pagaron los montos correspondientes a los ingresos dejados de percibir </w:t>
      </w:r>
      <w:r w:rsidR="00CE33CB" w:rsidRPr="00A53850">
        <w:rPr>
          <w:rFonts w:ascii="Verdana" w:hAnsi="Verdana"/>
          <w:sz w:val="20"/>
        </w:rPr>
        <w:t xml:space="preserve">a favor de </w:t>
      </w:r>
      <w:r w:rsidRPr="00A53850">
        <w:rPr>
          <w:rFonts w:ascii="Verdana" w:hAnsi="Verdana"/>
          <w:sz w:val="20"/>
        </w:rPr>
        <w:t>22 víctimas de desaparición forzada</w:t>
      </w:r>
      <w:r w:rsidR="00A0658F" w:rsidRPr="00A53850">
        <w:rPr>
          <w:rFonts w:ascii="Verdana" w:hAnsi="Verdana"/>
          <w:sz w:val="20"/>
        </w:rPr>
        <w:t xml:space="preserve">, </w:t>
      </w:r>
      <w:r w:rsidR="002745C3" w:rsidRPr="00A53850">
        <w:rPr>
          <w:rFonts w:ascii="Verdana" w:hAnsi="Verdana"/>
          <w:sz w:val="20"/>
        </w:rPr>
        <w:t xml:space="preserve">si bien </w:t>
      </w:r>
      <w:r w:rsidRPr="00A53850">
        <w:rPr>
          <w:rFonts w:ascii="Verdana" w:hAnsi="Verdana"/>
          <w:sz w:val="20"/>
        </w:rPr>
        <w:t>ninguna de las partes presentó prueba a este Tribunal de tales pagos ni de que los mismos se hubieren entregado a los familiares conforme a los criterios de distribución dispuestos en el párrafo 364 de la Sentencia (</w:t>
      </w:r>
      <w:r w:rsidRPr="00A53850">
        <w:rPr>
          <w:rFonts w:ascii="Verdana" w:hAnsi="Verdana"/>
          <w:i/>
          <w:sz w:val="20"/>
        </w:rPr>
        <w:t>supra</w:t>
      </w:r>
      <w:r w:rsidRPr="00A53850">
        <w:rPr>
          <w:rFonts w:ascii="Verdana" w:hAnsi="Verdana"/>
          <w:sz w:val="20"/>
        </w:rPr>
        <w:t xml:space="preserve"> Considerando</w:t>
      </w:r>
      <w:r w:rsidR="00CE33CB" w:rsidRPr="00A53850">
        <w:rPr>
          <w:rFonts w:ascii="Verdana" w:hAnsi="Verdana"/>
          <w:sz w:val="20"/>
        </w:rPr>
        <w:t xml:space="preserve"> </w:t>
      </w:r>
      <w:r w:rsidR="00020C3D" w:rsidRPr="00A53850">
        <w:rPr>
          <w:rFonts w:ascii="Verdana" w:hAnsi="Verdana"/>
          <w:sz w:val="20"/>
        </w:rPr>
        <w:t>7.a)</w:t>
      </w:r>
      <w:r w:rsidRPr="00A53850">
        <w:rPr>
          <w:rFonts w:ascii="Verdana" w:hAnsi="Verdana"/>
          <w:sz w:val="20"/>
        </w:rPr>
        <w:t xml:space="preserve">. </w:t>
      </w:r>
      <w:r w:rsidR="00CE33CB" w:rsidRPr="00A53850">
        <w:rPr>
          <w:rFonts w:ascii="Verdana" w:hAnsi="Verdana"/>
          <w:sz w:val="20"/>
        </w:rPr>
        <w:t>No obstante lo anterior, t</w:t>
      </w:r>
      <w:r w:rsidRPr="00A53850">
        <w:rPr>
          <w:rFonts w:ascii="Verdana" w:hAnsi="Verdana"/>
          <w:sz w:val="20"/>
        </w:rPr>
        <w:t xml:space="preserve">omando en cuenta que no hay controversia entre las partes respecto a que se pagaron “algunos abonos” por las indemnizaciones por ingresos dejados de percibir </w:t>
      </w:r>
      <w:r w:rsidR="00CE33CB" w:rsidRPr="00A53850">
        <w:rPr>
          <w:rFonts w:ascii="Verdana" w:hAnsi="Verdana"/>
          <w:sz w:val="20"/>
        </w:rPr>
        <w:t xml:space="preserve">a favor de </w:t>
      </w:r>
      <w:r w:rsidRPr="00A53850">
        <w:rPr>
          <w:rFonts w:ascii="Verdana" w:hAnsi="Verdana"/>
          <w:sz w:val="20"/>
        </w:rPr>
        <w:t>22 víctimas de desaparición forzada, la Corte considera que el Estado ha cumplido parcialmente con tales pagos</w:t>
      </w:r>
      <w:r w:rsidR="003579DF" w:rsidRPr="00A53850">
        <w:rPr>
          <w:rFonts w:ascii="Verdana" w:hAnsi="Verdana"/>
          <w:sz w:val="20"/>
        </w:rPr>
        <w:t xml:space="preserve">, sin perjuicio de que se </w:t>
      </w:r>
      <w:r w:rsidR="00CE33CB" w:rsidRPr="00A53850">
        <w:rPr>
          <w:rFonts w:ascii="Verdana" w:hAnsi="Verdana"/>
          <w:sz w:val="20"/>
        </w:rPr>
        <w:t xml:space="preserve">acredite </w:t>
      </w:r>
      <w:r w:rsidR="003579DF" w:rsidRPr="00A53850">
        <w:rPr>
          <w:rFonts w:ascii="Verdana" w:hAnsi="Verdana"/>
          <w:sz w:val="20"/>
        </w:rPr>
        <w:t>que dichos pagos no fueron realizados conforme a lo indicado en el párrafo 364 de la Sentencia</w:t>
      </w:r>
      <w:r w:rsidRPr="00A53850">
        <w:rPr>
          <w:rFonts w:ascii="Verdana" w:hAnsi="Verdana"/>
          <w:sz w:val="20"/>
        </w:rPr>
        <w:t xml:space="preserve">. </w:t>
      </w:r>
      <w:r w:rsidR="00CE33CB" w:rsidRPr="00A53850">
        <w:rPr>
          <w:rFonts w:ascii="Verdana" w:hAnsi="Verdana"/>
          <w:sz w:val="20"/>
        </w:rPr>
        <w:t>Asimismo, la Corte recuerda que c</w:t>
      </w:r>
      <w:r w:rsidRPr="00A53850">
        <w:rPr>
          <w:rFonts w:ascii="Verdana" w:hAnsi="Verdana"/>
          <w:sz w:val="20"/>
        </w:rPr>
        <w:t xml:space="preserve">ontinúa pendiente el pago de las indemnizaciones de los ingresos dejados de percibir </w:t>
      </w:r>
      <w:r w:rsidR="00CE33CB" w:rsidRPr="00A53850">
        <w:rPr>
          <w:rFonts w:ascii="Verdana" w:hAnsi="Verdana"/>
          <w:sz w:val="20"/>
        </w:rPr>
        <w:t xml:space="preserve">a favor de </w:t>
      </w:r>
      <w:r w:rsidRPr="00A53850">
        <w:rPr>
          <w:rFonts w:ascii="Verdana" w:hAnsi="Verdana"/>
          <w:sz w:val="20"/>
        </w:rPr>
        <w:t>las restantes 4 víctimas de desaparición forzada, así como completar los pagos a los beneficiarios de 22 víctimas de desaparición forzada</w:t>
      </w:r>
      <w:r w:rsidR="00174832">
        <w:rPr>
          <w:rFonts w:ascii="Verdana" w:hAnsi="Verdana"/>
          <w:sz w:val="20"/>
        </w:rPr>
        <w:t xml:space="preserve"> (</w:t>
      </w:r>
      <w:r w:rsidR="00174832">
        <w:rPr>
          <w:rFonts w:ascii="Verdana" w:hAnsi="Verdana"/>
          <w:i/>
          <w:sz w:val="20"/>
        </w:rPr>
        <w:t xml:space="preserve">supra </w:t>
      </w:r>
      <w:r w:rsidR="00174832">
        <w:rPr>
          <w:rFonts w:ascii="Verdana" w:hAnsi="Verdana"/>
          <w:sz w:val="20"/>
        </w:rPr>
        <w:t>Considerando 11)</w:t>
      </w:r>
      <w:r w:rsidRPr="00A53850">
        <w:rPr>
          <w:rFonts w:ascii="Verdana" w:hAnsi="Verdana"/>
          <w:sz w:val="20"/>
        </w:rPr>
        <w:t>, por lo cual el Estado debe</w:t>
      </w:r>
      <w:r w:rsidR="00022CA9">
        <w:rPr>
          <w:rFonts w:ascii="Verdana" w:hAnsi="Verdana"/>
          <w:sz w:val="20"/>
        </w:rPr>
        <w:t>rá</w:t>
      </w:r>
      <w:r w:rsidRPr="00A53850">
        <w:rPr>
          <w:rFonts w:ascii="Verdana" w:hAnsi="Verdana"/>
          <w:sz w:val="20"/>
        </w:rPr>
        <w:t xml:space="preserve"> informar al respecto</w:t>
      </w:r>
      <w:r w:rsidR="00022CA9">
        <w:rPr>
          <w:rFonts w:ascii="Verdana" w:hAnsi="Verdana"/>
          <w:sz w:val="20"/>
        </w:rPr>
        <w:t xml:space="preserve"> dentro del plazo establecido en el punto resolutivo 5 de la presente Resolución</w:t>
      </w:r>
      <w:r w:rsidRPr="00A53850">
        <w:rPr>
          <w:rFonts w:ascii="Verdana" w:hAnsi="Verdana"/>
          <w:sz w:val="20"/>
        </w:rPr>
        <w:t xml:space="preserve">. </w:t>
      </w:r>
    </w:p>
    <w:p w14:paraId="72CEC341" w14:textId="77777777" w:rsidR="00C16619" w:rsidRDefault="00C16619" w:rsidP="00FF3984">
      <w:pPr>
        <w:jc w:val="both"/>
        <w:rPr>
          <w:rFonts w:ascii="Verdana" w:hAnsi="Verdana"/>
          <w:sz w:val="20"/>
        </w:rPr>
      </w:pPr>
    </w:p>
    <w:p w14:paraId="7282D0B9" w14:textId="5D19085D" w:rsidR="00C16619" w:rsidRPr="00FF3984" w:rsidRDefault="00C16619" w:rsidP="00FF3984">
      <w:pPr>
        <w:numPr>
          <w:ilvl w:val="0"/>
          <w:numId w:val="5"/>
        </w:numPr>
        <w:ind w:left="0" w:firstLine="0"/>
        <w:jc w:val="both"/>
        <w:rPr>
          <w:rFonts w:ascii="Verdana" w:hAnsi="Verdana"/>
          <w:sz w:val="20"/>
        </w:rPr>
      </w:pPr>
      <w:r w:rsidRPr="00FF3984">
        <w:rPr>
          <w:rFonts w:ascii="Verdana" w:hAnsi="Verdana"/>
          <w:sz w:val="20"/>
        </w:rPr>
        <w:t xml:space="preserve">Por tanto, </w:t>
      </w:r>
      <w:r>
        <w:rPr>
          <w:rFonts w:ascii="Verdana" w:hAnsi="Verdana"/>
          <w:sz w:val="20"/>
        </w:rPr>
        <w:t xml:space="preserve">el Tribunal considera que </w:t>
      </w:r>
      <w:r w:rsidRPr="00FF3984">
        <w:rPr>
          <w:rFonts w:ascii="Verdana" w:hAnsi="Verdana"/>
          <w:sz w:val="20"/>
        </w:rPr>
        <w:t>el Estado ha dado cumplimiento parcial al pago de las indemnizaciones por concepto de ingresos dejados de percibir, quedando pendiente el pago de dichas indemnizaciones a favor de los beneficiarios de 4 víctimas de desaparición forzada, así como completar los pagos a los beneficiarios de las otras 22 víctimas de desaparición forzada</w:t>
      </w:r>
      <w:r>
        <w:rPr>
          <w:rFonts w:ascii="Verdana" w:hAnsi="Verdana"/>
          <w:sz w:val="20"/>
        </w:rPr>
        <w:t xml:space="preserve"> (</w:t>
      </w:r>
      <w:r>
        <w:rPr>
          <w:rFonts w:ascii="Verdana" w:hAnsi="Verdana"/>
          <w:i/>
          <w:sz w:val="20"/>
        </w:rPr>
        <w:t xml:space="preserve">supra </w:t>
      </w:r>
      <w:r>
        <w:rPr>
          <w:rFonts w:ascii="Verdana" w:hAnsi="Verdana"/>
          <w:sz w:val="20"/>
        </w:rPr>
        <w:t>Considerando 12)</w:t>
      </w:r>
      <w:r w:rsidRPr="00FF3984">
        <w:rPr>
          <w:rFonts w:ascii="Verdana" w:hAnsi="Verdana"/>
          <w:sz w:val="20"/>
        </w:rPr>
        <w:t>.</w:t>
      </w:r>
      <w:r w:rsidR="0085510F">
        <w:rPr>
          <w:rFonts w:ascii="Verdana" w:hAnsi="Verdana"/>
          <w:sz w:val="20"/>
        </w:rPr>
        <w:t xml:space="preserve"> La Corte</w:t>
      </w:r>
      <w:r w:rsidR="0085510F" w:rsidRPr="00C95A5C">
        <w:rPr>
          <w:rFonts w:ascii="Verdana" w:hAnsi="Verdana"/>
          <w:sz w:val="20"/>
        </w:rPr>
        <w:t xml:space="preserve"> requiere al Estado</w:t>
      </w:r>
      <w:r w:rsidR="0085510F" w:rsidRPr="00FC2A82">
        <w:rPr>
          <w:rFonts w:ascii="Verdana" w:hAnsi="Verdana"/>
          <w:sz w:val="20"/>
        </w:rPr>
        <w:t xml:space="preserve"> </w:t>
      </w:r>
      <w:r w:rsidR="0085510F">
        <w:rPr>
          <w:rFonts w:ascii="Verdana" w:hAnsi="Verdana"/>
          <w:sz w:val="20"/>
        </w:rPr>
        <w:t>que dentro del plazo establecido en el punto resolutivo quinto de la presente Resolución</w:t>
      </w:r>
      <w:r w:rsidR="0085510F" w:rsidRPr="00C95A5C">
        <w:rPr>
          <w:rFonts w:ascii="Verdana" w:hAnsi="Verdana"/>
          <w:sz w:val="20"/>
        </w:rPr>
        <w:t xml:space="preserve"> indique los avances en el cumplimiento de esta medida de reparación.</w:t>
      </w:r>
    </w:p>
    <w:p w14:paraId="0548C00F" w14:textId="77777777" w:rsidR="009607F0" w:rsidRPr="00A53850" w:rsidRDefault="009607F0" w:rsidP="009607F0">
      <w:pPr>
        <w:jc w:val="both"/>
        <w:rPr>
          <w:rFonts w:ascii="Verdana" w:hAnsi="Verdana"/>
          <w:sz w:val="20"/>
        </w:rPr>
      </w:pPr>
    </w:p>
    <w:p w14:paraId="38248C23" w14:textId="39A3E622" w:rsidR="00246056" w:rsidRDefault="00A427D7" w:rsidP="009607F0">
      <w:pPr>
        <w:numPr>
          <w:ilvl w:val="0"/>
          <w:numId w:val="5"/>
        </w:numPr>
        <w:ind w:left="0" w:firstLine="0"/>
        <w:jc w:val="both"/>
        <w:rPr>
          <w:rFonts w:ascii="Verdana" w:hAnsi="Verdana"/>
          <w:sz w:val="20"/>
        </w:rPr>
      </w:pPr>
      <w:r w:rsidRPr="00A53850">
        <w:rPr>
          <w:rFonts w:ascii="Verdana" w:hAnsi="Verdana"/>
          <w:sz w:val="20"/>
        </w:rPr>
        <w:t xml:space="preserve">Finalmente, en relación </w:t>
      </w:r>
      <w:r w:rsidR="00E8474C">
        <w:rPr>
          <w:rFonts w:ascii="Verdana" w:hAnsi="Verdana"/>
          <w:sz w:val="20"/>
        </w:rPr>
        <w:t>con</w:t>
      </w:r>
      <w:r w:rsidR="00F23CA8" w:rsidRPr="00A53850">
        <w:rPr>
          <w:rFonts w:ascii="Verdana" w:hAnsi="Verdana"/>
          <w:sz w:val="20"/>
        </w:rPr>
        <w:t xml:space="preserve"> la indemnización por </w:t>
      </w:r>
      <w:r w:rsidR="00E8474C">
        <w:rPr>
          <w:rFonts w:ascii="Verdana" w:hAnsi="Verdana"/>
          <w:sz w:val="20"/>
        </w:rPr>
        <w:t>concepto de</w:t>
      </w:r>
      <w:r w:rsidRPr="00A53850">
        <w:rPr>
          <w:rFonts w:ascii="Verdana" w:hAnsi="Verdana"/>
          <w:sz w:val="20"/>
        </w:rPr>
        <w:t xml:space="preserve"> daño</w:t>
      </w:r>
      <w:r w:rsidR="00E8474C">
        <w:rPr>
          <w:rFonts w:ascii="Verdana" w:hAnsi="Verdana"/>
          <w:sz w:val="20"/>
        </w:rPr>
        <w:t>s</w:t>
      </w:r>
      <w:r w:rsidRPr="00A53850">
        <w:rPr>
          <w:rFonts w:ascii="Verdana" w:hAnsi="Verdana"/>
          <w:sz w:val="20"/>
        </w:rPr>
        <w:t xml:space="preserve"> inmaterial</w:t>
      </w:r>
      <w:r w:rsidR="00E8474C">
        <w:rPr>
          <w:rFonts w:ascii="Verdana" w:hAnsi="Verdana"/>
          <w:sz w:val="20"/>
        </w:rPr>
        <w:t>es</w:t>
      </w:r>
      <w:r w:rsidRPr="00A53850">
        <w:rPr>
          <w:rFonts w:ascii="Verdana" w:hAnsi="Verdana"/>
          <w:sz w:val="20"/>
        </w:rPr>
        <w:t>,</w:t>
      </w:r>
      <w:r w:rsidR="000A0E0A" w:rsidRPr="00A53850">
        <w:rPr>
          <w:rFonts w:ascii="Verdana" w:hAnsi="Verdana"/>
          <w:sz w:val="20"/>
        </w:rPr>
        <w:t xml:space="preserve"> el Estado no ha informado acciones destinadas al cumplimiento de</w:t>
      </w:r>
      <w:r w:rsidR="00F23CA8" w:rsidRPr="00A53850">
        <w:rPr>
          <w:rFonts w:ascii="Verdana" w:hAnsi="Verdana"/>
          <w:sz w:val="20"/>
        </w:rPr>
        <w:t>l pago de</w:t>
      </w:r>
      <w:r w:rsidR="000A0E0A" w:rsidRPr="00A53850">
        <w:rPr>
          <w:rFonts w:ascii="Verdana" w:hAnsi="Verdana"/>
          <w:sz w:val="20"/>
        </w:rPr>
        <w:t xml:space="preserve"> estas indemnizaciones. </w:t>
      </w:r>
      <w:r w:rsidR="0006728D" w:rsidRPr="00A53850">
        <w:rPr>
          <w:rFonts w:ascii="Verdana" w:hAnsi="Verdana"/>
          <w:sz w:val="20"/>
        </w:rPr>
        <w:t>S</w:t>
      </w:r>
      <w:r w:rsidR="000A0E0A" w:rsidRPr="00A53850">
        <w:rPr>
          <w:rFonts w:ascii="Verdana" w:hAnsi="Verdana"/>
          <w:sz w:val="20"/>
        </w:rPr>
        <w:t xml:space="preserve">ólo ha </w:t>
      </w:r>
      <w:r w:rsidR="000A0E0A" w:rsidRPr="00A53850">
        <w:rPr>
          <w:rFonts w:ascii="Verdana" w:hAnsi="Verdana"/>
          <w:sz w:val="20"/>
        </w:rPr>
        <w:lastRenderedPageBreak/>
        <w:t xml:space="preserve">informado que “[la] COPREDEH </w:t>
      </w:r>
      <w:r w:rsidR="00A00A0A" w:rsidRPr="00A53850">
        <w:rPr>
          <w:rFonts w:ascii="Verdana" w:hAnsi="Verdana"/>
          <w:sz w:val="20"/>
        </w:rPr>
        <w:t>[</w:t>
      </w:r>
      <w:r w:rsidR="000A0E0A" w:rsidRPr="00A53850">
        <w:rPr>
          <w:rFonts w:ascii="Verdana" w:hAnsi="Verdana"/>
          <w:sz w:val="20"/>
        </w:rPr>
        <w:t>contin</w:t>
      </w:r>
      <w:r w:rsidR="00A00A0A" w:rsidRPr="00A53850">
        <w:rPr>
          <w:rFonts w:ascii="Verdana" w:hAnsi="Verdana"/>
          <w:sz w:val="20"/>
        </w:rPr>
        <w:t>ú</w:t>
      </w:r>
      <w:r w:rsidR="000A0E0A" w:rsidRPr="00A53850">
        <w:rPr>
          <w:rFonts w:ascii="Verdana" w:hAnsi="Verdana"/>
          <w:sz w:val="20"/>
        </w:rPr>
        <w:t>a</w:t>
      </w:r>
      <w:r w:rsidR="00A00A0A" w:rsidRPr="00A53850">
        <w:rPr>
          <w:rFonts w:ascii="Verdana" w:hAnsi="Verdana"/>
          <w:sz w:val="20"/>
        </w:rPr>
        <w:t>]</w:t>
      </w:r>
      <w:r w:rsidR="000A0E0A" w:rsidRPr="00A53850">
        <w:rPr>
          <w:rFonts w:ascii="Verdana" w:hAnsi="Verdana"/>
          <w:sz w:val="20"/>
        </w:rPr>
        <w:t xml:space="preserve"> gestionando ante el Congreso de la República la aprobación de la ampliación presupuestaria para el próximo periodo fiscal 2019, a fin de dar cumplimiento a otros compromisos asumidos por el Estado ante los órganos del Sistema Interamericano”.</w:t>
      </w:r>
      <w:r w:rsidR="000A0E0A" w:rsidRPr="00FF3984">
        <w:rPr>
          <w:rFonts w:ascii="Verdana" w:hAnsi="Verdana"/>
          <w:sz w:val="20"/>
        </w:rPr>
        <w:t xml:space="preserve"> </w:t>
      </w:r>
      <w:r w:rsidR="000A0E0A" w:rsidRPr="00A53850">
        <w:rPr>
          <w:rFonts w:ascii="Verdana" w:hAnsi="Verdana"/>
          <w:sz w:val="20"/>
        </w:rPr>
        <w:t>Por su parte, los representantes señalaron que “[est</w:t>
      </w:r>
      <w:r w:rsidR="00F23CA8" w:rsidRPr="00A53850">
        <w:rPr>
          <w:rFonts w:ascii="Verdana" w:hAnsi="Verdana"/>
          <w:sz w:val="20"/>
        </w:rPr>
        <w:t>á</w:t>
      </w:r>
      <w:r w:rsidR="000A0E0A" w:rsidRPr="00A53850">
        <w:rPr>
          <w:rFonts w:ascii="Verdana" w:hAnsi="Verdana"/>
          <w:sz w:val="20"/>
        </w:rPr>
        <w:t xml:space="preserve">] pendiente la totalidad de </w:t>
      </w:r>
      <w:r w:rsidR="00A00A0A" w:rsidRPr="00A53850">
        <w:rPr>
          <w:rFonts w:ascii="Verdana" w:hAnsi="Verdana"/>
          <w:sz w:val="20"/>
        </w:rPr>
        <w:t>los [</w:t>
      </w:r>
      <w:r w:rsidR="000A0E0A" w:rsidRPr="00A53850">
        <w:rPr>
          <w:rFonts w:ascii="Verdana" w:hAnsi="Verdana"/>
          <w:sz w:val="20"/>
        </w:rPr>
        <w:t>pagos</w:t>
      </w:r>
      <w:r w:rsidR="00A00A0A" w:rsidRPr="00A53850">
        <w:rPr>
          <w:rFonts w:ascii="Verdana" w:hAnsi="Verdana"/>
          <w:sz w:val="20"/>
        </w:rPr>
        <w:t>]</w:t>
      </w:r>
      <w:r w:rsidR="000A0E0A" w:rsidRPr="00A53850">
        <w:rPr>
          <w:rFonts w:ascii="Verdana" w:hAnsi="Verdana"/>
          <w:sz w:val="20"/>
        </w:rPr>
        <w:t xml:space="preserve"> ordenados [</w:t>
      </w:r>
      <w:r w:rsidR="00447478">
        <w:rPr>
          <w:rFonts w:ascii="Verdana" w:hAnsi="Verdana"/>
          <w:sz w:val="20"/>
        </w:rPr>
        <w:t>por concepto de daños inmateriales…</w:t>
      </w:r>
      <w:r w:rsidR="000A0E0A" w:rsidRPr="00A53850">
        <w:rPr>
          <w:rFonts w:ascii="Verdana" w:hAnsi="Verdana"/>
          <w:sz w:val="20"/>
        </w:rPr>
        <w:t xml:space="preserve">] en favor de las víctimas </w:t>
      </w:r>
      <w:r w:rsidR="00A00A0A" w:rsidRPr="00A53850">
        <w:rPr>
          <w:rFonts w:ascii="Verdana" w:hAnsi="Verdana"/>
          <w:sz w:val="20"/>
        </w:rPr>
        <w:t>[</w:t>
      </w:r>
      <w:r w:rsidR="000A0E0A" w:rsidRPr="00A53850">
        <w:rPr>
          <w:rFonts w:ascii="Verdana" w:hAnsi="Verdana"/>
          <w:sz w:val="20"/>
        </w:rPr>
        <w:t>del caso y sus familiares</w:t>
      </w:r>
      <w:r w:rsidR="00A00A0A" w:rsidRPr="00A53850">
        <w:rPr>
          <w:rFonts w:ascii="Verdana" w:hAnsi="Verdana"/>
          <w:sz w:val="20"/>
        </w:rPr>
        <w:t>]</w:t>
      </w:r>
      <w:r w:rsidR="00CE33CB" w:rsidRPr="00A53850">
        <w:rPr>
          <w:rFonts w:ascii="Verdana" w:hAnsi="Verdana"/>
          <w:sz w:val="20"/>
        </w:rPr>
        <w:t>”</w:t>
      </w:r>
      <w:r w:rsidR="00CE33CB" w:rsidRPr="00A53850">
        <w:rPr>
          <w:rStyle w:val="Refdenotaalpie"/>
          <w:rFonts w:ascii="Verdana" w:hAnsi="Verdana"/>
          <w:sz w:val="20"/>
        </w:rPr>
        <w:footnoteReference w:id="34"/>
      </w:r>
      <w:r w:rsidR="00FA6EED" w:rsidRPr="00A53850">
        <w:rPr>
          <w:rFonts w:ascii="Verdana" w:hAnsi="Verdana"/>
          <w:sz w:val="20"/>
        </w:rPr>
        <w:t>.</w:t>
      </w:r>
      <w:r w:rsidR="00B75C77" w:rsidRPr="00A53850">
        <w:rPr>
          <w:rFonts w:ascii="Verdana" w:hAnsi="Verdana"/>
          <w:sz w:val="20"/>
        </w:rPr>
        <w:t xml:space="preserve"> Por otro lado, en lo que concierne al reintegro de costas y gastos</w:t>
      </w:r>
      <w:r w:rsidR="005A73C6" w:rsidRPr="00A53850">
        <w:rPr>
          <w:rFonts w:ascii="Verdana" w:hAnsi="Verdana"/>
          <w:sz w:val="20"/>
        </w:rPr>
        <w:t xml:space="preserve"> </w:t>
      </w:r>
      <w:r w:rsidR="00F36712">
        <w:rPr>
          <w:rFonts w:ascii="Verdana" w:hAnsi="Verdana"/>
          <w:sz w:val="20"/>
        </w:rPr>
        <w:t>ordenado</w:t>
      </w:r>
      <w:r w:rsidR="00F36712" w:rsidRPr="00A53850">
        <w:rPr>
          <w:rFonts w:ascii="Verdana" w:hAnsi="Verdana"/>
          <w:sz w:val="20"/>
        </w:rPr>
        <w:t xml:space="preserve"> </w:t>
      </w:r>
      <w:r w:rsidR="005A73C6" w:rsidRPr="00A53850">
        <w:rPr>
          <w:rFonts w:ascii="Verdana" w:hAnsi="Verdana"/>
          <w:sz w:val="20"/>
        </w:rPr>
        <w:t>en la Sentencia</w:t>
      </w:r>
      <w:r w:rsidR="00B75C77" w:rsidRPr="00A53850">
        <w:rPr>
          <w:rFonts w:ascii="Verdana" w:hAnsi="Verdana"/>
          <w:sz w:val="20"/>
        </w:rPr>
        <w:t xml:space="preserve">, la Corte </w:t>
      </w:r>
      <w:r w:rsidR="005A73C6" w:rsidRPr="00A53850">
        <w:rPr>
          <w:rFonts w:ascii="Verdana" w:hAnsi="Verdana"/>
          <w:sz w:val="20"/>
        </w:rPr>
        <w:t xml:space="preserve">observa </w:t>
      </w:r>
      <w:r w:rsidR="002267CA" w:rsidRPr="00A53850">
        <w:rPr>
          <w:rFonts w:ascii="Verdana" w:hAnsi="Verdana"/>
          <w:sz w:val="20"/>
        </w:rPr>
        <w:t>que el Estado no ha remitido</w:t>
      </w:r>
      <w:r w:rsidR="00A22D52" w:rsidRPr="00A53850">
        <w:rPr>
          <w:rFonts w:ascii="Verdana" w:hAnsi="Verdana"/>
          <w:sz w:val="20"/>
        </w:rPr>
        <w:t xml:space="preserve"> información</w:t>
      </w:r>
      <w:r w:rsidR="00CE33CB" w:rsidRPr="00A53850">
        <w:rPr>
          <w:rFonts w:ascii="Verdana" w:hAnsi="Verdana"/>
          <w:sz w:val="20"/>
        </w:rPr>
        <w:t xml:space="preserve"> al respecto,</w:t>
      </w:r>
      <w:r w:rsidR="00A22D52" w:rsidRPr="00A53850">
        <w:rPr>
          <w:rFonts w:ascii="Verdana" w:hAnsi="Verdana"/>
          <w:sz w:val="20"/>
        </w:rPr>
        <w:t xml:space="preserve"> en sus diferentes informes. </w:t>
      </w:r>
      <w:r w:rsidR="00447478">
        <w:rPr>
          <w:rFonts w:ascii="Verdana" w:hAnsi="Verdana"/>
          <w:sz w:val="20"/>
        </w:rPr>
        <w:t>El Tribunal</w:t>
      </w:r>
      <w:r w:rsidR="00FA6EED" w:rsidRPr="00A53850">
        <w:rPr>
          <w:rFonts w:ascii="Verdana" w:hAnsi="Verdana"/>
          <w:sz w:val="20"/>
        </w:rPr>
        <w:t xml:space="preserve"> nota con preocupación que </w:t>
      </w:r>
      <w:r w:rsidR="0006728D" w:rsidRPr="00A53850">
        <w:rPr>
          <w:rFonts w:ascii="Verdana" w:hAnsi="Verdana"/>
          <w:sz w:val="20"/>
        </w:rPr>
        <w:t>ha</w:t>
      </w:r>
      <w:r w:rsidR="00F23CA8" w:rsidRPr="00A53850">
        <w:rPr>
          <w:rFonts w:ascii="Verdana" w:hAnsi="Verdana"/>
          <w:sz w:val="20"/>
        </w:rPr>
        <w:t>n</w:t>
      </w:r>
      <w:r w:rsidR="0006728D" w:rsidRPr="00A53850">
        <w:rPr>
          <w:rFonts w:ascii="Verdana" w:hAnsi="Verdana"/>
          <w:sz w:val="20"/>
        </w:rPr>
        <w:t xml:space="preserve"> transcurrido más de cuatro años desde el vencimiento del plazo estipulado en la Sentencia para que el Estado realizara los pagos por concepto </w:t>
      </w:r>
      <w:r w:rsidR="00F23CA8" w:rsidRPr="00A53850">
        <w:rPr>
          <w:rFonts w:ascii="Verdana" w:hAnsi="Verdana"/>
          <w:sz w:val="20"/>
        </w:rPr>
        <w:t xml:space="preserve">de indemnización del daño </w:t>
      </w:r>
      <w:r w:rsidR="0006728D" w:rsidRPr="00A53850">
        <w:rPr>
          <w:rFonts w:ascii="Verdana" w:hAnsi="Verdana"/>
          <w:sz w:val="20"/>
        </w:rPr>
        <w:t>inmaterial</w:t>
      </w:r>
      <w:r w:rsidR="002D2B4C" w:rsidRPr="00A53850">
        <w:rPr>
          <w:rFonts w:ascii="Verdana" w:hAnsi="Verdana"/>
          <w:sz w:val="20"/>
        </w:rPr>
        <w:t>, así como el reintegro de costas y gastos</w:t>
      </w:r>
      <w:r w:rsidR="0006728D" w:rsidRPr="00A53850">
        <w:rPr>
          <w:rFonts w:ascii="Verdana" w:hAnsi="Verdana"/>
          <w:sz w:val="20"/>
        </w:rPr>
        <w:t>.</w:t>
      </w:r>
    </w:p>
    <w:p w14:paraId="52FCB15A" w14:textId="77777777" w:rsidR="009607F0" w:rsidRPr="00A53850" w:rsidRDefault="009607F0" w:rsidP="009607F0">
      <w:pPr>
        <w:jc w:val="both"/>
        <w:rPr>
          <w:rFonts w:ascii="Verdana" w:hAnsi="Verdana"/>
          <w:sz w:val="20"/>
        </w:rPr>
      </w:pPr>
    </w:p>
    <w:p w14:paraId="04FEA6A7" w14:textId="694E05E5" w:rsidR="0006728D" w:rsidRPr="00C95A5C" w:rsidRDefault="00FC2A82" w:rsidP="009607F0">
      <w:pPr>
        <w:numPr>
          <w:ilvl w:val="0"/>
          <w:numId w:val="5"/>
        </w:numPr>
        <w:ind w:left="0" w:firstLine="0"/>
        <w:jc w:val="both"/>
        <w:rPr>
          <w:rFonts w:ascii="Verdana" w:hAnsi="Verdana"/>
          <w:sz w:val="20"/>
        </w:rPr>
      </w:pPr>
      <w:r>
        <w:rPr>
          <w:rFonts w:ascii="Verdana" w:hAnsi="Verdana"/>
          <w:sz w:val="20"/>
        </w:rPr>
        <w:t>Por tanto, l</w:t>
      </w:r>
      <w:r w:rsidR="0006728D" w:rsidRPr="00C95A5C">
        <w:rPr>
          <w:rFonts w:ascii="Verdana" w:hAnsi="Verdana"/>
          <w:sz w:val="20"/>
        </w:rPr>
        <w:t>a Corte</w:t>
      </w:r>
      <w:r w:rsidR="00A53850" w:rsidRPr="00C95A5C">
        <w:rPr>
          <w:rFonts w:ascii="Verdana" w:hAnsi="Verdana"/>
          <w:sz w:val="20"/>
        </w:rPr>
        <w:t xml:space="preserve"> concluye que el Estado no ha dado cumplimiento </w:t>
      </w:r>
      <w:r>
        <w:rPr>
          <w:rFonts w:ascii="Verdana" w:hAnsi="Verdana"/>
          <w:sz w:val="20"/>
        </w:rPr>
        <w:t xml:space="preserve">a las medidas relativas a realizar los pagos por concepto de </w:t>
      </w:r>
      <w:r w:rsidR="00A53850" w:rsidRPr="00C95A5C">
        <w:rPr>
          <w:rFonts w:ascii="Verdana" w:hAnsi="Verdana"/>
          <w:sz w:val="20"/>
        </w:rPr>
        <w:t xml:space="preserve">daños inmateriales </w:t>
      </w:r>
      <w:r>
        <w:rPr>
          <w:rFonts w:ascii="Verdana" w:hAnsi="Verdana"/>
          <w:sz w:val="20"/>
        </w:rPr>
        <w:t xml:space="preserve">y reintegro de costas y gastos, según fueron ordenados en el punto </w:t>
      </w:r>
      <w:r w:rsidR="005B6185">
        <w:rPr>
          <w:rFonts w:ascii="Verdana" w:hAnsi="Verdana"/>
          <w:sz w:val="20"/>
        </w:rPr>
        <w:t>dispositivo octavo</w:t>
      </w:r>
      <w:r>
        <w:rPr>
          <w:rFonts w:ascii="Verdana" w:hAnsi="Verdana"/>
          <w:sz w:val="20"/>
        </w:rPr>
        <w:t xml:space="preserve"> de</w:t>
      </w:r>
      <w:r w:rsidR="00A53850" w:rsidRPr="00C95A5C">
        <w:rPr>
          <w:rFonts w:ascii="Verdana" w:hAnsi="Verdana"/>
          <w:sz w:val="20"/>
        </w:rPr>
        <w:t xml:space="preserve"> la Sentencia. El Tribunal</w:t>
      </w:r>
      <w:r w:rsidR="0006728D" w:rsidRPr="00C95A5C">
        <w:rPr>
          <w:rFonts w:ascii="Verdana" w:hAnsi="Verdana"/>
          <w:sz w:val="20"/>
        </w:rPr>
        <w:t xml:space="preserve"> </w:t>
      </w:r>
      <w:r w:rsidR="00CE33CB" w:rsidRPr="00C95A5C">
        <w:rPr>
          <w:rFonts w:ascii="Verdana" w:hAnsi="Verdana"/>
          <w:sz w:val="20"/>
        </w:rPr>
        <w:t>requiere al</w:t>
      </w:r>
      <w:r w:rsidR="0006728D" w:rsidRPr="00C95A5C">
        <w:rPr>
          <w:rFonts w:ascii="Verdana" w:hAnsi="Verdana"/>
          <w:sz w:val="20"/>
        </w:rPr>
        <w:t xml:space="preserve"> Estado</w:t>
      </w:r>
      <w:r w:rsidRPr="00FC2A82">
        <w:rPr>
          <w:rFonts w:ascii="Verdana" w:hAnsi="Verdana"/>
          <w:sz w:val="20"/>
        </w:rPr>
        <w:t xml:space="preserve"> </w:t>
      </w:r>
      <w:r>
        <w:rPr>
          <w:rFonts w:ascii="Verdana" w:hAnsi="Verdana"/>
          <w:sz w:val="20"/>
        </w:rPr>
        <w:t xml:space="preserve">que dentro del plazo establecido en el punto resolutivo </w:t>
      </w:r>
      <w:r w:rsidR="003E0E9F">
        <w:rPr>
          <w:rFonts w:ascii="Verdana" w:hAnsi="Verdana"/>
          <w:sz w:val="20"/>
        </w:rPr>
        <w:t>quinto</w:t>
      </w:r>
      <w:r>
        <w:rPr>
          <w:rFonts w:ascii="Verdana" w:hAnsi="Verdana"/>
          <w:sz w:val="20"/>
        </w:rPr>
        <w:t xml:space="preserve"> de la presente Resolución</w:t>
      </w:r>
      <w:r w:rsidR="0006728D" w:rsidRPr="00C95A5C">
        <w:rPr>
          <w:rFonts w:ascii="Verdana" w:hAnsi="Verdana"/>
          <w:sz w:val="20"/>
        </w:rPr>
        <w:t xml:space="preserve"> indique </w:t>
      </w:r>
      <w:r w:rsidR="0071747B" w:rsidRPr="00C95A5C">
        <w:rPr>
          <w:rFonts w:ascii="Verdana" w:hAnsi="Verdana"/>
          <w:sz w:val="20"/>
        </w:rPr>
        <w:t xml:space="preserve">los avances en el </w:t>
      </w:r>
      <w:r w:rsidR="0006728D" w:rsidRPr="00C95A5C">
        <w:rPr>
          <w:rFonts w:ascii="Verdana" w:hAnsi="Verdana"/>
          <w:sz w:val="20"/>
        </w:rPr>
        <w:t xml:space="preserve">cumplimiento </w:t>
      </w:r>
      <w:r w:rsidR="0071747B" w:rsidRPr="00C95A5C">
        <w:rPr>
          <w:rFonts w:ascii="Verdana" w:hAnsi="Verdana"/>
          <w:sz w:val="20"/>
        </w:rPr>
        <w:t>de</w:t>
      </w:r>
      <w:r w:rsidR="0006728D" w:rsidRPr="00C95A5C">
        <w:rPr>
          <w:rFonts w:ascii="Verdana" w:hAnsi="Verdana"/>
          <w:sz w:val="20"/>
        </w:rPr>
        <w:t xml:space="preserve"> esta</w:t>
      </w:r>
      <w:r w:rsidR="002D2B4C" w:rsidRPr="00C95A5C">
        <w:rPr>
          <w:rFonts w:ascii="Verdana" w:hAnsi="Verdana"/>
          <w:sz w:val="20"/>
        </w:rPr>
        <w:t>s</w:t>
      </w:r>
      <w:r w:rsidR="0006728D" w:rsidRPr="00C95A5C">
        <w:rPr>
          <w:rFonts w:ascii="Verdana" w:hAnsi="Verdana"/>
          <w:sz w:val="20"/>
        </w:rPr>
        <w:t xml:space="preserve"> medida</w:t>
      </w:r>
      <w:r w:rsidR="002D2B4C" w:rsidRPr="00C95A5C">
        <w:rPr>
          <w:rFonts w:ascii="Verdana" w:hAnsi="Verdana"/>
          <w:sz w:val="20"/>
        </w:rPr>
        <w:t>s</w:t>
      </w:r>
      <w:r w:rsidR="0006728D" w:rsidRPr="00C95A5C">
        <w:rPr>
          <w:rFonts w:ascii="Verdana" w:hAnsi="Verdana"/>
          <w:sz w:val="20"/>
        </w:rPr>
        <w:t xml:space="preserve"> de reparación. </w:t>
      </w:r>
    </w:p>
    <w:p w14:paraId="38E97FEF" w14:textId="77777777" w:rsidR="00246056" w:rsidRPr="00A53850" w:rsidRDefault="00246056" w:rsidP="009607F0">
      <w:pPr>
        <w:jc w:val="both"/>
        <w:rPr>
          <w:rFonts w:ascii="Verdana" w:hAnsi="Verdana"/>
          <w:sz w:val="20"/>
        </w:rPr>
      </w:pPr>
    </w:p>
    <w:p w14:paraId="24D40C34" w14:textId="77777777" w:rsidR="000706EF" w:rsidRPr="00A53850" w:rsidRDefault="000706EF" w:rsidP="009607F0">
      <w:pPr>
        <w:jc w:val="both"/>
        <w:rPr>
          <w:rFonts w:ascii="Verdana" w:hAnsi="Verdana"/>
          <w:b/>
          <w:sz w:val="20"/>
          <w:lang w:val="es-MX"/>
        </w:rPr>
      </w:pPr>
      <w:r w:rsidRPr="00A53850">
        <w:rPr>
          <w:rFonts w:ascii="Verdana" w:hAnsi="Verdana"/>
          <w:b/>
          <w:sz w:val="20"/>
          <w:lang w:val="es-MX"/>
        </w:rPr>
        <w:t>POR TANTO</w:t>
      </w:r>
      <w:r w:rsidR="00172B4D" w:rsidRPr="00A53850">
        <w:rPr>
          <w:rFonts w:ascii="Verdana" w:hAnsi="Verdana"/>
          <w:b/>
          <w:sz w:val="20"/>
          <w:lang w:val="es-MX"/>
        </w:rPr>
        <w:t>:</w:t>
      </w:r>
    </w:p>
    <w:p w14:paraId="22625241" w14:textId="77777777" w:rsidR="009607F0" w:rsidRDefault="009607F0" w:rsidP="009607F0">
      <w:pPr>
        <w:jc w:val="both"/>
        <w:rPr>
          <w:rFonts w:ascii="Verdana" w:hAnsi="Verdana"/>
          <w:b/>
          <w:sz w:val="20"/>
          <w:lang w:val="es-MX"/>
        </w:rPr>
      </w:pPr>
    </w:p>
    <w:p w14:paraId="75E4EBAC" w14:textId="77777777" w:rsidR="000706EF" w:rsidRPr="00A53850" w:rsidRDefault="000706EF" w:rsidP="009607F0">
      <w:pPr>
        <w:jc w:val="both"/>
        <w:rPr>
          <w:rFonts w:ascii="Verdana" w:hAnsi="Verdana"/>
          <w:b/>
          <w:sz w:val="20"/>
          <w:lang w:val="es-MX"/>
        </w:rPr>
      </w:pPr>
      <w:r w:rsidRPr="00A53850">
        <w:rPr>
          <w:rFonts w:ascii="Verdana" w:hAnsi="Verdana"/>
          <w:b/>
          <w:sz w:val="20"/>
          <w:lang w:val="es-MX"/>
        </w:rPr>
        <w:t>LA CORTE INTERAMERICANA DE DERECHOS HUMANOS,</w:t>
      </w:r>
    </w:p>
    <w:p w14:paraId="30FA4DF9" w14:textId="77777777" w:rsidR="009607F0" w:rsidRDefault="009607F0" w:rsidP="009607F0">
      <w:pPr>
        <w:jc w:val="both"/>
        <w:rPr>
          <w:rFonts w:ascii="Verdana" w:hAnsi="Verdana"/>
          <w:sz w:val="20"/>
        </w:rPr>
      </w:pPr>
    </w:p>
    <w:p w14:paraId="6A321BF2" w14:textId="45C3196F" w:rsidR="002F13B3" w:rsidRPr="00A53850" w:rsidRDefault="00E46071" w:rsidP="009607F0">
      <w:pPr>
        <w:jc w:val="both"/>
        <w:rPr>
          <w:rFonts w:ascii="Verdana" w:hAnsi="Verdana"/>
          <w:sz w:val="20"/>
        </w:rPr>
      </w:pPr>
      <w:r w:rsidRPr="00A53850">
        <w:rPr>
          <w:rFonts w:ascii="Verdana" w:hAnsi="Verdana"/>
          <w:sz w:val="20"/>
        </w:rPr>
        <w:t>e</w:t>
      </w:r>
      <w:r w:rsidR="00D82AFC" w:rsidRPr="00A53850">
        <w:rPr>
          <w:rFonts w:ascii="Verdana" w:hAnsi="Verdana"/>
          <w:sz w:val="20"/>
        </w:rPr>
        <w:t xml:space="preserve">n </w:t>
      </w:r>
      <w:r w:rsidR="00652641" w:rsidRPr="00A53850">
        <w:rPr>
          <w:rFonts w:ascii="Verdana" w:hAnsi="Verdana"/>
          <w:sz w:val="20"/>
        </w:rPr>
        <w:t>el ejercicio de sus atribuciones de supervisión del cumplimiento de sus decisiones y de conformidad con los artículos 33, 62.1, 62.3, 65, 67 y 68.1 de la Convención Americana sobre Derechos Humanos, 24, 25 y 30 del Estatuto, y 31.2 y 69 de su Reglamento,</w:t>
      </w:r>
    </w:p>
    <w:p w14:paraId="1F66F380" w14:textId="77777777" w:rsidR="001E1543" w:rsidRPr="00A53850" w:rsidRDefault="001E1543" w:rsidP="009607F0">
      <w:pPr>
        <w:ind w:right="4"/>
        <w:jc w:val="both"/>
        <w:rPr>
          <w:rFonts w:ascii="Verdana" w:hAnsi="Verdana"/>
          <w:b/>
          <w:sz w:val="20"/>
          <w:lang w:val="es-MX"/>
        </w:rPr>
      </w:pPr>
    </w:p>
    <w:p w14:paraId="4B982E25" w14:textId="504E4E25" w:rsidR="00D2717C" w:rsidRDefault="009607F0" w:rsidP="009607F0">
      <w:pPr>
        <w:ind w:right="4"/>
        <w:jc w:val="both"/>
        <w:rPr>
          <w:rFonts w:ascii="Verdana" w:hAnsi="Verdana"/>
          <w:b/>
          <w:sz w:val="20"/>
          <w:lang w:val="es-MX"/>
        </w:rPr>
      </w:pPr>
      <w:r>
        <w:rPr>
          <w:rFonts w:ascii="Verdana" w:hAnsi="Verdana"/>
          <w:b/>
          <w:sz w:val="20"/>
          <w:lang w:val="es-MX"/>
        </w:rPr>
        <w:t>RESUELVE:</w:t>
      </w:r>
    </w:p>
    <w:p w14:paraId="1E662962" w14:textId="77777777" w:rsidR="009607F0" w:rsidRPr="00A53850" w:rsidRDefault="009607F0" w:rsidP="009607F0">
      <w:pPr>
        <w:ind w:right="4"/>
        <w:jc w:val="both"/>
        <w:rPr>
          <w:rFonts w:ascii="Verdana" w:hAnsi="Verdana"/>
          <w:b/>
          <w:sz w:val="20"/>
          <w:lang w:val="es-MX"/>
        </w:rPr>
      </w:pPr>
    </w:p>
    <w:p w14:paraId="6F9188D1" w14:textId="005CFB5F" w:rsidR="00322532" w:rsidRPr="009607F0" w:rsidRDefault="00652641" w:rsidP="009607F0">
      <w:pPr>
        <w:numPr>
          <w:ilvl w:val="0"/>
          <w:numId w:val="1"/>
        </w:numPr>
        <w:ind w:left="0" w:hanging="11"/>
        <w:jc w:val="both"/>
        <w:rPr>
          <w:rFonts w:ascii="Verdana" w:hAnsi="Verdana"/>
          <w:sz w:val="20"/>
          <w:lang w:val="es-MX"/>
        </w:rPr>
      </w:pPr>
      <w:r w:rsidRPr="00A53850">
        <w:rPr>
          <w:rFonts w:ascii="Verdana" w:hAnsi="Verdana"/>
          <w:sz w:val="20"/>
        </w:rPr>
        <w:t xml:space="preserve">Declarar, de conformidad con lo señalado en </w:t>
      </w:r>
      <w:r w:rsidR="004C7FD7">
        <w:rPr>
          <w:rFonts w:ascii="Verdana" w:hAnsi="Verdana"/>
          <w:sz w:val="20"/>
        </w:rPr>
        <w:t>los</w:t>
      </w:r>
      <w:r w:rsidR="004C7FD7" w:rsidRPr="00A53850">
        <w:rPr>
          <w:rFonts w:ascii="Verdana" w:hAnsi="Verdana"/>
          <w:sz w:val="20"/>
        </w:rPr>
        <w:t xml:space="preserve"> </w:t>
      </w:r>
      <w:r w:rsidR="00307F0C" w:rsidRPr="00A53850">
        <w:rPr>
          <w:rFonts w:ascii="Verdana" w:hAnsi="Verdana"/>
          <w:sz w:val="20"/>
        </w:rPr>
        <w:t>Considerando</w:t>
      </w:r>
      <w:r w:rsidR="004C7FD7">
        <w:rPr>
          <w:rFonts w:ascii="Verdana" w:hAnsi="Verdana"/>
          <w:sz w:val="20"/>
        </w:rPr>
        <w:t>s 5 y</w:t>
      </w:r>
      <w:r w:rsidR="00070F4A" w:rsidRPr="00A53850">
        <w:rPr>
          <w:rFonts w:ascii="Verdana" w:hAnsi="Verdana"/>
          <w:sz w:val="20"/>
        </w:rPr>
        <w:t xml:space="preserve"> </w:t>
      </w:r>
      <w:r w:rsidR="00020C3D" w:rsidRPr="00A53850">
        <w:rPr>
          <w:rFonts w:ascii="Verdana" w:hAnsi="Verdana"/>
          <w:sz w:val="20"/>
        </w:rPr>
        <w:t xml:space="preserve">6 </w:t>
      </w:r>
      <w:r w:rsidR="00070F4A" w:rsidRPr="00A53850">
        <w:rPr>
          <w:rFonts w:ascii="Verdana" w:hAnsi="Verdana"/>
          <w:sz w:val="20"/>
        </w:rPr>
        <w:t>de la presente Resolución</w:t>
      </w:r>
      <w:r w:rsidR="004233ED" w:rsidRPr="00A53850">
        <w:rPr>
          <w:rFonts w:ascii="Verdana" w:hAnsi="Verdana"/>
          <w:sz w:val="20"/>
        </w:rPr>
        <w:t>,</w:t>
      </w:r>
      <w:r w:rsidR="0015011E" w:rsidRPr="00A53850">
        <w:rPr>
          <w:rFonts w:ascii="Verdana" w:hAnsi="Verdana"/>
          <w:sz w:val="20"/>
        </w:rPr>
        <w:t xml:space="preserve"> </w:t>
      </w:r>
      <w:r w:rsidR="00AD69FC" w:rsidRPr="00A53850">
        <w:rPr>
          <w:rFonts w:ascii="Verdana" w:hAnsi="Verdana"/>
          <w:sz w:val="20"/>
        </w:rPr>
        <w:t>que el Esta</w:t>
      </w:r>
      <w:r w:rsidR="005A43A4" w:rsidRPr="00A53850">
        <w:rPr>
          <w:rFonts w:ascii="Verdana" w:hAnsi="Verdana"/>
          <w:sz w:val="20"/>
        </w:rPr>
        <w:t>do</w:t>
      </w:r>
      <w:r w:rsidR="0015011E" w:rsidRPr="00A53850">
        <w:rPr>
          <w:rFonts w:ascii="Verdana" w:hAnsi="Verdana"/>
          <w:sz w:val="20"/>
        </w:rPr>
        <w:t xml:space="preserve"> ha dado cumplimiento </w:t>
      </w:r>
      <w:r w:rsidR="0078126A" w:rsidRPr="00A53850">
        <w:rPr>
          <w:rFonts w:ascii="Verdana" w:hAnsi="Verdana"/>
          <w:sz w:val="20"/>
        </w:rPr>
        <w:t xml:space="preserve">total </w:t>
      </w:r>
      <w:r w:rsidR="00070F4A" w:rsidRPr="00A53850">
        <w:rPr>
          <w:rFonts w:ascii="Verdana" w:hAnsi="Verdana"/>
          <w:sz w:val="20"/>
        </w:rPr>
        <w:t>a las medidas de publicación y difusión de la Sentencia y de su resumen oficial</w:t>
      </w:r>
      <w:r w:rsidR="00AD69FC" w:rsidRPr="00A53850">
        <w:rPr>
          <w:rFonts w:ascii="Verdana" w:hAnsi="Verdana"/>
          <w:sz w:val="20"/>
        </w:rPr>
        <w:t xml:space="preserve"> </w:t>
      </w:r>
      <w:r w:rsidR="00070F4A" w:rsidRPr="00A53850">
        <w:rPr>
          <w:rFonts w:ascii="Verdana" w:hAnsi="Verdana"/>
          <w:sz w:val="20"/>
        </w:rPr>
        <w:t xml:space="preserve">ordenadas en el </w:t>
      </w:r>
      <w:r w:rsidR="00AD69FC" w:rsidRPr="00FF3984">
        <w:rPr>
          <w:rFonts w:ascii="Verdana" w:hAnsi="Verdana"/>
          <w:i/>
          <w:sz w:val="20"/>
        </w:rPr>
        <w:t xml:space="preserve">punto </w:t>
      </w:r>
      <w:r w:rsidR="0013520A" w:rsidRPr="00FF3984">
        <w:rPr>
          <w:rFonts w:ascii="Verdana" w:hAnsi="Verdana"/>
          <w:i/>
          <w:sz w:val="20"/>
        </w:rPr>
        <w:t>dispositivo</w:t>
      </w:r>
      <w:r w:rsidR="00AD69FC" w:rsidRPr="00FF3984">
        <w:rPr>
          <w:rFonts w:ascii="Verdana" w:hAnsi="Verdana"/>
          <w:i/>
          <w:sz w:val="20"/>
        </w:rPr>
        <w:t xml:space="preserve"> quinto de la Sentencia</w:t>
      </w:r>
      <w:r w:rsidR="004233ED" w:rsidRPr="00A53850">
        <w:rPr>
          <w:rFonts w:ascii="Verdana" w:hAnsi="Verdana"/>
          <w:sz w:val="20"/>
        </w:rPr>
        <w:t>.</w:t>
      </w:r>
    </w:p>
    <w:p w14:paraId="6718CE76" w14:textId="77777777" w:rsidR="009607F0" w:rsidRPr="00FF3984" w:rsidRDefault="009607F0" w:rsidP="009607F0">
      <w:pPr>
        <w:jc w:val="both"/>
        <w:rPr>
          <w:rFonts w:ascii="Verdana" w:hAnsi="Verdana"/>
          <w:sz w:val="20"/>
        </w:rPr>
      </w:pPr>
    </w:p>
    <w:p w14:paraId="26559DC5" w14:textId="790712E7" w:rsidR="004C7FD7" w:rsidRPr="00FF3984" w:rsidRDefault="00EB3D47" w:rsidP="00FF3984">
      <w:pPr>
        <w:numPr>
          <w:ilvl w:val="0"/>
          <w:numId w:val="1"/>
        </w:numPr>
        <w:ind w:left="0" w:hanging="11"/>
        <w:jc w:val="both"/>
        <w:rPr>
          <w:rFonts w:ascii="Verdana" w:hAnsi="Verdana"/>
          <w:sz w:val="20"/>
          <w:lang w:val="es-MX"/>
        </w:rPr>
      </w:pPr>
      <w:r w:rsidRPr="00A53850">
        <w:rPr>
          <w:rFonts w:ascii="Verdana" w:hAnsi="Verdana"/>
          <w:sz w:val="20"/>
        </w:rPr>
        <w:t xml:space="preserve">Declarar, de conformidad con lo señalado </w:t>
      </w:r>
      <w:r w:rsidR="00070F4A" w:rsidRPr="00A53850">
        <w:rPr>
          <w:rFonts w:ascii="Verdana" w:hAnsi="Verdana"/>
          <w:sz w:val="20"/>
        </w:rPr>
        <w:t>con los Considerandos</w:t>
      </w:r>
      <w:r w:rsidRPr="00A53850">
        <w:rPr>
          <w:rFonts w:ascii="Verdana" w:hAnsi="Verdana"/>
          <w:sz w:val="20"/>
        </w:rPr>
        <w:t xml:space="preserve"> </w:t>
      </w:r>
      <w:r w:rsidR="004C7FD7">
        <w:rPr>
          <w:rFonts w:ascii="Verdana" w:hAnsi="Verdana"/>
          <w:sz w:val="20"/>
        </w:rPr>
        <w:t xml:space="preserve">8 a 10 </w:t>
      </w:r>
      <w:r w:rsidR="00070F4A" w:rsidRPr="00A53850">
        <w:rPr>
          <w:rFonts w:ascii="Verdana" w:hAnsi="Verdana"/>
          <w:sz w:val="20"/>
        </w:rPr>
        <w:t>de la presente Resolución</w:t>
      </w:r>
      <w:r w:rsidRPr="00A53850">
        <w:rPr>
          <w:rFonts w:ascii="Verdana" w:hAnsi="Verdana"/>
          <w:sz w:val="20"/>
        </w:rPr>
        <w:t xml:space="preserve">, que el Estado ha dado </w:t>
      </w:r>
      <w:r w:rsidR="004C7FD7" w:rsidRPr="00A53850">
        <w:rPr>
          <w:rFonts w:ascii="Verdana" w:hAnsi="Verdana"/>
          <w:sz w:val="20"/>
        </w:rPr>
        <w:t xml:space="preserve">cumplimiento parcial al pago de las indemnizaciones </w:t>
      </w:r>
      <w:r w:rsidR="004C7FD7">
        <w:rPr>
          <w:rFonts w:ascii="Verdana" w:hAnsi="Verdana"/>
          <w:sz w:val="20"/>
        </w:rPr>
        <w:t>por concepto de</w:t>
      </w:r>
      <w:r w:rsidR="004C7FD7" w:rsidRPr="00A53850">
        <w:rPr>
          <w:rFonts w:ascii="Verdana" w:hAnsi="Verdana"/>
          <w:sz w:val="20"/>
        </w:rPr>
        <w:t xml:space="preserve"> daño emergente, quedando pendiente</w:t>
      </w:r>
      <w:r w:rsidR="004C7FD7">
        <w:rPr>
          <w:rFonts w:ascii="Verdana" w:hAnsi="Verdana"/>
          <w:sz w:val="20"/>
        </w:rPr>
        <w:t xml:space="preserve"> de cumplimiento</w:t>
      </w:r>
      <w:r w:rsidR="004C7FD7" w:rsidRPr="00A53850">
        <w:rPr>
          <w:rFonts w:ascii="Verdana" w:hAnsi="Verdana"/>
          <w:sz w:val="20"/>
        </w:rPr>
        <w:t xml:space="preserve"> el pago </w:t>
      </w:r>
      <w:r w:rsidR="004C7FD7">
        <w:rPr>
          <w:rFonts w:ascii="Verdana" w:hAnsi="Verdana"/>
          <w:sz w:val="20"/>
        </w:rPr>
        <w:t>a favor del</w:t>
      </w:r>
      <w:r w:rsidR="004C7FD7" w:rsidRPr="00A53850">
        <w:rPr>
          <w:rFonts w:ascii="Verdana" w:hAnsi="Verdana"/>
          <w:sz w:val="20"/>
        </w:rPr>
        <w:t xml:space="preserve"> grupo familiar de las víctimas de desaparición forzada </w:t>
      </w:r>
      <w:proofErr w:type="spellStart"/>
      <w:r w:rsidR="004C7FD7" w:rsidRPr="00A53850">
        <w:rPr>
          <w:rFonts w:ascii="Verdana" w:hAnsi="Verdana"/>
          <w:sz w:val="20"/>
        </w:rPr>
        <w:t>Zolio</w:t>
      </w:r>
      <w:proofErr w:type="spellEnd"/>
      <w:r w:rsidR="004C7FD7" w:rsidRPr="00A53850">
        <w:rPr>
          <w:rFonts w:ascii="Verdana" w:hAnsi="Verdana"/>
          <w:sz w:val="20"/>
        </w:rPr>
        <w:t xml:space="preserve"> Canales Salazar y Moisés Canales Godoy, así como</w:t>
      </w:r>
      <w:r w:rsidR="002372C8">
        <w:rPr>
          <w:rFonts w:ascii="Verdana" w:hAnsi="Verdana"/>
          <w:sz w:val="20"/>
        </w:rPr>
        <w:t xml:space="preserve"> pagar</w:t>
      </w:r>
      <w:r w:rsidR="004C7FD7" w:rsidRPr="00A53850">
        <w:rPr>
          <w:rFonts w:ascii="Verdana" w:hAnsi="Verdana"/>
          <w:sz w:val="20"/>
        </w:rPr>
        <w:t xml:space="preserve"> los respectivos intereses moratorios a favor de los 24 grupos familiares de las 26 víctimas de desaparición forzada</w:t>
      </w:r>
      <w:r w:rsidR="002372C8">
        <w:rPr>
          <w:rFonts w:ascii="Verdana" w:hAnsi="Verdana"/>
          <w:sz w:val="20"/>
        </w:rPr>
        <w:t xml:space="preserve"> </w:t>
      </w:r>
      <w:r w:rsidR="004C7FD7" w:rsidRPr="00A53850">
        <w:rPr>
          <w:rFonts w:ascii="Verdana" w:hAnsi="Verdana"/>
          <w:sz w:val="20"/>
        </w:rPr>
        <w:t>(</w:t>
      </w:r>
      <w:r w:rsidR="004C7FD7" w:rsidRPr="00A53850">
        <w:rPr>
          <w:rFonts w:ascii="Verdana" w:hAnsi="Verdana"/>
          <w:i/>
          <w:sz w:val="20"/>
        </w:rPr>
        <w:t>punto dispositivo octavo de la Sentencia</w:t>
      </w:r>
      <w:r w:rsidR="004C7FD7" w:rsidRPr="00A53850">
        <w:rPr>
          <w:rFonts w:ascii="Verdana" w:hAnsi="Verdana"/>
          <w:sz w:val="20"/>
        </w:rPr>
        <w:t>)</w:t>
      </w:r>
      <w:r w:rsidR="004C7FD7">
        <w:rPr>
          <w:rFonts w:ascii="Verdana" w:hAnsi="Verdana"/>
          <w:sz w:val="20"/>
        </w:rPr>
        <w:t>.</w:t>
      </w:r>
    </w:p>
    <w:p w14:paraId="7E65686E" w14:textId="77777777" w:rsidR="004C7FD7" w:rsidRDefault="004C7FD7" w:rsidP="00FF3984">
      <w:pPr>
        <w:pStyle w:val="Prrafodelista"/>
        <w:rPr>
          <w:rFonts w:ascii="Verdana" w:hAnsi="Verdana"/>
          <w:sz w:val="20"/>
        </w:rPr>
      </w:pPr>
    </w:p>
    <w:p w14:paraId="052F1F64" w14:textId="1F6D2221" w:rsidR="00EB3D47" w:rsidRPr="009607F0" w:rsidRDefault="004C7FD7" w:rsidP="00FF3984">
      <w:pPr>
        <w:numPr>
          <w:ilvl w:val="0"/>
          <w:numId w:val="1"/>
        </w:numPr>
        <w:ind w:left="0" w:hanging="11"/>
        <w:jc w:val="both"/>
        <w:rPr>
          <w:rFonts w:ascii="Verdana" w:hAnsi="Verdana"/>
          <w:sz w:val="20"/>
          <w:lang w:val="es-MX"/>
        </w:rPr>
      </w:pPr>
      <w:r>
        <w:rPr>
          <w:rFonts w:ascii="Verdana" w:hAnsi="Verdana"/>
          <w:sz w:val="20"/>
        </w:rPr>
        <w:t xml:space="preserve">Declarar, </w:t>
      </w:r>
      <w:r w:rsidR="008F3C7E">
        <w:rPr>
          <w:rFonts w:ascii="Verdana" w:hAnsi="Verdana"/>
          <w:sz w:val="20"/>
        </w:rPr>
        <w:t>de conformidad con lo se</w:t>
      </w:r>
      <w:r w:rsidR="000B3C8D">
        <w:rPr>
          <w:rFonts w:ascii="Verdana" w:hAnsi="Verdana"/>
          <w:sz w:val="20"/>
        </w:rPr>
        <w:t>ñalado en los Considerandos 11 a 13</w:t>
      </w:r>
      <w:r w:rsidR="008F3C7E">
        <w:rPr>
          <w:rFonts w:ascii="Verdana" w:hAnsi="Verdana"/>
          <w:sz w:val="20"/>
        </w:rPr>
        <w:t xml:space="preserve"> de la presente Resolución, que el Estado ha dado cumplimiento parcial al pago de las indemnizaciones por concepto de ingresos dejados de percibir, quedando </w:t>
      </w:r>
      <w:r w:rsidR="008F3C7E" w:rsidRPr="00A53850">
        <w:rPr>
          <w:rFonts w:ascii="Verdana" w:hAnsi="Verdana"/>
          <w:sz w:val="20"/>
        </w:rPr>
        <w:t xml:space="preserve">pendiente el pago de </w:t>
      </w:r>
      <w:r w:rsidR="008F3C7E">
        <w:rPr>
          <w:rFonts w:ascii="Verdana" w:hAnsi="Verdana"/>
          <w:sz w:val="20"/>
        </w:rPr>
        <w:t xml:space="preserve">dichas </w:t>
      </w:r>
      <w:r w:rsidR="008F3C7E" w:rsidRPr="00A53850">
        <w:rPr>
          <w:rFonts w:ascii="Verdana" w:hAnsi="Verdana"/>
          <w:sz w:val="20"/>
        </w:rPr>
        <w:t xml:space="preserve">indemnizaciones a favor de </w:t>
      </w:r>
      <w:r w:rsidR="008F3C7E">
        <w:rPr>
          <w:rFonts w:ascii="Verdana" w:hAnsi="Verdana"/>
          <w:sz w:val="20"/>
        </w:rPr>
        <w:t>los beneficiarios de</w:t>
      </w:r>
      <w:r w:rsidR="008F3C7E" w:rsidRPr="00A53850">
        <w:rPr>
          <w:rFonts w:ascii="Verdana" w:hAnsi="Verdana"/>
          <w:sz w:val="20"/>
        </w:rPr>
        <w:t xml:space="preserve"> 4 víctimas de desaparición forzada, así como completar los pagos a los beneficiarios de</w:t>
      </w:r>
      <w:r w:rsidR="008F3C7E">
        <w:rPr>
          <w:rFonts w:ascii="Verdana" w:hAnsi="Verdana"/>
          <w:sz w:val="20"/>
        </w:rPr>
        <w:t xml:space="preserve"> las otras</w:t>
      </w:r>
      <w:r w:rsidR="008F3C7E" w:rsidRPr="00A53850">
        <w:rPr>
          <w:rFonts w:ascii="Verdana" w:hAnsi="Verdana"/>
          <w:sz w:val="20"/>
        </w:rPr>
        <w:t xml:space="preserve"> 22 víctimas de desaparición forzada</w:t>
      </w:r>
      <w:r w:rsidR="002372C8">
        <w:rPr>
          <w:rFonts w:ascii="Verdana" w:hAnsi="Verdana"/>
          <w:sz w:val="20"/>
        </w:rPr>
        <w:t xml:space="preserve"> </w:t>
      </w:r>
      <w:r w:rsidR="002372C8" w:rsidRPr="00A53850">
        <w:rPr>
          <w:rFonts w:ascii="Verdana" w:hAnsi="Verdana"/>
          <w:sz w:val="20"/>
        </w:rPr>
        <w:t>(</w:t>
      </w:r>
      <w:r w:rsidR="002372C8" w:rsidRPr="00A53850">
        <w:rPr>
          <w:rFonts w:ascii="Verdana" w:hAnsi="Verdana"/>
          <w:i/>
          <w:sz w:val="20"/>
        </w:rPr>
        <w:t>punto dispositivo octavo de la Sentencia</w:t>
      </w:r>
      <w:r w:rsidR="002372C8" w:rsidRPr="00A53850">
        <w:rPr>
          <w:rFonts w:ascii="Verdana" w:hAnsi="Verdana"/>
          <w:sz w:val="20"/>
        </w:rPr>
        <w:t>)</w:t>
      </w:r>
      <w:r w:rsidR="002372C8">
        <w:rPr>
          <w:rFonts w:ascii="Verdana" w:hAnsi="Verdana"/>
          <w:sz w:val="20"/>
        </w:rPr>
        <w:t>.</w:t>
      </w:r>
    </w:p>
    <w:p w14:paraId="34A157EA" w14:textId="77777777" w:rsidR="009607F0" w:rsidRPr="00A53850" w:rsidRDefault="009607F0" w:rsidP="009607F0">
      <w:pPr>
        <w:pStyle w:val="Prrafodelista"/>
        <w:ind w:left="1080"/>
        <w:jc w:val="both"/>
        <w:rPr>
          <w:rFonts w:ascii="Verdana" w:hAnsi="Verdana"/>
          <w:sz w:val="20"/>
          <w:lang w:val="es-MX"/>
        </w:rPr>
      </w:pPr>
    </w:p>
    <w:p w14:paraId="6ECD84FE" w14:textId="77777777" w:rsidR="00AD69FC" w:rsidRPr="009607F0" w:rsidRDefault="00AD69FC" w:rsidP="009607F0">
      <w:pPr>
        <w:numPr>
          <w:ilvl w:val="0"/>
          <w:numId w:val="1"/>
        </w:numPr>
        <w:ind w:left="0" w:hanging="11"/>
        <w:jc w:val="both"/>
        <w:rPr>
          <w:rFonts w:ascii="Verdana" w:hAnsi="Verdana"/>
          <w:sz w:val="20"/>
          <w:lang w:val="es-MX"/>
        </w:rPr>
      </w:pPr>
      <w:r w:rsidRPr="00A53850">
        <w:rPr>
          <w:rFonts w:ascii="Verdana" w:hAnsi="Verdana"/>
          <w:sz w:val="20"/>
          <w:lang w:val="es-MX"/>
        </w:rPr>
        <w:t xml:space="preserve">Mantener </w:t>
      </w:r>
      <w:r w:rsidRPr="00A53850">
        <w:rPr>
          <w:rFonts w:ascii="Verdana" w:hAnsi="Verdana"/>
          <w:sz w:val="20"/>
        </w:rPr>
        <w:t>abierto el procedimiento de supervisión de cumplimiento de las siguientes medidas de reparación:</w:t>
      </w:r>
    </w:p>
    <w:p w14:paraId="2CB68AF2" w14:textId="77777777" w:rsidR="009607F0" w:rsidRPr="00A53850" w:rsidRDefault="009607F0" w:rsidP="009607F0">
      <w:pPr>
        <w:jc w:val="both"/>
        <w:rPr>
          <w:rFonts w:ascii="Verdana" w:hAnsi="Verdana"/>
          <w:sz w:val="20"/>
          <w:lang w:val="es-MX"/>
        </w:rPr>
      </w:pPr>
    </w:p>
    <w:p w14:paraId="5D73F351" w14:textId="77777777" w:rsidR="006B578B" w:rsidRPr="00A53850" w:rsidRDefault="005A43A4" w:rsidP="009607F0">
      <w:pPr>
        <w:pStyle w:val="Prrafodelista"/>
        <w:numPr>
          <w:ilvl w:val="0"/>
          <w:numId w:val="28"/>
        </w:numPr>
        <w:jc w:val="both"/>
        <w:rPr>
          <w:rFonts w:ascii="Verdana" w:hAnsi="Verdana"/>
          <w:sz w:val="20"/>
          <w:lang w:val="es-MX"/>
        </w:rPr>
      </w:pPr>
      <w:r w:rsidRPr="00A53850">
        <w:rPr>
          <w:rFonts w:ascii="Verdana" w:hAnsi="Verdana"/>
          <w:sz w:val="20"/>
        </w:rPr>
        <w:t xml:space="preserve">iniciar, continuar y realizar las investigaciones y procesos necesarios, en un plazo razonable, con el fin de establecer la verdad de los hechos, así como de determinar y, en su caso, sancionar a los responsables de las desapariciones forzadas de las víctimas señaladas en el </w:t>
      </w:r>
      <w:r w:rsidRPr="00A53850">
        <w:rPr>
          <w:rFonts w:ascii="Verdana" w:hAnsi="Verdana"/>
          <w:sz w:val="20"/>
        </w:rPr>
        <w:lastRenderedPageBreak/>
        <w:t>punto declarativo primero de la Sentencia, así como de la muerte de Rudy Gustavo Figueroa Muñoz y la alegada detención y tortura sufrida por Wendy e Igor Santizo Méndez (</w:t>
      </w:r>
      <w:r w:rsidRPr="00A53850">
        <w:rPr>
          <w:rFonts w:ascii="Verdana" w:hAnsi="Verdana"/>
          <w:i/>
          <w:sz w:val="20"/>
        </w:rPr>
        <w:t xml:space="preserve">punto dispositivo </w:t>
      </w:r>
      <w:r w:rsidR="006B578B" w:rsidRPr="00A53850">
        <w:rPr>
          <w:rFonts w:ascii="Verdana" w:hAnsi="Verdana"/>
          <w:i/>
          <w:sz w:val="20"/>
        </w:rPr>
        <w:t>segundo de la Sentencia</w:t>
      </w:r>
      <w:r w:rsidR="006B578B" w:rsidRPr="00A53850">
        <w:rPr>
          <w:rFonts w:ascii="Verdana" w:hAnsi="Verdana"/>
          <w:sz w:val="20"/>
        </w:rPr>
        <w:t>);</w:t>
      </w:r>
    </w:p>
    <w:p w14:paraId="444A4BC2" w14:textId="72111E35" w:rsidR="006B578B" w:rsidRPr="00A53850" w:rsidRDefault="005A43A4" w:rsidP="009607F0">
      <w:pPr>
        <w:pStyle w:val="Prrafodelista"/>
        <w:numPr>
          <w:ilvl w:val="0"/>
          <w:numId w:val="28"/>
        </w:numPr>
        <w:jc w:val="both"/>
        <w:rPr>
          <w:rFonts w:ascii="Verdana" w:hAnsi="Verdana"/>
          <w:sz w:val="20"/>
          <w:lang w:val="es-MX"/>
        </w:rPr>
      </w:pPr>
      <w:r w:rsidRPr="00A53850">
        <w:rPr>
          <w:rFonts w:ascii="Verdana" w:hAnsi="Verdana"/>
          <w:sz w:val="20"/>
        </w:rPr>
        <w:t>efectuar, a la mayor brevedad, una búsqueda seria, en la cual realice todos los esfuerzos para determinar el paradero de las 24 víctimas aún desaparecidas</w:t>
      </w:r>
      <w:r w:rsidR="000B3C8D">
        <w:rPr>
          <w:rFonts w:ascii="Verdana" w:hAnsi="Verdana"/>
          <w:sz w:val="20"/>
        </w:rPr>
        <w:t xml:space="preserve"> </w:t>
      </w:r>
      <w:r w:rsidR="000B3C8D" w:rsidRPr="00FF3984">
        <w:rPr>
          <w:rFonts w:ascii="Verdana" w:hAnsi="Verdana"/>
          <w:sz w:val="20"/>
        </w:rPr>
        <w:t>a la mayor brevedad</w:t>
      </w:r>
      <w:r w:rsidRPr="00A53850">
        <w:rPr>
          <w:rFonts w:ascii="Verdana" w:hAnsi="Verdana"/>
          <w:sz w:val="20"/>
        </w:rPr>
        <w:t xml:space="preserve"> (</w:t>
      </w:r>
      <w:r w:rsidRPr="00A53850">
        <w:rPr>
          <w:rFonts w:ascii="Verdana" w:hAnsi="Verdana"/>
          <w:i/>
          <w:sz w:val="20"/>
        </w:rPr>
        <w:t>punto dispositivo</w:t>
      </w:r>
      <w:r w:rsidR="006B578B" w:rsidRPr="00A53850">
        <w:rPr>
          <w:rFonts w:ascii="Verdana" w:hAnsi="Verdana"/>
          <w:i/>
          <w:sz w:val="20"/>
        </w:rPr>
        <w:t xml:space="preserve"> tercero de la Sentencia</w:t>
      </w:r>
      <w:r w:rsidR="006B578B" w:rsidRPr="00A53850">
        <w:rPr>
          <w:rFonts w:ascii="Verdana" w:hAnsi="Verdana"/>
          <w:sz w:val="20"/>
        </w:rPr>
        <w:t>);</w:t>
      </w:r>
    </w:p>
    <w:p w14:paraId="71492971" w14:textId="59BB5C11" w:rsidR="006B578B" w:rsidRPr="00A53850" w:rsidRDefault="005A43A4" w:rsidP="009607F0">
      <w:pPr>
        <w:pStyle w:val="Prrafodelista"/>
        <w:numPr>
          <w:ilvl w:val="0"/>
          <w:numId w:val="28"/>
        </w:numPr>
        <w:jc w:val="both"/>
        <w:rPr>
          <w:rFonts w:ascii="Verdana" w:hAnsi="Verdana"/>
          <w:sz w:val="20"/>
          <w:lang w:val="es-MX"/>
        </w:rPr>
      </w:pPr>
      <w:r w:rsidRPr="00A53850">
        <w:rPr>
          <w:rFonts w:ascii="Verdana" w:hAnsi="Verdana"/>
          <w:sz w:val="20"/>
        </w:rPr>
        <w:t>brindar, de forma inmediata, el tratamiento psicológico o psiquiátrico a las víctimas que así lo soliciten y, de ser el caso, pagar la suma establecida por concepto de gastos por tratamiento psicológico o psiquiátrico para aquellas víctimas que residan fuera de Guatemala</w:t>
      </w:r>
      <w:r w:rsidR="006B578B" w:rsidRPr="00A53850">
        <w:rPr>
          <w:rFonts w:ascii="Verdana" w:hAnsi="Verdana"/>
          <w:sz w:val="20"/>
        </w:rPr>
        <w:t xml:space="preserve"> (</w:t>
      </w:r>
      <w:r w:rsidR="006B578B" w:rsidRPr="00A53850">
        <w:rPr>
          <w:rFonts w:ascii="Verdana" w:hAnsi="Verdana"/>
          <w:i/>
          <w:sz w:val="20"/>
        </w:rPr>
        <w:t>punto</w:t>
      </w:r>
      <w:r w:rsidRPr="00A53850">
        <w:rPr>
          <w:rFonts w:ascii="Verdana" w:hAnsi="Verdana"/>
          <w:i/>
          <w:sz w:val="20"/>
        </w:rPr>
        <w:t xml:space="preserve"> dispositivo cuarto</w:t>
      </w:r>
      <w:r w:rsidR="006B578B" w:rsidRPr="00A53850">
        <w:rPr>
          <w:rFonts w:ascii="Verdana" w:hAnsi="Verdana"/>
          <w:i/>
          <w:sz w:val="20"/>
        </w:rPr>
        <w:t xml:space="preserve"> de la Sentencia</w:t>
      </w:r>
      <w:r w:rsidR="006B578B" w:rsidRPr="00A53850">
        <w:rPr>
          <w:rFonts w:ascii="Verdana" w:hAnsi="Verdana"/>
          <w:sz w:val="20"/>
        </w:rPr>
        <w:t>)</w:t>
      </w:r>
      <w:r w:rsidR="00AC77EB" w:rsidRPr="00A53850">
        <w:rPr>
          <w:rFonts w:ascii="Verdana" w:hAnsi="Verdana"/>
          <w:sz w:val="20"/>
        </w:rPr>
        <w:t>;</w:t>
      </w:r>
    </w:p>
    <w:p w14:paraId="6ED10547" w14:textId="1CC58C6C" w:rsidR="006B578B" w:rsidRPr="00A53850" w:rsidRDefault="005A43A4" w:rsidP="009607F0">
      <w:pPr>
        <w:pStyle w:val="Prrafodelista"/>
        <w:numPr>
          <w:ilvl w:val="0"/>
          <w:numId w:val="28"/>
        </w:numPr>
        <w:jc w:val="both"/>
        <w:rPr>
          <w:rFonts w:ascii="Verdana" w:hAnsi="Verdana"/>
          <w:sz w:val="20"/>
          <w:lang w:val="es-MX"/>
        </w:rPr>
      </w:pPr>
      <w:r w:rsidRPr="00A53850">
        <w:rPr>
          <w:rFonts w:ascii="Verdana" w:hAnsi="Verdana"/>
          <w:sz w:val="20"/>
        </w:rPr>
        <w:t>realizar un documental audiovisual sobre las víctimas y los hechos del presente caso, el contexto en el que se desarrollaron y la búsqueda de justicia de sus familiares (</w:t>
      </w:r>
      <w:r w:rsidRPr="00A53850">
        <w:rPr>
          <w:rFonts w:ascii="Verdana" w:hAnsi="Verdana"/>
          <w:i/>
          <w:sz w:val="20"/>
        </w:rPr>
        <w:t>punto dispositivo sexto de la Sentencia</w:t>
      </w:r>
      <w:r w:rsidRPr="00A53850">
        <w:rPr>
          <w:rFonts w:ascii="Verdana" w:hAnsi="Verdana"/>
          <w:sz w:val="20"/>
        </w:rPr>
        <w:t>);</w:t>
      </w:r>
    </w:p>
    <w:p w14:paraId="3EE8CB3C" w14:textId="27FFD7B3" w:rsidR="001C5099" w:rsidRPr="00A53850" w:rsidRDefault="005A43A4" w:rsidP="009607F0">
      <w:pPr>
        <w:pStyle w:val="Prrafodelista"/>
        <w:numPr>
          <w:ilvl w:val="0"/>
          <w:numId w:val="28"/>
        </w:numPr>
        <w:jc w:val="both"/>
        <w:rPr>
          <w:rFonts w:ascii="Verdana" w:hAnsi="Verdana"/>
          <w:sz w:val="20"/>
          <w:lang w:val="es-MX"/>
        </w:rPr>
      </w:pPr>
      <w:r w:rsidRPr="00A53850">
        <w:rPr>
          <w:rFonts w:ascii="Verdana" w:hAnsi="Verdana"/>
          <w:sz w:val="20"/>
        </w:rPr>
        <w:t>construir un parque o plaza en honor a la memoria de las víctimas del presente caso, que sirva a los familiares como un espacio donde recordar a sus seres queridos (</w:t>
      </w:r>
      <w:r w:rsidRPr="00A53850">
        <w:rPr>
          <w:rFonts w:ascii="Verdana" w:hAnsi="Verdana"/>
          <w:i/>
          <w:sz w:val="20"/>
        </w:rPr>
        <w:t>punto dispositivo séptimo de la Sentencia</w:t>
      </w:r>
      <w:r w:rsidRPr="00A53850">
        <w:rPr>
          <w:rFonts w:ascii="Verdana" w:hAnsi="Verdana"/>
          <w:sz w:val="20"/>
        </w:rPr>
        <w:t>)</w:t>
      </w:r>
      <w:r w:rsidR="0063328E" w:rsidRPr="00A53850">
        <w:rPr>
          <w:rFonts w:ascii="Verdana" w:hAnsi="Verdana"/>
          <w:sz w:val="20"/>
        </w:rPr>
        <w:t>, y</w:t>
      </w:r>
    </w:p>
    <w:p w14:paraId="3E10F393" w14:textId="103DE23F" w:rsidR="002372C8" w:rsidRPr="00FF3984" w:rsidRDefault="002372C8" w:rsidP="009607F0">
      <w:pPr>
        <w:pStyle w:val="Prrafodelista"/>
        <w:numPr>
          <w:ilvl w:val="0"/>
          <w:numId w:val="28"/>
        </w:numPr>
        <w:jc w:val="both"/>
        <w:rPr>
          <w:rFonts w:ascii="Verdana" w:hAnsi="Verdana"/>
          <w:sz w:val="20"/>
          <w:lang w:val="es-MX"/>
        </w:rPr>
      </w:pPr>
      <w:r>
        <w:rPr>
          <w:rFonts w:ascii="Verdana" w:hAnsi="Verdana"/>
          <w:sz w:val="20"/>
        </w:rPr>
        <w:t xml:space="preserve">realizar </w:t>
      </w:r>
      <w:r w:rsidRPr="00A53850">
        <w:rPr>
          <w:rFonts w:ascii="Verdana" w:hAnsi="Verdana"/>
          <w:sz w:val="20"/>
        </w:rPr>
        <w:t xml:space="preserve">el pago de las indemnizaciones </w:t>
      </w:r>
      <w:r>
        <w:rPr>
          <w:rFonts w:ascii="Verdana" w:hAnsi="Verdana"/>
          <w:sz w:val="20"/>
        </w:rPr>
        <w:t>por concepto de</w:t>
      </w:r>
      <w:r w:rsidRPr="00A53850">
        <w:rPr>
          <w:rFonts w:ascii="Verdana" w:hAnsi="Verdana"/>
          <w:sz w:val="20"/>
        </w:rPr>
        <w:t xml:space="preserve"> daño emergente</w:t>
      </w:r>
      <w:r>
        <w:rPr>
          <w:rFonts w:ascii="Verdana" w:hAnsi="Verdana"/>
          <w:sz w:val="20"/>
        </w:rPr>
        <w:t xml:space="preserve"> a favor del</w:t>
      </w:r>
      <w:r w:rsidRPr="00A53850">
        <w:rPr>
          <w:rFonts w:ascii="Verdana" w:hAnsi="Verdana"/>
          <w:sz w:val="20"/>
        </w:rPr>
        <w:t xml:space="preserve"> grupo familiar de las víctimas de desaparición forzada </w:t>
      </w:r>
      <w:proofErr w:type="spellStart"/>
      <w:r w:rsidRPr="00A53850">
        <w:rPr>
          <w:rFonts w:ascii="Verdana" w:hAnsi="Verdana"/>
          <w:sz w:val="20"/>
        </w:rPr>
        <w:t>Zolio</w:t>
      </w:r>
      <w:proofErr w:type="spellEnd"/>
      <w:r w:rsidRPr="00A53850">
        <w:rPr>
          <w:rFonts w:ascii="Verdana" w:hAnsi="Verdana"/>
          <w:sz w:val="20"/>
        </w:rPr>
        <w:t xml:space="preserve"> Canales Salazar y Moisés Canales Godoy, así como </w:t>
      </w:r>
      <w:r>
        <w:rPr>
          <w:rFonts w:ascii="Verdana" w:hAnsi="Verdana"/>
          <w:sz w:val="20"/>
        </w:rPr>
        <w:t xml:space="preserve">pagar </w:t>
      </w:r>
      <w:r w:rsidRPr="00A53850">
        <w:rPr>
          <w:rFonts w:ascii="Verdana" w:hAnsi="Verdana"/>
          <w:sz w:val="20"/>
        </w:rPr>
        <w:t>los respectivos intereses moratorios a favor de los 24 grupos familiares de las 26 víctimas de desaparición forzada</w:t>
      </w:r>
      <w:r>
        <w:rPr>
          <w:rFonts w:ascii="Verdana" w:hAnsi="Verdana"/>
          <w:sz w:val="20"/>
        </w:rPr>
        <w:t xml:space="preserve"> </w:t>
      </w:r>
      <w:r w:rsidRPr="00A53850">
        <w:rPr>
          <w:rFonts w:ascii="Verdana" w:hAnsi="Verdana"/>
          <w:sz w:val="20"/>
        </w:rPr>
        <w:t>(</w:t>
      </w:r>
      <w:r w:rsidRPr="00A53850">
        <w:rPr>
          <w:rFonts w:ascii="Verdana" w:hAnsi="Verdana"/>
          <w:i/>
          <w:sz w:val="20"/>
        </w:rPr>
        <w:t>punto dispositivo octavo de la Sentencia</w:t>
      </w:r>
      <w:r w:rsidRPr="00A53850">
        <w:rPr>
          <w:rFonts w:ascii="Verdana" w:hAnsi="Verdana"/>
          <w:sz w:val="20"/>
        </w:rPr>
        <w:t>)</w:t>
      </w:r>
      <w:r>
        <w:rPr>
          <w:rFonts w:ascii="Verdana" w:hAnsi="Verdana"/>
          <w:sz w:val="20"/>
        </w:rPr>
        <w:t>;</w:t>
      </w:r>
    </w:p>
    <w:p w14:paraId="300022A5" w14:textId="1D3D2B99" w:rsidR="002372C8" w:rsidRPr="00FF3984" w:rsidRDefault="00BB717D" w:rsidP="009607F0">
      <w:pPr>
        <w:pStyle w:val="Prrafodelista"/>
        <w:numPr>
          <w:ilvl w:val="0"/>
          <w:numId w:val="28"/>
        </w:numPr>
        <w:jc w:val="both"/>
        <w:rPr>
          <w:rFonts w:ascii="Verdana" w:hAnsi="Verdana"/>
          <w:sz w:val="20"/>
          <w:lang w:val="es-MX"/>
        </w:rPr>
      </w:pPr>
      <w:r>
        <w:rPr>
          <w:rFonts w:ascii="Verdana" w:hAnsi="Verdana"/>
          <w:sz w:val="20"/>
        </w:rPr>
        <w:t xml:space="preserve">realizar </w:t>
      </w:r>
      <w:r w:rsidRPr="00A53850">
        <w:rPr>
          <w:rFonts w:ascii="Verdana" w:hAnsi="Verdana"/>
          <w:sz w:val="20"/>
        </w:rPr>
        <w:t xml:space="preserve">el pago de </w:t>
      </w:r>
      <w:r>
        <w:rPr>
          <w:rFonts w:ascii="Verdana" w:hAnsi="Verdana"/>
          <w:sz w:val="20"/>
        </w:rPr>
        <w:t xml:space="preserve">las </w:t>
      </w:r>
      <w:r w:rsidRPr="00A53850">
        <w:rPr>
          <w:rFonts w:ascii="Verdana" w:hAnsi="Verdana"/>
          <w:sz w:val="20"/>
        </w:rPr>
        <w:t xml:space="preserve">indemnizaciones </w:t>
      </w:r>
      <w:r>
        <w:rPr>
          <w:rFonts w:ascii="Verdana" w:hAnsi="Verdana"/>
          <w:sz w:val="20"/>
        </w:rPr>
        <w:t>por concepto de ingresos dejados de percibir</w:t>
      </w:r>
      <w:r w:rsidRPr="00A53850">
        <w:rPr>
          <w:rFonts w:ascii="Verdana" w:hAnsi="Verdana"/>
          <w:sz w:val="20"/>
        </w:rPr>
        <w:t xml:space="preserve"> a favor de </w:t>
      </w:r>
      <w:r>
        <w:rPr>
          <w:rFonts w:ascii="Verdana" w:hAnsi="Verdana"/>
          <w:sz w:val="20"/>
        </w:rPr>
        <w:t>los beneficiarios de</w:t>
      </w:r>
      <w:r w:rsidRPr="00A53850">
        <w:rPr>
          <w:rFonts w:ascii="Verdana" w:hAnsi="Verdana"/>
          <w:sz w:val="20"/>
        </w:rPr>
        <w:t xml:space="preserve"> 4 víctimas de desaparición forzada, así como completar los pagos a los beneficiarios de</w:t>
      </w:r>
      <w:r>
        <w:rPr>
          <w:rFonts w:ascii="Verdana" w:hAnsi="Verdana"/>
          <w:sz w:val="20"/>
        </w:rPr>
        <w:t xml:space="preserve"> las otras</w:t>
      </w:r>
      <w:r w:rsidRPr="00A53850">
        <w:rPr>
          <w:rFonts w:ascii="Verdana" w:hAnsi="Verdana"/>
          <w:sz w:val="20"/>
        </w:rPr>
        <w:t xml:space="preserve"> 22 víctimas de desaparición forzada</w:t>
      </w:r>
      <w:r>
        <w:rPr>
          <w:rFonts w:ascii="Verdana" w:hAnsi="Verdana"/>
          <w:sz w:val="20"/>
        </w:rPr>
        <w:t xml:space="preserve"> </w:t>
      </w:r>
      <w:r w:rsidRPr="00A53850">
        <w:rPr>
          <w:rFonts w:ascii="Verdana" w:hAnsi="Verdana"/>
          <w:sz w:val="20"/>
        </w:rPr>
        <w:t>(</w:t>
      </w:r>
      <w:r w:rsidRPr="00A53850">
        <w:rPr>
          <w:rFonts w:ascii="Verdana" w:hAnsi="Verdana"/>
          <w:i/>
          <w:sz w:val="20"/>
        </w:rPr>
        <w:t>punto dispositivo octavo de la Sentencia</w:t>
      </w:r>
      <w:r w:rsidRPr="00A53850">
        <w:rPr>
          <w:rFonts w:ascii="Verdana" w:hAnsi="Verdana"/>
          <w:sz w:val="20"/>
        </w:rPr>
        <w:t>)</w:t>
      </w:r>
      <w:r>
        <w:rPr>
          <w:rFonts w:ascii="Verdana" w:hAnsi="Verdana"/>
          <w:sz w:val="20"/>
        </w:rPr>
        <w:t>;</w:t>
      </w:r>
    </w:p>
    <w:p w14:paraId="0DE4CA9A" w14:textId="17B7B3B9" w:rsidR="00BB717D" w:rsidRDefault="00BB717D" w:rsidP="009607F0">
      <w:pPr>
        <w:pStyle w:val="Prrafodelista"/>
        <w:numPr>
          <w:ilvl w:val="0"/>
          <w:numId w:val="28"/>
        </w:numPr>
        <w:jc w:val="both"/>
        <w:rPr>
          <w:rFonts w:ascii="Verdana" w:hAnsi="Verdana"/>
          <w:sz w:val="20"/>
          <w:lang w:val="es-MX"/>
        </w:rPr>
      </w:pPr>
      <w:r>
        <w:rPr>
          <w:rFonts w:ascii="Verdana" w:hAnsi="Verdana"/>
          <w:sz w:val="20"/>
          <w:lang w:val="es-MX"/>
        </w:rPr>
        <w:t>realizar el pago de las indemnizaciones por concepto de daños inmateriales (</w:t>
      </w:r>
      <w:r w:rsidRPr="00A53850">
        <w:rPr>
          <w:rFonts w:ascii="Verdana" w:hAnsi="Verdana"/>
          <w:i/>
          <w:sz w:val="20"/>
        </w:rPr>
        <w:t>punto dispositivo octavo de la Sentencia</w:t>
      </w:r>
      <w:r w:rsidRPr="00A53850">
        <w:rPr>
          <w:rFonts w:ascii="Verdana" w:hAnsi="Verdana"/>
          <w:sz w:val="20"/>
        </w:rPr>
        <w:t>)</w:t>
      </w:r>
      <w:r>
        <w:rPr>
          <w:rFonts w:ascii="Verdana" w:hAnsi="Verdana"/>
          <w:sz w:val="20"/>
          <w:lang w:val="es-MX"/>
        </w:rPr>
        <w:t>, y</w:t>
      </w:r>
    </w:p>
    <w:p w14:paraId="00AFA47F" w14:textId="4ED91751" w:rsidR="005A43A4" w:rsidRPr="009607F0" w:rsidRDefault="00BB717D" w:rsidP="00985362">
      <w:pPr>
        <w:pStyle w:val="Prrafodelista"/>
        <w:numPr>
          <w:ilvl w:val="0"/>
          <w:numId w:val="28"/>
        </w:numPr>
        <w:jc w:val="both"/>
        <w:rPr>
          <w:rFonts w:ascii="Verdana" w:hAnsi="Verdana"/>
          <w:sz w:val="20"/>
          <w:lang w:val="es-MX"/>
        </w:rPr>
      </w:pPr>
      <w:r>
        <w:rPr>
          <w:rFonts w:ascii="Verdana" w:hAnsi="Verdana"/>
          <w:sz w:val="20"/>
          <w:lang w:val="es-MX"/>
        </w:rPr>
        <w:t xml:space="preserve">realizar el reintegro de costas y gastos </w:t>
      </w:r>
      <w:r w:rsidR="0063328E" w:rsidRPr="00A53850">
        <w:rPr>
          <w:rFonts w:ascii="Verdana" w:hAnsi="Verdana"/>
          <w:sz w:val="20"/>
        </w:rPr>
        <w:t>(</w:t>
      </w:r>
      <w:r w:rsidR="0063328E" w:rsidRPr="00A53850">
        <w:rPr>
          <w:rFonts w:ascii="Verdana" w:hAnsi="Verdana"/>
          <w:i/>
          <w:sz w:val="20"/>
        </w:rPr>
        <w:t>punto dispositivo octavo de la Sentencia</w:t>
      </w:r>
      <w:r w:rsidR="0063328E" w:rsidRPr="00A53850">
        <w:rPr>
          <w:rFonts w:ascii="Verdana" w:hAnsi="Verdana"/>
          <w:sz w:val="20"/>
        </w:rPr>
        <w:t>).</w:t>
      </w:r>
    </w:p>
    <w:p w14:paraId="44D4D189" w14:textId="77777777" w:rsidR="002372C8" w:rsidRDefault="002372C8" w:rsidP="009607F0">
      <w:pPr>
        <w:pStyle w:val="Prrafodelista"/>
        <w:ind w:left="720"/>
        <w:jc w:val="both"/>
        <w:rPr>
          <w:rFonts w:ascii="Verdana" w:hAnsi="Verdana"/>
          <w:sz w:val="20"/>
          <w:lang w:val="es-MX"/>
        </w:rPr>
      </w:pPr>
    </w:p>
    <w:p w14:paraId="6D465288" w14:textId="468BDFAA" w:rsidR="00AD69FC" w:rsidRPr="009607F0" w:rsidRDefault="00AD69FC" w:rsidP="009607F0">
      <w:pPr>
        <w:numPr>
          <w:ilvl w:val="0"/>
          <w:numId w:val="1"/>
        </w:numPr>
        <w:ind w:left="0" w:hanging="11"/>
        <w:jc w:val="both"/>
        <w:rPr>
          <w:rFonts w:ascii="Verdana" w:hAnsi="Verdana"/>
          <w:sz w:val="20"/>
          <w:lang w:val="es-MX"/>
        </w:rPr>
      </w:pPr>
      <w:r w:rsidRPr="00A53850">
        <w:rPr>
          <w:rFonts w:ascii="Verdana" w:hAnsi="Verdana"/>
          <w:sz w:val="20"/>
        </w:rPr>
        <w:t>Disponer que el Estado de Guatemala adopte, en definitiva y a la mayor brevedad posible, las medidas que sean necesarias para dar efectivo y pronto cumplimiento a las reparaciones indicadas en el punto resolutivo anterior, de acuerdo con lo considerado en la presente Resolución, y con lo estipulado en el artículo 68.1 de la Convención Americana sobre Derechos Humanos.</w:t>
      </w:r>
    </w:p>
    <w:p w14:paraId="168FF9D2" w14:textId="77777777" w:rsidR="009607F0" w:rsidRPr="00A53850" w:rsidRDefault="009607F0" w:rsidP="009607F0">
      <w:pPr>
        <w:jc w:val="both"/>
        <w:rPr>
          <w:rFonts w:ascii="Verdana" w:hAnsi="Verdana"/>
          <w:sz w:val="20"/>
          <w:lang w:val="es-MX"/>
        </w:rPr>
      </w:pPr>
    </w:p>
    <w:p w14:paraId="3DD926AA" w14:textId="796062C0" w:rsidR="00AD69FC" w:rsidRPr="009607F0" w:rsidRDefault="00AD69FC" w:rsidP="009607F0">
      <w:pPr>
        <w:numPr>
          <w:ilvl w:val="0"/>
          <w:numId w:val="1"/>
        </w:numPr>
        <w:ind w:left="0" w:hanging="11"/>
        <w:jc w:val="both"/>
        <w:rPr>
          <w:rFonts w:ascii="Verdana" w:hAnsi="Verdana"/>
          <w:sz w:val="20"/>
          <w:lang w:val="es-MX"/>
        </w:rPr>
      </w:pPr>
      <w:r w:rsidRPr="00A53850">
        <w:rPr>
          <w:rFonts w:ascii="Verdana" w:hAnsi="Verdana"/>
          <w:sz w:val="20"/>
        </w:rPr>
        <w:t>Disponer que el Estado de Guatemala presente a la Corte Interamericana de Dere</w:t>
      </w:r>
      <w:r w:rsidR="006B578B" w:rsidRPr="00A53850">
        <w:rPr>
          <w:rFonts w:ascii="Verdana" w:hAnsi="Verdana"/>
          <w:sz w:val="20"/>
        </w:rPr>
        <w:t>chos Huma</w:t>
      </w:r>
      <w:r w:rsidR="000C7AC6" w:rsidRPr="00A53850">
        <w:rPr>
          <w:rFonts w:ascii="Verdana" w:hAnsi="Verdana"/>
          <w:sz w:val="20"/>
        </w:rPr>
        <w:t xml:space="preserve">nos, a más tardar el </w:t>
      </w:r>
      <w:r w:rsidR="00941CED" w:rsidRPr="00A53850">
        <w:rPr>
          <w:rFonts w:ascii="Verdana" w:hAnsi="Verdana"/>
          <w:sz w:val="20"/>
        </w:rPr>
        <w:t xml:space="preserve">3 de </w:t>
      </w:r>
      <w:r w:rsidR="000C7AC6" w:rsidRPr="00A53850">
        <w:rPr>
          <w:rFonts w:ascii="Verdana" w:hAnsi="Verdana"/>
          <w:sz w:val="20"/>
        </w:rPr>
        <w:t xml:space="preserve">marzo </w:t>
      </w:r>
      <w:r w:rsidRPr="00A53850">
        <w:rPr>
          <w:rFonts w:ascii="Verdana" w:hAnsi="Verdana"/>
          <w:sz w:val="20"/>
        </w:rPr>
        <w:t>de 20</w:t>
      </w:r>
      <w:r w:rsidR="00313F6E" w:rsidRPr="00A53850">
        <w:rPr>
          <w:rFonts w:ascii="Verdana" w:hAnsi="Verdana"/>
          <w:sz w:val="20"/>
        </w:rPr>
        <w:t>20</w:t>
      </w:r>
      <w:r w:rsidRPr="00A53850">
        <w:rPr>
          <w:rFonts w:ascii="Verdana" w:hAnsi="Verdana"/>
          <w:sz w:val="20"/>
        </w:rPr>
        <w:t xml:space="preserve">, un informe sobre el cumplimiento de las reparaciones indicadas en </w:t>
      </w:r>
      <w:r w:rsidR="006B578B" w:rsidRPr="00A53850">
        <w:rPr>
          <w:rFonts w:ascii="Verdana" w:hAnsi="Verdana"/>
          <w:sz w:val="20"/>
        </w:rPr>
        <w:t>el punto resolutivo</w:t>
      </w:r>
      <w:r w:rsidR="00313F6E" w:rsidRPr="00A53850">
        <w:rPr>
          <w:rFonts w:ascii="Verdana" w:hAnsi="Verdana"/>
          <w:sz w:val="20"/>
        </w:rPr>
        <w:t xml:space="preserve"> </w:t>
      </w:r>
      <w:r w:rsidR="00BB717D">
        <w:rPr>
          <w:rFonts w:ascii="Verdana" w:hAnsi="Verdana"/>
          <w:sz w:val="20"/>
        </w:rPr>
        <w:t>cuarto</w:t>
      </w:r>
      <w:r w:rsidRPr="00A53850">
        <w:rPr>
          <w:rFonts w:ascii="Verdana" w:hAnsi="Verdana"/>
          <w:sz w:val="20"/>
        </w:rPr>
        <w:t>.</w:t>
      </w:r>
    </w:p>
    <w:p w14:paraId="2C6FAEB4" w14:textId="77777777" w:rsidR="009607F0" w:rsidRPr="00A53850" w:rsidRDefault="009607F0" w:rsidP="009607F0">
      <w:pPr>
        <w:jc w:val="both"/>
        <w:rPr>
          <w:rFonts w:ascii="Verdana" w:hAnsi="Verdana"/>
          <w:sz w:val="20"/>
          <w:lang w:val="es-MX"/>
        </w:rPr>
      </w:pPr>
    </w:p>
    <w:p w14:paraId="4EAD257E" w14:textId="77777777" w:rsidR="006B578B" w:rsidRPr="009607F0" w:rsidRDefault="006B578B" w:rsidP="009607F0">
      <w:pPr>
        <w:numPr>
          <w:ilvl w:val="0"/>
          <w:numId w:val="1"/>
        </w:numPr>
        <w:ind w:left="0" w:hanging="11"/>
        <w:jc w:val="both"/>
        <w:rPr>
          <w:rFonts w:ascii="Verdana" w:hAnsi="Verdana"/>
          <w:sz w:val="20"/>
          <w:lang w:val="es-MX"/>
        </w:rPr>
      </w:pPr>
      <w:r w:rsidRPr="00A53850">
        <w:rPr>
          <w:rFonts w:ascii="Verdana" w:hAnsi="Verdana"/>
          <w:sz w:val="20"/>
        </w:rPr>
        <w:t>Solicitar a los representantes de las víctimas y a la Comisión Interamericana de Derechos Humanos que presenten observaciones al informe del Estado mencionado en el punto resolutivo anterior, en los plazos de cuatro y seis semanas, respectivamente, contados a partir de la recepción del informe.</w:t>
      </w:r>
    </w:p>
    <w:p w14:paraId="088F6A6E" w14:textId="77777777" w:rsidR="009607F0" w:rsidRPr="00A53850" w:rsidRDefault="009607F0" w:rsidP="009607F0">
      <w:pPr>
        <w:jc w:val="both"/>
        <w:rPr>
          <w:rFonts w:ascii="Verdana" w:hAnsi="Verdana"/>
          <w:sz w:val="20"/>
          <w:lang w:val="es-MX"/>
        </w:rPr>
      </w:pPr>
    </w:p>
    <w:p w14:paraId="62066551" w14:textId="4FDB89B6" w:rsidR="00D85797" w:rsidRPr="005F22D2" w:rsidRDefault="006B578B" w:rsidP="009607F0">
      <w:pPr>
        <w:numPr>
          <w:ilvl w:val="0"/>
          <w:numId w:val="1"/>
        </w:numPr>
        <w:ind w:left="0" w:hanging="11"/>
        <w:jc w:val="both"/>
        <w:rPr>
          <w:rFonts w:ascii="Verdana" w:hAnsi="Verdana"/>
          <w:sz w:val="20"/>
          <w:lang w:val="es-CR"/>
        </w:rPr>
      </w:pPr>
      <w:r w:rsidRPr="00A53850">
        <w:rPr>
          <w:rFonts w:ascii="Verdana" w:hAnsi="Verdana"/>
          <w:sz w:val="20"/>
        </w:rPr>
        <w:t>Requerir a la Secretaría de la Corte que notifique la presente Resolución al Estado</w:t>
      </w:r>
      <w:r w:rsidR="009F1E96">
        <w:rPr>
          <w:rFonts w:ascii="Verdana" w:hAnsi="Verdana"/>
          <w:sz w:val="20"/>
        </w:rPr>
        <w:t xml:space="preserve"> de Guatemala</w:t>
      </w:r>
      <w:r w:rsidRPr="00A53850">
        <w:rPr>
          <w:rFonts w:ascii="Verdana" w:hAnsi="Verdana"/>
          <w:sz w:val="20"/>
        </w:rPr>
        <w:t xml:space="preserve">, a </w:t>
      </w:r>
      <w:r w:rsidR="004A34F3" w:rsidRPr="00A53850">
        <w:rPr>
          <w:rFonts w:ascii="Verdana" w:hAnsi="Verdana"/>
          <w:sz w:val="20"/>
        </w:rPr>
        <w:t>los representantes</w:t>
      </w:r>
      <w:r w:rsidRPr="00A53850">
        <w:rPr>
          <w:rFonts w:ascii="Verdana" w:hAnsi="Verdana"/>
          <w:sz w:val="20"/>
        </w:rPr>
        <w:t xml:space="preserve"> de las víctimas y a la Comisión Interamericana de Derechos Humanos.</w:t>
      </w:r>
    </w:p>
    <w:p w14:paraId="6A515EAD" w14:textId="77777777" w:rsidR="005F22D2" w:rsidRDefault="005F22D2" w:rsidP="005F22D2">
      <w:pPr>
        <w:pStyle w:val="Prrafodelista"/>
        <w:rPr>
          <w:rFonts w:ascii="Verdana" w:hAnsi="Verdana"/>
          <w:sz w:val="20"/>
          <w:lang w:val="es-CR"/>
        </w:rPr>
      </w:pPr>
    </w:p>
    <w:p w14:paraId="343EDA81" w14:textId="4EAA0E8E" w:rsidR="005F22D2" w:rsidRDefault="005F22D2" w:rsidP="005F22D2">
      <w:pPr>
        <w:jc w:val="both"/>
        <w:rPr>
          <w:rFonts w:ascii="Verdana" w:hAnsi="Verdana"/>
          <w:sz w:val="20"/>
          <w:lang w:val="es-CR"/>
        </w:rPr>
      </w:pPr>
    </w:p>
    <w:p w14:paraId="6CFD3327" w14:textId="082257CE" w:rsidR="005F22D2" w:rsidRDefault="005F22D2" w:rsidP="005F22D2">
      <w:pPr>
        <w:jc w:val="both"/>
        <w:rPr>
          <w:rFonts w:ascii="Verdana" w:hAnsi="Verdana"/>
          <w:sz w:val="20"/>
          <w:lang w:val="es-CR"/>
        </w:rPr>
      </w:pPr>
    </w:p>
    <w:p w14:paraId="288F3B2D" w14:textId="77777777" w:rsidR="00204CAF" w:rsidRDefault="00204CAF" w:rsidP="005F22D2">
      <w:pPr>
        <w:jc w:val="both"/>
        <w:rPr>
          <w:rFonts w:ascii="Verdana" w:hAnsi="Verdana"/>
          <w:sz w:val="20"/>
          <w:lang w:val="es-CR"/>
        </w:rPr>
      </w:pPr>
      <w:bookmarkStart w:id="2" w:name="_GoBack"/>
      <w:bookmarkEnd w:id="2"/>
    </w:p>
    <w:p w14:paraId="4835F6C3" w14:textId="59487D0A" w:rsidR="005F22D2" w:rsidRDefault="005F22D2" w:rsidP="005F22D2">
      <w:pPr>
        <w:jc w:val="both"/>
        <w:rPr>
          <w:rFonts w:ascii="Verdana" w:hAnsi="Verdana"/>
          <w:sz w:val="20"/>
          <w:lang w:val="es-CR"/>
        </w:rPr>
      </w:pPr>
    </w:p>
    <w:p w14:paraId="454EF7EE" w14:textId="77777777" w:rsidR="005F22D2" w:rsidRDefault="005F22D2" w:rsidP="005F22D2">
      <w:pPr>
        <w:keepNext/>
        <w:jc w:val="both"/>
        <w:outlineLvl w:val="0"/>
        <w:rPr>
          <w:rFonts w:ascii="Verdana" w:hAnsi="Verdana" w:cs="Arial"/>
          <w:sz w:val="20"/>
        </w:rPr>
      </w:pPr>
      <w:r>
        <w:rPr>
          <w:rFonts w:ascii="Verdana" w:hAnsi="Verdana" w:cs="Courier New"/>
          <w:noProof/>
          <w:sz w:val="20"/>
          <w:lang w:val="es-AR"/>
        </w:rPr>
        <w:t xml:space="preserve">Corte IDH. </w:t>
      </w:r>
      <w:r>
        <w:rPr>
          <w:rFonts w:ascii="Verdana" w:hAnsi="Verdana"/>
          <w:bCs/>
          <w:i/>
          <w:sz w:val="20"/>
        </w:rPr>
        <w:t xml:space="preserve">Caso </w:t>
      </w:r>
      <w:r w:rsidRPr="00D852D2">
        <w:rPr>
          <w:rFonts w:ascii="Verdana" w:hAnsi="Verdana"/>
          <w:bCs/>
          <w:i/>
          <w:sz w:val="20"/>
        </w:rPr>
        <w:t>Gudiel Álva</w:t>
      </w:r>
      <w:r>
        <w:rPr>
          <w:rFonts w:ascii="Verdana" w:hAnsi="Verdana"/>
          <w:bCs/>
          <w:i/>
          <w:sz w:val="20"/>
        </w:rPr>
        <w:t xml:space="preserve">rez y otros (“Diario Militar”) Vs. Guatemala. </w:t>
      </w:r>
      <w:r>
        <w:rPr>
          <w:rFonts w:ascii="Verdana" w:hAnsi="Verdana" w:cs="Arial"/>
          <w:sz w:val="20"/>
        </w:rPr>
        <w:t xml:space="preserve">Supervisión de Cumplimiento de Sentencia. </w:t>
      </w:r>
      <w:r>
        <w:rPr>
          <w:rFonts w:ascii="Verdana" w:hAnsi="Verdana" w:cs="Arial"/>
          <w:i/>
          <w:sz w:val="20"/>
        </w:rPr>
        <w:t xml:space="preserve"> </w:t>
      </w:r>
      <w:r>
        <w:rPr>
          <w:rFonts w:ascii="Verdana" w:hAnsi="Verdana"/>
          <w:sz w:val="20"/>
          <w:lang w:val="es-ES"/>
        </w:rPr>
        <w:t>Resolución de la Corte Interamericana de Derechos Humanos de 7 de octubre</w:t>
      </w:r>
      <w:r>
        <w:rPr>
          <w:rFonts w:ascii="Verdana" w:hAnsi="Verdana"/>
          <w:sz w:val="20"/>
        </w:rPr>
        <w:t xml:space="preserve"> de 2019</w:t>
      </w:r>
      <w:r>
        <w:rPr>
          <w:rFonts w:ascii="Verdana" w:hAnsi="Verdana"/>
          <w:sz w:val="20"/>
          <w:lang w:val="es-ES"/>
        </w:rPr>
        <w:t xml:space="preserve">. </w:t>
      </w:r>
    </w:p>
    <w:p w14:paraId="018A3ACF" w14:textId="77777777" w:rsidR="005F22D2" w:rsidRDefault="005F22D2" w:rsidP="005F22D2">
      <w:pPr>
        <w:rPr>
          <w:rFonts w:ascii="Verdana" w:hAnsi="Verdana"/>
          <w:sz w:val="20"/>
          <w:lang w:val="es-ES"/>
        </w:rPr>
      </w:pPr>
    </w:p>
    <w:p w14:paraId="2EFEC668" w14:textId="77777777" w:rsidR="005F22D2" w:rsidRDefault="005F22D2" w:rsidP="005F22D2">
      <w:pPr>
        <w:rPr>
          <w:rFonts w:ascii="Verdana" w:hAnsi="Verdana"/>
          <w:sz w:val="20"/>
          <w:lang w:val="es-ES"/>
        </w:rPr>
      </w:pPr>
    </w:p>
    <w:p w14:paraId="7F0E47E4" w14:textId="77777777" w:rsidR="005F22D2" w:rsidRDefault="005F22D2" w:rsidP="005F22D2">
      <w:pPr>
        <w:rPr>
          <w:rFonts w:ascii="Verdana" w:hAnsi="Verdana"/>
          <w:sz w:val="20"/>
          <w:lang w:val="es-ES"/>
        </w:rPr>
      </w:pPr>
    </w:p>
    <w:p w14:paraId="61E8DF70" w14:textId="77777777" w:rsidR="005F22D2" w:rsidRDefault="005F22D2" w:rsidP="005F22D2">
      <w:pPr>
        <w:rPr>
          <w:rFonts w:ascii="Verdana" w:hAnsi="Verdana"/>
          <w:sz w:val="20"/>
          <w:lang w:val="es-ES"/>
        </w:rPr>
      </w:pPr>
    </w:p>
    <w:p w14:paraId="3DD0B99C" w14:textId="77777777" w:rsidR="005F22D2" w:rsidRDefault="005F22D2" w:rsidP="005F22D2">
      <w:pPr>
        <w:rPr>
          <w:rFonts w:ascii="Verdana" w:hAnsi="Verdana"/>
          <w:sz w:val="20"/>
          <w:lang w:val="es-ES"/>
        </w:rPr>
      </w:pPr>
    </w:p>
    <w:p w14:paraId="0B6D5B0F" w14:textId="77777777" w:rsidR="005F22D2" w:rsidRDefault="005F22D2" w:rsidP="005F22D2">
      <w:pPr>
        <w:jc w:val="center"/>
        <w:rPr>
          <w:rFonts w:ascii="Verdana" w:hAnsi="Verdana"/>
          <w:sz w:val="20"/>
          <w:lang w:val="pt-BR"/>
        </w:rPr>
      </w:pPr>
      <w:r>
        <w:rPr>
          <w:rFonts w:ascii="Verdana" w:hAnsi="Verdana"/>
          <w:sz w:val="20"/>
          <w:lang w:val="pt-BR"/>
        </w:rPr>
        <w:t xml:space="preserve">Eduardo Ferrer </w:t>
      </w:r>
      <w:proofErr w:type="spellStart"/>
      <w:r>
        <w:rPr>
          <w:rFonts w:ascii="Verdana" w:hAnsi="Verdana"/>
          <w:sz w:val="20"/>
          <w:lang w:val="pt-BR"/>
        </w:rPr>
        <w:t>Mac-Gregor</w:t>
      </w:r>
      <w:proofErr w:type="spellEnd"/>
      <w:r>
        <w:rPr>
          <w:rFonts w:ascii="Verdana" w:hAnsi="Verdana"/>
          <w:sz w:val="20"/>
          <w:lang w:val="pt-BR"/>
        </w:rPr>
        <w:t xml:space="preserve"> </w:t>
      </w:r>
      <w:proofErr w:type="spellStart"/>
      <w:r>
        <w:rPr>
          <w:rFonts w:ascii="Verdana" w:hAnsi="Verdana"/>
          <w:sz w:val="20"/>
          <w:lang w:val="pt-BR"/>
        </w:rPr>
        <w:t>Poisot</w:t>
      </w:r>
      <w:proofErr w:type="spellEnd"/>
      <w:r>
        <w:rPr>
          <w:rFonts w:ascii="Verdana" w:hAnsi="Verdana"/>
          <w:sz w:val="20"/>
          <w:lang w:val="pt-BR"/>
        </w:rPr>
        <w:t xml:space="preserve"> </w:t>
      </w:r>
    </w:p>
    <w:p w14:paraId="7D4B0990" w14:textId="77777777" w:rsidR="005F22D2" w:rsidRDefault="005F22D2" w:rsidP="005F22D2">
      <w:pPr>
        <w:jc w:val="center"/>
        <w:rPr>
          <w:rFonts w:ascii="Verdana" w:hAnsi="Verdana"/>
          <w:sz w:val="20"/>
          <w:lang w:val="pt-BR"/>
        </w:rPr>
      </w:pPr>
      <w:r>
        <w:rPr>
          <w:rFonts w:ascii="Verdana" w:hAnsi="Verdana"/>
          <w:sz w:val="20"/>
          <w:lang w:val="pt-BR"/>
        </w:rPr>
        <w:t>Presidente</w:t>
      </w:r>
    </w:p>
    <w:p w14:paraId="42BAE594" w14:textId="77777777" w:rsidR="005F22D2" w:rsidRDefault="005F22D2" w:rsidP="005F22D2">
      <w:pPr>
        <w:jc w:val="both"/>
        <w:rPr>
          <w:rFonts w:ascii="Verdana" w:hAnsi="Verdana"/>
          <w:sz w:val="20"/>
          <w:lang w:val="pt-BR"/>
        </w:rPr>
      </w:pPr>
    </w:p>
    <w:p w14:paraId="170639CE" w14:textId="77777777" w:rsidR="005F22D2" w:rsidRDefault="005F22D2" w:rsidP="005F22D2">
      <w:pPr>
        <w:jc w:val="both"/>
        <w:rPr>
          <w:rFonts w:ascii="Verdana" w:hAnsi="Verdana"/>
          <w:sz w:val="20"/>
          <w:lang w:val="pt-BR"/>
        </w:rPr>
      </w:pPr>
    </w:p>
    <w:p w14:paraId="64E461E9" w14:textId="77777777" w:rsidR="005F22D2" w:rsidRDefault="005F22D2" w:rsidP="005F22D2">
      <w:pPr>
        <w:jc w:val="both"/>
        <w:rPr>
          <w:rFonts w:ascii="Verdana" w:hAnsi="Verdana"/>
          <w:sz w:val="20"/>
          <w:lang w:val="pt-BR"/>
        </w:rPr>
      </w:pPr>
    </w:p>
    <w:p w14:paraId="288D0BD3" w14:textId="77777777" w:rsidR="005F22D2" w:rsidRDefault="005F22D2" w:rsidP="005F22D2">
      <w:pPr>
        <w:jc w:val="both"/>
        <w:rPr>
          <w:rFonts w:ascii="Verdana" w:hAnsi="Verdana"/>
          <w:sz w:val="20"/>
          <w:lang w:val="pt-BR"/>
        </w:rPr>
      </w:pPr>
    </w:p>
    <w:p w14:paraId="460B71DF" w14:textId="77777777" w:rsidR="005F22D2" w:rsidRDefault="005F22D2" w:rsidP="005F22D2">
      <w:pPr>
        <w:rPr>
          <w:rFonts w:ascii="Verdana" w:hAnsi="Verdana"/>
          <w:sz w:val="20"/>
          <w:lang w:val="pt-BR"/>
        </w:rPr>
      </w:pPr>
      <w:r>
        <w:rPr>
          <w:rFonts w:ascii="Verdana" w:hAnsi="Verdana"/>
          <w:sz w:val="20"/>
          <w:lang w:val="pt-BR"/>
        </w:rPr>
        <w:t xml:space="preserve">Eduardo </w:t>
      </w:r>
      <w:proofErr w:type="spellStart"/>
      <w:r>
        <w:rPr>
          <w:rFonts w:ascii="Verdana" w:hAnsi="Verdana"/>
          <w:sz w:val="20"/>
          <w:lang w:val="pt-BR"/>
        </w:rPr>
        <w:t>Vio</w:t>
      </w:r>
      <w:proofErr w:type="spellEnd"/>
      <w:r>
        <w:rPr>
          <w:rFonts w:ascii="Verdana" w:hAnsi="Verdana"/>
          <w:sz w:val="20"/>
          <w:lang w:val="pt-BR"/>
        </w:rPr>
        <w:t xml:space="preserve"> Grossi</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Humberto </w:t>
      </w:r>
      <w:proofErr w:type="spellStart"/>
      <w:r>
        <w:rPr>
          <w:rFonts w:ascii="Verdana" w:hAnsi="Verdana"/>
          <w:sz w:val="20"/>
          <w:lang w:val="pt-BR"/>
        </w:rPr>
        <w:t>Antonio</w:t>
      </w:r>
      <w:proofErr w:type="spellEnd"/>
      <w:r>
        <w:rPr>
          <w:rFonts w:ascii="Verdana" w:hAnsi="Verdana"/>
          <w:sz w:val="20"/>
          <w:lang w:val="pt-BR"/>
        </w:rPr>
        <w:t xml:space="preserve"> </w:t>
      </w:r>
      <w:proofErr w:type="spellStart"/>
      <w:r>
        <w:rPr>
          <w:rFonts w:ascii="Verdana" w:hAnsi="Verdana"/>
          <w:sz w:val="20"/>
          <w:lang w:val="pt-BR"/>
        </w:rPr>
        <w:t>Sierra</w:t>
      </w:r>
      <w:proofErr w:type="spellEnd"/>
      <w:r>
        <w:rPr>
          <w:rFonts w:ascii="Verdana" w:hAnsi="Verdana"/>
          <w:sz w:val="20"/>
          <w:lang w:val="pt-BR"/>
        </w:rPr>
        <w:t xml:space="preserve"> Porto</w:t>
      </w:r>
    </w:p>
    <w:p w14:paraId="401C5825" w14:textId="77777777" w:rsidR="005F22D2" w:rsidRDefault="005F22D2" w:rsidP="005F22D2">
      <w:pPr>
        <w:rPr>
          <w:rFonts w:ascii="Verdana" w:hAnsi="Verdana"/>
          <w:sz w:val="20"/>
          <w:lang w:val="pt-BR"/>
        </w:rPr>
      </w:pPr>
    </w:p>
    <w:p w14:paraId="1A6E5F02" w14:textId="77777777" w:rsidR="005F22D2" w:rsidRDefault="005F22D2" w:rsidP="005F22D2">
      <w:pPr>
        <w:rPr>
          <w:rFonts w:ascii="Verdana" w:hAnsi="Verdana"/>
          <w:sz w:val="20"/>
          <w:lang w:val="pt-BR"/>
        </w:rPr>
      </w:pPr>
    </w:p>
    <w:p w14:paraId="173F81DB" w14:textId="77777777" w:rsidR="005F22D2" w:rsidRDefault="005F22D2" w:rsidP="005F22D2">
      <w:pPr>
        <w:rPr>
          <w:rFonts w:ascii="Verdana" w:hAnsi="Verdana"/>
          <w:sz w:val="20"/>
          <w:lang w:val="pt-BR"/>
        </w:rPr>
      </w:pPr>
    </w:p>
    <w:p w14:paraId="7A6575E3" w14:textId="77777777" w:rsidR="005F22D2" w:rsidRDefault="005F22D2" w:rsidP="005F22D2">
      <w:pPr>
        <w:jc w:val="both"/>
        <w:rPr>
          <w:rFonts w:ascii="Verdana" w:hAnsi="Verdana"/>
          <w:sz w:val="20"/>
          <w:lang w:val="pt-BR"/>
        </w:rPr>
      </w:pPr>
    </w:p>
    <w:p w14:paraId="216882AC" w14:textId="77777777" w:rsidR="005F22D2" w:rsidRDefault="005F22D2" w:rsidP="005F22D2">
      <w:pPr>
        <w:rPr>
          <w:rFonts w:ascii="Verdana" w:hAnsi="Verdana"/>
          <w:sz w:val="20"/>
          <w:lang w:val="pt-BR"/>
        </w:rPr>
      </w:pPr>
      <w:r>
        <w:rPr>
          <w:rFonts w:ascii="Verdana" w:hAnsi="Verdana"/>
          <w:sz w:val="20"/>
          <w:lang w:val="pt-BR"/>
        </w:rPr>
        <w:t xml:space="preserve">Elizabeth </w:t>
      </w:r>
      <w:proofErr w:type="spellStart"/>
      <w:r>
        <w:rPr>
          <w:rFonts w:ascii="Verdana" w:hAnsi="Verdana"/>
          <w:sz w:val="20"/>
          <w:lang w:val="pt-BR"/>
        </w:rPr>
        <w:t>Odio</w:t>
      </w:r>
      <w:proofErr w:type="spellEnd"/>
      <w:r>
        <w:rPr>
          <w:rFonts w:ascii="Verdana" w:hAnsi="Verdana"/>
          <w:sz w:val="20"/>
          <w:lang w:val="pt-BR"/>
        </w:rPr>
        <w:t xml:space="preserve"> Benito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proofErr w:type="gramStart"/>
      <w:r>
        <w:rPr>
          <w:rFonts w:ascii="Verdana" w:hAnsi="Verdana"/>
          <w:sz w:val="20"/>
          <w:lang w:val="pt-BR"/>
        </w:rPr>
        <w:tab/>
        <w:t xml:space="preserve">  Eugenio</w:t>
      </w:r>
      <w:proofErr w:type="gramEnd"/>
      <w:r>
        <w:rPr>
          <w:rFonts w:ascii="Verdana" w:hAnsi="Verdana"/>
          <w:sz w:val="20"/>
          <w:lang w:val="pt-BR"/>
        </w:rPr>
        <w:t xml:space="preserve"> </w:t>
      </w:r>
      <w:proofErr w:type="spellStart"/>
      <w:r>
        <w:rPr>
          <w:rFonts w:ascii="Verdana" w:hAnsi="Verdana"/>
          <w:sz w:val="20"/>
          <w:lang w:val="pt-BR"/>
        </w:rPr>
        <w:t>Raúl</w:t>
      </w:r>
      <w:proofErr w:type="spellEnd"/>
      <w:r>
        <w:rPr>
          <w:rFonts w:ascii="Verdana" w:hAnsi="Verdana"/>
          <w:sz w:val="20"/>
          <w:lang w:val="pt-BR"/>
        </w:rPr>
        <w:t xml:space="preserve"> </w:t>
      </w:r>
      <w:proofErr w:type="spellStart"/>
      <w:r>
        <w:rPr>
          <w:rFonts w:ascii="Verdana" w:hAnsi="Verdana"/>
          <w:sz w:val="20"/>
          <w:lang w:val="pt-BR"/>
        </w:rPr>
        <w:t>Zaffaroni</w:t>
      </w:r>
      <w:proofErr w:type="spellEnd"/>
    </w:p>
    <w:p w14:paraId="4169C80B" w14:textId="77777777" w:rsidR="005F22D2" w:rsidRDefault="005F22D2" w:rsidP="005F22D2">
      <w:pPr>
        <w:rPr>
          <w:rFonts w:ascii="Verdana" w:hAnsi="Verdana"/>
          <w:sz w:val="20"/>
          <w:lang w:val="pt-BR"/>
        </w:rPr>
      </w:pPr>
    </w:p>
    <w:p w14:paraId="122C1362" w14:textId="77777777" w:rsidR="005F22D2" w:rsidRDefault="005F22D2" w:rsidP="005F22D2">
      <w:pPr>
        <w:rPr>
          <w:rFonts w:ascii="Verdana" w:hAnsi="Verdana"/>
          <w:sz w:val="20"/>
          <w:lang w:val="pt-BR"/>
        </w:rPr>
      </w:pPr>
    </w:p>
    <w:p w14:paraId="3FF051B8" w14:textId="77777777" w:rsidR="005F22D2" w:rsidRDefault="005F22D2" w:rsidP="005F22D2">
      <w:pPr>
        <w:rPr>
          <w:rFonts w:ascii="Verdana" w:hAnsi="Verdana"/>
          <w:sz w:val="20"/>
          <w:lang w:val="pt-BR"/>
        </w:rPr>
      </w:pPr>
    </w:p>
    <w:p w14:paraId="017BE5C0" w14:textId="77777777" w:rsidR="005F22D2" w:rsidRDefault="005F22D2" w:rsidP="005F22D2">
      <w:pPr>
        <w:rPr>
          <w:rFonts w:ascii="Verdana" w:hAnsi="Verdana"/>
          <w:sz w:val="20"/>
          <w:lang w:val="pt-BR"/>
        </w:rPr>
      </w:pPr>
    </w:p>
    <w:p w14:paraId="0929AB6E" w14:textId="77777777" w:rsidR="005F22D2" w:rsidRDefault="005F22D2" w:rsidP="005F22D2">
      <w:pPr>
        <w:rPr>
          <w:rFonts w:ascii="Verdana" w:hAnsi="Verdana"/>
          <w:sz w:val="20"/>
        </w:rPr>
      </w:pPr>
      <w:r>
        <w:rPr>
          <w:rFonts w:ascii="Verdana" w:hAnsi="Verdana"/>
          <w:sz w:val="20"/>
          <w:lang w:val="pt-BR"/>
        </w:rPr>
        <w:t xml:space="preserve">L. </w:t>
      </w:r>
      <w:proofErr w:type="spellStart"/>
      <w:r>
        <w:rPr>
          <w:rFonts w:ascii="Verdana" w:hAnsi="Verdana"/>
          <w:sz w:val="20"/>
          <w:lang w:val="pt-BR"/>
        </w:rPr>
        <w:t>Patricio</w:t>
      </w:r>
      <w:proofErr w:type="spellEnd"/>
      <w:r>
        <w:rPr>
          <w:rFonts w:ascii="Verdana" w:hAnsi="Verdana"/>
          <w:sz w:val="20"/>
          <w:lang w:val="pt-BR"/>
        </w:rPr>
        <w:t xml:space="preserve"> </w:t>
      </w:r>
      <w:proofErr w:type="spellStart"/>
      <w:r>
        <w:rPr>
          <w:rFonts w:ascii="Verdana" w:hAnsi="Verdana"/>
          <w:sz w:val="20"/>
          <w:lang w:val="pt-BR"/>
        </w:rPr>
        <w:t>Pazmiño</w:t>
      </w:r>
      <w:proofErr w:type="spellEnd"/>
      <w:r>
        <w:rPr>
          <w:rFonts w:ascii="Verdana" w:hAnsi="Verdana"/>
          <w:sz w:val="20"/>
          <w:lang w:val="pt-BR"/>
        </w:rPr>
        <w:t xml:space="preserve"> Freire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w:t>
      </w:r>
      <w:r>
        <w:rPr>
          <w:rFonts w:ascii="Verdana" w:hAnsi="Verdana"/>
          <w:sz w:val="20"/>
        </w:rPr>
        <w:t>Ricardo C. Pérez Manrique</w:t>
      </w:r>
    </w:p>
    <w:p w14:paraId="1EA242AD" w14:textId="77777777" w:rsidR="005F22D2" w:rsidRDefault="005F22D2" w:rsidP="005F22D2">
      <w:pPr>
        <w:jc w:val="both"/>
        <w:rPr>
          <w:rFonts w:ascii="Verdana" w:hAnsi="Verdana"/>
          <w:sz w:val="20"/>
          <w:lang w:val="pt-BR"/>
        </w:rPr>
      </w:pPr>
    </w:p>
    <w:p w14:paraId="51E4B02A" w14:textId="77777777" w:rsidR="005F22D2" w:rsidRDefault="005F22D2" w:rsidP="005F22D2">
      <w:pPr>
        <w:jc w:val="both"/>
        <w:rPr>
          <w:rFonts w:ascii="Verdana" w:hAnsi="Verdana"/>
          <w:sz w:val="20"/>
          <w:lang w:val="pt-BR"/>
        </w:rPr>
      </w:pPr>
    </w:p>
    <w:p w14:paraId="4D471E20" w14:textId="77777777" w:rsidR="005F22D2" w:rsidRDefault="005F22D2" w:rsidP="005F22D2">
      <w:pPr>
        <w:jc w:val="both"/>
        <w:rPr>
          <w:rFonts w:ascii="Verdana" w:hAnsi="Verdana"/>
          <w:sz w:val="20"/>
          <w:lang w:val="pt-BR"/>
        </w:rPr>
      </w:pPr>
    </w:p>
    <w:p w14:paraId="3C5B9222" w14:textId="77777777" w:rsidR="005F22D2" w:rsidRDefault="005F22D2" w:rsidP="005F22D2">
      <w:pPr>
        <w:jc w:val="both"/>
        <w:rPr>
          <w:rFonts w:ascii="Verdana" w:hAnsi="Verdana"/>
          <w:sz w:val="20"/>
          <w:lang w:val="pt-BR"/>
        </w:rPr>
      </w:pPr>
    </w:p>
    <w:p w14:paraId="2001FA65" w14:textId="77777777" w:rsidR="005F22D2" w:rsidRDefault="005F22D2" w:rsidP="005F22D2">
      <w:pPr>
        <w:jc w:val="both"/>
        <w:rPr>
          <w:rFonts w:ascii="Verdana" w:hAnsi="Verdana"/>
          <w:sz w:val="20"/>
          <w:lang w:val="pt-BR"/>
        </w:rPr>
      </w:pPr>
    </w:p>
    <w:p w14:paraId="06EFB895" w14:textId="77777777" w:rsidR="005F22D2" w:rsidRDefault="005F22D2" w:rsidP="005F22D2">
      <w:pPr>
        <w:jc w:val="center"/>
        <w:rPr>
          <w:rFonts w:ascii="Verdana" w:hAnsi="Verdana"/>
          <w:sz w:val="20"/>
          <w:lang w:val="pt-BR"/>
        </w:rPr>
      </w:pPr>
      <w:r>
        <w:rPr>
          <w:rFonts w:ascii="Verdana" w:hAnsi="Verdana"/>
          <w:sz w:val="20"/>
          <w:lang w:val="pt-BR"/>
        </w:rPr>
        <w:t xml:space="preserve">Pablo Saavedra </w:t>
      </w:r>
      <w:proofErr w:type="spellStart"/>
      <w:r>
        <w:rPr>
          <w:rFonts w:ascii="Verdana" w:hAnsi="Verdana"/>
          <w:sz w:val="20"/>
          <w:lang w:val="pt-BR"/>
        </w:rPr>
        <w:t>Alessandri</w:t>
      </w:r>
      <w:proofErr w:type="spellEnd"/>
    </w:p>
    <w:p w14:paraId="3588CEF9" w14:textId="77777777" w:rsidR="005F22D2" w:rsidRDefault="005F22D2" w:rsidP="005F22D2">
      <w:pPr>
        <w:jc w:val="center"/>
        <w:rPr>
          <w:rFonts w:ascii="Verdana" w:hAnsi="Verdana"/>
          <w:sz w:val="20"/>
          <w:lang w:val="pt-BR"/>
        </w:rPr>
      </w:pPr>
      <w:r>
        <w:rPr>
          <w:rFonts w:ascii="Verdana" w:hAnsi="Verdana"/>
          <w:sz w:val="20"/>
          <w:lang w:val="pt-BR"/>
        </w:rPr>
        <w:t>Secretario</w:t>
      </w:r>
    </w:p>
    <w:p w14:paraId="5C78EBB0" w14:textId="77777777" w:rsidR="005F22D2" w:rsidRDefault="005F22D2" w:rsidP="005F22D2">
      <w:pPr>
        <w:rPr>
          <w:rFonts w:ascii="Verdana" w:hAnsi="Verdana"/>
          <w:sz w:val="20"/>
          <w:lang w:val="pt-BR"/>
        </w:rPr>
      </w:pPr>
    </w:p>
    <w:p w14:paraId="25F6B8D9" w14:textId="77777777" w:rsidR="005F22D2" w:rsidRDefault="005F22D2" w:rsidP="005F22D2">
      <w:pPr>
        <w:pStyle w:val="Textonotapie"/>
        <w:rPr>
          <w:rFonts w:ascii="Verdana" w:hAnsi="Verdana"/>
          <w:lang w:val="pt-BR"/>
        </w:rPr>
      </w:pPr>
    </w:p>
    <w:p w14:paraId="051E249E" w14:textId="77777777" w:rsidR="005F22D2" w:rsidRDefault="005F22D2" w:rsidP="005F22D2">
      <w:pPr>
        <w:pStyle w:val="Textonotapie"/>
        <w:rPr>
          <w:rFonts w:ascii="Verdana" w:hAnsi="Verdana"/>
          <w:lang w:val="pt-BR"/>
        </w:rPr>
      </w:pPr>
    </w:p>
    <w:p w14:paraId="706F7552" w14:textId="77777777" w:rsidR="005F22D2" w:rsidRDefault="005F22D2" w:rsidP="005F22D2">
      <w:pPr>
        <w:pStyle w:val="Textonotapie"/>
        <w:rPr>
          <w:rFonts w:ascii="Verdana" w:hAnsi="Verdana"/>
          <w:lang w:val="pt-BR"/>
        </w:rPr>
      </w:pPr>
    </w:p>
    <w:p w14:paraId="7EF4C644" w14:textId="77777777" w:rsidR="005F22D2" w:rsidRDefault="005F22D2" w:rsidP="005F22D2">
      <w:pPr>
        <w:jc w:val="both"/>
        <w:rPr>
          <w:rFonts w:ascii="Verdana" w:hAnsi="Verdana"/>
          <w:sz w:val="20"/>
          <w:lang w:val="pt-BR"/>
        </w:rPr>
      </w:pPr>
      <w:proofErr w:type="spellStart"/>
      <w:r>
        <w:rPr>
          <w:rFonts w:ascii="Verdana" w:hAnsi="Verdana"/>
          <w:sz w:val="20"/>
          <w:lang w:val="pt-BR"/>
        </w:rPr>
        <w:t>Comuníquese</w:t>
      </w:r>
      <w:proofErr w:type="spellEnd"/>
      <w:r>
        <w:rPr>
          <w:rFonts w:ascii="Verdana" w:hAnsi="Verdana"/>
          <w:sz w:val="20"/>
          <w:lang w:val="pt-BR"/>
        </w:rPr>
        <w:t xml:space="preserve"> y </w:t>
      </w:r>
      <w:proofErr w:type="spellStart"/>
      <w:r>
        <w:rPr>
          <w:rFonts w:ascii="Verdana" w:hAnsi="Verdana"/>
          <w:sz w:val="20"/>
          <w:lang w:val="pt-BR"/>
        </w:rPr>
        <w:t>ejecútese</w:t>
      </w:r>
      <w:proofErr w:type="spellEnd"/>
      <w:r>
        <w:rPr>
          <w:rFonts w:ascii="Verdana" w:hAnsi="Verdana"/>
          <w:sz w:val="20"/>
          <w:lang w:val="pt-BR"/>
        </w:rPr>
        <w:t>,</w:t>
      </w:r>
    </w:p>
    <w:p w14:paraId="0F672C19" w14:textId="77777777" w:rsidR="005F22D2" w:rsidRDefault="005F22D2" w:rsidP="005F22D2">
      <w:pPr>
        <w:jc w:val="both"/>
        <w:rPr>
          <w:rFonts w:ascii="Verdana" w:hAnsi="Verdana"/>
          <w:sz w:val="20"/>
          <w:lang w:val="pt-BR"/>
        </w:rPr>
      </w:pPr>
    </w:p>
    <w:p w14:paraId="04136545" w14:textId="77777777" w:rsidR="005F22D2" w:rsidRDefault="005F22D2" w:rsidP="005F22D2">
      <w:pPr>
        <w:jc w:val="both"/>
        <w:rPr>
          <w:rFonts w:ascii="Verdana" w:hAnsi="Verdana"/>
          <w:sz w:val="20"/>
          <w:lang w:val="pt-BR"/>
        </w:rPr>
      </w:pPr>
    </w:p>
    <w:p w14:paraId="7720C5A8" w14:textId="77777777" w:rsidR="005F22D2" w:rsidRDefault="005F22D2" w:rsidP="005F22D2">
      <w:pPr>
        <w:jc w:val="both"/>
        <w:rPr>
          <w:rFonts w:ascii="Verdana" w:hAnsi="Verdana"/>
          <w:sz w:val="20"/>
          <w:lang w:val="pt-BR"/>
        </w:rPr>
      </w:pPr>
    </w:p>
    <w:p w14:paraId="3F4BA3B6" w14:textId="77777777" w:rsidR="005F22D2" w:rsidRDefault="005F22D2" w:rsidP="005F22D2">
      <w:pPr>
        <w:jc w:val="both"/>
        <w:rPr>
          <w:rFonts w:ascii="Verdana" w:hAnsi="Verdana"/>
          <w:sz w:val="20"/>
          <w:lang w:val="pt-BR"/>
        </w:rPr>
      </w:pPr>
    </w:p>
    <w:p w14:paraId="53D44353" w14:textId="77777777" w:rsidR="005F22D2" w:rsidRDefault="005F22D2" w:rsidP="005F22D2">
      <w:pPr>
        <w:ind w:left="4956"/>
        <w:jc w:val="center"/>
        <w:rPr>
          <w:rFonts w:ascii="Verdana" w:hAnsi="Verdana"/>
          <w:sz w:val="20"/>
          <w:lang w:val="pt-BR"/>
        </w:rPr>
      </w:pPr>
      <w:r>
        <w:rPr>
          <w:rFonts w:ascii="Verdana" w:hAnsi="Verdana"/>
          <w:sz w:val="20"/>
          <w:lang w:val="pt-BR"/>
        </w:rPr>
        <w:t xml:space="preserve">Eduardo Ferrer </w:t>
      </w:r>
      <w:proofErr w:type="spellStart"/>
      <w:r>
        <w:rPr>
          <w:rFonts w:ascii="Verdana" w:hAnsi="Verdana"/>
          <w:sz w:val="20"/>
          <w:lang w:val="pt-BR"/>
        </w:rPr>
        <w:t>Mac-Gregor</w:t>
      </w:r>
      <w:proofErr w:type="spellEnd"/>
      <w:r>
        <w:rPr>
          <w:rFonts w:ascii="Verdana" w:hAnsi="Verdana"/>
          <w:sz w:val="20"/>
          <w:lang w:val="pt-BR"/>
        </w:rPr>
        <w:t xml:space="preserve"> </w:t>
      </w:r>
      <w:proofErr w:type="spellStart"/>
      <w:r>
        <w:rPr>
          <w:rFonts w:ascii="Verdana" w:hAnsi="Verdana"/>
          <w:sz w:val="20"/>
          <w:lang w:val="pt-BR"/>
        </w:rPr>
        <w:t>Poisot</w:t>
      </w:r>
      <w:proofErr w:type="spellEnd"/>
      <w:r>
        <w:rPr>
          <w:rFonts w:ascii="Verdana" w:hAnsi="Verdana"/>
          <w:sz w:val="20"/>
          <w:lang w:val="pt-BR"/>
        </w:rPr>
        <w:t xml:space="preserve"> </w:t>
      </w:r>
    </w:p>
    <w:p w14:paraId="1127A890" w14:textId="77777777" w:rsidR="005F22D2" w:rsidRDefault="005F22D2" w:rsidP="005F22D2">
      <w:pPr>
        <w:ind w:left="4956"/>
        <w:jc w:val="center"/>
        <w:rPr>
          <w:rFonts w:ascii="Verdana" w:hAnsi="Verdana"/>
          <w:sz w:val="20"/>
          <w:lang w:val="pt-BR"/>
        </w:rPr>
      </w:pPr>
      <w:r>
        <w:rPr>
          <w:rFonts w:ascii="Verdana" w:hAnsi="Verdana"/>
          <w:sz w:val="20"/>
          <w:lang w:val="pt-BR"/>
        </w:rPr>
        <w:t>Presidente</w:t>
      </w:r>
    </w:p>
    <w:p w14:paraId="397A54E2" w14:textId="77777777" w:rsidR="005F22D2" w:rsidRDefault="005F22D2" w:rsidP="005F22D2">
      <w:pPr>
        <w:jc w:val="both"/>
        <w:rPr>
          <w:rFonts w:ascii="Verdana" w:hAnsi="Verdana"/>
          <w:sz w:val="20"/>
          <w:lang w:val="pt-BR"/>
        </w:rPr>
      </w:pPr>
    </w:p>
    <w:p w14:paraId="25174143" w14:textId="77777777" w:rsidR="005F22D2" w:rsidRDefault="005F22D2" w:rsidP="005F22D2">
      <w:pPr>
        <w:jc w:val="both"/>
        <w:rPr>
          <w:rFonts w:ascii="Verdana" w:hAnsi="Verdana"/>
          <w:sz w:val="20"/>
          <w:lang w:val="pt-BR"/>
        </w:rPr>
      </w:pPr>
    </w:p>
    <w:p w14:paraId="082F750B" w14:textId="77777777" w:rsidR="005F22D2" w:rsidRDefault="005F22D2" w:rsidP="005F22D2">
      <w:pPr>
        <w:jc w:val="both"/>
        <w:rPr>
          <w:rFonts w:ascii="Verdana" w:hAnsi="Verdana"/>
          <w:sz w:val="20"/>
          <w:lang w:val="pt-BR"/>
        </w:rPr>
      </w:pPr>
    </w:p>
    <w:p w14:paraId="1FA9E856" w14:textId="77777777" w:rsidR="005F22D2" w:rsidRDefault="005F22D2" w:rsidP="005F22D2">
      <w:pPr>
        <w:jc w:val="both"/>
        <w:rPr>
          <w:rFonts w:ascii="Verdana" w:hAnsi="Verdana"/>
          <w:sz w:val="20"/>
          <w:lang w:val="pt-BR"/>
        </w:rPr>
      </w:pPr>
    </w:p>
    <w:p w14:paraId="5442EDB4" w14:textId="77777777" w:rsidR="005F22D2" w:rsidRDefault="005F22D2" w:rsidP="005F22D2">
      <w:pPr>
        <w:jc w:val="both"/>
        <w:rPr>
          <w:rFonts w:ascii="Verdana" w:hAnsi="Verdana"/>
          <w:sz w:val="20"/>
          <w:lang w:val="es-ES"/>
        </w:rPr>
      </w:pPr>
      <w:r>
        <w:rPr>
          <w:rFonts w:ascii="Verdana" w:hAnsi="Verdana"/>
          <w:sz w:val="20"/>
          <w:lang w:val="es-ES"/>
        </w:rPr>
        <w:t>Pablo Saavedra Alessandri</w:t>
      </w:r>
    </w:p>
    <w:p w14:paraId="26A5F0A7" w14:textId="77777777" w:rsidR="005F22D2" w:rsidRDefault="005F22D2" w:rsidP="005F22D2">
      <w:pPr>
        <w:rPr>
          <w:rFonts w:ascii="Verdana" w:hAnsi="Verdana"/>
          <w:sz w:val="20"/>
        </w:rPr>
      </w:pPr>
      <w:r>
        <w:rPr>
          <w:rFonts w:ascii="Verdana" w:hAnsi="Verdana"/>
          <w:sz w:val="20"/>
          <w:lang w:val="es-ES"/>
        </w:rPr>
        <w:tab/>
      </w:r>
      <w:r>
        <w:rPr>
          <w:rFonts w:ascii="Verdana" w:hAnsi="Verdana"/>
          <w:sz w:val="20"/>
        </w:rPr>
        <w:t>Secretario</w:t>
      </w:r>
    </w:p>
    <w:p w14:paraId="4CF1DF8B" w14:textId="77777777" w:rsidR="005F22D2" w:rsidRPr="00BE466E" w:rsidRDefault="005F22D2" w:rsidP="005F22D2">
      <w:pPr>
        <w:jc w:val="both"/>
        <w:rPr>
          <w:rFonts w:ascii="Verdana" w:hAnsi="Verdana"/>
          <w:sz w:val="20"/>
          <w:lang w:val="es-CR"/>
        </w:rPr>
      </w:pPr>
    </w:p>
    <w:p w14:paraId="108933BF" w14:textId="77777777" w:rsidR="00BE466E" w:rsidRDefault="00BE466E" w:rsidP="00BE466E">
      <w:pPr>
        <w:pStyle w:val="Prrafodelista"/>
        <w:rPr>
          <w:rFonts w:ascii="Verdana" w:hAnsi="Verdana"/>
          <w:sz w:val="20"/>
          <w:lang w:val="es-CR"/>
        </w:rPr>
      </w:pPr>
    </w:p>
    <w:p w14:paraId="712F68C3" w14:textId="77777777" w:rsidR="00BE466E" w:rsidRPr="00A53850" w:rsidRDefault="00BE466E" w:rsidP="00BE466E">
      <w:pPr>
        <w:jc w:val="both"/>
        <w:rPr>
          <w:rFonts w:ascii="Verdana" w:hAnsi="Verdana"/>
          <w:sz w:val="20"/>
          <w:lang w:val="es-CR"/>
        </w:rPr>
      </w:pPr>
    </w:p>
    <w:sectPr w:rsidR="00BE466E" w:rsidRPr="00A53850" w:rsidSect="009607F0">
      <w:headerReference w:type="even" r:id="rId8"/>
      <w:headerReference w:type="default" r:id="rId9"/>
      <w:footerReference w:type="even" r:id="rId10"/>
      <w:foot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93875" w14:textId="77777777" w:rsidR="000520C9" w:rsidRDefault="000520C9" w:rsidP="008740E4">
      <w:r>
        <w:separator/>
      </w:r>
    </w:p>
  </w:endnote>
  <w:endnote w:type="continuationSeparator" w:id="0">
    <w:p w14:paraId="4EBD1E72" w14:textId="77777777" w:rsidR="000520C9" w:rsidRDefault="000520C9" w:rsidP="0087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Italic">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07095" w14:textId="77777777" w:rsidR="00C24273" w:rsidRDefault="00C24273">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6"/>
      </w:rPr>
      <w:id w:val="414528317"/>
      <w:docPartObj>
        <w:docPartGallery w:val="Page Numbers (Bottom of Page)"/>
        <w:docPartUnique/>
      </w:docPartObj>
    </w:sdtPr>
    <w:sdtEndPr/>
    <w:sdtContent>
      <w:p w14:paraId="0B96D434" w14:textId="71720108" w:rsidR="00A22D52" w:rsidRPr="00FF3984" w:rsidRDefault="00285EAA">
        <w:pPr>
          <w:pStyle w:val="Piedepgina"/>
          <w:jc w:val="center"/>
          <w:rPr>
            <w:rFonts w:ascii="Verdana" w:hAnsi="Verdana"/>
            <w:sz w:val="16"/>
          </w:rPr>
        </w:pPr>
        <w:r w:rsidRPr="00FF3984">
          <w:rPr>
            <w:rFonts w:ascii="Verdana" w:hAnsi="Verdana"/>
            <w:sz w:val="16"/>
          </w:rPr>
          <w:t>-</w:t>
        </w:r>
        <w:r w:rsidR="00A22D52" w:rsidRPr="00FF3984">
          <w:rPr>
            <w:rFonts w:ascii="Verdana" w:hAnsi="Verdana"/>
            <w:sz w:val="16"/>
          </w:rPr>
          <w:fldChar w:fldCharType="begin"/>
        </w:r>
        <w:r w:rsidR="00A22D52" w:rsidRPr="00FF3984">
          <w:rPr>
            <w:rFonts w:ascii="Verdana" w:hAnsi="Verdana"/>
            <w:sz w:val="16"/>
          </w:rPr>
          <w:instrText>PAGE   \* MERGEFORMAT</w:instrText>
        </w:r>
        <w:r w:rsidR="00A22D52" w:rsidRPr="00FF3984">
          <w:rPr>
            <w:rFonts w:ascii="Verdana" w:hAnsi="Verdana"/>
            <w:sz w:val="16"/>
          </w:rPr>
          <w:fldChar w:fldCharType="separate"/>
        </w:r>
        <w:r w:rsidR="00BB5FEF" w:rsidRPr="00BB5FEF">
          <w:rPr>
            <w:rFonts w:ascii="Verdana" w:hAnsi="Verdana"/>
            <w:noProof/>
            <w:sz w:val="16"/>
            <w:lang w:val="es-ES"/>
          </w:rPr>
          <w:t>8</w:t>
        </w:r>
        <w:r w:rsidR="00A22D52" w:rsidRPr="00FF3984">
          <w:rPr>
            <w:rFonts w:ascii="Verdana" w:hAnsi="Verdana"/>
            <w:sz w:val="16"/>
          </w:rPr>
          <w:fldChar w:fldCharType="end"/>
        </w:r>
        <w:r w:rsidRPr="00FF3984">
          <w:rPr>
            <w:rFonts w:ascii="Verdana" w:hAnsi="Verdana"/>
            <w:sz w:val="16"/>
          </w:rPr>
          <w:t>-</w:t>
        </w:r>
      </w:p>
    </w:sdtContent>
  </w:sdt>
  <w:p w14:paraId="34CE1796" w14:textId="77777777" w:rsidR="00C24273" w:rsidRPr="00E613E2" w:rsidRDefault="00C24273" w:rsidP="00E613E2">
    <w:pPr>
      <w:pStyle w:val="Piedepgina"/>
      <w:jc w:val="center"/>
      <w:rPr>
        <w:rFonts w:ascii="Verdana" w:hAnsi="Verdan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F4C1C" w14:textId="77777777" w:rsidR="000520C9" w:rsidRDefault="000520C9" w:rsidP="008740E4">
      <w:r>
        <w:separator/>
      </w:r>
    </w:p>
  </w:footnote>
  <w:footnote w:type="continuationSeparator" w:id="0">
    <w:p w14:paraId="62F33423" w14:textId="77777777" w:rsidR="000520C9" w:rsidRDefault="000520C9" w:rsidP="008740E4">
      <w:r>
        <w:continuationSeparator/>
      </w:r>
    </w:p>
  </w:footnote>
  <w:footnote w:id="1">
    <w:p w14:paraId="5F11FA4A" w14:textId="0BE432FF" w:rsidR="00C24273" w:rsidRPr="00C6329F" w:rsidRDefault="00C24273" w:rsidP="00FF3984">
      <w:pPr>
        <w:pStyle w:val="Textonotapie"/>
        <w:tabs>
          <w:tab w:val="left" w:pos="432"/>
        </w:tabs>
        <w:jc w:val="both"/>
        <w:rPr>
          <w:rFonts w:ascii="Verdana" w:hAnsi="Verdana"/>
          <w:sz w:val="16"/>
          <w:szCs w:val="16"/>
        </w:rPr>
      </w:pPr>
      <w:r w:rsidRPr="00C6329F">
        <w:rPr>
          <w:rStyle w:val="Refdenotaalpie"/>
          <w:rFonts w:ascii="Verdana" w:hAnsi="Verdana"/>
          <w:sz w:val="16"/>
          <w:szCs w:val="16"/>
        </w:rPr>
        <w:footnoteRef/>
      </w:r>
      <w:r w:rsidR="00DC606E" w:rsidRPr="00C6329F">
        <w:rPr>
          <w:rFonts w:ascii="Verdana" w:hAnsi="Verdana"/>
          <w:sz w:val="16"/>
          <w:szCs w:val="16"/>
        </w:rPr>
        <w:tab/>
      </w:r>
      <w:r w:rsidRPr="00C6329F">
        <w:rPr>
          <w:rFonts w:ascii="Verdana" w:hAnsi="Verdana"/>
          <w:i/>
          <w:sz w:val="16"/>
          <w:szCs w:val="16"/>
        </w:rPr>
        <w:t>Cfr. Caso Gudiel Álvarez y otros Vs. Guatemala. Fondo, Reparaciones y Costas</w:t>
      </w:r>
      <w:r w:rsidRPr="00C6329F">
        <w:rPr>
          <w:rFonts w:ascii="Verdana" w:hAnsi="Verdana"/>
          <w:sz w:val="16"/>
          <w:szCs w:val="16"/>
        </w:rPr>
        <w:t xml:space="preserve">. Sentencia de 20 de noviembre de 2012. Serie C No. 253. El texto íntegro de la Sentencia se encuentra disponible en: </w:t>
      </w:r>
      <w:hyperlink r:id="rId1" w:history="1">
        <w:r w:rsidRPr="00C6329F">
          <w:rPr>
            <w:rStyle w:val="Hipervnculo"/>
            <w:rFonts w:ascii="Verdana" w:hAnsi="Verdana"/>
            <w:sz w:val="16"/>
            <w:szCs w:val="16"/>
          </w:rPr>
          <w:t>http://www.corteidh.or.cr/docs/casos/articulos/seriec_253_esp.pdf</w:t>
        </w:r>
      </w:hyperlink>
      <w:r w:rsidRPr="00C6329F">
        <w:rPr>
          <w:rFonts w:ascii="Verdana" w:hAnsi="Verdana"/>
          <w:sz w:val="16"/>
          <w:szCs w:val="16"/>
        </w:rPr>
        <w:t xml:space="preserve">. </w:t>
      </w:r>
      <w:r w:rsidR="00DC606E" w:rsidRPr="00C6329F">
        <w:rPr>
          <w:rFonts w:ascii="Verdana" w:hAnsi="Verdana"/>
          <w:sz w:val="16"/>
          <w:szCs w:val="16"/>
        </w:rPr>
        <w:t>La Sentencia fue notificada el 21 de diciembre de 2012.</w:t>
      </w:r>
    </w:p>
  </w:footnote>
  <w:footnote w:id="2">
    <w:p w14:paraId="4FBBC5A5" w14:textId="4C8520DA" w:rsidR="00C24273" w:rsidRPr="00C6329F" w:rsidRDefault="00C24273" w:rsidP="00FF3984">
      <w:pPr>
        <w:pStyle w:val="Textonotapie"/>
        <w:tabs>
          <w:tab w:val="left" w:pos="432"/>
        </w:tabs>
        <w:jc w:val="both"/>
        <w:rPr>
          <w:rFonts w:ascii="Verdana" w:hAnsi="Verdana"/>
          <w:sz w:val="16"/>
          <w:szCs w:val="16"/>
          <w:lang w:val="es-CR"/>
        </w:rPr>
      </w:pPr>
      <w:r w:rsidRPr="00C6329F">
        <w:rPr>
          <w:rStyle w:val="Refdenotaalpie"/>
          <w:rFonts w:ascii="Verdana" w:hAnsi="Verdana"/>
          <w:sz w:val="16"/>
          <w:szCs w:val="16"/>
        </w:rPr>
        <w:footnoteRef/>
      </w:r>
      <w:r w:rsidR="00DC606E" w:rsidRPr="00C6329F">
        <w:rPr>
          <w:rFonts w:ascii="Verdana" w:hAnsi="Verdana"/>
          <w:sz w:val="16"/>
          <w:szCs w:val="16"/>
        </w:rPr>
        <w:tab/>
      </w:r>
      <w:r w:rsidRPr="00C6329F">
        <w:rPr>
          <w:rFonts w:ascii="Verdana" w:hAnsi="Verdana"/>
          <w:sz w:val="16"/>
          <w:szCs w:val="16"/>
          <w:lang w:val="es-CR"/>
        </w:rPr>
        <w:t xml:space="preserve">José Miguel Gudiel Álvarez, Orencio Sosa Calderón, Oscar Eduardo Barillas Barrientos, José Porfirio Hernández Bonilla, Octavio René Guzmán Castañeda, Álvaro Zacarías Calvo Pérez, Víctor Manuel Calderón Díaz, Amancio Samuel Villatoro, Manuel Ismael </w:t>
      </w:r>
      <w:proofErr w:type="spellStart"/>
      <w:r w:rsidRPr="00C6329F">
        <w:rPr>
          <w:rFonts w:ascii="Verdana" w:hAnsi="Verdana"/>
          <w:sz w:val="16"/>
          <w:szCs w:val="16"/>
          <w:lang w:val="es-CR"/>
        </w:rPr>
        <w:t>Salanic</w:t>
      </w:r>
      <w:proofErr w:type="spellEnd"/>
      <w:r w:rsidRPr="00C6329F">
        <w:rPr>
          <w:rFonts w:ascii="Verdana" w:hAnsi="Verdana"/>
          <w:sz w:val="16"/>
          <w:szCs w:val="16"/>
          <w:lang w:val="es-CR"/>
        </w:rPr>
        <w:t xml:space="preserve"> </w:t>
      </w:r>
      <w:proofErr w:type="spellStart"/>
      <w:r w:rsidRPr="00C6329F">
        <w:rPr>
          <w:rFonts w:ascii="Verdana" w:hAnsi="Verdana"/>
          <w:sz w:val="16"/>
          <w:szCs w:val="16"/>
          <w:lang w:val="es-CR"/>
        </w:rPr>
        <w:t>Chiguil</w:t>
      </w:r>
      <w:proofErr w:type="spellEnd"/>
      <w:r w:rsidRPr="00C6329F">
        <w:rPr>
          <w:rFonts w:ascii="Verdana" w:hAnsi="Verdana"/>
          <w:sz w:val="16"/>
          <w:szCs w:val="16"/>
          <w:lang w:val="es-CR"/>
        </w:rPr>
        <w:t xml:space="preserve">, Carlos Guillermo Ramírez Gálvez, Sergio Saúl Linares Morales, Luz Haydée Méndez Calderón, Lesbia Lucrecia García Escobar, Otto René Estrada Illescas, Julio Alberto Estrada Illescas, Rubén Amílcar Farfán, Sergio Leonel Alvarado Arévalo, Joaquín Rodas Andrade, Alfonso Alvarado Palencia, Zoilo Canales Salazar, Moisés Canales Godoy, Félix Estrada Mejía, Crescencio Gómez López, Luis Rolando Peñate Lima,  Juan Pablo </w:t>
      </w:r>
      <w:proofErr w:type="spellStart"/>
      <w:r w:rsidRPr="00C6329F">
        <w:rPr>
          <w:rFonts w:ascii="Verdana" w:hAnsi="Verdana"/>
          <w:sz w:val="16"/>
          <w:szCs w:val="16"/>
          <w:lang w:val="es-CR"/>
        </w:rPr>
        <w:t>Armira</w:t>
      </w:r>
      <w:proofErr w:type="spellEnd"/>
      <w:r w:rsidRPr="00C6329F">
        <w:rPr>
          <w:rFonts w:ascii="Verdana" w:hAnsi="Verdana"/>
          <w:sz w:val="16"/>
          <w:szCs w:val="16"/>
          <w:lang w:val="es-CR"/>
        </w:rPr>
        <w:t xml:space="preserve"> Lóp</w:t>
      </w:r>
      <w:r w:rsidR="00843F4F" w:rsidRPr="00C6329F">
        <w:rPr>
          <w:rFonts w:ascii="Verdana" w:hAnsi="Verdana"/>
          <w:sz w:val="16"/>
          <w:szCs w:val="16"/>
          <w:lang w:val="es-CR"/>
        </w:rPr>
        <w:t xml:space="preserve">ez y María Quirina </w:t>
      </w:r>
      <w:proofErr w:type="spellStart"/>
      <w:r w:rsidR="00843F4F" w:rsidRPr="00C6329F">
        <w:rPr>
          <w:rFonts w:ascii="Verdana" w:hAnsi="Verdana"/>
          <w:sz w:val="16"/>
          <w:szCs w:val="16"/>
          <w:lang w:val="es-CR"/>
        </w:rPr>
        <w:t>Armira</w:t>
      </w:r>
      <w:proofErr w:type="spellEnd"/>
      <w:r w:rsidR="00843F4F" w:rsidRPr="00C6329F">
        <w:rPr>
          <w:rFonts w:ascii="Verdana" w:hAnsi="Verdana"/>
          <w:sz w:val="16"/>
          <w:szCs w:val="16"/>
          <w:lang w:val="es-CR"/>
        </w:rPr>
        <w:t xml:space="preserve"> López.</w:t>
      </w:r>
    </w:p>
  </w:footnote>
  <w:footnote w:id="3">
    <w:p w14:paraId="719A1FD5" w14:textId="2A4A1839" w:rsidR="00C24273" w:rsidRPr="00C6329F" w:rsidRDefault="00C24273" w:rsidP="00FF3984">
      <w:pPr>
        <w:pStyle w:val="Textonotapie"/>
        <w:tabs>
          <w:tab w:val="left" w:pos="432"/>
        </w:tabs>
        <w:jc w:val="both"/>
        <w:rPr>
          <w:rFonts w:ascii="Verdana" w:hAnsi="Verdana"/>
          <w:sz w:val="16"/>
          <w:szCs w:val="16"/>
        </w:rPr>
      </w:pPr>
      <w:r w:rsidRPr="00C6329F">
        <w:rPr>
          <w:rStyle w:val="Refdenotaalpie"/>
          <w:rFonts w:ascii="Verdana" w:hAnsi="Verdana"/>
          <w:sz w:val="16"/>
          <w:szCs w:val="16"/>
        </w:rPr>
        <w:footnoteRef/>
      </w:r>
      <w:r w:rsidR="00DC606E" w:rsidRPr="00C6329F">
        <w:rPr>
          <w:rFonts w:ascii="Verdana" w:hAnsi="Verdana"/>
          <w:sz w:val="16"/>
          <w:szCs w:val="16"/>
        </w:rPr>
        <w:tab/>
      </w:r>
      <w:r w:rsidRPr="00C6329F">
        <w:rPr>
          <w:rFonts w:ascii="Verdana" w:hAnsi="Verdana"/>
          <w:i/>
          <w:sz w:val="16"/>
          <w:szCs w:val="16"/>
        </w:rPr>
        <w:t xml:space="preserve">Cfr. Caso Gudiel Álvarez y otros Vs. Guatemala, </w:t>
      </w:r>
      <w:r w:rsidRPr="00C6329F">
        <w:rPr>
          <w:rFonts w:ascii="Verdana" w:hAnsi="Verdana"/>
          <w:sz w:val="16"/>
          <w:szCs w:val="16"/>
        </w:rPr>
        <w:t xml:space="preserve">supra nota 1, puntos resolutivos 4 a 11 y anexo de víctimas, disponible en </w:t>
      </w:r>
      <w:hyperlink r:id="rId2" w:history="1">
        <w:r w:rsidRPr="00C6329F">
          <w:rPr>
            <w:rStyle w:val="Hipervnculo"/>
            <w:rFonts w:ascii="Verdana" w:hAnsi="Verdana"/>
            <w:sz w:val="16"/>
            <w:szCs w:val="16"/>
          </w:rPr>
          <w:t>http://www.corteidh.or.cr/docs/casos/articulos/anexo_253_esp.pdf</w:t>
        </w:r>
      </w:hyperlink>
      <w:r w:rsidRPr="00C6329F">
        <w:rPr>
          <w:rFonts w:ascii="Verdana" w:hAnsi="Verdana"/>
          <w:sz w:val="16"/>
          <w:szCs w:val="16"/>
        </w:rPr>
        <w:t>.</w:t>
      </w:r>
    </w:p>
  </w:footnote>
  <w:footnote w:id="4">
    <w:p w14:paraId="40C426DD" w14:textId="6D118AA2" w:rsidR="00C24273" w:rsidRPr="00C6329F" w:rsidRDefault="00C24273" w:rsidP="00FF3984">
      <w:pPr>
        <w:pStyle w:val="Textonotapie"/>
        <w:tabs>
          <w:tab w:val="left" w:pos="432"/>
        </w:tabs>
        <w:jc w:val="both"/>
        <w:rPr>
          <w:rFonts w:ascii="Verdana" w:hAnsi="Verdana"/>
          <w:sz w:val="16"/>
          <w:szCs w:val="16"/>
        </w:rPr>
      </w:pPr>
      <w:r w:rsidRPr="00C6329F">
        <w:rPr>
          <w:rStyle w:val="Refdenotaalpie"/>
          <w:rFonts w:ascii="Verdana" w:hAnsi="Verdana"/>
          <w:sz w:val="16"/>
          <w:szCs w:val="16"/>
        </w:rPr>
        <w:footnoteRef/>
      </w:r>
      <w:r w:rsidR="00DC606E" w:rsidRPr="00C6329F">
        <w:rPr>
          <w:rFonts w:ascii="Verdana" w:hAnsi="Verdana"/>
          <w:sz w:val="16"/>
          <w:szCs w:val="16"/>
        </w:rPr>
        <w:tab/>
      </w:r>
      <w:r w:rsidRPr="00C6329F">
        <w:rPr>
          <w:rFonts w:ascii="Verdana" w:hAnsi="Verdana"/>
          <w:i/>
          <w:sz w:val="16"/>
          <w:szCs w:val="16"/>
        </w:rPr>
        <w:t>Cfr. Caso Gudiel Álvarez y otros Vs. Guatemala. Interpretación de la Sentencia de Fondo, Reparaciones y Costas</w:t>
      </w:r>
      <w:r w:rsidRPr="00C6329F">
        <w:rPr>
          <w:rFonts w:ascii="Verdana" w:hAnsi="Verdana"/>
          <w:sz w:val="16"/>
          <w:szCs w:val="16"/>
        </w:rPr>
        <w:t xml:space="preserve">. Sentencia de 19 de agosto de 2013. Serie C No. 262, disponible en: </w:t>
      </w:r>
      <w:hyperlink r:id="rId3" w:history="1">
        <w:r w:rsidRPr="00C6329F">
          <w:rPr>
            <w:rStyle w:val="Hipervnculo"/>
            <w:rFonts w:ascii="Verdana" w:hAnsi="Verdana"/>
            <w:sz w:val="16"/>
            <w:szCs w:val="16"/>
          </w:rPr>
          <w:t>http://www.corteidh.or.cr/docs/casos/articulos/seriec_262_esp.pdf</w:t>
        </w:r>
      </w:hyperlink>
      <w:r w:rsidRPr="00C6329F">
        <w:rPr>
          <w:rFonts w:ascii="Verdana" w:hAnsi="Verdana"/>
          <w:sz w:val="16"/>
          <w:szCs w:val="16"/>
        </w:rPr>
        <w:t>.</w:t>
      </w:r>
    </w:p>
  </w:footnote>
  <w:footnote w:id="5">
    <w:p w14:paraId="4013C91F" w14:textId="0BF90DC4" w:rsidR="00C24273" w:rsidRPr="00C6329F" w:rsidRDefault="00C24273" w:rsidP="00FF3984">
      <w:pPr>
        <w:pStyle w:val="Textonotapie"/>
        <w:tabs>
          <w:tab w:val="left" w:pos="432"/>
        </w:tabs>
        <w:jc w:val="both"/>
        <w:rPr>
          <w:rFonts w:ascii="Verdana" w:hAnsi="Verdana"/>
          <w:sz w:val="16"/>
          <w:szCs w:val="16"/>
        </w:rPr>
      </w:pPr>
      <w:r w:rsidRPr="00C6329F">
        <w:rPr>
          <w:rStyle w:val="Refdenotaalpie"/>
          <w:rFonts w:ascii="Verdana" w:hAnsi="Verdana"/>
          <w:sz w:val="16"/>
          <w:szCs w:val="16"/>
        </w:rPr>
        <w:footnoteRef/>
      </w:r>
      <w:r w:rsidR="00285EAA" w:rsidRPr="00C6329F">
        <w:rPr>
          <w:rFonts w:ascii="Verdana" w:hAnsi="Verdana"/>
          <w:sz w:val="16"/>
          <w:szCs w:val="16"/>
        </w:rPr>
        <w:tab/>
      </w:r>
      <w:r w:rsidR="00072D6B" w:rsidRPr="00C6329F">
        <w:rPr>
          <w:rStyle w:val="Textoennegrita"/>
          <w:rFonts w:ascii="Verdana" w:hAnsi="Verdana"/>
          <w:b w:val="0"/>
          <w:i/>
          <w:color w:val="000000"/>
          <w:sz w:val="16"/>
          <w:szCs w:val="16"/>
          <w:shd w:val="clear" w:color="auto" w:fill="FFFFFF"/>
        </w:rPr>
        <w:t>Casos Masacres de Río Negro y Gudiel Álvarez y otros Vs. Guatemala. Supervisión de Cumplimiento de Sentencia.</w:t>
      </w:r>
      <w:r w:rsidR="00072D6B" w:rsidRPr="00C6329F">
        <w:rPr>
          <w:rStyle w:val="Textoennegrita"/>
          <w:rFonts w:ascii="Verdana" w:hAnsi="Verdana"/>
          <w:b w:val="0"/>
          <w:color w:val="000000"/>
          <w:sz w:val="16"/>
          <w:szCs w:val="16"/>
          <w:shd w:val="clear" w:color="auto" w:fill="FFFFFF"/>
        </w:rPr>
        <w:t xml:space="preserve"> Resolución de la Corte Interamericana de Derechos Humanos de 21 de agosto de 2014,</w:t>
      </w:r>
      <w:r w:rsidR="00072D6B" w:rsidRPr="00C6329F">
        <w:rPr>
          <w:rStyle w:val="Textoennegrita"/>
          <w:rFonts w:ascii="Verdana" w:hAnsi="Verdana"/>
          <w:color w:val="000000"/>
          <w:shd w:val="clear" w:color="auto" w:fill="FFFFFF"/>
        </w:rPr>
        <w:t xml:space="preserve"> </w:t>
      </w:r>
      <w:r w:rsidR="00B55203" w:rsidRPr="00C6329F">
        <w:rPr>
          <w:rFonts w:ascii="Verdana" w:hAnsi="Verdana"/>
          <w:sz w:val="16"/>
          <w:szCs w:val="16"/>
        </w:rPr>
        <w:t>D</w:t>
      </w:r>
      <w:r w:rsidRPr="00C6329F">
        <w:rPr>
          <w:rFonts w:ascii="Verdana" w:hAnsi="Verdana"/>
          <w:sz w:val="16"/>
          <w:szCs w:val="16"/>
        </w:rPr>
        <w:t xml:space="preserve">isponible en: </w:t>
      </w:r>
      <w:hyperlink r:id="rId4" w:history="1">
        <w:r w:rsidRPr="00C6329F">
          <w:rPr>
            <w:rStyle w:val="Hipervnculo"/>
            <w:rFonts w:ascii="Verdana" w:hAnsi="Verdana"/>
            <w:sz w:val="16"/>
            <w:szCs w:val="16"/>
          </w:rPr>
          <w:t>http://www.corteidh.or.cr/docs/supervisiones/Rio_Negro_y_Gudiel_21_08_14.pdf</w:t>
        </w:r>
      </w:hyperlink>
      <w:r w:rsidRPr="00C6329F">
        <w:rPr>
          <w:rFonts w:ascii="Verdana" w:hAnsi="Verdana"/>
          <w:color w:val="000000" w:themeColor="text1"/>
          <w:sz w:val="16"/>
          <w:szCs w:val="16"/>
        </w:rPr>
        <w:t>.</w:t>
      </w:r>
    </w:p>
  </w:footnote>
  <w:footnote w:id="6">
    <w:p w14:paraId="09681506" w14:textId="6C91DCFC" w:rsidR="00285EAA" w:rsidRPr="00C6329F" w:rsidRDefault="00285EAA" w:rsidP="00FF3984">
      <w:pPr>
        <w:pStyle w:val="Textonotapie"/>
        <w:tabs>
          <w:tab w:val="left" w:pos="432"/>
        </w:tabs>
        <w:jc w:val="both"/>
        <w:rPr>
          <w:rFonts w:ascii="Verdana" w:hAnsi="Verdana"/>
          <w:sz w:val="16"/>
          <w:szCs w:val="16"/>
        </w:rPr>
      </w:pPr>
      <w:r w:rsidRPr="00C6329F">
        <w:rPr>
          <w:rStyle w:val="Refdenotaalpie"/>
          <w:rFonts w:ascii="Verdana" w:hAnsi="Verdana"/>
          <w:sz w:val="16"/>
          <w:szCs w:val="16"/>
        </w:rPr>
        <w:footnoteRef/>
      </w:r>
      <w:r w:rsidRPr="00C6329F">
        <w:rPr>
          <w:rFonts w:ascii="Verdana" w:hAnsi="Verdana"/>
          <w:sz w:val="16"/>
          <w:szCs w:val="16"/>
        </w:rPr>
        <w:tab/>
        <w:t xml:space="preserve">Las víctimas </w:t>
      </w:r>
      <w:r w:rsidR="00072D6B" w:rsidRPr="00C6329F">
        <w:rPr>
          <w:rFonts w:ascii="Verdana" w:hAnsi="Verdana"/>
          <w:sz w:val="16"/>
          <w:szCs w:val="16"/>
        </w:rPr>
        <w:t xml:space="preserve">del presente caso </w:t>
      </w:r>
      <w:r w:rsidRPr="00C6329F">
        <w:rPr>
          <w:rFonts w:ascii="Verdana" w:hAnsi="Verdana"/>
          <w:sz w:val="16"/>
          <w:szCs w:val="16"/>
        </w:rPr>
        <w:t xml:space="preserve">son representadas por la “Fundación Myrna Mack”. </w:t>
      </w:r>
    </w:p>
  </w:footnote>
  <w:footnote w:id="7">
    <w:p w14:paraId="4EE454E3" w14:textId="32D7A602" w:rsidR="00C24273" w:rsidRPr="00C6329F" w:rsidRDefault="00C24273" w:rsidP="00FF3984">
      <w:pPr>
        <w:pStyle w:val="Textonotapie"/>
        <w:tabs>
          <w:tab w:val="left" w:pos="432"/>
        </w:tabs>
        <w:jc w:val="both"/>
        <w:rPr>
          <w:rFonts w:ascii="Verdana" w:hAnsi="Verdana"/>
          <w:sz w:val="16"/>
          <w:szCs w:val="16"/>
        </w:rPr>
      </w:pPr>
      <w:r w:rsidRPr="00C6329F">
        <w:rPr>
          <w:rStyle w:val="Refdenotaalpie"/>
          <w:rFonts w:ascii="Verdana" w:hAnsi="Verdana"/>
          <w:sz w:val="16"/>
          <w:szCs w:val="16"/>
        </w:rPr>
        <w:footnoteRef/>
      </w:r>
      <w:r w:rsidRPr="00C6329F">
        <w:rPr>
          <w:rFonts w:ascii="Verdana" w:hAnsi="Verdana"/>
          <w:sz w:val="16"/>
          <w:szCs w:val="16"/>
        </w:rPr>
        <w:t xml:space="preserve"> </w:t>
      </w:r>
      <w:r w:rsidRPr="00C6329F">
        <w:rPr>
          <w:rFonts w:ascii="Verdana" w:hAnsi="Verdana"/>
          <w:sz w:val="16"/>
          <w:szCs w:val="16"/>
        </w:rPr>
        <w:tab/>
        <w:t>Facultad que además se desprende de lo dispuesto en los artículos 33, 62.1, 62.3 y 65 de la Convención Americana y 30 de su Estatuto y se encuentra regulada en el artículo 69 de su Reglamento.</w:t>
      </w:r>
    </w:p>
  </w:footnote>
  <w:footnote w:id="8">
    <w:p w14:paraId="2899678D" w14:textId="16087B50" w:rsidR="00C24273" w:rsidRPr="00C6329F" w:rsidRDefault="00C24273" w:rsidP="00FF3984">
      <w:pPr>
        <w:pStyle w:val="Textonotapie"/>
        <w:tabs>
          <w:tab w:val="left" w:pos="432"/>
        </w:tabs>
        <w:jc w:val="both"/>
        <w:rPr>
          <w:rFonts w:ascii="Verdana" w:hAnsi="Verdana"/>
          <w:sz w:val="16"/>
          <w:szCs w:val="16"/>
          <w:lang w:val="es-CR"/>
        </w:rPr>
      </w:pPr>
      <w:r w:rsidRPr="00C6329F">
        <w:rPr>
          <w:rStyle w:val="Refdenotaalpie"/>
          <w:rFonts w:ascii="Verdana" w:hAnsi="Verdana"/>
          <w:sz w:val="16"/>
          <w:szCs w:val="16"/>
        </w:rPr>
        <w:footnoteRef/>
      </w:r>
      <w:r w:rsidRPr="00C6329F">
        <w:rPr>
          <w:rFonts w:ascii="Verdana" w:hAnsi="Verdana"/>
          <w:sz w:val="16"/>
          <w:szCs w:val="16"/>
        </w:rPr>
        <w:t xml:space="preserve"> </w:t>
      </w:r>
      <w:r w:rsidRPr="00C6329F">
        <w:rPr>
          <w:rFonts w:ascii="Verdana" w:hAnsi="Verdana"/>
          <w:sz w:val="16"/>
          <w:szCs w:val="16"/>
          <w:lang w:val="es-CR"/>
        </w:rPr>
        <w:tab/>
      </w:r>
      <w:r w:rsidRPr="00C6329F">
        <w:rPr>
          <w:rFonts w:ascii="Verdana" w:hAnsi="Verdana"/>
          <w:i/>
          <w:sz w:val="16"/>
          <w:szCs w:val="16"/>
        </w:rPr>
        <w:t>Cfr. Caso Cinco Pensionistas Vs. Perú. Supervisión de Cumplimiento de Sentencia.</w:t>
      </w:r>
      <w:r w:rsidRPr="00C6329F">
        <w:rPr>
          <w:rFonts w:ascii="Verdana" w:hAnsi="Verdana"/>
          <w:sz w:val="16"/>
          <w:szCs w:val="16"/>
        </w:rPr>
        <w:t xml:space="preserve"> Resolución de la Corte Interamericana de Derechos Humanos de 17 de noviembre de 2004, Considerando </w:t>
      </w:r>
      <w:r w:rsidR="00837046" w:rsidRPr="00C6329F">
        <w:rPr>
          <w:rFonts w:ascii="Verdana" w:hAnsi="Verdana"/>
          <w:sz w:val="16"/>
          <w:szCs w:val="16"/>
        </w:rPr>
        <w:t>quinto</w:t>
      </w:r>
      <w:r w:rsidRPr="00C6329F">
        <w:rPr>
          <w:rFonts w:ascii="Verdana" w:hAnsi="Verdana"/>
          <w:sz w:val="16"/>
          <w:szCs w:val="16"/>
        </w:rPr>
        <w:t xml:space="preserve">, y </w:t>
      </w:r>
      <w:r w:rsidRPr="00C6329F">
        <w:rPr>
          <w:rStyle w:val="Textoennegrita"/>
          <w:rFonts w:ascii="Verdana" w:hAnsi="Verdana"/>
          <w:b w:val="0"/>
          <w:i/>
          <w:color w:val="000000"/>
          <w:sz w:val="16"/>
          <w:szCs w:val="16"/>
          <w:shd w:val="clear" w:color="auto" w:fill="FFFFFF"/>
        </w:rPr>
        <w:t>Caso Poblete Vilches y otros Vs. Chile. Supervisión de Cumplimiento de Sentencia.</w:t>
      </w:r>
      <w:r w:rsidRPr="00C6329F">
        <w:rPr>
          <w:rStyle w:val="Textoennegrita"/>
          <w:rFonts w:ascii="Verdana" w:hAnsi="Verdana"/>
          <w:b w:val="0"/>
          <w:color w:val="000000"/>
          <w:sz w:val="16"/>
          <w:szCs w:val="16"/>
          <w:shd w:val="clear" w:color="auto" w:fill="FFFFFF"/>
        </w:rPr>
        <w:t xml:space="preserve"> Resolución de la Corte Interamericana de Derechos Humanos de 14 de mayo de 2019, Considerando </w:t>
      </w:r>
      <w:r w:rsidR="00837046" w:rsidRPr="00C6329F">
        <w:rPr>
          <w:rStyle w:val="Textoennegrita"/>
          <w:rFonts w:ascii="Verdana" w:hAnsi="Verdana"/>
          <w:b w:val="0"/>
          <w:color w:val="000000"/>
          <w:sz w:val="16"/>
          <w:szCs w:val="16"/>
          <w:shd w:val="clear" w:color="auto" w:fill="FFFFFF"/>
        </w:rPr>
        <w:t>segundo</w:t>
      </w:r>
      <w:r w:rsidRPr="00C6329F">
        <w:rPr>
          <w:rStyle w:val="Textoennegrita"/>
          <w:rFonts w:ascii="Verdana" w:hAnsi="Verdana"/>
          <w:b w:val="0"/>
          <w:color w:val="000000"/>
          <w:sz w:val="16"/>
          <w:szCs w:val="16"/>
          <w:shd w:val="clear" w:color="auto" w:fill="FFFFFF"/>
        </w:rPr>
        <w:t>.</w:t>
      </w:r>
    </w:p>
  </w:footnote>
  <w:footnote w:id="9">
    <w:p w14:paraId="202652F5" w14:textId="727759E1" w:rsidR="00C24273" w:rsidRPr="00C6329F" w:rsidRDefault="00C24273" w:rsidP="00FF3984">
      <w:pPr>
        <w:pStyle w:val="Textonotapie"/>
        <w:tabs>
          <w:tab w:val="left" w:pos="432"/>
        </w:tabs>
        <w:jc w:val="both"/>
        <w:rPr>
          <w:rFonts w:ascii="Verdana" w:hAnsi="Verdana"/>
          <w:sz w:val="16"/>
          <w:szCs w:val="16"/>
          <w:lang w:val="es-CR"/>
        </w:rPr>
      </w:pPr>
      <w:r w:rsidRPr="00C6329F">
        <w:rPr>
          <w:rStyle w:val="Refdenotaalpie"/>
          <w:rFonts w:ascii="Verdana" w:hAnsi="Verdana"/>
          <w:sz w:val="16"/>
          <w:szCs w:val="16"/>
        </w:rPr>
        <w:footnoteRef/>
      </w:r>
      <w:r w:rsidRPr="00C6329F">
        <w:rPr>
          <w:rFonts w:ascii="Verdana" w:hAnsi="Verdana"/>
          <w:sz w:val="16"/>
          <w:szCs w:val="16"/>
          <w:lang w:val="de-DE"/>
        </w:rPr>
        <w:t xml:space="preserve"> </w:t>
      </w:r>
      <w:r w:rsidRPr="00C6329F">
        <w:rPr>
          <w:rFonts w:ascii="Verdana" w:hAnsi="Verdana"/>
          <w:sz w:val="16"/>
          <w:szCs w:val="16"/>
          <w:lang w:val="de-DE"/>
        </w:rPr>
        <w:tab/>
      </w:r>
      <w:r w:rsidRPr="00C6329F">
        <w:rPr>
          <w:rFonts w:ascii="Verdana" w:hAnsi="Verdana"/>
          <w:i/>
          <w:noProof/>
          <w:color w:val="000000"/>
          <w:sz w:val="16"/>
          <w:szCs w:val="16"/>
          <w:lang w:val="de-DE"/>
        </w:rPr>
        <w:t xml:space="preserve">Cfr. Caso Ivcher Bronstein Vs. </w:t>
      </w:r>
      <w:r w:rsidRPr="00C6329F">
        <w:rPr>
          <w:rFonts w:ascii="Verdana" w:hAnsi="Verdana"/>
          <w:i/>
          <w:noProof/>
          <w:color w:val="000000"/>
          <w:sz w:val="16"/>
          <w:szCs w:val="16"/>
          <w:lang w:val="es-ES"/>
        </w:rPr>
        <w:t>Perú. Competencia.</w:t>
      </w:r>
      <w:r w:rsidRPr="00C6329F">
        <w:rPr>
          <w:rFonts w:ascii="Verdana" w:hAnsi="Verdana"/>
          <w:noProof/>
          <w:color w:val="000000"/>
          <w:sz w:val="16"/>
          <w:szCs w:val="16"/>
          <w:lang w:val="es-ES"/>
        </w:rPr>
        <w:t xml:space="preserve"> Sentencia de de la Corte Interamericana de Derechos Humanos de 24 de septiembre de 1999.</w:t>
      </w:r>
      <w:r w:rsidRPr="00C6329F">
        <w:rPr>
          <w:rFonts w:ascii="Verdana" w:hAnsi="Verdana"/>
          <w:color w:val="000000"/>
          <w:sz w:val="16"/>
          <w:szCs w:val="16"/>
          <w:lang w:val="es-ES"/>
        </w:rPr>
        <w:t xml:space="preserve"> </w:t>
      </w:r>
      <w:r w:rsidRPr="00C6329F">
        <w:rPr>
          <w:rFonts w:ascii="Verdana" w:hAnsi="Verdana"/>
          <w:noProof/>
          <w:color w:val="000000"/>
          <w:sz w:val="16"/>
          <w:szCs w:val="16"/>
          <w:lang w:val="es-ES"/>
        </w:rPr>
        <w:t xml:space="preserve">Serie C No. 54, párr. 37, </w:t>
      </w:r>
      <w:r w:rsidRPr="00C6329F">
        <w:rPr>
          <w:rFonts w:ascii="Verdana" w:hAnsi="Verdana"/>
          <w:bCs/>
          <w:color w:val="000000"/>
          <w:sz w:val="16"/>
          <w:szCs w:val="16"/>
          <w:lang w:bidi="en-US"/>
        </w:rPr>
        <w:t xml:space="preserve">y </w:t>
      </w:r>
      <w:r w:rsidRPr="00C6329F">
        <w:rPr>
          <w:rStyle w:val="Textoennegrita"/>
          <w:rFonts w:ascii="Verdana" w:hAnsi="Verdana"/>
          <w:b w:val="0"/>
          <w:i/>
          <w:color w:val="000000"/>
          <w:sz w:val="16"/>
          <w:szCs w:val="16"/>
          <w:shd w:val="clear" w:color="auto" w:fill="FFFFFF"/>
        </w:rPr>
        <w:t>Caso Poblete Vilches y otros Vs. Chile, supra</w:t>
      </w:r>
      <w:r w:rsidRPr="00C6329F">
        <w:rPr>
          <w:rStyle w:val="Textoennegrita"/>
          <w:rFonts w:ascii="Verdana" w:hAnsi="Verdana"/>
          <w:b w:val="0"/>
          <w:color w:val="000000"/>
          <w:sz w:val="16"/>
          <w:szCs w:val="16"/>
          <w:shd w:val="clear" w:color="auto" w:fill="FFFFFF"/>
        </w:rPr>
        <w:t xml:space="preserve"> nota </w:t>
      </w:r>
      <w:r w:rsidR="004473E4" w:rsidRPr="00C6329F">
        <w:rPr>
          <w:rStyle w:val="Textoennegrita"/>
          <w:rFonts w:ascii="Verdana" w:hAnsi="Verdana"/>
          <w:b w:val="0"/>
          <w:color w:val="000000"/>
          <w:sz w:val="16"/>
          <w:szCs w:val="16"/>
          <w:shd w:val="clear" w:color="auto" w:fill="FFFFFF"/>
        </w:rPr>
        <w:t>8</w:t>
      </w:r>
      <w:r w:rsidRPr="00C6329F">
        <w:rPr>
          <w:rStyle w:val="Textoennegrita"/>
          <w:rFonts w:ascii="Verdana" w:hAnsi="Verdana"/>
          <w:b w:val="0"/>
          <w:i/>
          <w:color w:val="000000"/>
          <w:sz w:val="16"/>
          <w:szCs w:val="16"/>
          <w:shd w:val="clear" w:color="auto" w:fill="FFFFFF"/>
        </w:rPr>
        <w:t>,</w:t>
      </w:r>
      <w:r w:rsidRPr="00C6329F">
        <w:rPr>
          <w:rStyle w:val="Textoennegrita"/>
          <w:rFonts w:ascii="Verdana" w:hAnsi="Verdana"/>
          <w:b w:val="0"/>
          <w:color w:val="000000"/>
          <w:sz w:val="16"/>
          <w:szCs w:val="16"/>
          <w:shd w:val="clear" w:color="auto" w:fill="FFFFFF"/>
        </w:rPr>
        <w:t xml:space="preserve"> Considerando </w:t>
      </w:r>
      <w:r w:rsidR="00837046" w:rsidRPr="00C6329F">
        <w:rPr>
          <w:rStyle w:val="Textoennegrita"/>
          <w:rFonts w:ascii="Verdana" w:hAnsi="Verdana"/>
          <w:b w:val="0"/>
          <w:color w:val="000000"/>
          <w:sz w:val="16"/>
          <w:szCs w:val="16"/>
          <w:shd w:val="clear" w:color="auto" w:fill="FFFFFF"/>
        </w:rPr>
        <w:t>segundo</w:t>
      </w:r>
      <w:r w:rsidRPr="00C6329F">
        <w:rPr>
          <w:rStyle w:val="Textoennegrita"/>
          <w:rFonts w:ascii="Verdana" w:hAnsi="Verdana"/>
          <w:b w:val="0"/>
          <w:color w:val="000000"/>
          <w:sz w:val="16"/>
          <w:szCs w:val="16"/>
          <w:shd w:val="clear" w:color="auto" w:fill="FFFFFF"/>
        </w:rPr>
        <w:t>.</w:t>
      </w:r>
    </w:p>
  </w:footnote>
  <w:footnote w:id="10">
    <w:p w14:paraId="79494676" w14:textId="4B4D8770" w:rsidR="00C24273" w:rsidRPr="00C6329F" w:rsidRDefault="00C24273" w:rsidP="00FF3984">
      <w:pPr>
        <w:pStyle w:val="Textonotapie"/>
        <w:tabs>
          <w:tab w:val="left" w:pos="432"/>
        </w:tabs>
        <w:jc w:val="both"/>
        <w:rPr>
          <w:rFonts w:ascii="Verdana" w:hAnsi="Verdana" w:cs="Arial"/>
          <w:sz w:val="16"/>
          <w:szCs w:val="16"/>
        </w:rPr>
      </w:pPr>
      <w:r w:rsidRPr="00C6329F">
        <w:rPr>
          <w:rStyle w:val="Refdenotaalpie"/>
          <w:rFonts w:ascii="Verdana" w:hAnsi="Verdana"/>
          <w:sz w:val="16"/>
          <w:szCs w:val="16"/>
        </w:rPr>
        <w:footnoteRef/>
      </w:r>
      <w:r w:rsidR="00FE4018" w:rsidRPr="00C6329F">
        <w:rPr>
          <w:rFonts w:ascii="Verdana" w:hAnsi="Verdana"/>
          <w:sz w:val="16"/>
          <w:szCs w:val="16"/>
        </w:rPr>
        <w:tab/>
      </w:r>
      <w:r w:rsidRPr="00C6329F">
        <w:rPr>
          <w:rFonts w:ascii="Verdana" w:hAnsi="Verdana"/>
          <w:sz w:val="16"/>
          <w:szCs w:val="16"/>
        </w:rPr>
        <w:t>En su escrito de observaciones de septiembre de 2016, la represente indicó que “[…] a 3 años y 10 meses de haberse dictado la [S]</w:t>
      </w:r>
      <w:proofErr w:type="spellStart"/>
      <w:r w:rsidRPr="00C6329F">
        <w:rPr>
          <w:rFonts w:ascii="Verdana" w:hAnsi="Verdana"/>
          <w:sz w:val="16"/>
          <w:szCs w:val="16"/>
        </w:rPr>
        <w:t>entencia</w:t>
      </w:r>
      <w:proofErr w:type="spellEnd"/>
      <w:r w:rsidRPr="00C6329F">
        <w:rPr>
          <w:rFonts w:ascii="Verdana" w:hAnsi="Verdana"/>
          <w:sz w:val="16"/>
          <w:szCs w:val="16"/>
        </w:rPr>
        <w:t xml:space="preserve">, el Estado […] únicamente ha cumplido de forma parcial con una de las medidas ordenadas por la […] Corte, siendo está la publicación de la Sentencia en su integridad en un sitio </w:t>
      </w:r>
      <w:r w:rsidRPr="00C6329F">
        <w:rPr>
          <w:rFonts w:ascii="Verdana" w:hAnsi="Verdana" w:cs="Arial"/>
          <w:sz w:val="16"/>
          <w:szCs w:val="16"/>
        </w:rPr>
        <w:t>web oficial”</w:t>
      </w:r>
      <w:r w:rsidR="003244AD" w:rsidRPr="00C6329F">
        <w:rPr>
          <w:rFonts w:ascii="Verdana" w:hAnsi="Verdana" w:cs="Arial"/>
          <w:sz w:val="16"/>
          <w:szCs w:val="16"/>
        </w:rPr>
        <w:t>.</w:t>
      </w:r>
      <w:r w:rsidRPr="00C6329F">
        <w:rPr>
          <w:rFonts w:ascii="Verdana" w:hAnsi="Verdana" w:cs="Arial"/>
          <w:sz w:val="16"/>
          <w:szCs w:val="16"/>
        </w:rPr>
        <w:t xml:space="preserve"> Con posterioridad, en su escrito de observaciones de diciembre de 2018 señal</w:t>
      </w:r>
      <w:r w:rsidR="00D14A9D" w:rsidRPr="00C6329F">
        <w:rPr>
          <w:rFonts w:ascii="Verdana" w:hAnsi="Verdana" w:cs="Arial"/>
          <w:sz w:val="16"/>
          <w:szCs w:val="16"/>
        </w:rPr>
        <w:t>ó</w:t>
      </w:r>
      <w:r w:rsidRPr="00C6329F">
        <w:rPr>
          <w:rFonts w:ascii="Verdana" w:hAnsi="Verdana" w:cs="Arial"/>
          <w:sz w:val="16"/>
          <w:szCs w:val="16"/>
        </w:rPr>
        <w:t xml:space="preserve"> que “[t]al como lo expuso el Estado […] se publicó el resumen de la [S]</w:t>
      </w:r>
      <w:proofErr w:type="spellStart"/>
      <w:r w:rsidRPr="00C6329F">
        <w:rPr>
          <w:rFonts w:ascii="Verdana" w:hAnsi="Verdana" w:cs="Arial"/>
          <w:sz w:val="16"/>
          <w:szCs w:val="16"/>
        </w:rPr>
        <w:t>entencia</w:t>
      </w:r>
      <w:proofErr w:type="spellEnd"/>
      <w:r w:rsidRPr="00C6329F">
        <w:rPr>
          <w:rFonts w:ascii="Verdana" w:hAnsi="Verdana" w:cs="Arial"/>
          <w:sz w:val="16"/>
          <w:szCs w:val="16"/>
        </w:rPr>
        <w:t xml:space="preserve"> el viernes 21 de octubre de 2016 en el Diario de Centro América, y la [S]</w:t>
      </w:r>
      <w:proofErr w:type="spellStart"/>
      <w:r w:rsidRPr="00C6329F">
        <w:rPr>
          <w:rFonts w:ascii="Verdana" w:hAnsi="Verdana" w:cs="Arial"/>
          <w:sz w:val="16"/>
          <w:szCs w:val="16"/>
        </w:rPr>
        <w:t>entencia</w:t>
      </w:r>
      <w:proofErr w:type="spellEnd"/>
      <w:r w:rsidRPr="00C6329F">
        <w:rPr>
          <w:rFonts w:ascii="Verdana" w:hAnsi="Verdana" w:cs="Arial"/>
          <w:sz w:val="16"/>
          <w:szCs w:val="16"/>
        </w:rPr>
        <w:t xml:space="preserve"> integra en el Diario de [m]</w:t>
      </w:r>
      <w:proofErr w:type="spellStart"/>
      <w:r w:rsidRPr="00C6329F">
        <w:rPr>
          <w:rFonts w:ascii="Verdana" w:hAnsi="Verdana" w:cs="Arial"/>
          <w:sz w:val="16"/>
          <w:szCs w:val="16"/>
        </w:rPr>
        <w:t>ayor</w:t>
      </w:r>
      <w:proofErr w:type="spellEnd"/>
      <w:r w:rsidRPr="00C6329F">
        <w:rPr>
          <w:rFonts w:ascii="Verdana" w:hAnsi="Verdana" w:cs="Arial"/>
          <w:sz w:val="16"/>
          <w:szCs w:val="16"/>
        </w:rPr>
        <w:t xml:space="preserve"> [c]</w:t>
      </w:r>
      <w:proofErr w:type="spellStart"/>
      <w:r w:rsidRPr="00C6329F">
        <w:rPr>
          <w:rFonts w:ascii="Verdana" w:hAnsi="Verdana" w:cs="Arial"/>
          <w:sz w:val="16"/>
          <w:szCs w:val="16"/>
        </w:rPr>
        <w:t>irculación</w:t>
      </w:r>
      <w:proofErr w:type="spellEnd"/>
      <w:r w:rsidRPr="00C6329F">
        <w:rPr>
          <w:rFonts w:ascii="Verdana" w:hAnsi="Verdana" w:cs="Arial"/>
          <w:sz w:val="16"/>
          <w:szCs w:val="16"/>
        </w:rPr>
        <w:t>, Prensa Libre. Por lo que ha cumplido en su totalidad con esta medida de reparación ordenada por la Corte […]”.</w:t>
      </w:r>
      <w:r w:rsidR="004F3473" w:rsidRPr="00C6329F">
        <w:rPr>
          <w:rFonts w:ascii="Verdana" w:hAnsi="Verdana" w:cs="Arial"/>
          <w:sz w:val="16"/>
          <w:szCs w:val="16"/>
        </w:rPr>
        <w:t xml:space="preserve"> </w:t>
      </w:r>
      <w:r w:rsidR="00ED5EA5" w:rsidRPr="00C6329F">
        <w:rPr>
          <w:rFonts w:ascii="Verdana" w:hAnsi="Verdana" w:cs="Arial"/>
          <w:i/>
          <w:sz w:val="16"/>
          <w:szCs w:val="16"/>
        </w:rPr>
        <w:t>Cfr.</w:t>
      </w:r>
      <w:r w:rsidR="00ED5EA5" w:rsidRPr="00C6329F">
        <w:rPr>
          <w:rFonts w:ascii="Verdana" w:hAnsi="Verdana" w:cs="Arial"/>
          <w:sz w:val="16"/>
          <w:szCs w:val="16"/>
        </w:rPr>
        <w:t xml:space="preserve"> Escrito de observaciones de los representantes de </w:t>
      </w:r>
      <w:r w:rsidR="00ED5EA5" w:rsidRPr="00C6329F">
        <w:rPr>
          <w:rFonts w:ascii="Verdana" w:hAnsi="Verdana"/>
          <w:sz w:val="16"/>
          <w:szCs w:val="16"/>
        </w:rPr>
        <w:t>21 de septiembre de 2016.</w:t>
      </w:r>
    </w:p>
  </w:footnote>
  <w:footnote w:id="11">
    <w:p w14:paraId="0B210552" w14:textId="6E899C16" w:rsidR="00C24273" w:rsidRPr="00C6329F" w:rsidRDefault="00C24273" w:rsidP="00FF3984">
      <w:pPr>
        <w:pStyle w:val="Textonotapie"/>
        <w:tabs>
          <w:tab w:val="left" w:pos="432"/>
        </w:tabs>
        <w:jc w:val="both"/>
        <w:rPr>
          <w:rFonts w:ascii="Verdana" w:hAnsi="Verdana" w:cs="Arial"/>
          <w:sz w:val="16"/>
          <w:szCs w:val="16"/>
        </w:rPr>
      </w:pPr>
      <w:r w:rsidRPr="00C6329F">
        <w:rPr>
          <w:rStyle w:val="Refdenotaalpie"/>
          <w:rFonts w:ascii="Verdana" w:hAnsi="Verdana" w:cs="Arial"/>
          <w:sz w:val="16"/>
          <w:szCs w:val="16"/>
        </w:rPr>
        <w:footnoteRef/>
      </w:r>
      <w:r w:rsidR="00FE4018" w:rsidRPr="00C6329F">
        <w:rPr>
          <w:rFonts w:ascii="Verdana" w:hAnsi="Verdana" w:cs="Arial"/>
          <w:sz w:val="16"/>
          <w:szCs w:val="16"/>
        </w:rPr>
        <w:tab/>
      </w:r>
      <w:r w:rsidRPr="00C6329F">
        <w:rPr>
          <w:rFonts w:ascii="Verdana" w:hAnsi="Verdana" w:cs="Arial"/>
          <w:sz w:val="16"/>
          <w:szCs w:val="16"/>
        </w:rPr>
        <w:t>Por su parte, la Comisión Interamericana, en sus observaciones de octubre de 2016, señaló que “la Sentencia ya ha sido publicada en la página web de COPREDEH. La dirección electrónica indicada fue efectivamente constatada por la Comisión”. Adicionalmente, en sus observaciones de 20 de junio de 2017 tom</w:t>
      </w:r>
      <w:r w:rsidR="00231F0A" w:rsidRPr="00C6329F">
        <w:rPr>
          <w:rFonts w:ascii="Verdana" w:hAnsi="Verdana" w:cs="Arial"/>
          <w:sz w:val="16"/>
          <w:szCs w:val="16"/>
        </w:rPr>
        <w:t>ó</w:t>
      </w:r>
      <w:r w:rsidRPr="00C6329F">
        <w:rPr>
          <w:rFonts w:ascii="Verdana" w:hAnsi="Verdana" w:cs="Arial"/>
          <w:sz w:val="16"/>
          <w:szCs w:val="16"/>
        </w:rPr>
        <w:t xml:space="preserve"> nota de que el Estado y los representantes coincidieron en que </w:t>
      </w:r>
      <w:r w:rsidR="00231F0A" w:rsidRPr="00C6329F">
        <w:rPr>
          <w:rFonts w:ascii="Verdana" w:hAnsi="Verdana" w:cs="Arial"/>
          <w:sz w:val="16"/>
          <w:szCs w:val="16"/>
        </w:rPr>
        <w:t>“</w:t>
      </w:r>
      <w:r w:rsidRPr="00C6329F">
        <w:rPr>
          <w:rFonts w:ascii="Verdana" w:hAnsi="Verdana" w:cs="Arial"/>
          <w:sz w:val="16"/>
          <w:szCs w:val="16"/>
        </w:rPr>
        <w:t>el Estado realizó todas las publicaciones ordenadas en la Sentencia […]”</w:t>
      </w:r>
      <w:r w:rsidR="00CA2953" w:rsidRPr="00C6329F">
        <w:rPr>
          <w:rFonts w:ascii="Verdana" w:hAnsi="Verdana" w:cs="Arial"/>
          <w:sz w:val="16"/>
          <w:szCs w:val="16"/>
        </w:rPr>
        <w:t>.</w:t>
      </w:r>
      <w:r w:rsidR="004F3473" w:rsidRPr="00C6329F">
        <w:rPr>
          <w:rFonts w:ascii="Verdana" w:hAnsi="Verdana" w:cs="Arial"/>
          <w:sz w:val="16"/>
          <w:szCs w:val="16"/>
        </w:rPr>
        <w:t xml:space="preserve"> </w:t>
      </w:r>
      <w:r w:rsidR="00231F0A" w:rsidRPr="00C6329F">
        <w:rPr>
          <w:rFonts w:ascii="Verdana" w:hAnsi="Verdana"/>
          <w:i/>
          <w:sz w:val="16"/>
          <w:szCs w:val="16"/>
        </w:rPr>
        <w:t xml:space="preserve">Cfr. </w:t>
      </w:r>
      <w:r w:rsidR="00231F0A" w:rsidRPr="00C6329F">
        <w:rPr>
          <w:rFonts w:ascii="Verdana" w:hAnsi="Verdana"/>
          <w:sz w:val="16"/>
          <w:szCs w:val="16"/>
        </w:rPr>
        <w:t xml:space="preserve">Escritos de observaciones de la Comisión Interamericana de 28 de octubre de 2016 y </w:t>
      </w:r>
      <w:r w:rsidR="00231F0A" w:rsidRPr="00C6329F">
        <w:rPr>
          <w:rFonts w:ascii="Verdana" w:hAnsi="Verdana" w:cs="Arial"/>
          <w:sz w:val="16"/>
          <w:szCs w:val="16"/>
        </w:rPr>
        <w:t>20 de junio de 2017.</w:t>
      </w:r>
    </w:p>
  </w:footnote>
  <w:footnote w:id="12">
    <w:p w14:paraId="0CD5D65C" w14:textId="3764813C" w:rsidR="00C24273" w:rsidRPr="00C6329F" w:rsidRDefault="00C24273" w:rsidP="00FF3984">
      <w:pPr>
        <w:pStyle w:val="Textonotapie"/>
        <w:tabs>
          <w:tab w:val="left" w:pos="432"/>
        </w:tabs>
        <w:jc w:val="both"/>
        <w:rPr>
          <w:rFonts w:ascii="Verdana" w:hAnsi="Verdana" w:cs="Arial"/>
          <w:sz w:val="16"/>
          <w:szCs w:val="16"/>
        </w:rPr>
      </w:pPr>
      <w:r w:rsidRPr="00C6329F">
        <w:rPr>
          <w:rStyle w:val="Refdenotaalpie"/>
          <w:rFonts w:ascii="Verdana" w:hAnsi="Verdana" w:cs="Arial"/>
          <w:sz w:val="16"/>
          <w:szCs w:val="16"/>
        </w:rPr>
        <w:footnoteRef/>
      </w:r>
      <w:r w:rsidR="00FE4018" w:rsidRPr="00C6329F">
        <w:rPr>
          <w:rFonts w:ascii="Verdana" w:hAnsi="Verdana" w:cs="Arial"/>
          <w:sz w:val="16"/>
          <w:szCs w:val="16"/>
        </w:rPr>
        <w:tab/>
      </w:r>
      <w:r w:rsidRPr="00C6329F">
        <w:rPr>
          <w:rFonts w:ascii="Verdana" w:hAnsi="Verdana" w:cs="Arial"/>
          <w:i/>
          <w:sz w:val="16"/>
          <w:szCs w:val="16"/>
        </w:rPr>
        <w:t>Cfr.</w:t>
      </w:r>
      <w:r w:rsidRPr="00C6329F">
        <w:rPr>
          <w:rFonts w:ascii="Verdana" w:hAnsi="Verdana" w:cs="Arial"/>
          <w:sz w:val="16"/>
          <w:szCs w:val="16"/>
        </w:rPr>
        <w:t xml:space="preserve"> Copia </w:t>
      </w:r>
      <w:r w:rsidR="00231F0A" w:rsidRPr="00C6329F">
        <w:rPr>
          <w:rFonts w:ascii="Verdana" w:hAnsi="Verdana" w:cs="Arial"/>
          <w:sz w:val="16"/>
          <w:szCs w:val="16"/>
        </w:rPr>
        <w:t xml:space="preserve">de la publicación realizada en el </w:t>
      </w:r>
      <w:r w:rsidRPr="00C6329F">
        <w:rPr>
          <w:rFonts w:ascii="Verdana" w:hAnsi="Verdana" w:cs="Arial"/>
          <w:sz w:val="16"/>
          <w:szCs w:val="16"/>
        </w:rPr>
        <w:t>Diario</w:t>
      </w:r>
      <w:r w:rsidR="00231F0A" w:rsidRPr="00C6329F">
        <w:rPr>
          <w:rFonts w:ascii="Verdana" w:hAnsi="Verdana" w:cs="Arial"/>
          <w:sz w:val="16"/>
          <w:szCs w:val="16"/>
        </w:rPr>
        <w:t xml:space="preserve"> Oficial</w:t>
      </w:r>
      <w:r w:rsidRPr="00C6329F">
        <w:rPr>
          <w:rFonts w:ascii="Verdana" w:hAnsi="Verdana" w:cs="Arial"/>
          <w:sz w:val="16"/>
          <w:szCs w:val="16"/>
        </w:rPr>
        <w:t xml:space="preserve"> </w:t>
      </w:r>
      <w:r w:rsidR="00231F0A" w:rsidRPr="00C6329F">
        <w:rPr>
          <w:rFonts w:ascii="Verdana" w:hAnsi="Verdana" w:cs="Arial"/>
          <w:sz w:val="16"/>
          <w:szCs w:val="16"/>
        </w:rPr>
        <w:t>“</w:t>
      </w:r>
      <w:r w:rsidRPr="00C6329F">
        <w:rPr>
          <w:rFonts w:ascii="Verdana" w:hAnsi="Verdana" w:cs="Arial"/>
          <w:sz w:val="16"/>
          <w:szCs w:val="16"/>
        </w:rPr>
        <w:t>Centroamérica</w:t>
      </w:r>
      <w:r w:rsidR="00231F0A" w:rsidRPr="00C6329F">
        <w:rPr>
          <w:rFonts w:ascii="Verdana" w:hAnsi="Verdana" w:cs="Arial"/>
          <w:sz w:val="16"/>
          <w:szCs w:val="16"/>
        </w:rPr>
        <w:t>”</w:t>
      </w:r>
      <w:r w:rsidRPr="00C6329F">
        <w:rPr>
          <w:rFonts w:ascii="Verdana" w:hAnsi="Verdana" w:cs="Arial"/>
          <w:sz w:val="16"/>
          <w:szCs w:val="16"/>
        </w:rPr>
        <w:t xml:space="preserve">, Número 72 de 21 de octubre de 2016, págs. 22 y 23 (Anexo al informe estatal de </w:t>
      </w:r>
      <w:r w:rsidR="00866187" w:rsidRPr="00C6329F">
        <w:rPr>
          <w:rFonts w:ascii="Verdana" w:hAnsi="Verdana" w:cs="Arial"/>
          <w:sz w:val="16"/>
          <w:szCs w:val="16"/>
        </w:rPr>
        <w:t>24</w:t>
      </w:r>
      <w:r w:rsidR="00ED5EA5" w:rsidRPr="00C6329F">
        <w:rPr>
          <w:rFonts w:ascii="Verdana" w:hAnsi="Verdana" w:cs="Arial"/>
          <w:sz w:val="16"/>
          <w:szCs w:val="16"/>
        </w:rPr>
        <w:t xml:space="preserve"> de </w:t>
      </w:r>
      <w:r w:rsidRPr="00C6329F">
        <w:rPr>
          <w:rFonts w:ascii="Verdana" w:hAnsi="Verdana" w:cs="Arial"/>
          <w:sz w:val="16"/>
          <w:szCs w:val="16"/>
        </w:rPr>
        <w:t>octubre de 2016).</w:t>
      </w:r>
    </w:p>
  </w:footnote>
  <w:footnote w:id="13">
    <w:p w14:paraId="028D4A69" w14:textId="5DE3C823" w:rsidR="00C24273" w:rsidRPr="00C6329F" w:rsidRDefault="00C24273" w:rsidP="00FF3984">
      <w:pPr>
        <w:pStyle w:val="Textonotapie"/>
        <w:tabs>
          <w:tab w:val="left" w:pos="432"/>
        </w:tabs>
        <w:jc w:val="both"/>
        <w:rPr>
          <w:rFonts w:ascii="Verdana" w:hAnsi="Verdana"/>
          <w:b/>
          <w:sz w:val="16"/>
          <w:szCs w:val="16"/>
        </w:rPr>
      </w:pPr>
      <w:r w:rsidRPr="00C6329F">
        <w:rPr>
          <w:rStyle w:val="Refdenotaalpie"/>
          <w:rFonts w:ascii="Verdana" w:hAnsi="Verdana" w:cs="Arial"/>
          <w:sz w:val="16"/>
          <w:szCs w:val="16"/>
        </w:rPr>
        <w:footnoteRef/>
      </w:r>
      <w:r w:rsidR="00FE4018" w:rsidRPr="00C6329F">
        <w:rPr>
          <w:rFonts w:ascii="Verdana" w:hAnsi="Verdana" w:cs="Arial"/>
          <w:sz w:val="16"/>
          <w:szCs w:val="16"/>
        </w:rPr>
        <w:tab/>
      </w:r>
      <w:r w:rsidRPr="00C6329F">
        <w:rPr>
          <w:rFonts w:ascii="Verdana" w:hAnsi="Verdana" w:cs="Arial"/>
          <w:i/>
          <w:sz w:val="16"/>
          <w:szCs w:val="16"/>
        </w:rPr>
        <w:t>Cfr.</w:t>
      </w:r>
      <w:r w:rsidRPr="00C6329F">
        <w:rPr>
          <w:rFonts w:ascii="Verdana" w:hAnsi="Verdana" w:cs="Arial"/>
          <w:sz w:val="16"/>
          <w:szCs w:val="16"/>
        </w:rPr>
        <w:t xml:space="preserve"> Copia </w:t>
      </w:r>
      <w:r w:rsidR="00231F0A" w:rsidRPr="00C6329F">
        <w:rPr>
          <w:rFonts w:ascii="Verdana" w:hAnsi="Verdana" w:cs="Arial"/>
          <w:sz w:val="16"/>
          <w:szCs w:val="16"/>
        </w:rPr>
        <w:t xml:space="preserve">de la publicación realizada en el </w:t>
      </w:r>
      <w:r w:rsidRPr="00C6329F">
        <w:rPr>
          <w:rFonts w:ascii="Verdana" w:hAnsi="Verdana" w:cs="Arial"/>
          <w:sz w:val="16"/>
          <w:szCs w:val="16"/>
        </w:rPr>
        <w:t xml:space="preserve">del </w:t>
      </w:r>
      <w:r w:rsidR="00CA2953" w:rsidRPr="00C6329F">
        <w:rPr>
          <w:rFonts w:ascii="Verdana" w:hAnsi="Verdana" w:cs="Arial"/>
          <w:sz w:val="16"/>
          <w:szCs w:val="16"/>
        </w:rPr>
        <w:t>D</w:t>
      </w:r>
      <w:r w:rsidRPr="00C6329F">
        <w:rPr>
          <w:rFonts w:ascii="Verdana" w:hAnsi="Verdana" w:cs="Arial"/>
          <w:sz w:val="16"/>
          <w:szCs w:val="16"/>
        </w:rPr>
        <w:t xml:space="preserve">iario “Prensa Libre” de 20 de octubre de 2016, págs. 26 y 27 (Anexo al informe estatal de </w:t>
      </w:r>
      <w:r w:rsidR="00866187" w:rsidRPr="00C6329F">
        <w:rPr>
          <w:rFonts w:ascii="Verdana" w:hAnsi="Verdana" w:cs="Arial"/>
          <w:sz w:val="16"/>
          <w:szCs w:val="16"/>
        </w:rPr>
        <w:t>24</w:t>
      </w:r>
      <w:r w:rsidR="004F3473" w:rsidRPr="00C6329F">
        <w:rPr>
          <w:rFonts w:ascii="Verdana" w:hAnsi="Verdana" w:cs="Arial"/>
          <w:sz w:val="16"/>
          <w:szCs w:val="16"/>
        </w:rPr>
        <w:t xml:space="preserve"> de </w:t>
      </w:r>
      <w:r w:rsidRPr="00C6329F">
        <w:rPr>
          <w:rFonts w:ascii="Verdana" w:hAnsi="Verdana" w:cs="Arial"/>
          <w:sz w:val="16"/>
          <w:szCs w:val="16"/>
        </w:rPr>
        <w:t>octubre de</w:t>
      </w:r>
      <w:r w:rsidRPr="00C6329F">
        <w:rPr>
          <w:rFonts w:ascii="Verdana" w:hAnsi="Verdana"/>
          <w:sz w:val="16"/>
          <w:szCs w:val="16"/>
        </w:rPr>
        <w:t xml:space="preserve"> 2016).</w:t>
      </w:r>
    </w:p>
  </w:footnote>
  <w:footnote w:id="14">
    <w:p w14:paraId="373A0310" w14:textId="3A455E0E" w:rsidR="00C24273" w:rsidRPr="00C6329F" w:rsidRDefault="00C24273" w:rsidP="00FF3984">
      <w:pPr>
        <w:pStyle w:val="Textonotapie"/>
        <w:tabs>
          <w:tab w:val="left" w:pos="432"/>
        </w:tabs>
        <w:jc w:val="both"/>
        <w:rPr>
          <w:rFonts w:ascii="Verdana" w:hAnsi="Verdana"/>
          <w:sz w:val="16"/>
          <w:szCs w:val="16"/>
        </w:rPr>
      </w:pPr>
      <w:r w:rsidRPr="00C6329F">
        <w:rPr>
          <w:rStyle w:val="Refdenotaalpie"/>
          <w:rFonts w:ascii="Verdana" w:hAnsi="Verdana"/>
          <w:sz w:val="16"/>
          <w:szCs w:val="16"/>
        </w:rPr>
        <w:footnoteRef/>
      </w:r>
      <w:r w:rsidR="00FE4018" w:rsidRPr="00C6329F">
        <w:rPr>
          <w:rFonts w:ascii="Verdana" w:hAnsi="Verdana"/>
          <w:sz w:val="16"/>
          <w:szCs w:val="16"/>
        </w:rPr>
        <w:tab/>
      </w:r>
      <w:r w:rsidR="00F51E81" w:rsidRPr="00C6329F">
        <w:rPr>
          <w:rFonts w:ascii="Verdana" w:hAnsi="Verdana"/>
          <w:sz w:val="16"/>
          <w:szCs w:val="16"/>
        </w:rPr>
        <w:t xml:space="preserve">El </w:t>
      </w:r>
      <w:r w:rsidRPr="00C6329F">
        <w:rPr>
          <w:rFonts w:ascii="Verdana" w:hAnsi="Verdana"/>
          <w:sz w:val="16"/>
          <w:szCs w:val="16"/>
        </w:rPr>
        <w:t xml:space="preserve">enlace </w:t>
      </w:r>
      <w:r w:rsidR="00231F0A" w:rsidRPr="00C6329F">
        <w:rPr>
          <w:rFonts w:ascii="Verdana" w:hAnsi="Verdana"/>
          <w:sz w:val="16"/>
          <w:szCs w:val="16"/>
        </w:rPr>
        <w:t>proporcionado por</w:t>
      </w:r>
      <w:r w:rsidRPr="00C6329F">
        <w:rPr>
          <w:rFonts w:ascii="Verdana" w:hAnsi="Verdana"/>
          <w:sz w:val="16"/>
          <w:szCs w:val="16"/>
        </w:rPr>
        <w:t xml:space="preserve"> el Estado </w:t>
      </w:r>
      <w:r w:rsidR="00231F0A" w:rsidRPr="00C6329F">
        <w:rPr>
          <w:rFonts w:ascii="Verdana" w:hAnsi="Verdana"/>
          <w:sz w:val="16"/>
          <w:szCs w:val="16"/>
        </w:rPr>
        <w:t>es</w:t>
      </w:r>
      <w:r w:rsidRPr="00C6329F">
        <w:rPr>
          <w:rFonts w:ascii="Verdana" w:hAnsi="Verdana"/>
          <w:sz w:val="16"/>
          <w:szCs w:val="16"/>
        </w:rPr>
        <w:t>:</w:t>
      </w:r>
      <w:r w:rsidR="00CA2953" w:rsidRPr="00C6329F">
        <w:rPr>
          <w:rFonts w:ascii="Verdana" w:hAnsi="Verdana"/>
          <w:sz w:val="16"/>
          <w:szCs w:val="16"/>
        </w:rPr>
        <w:t xml:space="preserve"> </w:t>
      </w:r>
      <w:hyperlink r:id="rId5" w:history="1">
        <w:r w:rsidRPr="00C6329F">
          <w:rPr>
            <w:rStyle w:val="Hipervnculo"/>
            <w:rFonts w:ascii="Verdana" w:hAnsi="Verdana"/>
            <w:sz w:val="16"/>
            <w:szCs w:val="16"/>
          </w:rPr>
          <w:t>http://copredeh.gob.gt/wp-content/uploads/Gudiel-Alvarez-y-otros-Fondo-Costas-y-Reparaciones.pdf</w:t>
        </w:r>
      </w:hyperlink>
      <w:r w:rsidRPr="00C6329F">
        <w:rPr>
          <w:rFonts w:ascii="Verdana" w:hAnsi="Verdana"/>
          <w:sz w:val="16"/>
          <w:szCs w:val="16"/>
        </w:rPr>
        <w:t xml:space="preserve">. </w:t>
      </w:r>
      <w:r w:rsidR="00FB73DB" w:rsidRPr="00C6329F">
        <w:rPr>
          <w:rFonts w:ascii="Verdana" w:hAnsi="Verdana"/>
          <w:i/>
          <w:sz w:val="16"/>
          <w:szCs w:val="16"/>
        </w:rPr>
        <w:t>Cfr.</w:t>
      </w:r>
      <w:r w:rsidR="00FB73DB" w:rsidRPr="00C6329F">
        <w:rPr>
          <w:rFonts w:ascii="Verdana" w:hAnsi="Verdana"/>
          <w:sz w:val="16"/>
          <w:szCs w:val="16"/>
        </w:rPr>
        <w:t xml:space="preserve"> Informe estatal de 23 de febrero de 2017. </w:t>
      </w:r>
      <w:r w:rsidRPr="00C6329F">
        <w:rPr>
          <w:rFonts w:ascii="Verdana" w:hAnsi="Verdana"/>
          <w:sz w:val="16"/>
          <w:szCs w:val="16"/>
        </w:rPr>
        <w:t xml:space="preserve">Asimismo, la última vez que la mencionada página fue visitada se pudo constatar que la Sentencia </w:t>
      </w:r>
      <w:r w:rsidR="00231F0A" w:rsidRPr="00C6329F">
        <w:rPr>
          <w:rFonts w:ascii="Verdana" w:hAnsi="Verdana"/>
          <w:sz w:val="16"/>
          <w:szCs w:val="16"/>
        </w:rPr>
        <w:t xml:space="preserve">estaba </w:t>
      </w:r>
      <w:r w:rsidRPr="00C6329F">
        <w:rPr>
          <w:rFonts w:ascii="Verdana" w:hAnsi="Verdana"/>
          <w:sz w:val="16"/>
          <w:szCs w:val="16"/>
        </w:rPr>
        <w:t xml:space="preserve">disponible en el referido enlace (visitada por última vez el </w:t>
      </w:r>
      <w:r w:rsidR="002B680D" w:rsidRPr="00C6329F">
        <w:rPr>
          <w:rFonts w:ascii="Verdana" w:hAnsi="Verdana"/>
          <w:sz w:val="16"/>
          <w:szCs w:val="16"/>
        </w:rPr>
        <w:t>4 de octubre de 2019</w:t>
      </w:r>
      <w:r w:rsidRPr="00C6329F">
        <w:rPr>
          <w:rFonts w:ascii="Verdana" w:hAnsi="Verdana"/>
          <w:sz w:val="16"/>
          <w:szCs w:val="16"/>
        </w:rPr>
        <w:t xml:space="preserve">). </w:t>
      </w:r>
    </w:p>
  </w:footnote>
  <w:footnote w:id="15">
    <w:p w14:paraId="48C35092" w14:textId="12361CD3" w:rsidR="00737399" w:rsidRPr="00C6329F" w:rsidRDefault="00737399" w:rsidP="00FF3984">
      <w:pPr>
        <w:pStyle w:val="Textonotapie"/>
        <w:tabs>
          <w:tab w:val="left" w:pos="432"/>
        </w:tabs>
        <w:jc w:val="both"/>
        <w:rPr>
          <w:rFonts w:ascii="Verdana" w:hAnsi="Verdana"/>
          <w:sz w:val="16"/>
          <w:szCs w:val="16"/>
        </w:rPr>
      </w:pPr>
      <w:r w:rsidRPr="00C6329F">
        <w:rPr>
          <w:rStyle w:val="Refdenotaalpie"/>
          <w:rFonts w:ascii="Verdana" w:hAnsi="Verdana"/>
          <w:sz w:val="16"/>
          <w:szCs w:val="16"/>
        </w:rPr>
        <w:footnoteRef/>
      </w:r>
      <w:r w:rsidR="00231F0A" w:rsidRPr="00C6329F">
        <w:rPr>
          <w:rFonts w:ascii="Verdana" w:hAnsi="Verdana"/>
          <w:sz w:val="16"/>
          <w:szCs w:val="16"/>
        </w:rPr>
        <w:tab/>
      </w:r>
      <w:r w:rsidRPr="00C6329F">
        <w:rPr>
          <w:rFonts w:ascii="Verdana" w:hAnsi="Verdana"/>
          <w:sz w:val="16"/>
          <w:szCs w:val="16"/>
        </w:rPr>
        <w:t>En el párrafo 363, la Corte fijó individualmente los siguientes montos en dólares de los Estados Unidos de América por concepto de ingresos dejados de percibir: i) USD $118</w:t>
      </w:r>
      <w:r w:rsidR="001760DF" w:rsidRPr="00C6329F">
        <w:rPr>
          <w:rFonts w:ascii="Verdana" w:hAnsi="Verdana"/>
          <w:sz w:val="16"/>
          <w:szCs w:val="16"/>
        </w:rPr>
        <w:t>,</w:t>
      </w:r>
      <w:r w:rsidRPr="00C6329F">
        <w:rPr>
          <w:rFonts w:ascii="Verdana" w:hAnsi="Verdana"/>
          <w:sz w:val="16"/>
          <w:szCs w:val="16"/>
        </w:rPr>
        <w:t>027</w:t>
      </w:r>
      <w:r w:rsidR="001760DF" w:rsidRPr="00C6329F">
        <w:rPr>
          <w:rFonts w:ascii="Verdana" w:hAnsi="Verdana"/>
          <w:sz w:val="16"/>
          <w:szCs w:val="16"/>
        </w:rPr>
        <w:t>.</w:t>
      </w:r>
      <w:r w:rsidRPr="00C6329F">
        <w:rPr>
          <w:rFonts w:ascii="Verdana" w:hAnsi="Verdana"/>
          <w:sz w:val="16"/>
          <w:szCs w:val="16"/>
        </w:rPr>
        <w:t xml:space="preserve">00 a favor de José Miguel Gudiel Álvarez; </w:t>
      </w:r>
      <w:proofErr w:type="spellStart"/>
      <w:r w:rsidRPr="00C6329F">
        <w:rPr>
          <w:rFonts w:ascii="Verdana" w:hAnsi="Verdana"/>
          <w:sz w:val="16"/>
          <w:szCs w:val="16"/>
        </w:rPr>
        <w:t>ii</w:t>
      </w:r>
      <w:proofErr w:type="spellEnd"/>
      <w:r w:rsidRPr="00C6329F">
        <w:rPr>
          <w:rFonts w:ascii="Verdana" w:hAnsi="Verdana"/>
          <w:sz w:val="16"/>
          <w:szCs w:val="16"/>
        </w:rPr>
        <w:t>) USD $284</w:t>
      </w:r>
      <w:r w:rsidR="001760DF" w:rsidRPr="00C6329F">
        <w:rPr>
          <w:rFonts w:ascii="Verdana" w:hAnsi="Verdana"/>
          <w:sz w:val="16"/>
          <w:szCs w:val="16"/>
        </w:rPr>
        <w:t>,</w:t>
      </w:r>
      <w:r w:rsidRPr="00C6329F">
        <w:rPr>
          <w:rFonts w:ascii="Verdana" w:hAnsi="Verdana"/>
          <w:sz w:val="16"/>
          <w:szCs w:val="16"/>
        </w:rPr>
        <w:t>779</w:t>
      </w:r>
      <w:r w:rsidR="001760DF" w:rsidRPr="00C6329F">
        <w:rPr>
          <w:rFonts w:ascii="Verdana" w:hAnsi="Verdana"/>
          <w:sz w:val="16"/>
          <w:szCs w:val="16"/>
        </w:rPr>
        <w:t>.</w:t>
      </w:r>
      <w:r w:rsidRPr="00C6329F">
        <w:rPr>
          <w:rFonts w:ascii="Verdana" w:hAnsi="Verdana"/>
          <w:sz w:val="16"/>
          <w:szCs w:val="16"/>
        </w:rPr>
        <w:t xml:space="preserve">00 a favor de Orencio Sosa Calderón; </w:t>
      </w:r>
      <w:proofErr w:type="spellStart"/>
      <w:r w:rsidRPr="00C6329F">
        <w:rPr>
          <w:rFonts w:ascii="Verdana" w:hAnsi="Verdana"/>
          <w:sz w:val="16"/>
          <w:szCs w:val="16"/>
        </w:rPr>
        <w:t>iii</w:t>
      </w:r>
      <w:proofErr w:type="spellEnd"/>
      <w:r w:rsidRPr="00C6329F">
        <w:rPr>
          <w:rFonts w:ascii="Verdana" w:hAnsi="Verdana"/>
          <w:sz w:val="16"/>
          <w:szCs w:val="16"/>
        </w:rPr>
        <w:t>) USD $63</w:t>
      </w:r>
      <w:r w:rsidR="001760DF" w:rsidRPr="00C6329F">
        <w:rPr>
          <w:rFonts w:ascii="Verdana" w:hAnsi="Verdana"/>
          <w:sz w:val="16"/>
          <w:szCs w:val="16"/>
        </w:rPr>
        <w:t>,</w:t>
      </w:r>
      <w:r w:rsidRPr="00C6329F">
        <w:rPr>
          <w:rFonts w:ascii="Verdana" w:hAnsi="Verdana"/>
          <w:sz w:val="16"/>
          <w:szCs w:val="16"/>
        </w:rPr>
        <w:t>494</w:t>
      </w:r>
      <w:r w:rsidR="001760DF" w:rsidRPr="00C6329F">
        <w:rPr>
          <w:rFonts w:ascii="Verdana" w:hAnsi="Verdana"/>
          <w:sz w:val="16"/>
          <w:szCs w:val="16"/>
        </w:rPr>
        <w:t>.</w:t>
      </w:r>
      <w:r w:rsidRPr="00C6329F">
        <w:rPr>
          <w:rFonts w:ascii="Verdana" w:hAnsi="Verdana"/>
          <w:sz w:val="16"/>
          <w:szCs w:val="16"/>
        </w:rPr>
        <w:t xml:space="preserve">00 a favor de Oscar Eduardo Barillas Barrientos; </w:t>
      </w:r>
      <w:proofErr w:type="spellStart"/>
      <w:r w:rsidRPr="00C6329F">
        <w:rPr>
          <w:rFonts w:ascii="Verdana" w:hAnsi="Verdana"/>
          <w:sz w:val="16"/>
          <w:szCs w:val="16"/>
        </w:rPr>
        <w:t>iv</w:t>
      </w:r>
      <w:proofErr w:type="spellEnd"/>
      <w:r w:rsidRPr="00C6329F">
        <w:rPr>
          <w:rFonts w:ascii="Verdana" w:hAnsi="Verdana"/>
          <w:sz w:val="16"/>
          <w:szCs w:val="16"/>
        </w:rPr>
        <w:t>) USD $86</w:t>
      </w:r>
      <w:r w:rsidR="001760DF" w:rsidRPr="00C6329F">
        <w:rPr>
          <w:rFonts w:ascii="Verdana" w:hAnsi="Verdana"/>
          <w:sz w:val="16"/>
          <w:szCs w:val="16"/>
        </w:rPr>
        <w:t>,</w:t>
      </w:r>
      <w:r w:rsidRPr="00C6329F">
        <w:rPr>
          <w:rFonts w:ascii="Verdana" w:hAnsi="Verdana"/>
          <w:sz w:val="16"/>
          <w:szCs w:val="16"/>
        </w:rPr>
        <w:t>816</w:t>
      </w:r>
      <w:r w:rsidR="001760DF" w:rsidRPr="00C6329F">
        <w:rPr>
          <w:rFonts w:ascii="Verdana" w:hAnsi="Verdana"/>
          <w:sz w:val="16"/>
          <w:szCs w:val="16"/>
        </w:rPr>
        <w:t>.</w:t>
      </w:r>
      <w:r w:rsidRPr="00C6329F">
        <w:rPr>
          <w:rFonts w:ascii="Verdana" w:hAnsi="Verdana"/>
          <w:sz w:val="16"/>
          <w:szCs w:val="16"/>
        </w:rPr>
        <w:t>00 a favor de José Porfirio Hernández Bonilla; v) USD $122</w:t>
      </w:r>
      <w:r w:rsidR="001760DF" w:rsidRPr="00C6329F">
        <w:rPr>
          <w:rFonts w:ascii="Verdana" w:hAnsi="Verdana"/>
          <w:sz w:val="16"/>
          <w:szCs w:val="16"/>
        </w:rPr>
        <w:t>,</w:t>
      </w:r>
      <w:r w:rsidRPr="00C6329F">
        <w:rPr>
          <w:rFonts w:ascii="Verdana" w:hAnsi="Verdana"/>
          <w:sz w:val="16"/>
          <w:szCs w:val="16"/>
        </w:rPr>
        <w:t>582</w:t>
      </w:r>
      <w:r w:rsidR="001760DF" w:rsidRPr="00C6329F">
        <w:rPr>
          <w:rFonts w:ascii="Verdana" w:hAnsi="Verdana"/>
          <w:sz w:val="16"/>
          <w:szCs w:val="16"/>
        </w:rPr>
        <w:t>.</w:t>
      </w:r>
      <w:r w:rsidRPr="00C6329F">
        <w:rPr>
          <w:rFonts w:ascii="Verdana" w:hAnsi="Verdana"/>
          <w:sz w:val="16"/>
          <w:szCs w:val="16"/>
        </w:rPr>
        <w:t>00 a favor de Octavio René Guzmán Castañeda; vi) USD $105</w:t>
      </w:r>
      <w:r w:rsidR="001760DF" w:rsidRPr="00C6329F">
        <w:rPr>
          <w:rFonts w:ascii="Verdana" w:hAnsi="Verdana"/>
          <w:sz w:val="16"/>
          <w:szCs w:val="16"/>
        </w:rPr>
        <w:t>,</w:t>
      </w:r>
      <w:r w:rsidRPr="00C6329F">
        <w:rPr>
          <w:rFonts w:ascii="Verdana" w:hAnsi="Verdana"/>
          <w:sz w:val="16"/>
          <w:szCs w:val="16"/>
        </w:rPr>
        <w:t>192</w:t>
      </w:r>
      <w:r w:rsidR="001760DF" w:rsidRPr="00C6329F">
        <w:rPr>
          <w:rFonts w:ascii="Verdana" w:hAnsi="Verdana"/>
          <w:sz w:val="16"/>
          <w:szCs w:val="16"/>
        </w:rPr>
        <w:t>.</w:t>
      </w:r>
      <w:r w:rsidRPr="00C6329F">
        <w:rPr>
          <w:rFonts w:ascii="Verdana" w:hAnsi="Verdana"/>
          <w:sz w:val="16"/>
          <w:szCs w:val="16"/>
        </w:rPr>
        <w:t xml:space="preserve">00 a favor de Álvaro Zacarías Calvo Pérez; </w:t>
      </w:r>
      <w:r w:rsidR="00A034C7" w:rsidRPr="00C6329F">
        <w:rPr>
          <w:rFonts w:ascii="Verdana" w:hAnsi="Verdana"/>
          <w:sz w:val="16"/>
          <w:szCs w:val="16"/>
        </w:rPr>
        <w:t xml:space="preserve">vii) </w:t>
      </w:r>
      <w:r w:rsidRPr="00C6329F">
        <w:rPr>
          <w:rFonts w:ascii="Verdana" w:hAnsi="Verdana"/>
          <w:sz w:val="16"/>
          <w:szCs w:val="16"/>
        </w:rPr>
        <w:t>USD $107</w:t>
      </w:r>
      <w:r w:rsidR="001760DF" w:rsidRPr="00C6329F">
        <w:rPr>
          <w:rFonts w:ascii="Verdana" w:hAnsi="Verdana"/>
          <w:sz w:val="16"/>
          <w:szCs w:val="16"/>
        </w:rPr>
        <w:t>,</w:t>
      </w:r>
      <w:r w:rsidRPr="00C6329F">
        <w:rPr>
          <w:rFonts w:ascii="Verdana" w:hAnsi="Verdana"/>
          <w:sz w:val="16"/>
          <w:szCs w:val="16"/>
        </w:rPr>
        <w:t>307</w:t>
      </w:r>
      <w:r w:rsidR="001760DF" w:rsidRPr="00C6329F">
        <w:rPr>
          <w:rFonts w:ascii="Verdana" w:hAnsi="Verdana"/>
          <w:sz w:val="16"/>
          <w:szCs w:val="16"/>
        </w:rPr>
        <w:t>.</w:t>
      </w:r>
      <w:r w:rsidRPr="00C6329F">
        <w:rPr>
          <w:rFonts w:ascii="Verdana" w:hAnsi="Verdana"/>
          <w:sz w:val="16"/>
          <w:szCs w:val="16"/>
        </w:rPr>
        <w:t>00 a favor de Víctor Manuel Calderón Díaz; viii) USD $23</w:t>
      </w:r>
      <w:r w:rsidR="001760DF" w:rsidRPr="00C6329F">
        <w:rPr>
          <w:rFonts w:ascii="Verdana" w:hAnsi="Verdana"/>
          <w:sz w:val="16"/>
          <w:szCs w:val="16"/>
        </w:rPr>
        <w:t>,</w:t>
      </w:r>
      <w:r w:rsidRPr="00C6329F">
        <w:rPr>
          <w:rFonts w:ascii="Verdana" w:hAnsi="Verdana"/>
          <w:sz w:val="16"/>
          <w:szCs w:val="16"/>
        </w:rPr>
        <w:t>922</w:t>
      </w:r>
      <w:r w:rsidR="001760DF" w:rsidRPr="00C6329F">
        <w:rPr>
          <w:rFonts w:ascii="Verdana" w:hAnsi="Verdana"/>
          <w:sz w:val="16"/>
          <w:szCs w:val="16"/>
        </w:rPr>
        <w:t>.</w:t>
      </w:r>
      <w:r w:rsidRPr="00C6329F">
        <w:rPr>
          <w:rFonts w:ascii="Verdana" w:hAnsi="Verdana"/>
          <w:sz w:val="16"/>
          <w:szCs w:val="16"/>
        </w:rPr>
        <w:t>00 a favor de Amancio Samuel Villatoro; ix) USD $35</w:t>
      </w:r>
      <w:r w:rsidR="001760DF" w:rsidRPr="00C6329F">
        <w:rPr>
          <w:rFonts w:ascii="Verdana" w:hAnsi="Verdana"/>
          <w:sz w:val="16"/>
          <w:szCs w:val="16"/>
        </w:rPr>
        <w:t>,</w:t>
      </w:r>
      <w:r w:rsidRPr="00C6329F">
        <w:rPr>
          <w:rFonts w:ascii="Verdana" w:hAnsi="Verdana"/>
          <w:sz w:val="16"/>
          <w:szCs w:val="16"/>
        </w:rPr>
        <w:t>367</w:t>
      </w:r>
      <w:r w:rsidR="001760DF" w:rsidRPr="00C6329F">
        <w:rPr>
          <w:rFonts w:ascii="Verdana" w:hAnsi="Verdana"/>
          <w:sz w:val="16"/>
          <w:szCs w:val="16"/>
        </w:rPr>
        <w:t>.</w:t>
      </w:r>
      <w:r w:rsidRPr="00C6329F">
        <w:rPr>
          <w:rFonts w:ascii="Verdana" w:hAnsi="Verdana"/>
          <w:sz w:val="16"/>
          <w:szCs w:val="16"/>
        </w:rPr>
        <w:t>00 a favor de Alfonso Alvarado Palencia; x) USD $135</w:t>
      </w:r>
      <w:r w:rsidR="001760DF" w:rsidRPr="00C6329F">
        <w:rPr>
          <w:rFonts w:ascii="Verdana" w:hAnsi="Verdana"/>
          <w:sz w:val="16"/>
          <w:szCs w:val="16"/>
        </w:rPr>
        <w:t>,</w:t>
      </w:r>
      <w:r w:rsidRPr="00C6329F">
        <w:rPr>
          <w:rFonts w:ascii="Verdana" w:hAnsi="Verdana"/>
          <w:sz w:val="16"/>
          <w:szCs w:val="16"/>
        </w:rPr>
        <w:t>990</w:t>
      </w:r>
      <w:r w:rsidR="001760DF" w:rsidRPr="00C6329F">
        <w:rPr>
          <w:rFonts w:ascii="Verdana" w:hAnsi="Verdana"/>
          <w:sz w:val="16"/>
          <w:szCs w:val="16"/>
        </w:rPr>
        <w:t>.</w:t>
      </w:r>
      <w:r w:rsidRPr="00C6329F">
        <w:rPr>
          <w:rFonts w:ascii="Verdana" w:hAnsi="Verdana"/>
          <w:sz w:val="16"/>
          <w:szCs w:val="16"/>
        </w:rPr>
        <w:t xml:space="preserve">00 a favor de Manuel Ismael </w:t>
      </w:r>
      <w:proofErr w:type="spellStart"/>
      <w:r w:rsidRPr="00C6329F">
        <w:rPr>
          <w:rFonts w:ascii="Verdana" w:hAnsi="Verdana"/>
          <w:sz w:val="16"/>
          <w:szCs w:val="16"/>
        </w:rPr>
        <w:t>Salanic</w:t>
      </w:r>
      <w:proofErr w:type="spellEnd"/>
      <w:r w:rsidRPr="00C6329F">
        <w:rPr>
          <w:rFonts w:ascii="Verdana" w:hAnsi="Verdana"/>
          <w:sz w:val="16"/>
          <w:szCs w:val="16"/>
        </w:rPr>
        <w:t xml:space="preserve"> </w:t>
      </w:r>
      <w:proofErr w:type="spellStart"/>
      <w:r w:rsidRPr="00C6329F">
        <w:rPr>
          <w:rFonts w:ascii="Verdana" w:hAnsi="Verdana"/>
          <w:sz w:val="16"/>
          <w:szCs w:val="16"/>
        </w:rPr>
        <w:t>Chiguil</w:t>
      </w:r>
      <w:proofErr w:type="spellEnd"/>
      <w:r w:rsidRPr="00C6329F">
        <w:rPr>
          <w:rFonts w:ascii="Verdana" w:hAnsi="Verdana"/>
          <w:sz w:val="16"/>
          <w:szCs w:val="16"/>
        </w:rPr>
        <w:t>; xi) USD $141</w:t>
      </w:r>
      <w:r w:rsidR="001760DF" w:rsidRPr="00C6329F">
        <w:rPr>
          <w:rFonts w:ascii="Verdana" w:hAnsi="Verdana"/>
          <w:sz w:val="16"/>
          <w:szCs w:val="16"/>
        </w:rPr>
        <w:t>,</w:t>
      </w:r>
      <w:r w:rsidRPr="00C6329F">
        <w:rPr>
          <w:rFonts w:ascii="Verdana" w:hAnsi="Verdana"/>
          <w:sz w:val="16"/>
          <w:szCs w:val="16"/>
        </w:rPr>
        <w:t>604</w:t>
      </w:r>
      <w:r w:rsidR="001760DF" w:rsidRPr="00C6329F">
        <w:rPr>
          <w:rFonts w:ascii="Verdana" w:hAnsi="Verdana"/>
          <w:sz w:val="16"/>
          <w:szCs w:val="16"/>
        </w:rPr>
        <w:t>.</w:t>
      </w:r>
      <w:r w:rsidRPr="00C6329F">
        <w:rPr>
          <w:rFonts w:ascii="Verdana" w:hAnsi="Verdana"/>
          <w:sz w:val="16"/>
          <w:szCs w:val="16"/>
        </w:rPr>
        <w:t>00 a favor de Carlos Guillermo Ramírez Gálvez; xii) USD $401</w:t>
      </w:r>
      <w:r w:rsidR="001760DF" w:rsidRPr="00C6329F">
        <w:rPr>
          <w:rFonts w:ascii="Verdana" w:hAnsi="Verdana"/>
          <w:sz w:val="16"/>
          <w:szCs w:val="16"/>
        </w:rPr>
        <w:t>,</w:t>
      </w:r>
      <w:r w:rsidRPr="00C6329F">
        <w:rPr>
          <w:rFonts w:ascii="Verdana" w:hAnsi="Verdana"/>
          <w:sz w:val="16"/>
          <w:szCs w:val="16"/>
        </w:rPr>
        <w:t>622</w:t>
      </w:r>
      <w:r w:rsidR="001760DF" w:rsidRPr="00C6329F">
        <w:rPr>
          <w:rFonts w:ascii="Verdana" w:hAnsi="Verdana"/>
          <w:sz w:val="16"/>
          <w:szCs w:val="16"/>
        </w:rPr>
        <w:t>.</w:t>
      </w:r>
      <w:r w:rsidRPr="00C6329F">
        <w:rPr>
          <w:rFonts w:ascii="Verdana" w:hAnsi="Verdana"/>
          <w:sz w:val="16"/>
          <w:szCs w:val="16"/>
        </w:rPr>
        <w:t>00 a favor de Sergio Saúl Linares Morales; xiii) USD $2</w:t>
      </w:r>
      <w:r w:rsidR="001760DF" w:rsidRPr="00C6329F">
        <w:rPr>
          <w:rFonts w:ascii="Verdana" w:hAnsi="Verdana"/>
          <w:sz w:val="16"/>
          <w:szCs w:val="16"/>
        </w:rPr>
        <w:t>,</w:t>
      </w:r>
      <w:r w:rsidRPr="00C6329F">
        <w:rPr>
          <w:rFonts w:ascii="Verdana" w:hAnsi="Verdana"/>
          <w:sz w:val="16"/>
          <w:szCs w:val="16"/>
        </w:rPr>
        <w:t>635</w:t>
      </w:r>
      <w:r w:rsidR="001760DF" w:rsidRPr="00C6329F">
        <w:rPr>
          <w:rFonts w:ascii="Verdana" w:hAnsi="Verdana"/>
          <w:sz w:val="16"/>
          <w:szCs w:val="16"/>
        </w:rPr>
        <w:t>.</w:t>
      </w:r>
      <w:r w:rsidRPr="00C6329F">
        <w:rPr>
          <w:rFonts w:ascii="Verdana" w:hAnsi="Verdana"/>
          <w:sz w:val="16"/>
          <w:szCs w:val="16"/>
        </w:rPr>
        <w:t>00 a favor de Zoilo Canales Salazar; xiv) USD $57</w:t>
      </w:r>
      <w:r w:rsidR="001760DF" w:rsidRPr="00C6329F">
        <w:rPr>
          <w:rFonts w:ascii="Verdana" w:hAnsi="Verdana"/>
          <w:sz w:val="16"/>
          <w:szCs w:val="16"/>
        </w:rPr>
        <w:t>,</w:t>
      </w:r>
      <w:r w:rsidRPr="00C6329F">
        <w:rPr>
          <w:rFonts w:ascii="Verdana" w:hAnsi="Verdana"/>
          <w:sz w:val="16"/>
          <w:szCs w:val="16"/>
        </w:rPr>
        <w:t>329</w:t>
      </w:r>
      <w:r w:rsidR="001760DF" w:rsidRPr="00C6329F">
        <w:rPr>
          <w:rFonts w:ascii="Verdana" w:hAnsi="Verdana"/>
          <w:sz w:val="16"/>
          <w:szCs w:val="16"/>
        </w:rPr>
        <w:t>.</w:t>
      </w:r>
      <w:r w:rsidRPr="00C6329F">
        <w:rPr>
          <w:rFonts w:ascii="Verdana" w:hAnsi="Verdana"/>
          <w:sz w:val="16"/>
          <w:szCs w:val="16"/>
        </w:rPr>
        <w:t>00 a favor de Moisés Canales Godoy; xv) USD $44</w:t>
      </w:r>
      <w:r w:rsidR="001760DF" w:rsidRPr="00C6329F">
        <w:rPr>
          <w:rFonts w:ascii="Verdana" w:hAnsi="Verdana"/>
          <w:sz w:val="16"/>
          <w:szCs w:val="16"/>
        </w:rPr>
        <w:t>,</w:t>
      </w:r>
      <w:r w:rsidRPr="00C6329F">
        <w:rPr>
          <w:rFonts w:ascii="Verdana" w:hAnsi="Verdana"/>
          <w:sz w:val="16"/>
          <w:szCs w:val="16"/>
        </w:rPr>
        <w:t>859</w:t>
      </w:r>
      <w:r w:rsidR="001760DF" w:rsidRPr="00C6329F">
        <w:rPr>
          <w:rFonts w:ascii="Verdana" w:hAnsi="Verdana"/>
          <w:sz w:val="16"/>
          <w:szCs w:val="16"/>
        </w:rPr>
        <w:t>.</w:t>
      </w:r>
      <w:r w:rsidRPr="00C6329F">
        <w:rPr>
          <w:rFonts w:ascii="Verdana" w:hAnsi="Verdana"/>
          <w:sz w:val="16"/>
          <w:szCs w:val="16"/>
        </w:rPr>
        <w:t xml:space="preserve">00 a favor de Luz Haydée Méndez Calderón; </w:t>
      </w:r>
      <w:proofErr w:type="spellStart"/>
      <w:r w:rsidRPr="00C6329F">
        <w:rPr>
          <w:rFonts w:ascii="Verdana" w:hAnsi="Verdana"/>
          <w:sz w:val="16"/>
          <w:szCs w:val="16"/>
        </w:rPr>
        <w:t>xvi</w:t>
      </w:r>
      <w:proofErr w:type="spellEnd"/>
      <w:r w:rsidRPr="00C6329F">
        <w:rPr>
          <w:rFonts w:ascii="Verdana" w:hAnsi="Verdana"/>
          <w:sz w:val="16"/>
          <w:szCs w:val="16"/>
        </w:rPr>
        <w:t>) USD $99</w:t>
      </w:r>
      <w:r w:rsidR="001760DF" w:rsidRPr="00C6329F">
        <w:rPr>
          <w:rFonts w:ascii="Verdana" w:hAnsi="Verdana"/>
          <w:sz w:val="16"/>
          <w:szCs w:val="16"/>
        </w:rPr>
        <w:t>,</w:t>
      </w:r>
      <w:r w:rsidRPr="00C6329F">
        <w:rPr>
          <w:rFonts w:ascii="Verdana" w:hAnsi="Verdana"/>
          <w:sz w:val="16"/>
          <w:szCs w:val="16"/>
        </w:rPr>
        <w:t>129</w:t>
      </w:r>
      <w:r w:rsidR="001760DF" w:rsidRPr="00C6329F">
        <w:rPr>
          <w:rFonts w:ascii="Verdana" w:hAnsi="Verdana"/>
          <w:sz w:val="16"/>
          <w:szCs w:val="16"/>
        </w:rPr>
        <w:t>.</w:t>
      </w:r>
      <w:r w:rsidRPr="00C6329F">
        <w:rPr>
          <w:rFonts w:ascii="Verdana" w:hAnsi="Verdana"/>
          <w:sz w:val="16"/>
          <w:szCs w:val="16"/>
        </w:rPr>
        <w:t xml:space="preserve">00 a favor de Juan Pablo </w:t>
      </w:r>
      <w:proofErr w:type="spellStart"/>
      <w:r w:rsidRPr="00C6329F">
        <w:rPr>
          <w:rFonts w:ascii="Verdana" w:hAnsi="Verdana"/>
          <w:sz w:val="16"/>
          <w:szCs w:val="16"/>
        </w:rPr>
        <w:t>Armira</w:t>
      </w:r>
      <w:proofErr w:type="spellEnd"/>
      <w:r w:rsidRPr="00C6329F">
        <w:rPr>
          <w:rFonts w:ascii="Verdana" w:hAnsi="Verdana"/>
          <w:sz w:val="16"/>
          <w:szCs w:val="16"/>
        </w:rPr>
        <w:t xml:space="preserve"> López; </w:t>
      </w:r>
      <w:proofErr w:type="spellStart"/>
      <w:r w:rsidRPr="00C6329F">
        <w:rPr>
          <w:rFonts w:ascii="Verdana" w:hAnsi="Verdana"/>
          <w:sz w:val="16"/>
          <w:szCs w:val="16"/>
        </w:rPr>
        <w:t>xvii</w:t>
      </w:r>
      <w:proofErr w:type="spellEnd"/>
      <w:r w:rsidRPr="00C6329F">
        <w:rPr>
          <w:rFonts w:ascii="Verdana" w:hAnsi="Verdana"/>
          <w:sz w:val="16"/>
          <w:szCs w:val="16"/>
        </w:rPr>
        <w:t>) USD $107</w:t>
      </w:r>
      <w:r w:rsidR="001760DF" w:rsidRPr="00C6329F">
        <w:rPr>
          <w:rFonts w:ascii="Verdana" w:hAnsi="Verdana"/>
          <w:sz w:val="16"/>
          <w:szCs w:val="16"/>
        </w:rPr>
        <w:t>,</w:t>
      </w:r>
      <w:r w:rsidRPr="00C6329F">
        <w:rPr>
          <w:rFonts w:ascii="Verdana" w:hAnsi="Verdana"/>
          <w:sz w:val="16"/>
          <w:szCs w:val="16"/>
        </w:rPr>
        <w:t>685</w:t>
      </w:r>
      <w:r w:rsidR="001760DF" w:rsidRPr="00C6329F">
        <w:rPr>
          <w:rFonts w:ascii="Verdana" w:hAnsi="Verdana"/>
          <w:sz w:val="16"/>
          <w:szCs w:val="16"/>
        </w:rPr>
        <w:t>.</w:t>
      </w:r>
      <w:r w:rsidRPr="00C6329F">
        <w:rPr>
          <w:rFonts w:ascii="Verdana" w:hAnsi="Verdana"/>
          <w:sz w:val="16"/>
          <w:szCs w:val="16"/>
        </w:rPr>
        <w:t xml:space="preserve">00 a favor de María Quirina </w:t>
      </w:r>
      <w:proofErr w:type="spellStart"/>
      <w:r w:rsidRPr="00C6329F">
        <w:rPr>
          <w:rFonts w:ascii="Verdana" w:hAnsi="Verdana"/>
          <w:sz w:val="16"/>
          <w:szCs w:val="16"/>
        </w:rPr>
        <w:t>Armira</w:t>
      </w:r>
      <w:proofErr w:type="spellEnd"/>
      <w:r w:rsidRPr="00C6329F">
        <w:rPr>
          <w:rFonts w:ascii="Verdana" w:hAnsi="Verdana"/>
          <w:sz w:val="16"/>
          <w:szCs w:val="16"/>
        </w:rPr>
        <w:t xml:space="preserve"> López; </w:t>
      </w:r>
      <w:proofErr w:type="spellStart"/>
      <w:r w:rsidRPr="00C6329F">
        <w:rPr>
          <w:rFonts w:ascii="Verdana" w:hAnsi="Verdana"/>
          <w:sz w:val="16"/>
          <w:szCs w:val="16"/>
        </w:rPr>
        <w:t>xviii</w:t>
      </w:r>
      <w:proofErr w:type="spellEnd"/>
      <w:r w:rsidRPr="00C6329F">
        <w:rPr>
          <w:rFonts w:ascii="Verdana" w:hAnsi="Verdana"/>
          <w:sz w:val="16"/>
          <w:szCs w:val="16"/>
        </w:rPr>
        <w:t>) USD $129</w:t>
      </w:r>
      <w:r w:rsidR="001760DF" w:rsidRPr="00C6329F">
        <w:rPr>
          <w:rFonts w:ascii="Verdana" w:hAnsi="Verdana"/>
          <w:sz w:val="16"/>
          <w:szCs w:val="16"/>
        </w:rPr>
        <w:t>,</w:t>
      </w:r>
      <w:r w:rsidRPr="00C6329F">
        <w:rPr>
          <w:rFonts w:ascii="Verdana" w:hAnsi="Verdana"/>
          <w:sz w:val="16"/>
          <w:szCs w:val="16"/>
        </w:rPr>
        <w:t>946</w:t>
      </w:r>
      <w:r w:rsidR="001760DF" w:rsidRPr="00C6329F">
        <w:rPr>
          <w:rFonts w:ascii="Verdana" w:hAnsi="Verdana"/>
          <w:sz w:val="16"/>
          <w:szCs w:val="16"/>
        </w:rPr>
        <w:t>.</w:t>
      </w:r>
      <w:r w:rsidRPr="00C6329F">
        <w:rPr>
          <w:rFonts w:ascii="Verdana" w:hAnsi="Verdana"/>
          <w:sz w:val="16"/>
          <w:szCs w:val="16"/>
        </w:rPr>
        <w:t>00 a favor de Lesbia Lucrecia García Escobar; xix) USD $60</w:t>
      </w:r>
      <w:r w:rsidR="001760DF" w:rsidRPr="00C6329F">
        <w:rPr>
          <w:rFonts w:ascii="Verdana" w:hAnsi="Verdana"/>
          <w:sz w:val="16"/>
          <w:szCs w:val="16"/>
        </w:rPr>
        <w:t>,</w:t>
      </w:r>
      <w:r w:rsidRPr="00C6329F">
        <w:rPr>
          <w:rFonts w:ascii="Verdana" w:hAnsi="Verdana"/>
          <w:sz w:val="16"/>
          <w:szCs w:val="16"/>
        </w:rPr>
        <w:t>915</w:t>
      </w:r>
      <w:r w:rsidR="001760DF" w:rsidRPr="00C6329F">
        <w:rPr>
          <w:rFonts w:ascii="Verdana" w:hAnsi="Verdana"/>
          <w:sz w:val="16"/>
          <w:szCs w:val="16"/>
        </w:rPr>
        <w:t>.</w:t>
      </w:r>
      <w:r w:rsidRPr="00C6329F">
        <w:rPr>
          <w:rFonts w:ascii="Verdana" w:hAnsi="Verdana"/>
          <w:sz w:val="16"/>
          <w:szCs w:val="16"/>
        </w:rPr>
        <w:t>00 a favor de Félix Estrada Mejía; xx) USD $83</w:t>
      </w:r>
      <w:r w:rsidR="001760DF" w:rsidRPr="00C6329F">
        <w:rPr>
          <w:rFonts w:ascii="Verdana" w:hAnsi="Verdana"/>
          <w:sz w:val="16"/>
          <w:szCs w:val="16"/>
        </w:rPr>
        <w:t>,</w:t>
      </w:r>
      <w:r w:rsidRPr="00C6329F">
        <w:rPr>
          <w:rFonts w:ascii="Verdana" w:hAnsi="Verdana"/>
          <w:sz w:val="16"/>
          <w:szCs w:val="16"/>
        </w:rPr>
        <w:t>211</w:t>
      </w:r>
      <w:r w:rsidR="001760DF" w:rsidRPr="00C6329F">
        <w:rPr>
          <w:rFonts w:ascii="Verdana" w:hAnsi="Verdana"/>
          <w:sz w:val="16"/>
          <w:szCs w:val="16"/>
        </w:rPr>
        <w:t>.</w:t>
      </w:r>
      <w:r w:rsidRPr="00C6329F">
        <w:rPr>
          <w:rFonts w:ascii="Verdana" w:hAnsi="Verdana"/>
          <w:sz w:val="16"/>
          <w:szCs w:val="16"/>
        </w:rPr>
        <w:t xml:space="preserve">00 a favor de Otto René Estrada Illescas; </w:t>
      </w:r>
      <w:proofErr w:type="spellStart"/>
      <w:r w:rsidRPr="00C6329F">
        <w:rPr>
          <w:rFonts w:ascii="Verdana" w:hAnsi="Verdana"/>
          <w:sz w:val="16"/>
          <w:szCs w:val="16"/>
        </w:rPr>
        <w:t>xxi</w:t>
      </w:r>
      <w:proofErr w:type="spellEnd"/>
      <w:r w:rsidRPr="00C6329F">
        <w:rPr>
          <w:rFonts w:ascii="Verdana" w:hAnsi="Verdana"/>
          <w:sz w:val="16"/>
          <w:szCs w:val="16"/>
        </w:rPr>
        <w:t>) USD $59</w:t>
      </w:r>
      <w:r w:rsidR="001760DF" w:rsidRPr="00C6329F">
        <w:rPr>
          <w:rFonts w:ascii="Verdana" w:hAnsi="Verdana"/>
          <w:sz w:val="16"/>
          <w:szCs w:val="16"/>
        </w:rPr>
        <w:t>,</w:t>
      </w:r>
      <w:r w:rsidRPr="00C6329F">
        <w:rPr>
          <w:rFonts w:ascii="Verdana" w:hAnsi="Verdana"/>
          <w:sz w:val="16"/>
          <w:szCs w:val="16"/>
        </w:rPr>
        <w:t>643</w:t>
      </w:r>
      <w:r w:rsidR="001760DF" w:rsidRPr="00C6329F">
        <w:rPr>
          <w:rFonts w:ascii="Verdana" w:hAnsi="Verdana"/>
          <w:sz w:val="16"/>
          <w:szCs w:val="16"/>
        </w:rPr>
        <w:t>.</w:t>
      </w:r>
      <w:r w:rsidRPr="00C6329F">
        <w:rPr>
          <w:rFonts w:ascii="Verdana" w:hAnsi="Verdana"/>
          <w:sz w:val="16"/>
          <w:szCs w:val="16"/>
        </w:rPr>
        <w:t xml:space="preserve">00 a favor de Julio Alberto Estrada Illescas; </w:t>
      </w:r>
      <w:proofErr w:type="spellStart"/>
      <w:r w:rsidRPr="00C6329F">
        <w:rPr>
          <w:rFonts w:ascii="Verdana" w:hAnsi="Verdana"/>
          <w:sz w:val="16"/>
          <w:szCs w:val="16"/>
        </w:rPr>
        <w:t>xxii</w:t>
      </w:r>
      <w:proofErr w:type="spellEnd"/>
      <w:r w:rsidRPr="00C6329F">
        <w:rPr>
          <w:rFonts w:ascii="Verdana" w:hAnsi="Verdana"/>
          <w:sz w:val="16"/>
          <w:szCs w:val="16"/>
        </w:rPr>
        <w:t>) USD $122</w:t>
      </w:r>
      <w:r w:rsidR="001760DF" w:rsidRPr="00C6329F">
        <w:rPr>
          <w:rFonts w:ascii="Verdana" w:hAnsi="Verdana"/>
          <w:sz w:val="16"/>
          <w:szCs w:val="16"/>
        </w:rPr>
        <w:t>,</w:t>
      </w:r>
      <w:r w:rsidRPr="00C6329F">
        <w:rPr>
          <w:rFonts w:ascii="Verdana" w:hAnsi="Verdana"/>
          <w:sz w:val="16"/>
          <w:szCs w:val="16"/>
        </w:rPr>
        <w:t>395</w:t>
      </w:r>
      <w:r w:rsidR="001760DF" w:rsidRPr="00C6329F">
        <w:rPr>
          <w:rFonts w:ascii="Verdana" w:hAnsi="Verdana"/>
          <w:sz w:val="16"/>
          <w:szCs w:val="16"/>
        </w:rPr>
        <w:t>.</w:t>
      </w:r>
      <w:r w:rsidRPr="00C6329F">
        <w:rPr>
          <w:rFonts w:ascii="Verdana" w:hAnsi="Verdana"/>
          <w:sz w:val="16"/>
          <w:szCs w:val="16"/>
        </w:rPr>
        <w:t>00 a favor de Rubén Amílcar Farfán; xxiii) USD $131</w:t>
      </w:r>
      <w:r w:rsidR="001760DF" w:rsidRPr="00C6329F">
        <w:rPr>
          <w:rFonts w:ascii="Verdana" w:hAnsi="Verdana"/>
          <w:sz w:val="16"/>
          <w:szCs w:val="16"/>
        </w:rPr>
        <w:t>,</w:t>
      </w:r>
      <w:r w:rsidRPr="00C6329F">
        <w:rPr>
          <w:rFonts w:ascii="Verdana" w:hAnsi="Verdana"/>
          <w:sz w:val="16"/>
          <w:szCs w:val="16"/>
        </w:rPr>
        <w:t>926</w:t>
      </w:r>
      <w:r w:rsidR="001760DF" w:rsidRPr="00C6329F">
        <w:rPr>
          <w:rFonts w:ascii="Verdana" w:hAnsi="Verdana"/>
          <w:sz w:val="16"/>
          <w:szCs w:val="16"/>
        </w:rPr>
        <w:t>.</w:t>
      </w:r>
      <w:r w:rsidRPr="00C6329F">
        <w:rPr>
          <w:rFonts w:ascii="Verdana" w:hAnsi="Verdana"/>
          <w:sz w:val="16"/>
          <w:szCs w:val="16"/>
        </w:rPr>
        <w:t>00 a favor de Sergio Leonel Alvarado Arévalo; xxiv) USD $44</w:t>
      </w:r>
      <w:r w:rsidR="001760DF" w:rsidRPr="00C6329F">
        <w:rPr>
          <w:rFonts w:ascii="Verdana" w:hAnsi="Verdana"/>
          <w:sz w:val="16"/>
          <w:szCs w:val="16"/>
        </w:rPr>
        <w:t>,</w:t>
      </w:r>
      <w:r w:rsidRPr="00C6329F">
        <w:rPr>
          <w:rFonts w:ascii="Verdana" w:hAnsi="Verdana"/>
          <w:sz w:val="16"/>
          <w:szCs w:val="16"/>
        </w:rPr>
        <w:t>055</w:t>
      </w:r>
      <w:r w:rsidR="001760DF" w:rsidRPr="00C6329F">
        <w:rPr>
          <w:rFonts w:ascii="Verdana" w:hAnsi="Verdana"/>
          <w:sz w:val="16"/>
          <w:szCs w:val="16"/>
        </w:rPr>
        <w:t>.</w:t>
      </w:r>
      <w:r w:rsidRPr="00C6329F">
        <w:rPr>
          <w:rFonts w:ascii="Verdana" w:hAnsi="Verdana"/>
          <w:sz w:val="16"/>
          <w:szCs w:val="16"/>
        </w:rPr>
        <w:t>00 a favor de Crescencio Gómez López; xxv) USD $124</w:t>
      </w:r>
      <w:r w:rsidR="001760DF" w:rsidRPr="00C6329F">
        <w:rPr>
          <w:rFonts w:ascii="Verdana" w:hAnsi="Verdana"/>
          <w:sz w:val="16"/>
          <w:szCs w:val="16"/>
        </w:rPr>
        <w:t>,</w:t>
      </w:r>
      <w:r w:rsidRPr="00C6329F">
        <w:rPr>
          <w:rFonts w:ascii="Verdana" w:hAnsi="Verdana"/>
          <w:sz w:val="16"/>
          <w:szCs w:val="16"/>
        </w:rPr>
        <w:t>316</w:t>
      </w:r>
      <w:r w:rsidR="001760DF" w:rsidRPr="00C6329F">
        <w:rPr>
          <w:rFonts w:ascii="Verdana" w:hAnsi="Verdana"/>
          <w:sz w:val="16"/>
          <w:szCs w:val="16"/>
        </w:rPr>
        <w:t>.</w:t>
      </w:r>
      <w:r w:rsidRPr="00C6329F">
        <w:rPr>
          <w:rFonts w:ascii="Verdana" w:hAnsi="Verdana"/>
          <w:sz w:val="16"/>
          <w:szCs w:val="16"/>
        </w:rPr>
        <w:t xml:space="preserve">00 a favor de Luis Rolando Peñate Lima, y </w:t>
      </w:r>
      <w:proofErr w:type="spellStart"/>
      <w:r w:rsidRPr="00C6329F">
        <w:rPr>
          <w:rFonts w:ascii="Verdana" w:hAnsi="Verdana"/>
          <w:sz w:val="16"/>
          <w:szCs w:val="16"/>
        </w:rPr>
        <w:t>xxvi</w:t>
      </w:r>
      <w:proofErr w:type="spellEnd"/>
      <w:r w:rsidRPr="00C6329F">
        <w:rPr>
          <w:rFonts w:ascii="Verdana" w:hAnsi="Verdana"/>
          <w:sz w:val="16"/>
          <w:szCs w:val="16"/>
        </w:rPr>
        <w:t>) USD $146</w:t>
      </w:r>
      <w:r w:rsidR="001760DF" w:rsidRPr="00C6329F">
        <w:rPr>
          <w:rFonts w:ascii="Verdana" w:hAnsi="Verdana"/>
          <w:sz w:val="16"/>
          <w:szCs w:val="16"/>
        </w:rPr>
        <w:t>,</w:t>
      </w:r>
      <w:r w:rsidRPr="00C6329F">
        <w:rPr>
          <w:rFonts w:ascii="Verdana" w:hAnsi="Verdana"/>
          <w:sz w:val="16"/>
          <w:szCs w:val="16"/>
        </w:rPr>
        <w:t>429</w:t>
      </w:r>
      <w:r w:rsidR="001760DF" w:rsidRPr="00C6329F">
        <w:rPr>
          <w:rFonts w:ascii="Verdana" w:hAnsi="Verdana"/>
          <w:sz w:val="16"/>
          <w:szCs w:val="16"/>
        </w:rPr>
        <w:t>.</w:t>
      </w:r>
      <w:r w:rsidRPr="00C6329F">
        <w:rPr>
          <w:rFonts w:ascii="Verdana" w:hAnsi="Verdana"/>
          <w:sz w:val="16"/>
          <w:szCs w:val="16"/>
        </w:rPr>
        <w:t xml:space="preserve">00 a favor de Joaquín Rodas Andrade. </w:t>
      </w:r>
    </w:p>
  </w:footnote>
  <w:footnote w:id="16">
    <w:p w14:paraId="5B9A6B69" w14:textId="4E17902F" w:rsidR="0062177D" w:rsidRPr="00C6329F" w:rsidRDefault="0062177D" w:rsidP="00985362">
      <w:pPr>
        <w:pStyle w:val="Textonotapie"/>
        <w:tabs>
          <w:tab w:val="left" w:pos="432"/>
        </w:tabs>
        <w:jc w:val="both"/>
        <w:rPr>
          <w:rFonts w:ascii="Verdana" w:hAnsi="Verdana"/>
          <w:sz w:val="16"/>
          <w:szCs w:val="16"/>
        </w:rPr>
      </w:pPr>
      <w:r w:rsidRPr="00C6329F">
        <w:rPr>
          <w:rStyle w:val="Refdenotaalpie"/>
          <w:rFonts w:ascii="Verdana" w:hAnsi="Verdana"/>
          <w:sz w:val="16"/>
          <w:szCs w:val="16"/>
        </w:rPr>
        <w:footnoteRef/>
      </w:r>
      <w:r w:rsidRPr="00C6329F">
        <w:rPr>
          <w:rFonts w:ascii="Verdana" w:hAnsi="Verdana"/>
          <w:sz w:val="16"/>
          <w:szCs w:val="16"/>
        </w:rPr>
        <w:tab/>
        <w:t xml:space="preserve">En el párrafo 364 de la Sentencia, la Corte determinó que los montos dispuestos por concepto de ingresos dejados de percibir, deben ser pagadas de acuerdo con los siguientes criterios: a) el cincuenta por ciento (50%) de la indemnización se repartirá, por partes iguales, entre los hijos de la víctima. Si uno o varios de los hijos hubieren fallecido ya, la parte que le o les corresponda acrecerá a las de los demás hijos de la misma víctima; b) el cincuenta por ciento (50%) de la indemnización deberá ser entregada a quien fuera cónyuge, compañero o compañera permanente de la víctima, al momento de la muerte de ésta; c) en el evento que no existieren familiares en alguna de las categorías definidas en los literales anteriores, lo que hubiere correspondido a los familiares ubicados en esa categoría, acrecerá a la parte que le corresponda a la otra categoría; d) en el caso de que la víctima no tuviere hijos ni cónyuge ni compañera o compañero permanente, la indemnización del daño material será entregado a sus padres o, en su defecto, a sus hermanos en partes iguales; y e) en el evento que no existieren familiares en alguna o algunas de las categorías definidas en los literales anteriores, la indemnización deberá ser pagada a los herederos de acuerdo con el derecho sucesorio interno. En la Sentencia de interpretación la Corte aclaró que “[…] la Corte considera que […] el párrafo 364 de la Sentencia establece los criterios que debe aplicar el Estado a efectos de entregar las indemnizaciones fijadas en la Sentencia a favor de las víctimas registradas en el Diario Militar (las 26 víctimas de desaparición forzada y Rudy Gustavo Figueroa Muñoz)”. </w:t>
      </w:r>
      <w:r w:rsidRPr="00C6329F">
        <w:rPr>
          <w:rFonts w:ascii="Verdana" w:hAnsi="Verdana"/>
          <w:i/>
          <w:sz w:val="16"/>
          <w:szCs w:val="16"/>
        </w:rPr>
        <w:t>Cfr.</w:t>
      </w:r>
      <w:r w:rsidRPr="00C6329F">
        <w:rPr>
          <w:rFonts w:ascii="Verdana" w:hAnsi="Verdana"/>
          <w:sz w:val="16"/>
          <w:szCs w:val="16"/>
        </w:rPr>
        <w:t xml:space="preserve"> </w:t>
      </w:r>
      <w:r w:rsidRPr="00C6329F">
        <w:rPr>
          <w:rStyle w:val="Textoennegrita"/>
          <w:rFonts w:ascii="Verdana" w:hAnsi="Verdana"/>
          <w:b w:val="0"/>
          <w:i/>
          <w:color w:val="000000"/>
          <w:sz w:val="16"/>
          <w:szCs w:val="16"/>
          <w:shd w:val="clear" w:color="auto" w:fill="FFFFFF"/>
        </w:rPr>
        <w:t xml:space="preserve">Caso Gudiel Álvarez y otros ("Diario Militar") Vs. Guatemala, supra </w:t>
      </w:r>
      <w:r w:rsidRPr="00C6329F">
        <w:rPr>
          <w:rStyle w:val="Textoennegrita"/>
          <w:rFonts w:ascii="Verdana" w:hAnsi="Verdana"/>
          <w:b w:val="0"/>
          <w:color w:val="000000"/>
          <w:sz w:val="16"/>
          <w:szCs w:val="16"/>
          <w:shd w:val="clear" w:color="auto" w:fill="FFFFFF"/>
        </w:rPr>
        <w:t>nota 4</w:t>
      </w:r>
      <w:r w:rsidRPr="00C6329F">
        <w:rPr>
          <w:rStyle w:val="Textoennegrita"/>
          <w:rFonts w:ascii="Verdana" w:hAnsi="Verdana"/>
          <w:b w:val="0"/>
          <w:i/>
          <w:color w:val="000000"/>
          <w:sz w:val="16"/>
          <w:szCs w:val="16"/>
          <w:shd w:val="clear" w:color="auto" w:fill="FFFFFF"/>
        </w:rPr>
        <w:t>,</w:t>
      </w:r>
      <w:r w:rsidRPr="00C6329F">
        <w:rPr>
          <w:rStyle w:val="Textoennegrita"/>
          <w:rFonts w:ascii="Verdana" w:hAnsi="Verdana"/>
          <w:color w:val="000000"/>
          <w:sz w:val="16"/>
          <w:szCs w:val="16"/>
          <w:shd w:val="clear" w:color="auto" w:fill="FFFFFF"/>
        </w:rPr>
        <w:t xml:space="preserve"> </w:t>
      </w:r>
      <w:r w:rsidRPr="00C6329F">
        <w:rPr>
          <w:rFonts w:ascii="Verdana" w:hAnsi="Verdana"/>
          <w:sz w:val="16"/>
          <w:szCs w:val="16"/>
        </w:rPr>
        <w:t>párr. 48.</w:t>
      </w:r>
    </w:p>
  </w:footnote>
  <w:footnote w:id="17">
    <w:p w14:paraId="0BC6AC01" w14:textId="1DDF3ABE" w:rsidR="0062177D" w:rsidRPr="00C6329F" w:rsidRDefault="0062177D" w:rsidP="00FF3984">
      <w:pPr>
        <w:pStyle w:val="Textonotapie"/>
        <w:tabs>
          <w:tab w:val="left" w:pos="432"/>
        </w:tabs>
        <w:jc w:val="both"/>
        <w:rPr>
          <w:rFonts w:ascii="Verdana" w:hAnsi="Verdana"/>
          <w:sz w:val="16"/>
          <w:szCs w:val="16"/>
        </w:rPr>
      </w:pPr>
      <w:r w:rsidRPr="00C6329F">
        <w:rPr>
          <w:rStyle w:val="Refdenotaalpie"/>
          <w:rFonts w:ascii="Verdana" w:hAnsi="Verdana"/>
          <w:sz w:val="16"/>
          <w:szCs w:val="16"/>
        </w:rPr>
        <w:footnoteRef/>
      </w:r>
      <w:r w:rsidRPr="00C6329F">
        <w:rPr>
          <w:rFonts w:ascii="Verdana" w:hAnsi="Verdana"/>
          <w:sz w:val="16"/>
          <w:szCs w:val="16"/>
        </w:rPr>
        <w:tab/>
      </w:r>
      <w:r w:rsidR="004F3473" w:rsidRPr="00C6329F">
        <w:rPr>
          <w:rFonts w:ascii="Verdana" w:hAnsi="Verdana"/>
          <w:sz w:val="16"/>
          <w:szCs w:val="16"/>
        </w:rPr>
        <w:t>Con</w:t>
      </w:r>
      <w:r w:rsidRPr="00C6329F">
        <w:rPr>
          <w:rFonts w:ascii="Verdana" w:hAnsi="Verdana"/>
          <w:sz w:val="16"/>
          <w:szCs w:val="16"/>
        </w:rPr>
        <w:t xml:space="preserve"> relación al pago del daño emergente, la Corte señaló en el párrafo 367 </w:t>
      </w:r>
      <w:r w:rsidR="004F3473" w:rsidRPr="00C6329F">
        <w:rPr>
          <w:rFonts w:ascii="Verdana" w:hAnsi="Verdana"/>
          <w:sz w:val="16"/>
          <w:szCs w:val="16"/>
        </w:rPr>
        <w:t xml:space="preserve">de la Sentencia </w:t>
      </w:r>
      <w:r w:rsidRPr="00C6329F">
        <w:rPr>
          <w:rFonts w:ascii="Verdana" w:hAnsi="Verdana"/>
          <w:sz w:val="16"/>
          <w:szCs w:val="16"/>
        </w:rPr>
        <w:t>que los “representantes debe[</w:t>
      </w:r>
      <w:proofErr w:type="spellStart"/>
      <w:r w:rsidRPr="00C6329F">
        <w:rPr>
          <w:rFonts w:ascii="Verdana" w:hAnsi="Verdana"/>
          <w:sz w:val="16"/>
          <w:szCs w:val="16"/>
        </w:rPr>
        <w:t>ían</w:t>
      </w:r>
      <w:proofErr w:type="spellEnd"/>
      <w:r w:rsidRPr="00C6329F">
        <w:rPr>
          <w:rFonts w:ascii="Verdana" w:hAnsi="Verdana"/>
          <w:sz w:val="16"/>
          <w:szCs w:val="16"/>
        </w:rPr>
        <w:t xml:space="preserve">] indicar, en el plazo de seis meses, contados a partir de la notificación del fallo, la persona de cada grupo familiar a la cual deberá entregarse dicha suma”. </w:t>
      </w:r>
    </w:p>
  </w:footnote>
  <w:footnote w:id="18">
    <w:p w14:paraId="24D262B6" w14:textId="40FC870B" w:rsidR="00864EB9" w:rsidRPr="00C6329F" w:rsidRDefault="00864EB9" w:rsidP="00FF3984">
      <w:pPr>
        <w:pStyle w:val="Textonotapie"/>
        <w:tabs>
          <w:tab w:val="left" w:pos="432"/>
        </w:tabs>
        <w:jc w:val="both"/>
        <w:rPr>
          <w:rFonts w:ascii="Verdana" w:hAnsi="Verdana"/>
          <w:sz w:val="16"/>
          <w:szCs w:val="16"/>
        </w:rPr>
      </w:pPr>
      <w:r w:rsidRPr="00C6329F">
        <w:rPr>
          <w:rStyle w:val="Refdenotaalpie"/>
          <w:rFonts w:ascii="Verdana" w:hAnsi="Verdana"/>
          <w:sz w:val="16"/>
          <w:szCs w:val="16"/>
        </w:rPr>
        <w:footnoteRef/>
      </w:r>
      <w:r w:rsidR="00231F0A" w:rsidRPr="00C6329F">
        <w:rPr>
          <w:rFonts w:ascii="Verdana" w:hAnsi="Verdana"/>
          <w:sz w:val="16"/>
          <w:szCs w:val="16"/>
        </w:rPr>
        <w:tab/>
      </w:r>
      <w:r w:rsidRPr="00C6329F">
        <w:rPr>
          <w:rFonts w:ascii="Verdana" w:hAnsi="Verdana"/>
          <w:sz w:val="16"/>
          <w:szCs w:val="16"/>
        </w:rPr>
        <w:t>En el párrafo 367 de la Sentencia, la Corte fijó en equidad, la cantidad de US</w:t>
      </w:r>
      <w:r w:rsidR="00837046" w:rsidRPr="00C6329F">
        <w:rPr>
          <w:rFonts w:ascii="Verdana" w:hAnsi="Verdana"/>
          <w:sz w:val="16"/>
          <w:szCs w:val="16"/>
        </w:rPr>
        <w:t xml:space="preserve">D </w:t>
      </w:r>
      <w:r w:rsidRPr="00C6329F">
        <w:rPr>
          <w:rFonts w:ascii="Verdana" w:hAnsi="Verdana"/>
          <w:sz w:val="16"/>
          <w:szCs w:val="16"/>
        </w:rPr>
        <w:t>$10</w:t>
      </w:r>
      <w:r w:rsidR="001760DF" w:rsidRPr="00C6329F">
        <w:rPr>
          <w:rFonts w:ascii="Verdana" w:hAnsi="Verdana"/>
          <w:sz w:val="16"/>
          <w:szCs w:val="16"/>
        </w:rPr>
        <w:t>,</w:t>
      </w:r>
      <w:r w:rsidRPr="00C6329F">
        <w:rPr>
          <w:rFonts w:ascii="Verdana" w:hAnsi="Verdana"/>
          <w:sz w:val="16"/>
          <w:szCs w:val="16"/>
        </w:rPr>
        <w:t>000</w:t>
      </w:r>
      <w:r w:rsidR="001760DF" w:rsidRPr="00C6329F">
        <w:rPr>
          <w:rFonts w:ascii="Verdana" w:hAnsi="Verdana"/>
          <w:sz w:val="16"/>
          <w:szCs w:val="16"/>
        </w:rPr>
        <w:t>.</w:t>
      </w:r>
      <w:r w:rsidRPr="00C6329F">
        <w:rPr>
          <w:rFonts w:ascii="Verdana" w:hAnsi="Verdana"/>
          <w:sz w:val="16"/>
          <w:szCs w:val="16"/>
        </w:rPr>
        <w:t xml:space="preserve">00 por concepto de daño emergente para cada grupo familiar. </w:t>
      </w:r>
    </w:p>
  </w:footnote>
  <w:footnote w:id="19">
    <w:p w14:paraId="58624B72" w14:textId="6751C25F" w:rsidR="00FF03C6" w:rsidRPr="00C6329F" w:rsidRDefault="00FF03C6" w:rsidP="00FF3984">
      <w:pPr>
        <w:pStyle w:val="Textonotapie"/>
        <w:tabs>
          <w:tab w:val="left" w:pos="432"/>
        </w:tabs>
        <w:jc w:val="both"/>
        <w:rPr>
          <w:rFonts w:ascii="Verdana" w:hAnsi="Verdana"/>
          <w:sz w:val="16"/>
          <w:szCs w:val="16"/>
        </w:rPr>
      </w:pPr>
      <w:r w:rsidRPr="00C6329F">
        <w:rPr>
          <w:rStyle w:val="Refdenotaalpie"/>
          <w:rFonts w:ascii="Verdana" w:hAnsi="Verdana"/>
          <w:sz w:val="16"/>
          <w:szCs w:val="16"/>
        </w:rPr>
        <w:footnoteRef/>
      </w:r>
      <w:r w:rsidR="00DA074E" w:rsidRPr="00C6329F">
        <w:rPr>
          <w:rFonts w:ascii="Verdana" w:hAnsi="Verdana"/>
          <w:sz w:val="16"/>
          <w:szCs w:val="16"/>
        </w:rPr>
        <w:tab/>
      </w:r>
      <w:r w:rsidRPr="00C6329F">
        <w:rPr>
          <w:rFonts w:ascii="Verdana" w:hAnsi="Verdana"/>
          <w:sz w:val="16"/>
          <w:szCs w:val="16"/>
        </w:rPr>
        <w:t>En el párrafo 371</w:t>
      </w:r>
      <w:r w:rsidR="004F3473" w:rsidRPr="00C6329F">
        <w:rPr>
          <w:rFonts w:ascii="Verdana" w:hAnsi="Verdana"/>
          <w:sz w:val="16"/>
          <w:szCs w:val="16"/>
        </w:rPr>
        <w:t xml:space="preserve"> de la Sentencia</w:t>
      </w:r>
      <w:r w:rsidRPr="00C6329F">
        <w:rPr>
          <w:rFonts w:ascii="Verdana" w:hAnsi="Verdana"/>
          <w:sz w:val="16"/>
          <w:szCs w:val="16"/>
        </w:rPr>
        <w:t xml:space="preserve">, </w:t>
      </w:r>
      <w:r w:rsidR="004F3473" w:rsidRPr="00C6329F">
        <w:rPr>
          <w:rFonts w:ascii="Verdana" w:hAnsi="Verdana"/>
          <w:sz w:val="16"/>
          <w:szCs w:val="16"/>
        </w:rPr>
        <w:t>el Tribunal</w:t>
      </w:r>
      <w:r w:rsidRPr="00C6329F">
        <w:rPr>
          <w:rFonts w:ascii="Verdana" w:hAnsi="Verdana"/>
          <w:sz w:val="16"/>
          <w:szCs w:val="16"/>
        </w:rPr>
        <w:t xml:space="preserve"> fijó en equidad: la cantidad de US</w:t>
      </w:r>
      <w:r w:rsidR="00837046" w:rsidRPr="00C6329F">
        <w:rPr>
          <w:rFonts w:ascii="Verdana" w:hAnsi="Verdana"/>
          <w:sz w:val="16"/>
          <w:szCs w:val="16"/>
        </w:rPr>
        <w:t>D</w:t>
      </w:r>
      <w:r w:rsidRPr="00C6329F">
        <w:rPr>
          <w:rFonts w:ascii="Verdana" w:hAnsi="Verdana"/>
          <w:sz w:val="16"/>
          <w:szCs w:val="16"/>
        </w:rPr>
        <w:t xml:space="preserve"> $80</w:t>
      </w:r>
      <w:r w:rsidR="001760DF" w:rsidRPr="00C6329F">
        <w:rPr>
          <w:rFonts w:ascii="Verdana" w:hAnsi="Verdana"/>
          <w:sz w:val="16"/>
          <w:szCs w:val="16"/>
        </w:rPr>
        <w:t>,</w:t>
      </w:r>
      <w:r w:rsidRPr="00C6329F">
        <w:rPr>
          <w:rFonts w:ascii="Verdana" w:hAnsi="Verdana"/>
          <w:sz w:val="16"/>
          <w:szCs w:val="16"/>
        </w:rPr>
        <w:t>000</w:t>
      </w:r>
      <w:r w:rsidR="001760DF" w:rsidRPr="00C6329F">
        <w:rPr>
          <w:rFonts w:ascii="Verdana" w:hAnsi="Verdana"/>
          <w:sz w:val="16"/>
          <w:szCs w:val="16"/>
        </w:rPr>
        <w:t>.</w:t>
      </w:r>
      <w:r w:rsidRPr="00C6329F">
        <w:rPr>
          <w:rFonts w:ascii="Verdana" w:hAnsi="Verdana"/>
          <w:sz w:val="16"/>
          <w:szCs w:val="16"/>
        </w:rPr>
        <w:t>00 a favor de las 26 víctimas de desaparición forzada, US</w:t>
      </w:r>
      <w:r w:rsidR="00837046" w:rsidRPr="00C6329F">
        <w:rPr>
          <w:rFonts w:ascii="Verdana" w:hAnsi="Verdana"/>
          <w:sz w:val="16"/>
          <w:szCs w:val="16"/>
        </w:rPr>
        <w:t>D</w:t>
      </w:r>
      <w:r w:rsidRPr="00C6329F">
        <w:rPr>
          <w:rFonts w:ascii="Verdana" w:hAnsi="Verdana"/>
          <w:sz w:val="16"/>
          <w:szCs w:val="16"/>
        </w:rPr>
        <w:t xml:space="preserve"> $40</w:t>
      </w:r>
      <w:r w:rsidR="001760DF" w:rsidRPr="00C6329F">
        <w:rPr>
          <w:rFonts w:ascii="Verdana" w:hAnsi="Verdana"/>
          <w:sz w:val="16"/>
          <w:szCs w:val="16"/>
        </w:rPr>
        <w:t>,</w:t>
      </w:r>
      <w:r w:rsidRPr="00C6329F">
        <w:rPr>
          <w:rFonts w:ascii="Verdana" w:hAnsi="Verdana"/>
          <w:sz w:val="16"/>
          <w:szCs w:val="16"/>
        </w:rPr>
        <w:t>000</w:t>
      </w:r>
      <w:r w:rsidR="001760DF" w:rsidRPr="00C6329F">
        <w:rPr>
          <w:rFonts w:ascii="Verdana" w:hAnsi="Verdana"/>
          <w:sz w:val="16"/>
          <w:szCs w:val="16"/>
        </w:rPr>
        <w:t>.</w:t>
      </w:r>
      <w:r w:rsidRPr="00C6329F">
        <w:rPr>
          <w:rFonts w:ascii="Verdana" w:hAnsi="Verdana"/>
          <w:sz w:val="16"/>
          <w:szCs w:val="16"/>
        </w:rPr>
        <w:t>00 a favor de madres, padres, hijas e hijos, cónyuges, compañeros y compañeras permanentes, y US</w:t>
      </w:r>
      <w:r w:rsidR="00837046" w:rsidRPr="00C6329F">
        <w:rPr>
          <w:rFonts w:ascii="Verdana" w:hAnsi="Verdana"/>
          <w:sz w:val="16"/>
          <w:szCs w:val="16"/>
        </w:rPr>
        <w:t>D</w:t>
      </w:r>
      <w:r w:rsidRPr="00C6329F">
        <w:rPr>
          <w:rFonts w:ascii="Verdana" w:hAnsi="Verdana"/>
          <w:sz w:val="16"/>
          <w:szCs w:val="16"/>
        </w:rPr>
        <w:t xml:space="preserve"> $10</w:t>
      </w:r>
      <w:r w:rsidR="001760DF" w:rsidRPr="00C6329F">
        <w:rPr>
          <w:rFonts w:ascii="Verdana" w:hAnsi="Verdana"/>
          <w:sz w:val="16"/>
          <w:szCs w:val="16"/>
        </w:rPr>
        <w:t>,</w:t>
      </w:r>
      <w:r w:rsidRPr="00C6329F">
        <w:rPr>
          <w:rFonts w:ascii="Verdana" w:hAnsi="Verdana"/>
          <w:sz w:val="16"/>
          <w:szCs w:val="16"/>
        </w:rPr>
        <w:t>000</w:t>
      </w:r>
      <w:r w:rsidR="001760DF" w:rsidRPr="00C6329F">
        <w:rPr>
          <w:rFonts w:ascii="Verdana" w:hAnsi="Verdana"/>
          <w:sz w:val="16"/>
          <w:szCs w:val="16"/>
        </w:rPr>
        <w:t>.</w:t>
      </w:r>
      <w:r w:rsidRPr="00C6329F">
        <w:rPr>
          <w:rFonts w:ascii="Verdana" w:hAnsi="Verdana"/>
          <w:sz w:val="16"/>
          <w:szCs w:val="16"/>
        </w:rPr>
        <w:t xml:space="preserve">00 a favor de los hermanas, hermanos, nietas y nietos de dichas víctimas. </w:t>
      </w:r>
    </w:p>
  </w:footnote>
  <w:footnote w:id="20">
    <w:p w14:paraId="4DF54063" w14:textId="469AAB8D" w:rsidR="00FF03C6" w:rsidRPr="00C6329F" w:rsidRDefault="00FF03C6" w:rsidP="00FF3984">
      <w:pPr>
        <w:pStyle w:val="Textonotapie"/>
        <w:tabs>
          <w:tab w:val="left" w:pos="432"/>
        </w:tabs>
        <w:jc w:val="both"/>
        <w:rPr>
          <w:rFonts w:ascii="Verdana" w:hAnsi="Verdana"/>
          <w:sz w:val="16"/>
          <w:szCs w:val="16"/>
        </w:rPr>
      </w:pPr>
      <w:r w:rsidRPr="00C6329F">
        <w:rPr>
          <w:rStyle w:val="Refdenotaalpie"/>
          <w:rFonts w:ascii="Verdana" w:hAnsi="Verdana"/>
          <w:sz w:val="16"/>
          <w:szCs w:val="16"/>
        </w:rPr>
        <w:footnoteRef/>
      </w:r>
      <w:r w:rsidR="00DA074E" w:rsidRPr="00C6329F">
        <w:rPr>
          <w:rFonts w:ascii="Verdana" w:hAnsi="Verdana"/>
          <w:sz w:val="16"/>
          <w:szCs w:val="16"/>
        </w:rPr>
        <w:tab/>
      </w:r>
      <w:r w:rsidRPr="00C6329F">
        <w:rPr>
          <w:rFonts w:ascii="Verdana" w:hAnsi="Verdana"/>
          <w:sz w:val="16"/>
          <w:szCs w:val="16"/>
        </w:rPr>
        <w:t>En el párrafo 373</w:t>
      </w:r>
      <w:r w:rsidR="00C33DCB" w:rsidRPr="00C6329F">
        <w:rPr>
          <w:rFonts w:ascii="Verdana" w:hAnsi="Verdana"/>
          <w:sz w:val="16"/>
          <w:szCs w:val="16"/>
        </w:rPr>
        <w:t xml:space="preserve"> </w:t>
      </w:r>
      <w:r w:rsidR="004F3473" w:rsidRPr="00C6329F">
        <w:rPr>
          <w:rFonts w:ascii="Verdana" w:hAnsi="Verdana"/>
          <w:sz w:val="16"/>
          <w:szCs w:val="16"/>
        </w:rPr>
        <w:t xml:space="preserve">de la Sentencia </w:t>
      </w:r>
      <w:r w:rsidRPr="00C6329F">
        <w:rPr>
          <w:rFonts w:ascii="Verdana" w:hAnsi="Verdana"/>
          <w:sz w:val="16"/>
          <w:szCs w:val="16"/>
        </w:rPr>
        <w:t>la Corte fijó en equidad</w:t>
      </w:r>
      <w:r w:rsidR="00A034C7" w:rsidRPr="00C6329F">
        <w:rPr>
          <w:rFonts w:ascii="Verdana" w:hAnsi="Verdana"/>
          <w:sz w:val="16"/>
          <w:szCs w:val="16"/>
        </w:rPr>
        <w:t xml:space="preserve"> la indemnización por daño inmaterial</w:t>
      </w:r>
      <w:r w:rsidRPr="00C6329F">
        <w:rPr>
          <w:rFonts w:ascii="Verdana" w:hAnsi="Verdana"/>
          <w:sz w:val="16"/>
          <w:szCs w:val="16"/>
        </w:rPr>
        <w:t>: US</w:t>
      </w:r>
      <w:r w:rsidR="00837046" w:rsidRPr="00C6329F">
        <w:rPr>
          <w:rFonts w:ascii="Verdana" w:hAnsi="Verdana"/>
          <w:sz w:val="16"/>
          <w:szCs w:val="16"/>
        </w:rPr>
        <w:t>D</w:t>
      </w:r>
      <w:r w:rsidRPr="00C6329F">
        <w:rPr>
          <w:rFonts w:ascii="Verdana" w:hAnsi="Verdana"/>
          <w:sz w:val="16"/>
          <w:szCs w:val="16"/>
        </w:rPr>
        <w:t xml:space="preserve"> $20</w:t>
      </w:r>
      <w:r w:rsidR="001760DF" w:rsidRPr="00C6329F">
        <w:rPr>
          <w:rFonts w:ascii="Verdana" w:hAnsi="Verdana"/>
          <w:sz w:val="16"/>
          <w:szCs w:val="16"/>
        </w:rPr>
        <w:t>,</w:t>
      </w:r>
      <w:r w:rsidRPr="00C6329F">
        <w:rPr>
          <w:rFonts w:ascii="Verdana" w:hAnsi="Verdana"/>
          <w:sz w:val="16"/>
          <w:szCs w:val="16"/>
        </w:rPr>
        <w:t>000</w:t>
      </w:r>
      <w:r w:rsidR="001760DF" w:rsidRPr="00C6329F">
        <w:rPr>
          <w:rFonts w:ascii="Verdana" w:hAnsi="Verdana"/>
          <w:sz w:val="16"/>
          <w:szCs w:val="16"/>
        </w:rPr>
        <w:t>.</w:t>
      </w:r>
      <w:r w:rsidRPr="00C6329F">
        <w:rPr>
          <w:rFonts w:ascii="Verdana" w:hAnsi="Verdana"/>
          <w:sz w:val="16"/>
          <w:szCs w:val="16"/>
        </w:rPr>
        <w:t>00 a favor de Wendy Santizo Méndez e Igor Santizo Méndez</w:t>
      </w:r>
      <w:r w:rsidR="00C33DCB" w:rsidRPr="00C6329F">
        <w:rPr>
          <w:rFonts w:ascii="Verdana" w:hAnsi="Verdana"/>
          <w:sz w:val="16"/>
          <w:szCs w:val="16"/>
        </w:rPr>
        <w:t>.</w:t>
      </w:r>
    </w:p>
  </w:footnote>
  <w:footnote w:id="21">
    <w:p w14:paraId="54B3E5FD" w14:textId="34C07BDA" w:rsidR="00FF03C6" w:rsidRPr="00C6329F" w:rsidRDefault="00FF03C6" w:rsidP="00FF3984">
      <w:pPr>
        <w:pStyle w:val="Textonotapie"/>
        <w:tabs>
          <w:tab w:val="left" w:pos="432"/>
        </w:tabs>
        <w:jc w:val="both"/>
        <w:rPr>
          <w:rFonts w:ascii="Verdana" w:hAnsi="Verdana"/>
          <w:sz w:val="16"/>
          <w:szCs w:val="16"/>
        </w:rPr>
      </w:pPr>
      <w:r w:rsidRPr="00C6329F">
        <w:rPr>
          <w:rStyle w:val="Refdenotaalpie"/>
          <w:rFonts w:ascii="Verdana" w:hAnsi="Verdana"/>
          <w:sz w:val="16"/>
          <w:szCs w:val="16"/>
        </w:rPr>
        <w:footnoteRef/>
      </w:r>
      <w:r w:rsidR="00723A94" w:rsidRPr="00C6329F">
        <w:rPr>
          <w:rFonts w:ascii="Verdana" w:hAnsi="Verdana"/>
          <w:sz w:val="16"/>
          <w:szCs w:val="16"/>
        </w:rPr>
        <w:tab/>
      </w:r>
      <w:r w:rsidRPr="00C6329F">
        <w:rPr>
          <w:rFonts w:ascii="Verdana" w:hAnsi="Verdana"/>
          <w:sz w:val="16"/>
          <w:szCs w:val="16"/>
        </w:rPr>
        <w:t xml:space="preserve">En el párrafo 374 </w:t>
      </w:r>
      <w:r w:rsidR="004F3473" w:rsidRPr="00C6329F">
        <w:rPr>
          <w:rFonts w:ascii="Verdana" w:hAnsi="Verdana"/>
          <w:sz w:val="16"/>
          <w:szCs w:val="16"/>
        </w:rPr>
        <w:t>de la Sentencia el Tribunal</w:t>
      </w:r>
      <w:r w:rsidRPr="00C6329F">
        <w:rPr>
          <w:rFonts w:ascii="Verdana" w:hAnsi="Verdana"/>
          <w:sz w:val="16"/>
          <w:szCs w:val="16"/>
        </w:rPr>
        <w:t xml:space="preserve"> fijó en equidad</w:t>
      </w:r>
      <w:r w:rsidR="00DA074E" w:rsidRPr="00C6329F">
        <w:rPr>
          <w:rFonts w:ascii="Verdana" w:hAnsi="Verdana"/>
          <w:sz w:val="16"/>
          <w:szCs w:val="16"/>
        </w:rPr>
        <w:t xml:space="preserve"> la indemnización por daño inmaterial</w:t>
      </w:r>
      <w:r w:rsidRPr="00C6329F">
        <w:rPr>
          <w:rFonts w:ascii="Verdana" w:hAnsi="Verdana"/>
          <w:sz w:val="16"/>
          <w:szCs w:val="16"/>
        </w:rPr>
        <w:t>: US</w:t>
      </w:r>
      <w:r w:rsidR="00837046" w:rsidRPr="00C6329F">
        <w:rPr>
          <w:rFonts w:ascii="Verdana" w:hAnsi="Verdana"/>
          <w:sz w:val="16"/>
          <w:szCs w:val="16"/>
        </w:rPr>
        <w:t>D</w:t>
      </w:r>
      <w:r w:rsidRPr="00C6329F">
        <w:rPr>
          <w:rFonts w:ascii="Verdana" w:hAnsi="Verdana"/>
          <w:sz w:val="16"/>
          <w:szCs w:val="16"/>
        </w:rPr>
        <w:t xml:space="preserve"> </w:t>
      </w:r>
      <w:r w:rsidR="001760DF" w:rsidRPr="00C6329F">
        <w:rPr>
          <w:rFonts w:ascii="Verdana" w:hAnsi="Verdana"/>
          <w:sz w:val="16"/>
          <w:szCs w:val="16"/>
        </w:rPr>
        <w:t>$</w:t>
      </w:r>
      <w:r w:rsidRPr="00C6329F">
        <w:rPr>
          <w:rFonts w:ascii="Verdana" w:hAnsi="Verdana"/>
          <w:sz w:val="16"/>
          <w:szCs w:val="16"/>
        </w:rPr>
        <w:t>20</w:t>
      </w:r>
      <w:r w:rsidR="001760DF" w:rsidRPr="00C6329F">
        <w:rPr>
          <w:rFonts w:ascii="Verdana" w:hAnsi="Verdana"/>
          <w:sz w:val="16"/>
          <w:szCs w:val="16"/>
        </w:rPr>
        <w:t>,</w:t>
      </w:r>
      <w:r w:rsidRPr="00C6329F">
        <w:rPr>
          <w:rFonts w:ascii="Verdana" w:hAnsi="Verdana"/>
          <w:sz w:val="16"/>
          <w:szCs w:val="16"/>
        </w:rPr>
        <w:t>000</w:t>
      </w:r>
      <w:r w:rsidR="001760DF" w:rsidRPr="00C6329F">
        <w:rPr>
          <w:rFonts w:ascii="Verdana" w:hAnsi="Verdana"/>
          <w:sz w:val="16"/>
          <w:szCs w:val="16"/>
        </w:rPr>
        <w:t>.00</w:t>
      </w:r>
      <w:r w:rsidRPr="00C6329F">
        <w:rPr>
          <w:rFonts w:ascii="Verdana" w:hAnsi="Verdana"/>
          <w:sz w:val="16"/>
          <w:szCs w:val="16"/>
        </w:rPr>
        <w:t xml:space="preserve"> a favor de la víctima Rudy Gustavo Figueroa Muñoz, y US</w:t>
      </w:r>
      <w:r w:rsidR="001760DF" w:rsidRPr="00C6329F">
        <w:rPr>
          <w:rFonts w:ascii="Verdana" w:hAnsi="Verdana"/>
          <w:sz w:val="16"/>
          <w:szCs w:val="16"/>
        </w:rPr>
        <w:t>D</w:t>
      </w:r>
      <w:r w:rsidRPr="00C6329F">
        <w:rPr>
          <w:rFonts w:ascii="Verdana" w:hAnsi="Verdana"/>
          <w:sz w:val="16"/>
          <w:szCs w:val="16"/>
        </w:rPr>
        <w:t xml:space="preserve"> $10</w:t>
      </w:r>
      <w:r w:rsidR="001760DF" w:rsidRPr="00C6329F">
        <w:rPr>
          <w:rFonts w:ascii="Verdana" w:hAnsi="Verdana"/>
          <w:sz w:val="16"/>
          <w:szCs w:val="16"/>
        </w:rPr>
        <w:t>,</w:t>
      </w:r>
      <w:r w:rsidRPr="00C6329F">
        <w:rPr>
          <w:rFonts w:ascii="Verdana" w:hAnsi="Verdana"/>
          <w:sz w:val="16"/>
          <w:szCs w:val="16"/>
        </w:rPr>
        <w:t>000</w:t>
      </w:r>
      <w:r w:rsidR="001760DF" w:rsidRPr="00C6329F">
        <w:rPr>
          <w:rFonts w:ascii="Verdana" w:hAnsi="Verdana"/>
          <w:sz w:val="16"/>
          <w:szCs w:val="16"/>
        </w:rPr>
        <w:t>.</w:t>
      </w:r>
      <w:r w:rsidRPr="00C6329F">
        <w:rPr>
          <w:rFonts w:ascii="Verdana" w:hAnsi="Verdana"/>
          <w:sz w:val="16"/>
          <w:szCs w:val="16"/>
        </w:rPr>
        <w:t xml:space="preserve">00 de cada uno de sus familiares, a saber, su esposa Francisca Florinda Maldonado </w:t>
      </w:r>
      <w:proofErr w:type="spellStart"/>
      <w:r w:rsidRPr="00C6329F">
        <w:rPr>
          <w:rFonts w:ascii="Verdana" w:hAnsi="Verdana"/>
          <w:sz w:val="16"/>
          <w:szCs w:val="16"/>
        </w:rPr>
        <w:t>Jeréz</w:t>
      </w:r>
      <w:proofErr w:type="spellEnd"/>
      <w:r w:rsidRPr="00C6329F">
        <w:rPr>
          <w:rFonts w:ascii="Verdana" w:hAnsi="Verdana"/>
          <w:sz w:val="16"/>
          <w:szCs w:val="16"/>
        </w:rPr>
        <w:t>, su madre Mercedes Muñoz Rodas y sus hijos Rudy Alberto y Brenda Marisol Figueroa Maldonado</w:t>
      </w:r>
      <w:r w:rsidR="00E80C47" w:rsidRPr="00C6329F">
        <w:rPr>
          <w:rFonts w:ascii="Verdana" w:hAnsi="Verdana"/>
          <w:sz w:val="16"/>
          <w:szCs w:val="16"/>
        </w:rPr>
        <w:t>.</w:t>
      </w:r>
    </w:p>
  </w:footnote>
  <w:footnote w:id="22">
    <w:p w14:paraId="1B217DC0" w14:textId="65B60DA6" w:rsidR="0062177D" w:rsidRPr="00C6329F" w:rsidRDefault="0062177D" w:rsidP="00FF3984">
      <w:pPr>
        <w:pStyle w:val="Textonotapie"/>
        <w:tabs>
          <w:tab w:val="left" w:pos="432"/>
        </w:tabs>
        <w:jc w:val="both"/>
        <w:rPr>
          <w:i/>
          <w:lang w:val="es-CR"/>
        </w:rPr>
      </w:pPr>
      <w:r w:rsidRPr="00C6329F">
        <w:rPr>
          <w:rStyle w:val="Refdenotaalpie"/>
          <w:rFonts w:ascii="Verdana" w:hAnsi="Verdana"/>
          <w:sz w:val="16"/>
          <w:szCs w:val="16"/>
        </w:rPr>
        <w:footnoteRef/>
      </w:r>
      <w:r w:rsidRPr="00C6329F">
        <w:rPr>
          <w:rFonts w:ascii="Verdana" w:hAnsi="Verdana"/>
          <w:sz w:val="16"/>
          <w:szCs w:val="16"/>
        </w:rPr>
        <w:t xml:space="preserve"> </w:t>
      </w:r>
      <w:r w:rsidRPr="00C6329F">
        <w:rPr>
          <w:rFonts w:ascii="Verdana" w:hAnsi="Verdana"/>
          <w:sz w:val="16"/>
          <w:szCs w:val="16"/>
          <w:lang w:val="es-CR"/>
        </w:rPr>
        <w:tab/>
      </w:r>
      <w:r w:rsidRPr="00C6329F">
        <w:rPr>
          <w:rFonts w:ascii="Verdana" w:hAnsi="Verdana"/>
          <w:i/>
          <w:sz w:val="16"/>
          <w:szCs w:val="16"/>
          <w:lang w:val="es-CR"/>
        </w:rPr>
        <w:t xml:space="preserve">Cfr. </w:t>
      </w:r>
      <w:r w:rsidRPr="00C6329F">
        <w:rPr>
          <w:rStyle w:val="Textoennegrita"/>
          <w:rFonts w:ascii="Verdana" w:hAnsi="Verdana"/>
          <w:b w:val="0"/>
          <w:i/>
          <w:color w:val="000000"/>
          <w:sz w:val="16"/>
          <w:szCs w:val="16"/>
          <w:shd w:val="clear" w:color="auto" w:fill="FFFFFF"/>
        </w:rPr>
        <w:t>Caso Gudiel Álvarez y otros ("Diario Militar") Vs. Guatemala, supra</w:t>
      </w:r>
      <w:r w:rsidRPr="00C6329F">
        <w:rPr>
          <w:rStyle w:val="Textoennegrita"/>
          <w:rFonts w:ascii="Verdana" w:hAnsi="Verdana"/>
          <w:b w:val="0"/>
          <w:color w:val="000000"/>
          <w:sz w:val="16"/>
          <w:szCs w:val="16"/>
          <w:shd w:val="clear" w:color="auto" w:fill="FFFFFF"/>
        </w:rPr>
        <w:t xml:space="preserve"> nota 1, </w:t>
      </w:r>
      <w:proofErr w:type="spellStart"/>
      <w:r w:rsidRPr="00C6329F">
        <w:rPr>
          <w:rStyle w:val="Textoennegrita"/>
          <w:rFonts w:ascii="Verdana" w:hAnsi="Verdana"/>
          <w:b w:val="0"/>
          <w:color w:val="000000"/>
          <w:sz w:val="16"/>
          <w:szCs w:val="16"/>
          <w:shd w:val="clear" w:color="auto" w:fill="FFFFFF"/>
        </w:rPr>
        <w:t>párrs</w:t>
      </w:r>
      <w:proofErr w:type="spellEnd"/>
      <w:r w:rsidRPr="00C6329F">
        <w:rPr>
          <w:rStyle w:val="Textoennegrita"/>
          <w:rFonts w:ascii="Verdana" w:hAnsi="Verdana"/>
          <w:b w:val="0"/>
          <w:color w:val="000000"/>
          <w:sz w:val="16"/>
          <w:szCs w:val="16"/>
          <w:shd w:val="clear" w:color="auto" w:fill="FFFFFF"/>
        </w:rPr>
        <w:t>. 371, 373 y 374 y</w:t>
      </w:r>
      <w:r w:rsidRPr="00C6329F">
        <w:rPr>
          <w:rFonts w:ascii="Verdana" w:hAnsi="Verdana"/>
          <w:i/>
          <w:sz w:val="16"/>
          <w:szCs w:val="16"/>
          <w:lang w:val="es-CR"/>
        </w:rPr>
        <w:t xml:space="preserve"> </w:t>
      </w:r>
      <w:r w:rsidRPr="00C6329F">
        <w:rPr>
          <w:rStyle w:val="Textoennegrita"/>
          <w:rFonts w:ascii="Verdana" w:hAnsi="Verdana"/>
          <w:b w:val="0"/>
          <w:i/>
          <w:color w:val="000000"/>
          <w:sz w:val="16"/>
          <w:szCs w:val="16"/>
          <w:shd w:val="clear" w:color="auto" w:fill="FFFFFF"/>
        </w:rPr>
        <w:t>Caso Gudiel Álvarez y otros ("Diario Militar") Vs. Guatemala, supra</w:t>
      </w:r>
      <w:r w:rsidRPr="00C6329F">
        <w:rPr>
          <w:rStyle w:val="Textoennegrita"/>
          <w:rFonts w:ascii="Verdana" w:hAnsi="Verdana"/>
          <w:b w:val="0"/>
          <w:color w:val="000000"/>
          <w:sz w:val="16"/>
          <w:szCs w:val="16"/>
          <w:shd w:val="clear" w:color="auto" w:fill="FFFFFF"/>
        </w:rPr>
        <w:t xml:space="preserve"> nota 4</w:t>
      </w:r>
      <w:r w:rsidRPr="00C6329F">
        <w:rPr>
          <w:rStyle w:val="Textoennegrita"/>
          <w:rFonts w:ascii="Verdana" w:hAnsi="Verdana"/>
          <w:b w:val="0"/>
          <w:i/>
          <w:color w:val="000000"/>
          <w:sz w:val="16"/>
          <w:szCs w:val="16"/>
          <w:shd w:val="clear" w:color="auto" w:fill="FFFFFF"/>
        </w:rPr>
        <w:t>,</w:t>
      </w:r>
      <w:r w:rsidRPr="00C6329F">
        <w:rPr>
          <w:rStyle w:val="Textoennegrita"/>
          <w:rFonts w:ascii="Verdana" w:hAnsi="Verdana"/>
          <w:color w:val="000000"/>
          <w:sz w:val="16"/>
          <w:szCs w:val="16"/>
          <w:shd w:val="clear" w:color="auto" w:fill="FFFFFF"/>
        </w:rPr>
        <w:t xml:space="preserve"> </w:t>
      </w:r>
      <w:r w:rsidRPr="00C6329F">
        <w:rPr>
          <w:rFonts w:ascii="Verdana" w:hAnsi="Verdana"/>
          <w:sz w:val="16"/>
          <w:szCs w:val="16"/>
        </w:rPr>
        <w:t>párr. 38.</w:t>
      </w:r>
    </w:p>
  </w:footnote>
  <w:footnote w:id="23">
    <w:p w14:paraId="148AF474" w14:textId="02E9C120" w:rsidR="00FF03C6" w:rsidRPr="00C6329F" w:rsidRDefault="00FF03C6" w:rsidP="00FF3984">
      <w:pPr>
        <w:pStyle w:val="Textonotapie"/>
        <w:tabs>
          <w:tab w:val="left" w:pos="432"/>
        </w:tabs>
        <w:jc w:val="both"/>
        <w:rPr>
          <w:rFonts w:ascii="Verdana" w:hAnsi="Verdana"/>
          <w:sz w:val="16"/>
          <w:szCs w:val="16"/>
        </w:rPr>
      </w:pPr>
      <w:r w:rsidRPr="00C6329F">
        <w:rPr>
          <w:rStyle w:val="Refdenotaalpie"/>
          <w:rFonts w:ascii="Verdana" w:hAnsi="Verdana"/>
          <w:sz w:val="16"/>
          <w:szCs w:val="16"/>
        </w:rPr>
        <w:footnoteRef/>
      </w:r>
      <w:r w:rsidR="00DA074E" w:rsidRPr="00C6329F">
        <w:rPr>
          <w:rFonts w:ascii="Verdana" w:hAnsi="Verdana"/>
          <w:sz w:val="16"/>
          <w:szCs w:val="16"/>
        </w:rPr>
        <w:tab/>
      </w:r>
      <w:r w:rsidRPr="00C6329F">
        <w:rPr>
          <w:rFonts w:ascii="Verdana" w:hAnsi="Verdana"/>
          <w:i/>
          <w:sz w:val="16"/>
          <w:szCs w:val="16"/>
        </w:rPr>
        <w:t>Cfr.</w:t>
      </w:r>
      <w:r w:rsidRPr="00C6329F">
        <w:rPr>
          <w:rFonts w:ascii="Verdana" w:hAnsi="Verdana"/>
          <w:sz w:val="16"/>
          <w:szCs w:val="16"/>
        </w:rPr>
        <w:t xml:space="preserve"> </w:t>
      </w:r>
      <w:r w:rsidRPr="00C6329F">
        <w:rPr>
          <w:rStyle w:val="Textoennegrita"/>
          <w:rFonts w:ascii="Verdana" w:hAnsi="Verdana"/>
          <w:b w:val="0"/>
          <w:i/>
          <w:color w:val="000000"/>
          <w:sz w:val="16"/>
          <w:szCs w:val="16"/>
          <w:shd w:val="clear" w:color="auto" w:fill="FFFFFF"/>
        </w:rPr>
        <w:t>Caso Gudiel Álvarez y otros ("Diario Militar") Vs. Guatemala</w:t>
      </w:r>
      <w:r w:rsidR="00E80C47" w:rsidRPr="00C6329F">
        <w:rPr>
          <w:rStyle w:val="Textoennegrita"/>
          <w:rFonts w:ascii="Verdana" w:hAnsi="Verdana"/>
          <w:b w:val="0"/>
          <w:i/>
          <w:color w:val="000000"/>
          <w:sz w:val="16"/>
          <w:szCs w:val="16"/>
          <w:shd w:val="clear" w:color="auto" w:fill="FFFFFF"/>
        </w:rPr>
        <w:t>, supra</w:t>
      </w:r>
      <w:r w:rsidR="00E80C47" w:rsidRPr="00C6329F">
        <w:rPr>
          <w:rStyle w:val="Textoennegrita"/>
          <w:rFonts w:ascii="Verdana" w:hAnsi="Verdana"/>
          <w:b w:val="0"/>
          <w:color w:val="000000"/>
          <w:sz w:val="16"/>
          <w:szCs w:val="16"/>
          <w:shd w:val="clear" w:color="auto" w:fill="FFFFFF"/>
        </w:rPr>
        <w:t xml:space="preserve"> nota </w:t>
      </w:r>
      <w:r w:rsidR="005204C7" w:rsidRPr="00C6329F">
        <w:rPr>
          <w:rStyle w:val="Textoennegrita"/>
          <w:rFonts w:ascii="Verdana" w:hAnsi="Verdana"/>
          <w:b w:val="0"/>
          <w:color w:val="000000"/>
          <w:sz w:val="16"/>
          <w:szCs w:val="16"/>
          <w:shd w:val="clear" w:color="auto" w:fill="FFFFFF"/>
        </w:rPr>
        <w:t>4</w:t>
      </w:r>
      <w:r w:rsidRPr="00C6329F">
        <w:rPr>
          <w:rStyle w:val="Textoennegrita"/>
          <w:rFonts w:ascii="Verdana" w:hAnsi="Verdana"/>
          <w:b w:val="0"/>
          <w:i/>
          <w:color w:val="000000"/>
          <w:sz w:val="16"/>
          <w:szCs w:val="16"/>
          <w:shd w:val="clear" w:color="auto" w:fill="FFFFFF"/>
        </w:rPr>
        <w:t>,</w:t>
      </w:r>
      <w:r w:rsidRPr="00C6329F">
        <w:rPr>
          <w:rStyle w:val="Textoennegrita"/>
          <w:rFonts w:ascii="Verdana" w:hAnsi="Verdana"/>
          <w:color w:val="000000"/>
          <w:sz w:val="16"/>
          <w:szCs w:val="16"/>
          <w:shd w:val="clear" w:color="auto" w:fill="FFFFFF"/>
        </w:rPr>
        <w:t xml:space="preserve"> </w:t>
      </w:r>
      <w:proofErr w:type="spellStart"/>
      <w:r w:rsidRPr="00C6329F">
        <w:rPr>
          <w:rFonts w:ascii="Verdana" w:hAnsi="Verdana"/>
          <w:sz w:val="16"/>
          <w:szCs w:val="16"/>
        </w:rPr>
        <w:t>párr</w:t>
      </w:r>
      <w:r w:rsidR="00C03FCA" w:rsidRPr="00C6329F">
        <w:rPr>
          <w:rFonts w:ascii="Verdana" w:hAnsi="Verdana"/>
          <w:sz w:val="16"/>
          <w:szCs w:val="16"/>
        </w:rPr>
        <w:t>s</w:t>
      </w:r>
      <w:proofErr w:type="spellEnd"/>
      <w:r w:rsidRPr="00C6329F">
        <w:rPr>
          <w:rFonts w:ascii="Verdana" w:hAnsi="Verdana"/>
          <w:sz w:val="16"/>
          <w:szCs w:val="16"/>
        </w:rPr>
        <w:t xml:space="preserve">. </w:t>
      </w:r>
      <w:r w:rsidR="00C03FCA" w:rsidRPr="00C6329F">
        <w:rPr>
          <w:rFonts w:ascii="Verdana" w:hAnsi="Verdana"/>
          <w:sz w:val="16"/>
          <w:szCs w:val="16"/>
        </w:rPr>
        <w:t xml:space="preserve">48 y </w:t>
      </w:r>
      <w:r w:rsidRPr="00C6329F">
        <w:rPr>
          <w:rFonts w:ascii="Verdana" w:hAnsi="Verdana"/>
          <w:sz w:val="16"/>
          <w:szCs w:val="16"/>
        </w:rPr>
        <w:t xml:space="preserve">49. </w:t>
      </w:r>
    </w:p>
  </w:footnote>
  <w:footnote w:id="24">
    <w:p w14:paraId="31D0BBF1" w14:textId="6362B91A" w:rsidR="00FF03C6" w:rsidRPr="00C6329F" w:rsidRDefault="00FF03C6" w:rsidP="00FF3984">
      <w:pPr>
        <w:pStyle w:val="Textonotapie"/>
        <w:tabs>
          <w:tab w:val="left" w:pos="432"/>
        </w:tabs>
        <w:jc w:val="both"/>
        <w:rPr>
          <w:rFonts w:ascii="Verdana" w:hAnsi="Verdana"/>
          <w:sz w:val="16"/>
          <w:szCs w:val="16"/>
        </w:rPr>
      </w:pPr>
      <w:r w:rsidRPr="00C6329F">
        <w:rPr>
          <w:rStyle w:val="Refdenotaalpie"/>
          <w:rFonts w:ascii="Verdana" w:hAnsi="Verdana"/>
          <w:sz w:val="16"/>
          <w:szCs w:val="16"/>
        </w:rPr>
        <w:footnoteRef/>
      </w:r>
      <w:r w:rsidR="00DA074E" w:rsidRPr="00C6329F">
        <w:rPr>
          <w:rFonts w:ascii="Verdana" w:hAnsi="Verdana"/>
          <w:sz w:val="16"/>
          <w:szCs w:val="16"/>
        </w:rPr>
        <w:tab/>
      </w:r>
      <w:r w:rsidR="00C03FCA" w:rsidRPr="00C6329F">
        <w:rPr>
          <w:rFonts w:ascii="Verdana" w:hAnsi="Verdana"/>
          <w:i/>
          <w:sz w:val="16"/>
          <w:szCs w:val="16"/>
        </w:rPr>
        <w:t>Cfr.</w:t>
      </w:r>
      <w:r w:rsidR="00C03FCA" w:rsidRPr="00C6329F">
        <w:rPr>
          <w:rFonts w:ascii="Verdana" w:hAnsi="Verdana"/>
          <w:sz w:val="16"/>
          <w:szCs w:val="16"/>
        </w:rPr>
        <w:t xml:space="preserve"> </w:t>
      </w:r>
      <w:r w:rsidR="00C03FCA" w:rsidRPr="00C6329F">
        <w:rPr>
          <w:rStyle w:val="Textoennegrita"/>
          <w:rFonts w:ascii="Verdana" w:hAnsi="Verdana"/>
          <w:b w:val="0"/>
          <w:i/>
          <w:color w:val="000000"/>
          <w:sz w:val="16"/>
          <w:szCs w:val="16"/>
          <w:shd w:val="clear" w:color="auto" w:fill="FFFFFF"/>
        </w:rPr>
        <w:t>Caso Gudiel Álvarez y otros ("Diario Militar") Vs. Guatemala, supra</w:t>
      </w:r>
      <w:r w:rsidR="00C03FCA" w:rsidRPr="00C6329F">
        <w:rPr>
          <w:rStyle w:val="Textoennegrita"/>
          <w:rFonts w:ascii="Verdana" w:hAnsi="Verdana"/>
          <w:b w:val="0"/>
          <w:color w:val="000000"/>
          <w:sz w:val="16"/>
          <w:szCs w:val="16"/>
          <w:shd w:val="clear" w:color="auto" w:fill="FFFFFF"/>
        </w:rPr>
        <w:t xml:space="preserve"> nota 4</w:t>
      </w:r>
      <w:r w:rsidR="00C03FCA" w:rsidRPr="00C6329F">
        <w:rPr>
          <w:rStyle w:val="Textoennegrita"/>
          <w:rFonts w:ascii="Verdana" w:hAnsi="Verdana"/>
          <w:b w:val="0"/>
          <w:i/>
          <w:color w:val="000000"/>
          <w:sz w:val="16"/>
          <w:szCs w:val="16"/>
          <w:shd w:val="clear" w:color="auto" w:fill="FFFFFF"/>
        </w:rPr>
        <w:t xml:space="preserve">, </w:t>
      </w:r>
      <w:r w:rsidR="00C03FCA" w:rsidRPr="00C6329F">
        <w:rPr>
          <w:rStyle w:val="Textoennegrita"/>
          <w:rFonts w:ascii="Verdana" w:hAnsi="Verdana"/>
          <w:b w:val="0"/>
          <w:color w:val="000000"/>
          <w:sz w:val="16"/>
          <w:szCs w:val="16"/>
          <w:shd w:val="clear" w:color="auto" w:fill="FFFFFF"/>
        </w:rPr>
        <w:t xml:space="preserve">párr. 49. </w:t>
      </w:r>
      <w:r w:rsidRPr="00C6329F">
        <w:rPr>
          <w:rFonts w:ascii="Verdana" w:hAnsi="Verdana"/>
          <w:sz w:val="16"/>
          <w:szCs w:val="16"/>
        </w:rPr>
        <w:t>En el párrafo 385</w:t>
      </w:r>
      <w:r w:rsidR="00C03FCA" w:rsidRPr="00C6329F">
        <w:rPr>
          <w:rFonts w:ascii="Verdana" w:hAnsi="Verdana"/>
          <w:sz w:val="16"/>
          <w:szCs w:val="16"/>
        </w:rPr>
        <w:t xml:space="preserve"> de la Sentencia</w:t>
      </w:r>
      <w:r w:rsidRPr="00C6329F">
        <w:rPr>
          <w:rFonts w:ascii="Verdana" w:hAnsi="Verdana"/>
          <w:sz w:val="16"/>
          <w:szCs w:val="16"/>
        </w:rPr>
        <w:t xml:space="preserve"> la Corte </w:t>
      </w:r>
      <w:r w:rsidR="007C5153" w:rsidRPr="00C6329F">
        <w:rPr>
          <w:rFonts w:ascii="Verdana" w:hAnsi="Verdana"/>
          <w:sz w:val="16"/>
          <w:szCs w:val="16"/>
        </w:rPr>
        <w:t>indicó:</w:t>
      </w:r>
      <w:r w:rsidRPr="00C6329F">
        <w:rPr>
          <w:rFonts w:ascii="Verdana" w:hAnsi="Verdana"/>
          <w:sz w:val="16"/>
          <w:szCs w:val="16"/>
        </w:rPr>
        <w:t xml:space="preserve"> </w:t>
      </w:r>
      <w:r w:rsidR="00C03FCA" w:rsidRPr="00C6329F">
        <w:rPr>
          <w:rFonts w:ascii="Verdana" w:hAnsi="Verdana"/>
          <w:sz w:val="16"/>
          <w:szCs w:val="16"/>
        </w:rPr>
        <w:t>“[e]</w:t>
      </w:r>
      <w:r w:rsidRPr="00C6329F">
        <w:rPr>
          <w:rFonts w:ascii="Verdana" w:hAnsi="Verdana"/>
          <w:sz w:val="16"/>
          <w:szCs w:val="16"/>
        </w:rPr>
        <w:t>n caso de que los beneficiarios hayan fallecido o fallezcan antes de que les sea entregada la indemnización respectiva, ésta se efectuará directamente a sus derechohabientes, conforme al derecho interno aplicable</w:t>
      </w:r>
      <w:r w:rsidR="00C03FCA" w:rsidRPr="00C6329F">
        <w:rPr>
          <w:rFonts w:ascii="Verdana" w:hAnsi="Verdana"/>
          <w:sz w:val="16"/>
          <w:szCs w:val="16"/>
        </w:rPr>
        <w:t>”</w:t>
      </w:r>
      <w:r w:rsidRPr="00C6329F">
        <w:rPr>
          <w:rFonts w:ascii="Verdana" w:hAnsi="Verdana"/>
          <w:sz w:val="16"/>
          <w:szCs w:val="16"/>
        </w:rPr>
        <w:t>.</w:t>
      </w:r>
    </w:p>
  </w:footnote>
  <w:footnote w:id="25">
    <w:p w14:paraId="47797A9B" w14:textId="309BEE98" w:rsidR="0029475F" w:rsidRPr="00C6329F" w:rsidRDefault="0029475F" w:rsidP="00985362">
      <w:pPr>
        <w:pStyle w:val="Textonotapie"/>
        <w:tabs>
          <w:tab w:val="left" w:pos="432"/>
        </w:tabs>
        <w:jc w:val="both"/>
        <w:rPr>
          <w:rFonts w:ascii="Verdana" w:hAnsi="Verdana"/>
          <w:sz w:val="16"/>
          <w:szCs w:val="16"/>
        </w:rPr>
      </w:pPr>
      <w:r w:rsidRPr="00C6329F">
        <w:rPr>
          <w:rStyle w:val="Refdenotaalpie"/>
          <w:rFonts w:ascii="Verdana" w:hAnsi="Verdana"/>
          <w:sz w:val="16"/>
          <w:szCs w:val="16"/>
        </w:rPr>
        <w:footnoteRef/>
      </w:r>
      <w:r w:rsidRPr="00C6329F">
        <w:rPr>
          <w:rFonts w:ascii="Verdana" w:hAnsi="Verdana"/>
          <w:sz w:val="16"/>
          <w:szCs w:val="16"/>
        </w:rPr>
        <w:tab/>
        <w:t>En el párrafo 383</w:t>
      </w:r>
      <w:r w:rsidR="00492056" w:rsidRPr="00C6329F">
        <w:rPr>
          <w:rFonts w:ascii="Verdana" w:hAnsi="Verdana"/>
          <w:sz w:val="16"/>
          <w:szCs w:val="16"/>
        </w:rPr>
        <w:t xml:space="preserve"> de la Sentencia</w:t>
      </w:r>
      <w:r w:rsidRPr="00C6329F">
        <w:rPr>
          <w:rFonts w:ascii="Verdana" w:hAnsi="Verdana"/>
          <w:sz w:val="16"/>
          <w:szCs w:val="16"/>
        </w:rPr>
        <w:t xml:space="preserve"> la Corte fijó en equidad: USD $70,000.00 para la Fundación Myrna Mack Chang por concepto de costas y gastos por las labores realizadas en el litigio del caso a nivel internacional desde el año 2005, y USD $10,000.00 para la IHRLC, por el litigio del caso a nivel internacional a partir del año 2007.</w:t>
      </w:r>
    </w:p>
  </w:footnote>
  <w:footnote w:id="26">
    <w:p w14:paraId="252E38AD" w14:textId="5926C0C9" w:rsidR="00C24273" w:rsidRPr="00C6329F" w:rsidRDefault="00C24273" w:rsidP="00FF3984">
      <w:pPr>
        <w:pStyle w:val="Textonotapie"/>
        <w:tabs>
          <w:tab w:val="left" w:pos="432"/>
        </w:tabs>
        <w:jc w:val="both"/>
        <w:rPr>
          <w:rFonts w:ascii="Verdana" w:hAnsi="Verdana"/>
          <w:sz w:val="16"/>
          <w:szCs w:val="16"/>
        </w:rPr>
      </w:pPr>
      <w:r w:rsidRPr="00C6329F">
        <w:rPr>
          <w:rStyle w:val="Refdenotaalpie"/>
          <w:rFonts w:ascii="Verdana" w:hAnsi="Verdana"/>
          <w:sz w:val="16"/>
          <w:szCs w:val="16"/>
        </w:rPr>
        <w:footnoteRef/>
      </w:r>
      <w:r w:rsidR="00DA074E" w:rsidRPr="00C6329F">
        <w:rPr>
          <w:rFonts w:ascii="Verdana" w:hAnsi="Verdana"/>
          <w:sz w:val="16"/>
          <w:szCs w:val="16"/>
        </w:rPr>
        <w:tab/>
      </w:r>
      <w:r w:rsidRPr="00C6329F">
        <w:rPr>
          <w:rFonts w:ascii="Verdana" w:hAnsi="Verdana"/>
          <w:sz w:val="16"/>
          <w:szCs w:val="16"/>
        </w:rPr>
        <w:t xml:space="preserve">Las personas </w:t>
      </w:r>
      <w:r w:rsidR="002745C3" w:rsidRPr="00C6329F">
        <w:rPr>
          <w:rFonts w:ascii="Verdana" w:hAnsi="Verdana"/>
          <w:sz w:val="16"/>
          <w:szCs w:val="16"/>
        </w:rPr>
        <w:t xml:space="preserve">de los grupos familiares </w:t>
      </w:r>
      <w:r w:rsidRPr="00C6329F">
        <w:rPr>
          <w:rFonts w:ascii="Verdana" w:hAnsi="Verdana"/>
          <w:sz w:val="16"/>
          <w:szCs w:val="16"/>
        </w:rPr>
        <w:t xml:space="preserve">que recibieron los montos son las siguientes: i) Miriam Nineth Ramírez </w:t>
      </w:r>
      <w:proofErr w:type="spellStart"/>
      <w:r w:rsidRPr="00C6329F">
        <w:rPr>
          <w:rFonts w:ascii="Verdana" w:hAnsi="Verdana"/>
          <w:sz w:val="16"/>
          <w:szCs w:val="16"/>
        </w:rPr>
        <w:t>Galvez</w:t>
      </w:r>
      <w:proofErr w:type="spellEnd"/>
      <w:r w:rsidRPr="00C6329F">
        <w:rPr>
          <w:rFonts w:ascii="Verdana" w:hAnsi="Verdana"/>
          <w:sz w:val="16"/>
          <w:szCs w:val="16"/>
        </w:rPr>
        <w:t xml:space="preserve">; </w:t>
      </w:r>
      <w:proofErr w:type="spellStart"/>
      <w:r w:rsidRPr="00C6329F">
        <w:rPr>
          <w:rFonts w:ascii="Verdana" w:hAnsi="Verdana"/>
          <w:sz w:val="16"/>
          <w:szCs w:val="16"/>
        </w:rPr>
        <w:t>ii</w:t>
      </w:r>
      <w:proofErr w:type="spellEnd"/>
      <w:r w:rsidRPr="00C6329F">
        <w:rPr>
          <w:rFonts w:ascii="Verdana" w:hAnsi="Verdana"/>
          <w:sz w:val="16"/>
          <w:szCs w:val="16"/>
        </w:rPr>
        <w:t xml:space="preserve">) María Ofelia </w:t>
      </w:r>
      <w:proofErr w:type="spellStart"/>
      <w:r w:rsidRPr="00C6329F">
        <w:rPr>
          <w:rFonts w:ascii="Verdana" w:hAnsi="Verdana"/>
          <w:sz w:val="16"/>
          <w:szCs w:val="16"/>
        </w:rPr>
        <w:t>Salanic</w:t>
      </w:r>
      <w:proofErr w:type="spellEnd"/>
      <w:r w:rsidRPr="00C6329F">
        <w:rPr>
          <w:rFonts w:ascii="Verdana" w:hAnsi="Verdana"/>
          <w:sz w:val="16"/>
          <w:szCs w:val="16"/>
        </w:rPr>
        <w:t xml:space="preserve"> </w:t>
      </w:r>
      <w:proofErr w:type="spellStart"/>
      <w:r w:rsidRPr="00C6329F">
        <w:rPr>
          <w:rFonts w:ascii="Verdana" w:hAnsi="Verdana"/>
          <w:sz w:val="16"/>
          <w:szCs w:val="16"/>
        </w:rPr>
        <w:t>Chiguil</w:t>
      </w:r>
      <w:proofErr w:type="spellEnd"/>
      <w:r w:rsidRPr="00C6329F">
        <w:rPr>
          <w:rFonts w:ascii="Verdana" w:hAnsi="Verdana"/>
          <w:sz w:val="16"/>
          <w:szCs w:val="16"/>
        </w:rPr>
        <w:t xml:space="preserve">; </w:t>
      </w:r>
      <w:proofErr w:type="spellStart"/>
      <w:r w:rsidRPr="00C6329F">
        <w:rPr>
          <w:rFonts w:ascii="Verdana" w:hAnsi="Verdana"/>
          <w:sz w:val="16"/>
          <w:szCs w:val="16"/>
        </w:rPr>
        <w:t>iii</w:t>
      </w:r>
      <w:proofErr w:type="spellEnd"/>
      <w:r w:rsidRPr="00C6329F">
        <w:rPr>
          <w:rFonts w:ascii="Verdana" w:hAnsi="Verdana"/>
          <w:sz w:val="16"/>
          <w:szCs w:val="16"/>
        </w:rPr>
        <w:t xml:space="preserve">) Sonia </w:t>
      </w:r>
      <w:proofErr w:type="spellStart"/>
      <w:r w:rsidRPr="00C6329F">
        <w:rPr>
          <w:rFonts w:ascii="Verdana" w:hAnsi="Verdana"/>
          <w:sz w:val="16"/>
          <w:szCs w:val="16"/>
        </w:rPr>
        <w:t>Guisela</w:t>
      </w:r>
      <w:proofErr w:type="spellEnd"/>
      <w:r w:rsidRPr="00C6329F">
        <w:rPr>
          <w:rFonts w:ascii="Verdana" w:hAnsi="Verdana"/>
          <w:sz w:val="16"/>
          <w:szCs w:val="16"/>
        </w:rPr>
        <w:t xml:space="preserve"> Calderón Revolorio De Hernández; </w:t>
      </w:r>
      <w:proofErr w:type="spellStart"/>
      <w:r w:rsidRPr="00C6329F">
        <w:rPr>
          <w:rFonts w:ascii="Verdana" w:hAnsi="Verdana"/>
          <w:sz w:val="16"/>
          <w:szCs w:val="16"/>
        </w:rPr>
        <w:t>iv</w:t>
      </w:r>
      <w:proofErr w:type="spellEnd"/>
      <w:r w:rsidRPr="00C6329F">
        <w:rPr>
          <w:rFonts w:ascii="Verdana" w:hAnsi="Verdana"/>
          <w:sz w:val="16"/>
          <w:szCs w:val="16"/>
        </w:rPr>
        <w:t xml:space="preserve">) </w:t>
      </w:r>
      <w:proofErr w:type="spellStart"/>
      <w:r w:rsidRPr="00C6329F">
        <w:rPr>
          <w:rFonts w:ascii="Verdana" w:hAnsi="Verdana"/>
          <w:sz w:val="16"/>
          <w:szCs w:val="16"/>
        </w:rPr>
        <w:t>Helver</w:t>
      </w:r>
      <w:proofErr w:type="spellEnd"/>
      <w:r w:rsidRPr="00C6329F">
        <w:rPr>
          <w:rFonts w:ascii="Verdana" w:hAnsi="Verdana"/>
          <w:sz w:val="16"/>
          <w:szCs w:val="16"/>
        </w:rPr>
        <w:t xml:space="preserve"> Vinicio García Escobar; v) Olivia Berenice Rojas Andrade; vi) Luis </w:t>
      </w:r>
      <w:proofErr w:type="spellStart"/>
      <w:r w:rsidRPr="00C6329F">
        <w:rPr>
          <w:rFonts w:ascii="Verdana" w:hAnsi="Verdana"/>
          <w:sz w:val="16"/>
          <w:szCs w:val="16"/>
        </w:rPr>
        <w:t>Moises</w:t>
      </w:r>
      <w:proofErr w:type="spellEnd"/>
      <w:r w:rsidRPr="00C6329F">
        <w:rPr>
          <w:rFonts w:ascii="Verdana" w:hAnsi="Verdana"/>
          <w:sz w:val="16"/>
          <w:szCs w:val="16"/>
        </w:rPr>
        <w:t xml:space="preserve"> Peñate Munguía; </w:t>
      </w:r>
      <w:proofErr w:type="spellStart"/>
      <w:r w:rsidRPr="00C6329F">
        <w:rPr>
          <w:rFonts w:ascii="Verdana" w:hAnsi="Verdana"/>
          <w:sz w:val="16"/>
          <w:szCs w:val="16"/>
        </w:rPr>
        <w:t>vii</w:t>
      </w:r>
      <w:proofErr w:type="spellEnd"/>
      <w:r w:rsidRPr="00C6329F">
        <w:rPr>
          <w:rFonts w:ascii="Verdana" w:hAnsi="Verdana"/>
          <w:sz w:val="16"/>
          <w:szCs w:val="16"/>
        </w:rPr>
        <w:t xml:space="preserve">) María del Rosario Bran De Villatoro, y viii) Reyna de Jesús Escobar Rodríguez. </w:t>
      </w:r>
      <w:r w:rsidRPr="00C6329F">
        <w:rPr>
          <w:rFonts w:ascii="Verdana" w:hAnsi="Verdana"/>
          <w:i/>
          <w:sz w:val="16"/>
          <w:szCs w:val="16"/>
        </w:rPr>
        <w:t xml:space="preserve">Cfr. </w:t>
      </w:r>
      <w:r w:rsidRPr="00C6329F">
        <w:rPr>
          <w:rFonts w:ascii="Verdana" w:hAnsi="Verdana"/>
          <w:sz w:val="16"/>
          <w:szCs w:val="16"/>
        </w:rPr>
        <w:t>Copia de las actas de pago 18,</w:t>
      </w:r>
      <w:r w:rsidR="00D00A8B" w:rsidRPr="00C6329F">
        <w:rPr>
          <w:rFonts w:ascii="Verdana" w:hAnsi="Verdana"/>
          <w:sz w:val="16"/>
          <w:szCs w:val="16"/>
        </w:rPr>
        <w:t xml:space="preserve"> 19, 20, 21, 22, 23,</w:t>
      </w:r>
      <w:r w:rsidRPr="00C6329F">
        <w:rPr>
          <w:rFonts w:ascii="Verdana" w:hAnsi="Verdana"/>
          <w:sz w:val="16"/>
          <w:szCs w:val="16"/>
        </w:rPr>
        <w:t xml:space="preserve"> 24 y 25 de 21 de diciembre de 2017 (anexo 1 al informe estatal de 11 de enero de 2018). </w:t>
      </w:r>
      <w:r w:rsidR="00461A3E" w:rsidRPr="00C6329F">
        <w:rPr>
          <w:rFonts w:ascii="Verdana" w:hAnsi="Verdana"/>
          <w:sz w:val="16"/>
          <w:szCs w:val="16"/>
          <w:lang w:val="es-CR"/>
        </w:rPr>
        <w:t xml:space="preserve">A su vez, los representantes indicaron, en su escrito de 1 de marzo de 2018, que dichos </w:t>
      </w:r>
      <w:r w:rsidR="002745C3" w:rsidRPr="00C6329F">
        <w:rPr>
          <w:rFonts w:ascii="Verdana" w:hAnsi="Verdana"/>
          <w:sz w:val="16"/>
          <w:szCs w:val="16"/>
          <w:lang w:val="es-CR"/>
        </w:rPr>
        <w:t xml:space="preserve">pagos realizados en el año 2017 </w:t>
      </w:r>
      <w:r w:rsidR="00461A3E" w:rsidRPr="00C6329F">
        <w:rPr>
          <w:rFonts w:ascii="Verdana" w:hAnsi="Verdana"/>
          <w:sz w:val="16"/>
          <w:szCs w:val="16"/>
          <w:lang w:val="es-CR"/>
        </w:rPr>
        <w:t xml:space="preserve">correspondían con los grupos familiares </w:t>
      </w:r>
      <w:r w:rsidR="00077A03" w:rsidRPr="00C6329F">
        <w:rPr>
          <w:rFonts w:ascii="Verdana" w:hAnsi="Verdana"/>
          <w:sz w:val="16"/>
          <w:szCs w:val="16"/>
          <w:lang w:val="es-CR"/>
        </w:rPr>
        <w:t>de</w:t>
      </w:r>
      <w:r w:rsidR="00461A3E" w:rsidRPr="00C6329F">
        <w:rPr>
          <w:rFonts w:ascii="Verdana" w:hAnsi="Verdana"/>
          <w:sz w:val="16"/>
          <w:szCs w:val="16"/>
          <w:lang w:val="es-CR"/>
        </w:rPr>
        <w:t xml:space="preserve">: i) Carlos Guillermo Ramírez Gálvez; </w:t>
      </w:r>
      <w:proofErr w:type="spellStart"/>
      <w:r w:rsidR="00461A3E" w:rsidRPr="00C6329F">
        <w:rPr>
          <w:rFonts w:ascii="Verdana" w:hAnsi="Verdana"/>
          <w:sz w:val="16"/>
          <w:szCs w:val="16"/>
          <w:lang w:val="es-CR"/>
        </w:rPr>
        <w:t>ii</w:t>
      </w:r>
      <w:proofErr w:type="spellEnd"/>
      <w:r w:rsidR="00461A3E" w:rsidRPr="00C6329F">
        <w:rPr>
          <w:rFonts w:ascii="Verdana" w:hAnsi="Verdana"/>
          <w:sz w:val="16"/>
          <w:szCs w:val="16"/>
          <w:lang w:val="es-CR"/>
        </w:rPr>
        <w:t xml:space="preserve">) Manuel Ismael </w:t>
      </w:r>
      <w:proofErr w:type="spellStart"/>
      <w:r w:rsidR="00461A3E" w:rsidRPr="00C6329F">
        <w:rPr>
          <w:rFonts w:ascii="Verdana" w:hAnsi="Verdana"/>
          <w:sz w:val="16"/>
          <w:szCs w:val="16"/>
          <w:lang w:val="es-CR"/>
        </w:rPr>
        <w:t>Salanic</w:t>
      </w:r>
      <w:proofErr w:type="spellEnd"/>
      <w:r w:rsidR="00461A3E" w:rsidRPr="00C6329F">
        <w:rPr>
          <w:rFonts w:ascii="Verdana" w:hAnsi="Verdana"/>
          <w:sz w:val="16"/>
          <w:szCs w:val="16"/>
          <w:lang w:val="es-CR"/>
        </w:rPr>
        <w:t xml:space="preserve"> </w:t>
      </w:r>
      <w:proofErr w:type="spellStart"/>
      <w:r w:rsidR="00461A3E" w:rsidRPr="00C6329F">
        <w:rPr>
          <w:rFonts w:ascii="Verdana" w:hAnsi="Verdana"/>
          <w:sz w:val="16"/>
          <w:szCs w:val="16"/>
          <w:lang w:val="es-CR"/>
        </w:rPr>
        <w:t>Chiguil</w:t>
      </w:r>
      <w:proofErr w:type="spellEnd"/>
      <w:r w:rsidR="00461A3E" w:rsidRPr="00C6329F">
        <w:rPr>
          <w:rFonts w:ascii="Verdana" w:hAnsi="Verdana"/>
          <w:sz w:val="16"/>
          <w:szCs w:val="16"/>
          <w:lang w:val="es-CR"/>
        </w:rPr>
        <w:t xml:space="preserve">; </w:t>
      </w:r>
      <w:proofErr w:type="spellStart"/>
      <w:r w:rsidR="00461A3E" w:rsidRPr="00C6329F">
        <w:rPr>
          <w:rFonts w:ascii="Verdana" w:hAnsi="Verdana"/>
          <w:sz w:val="16"/>
          <w:szCs w:val="16"/>
          <w:lang w:val="es-CR"/>
        </w:rPr>
        <w:t>iii</w:t>
      </w:r>
      <w:proofErr w:type="spellEnd"/>
      <w:r w:rsidR="00461A3E" w:rsidRPr="00C6329F">
        <w:rPr>
          <w:rFonts w:ascii="Verdana" w:hAnsi="Verdana"/>
          <w:sz w:val="16"/>
          <w:szCs w:val="16"/>
          <w:lang w:val="es-CR"/>
        </w:rPr>
        <w:t xml:space="preserve">) </w:t>
      </w:r>
      <w:proofErr w:type="spellStart"/>
      <w:r w:rsidR="00461A3E" w:rsidRPr="00C6329F">
        <w:rPr>
          <w:rFonts w:ascii="Verdana" w:hAnsi="Verdana"/>
          <w:sz w:val="16"/>
          <w:szCs w:val="16"/>
          <w:lang w:val="es-CR"/>
        </w:rPr>
        <w:t>Victor</w:t>
      </w:r>
      <w:proofErr w:type="spellEnd"/>
      <w:r w:rsidR="00461A3E" w:rsidRPr="00C6329F">
        <w:rPr>
          <w:rFonts w:ascii="Verdana" w:hAnsi="Verdana"/>
          <w:sz w:val="16"/>
          <w:szCs w:val="16"/>
          <w:lang w:val="es-CR"/>
        </w:rPr>
        <w:t xml:space="preserve"> Manuel Calderón Díaz; iv) Lesbia Lucrecia García Escobar; v) Joaquín Rodas Andrade; vi) Luis Rolando Peñate Lima; </w:t>
      </w:r>
      <w:proofErr w:type="spellStart"/>
      <w:r w:rsidR="00461A3E" w:rsidRPr="00C6329F">
        <w:rPr>
          <w:rFonts w:ascii="Verdana" w:hAnsi="Verdana"/>
          <w:sz w:val="16"/>
          <w:szCs w:val="16"/>
          <w:lang w:val="es-CR"/>
        </w:rPr>
        <w:t>vii</w:t>
      </w:r>
      <w:proofErr w:type="spellEnd"/>
      <w:r w:rsidR="00461A3E" w:rsidRPr="00C6329F">
        <w:rPr>
          <w:rFonts w:ascii="Verdana" w:hAnsi="Verdana"/>
          <w:sz w:val="16"/>
          <w:szCs w:val="16"/>
          <w:lang w:val="es-CR"/>
        </w:rPr>
        <w:t xml:space="preserve">) Amancio Samuel Villatoro; y viii) </w:t>
      </w:r>
      <w:r w:rsidR="00461A3E" w:rsidRPr="00C6329F">
        <w:rPr>
          <w:rFonts w:ascii="Verdana" w:hAnsi="Verdana"/>
          <w:sz w:val="16"/>
          <w:szCs w:val="16"/>
          <w:lang w:val="es-CO"/>
        </w:rPr>
        <w:t>José Porfirio Hernández Bonilla, respectivamente</w:t>
      </w:r>
      <w:r w:rsidR="00461A3E" w:rsidRPr="00C6329F">
        <w:rPr>
          <w:rFonts w:ascii="Verdana" w:hAnsi="Verdana"/>
          <w:sz w:val="16"/>
          <w:szCs w:val="16"/>
          <w:lang w:val="es-CR"/>
        </w:rPr>
        <w:t>.</w:t>
      </w:r>
      <w:r w:rsidR="00A9043C" w:rsidRPr="00C6329F">
        <w:rPr>
          <w:rFonts w:ascii="Verdana" w:hAnsi="Verdana"/>
          <w:sz w:val="16"/>
          <w:szCs w:val="16"/>
          <w:lang w:val="es-CR"/>
        </w:rPr>
        <w:t xml:space="preserve"> </w:t>
      </w:r>
      <w:r w:rsidR="004F3473" w:rsidRPr="00C6329F">
        <w:rPr>
          <w:rFonts w:ascii="Verdana" w:hAnsi="Verdana"/>
          <w:i/>
          <w:sz w:val="16"/>
          <w:szCs w:val="16"/>
          <w:lang w:val="es-CR"/>
        </w:rPr>
        <w:t xml:space="preserve">Cfr. </w:t>
      </w:r>
      <w:r w:rsidR="00866187" w:rsidRPr="00C6329F">
        <w:rPr>
          <w:rFonts w:ascii="Verdana" w:hAnsi="Verdana"/>
          <w:sz w:val="16"/>
          <w:szCs w:val="16"/>
          <w:lang w:val="es-CR"/>
        </w:rPr>
        <w:t xml:space="preserve">Informe estatal de 8 de enero de 2018. </w:t>
      </w:r>
    </w:p>
  </w:footnote>
  <w:footnote w:id="27">
    <w:p w14:paraId="48B1E41B" w14:textId="251907D3" w:rsidR="00A9043C" w:rsidRPr="00C6329F" w:rsidRDefault="00A9043C" w:rsidP="00FF3984">
      <w:pPr>
        <w:pStyle w:val="Textonotapie"/>
        <w:tabs>
          <w:tab w:val="left" w:pos="432"/>
        </w:tabs>
        <w:jc w:val="both"/>
        <w:rPr>
          <w:rFonts w:ascii="Verdana" w:hAnsi="Verdana"/>
          <w:sz w:val="16"/>
          <w:szCs w:val="16"/>
          <w:lang w:val="es-CR"/>
        </w:rPr>
      </w:pPr>
      <w:r w:rsidRPr="00C6329F">
        <w:rPr>
          <w:rStyle w:val="Refdenotaalpie"/>
          <w:rFonts w:ascii="Verdana" w:hAnsi="Verdana"/>
          <w:sz w:val="16"/>
          <w:szCs w:val="16"/>
        </w:rPr>
        <w:footnoteRef/>
      </w:r>
      <w:r w:rsidRPr="00C6329F">
        <w:rPr>
          <w:rFonts w:ascii="Verdana" w:hAnsi="Verdana"/>
          <w:sz w:val="16"/>
          <w:szCs w:val="16"/>
        </w:rPr>
        <w:t xml:space="preserve"> </w:t>
      </w:r>
      <w:r w:rsidRPr="00C6329F">
        <w:rPr>
          <w:rFonts w:ascii="Verdana" w:hAnsi="Verdana"/>
          <w:sz w:val="16"/>
          <w:szCs w:val="16"/>
          <w:lang w:val="es-CR"/>
        </w:rPr>
        <w:tab/>
      </w:r>
      <w:r w:rsidRPr="00C6329F">
        <w:rPr>
          <w:rFonts w:ascii="Verdana" w:hAnsi="Verdana"/>
          <w:i/>
          <w:sz w:val="16"/>
          <w:szCs w:val="16"/>
          <w:lang w:val="es-CR"/>
        </w:rPr>
        <w:t xml:space="preserve">Cfr. </w:t>
      </w:r>
      <w:r w:rsidR="00866187" w:rsidRPr="00C6329F">
        <w:rPr>
          <w:rFonts w:ascii="Verdana" w:hAnsi="Verdana"/>
          <w:sz w:val="16"/>
          <w:szCs w:val="16"/>
          <w:lang w:val="es-CR"/>
        </w:rPr>
        <w:t xml:space="preserve">Escrito de observaciones de los representantes de 14 de diciembre de 2018. </w:t>
      </w:r>
    </w:p>
  </w:footnote>
  <w:footnote w:id="28">
    <w:p w14:paraId="471741CE" w14:textId="421A017E" w:rsidR="00D70B1D" w:rsidRPr="00C6329F" w:rsidRDefault="00D70B1D" w:rsidP="00FF3984">
      <w:pPr>
        <w:pStyle w:val="Textonotapie"/>
        <w:tabs>
          <w:tab w:val="left" w:pos="432"/>
        </w:tabs>
        <w:jc w:val="both"/>
        <w:rPr>
          <w:rFonts w:ascii="Verdana" w:hAnsi="Verdana"/>
          <w:sz w:val="16"/>
          <w:szCs w:val="16"/>
          <w:lang w:val="es-CR"/>
        </w:rPr>
      </w:pPr>
      <w:r w:rsidRPr="00C6329F">
        <w:rPr>
          <w:rStyle w:val="Refdenotaalpie"/>
          <w:rFonts w:ascii="Verdana" w:hAnsi="Verdana"/>
          <w:sz w:val="16"/>
          <w:szCs w:val="16"/>
        </w:rPr>
        <w:footnoteRef/>
      </w:r>
      <w:r w:rsidRPr="00C6329F">
        <w:rPr>
          <w:rFonts w:ascii="Verdana" w:hAnsi="Verdana"/>
          <w:sz w:val="16"/>
          <w:szCs w:val="16"/>
        </w:rPr>
        <w:t xml:space="preserve"> </w:t>
      </w:r>
      <w:r w:rsidRPr="00C6329F">
        <w:rPr>
          <w:rFonts w:ascii="Verdana" w:hAnsi="Verdana"/>
          <w:sz w:val="16"/>
          <w:szCs w:val="16"/>
          <w:lang w:val="es-CR"/>
        </w:rPr>
        <w:tab/>
      </w:r>
      <w:r w:rsidRPr="00C6329F">
        <w:rPr>
          <w:rFonts w:ascii="Verdana" w:hAnsi="Verdana"/>
          <w:i/>
          <w:sz w:val="16"/>
          <w:szCs w:val="16"/>
          <w:lang w:val="es-CR"/>
        </w:rPr>
        <w:t xml:space="preserve">Cfr. </w:t>
      </w:r>
      <w:r w:rsidR="00866187" w:rsidRPr="00C6329F">
        <w:rPr>
          <w:rFonts w:ascii="Verdana" w:hAnsi="Verdana"/>
          <w:sz w:val="16"/>
          <w:szCs w:val="16"/>
          <w:lang w:val="es-CR"/>
        </w:rPr>
        <w:t>Escrito de observaciones de los representantes de 14 de diciembre de 2018.</w:t>
      </w:r>
    </w:p>
  </w:footnote>
  <w:footnote w:id="29">
    <w:p w14:paraId="535AE252" w14:textId="05C62DA2" w:rsidR="00086752" w:rsidRPr="00C6329F" w:rsidRDefault="00086752" w:rsidP="00FF3984">
      <w:pPr>
        <w:pStyle w:val="Textonotapie"/>
        <w:tabs>
          <w:tab w:val="left" w:pos="432"/>
        </w:tabs>
        <w:jc w:val="both"/>
        <w:rPr>
          <w:rFonts w:ascii="Verdana" w:hAnsi="Verdana"/>
          <w:sz w:val="16"/>
          <w:szCs w:val="16"/>
          <w:lang w:val="es-CR"/>
        </w:rPr>
      </w:pPr>
      <w:r w:rsidRPr="00C6329F">
        <w:rPr>
          <w:rStyle w:val="Refdenotaalpie"/>
          <w:rFonts w:ascii="Verdana" w:hAnsi="Verdana"/>
          <w:sz w:val="16"/>
          <w:szCs w:val="16"/>
        </w:rPr>
        <w:footnoteRef/>
      </w:r>
      <w:r w:rsidR="00253BFF" w:rsidRPr="00C6329F">
        <w:rPr>
          <w:rFonts w:ascii="Verdana" w:hAnsi="Verdana"/>
          <w:sz w:val="16"/>
          <w:szCs w:val="16"/>
        </w:rPr>
        <w:tab/>
      </w:r>
      <w:r w:rsidRPr="00C6329F">
        <w:rPr>
          <w:rFonts w:ascii="Verdana" w:hAnsi="Verdana"/>
          <w:i/>
          <w:sz w:val="16"/>
          <w:szCs w:val="16"/>
        </w:rPr>
        <w:t xml:space="preserve">Cfr. </w:t>
      </w:r>
      <w:r w:rsidRPr="00C6329F">
        <w:rPr>
          <w:rStyle w:val="Textoennegrita"/>
          <w:rFonts w:ascii="Verdana" w:hAnsi="Verdana"/>
          <w:b w:val="0"/>
          <w:i/>
          <w:color w:val="000000"/>
          <w:sz w:val="16"/>
          <w:szCs w:val="16"/>
          <w:shd w:val="clear" w:color="auto" w:fill="FFFFFF"/>
        </w:rPr>
        <w:t>Caso Gudiel Álvarez y otros ("Diario Militar") Vs. Guatemala</w:t>
      </w:r>
      <w:r w:rsidR="001C4DB6" w:rsidRPr="00C6329F">
        <w:rPr>
          <w:rStyle w:val="Textoennegrita"/>
          <w:rFonts w:ascii="Verdana" w:hAnsi="Verdana"/>
          <w:b w:val="0"/>
          <w:i/>
          <w:color w:val="000000"/>
          <w:sz w:val="16"/>
          <w:szCs w:val="16"/>
          <w:shd w:val="clear" w:color="auto" w:fill="FFFFFF"/>
        </w:rPr>
        <w:t xml:space="preserve">, supra </w:t>
      </w:r>
      <w:r w:rsidR="001C4DB6" w:rsidRPr="00C6329F">
        <w:rPr>
          <w:rStyle w:val="Textoennegrita"/>
          <w:rFonts w:ascii="Verdana" w:hAnsi="Verdana"/>
          <w:b w:val="0"/>
          <w:color w:val="000000"/>
          <w:sz w:val="16"/>
          <w:szCs w:val="16"/>
          <w:shd w:val="clear" w:color="auto" w:fill="FFFFFF"/>
        </w:rPr>
        <w:t>nota 1</w:t>
      </w:r>
      <w:r w:rsidRPr="00C6329F">
        <w:rPr>
          <w:rStyle w:val="Textoennegrita"/>
          <w:rFonts w:ascii="Verdana" w:hAnsi="Verdana"/>
          <w:b w:val="0"/>
          <w:color w:val="000000"/>
          <w:sz w:val="16"/>
          <w:szCs w:val="16"/>
          <w:shd w:val="clear" w:color="auto" w:fill="FFFFFF"/>
        </w:rPr>
        <w:t>, párr. 390.</w:t>
      </w:r>
    </w:p>
  </w:footnote>
  <w:footnote w:id="30">
    <w:p w14:paraId="799E8571" w14:textId="2B6D43E4" w:rsidR="00045F7E" w:rsidRPr="00C6329F" w:rsidRDefault="00045F7E" w:rsidP="00FF3984">
      <w:pPr>
        <w:pStyle w:val="Textonotapie"/>
        <w:tabs>
          <w:tab w:val="left" w:pos="432"/>
        </w:tabs>
        <w:jc w:val="both"/>
        <w:rPr>
          <w:rFonts w:ascii="Verdana" w:hAnsi="Verdana"/>
          <w:i/>
          <w:sz w:val="16"/>
          <w:szCs w:val="16"/>
        </w:rPr>
      </w:pPr>
      <w:r w:rsidRPr="00C6329F">
        <w:rPr>
          <w:rStyle w:val="Refdenotaalpie"/>
          <w:rFonts w:ascii="Verdana" w:hAnsi="Verdana"/>
          <w:sz w:val="16"/>
          <w:szCs w:val="16"/>
        </w:rPr>
        <w:footnoteRef/>
      </w:r>
      <w:r w:rsidRPr="00C6329F">
        <w:rPr>
          <w:rFonts w:ascii="Verdana" w:hAnsi="Verdana"/>
          <w:sz w:val="16"/>
          <w:szCs w:val="16"/>
        </w:rPr>
        <w:t xml:space="preserve"> </w:t>
      </w:r>
      <w:r w:rsidRPr="00C6329F">
        <w:rPr>
          <w:rFonts w:ascii="Verdana" w:hAnsi="Verdana"/>
          <w:sz w:val="16"/>
          <w:szCs w:val="16"/>
        </w:rPr>
        <w:tab/>
      </w:r>
      <w:r w:rsidRPr="00C6329F">
        <w:rPr>
          <w:rFonts w:ascii="Verdana" w:hAnsi="Verdana"/>
          <w:i/>
          <w:sz w:val="16"/>
          <w:szCs w:val="16"/>
        </w:rPr>
        <w:t xml:space="preserve">Cfr. </w:t>
      </w:r>
      <w:r w:rsidR="00C6329F" w:rsidRPr="00C6329F">
        <w:rPr>
          <w:rFonts w:ascii="Verdana" w:hAnsi="Verdana"/>
          <w:sz w:val="16"/>
          <w:szCs w:val="16"/>
          <w:lang w:val="es-CR"/>
        </w:rPr>
        <w:t xml:space="preserve">Informe estatal de 23 de noviembre de 2018. </w:t>
      </w:r>
    </w:p>
  </w:footnote>
  <w:footnote w:id="31">
    <w:p w14:paraId="6DE48A9C" w14:textId="5E440131" w:rsidR="002745C3" w:rsidRPr="00C6329F" w:rsidRDefault="002745C3" w:rsidP="00FF3984">
      <w:pPr>
        <w:pStyle w:val="Textonotapie"/>
        <w:tabs>
          <w:tab w:val="left" w:pos="432"/>
        </w:tabs>
        <w:jc w:val="both"/>
        <w:rPr>
          <w:rFonts w:ascii="Verdana" w:hAnsi="Verdana"/>
          <w:sz w:val="16"/>
          <w:szCs w:val="16"/>
          <w:lang w:val="es-CR"/>
        </w:rPr>
      </w:pPr>
      <w:r w:rsidRPr="00C6329F">
        <w:rPr>
          <w:rStyle w:val="Refdenotaalpie"/>
          <w:rFonts w:ascii="Verdana" w:hAnsi="Verdana"/>
          <w:sz w:val="16"/>
          <w:szCs w:val="16"/>
        </w:rPr>
        <w:footnoteRef/>
      </w:r>
      <w:r w:rsidRPr="00C6329F">
        <w:rPr>
          <w:rFonts w:ascii="Verdana" w:hAnsi="Verdana"/>
          <w:sz w:val="16"/>
          <w:szCs w:val="16"/>
        </w:rPr>
        <w:t xml:space="preserve"> </w:t>
      </w:r>
      <w:r w:rsidR="00F47D5B" w:rsidRPr="00C6329F">
        <w:rPr>
          <w:rFonts w:ascii="Verdana" w:hAnsi="Verdana"/>
          <w:sz w:val="16"/>
          <w:szCs w:val="16"/>
        </w:rPr>
        <w:tab/>
      </w:r>
      <w:r w:rsidR="00F47D5B" w:rsidRPr="00C6329F">
        <w:rPr>
          <w:rFonts w:ascii="Verdana" w:hAnsi="Verdana"/>
          <w:i/>
          <w:sz w:val="16"/>
          <w:szCs w:val="16"/>
        </w:rPr>
        <w:t>Cfr.</w:t>
      </w:r>
      <w:r w:rsidR="00F47D5B" w:rsidRPr="00C6329F">
        <w:rPr>
          <w:rFonts w:ascii="Verdana" w:hAnsi="Verdana"/>
          <w:sz w:val="16"/>
          <w:szCs w:val="16"/>
        </w:rPr>
        <w:t xml:space="preserve"> Escrito de observaciones de los representantes de las víctimas de 14 de diciembre de 2018. </w:t>
      </w:r>
    </w:p>
  </w:footnote>
  <w:footnote w:id="32">
    <w:p w14:paraId="7904A06B" w14:textId="76A09A3B" w:rsidR="00045F7E" w:rsidRPr="00C6329F" w:rsidRDefault="00045F7E" w:rsidP="00FF3984">
      <w:pPr>
        <w:pStyle w:val="Textonotapie"/>
        <w:tabs>
          <w:tab w:val="left" w:pos="432"/>
        </w:tabs>
        <w:jc w:val="both"/>
        <w:rPr>
          <w:rFonts w:ascii="Verdana" w:hAnsi="Verdana"/>
          <w:sz w:val="16"/>
          <w:szCs w:val="16"/>
        </w:rPr>
      </w:pPr>
      <w:r w:rsidRPr="00C6329F">
        <w:rPr>
          <w:rStyle w:val="Refdenotaalpie"/>
          <w:rFonts w:ascii="Verdana" w:hAnsi="Verdana"/>
          <w:sz w:val="16"/>
          <w:szCs w:val="16"/>
        </w:rPr>
        <w:footnoteRef/>
      </w:r>
      <w:r w:rsidRPr="00C6329F">
        <w:rPr>
          <w:rFonts w:ascii="Verdana" w:hAnsi="Verdana"/>
          <w:sz w:val="16"/>
          <w:szCs w:val="16"/>
        </w:rPr>
        <w:t xml:space="preserve"> </w:t>
      </w:r>
      <w:r w:rsidRPr="00C6329F">
        <w:rPr>
          <w:rFonts w:ascii="Verdana" w:hAnsi="Verdana"/>
          <w:sz w:val="16"/>
          <w:szCs w:val="16"/>
        </w:rPr>
        <w:tab/>
      </w:r>
      <w:r w:rsidRPr="00C6329F">
        <w:rPr>
          <w:rFonts w:ascii="Verdana" w:hAnsi="Verdana"/>
          <w:i/>
          <w:sz w:val="16"/>
          <w:szCs w:val="16"/>
        </w:rPr>
        <w:t xml:space="preserve">Cfr. </w:t>
      </w:r>
      <w:r w:rsidR="00C6329F" w:rsidRPr="00C6329F">
        <w:rPr>
          <w:rFonts w:ascii="Verdana" w:hAnsi="Verdana"/>
          <w:sz w:val="16"/>
          <w:szCs w:val="16"/>
        </w:rPr>
        <w:t>Escrito de observaciones de los representantes de las víctimas de 14 de diciembre de 2018.</w:t>
      </w:r>
    </w:p>
  </w:footnote>
  <w:footnote w:id="33">
    <w:p w14:paraId="0E115A41" w14:textId="4A1A175C" w:rsidR="00045F7E" w:rsidRPr="00C6329F" w:rsidRDefault="00045F7E" w:rsidP="00FF3984">
      <w:pPr>
        <w:pStyle w:val="Textonotapie"/>
        <w:tabs>
          <w:tab w:val="left" w:pos="432"/>
        </w:tabs>
        <w:jc w:val="both"/>
        <w:rPr>
          <w:rFonts w:ascii="Verdana" w:hAnsi="Verdana"/>
          <w:sz w:val="16"/>
          <w:szCs w:val="16"/>
        </w:rPr>
      </w:pPr>
      <w:r w:rsidRPr="00C6329F">
        <w:rPr>
          <w:rStyle w:val="Refdenotaalpie"/>
          <w:rFonts w:ascii="Verdana" w:hAnsi="Verdana"/>
          <w:sz w:val="16"/>
          <w:szCs w:val="16"/>
        </w:rPr>
        <w:footnoteRef/>
      </w:r>
      <w:r w:rsidRPr="00C6329F">
        <w:rPr>
          <w:rFonts w:ascii="Verdana" w:hAnsi="Verdana"/>
          <w:sz w:val="16"/>
          <w:szCs w:val="16"/>
        </w:rPr>
        <w:t xml:space="preserve"> </w:t>
      </w:r>
      <w:r w:rsidRPr="00C6329F">
        <w:rPr>
          <w:rFonts w:ascii="Verdana" w:hAnsi="Verdana"/>
          <w:sz w:val="16"/>
          <w:szCs w:val="16"/>
        </w:rPr>
        <w:tab/>
      </w:r>
      <w:r w:rsidRPr="00C6329F">
        <w:rPr>
          <w:rFonts w:ascii="Verdana" w:hAnsi="Verdana"/>
          <w:i/>
          <w:sz w:val="16"/>
          <w:szCs w:val="16"/>
        </w:rPr>
        <w:t xml:space="preserve">Cfr. </w:t>
      </w:r>
      <w:r w:rsidR="00C6329F" w:rsidRPr="00C6329F">
        <w:rPr>
          <w:rFonts w:ascii="Verdana" w:hAnsi="Verdana"/>
          <w:sz w:val="16"/>
          <w:szCs w:val="16"/>
        </w:rPr>
        <w:t>Escrito de observaciones de los representantes de las víctimas de 14 de diciembre de 2018.</w:t>
      </w:r>
    </w:p>
  </w:footnote>
  <w:footnote w:id="34">
    <w:p w14:paraId="770B4900" w14:textId="5A6F3107" w:rsidR="00CE33CB" w:rsidRPr="00F47D5B" w:rsidRDefault="00CE33CB" w:rsidP="00FF3984">
      <w:pPr>
        <w:pStyle w:val="Textonotapie"/>
        <w:tabs>
          <w:tab w:val="left" w:pos="432"/>
        </w:tabs>
        <w:jc w:val="both"/>
        <w:rPr>
          <w:lang w:val="es-CR"/>
        </w:rPr>
      </w:pPr>
      <w:r w:rsidRPr="00C6329F">
        <w:rPr>
          <w:rStyle w:val="Refdenotaalpie"/>
          <w:rFonts w:ascii="Verdana" w:hAnsi="Verdana"/>
          <w:sz w:val="16"/>
          <w:szCs w:val="16"/>
        </w:rPr>
        <w:footnoteRef/>
      </w:r>
      <w:r w:rsidRPr="00C6329F">
        <w:rPr>
          <w:rFonts w:ascii="Verdana" w:hAnsi="Verdana"/>
          <w:sz w:val="16"/>
          <w:szCs w:val="16"/>
        </w:rPr>
        <w:t xml:space="preserve"> </w:t>
      </w:r>
      <w:r w:rsidR="00F47D5B" w:rsidRPr="00C6329F">
        <w:rPr>
          <w:rFonts w:ascii="Verdana" w:hAnsi="Verdana"/>
          <w:sz w:val="16"/>
          <w:szCs w:val="16"/>
        </w:rPr>
        <w:tab/>
      </w:r>
      <w:r w:rsidR="00F47D5B" w:rsidRPr="00C6329F">
        <w:rPr>
          <w:rFonts w:ascii="Verdana" w:hAnsi="Verdana"/>
          <w:i/>
          <w:sz w:val="16"/>
          <w:szCs w:val="16"/>
        </w:rPr>
        <w:t>Cfr.</w:t>
      </w:r>
      <w:r w:rsidR="00F47D5B" w:rsidRPr="00C6329F">
        <w:rPr>
          <w:rFonts w:ascii="Verdana" w:hAnsi="Verdana"/>
          <w:sz w:val="16"/>
          <w:szCs w:val="16"/>
        </w:rPr>
        <w:t xml:space="preserve"> Escrito de observaciones de los representantes de las víctimas de 1 de marzo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DBD2" w14:textId="77777777" w:rsidR="00C24273" w:rsidRPr="002F13B3" w:rsidRDefault="00C24273">
    <w:pPr>
      <w:pStyle w:val="Encabezado"/>
      <w:jc w:val="center"/>
      <w:rPr>
        <w:rFonts w:ascii="Verdana" w:hAnsi="Verdana"/>
        <w:sz w:val="20"/>
      </w:rPr>
    </w:pPr>
    <w:r w:rsidRPr="002F13B3">
      <w:rPr>
        <w:rFonts w:ascii="Verdana" w:hAnsi="Verdana"/>
        <w:sz w:val="20"/>
      </w:rPr>
      <w:t>-</w:t>
    </w:r>
    <w:r w:rsidRPr="002F13B3">
      <w:rPr>
        <w:rFonts w:ascii="Verdana" w:hAnsi="Verdana"/>
        <w:sz w:val="20"/>
      </w:rPr>
      <w:fldChar w:fldCharType="begin"/>
    </w:r>
    <w:r w:rsidRPr="002F13B3">
      <w:rPr>
        <w:rFonts w:ascii="Verdana" w:hAnsi="Verdana"/>
        <w:sz w:val="20"/>
      </w:rPr>
      <w:instrText>PAGE   \* MERGEFORMAT</w:instrText>
    </w:r>
    <w:r w:rsidRPr="002F13B3">
      <w:rPr>
        <w:rFonts w:ascii="Verdana" w:hAnsi="Verdana"/>
        <w:sz w:val="20"/>
      </w:rPr>
      <w:fldChar w:fldCharType="separate"/>
    </w:r>
    <w:r w:rsidRPr="002F13B3">
      <w:rPr>
        <w:rFonts w:ascii="Verdana" w:hAnsi="Verdana"/>
        <w:noProof/>
        <w:sz w:val="20"/>
        <w:lang w:val="es-ES"/>
      </w:rPr>
      <w:t>6</w:t>
    </w:r>
    <w:r w:rsidRPr="002F13B3">
      <w:rPr>
        <w:rFonts w:ascii="Verdana" w:hAnsi="Verdana"/>
        <w:sz w:val="20"/>
      </w:rPr>
      <w:fldChar w:fldCharType="end"/>
    </w:r>
    <w:r w:rsidRPr="002F13B3">
      <w:rPr>
        <w:rFonts w:ascii="Verdana" w:hAnsi="Verdana"/>
        <w:sz w:val="20"/>
      </w:rPr>
      <w:t>-</w:t>
    </w:r>
  </w:p>
  <w:p w14:paraId="56C8EED7" w14:textId="77777777" w:rsidR="00C24273" w:rsidRDefault="00C2427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5EC7" w14:textId="08FE44C3" w:rsidR="00C24273" w:rsidRPr="00045D46" w:rsidRDefault="00C24273">
    <w:pPr>
      <w:pStyle w:val="Encabezado"/>
      <w:jc w:val="center"/>
      <w:rPr>
        <w:rFonts w:ascii="Verdana" w:hAnsi="Verdana"/>
        <w:sz w:val="20"/>
      </w:rPr>
    </w:pPr>
  </w:p>
  <w:p w14:paraId="6DBBBE59" w14:textId="77777777" w:rsidR="00C24273" w:rsidRPr="00E613E2" w:rsidRDefault="00C24273" w:rsidP="00C46870">
    <w:pPr>
      <w:pStyle w:val="Encabezado"/>
      <w:rPr>
        <w:rFonts w:ascii="Verdana" w:hAnsi="Verdana"/>
        <w:b/>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FDCB3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B2D65"/>
    <w:multiLevelType w:val="hybridMultilevel"/>
    <w:tmpl w:val="75D02A0E"/>
    <w:lvl w:ilvl="0" w:tplc="140A000F">
      <w:start w:val="1"/>
      <w:numFmt w:val="decimal"/>
      <w:lvlText w:val="%1."/>
      <w:lvlJc w:val="left"/>
      <w:pPr>
        <w:ind w:left="720" w:hanging="360"/>
      </w:pPr>
      <w:rPr>
        <w:b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075A2AE6"/>
    <w:multiLevelType w:val="multilevel"/>
    <w:tmpl w:val="86806766"/>
    <w:lvl w:ilvl="0">
      <w:start w:val="1"/>
      <w:numFmt w:val="decimal"/>
      <w:lvlText w:val="%1."/>
      <w:lvlJc w:val="left"/>
      <w:pPr>
        <w:ind w:left="360" w:hanging="360"/>
      </w:pPr>
      <w:rPr>
        <w:rFonts w:hint="default"/>
      </w:rPr>
    </w:lvl>
    <w:lvl w:ilvl="1">
      <w:start w:val="2"/>
      <w:numFmt w:val="decimal"/>
      <w:isLgl/>
      <w:lvlText w:val="%1.%2."/>
      <w:lvlJc w:val="left"/>
      <w:pPr>
        <w:ind w:left="115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631" w:hanging="1080"/>
      </w:pPr>
      <w:rPr>
        <w:rFonts w:hint="default"/>
      </w:rPr>
    </w:lvl>
    <w:lvl w:ilvl="4">
      <w:start w:val="1"/>
      <w:numFmt w:val="decimal"/>
      <w:isLgl/>
      <w:lvlText w:val="%1.%2.%3.%4.%5."/>
      <w:lvlJc w:val="left"/>
      <w:pPr>
        <w:ind w:left="2051" w:hanging="1440"/>
      </w:pPr>
      <w:rPr>
        <w:rFonts w:hint="default"/>
      </w:rPr>
    </w:lvl>
    <w:lvl w:ilvl="5">
      <w:start w:val="1"/>
      <w:numFmt w:val="decimal"/>
      <w:isLgl/>
      <w:lvlText w:val="%1.%2.%3.%4.%5.%6."/>
      <w:lvlJc w:val="left"/>
      <w:pPr>
        <w:ind w:left="2111" w:hanging="1440"/>
      </w:pPr>
      <w:rPr>
        <w:rFonts w:hint="default"/>
      </w:rPr>
    </w:lvl>
    <w:lvl w:ilvl="6">
      <w:start w:val="1"/>
      <w:numFmt w:val="decimal"/>
      <w:isLgl/>
      <w:lvlText w:val="%1.%2.%3.%4.%5.%6.%7."/>
      <w:lvlJc w:val="left"/>
      <w:pPr>
        <w:ind w:left="2531" w:hanging="1800"/>
      </w:pPr>
      <w:rPr>
        <w:rFonts w:hint="default"/>
      </w:rPr>
    </w:lvl>
    <w:lvl w:ilvl="7">
      <w:start w:val="1"/>
      <w:numFmt w:val="decimal"/>
      <w:isLgl/>
      <w:lvlText w:val="%1.%2.%3.%4.%5.%6.%7.%8."/>
      <w:lvlJc w:val="left"/>
      <w:pPr>
        <w:ind w:left="2951" w:hanging="216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08D056DA"/>
    <w:multiLevelType w:val="hybridMultilevel"/>
    <w:tmpl w:val="5FDE6400"/>
    <w:lvl w:ilvl="0" w:tplc="140A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0B317AC4"/>
    <w:multiLevelType w:val="hybridMultilevel"/>
    <w:tmpl w:val="F3406E74"/>
    <w:lvl w:ilvl="0" w:tplc="F856A9F8">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62A6BC5"/>
    <w:multiLevelType w:val="hybridMultilevel"/>
    <w:tmpl w:val="4F76CFFE"/>
    <w:lvl w:ilvl="0" w:tplc="CC5EC06C">
      <w:start w:val="1"/>
      <w:numFmt w:val="decimal"/>
      <w:lvlText w:val="%1."/>
      <w:lvlJc w:val="left"/>
      <w:pPr>
        <w:ind w:left="927" w:hanging="360"/>
      </w:pPr>
      <w:rPr>
        <w:b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C2B47A1"/>
    <w:multiLevelType w:val="hybridMultilevel"/>
    <w:tmpl w:val="52D2C1D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7F4664F"/>
    <w:multiLevelType w:val="hybridMultilevel"/>
    <w:tmpl w:val="5FDE6400"/>
    <w:lvl w:ilvl="0" w:tplc="140A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284A524C"/>
    <w:multiLevelType w:val="hybridMultilevel"/>
    <w:tmpl w:val="ADCE6AAA"/>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292F25AF"/>
    <w:multiLevelType w:val="hybridMultilevel"/>
    <w:tmpl w:val="9C6438FE"/>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E3E4D45"/>
    <w:multiLevelType w:val="hybridMultilevel"/>
    <w:tmpl w:val="F47CDA86"/>
    <w:lvl w:ilvl="0" w:tplc="140A0015">
      <w:start w:val="1"/>
      <w:numFmt w:val="upperLetter"/>
      <w:lvlText w:val="%1."/>
      <w:lvlJc w:val="left"/>
      <w:pPr>
        <w:ind w:left="720" w:hanging="36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04639B1"/>
    <w:multiLevelType w:val="hybridMultilevel"/>
    <w:tmpl w:val="E04A026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39233D2"/>
    <w:multiLevelType w:val="hybridMultilevel"/>
    <w:tmpl w:val="862CCBD0"/>
    <w:lvl w:ilvl="0" w:tplc="648CCC30">
      <w:start w:val="3"/>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3A91580"/>
    <w:multiLevelType w:val="hybridMultilevel"/>
    <w:tmpl w:val="05004B96"/>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2B96FC7"/>
    <w:multiLevelType w:val="hybridMultilevel"/>
    <w:tmpl w:val="0DEA46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3706F6A"/>
    <w:multiLevelType w:val="hybridMultilevel"/>
    <w:tmpl w:val="680E6F3A"/>
    <w:lvl w:ilvl="0" w:tplc="17324A08">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15:restartNumberingAfterBreak="0">
    <w:nsid w:val="46916131"/>
    <w:multiLevelType w:val="hybridMultilevel"/>
    <w:tmpl w:val="C498828A"/>
    <w:lvl w:ilvl="0" w:tplc="E83C03D4">
      <w:start w:val="1"/>
      <w:numFmt w:val="decimal"/>
      <w:lvlText w:val="%1."/>
      <w:lvlJc w:val="left"/>
      <w:pPr>
        <w:ind w:left="720" w:hanging="360"/>
      </w:pPr>
      <w:rPr>
        <w:rFonts w:ascii="Verdana" w:eastAsia="Times" w:hAnsi="Verdana" w:cs="Times New Roman" w:hint="default"/>
        <w:b w:val="0"/>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70E275F"/>
    <w:multiLevelType w:val="hybridMultilevel"/>
    <w:tmpl w:val="3978279E"/>
    <w:lvl w:ilvl="0" w:tplc="32BCC7F8">
      <w:start w:val="1"/>
      <w:numFmt w:val="decimal"/>
      <w:lvlText w:val="%1."/>
      <w:lvlJc w:val="left"/>
      <w:pPr>
        <w:ind w:left="720" w:hanging="360"/>
      </w:pPr>
      <w:rPr>
        <w:rFonts w:hint="default"/>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9063ACC"/>
    <w:multiLevelType w:val="hybridMultilevel"/>
    <w:tmpl w:val="3C16A25A"/>
    <w:lvl w:ilvl="0" w:tplc="22706384">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9C37B7B"/>
    <w:multiLevelType w:val="hybridMultilevel"/>
    <w:tmpl w:val="F7F40022"/>
    <w:lvl w:ilvl="0" w:tplc="9A3EC95C">
      <w:start w:val="1"/>
      <w:numFmt w:val="lowerRoman"/>
      <w:lvlText w:val="%1)"/>
      <w:lvlJc w:val="left"/>
      <w:pPr>
        <w:ind w:left="720" w:hanging="360"/>
      </w:pPr>
      <w:rPr>
        <w:rFonts w:ascii="Verdana" w:eastAsia="Times" w:hAnsi="Verdana"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4E515F7"/>
    <w:multiLevelType w:val="hybridMultilevel"/>
    <w:tmpl w:val="B0786AA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6857562"/>
    <w:multiLevelType w:val="hybridMultilevel"/>
    <w:tmpl w:val="65284814"/>
    <w:lvl w:ilvl="0" w:tplc="8BFE3276">
      <w:start w:val="1"/>
      <w:numFmt w:val="decimal"/>
      <w:lvlText w:val="%1."/>
      <w:lvlJc w:val="left"/>
      <w:pPr>
        <w:ind w:left="720" w:hanging="360"/>
      </w:pPr>
      <w:rPr>
        <w:b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15:restartNumberingAfterBreak="0">
    <w:nsid w:val="571B005C"/>
    <w:multiLevelType w:val="hybridMultilevel"/>
    <w:tmpl w:val="52D2C1D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85A3860"/>
    <w:multiLevelType w:val="hybridMultilevel"/>
    <w:tmpl w:val="A8FC615C"/>
    <w:lvl w:ilvl="0" w:tplc="942A7336">
      <w:start w:val="1"/>
      <w:numFmt w:val="upperLetter"/>
      <w:lvlText w:val="%1)"/>
      <w:lvlJc w:val="left"/>
      <w:pPr>
        <w:ind w:left="720" w:hanging="36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BA63B16"/>
    <w:multiLevelType w:val="hybridMultilevel"/>
    <w:tmpl w:val="6D3858C0"/>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F4815DB"/>
    <w:multiLevelType w:val="hybridMultilevel"/>
    <w:tmpl w:val="10A27DAE"/>
    <w:lvl w:ilvl="0" w:tplc="137E1402">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6" w15:restartNumberingAfterBreak="0">
    <w:nsid w:val="63DD6876"/>
    <w:multiLevelType w:val="hybridMultilevel"/>
    <w:tmpl w:val="A43638BA"/>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52D2B51"/>
    <w:multiLevelType w:val="hybridMultilevel"/>
    <w:tmpl w:val="53CE69B4"/>
    <w:lvl w:ilvl="0" w:tplc="C576F2F6">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8734E41"/>
    <w:multiLevelType w:val="hybridMultilevel"/>
    <w:tmpl w:val="C498828A"/>
    <w:lvl w:ilvl="0" w:tplc="E83C03D4">
      <w:start w:val="1"/>
      <w:numFmt w:val="decimal"/>
      <w:lvlText w:val="%1."/>
      <w:lvlJc w:val="left"/>
      <w:pPr>
        <w:ind w:left="720" w:hanging="360"/>
      </w:pPr>
      <w:rPr>
        <w:rFonts w:ascii="Verdana" w:eastAsia="Times" w:hAnsi="Verdana" w:cs="Times New Roman" w:hint="default"/>
        <w:b w:val="0"/>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0274F36"/>
    <w:multiLevelType w:val="hybridMultilevel"/>
    <w:tmpl w:val="7A06BA44"/>
    <w:lvl w:ilvl="0" w:tplc="422602C4">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0" w15:restartNumberingAfterBreak="0">
    <w:nsid w:val="74C56E2D"/>
    <w:multiLevelType w:val="hybridMultilevel"/>
    <w:tmpl w:val="1EBEC4BE"/>
    <w:lvl w:ilvl="0" w:tplc="A738B9B6">
      <w:start w:val="3"/>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57A12A2"/>
    <w:multiLevelType w:val="hybridMultilevel"/>
    <w:tmpl w:val="ED1AC842"/>
    <w:lvl w:ilvl="0" w:tplc="3EFA658E">
      <w:start w:val="1"/>
      <w:numFmt w:val="decimal"/>
      <w:lvlText w:val="%1."/>
      <w:lvlJc w:val="left"/>
      <w:pPr>
        <w:ind w:left="1065" w:hanging="705"/>
      </w:pPr>
      <w:rPr>
        <w:rFonts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B1DE0"/>
    <w:multiLevelType w:val="hybridMultilevel"/>
    <w:tmpl w:val="4F0863F8"/>
    <w:lvl w:ilvl="0" w:tplc="9724CEE4">
      <w:start w:val="1"/>
      <w:numFmt w:val="lowerLetter"/>
      <w:lvlText w:val="%1)"/>
      <w:lvlJc w:val="left"/>
      <w:pPr>
        <w:ind w:left="927" w:hanging="360"/>
      </w:pPr>
      <w:rPr>
        <w:rFonts w:ascii="Verdana" w:hAnsi="Verdana" w:hint="default"/>
        <w:b w:val="0"/>
        <w:sz w:val="20"/>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num w:numId="1">
    <w:abstractNumId w:val="2"/>
  </w:num>
  <w:num w:numId="2">
    <w:abstractNumId w:val="32"/>
  </w:num>
  <w:num w:numId="3">
    <w:abstractNumId w:val="8"/>
  </w:num>
  <w:num w:numId="4">
    <w:abstractNumId w:val="16"/>
  </w:num>
  <w:num w:numId="5">
    <w:abstractNumId w:val="17"/>
  </w:num>
  <w:num w:numId="6">
    <w:abstractNumId w:val="4"/>
  </w:num>
  <w:num w:numId="7">
    <w:abstractNumId w:val="13"/>
  </w:num>
  <w:num w:numId="8">
    <w:abstractNumId w:val="12"/>
  </w:num>
  <w:num w:numId="9">
    <w:abstractNumId w:val="0"/>
  </w:num>
  <w:num w:numId="10">
    <w:abstractNumId w:val="31"/>
  </w:num>
  <w:num w:numId="11">
    <w:abstractNumId w:val="10"/>
  </w:num>
  <w:num w:numId="12">
    <w:abstractNumId w:val="20"/>
  </w:num>
  <w:num w:numId="13">
    <w:abstractNumId w:val="23"/>
  </w:num>
  <w:num w:numId="14">
    <w:abstractNumId w:val="3"/>
  </w:num>
  <w:num w:numId="15">
    <w:abstractNumId w:val="7"/>
  </w:num>
  <w:num w:numId="16">
    <w:abstractNumId w:val="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1"/>
  </w:num>
  <w:num w:numId="20">
    <w:abstractNumId w:val="29"/>
  </w:num>
  <w:num w:numId="21">
    <w:abstractNumId w:val="19"/>
  </w:num>
  <w:num w:numId="22">
    <w:abstractNumId w:val="27"/>
  </w:num>
  <w:num w:numId="23">
    <w:abstractNumId w:val="18"/>
  </w:num>
  <w:num w:numId="24">
    <w:abstractNumId w:val="28"/>
  </w:num>
  <w:num w:numId="25">
    <w:abstractNumId w:val="9"/>
  </w:num>
  <w:num w:numId="26">
    <w:abstractNumId w:val="26"/>
  </w:num>
  <w:num w:numId="27">
    <w:abstractNumId w:val="6"/>
  </w:num>
  <w:num w:numId="28">
    <w:abstractNumId w:val="14"/>
  </w:num>
  <w:num w:numId="29">
    <w:abstractNumId w:val="24"/>
  </w:num>
  <w:num w:numId="30">
    <w:abstractNumId w:val="30"/>
  </w:num>
  <w:num w:numId="31">
    <w:abstractNumId w:val="2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C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CO" w:vendorID="64" w:dllVersion="6" w:nlCheck="1" w:checkStyle="0"/>
  <w:activeWritingStyle w:appName="MSWord" w:lang="es-ES_tradnl" w:vendorID="64" w:dllVersion="4096" w:nlCheck="1" w:checkStyle="0"/>
  <w:activeWritingStyle w:appName="MSWord" w:lang="es-AR" w:vendorID="64" w:dllVersion="4096" w:nlCheck="1" w:checkStyle="0"/>
  <w:activeWritingStyle w:appName="MSWord" w:lang="es-ES" w:vendorID="64" w:dllVersion="4096" w:nlCheck="1" w:checkStyle="0"/>
  <w:activeWritingStyle w:appName="MSWord" w:lang="pt-BR" w:vendorID="64" w:dllVersion="4096" w:nlCheck="1" w:checkStyle="0"/>
  <w:proofState w:spelling="clean" w:grammar="clean"/>
  <w:defaultTabStop w:val="720"/>
  <w:hyphenationZone w:val="425"/>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E4"/>
    <w:rsid w:val="000004E4"/>
    <w:rsid w:val="00004113"/>
    <w:rsid w:val="00004133"/>
    <w:rsid w:val="0000498E"/>
    <w:rsid w:val="00005C4B"/>
    <w:rsid w:val="00006191"/>
    <w:rsid w:val="00006E8D"/>
    <w:rsid w:val="00007307"/>
    <w:rsid w:val="000073EB"/>
    <w:rsid w:val="00007C5B"/>
    <w:rsid w:val="00012014"/>
    <w:rsid w:val="0001217B"/>
    <w:rsid w:val="0001225D"/>
    <w:rsid w:val="000162CD"/>
    <w:rsid w:val="00020449"/>
    <w:rsid w:val="00020959"/>
    <w:rsid w:val="00020B03"/>
    <w:rsid w:val="00020C3D"/>
    <w:rsid w:val="000210B7"/>
    <w:rsid w:val="0002147D"/>
    <w:rsid w:val="00022CA9"/>
    <w:rsid w:val="00025420"/>
    <w:rsid w:val="0002603E"/>
    <w:rsid w:val="0002632B"/>
    <w:rsid w:val="00027EAD"/>
    <w:rsid w:val="00030E81"/>
    <w:rsid w:val="0003393E"/>
    <w:rsid w:val="00033C9C"/>
    <w:rsid w:val="00034155"/>
    <w:rsid w:val="000349D5"/>
    <w:rsid w:val="000351A8"/>
    <w:rsid w:val="000362AF"/>
    <w:rsid w:val="0003749E"/>
    <w:rsid w:val="00037DC4"/>
    <w:rsid w:val="00040D19"/>
    <w:rsid w:val="00041870"/>
    <w:rsid w:val="000430DA"/>
    <w:rsid w:val="000436E6"/>
    <w:rsid w:val="00043D21"/>
    <w:rsid w:val="00044325"/>
    <w:rsid w:val="00045D46"/>
    <w:rsid w:val="00045F15"/>
    <w:rsid w:val="00045F7E"/>
    <w:rsid w:val="00047422"/>
    <w:rsid w:val="0004794F"/>
    <w:rsid w:val="00047C27"/>
    <w:rsid w:val="000501CD"/>
    <w:rsid w:val="0005039F"/>
    <w:rsid w:val="000503D6"/>
    <w:rsid w:val="00051695"/>
    <w:rsid w:val="000520C9"/>
    <w:rsid w:val="000538F8"/>
    <w:rsid w:val="000539B3"/>
    <w:rsid w:val="00055DD4"/>
    <w:rsid w:val="00056408"/>
    <w:rsid w:val="00057688"/>
    <w:rsid w:val="00057DA2"/>
    <w:rsid w:val="000600FC"/>
    <w:rsid w:val="00060608"/>
    <w:rsid w:val="00061678"/>
    <w:rsid w:val="00061F79"/>
    <w:rsid w:val="00062135"/>
    <w:rsid w:val="00062A89"/>
    <w:rsid w:val="00063918"/>
    <w:rsid w:val="00065736"/>
    <w:rsid w:val="00065A45"/>
    <w:rsid w:val="00065B2F"/>
    <w:rsid w:val="0006663A"/>
    <w:rsid w:val="0006728D"/>
    <w:rsid w:val="000706EF"/>
    <w:rsid w:val="00070F4A"/>
    <w:rsid w:val="00071613"/>
    <w:rsid w:val="00071985"/>
    <w:rsid w:val="00072A55"/>
    <w:rsid w:val="00072C81"/>
    <w:rsid w:val="00072D6B"/>
    <w:rsid w:val="00073643"/>
    <w:rsid w:val="00073B03"/>
    <w:rsid w:val="0007499A"/>
    <w:rsid w:val="000753E5"/>
    <w:rsid w:val="00076D5F"/>
    <w:rsid w:val="00077A03"/>
    <w:rsid w:val="00080073"/>
    <w:rsid w:val="000806E9"/>
    <w:rsid w:val="000811AA"/>
    <w:rsid w:val="0008150F"/>
    <w:rsid w:val="000822DA"/>
    <w:rsid w:val="00083C95"/>
    <w:rsid w:val="000844ED"/>
    <w:rsid w:val="0008486E"/>
    <w:rsid w:val="00086752"/>
    <w:rsid w:val="000867F4"/>
    <w:rsid w:val="000905EF"/>
    <w:rsid w:val="00092E33"/>
    <w:rsid w:val="0009323A"/>
    <w:rsid w:val="0009396B"/>
    <w:rsid w:val="000948CC"/>
    <w:rsid w:val="00096627"/>
    <w:rsid w:val="00096A15"/>
    <w:rsid w:val="000976CD"/>
    <w:rsid w:val="000A0148"/>
    <w:rsid w:val="000A0917"/>
    <w:rsid w:val="000A0E0A"/>
    <w:rsid w:val="000A1519"/>
    <w:rsid w:val="000A1999"/>
    <w:rsid w:val="000A1A21"/>
    <w:rsid w:val="000A4B44"/>
    <w:rsid w:val="000A6F3A"/>
    <w:rsid w:val="000A7814"/>
    <w:rsid w:val="000B00A6"/>
    <w:rsid w:val="000B0871"/>
    <w:rsid w:val="000B209C"/>
    <w:rsid w:val="000B3523"/>
    <w:rsid w:val="000B3C8D"/>
    <w:rsid w:val="000B545B"/>
    <w:rsid w:val="000B6BC3"/>
    <w:rsid w:val="000C05CB"/>
    <w:rsid w:val="000C0808"/>
    <w:rsid w:val="000C4602"/>
    <w:rsid w:val="000C5FD1"/>
    <w:rsid w:val="000C6041"/>
    <w:rsid w:val="000C66E1"/>
    <w:rsid w:val="000C69A3"/>
    <w:rsid w:val="000C78F0"/>
    <w:rsid w:val="000C7AC6"/>
    <w:rsid w:val="000D2F26"/>
    <w:rsid w:val="000D30AF"/>
    <w:rsid w:val="000D3770"/>
    <w:rsid w:val="000D44B5"/>
    <w:rsid w:val="000D5DC0"/>
    <w:rsid w:val="000D6490"/>
    <w:rsid w:val="000D69BD"/>
    <w:rsid w:val="000E29C4"/>
    <w:rsid w:val="000E30E1"/>
    <w:rsid w:val="000E5FA3"/>
    <w:rsid w:val="000E622B"/>
    <w:rsid w:val="000F0DC0"/>
    <w:rsid w:val="000F1D64"/>
    <w:rsid w:val="000F1E4F"/>
    <w:rsid w:val="000F2443"/>
    <w:rsid w:val="000F49F9"/>
    <w:rsid w:val="000F7C8B"/>
    <w:rsid w:val="00100A8B"/>
    <w:rsid w:val="001010E6"/>
    <w:rsid w:val="001013E1"/>
    <w:rsid w:val="001026BE"/>
    <w:rsid w:val="001035EF"/>
    <w:rsid w:val="00104984"/>
    <w:rsid w:val="00105490"/>
    <w:rsid w:val="00106871"/>
    <w:rsid w:val="0010754F"/>
    <w:rsid w:val="001104A8"/>
    <w:rsid w:val="00110951"/>
    <w:rsid w:val="00111132"/>
    <w:rsid w:val="00112723"/>
    <w:rsid w:val="00117595"/>
    <w:rsid w:val="00117690"/>
    <w:rsid w:val="00121896"/>
    <w:rsid w:val="00122C46"/>
    <w:rsid w:val="00123394"/>
    <w:rsid w:val="0012369E"/>
    <w:rsid w:val="00124A21"/>
    <w:rsid w:val="00134845"/>
    <w:rsid w:val="0013520A"/>
    <w:rsid w:val="001355E0"/>
    <w:rsid w:val="00137EB2"/>
    <w:rsid w:val="00141AD6"/>
    <w:rsid w:val="00141C6C"/>
    <w:rsid w:val="001447FF"/>
    <w:rsid w:val="0014551B"/>
    <w:rsid w:val="00145856"/>
    <w:rsid w:val="00145C26"/>
    <w:rsid w:val="00146BF1"/>
    <w:rsid w:val="0014705B"/>
    <w:rsid w:val="0014717A"/>
    <w:rsid w:val="00147CA5"/>
    <w:rsid w:val="0015011E"/>
    <w:rsid w:val="001508A1"/>
    <w:rsid w:val="00151359"/>
    <w:rsid w:val="0015153D"/>
    <w:rsid w:val="00152A57"/>
    <w:rsid w:val="001538E0"/>
    <w:rsid w:val="001616A6"/>
    <w:rsid w:val="00162D7B"/>
    <w:rsid w:val="00163376"/>
    <w:rsid w:val="00163386"/>
    <w:rsid w:val="00167CE4"/>
    <w:rsid w:val="00170DA3"/>
    <w:rsid w:val="00172349"/>
    <w:rsid w:val="00172B4D"/>
    <w:rsid w:val="00173136"/>
    <w:rsid w:val="00173C2B"/>
    <w:rsid w:val="00173E37"/>
    <w:rsid w:val="00174832"/>
    <w:rsid w:val="0017543A"/>
    <w:rsid w:val="001760DF"/>
    <w:rsid w:val="00176692"/>
    <w:rsid w:val="00176818"/>
    <w:rsid w:val="00176BDD"/>
    <w:rsid w:val="00177CC1"/>
    <w:rsid w:val="001801D7"/>
    <w:rsid w:val="00183EF9"/>
    <w:rsid w:val="001857DE"/>
    <w:rsid w:val="00187E35"/>
    <w:rsid w:val="001904BD"/>
    <w:rsid w:val="001916C2"/>
    <w:rsid w:val="00192FD7"/>
    <w:rsid w:val="001942B1"/>
    <w:rsid w:val="0019550F"/>
    <w:rsid w:val="00195FE1"/>
    <w:rsid w:val="001974B3"/>
    <w:rsid w:val="001A069F"/>
    <w:rsid w:val="001A20E6"/>
    <w:rsid w:val="001A371C"/>
    <w:rsid w:val="001A398B"/>
    <w:rsid w:val="001A6912"/>
    <w:rsid w:val="001A6999"/>
    <w:rsid w:val="001B0CCD"/>
    <w:rsid w:val="001B1104"/>
    <w:rsid w:val="001B3ADA"/>
    <w:rsid w:val="001B4AE4"/>
    <w:rsid w:val="001B7BC4"/>
    <w:rsid w:val="001B7CD1"/>
    <w:rsid w:val="001C149F"/>
    <w:rsid w:val="001C2F24"/>
    <w:rsid w:val="001C3207"/>
    <w:rsid w:val="001C41A0"/>
    <w:rsid w:val="001C4DB6"/>
    <w:rsid w:val="001C5099"/>
    <w:rsid w:val="001C61C0"/>
    <w:rsid w:val="001C640C"/>
    <w:rsid w:val="001C7C05"/>
    <w:rsid w:val="001C7DF2"/>
    <w:rsid w:val="001D3835"/>
    <w:rsid w:val="001D604A"/>
    <w:rsid w:val="001D7C05"/>
    <w:rsid w:val="001E0598"/>
    <w:rsid w:val="001E1543"/>
    <w:rsid w:val="001E171A"/>
    <w:rsid w:val="001E19E4"/>
    <w:rsid w:val="001E2B12"/>
    <w:rsid w:val="001E7720"/>
    <w:rsid w:val="001E7F28"/>
    <w:rsid w:val="001F15AC"/>
    <w:rsid w:val="001F2D00"/>
    <w:rsid w:val="001F613C"/>
    <w:rsid w:val="001F7208"/>
    <w:rsid w:val="00200046"/>
    <w:rsid w:val="00200818"/>
    <w:rsid w:val="00201270"/>
    <w:rsid w:val="002036F8"/>
    <w:rsid w:val="00203A53"/>
    <w:rsid w:val="00204CAC"/>
    <w:rsid w:val="00204CAF"/>
    <w:rsid w:val="00205240"/>
    <w:rsid w:val="0020715F"/>
    <w:rsid w:val="00210AF6"/>
    <w:rsid w:val="00210B4A"/>
    <w:rsid w:val="002112F4"/>
    <w:rsid w:val="002126ED"/>
    <w:rsid w:val="00212792"/>
    <w:rsid w:val="00212AD9"/>
    <w:rsid w:val="0021463F"/>
    <w:rsid w:val="00214708"/>
    <w:rsid w:val="00215047"/>
    <w:rsid w:val="00215784"/>
    <w:rsid w:val="00216819"/>
    <w:rsid w:val="0022014E"/>
    <w:rsid w:val="00223149"/>
    <w:rsid w:val="00223BA1"/>
    <w:rsid w:val="0022633E"/>
    <w:rsid w:val="002267CA"/>
    <w:rsid w:val="0023103F"/>
    <w:rsid w:val="00231574"/>
    <w:rsid w:val="00231E6D"/>
    <w:rsid w:val="00231F0A"/>
    <w:rsid w:val="002325E8"/>
    <w:rsid w:val="002346F6"/>
    <w:rsid w:val="00234CC2"/>
    <w:rsid w:val="00235077"/>
    <w:rsid w:val="002372C8"/>
    <w:rsid w:val="00240619"/>
    <w:rsid w:val="00240C83"/>
    <w:rsid w:val="00241036"/>
    <w:rsid w:val="00241543"/>
    <w:rsid w:val="00242979"/>
    <w:rsid w:val="00245624"/>
    <w:rsid w:val="00245BE5"/>
    <w:rsid w:val="00245D5D"/>
    <w:rsid w:val="00246056"/>
    <w:rsid w:val="0024717B"/>
    <w:rsid w:val="00247353"/>
    <w:rsid w:val="00247A28"/>
    <w:rsid w:val="00250086"/>
    <w:rsid w:val="002501D2"/>
    <w:rsid w:val="002509CD"/>
    <w:rsid w:val="002512B1"/>
    <w:rsid w:val="00252345"/>
    <w:rsid w:val="0025294E"/>
    <w:rsid w:val="00253BFF"/>
    <w:rsid w:val="00254342"/>
    <w:rsid w:val="0025489F"/>
    <w:rsid w:val="002568EE"/>
    <w:rsid w:val="00260DE0"/>
    <w:rsid w:val="002626EC"/>
    <w:rsid w:val="0026308C"/>
    <w:rsid w:val="002646FD"/>
    <w:rsid w:val="00264C17"/>
    <w:rsid w:val="00265313"/>
    <w:rsid w:val="00266209"/>
    <w:rsid w:val="002673E3"/>
    <w:rsid w:val="00271834"/>
    <w:rsid w:val="0027251D"/>
    <w:rsid w:val="002745C3"/>
    <w:rsid w:val="00276128"/>
    <w:rsid w:val="00276193"/>
    <w:rsid w:val="00277B4C"/>
    <w:rsid w:val="0028027F"/>
    <w:rsid w:val="00281129"/>
    <w:rsid w:val="002830CE"/>
    <w:rsid w:val="00285592"/>
    <w:rsid w:val="00285EAA"/>
    <w:rsid w:val="00287B74"/>
    <w:rsid w:val="00290A67"/>
    <w:rsid w:val="00290F1D"/>
    <w:rsid w:val="002916FF"/>
    <w:rsid w:val="00291900"/>
    <w:rsid w:val="0029475F"/>
    <w:rsid w:val="00294CFB"/>
    <w:rsid w:val="00295835"/>
    <w:rsid w:val="00295905"/>
    <w:rsid w:val="00295E41"/>
    <w:rsid w:val="00295FDE"/>
    <w:rsid w:val="002979BB"/>
    <w:rsid w:val="002A05B5"/>
    <w:rsid w:val="002A11EC"/>
    <w:rsid w:val="002A1BCA"/>
    <w:rsid w:val="002A21A6"/>
    <w:rsid w:val="002A2FED"/>
    <w:rsid w:val="002A5046"/>
    <w:rsid w:val="002B1288"/>
    <w:rsid w:val="002B680D"/>
    <w:rsid w:val="002B7900"/>
    <w:rsid w:val="002C1568"/>
    <w:rsid w:val="002C2A4B"/>
    <w:rsid w:val="002C2F9E"/>
    <w:rsid w:val="002C337D"/>
    <w:rsid w:val="002C4785"/>
    <w:rsid w:val="002C5784"/>
    <w:rsid w:val="002C59B2"/>
    <w:rsid w:val="002C6D7F"/>
    <w:rsid w:val="002C7DA9"/>
    <w:rsid w:val="002D1E51"/>
    <w:rsid w:val="002D2220"/>
    <w:rsid w:val="002D2B4C"/>
    <w:rsid w:val="002D2EDE"/>
    <w:rsid w:val="002D4822"/>
    <w:rsid w:val="002D5047"/>
    <w:rsid w:val="002D5A76"/>
    <w:rsid w:val="002D7FC2"/>
    <w:rsid w:val="002E057B"/>
    <w:rsid w:val="002E0669"/>
    <w:rsid w:val="002E272B"/>
    <w:rsid w:val="002E2F03"/>
    <w:rsid w:val="002E31F2"/>
    <w:rsid w:val="002E69D1"/>
    <w:rsid w:val="002E7578"/>
    <w:rsid w:val="002E759A"/>
    <w:rsid w:val="002E7642"/>
    <w:rsid w:val="002F13B3"/>
    <w:rsid w:val="002F1FF0"/>
    <w:rsid w:val="002F35B9"/>
    <w:rsid w:val="002F4129"/>
    <w:rsid w:val="002F5294"/>
    <w:rsid w:val="002F5739"/>
    <w:rsid w:val="002F6093"/>
    <w:rsid w:val="0030135D"/>
    <w:rsid w:val="00301714"/>
    <w:rsid w:val="00302709"/>
    <w:rsid w:val="00302AF2"/>
    <w:rsid w:val="00302E65"/>
    <w:rsid w:val="00303828"/>
    <w:rsid w:val="00304974"/>
    <w:rsid w:val="00306FA6"/>
    <w:rsid w:val="00307CAA"/>
    <w:rsid w:val="00307F0C"/>
    <w:rsid w:val="003101DB"/>
    <w:rsid w:val="00310F25"/>
    <w:rsid w:val="00313F6E"/>
    <w:rsid w:val="00317C16"/>
    <w:rsid w:val="00322149"/>
    <w:rsid w:val="00322532"/>
    <w:rsid w:val="003227AD"/>
    <w:rsid w:val="003230F3"/>
    <w:rsid w:val="0032311A"/>
    <w:rsid w:val="003244AD"/>
    <w:rsid w:val="00324746"/>
    <w:rsid w:val="00325484"/>
    <w:rsid w:val="00325B89"/>
    <w:rsid w:val="00325FCD"/>
    <w:rsid w:val="00326515"/>
    <w:rsid w:val="00326BEF"/>
    <w:rsid w:val="00327A5C"/>
    <w:rsid w:val="003308ED"/>
    <w:rsid w:val="00332062"/>
    <w:rsid w:val="00332915"/>
    <w:rsid w:val="00332C56"/>
    <w:rsid w:val="003365E6"/>
    <w:rsid w:val="00340A20"/>
    <w:rsid w:val="003413C2"/>
    <w:rsid w:val="00342392"/>
    <w:rsid w:val="00344501"/>
    <w:rsid w:val="0034586D"/>
    <w:rsid w:val="003458BE"/>
    <w:rsid w:val="00346C61"/>
    <w:rsid w:val="0035035F"/>
    <w:rsid w:val="00353E18"/>
    <w:rsid w:val="00354557"/>
    <w:rsid w:val="00357174"/>
    <w:rsid w:val="003579DF"/>
    <w:rsid w:val="00362DF3"/>
    <w:rsid w:val="0036358B"/>
    <w:rsid w:val="003640FC"/>
    <w:rsid w:val="00364FA3"/>
    <w:rsid w:val="00365452"/>
    <w:rsid w:val="003703E6"/>
    <w:rsid w:val="00370942"/>
    <w:rsid w:val="00371C15"/>
    <w:rsid w:val="00371FCF"/>
    <w:rsid w:val="003735D4"/>
    <w:rsid w:val="00373F7F"/>
    <w:rsid w:val="00374B7C"/>
    <w:rsid w:val="00376375"/>
    <w:rsid w:val="00376627"/>
    <w:rsid w:val="0037703E"/>
    <w:rsid w:val="00380BAE"/>
    <w:rsid w:val="00383E0D"/>
    <w:rsid w:val="003937D3"/>
    <w:rsid w:val="00393F53"/>
    <w:rsid w:val="00394EEA"/>
    <w:rsid w:val="003950C4"/>
    <w:rsid w:val="003A5940"/>
    <w:rsid w:val="003A5BCC"/>
    <w:rsid w:val="003A66A0"/>
    <w:rsid w:val="003A7006"/>
    <w:rsid w:val="003A77B2"/>
    <w:rsid w:val="003B07B7"/>
    <w:rsid w:val="003B07FB"/>
    <w:rsid w:val="003B2804"/>
    <w:rsid w:val="003B2F46"/>
    <w:rsid w:val="003B2F99"/>
    <w:rsid w:val="003B4B03"/>
    <w:rsid w:val="003B7739"/>
    <w:rsid w:val="003C01F5"/>
    <w:rsid w:val="003C0F8A"/>
    <w:rsid w:val="003C2090"/>
    <w:rsid w:val="003C2EAE"/>
    <w:rsid w:val="003C3A8B"/>
    <w:rsid w:val="003C5EDF"/>
    <w:rsid w:val="003D0205"/>
    <w:rsid w:val="003D0914"/>
    <w:rsid w:val="003D2BE4"/>
    <w:rsid w:val="003D2C58"/>
    <w:rsid w:val="003D6314"/>
    <w:rsid w:val="003D6393"/>
    <w:rsid w:val="003D6658"/>
    <w:rsid w:val="003D6AB7"/>
    <w:rsid w:val="003E05F9"/>
    <w:rsid w:val="003E0A5F"/>
    <w:rsid w:val="003E0E9F"/>
    <w:rsid w:val="003E237F"/>
    <w:rsid w:val="003E2BB4"/>
    <w:rsid w:val="003E4AA8"/>
    <w:rsid w:val="003E5149"/>
    <w:rsid w:val="003E551B"/>
    <w:rsid w:val="003E5AF8"/>
    <w:rsid w:val="003E7667"/>
    <w:rsid w:val="003F10F6"/>
    <w:rsid w:val="003F1F37"/>
    <w:rsid w:val="003F3D7C"/>
    <w:rsid w:val="003F4BAE"/>
    <w:rsid w:val="003F5DF6"/>
    <w:rsid w:val="003F5ED5"/>
    <w:rsid w:val="003F6499"/>
    <w:rsid w:val="003F6736"/>
    <w:rsid w:val="003F6CA0"/>
    <w:rsid w:val="00401497"/>
    <w:rsid w:val="004018F2"/>
    <w:rsid w:val="00401F36"/>
    <w:rsid w:val="00402A2D"/>
    <w:rsid w:val="00402E6E"/>
    <w:rsid w:val="00402E86"/>
    <w:rsid w:val="00403A95"/>
    <w:rsid w:val="00410F4A"/>
    <w:rsid w:val="00411C1A"/>
    <w:rsid w:val="00413D99"/>
    <w:rsid w:val="004140F7"/>
    <w:rsid w:val="00416003"/>
    <w:rsid w:val="00416CEF"/>
    <w:rsid w:val="00416F22"/>
    <w:rsid w:val="004176C8"/>
    <w:rsid w:val="004205D7"/>
    <w:rsid w:val="004233ED"/>
    <w:rsid w:val="004236DD"/>
    <w:rsid w:val="004247B4"/>
    <w:rsid w:val="00424A3D"/>
    <w:rsid w:val="00424BF2"/>
    <w:rsid w:val="0042726F"/>
    <w:rsid w:val="004304A9"/>
    <w:rsid w:val="00432715"/>
    <w:rsid w:val="0043326D"/>
    <w:rsid w:val="00433F3B"/>
    <w:rsid w:val="00434E7B"/>
    <w:rsid w:val="004372E3"/>
    <w:rsid w:val="004401B2"/>
    <w:rsid w:val="00441652"/>
    <w:rsid w:val="004421D9"/>
    <w:rsid w:val="00444CA8"/>
    <w:rsid w:val="004453F1"/>
    <w:rsid w:val="004473E4"/>
    <w:rsid w:val="00447478"/>
    <w:rsid w:val="004504F6"/>
    <w:rsid w:val="004505F9"/>
    <w:rsid w:val="00450C11"/>
    <w:rsid w:val="00451930"/>
    <w:rsid w:val="004523E5"/>
    <w:rsid w:val="00453AFC"/>
    <w:rsid w:val="004547AE"/>
    <w:rsid w:val="004555A4"/>
    <w:rsid w:val="00457307"/>
    <w:rsid w:val="00460341"/>
    <w:rsid w:val="00460C48"/>
    <w:rsid w:val="00460F2A"/>
    <w:rsid w:val="00461A3E"/>
    <w:rsid w:val="00462273"/>
    <w:rsid w:val="00462F6A"/>
    <w:rsid w:val="00463E8C"/>
    <w:rsid w:val="00463F3C"/>
    <w:rsid w:val="00465EA5"/>
    <w:rsid w:val="00466E18"/>
    <w:rsid w:val="00467933"/>
    <w:rsid w:val="00467E35"/>
    <w:rsid w:val="00470183"/>
    <w:rsid w:val="00470AAF"/>
    <w:rsid w:val="00471FC4"/>
    <w:rsid w:val="004732FF"/>
    <w:rsid w:val="004741A4"/>
    <w:rsid w:val="00474DCC"/>
    <w:rsid w:val="00475378"/>
    <w:rsid w:val="00476997"/>
    <w:rsid w:val="00477D9A"/>
    <w:rsid w:val="00477DC2"/>
    <w:rsid w:val="0048000A"/>
    <w:rsid w:val="00482041"/>
    <w:rsid w:val="00486334"/>
    <w:rsid w:val="00487132"/>
    <w:rsid w:val="004871A3"/>
    <w:rsid w:val="004904B5"/>
    <w:rsid w:val="00492056"/>
    <w:rsid w:val="0049261F"/>
    <w:rsid w:val="00492C18"/>
    <w:rsid w:val="00493613"/>
    <w:rsid w:val="00493C06"/>
    <w:rsid w:val="004946A2"/>
    <w:rsid w:val="00495E27"/>
    <w:rsid w:val="0049744F"/>
    <w:rsid w:val="004A1E88"/>
    <w:rsid w:val="004A1FB6"/>
    <w:rsid w:val="004A34F3"/>
    <w:rsid w:val="004A365E"/>
    <w:rsid w:val="004A3E14"/>
    <w:rsid w:val="004A4522"/>
    <w:rsid w:val="004A4838"/>
    <w:rsid w:val="004A5431"/>
    <w:rsid w:val="004A5EA9"/>
    <w:rsid w:val="004A63F0"/>
    <w:rsid w:val="004A7261"/>
    <w:rsid w:val="004A787D"/>
    <w:rsid w:val="004A7DE9"/>
    <w:rsid w:val="004B0C30"/>
    <w:rsid w:val="004B1673"/>
    <w:rsid w:val="004B30F4"/>
    <w:rsid w:val="004B4458"/>
    <w:rsid w:val="004B4557"/>
    <w:rsid w:val="004B7546"/>
    <w:rsid w:val="004C0337"/>
    <w:rsid w:val="004C0B50"/>
    <w:rsid w:val="004C0E60"/>
    <w:rsid w:val="004C2CCE"/>
    <w:rsid w:val="004C35FC"/>
    <w:rsid w:val="004C3A3B"/>
    <w:rsid w:val="004C61BF"/>
    <w:rsid w:val="004C7B3D"/>
    <w:rsid w:val="004C7FD7"/>
    <w:rsid w:val="004D0DF7"/>
    <w:rsid w:val="004D3568"/>
    <w:rsid w:val="004D39C6"/>
    <w:rsid w:val="004D3DA9"/>
    <w:rsid w:val="004D5295"/>
    <w:rsid w:val="004D76B6"/>
    <w:rsid w:val="004D794A"/>
    <w:rsid w:val="004E0C54"/>
    <w:rsid w:val="004E0DD8"/>
    <w:rsid w:val="004E26C8"/>
    <w:rsid w:val="004E27F8"/>
    <w:rsid w:val="004E2E90"/>
    <w:rsid w:val="004E332E"/>
    <w:rsid w:val="004E4B59"/>
    <w:rsid w:val="004E4BAB"/>
    <w:rsid w:val="004E54F1"/>
    <w:rsid w:val="004F0585"/>
    <w:rsid w:val="004F07DB"/>
    <w:rsid w:val="004F09FB"/>
    <w:rsid w:val="004F2E6A"/>
    <w:rsid w:val="004F3473"/>
    <w:rsid w:val="004F37DB"/>
    <w:rsid w:val="004F4CA1"/>
    <w:rsid w:val="004F5ACB"/>
    <w:rsid w:val="005002EB"/>
    <w:rsid w:val="0050111D"/>
    <w:rsid w:val="00501A50"/>
    <w:rsid w:val="00501A7F"/>
    <w:rsid w:val="00502A93"/>
    <w:rsid w:val="005061C8"/>
    <w:rsid w:val="00506834"/>
    <w:rsid w:val="00506DB5"/>
    <w:rsid w:val="0050714E"/>
    <w:rsid w:val="005106AB"/>
    <w:rsid w:val="0051409C"/>
    <w:rsid w:val="00514EFD"/>
    <w:rsid w:val="005173EB"/>
    <w:rsid w:val="00520286"/>
    <w:rsid w:val="005204C7"/>
    <w:rsid w:val="005225C7"/>
    <w:rsid w:val="00523227"/>
    <w:rsid w:val="00523962"/>
    <w:rsid w:val="00524EDF"/>
    <w:rsid w:val="00526BD2"/>
    <w:rsid w:val="005272A0"/>
    <w:rsid w:val="005278BA"/>
    <w:rsid w:val="00527BE7"/>
    <w:rsid w:val="00530ED4"/>
    <w:rsid w:val="005310EB"/>
    <w:rsid w:val="0053342D"/>
    <w:rsid w:val="0053347C"/>
    <w:rsid w:val="00533F20"/>
    <w:rsid w:val="005349E0"/>
    <w:rsid w:val="00534D34"/>
    <w:rsid w:val="00534F37"/>
    <w:rsid w:val="00536B50"/>
    <w:rsid w:val="00542428"/>
    <w:rsid w:val="00542C9C"/>
    <w:rsid w:val="005433AA"/>
    <w:rsid w:val="00544E91"/>
    <w:rsid w:val="00546668"/>
    <w:rsid w:val="00547173"/>
    <w:rsid w:val="00547A57"/>
    <w:rsid w:val="0055074D"/>
    <w:rsid w:val="00551888"/>
    <w:rsid w:val="00551C6B"/>
    <w:rsid w:val="0055349E"/>
    <w:rsid w:val="005551B1"/>
    <w:rsid w:val="005601CE"/>
    <w:rsid w:val="005615D3"/>
    <w:rsid w:val="00563C73"/>
    <w:rsid w:val="0056408F"/>
    <w:rsid w:val="00564C15"/>
    <w:rsid w:val="00564FFF"/>
    <w:rsid w:val="00565360"/>
    <w:rsid w:val="00566AE5"/>
    <w:rsid w:val="00572581"/>
    <w:rsid w:val="00572993"/>
    <w:rsid w:val="005731DB"/>
    <w:rsid w:val="0057446F"/>
    <w:rsid w:val="0057511D"/>
    <w:rsid w:val="0057554A"/>
    <w:rsid w:val="005758ED"/>
    <w:rsid w:val="00575B65"/>
    <w:rsid w:val="0057606B"/>
    <w:rsid w:val="00577C08"/>
    <w:rsid w:val="00577EC8"/>
    <w:rsid w:val="005804D4"/>
    <w:rsid w:val="00582409"/>
    <w:rsid w:val="00582689"/>
    <w:rsid w:val="005840D7"/>
    <w:rsid w:val="005841E7"/>
    <w:rsid w:val="00584A92"/>
    <w:rsid w:val="00586923"/>
    <w:rsid w:val="00590CC1"/>
    <w:rsid w:val="00592272"/>
    <w:rsid w:val="00592EA9"/>
    <w:rsid w:val="00592ED7"/>
    <w:rsid w:val="00594F8A"/>
    <w:rsid w:val="00595078"/>
    <w:rsid w:val="005A0F43"/>
    <w:rsid w:val="005A26E4"/>
    <w:rsid w:val="005A3772"/>
    <w:rsid w:val="005A43A4"/>
    <w:rsid w:val="005A5E4B"/>
    <w:rsid w:val="005A73C6"/>
    <w:rsid w:val="005B1898"/>
    <w:rsid w:val="005B1929"/>
    <w:rsid w:val="005B4FC1"/>
    <w:rsid w:val="005B6185"/>
    <w:rsid w:val="005C1460"/>
    <w:rsid w:val="005C25B6"/>
    <w:rsid w:val="005C2ED1"/>
    <w:rsid w:val="005C3147"/>
    <w:rsid w:val="005C44B6"/>
    <w:rsid w:val="005C4D2F"/>
    <w:rsid w:val="005C500F"/>
    <w:rsid w:val="005C5E21"/>
    <w:rsid w:val="005C628A"/>
    <w:rsid w:val="005C6C2E"/>
    <w:rsid w:val="005C7763"/>
    <w:rsid w:val="005D101E"/>
    <w:rsid w:val="005D1CF3"/>
    <w:rsid w:val="005D3001"/>
    <w:rsid w:val="005D31B2"/>
    <w:rsid w:val="005D5648"/>
    <w:rsid w:val="005D5E82"/>
    <w:rsid w:val="005D7E8C"/>
    <w:rsid w:val="005E28FA"/>
    <w:rsid w:val="005E4E99"/>
    <w:rsid w:val="005E575A"/>
    <w:rsid w:val="005E60C3"/>
    <w:rsid w:val="005E7562"/>
    <w:rsid w:val="005F0BD5"/>
    <w:rsid w:val="005F138D"/>
    <w:rsid w:val="005F1AE2"/>
    <w:rsid w:val="005F1EA3"/>
    <w:rsid w:val="005F22D2"/>
    <w:rsid w:val="005F42C6"/>
    <w:rsid w:val="005F4A6C"/>
    <w:rsid w:val="005F51E3"/>
    <w:rsid w:val="005F7129"/>
    <w:rsid w:val="00601789"/>
    <w:rsid w:val="00605815"/>
    <w:rsid w:val="00605B78"/>
    <w:rsid w:val="006075B6"/>
    <w:rsid w:val="00607FF5"/>
    <w:rsid w:val="00611A4E"/>
    <w:rsid w:val="00612080"/>
    <w:rsid w:val="00612E27"/>
    <w:rsid w:val="00614C5F"/>
    <w:rsid w:val="00616435"/>
    <w:rsid w:val="006165BA"/>
    <w:rsid w:val="00616EAC"/>
    <w:rsid w:val="00616FFE"/>
    <w:rsid w:val="00617211"/>
    <w:rsid w:val="0062003C"/>
    <w:rsid w:val="0062177D"/>
    <w:rsid w:val="00623116"/>
    <w:rsid w:val="00623385"/>
    <w:rsid w:val="00623488"/>
    <w:rsid w:val="0062402C"/>
    <w:rsid w:val="006241B8"/>
    <w:rsid w:val="00624499"/>
    <w:rsid w:val="0062458A"/>
    <w:rsid w:val="006248C0"/>
    <w:rsid w:val="00626E58"/>
    <w:rsid w:val="00627A90"/>
    <w:rsid w:val="0063062E"/>
    <w:rsid w:val="0063190B"/>
    <w:rsid w:val="00632624"/>
    <w:rsid w:val="0063328E"/>
    <w:rsid w:val="006334DA"/>
    <w:rsid w:val="006340C4"/>
    <w:rsid w:val="006352CB"/>
    <w:rsid w:val="0063572B"/>
    <w:rsid w:val="00635FBB"/>
    <w:rsid w:val="006375F2"/>
    <w:rsid w:val="00637F9C"/>
    <w:rsid w:val="00644BE1"/>
    <w:rsid w:val="0065011E"/>
    <w:rsid w:val="00651357"/>
    <w:rsid w:val="00651A14"/>
    <w:rsid w:val="00652527"/>
    <w:rsid w:val="00652641"/>
    <w:rsid w:val="00655C2F"/>
    <w:rsid w:val="006566D8"/>
    <w:rsid w:val="00657358"/>
    <w:rsid w:val="00657579"/>
    <w:rsid w:val="00660C58"/>
    <w:rsid w:val="00662FF9"/>
    <w:rsid w:val="006643DE"/>
    <w:rsid w:val="00664AF4"/>
    <w:rsid w:val="0066620F"/>
    <w:rsid w:val="00666C4B"/>
    <w:rsid w:val="00670977"/>
    <w:rsid w:val="0067170F"/>
    <w:rsid w:val="00671FB6"/>
    <w:rsid w:val="00673FAC"/>
    <w:rsid w:val="00674A93"/>
    <w:rsid w:val="0067555F"/>
    <w:rsid w:val="006767F0"/>
    <w:rsid w:val="00677585"/>
    <w:rsid w:val="00677648"/>
    <w:rsid w:val="006812C7"/>
    <w:rsid w:val="0068216F"/>
    <w:rsid w:val="006826F5"/>
    <w:rsid w:val="00682A80"/>
    <w:rsid w:val="006856ED"/>
    <w:rsid w:val="0069021D"/>
    <w:rsid w:val="006911A6"/>
    <w:rsid w:val="00694ED2"/>
    <w:rsid w:val="00697AC2"/>
    <w:rsid w:val="006A0355"/>
    <w:rsid w:val="006A302D"/>
    <w:rsid w:val="006A3905"/>
    <w:rsid w:val="006A4331"/>
    <w:rsid w:val="006A4CA4"/>
    <w:rsid w:val="006A5EE9"/>
    <w:rsid w:val="006A6371"/>
    <w:rsid w:val="006B0216"/>
    <w:rsid w:val="006B300C"/>
    <w:rsid w:val="006B5047"/>
    <w:rsid w:val="006B56B7"/>
    <w:rsid w:val="006B578B"/>
    <w:rsid w:val="006B57A3"/>
    <w:rsid w:val="006B6A72"/>
    <w:rsid w:val="006B6B71"/>
    <w:rsid w:val="006C280A"/>
    <w:rsid w:val="006C2FBB"/>
    <w:rsid w:val="006C3454"/>
    <w:rsid w:val="006C35F8"/>
    <w:rsid w:val="006C3D70"/>
    <w:rsid w:val="006C3F41"/>
    <w:rsid w:val="006C4212"/>
    <w:rsid w:val="006C436E"/>
    <w:rsid w:val="006C4A24"/>
    <w:rsid w:val="006C53DB"/>
    <w:rsid w:val="006D0BBB"/>
    <w:rsid w:val="006D0DC7"/>
    <w:rsid w:val="006D0E4A"/>
    <w:rsid w:val="006D1D23"/>
    <w:rsid w:val="006D20F8"/>
    <w:rsid w:val="006D42F4"/>
    <w:rsid w:val="006D6420"/>
    <w:rsid w:val="006D7FDF"/>
    <w:rsid w:val="006E0601"/>
    <w:rsid w:val="006E325C"/>
    <w:rsid w:val="006E483A"/>
    <w:rsid w:val="006E5CD6"/>
    <w:rsid w:val="006E7FB8"/>
    <w:rsid w:val="006F04F4"/>
    <w:rsid w:val="006F0E3C"/>
    <w:rsid w:val="006F12BD"/>
    <w:rsid w:val="006F2810"/>
    <w:rsid w:val="006F2DC2"/>
    <w:rsid w:val="006F3643"/>
    <w:rsid w:val="006F3C49"/>
    <w:rsid w:val="006F746C"/>
    <w:rsid w:val="00701ECD"/>
    <w:rsid w:val="007043CB"/>
    <w:rsid w:val="00704A97"/>
    <w:rsid w:val="00704B76"/>
    <w:rsid w:val="00706F5D"/>
    <w:rsid w:val="007077D3"/>
    <w:rsid w:val="007079AE"/>
    <w:rsid w:val="007125C7"/>
    <w:rsid w:val="00712EC6"/>
    <w:rsid w:val="0071432C"/>
    <w:rsid w:val="00714859"/>
    <w:rsid w:val="0071747B"/>
    <w:rsid w:val="0072026C"/>
    <w:rsid w:val="007208FB"/>
    <w:rsid w:val="00721797"/>
    <w:rsid w:val="00721D32"/>
    <w:rsid w:val="007223EE"/>
    <w:rsid w:val="00723A94"/>
    <w:rsid w:val="007244B6"/>
    <w:rsid w:val="00725487"/>
    <w:rsid w:val="00727C35"/>
    <w:rsid w:val="00727E4F"/>
    <w:rsid w:val="00730A07"/>
    <w:rsid w:val="0073160E"/>
    <w:rsid w:val="00733FDA"/>
    <w:rsid w:val="00734A13"/>
    <w:rsid w:val="007350D5"/>
    <w:rsid w:val="007372FB"/>
    <w:rsid w:val="00737399"/>
    <w:rsid w:val="0074177E"/>
    <w:rsid w:val="00741C3E"/>
    <w:rsid w:val="00742531"/>
    <w:rsid w:val="00742C76"/>
    <w:rsid w:val="007444D9"/>
    <w:rsid w:val="00744699"/>
    <w:rsid w:val="00746395"/>
    <w:rsid w:val="007505BE"/>
    <w:rsid w:val="00751543"/>
    <w:rsid w:val="007515B8"/>
    <w:rsid w:val="00753218"/>
    <w:rsid w:val="00754F1A"/>
    <w:rsid w:val="00756009"/>
    <w:rsid w:val="00756A45"/>
    <w:rsid w:val="007634C9"/>
    <w:rsid w:val="00763E9A"/>
    <w:rsid w:val="00766E6D"/>
    <w:rsid w:val="007722AE"/>
    <w:rsid w:val="007762F4"/>
    <w:rsid w:val="00776D30"/>
    <w:rsid w:val="007808BA"/>
    <w:rsid w:val="00780CC9"/>
    <w:rsid w:val="0078126A"/>
    <w:rsid w:val="0078165A"/>
    <w:rsid w:val="00783016"/>
    <w:rsid w:val="0078327E"/>
    <w:rsid w:val="0078506D"/>
    <w:rsid w:val="00790286"/>
    <w:rsid w:val="007927A3"/>
    <w:rsid w:val="00793203"/>
    <w:rsid w:val="007952EB"/>
    <w:rsid w:val="00797C68"/>
    <w:rsid w:val="007A05E3"/>
    <w:rsid w:val="007A0BD3"/>
    <w:rsid w:val="007A14DF"/>
    <w:rsid w:val="007A150C"/>
    <w:rsid w:val="007A1B6E"/>
    <w:rsid w:val="007A2A57"/>
    <w:rsid w:val="007A2E2C"/>
    <w:rsid w:val="007A2E52"/>
    <w:rsid w:val="007A5BEB"/>
    <w:rsid w:val="007B0B3B"/>
    <w:rsid w:val="007B1784"/>
    <w:rsid w:val="007B42A2"/>
    <w:rsid w:val="007B453E"/>
    <w:rsid w:val="007B55DB"/>
    <w:rsid w:val="007B6335"/>
    <w:rsid w:val="007C34BC"/>
    <w:rsid w:val="007C5153"/>
    <w:rsid w:val="007C56CC"/>
    <w:rsid w:val="007C5A41"/>
    <w:rsid w:val="007C6A02"/>
    <w:rsid w:val="007C6F56"/>
    <w:rsid w:val="007C707B"/>
    <w:rsid w:val="007D17DD"/>
    <w:rsid w:val="007D20E3"/>
    <w:rsid w:val="007D3356"/>
    <w:rsid w:val="007D495D"/>
    <w:rsid w:val="007D4C6C"/>
    <w:rsid w:val="007D5DF7"/>
    <w:rsid w:val="007D7206"/>
    <w:rsid w:val="007E14AA"/>
    <w:rsid w:val="007E1931"/>
    <w:rsid w:val="007E38C5"/>
    <w:rsid w:val="007E47A8"/>
    <w:rsid w:val="007E47DF"/>
    <w:rsid w:val="007E51C7"/>
    <w:rsid w:val="007E5A4D"/>
    <w:rsid w:val="007F2C8B"/>
    <w:rsid w:val="007F3E1A"/>
    <w:rsid w:val="007F4D7A"/>
    <w:rsid w:val="007F527F"/>
    <w:rsid w:val="007F5B5F"/>
    <w:rsid w:val="00800539"/>
    <w:rsid w:val="00800647"/>
    <w:rsid w:val="00802C86"/>
    <w:rsid w:val="0080413A"/>
    <w:rsid w:val="00805C72"/>
    <w:rsid w:val="00807494"/>
    <w:rsid w:val="0081015C"/>
    <w:rsid w:val="0081052D"/>
    <w:rsid w:val="00814383"/>
    <w:rsid w:val="00815E06"/>
    <w:rsid w:val="00816BC7"/>
    <w:rsid w:val="00816FD3"/>
    <w:rsid w:val="00817ECB"/>
    <w:rsid w:val="00822DE0"/>
    <w:rsid w:val="00822F98"/>
    <w:rsid w:val="008242E0"/>
    <w:rsid w:val="008248B0"/>
    <w:rsid w:val="00824D0D"/>
    <w:rsid w:val="00827589"/>
    <w:rsid w:val="00827D5B"/>
    <w:rsid w:val="00833355"/>
    <w:rsid w:val="00833D24"/>
    <w:rsid w:val="00837046"/>
    <w:rsid w:val="008412DD"/>
    <w:rsid w:val="008415AB"/>
    <w:rsid w:val="00841B7B"/>
    <w:rsid w:val="0084246E"/>
    <w:rsid w:val="00842A72"/>
    <w:rsid w:val="00843992"/>
    <w:rsid w:val="00843F4F"/>
    <w:rsid w:val="00845D34"/>
    <w:rsid w:val="0084646B"/>
    <w:rsid w:val="008476EF"/>
    <w:rsid w:val="00847E5D"/>
    <w:rsid w:val="00850601"/>
    <w:rsid w:val="008512D6"/>
    <w:rsid w:val="00851EFF"/>
    <w:rsid w:val="0085241F"/>
    <w:rsid w:val="008528DC"/>
    <w:rsid w:val="00852DFC"/>
    <w:rsid w:val="00853FEE"/>
    <w:rsid w:val="008549FD"/>
    <w:rsid w:val="0085510F"/>
    <w:rsid w:val="008562F6"/>
    <w:rsid w:val="0085676A"/>
    <w:rsid w:val="0086049A"/>
    <w:rsid w:val="00863CB5"/>
    <w:rsid w:val="00864198"/>
    <w:rsid w:val="00864EB9"/>
    <w:rsid w:val="0086611B"/>
    <w:rsid w:val="00866187"/>
    <w:rsid w:val="00870022"/>
    <w:rsid w:val="00871E8A"/>
    <w:rsid w:val="0087260A"/>
    <w:rsid w:val="008740E4"/>
    <w:rsid w:val="00876062"/>
    <w:rsid w:val="0087637A"/>
    <w:rsid w:val="00876F37"/>
    <w:rsid w:val="0088085A"/>
    <w:rsid w:val="0088435E"/>
    <w:rsid w:val="00884738"/>
    <w:rsid w:val="008859BA"/>
    <w:rsid w:val="008869E4"/>
    <w:rsid w:val="00887554"/>
    <w:rsid w:val="0088776B"/>
    <w:rsid w:val="008926C4"/>
    <w:rsid w:val="008935A9"/>
    <w:rsid w:val="00893AD4"/>
    <w:rsid w:val="00893DA7"/>
    <w:rsid w:val="00894C7D"/>
    <w:rsid w:val="008962B8"/>
    <w:rsid w:val="0089656E"/>
    <w:rsid w:val="00896EC3"/>
    <w:rsid w:val="00897B1D"/>
    <w:rsid w:val="008A0021"/>
    <w:rsid w:val="008A2F9D"/>
    <w:rsid w:val="008A61B0"/>
    <w:rsid w:val="008A73FA"/>
    <w:rsid w:val="008A78C3"/>
    <w:rsid w:val="008A7A27"/>
    <w:rsid w:val="008B24F1"/>
    <w:rsid w:val="008B2859"/>
    <w:rsid w:val="008B3593"/>
    <w:rsid w:val="008B3870"/>
    <w:rsid w:val="008B40CB"/>
    <w:rsid w:val="008B4190"/>
    <w:rsid w:val="008B426D"/>
    <w:rsid w:val="008B514C"/>
    <w:rsid w:val="008B52E4"/>
    <w:rsid w:val="008B6BEB"/>
    <w:rsid w:val="008C0A51"/>
    <w:rsid w:val="008C3413"/>
    <w:rsid w:val="008C4C96"/>
    <w:rsid w:val="008C6E6A"/>
    <w:rsid w:val="008D0EBB"/>
    <w:rsid w:val="008D181A"/>
    <w:rsid w:val="008D1F9D"/>
    <w:rsid w:val="008D28F5"/>
    <w:rsid w:val="008D3B41"/>
    <w:rsid w:val="008D4B65"/>
    <w:rsid w:val="008D4CDC"/>
    <w:rsid w:val="008D5E7B"/>
    <w:rsid w:val="008D5FAF"/>
    <w:rsid w:val="008D68E7"/>
    <w:rsid w:val="008E1649"/>
    <w:rsid w:val="008E32DE"/>
    <w:rsid w:val="008E3E3F"/>
    <w:rsid w:val="008E5606"/>
    <w:rsid w:val="008E5F90"/>
    <w:rsid w:val="008E6410"/>
    <w:rsid w:val="008F0626"/>
    <w:rsid w:val="008F0CED"/>
    <w:rsid w:val="008F3B82"/>
    <w:rsid w:val="008F3C7E"/>
    <w:rsid w:val="008F5726"/>
    <w:rsid w:val="008F575C"/>
    <w:rsid w:val="008F5C67"/>
    <w:rsid w:val="008F5D4F"/>
    <w:rsid w:val="008F6AD3"/>
    <w:rsid w:val="008F6C9E"/>
    <w:rsid w:val="008F7198"/>
    <w:rsid w:val="0090019F"/>
    <w:rsid w:val="0090198B"/>
    <w:rsid w:val="0090346E"/>
    <w:rsid w:val="00903DD8"/>
    <w:rsid w:val="00906C5A"/>
    <w:rsid w:val="009109A7"/>
    <w:rsid w:val="00910E16"/>
    <w:rsid w:val="009122E8"/>
    <w:rsid w:val="009126B2"/>
    <w:rsid w:val="00916679"/>
    <w:rsid w:val="009175AA"/>
    <w:rsid w:val="00917986"/>
    <w:rsid w:val="00917E47"/>
    <w:rsid w:val="0092012B"/>
    <w:rsid w:val="0092067B"/>
    <w:rsid w:val="009207F7"/>
    <w:rsid w:val="00920EDD"/>
    <w:rsid w:val="00922F46"/>
    <w:rsid w:val="00924488"/>
    <w:rsid w:val="00924707"/>
    <w:rsid w:val="00925303"/>
    <w:rsid w:val="009269DC"/>
    <w:rsid w:val="009322B8"/>
    <w:rsid w:val="0093305F"/>
    <w:rsid w:val="009333FF"/>
    <w:rsid w:val="00933925"/>
    <w:rsid w:val="00934967"/>
    <w:rsid w:val="0093526A"/>
    <w:rsid w:val="00935B0E"/>
    <w:rsid w:val="00941CED"/>
    <w:rsid w:val="0094443A"/>
    <w:rsid w:val="009454B6"/>
    <w:rsid w:val="00945CF1"/>
    <w:rsid w:val="009462C4"/>
    <w:rsid w:val="00947AD2"/>
    <w:rsid w:val="00951C4E"/>
    <w:rsid w:val="00956049"/>
    <w:rsid w:val="00956C85"/>
    <w:rsid w:val="009607F0"/>
    <w:rsid w:val="00961008"/>
    <w:rsid w:val="00961375"/>
    <w:rsid w:val="009635D6"/>
    <w:rsid w:val="00964BB9"/>
    <w:rsid w:val="0096729F"/>
    <w:rsid w:val="00970F8E"/>
    <w:rsid w:val="00971A75"/>
    <w:rsid w:val="00972319"/>
    <w:rsid w:val="00975DED"/>
    <w:rsid w:val="00976021"/>
    <w:rsid w:val="0098039C"/>
    <w:rsid w:val="0098419B"/>
    <w:rsid w:val="00984542"/>
    <w:rsid w:val="00985362"/>
    <w:rsid w:val="0098759B"/>
    <w:rsid w:val="009933FF"/>
    <w:rsid w:val="0099396F"/>
    <w:rsid w:val="009947C5"/>
    <w:rsid w:val="00995D94"/>
    <w:rsid w:val="00996384"/>
    <w:rsid w:val="009972EC"/>
    <w:rsid w:val="009974E0"/>
    <w:rsid w:val="009A037A"/>
    <w:rsid w:val="009A0D4F"/>
    <w:rsid w:val="009A1A4C"/>
    <w:rsid w:val="009A21A2"/>
    <w:rsid w:val="009A3D0B"/>
    <w:rsid w:val="009A3F62"/>
    <w:rsid w:val="009A4B45"/>
    <w:rsid w:val="009A51A5"/>
    <w:rsid w:val="009A6A73"/>
    <w:rsid w:val="009A74D6"/>
    <w:rsid w:val="009A7BF3"/>
    <w:rsid w:val="009A7D04"/>
    <w:rsid w:val="009B150B"/>
    <w:rsid w:val="009B3713"/>
    <w:rsid w:val="009B3D89"/>
    <w:rsid w:val="009B6950"/>
    <w:rsid w:val="009C0016"/>
    <w:rsid w:val="009C3A4A"/>
    <w:rsid w:val="009C3D4F"/>
    <w:rsid w:val="009C4404"/>
    <w:rsid w:val="009C4D55"/>
    <w:rsid w:val="009C56CF"/>
    <w:rsid w:val="009D0408"/>
    <w:rsid w:val="009D0AD6"/>
    <w:rsid w:val="009D0D22"/>
    <w:rsid w:val="009D2764"/>
    <w:rsid w:val="009D4305"/>
    <w:rsid w:val="009D50BA"/>
    <w:rsid w:val="009D61EF"/>
    <w:rsid w:val="009D6F71"/>
    <w:rsid w:val="009D7264"/>
    <w:rsid w:val="009D7B8C"/>
    <w:rsid w:val="009E04F0"/>
    <w:rsid w:val="009E1327"/>
    <w:rsid w:val="009E247F"/>
    <w:rsid w:val="009E28F1"/>
    <w:rsid w:val="009E3A56"/>
    <w:rsid w:val="009E4345"/>
    <w:rsid w:val="009E484D"/>
    <w:rsid w:val="009F0EDE"/>
    <w:rsid w:val="009F1E96"/>
    <w:rsid w:val="009F2266"/>
    <w:rsid w:val="009F30EF"/>
    <w:rsid w:val="009F518C"/>
    <w:rsid w:val="009F57BD"/>
    <w:rsid w:val="009F65FD"/>
    <w:rsid w:val="009F6D48"/>
    <w:rsid w:val="009F76C6"/>
    <w:rsid w:val="009F7B7E"/>
    <w:rsid w:val="00A00670"/>
    <w:rsid w:val="00A00A0A"/>
    <w:rsid w:val="00A01448"/>
    <w:rsid w:val="00A01D18"/>
    <w:rsid w:val="00A020A3"/>
    <w:rsid w:val="00A02609"/>
    <w:rsid w:val="00A02C51"/>
    <w:rsid w:val="00A034C7"/>
    <w:rsid w:val="00A059C9"/>
    <w:rsid w:val="00A0658F"/>
    <w:rsid w:val="00A06B60"/>
    <w:rsid w:val="00A1102C"/>
    <w:rsid w:val="00A111E4"/>
    <w:rsid w:val="00A123B2"/>
    <w:rsid w:val="00A13B2F"/>
    <w:rsid w:val="00A13EC8"/>
    <w:rsid w:val="00A145F7"/>
    <w:rsid w:val="00A16491"/>
    <w:rsid w:val="00A16D37"/>
    <w:rsid w:val="00A178E5"/>
    <w:rsid w:val="00A20497"/>
    <w:rsid w:val="00A22D52"/>
    <w:rsid w:val="00A23627"/>
    <w:rsid w:val="00A2611B"/>
    <w:rsid w:val="00A3074B"/>
    <w:rsid w:val="00A33E9A"/>
    <w:rsid w:val="00A35A01"/>
    <w:rsid w:val="00A36D8C"/>
    <w:rsid w:val="00A4047D"/>
    <w:rsid w:val="00A4086D"/>
    <w:rsid w:val="00A4173D"/>
    <w:rsid w:val="00A42719"/>
    <w:rsid w:val="00A427D7"/>
    <w:rsid w:val="00A439B8"/>
    <w:rsid w:val="00A44B10"/>
    <w:rsid w:val="00A44BAF"/>
    <w:rsid w:val="00A453F8"/>
    <w:rsid w:val="00A46146"/>
    <w:rsid w:val="00A47EF0"/>
    <w:rsid w:val="00A51C34"/>
    <w:rsid w:val="00A53850"/>
    <w:rsid w:val="00A545F2"/>
    <w:rsid w:val="00A5539D"/>
    <w:rsid w:val="00A55D35"/>
    <w:rsid w:val="00A61CDD"/>
    <w:rsid w:val="00A641FE"/>
    <w:rsid w:val="00A64202"/>
    <w:rsid w:val="00A66F22"/>
    <w:rsid w:val="00A67621"/>
    <w:rsid w:val="00A67CD8"/>
    <w:rsid w:val="00A67F74"/>
    <w:rsid w:val="00A731D4"/>
    <w:rsid w:val="00A7343E"/>
    <w:rsid w:val="00A75683"/>
    <w:rsid w:val="00A75C03"/>
    <w:rsid w:val="00A77197"/>
    <w:rsid w:val="00A814A1"/>
    <w:rsid w:val="00A816EF"/>
    <w:rsid w:val="00A8314E"/>
    <w:rsid w:val="00A84CFA"/>
    <w:rsid w:val="00A85AB6"/>
    <w:rsid w:val="00A8648A"/>
    <w:rsid w:val="00A879BB"/>
    <w:rsid w:val="00A9043C"/>
    <w:rsid w:val="00A911E2"/>
    <w:rsid w:val="00A9165C"/>
    <w:rsid w:val="00A91E27"/>
    <w:rsid w:val="00A93867"/>
    <w:rsid w:val="00A944E1"/>
    <w:rsid w:val="00A94520"/>
    <w:rsid w:val="00A948F4"/>
    <w:rsid w:val="00A96B83"/>
    <w:rsid w:val="00AA04E4"/>
    <w:rsid w:val="00AA06D7"/>
    <w:rsid w:val="00AA2740"/>
    <w:rsid w:val="00AA39CF"/>
    <w:rsid w:val="00AA3F73"/>
    <w:rsid w:val="00AA57BF"/>
    <w:rsid w:val="00AA6587"/>
    <w:rsid w:val="00AA7DAF"/>
    <w:rsid w:val="00AA7F67"/>
    <w:rsid w:val="00AB2978"/>
    <w:rsid w:val="00AB3D76"/>
    <w:rsid w:val="00AB5C41"/>
    <w:rsid w:val="00AB62E3"/>
    <w:rsid w:val="00AB6C75"/>
    <w:rsid w:val="00AB6CF2"/>
    <w:rsid w:val="00AB6DCE"/>
    <w:rsid w:val="00AC018A"/>
    <w:rsid w:val="00AC1A21"/>
    <w:rsid w:val="00AC4215"/>
    <w:rsid w:val="00AC423D"/>
    <w:rsid w:val="00AC5ABE"/>
    <w:rsid w:val="00AC77EB"/>
    <w:rsid w:val="00AC7FE3"/>
    <w:rsid w:val="00AD0256"/>
    <w:rsid w:val="00AD079B"/>
    <w:rsid w:val="00AD10A1"/>
    <w:rsid w:val="00AD113F"/>
    <w:rsid w:val="00AD195A"/>
    <w:rsid w:val="00AD2AD9"/>
    <w:rsid w:val="00AD2FF0"/>
    <w:rsid w:val="00AD397F"/>
    <w:rsid w:val="00AD4DF9"/>
    <w:rsid w:val="00AD4EAB"/>
    <w:rsid w:val="00AD5064"/>
    <w:rsid w:val="00AD69FC"/>
    <w:rsid w:val="00AD6AC6"/>
    <w:rsid w:val="00AD7286"/>
    <w:rsid w:val="00AE1971"/>
    <w:rsid w:val="00AE2393"/>
    <w:rsid w:val="00AE2D43"/>
    <w:rsid w:val="00AE3D79"/>
    <w:rsid w:val="00AE5514"/>
    <w:rsid w:val="00AE7512"/>
    <w:rsid w:val="00AE7B61"/>
    <w:rsid w:val="00AF0B2C"/>
    <w:rsid w:val="00AF10F7"/>
    <w:rsid w:val="00AF1C14"/>
    <w:rsid w:val="00AF2A9D"/>
    <w:rsid w:val="00AF2FAF"/>
    <w:rsid w:val="00AF350D"/>
    <w:rsid w:val="00AF3631"/>
    <w:rsid w:val="00AF3F16"/>
    <w:rsid w:val="00AF6CC8"/>
    <w:rsid w:val="00AF7B69"/>
    <w:rsid w:val="00B000C3"/>
    <w:rsid w:val="00B021FD"/>
    <w:rsid w:val="00B040F1"/>
    <w:rsid w:val="00B05088"/>
    <w:rsid w:val="00B05228"/>
    <w:rsid w:val="00B05A25"/>
    <w:rsid w:val="00B05ACF"/>
    <w:rsid w:val="00B0621C"/>
    <w:rsid w:val="00B07ED6"/>
    <w:rsid w:val="00B12AA9"/>
    <w:rsid w:val="00B14301"/>
    <w:rsid w:val="00B164DE"/>
    <w:rsid w:val="00B22A65"/>
    <w:rsid w:val="00B236D3"/>
    <w:rsid w:val="00B26083"/>
    <w:rsid w:val="00B27A2B"/>
    <w:rsid w:val="00B27BA7"/>
    <w:rsid w:val="00B27C8A"/>
    <w:rsid w:val="00B306E8"/>
    <w:rsid w:val="00B31482"/>
    <w:rsid w:val="00B33C8C"/>
    <w:rsid w:val="00B3412F"/>
    <w:rsid w:val="00B35585"/>
    <w:rsid w:val="00B43E96"/>
    <w:rsid w:val="00B449DF"/>
    <w:rsid w:val="00B45D16"/>
    <w:rsid w:val="00B4730A"/>
    <w:rsid w:val="00B47504"/>
    <w:rsid w:val="00B5061D"/>
    <w:rsid w:val="00B50CBE"/>
    <w:rsid w:val="00B51839"/>
    <w:rsid w:val="00B52435"/>
    <w:rsid w:val="00B524A5"/>
    <w:rsid w:val="00B53BCF"/>
    <w:rsid w:val="00B54BF1"/>
    <w:rsid w:val="00B55203"/>
    <w:rsid w:val="00B5527F"/>
    <w:rsid w:val="00B55303"/>
    <w:rsid w:val="00B57515"/>
    <w:rsid w:val="00B57B62"/>
    <w:rsid w:val="00B600F5"/>
    <w:rsid w:val="00B60C89"/>
    <w:rsid w:val="00B60D1E"/>
    <w:rsid w:val="00B61B21"/>
    <w:rsid w:val="00B6205E"/>
    <w:rsid w:val="00B644CD"/>
    <w:rsid w:val="00B64FE7"/>
    <w:rsid w:val="00B651A3"/>
    <w:rsid w:val="00B65953"/>
    <w:rsid w:val="00B665EB"/>
    <w:rsid w:val="00B6726C"/>
    <w:rsid w:val="00B674A7"/>
    <w:rsid w:val="00B67CAF"/>
    <w:rsid w:val="00B70464"/>
    <w:rsid w:val="00B723E7"/>
    <w:rsid w:val="00B72DA6"/>
    <w:rsid w:val="00B74171"/>
    <w:rsid w:val="00B75C77"/>
    <w:rsid w:val="00B77A66"/>
    <w:rsid w:val="00B811C1"/>
    <w:rsid w:val="00B814A4"/>
    <w:rsid w:val="00B8255A"/>
    <w:rsid w:val="00B84E67"/>
    <w:rsid w:val="00B86EA7"/>
    <w:rsid w:val="00B92CC4"/>
    <w:rsid w:val="00B9587B"/>
    <w:rsid w:val="00B958AF"/>
    <w:rsid w:val="00B970C7"/>
    <w:rsid w:val="00BA0FE6"/>
    <w:rsid w:val="00BA22E6"/>
    <w:rsid w:val="00BA246D"/>
    <w:rsid w:val="00BA2809"/>
    <w:rsid w:val="00BA35FE"/>
    <w:rsid w:val="00BA4005"/>
    <w:rsid w:val="00BA4402"/>
    <w:rsid w:val="00BA50C2"/>
    <w:rsid w:val="00BA7760"/>
    <w:rsid w:val="00BB0B56"/>
    <w:rsid w:val="00BB12AD"/>
    <w:rsid w:val="00BB145E"/>
    <w:rsid w:val="00BB4332"/>
    <w:rsid w:val="00BB4BE8"/>
    <w:rsid w:val="00BB5F23"/>
    <w:rsid w:val="00BB5FEF"/>
    <w:rsid w:val="00BB68B5"/>
    <w:rsid w:val="00BB717D"/>
    <w:rsid w:val="00BB7798"/>
    <w:rsid w:val="00BC71B0"/>
    <w:rsid w:val="00BD5DBF"/>
    <w:rsid w:val="00BD665E"/>
    <w:rsid w:val="00BD71D2"/>
    <w:rsid w:val="00BE1B12"/>
    <w:rsid w:val="00BE221D"/>
    <w:rsid w:val="00BE466E"/>
    <w:rsid w:val="00BE4A77"/>
    <w:rsid w:val="00BE5EE0"/>
    <w:rsid w:val="00BE7EC2"/>
    <w:rsid w:val="00BF13DE"/>
    <w:rsid w:val="00BF17C4"/>
    <w:rsid w:val="00BF2E93"/>
    <w:rsid w:val="00BF3B07"/>
    <w:rsid w:val="00BF4FF4"/>
    <w:rsid w:val="00BF5DE8"/>
    <w:rsid w:val="00BF797F"/>
    <w:rsid w:val="00C02B36"/>
    <w:rsid w:val="00C03535"/>
    <w:rsid w:val="00C03FCA"/>
    <w:rsid w:val="00C04667"/>
    <w:rsid w:val="00C05C57"/>
    <w:rsid w:val="00C063EA"/>
    <w:rsid w:val="00C068A4"/>
    <w:rsid w:val="00C07A54"/>
    <w:rsid w:val="00C10AA8"/>
    <w:rsid w:val="00C123E5"/>
    <w:rsid w:val="00C13593"/>
    <w:rsid w:val="00C16619"/>
    <w:rsid w:val="00C2041D"/>
    <w:rsid w:val="00C20D44"/>
    <w:rsid w:val="00C21860"/>
    <w:rsid w:val="00C22047"/>
    <w:rsid w:val="00C24273"/>
    <w:rsid w:val="00C25996"/>
    <w:rsid w:val="00C270DD"/>
    <w:rsid w:val="00C301B2"/>
    <w:rsid w:val="00C33061"/>
    <w:rsid w:val="00C331B2"/>
    <w:rsid w:val="00C33DCB"/>
    <w:rsid w:val="00C34075"/>
    <w:rsid w:val="00C34ED3"/>
    <w:rsid w:val="00C35256"/>
    <w:rsid w:val="00C35A7F"/>
    <w:rsid w:val="00C43F17"/>
    <w:rsid w:val="00C4473A"/>
    <w:rsid w:val="00C448FE"/>
    <w:rsid w:val="00C452F6"/>
    <w:rsid w:val="00C46870"/>
    <w:rsid w:val="00C475A4"/>
    <w:rsid w:val="00C54BFE"/>
    <w:rsid w:val="00C565A2"/>
    <w:rsid w:val="00C60087"/>
    <w:rsid w:val="00C6031A"/>
    <w:rsid w:val="00C60378"/>
    <w:rsid w:val="00C61EAA"/>
    <w:rsid w:val="00C62BD2"/>
    <w:rsid w:val="00C6329F"/>
    <w:rsid w:val="00C67007"/>
    <w:rsid w:val="00C67052"/>
    <w:rsid w:val="00C671BA"/>
    <w:rsid w:val="00C7064C"/>
    <w:rsid w:val="00C71A05"/>
    <w:rsid w:val="00C72E51"/>
    <w:rsid w:val="00C739EC"/>
    <w:rsid w:val="00C747E9"/>
    <w:rsid w:val="00C74F04"/>
    <w:rsid w:val="00C76442"/>
    <w:rsid w:val="00C77031"/>
    <w:rsid w:val="00C77396"/>
    <w:rsid w:val="00C83E77"/>
    <w:rsid w:val="00C85653"/>
    <w:rsid w:val="00C9135E"/>
    <w:rsid w:val="00C91C04"/>
    <w:rsid w:val="00C91FE4"/>
    <w:rsid w:val="00C92B35"/>
    <w:rsid w:val="00C9375F"/>
    <w:rsid w:val="00C95711"/>
    <w:rsid w:val="00C95A5C"/>
    <w:rsid w:val="00C96928"/>
    <w:rsid w:val="00C96B65"/>
    <w:rsid w:val="00C97ECF"/>
    <w:rsid w:val="00CA2953"/>
    <w:rsid w:val="00CA45F4"/>
    <w:rsid w:val="00CA4715"/>
    <w:rsid w:val="00CA6229"/>
    <w:rsid w:val="00CB01A3"/>
    <w:rsid w:val="00CB05F0"/>
    <w:rsid w:val="00CB1DC8"/>
    <w:rsid w:val="00CB2C5F"/>
    <w:rsid w:val="00CB2CE5"/>
    <w:rsid w:val="00CB4309"/>
    <w:rsid w:val="00CB54E2"/>
    <w:rsid w:val="00CB59D3"/>
    <w:rsid w:val="00CB619F"/>
    <w:rsid w:val="00CB7354"/>
    <w:rsid w:val="00CB7880"/>
    <w:rsid w:val="00CB79E3"/>
    <w:rsid w:val="00CC0638"/>
    <w:rsid w:val="00CC07FD"/>
    <w:rsid w:val="00CC1B36"/>
    <w:rsid w:val="00CC20D2"/>
    <w:rsid w:val="00CC5191"/>
    <w:rsid w:val="00CC5771"/>
    <w:rsid w:val="00CC68A1"/>
    <w:rsid w:val="00CD11D2"/>
    <w:rsid w:val="00CD2508"/>
    <w:rsid w:val="00CD25F2"/>
    <w:rsid w:val="00CD43EF"/>
    <w:rsid w:val="00CD5F2B"/>
    <w:rsid w:val="00CD6703"/>
    <w:rsid w:val="00CD6A77"/>
    <w:rsid w:val="00CD6FBF"/>
    <w:rsid w:val="00CE1054"/>
    <w:rsid w:val="00CE1855"/>
    <w:rsid w:val="00CE33CB"/>
    <w:rsid w:val="00CE3687"/>
    <w:rsid w:val="00CE45E5"/>
    <w:rsid w:val="00CF0AF8"/>
    <w:rsid w:val="00CF5508"/>
    <w:rsid w:val="00CF6B75"/>
    <w:rsid w:val="00D006CA"/>
    <w:rsid w:val="00D00A8B"/>
    <w:rsid w:val="00D014B0"/>
    <w:rsid w:val="00D05755"/>
    <w:rsid w:val="00D12119"/>
    <w:rsid w:val="00D12329"/>
    <w:rsid w:val="00D13FB9"/>
    <w:rsid w:val="00D14A9D"/>
    <w:rsid w:val="00D15CF0"/>
    <w:rsid w:val="00D16216"/>
    <w:rsid w:val="00D16747"/>
    <w:rsid w:val="00D16943"/>
    <w:rsid w:val="00D17B20"/>
    <w:rsid w:val="00D219C0"/>
    <w:rsid w:val="00D21ADD"/>
    <w:rsid w:val="00D2298A"/>
    <w:rsid w:val="00D22EB4"/>
    <w:rsid w:val="00D2531E"/>
    <w:rsid w:val="00D253BD"/>
    <w:rsid w:val="00D2717C"/>
    <w:rsid w:val="00D30218"/>
    <w:rsid w:val="00D33319"/>
    <w:rsid w:val="00D34192"/>
    <w:rsid w:val="00D34FA8"/>
    <w:rsid w:val="00D35444"/>
    <w:rsid w:val="00D368B1"/>
    <w:rsid w:val="00D37B01"/>
    <w:rsid w:val="00D40536"/>
    <w:rsid w:val="00D41CFF"/>
    <w:rsid w:val="00D422E8"/>
    <w:rsid w:val="00D4470B"/>
    <w:rsid w:val="00D44CAF"/>
    <w:rsid w:val="00D46944"/>
    <w:rsid w:val="00D46BCF"/>
    <w:rsid w:val="00D479E9"/>
    <w:rsid w:val="00D538DA"/>
    <w:rsid w:val="00D5715A"/>
    <w:rsid w:val="00D60267"/>
    <w:rsid w:val="00D603BA"/>
    <w:rsid w:val="00D6295A"/>
    <w:rsid w:val="00D636C1"/>
    <w:rsid w:val="00D65762"/>
    <w:rsid w:val="00D70B1D"/>
    <w:rsid w:val="00D71439"/>
    <w:rsid w:val="00D740B1"/>
    <w:rsid w:val="00D75593"/>
    <w:rsid w:val="00D75FB1"/>
    <w:rsid w:val="00D7674A"/>
    <w:rsid w:val="00D76D4A"/>
    <w:rsid w:val="00D76F3E"/>
    <w:rsid w:val="00D774F6"/>
    <w:rsid w:val="00D77A66"/>
    <w:rsid w:val="00D819DB"/>
    <w:rsid w:val="00D81C19"/>
    <w:rsid w:val="00D8245C"/>
    <w:rsid w:val="00D826BB"/>
    <w:rsid w:val="00D82A7A"/>
    <w:rsid w:val="00D82AFC"/>
    <w:rsid w:val="00D82C19"/>
    <w:rsid w:val="00D82DD9"/>
    <w:rsid w:val="00D836B6"/>
    <w:rsid w:val="00D843E4"/>
    <w:rsid w:val="00D85797"/>
    <w:rsid w:val="00D867D9"/>
    <w:rsid w:val="00D91363"/>
    <w:rsid w:val="00D91C92"/>
    <w:rsid w:val="00D93517"/>
    <w:rsid w:val="00D95384"/>
    <w:rsid w:val="00D959E1"/>
    <w:rsid w:val="00D9790C"/>
    <w:rsid w:val="00DA074E"/>
    <w:rsid w:val="00DA2C3A"/>
    <w:rsid w:val="00DA4319"/>
    <w:rsid w:val="00DA5528"/>
    <w:rsid w:val="00DA647A"/>
    <w:rsid w:val="00DA7F66"/>
    <w:rsid w:val="00DB0534"/>
    <w:rsid w:val="00DB120A"/>
    <w:rsid w:val="00DB2780"/>
    <w:rsid w:val="00DB5587"/>
    <w:rsid w:val="00DB576B"/>
    <w:rsid w:val="00DB719C"/>
    <w:rsid w:val="00DB7BC7"/>
    <w:rsid w:val="00DC0C5A"/>
    <w:rsid w:val="00DC17D2"/>
    <w:rsid w:val="00DC1FBE"/>
    <w:rsid w:val="00DC21E9"/>
    <w:rsid w:val="00DC23E9"/>
    <w:rsid w:val="00DC2DB8"/>
    <w:rsid w:val="00DC4052"/>
    <w:rsid w:val="00DC4E3F"/>
    <w:rsid w:val="00DC606E"/>
    <w:rsid w:val="00DC7619"/>
    <w:rsid w:val="00DD0B1E"/>
    <w:rsid w:val="00DD1F9D"/>
    <w:rsid w:val="00DD30A7"/>
    <w:rsid w:val="00DD3D2E"/>
    <w:rsid w:val="00DD44CD"/>
    <w:rsid w:val="00DD508E"/>
    <w:rsid w:val="00DD5342"/>
    <w:rsid w:val="00DD7116"/>
    <w:rsid w:val="00DE1600"/>
    <w:rsid w:val="00DE2AA5"/>
    <w:rsid w:val="00DE33A1"/>
    <w:rsid w:val="00DE4AD2"/>
    <w:rsid w:val="00DE4F73"/>
    <w:rsid w:val="00DE536D"/>
    <w:rsid w:val="00DE7A2C"/>
    <w:rsid w:val="00DF01EA"/>
    <w:rsid w:val="00DF17D4"/>
    <w:rsid w:val="00DF2615"/>
    <w:rsid w:val="00DF2756"/>
    <w:rsid w:val="00DF6BEA"/>
    <w:rsid w:val="00E0011E"/>
    <w:rsid w:val="00E03E70"/>
    <w:rsid w:val="00E041C0"/>
    <w:rsid w:val="00E043F9"/>
    <w:rsid w:val="00E04B7D"/>
    <w:rsid w:val="00E05D5C"/>
    <w:rsid w:val="00E0631B"/>
    <w:rsid w:val="00E103BA"/>
    <w:rsid w:val="00E106DA"/>
    <w:rsid w:val="00E10ABB"/>
    <w:rsid w:val="00E12E98"/>
    <w:rsid w:val="00E13976"/>
    <w:rsid w:val="00E153E1"/>
    <w:rsid w:val="00E15549"/>
    <w:rsid w:val="00E166FB"/>
    <w:rsid w:val="00E16B77"/>
    <w:rsid w:val="00E20619"/>
    <w:rsid w:val="00E2395C"/>
    <w:rsid w:val="00E2546D"/>
    <w:rsid w:val="00E3161C"/>
    <w:rsid w:val="00E31FA6"/>
    <w:rsid w:val="00E33D1B"/>
    <w:rsid w:val="00E352C2"/>
    <w:rsid w:val="00E371A9"/>
    <w:rsid w:val="00E4050E"/>
    <w:rsid w:val="00E42665"/>
    <w:rsid w:val="00E42780"/>
    <w:rsid w:val="00E43691"/>
    <w:rsid w:val="00E44C8B"/>
    <w:rsid w:val="00E454A6"/>
    <w:rsid w:val="00E46071"/>
    <w:rsid w:val="00E4749F"/>
    <w:rsid w:val="00E509F9"/>
    <w:rsid w:val="00E5113B"/>
    <w:rsid w:val="00E53E25"/>
    <w:rsid w:val="00E54D05"/>
    <w:rsid w:val="00E55477"/>
    <w:rsid w:val="00E5557C"/>
    <w:rsid w:val="00E5742B"/>
    <w:rsid w:val="00E57600"/>
    <w:rsid w:val="00E57834"/>
    <w:rsid w:val="00E60931"/>
    <w:rsid w:val="00E613E2"/>
    <w:rsid w:val="00E640EC"/>
    <w:rsid w:val="00E64199"/>
    <w:rsid w:val="00E6741D"/>
    <w:rsid w:val="00E67985"/>
    <w:rsid w:val="00E679DF"/>
    <w:rsid w:val="00E707EC"/>
    <w:rsid w:val="00E70D25"/>
    <w:rsid w:val="00E70ECF"/>
    <w:rsid w:val="00E71160"/>
    <w:rsid w:val="00E7170A"/>
    <w:rsid w:val="00E72CE3"/>
    <w:rsid w:val="00E7454F"/>
    <w:rsid w:val="00E74E8A"/>
    <w:rsid w:val="00E75D56"/>
    <w:rsid w:val="00E77726"/>
    <w:rsid w:val="00E7782A"/>
    <w:rsid w:val="00E80C47"/>
    <w:rsid w:val="00E80FC9"/>
    <w:rsid w:val="00E8225E"/>
    <w:rsid w:val="00E8474C"/>
    <w:rsid w:val="00E87633"/>
    <w:rsid w:val="00E87DA5"/>
    <w:rsid w:val="00E91C02"/>
    <w:rsid w:val="00E91FE3"/>
    <w:rsid w:val="00E927C3"/>
    <w:rsid w:val="00E92F02"/>
    <w:rsid w:val="00E96BC7"/>
    <w:rsid w:val="00E96C1B"/>
    <w:rsid w:val="00E96D50"/>
    <w:rsid w:val="00E97E2D"/>
    <w:rsid w:val="00EA0B53"/>
    <w:rsid w:val="00EA1C8A"/>
    <w:rsid w:val="00EA2962"/>
    <w:rsid w:val="00EA5CA1"/>
    <w:rsid w:val="00EA67F1"/>
    <w:rsid w:val="00EA7F8C"/>
    <w:rsid w:val="00EB2842"/>
    <w:rsid w:val="00EB2BD3"/>
    <w:rsid w:val="00EB3D47"/>
    <w:rsid w:val="00EB4A21"/>
    <w:rsid w:val="00EB4E41"/>
    <w:rsid w:val="00EB5175"/>
    <w:rsid w:val="00EB7F26"/>
    <w:rsid w:val="00EC063C"/>
    <w:rsid w:val="00EC2345"/>
    <w:rsid w:val="00EC4C00"/>
    <w:rsid w:val="00EC54CD"/>
    <w:rsid w:val="00EC5BDA"/>
    <w:rsid w:val="00EC5F7A"/>
    <w:rsid w:val="00EC670A"/>
    <w:rsid w:val="00EC7A9E"/>
    <w:rsid w:val="00ED09AA"/>
    <w:rsid w:val="00ED219C"/>
    <w:rsid w:val="00ED47F3"/>
    <w:rsid w:val="00ED501C"/>
    <w:rsid w:val="00ED5664"/>
    <w:rsid w:val="00ED5EA5"/>
    <w:rsid w:val="00ED6ED0"/>
    <w:rsid w:val="00ED7534"/>
    <w:rsid w:val="00EE055F"/>
    <w:rsid w:val="00EE2107"/>
    <w:rsid w:val="00EE24B3"/>
    <w:rsid w:val="00EE42B7"/>
    <w:rsid w:val="00EE4AAF"/>
    <w:rsid w:val="00EE4E28"/>
    <w:rsid w:val="00EE4E67"/>
    <w:rsid w:val="00EE573C"/>
    <w:rsid w:val="00EE60D4"/>
    <w:rsid w:val="00EE721B"/>
    <w:rsid w:val="00EE72DA"/>
    <w:rsid w:val="00EE72F0"/>
    <w:rsid w:val="00EE78B2"/>
    <w:rsid w:val="00EF1282"/>
    <w:rsid w:val="00EF2B07"/>
    <w:rsid w:val="00EF2E6C"/>
    <w:rsid w:val="00EF3538"/>
    <w:rsid w:val="00EF35C3"/>
    <w:rsid w:val="00EF6BF3"/>
    <w:rsid w:val="00EF74B0"/>
    <w:rsid w:val="00F00552"/>
    <w:rsid w:val="00F00BF0"/>
    <w:rsid w:val="00F0194F"/>
    <w:rsid w:val="00F02767"/>
    <w:rsid w:val="00F05A8F"/>
    <w:rsid w:val="00F10E0A"/>
    <w:rsid w:val="00F10F46"/>
    <w:rsid w:val="00F12150"/>
    <w:rsid w:val="00F12373"/>
    <w:rsid w:val="00F12CB7"/>
    <w:rsid w:val="00F13CDA"/>
    <w:rsid w:val="00F13F1B"/>
    <w:rsid w:val="00F1470A"/>
    <w:rsid w:val="00F176CF"/>
    <w:rsid w:val="00F20285"/>
    <w:rsid w:val="00F215BA"/>
    <w:rsid w:val="00F21F7C"/>
    <w:rsid w:val="00F23CA8"/>
    <w:rsid w:val="00F246B3"/>
    <w:rsid w:val="00F25096"/>
    <w:rsid w:val="00F2550E"/>
    <w:rsid w:val="00F266FC"/>
    <w:rsid w:val="00F30109"/>
    <w:rsid w:val="00F31878"/>
    <w:rsid w:val="00F31F6C"/>
    <w:rsid w:val="00F32E43"/>
    <w:rsid w:val="00F34FCF"/>
    <w:rsid w:val="00F35558"/>
    <w:rsid w:val="00F35D2A"/>
    <w:rsid w:val="00F36712"/>
    <w:rsid w:val="00F375A8"/>
    <w:rsid w:val="00F401F6"/>
    <w:rsid w:val="00F417B5"/>
    <w:rsid w:val="00F44CAC"/>
    <w:rsid w:val="00F4686C"/>
    <w:rsid w:val="00F47D5B"/>
    <w:rsid w:val="00F51B9E"/>
    <w:rsid w:val="00F51E81"/>
    <w:rsid w:val="00F522FA"/>
    <w:rsid w:val="00F52BED"/>
    <w:rsid w:val="00F53153"/>
    <w:rsid w:val="00F55A33"/>
    <w:rsid w:val="00F55E0D"/>
    <w:rsid w:val="00F6124E"/>
    <w:rsid w:val="00F613A4"/>
    <w:rsid w:val="00F61459"/>
    <w:rsid w:val="00F61E8A"/>
    <w:rsid w:val="00F6333B"/>
    <w:rsid w:val="00F6445F"/>
    <w:rsid w:val="00F64501"/>
    <w:rsid w:val="00F6517C"/>
    <w:rsid w:val="00F653D2"/>
    <w:rsid w:val="00F66BD0"/>
    <w:rsid w:val="00F67316"/>
    <w:rsid w:val="00F675DF"/>
    <w:rsid w:val="00F67685"/>
    <w:rsid w:val="00F6790E"/>
    <w:rsid w:val="00F67EB0"/>
    <w:rsid w:val="00F67F26"/>
    <w:rsid w:val="00F70321"/>
    <w:rsid w:val="00F713FF"/>
    <w:rsid w:val="00F71E1C"/>
    <w:rsid w:val="00F7279E"/>
    <w:rsid w:val="00F727E3"/>
    <w:rsid w:val="00F7373A"/>
    <w:rsid w:val="00F74A2A"/>
    <w:rsid w:val="00F754BF"/>
    <w:rsid w:val="00F754C4"/>
    <w:rsid w:val="00F76B7F"/>
    <w:rsid w:val="00F77785"/>
    <w:rsid w:val="00F801DC"/>
    <w:rsid w:val="00F8320A"/>
    <w:rsid w:val="00F83C47"/>
    <w:rsid w:val="00F85627"/>
    <w:rsid w:val="00F90B9E"/>
    <w:rsid w:val="00F91E47"/>
    <w:rsid w:val="00F93695"/>
    <w:rsid w:val="00FA19DF"/>
    <w:rsid w:val="00FA288B"/>
    <w:rsid w:val="00FA3102"/>
    <w:rsid w:val="00FA3BED"/>
    <w:rsid w:val="00FA42C6"/>
    <w:rsid w:val="00FA61E2"/>
    <w:rsid w:val="00FA6EED"/>
    <w:rsid w:val="00FB3DEE"/>
    <w:rsid w:val="00FB5582"/>
    <w:rsid w:val="00FB5CB1"/>
    <w:rsid w:val="00FB707C"/>
    <w:rsid w:val="00FB73DB"/>
    <w:rsid w:val="00FC2A7F"/>
    <w:rsid w:val="00FC2A82"/>
    <w:rsid w:val="00FC2FDA"/>
    <w:rsid w:val="00FC45D3"/>
    <w:rsid w:val="00FC4CBE"/>
    <w:rsid w:val="00FC5570"/>
    <w:rsid w:val="00FC5778"/>
    <w:rsid w:val="00FC7D4E"/>
    <w:rsid w:val="00FD1F84"/>
    <w:rsid w:val="00FD2333"/>
    <w:rsid w:val="00FD2658"/>
    <w:rsid w:val="00FD329A"/>
    <w:rsid w:val="00FD33E5"/>
    <w:rsid w:val="00FD6038"/>
    <w:rsid w:val="00FD6D8C"/>
    <w:rsid w:val="00FD7180"/>
    <w:rsid w:val="00FE0840"/>
    <w:rsid w:val="00FE158A"/>
    <w:rsid w:val="00FE18D7"/>
    <w:rsid w:val="00FE28B7"/>
    <w:rsid w:val="00FE2BCC"/>
    <w:rsid w:val="00FE32B0"/>
    <w:rsid w:val="00FE399B"/>
    <w:rsid w:val="00FE4018"/>
    <w:rsid w:val="00FE4D23"/>
    <w:rsid w:val="00FE5FE2"/>
    <w:rsid w:val="00FF03C6"/>
    <w:rsid w:val="00FF2B3D"/>
    <w:rsid w:val="00FF3984"/>
    <w:rsid w:val="00FF54EA"/>
    <w:rsid w:val="00FF59B2"/>
    <w:rsid w:val="00FF644C"/>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57C9C460"/>
  <w15:docId w15:val="{0AD91012-B9FA-40DD-B187-B4E2B786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667"/>
    <w:rPr>
      <w:rFonts w:ascii="Garamond" w:eastAsia="Times" w:hAnsi="Garamond"/>
      <w:sz w:val="24"/>
      <w:lang w:val="es-ES_tradnl" w:eastAsia="en-US"/>
    </w:rPr>
  </w:style>
  <w:style w:type="paragraph" w:styleId="Ttulo1">
    <w:name w:val="heading 1"/>
    <w:basedOn w:val="Normal"/>
    <w:next w:val="Normal"/>
    <w:link w:val="Ttulo1Car"/>
    <w:uiPriority w:val="9"/>
    <w:qFormat/>
    <w:rsid w:val="00434E7B"/>
    <w:pPr>
      <w:keepNext/>
      <w:spacing w:before="240" w:after="60"/>
      <w:outlineLvl w:val="0"/>
    </w:pPr>
    <w:rPr>
      <w:rFonts w:ascii="Cambria" w:eastAsia="Times New Roman" w:hAnsi="Cambria"/>
      <w:b/>
      <w:bCs/>
      <w:kern w:val="32"/>
      <w:sz w:val="32"/>
      <w:szCs w:val="32"/>
    </w:rPr>
  </w:style>
  <w:style w:type="paragraph" w:styleId="Ttulo4">
    <w:name w:val="heading 4"/>
    <w:basedOn w:val="Normal"/>
    <w:next w:val="Normal"/>
    <w:link w:val="Ttulo4Car"/>
    <w:uiPriority w:val="99"/>
    <w:qFormat/>
    <w:rsid w:val="00523227"/>
    <w:pPr>
      <w:keepNext/>
      <w:keepLines/>
      <w:spacing w:before="200"/>
      <w:outlineLvl w:val="3"/>
    </w:pPr>
    <w:rPr>
      <w:rFonts w:ascii="Cambria" w:eastAsia="MS Mincho" w:hAnsi="Cambria"/>
      <w:b/>
      <w:bCs/>
      <w:i/>
      <w:iCs/>
      <w:color w:val="4F81BD"/>
      <w:sz w:val="16"/>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8740E4"/>
    <w:rPr>
      <w:rFonts w:ascii="Times" w:hAnsi="Tim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link w:val="Textonotapie"/>
    <w:qFormat/>
    <w:rsid w:val="008740E4"/>
    <w:rPr>
      <w:rFonts w:ascii="Times" w:eastAsia="Times" w:hAnsi="Times" w:cs="Times New Roman"/>
      <w:sz w:val="24"/>
      <w:szCs w:val="20"/>
      <w:lang w:val="es-ES_tradnl"/>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qFormat/>
    <w:rsid w:val="008740E4"/>
    <w:rPr>
      <w:vertAlign w:val="superscript"/>
    </w:rPr>
  </w:style>
  <w:style w:type="paragraph" w:styleId="Textoindependiente">
    <w:name w:val="Body Text"/>
    <w:basedOn w:val="Normal"/>
    <w:link w:val="TextoindependienteCar"/>
    <w:rsid w:val="008740E4"/>
    <w:pPr>
      <w:ind w:right="764"/>
      <w:jc w:val="both"/>
    </w:pPr>
  </w:style>
  <w:style w:type="character" w:customStyle="1" w:styleId="TextoindependienteCar">
    <w:name w:val="Texto independiente Car"/>
    <w:link w:val="Textoindependiente"/>
    <w:rsid w:val="008740E4"/>
    <w:rPr>
      <w:rFonts w:ascii="Garamond" w:eastAsia="Times" w:hAnsi="Garamond" w:cs="Times New Roman"/>
      <w:sz w:val="24"/>
      <w:szCs w:val="20"/>
      <w:lang w:val="es-ES_tradnl"/>
    </w:rPr>
  </w:style>
  <w:style w:type="paragraph" w:styleId="Piedepgina">
    <w:name w:val="footer"/>
    <w:basedOn w:val="Normal"/>
    <w:link w:val="PiedepginaCar"/>
    <w:uiPriority w:val="99"/>
    <w:rsid w:val="008740E4"/>
    <w:pPr>
      <w:tabs>
        <w:tab w:val="center" w:pos="4320"/>
        <w:tab w:val="right" w:pos="8640"/>
      </w:tabs>
    </w:pPr>
  </w:style>
  <w:style w:type="character" w:customStyle="1" w:styleId="PiedepginaCar">
    <w:name w:val="Pie de página Car"/>
    <w:link w:val="Piedepgina"/>
    <w:uiPriority w:val="99"/>
    <w:rsid w:val="008740E4"/>
    <w:rPr>
      <w:rFonts w:ascii="Garamond" w:eastAsia="Times" w:hAnsi="Garamond" w:cs="Times New Roman"/>
      <w:sz w:val="24"/>
      <w:szCs w:val="20"/>
      <w:lang w:val="es-ES_tradnl"/>
    </w:rPr>
  </w:style>
  <w:style w:type="character" w:styleId="Nmerodepgina">
    <w:name w:val="page number"/>
    <w:basedOn w:val="Fuentedeprrafopredeter"/>
    <w:rsid w:val="008740E4"/>
  </w:style>
  <w:style w:type="paragraph" w:styleId="Encabezado">
    <w:name w:val="header"/>
    <w:basedOn w:val="Normal"/>
    <w:link w:val="EncabezadoCar"/>
    <w:uiPriority w:val="99"/>
    <w:rsid w:val="008740E4"/>
    <w:pPr>
      <w:tabs>
        <w:tab w:val="center" w:pos="4320"/>
        <w:tab w:val="right" w:pos="8640"/>
      </w:tabs>
    </w:pPr>
  </w:style>
  <w:style w:type="character" w:customStyle="1" w:styleId="EncabezadoCar">
    <w:name w:val="Encabezado Car"/>
    <w:link w:val="Encabezado"/>
    <w:uiPriority w:val="99"/>
    <w:rsid w:val="008740E4"/>
    <w:rPr>
      <w:rFonts w:ascii="Garamond" w:eastAsia="Times" w:hAnsi="Garamond" w:cs="Times New Roman"/>
      <w:sz w:val="24"/>
      <w:szCs w:val="20"/>
      <w:lang w:val="es-ES_tradnl"/>
    </w:rPr>
  </w:style>
  <w:style w:type="character" w:customStyle="1" w:styleId="apple-style-span">
    <w:name w:val="apple-style-span"/>
    <w:basedOn w:val="Fuentedeprrafopredeter"/>
    <w:rsid w:val="008740E4"/>
  </w:style>
  <w:style w:type="paragraph" w:customStyle="1" w:styleId="ColorfulList-Accent11">
    <w:name w:val="Colorful List - Accent 11"/>
    <w:aliases w:val="List Paragraph,Footnote,Párrafo de lista1"/>
    <w:basedOn w:val="Normal"/>
    <w:link w:val="ColorfulList-Accent1Char1"/>
    <w:uiPriority w:val="34"/>
    <w:qFormat/>
    <w:rsid w:val="008740E4"/>
    <w:pPr>
      <w:ind w:left="720"/>
      <w:contextualSpacing/>
    </w:pPr>
  </w:style>
  <w:style w:type="paragraph" w:customStyle="1" w:styleId="Textoindependiente1">
    <w:name w:val="Texto independiente1"/>
    <w:basedOn w:val="Normal"/>
    <w:rsid w:val="008740E4"/>
    <w:pPr>
      <w:widowControl w:val="0"/>
      <w:jc w:val="both"/>
    </w:pPr>
    <w:rPr>
      <w:rFonts w:ascii="New York" w:eastAsia="Times New Roman" w:hAnsi="New York"/>
    </w:rPr>
  </w:style>
  <w:style w:type="paragraph" w:styleId="Textodeglobo">
    <w:name w:val="Balloon Text"/>
    <w:basedOn w:val="Normal"/>
    <w:link w:val="TextodegloboCar"/>
    <w:uiPriority w:val="99"/>
    <w:semiHidden/>
    <w:unhideWhenUsed/>
    <w:rsid w:val="008740E4"/>
    <w:rPr>
      <w:rFonts w:ascii="Tahoma" w:hAnsi="Tahoma"/>
      <w:sz w:val="16"/>
      <w:szCs w:val="16"/>
    </w:rPr>
  </w:style>
  <w:style w:type="character" w:customStyle="1" w:styleId="TextodegloboCar">
    <w:name w:val="Texto de globo Car"/>
    <w:link w:val="Textodeglobo"/>
    <w:uiPriority w:val="99"/>
    <w:semiHidden/>
    <w:rsid w:val="008740E4"/>
    <w:rPr>
      <w:rFonts w:ascii="Tahoma" w:eastAsia="Times" w:hAnsi="Tahoma" w:cs="Tahoma"/>
      <w:sz w:val="16"/>
      <w:szCs w:val="16"/>
      <w:lang w:val="es-ES_tradnl"/>
    </w:rPr>
  </w:style>
  <w:style w:type="paragraph" w:styleId="Textoindependiente2">
    <w:name w:val="Body Text 2"/>
    <w:basedOn w:val="Normal"/>
    <w:link w:val="Textoindependiente2Car"/>
    <w:uiPriority w:val="99"/>
    <w:semiHidden/>
    <w:unhideWhenUsed/>
    <w:rsid w:val="00D77A66"/>
    <w:pPr>
      <w:spacing w:after="120" w:line="480" w:lineRule="auto"/>
    </w:pPr>
  </w:style>
  <w:style w:type="character" w:customStyle="1" w:styleId="Textoindependiente2Car">
    <w:name w:val="Texto independiente 2 Car"/>
    <w:link w:val="Textoindependiente2"/>
    <w:uiPriority w:val="99"/>
    <w:semiHidden/>
    <w:rsid w:val="00D77A66"/>
    <w:rPr>
      <w:rFonts w:ascii="Garamond" w:eastAsia="Times" w:hAnsi="Garamond" w:cs="Times New Roman"/>
      <w:sz w:val="24"/>
      <w:szCs w:val="20"/>
      <w:lang w:val="es-ES_tradnl"/>
    </w:rPr>
  </w:style>
  <w:style w:type="character" w:styleId="Refdecomentario">
    <w:name w:val="annotation reference"/>
    <w:uiPriority w:val="99"/>
    <w:semiHidden/>
    <w:unhideWhenUsed/>
    <w:rsid w:val="00354557"/>
    <w:rPr>
      <w:sz w:val="16"/>
      <w:szCs w:val="16"/>
    </w:rPr>
  </w:style>
  <w:style w:type="paragraph" w:styleId="Textocomentario">
    <w:name w:val="annotation text"/>
    <w:basedOn w:val="Normal"/>
    <w:link w:val="TextocomentarioCar"/>
    <w:uiPriority w:val="99"/>
    <w:semiHidden/>
    <w:unhideWhenUsed/>
    <w:rsid w:val="00354557"/>
    <w:rPr>
      <w:sz w:val="20"/>
    </w:rPr>
  </w:style>
  <w:style w:type="character" w:customStyle="1" w:styleId="TextocomentarioCar">
    <w:name w:val="Texto comentario Car"/>
    <w:link w:val="Textocomentario"/>
    <w:uiPriority w:val="99"/>
    <w:semiHidden/>
    <w:rsid w:val="00354557"/>
    <w:rPr>
      <w:rFonts w:ascii="Garamond" w:eastAsia="Times" w:hAnsi="Garamond"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354557"/>
    <w:rPr>
      <w:b/>
      <w:bCs/>
    </w:rPr>
  </w:style>
  <w:style w:type="character" w:customStyle="1" w:styleId="AsuntodelcomentarioCar">
    <w:name w:val="Asunto del comentario Car"/>
    <w:link w:val="Asuntodelcomentario"/>
    <w:uiPriority w:val="99"/>
    <w:semiHidden/>
    <w:rsid w:val="00354557"/>
    <w:rPr>
      <w:rFonts w:ascii="Garamond" w:eastAsia="Times" w:hAnsi="Garamond" w:cs="Times New Roman"/>
      <w:b/>
      <w:bCs/>
      <w:sz w:val="20"/>
      <w:szCs w:val="20"/>
      <w:lang w:val="es-ES_tradnl"/>
    </w:rPr>
  </w:style>
  <w:style w:type="character" w:styleId="Hipervnculo">
    <w:name w:val="Hyperlink"/>
    <w:uiPriority w:val="99"/>
    <w:unhideWhenUsed/>
    <w:rsid w:val="005349E0"/>
    <w:rPr>
      <w:color w:val="0000FF"/>
      <w:u w:val="single"/>
    </w:rPr>
  </w:style>
  <w:style w:type="character" w:customStyle="1" w:styleId="apple-converted-space">
    <w:name w:val="apple-converted-space"/>
    <w:basedOn w:val="Fuentedeprrafopredeter"/>
    <w:rsid w:val="0096729F"/>
  </w:style>
  <w:style w:type="character" w:styleId="nfasis">
    <w:name w:val="Emphasis"/>
    <w:uiPriority w:val="20"/>
    <w:qFormat/>
    <w:rsid w:val="003458BE"/>
    <w:rPr>
      <w:i/>
      <w:iCs/>
    </w:rPr>
  </w:style>
  <w:style w:type="character" w:styleId="Nmerodelnea">
    <w:name w:val="line number"/>
    <w:basedOn w:val="Fuentedeprrafopredeter"/>
    <w:uiPriority w:val="99"/>
    <w:semiHidden/>
    <w:unhideWhenUsed/>
    <w:rsid w:val="002E7642"/>
  </w:style>
  <w:style w:type="character" w:customStyle="1" w:styleId="ColorfulList-Accent1Char1">
    <w:name w:val="Colorful List - Accent 1 Char1"/>
    <w:aliases w:val="Footnote Char1,Párrafo de lista1 Char1,List Paragraph Char1"/>
    <w:link w:val="ColorfulList-Accent11"/>
    <w:uiPriority w:val="34"/>
    <w:rsid w:val="00E57600"/>
    <w:rPr>
      <w:rFonts w:ascii="Garamond" w:eastAsia="Times" w:hAnsi="Garamond"/>
      <w:sz w:val="24"/>
      <w:lang w:val="es-ES_tradnl" w:eastAsia="en-US"/>
    </w:rPr>
  </w:style>
  <w:style w:type="table" w:styleId="Tablaconcuadrcula">
    <w:name w:val="Table Grid"/>
    <w:basedOn w:val="Tablanormal"/>
    <w:uiPriority w:val="59"/>
    <w:rsid w:val="004C0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44B6"/>
    <w:pPr>
      <w:spacing w:before="100" w:beforeAutospacing="1" w:after="100" w:afterAutospacing="1"/>
    </w:pPr>
    <w:rPr>
      <w:rFonts w:ascii="Times New Roman" w:eastAsia="Times New Roman" w:hAnsi="Times New Roman"/>
      <w:szCs w:val="24"/>
      <w:lang w:val="es-CR" w:eastAsia="es-CR"/>
    </w:rPr>
  </w:style>
  <w:style w:type="paragraph" w:customStyle="1" w:styleId="Sangradetindependiente">
    <w:name w:val="SangrÌa de t. independiente"/>
    <w:basedOn w:val="Normal"/>
    <w:rsid w:val="00AF2A9D"/>
    <w:pPr>
      <w:ind w:right="12"/>
      <w:jc w:val="both"/>
    </w:pPr>
    <w:rPr>
      <w:rFonts w:eastAsia="Times New Roman"/>
      <w:sz w:val="20"/>
      <w:lang w:eastAsia="es-ES"/>
    </w:rPr>
  </w:style>
  <w:style w:type="character" w:styleId="Textoennegrita">
    <w:name w:val="Strong"/>
    <w:uiPriority w:val="22"/>
    <w:qFormat/>
    <w:rsid w:val="00C54BFE"/>
    <w:rPr>
      <w:b/>
      <w:bCs/>
    </w:rPr>
  </w:style>
  <w:style w:type="character" w:customStyle="1" w:styleId="s6b621b36">
    <w:name w:val="s6b621b36"/>
    <w:basedOn w:val="Fuentedeprrafopredeter"/>
    <w:rsid w:val="00C54BFE"/>
  </w:style>
  <w:style w:type="paragraph" w:customStyle="1" w:styleId="ColorfulShading-Accent11">
    <w:name w:val="Colorful Shading - Accent 11"/>
    <w:hidden/>
    <w:uiPriority w:val="99"/>
    <w:semiHidden/>
    <w:rsid w:val="0006663A"/>
    <w:rPr>
      <w:rFonts w:ascii="Garamond" w:eastAsia="Times" w:hAnsi="Garamond"/>
      <w:sz w:val="24"/>
      <w:lang w:val="es-ES_tradnl" w:eastAsia="en-US"/>
    </w:rPr>
  </w:style>
  <w:style w:type="paragraph" w:styleId="Sangradetextonormal">
    <w:name w:val="Body Text Indent"/>
    <w:basedOn w:val="Normal"/>
    <w:link w:val="SangradetextonormalCar"/>
    <w:uiPriority w:val="99"/>
    <w:unhideWhenUsed/>
    <w:rsid w:val="00FC2FDA"/>
    <w:pPr>
      <w:spacing w:after="120"/>
      <w:ind w:left="360"/>
    </w:pPr>
  </w:style>
  <w:style w:type="character" w:customStyle="1" w:styleId="SangradetextonormalCar">
    <w:name w:val="Sangría de texto normal Car"/>
    <w:link w:val="Sangradetextonormal"/>
    <w:uiPriority w:val="99"/>
    <w:rsid w:val="00FC2FDA"/>
    <w:rPr>
      <w:rFonts w:ascii="Garamond" w:eastAsia="Times" w:hAnsi="Garamond"/>
      <w:sz w:val="24"/>
      <w:lang w:val="es-ES_tradnl"/>
    </w:rPr>
  </w:style>
  <w:style w:type="character" w:customStyle="1" w:styleId="ColorfulList-Accent1Char">
    <w:name w:val="Colorful List - Accent 1 Char"/>
    <w:link w:val="Cuadrculamedia1-nfasis2"/>
    <w:uiPriority w:val="34"/>
    <w:rsid w:val="00D2717C"/>
    <w:rPr>
      <w:rFonts w:ascii="Garamond" w:eastAsia="Times" w:hAnsi="Garamond"/>
      <w:sz w:val="24"/>
      <w:lang w:val="es-ES_tradnl" w:eastAsia="en-US"/>
    </w:rPr>
  </w:style>
  <w:style w:type="table" w:styleId="Cuadrculamedia1-nfasis2">
    <w:name w:val="Medium Grid 1 Accent 2"/>
    <w:basedOn w:val="Tablanormal"/>
    <w:link w:val="ColorfulList-Accent1Char"/>
    <w:uiPriority w:val="34"/>
    <w:rsid w:val="00D2717C"/>
    <w:rPr>
      <w:rFonts w:ascii="Garamond" w:eastAsia="Times" w:hAnsi="Garamond"/>
      <w:sz w:val="24"/>
      <w:lang w:val="es-ES_tradnl"/>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tulo4Car">
    <w:name w:val="Título 4 Car"/>
    <w:link w:val="Ttulo4"/>
    <w:uiPriority w:val="99"/>
    <w:rsid w:val="00523227"/>
    <w:rPr>
      <w:rFonts w:ascii="Cambria" w:eastAsia="MS Mincho" w:hAnsi="Cambria"/>
      <w:b/>
      <w:bCs/>
      <w:i/>
      <w:iCs/>
      <w:color w:val="4F81BD"/>
      <w:sz w:val="16"/>
      <w:szCs w:val="24"/>
      <w:lang w:val="es-ES_tradnl" w:eastAsia="en-US"/>
    </w:rPr>
  </w:style>
  <w:style w:type="character" w:customStyle="1" w:styleId="ListParagraphChar">
    <w:name w:val="List Paragraph Char"/>
    <w:aliases w:val="Footnote Char,Párrafo de lista1 Char"/>
    <w:uiPriority w:val="34"/>
    <w:locked/>
    <w:rsid w:val="00727E4F"/>
  </w:style>
  <w:style w:type="paragraph" w:styleId="Prrafodelista">
    <w:name w:val="List Paragraph"/>
    <w:basedOn w:val="Normal"/>
    <w:uiPriority w:val="34"/>
    <w:qFormat/>
    <w:rsid w:val="00D82C19"/>
    <w:pPr>
      <w:ind w:left="708"/>
    </w:pPr>
  </w:style>
  <w:style w:type="character" w:customStyle="1" w:styleId="Ttulo1Car">
    <w:name w:val="Título 1 Car"/>
    <w:link w:val="Ttulo1"/>
    <w:uiPriority w:val="9"/>
    <w:rsid w:val="00434E7B"/>
    <w:rPr>
      <w:rFonts w:ascii="Cambria" w:eastAsia="Times New Roman" w:hAnsi="Cambria" w:cs="Times New Roman"/>
      <w:b/>
      <w:bCs/>
      <w:kern w:val="32"/>
      <w:sz w:val="32"/>
      <w:szCs w:val="32"/>
      <w:lang w:val="es-ES_tradnl" w:eastAsia="en-US"/>
    </w:rPr>
  </w:style>
  <w:style w:type="paragraph" w:styleId="TDC1">
    <w:name w:val="toc 1"/>
    <w:basedOn w:val="Normal"/>
    <w:next w:val="Normal"/>
    <w:autoRedefine/>
    <w:uiPriority w:val="39"/>
    <w:unhideWhenUsed/>
    <w:rsid w:val="00853FEE"/>
    <w:pPr>
      <w:tabs>
        <w:tab w:val="left" w:pos="660"/>
        <w:tab w:val="left" w:pos="993"/>
        <w:tab w:val="left" w:pos="8222"/>
      </w:tabs>
      <w:spacing w:before="120"/>
      <w:ind w:left="709" w:right="616"/>
      <w:jc w:val="both"/>
    </w:p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semiHidden/>
    <w:locked/>
    <w:rsid w:val="007F527F"/>
    <w:rPr>
      <w:lang w:val="en-US" w:eastAsia="en-US"/>
    </w:rPr>
  </w:style>
  <w:style w:type="character" w:styleId="Hipervnculovisitado">
    <w:name w:val="FollowedHyperlink"/>
    <w:basedOn w:val="Fuentedeprrafopredeter"/>
    <w:uiPriority w:val="99"/>
    <w:semiHidden/>
    <w:unhideWhenUsed/>
    <w:rsid w:val="00467E35"/>
    <w:rPr>
      <w:color w:val="800080" w:themeColor="followedHyperlink"/>
      <w:u w:val="single"/>
    </w:rPr>
  </w:style>
  <w:style w:type="paragraph" w:styleId="TtuloTDC">
    <w:name w:val="TOC Heading"/>
    <w:basedOn w:val="Ttulo1"/>
    <w:next w:val="Normal"/>
    <w:uiPriority w:val="39"/>
    <w:unhideWhenUsed/>
    <w:qFormat/>
    <w:rsid w:val="003E7667"/>
    <w:pPr>
      <w:keepLines/>
      <w:spacing w:after="0" w:line="259" w:lineRule="auto"/>
      <w:outlineLvl w:val="9"/>
    </w:pPr>
    <w:rPr>
      <w:rFonts w:asciiTheme="majorHAnsi" w:eastAsiaTheme="majorEastAsia" w:hAnsiTheme="majorHAnsi" w:cstheme="majorBidi"/>
      <w:b w:val="0"/>
      <w:bCs w:val="0"/>
      <w:color w:val="365F91" w:themeColor="accent1" w:themeShade="BF"/>
      <w:kern w:val="0"/>
      <w:lang w:val="es-CR" w:eastAsia="es-CR"/>
    </w:rPr>
  </w:style>
  <w:style w:type="paragraph" w:customStyle="1" w:styleId="Default">
    <w:name w:val="Default"/>
    <w:rsid w:val="00FC7D4E"/>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68359">
      <w:bodyDiv w:val="1"/>
      <w:marLeft w:val="0"/>
      <w:marRight w:val="0"/>
      <w:marTop w:val="0"/>
      <w:marBottom w:val="0"/>
      <w:divBdr>
        <w:top w:val="none" w:sz="0" w:space="0" w:color="auto"/>
        <w:left w:val="none" w:sz="0" w:space="0" w:color="auto"/>
        <w:bottom w:val="none" w:sz="0" w:space="0" w:color="auto"/>
        <w:right w:val="none" w:sz="0" w:space="0" w:color="auto"/>
      </w:divBdr>
    </w:div>
    <w:div w:id="461000009">
      <w:bodyDiv w:val="1"/>
      <w:marLeft w:val="0"/>
      <w:marRight w:val="0"/>
      <w:marTop w:val="0"/>
      <w:marBottom w:val="0"/>
      <w:divBdr>
        <w:top w:val="none" w:sz="0" w:space="0" w:color="auto"/>
        <w:left w:val="none" w:sz="0" w:space="0" w:color="auto"/>
        <w:bottom w:val="none" w:sz="0" w:space="0" w:color="auto"/>
        <w:right w:val="none" w:sz="0" w:space="0" w:color="auto"/>
      </w:divBdr>
    </w:div>
    <w:div w:id="868955078">
      <w:bodyDiv w:val="1"/>
      <w:marLeft w:val="0"/>
      <w:marRight w:val="0"/>
      <w:marTop w:val="0"/>
      <w:marBottom w:val="0"/>
      <w:divBdr>
        <w:top w:val="none" w:sz="0" w:space="0" w:color="auto"/>
        <w:left w:val="none" w:sz="0" w:space="0" w:color="auto"/>
        <w:bottom w:val="none" w:sz="0" w:space="0" w:color="auto"/>
        <w:right w:val="none" w:sz="0" w:space="0" w:color="auto"/>
      </w:divBdr>
    </w:div>
    <w:div w:id="898706916">
      <w:bodyDiv w:val="1"/>
      <w:marLeft w:val="0"/>
      <w:marRight w:val="0"/>
      <w:marTop w:val="0"/>
      <w:marBottom w:val="0"/>
      <w:divBdr>
        <w:top w:val="none" w:sz="0" w:space="0" w:color="auto"/>
        <w:left w:val="none" w:sz="0" w:space="0" w:color="auto"/>
        <w:bottom w:val="none" w:sz="0" w:space="0" w:color="auto"/>
        <w:right w:val="none" w:sz="0" w:space="0" w:color="auto"/>
      </w:divBdr>
    </w:div>
    <w:div w:id="922954447">
      <w:bodyDiv w:val="1"/>
      <w:marLeft w:val="0"/>
      <w:marRight w:val="0"/>
      <w:marTop w:val="0"/>
      <w:marBottom w:val="0"/>
      <w:divBdr>
        <w:top w:val="none" w:sz="0" w:space="0" w:color="auto"/>
        <w:left w:val="none" w:sz="0" w:space="0" w:color="auto"/>
        <w:bottom w:val="none" w:sz="0" w:space="0" w:color="auto"/>
        <w:right w:val="none" w:sz="0" w:space="0" w:color="auto"/>
      </w:divBdr>
    </w:div>
    <w:div w:id="1348942077">
      <w:bodyDiv w:val="1"/>
      <w:marLeft w:val="0"/>
      <w:marRight w:val="0"/>
      <w:marTop w:val="0"/>
      <w:marBottom w:val="0"/>
      <w:divBdr>
        <w:top w:val="none" w:sz="0" w:space="0" w:color="auto"/>
        <w:left w:val="none" w:sz="0" w:space="0" w:color="auto"/>
        <w:bottom w:val="none" w:sz="0" w:space="0" w:color="auto"/>
        <w:right w:val="none" w:sz="0" w:space="0" w:color="auto"/>
      </w:divBdr>
    </w:div>
    <w:div w:id="1494032018">
      <w:bodyDiv w:val="1"/>
      <w:marLeft w:val="0"/>
      <w:marRight w:val="0"/>
      <w:marTop w:val="0"/>
      <w:marBottom w:val="0"/>
      <w:divBdr>
        <w:top w:val="none" w:sz="0" w:space="0" w:color="auto"/>
        <w:left w:val="none" w:sz="0" w:space="0" w:color="auto"/>
        <w:bottom w:val="none" w:sz="0" w:space="0" w:color="auto"/>
        <w:right w:val="none" w:sz="0" w:space="0" w:color="auto"/>
      </w:divBdr>
    </w:div>
    <w:div w:id="20794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casos/articulos/seriec_262_esp.pdf" TargetMode="External"/><Relationship Id="rId2" Type="http://schemas.openxmlformats.org/officeDocument/2006/relationships/hyperlink" Target="http://www.corteidh.or.cr/docs/casos/articulos/anexo_253_esp.pdf" TargetMode="External"/><Relationship Id="rId1" Type="http://schemas.openxmlformats.org/officeDocument/2006/relationships/hyperlink" Target="http://www.corteidh.or.cr/docs/casos/articulos/seriec_253_esp.pdf" TargetMode="External"/><Relationship Id="rId5" Type="http://schemas.openxmlformats.org/officeDocument/2006/relationships/hyperlink" Target="http://copredeh.gob.gt/wp-content/uploads/Gudiel-Alvarez-y-otros-Fondo-Costas-y-Reparaciones.pdf" TargetMode="External"/><Relationship Id="rId4" Type="http://schemas.openxmlformats.org/officeDocument/2006/relationships/hyperlink" Target="http://www.corteidh.or.cr/docs/supervisiones/Rio_Negro_y_Gudiel_21_08_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79560-70BE-4096-96F6-E5A9E8DB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3331</Words>
  <Characters>18322</Characters>
  <Application>Microsoft Office Word</Application>
  <DocSecurity>4</DocSecurity>
  <Lines>152</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cp:lastPrinted>2019-12-16T22:16:00Z</cp:lastPrinted>
  <dcterms:created xsi:type="dcterms:W3CDTF">2019-12-16T22:24:00Z</dcterms:created>
  <dcterms:modified xsi:type="dcterms:W3CDTF">2019-12-16T22:24:00Z</dcterms:modified>
</cp:coreProperties>
</file>