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39C64D" w14:textId="77777777" w:rsidR="009F0EDE" w:rsidRPr="001731F5" w:rsidRDefault="009F0EDE" w:rsidP="00807D5C">
      <w:pPr>
        <w:jc w:val="center"/>
        <w:rPr>
          <w:rFonts w:ascii="Verdana" w:hAnsi="Verdana"/>
          <w:b/>
          <w:sz w:val="20"/>
          <w:lang w:val="es-MX"/>
        </w:rPr>
      </w:pPr>
    </w:p>
    <w:p w14:paraId="68795A0D" w14:textId="77777777" w:rsidR="002C337D" w:rsidRDefault="002C337D" w:rsidP="00807D5C">
      <w:pPr>
        <w:jc w:val="center"/>
        <w:rPr>
          <w:rFonts w:ascii="Verdana" w:hAnsi="Verdana"/>
          <w:b/>
          <w:sz w:val="20"/>
          <w:lang w:val="es-MX"/>
        </w:rPr>
      </w:pPr>
    </w:p>
    <w:p w14:paraId="5482438C" w14:textId="77777777" w:rsidR="00807D5C" w:rsidRDefault="00807D5C" w:rsidP="00807D5C">
      <w:pPr>
        <w:jc w:val="center"/>
        <w:rPr>
          <w:rFonts w:ascii="Verdana" w:hAnsi="Verdana"/>
          <w:b/>
          <w:sz w:val="20"/>
          <w:lang w:val="es-MX"/>
        </w:rPr>
      </w:pPr>
    </w:p>
    <w:p w14:paraId="24663EF5" w14:textId="77777777" w:rsidR="00807D5C" w:rsidRDefault="00807D5C" w:rsidP="00807D5C">
      <w:pPr>
        <w:jc w:val="center"/>
        <w:rPr>
          <w:rFonts w:ascii="Verdana" w:hAnsi="Verdana"/>
          <w:b/>
          <w:sz w:val="20"/>
          <w:lang w:val="es-MX"/>
        </w:rPr>
      </w:pPr>
    </w:p>
    <w:p w14:paraId="018A0277" w14:textId="77777777" w:rsidR="00807D5C" w:rsidRDefault="00807D5C" w:rsidP="00807D5C">
      <w:pPr>
        <w:jc w:val="center"/>
        <w:rPr>
          <w:rFonts w:ascii="Verdana" w:hAnsi="Verdana"/>
          <w:b/>
          <w:sz w:val="20"/>
          <w:lang w:val="es-MX"/>
        </w:rPr>
      </w:pPr>
    </w:p>
    <w:p w14:paraId="268D5152" w14:textId="77777777" w:rsidR="00807D5C" w:rsidRDefault="00807D5C" w:rsidP="00807D5C">
      <w:pPr>
        <w:jc w:val="center"/>
        <w:rPr>
          <w:rFonts w:ascii="Verdana" w:hAnsi="Verdana"/>
          <w:b/>
          <w:sz w:val="20"/>
          <w:lang w:val="es-MX"/>
        </w:rPr>
      </w:pPr>
    </w:p>
    <w:p w14:paraId="16757236" w14:textId="77777777" w:rsidR="00807D5C" w:rsidRPr="001731F5" w:rsidRDefault="00807D5C" w:rsidP="00807D5C">
      <w:pPr>
        <w:jc w:val="center"/>
        <w:rPr>
          <w:rFonts w:ascii="Verdana" w:hAnsi="Verdana"/>
          <w:b/>
          <w:sz w:val="20"/>
          <w:lang w:val="es-MX"/>
        </w:rPr>
      </w:pPr>
    </w:p>
    <w:p w14:paraId="12809C03" w14:textId="77777777" w:rsidR="008740E4" w:rsidRPr="001731F5" w:rsidRDefault="008740E4" w:rsidP="000F1E4F">
      <w:pPr>
        <w:jc w:val="center"/>
        <w:rPr>
          <w:rFonts w:ascii="Verdana" w:hAnsi="Verdana"/>
          <w:b/>
          <w:sz w:val="20"/>
          <w:lang w:val="es-MX"/>
        </w:rPr>
      </w:pPr>
      <w:r w:rsidRPr="001731F5">
        <w:rPr>
          <w:rFonts w:ascii="Verdana" w:hAnsi="Verdana"/>
          <w:b/>
          <w:sz w:val="20"/>
          <w:lang w:val="es-MX"/>
        </w:rPr>
        <w:t xml:space="preserve">RESOLUCIÓN DE LA </w:t>
      </w:r>
    </w:p>
    <w:p w14:paraId="6AEDD928" w14:textId="77777777" w:rsidR="008740E4" w:rsidRPr="001731F5" w:rsidRDefault="008740E4" w:rsidP="008740E4">
      <w:pPr>
        <w:jc w:val="center"/>
        <w:rPr>
          <w:b/>
          <w:sz w:val="20"/>
        </w:rPr>
      </w:pPr>
      <w:r w:rsidRPr="001731F5">
        <w:rPr>
          <w:rFonts w:ascii="Verdana" w:hAnsi="Verdana"/>
          <w:b/>
          <w:sz w:val="20"/>
          <w:lang w:val="es-MX"/>
        </w:rPr>
        <w:t>CORTE INTERAMERICANA DE DERECHOS HUMANOS</w:t>
      </w:r>
      <w:r w:rsidR="00DB576B" w:rsidRPr="001731F5">
        <w:rPr>
          <w:rStyle w:val="Refdenotaalpie"/>
          <w:rFonts w:ascii="Verdana" w:hAnsi="Verdana"/>
          <w:b/>
          <w:smallCaps/>
          <w:sz w:val="20"/>
        </w:rPr>
        <w:footnoteReference w:customMarkFollows="1" w:id="1"/>
        <w:sym w:font="Symbol" w:char="F02A"/>
      </w:r>
    </w:p>
    <w:p w14:paraId="41B0CAF8" w14:textId="77777777" w:rsidR="00CF0AF8" w:rsidRPr="001731F5" w:rsidRDefault="00CF0AF8" w:rsidP="000F1E4F">
      <w:pPr>
        <w:rPr>
          <w:rFonts w:ascii="Verdana" w:hAnsi="Verdana"/>
          <w:sz w:val="20"/>
        </w:rPr>
      </w:pPr>
    </w:p>
    <w:p w14:paraId="36675440" w14:textId="0B5ABBC6" w:rsidR="008740E4" w:rsidRPr="001731F5" w:rsidRDefault="00AA2740" w:rsidP="000F1E4F">
      <w:pPr>
        <w:jc w:val="center"/>
        <w:rPr>
          <w:rFonts w:ascii="Verdana" w:hAnsi="Verdana"/>
          <w:b/>
          <w:sz w:val="20"/>
          <w:lang w:val="es-MX"/>
        </w:rPr>
      </w:pPr>
      <w:r w:rsidRPr="001731F5">
        <w:rPr>
          <w:rFonts w:ascii="Verdana" w:hAnsi="Verdana"/>
          <w:b/>
          <w:sz w:val="20"/>
          <w:lang w:val="es-MX"/>
        </w:rPr>
        <w:t>DE</w:t>
      </w:r>
      <w:r w:rsidR="006E0601" w:rsidRPr="001731F5">
        <w:rPr>
          <w:rFonts w:ascii="Verdana" w:hAnsi="Verdana"/>
          <w:b/>
          <w:sz w:val="20"/>
          <w:lang w:val="es-MX"/>
        </w:rPr>
        <w:t xml:space="preserve"> </w:t>
      </w:r>
      <w:r w:rsidR="0068049D">
        <w:rPr>
          <w:rFonts w:ascii="Verdana" w:hAnsi="Verdana"/>
          <w:b/>
          <w:sz w:val="20"/>
          <w:lang w:val="es-MX"/>
        </w:rPr>
        <w:t>22</w:t>
      </w:r>
      <w:r w:rsidRPr="001731F5">
        <w:rPr>
          <w:rFonts w:ascii="Verdana" w:hAnsi="Verdana"/>
          <w:b/>
          <w:sz w:val="20"/>
          <w:lang w:val="es-MX"/>
        </w:rPr>
        <w:t xml:space="preserve"> DE </w:t>
      </w:r>
      <w:r w:rsidR="000559A7">
        <w:rPr>
          <w:rFonts w:ascii="Verdana" w:hAnsi="Verdana"/>
          <w:b/>
          <w:sz w:val="20"/>
          <w:lang w:val="es-MX"/>
        </w:rPr>
        <w:t>NOVIEMBRE</w:t>
      </w:r>
      <w:r w:rsidR="005C44B6" w:rsidRPr="001731F5">
        <w:rPr>
          <w:rFonts w:ascii="Verdana" w:hAnsi="Verdana"/>
          <w:b/>
          <w:sz w:val="20"/>
          <w:lang w:val="es-MX"/>
        </w:rPr>
        <w:t xml:space="preserve"> </w:t>
      </w:r>
      <w:r w:rsidRPr="001731F5">
        <w:rPr>
          <w:rFonts w:ascii="Verdana" w:hAnsi="Verdana"/>
          <w:b/>
          <w:sz w:val="20"/>
          <w:lang w:val="es-MX"/>
        </w:rPr>
        <w:t xml:space="preserve">DE </w:t>
      </w:r>
      <w:r w:rsidR="0085676A" w:rsidRPr="001731F5">
        <w:rPr>
          <w:rFonts w:ascii="Verdana" w:hAnsi="Verdana"/>
          <w:b/>
          <w:sz w:val="20"/>
          <w:lang w:val="es-MX"/>
        </w:rPr>
        <w:t>201</w:t>
      </w:r>
      <w:r w:rsidR="00542428" w:rsidRPr="001731F5">
        <w:rPr>
          <w:rFonts w:ascii="Verdana" w:hAnsi="Verdana"/>
          <w:b/>
          <w:sz w:val="20"/>
          <w:lang w:val="es-MX"/>
        </w:rPr>
        <w:t>9</w:t>
      </w:r>
    </w:p>
    <w:p w14:paraId="3517F205" w14:textId="77777777" w:rsidR="00CF0AF8" w:rsidRPr="001731F5" w:rsidRDefault="00CF0AF8" w:rsidP="008C4C96">
      <w:pPr>
        <w:rPr>
          <w:rFonts w:ascii="Verdana" w:hAnsi="Verdana"/>
          <w:b/>
          <w:sz w:val="20"/>
          <w:lang w:val="es-MX"/>
        </w:rPr>
      </w:pPr>
    </w:p>
    <w:p w14:paraId="72AC6A54" w14:textId="77777777" w:rsidR="008740E4" w:rsidRPr="001731F5" w:rsidRDefault="008740E4" w:rsidP="000F1E4F">
      <w:pPr>
        <w:jc w:val="center"/>
        <w:rPr>
          <w:rFonts w:ascii="Verdana" w:hAnsi="Verdana"/>
          <w:b/>
          <w:i/>
          <w:sz w:val="20"/>
          <w:lang w:val="es-MX"/>
        </w:rPr>
      </w:pPr>
      <w:r w:rsidRPr="001731F5">
        <w:rPr>
          <w:rFonts w:ascii="Verdana" w:hAnsi="Verdana"/>
          <w:b/>
          <w:i/>
          <w:sz w:val="20"/>
          <w:lang w:val="es-CR"/>
        </w:rPr>
        <w:t xml:space="preserve">CASO </w:t>
      </w:r>
      <w:r w:rsidR="005C705D" w:rsidRPr="001731F5">
        <w:rPr>
          <w:rFonts w:ascii="Verdana" w:hAnsi="Verdana"/>
          <w:b/>
          <w:i/>
          <w:sz w:val="20"/>
          <w:lang w:val="es-CR"/>
        </w:rPr>
        <w:t>GUTIÉRREZ Y FAMILIA</w:t>
      </w:r>
      <w:r w:rsidR="002E2F03" w:rsidRPr="001731F5">
        <w:rPr>
          <w:rFonts w:ascii="Verdana" w:hAnsi="Verdana"/>
          <w:b/>
          <w:i/>
          <w:sz w:val="20"/>
          <w:lang w:val="es-CR"/>
        </w:rPr>
        <w:t xml:space="preserve"> </w:t>
      </w:r>
      <w:r w:rsidRPr="001731F5">
        <w:rPr>
          <w:rFonts w:ascii="Verdana" w:hAnsi="Verdana"/>
          <w:b/>
          <w:i/>
          <w:sz w:val="20"/>
          <w:lang w:val="es-CR"/>
        </w:rPr>
        <w:t xml:space="preserve">VS. </w:t>
      </w:r>
      <w:r w:rsidR="009D0408" w:rsidRPr="001731F5">
        <w:rPr>
          <w:rFonts w:ascii="Verdana" w:hAnsi="Verdana"/>
          <w:b/>
          <w:i/>
          <w:sz w:val="20"/>
          <w:lang w:val="es-MX"/>
        </w:rPr>
        <w:t>ARGENTINA</w:t>
      </w:r>
    </w:p>
    <w:p w14:paraId="5B78016A" w14:textId="77777777" w:rsidR="00CF0AF8" w:rsidRPr="001731F5" w:rsidRDefault="00CF0AF8" w:rsidP="008C4C96">
      <w:pPr>
        <w:rPr>
          <w:rFonts w:ascii="Verdana" w:hAnsi="Verdana"/>
          <w:b/>
          <w:sz w:val="20"/>
          <w:lang w:val="es-MX"/>
        </w:rPr>
      </w:pPr>
    </w:p>
    <w:p w14:paraId="25DB24BD" w14:textId="77777777" w:rsidR="008740E4" w:rsidRPr="001731F5" w:rsidRDefault="008740E4" w:rsidP="000F1E4F">
      <w:pPr>
        <w:jc w:val="center"/>
        <w:rPr>
          <w:rFonts w:ascii="Verdana" w:hAnsi="Verdana"/>
          <w:b/>
          <w:sz w:val="20"/>
          <w:lang w:val="es-MX"/>
        </w:rPr>
      </w:pPr>
      <w:r w:rsidRPr="001731F5">
        <w:rPr>
          <w:rFonts w:ascii="Verdana" w:hAnsi="Verdana"/>
          <w:b/>
          <w:sz w:val="20"/>
          <w:lang w:val="es-MX"/>
        </w:rPr>
        <w:t>SUPERVISIÓN DE CUMPLIMIENTO DE SENTENCIA</w:t>
      </w:r>
    </w:p>
    <w:p w14:paraId="631D2958" w14:textId="77777777" w:rsidR="00451930" w:rsidRPr="00807D5C" w:rsidRDefault="00451930" w:rsidP="00BA0FE6">
      <w:pPr>
        <w:spacing w:before="120" w:after="120"/>
        <w:jc w:val="both"/>
        <w:rPr>
          <w:rFonts w:ascii="Verdana" w:hAnsi="Verdana"/>
          <w:sz w:val="20"/>
          <w:lang w:val="es-MX"/>
        </w:rPr>
      </w:pPr>
    </w:p>
    <w:p w14:paraId="70C80822" w14:textId="77777777" w:rsidR="00E707EC" w:rsidRPr="001731F5" w:rsidRDefault="008740E4" w:rsidP="00BA0FE6">
      <w:pPr>
        <w:spacing w:before="120" w:after="120"/>
        <w:jc w:val="both"/>
        <w:rPr>
          <w:rFonts w:ascii="Verdana" w:hAnsi="Verdana"/>
          <w:b/>
          <w:sz w:val="20"/>
          <w:lang w:val="es-MX"/>
        </w:rPr>
      </w:pPr>
      <w:r w:rsidRPr="001731F5">
        <w:rPr>
          <w:rFonts w:ascii="Verdana" w:hAnsi="Verdana"/>
          <w:b/>
          <w:sz w:val="20"/>
          <w:lang w:val="es-MX"/>
        </w:rPr>
        <w:t>VISTO:</w:t>
      </w:r>
    </w:p>
    <w:p w14:paraId="44ECE129" w14:textId="11143476" w:rsidR="00BA0FE6" w:rsidRPr="001731F5" w:rsidRDefault="005C705D" w:rsidP="00FA0F06">
      <w:pPr>
        <w:numPr>
          <w:ilvl w:val="0"/>
          <w:numId w:val="4"/>
        </w:numPr>
        <w:autoSpaceDE w:val="0"/>
        <w:autoSpaceDN w:val="0"/>
        <w:adjustRightInd w:val="0"/>
        <w:spacing w:before="120" w:after="120"/>
        <w:ind w:left="0" w:firstLine="0"/>
        <w:jc w:val="both"/>
        <w:rPr>
          <w:rFonts w:ascii="Verdana" w:hAnsi="Verdana"/>
          <w:sz w:val="20"/>
          <w:lang w:val="es-CR"/>
        </w:rPr>
      </w:pPr>
      <w:bookmarkStart w:id="0" w:name="_Ref26951222"/>
      <w:r w:rsidRPr="001731F5">
        <w:rPr>
          <w:rFonts w:ascii="Verdana" w:hAnsi="Verdana"/>
          <w:sz w:val="20"/>
          <w:lang w:val="es-MX"/>
        </w:rPr>
        <w:t>La Sentencia de</w:t>
      </w:r>
      <w:r w:rsidR="004F4CA1" w:rsidRPr="001731F5">
        <w:rPr>
          <w:rFonts w:ascii="Verdana" w:hAnsi="Verdana"/>
          <w:sz w:val="20"/>
          <w:lang w:val="es-MX"/>
        </w:rPr>
        <w:t xml:space="preserve"> </w:t>
      </w:r>
      <w:r w:rsidR="00065736" w:rsidRPr="001731F5">
        <w:rPr>
          <w:rFonts w:ascii="Verdana" w:hAnsi="Verdana"/>
          <w:sz w:val="20"/>
          <w:lang w:val="es-MX"/>
        </w:rPr>
        <w:t>f</w:t>
      </w:r>
      <w:r w:rsidR="009D0408" w:rsidRPr="001731F5">
        <w:rPr>
          <w:rFonts w:ascii="Verdana" w:hAnsi="Verdana"/>
          <w:sz w:val="20"/>
          <w:lang w:val="es-MX"/>
        </w:rPr>
        <w:t xml:space="preserve">ondo, </w:t>
      </w:r>
      <w:r w:rsidR="00065736" w:rsidRPr="001731F5">
        <w:rPr>
          <w:rFonts w:ascii="Verdana" w:hAnsi="Verdana"/>
          <w:sz w:val="20"/>
          <w:lang w:val="es-MX"/>
        </w:rPr>
        <w:t>r</w:t>
      </w:r>
      <w:r w:rsidR="009D0408" w:rsidRPr="001731F5">
        <w:rPr>
          <w:rFonts w:ascii="Verdana" w:hAnsi="Verdana"/>
          <w:sz w:val="20"/>
          <w:lang w:val="es-MX"/>
        </w:rPr>
        <w:t xml:space="preserve">eparaciones y </w:t>
      </w:r>
      <w:r w:rsidR="00065736" w:rsidRPr="001731F5">
        <w:rPr>
          <w:rFonts w:ascii="Verdana" w:hAnsi="Verdana"/>
          <w:sz w:val="20"/>
          <w:lang w:val="es-MX"/>
        </w:rPr>
        <w:t>c</w:t>
      </w:r>
      <w:r w:rsidR="009D0408" w:rsidRPr="001731F5">
        <w:rPr>
          <w:rFonts w:ascii="Verdana" w:hAnsi="Verdana"/>
          <w:sz w:val="20"/>
          <w:lang w:val="es-MX"/>
        </w:rPr>
        <w:t>ostas</w:t>
      </w:r>
      <w:r w:rsidR="00E707EC" w:rsidRPr="001731F5">
        <w:rPr>
          <w:rFonts w:ascii="Verdana" w:hAnsi="Verdana"/>
          <w:sz w:val="20"/>
          <w:lang w:val="es-MX"/>
        </w:rPr>
        <w:t xml:space="preserve"> (en adelante “la </w:t>
      </w:r>
      <w:r w:rsidR="007F4D7A" w:rsidRPr="001731F5">
        <w:rPr>
          <w:rFonts w:ascii="Verdana" w:hAnsi="Verdana"/>
          <w:sz w:val="20"/>
          <w:lang w:val="es-MX"/>
        </w:rPr>
        <w:t>Sentencia”</w:t>
      </w:r>
      <w:r w:rsidR="00601789" w:rsidRPr="001731F5">
        <w:rPr>
          <w:rFonts w:ascii="Verdana" w:hAnsi="Verdana"/>
          <w:sz w:val="20"/>
          <w:lang w:val="es-MX"/>
        </w:rPr>
        <w:t xml:space="preserve"> o “el Fallo”</w:t>
      </w:r>
      <w:r w:rsidR="007F4D7A" w:rsidRPr="001731F5">
        <w:rPr>
          <w:rFonts w:ascii="Verdana" w:hAnsi="Verdana"/>
          <w:sz w:val="20"/>
          <w:lang w:val="es-MX"/>
        </w:rPr>
        <w:t xml:space="preserve">) dictada por la Corte Interamericana de Derechos Humanos (en adelante </w:t>
      </w:r>
      <w:r w:rsidR="008D496C" w:rsidRPr="001731F5">
        <w:rPr>
          <w:rFonts w:ascii="Verdana" w:hAnsi="Verdana"/>
          <w:sz w:val="20"/>
          <w:lang w:val="es-MX"/>
        </w:rPr>
        <w:t>“la Corte Interamericana”</w:t>
      </w:r>
      <w:r w:rsidR="008D496C">
        <w:rPr>
          <w:rFonts w:ascii="Verdana" w:hAnsi="Verdana"/>
          <w:sz w:val="20"/>
          <w:lang w:val="es-MX"/>
        </w:rPr>
        <w:t>,</w:t>
      </w:r>
      <w:r w:rsidR="008D496C" w:rsidRPr="001731F5">
        <w:rPr>
          <w:rFonts w:ascii="Verdana" w:hAnsi="Verdana"/>
          <w:sz w:val="20"/>
          <w:lang w:val="es-MX"/>
        </w:rPr>
        <w:t xml:space="preserve"> </w:t>
      </w:r>
      <w:r w:rsidR="007F4D7A" w:rsidRPr="001731F5">
        <w:rPr>
          <w:rFonts w:ascii="Verdana" w:hAnsi="Verdana"/>
          <w:sz w:val="20"/>
          <w:lang w:val="es-MX"/>
        </w:rPr>
        <w:t>“la Corte” o “el Tribunal”)</w:t>
      </w:r>
      <w:r w:rsidR="00E03E70" w:rsidRPr="001731F5">
        <w:rPr>
          <w:rFonts w:ascii="Verdana" w:hAnsi="Verdana"/>
          <w:sz w:val="20"/>
          <w:lang w:val="es-MX"/>
        </w:rPr>
        <w:t xml:space="preserve"> el </w:t>
      </w:r>
      <w:r w:rsidRPr="001731F5">
        <w:rPr>
          <w:rFonts w:ascii="Verdana" w:hAnsi="Verdana"/>
          <w:sz w:val="20"/>
          <w:lang w:val="es-MX"/>
        </w:rPr>
        <w:t>25 de noviembre de 2013</w:t>
      </w:r>
      <w:r w:rsidR="00F70321" w:rsidRPr="001731F5">
        <w:rPr>
          <w:rStyle w:val="Refdenotaalpie"/>
          <w:rFonts w:ascii="Verdana" w:hAnsi="Verdana"/>
          <w:sz w:val="20"/>
          <w:lang w:val="es-MX"/>
        </w:rPr>
        <w:footnoteReference w:id="2"/>
      </w:r>
      <w:r w:rsidR="00F70321" w:rsidRPr="001731F5">
        <w:rPr>
          <w:rFonts w:ascii="Verdana" w:hAnsi="Verdana"/>
          <w:sz w:val="20"/>
          <w:lang w:val="es-MX"/>
        </w:rPr>
        <w:t xml:space="preserve">. </w:t>
      </w:r>
      <w:r w:rsidR="009F0EDE" w:rsidRPr="001731F5">
        <w:rPr>
          <w:rFonts w:ascii="Verdana" w:hAnsi="Verdana"/>
          <w:sz w:val="20"/>
          <w:lang w:val="es-MX"/>
        </w:rPr>
        <w:t>L</w:t>
      </w:r>
      <w:r w:rsidR="00F70321" w:rsidRPr="001731F5">
        <w:rPr>
          <w:rFonts w:ascii="Verdana" w:hAnsi="Verdana"/>
          <w:sz w:val="20"/>
          <w:lang w:val="es-MX"/>
        </w:rPr>
        <w:t xml:space="preserve">a Corte </w:t>
      </w:r>
      <w:r w:rsidR="00FA0F06" w:rsidRPr="001731F5">
        <w:rPr>
          <w:rFonts w:ascii="Verdana" w:hAnsi="Verdana"/>
          <w:sz w:val="20"/>
          <w:lang w:val="es-MX"/>
        </w:rPr>
        <w:t xml:space="preserve">aceptó el reconocimiento de responsabilidad realizado por </w:t>
      </w:r>
      <w:r w:rsidR="00E2546D" w:rsidRPr="001731F5">
        <w:rPr>
          <w:rFonts w:ascii="Verdana" w:hAnsi="Verdana"/>
          <w:sz w:val="20"/>
          <w:lang w:val="es-MX"/>
        </w:rPr>
        <w:t xml:space="preserve">la República </w:t>
      </w:r>
      <w:r w:rsidR="00F70321" w:rsidRPr="001731F5">
        <w:rPr>
          <w:rFonts w:ascii="Verdana" w:hAnsi="Verdana"/>
          <w:sz w:val="20"/>
          <w:lang w:val="es-MX"/>
        </w:rPr>
        <w:t xml:space="preserve">Argentina </w:t>
      </w:r>
      <w:r w:rsidR="00F70321" w:rsidRPr="001731F5">
        <w:rPr>
          <w:rFonts w:ascii="Verdana" w:hAnsi="Verdana"/>
          <w:sz w:val="20"/>
        </w:rPr>
        <w:t xml:space="preserve">(en adelante “el Estado” o “Argentina”) </w:t>
      </w:r>
      <w:r w:rsidR="00FA0F06" w:rsidRPr="001731F5">
        <w:rPr>
          <w:rFonts w:ascii="Verdana" w:hAnsi="Verdana"/>
          <w:sz w:val="20"/>
        </w:rPr>
        <w:t xml:space="preserve">y la declaró responsable internacionalmente </w:t>
      </w:r>
      <w:r w:rsidR="00F70321" w:rsidRPr="001731F5">
        <w:rPr>
          <w:rFonts w:ascii="Verdana" w:hAnsi="Verdana"/>
          <w:sz w:val="20"/>
        </w:rPr>
        <w:t>por la violación de</w:t>
      </w:r>
      <w:r w:rsidR="00351FFD" w:rsidRPr="001731F5">
        <w:rPr>
          <w:rFonts w:ascii="Verdana" w:hAnsi="Verdana"/>
          <w:sz w:val="20"/>
        </w:rPr>
        <w:t>l derecho a la vida del señor Jorge Omar Gutiérrez</w:t>
      </w:r>
      <w:r w:rsidR="00FA0F06" w:rsidRPr="001731F5">
        <w:rPr>
          <w:rFonts w:ascii="Verdana" w:hAnsi="Verdana"/>
          <w:sz w:val="20"/>
        </w:rPr>
        <w:t>,</w:t>
      </w:r>
      <w:r w:rsidR="005B4ABD" w:rsidRPr="001731F5">
        <w:rPr>
          <w:rFonts w:ascii="Verdana" w:hAnsi="Verdana"/>
          <w:sz w:val="20"/>
        </w:rPr>
        <w:t xml:space="preserve"> y de</w:t>
      </w:r>
      <w:r w:rsidR="00F70321" w:rsidRPr="001731F5">
        <w:rPr>
          <w:rFonts w:ascii="Verdana" w:hAnsi="Verdana"/>
          <w:sz w:val="20"/>
        </w:rPr>
        <w:t xml:space="preserve"> los </w:t>
      </w:r>
      <w:r w:rsidR="00122C46" w:rsidRPr="001731F5">
        <w:rPr>
          <w:rFonts w:ascii="Verdana" w:hAnsi="Verdana"/>
          <w:sz w:val="20"/>
        </w:rPr>
        <w:t xml:space="preserve">derechos </w:t>
      </w:r>
      <w:r w:rsidR="005B4ABD" w:rsidRPr="001731F5">
        <w:rPr>
          <w:rFonts w:ascii="Verdana" w:hAnsi="Verdana"/>
          <w:sz w:val="20"/>
        </w:rPr>
        <w:t xml:space="preserve">a las garantías judiciales, </w:t>
      </w:r>
      <w:r w:rsidR="00FA0F06" w:rsidRPr="001731F5">
        <w:rPr>
          <w:rFonts w:ascii="Verdana" w:hAnsi="Verdana"/>
          <w:sz w:val="20"/>
        </w:rPr>
        <w:t xml:space="preserve">a la </w:t>
      </w:r>
      <w:r w:rsidR="005B4ABD" w:rsidRPr="001731F5">
        <w:rPr>
          <w:rFonts w:ascii="Verdana" w:hAnsi="Verdana"/>
          <w:sz w:val="20"/>
        </w:rPr>
        <w:t>protección judicial y a la integrida</w:t>
      </w:r>
      <w:r w:rsidR="00122C46" w:rsidRPr="001731F5">
        <w:rPr>
          <w:rFonts w:ascii="Verdana" w:hAnsi="Verdana"/>
          <w:sz w:val="20"/>
        </w:rPr>
        <w:t>d personal</w:t>
      </w:r>
      <w:r w:rsidR="005B4ABD" w:rsidRPr="001731F5">
        <w:rPr>
          <w:rFonts w:ascii="Verdana" w:hAnsi="Verdana"/>
          <w:sz w:val="20"/>
        </w:rPr>
        <w:t xml:space="preserve"> de sus familiar</w:t>
      </w:r>
      <w:r w:rsidR="00E927C3" w:rsidRPr="001731F5">
        <w:rPr>
          <w:rFonts w:ascii="Verdana" w:hAnsi="Verdana"/>
          <w:sz w:val="20"/>
        </w:rPr>
        <w:t>es</w:t>
      </w:r>
      <w:r w:rsidR="00122C46" w:rsidRPr="001731F5">
        <w:rPr>
          <w:rStyle w:val="Refdenotaalpie"/>
          <w:rFonts w:ascii="Verdana" w:hAnsi="Verdana"/>
          <w:sz w:val="20"/>
        </w:rPr>
        <w:footnoteReference w:id="3"/>
      </w:r>
      <w:r w:rsidR="005B4ABD" w:rsidRPr="001731F5">
        <w:rPr>
          <w:rFonts w:ascii="Verdana" w:hAnsi="Verdana"/>
          <w:sz w:val="20"/>
        </w:rPr>
        <w:t>.</w:t>
      </w:r>
      <w:r w:rsidR="002A04D2" w:rsidRPr="001731F5">
        <w:rPr>
          <w:rFonts w:ascii="Verdana" w:hAnsi="Verdana"/>
          <w:sz w:val="20"/>
        </w:rPr>
        <w:t xml:space="preserve"> </w:t>
      </w:r>
      <w:r w:rsidR="00E927C3" w:rsidRPr="001731F5">
        <w:rPr>
          <w:rFonts w:ascii="Verdana" w:hAnsi="Verdana"/>
          <w:sz w:val="20"/>
        </w:rPr>
        <w:t>Dichas violaciones se declararon</w:t>
      </w:r>
      <w:r w:rsidR="002A04D2" w:rsidRPr="001731F5">
        <w:rPr>
          <w:rFonts w:ascii="Verdana" w:hAnsi="Verdana"/>
          <w:sz w:val="20"/>
        </w:rPr>
        <w:t>, entre otros aspectos,</w:t>
      </w:r>
      <w:r w:rsidR="00E927C3" w:rsidRPr="001731F5">
        <w:rPr>
          <w:rFonts w:ascii="Verdana" w:hAnsi="Verdana"/>
          <w:sz w:val="20"/>
        </w:rPr>
        <w:t xml:space="preserve"> en relación con </w:t>
      </w:r>
      <w:r w:rsidR="003E1779" w:rsidRPr="001731F5">
        <w:rPr>
          <w:rFonts w:ascii="Verdana" w:hAnsi="Verdana"/>
          <w:sz w:val="20"/>
        </w:rPr>
        <w:t xml:space="preserve">la </w:t>
      </w:r>
      <w:r w:rsidR="00FA0F06" w:rsidRPr="001731F5">
        <w:rPr>
          <w:rFonts w:ascii="Verdana" w:hAnsi="Verdana"/>
          <w:sz w:val="20"/>
        </w:rPr>
        <w:t>ejecución extrajudicial</w:t>
      </w:r>
      <w:r w:rsidR="003E1779" w:rsidRPr="001731F5">
        <w:rPr>
          <w:rFonts w:ascii="Verdana" w:hAnsi="Verdana"/>
          <w:sz w:val="20"/>
        </w:rPr>
        <w:t xml:space="preserve"> de</w:t>
      </w:r>
      <w:r w:rsidR="00FA0F06" w:rsidRPr="001731F5">
        <w:rPr>
          <w:rFonts w:ascii="Verdana" w:hAnsi="Verdana"/>
          <w:sz w:val="20"/>
        </w:rPr>
        <w:t>l señor</w:t>
      </w:r>
      <w:r w:rsidR="003E1779" w:rsidRPr="001731F5">
        <w:rPr>
          <w:rFonts w:ascii="Verdana" w:hAnsi="Verdana"/>
          <w:sz w:val="20"/>
        </w:rPr>
        <w:t xml:space="preserve"> Gutiérrez, </w:t>
      </w:r>
      <w:r w:rsidR="00FA0F06" w:rsidRPr="001731F5">
        <w:rPr>
          <w:rFonts w:ascii="Verdana" w:hAnsi="Verdana"/>
          <w:sz w:val="20"/>
        </w:rPr>
        <w:t>quien era</w:t>
      </w:r>
      <w:r w:rsidR="003E1779" w:rsidRPr="001731F5">
        <w:rPr>
          <w:rFonts w:ascii="Verdana" w:hAnsi="Verdana"/>
          <w:sz w:val="20"/>
        </w:rPr>
        <w:t xml:space="preserve"> </w:t>
      </w:r>
      <w:r w:rsidR="00FA0F06" w:rsidRPr="001731F5">
        <w:rPr>
          <w:rFonts w:ascii="Verdana" w:hAnsi="Verdana"/>
          <w:sz w:val="20"/>
        </w:rPr>
        <w:t>S</w:t>
      </w:r>
      <w:r w:rsidR="003E1779" w:rsidRPr="001731F5">
        <w:rPr>
          <w:rFonts w:ascii="Verdana" w:hAnsi="Verdana"/>
          <w:sz w:val="20"/>
        </w:rPr>
        <w:t>ubcomisario de la</w:t>
      </w:r>
      <w:r w:rsidR="00FA0F06" w:rsidRPr="001731F5">
        <w:rPr>
          <w:rFonts w:ascii="Verdana" w:hAnsi="Verdana"/>
          <w:sz w:val="20"/>
        </w:rPr>
        <w:t xml:space="preserve"> Comisaría Segunda de Avellaneda de la</w:t>
      </w:r>
      <w:r w:rsidR="003E1779" w:rsidRPr="001731F5">
        <w:rPr>
          <w:rFonts w:ascii="Verdana" w:hAnsi="Verdana"/>
          <w:sz w:val="20"/>
        </w:rPr>
        <w:t xml:space="preserve"> Policía </w:t>
      </w:r>
      <w:r w:rsidR="00FA0F06" w:rsidRPr="001731F5">
        <w:rPr>
          <w:rFonts w:ascii="Verdana" w:hAnsi="Verdana"/>
          <w:sz w:val="20"/>
        </w:rPr>
        <w:t>de la Provincia de Buenos Aires</w:t>
      </w:r>
      <w:r w:rsidR="0002052B" w:rsidRPr="001731F5">
        <w:rPr>
          <w:rFonts w:ascii="Verdana" w:hAnsi="Verdana"/>
          <w:sz w:val="20"/>
        </w:rPr>
        <w:t>, por parte de agentes estatales. Fue asesinado de un disparo en la nuca</w:t>
      </w:r>
      <w:r w:rsidR="00FA0F06" w:rsidRPr="001731F5">
        <w:rPr>
          <w:rFonts w:ascii="Verdana" w:hAnsi="Verdana"/>
          <w:sz w:val="20"/>
        </w:rPr>
        <w:t xml:space="preserve"> el 29 de agosto de 1994</w:t>
      </w:r>
      <w:r w:rsidR="0002052B" w:rsidRPr="001731F5">
        <w:rPr>
          <w:rFonts w:ascii="Verdana" w:hAnsi="Verdana"/>
          <w:sz w:val="20"/>
        </w:rPr>
        <w:t xml:space="preserve"> mientras viajaba en un tren en dirección a su lugar residencia</w:t>
      </w:r>
      <w:r w:rsidR="00FA0F06" w:rsidRPr="001731F5">
        <w:rPr>
          <w:rFonts w:ascii="Verdana" w:hAnsi="Verdana"/>
          <w:sz w:val="20"/>
        </w:rPr>
        <w:t xml:space="preserve">. Al momento de los hechos, el señor Gutiérrez se encontraba investigando un depósito fiscal </w:t>
      </w:r>
      <w:r w:rsidR="00165829">
        <w:rPr>
          <w:rFonts w:ascii="Verdana" w:hAnsi="Verdana"/>
          <w:sz w:val="20"/>
        </w:rPr>
        <w:t xml:space="preserve">lindante con la parte trasera de la Comisaría Segunda de la localidad de Avellaneda. Dicha investigación fue parte de </w:t>
      </w:r>
      <w:r w:rsidR="0002052B" w:rsidRPr="001731F5">
        <w:rPr>
          <w:rFonts w:ascii="Verdana" w:hAnsi="Verdana"/>
          <w:sz w:val="20"/>
        </w:rPr>
        <w:t xml:space="preserve">una serie de casos de corrupción, contrabando, fraude, narcotráfico y asociación ilícita de funcionarios públicos, entre otros, a nivel nacional, conocidos como el “caso de la aduana paralela”. </w:t>
      </w:r>
      <w:r w:rsidR="00B22F58">
        <w:rPr>
          <w:rFonts w:ascii="Verdana" w:hAnsi="Verdana"/>
          <w:sz w:val="20"/>
        </w:rPr>
        <w:t>Respecto de la muerte del señor Gutiérrez</w:t>
      </w:r>
      <w:r w:rsidR="0002052B" w:rsidRPr="001731F5">
        <w:rPr>
          <w:rFonts w:ascii="Verdana" w:hAnsi="Verdana"/>
          <w:sz w:val="20"/>
        </w:rPr>
        <w:t xml:space="preserve"> se inició una investigación y causa penal por el delito de homicidio</w:t>
      </w:r>
      <w:r w:rsidR="002A04D2" w:rsidRPr="001731F5">
        <w:rPr>
          <w:rFonts w:ascii="Verdana" w:hAnsi="Verdana"/>
          <w:sz w:val="20"/>
        </w:rPr>
        <w:t xml:space="preserve"> en el fuero ordinario</w:t>
      </w:r>
      <w:r w:rsidR="0002052B" w:rsidRPr="001731F5">
        <w:rPr>
          <w:rFonts w:ascii="Verdana" w:hAnsi="Verdana"/>
          <w:sz w:val="20"/>
        </w:rPr>
        <w:t xml:space="preserve">, la cual estuvo </w:t>
      </w:r>
      <w:r w:rsidR="002A04D2" w:rsidRPr="001731F5">
        <w:rPr>
          <w:rFonts w:ascii="Verdana" w:hAnsi="Verdana"/>
          <w:sz w:val="20"/>
        </w:rPr>
        <w:t xml:space="preserve">“plagada de irregularidades y omisiones […] en la recaudación de la prueba, en el seguimiento de líneas lógicas de investigación y en el análisis de los hechos del caso”, así como de “serias obstaculizaciones y amenazas </w:t>
      </w:r>
      <w:r w:rsidR="006A73FE">
        <w:rPr>
          <w:rFonts w:ascii="Verdana" w:hAnsi="Verdana"/>
          <w:sz w:val="20"/>
        </w:rPr>
        <w:t>h</w:t>
      </w:r>
      <w:r w:rsidR="002A04D2" w:rsidRPr="001731F5">
        <w:rPr>
          <w:rFonts w:ascii="Verdana" w:hAnsi="Verdana"/>
          <w:sz w:val="20"/>
        </w:rPr>
        <w:t>a</w:t>
      </w:r>
      <w:r w:rsidR="006A73FE">
        <w:rPr>
          <w:rFonts w:ascii="Verdana" w:hAnsi="Verdana"/>
          <w:sz w:val="20"/>
        </w:rPr>
        <w:t>cia</w:t>
      </w:r>
      <w:r w:rsidR="002A04D2" w:rsidRPr="001731F5">
        <w:rPr>
          <w:rFonts w:ascii="Verdana" w:hAnsi="Verdana"/>
          <w:sz w:val="20"/>
        </w:rPr>
        <w:t xml:space="preserve"> testigos”, permaneciendo estos hechos en impunidad. Por ello,</w:t>
      </w:r>
      <w:r w:rsidR="0002052B" w:rsidRPr="001731F5">
        <w:rPr>
          <w:rFonts w:ascii="Verdana" w:hAnsi="Verdana"/>
          <w:sz w:val="20"/>
        </w:rPr>
        <w:t xml:space="preserve"> </w:t>
      </w:r>
      <w:r w:rsidR="002A04D2" w:rsidRPr="001731F5">
        <w:rPr>
          <w:rFonts w:ascii="Verdana" w:hAnsi="Verdana"/>
          <w:sz w:val="20"/>
        </w:rPr>
        <w:t>la Corte</w:t>
      </w:r>
      <w:r w:rsidR="0002052B" w:rsidRPr="001731F5">
        <w:rPr>
          <w:rFonts w:ascii="Verdana" w:hAnsi="Verdana"/>
          <w:sz w:val="20"/>
        </w:rPr>
        <w:t xml:space="preserve"> determinó que</w:t>
      </w:r>
      <w:r w:rsidR="002A04D2" w:rsidRPr="001731F5">
        <w:rPr>
          <w:rFonts w:ascii="Verdana" w:hAnsi="Verdana"/>
          <w:sz w:val="20"/>
        </w:rPr>
        <w:t xml:space="preserve"> dicha investigación penal</w:t>
      </w:r>
      <w:r w:rsidR="0002052B" w:rsidRPr="001731F5">
        <w:rPr>
          <w:rFonts w:ascii="Verdana" w:hAnsi="Verdana"/>
          <w:sz w:val="20"/>
        </w:rPr>
        <w:t xml:space="preserve"> no cumplió con </w:t>
      </w:r>
      <w:r w:rsidR="002A04D2" w:rsidRPr="001731F5">
        <w:rPr>
          <w:rFonts w:ascii="Verdana" w:hAnsi="Verdana"/>
          <w:sz w:val="20"/>
        </w:rPr>
        <w:t>los criterios de debida diligencia, tutela judicial efectiva y plazo razonable, en contravención del derecho al acceso a la justicia. El Tribunal</w:t>
      </w:r>
      <w:r w:rsidR="00065736" w:rsidRPr="001731F5">
        <w:rPr>
          <w:rFonts w:ascii="Verdana" w:hAnsi="Verdana"/>
          <w:sz w:val="20"/>
        </w:rPr>
        <w:t xml:space="preserve"> estableció que su Sentencia constituye por </w:t>
      </w:r>
      <w:r w:rsidR="00065736" w:rsidRPr="001731F5">
        <w:rPr>
          <w:rFonts w:ascii="Verdana" w:hAnsi="Verdana"/>
          <w:sz w:val="20"/>
        </w:rPr>
        <w:lastRenderedPageBreak/>
        <w:t>sí misma una forma de reparación y ordenó al Estado la adopción de diversas medidas de reparación adicionales (</w:t>
      </w:r>
      <w:r w:rsidR="00065736" w:rsidRPr="001731F5">
        <w:rPr>
          <w:rFonts w:ascii="Verdana" w:hAnsi="Verdana"/>
          <w:i/>
          <w:sz w:val="20"/>
        </w:rPr>
        <w:t>infra</w:t>
      </w:r>
      <w:r w:rsidR="00065736" w:rsidRPr="001731F5">
        <w:rPr>
          <w:rFonts w:ascii="Verdana" w:hAnsi="Verdana"/>
          <w:sz w:val="20"/>
        </w:rPr>
        <w:t xml:space="preserve"> Considerando </w:t>
      </w:r>
      <w:r w:rsidR="006A73FE">
        <w:rPr>
          <w:rFonts w:ascii="Verdana" w:hAnsi="Verdana"/>
          <w:sz w:val="20"/>
        </w:rPr>
        <w:fldChar w:fldCharType="begin"/>
      </w:r>
      <w:r w:rsidR="006A73FE">
        <w:rPr>
          <w:rFonts w:ascii="Verdana" w:hAnsi="Verdana"/>
          <w:sz w:val="20"/>
        </w:rPr>
        <w:instrText xml:space="preserve"> REF _Ref26949615 \r \h </w:instrText>
      </w:r>
      <w:r w:rsidR="006A73FE">
        <w:rPr>
          <w:rFonts w:ascii="Verdana" w:hAnsi="Verdana"/>
          <w:sz w:val="20"/>
        </w:rPr>
      </w:r>
      <w:r w:rsidR="006A73FE">
        <w:rPr>
          <w:rFonts w:ascii="Verdana" w:hAnsi="Verdana"/>
          <w:sz w:val="20"/>
        </w:rPr>
        <w:fldChar w:fldCharType="separate"/>
      </w:r>
      <w:r w:rsidR="00756751">
        <w:rPr>
          <w:rFonts w:ascii="Verdana" w:hAnsi="Verdana"/>
          <w:sz w:val="20"/>
        </w:rPr>
        <w:t>1</w:t>
      </w:r>
      <w:r w:rsidR="006A73FE">
        <w:rPr>
          <w:rFonts w:ascii="Verdana" w:hAnsi="Verdana"/>
          <w:sz w:val="20"/>
        </w:rPr>
        <w:fldChar w:fldCharType="end"/>
      </w:r>
      <w:r w:rsidR="00065736" w:rsidRPr="001731F5">
        <w:rPr>
          <w:rFonts w:ascii="Verdana" w:hAnsi="Verdana"/>
          <w:sz w:val="20"/>
        </w:rPr>
        <w:t>).</w:t>
      </w:r>
      <w:bookmarkEnd w:id="0"/>
    </w:p>
    <w:p w14:paraId="4E86AF72" w14:textId="77777777" w:rsidR="00DE33A1" w:rsidRPr="001731F5" w:rsidRDefault="00DE33A1" w:rsidP="00817ECB">
      <w:pPr>
        <w:numPr>
          <w:ilvl w:val="0"/>
          <w:numId w:val="4"/>
        </w:numPr>
        <w:autoSpaceDE w:val="0"/>
        <w:autoSpaceDN w:val="0"/>
        <w:adjustRightInd w:val="0"/>
        <w:spacing w:before="120" w:after="120"/>
        <w:ind w:left="0" w:firstLine="0"/>
        <w:jc w:val="both"/>
        <w:rPr>
          <w:rFonts w:ascii="Verdana" w:eastAsia="Calibri" w:hAnsi="Verdana" w:cs="Arial"/>
          <w:sz w:val="20"/>
          <w:lang w:val="es-CR" w:eastAsia="es-CR"/>
        </w:rPr>
      </w:pPr>
      <w:r w:rsidRPr="001731F5">
        <w:rPr>
          <w:rFonts w:ascii="Verdana" w:eastAsia="Calibri" w:hAnsi="Verdana" w:cs="Arial"/>
          <w:sz w:val="20"/>
          <w:lang w:val="es-CR" w:eastAsia="es-CR"/>
        </w:rPr>
        <w:t xml:space="preserve">Los informes presentados por el Estado entre </w:t>
      </w:r>
      <w:r w:rsidR="00570C65" w:rsidRPr="001731F5">
        <w:rPr>
          <w:rFonts w:ascii="Verdana" w:eastAsia="Calibri" w:hAnsi="Verdana" w:cs="Arial"/>
          <w:sz w:val="20"/>
          <w:lang w:val="es-CR" w:eastAsia="es-CR"/>
        </w:rPr>
        <w:t>agosto de 2014</w:t>
      </w:r>
      <w:r w:rsidRPr="001731F5">
        <w:rPr>
          <w:rFonts w:ascii="Verdana" w:eastAsia="Calibri" w:hAnsi="Verdana" w:cs="Arial"/>
          <w:sz w:val="20"/>
          <w:lang w:val="es-CR" w:eastAsia="es-CR"/>
        </w:rPr>
        <w:t xml:space="preserve"> y </w:t>
      </w:r>
      <w:r w:rsidR="00570C65" w:rsidRPr="001731F5">
        <w:rPr>
          <w:rFonts w:ascii="Verdana" w:eastAsia="Calibri" w:hAnsi="Verdana" w:cs="Arial"/>
          <w:sz w:val="20"/>
          <w:lang w:val="es-CR" w:eastAsia="es-CR"/>
        </w:rPr>
        <w:t>diciembre</w:t>
      </w:r>
      <w:r w:rsidRPr="001731F5">
        <w:rPr>
          <w:rFonts w:ascii="Verdana" w:eastAsia="Calibri" w:hAnsi="Verdana" w:cs="Arial"/>
          <w:sz w:val="20"/>
          <w:lang w:val="es-CR" w:eastAsia="es-CR"/>
        </w:rPr>
        <w:t xml:space="preserve"> de 2018</w:t>
      </w:r>
      <w:r w:rsidR="002C6D7F" w:rsidRPr="001731F5">
        <w:rPr>
          <w:rFonts w:ascii="Verdana" w:eastAsia="Calibri" w:hAnsi="Verdana" w:cs="Arial"/>
          <w:sz w:val="20"/>
          <w:lang w:val="es-CR" w:eastAsia="es-CR"/>
        </w:rPr>
        <w:t xml:space="preserve">, </w:t>
      </w:r>
      <w:r w:rsidR="002C6D7F" w:rsidRPr="001731F5">
        <w:rPr>
          <w:rFonts w:ascii="Verdana" w:hAnsi="Verdana"/>
          <w:sz w:val="20"/>
        </w:rPr>
        <w:t>en respuesta a solicitudes efectuadas por la Corte o su Presidente mediante notas de la Secretaría del Tribunal</w:t>
      </w:r>
      <w:r w:rsidRPr="001731F5">
        <w:rPr>
          <w:rFonts w:ascii="Verdana" w:eastAsia="Calibri" w:hAnsi="Verdana" w:cs="Arial"/>
          <w:sz w:val="20"/>
          <w:lang w:val="es-CR" w:eastAsia="es-CR"/>
        </w:rPr>
        <w:t>.</w:t>
      </w:r>
    </w:p>
    <w:p w14:paraId="2005822E" w14:textId="4041CE71" w:rsidR="00D82C19" w:rsidRPr="001731F5" w:rsidRDefault="00F215BA" w:rsidP="00817ECB">
      <w:pPr>
        <w:numPr>
          <w:ilvl w:val="0"/>
          <w:numId w:val="4"/>
        </w:numPr>
        <w:autoSpaceDE w:val="0"/>
        <w:autoSpaceDN w:val="0"/>
        <w:adjustRightInd w:val="0"/>
        <w:spacing w:before="120" w:after="120"/>
        <w:ind w:left="0" w:firstLine="0"/>
        <w:jc w:val="both"/>
        <w:rPr>
          <w:rFonts w:ascii="Arial" w:eastAsia="Calibri" w:hAnsi="Arial" w:cs="Arial"/>
          <w:b/>
          <w:sz w:val="20"/>
          <w:lang w:val="es-CR" w:eastAsia="es-CR"/>
        </w:rPr>
      </w:pPr>
      <w:r w:rsidRPr="001731F5">
        <w:rPr>
          <w:rFonts w:ascii="Verdana" w:eastAsia="Calibri" w:hAnsi="Verdana" w:cs="Arial"/>
          <w:sz w:val="20"/>
          <w:lang w:val="es-CR" w:eastAsia="es-CR"/>
        </w:rPr>
        <w:t xml:space="preserve">Los </w:t>
      </w:r>
      <w:r w:rsidR="00D82C19" w:rsidRPr="001731F5">
        <w:rPr>
          <w:rFonts w:ascii="Verdana" w:eastAsia="Calibri" w:hAnsi="Verdana" w:cs="Arial"/>
          <w:sz w:val="20"/>
          <w:lang w:val="es-CR" w:eastAsia="es-CR"/>
        </w:rPr>
        <w:t>escrito</w:t>
      </w:r>
      <w:r w:rsidRPr="001731F5">
        <w:rPr>
          <w:rFonts w:ascii="Verdana" w:eastAsia="Calibri" w:hAnsi="Verdana" w:cs="Arial"/>
          <w:sz w:val="20"/>
          <w:lang w:val="es-CR" w:eastAsia="es-CR"/>
        </w:rPr>
        <w:t>s</w:t>
      </w:r>
      <w:r w:rsidR="00D82C19" w:rsidRPr="001731F5">
        <w:rPr>
          <w:rFonts w:ascii="Verdana" w:eastAsia="Calibri" w:hAnsi="Verdana" w:cs="Arial"/>
          <w:sz w:val="20"/>
          <w:lang w:val="es-CR" w:eastAsia="es-CR"/>
        </w:rPr>
        <w:t xml:space="preserve"> presentado</w:t>
      </w:r>
      <w:r w:rsidRPr="001731F5">
        <w:rPr>
          <w:rFonts w:ascii="Verdana" w:eastAsia="Calibri" w:hAnsi="Verdana" w:cs="Arial"/>
          <w:sz w:val="20"/>
          <w:lang w:val="es-CR" w:eastAsia="es-CR"/>
        </w:rPr>
        <w:t>s</w:t>
      </w:r>
      <w:r w:rsidR="00D82C19" w:rsidRPr="001731F5">
        <w:rPr>
          <w:rFonts w:ascii="Verdana" w:eastAsia="Calibri" w:hAnsi="Verdana" w:cs="Arial"/>
          <w:sz w:val="20"/>
          <w:lang w:val="es-CR" w:eastAsia="es-CR"/>
        </w:rPr>
        <w:t xml:space="preserve"> </w:t>
      </w:r>
      <w:r w:rsidR="009D3EE1" w:rsidRPr="001731F5">
        <w:rPr>
          <w:rFonts w:ascii="Verdana" w:eastAsia="Calibri" w:hAnsi="Verdana" w:cs="Arial"/>
          <w:sz w:val="20"/>
          <w:lang w:val="es-CR" w:eastAsia="es-CR"/>
        </w:rPr>
        <w:t>por los</w:t>
      </w:r>
      <w:r w:rsidR="00C4290F" w:rsidRPr="001731F5">
        <w:rPr>
          <w:rFonts w:ascii="Verdana" w:eastAsia="Calibri" w:hAnsi="Verdana" w:cs="Arial"/>
          <w:sz w:val="20"/>
          <w:lang w:val="es-CR" w:eastAsia="es-CR"/>
        </w:rPr>
        <w:t xml:space="preserve"> representante</w:t>
      </w:r>
      <w:r w:rsidR="009D3EE1" w:rsidRPr="001731F5">
        <w:rPr>
          <w:rFonts w:ascii="Verdana" w:eastAsia="Calibri" w:hAnsi="Verdana" w:cs="Arial"/>
          <w:sz w:val="20"/>
          <w:lang w:val="es-CR" w:eastAsia="es-CR"/>
        </w:rPr>
        <w:t>s</w:t>
      </w:r>
      <w:r w:rsidR="00C4290F" w:rsidRPr="001731F5">
        <w:rPr>
          <w:rFonts w:ascii="Verdana" w:eastAsia="Calibri" w:hAnsi="Verdana" w:cs="Arial"/>
          <w:sz w:val="20"/>
          <w:lang w:val="es-CR" w:eastAsia="es-CR"/>
        </w:rPr>
        <w:t xml:space="preserve"> de las víctimas</w:t>
      </w:r>
      <w:r w:rsidR="00D82C19" w:rsidRPr="001731F5">
        <w:rPr>
          <w:rStyle w:val="Refdenotaalpie"/>
          <w:rFonts w:ascii="Verdana" w:eastAsia="Calibri" w:hAnsi="Verdana" w:cs="Arial"/>
          <w:sz w:val="20"/>
          <w:lang w:val="es-CR" w:eastAsia="es-CR"/>
        </w:rPr>
        <w:footnoteReference w:id="4"/>
      </w:r>
      <w:r w:rsidR="00C4290F" w:rsidRPr="001731F5">
        <w:rPr>
          <w:rFonts w:ascii="Verdana" w:eastAsia="Calibri" w:hAnsi="Verdana" w:cs="Arial"/>
          <w:sz w:val="20"/>
          <w:lang w:val="es-CR" w:eastAsia="es-CR"/>
        </w:rPr>
        <w:t xml:space="preserve"> </w:t>
      </w:r>
      <w:r w:rsidR="009D3EE1" w:rsidRPr="001731F5">
        <w:rPr>
          <w:rFonts w:ascii="Verdana" w:eastAsia="Calibri" w:hAnsi="Verdana" w:cs="Arial"/>
          <w:sz w:val="20"/>
          <w:lang w:val="es-CR" w:eastAsia="es-CR"/>
        </w:rPr>
        <w:t>(en adelante “los</w:t>
      </w:r>
      <w:r w:rsidR="00C4290F" w:rsidRPr="001731F5">
        <w:rPr>
          <w:rFonts w:ascii="Verdana" w:eastAsia="Calibri" w:hAnsi="Verdana" w:cs="Arial"/>
          <w:sz w:val="20"/>
          <w:lang w:val="es-CR" w:eastAsia="es-CR"/>
        </w:rPr>
        <w:t xml:space="preserve"> representante</w:t>
      </w:r>
      <w:r w:rsidR="009D3EE1" w:rsidRPr="001731F5">
        <w:rPr>
          <w:rFonts w:ascii="Verdana" w:eastAsia="Calibri" w:hAnsi="Verdana" w:cs="Arial"/>
          <w:sz w:val="20"/>
          <w:lang w:val="es-CR" w:eastAsia="es-CR"/>
        </w:rPr>
        <w:t>s</w:t>
      </w:r>
      <w:r w:rsidR="00C4290F" w:rsidRPr="001731F5">
        <w:rPr>
          <w:rFonts w:ascii="Verdana" w:eastAsia="Calibri" w:hAnsi="Verdana" w:cs="Arial"/>
          <w:sz w:val="20"/>
          <w:lang w:val="es-CR" w:eastAsia="es-CR"/>
        </w:rPr>
        <w:t>”) entre octubre de 2014 y ju</w:t>
      </w:r>
      <w:r w:rsidR="00FA320C" w:rsidRPr="001731F5">
        <w:rPr>
          <w:rFonts w:ascii="Verdana" w:eastAsia="Calibri" w:hAnsi="Verdana" w:cs="Arial"/>
          <w:sz w:val="20"/>
          <w:lang w:val="es-CR" w:eastAsia="es-CR"/>
        </w:rPr>
        <w:t>nio</w:t>
      </w:r>
      <w:r w:rsidR="00C4290F" w:rsidRPr="001731F5">
        <w:rPr>
          <w:rFonts w:ascii="Verdana" w:eastAsia="Calibri" w:hAnsi="Verdana" w:cs="Arial"/>
          <w:sz w:val="20"/>
          <w:lang w:val="es-CR" w:eastAsia="es-CR"/>
        </w:rPr>
        <w:t xml:space="preserve"> de 201</w:t>
      </w:r>
      <w:r w:rsidR="00FA320C" w:rsidRPr="001731F5">
        <w:rPr>
          <w:rFonts w:ascii="Verdana" w:eastAsia="Calibri" w:hAnsi="Verdana" w:cs="Arial"/>
          <w:sz w:val="20"/>
          <w:lang w:val="es-CR" w:eastAsia="es-CR"/>
        </w:rPr>
        <w:t>9</w:t>
      </w:r>
      <w:r w:rsidR="00C4290F" w:rsidRPr="001731F5">
        <w:rPr>
          <w:rFonts w:ascii="Verdana" w:eastAsia="Calibri" w:hAnsi="Verdana" w:cs="Arial"/>
          <w:sz w:val="20"/>
          <w:lang w:val="es-CR" w:eastAsia="es-CR"/>
        </w:rPr>
        <w:t>.</w:t>
      </w:r>
      <w:r w:rsidR="0086611B" w:rsidRPr="001731F5">
        <w:rPr>
          <w:rFonts w:ascii="Verdana" w:eastAsia="Calibri" w:hAnsi="Verdana" w:cs="Arial"/>
          <w:sz w:val="20"/>
          <w:lang w:val="es-CR" w:eastAsia="es-CR"/>
        </w:rPr>
        <w:t xml:space="preserve"> </w:t>
      </w:r>
    </w:p>
    <w:p w14:paraId="0E5FE96B" w14:textId="77777777" w:rsidR="00975B90" w:rsidRPr="001731F5" w:rsidRDefault="00975B90" w:rsidP="00975B90">
      <w:pPr>
        <w:pStyle w:val="Prrafodelista"/>
        <w:numPr>
          <w:ilvl w:val="0"/>
          <w:numId w:val="4"/>
        </w:numPr>
        <w:spacing w:before="120" w:after="120"/>
        <w:ind w:left="0" w:firstLine="0"/>
        <w:jc w:val="both"/>
        <w:rPr>
          <w:rFonts w:ascii="Verdana" w:hAnsi="Verdana"/>
          <w:color w:val="000000"/>
          <w:sz w:val="20"/>
          <w:shd w:val="clear" w:color="auto" w:fill="FFFFFF"/>
          <w:lang w:val="es-CR"/>
        </w:rPr>
      </w:pPr>
      <w:r w:rsidRPr="001731F5">
        <w:rPr>
          <w:rFonts w:ascii="Verdana" w:hAnsi="Verdana"/>
          <w:color w:val="000000"/>
          <w:sz w:val="20"/>
          <w:shd w:val="clear" w:color="auto" w:fill="FFFFFF"/>
          <w:lang w:val="es-CR"/>
        </w:rPr>
        <w:t xml:space="preserve">Los escritos de observaciones presentados por la Comisión Interamericana de Derechos Humanos (en adelante “la Comisión Interamericana” o “la Comisión”) entre </w:t>
      </w:r>
      <w:r w:rsidRPr="001731F5">
        <w:rPr>
          <w:rFonts w:ascii="Verdana" w:hAnsi="Verdana"/>
          <w:sz w:val="20"/>
          <w:lang w:val="es-CR"/>
        </w:rPr>
        <w:t>octubre de 2014 y junio de 2018</w:t>
      </w:r>
      <w:r w:rsidRPr="001731F5">
        <w:rPr>
          <w:rFonts w:ascii="Verdana" w:hAnsi="Verdana"/>
          <w:color w:val="000000"/>
          <w:sz w:val="20"/>
          <w:shd w:val="clear" w:color="auto" w:fill="FFFFFF"/>
          <w:lang w:val="es-CR"/>
        </w:rPr>
        <w:t>.</w:t>
      </w:r>
    </w:p>
    <w:p w14:paraId="108A6506" w14:textId="77777777" w:rsidR="003B7739" w:rsidRDefault="003B7739" w:rsidP="00302709">
      <w:pPr>
        <w:jc w:val="both"/>
        <w:rPr>
          <w:rFonts w:ascii="Verdana" w:hAnsi="Verdana"/>
          <w:b/>
          <w:sz w:val="20"/>
          <w:lang w:val="es-CR"/>
        </w:rPr>
      </w:pPr>
    </w:p>
    <w:p w14:paraId="60F09901" w14:textId="77777777" w:rsidR="00807D5C" w:rsidRPr="001731F5" w:rsidRDefault="00807D5C" w:rsidP="00302709">
      <w:pPr>
        <w:jc w:val="both"/>
        <w:rPr>
          <w:rFonts w:ascii="Verdana" w:hAnsi="Verdana"/>
          <w:b/>
          <w:sz w:val="20"/>
          <w:lang w:val="es-CR"/>
        </w:rPr>
      </w:pPr>
    </w:p>
    <w:p w14:paraId="28523EAB" w14:textId="77777777" w:rsidR="003365E6" w:rsidRPr="001731F5" w:rsidRDefault="008740E4" w:rsidP="00302709">
      <w:pPr>
        <w:jc w:val="both"/>
        <w:rPr>
          <w:rFonts w:ascii="Verdana" w:hAnsi="Verdana"/>
          <w:b/>
          <w:sz w:val="20"/>
          <w:lang w:val="es-MX"/>
        </w:rPr>
      </w:pPr>
      <w:r w:rsidRPr="001731F5">
        <w:rPr>
          <w:rFonts w:ascii="Verdana" w:hAnsi="Verdana"/>
          <w:b/>
          <w:sz w:val="20"/>
          <w:lang w:val="es-MX"/>
        </w:rPr>
        <w:t>CONSIDERANDO QUE:</w:t>
      </w:r>
      <w:r w:rsidR="0087260A" w:rsidRPr="001731F5">
        <w:rPr>
          <w:rFonts w:ascii="Verdana" w:hAnsi="Verdana"/>
          <w:b/>
          <w:sz w:val="20"/>
          <w:lang w:val="es-MX"/>
        </w:rPr>
        <w:t xml:space="preserve"> </w:t>
      </w:r>
    </w:p>
    <w:p w14:paraId="763AF564" w14:textId="04FB6AB8" w:rsidR="0032254F" w:rsidRPr="001731F5" w:rsidRDefault="003365E6" w:rsidP="00062135">
      <w:pPr>
        <w:numPr>
          <w:ilvl w:val="0"/>
          <w:numId w:val="5"/>
        </w:numPr>
        <w:spacing w:before="120" w:after="120"/>
        <w:ind w:left="0" w:right="9" w:firstLine="0"/>
        <w:jc w:val="both"/>
        <w:rPr>
          <w:rFonts w:ascii="Verdana" w:hAnsi="Verdana"/>
          <w:sz w:val="20"/>
        </w:rPr>
      </w:pPr>
      <w:bookmarkStart w:id="1" w:name="_Ref26949615"/>
      <w:r w:rsidRPr="001731F5">
        <w:rPr>
          <w:rFonts w:ascii="Verdana" w:hAnsi="Verdana"/>
          <w:sz w:val="20"/>
        </w:rPr>
        <w:t>En el ejercicio de su función jurisdiccional de supervisar el cumplimiento de sus decisiones</w:t>
      </w:r>
      <w:r w:rsidR="005E60C3" w:rsidRPr="001731F5">
        <w:rPr>
          <w:rStyle w:val="Refdenotaalpie"/>
          <w:rFonts w:ascii="Verdana" w:hAnsi="Verdana"/>
          <w:sz w:val="20"/>
        </w:rPr>
        <w:footnoteReference w:id="5"/>
      </w:r>
      <w:r w:rsidRPr="001731F5">
        <w:rPr>
          <w:rFonts w:ascii="Verdana" w:hAnsi="Verdana"/>
          <w:sz w:val="20"/>
        </w:rPr>
        <w:t xml:space="preserve">, la Corte ha venido </w:t>
      </w:r>
      <w:r w:rsidR="00EE573C" w:rsidRPr="001731F5">
        <w:rPr>
          <w:rFonts w:ascii="Verdana" w:hAnsi="Verdana"/>
          <w:sz w:val="20"/>
        </w:rPr>
        <w:t>supervisando</w:t>
      </w:r>
      <w:r w:rsidRPr="001731F5">
        <w:rPr>
          <w:rFonts w:ascii="Verdana" w:hAnsi="Verdana"/>
          <w:sz w:val="20"/>
        </w:rPr>
        <w:t xml:space="preserve"> la ejecución de la Sentencia </w:t>
      </w:r>
      <w:r w:rsidR="00291900" w:rsidRPr="001731F5">
        <w:rPr>
          <w:rFonts w:ascii="Verdana" w:hAnsi="Verdana"/>
          <w:sz w:val="20"/>
        </w:rPr>
        <w:t>emitida en</w:t>
      </w:r>
      <w:r w:rsidRPr="001731F5">
        <w:rPr>
          <w:rFonts w:ascii="Verdana" w:hAnsi="Verdana"/>
          <w:sz w:val="20"/>
        </w:rPr>
        <w:t xml:space="preserve"> el presente caso </w:t>
      </w:r>
      <w:r w:rsidR="005E60C3" w:rsidRPr="001731F5">
        <w:rPr>
          <w:rFonts w:ascii="Verdana" w:hAnsi="Verdana"/>
          <w:sz w:val="20"/>
        </w:rPr>
        <w:t xml:space="preserve">en </w:t>
      </w:r>
      <w:r w:rsidR="00C565A2" w:rsidRPr="001731F5">
        <w:rPr>
          <w:rFonts w:ascii="Verdana" w:hAnsi="Verdana"/>
          <w:sz w:val="20"/>
        </w:rPr>
        <w:t>el 201</w:t>
      </w:r>
      <w:r w:rsidR="00975B90" w:rsidRPr="001731F5">
        <w:rPr>
          <w:rFonts w:ascii="Verdana" w:hAnsi="Verdana"/>
          <w:sz w:val="20"/>
        </w:rPr>
        <w:t>3</w:t>
      </w:r>
      <w:r w:rsidR="00C565A2" w:rsidRPr="001731F5">
        <w:rPr>
          <w:rFonts w:ascii="Verdana" w:hAnsi="Verdana"/>
          <w:sz w:val="20"/>
        </w:rPr>
        <w:t xml:space="preserve"> </w:t>
      </w:r>
      <w:r w:rsidRPr="001731F5">
        <w:rPr>
          <w:rFonts w:ascii="Verdana" w:hAnsi="Verdana"/>
          <w:sz w:val="20"/>
        </w:rPr>
        <w:t>(</w:t>
      </w:r>
      <w:r w:rsidRPr="001731F5">
        <w:rPr>
          <w:rFonts w:ascii="Verdana" w:hAnsi="Verdana"/>
          <w:i/>
          <w:sz w:val="20"/>
        </w:rPr>
        <w:t>supra</w:t>
      </w:r>
      <w:r w:rsidR="00D867D9" w:rsidRPr="001731F5">
        <w:rPr>
          <w:rFonts w:ascii="Verdana" w:hAnsi="Verdana"/>
          <w:sz w:val="20"/>
        </w:rPr>
        <w:t xml:space="preserve"> Visto </w:t>
      </w:r>
      <w:r w:rsidR="00150963">
        <w:rPr>
          <w:rFonts w:ascii="Verdana" w:hAnsi="Verdana"/>
          <w:sz w:val="20"/>
        </w:rPr>
        <w:fldChar w:fldCharType="begin"/>
      </w:r>
      <w:r w:rsidR="00150963">
        <w:rPr>
          <w:rFonts w:ascii="Verdana" w:hAnsi="Verdana"/>
          <w:sz w:val="20"/>
        </w:rPr>
        <w:instrText xml:space="preserve"> REF _Ref26951222 \r \h </w:instrText>
      </w:r>
      <w:r w:rsidR="00150963">
        <w:rPr>
          <w:rFonts w:ascii="Verdana" w:hAnsi="Verdana"/>
          <w:sz w:val="20"/>
        </w:rPr>
      </w:r>
      <w:r w:rsidR="00150963">
        <w:rPr>
          <w:rFonts w:ascii="Verdana" w:hAnsi="Verdana"/>
          <w:sz w:val="20"/>
        </w:rPr>
        <w:fldChar w:fldCharType="separate"/>
      </w:r>
      <w:r w:rsidR="00756751">
        <w:rPr>
          <w:rFonts w:ascii="Verdana" w:hAnsi="Verdana"/>
          <w:sz w:val="20"/>
        </w:rPr>
        <w:t>1</w:t>
      </w:r>
      <w:r w:rsidR="00150963">
        <w:rPr>
          <w:rFonts w:ascii="Verdana" w:hAnsi="Verdana"/>
          <w:sz w:val="20"/>
        </w:rPr>
        <w:fldChar w:fldCharType="end"/>
      </w:r>
      <w:r w:rsidRPr="001731F5">
        <w:rPr>
          <w:rFonts w:ascii="Verdana" w:hAnsi="Verdana"/>
          <w:sz w:val="20"/>
        </w:rPr>
        <w:t>)</w:t>
      </w:r>
      <w:r w:rsidR="0032254F" w:rsidRPr="001731F5">
        <w:rPr>
          <w:rFonts w:ascii="Verdana" w:hAnsi="Verdana"/>
          <w:sz w:val="20"/>
        </w:rPr>
        <w:t xml:space="preserve">. En la Sentencia, el Tribunal </w:t>
      </w:r>
      <w:r w:rsidR="009D3DFE" w:rsidRPr="001731F5">
        <w:rPr>
          <w:rFonts w:ascii="Verdana" w:hAnsi="Verdana"/>
          <w:sz w:val="20"/>
        </w:rPr>
        <w:t>dispuso siete medidas de reparación (</w:t>
      </w:r>
      <w:r w:rsidR="009D3DFE" w:rsidRPr="001731F5">
        <w:rPr>
          <w:rFonts w:ascii="Verdana" w:hAnsi="Verdana"/>
          <w:i/>
          <w:sz w:val="20"/>
        </w:rPr>
        <w:t>infra</w:t>
      </w:r>
      <w:r w:rsidR="009D3DFE" w:rsidRPr="001731F5">
        <w:rPr>
          <w:rFonts w:ascii="Verdana" w:hAnsi="Verdana"/>
          <w:sz w:val="20"/>
        </w:rPr>
        <w:t xml:space="preserve"> Considerandos </w:t>
      </w:r>
      <w:r w:rsidR="008D496C">
        <w:rPr>
          <w:rFonts w:ascii="Verdana" w:hAnsi="Verdana"/>
          <w:sz w:val="20"/>
        </w:rPr>
        <w:t>6, 27, 31, 35, 42 y 52</w:t>
      </w:r>
      <w:r w:rsidR="009D3DFE" w:rsidRPr="001731F5">
        <w:rPr>
          <w:rFonts w:ascii="Verdana" w:hAnsi="Verdana"/>
          <w:sz w:val="20"/>
        </w:rPr>
        <w:t>).</w:t>
      </w:r>
      <w:bookmarkEnd w:id="1"/>
      <w:r w:rsidR="009D3DFE" w:rsidRPr="001731F5">
        <w:rPr>
          <w:rFonts w:ascii="Verdana" w:hAnsi="Verdana"/>
          <w:sz w:val="20"/>
        </w:rPr>
        <w:t xml:space="preserve"> </w:t>
      </w:r>
    </w:p>
    <w:p w14:paraId="4EE50446" w14:textId="730B8C58" w:rsidR="00062135" w:rsidRPr="001731F5" w:rsidRDefault="006B57A3" w:rsidP="00062135">
      <w:pPr>
        <w:numPr>
          <w:ilvl w:val="0"/>
          <w:numId w:val="5"/>
        </w:numPr>
        <w:spacing w:before="120" w:after="120"/>
        <w:ind w:left="0" w:right="9" w:firstLine="0"/>
        <w:jc w:val="both"/>
        <w:rPr>
          <w:rFonts w:ascii="Verdana" w:hAnsi="Verdana"/>
          <w:sz w:val="20"/>
        </w:rPr>
      </w:pPr>
      <w:r w:rsidRPr="001731F5">
        <w:rPr>
          <w:rFonts w:ascii="Verdana" w:hAnsi="Verdana"/>
          <w:sz w:val="20"/>
        </w:rPr>
        <w:t xml:space="preserve">De conformidad </w:t>
      </w:r>
      <w:r w:rsidR="00062135" w:rsidRPr="001731F5">
        <w:rPr>
          <w:rFonts w:ascii="Verdana" w:hAnsi="Verdana"/>
          <w:sz w:val="20"/>
        </w:rPr>
        <w:t xml:space="preserve">con </w:t>
      </w:r>
      <w:r w:rsidR="00062135" w:rsidRPr="001731F5">
        <w:rPr>
          <w:rFonts w:ascii="Verdana" w:hAnsi="Verdana"/>
          <w:sz w:val="20"/>
          <w:lang w:val="es-ES"/>
        </w:rPr>
        <w:t>lo establecido en el artículo</w:t>
      </w:r>
      <w:r w:rsidR="00062135" w:rsidRPr="001731F5">
        <w:rPr>
          <w:rFonts w:ascii="Verdana" w:hAnsi="Verdana"/>
          <w:sz w:val="20"/>
        </w:rPr>
        <w:t xml:space="preserve"> </w:t>
      </w:r>
      <w:r w:rsidR="00062135" w:rsidRPr="001731F5">
        <w:rPr>
          <w:rFonts w:ascii="Verdana" w:hAnsi="Verdana"/>
          <w:sz w:val="20"/>
          <w:lang w:val="es-CO"/>
        </w:rPr>
        <w:t>68.1 de la Convención Americana</w:t>
      </w:r>
      <w:r w:rsidR="000E3500">
        <w:rPr>
          <w:rFonts w:ascii="Verdana" w:hAnsi="Verdana"/>
          <w:sz w:val="20"/>
          <w:lang w:val="es-CO"/>
        </w:rPr>
        <w:t xml:space="preserve"> sobre Derechos Humanos</w:t>
      </w:r>
      <w:r w:rsidR="00062135" w:rsidRPr="001731F5">
        <w:rPr>
          <w:rFonts w:ascii="Verdana" w:hAnsi="Verdana"/>
          <w:sz w:val="20"/>
          <w:lang w:val="es-CO"/>
        </w:rPr>
        <w:t xml:space="preserve">, “[l]os Estados Partes en la Convención se comprometen a cumplir la decisión de la </w:t>
      </w:r>
      <w:r w:rsidR="00062135" w:rsidRPr="001731F5">
        <w:rPr>
          <w:rFonts w:ascii="Verdana" w:hAnsi="Verdana"/>
          <w:sz w:val="20"/>
          <w:lang w:val="es-MX"/>
        </w:rPr>
        <w:t>Corte en todo caso en que sean parte</w:t>
      </w:r>
      <w:r w:rsidR="00062135" w:rsidRPr="001731F5">
        <w:rPr>
          <w:rFonts w:ascii="Verdana" w:hAnsi="Verdana"/>
          <w:i/>
          <w:sz w:val="20"/>
          <w:lang w:val="es-MX"/>
        </w:rPr>
        <w:t>s”</w:t>
      </w:r>
      <w:r w:rsidR="00062135" w:rsidRPr="001731F5">
        <w:rPr>
          <w:rFonts w:ascii="Verdana" w:hAnsi="Verdana" w:cs="Verdana"/>
          <w:i/>
          <w:sz w:val="20"/>
          <w:lang w:val="es-MX"/>
        </w:rPr>
        <w:t>.</w:t>
      </w:r>
      <w:r w:rsidR="00062135" w:rsidRPr="001731F5">
        <w:rPr>
          <w:rFonts w:ascii="Verdana" w:hAnsi="Verdana" w:cs="Verdana"/>
          <w:sz w:val="20"/>
          <w:lang w:val="es-MX"/>
        </w:rPr>
        <w:t xml:space="preserve"> </w:t>
      </w:r>
      <w:r w:rsidR="00062135" w:rsidRPr="001731F5">
        <w:rPr>
          <w:rFonts w:ascii="Verdana" w:hAnsi="Verdana"/>
          <w:sz w:val="20"/>
          <w:lang w:val="es-MX"/>
        </w:rPr>
        <w:t xml:space="preserve">Esta obligación incluye el deber del Estado de informar a la Corte sobre las medidas </w:t>
      </w:r>
      <w:proofErr w:type="spellStart"/>
      <w:r w:rsidR="00062135" w:rsidRPr="001731F5">
        <w:rPr>
          <w:rFonts w:ascii="Verdana" w:hAnsi="Verdana"/>
          <w:sz w:val="20"/>
          <w:lang w:val="es-MX"/>
        </w:rPr>
        <w:t>ado</w:t>
      </w:r>
      <w:r w:rsidR="00062135" w:rsidRPr="001731F5">
        <w:rPr>
          <w:rFonts w:ascii="Verdana" w:hAnsi="Verdana"/>
          <w:sz w:val="20"/>
        </w:rPr>
        <w:t>ptadas</w:t>
      </w:r>
      <w:proofErr w:type="spellEnd"/>
      <w:r w:rsidR="00062135" w:rsidRPr="001731F5">
        <w:rPr>
          <w:rFonts w:ascii="Verdana" w:hAnsi="Verdana"/>
          <w:sz w:val="20"/>
        </w:rPr>
        <w:t xml:space="preserve"> para cumplir cada uno de los puntos ordenados por ésta, lo cual es funda</w:t>
      </w:r>
      <w:r w:rsidR="00062135" w:rsidRPr="001731F5">
        <w:rPr>
          <w:rFonts w:ascii="Verdana" w:hAnsi="Verdana"/>
          <w:sz w:val="20"/>
          <w:lang w:val="es-MX"/>
        </w:rPr>
        <w:t xml:space="preserve">mental para </w:t>
      </w:r>
      <w:proofErr w:type="spellStart"/>
      <w:r w:rsidR="00062135" w:rsidRPr="001731F5">
        <w:rPr>
          <w:rFonts w:ascii="Verdana" w:hAnsi="Verdana"/>
          <w:sz w:val="20"/>
          <w:lang w:val="es-MX"/>
        </w:rPr>
        <w:t>evalua</w:t>
      </w:r>
      <w:proofErr w:type="spellEnd"/>
      <w:r w:rsidR="00062135" w:rsidRPr="001731F5">
        <w:rPr>
          <w:rFonts w:ascii="Verdana" w:hAnsi="Verdana"/>
          <w:sz w:val="20"/>
        </w:rPr>
        <w:t>r el estado de cumplimiento de la Sentencia en su conjunto</w:t>
      </w:r>
      <w:bookmarkStart w:id="2" w:name="_Ref26951129"/>
      <w:r w:rsidR="00062135" w:rsidRPr="001731F5">
        <w:rPr>
          <w:rStyle w:val="Refdenotaalpie"/>
          <w:rFonts w:ascii="Verdana" w:hAnsi="Verdana"/>
          <w:sz w:val="20"/>
        </w:rPr>
        <w:footnoteReference w:id="6"/>
      </w:r>
      <w:bookmarkEnd w:id="2"/>
      <w:r w:rsidR="00062135" w:rsidRPr="001731F5">
        <w:rPr>
          <w:rFonts w:ascii="Verdana" w:hAnsi="Verdana"/>
          <w:sz w:val="20"/>
        </w:rPr>
        <w:t xml:space="preserve">. </w:t>
      </w:r>
      <w:r w:rsidR="00062135" w:rsidRPr="001731F5">
        <w:rPr>
          <w:rFonts w:ascii="Verdana" w:hAnsi="Verdana" w:cs="Verdana"/>
          <w:sz w:val="20"/>
          <w:lang w:val="es-ES"/>
        </w:rPr>
        <w:t>Los Estados Parte en la Convención deben garantizar el cumplimiento de las disposiciones convencionales y sus efectos propios (</w:t>
      </w:r>
      <w:proofErr w:type="spellStart"/>
      <w:r w:rsidR="00062135" w:rsidRPr="001731F5">
        <w:rPr>
          <w:rFonts w:ascii="Verdana" w:hAnsi="Verdana" w:cs="Verdana-Italic"/>
          <w:i/>
          <w:iCs/>
          <w:sz w:val="20"/>
          <w:lang w:val="es-ES"/>
        </w:rPr>
        <w:t>effet</w:t>
      </w:r>
      <w:proofErr w:type="spellEnd"/>
      <w:r w:rsidR="00062135" w:rsidRPr="001731F5">
        <w:rPr>
          <w:rFonts w:ascii="Verdana" w:hAnsi="Verdana" w:cs="Verdana-Italic"/>
          <w:i/>
          <w:iCs/>
          <w:sz w:val="20"/>
          <w:lang w:val="es-ES"/>
        </w:rPr>
        <w:t xml:space="preserve"> </w:t>
      </w:r>
      <w:proofErr w:type="spellStart"/>
      <w:r w:rsidR="00062135" w:rsidRPr="001731F5">
        <w:rPr>
          <w:rFonts w:ascii="Verdana" w:hAnsi="Verdana" w:cs="Verdana-Italic"/>
          <w:i/>
          <w:iCs/>
          <w:sz w:val="20"/>
          <w:lang w:val="es-ES"/>
        </w:rPr>
        <w:t>utile</w:t>
      </w:r>
      <w:proofErr w:type="spellEnd"/>
      <w:r w:rsidR="00062135" w:rsidRPr="001731F5">
        <w:rPr>
          <w:rFonts w:ascii="Verdana" w:hAnsi="Verdana" w:cs="Verdana"/>
          <w:sz w:val="20"/>
          <w:lang w:val="es-ES"/>
        </w:rPr>
        <w:t>) en el plano de sus respectivos derechos internos. Estas obligaciones deben ser interpretadas y aplicadas de manera que la garantía protegida sea verdaderamente práctica y eficaz, teniendo presente la naturaleza especial de los tratados de derechos humanos</w:t>
      </w:r>
      <w:r w:rsidR="00062135" w:rsidRPr="001731F5">
        <w:rPr>
          <w:rStyle w:val="Refdenotaalpie"/>
          <w:rFonts w:ascii="Verdana" w:hAnsi="Verdana" w:cs="Verdana"/>
          <w:sz w:val="20"/>
        </w:rPr>
        <w:footnoteReference w:id="7"/>
      </w:r>
      <w:r w:rsidR="00062135" w:rsidRPr="001731F5">
        <w:rPr>
          <w:rFonts w:ascii="Verdana" w:hAnsi="Verdana" w:cs="Verdana"/>
          <w:sz w:val="20"/>
          <w:lang w:val="es-ES"/>
        </w:rPr>
        <w:t>.</w:t>
      </w:r>
    </w:p>
    <w:p w14:paraId="42E1D084" w14:textId="2A460F4A" w:rsidR="009D3DFE" w:rsidRPr="001731F5" w:rsidRDefault="00A521AF" w:rsidP="00A521AF">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La Corte observa que durante la etapa de supervisión de cumplimiento</w:t>
      </w:r>
      <w:r w:rsidR="008D496C">
        <w:rPr>
          <w:rFonts w:ascii="Verdana" w:hAnsi="Verdana"/>
          <w:sz w:val="20"/>
          <w:lang w:val="es-CR"/>
        </w:rPr>
        <w:t xml:space="preserve"> de la Sentencia</w:t>
      </w:r>
      <w:r w:rsidRPr="001731F5">
        <w:rPr>
          <w:rFonts w:ascii="Verdana" w:hAnsi="Verdana"/>
          <w:sz w:val="20"/>
          <w:lang w:val="es-CR"/>
        </w:rPr>
        <w:t xml:space="preserve"> las partes han remitido información sobre la implementación de algunas de las medidas contenidas en el “Acuerdo de reparaciones” que fue suscrito entre el Estado y los representantes de las víctimas en mayo de 2013. Al respecto, se recuerda que en la etapa de fondo, la Corte constató que</w:t>
      </w:r>
      <w:r w:rsidR="00CB4C8B" w:rsidRPr="001731F5">
        <w:rPr>
          <w:rFonts w:ascii="Verdana" w:hAnsi="Verdana"/>
          <w:sz w:val="20"/>
          <w:lang w:val="es-CR"/>
        </w:rPr>
        <w:t>,</w:t>
      </w:r>
      <w:r w:rsidRPr="001731F5">
        <w:rPr>
          <w:rFonts w:ascii="Verdana" w:hAnsi="Verdana"/>
          <w:sz w:val="20"/>
          <w:lang w:val="es-CR"/>
        </w:rPr>
        <w:t xml:space="preserve"> a pesar de la realización del referido acuerdo, subsistía la controversia en relación con algunas de las medidas de reparación solicitadas y el alcance de las mismas. Consecuentemente, el Tribunal resolvió dichas controversias en el capítulo correspondiente de la Sentencia, tomando en cuenta el acuerdo alcanzado por las partes, decidiendo cuáles medidas de reparación serían ordenadas al Estado y objeto de supervisión de cumplimiento por parte de la Corte</w:t>
      </w:r>
      <w:r w:rsidRPr="001731F5">
        <w:rPr>
          <w:rStyle w:val="Refdenotaalpie"/>
          <w:rFonts w:ascii="Verdana" w:hAnsi="Verdana"/>
          <w:sz w:val="20"/>
          <w:lang w:val="es-CR"/>
        </w:rPr>
        <w:footnoteReference w:id="8"/>
      </w:r>
      <w:r w:rsidRPr="001731F5">
        <w:rPr>
          <w:rFonts w:ascii="Verdana" w:hAnsi="Verdana"/>
          <w:sz w:val="20"/>
          <w:lang w:val="es-CR"/>
        </w:rPr>
        <w:t xml:space="preserve">. En concordancia con lo establecido en la Sentencia, se reitera que en la etapa de supervisión de cumplimiento </w:t>
      </w:r>
      <w:r w:rsidRPr="001731F5">
        <w:rPr>
          <w:rFonts w:ascii="Verdana" w:hAnsi="Verdana"/>
          <w:sz w:val="20"/>
          <w:lang w:val="es-CR"/>
        </w:rPr>
        <w:lastRenderedPageBreak/>
        <w:t xml:space="preserve">del presente caso </w:t>
      </w:r>
      <w:r w:rsidR="009D3DFE" w:rsidRPr="001731F5">
        <w:rPr>
          <w:rFonts w:ascii="Verdana" w:hAnsi="Verdana"/>
          <w:sz w:val="20"/>
          <w:lang w:val="es-CR"/>
        </w:rPr>
        <w:t xml:space="preserve">la Corte valorará únicamente la información presentada por las partes respecto a las siete medidas de reparación ordenadas </w:t>
      </w:r>
      <w:r w:rsidR="00B81401" w:rsidRPr="001731F5">
        <w:rPr>
          <w:rFonts w:ascii="Verdana" w:hAnsi="Verdana"/>
          <w:sz w:val="20"/>
          <w:lang w:val="es-CR"/>
        </w:rPr>
        <w:t xml:space="preserve">en el Capítulo </w:t>
      </w:r>
      <w:r w:rsidRPr="001731F5">
        <w:rPr>
          <w:rFonts w:ascii="Verdana" w:hAnsi="Verdana"/>
          <w:sz w:val="20"/>
          <w:lang w:val="es-CR"/>
        </w:rPr>
        <w:t xml:space="preserve">IX </w:t>
      </w:r>
      <w:r w:rsidR="00B81401" w:rsidRPr="001731F5">
        <w:rPr>
          <w:rFonts w:ascii="Verdana" w:hAnsi="Verdana"/>
          <w:sz w:val="20"/>
          <w:lang w:val="es-CR"/>
        </w:rPr>
        <w:t xml:space="preserve">y los puntos resolutivos </w:t>
      </w:r>
      <w:r w:rsidRPr="001731F5">
        <w:rPr>
          <w:rFonts w:ascii="Verdana" w:hAnsi="Verdana"/>
          <w:sz w:val="20"/>
          <w:lang w:val="es-CR"/>
        </w:rPr>
        <w:t xml:space="preserve">6 a 11 </w:t>
      </w:r>
      <w:r w:rsidR="00B81401" w:rsidRPr="001731F5">
        <w:rPr>
          <w:rFonts w:ascii="Verdana" w:hAnsi="Verdana"/>
          <w:sz w:val="20"/>
          <w:lang w:val="es-CR"/>
        </w:rPr>
        <w:t>de la Sentencia</w:t>
      </w:r>
      <w:r w:rsidR="00341CCF" w:rsidRPr="001731F5">
        <w:rPr>
          <w:rFonts w:ascii="Verdana" w:hAnsi="Verdana"/>
          <w:sz w:val="20"/>
          <w:lang w:val="es-CR"/>
        </w:rPr>
        <w:t>.</w:t>
      </w:r>
      <w:r w:rsidR="009D3DFE" w:rsidRPr="001731F5">
        <w:rPr>
          <w:rFonts w:ascii="Verdana" w:hAnsi="Verdana"/>
          <w:sz w:val="20"/>
          <w:lang w:val="es-CR"/>
        </w:rPr>
        <w:t xml:space="preserve"> </w:t>
      </w:r>
    </w:p>
    <w:p w14:paraId="6C091EAF" w14:textId="5CC563CC" w:rsidR="00341CCF" w:rsidRPr="001731F5" w:rsidRDefault="00A521AF" w:rsidP="00341CCF">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No obstante lo anterior, </w:t>
      </w:r>
      <w:r w:rsidR="00341CCF" w:rsidRPr="001731F5">
        <w:rPr>
          <w:rFonts w:ascii="Verdana" w:hAnsi="Verdana"/>
          <w:sz w:val="20"/>
        </w:rPr>
        <w:t xml:space="preserve">tomando en cuenta el reconocimiento de responsabilidad internacional realizado y </w:t>
      </w:r>
      <w:r w:rsidR="000E3500">
        <w:rPr>
          <w:rFonts w:ascii="Verdana" w:hAnsi="Verdana"/>
          <w:sz w:val="20"/>
        </w:rPr>
        <w:t xml:space="preserve">el </w:t>
      </w:r>
      <w:r w:rsidR="00341CCF" w:rsidRPr="001731F5">
        <w:rPr>
          <w:rFonts w:ascii="Verdana" w:hAnsi="Verdana"/>
          <w:sz w:val="20"/>
        </w:rPr>
        <w:t>compromiso asumido en el referido acuerdo</w:t>
      </w:r>
      <w:r w:rsidR="008D496C">
        <w:rPr>
          <w:rFonts w:ascii="Verdana" w:hAnsi="Verdana"/>
          <w:sz w:val="20"/>
        </w:rPr>
        <w:t xml:space="preserve"> (</w:t>
      </w:r>
      <w:r w:rsidR="008D496C" w:rsidRPr="00807D5C">
        <w:rPr>
          <w:rFonts w:ascii="Verdana" w:hAnsi="Verdana"/>
          <w:i/>
          <w:sz w:val="20"/>
        </w:rPr>
        <w:t xml:space="preserve">supra </w:t>
      </w:r>
      <w:r w:rsidR="008D496C">
        <w:rPr>
          <w:rFonts w:ascii="Verdana" w:hAnsi="Verdana"/>
          <w:sz w:val="20"/>
        </w:rPr>
        <w:t>Visto 1 y Considerando 3)</w:t>
      </w:r>
      <w:r w:rsidR="00341CCF" w:rsidRPr="001731F5">
        <w:rPr>
          <w:rFonts w:ascii="Verdana" w:hAnsi="Verdana"/>
          <w:sz w:val="20"/>
        </w:rPr>
        <w:t>, se insta a</w:t>
      </w:r>
      <w:r w:rsidR="00007F9F" w:rsidRPr="001731F5">
        <w:rPr>
          <w:rFonts w:ascii="Verdana" w:hAnsi="Verdana"/>
          <w:sz w:val="20"/>
        </w:rPr>
        <w:t>l</w:t>
      </w:r>
      <w:r w:rsidR="00341CCF" w:rsidRPr="001731F5">
        <w:rPr>
          <w:rFonts w:ascii="Verdana" w:hAnsi="Verdana"/>
          <w:sz w:val="20"/>
        </w:rPr>
        <w:t xml:space="preserve"> Estado a que continúe coordinando con las víctimas y/o sus representantes las acciones que sean necesarias para cumplir con las medidas pactadas </w:t>
      </w:r>
      <w:r w:rsidR="00007F9F" w:rsidRPr="001731F5">
        <w:rPr>
          <w:rFonts w:ascii="Verdana" w:hAnsi="Verdana"/>
          <w:sz w:val="20"/>
        </w:rPr>
        <w:t xml:space="preserve">en el acuerdo </w:t>
      </w:r>
      <w:r w:rsidR="00341CCF" w:rsidRPr="001731F5">
        <w:rPr>
          <w:rFonts w:ascii="Verdana" w:hAnsi="Verdana"/>
          <w:sz w:val="20"/>
        </w:rPr>
        <w:t>que no son objeto de supervisión de cumplimiento por parte de este Tribunal</w:t>
      </w:r>
      <w:r w:rsidR="00341CCF" w:rsidRPr="001731F5">
        <w:rPr>
          <w:rStyle w:val="Refdenotaalpie"/>
          <w:rFonts w:ascii="Verdana" w:hAnsi="Verdana"/>
          <w:sz w:val="20"/>
        </w:rPr>
        <w:footnoteReference w:id="9"/>
      </w:r>
      <w:r w:rsidR="00341CCF" w:rsidRPr="001731F5">
        <w:rPr>
          <w:rFonts w:ascii="Verdana" w:hAnsi="Verdana"/>
          <w:sz w:val="20"/>
        </w:rPr>
        <w:t xml:space="preserve">. </w:t>
      </w:r>
    </w:p>
    <w:p w14:paraId="34EB0B66" w14:textId="1B9261C1" w:rsidR="009D3DFE" w:rsidRPr="001731F5" w:rsidRDefault="00007F9F" w:rsidP="00AB0850">
      <w:pPr>
        <w:numPr>
          <w:ilvl w:val="0"/>
          <w:numId w:val="5"/>
        </w:numPr>
        <w:spacing w:before="120" w:after="120"/>
        <w:ind w:left="0" w:firstLine="0"/>
        <w:jc w:val="both"/>
        <w:rPr>
          <w:rFonts w:ascii="Verdana" w:hAnsi="Verdana"/>
          <w:sz w:val="20"/>
          <w:lang w:val="es-CR"/>
        </w:rPr>
      </w:pPr>
      <w:r w:rsidRPr="001731F5">
        <w:rPr>
          <w:rFonts w:ascii="Verdana" w:hAnsi="Verdana"/>
          <w:sz w:val="20"/>
        </w:rPr>
        <w:t xml:space="preserve">Seguidamente, la Corte valorará la información presentada por las partes respecto de las </w:t>
      </w:r>
      <w:r w:rsidR="008D496C">
        <w:rPr>
          <w:rFonts w:ascii="Verdana" w:hAnsi="Verdana"/>
          <w:sz w:val="20"/>
        </w:rPr>
        <w:t xml:space="preserve">siete </w:t>
      </w:r>
      <w:r w:rsidRPr="001731F5">
        <w:rPr>
          <w:rFonts w:ascii="Verdana" w:hAnsi="Verdana"/>
          <w:sz w:val="20"/>
        </w:rPr>
        <w:t xml:space="preserve">medidas de reparación ordenadas en este caso y determinará el grado de cumplimiento por parte del Estado. </w:t>
      </w:r>
      <w:r w:rsidR="009D3DFE" w:rsidRPr="001731F5">
        <w:rPr>
          <w:rFonts w:ascii="Verdana" w:hAnsi="Verdana"/>
          <w:sz w:val="20"/>
          <w:lang w:val="es-CR"/>
        </w:rPr>
        <w:t>La Corte estructurará sus consid</w:t>
      </w:r>
      <w:r w:rsidRPr="001731F5">
        <w:rPr>
          <w:rFonts w:ascii="Verdana" w:hAnsi="Verdana"/>
          <w:sz w:val="20"/>
          <w:lang w:val="es-CR"/>
        </w:rPr>
        <w:t>eraciones en el siguiente orden:</w:t>
      </w:r>
      <w:r w:rsidR="009D3DFE" w:rsidRPr="001731F5">
        <w:rPr>
          <w:rFonts w:ascii="Verdana" w:hAnsi="Verdana"/>
          <w:sz w:val="20"/>
          <w:lang w:val="es-CR"/>
        </w:rPr>
        <w:t xml:space="preserve"> </w:t>
      </w:r>
    </w:p>
    <w:p w14:paraId="38210A38" w14:textId="6944CD30" w:rsidR="005435C1" w:rsidRPr="00807D5C" w:rsidRDefault="005435C1" w:rsidP="00807D5C">
      <w:pPr>
        <w:pStyle w:val="TDC1"/>
        <w:rPr>
          <w:rFonts w:eastAsiaTheme="minorEastAsia" w:cstheme="minorBidi"/>
          <w:b w:val="0"/>
          <w:noProof/>
          <w:lang w:val="es-CR" w:eastAsia="es-CR"/>
        </w:rPr>
      </w:pPr>
      <w:r w:rsidRPr="001731F5">
        <w:rPr>
          <w:lang w:val="es-CR"/>
        </w:rPr>
        <w:fldChar w:fldCharType="begin"/>
      </w:r>
      <w:r w:rsidRPr="001731F5">
        <w:rPr>
          <w:lang w:val="es-CR"/>
        </w:rPr>
        <w:instrText xml:space="preserve"> TOC \o "1-1" \h \z \u </w:instrText>
      </w:r>
      <w:r w:rsidRPr="001731F5">
        <w:rPr>
          <w:lang w:val="es-CR"/>
        </w:rPr>
        <w:fldChar w:fldCharType="separate"/>
      </w:r>
      <w:hyperlink w:anchor="_Toc17466465" w:history="1">
        <w:r w:rsidRPr="00807D5C">
          <w:rPr>
            <w:rStyle w:val="Hipervnculo"/>
            <w:rFonts w:ascii="Verdana" w:hAnsi="Verdana"/>
            <w:b w:val="0"/>
            <w:i/>
            <w:noProof/>
            <w:sz w:val="18"/>
            <w:szCs w:val="18"/>
            <w:lang w:val="es-MX"/>
          </w:rPr>
          <w:t>A. Identificar, juzgar y, en su caso, sancionar a los responsables de la ejecución del señor Jorge Omar Gutiérrez</w:t>
        </w:r>
        <w:r w:rsidRPr="00807D5C">
          <w:rPr>
            <w:b w:val="0"/>
            <w:noProof/>
            <w:webHidden/>
          </w:rPr>
          <w:tab/>
        </w:r>
        <w:r w:rsidRPr="00807D5C">
          <w:rPr>
            <w:b w:val="0"/>
            <w:noProof/>
            <w:webHidden/>
          </w:rPr>
          <w:fldChar w:fldCharType="begin"/>
        </w:r>
        <w:r w:rsidRPr="00807D5C">
          <w:rPr>
            <w:b w:val="0"/>
            <w:noProof/>
            <w:webHidden/>
          </w:rPr>
          <w:instrText xml:space="preserve"> PAGEREF _Toc17466465 \h </w:instrText>
        </w:r>
        <w:r w:rsidRPr="00807D5C">
          <w:rPr>
            <w:b w:val="0"/>
            <w:noProof/>
            <w:webHidden/>
          </w:rPr>
        </w:r>
        <w:r w:rsidRPr="00807D5C">
          <w:rPr>
            <w:b w:val="0"/>
            <w:noProof/>
            <w:webHidden/>
          </w:rPr>
          <w:fldChar w:fldCharType="separate"/>
        </w:r>
        <w:r w:rsidR="00756751">
          <w:rPr>
            <w:b w:val="0"/>
            <w:noProof/>
            <w:webHidden/>
          </w:rPr>
          <w:t>3</w:t>
        </w:r>
        <w:r w:rsidRPr="00807D5C">
          <w:rPr>
            <w:b w:val="0"/>
            <w:noProof/>
            <w:webHidden/>
          </w:rPr>
          <w:fldChar w:fldCharType="end"/>
        </w:r>
      </w:hyperlink>
    </w:p>
    <w:p w14:paraId="6691C8BA" w14:textId="5233F462" w:rsidR="005435C1" w:rsidRPr="00807D5C" w:rsidRDefault="005027BD" w:rsidP="00807D5C">
      <w:pPr>
        <w:pStyle w:val="TDC1"/>
        <w:rPr>
          <w:rFonts w:eastAsiaTheme="minorEastAsia" w:cstheme="minorBidi"/>
          <w:b w:val="0"/>
          <w:noProof/>
          <w:lang w:val="es-CR" w:eastAsia="es-CR"/>
        </w:rPr>
      </w:pPr>
      <w:hyperlink w:anchor="_Toc17466466" w:history="1">
        <w:r w:rsidR="005435C1" w:rsidRPr="00807D5C">
          <w:rPr>
            <w:rStyle w:val="Hipervnculo"/>
            <w:rFonts w:ascii="Verdana" w:hAnsi="Verdana"/>
            <w:b w:val="0"/>
            <w:i/>
            <w:noProof/>
            <w:sz w:val="18"/>
            <w:szCs w:val="18"/>
            <w:lang w:val="es-MX"/>
          </w:rPr>
          <w:t>B. Acto público de reconocimiento de responsabilidad internacional</w:t>
        </w:r>
        <w:r w:rsidR="005435C1" w:rsidRPr="00807D5C">
          <w:rPr>
            <w:b w:val="0"/>
            <w:noProof/>
            <w:webHidden/>
          </w:rPr>
          <w:tab/>
        </w:r>
        <w:r w:rsidR="005435C1" w:rsidRPr="00807D5C">
          <w:rPr>
            <w:b w:val="0"/>
            <w:noProof/>
            <w:webHidden/>
          </w:rPr>
          <w:fldChar w:fldCharType="begin"/>
        </w:r>
        <w:r w:rsidR="005435C1" w:rsidRPr="00807D5C">
          <w:rPr>
            <w:b w:val="0"/>
            <w:noProof/>
            <w:webHidden/>
          </w:rPr>
          <w:instrText xml:space="preserve"> PAGEREF _Toc17466466 \h </w:instrText>
        </w:r>
        <w:r w:rsidR="005435C1" w:rsidRPr="00807D5C">
          <w:rPr>
            <w:b w:val="0"/>
            <w:noProof/>
            <w:webHidden/>
          </w:rPr>
        </w:r>
        <w:r w:rsidR="005435C1" w:rsidRPr="00807D5C">
          <w:rPr>
            <w:b w:val="0"/>
            <w:noProof/>
            <w:webHidden/>
          </w:rPr>
          <w:fldChar w:fldCharType="separate"/>
        </w:r>
        <w:r w:rsidR="00756751">
          <w:rPr>
            <w:b w:val="0"/>
            <w:noProof/>
            <w:webHidden/>
          </w:rPr>
          <w:t>9</w:t>
        </w:r>
        <w:r w:rsidR="005435C1" w:rsidRPr="00807D5C">
          <w:rPr>
            <w:b w:val="0"/>
            <w:noProof/>
            <w:webHidden/>
          </w:rPr>
          <w:fldChar w:fldCharType="end"/>
        </w:r>
      </w:hyperlink>
    </w:p>
    <w:p w14:paraId="01CE853B" w14:textId="7F235A09" w:rsidR="005435C1" w:rsidRPr="00807D5C" w:rsidRDefault="005027BD" w:rsidP="00807D5C">
      <w:pPr>
        <w:pStyle w:val="TDC1"/>
        <w:rPr>
          <w:rFonts w:eastAsiaTheme="minorEastAsia" w:cstheme="minorBidi"/>
          <w:b w:val="0"/>
          <w:noProof/>
          <w:lang w:val="es-CR" w:eastAsia="es-CR"/>
        </w:rPr>
      </w:pPr>
      <w:hyperlink w:anchor="_Toc17466467" w:history="1">
        <w:r w:rsidR="005435C1" w:rsidRPr="00807D5C">
          <w:rPr>
            <w:rStyle w:val="Hipervnculo"/>
            <w:rFonts w:ascii="Verdana" w:hAnsi="Verdana"/>
            <w:b w:val="0"/>
            <w:i/>
            <w:noProof/>
            <w:sz w:val="18"/>
            <w:szCs w:val="18"/>
            <w:lang w:val="es-MX"/>
          </w:rPr>
          <w:t>C. Publicación y difusión de la Sentencia</w:t>
        </w:r>
        <w:r w:rsidR="005435C1" w:rsidRPr="00807D5C">
          <w:rPr>
            <w:b w:val="0"/>
            <w:noProof/>
            <w:webHidden/>
          </w:rPr>
          <w:tab/>
        </w:r>
        <w:r w:rsidR="005435C1" w:rsidRPr="00807D5C">
          <w:rPr>
            <w:b w:val="0"/>
            <w:noProof/>
            <w:webHidden/>
          </w:rPr>
          <w:fldChar w:fldCharType="begin"/>
        </w:r>
        <w:r w:rsidR="005435C1" w:rsidRPr="00807D5C">
          <w:rPr>
            <w:b w:val="0"/>
            <w:noProof/>
            <w:webHidden/>
          </w:rPr>
          <w:instrText xml:space="preserve"> PAGEREF _Toc17466467 \h </w:instrText>
        </w:r>
        <w:r w:rsidR="005435C1" w:rsidRPr="00807D5C">
          <w:rPr>
            <w:b w:val="0"/>
            <w:noProof/>
            <w:webHidden/>
          </w:rPr>
        </w:r>
        <w:r w:rsidR="005435C1" w:rsidRPr="00807D5C">
          <w:rPr>
            <w:b w:val="0"/>
            <w:noProof/>
            <w:webHidden/>
          </w:rPr>
          <w:fldChar w:fldCharType="separate"/>
        </w:r>
        <w:r w:rsidR="00756751">
          <w:rPr>
            <w:b w:val="0"/>
            <w:noProof/>
            <w:webHidden/>
          </w:rPr>
          <w:t>10</w:t>
        </w:r>
        <w:r w:rsidR="005435C1" w:rsidRPr="00807D5C">
          <w:rPr>
            <w:b w:val="0"/>
            <w:noProof/>
            <w:webHidden/>
          </w:rPr>
          <w:fldChar w:fldCharType="end"/>
        </w:r>
      </w:hyperlink>
    </w:p>
    <w:p w14:paraId="6AD9CCFF" w14:textId="20D928A3" w:rsidR="005435C1" w:rsidRPr="00807D5C" w:rsidRDefault="005027BD" w:rsidP="00807D5C">
      <w:pPr>
        <w:pStyle w:val="TDC1"/>
        <w:rPr>
          <w:rFonts w:eastAsiaTheme="minorEastAsia" w:cstheme="minorBidi"/>
          <w:b w:val="0"/>
          <w:noProof/>
          <w:lang w:val="es-CR" w:eastAsia="es-CR"/>
        </w:rPr>
      </w:pPr>
      <w:hyperlink w:anchor="_Toc17466468" w:history="1">
        <w:r w:rsidR="005435C1" w:rsidRPr="00807D5C">
          <w:rPr>
            <w:rStyle w:val="Hipervnculo"/>
            <w:rFonts w:ascii="Verdana" w:hAnsi="Verdana"/>
            <w:b w:val="0"/>
            <w:i/>
            <w:noProof/>
            <w:sz w:val="18"/>
            <w:szCs w:val="18"/>
            <w:lang w:val="es-MX"/>
          </w:rPr>
          <w:t>D. Conservación y señalización del galpón y la comisaría donde ocurrieron los hechos que originaron este caso</w:t>
        </w:r>
        <w:r w:rsidR="005435C1" w:rsidRPr="00807D5C">
          <w:rPr>
            <w:b w:val="0"/>
            <w:noProof/>
            <w:webHidden/>
          </w:rPr>
          <w:tab/>
        </w:r>
        <w:r w:rsidR="005435C1" w:rsidRPr="00807D5C">
          <w:rPr>
            <w:b w:val="0"/>
            <w:noProof/>
            <w:webHidden/>
          </w:rPr>
          <w:fldChar w:fldCharType="begin"/>
        </w:r>
        <w:r w:rsidR="005435C1" w:rsidRPr="00807D5C">
          <w:rPr>
            <w:b w:val="0"/>
            <w:noProof/>
            <w:webHidden/>
          </w:rPr>
          <w:instrText xml:space="preserve"> PAGEREF _Toc17466468 \h </w:instrText>
        </w:r>
        <w:r w:rsidR="005435C1" w:rsidRPr="00807D5C">
          <w:rPr>
            <w:b w:val="0"/>
            <w:noProof/>
            <w:webHidden/>
          </w:rPr>
        </w:r>
        <w:r w:rsidR="005435C1" w:rsidRPr="00807D5C">
          <w:rPr>
            <w:b w:val="0"/>
            <w:noProof/>
            <w:webHidden/>
          </w:rPr>
          <w:fldChar w:fldCharType="separate"/>
        </w:r>
        <w:r w:rsidR="00756751">
          <w:rPr>
            <w:b w:val="0"/>
            <w:noProof/>
            <w:webHidden/>
          </w:rPr>
          <w:t>11</w:t>
        </w:r>
        <w:r w:rsidR="005435C1" w:rsidRPr="00807D5C">
          <w:rPr>
            <w:b w:val="0"/>
            <w:noProof/>
            <w:webHidden/>
          </w:rPr>
          <w:fldChar w:fldCharType="end"/>
        </w:r>
      </w:hyperlink>
    </w:p>
    <w:p w14:paraId="409A450E" w14:textId="7254DE79" w:rsidR="005435C1" w:rsidRPr="00807D5C" w:rsidRDefault="005027BD" w:rsidP="00807D5C">
      <w:pPr>
        <w:pStyle w:val="TDC1"/>
        <w:rPr>
          <w:rFonts w:eastAsiaTheme="minorEastAsia" w:cstheme="minorBidi"/>
          <w:b w:val="0"/>
          <w:noProof/>
          <w:lang w:val="es-CR" w:eastAsia="es-CR"/>
        </w:rPr>
      </w:pPr>
      <w:hyperlink w:anchor="_Toc17466469" w:history="1">
        <w:r w:rsidR="005435C1" w:rsidRPr="00807D5C">
          <w:rPr>
            <w:rStyle w:val="Hipervnculo"/>
            <w:rFonts w:ascii="Verdana" w:hAnsi="Verdana"/>
            <w:b w:val="0"/>
            <w:i/>
            <w:noProof/>
            <w:sz w:val="18"/>
            <w:szCs w:val="18"/>
            <w:lang w:val="es-MX"/>
          </w:rPr>
          <w:t>E. Capacitación en derechos humanos para la Policía Federal Argentina, la Policía de la Provincia de Buenos Aires y la Policía Judicial de dicha Provincia</w:t>
        </w:r>
        <w:r w:rsidR="005435C1" w:rsidRPr="00807D5C">
          <w:rPr>
            <w:b w:val="0"/>
            <w:noProof/>
            <w:webHidden/>
          </w:rPr>
          <w:tab/>
        </w:r>
        <w:r w:rsidR="005435C1" w:rsidRPr="00807D5C">
          <w:rPr>
            <w:b w:val="0"/>
            <w:noProof/>
            <w:webHidden/>
          </w:rPr>
          <w:fldChar w:fldCharType="begin"/>
        </w:r>
        <w:r w:rsidR="005435C1" w:rsidRPr="00807D5C">
          <w:rPr>
            <w:b w:val="0"/>
            <w:noProof/>
            <w:webHidden/>
          </w:rPr>
          <w:instrText xml:space="preserve"> PAGEREF _Toc17466469 \h </w:instrText>
        </w:r>
        <w:r w:rsidR="005435C1" w:rsidRPr="00807D5C">
          <w:rPr>
            <w:b w:val="0"/>
            <w:noProof/>
            <w:webHidden/>
          </w:rPr>
        </w:r>
        <w:r w:rsidR="005435C1" w:rsidRPr="00807D5C">
          <w:rPr>
            <w:b w:val="0"/>
            <w:noProof/>
            <w:webHidden/>
          </w:rPr>
          <w:fldChar w:fldCharType="separate"/>
        </w:r>
        <w:r w:rsidR="00756751">
          <w:rPr>
            <w:b w:val="0"/>
            <w:noProof/>
            <w:webHidden/>
          </w:rPr>
          <w:t>13</w:t>
        </w:r>
        <w:r w:rsidR="005435C1" w:rsidRPr="00807D5C">
          <w:rPr>
            <w:b w:val="0"/>
            <w:noProof/>
            <w:webHidden/>
          </w:rPr>
          <w:fldChar w:fldCharType="end"/>
        </w:r>
      </w:hyperlink>
    </w:p>
    <w:p w14:paraId="79580293" w14:textId="23EAF393" w:rsidR="005435C1" w:rsidRPr="00807D5C" w:rsidRDefault="005027BD" w:rsidP="00807D5C">
      <w:pPr>
        <w:pStyle w:val="TDC1"/>
        <w:rPr>
          <w:rFonts w:eastAsiaTheme="minorEastAsia" w:cstheme="minorBidi"/>
          <w:b w:val="0"/>
          <w:noProof/>
          <w:lang w:val="es-CR" w:eastAsia="es-CR"/>
        </w:rPr>
      </w:pPr>
      <w:hyperlink w:anchor="_Toc17466470" w:history="1">
        <w:r w:rsidR="005435C1" w:rsidRPr="00807D5C">
          <w:rPr>
            <w:rStyle w:val="Hipervnculo"/>
            <w:rFonts w:ascii="Verdana" w:hAnsi="Verdana"/>
            <w:b w:val="0"/>
            <w:i/>
            <w:noProof/>
            <w:sz w:val="18"/>
            <w:szCs w:val="18"/>
            <w:lang w:val="es-MX"/>
          </w:rPr>
          <w:t>F. Indemnizaciones por daños materiales e inmateriales y reintegro de costas y gastos</w:t>
        </w:r>
        <w:r w:rsidR="005435C1" w:rsidRPr="00807D5C">
          <w:rPr>
            <w:b w:val="0"/>
            <w:noProof/>
            <w:webHidden/>
          </w:rPr>
          <w:tab/>
        </w:r>
        <w:r w:rsidR="005435C1" w:rsidRPr="00807D5C">
          <w:rPr>
            <w:b w:val="0"/>
            <w:noProof/>
            <w:webHidden/>
          </w:rPr>
          <w:fldChar w:fldCharType="begin"/>
        </w:r>
        <w:r w:rsidR="005435C1" w:rsidRPr="00807D5C">
          <w:rPr>
            <w:b w:val="0"/>
            <w:noProof/>
            <w:webHidden/>
          </w:rPr>
          <w:instrText xml:space="preserve"> PAGEREF _Toc17466470 \h </w:instrText>
        </w:r>
        <w:r w:rsidR="005435C1" w:rsidRPr="00807D5C">
          <w:rPr>
            <w:b w:val="0"/>
            <w:noProof/>
            <w:webHidden/>
          </w:rPr>
        </w:r>
        <w:r w:rsidR="005435C1" w:rsidRPr="00807D5C">
          <w:rPr>
            <w:b w:val="0"/>
            <w:noProof/>
            <w:webHidden/>
          </w:rPr>
          <w:fldChar w:fldCharType="separate"/>
        </w:r>
        <w:r w:rsidR="00756751">
          <w:rPr>
            <w:b w:val="0"/>
            <w:noProof/>
            <w:webHidden/>
          </w:rPr>
          <w:t>15</w:t>
        </w:r>
        <w:r w:rsidR="005435C1" w:rsidRPr="00807D5C">
          <w:rPr>
            <w:b w:val="0"/>
            <w:noProof/>
            <w:webHidden/>
          </w:rPr>
          <w:fldChar w:fldCharType="end"/>
        </w:r>
      </w:hyperlink>
    </w:p>
    <w:p w14:paraId="4067AF19" w14:textId="77777777" w:rsidR="005435C1" w:rsidRPr="001731F5" w:rsidRDefault="005435C1" w:rsidP="005435C1">
      <w:pPr>
        <w:spacing w:before="120" w:after="120"/>
        <w:ind w:left="480"/>
        <w:jc w:val="both"/>
        <w:rPr>
          <w:rFonts w:ascii="Verdana" w:hAnsi="Verdana"/>
          <w:sz w:val="20"/>
          <w:lang w:val="es-CR"/>
        </w:rPr>
      </w:pPr>
      <w:r w:rsidRPr="001731F5">
        <w:rPr>
          <w:rFonts w:ascii="Verdana" w:hAnsi="Verdana"/>
          <w:i/>
          <w:sz w:val="20"/>
          <w:lang w:val="es-CR"/>
        </w:rPr>
        <w:fldChar w:fldCharType="end"/>
      </w:r>
    </w:p>
    <w:p w14:paraId="64B528EC" w14:textId="77777777" w:rsidR="0075180F" w:rsidRPr="001731F5" w:rsidRDefault="0075180F" w:rsidP="00807D5C">
      <w:pPr>
        <w:pStyle w:val="Ttulo1"/>
        <w:keepLines/>
        <w:numPr>
          <w:ilvl w:val="0"/>
          <w:numId w:val="23"/>
        </w:numPr>
        <w:spacing w:before="120" w:after="120"/>
        <w:jc w:val="both"/>
        <w:rPr>
          <w:rFonts w:ascii="Verdana" w:hAnsi="Verdana"/>
          <w:i/>
          <w:sz w:val="20"/>
          <w:szCs w:val="20"/>
          <w:lang w:val="es-MX"/>
        </w:rPr>
      </w:pPr>
      <w:bookmarkStart w:id="3" w:name="_Toc17466465"/>
      <w:r w:rsidRPr="001731F5">
        <w:rPr>
          <w:rFonts w:ascii="Verdana" w:hAnsi="Verdana"/>
          <w:i/>
          <w:sz w:val="20"/>
          <w:szCs w:val="20"/>
          <w:lang w:val="es-MX"/>
        </w:rPr>
        <w:t>Identificar, juzgar y, en su caso, sancionar a los responsables de la ejecución del señor Jorge Omar Gutiérrez</w:t>
      </w:r>
      <w:bookmarkEnd w:id="3"/>
    </w:p>
    <w:p w14:paraId="4F94B98B" w14:textId="77777777" w:rsidR="0075180F" w:rsidRPr="001731F5" w:rsidRDefault="0075180F" w:rsidP="00807D5C">
      <w:pPr>
        <w:spacing w:before="120" w:after="120"/>
        <w:ind w:left="360" w:firstLine="360"/>
        <w:rPr>
          <w:rFonts w:ascii="Verdana" w:hAnsi="Verdana"/>
          <w:i/>
          <w:sz w:val="20"/>
          <w:lang w:val="es-MX"/>
        </w:rPr>
      </w:pPr>
      <w:r w:rsidRPr="001731F5">
        <w:rPr>
          <w:rFonts w:ascii="Verdana" w:hAnsi="Verdana"/>
          <w:i/>
          <w:sz w:val="20"/>
          <w:lang w:val="es-MX"/>
        </w:rPr>
        <w:t>A.1. Medida ordenada por la Corte</w:t>
      </w:r>
    </w:p>
    <w:p w14:paraId="179EEF1A" w14:textId="54D6AF95" w:rsidR="0075180F" w:rsidRPr="001731F5" w:rsidRDefault="00E16718" w:rsidP="00807D5C">
      <w:pPr>
        <w:numPr>
          <w:ilvl w:val="0"/>
          <w:numId w:val="5"/>
        </w:numPr>
        <w:spacing w:before="120" w:after="120"/>
        <w:ind w:left="0" w:firstLine="0"/>
        <w:jc w:val="both"/>
        <w:rPr>
          <w:rFonts w:ascii="Verdana" w:hAnsi="Verdana"/>
          <w:sz w:val="20"/>
          <w:lang w:val="es-CR"/>
        </w:rPr>
      </w:pPr>
      <w:bookmarkStart w:id="4" w:name="_Ref26951468"/>
      <w:r w:rsidRPr="001731F5">
        <w:rPr>
          <w:rFonts w:ascii="Verdana" w:hAnsi="Verdana"/>
          <w:sz w:val="20"/>
        </w:rPr>
        <w:t xml:space="preserve">En el punto resolutivo sexto y en los párrafos 151 a 154 de la Sentencia se dispuso </w:t>
      </w:r>
      <w:r w:rsidR="003316B2" w:rsidRPr="001731F5">
        <w:rPr>
          <w:rFonts w:ascii="Verdana" w:hAnsi="Verdana"/>
          <w:sz w:val="20"/>
        </w:rPr>
        <w:t xml:space="preserve">que </w:t>
      </w:r>
      <w:r w:rsidRPr="001731F5">
        <w:rPr>
          <w:rFonts w:ascii="Verdana" w:hAnsi="Verdana"/>
          <w:sz w:val="20"/>
        </w:rPr>
        <w:t>“[e]l Estado debe llevar a cabo con la debida diligencia y en un plazo razonable, las investigaciones y procesos penales correspondientes, con el fin de individualizar, identificar, juzgar y, en su caso, sancionar a los responsables materiales e intelectuales de los hechos relacionados con la ejecución de Jorge Omar Gutiérrez, así como establecer la verdad sobre los mismos, considerando los criterios señalados sobre investigaciones en este tipo de casos”. En el párrafo 154 de la Sentencia la Corte señaló</w:t>
      </w:r>
      <w:r w:rsidR="00164952">
        <w:rPr>
          <w:rFonts w:ascii="Verdana" w:hAnsi="Verdana"/>
          <w:sz w:val="20"/>
        </w:rPr>
        <w:t xml:space="preserve"> los</w:t>
      </w:r>
      <w:r w:rsidRPr="001731F5">
        <w:rPr>
          <w:rFonts w:ascii="Verdana" w:hAnsi="Verdana"/>
          <w:sz w:val="20"/>
        </w:rPr>
        <w:t xml:space="preserve"> parámetros que deb</w:t>
      </w:r>
      <w:r w:rsidR="00765F54">
        <w:rPr>
          <w:rFonts w:ascii="Verdana" w:hAnsi="Verdana"/>
          <w:sz w:val="20"/>
        </w:rPr>
        <w:t>ía</w:t>
      </w:r>
      <w:r w:rsidRPr="001731F5">
        <w:rPr>
          <w:rFonts w:ascii="Verdana" w:hAnsi="Verdana"/>
          <w:sz w:val="20"/>
        </w:rPr>
        <w:t>n ser observados por el Estado en el cumplimiento de esta obligación.</w:t>
      </w:r>
      <w:bookmarkEnd w:id="4"/>
    </w:p>
    <w:p w14:paraId="3428B81C" w14:textId="77777777" w:rsidR="00183188" w:rsidRDefault="00183188" w:rsidP="00807D5C">
      <w:pPr>
        <w:ind w:left="360" w:firstLine="360"/>
        <w:rPr>
          <w:rFonts w:ascii="Verdana" w:hAnsi="Verdana"/>
          <w:i/>
          <w:sz w:val="20"/>
          <w:lang w:val="es-MX"/>
        </w:rPr>
      </w:pPr>
    </w:p>
    <w:p w14:paraId="4747779C" w14:textId="77777777" w:rsidR="0075180F" w:rsidRPr="001731F5" w:rsidRDefault="0075180F" w:rsidP="00807D5C">
      <w:pPr>
        <w:ind w:left="360" w:firstLine="360"/>
        <w:rPr>
          <w:rFonts w:ascii="Verdana" w:hAnsi="Verdana"/>
          <w:i/>
          <w:sz w:val="20"/>
          <w:lang w:val="es-MX"/>
        </w:rPr>
      </w:pPr>
      <w:r w:rsidRPr="001731F5">
        <w:rPr>
          <w:rFonts w:ascii="Verdana" w:hAnsi="Verdana"/>
          <w:i/>
          <w:sz w:val="20"/>
          <w:lang w:val="es-MX"/>
        </w:rPr>
        <w:t>A.2. Consideraciones de la Corte</w:t>
      </w:r>
    </w:p>
    <w:p w14:paraId="2906D539" w14:textId="3E098A20" w:rsidR="0058278C" w:rsidRPr="001731F5" w:rsidRDefault="0058278C" w:rsidP="0075180F">
      <w:pPr>
        <w:numPr>
          <w:ilvl w:val="0"/>
          <w:numId w:val="5"/>
        </w:numPr>
        <w:spacing w:before="120" w:after="120"/>
        <w:ind w:left="0" w:firstLine="0"/>
        <w:jc w:val="both"/>
        <w:rPr>
          <w:rFonts w:ascii="Verdana" w:hAnsi="Verdana"/>
          <w:sz w:val="20"/>
          <w:lang w:val="es-CR"/>
        </w:rPr>
      </w:pPr>
      <w:bookmarkStart w:id="5" w:name="_Ref26959201"/>
      <w:r w:rsidRPr="001731F5">
        <w:rPr>
          <w:rFonts w:ascii="Verdana" w:hAnsi="Verdana"/>
          <w:sz w:val="20"/>
          <w:lang w:val="es-CR"/>
        </w:rPr>
        <w:t>En la Sentencia la Corte tuvo por probado que el 29 de agosto de 1994 se inició una causa penal por el delito de homicidio en perjuicio del señor Jorge Omar Gutiérrez. Después de las diligencias investigativas, se tuvo a un único imputado, el cual era agente de la Policía Federal, perteneciente a la División de Vigilancia</w:t>
      </w:r>
      <w:r w:rsidR="00765F54">
        <w:rPr>
          <w:rFonts w:ascii="Verdana" w:hAnsi="Verdana"/>
          <w:sz w:val="20"/>
          <w:lang w:val="es-CR"/>
        </w:rPr>
        <w:t xml:space="preserve"> Preventiva</w:t>
      </w:r>
      <w:r w:rsidRPr="001731F5">
        <w:rPr>
          <w:rFonts w:ascii="Verdana" w:hAnsi="Verdana"/>
          <w:sz w:val="20"/>
          <w:lang w:val="es-CR"/>
        </w:rPr>
        <w:t xml:space="preserve"> de la Superintendencia de Seguridad Ferroviaria. El 15 de noviembre de 1996 la Sala Primera </w:t>
      </w:r>
      <w:r w:rsidRPr="001731F5">
        <w:rPr>
          <w:rFonts w:ascii="Verdana" w:hAnsi="Verdana"/>
          <w:sz w:val="20"/>
          <w:lang w:val="es-CR"/>
        </w:rPr>
        <w:lastRenderedPageBreak/>
        <w:t xml:space="preserve">de la Cámara de Apelaciones en lo Criminal y Correccional de La Plata </w:t>
      </w:r>
      <w:r w:rsidR="007D5CAA" w:rsidRPr="001731F5">
        <w:rPr>
          <w:rFonts w:ascii="Verdana" w:hAnsi="Verdana"/>
          <w:sz w:val="20"/>
          <w:lang w:val="es-CR"/>
        </w:rPr>
        <w:t>emitió una sentencia en la que absolvió al imputado por no haberse probado la acusación fiscal y devolvió los autos al juzgado de origen para que se continuara con la investigación. En contra de la referida sentencia se plantearon varios recursos, los cuales fueron rechazados</w:t>
      </w:r>
      <w:r w:rsidR="007D5CAA" w:rsidRPr="001731F5">
        <w:rPr>
          <w:rStyle w:val="Refdenotaalpie"/>
          <w:rFonts w:ascii="Verdana" w:hAnsi="Verdana"/>
          <w:sz w:val="20"/>
          <w:lang w:val="es-CR"/>
        </w:rPr>
        <w:footnoteReference w:id="10"/>
      </w:r>
      <w:r w:rsidR="007D5CAA" w:rsidRPr="001731F5">
        <w:rPr>
          <w:rFonts w:ascii="Verdana" w:hAnsi="Verdana"/>
          <w:sz w:val="20"/>
          <w:lang w:val="es-CR"/>
        </w:rPr>
        <w:t>.</w:t>
      </w:r>
      <w:bookmarkEnd w:id="5"/>
      <w:r w:rsidR="007D5CAA" w:rsidRPr="001731F5">
        <w:rPr>
          <w:rFonts w:ascii="Verdana" w:hAnsi="Verdana"/>
          <w:sz w:val="20"/>
          <w:lang w:val="es-CR"/>
        </w:rPr>
        <w:t xml:space="preserve"> </w:t>
      </w:r>
    </w:p>
    <w:p w14:paraId="70960D33" w14:textId="3313FC77" w:rsidR="007D5CAA" w:rsidRPr="001731F5" w:rsidRDefault="000A6C54" w:rsidP="000F4A74">
      <w:pPr>
        <w:numPr>
          <w:ilvl w:val="0"/>
          <w:numId w:val="5"/>
        </w:numPr>
        <w:spacing w:before="120" w:after="120"/>
        <w:ind w:left="0" w:firstLine="0"/>
        <w:jc w:val="both"/>
        <w:rPr>
          <w:rFonts w:ascii="Verdana" w:hAnsi="Verdana"/>
          <w:sz w:val="20"/>
          <w:lang w:val="es-CR"/>
        </w:rPr>
      </w:pPr>
      <w:bookmarkStart w:id="6" w:name="_Ref26955146"/>
      <w:r w:rsidRPr="001731F5">
        <w:rPr>
          <w:rFonts w:ascii="Verdana" w:hAnsi="Verdana"/>
          <w:sz w:val="20"/>
          <w:lang w:val="es-CR"/>
        </w:rPr>
        <w:t>Además, se tuvo por probado que</w:t>
      </w:r>
      <w:r w:rsidR="00626BB4" w:rsidRPr="001731F5">
        <w:rPr>
          <w:rFonts w:ascii="Verdana" w:hAnsi="Verdana"/>
          <w:sz w:val="20"/>
          <w:lang w:val="es-CR"/>
        </w:rPr>
        <w:t>,</w:t>
      </w:r>
      <w:r w:rsidRPr="001731F5">
        <w:rPr>
          <w:rFonts w:ascii="Verdana" w:hAnsi="Verdana"/>
          <w:sz w:val="20"/>
          <w:lang w:val="es-CR"/>
        </w:rPr>
        <w:t xml:space="preserve"> en virtud de lo resuelto en la referida sentenci</w:t>
      </w:r>
      <w:r w:rsidR="00FD73B1" w:rsidRPr="001731F5">
        <w:rPr>
          <w:rFonts w:ascii="Verdana" w:hAnsi="Verdana"/>
          <w:sz w:val="20"/>
          <w:lang w:val="es-CR"/>
        </w:rPr>
        <w:t>a</w:t>
      </w:r>
      <w:r w:rsidR="00DB004B">
        <w:rPr>
          <w:rFonts w:ascii="Verdana" w:hAnsi="Verdana"/>
          <w:sz w:val="20"/>
          <w:lang w:val="es-CR"/>
        </w:rPr>
        <w:t xml:space="preserve"> (</w:t>
      </w:r>
      <w:r w:rsidR="00DB004B" w:rsidRPr="00807D5C">
        <w:rPr>
          <w:rFonts w:ascii="Verdana" w:hAnsi="Verdana"/>
          <w:i/>
          <w:sz w:val="20"/>
          <w:lang w:val="es-CR"/>
        </w:rPr>
        <w:t xml:space="preserve">supra </w:t>
      </w:r>
      <w:r w:rsidR="00DB004B">
        <w:rPr>
          <w:rFonts w:ascii="Verdana" w:hAnsi="Verdana"/>
          <w:sz w:val="20"/>
          <w:lang w:val="es-CR"/>
        </w:rPr>
        <w:t>Considerando 7)</w:t>
      </w:r>
      <w:r w:rsidR="00626BB4" w:rsidRPr="001731F5">
        <w:rPr>
          <w:rFonts w:ascii="Verdana" w:hAnsi="Verdana"/>
          <w:sz w:val="20"/>
          <w:lang w:val="es-CR"/>
        </w:rPr>
        <w:t>,</w:t>
      </w:r>
      <w:r w:rsidRPr="001731F5">
        <w:rPr>
          <w:rFonts w:ascii="Verdana" w:hAnsi="Verdana"/>
          <w:sz w:val="20"/>
          <w:lang w:val="es-CR"/>
        </w:rPr>
        <w:t xml:space="preserve"> se continuó con la investigación penal después de 1998. </w:t>
      </w:r>
      <w:r w:rsidR="00CE0304" w:rsidRPr="001731F5">
        <w:rPr>
          <w:rFonts w:ascii="Verdana" w:hAnsi="Verdana"/>
          <w:sz w:val="20"/>
          <w:lang w:val="es-CR"/>
        </w:rPr>
        <w:t xml:space="preserve">En ella </w:t>
      </w:r>
      <w:r w:rsidR="00B03530" w:rsidRPr="001731F5">
        <w:rPr>
          <w:rFonts w:ascii="Verdana" w:hAnsi="Verdana"/>
          <w:sz w:val="20"/>
          <w:lang w:val="es-CR"/>
        </w:rPr>
        <w:t xml:space="preserve">se identificó otro agente de la policía </w:t>
      </w:r>
      <w:r w:rsidR="00DA4800" w:rsidRPr="001731F5">
        <w:rPr>
          <w:rFonts w:ascii="Verdana" w:hAnsi="Verdana"/>
          <w:sz w:val="20"/>
          <w:lang w:val="es-CR"/>
        </w:rPr>
        <w:t xml:space="preserve">federal </w:t>
      </w:r>
      <w:r w:rsidR="00B03530" w:rsidRPr="001731F5">
        <w:rPr>
          <w:rFonts w:ascii="Verdana" w:hAnsi="Verdana"/>
          <w:sz w:val="20"/>
          <w:lang w:val="es-CR"/>
        </w:rPr>
        <w:t xml:space="preserve">como partícipe en el homicidio del señor Jorge Omar Gutiérrez. </w:t>
      </w:r>
      <w:r w:rsidR="006F64AD" w:rsidRPr="001731F5">
        <w:rPr>
          <w:rFonts w:ascii="Verdana" w:hAnsi="Verdana"/>
          <w:sz w:val="20"/>
          <w:lang w:val="es-CR"/>
        </w:rPr>
        <w:t xml:space="preserve">En diciembre de 2009, la jueza de </w:t>
      </w:r>
      <w:r w:rsidR="00476847">
        <w:rPr>
          <w:rFonts w:ascii="Verdana" w:hAnsi="Verdana"/>
          <w:sz w:val="20"/>
          <w:lang w:val="es-CR"/>
        </w:rPr>
        <w:t>G</w:t>
      </w:r>
      <w:r w:rsidR="006F64AD" w:rsidRPr="001731F5">
        <w:rPr>
          <w:rFonts w:ascii="Verdana" w:hAnsi="Verdana"/>
          <w:sz w:val="20"/>
          <w:lang w:val="es-CR"/>
        </w:rPr>
        <w:t>arantías</w:t>
      </w:r>
      <w:r w:rsidR="00476847">
        <w:rPr>
          <w:rFonts w:ascii="Verdana" w:hAnsi="Verdana"/>
          <w:sz w:val="20"/>
          <w:lang w:val="es-CR"/>
        </w:rPr>
        <w:t xml:space="preserve"> No. 5</w:t>
      </w:r>
      <w:r w:rsidR="006F64AD" w:rsidRPr="001731F5">
        <w:rPr>
          <w:rFonts w:ascii="Verdana" w:hAnsi="Verdana"/>
          <w:sz w:val="20"/>
          <w:lang w:val="es-CR"/>
        </w:rPr>
        <w:t xml:space="preserve"> del Departamento Judicial de La Plata, que se encontraba a cargo de la causa, decidió sobreseer provisionalmente al referido presunto partícipe. No obstante lo anterior, desde agosto de 2011 el referido juzgado de garantías remitió la causa (No. S-85.714) a la Sala Primera de la Cámara de Apelación y Garantías en lo Penal del Departamento Judicial de La Plata. Luego de la presentación de varios recursos en el marco de dicha causa</w:t>
      </w:r>
      <w:r w:rsidR="00626BB4" w:rsidRPr="001731F5">
        <w:rPr>
          <w:rFonts w:ascii="Verdana" w:hAnsi="Verdana"/>
          <w:sz w:val="20"/>
          <w:lang w:val="es-CR"/>
        </w:rPr>
        <w:t xml:space="preserve"> penal</w:t>
      </w:r>
      <w:r w:rsidR="006F64AD" w:rsidRPr="001731F5">
        <w:rPr>
          <w:rFonts w:ascii="Verdana" w:hAnsi="Verdana"/>
          <w:sz w:val="20"/>
          <w:lang w:val="es-CR"/>
        </w:rPr>
        <w:t xml:space="preserve">, </w:t>
      </w:r>
      <w:r w:rsidR="000F4A74" w:rsidRPr="001731F5">
        <w:rPr>
          <w:rFonts w:ascii="Verdana" w:hAnsi="Verdana"/>
          <w:sz w:val="20"/>
          <w:lang w:val="es-CR"/>
        </w:rPr>
        <w:t>el 18</w:t>
      </w:r>
      <w:r w:rsidR="006F64AD" w:rsidRPr="001731F5">
        <w:rPr>
          <w:rFonts w:ascii="Verdana" w:hAnsi="Verdana"/>
          <w:sz w:val="20"/>
          <w:lang w:val="es-CR"/>
        </w:rPr>
        <w:t xml:space="preserve"> junio de 2013 la Suprema Corte de </w:t>
      </w:r>
      <w:r w:rsidR="00D37DF1">
        <w:rPr>
          <w:rFonts w:ascii="Verdana" w:hAnsi="Verdana"/>
          <w:sz w:val="20"/>
          <w:lang w:val="es-CR"/>
        </w:rPr>
        <w:t xml:space="preserve">Justicia de </w:t>
      </w:r>
      <w:r w:rsidR="006F64AD" w:rsidRPr="001731F5">
        <w:rPr>
          <w:rFonts w:ascii="Verdana" w:hAnsi="Verdana"/>
          <w:sz w:val="20"/>
          <w:lang w:val="es-CR"/>
        </w:rPr>
        <w:t xml:space="preserve">la Provincia de Buenos Aires </w:t>
      </w:r>
      <w:r w:rsidR="00D22633" w:rsidRPr="001731F5">
        <w:rPr>
          <w:rFonts w:ascii="Verdana" w:hAnsi="Verdana"/>
          <w:sz w:val="20"/>
          <w:lang w:val="es-CR"/>
        </w:rPr>
        <w:t xml:space="preserve">dictó una resolución en la cual, entre otros, </w:t>
      </w:r>
      <w:r w:rsidR="00604B0F" w:rsidRPr="001731F5">
        <w:rPr>
          <w:rFonts w:ascii="Verdana" w:hAnsi="Verdana"/>
          <w:sz w:val="20"/>
          <w:lang w:val="es-CR"/>
        </w:rPr>
        <w:t>dispuso que se llevara a cabo el juicio oral y público del presunto partícipe</w:t>
      </w:r>
      <w:r w:rsidR="00604B0F" w:rsidRPr="001731F5">
        <w:rPr>
          <w:rStyle w:val="Refdenotaalpie"/>
          <w:rFonts w:ascii="Verdana" w:hAnsi="Verdana"/>
          <w:sz w:val="20"/>
          <w:lang w:val="es-CR"/>
        </w:rPr>
        <w:footnoteReference w:id="11"/>
      </w:r>
      <w:r w:rsidR="00604B0F" w:rsidRPr="001731F5">
        <w:rPr>
          <w:rFonts w:ascii="Verdana" w:hAnsi="Verdana"/>
          <w:sz w:val="20"/>
          <w:lang w:val="es-CR"/>
        </w:rPr>
        <w:t>.</w:t>
      </w:r>
      <w:bookmarkEnd w:id="6"/>
    </w:p>
    <w:p w14:paraId="0631689E" w14:textId="1656E73D" w:rsidR="00604B0F" w:rsidRPr="001731F5" w:rsidRDefault="00604B0F" w:rsidP="000F4A74">
      <w:pPr>
        <w:numPr>
          <w:ilvl w:val="0"/>
          <w:numId w:val="5"/>
        </w:numPr>
        <w:spacing w:before="120" w:after="120"/>
        <w:ind w:left="0" w:firstLine="0"/>
        <w:jc w:val="both"/>
        <w:rPr>
          <w:rFonts w:ascii="Verdana" w:hAnsi="Verdana"/>
          <w:sz w:val="20"/>
          <w:lang w:val="es-CR"/>
        </w:rPr>
      </w:pPr>
      <w:bookmarkStart w:id="7" w:name="_Ref27043493"/>
      <w:r w:rsidRPr="001731F5">
        <w:rPr>
          <w:rFonts w:ascii="Verdana" w:hAnsi="Verdana"/>
          <w:sz w:val="20"/>
          <w:lang w:val="es-CR"/>
        </w:rPr>
        <w:t xml:space="preserve">Durante la etapa de supervisión de cumplimiento, las partes han presentado información sobre lo ocurrido en la referida causa penal No. </w:t>
      </w:r>
      <w:r w:rsidR="00164952">
        <w:rPr>
          <w:rFonts w:ascii="Verdana" w:hAnsi="Verdana"/>
          <w:sz w:val="20"/>
          <w:lang w:val="es-CR"/>
        </w:rPr>
        <w:t>S-</w:t>
      </w:r>
      <w:r w:rsidRPr="001731F5">
        <w:rPr>
          <w:rFonts w:ascii="Verdana" w:hAnsi="Verdana"/>
          <w:sz w:val="20"/>
          <w:lang w:val="es-CR"/>
        </w:rPr>
        <w:t>85.714 (</w:t>
      </w:r>
      <w:r w:rsidRPr="001731F5">
        <w:rPr>
          <w:rFonts w:ascii="Verdana" w:hAnsi="Verdana"/>
          <w:i/>
          <w:iCs/>
          <w:sz w:val="20"/>
          <w:lang w:val="es-CR"/>
        </w:rPr>
        <w:t>supra</w:t>
      </w:r>
      <w:r w:rsidRPr="001731F5">
        <w:rPr>
          <w:rFonts w:ascii="Verdana" w:hAnsi="Verdana"/>
          <w:sz w:val="20"/>
          <w:lang w:val="es-CR"/>
        </w:rPr>
        <w:t xml:space="preserve"> Considerando </w:t>
      </w:r>
      <w:r w:rsidR="00D37DF1">
        <w:rPr>
          <w:rFonts w:ascii="Verdana" w:hAnsi="Verdana"/>
          <w:sz w:val="20"/>
          <w:lang w:val="es-CR"/>
        </w:rPr>
        <w:fldChar w:fldCharType="begin"/>
      </w:r>
      <w:r w:rsidR="00D37DF1">
        <w:rPr>
          <w:rFonts w:ascii="Verdana" w:hAnsi="Verdana"/>
          <w:sz w:val="20"/>
          <w:lang w:val="es-CR"/>
        </w:rPr>
        <w:instrText xml:space="preserve"> REF _Ref26955146 \r \h </w:instrText>
      </w:r>
      <w:r w:rsidR="00D37DF1">
        <w:rPr>
          <w:rFonts w:ascii="Verdana" w:hAnsi="Verdana"/>
          <w:sz w:val="20"/>
          <w:lang w:val="es-CR"/>
        </w:rPr>
      </w:r>
      <w:r w:rsidR="00D37DF1">
        <w:rPr>
          <w:rFonts w:ascii="Verdana" w:hAnsi="Verdana"/>
          <w:sz w:val="20"/>
          <w:lang w:val="es-CR"/>
        </w:rPr>
        <w:fldChar w:fldCharType="separate"/>
      </w:r>
      <w:r w:rsidR="00756751">
        <w:rPr>
          <w:rFonts w:ascii="Verdana" w:hAnsi="Verdana"/>
          <w:sz w:val="20"/>
          <w:lang w:val="es-CR"/>
        </w:rPr>
        <w:t>8</w:t>
      </w:r>
      <w:r w:rsidR="00D37DF1">
        <w:rPr>
          <w:rFonts w:ascii="Verdana" w:hAnsi="Verdana"/>
          <w:sz w:val="20"/>
          <w:lang w:val="es-CR"/>
        </w:rPr>
        <w:fldChar w:fldCharType="end"/>
      </w:r>
      <w:r w:rsidR="002C5195" w:rsidRPr="001731F5">
        <w:rPr>
          <w:rFonts w:ascii="Verdana" w:hAnsi="Verdana"/>
          <w:sz w:val="20"/>
          <w:lang w:val="es-CR"/>
        </w:rPr>
        <w:t xml:space="preserve"> e </w:t>
      </w:r>
      <w:r w:rsidR="002C5195" w:rsidRPr="001731F5">
        <w:rPr>
          <w:rFonts w:ascii="Verdana" w:hAnsi="Verdana"/>
          <w:i/>
          <w:iCs/>
          <w:sz w:val="20"/>
          <w:lang w:val="es-CR"/>
        </w:rPr>
        <w:t>infra</w:t>
      </w:r>
      <w:r w:rsidR="002C5195" w:rsidRPr="001731F5">
        <w:rPr>
          <w:rFonts w:ascii="Verdana" w:hAnsi="Verdana"/>
          <w:sz w:val="20"/>
          <w:lang w:val="es-CR"/>
        </w:rPr>
        <w:t xml:space="preserve"> Considerandos </w:t>
      </w:r>
      <w:r w:rsidR="00D37DF1">
        <w:rPr>
          <w:rFonts w:ascii="Verdana" w:hAnsi="Verdana"/>
          <w:sz w:val="20"/>
          <w:lang w:val="es-CR"/>
        </w:rPr>
        <w:fldChar w:fldCharType="begin"/>
      </w:r>
      <w:r w:rsidR="00D37DF1">
        <w:rPr>
          <w:rFonts w:ascii="Verdana" w:hAnsi="Verdana"/>
          <w:sz w:val="20"/>
          <w:lang w:val="es-CR"/>
        </w:rPr>
        <w:instrText xml:space="preserve"> REF _Ref26955214 \r \h </w:instrText>
      </w:r>
      <w:r w:rsidR="00D37DF1">
        <w:rPr>
          <w:rFonts w:ascii="Verdana" w:hAnsi="Verdana"/>
          <w:sz w:val="20"/>
          <w:lang w:val="es-CR"/>
        </w:rPr>
      </w:r>
      <w:r w:rsidR="00D37DF1">
        <w:rPr>
          <w:rFonts w:ascii="Verdana" w:hAnsi="Verdana"/>
          <w:sz w:val="20"/>
          <w:lang w:val="es-CR"/>
        </w:rPr>
        <w:fldChar w:fldCharType="separate"/>
      </w:r>
      <w:r w:rsidR="00756751">
        <w:rPr>
          <w:rFonts w:ascii="Verdana" w:hAnsi="Verdana"/>
          <w:sz w:val="20"/>
          <w:lang w:val="es-CR"/>
        </w:rPr>
        <w:t>17</w:t>
      </w:r>
      <w:r w:rsidR="00D37DF1">
        <w:rPr>
          <w:rFonts w:ascii="Verdana" w:hAnsi="Verdana"/>
          <w:sz w:val="20"/>
          <w:lang w:val="es-CR"/>
        </w:rPr>
        <w:fldChar w:fldCharType="end"/>
      </w:r>
      <w:r w:rsidR="00D37DF1">
        <w:rPr>
          <w:rFonts w:ascii="Verdana" w:hAnsi="Verdana"/>
          <w:sz w:val="20"/>
          <w:lang w:val="es-CR"/>
        </w:rPr>
        <w:t xml:space="preserve"> a </w:t>
      </w:r>
      <w:r w:rsidR="00DB004B">
        <w:rPr>
          <w:rFonts w:ascii="Verdana" w:hAnsi="Verdana"/>
          <w:sz w:val="20"/>
          <w:lang w:val="es-CR"/>
        </w:rPr>
        <w:t>20</w:t>
      </w:r>
      <w:r w:rsidRPr="001731F5">
        <w:rPr>
          <w:rFonts w:ascii="Verdana" w:hAnsi="Verdana"/>
          <w:sz w:val="20"/>
          <w:lang w:val="es-CR"/>
        </w:rPr>
        <w:t>), sobre nuevas actuaciones judiciales en relación con el imputado que fue absuelto en 1996 (</w:t>
      </w:r>
      <w:r w:rsidRPr="001731F5">
        <w:rPr>
          <w:rFonts w:ascii="Verdana" w:hAnsi="Verdana"/>
          <w:i/>
          <w:iCs/>
          <w:sz w:val="20"/>
          <w:lang w:val="es-CR"/>
        </w:rPr>
        <w:t>supra</w:t>
      </w:r>
      <w:r w:rsidRPr="001731F5">
        <w:rPr>
          <w:rFonts w:ascii="Verdana" w:hAnsi="Verdana"/>
          <w:sz w:val="20"/>
          <w:lang w:val="es-CR"/>
        </w:rPr>
        <w:t xml:space="preserve"> Considerando </w:t>
      </w:r>
      <w:r w:rsidR="00DB004B">
        <w:rPr>
          <w:rFonts w:ascii="Verdana" w:hAnsi="Verdana"/>
          <w:sz w:val="20"/>
          <w:lang w:val="es-CR"/>
        </w:rPr>
        <w:t>7</w:t>
      </w:r>
      <w:r w:rsidR="002C5195" w:rsidRPr="001731F5">
        <w:rPr>
          <w:rFonts w:ascii="Verdana" w:hAnsi="Verdana"/>
          <w:sz w:val="20"/>
          <w:lang w:val="es-CR"/>
        </w:rPr>
        <w:t xml:space="preserve"> e </w:t>
      </w:r>
      <w:r w:rsidR="002C5195" w:rsidRPr="001731F5">
        <w:rPr>
          <w:rFonts w:ascii="Verdana" w:hAnsi="Verdana"/>
          <w:i/>
          <w:iCs/>
          <w:sz w:val="20"/>
          <w:lang w:val="es-CR"/>
        </w:rPr>
        <w:t>infra</w:t>
      </w:r>
      <w:r w:rsidR="002C5195" w:rsidRPr="001731F5">
        <w:rPr>
          <w:rFonts w:ascii="Verdana" w:hAnsi="Verdana"/>
          <w:sz w:val="20"/>
          <w:lang w:val="es-CR"/>
        </w:rPr>
        <w:t xml:space="preserve"> Considerandos </w:t>
      </w:r>
      <w:r w:rsidR="00035FD7">
        <w:rPr>
          <w:rFonts w:ascii="Verdana" w:hAnsi="Verdana"/>
          <w:sz w:val="20"/>
          <w:lang w:val="es-CR"/>
        </w:rPr>
        <w:fldChar w:fldCharType="begin"/>
      </w:r>
      <w:r w:rsidR="00035FD7">
        <w:rPr>
          <w:rFonts w:ascii="Verdana" w:hAnsi="Verdana"/>
          <w:sz w:val="20"/>
          <w:lang w:val="es-CR"/>
        </w:rPr>
        <w:instrText xml:space="preserve"> REF _Ref27121192 \r \h </w:instrText>
      </w:r>
      <w:r w:rsidR="00035FD7">
        <w:rPr>
          <w:rFonts w:ascii="Verdana" w:hAnsi="Verdana"/>
          <w:sz w:val="20"/>
          <w:lang w:val="es-CR"/>
        </w:rPr>
      </w:r>
      <w:r w:rsidR="00035FD7">
        <w:rPr>
          <w:rFonts w:ascii="Verdana" w:hAnsi="Verdana"/>
          <w:sz w:val="20"/>
          <w:lang w:val="es-CR"/>
        </w:rPr>
        <w:fldChar w:fldCharType="separate"/>
      </w:r>
      <w:r w:rsidR="00756751">
        <w:rPr>
          <w:rFonts w:ascii="Verdana" w:hAnsi="Verdana"/>
          <w:sz w:val="20"/>
          <w:lang w:val="es-CR"/>
        </w:rPr>
        <w:t>14</w:t>
      </w:r>
      <w:r w:rsidR="00035FD7">
        <w:rPr>
          <w:rFonts w:ascii="Verdana" w:hAnsi="Verdana"/>
          <w:sz w:val="20"/>
          <w:lang w:val="es-CR"/>
        </w:rPr>
        <w:fldChar w:fldCharType="end"/>
      </w:r>
      <w:r w:rsidR="00035FD7">
        <w:rPr>
          <w:rFonts w:ascii="Verdana" w:hAnsi="Verdana"/>
          <w:sz w:val="20"/>
          <w:lang w:val="es-CR"/>
        </w:rPr>
        <w:t xml:space="preserve"> a </w:t>
      </w:r>
      <w:r w:rsidR="00035FD7">
        <w:rPr>
          <w:rFonts w:ascii="Verdana" w:hAnsi="Verdana"/>
          <w:sz w:val="20"/>
          <w:lang w:val="es-CR"/>
        </w:rPr>
        <w:fldChar w:fldCharType="begin"/>
      </w:r>
      <w:r w:rsidR="00035FD7">
        <w:rPr>
          <w:rFonts w:ascii="Verdana" w:hAnsi="Verdana"/>
          <w:sz w:val="20"/>
          <w:lang w:val="es-CR"/>
        </w:rPr>
        <w:instrText xml:space="preserve"> REF _Ref27044622 \r \h </w:instrText>
      </w:r>
      <w:r w:rsidR="00035FD7">
        <w:rPr>
          <w:rFonts w:ascii="Verdana" w:hAnsi="Verdana"/>
          <w:sz w:val="20"/>
          <w:lang w:val="es-CR"/>
        </w:rPr>
      </w:r>
      <w:r w:rsidR="00035FD7">
        <w:rPr>
          <w:rFonts w:ascii="Verdana" w:hAnsi="Verdana"/>
          <w:sz w:val="20"/>
          <w:lang w:val="es-CR"/>
        </w:rPr>
        <w:fldChar w:fldCharType="separate"/>
      </w:r>
      <w:r w:rsidR="00756751">
        <w:rPr>
          <w:rFonts w:ascii="Verdana" w:hAnsi="Verdana"/>
          <w:sz w:val="20"/>
          <w:lang w:val="es-CR"/>
        </w:rPr>
        <w:t>16</w:t>
      </w:r>
      <w:r w:rsidR="00035FD7">
        <w:rPr>
          <w:rFonts w:ascii="Verdana" w:hAnsi="Verdana"/>
          <w:sz w:val="20"/>
          <w:lang w:val="es-CR"/>
        </w:rPr>
        <w:fldChar w:fldCharType="end"/>
      </w:r>
      <w:r w:rsidRPr="001731F5">
        <w:rPr>
          <w:rFonts w:ascii="Verdana" w:hAnsi="Verdana"/>
          <w:sz w:val="20"/>
          <w:lang w:val="es-CR"/>
        </w:rPr>
        <w:t>) y sobre investigaciones penales que han sido abiertas para investigar a otros autores materiales e intelectuales de la ejecución del señor Gutiérrez</w:t>
      </w:r>
      <w:r w:rsidR="002C5195" w:rsidRPr="001731F5">
        <w:rPr>
          <w:rFonts w:ascii="Verdana" w:hAnsi="Verdana"/>
          <w:sz w:val="20"/>
          <w:lang w:val="es-CR"/>
        </w:rPr>
        <w:t xml:space="preserve"> (</w:t>
      </w:r>
      <w:r w:rsidR="002C5195" w:rsidRPr="001731F5">
        <w:rPr>
          <w:rFonts w:ascii="Verdana" w:hAnsi="Verdana"/>
          <w:i/>
          <w:iCs/>
          <w:sz w:val="20"/>
          <w:lang w:val="es-CR"/>
        </w:rPr>
        <w:t>infra</w:t>
      </w:r>
      <w:r w:rsidR="002C5195" w:rsidRPr="001731F5">
        <w:rPr>
          <w:rFonts w:ascii="Verdana" w:hAnsi="Verdana"/>
          <w:sz w:val="20"/>
          <w:lang w:val="es-CR"/>
        </w:rPr>
        <w:t xml:space="preserve"> Considerandos </w:t>
      </w:r>
      <w:r w:rsidR="00DB004B">
        <w:rPr>
          <w:rFonts w:ascii="Verdana" w:hAnsi="Verdana"/>
          <w:sz w:val="20"/>
          <w:lang w:val="es-CR"/>
        </w:rPr>
        <w:t>12, 13, 16 y 25</w:t>
      </w:r>
      <w:r w:rsidR="002C5195" w:rsidRPr="001731F5">
        <w:rPr>
          <w:rFonts w:ascii="Verdana" w:hAnsi="Verdana"/>
          <w:sz w:val="20"/>
          <w:lang w:val="es-CR"/>
        </w:rPr>
        <w:t>)</w:t>
      </w:r>
      <w:r w:rsidRPr="001731F5">
        <w:rPr>
          <w:rFonts w:ascii="Verdana" w:hAnsi="Verdana"/>
          <w:sz w:val="20"/>
          <w:lang w:val="es-CR"/>
        </w:rPr>
        <w:t xml:space="preserve">. En general, el </w:t>
      </w:r>
      <w:r w:rsidRPr="00807D5C">
        <w:rPr>
          <w:rFonts w:ascii="Verdana" w:hAnsi="Verdana"/>
          <w:iCs/>
          <w:sz w:val="20"/>
          <w:lang w:val="es-CR"/>
        </w:rPr>
        <w:t>Estado</w:t>
      </w:r>
      <w:r w:rsidRPr="001731F5">
        <w:rPr>
          <w:rFonts w:ascii="Verdana" w:hAnsi="Verdana"/>
          <w:sz w:val="20"/>
          <w:lang w:val="es-CR"/>
        </w:rPr>
        <w:t xml:space="preserve"> se ha limitado a </w:t>
      </w:r>
      <w:r w:rsidR="000E44C2" w:rsidRPr="001731F5">
        <w:rPr>
          <w:rFonts w:ascii="Verdana" w:hAnsi="Verdana"/>
          <w:sz w:val="20"/>
          <w:lang w:val="es-CR"/>
        </w:rPr>
        <w:t xml:space="preserve">remitir copia de las diversas decisiones o informes elaborados por autoridades judiciales respecto al trámite de los procesos penales y las investigaciones. Los </w:t>
      </w:r>
      <w:r w:rsidR="000E44C2" w:rsidRPr="00807D5C">
        <w:rPr>
          <w:rFonts w:ascii="Verdana" w:hAnsi="Verdana"/>
          <w:iCs/>
          <w:sz w:val="20"/>
          <w:lang w:val="es-CR"/>
        </w:rPr>
        <w:t>representantes</w:t>
      </w:r>
      <w:r w:rsidR="000E44C2" w:rsidRPr="00DB004B">
        <w:rPr>
          <w:rFonts w:ascii="Verdana" w:hAnsi="Verdana"/>
          <w:sz w:val="20"/>
          <w:lang w:val="es-CR"/>
        </w:rPr>
        <w:t xml:space="preserve"> </w:t>
      </w:r>
      <w:r w:rsidR="000E44C2" w:rsidRPr="001731F5">
        <w:rPr>
          <w:rFonts w:ascii="Verdana" w:hAnsi="Verdana"/>
          <w:sz w:val="20"/>
          <w:lang w:val="es-CR"/>
        </w:rPr>
        <w:t xml:space="preserve">han sostenido reiteradamente que </w:t>
      </w:r>
      <w:r w:rsidR="00007AF1" w:rsidRPr="001731F5">
        <w:rPr>
          <w:rFonts w:ascii="Verdana" w:hAnsi="Verdana"/>
          <w:sz w:val="20"/>
          <w:lang w:val="es-CR"/>
        </w:rPr>
        <w:t>persiste la impunidad por los hechos del presente caso y que no hay avances sustanciales en la determinación de los autores materiales e intelectuales</w:t>
      </w:r>
      <w:r w:rsidR="008C028C" w:rsidRPr="001731F5">
        <w:rPr>
          <w:rFonts w:ascii="Verdana" w:hAnsi="Verdana"/>
          <w:sz w:val="20"/>
          <w:lang w:val="es-CR"/>
        </w:rPr>
        <w:t>, con lo cual están en una situación muy similar a la de antes del dictado de la Sentencia</w:t>
      </w:r>
      <w:r w:rsidR="00626BB4" w:rsidRPr="001731F5">
        <w:rPr>
          <w:rFonts w:ascii="Verdana" w:hAnsi="Verdana"/>
          <w:sz w:val="20"/>
          <w:lang w:val="es-CR"/>
        </w:rPr>
        <w:t xml:space="preserve"> de la Corte Interamericana</w:t>
      </w:r>
      <w:r w:rsidR="008C028C" w:rsidRPr="001731F5">
        <w:rPr>
          <w:rFonts w:ascii="Verdana" w:hAnsi="Verdana"/>
          <w:sz w:val="20"/>
          <w:lang w:val="es-CR"/>
        </w:rPr>
        <w:t xml:space="preserve">. </w:t>
      </w:r>
      <w:r w:rsidR="008C028C" w:rsidRPr="001731F5">
        <w:rPr>
          <w:rFonts w:ascii="Verdana" w:hAnsi="Verdana"/>
          <w:bCs/>
          <w:sz w:val="20"/>
        </w:rPr>
        <w:t>Asimismo, en varias oportunidades han expresado su preocupación respecto a que el Estado “se limite a remitir documentos sin realizar siquiera un mínimo análisis del material ni de</w:t>
      </w:r>
      <w:r w:rsidR="00D37DF1">
        <w:rPr>
          <w:rFonts w:ascii="Verdana" w:hAnsi="Verdana"/>
          <w:bCs/>
          <w:sz w:val="20"/>
        </w:rPr>
        <w:t>scribir</w:t>
      </w:r>
      <w:r w:rsidR="008C028C" w:rsidRPr="001731F5">
        <w:rPr>
          <w:rFonts w:ascii="Verdana" w:hAnsi="Verdana"/>
          <w:bCs/>
          <w:sz w:val="20"/>
        </w:rPr>
        <w:t xml:space="preserve"> las </w:t>
      </w:r>
      <w:r w:rsidR="00D37DF1">
        <w:rPr>
          <w:rFonts w:ascii="Verdana" w:hAnsi="Verdana"/>
          <w:bCs/>
          <w:sz w:val="20"/>
        </w:rPr>
        <w:t>medidas</w:t>
      </w:r>
      <w:r w:rsidR="008C028C" w:rsidRPr="001731F5">
        <w:rPr>
          <w:rFonts w:ascii="Verdana" w:hAnsi="Verdana"/>
          <w:bCs/>
          <w:sz w:val="20"/>
        </w:rPr>
        <w:t xml:space="preserve"> que está emprendiendo” para la implementación de esta medida, lo cual demuestra el “desinterés” del Estado y “dificulta enormemente el seguimiento del caso”.</w:t>
      </w:r>
      <w:bookmarkEnd w:id="7"/>
      <w:r w:rsidR="008C028C" w:rsidRPr="001731F5">
        <w:rPr>
          <w:rFonts w:ascii="Verdana" w:hAnsi="Verdana"/>
          <w:bCs/>
          <w:sz w:val="20"/>
        </w:rPr>
        <w:t xml:space="preserve">   </w:t>
      </w:r>
    </w:p>
    <w:p w14:paraId="23FF0DC1" w14:textId="59D3B8AA" w:rsidR="008C028C" w:rsidRPr="001731F5" w:rsidRDefault="008C028C" w:rsidP="000F4A74">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La Corte coincide con los representantes en </w:t>
      </w:r>
      <w:r w:rsidR="00DB004B">
        <w:rPr>
          <w:rFonts w:ascii="Verdana" w:hAnsi="Verdana"/>
          <w:sz w:val="20"/>
          <w:lang w:val="es-CR"/>
        </w:rPr>
        <w:t>cuanto a la necesidad de</w:t>
      </w:r>
      <w:r w:rsidRPr="001731F5">
        <w:rPr>
          <w:rFonts w:ascii="Verdana" w:hAnsi="Verdana"/>
          <w:sz w:val="20"/>
          <w:lang w:val="es-CR"/>
        </w:rPr>
        <w:t xml:space="preserve"> que el Estado no sólo presente copia de las actuaciones judiciales relevantes, sino que es </w:t>
      </w:r>
      <w:r w:rsidR="00485E50" w:rsidRPr="001731F5">
        <w:rPr>
          <w:rFonts w:ascii="Verdana" w:hAnsi="Verdana"/>
          <w:sz w:val="20"/>
          <w:lang w:val="es-CR"/>
        </w:rPr>
        <w:t xml:space="preserve">imprescindible </w:t>
      </w:r>
      <w:r w:rsidRPr="001731F5">
        <w:rPr>
          <w:rFonts w:ascii="Verdana" w:hAnsi="Verdana"/>
          <w:sz w:val="20"/>
          <w:lang w:val="es-CR"/>
        </w:rPr>
        <w:t>que</w:t>
      </w:r>
      <w:r w:rsidR="00485E50" w:rsidRPr="001731F5">
        <w:rPr>
          <w:rFonts w:ascii="Verdana" w:hAnsi="Verdana"/>
          <w:sz w:val="20"/>
          <w:lang w:val="es-CR"/>
        </w:rPr>
        <w:t xml:space="preserve">, a futuro, </w:t>
      </w:r>
      <w:r w:rsidRPr="001731F5">
        <w:rPr>
          <w:rFonts w:ascii="Verdana" w:hAnsi="Verdana"/>
          <w:sz w:val="20"/>
          <w:lang w:val="es-CR"/>
        </w:rPr>
        <w:t xml:space="preserve">las acompañe </w:t>
      </w:r>
      <w:r w:rsidR="00485E50" w:rsidRPr="001731F5">
        <w:rPr>
          <w:rFonts w:ascii="Verdana" w:hAnsi="Verdana"/>
          <w:sz w:val="20"/>
          <w:lang w:val="es-CR"/>
        </w:rPr>
        <w:t xml:space="preserve">de una explicación detallada y actualizada que permita al Tribunal conocer con facilidad que está ocurriendo con la implementación de la obligación de investigar </w:t>
      </w:r>
      <w:r w:rsidR="00DB004B">
        <w:rPr>
          <w:rFonts w:ascii="Verdana" w:hAnsi="Verdana"/>
          <w:sz w:val="20"/>
          <w:lang w:val="es-CR"/>
        </w:rPr>
        <w:t xml:space="preserve">ordenada </w:t>
      </w:r>
      <w:r w:rsidR="00485E50" w:rsidRPr="001731F5">
        <w:rPr>
          <w:rFonts w:ascii="Verdana" w:hAnsi="Verdana"/>
          <w:sz w:val="20"/>
          <w:lang w:val="es-CR"/>
        </w:rPr>
        <w:t>en el presente caso, tanto en los procesos penales en curso, como en la estrategia o acciones a implementar para determinación de otros posibles responsables.</w:t>
      </w:r>
      <w:r w:rsidR="00557D59" w:rsidRPr="001731F5">
        <w:rPr>
          <w:rFonts w:ascii="Verdana" w:hAnsi="Verdana"/>
          <w:sz w:val="20"/>
          <w:lang w:val="es-CR"/>
        </w:rPr>
        <w:t xml:space="preserve"> Asimismo, es indispensable que en sus informes el Estado exprese cuál es su posición con respecto al nivel de ejecución de las reparaciones, es decir, si considera que han sido cumplidas total o parcialmente o si se trata de una medida que se encuentra en implementación, refiriendo las acciones que adoptará para dar cabal cumplimiento a la misma.</w:t>
      </w:r>
    </w:p>
    <w:p w14:paraId="63ECD04E" w14:textId="1B3E8D61" w:rsidR="00485E50" w:rsidRPr="00807D5C" w:rsidRDefault="00485E50" w:rsidP="00807D5C">
      <w:pPr>
        <w:numPr>
          <w:ilvl w:val="0"/>
          <w:numId w:val="5"/>
        </w:numPr>
        <w:spacing w:before="120" w:after="120"/>
        <w:ind w:left="0" w:firstLine="0"/>
        <w:jc w:val="both"/>
        <w:rPr>
          <w:rFonts w:ascii="Verdana" w:hAnsi="Verdana"/>
          <w:sz w:val="20"/>
          <w:lang w:val="es-CR"/>
        </w:rPr>
      </w:pPr>
      <w:r w:rsidRPr="00807D5C">
        <w:rPr>
          <w:rFonts w:ascii="Verdana" w:hAnsi="Verdana"/>
          <w:sz w:val="20"/>
          <w:lang w:val="es-CR"/>
        </w:rPr>
        <w:t>A continuación, con base en la información aportada por las partes, se efectúa un recuento</w:t>
      </w:r>
      <w:r w:rsidR="00FF3A25" w:rsidRPr="00807D5C">
        <w:rPr>
          <w:rFonts w:ascii="Verdana" w:hAnsi="Verdana"/>
          <w:sz w:val="20"/>
          <w:lang w:val="es-CR"/>
        </w:rPr>
        <w:t xml:space="preserve"> de</w:t>
      </w:r>
      <w:r w:rsidRPr="00807D5C">
        <w:rPr>
          <w:rFonts w:ascii="Verdana" w:hAnsi="Verdana"/>
          <w:sz w:val="20"/>
          <w:lang w:val="es-CR"/>
        </w:rPr>
        <w:t xml:space="preserve"> </w:t>
      </w:r>
      <w:r w:rsidR="00626BB4" w:rsidRPr="00807D5C">
        <w:rPr>
          <w:rFonts w:ascii="Verdana" w:hAnsi="Verdana"/>
          <w:sz w:val="20"/>
          <w:lang w:val="es-CR"/>
        </w:rPr>
        <w:t xml:space="preserve">lo ocurrido </w:t>
      </w:r>
      <w:r w:rsidR="00FF3A25" w:rsidRPr="00807D5C">
        <w:rPr>
          <w:rFonts w:ascii="Verdana" w:hAnsi="Verdana"/>
          <w:sz w:val="20"/>
          <w:lang w:val="es-CR"/>
        </w:rPr>
        <w:t xml:space="preserve">en </w:t>
      </w:r>
      <w:r w:rsidRPr="00807D5C">
        <w:rPr>
          <w:rFonts w:ascii="Verdana" w:hAnsi="Verdana"/>
          <w:sz w:val="20"/>
          <w:lang w:val="es-CR"/>
        </w:rPr>
        <w:t xml:space="preserve">las investigaciones penales </w:t>
      </w:r>
      <w:r w:rsidR="0085726C" w:rsidRPr="00807D5C">
        <w:rPr>
          <w:rFonts w:ascii="Verdana" w:hAnsi="Verdana"/>
          <w:sz w:val="20"/>
          <w:lang w:val="es-CR"/>
        </w:rPr>
        <w:t xml:space="preserve">preparatorias </w:t>
      </w:r>
      <w:r w:rsidRPr="00807D5C">
        <w:rPr>
          <w:rFonts w:ascii="Verdana" w:hAnsi="Verdana"/>
          <w:sz w:val="20"/>
          <w:lang w:val="es-CR"/>
        </w:rPr>
        <w:t xml:space="preserve">abiertas en relación con los hechos del presente caso </w:t>
      </w:r>
      <w:r w:rsidR="00177EFD" w:rsidRPr="00807D5C">
        <w:rPr>
          <w:rFonts w:ascii="Verdana" w:hAnsi="Verdana"/>
          <w:sz w:val="20"/>
          <w:lang w:val="es-CR"/>
        </w:rPr>
        <w:t xml:space="preserve"> </w:t>
      </w:r>
      <w:r w:rsidRPr="00807D5C">
        <w:rPr>
          <w:rFonts w:ascii="Verdana" w:hAnsi="Verdana"/>
          <w:sz w:val="20"/>
          <w:lang w:val="es-CR"/>
        </w:rPr>
        <w:t xml:space="preserve">y </w:t>
      </w:r>
      <w:r w:rsidR="0085726C" w:rsidRPr="00807D5C">
        <w:rPr>
          <w:rFonts w:ascii="Verdana" w:hAnsi="Verdana"/>
          <w:sz w:val="20"/>
          <w:lang w:val="es-CR"/>
        </w:rPr>
        <w:t xml:space="preserve">en las causas seguidas a los </w:t>
      </w:r>
      <w:r w:rsidRPr="00807D5C">
        <w:rPr>
          <w:rFonts w:ascii="Verdana" w:hAnsi="Verdana"/>
          <w:sz w:val="20"/>
          <w:lang w:val="es-CR"/>
        </w:rPr>
        <w:t>dos</w:t>
      </w:r>
      <w:r w:rsidR="0085726C" w:rsidRPr="00807D5C">
        <w:rPr>
          <w:rFonts w:ascii="Verdana" w:hAnsi="Verdana"/>
          <w:sz w:val="20"/>
          <w:lang w:val="es-CR"/>
        </w:rPr>
        <w:t xml:space="preserve"> presuntos</w:t>
      </w:r>
      <w:r w:rsidRPr="00807D5C">
        <w:rPr>
          <w:rFonts w:ascii="Verdana" w:hAnsi="Verdana"/>
          <w:sz w:val="20"/>
          <w:lang w:val="es-CR"/>
        </w:rPr>
        <w:t xml:space="preserve"> </w:t>
      </w:r>
      <w:r w:rsidRPr="00807D5C">
        <w:rPr>
          <w:rFonts w:ascii="Verdana" w:hAnsi="Verdana"/>
          <w:sz w:val="20"/>
          <w:lang w:val="es-CR"/>
        </w:rPr>
        <w:lastRenderedPageBreak/>
        <w:t>autores materiales de la ejecución del señor Gutiérrez</w:t>
      </w:r>
      <w:r w:rsidR="0085726C" w:rsidRPr="00807D5C">
        <w:rPr>
          <w:rFonts w:ascii="Verdana" w:hAnsi="Verdana"/>
          <w:sz w:val="20"/>
          <w:lang w:val="es-CR"/>
        </w:rPr>
        <w:t xml:space="preserve"> sobre los cuales la Corte tuvo conocimiento durante la etapa de fondo del presente caso</w:t>
      </w:r>
      <w:r w:rsidRPr="00807D5C">
        <w:rPr>
          <w:rFonts w:ascii="Verdana" w:hAnsi="Verdana"/>
          <w:sz w:val="20"/>
          <w:lang w:val="es-CR"/>
        </w:rPr>
        <w:t>.</w:t>
      </w:r>
    </w:p>
    <w:p w14:paraId="55E23CE2" w14:textId="49C27E1B" w:rsidR="00485E50" w:rsidRPr="001731F5" w:rsidRDefault="00F82C58" w:rsidP="00485E50">
      <w:pPr>
        <w:pStyle w:val="Prrafodelista"/>
        <w:numPr>
          <w:ilvl w:val="0"/>
          <w:numId w:val="32"/>
        </w:numPr>
        <w:spacing w:before="120" w:after="120"/>
        <w:jc w:val="both"/>
        <w:rPr>
          <w:rFonts w:ascii="Verdana" w:hAnsi="Verdana"/>
          <w:i/>
          <w:iCs/>
          <w:sz w:val="20"/>
          <w:lang w:val="es-CR"/>
        </w:rPr>
      </w:pPr>
      <w:r w:rsidRPr="00807D5C">
        <w:rPr>
          <w:rFonts w:ascii="Verdana" w:hAnsi="Verdana"/>
          <w:i/>
          <w:iCs/>
          <w:sz w:val="20"/>
          <w:lang w:val="es-CR"/>
        </w:rPr>
        <w:t xml:space="preserve">Investigación </w:t>
      </w:r>
      <w:r w:rsidRPr="001731F5">
        <w:rPr>
          <w:rFonts w:ascii="Verdana" w:hAnsi="Verdana"/>
          <w:i/>
          <w:iCs/>
          <w:sz w:val="20"/>
          <w:lang w:val="es-CR"/>
        </w:rPr>
        <w:t xml:space="preserve">Penal Preparatoria I.P.P Nº </w:t>
      </w:r>
      <w:r w:rsidRPr="00785498">
        <w:rPr>
          <w:rFonts w:ascii="Verdana" w:hAnsi="Verdana"/>
          <w:i/>
          <w:sz w:val="20"/>
          <w:lang w:val="es-CR"/>
        </w:rPr>
        <w:t>06-00-</w:t>
      </w:r>
      <w:r w:rsidR="00AF4444" w:rsidRPr="00785498">
        <w:rPr>
          <w:rFonts w:ascii="Verdana" w:hAnsi="Verdana"/>
          <w:i/>
          <w:sz w:val="20"/>
          <w:lang w:val="es-CR"/>
        </w:rPr>
        <w:t>0</w:t>
      </w:r>
      <w:r w:rsidRPr="00785498">
        <w:rPr>
          <w:rFonts w:ascii="Verdana" w:hAnsi="Verdana"/>
          <w:i/>
          <w:sz w:val="20"/>
          <w:lang w:val="es-CR"/>
        </w:rPr>
        <w:t>19616-13</w:t>
      </w:r>
    </w:p>
    <w:p w14:paraId="422B2636" w14:textId="1C50A8EE" w:rsidR="006762FA" w:rsidRPr="001731F5" w:rsidRDefault="00A57D3D" w:rsidP="000F4A74">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Luego de una decisión emitida </w:t>
      </w:r>
      <w:r w:rsidR="00541081" w:rsidRPr="001731F5">
        <w:rPr>
          <w:rFonts w:ascii="Verdana" w:hAnsi="Verdana"/>
          <w:sz w:val="20"/>
          <w:lang w:val="es-CR"/>
        </w:rPr>
        <w:t xml:space="preserve">el 7 </w:t>
      </w:r>
      <w:r w:rsidR="00562B74" w:rsidRPr="001731F5">
        <w:rPr>
          <w:rFonts w:ascii="Verdana" w:hAnsi="Verdana"/>
          <w:sz w:val="20"/>
          <w:lang w:val="es-CR"/>
        </w:rPr>
        <w:t>mayo de 2013 p</w:t>
      </w:r>
      <w:r w:rsidRPr="001731F5">
        <w:rPr>
          <w:rFonts w:ascii="Verdana" w:hAnsi="Verdana"/>
          <w:sz w:val="20"/>
          <w:lang w:val="es-CR"/>
        </w:rPr>
        <w:t xml:space="preserve">or la Sala </w:t>
      </w:r>
      <w:r w:rsidR="0085726C" w:rsidRPr="001731F5">
        <w:rPr>
          <w:rFonts w:ascii="Verdana" w:hAnsi="Verdana"/>
          <w:sz w:val="20"/>
          <w:lang w:val="es-CR"/>
        </w:rPr>
        <w:t>Tercera</w:t>
      </w:r>
      <w:r w:rsidRPr="001731F5">
        <w:rPr>
          <w:rFonts w:ascii="Verdana" w:hAnsi="Verdana"/>
          <w:sz w:val="20"/>
          <w:lang w:val="es-CR"/>
        </w:rPr>
        <w:t xml:space="preserve"> de</w:t>
      </w:r>
      <w:r w:rsidR="006762FA" w:rsidRPr="001731F5">
        <w:rPr>
          <w:rFonts w:ascii="Verdana" w:hAnsi="Verdana"/>
          <w:sz w:val="20"/>
          <w:lang w:val="es-CR"/>
        </w:rPr>
        <w:t>l Tribunal de</w:t>
      </w:r>
      <w:r w:rsidRPr="001731F5">
        <w:rPr>
          <w:rFonts w:ascii="Verdana" w:hAnsi="Verdana"/>
          <w:sz w:val="20"/>
          <w:lang w:val="es-CR"/>
        </w:rPr>
        <w:t xml:space="preserve"> Casación Penal</w:t>
      </w:r>
      <w:r w:rsidR="006762FA" w:rsidRPr="001731F5">
        <w:rPr>
          <w:rFonts w:ascii="Verdana" w:hAnsi="Verdana"/>
          <w:sz w:val="20"/>
          <w:lang w:val="es-CR"/>
        </w:rPr>
        <w:t xml:space="preserve"> de la Provincia de Buenos Aires</w:t>
      </w:r>
      <w:r w:rsidRPr="001731F5">
        <w:rPr>
          <w:rFonts w:ascii="Verdana" w:hAnsi="Verdana"/>
          <w:sz w:val="20"/>
          <w:lang w:val="es-CR"/>
        </w:rPr>
        <w:t xml:space="preserve">, en cual se resolvió que correspondía dar inmediata intervención al Fiscal General de </w:t>
      </w:r>
      <w:r w:rsidR="00FF3A25">
        <w:rPr>
          <w:rFonts w:ascii="Verdana" w:hAnsi="Verdana"/>
          <w:sz w:val="20"/>
          <w:lang w:val="es-CR"/>
        </w:rPr>
        <w:t>L</w:t>
      </w:r>
      <w:r w:rsidRPr="001731F5">
        <w:rPr>
          <w:rFonts w:ascii="Verdana" w:hAnsi="Verdana"/>
          <w:sz w:val="20"/>
          <w:lang w:val="es-CR"/>
        </w:rPr>
        <w:t>a Plata para que realizara una investigación a efecto de “determinar la responsabilidad intelectual y material de todos los demás que hayan intervenido en la preparación y ejecución del homicidio [del señor Gutiérrez]</w:t>
      </w:r>
      <w:r w:rsidR="0085726C" w:rsidRPr="001731F5">
        <w:rPr>
          <w:rFonts w:ascii="Verdana" w:hAnsi="Verdana"/>
          <w:sz w:val="20"/>
          <w:lang w:val="es-CR"/>
        </w:rPr>
        <w:t>,</w:t>
      </w:r>
      <w:r w:rsidRPr="001731F5">
        <w:rPr>
          <w:rFonts w:ascii="Verdana" w:hAnsi="Verdana"/>
          <w:sz w:val="20"/>
          <w:lang w:val="es-CR"/>
        </w:rPr>
        <w:t xml:space="preserve"> como en la eventual alteración o desaparición de elementos de prueba, favorecimiento personal de los anteriores u omisión de investigar y/o denunciar lo que correspondía investigar y/o denunciar”, se inició </w:t>
      </w:r>
      <w:r w:rsidR="00FF3A25">
        <w:rPr>
          <w:rFonts w:ascii="Verdana" w:hAnsi="Verdana"/>
          <w:sz w:val="20"/>
          <w:lang w:val="es-CR"/>
        </w:rPr>
        <w:t>una</w:t>
      </w:r>
      <w:r w:rsidR="00FF3A25" w:rsidRPr="001731F5">
        <w:rPr>
          <w:rFonts w:ascii="Verdana" w:hAnsi="Verdana"/>
          <w:sz w:val="20"/>
          <w:lang w:val="es-CR"/>
        </w:rPr>
        <w:t xml:space="preserve"> </w:t>
      </w:r>
      <w:r w:rsidRPr="001731F5">
        <w:rPr>
          <w:rFonts w:ascii="Verdana" w:hAnsi="Verdana"/>
          <w:sz w:val="20"/>
          <w:lang w:val="es-CR"/>
        </w:rPr>
        <w:t>investigación penal preparatoria</w:t>
      </w:r>
      <w:r w:rsidR="00562B74" w:rsidRPr="001731F5">
        <w:rPr>
          <w:rFonts w:ascii="Verdana" w:hAnsi="Verdana"/>
          <w:sz w:val="20"/>
          <w:lang w:val="es-CR"/>
        </w:rPr>
        <w:t>, tramitada ante la Unidad Funcional de Instrucción y Juicio N°</w:t>
      </w:r>
      <w:r w:rsidR="00785498">
        <w:rPr>
          <w:rFonts w:ascii="Verdana" w:hAnsi="Verdana"/>
          <w:sz w:val="20"/>
          <w:lang w:val="es-CR"/>
        </w:rPr>
        <w:t xml:space="preserve"> </w:t>
      </w:r>
      <w:r w:rsidR="00562B74" w:rsidRPr="001731F5">
        <w:rPr>
          <w:rFonts w:ascii="Verdana" w:hAnsi="Verdana"/>
          <w:sz w:val="20"/>
          <w:lang w:val="es-CR"/>
        </w:rPr>
        <w:t>11 del Departamento Judicial de la Plata</w:t>
      </w:r>
      <w:r w:rsidRPr="001731F5">
        <w:rPr>
          <w:rStyle w:val="Refdenotaalpie"/>
          <w:rFonts w:ascii="Verdana" w:hAnsi="Verdana"/>
          <w:sz w:val="20"/>
          <w:lang w:val="es-CR"/>
        </w:rPr>
        <w:footnoteReference w:id="12"/>
      </w:r>
      <w:r w:rsidRPr="001731F5">
        <w:rPr>
          <w:rFonts w:ascii="Verdana" w:hAnsi="Verdana"/>
          <w:sz w:val="20"/>
          <w:lang w:val="es-CR"/>
        </w:rPr>
        <w:t>.</w:t>
      </w:r>
      <w:r w:rsidRPr="001731F5">
        <w:rPr>
          <w:rFonts w:ascii="Verdana" w:hAnsi="Verdana"/>
          <w:b/>
          <w:sz w:val="20"/>
          <w:lang w:val="es-CR"/>
        </w:rPr>
        <w:t xml:space="preserve"> </w:t>
      </w:r>
      <w:r w:rsidR="00562B74" w:rsidRPr="001731F5">
        <w:rPr>
          <w:rFonts w:ascii="Verdana" w:hAnsi="Verdana"/>
          <w:bCs/>
          <w:sz w:val="20"/>
          <w:lang w:val="es-CR"/>
        </w:rPr>
        <w:t xml:space="preserve">El </w:t>
      </w:r>
      <w:r w:rsidR="00562B74" w:rsidRPr="00807D5C">
        <w:rPr>
          <w:rFonts w:ascii="Verdana" w:hAnsi="Verdana"/>
          <w:bCs/>
          <w:iCs/>
          <w:sz w:val="20"/>
          <w:lang w:val="es-CR"/>
        </w:rPr>
        <w:t>Estado</w:t>
      </w:r>
      <w:r w:rsidR="00562B74" w:rsidRPr="001731F5">
        <w:rPr>
          <w:rFonts w:ascii="Verdana" w:hAnsi="Verdana"/>
          <w:bCs/>
          <w:sz w:val="20"/>
          <w:lang w:val="es-CR"/>
        </w:rPr>
        <w:t xml:space="preserve"> aportó informes elaborados en 2014 y 2015 por el </w:t>
      </w:r>
      <w:r w:rsidR="00AF4444">
        <w:rPr>
          <w:rFonts w:ascii="Verdana" w:hAnsi="Verdana"/>
          <w:bCs/>
          <w:sz w:val="20"/>
          <w:lang w:val="es-CR"/>
        </w:rPr>
        <w:t>Agente F</w:t>
      </w:r>
      <w:r w:rsidR="00562B74" w:rsidRPr="001731F5">
        <w:rPr>
          <w:rFonts w:ascii="Verdana" w:hAnsi="Verdana"/>
          <w:bCs/>
          <w:sz w:val="20"/>
          <w:lang w:val="es-CR"/>
        </w:rPr>
        <w:t xml:space="preserve">iscal a cargo de la investigación, en los cuales se detallan las diligencias que se efectuaron para tratar de avanzar en la determinación de los autores del asesinato del señor Gutiérrez, así como averiguaciones sobre otros </w:t>
      </w:r>
      <w:r w:rsidR="0085726C" w:rsidRPr="001731F5">
        <w:rPr>
          <w:rFonts w:ascii="Verdana" w:hAnsi="Verdana"/>
          <w:bCs/>
          <w:sz w:val="20"/>
          <w:lang w:val="es-CR"/>
        </w:rPr>
        <w:t xml:space="preserve">hechos </w:t>
      </w:r>
      <w:r w:rsidR="00562B74" w:rsidRPr="001731F5">
        <w:rPr>
          <w:rFonts w:ascii="Verdana" w:hAnsi="Verdana"/>
          <w:bCs/>
          <w:sz w:val="20"/>
          <w:lang w:val="es-CR"/>
        </w:rPr>
        <w:t>ilícitos ocurrid</w:t>
      </w:r>
      <w:r w:rsidR="0085726C" w:rsidRPr="001731F5">
        <w:rPr>
          <w:rFonts w:ascii="Verdana" w:hAnsi="Verdana"/>
          <w:bCs/>
          <w:sz w:val="20"/>
          <w:lang w:val="es-CR"/>
        </w:rPr>
        <w:t xml:space="preserve">os </w:t>
      </w:r>
      <w:r w:rsidR="00562B74" w:rsidRPr="001731F5">
        <w:rPr>
          <w:rFonts w:ascii="Verdana" w:hAnsi="Verdana"/>
          <w:bCs/>
          <w:sz w:val="20"/>
          <w:lang w:val="es-CR"/>
        </w:rPr>
        <w:t>que podrían tener relación con éste</w:t>
      </w:r>
      <w:r w:rsidR="00562B74" w:rsidRPr="001731F5">
        <w:rPr>
          <w:rStyle w:val="Refdenotaalpie"/>
          <w:rFonts w:ascii="Verdana" w:hAnsi="Verdana"/>
          <w:bCs/>
          <w:sz w:val="20"/>
          <w:lang w:val="es-CR"/>
        </w:rPr>
        <w:footnoteReference w:id="13"/>
      </w:r>
      <w:r w:rsidR="00562B74" w:rsidRPr="001731F5">
        <w:rPr>
          <w:rFonts w:ascii="Verdana" w:hAnsi="Verdana"/>
          <w:bCs/>
          <w:sz w:val="20"/>
          <w:lang w:val="es-CR"/>
        </w:rPr>
        <w:t>.</w:t>
      </w:r>
      <w:r w:rsidR="00541081" w:rsidRPr="001731F5">
        <w:rPr>
          <w:rFonts w:ascii="Verdana" w:hAnsi="Verdana"/>
          <w:b/>
          <w:sz w:val="20"/>
          <w:lang w:val="es-CR"/>
        </w:rPr>
        <w:t xml:space="preserve"> </w:t>
      </w:r>
    </w:p>
    <w:p w14:paraId="05CFB837" w14:textId="5D6D6B7B" w:rsidR="009D57FA" w:rsidRPr="001731F5" w:rsidRDefault="006762FA" w:rsidP="009D57FA">
      <w:pPr>
        <w:numPr>
          <w:ilvl w:val="0"/>
          <w:numId w:val="5"/>
        </w:numPr>
        <w:spacing w:before="120" w:after="120"/>
        <w:ind w:left="0" w:firstLine="0"/>
        <w:jc w:val="both"/>
        <w:rPr>
          <w:rFonts w:ascii="Verdana" w:hAnsi="Verdana"/>
          <w:sz w:val="20"/>
          <w:lang w:val="es-CR"/>
        </w:rPr>
      </w:pPr>
      <w:bookmarkStart w:id="8" w:name="_Ref27044668"/>
      <w:r w:rsidRPr="001731F5">
        <w:rPr>
          <w:rFonts w:ascii="Verdana" w:hAnsi="Verdana"/>
          <w:bCs/>
          <w:sz w:val="20"/>
          <w:lang w:val="es-CR"/>
        </w:rPr>
        <w:t xml:space="preserve">La Corte constata que dicha investigación no alcanzó resultados en cuanto a la determinación de </w:t>
      </w:r>
      <w:r w:rsidR="0085726C" w:rsidRPr="001731F5">
        <w:rPr>
          <w:rFonts w:ascii="Verdana" w:hAnsi="Verdana"/>
          <w:bCs/>
          <w:sz w:val="20"/>
          <w:lang w:val="es-CR"/>
        </w:rPr>
        <w:t xml:space="preserve">otros </w:t>
      </w:r>
      <w:r w:rsidRPr="001731F5">
        <w:rPr>
          <w:rFonts w:ascii="Verdana" w:hAnsi="Verdana"/>
          <w:bCs/>
          <w:sz w:val="20"/>
          <w:lang w:val="es-CR"/>
        </w:rPr>
        <w:t>responsables de los hechos ocurridos al señor Gutiérre</w:t>
      </w:r>
      <w:r w:rsidR="0085726C" w:rsidRPr="001731F5">
        <w:rPr>
          <w:rFonts w:ascii="Verdana" w:hAnsi="Verdana"/>
          <w:bCs/>
          <w:sz w:val="20"/>
          <w:lang w:val="es-CR"/>
        </w:rPr>
        <w:t>z</w:t>
      </w:r>
      <w:r w:rsidRPr="001731F5">
        <w:rPr>
          <w:rFonts w:ascii="Verdana" w:hAnsi="Verdana"/>
          <w:bCs/>
          <w:sz w:val="20"/>
          <w:lang w:val="es-CR"/>
        </w:rPr>
        <w:t xml:space="preserve">. Al respecto, el </w:t>
      </w:r>
      <w:r w:rsidRPr="00807D5C">
        <w:rPr>
          <w:rFonts w:ascii="Verdana" w:hAnsi="Verdana"/>
          <w:bCs/>
          <w:iCs/>
          <w:sz w:val="20"/>
          <w:lang w:val="es-CR"/>
        </w:rPr>
        <w:t>Estado</w:t>
      </w:r>
      <w:r w:rsidRPr="001731F5">
        <w:rPr>
          <w:rFonts w:ascii="Verdana" w:hAnsi="Verdana"/>
          <w:bCs/>
          <w:sz w:val="20"/>
          <w:lang w:val="es-CR"/>
        </w:rPr>
        <w:t xml:space="preserve"> informó que </w:t>
      </w:r>
      <w:r w:rsidR="00785498">
        <w:rPr>
          <w:rFonts w:ascii="Verdana" w:hAnsi="Verdana"/>
          <w:bCs/>
          <w:sz w:val="20"/>
          <w:lang w:val="es-CR"/>
        </w:rPr>
        <w:t xml:space="preserve">el </w:t>
      </w:r>
      <w:r w:rsidR="00541081" w:rsidRPr="001731F5">
        <w:rPr>
          <w:rFonts w:ascii="Verdana" w:hAnsi="Verdana"/>
          <w:bCs/>
          <w:sz w:val="20"/>
          <w:lang w:val="es-CR"/>
        </w:rPr>
        <w:t xml:space="preserve">11 de abril de 2016 el fiscal a cargo </w:t>
      </w:r>
      <w:r w:rsidRPr="001731F5">
        <w:rPr>
          <w:rFonts w:ascii="Verdana" w:hAnsi="Verdana"/>
          <w:bCs/>
          <w:sz w:val="20"/>
          <w:lang w:val="es-CR"/>
        </w:rPr>
        <w:t>“res[</w:t>
      </w:r>
      <w:proofErr w:type="spellStart"/>
      <w:r w:rsidRPr="001731F5">
        <w:rPr>
          <w:rFonts w:ascii="Verdana" w:hAnsi="Verdana"/>
          <w:bCs/>
          <w:sz w:val="20"/>
          <w:lang w:val="es-CR"/>
        </w:rPr>
        <w:t>olvió</w:t>
      </w:r>
      <w:proofErr w:type="spellEnd"/>
      <w:r w:rsidRPr="001731F5">
        <w:rPr>
          <w:rFonts w:ascii="Verdana" w:hAnsi="Verdana"/>
          <w:bCs/>
          <w:sz w:val="20"/>
          <w:lang w:val="es-CR"/>
        </w:rPr>
        <w:t>] el</w:t>
      </w:r>
      <w:r w:rsidR="00541081" w:rsidRPr="001731F5">
        <w:rPr>
          <w:rFonts w:ascii="Verdana" w:hAnsi="Verdana"/>
          <w:bCs/>
          <w:sz w:val="20"/>
          <w:lang w:val="es-CR"/>
        </w:rPr>
        <w:t xml:space="preserve"> archiv</w:t>
      </w:r>
      <w:r w:rsidRPr="001731F5">
        <w:rPr>
          <w:rFonts w:ascii="Verdana" w:hAnsi="Verdana"/>
          <w:bCs/>
          <w:sz w:val="20"/>
          <w:lang w:val="es-CR"/>
        </w:rPr>
        <w:t>o” de</w:t>
      </w:r>
      <w:r w:rsidR="00541081" w:rsidRPr="001731F5">
        <w:rPr>
          <w:rFonts w:ascii="Verdana" w:hAnsi="Verdana"/>
          <w:bCs/>
          <w:sz w:val="20"/>
          <w:lang w:val="es-CR"/>
        </w:rPr>
        <w:t xml:space="preserve"> </w:t>
      </w:r>
      <w:r w:rsidR="0085726C" w:rsidRPr="001731F5">
        <w:rPr>
          <w:rFonts w:ascii="Verdana" w:hAnsi="Verdana"/>
          <w:bCs/>
          <w:sz w:val="20"/>
          <w:lang w:val="es-CR"/>
        </w:rPr>
        <w:t>est</w:t>
      </w:r>
      <w:r w:rsidR="00541081" w:rsidRPr="001731F5">
        <w:rPr>
          <w:rFonts w:ascii="Verdana" w:hAnsi="Verdana"/>
          <w:bCs/>
          <w:sz w:val="20"/>
          <w:lang w:val="es-CR"/>
        </w:rPr>
        <w:t>a investigación</w:t>
      </w:r>
      <w:r w:rsidRPr="001731F5">
        <w:rPr>
          <w:rFonts w:ascii="Verdana" w:hAnsi="Verdana"/>
          <w:bCs/>
          <w:sz w:val="20"/>
          <w:lang w:val="es-CR"/>
        </w:rPr>
        <w:t>,</w:t>
      </w:r>
      <w:r w:rsidR="00541081" w:rsidRPr="001731F5">
        <w:rPr>
          <w:rFonts w:ascii="Verdana" w:hAnsi="Verdana"/>
          <w:bCs/>
          <w:sz w:val="20"/>
          <w:lang w:val="es-CR"/>
        </w:rPr>
        <w:t xml:space="preserve"> debido a que “</w:t>
      </w:r>
      <w:r w:rsidRPr="001731F5">
        <w:rPr>
          <w:rFonts w:ascii="Verdana" w:hAnsi="Verdana"/>
          <w:bCs/>
          <w:sz w:val="20"/>
          <w:lang w:val="es-CR"/>
        </w:rPr>
        <w:t xml:space="preserve">a la luz de los criterios de racionalidad y eficacia […] </w:t>
      </w:r>
      <w:r w:rsidR="00541081" w:rsidRPr="001731F5">
        <w:rPr>
          <w:rFonts w:ascii="Verdana" w:hAnsi="Verdana"/>
          <w:bCs/>
          <w:sz w:val="20"/>
          <w:lang w:val="es-CR"/>
        </w:rPr>
        <w:t xml:space="preserve">no </w:t>
      </w:r>
      <w:proofErr w:type="spellStart"/>
      <w:r w:rsidR="00541081" w:rsidRPr="001731F5">
        <w:rPr>
          <w:rFonts w:ascii="Verdana" w:hAnsi="Verdana"/>
          <w:bCs/>
          <w:sz w:val="20"/>
          <w:lang w:val="es-CR"/>
        </w:rPr>
        <w:t>surg</w:t>
      </w:r>
      <w:proofErr w:type="spellEnd"/>
      <w:r w:rsidR="00541081" w:rsidRPr="001731F5">
        <w:rPr>
          <w:rFonts w:ascii="Verdana" w:hAnsi="Verdana"/>
          <w:bCs/>
          <w:sz w:val="20"/>
          <w:lang w:val="es-CR"/>
        </w:rPr>
        <w:t>[</w:t>
      </w:r>
      <w:proofErr w:type="spellStart"/>
      <w:r w:rsidR="00541081" w:rsidRPr="001731F5">
        <w:rPr>
          <w:rFonts w:ascii="Verdana" w:hAnsi="Verdana"/>
          <w:bCs/>
          <w:sz w:val="20"/>
          <w:lang w:val="es-CR"/>
        </w:rPr>
        <w:t>ían</w:t>
      </w:r>
      <w:proofErr w:type="spellEnd"/>
      <w:r w:rsidR="00541081" w:rsidRPr="001731F5">
        <w:rPr>
          <w:rFonts w:ascii="Verdana" w:hAnsi="Verdana"/>
          <w:bCs/>
          <w:sz w:val="20"/>
          <w:lang w:val="es-CR"/>
        </w:rPr>
        <w:t xml:space="preserve">] elementos de prueba suficientes que </w:t>
      </w:r>
      <w:proofErr w:type="spellStart"/>
      <w:r w:rsidR="00541081" w:rsidRPr="001731F5">
        <w:rPr>
          <w:rFonts w:ascii="Verdana" w:hAnsi="Verdana"/>
          <w:bCs/>
          <w:sz w:val="20"/>
          <w:lang w:val="es-CR"/>
        </w:rPr>
        <w:t>permit</w:t>
      </w:r>
      <w:proofErr w:type="spellEnd"/>
      <w:r w:rsidR="002F41DD">
        <w:rPr>
          <w:rFonts w:ascii="Verdana" w:hAnsi="Verdana"/>
          <w:bCs/>
          <w:sz w:val="20"/>
          <w:lang w:val="es-CR"/>
        </w:rPr>
        <w:t>[</w:t>
      </w:r>
      <w:proofErr w:type="spellStart"/>
      <w:r w:rsidR="002F41DD">
        <w:rPr>
          <w:rFonts w:ascii="Verdana" w:hAnsi="Verdana"/>
          <w:bCs/>
          <w:sz w:val="20"/>
          <w:lang w:val="es-CR"/>
        </w:rPr>
        <w:t>ier</w:t>
      </w:r>
      <w:r w:rsidR="00541081" w:rsidRPr="001731F5">
        <w:rPr>
          <w:rFonts w:ascii="Verdana" w:hAnsi="Verdana"/>
          <w:bCs/>
          <w:sz w:val="20"/>
          <w:lang w:val="es-CR"/>
        </w:rPr>
        <w:t>an</w:t>
      </w:r>
      <w:proofErr w:type="spellEnd"/>
      <w:r w:rsidR="002F41DD">
        <w:rPr>
          <w:rFonts w:ascii="Verdana" w:hAnsi="Verdana"/>
          <w:bCs/>
          <w:sz w:val="20"/>
          <w:lang w:val="es-CR"/>
        </w:rPr>
        <w:t>]</w:t>
      </w:r>
      <w:r w:rsidR="00541081" w:rsidRPr="001731F5">
        <w:rPr>
          <w:rFonts w:ascii="Verdana" w:hAnsi="Verdana"/>
          <w:bCs/>
          <w:sz w:val="20"/>
          <w:lang w:val="es-CR"/>
        </w:rPr>
        <w:t xml:space="preserve"> individualizar a los cómplices, instigadores y/o encubridores del hecho que </w:t>
      </w:r>
      <w:r w:rsidRPr="001731F5">
        <w:rPr>
          <w:rFonts w:ascii="Verdana" w:hAnsi="Verdana"/>
          <w:bCs/>
          <w:sz w:val="20"/>
          <w:lang w:val="es-CR"/>
        </w:rPr>
        <w:t>diera motivo a la formación de</w:t>
      </w:r>
      <w:r w:rsidR="002F41DD">
        <w:rPr>
          <w:rFonts w:ascii="Verdana" w:hAnsi="Verdana"/>
          <w:bCs/>
          <w:sz w:val="20"/>
          <w:lang w:val="es-CR"/>
        </w:rPr>
        <w:t>l presente</w:t>
      </w:r>
      <w:r w:rsidRPr="001731F5">
        <w:rPr>
          <w:rFonts w:ascii="Verdana" w:hAnsi="Verdana"/>
          <w:bCs/>
          <w:sz w:val="20"/>
          <w:lang w:val="es-CR"/>
        </w:rPr>
        <w:t xml:space="preserve"> legajo</w:t>
      </w:r>
      <w:r w:rsidR="00541081" w:rsidRPr="001731F5">
        <w:rPr>
          <w:rFonts w:ascii="Verdana" w:hAnsi="Verdana"/>
          <w:bCs/>
          <w:sz w:val="20"/>
          <w:lang w:val="es-CR"/>
        </w:rPr>
        <w:t>”</w:t>
      </w:r>
      <w:r w:rsidRPr="001731F5">
        <w:rPr>
          <w:rFonts w:ascii="Verdana" w:hAnsi="Verdana"/>
          <w:bCs/>
          <w:sz w:val="20"/>
          <w:lang w:val="es-CR"/>
        </w:rPr>
        <w:t xml:space="preserve"> de investigación</w:t>
      </w:r>
      <w:r w:rsidRPr="001731F5">
        <w:rPr>
          <w:rStyle w:val="Refdenotaalpie"/>
          <w:rFonts w:ascii="Verdana" w:hAnsi="Verdana"/>
          <w:bCs/>
          <w:sz w:val="20"/>
          <w:lang w:val="es-CR"/>
        </w:rPr>
        <w:footnoteReference w:id="14"/>
      </w:r>
      <w:r w:rsidR="00541081" w:rsidRPr="001731F5">
        <w:rPr>
          <w:rFonts w:ascii="Verdana" w:hAnsi="Verdana"/>
          <w:bCs/>
          <w:sz w:val="20"/>
          <w:lang w:val="es-CR"/>
        </w:rPr>
        <w:t xml:space="preserve">. </w:t>
      </w:r>
      <w:r w:rsidRPr="001731F5">
        <w:rPr>
          <w:rFonts w:ascii="Verdana" w:hAnsi="Verdana"/>
          <w:sz w:val="20"/>
          <w:lang w:val="es-CR"/>
        </w:rPr>
        <w:t xml:space="preserve">Los </w:t>
      </w:r>
      <w:r w:rsidRPr="00807D5C">
        <w:rPr>
          <w:rFonts w:ascii="Verdana" w:hAnsi="Verdana"/>
          <w:iCs/>
          <w:sz w:val="20"/>
          <w:lang w:val="es-CR"/>
        </w:rPr>
        <w:t>representantes</w:t>
      </w:r>
      <w:r w:rsidRPr="001731F5">
        <w:rPr>
          <w:rFonts w:ascii="Verdana" w:hAnsi="Verdana"/>
          <w:i/>
          <w:iCs/>
          <w:sz w:val="20"/>
          <w:lang w:val="es-CR"/>
        </w:rPr>
        <w:t xml:space="preserve"> </w:t>
      </w:r>
      <w:r w:rsidRPr="001731F5">
        <w:rPr>
          <w:rFonts w:ascii="Verdana" w:hAnsi="Verdana"/>
          <w:sz w:val="20"/>
          <w:lang w:val="es-CR"/>
        </w:rPr>
        <w:t xml:space="preserve">consideraron que </w:t>
      </w:r>
      <w:r w:rsidR="005669E3" w:rsidRPr="001731F5">
        <w:rPr>
          <w:rFonts w:ascii="Verdana" w:hAnsi="Verdana"/>
          <w:sz w:val="20"/>
          <w:lang w:val="es-CR"/>
        </w:rPr>
        <w:t>esta investigación fue</w:t>
      </w:r>
      <w:r w:rsidRPr="001731F5">
        <w:rPr>
          <w:rFonts w:ascii="Verdana" w:hAnsi="Verdana"/>
          <w:sz w:val="20"/>
          <w:lang w:val="es-CR"/>
        </w:rPr>
        <w:t xml:space="preserve"> </w:t>
      </w:r>
      <w:r w:rsidR="005669E3" w:rsidRPr="001731F5">
        <w:rPr>
          <w:rFonts w:ascii="Verdana" w:hAnsi="Verdana"/>
          <w:sz w:val="20"/>
          <w:lang w:val="es-CR"/>
        </w:rPr>
        <w:t>“</w:t>
      </w:r>
      <w:r w:rsidR="00485E50" w:rsidRPr="001731F5">
        <w:rPr>
          <w:rFonts w:ascii="Verdana" w:hAnsi="Verdana"/>
          <w:bCs/>
          <w:sz w:val="20"/>
          <w:lang w:val="es-CR"/>
        </w:rPr>
        <w:t>totalmente deficiente</w:t>
      </w:r>
      <w:r w:rsidR="005669E3" w:rsidRPr="001731F5">
        <w:rPr>
          <w:rFonts w:ascii="Verdana" w:hAnsi="Verdana"/>
          <w:bCs/>
          <w:sz w:val="20"/>
          <w:lang w:val="es-CR"/>
        </w:rPr>
        <w:t>,</w:t>
      </w:r>
      <w:r w:rsidR="00485E50" w:rsidRPr="001731F5">
        <w:rPr>
          <w:rFonts w:ascii="Verdana" w:hAnsi="Verdana"/>
          <w:bCs/>
          <w:sz w:val="20"/>
          <w:lang w:val="es-CR"/>
        </w:rPr>
        <w:t xml:space="preserve"> pues no se </w:t>
      </w:r>
      <w:r w:rsidR="0085726C" w:rsidRPr="001731F5">
        <w:rPr>
          <w:rFonts w:ascii="Verdana" w:hAnsi="Verdana"/>
          <w:bCs/>
          <w:sz w:val="20"/>
          <w:lang w:val="es-CR"/>
        </w:rPr>
        <w:t xml:space="preserve">[…] </w:t>
      </w:r>
      <w:proofErr w:type="spellStart"/>
      <w:r w:rsidR="00485E50" w:rsidRPr="001731F5">
        <w:rPr>
          <w:rFonts w:ascii="Verdana" w:hAnsi="Verdana"/>
          <w:bCs/>
          <w:sz w:val="20"/>
          <w:lang w:val="es-CR"/>
        </w:rPr>
        <w:t>emprendi</w:t>
      </w:r>
      <w:proofErr w:type="spellEnd"/>
      <w:r w:rsidR="0085726C" w:rsidRPr="001731F5">
        <w:rPr>
          <w:rFonts w:ascii="Verdana" w:hAnsi="Verdana"/>
          <w:bCs/>
          <w:sz w:val="20"/>
          <w:lang w:val="es-CR"/>
        </w:rPr>
        <w:t>[</w:t>
      </w:r>
      <w:proofErr w:type="spellStart"/>
      <w:r w:rsidR="0085726C" w:rsidRPr="001731F5">
        <w:rPr>
          <w:rFonts w:ascii="Verdana" w:hAnsi="Verdana"/>
          <w:bCs/>
          <w:sz w:val="20"/>
          <w:lang w:val="es-CR"/>
        </w:rPr>
        <w:t>eron</w:t>
      </w:r>
      <w:proofErr w:type="spellEnd"/>
      <w:r w:rsidR="0085726C" w:rsidRPr="001731F5">
        <w:rPr>
          <w:rFonts w:ascii="Verdana" w:hAnsi="Verdana"/>
          <w:bCs/>
          <w:sz w:val="20"/>
          <w:lang w:val="es-CR"/>
        </w:rPr>
        <w:t>]</w:t>
      </w:r>
      <w:r w:rsidR="00485E50" w:rsidRPr="001731F5">
        <w:rPr>
          <w:rFonts w:ascii="Verdana" w:hAnsi="Verdana"/>
          <w:bCs/>
          <w:sz w:val="20"/>
          <w:lang w:val="es-CR"/>
        </w:rPr>
        <w:t xml:space="preserve"> diligencias serias tendientes a encontrar </w:t>
      </w:r>
      <w:r w:rsidR="00DB004B">
        <w:rPr>
          <w:rFonts w:ascii="Verdana" w:hAnsi="Verdana"/>
          <w:bCs/>
          <w:sz w:val="20"/>
          <w:lang w:val="es-CR"/>
        </w:rPr>
        <w:t>[</w:t>
      </w:r>
      <w:r w:rsidR="00485E50" w:rsidRPr="001731F5">
        <w:rPr>
          <w:rFonts w:ascii="Verdana" w:hAnsi="Verdana"/>
          <w:bCs/>
          <w:sz w:val="20"/>
          <w:lang w:val="es-CR"/>
        </w:rPr>
        <w:t>a</w:t>
      </w:r>
      <w:r w:rsidR="00DB004B">
        <w:rPr>
          <w:rFonts w:ascii="Verdana" w:hAnsi="Verdana"/>
          <w:bCs/>
          <w:sz w:val="20"/>
          <w:lang w:val="es-CR"/>
        </w:rPr>
        <w:t>]</w:t>
      </w:r>
      <w:r w:rsidR="00485E50" w:rsidRPr="001731F5">
        <w:rPr>
          <w:rFonts w:ascii="Verdana" w:hAnsi="Verdana"/>
          <w:bCs/>
          <w:sz w:val="20"/>
          <w:lang w:val="es-CR"/>
        </w:rPr>
        <w:t xml:space="preserve"> los responsables</w:t>
      </w:r>
      <w:r w:rsidR="005669E3" w:rsidRPr="001731F5">
        <w:rPr>
          <w:rFonts w:ascii="Verdana" w:hAnsi="Verdana"/>
          <w:bCs/>
          <w:sz w:val="20"/>
          <w:lang w:val="es-CR"/>
        </w:rPr>
        <w:t>”. Asimismo, s</w:t>
      </w:r>
      <w:r w:rsidR="00485E50" w:rsidRPr="001731F5">
        <w:rPr>
          <w:rFonts w:ascii="Verdana" w:hAnsi="Verdana"/>
          <w:bCs/>
          <w:sz w:val="20"/>
          <w:lang w:val="es-CR"/>
        </w:rPr>
        <w:t>e refirieron a la falta de fundamentación de</w:t>
      </w:r>
      <w:r w:rsidR="005669E3" w:rsidRPr="001731F5">
        <w:rPr>
          <w:rFonts w:ascii="Verdana" w:hAnsi="Verdana"/>
          <w:bCs/>
          <w:sz w:val="20"/>
          <w:lang w:val="es-CR"/>
        </w:rPr>
        <w:t xml:space="preserve"> la decisión del</w:t>
      </w:r>
      <w:r w:rsidR="00485E50" w:rsidRPr="001731F5">
        <w:rPr>
          <w:rFonts w:ascii="Verdana" w:hAnsi="Verdana"/>
          <w:bCs/>
          <w:sz w:val="20"/>
          <w:lang w:val="es-CR"/>
        </w:rPr>
        <w:t xml:space="preserve"> fiscal</w:t>
      </w:r>
      <w:r w:rsidR="005669E3" w:rsidRPr="001731F5">
        <w:rPr>
          <w:rFonts w:ascii="Verdana" w:hAnsi="Verdana"/>
          <w:bCs/>
          <w:sz w:val="20"/>
          <w:lang w:val="es-CR"/>
        </w:rPr>
        <w:t>, en la cual</w:t>
      </w:r>
      <w:r w:rsidR="0085726C" w:rsidRPr="001731F5">
        <w:rPr>
          <w:rFonts w:ascii="Verdana" w:hAnsi="Verdana"/>
          <w:bCs/>
          <w:sz w:val="20"/>
          <w:lang w:val="es-CR"/>
        </w:rPr>
        <w:t>,</w:t>
      </w:r>
      <w:r w:rsidR="005669E3" w:rsidRPr="001731F5">
        <w:rPr>
          <w:rFonts w:ascii="Verdana" w:hAnsi="Verdana"/>
          <w:bCs/>
          <w:sz w:val="20"/>
          <w:lang w:val="es-CR"/>
        </w:rPr>
        <w:t xml:space="preserve"> a pesar de </w:t>
      </w:r>
      <w:r w:rsidR="00485E50" w:rsidRPr="001731F5">
        <w:rPr>
          <w:rFonts w:ascii="Verdana" w:hAnsi="Verdana"/>
          <w:bCs/>
          <w:sz w:val="20"/>
          <w:lang w:val="es-CR"/>
        </w:rPr>
        <w:t>“no consta</w:t>
      </w:r>
      <w:r w:rsidR="005669E3" w:rsidRPr="001731F5">
        <w:rPr>
          <w:rFonts w:ascii="Verdana" w:hAnsi="Verdana"/>
          <w:bCs/>
          <w:sz w:val="20"/>
          <w:lang w:val="es-CR"/>
        </w:rPr>
        <w:t>[r]</w:t>
      </w:r>
      <w:r w:rsidR="00485E50" w:rsidRPr="001731F5">
        <w:rPr>
          <w:rFonts w:ascii="Verdana" w:hAnsi="Verdana"/>
          <w:bCs/>
          <w:sz w:val="20"/>
          <w:lang w:val="es-CR"/>
        </w:rPr>
        <w:t xml:space="preserve"> el resultado de cada diligencia realizada</w:t>
      </w:r>
      <w:r w:rsidR="005669E3" w:rsidRPr="001731F5">
        <w:rPr>
          <w:rFonts w:ascii="Verdana" w:hAnsi="Verdana"/>
          <w:bCs/>
          <w:sz w:val="20"/>
          <w:lang w:val="es-CR"/>
        </w:rPr>
        <w:t>”, se “</w:t>
      </w:r>
      <w:proofErr w:type="spellStart"/>
      <w:r w:rsidR="00485E50" w:rsidRPr="001731F5">
        <w:rPr>
          <w:rFonts w:ascii="Verdana" w:hAnsi="Verdana"/>
          <w:bCs/>
          <w:sz w:val="20"/>
          <w:lang w:val="es-CR"/>
        </w:rPr>
        <w:t>concluy</w:t>
      </w:r>
      <w:proofErr w:type="spellEnd"/>
      <w:r w:rsidR="005669E3" w:rsidRPr="001731F5">
        <w:rPr>
          <w:rFonts w:ascii="Verdana" w:hAnsi="Verdana"/>
          <w:bCs/>
          <w:sz w:val="20"/>
          <w:lang w:val="es-CR"/>
        </w:rPr>
        <w:t>[</w:t>
      </w:r>
      <w:proofErr w:type="spellStart"/>
      <w:r w:rsidR="005669E3" w:rsidRPr="001731F5">
        <w:rPr>
          <w:rFonts w:ascii="Verdana" w:hAnsi="Verdana"/>
          <w:bCs/>
          <w:sz w:val="20"/>
          <w:lang w:val="es-CR"/>
        </w:rPr>
        <w:t>ó</w:t>
      </w:r>
      <w:proofErr w:type="spellEnd"/>
      <w:r w:rsidR="005669E3" w:rsidRPr="001731F5">
        <w:rPr>
          <w:rFonts w:ascii="Verdana" w:hAnsi="Verdana"/>
          <w:bCs/>
          <w:sz w:val="20"/>
          <w:lang w:val="es-CR"/>
        </w:rPr>
        <w:t xml:space="preserve">] </w:t>
      </w:r>
      <w:r w:rsidR="00485E50" w:rsidRPr="001731F5">
        <w:rPr>
          <w:rFonts w:ascii="Verdana" w:hAnsi="Verdana"/>
          <w:bCs/>
          <w:sz w:val="20"/>
          <w:lang w:val="es-CR"/>
        </w:rPr>
        <w:t xml:space="preserve">que </w:t>
      </w:r>
      <w:proofErr w:type="spellStart"/>
      <w:r w:rsidR="00DB004B" w:rsidRPr="001731F5">
        <w:rPr>
          <w:rFonts w:ascii="Verdana" w:hAnsi="Verdana"/>
          <w:bCs/>
          <w:sz w:val="20"/>
          <w:lang w:val="es-CR"/>
        </w:rPr>
        <w:t>deb</w:t>
      </w:r>
      <w:proofErr w:type="spellEnd"/>
      <w:r w:rsidR="00DB004B">
        <w:rPr>
          <w:rFonts w:ascii="Verdana" w:hAnsi="Verdana"/>
          <w:bCs/>
          <w:sz w:val="20"/>
          <w:lang w:val="es-CR"/>
        </w:rPr>
        <w:t>[</w:t>
      </w:r>
      <w:proofErr w:type="spellStart"/>
      <w:r w:rsidR="00DB004B">
        <w:rPr>
          <w:rFonts w:ascii="Verdana" w:hAnsi="Verdana"/>
          <w:bCs/>
          <w:sz w:val="20"/>
          <w:lang w:val="es-CR"/>
        </w:rPr>
        <w:t>ía</w:t>
      </w:r>
      <w:proofErr w:type="spellEnd"/>
      <w:r w:rsidR="00DB004B">
        <w:rPr>
          <w:rFonts w:ascii="Verdana" w:hAnsi="Verdana"/>
          <w:bCs/>
          <w:sz w:val="20"/>
          <w:lang w:val="es-CR"/>
        </w:rPr>
        <w:t>]</w:t>
      </w:r>
      <w:r w:rsidR="00DB004B" w:rsidRPr="001731F5">
        <w:rPr>
          <w:rFonts w:ascii="Verdana" w:hAnsi="Verdana"/>
          <w:bCs/>
          <w:sz w:val="20"/>
          <w:lang w:val="es-CR"/>
        </w:rPr>
        <w:t xml:space="preserve"> </w:t>
      </w:r>
      <w:r w:rsidR="00485E50" w:rsidRPr="001731F5">
        <w:rPr>
          <w:rFonts w:ascii="Verdana" w:hAnsi="Verdana"/>
          <w:bCs/>
          <w:sz w:val="20"/>
          <w:lang w:val="es-CR"/>
        </w:rPr>
        <w:t>archivarse la causa”.</w:t>
      </w:r>
      <w:bookmarkEnd w:id="8"/>
      <w:r w:rsidR="00485E50" w:rsidRPr="001731F5">
        <w:rPr>
          <w:rFonts w:ascii="Verdana" w:hAnsi="Verdana"/>
          <w:bCs/>
          <w:sz w:val="20"/>
          <w:lang w:val="es-CR"/>
        </w:rPr>
        <w:t xml:space="preserve"> </w:t>
      </w:r>
      <w:r w:rsidR="00485E50" w:rsidRPr="001731F5">
        <w:rPr>
          <w:rFonts w:ascii="Verdana" w:hAnsi="Verdana"/>
          <w:b/>
          <w:sz w:val="20"/>
          <w:lang w:val="es-CR"/>
        </w:rPr>
        <w:t xml:space="preserve"> </w:t>
      </w:r>
    </w:p>
    <w:p w14:paraId="5D9BB0FC" w14:textId="19B1BA36" w:rsidR="009D57FA" w:rsidRPr="001731F5" w:rsidRDefault="009D57FA" w:rsidP="009D57FA">
      <w:pPr>
        <w:spacing w:before="120" w:after="120"/>
        <w:jc w:val="both"/>
        <w:rPr>
          <w:rFonts w:ascii="Verdana" w:hAnsi="Verdana"/>
          <w:b/>
          <w:sz w:val="20"/>
          <w:lang w:val="es-CR"/>
        </w:rPr>
      </w:pPr>
    </w:p>
    <w:p w14:paraId="71287845" w14:textId="08283913" w:rsidR="009D57FA" w:rsidRPr="001731F5" w:rsidRDefault="00830942" w:rsidP="009D57FA">
      <w:pPr>
        <w:pStyle w:val="Prrafodelista"/>
        <w:numPr>
          <w:ilvl w:val="0"/>
          <w:numId w:val="32"/>
        </w:numPr>
        <w:spacing w:before="120" w:after="120"/>
        <w:jc w:val="both"/>
        <w:rPr>
          <w:rFonts w:ascii="Verdana" w:hAnsi="Verdana"/>
          <w:i/>
          <w:iCs/>
          <w:sz w:val="20"/>
          <w:lang w:val="es-CR"/>
        </w:rPr>
      </w:pPr>
      <w:r w:rsidRPr="001731F5">
        <w:rPr>
          <w:rFonts w:ascii="Verdana" w:hAnsi="Verdana"/>
          <w:i/>
          <w:iCs/>
          <w:sz w:val="20"/>
          <w:lang w:val="es-CR"/>
        </w:rPr>
        <w:t>Acción autónoma de nulidad de sentencia firme contra el agente de la policía federal que fue absuelto en noviembre de 1996</w:t>
      </w:r>
    </w:p>
    <w:p w14:paraId="1B993F0F" w14:textId="286CA7A1" w:rsidR="002B3D04" w:rsidRPr="001731F5" w:rsidRDefault="0061075E" w:rsidP="002B3D04">
      <w:pPr>
        <w:numPr>
          <w:ilvl w:val="0"/>
          <w:numId w:val="5"/>
        </w:numPr>
        <w:spacing w:before="120" w:after="120"/>
        <w:ind w:left="0" w:firstLine="0"/>
        <w:jc w:val="both"/>
        <w:rPr>
          <w:rFonts w:ascii="Verdana" w:hAnsi="Verdana"/>
          <w:b/>
          <w:bCs/>
          <w:sz w:val="20"/>
          <w:lang w:val="es-CR"/>
        </w:rPr>
      </w:pPr>
      <w:bookmarkStart w:id="9" w:name="_Ref27121192"/>
      <w:r w:rsidRPr="001731F5">
        <w:rPr>
          <w:rFonts w:ascii="Verdana" w:hAnsi="Verdana"/>
          <w:sz w:val="20"/>
          <w:lang w:val="es-CR"/>
        </w:rPr>
        <w:t>El 8 de abril de 2016 el Ministerio Público Fiscal “interpuso una [a]</w:t>
      </w:r>
      <w:proofErr w:type="spellStart"/>
      <w:r w:rsidRPr="001731F5">
        <w:rPr>
          <w:rFonts w:ascii="Verdana" w:hAnsi="Verdana"/>
          <w:sz w:val="20"/>
          <w:lang w:val="es-CR"/>
        </w:rPr>
        <w:t>cción</w:t>
      </w:r>
      <w:proofErr w:type="spellEnd"/>
      <w:r w:rsidRPr="001731F5">
        <w:rPr>
          <w:rFonts w:ascii="Verdana" w:hAnsi="Verdana"/>
          <w:sz w:val="20"/>
          <w:lang w:val="es-CR"/>
        </w:rPr>
        <w:t xml:space="preserve"> </w:t>
      </w:r>
      <w:r w:rsidR="00DB004B">
        <w:rPr>
          <w:rFonts w:ascii="Verdana" w:hAnsi="Verdana"/>
          <w:sz w:val="20"/>
          <w:lang w:val="es-CR"/>
        </w:rPr>
        <w:t>[a]</w:t>
      </w:r>
      <w:proofErr w:type="spellStart"/>
      <w:r w:rsidR="00DB004B" w:rsidRPr="001731F5">
        <w:rPr>
          <w:rFonts w:ascii="Verdana" w:hAnsi="Verdana"/>
          <w:sz w:val="20"/>
          <w:lang w:val="es-CR"/>
        </w:rPr>
        <w:t>utónoma</w:t>
      </w:r>
      <w:proofErr w:type="spellEnd"/>
      <w:r w:rsidR="00DB004B" w:rsidRPr="001731F5">
        <w:rPr>
          <w:rFonts w:ascii="Verdana" w:hAnsi="Verdana"/>
          <w:sz w:val="20"/>
          <w:lang w:val="es-CR"/>
        </w:rPr>
        <w:t xml:space="preserve"> </w:t>
      </w:r>
      <w:r w:rsidRPr="001731F5">
        <w:rPr>
          <w:rFonts w:ascii="Verdana" w:hAnsi="Verdana"/>
          <w:sz w:val="20"/>
          <w:lang w:val="es-CR"/>
        </w:rPr>
        <w:t xml:space="preserve">de Nulidad de Sentencia Firme- </w:t>
      </w:r>
      <w:r w:rsidR="008B39DB">
        <w:rPr>
          <w:rFonts w:ascii="Verdana" w:hAnsi="Verdana"/>
          <w:i/>
          <w:iCs/>
          <w:sz w:val="20"/>
          <w:lang w:val="es-CR"/>
        </w:rPr>
        <w:t>R</w:t>
      </w:r>
      <w:r w:rsidRPr="001731F5">
        <w:rPr>
          <w:rFonts w:ascii="Verdana" w:hAnsi="Verdana"/>
          <w:i/>
          <w:iCs/>
          <w:sz w:val="20"/>
          <w:lang w:val="es-CR"/>
        </w:rPr>
        <w:t xml:space="preserve">es </w:t>
      </w:r>
      <w:proofErr w:type="spellStart"/>
      <w:r w:rsidR="008B39DB">
        <w:rPr>
          <w:rFonts w:ascii="Verdana" w:hAnsi="Verdana"/>
          <w:i/>
          <w:iCs/>
          <w:sz w:val="20"/>
          <w:lang w:val="es-CR"/>
        </w:rPr>
        <w:t>J</w:t>
      </w:r>
      <w:r w:rsidRPr="001731F5">
        <w:rPr>
          <w:rFonts w:ascii="Verdana" w:hAnsi="Verdana"/>
          <w:i/>
          <w:iCs/>
          <w:sz w:val="20"/>
          <w:lang w:val="es-CR"/>
        </w:rPr>
        <w:t>udicata</w:t>
      </w:r>
      <w:proofErr w:type="spellEnd"/>
      <w:r w:rsidRPr="001731F5">
        <w:rPr>
          <w:rFonts w:ascii="Verdana" w:hAnsi="Verdana"/>
          <w:i/>
          <w:iCs/>
          <w:sz w:val="20"/>
          <w:lang w:val="es-CR"/>
        </w:rPr>
        <w:t xml:space="preserve"> írrita</w:t>
      </w:r>
      <w:r w:rsidR="008B39DB">
        <w:rPr>
          <w:rFonts w:ascii="Verdana" w:hAnsi="Verdana"/>
          <w:i/>
          <w:iCs/>
          <w:sz w:val="20"/>
          <w:lang w:val="es-CR"/>
        </w:rPr>
        <w:t>-</w:t>
      </w:r>
      <w:r w:rsidRPr="001731F5">
        <w:rPr>
          <w:rFonts w:ascii="Verdana" w:hAnsi="Verdana"/>
          <w:i/>
          <w:iCs/>
          <w:sz w:val="20"/>
          <w:lang w:val="es-CR"/>
        </w:rPr>
        <w:t>”,</w:t>
      </w:r>
      <w:r w:rsidRPr="001731F5">
        <w:rPr>
          <w:rFonts w:ascii="Verdana" w:hAnsi="Verdana"/>
          <w:sz w:val="20"/>
          <w:lang w:val="es-CR"/>
        </w:rPr>
        <w:t xml:space="preserve"> ante la Sala Primera de Apelación y Garantías en lo Penal de </w:t>
      </w:r>
      <w:r w:rsidR="008B39DB">
        <w:rPr>
          <w:rFonts w:ascii="Verdana" w:hAnsi="Verdana"/>
          <w:sz w:val="20"/>
          <w:lang w:val="es-CR"/>
        </w:rPr>
        <w:t>L</w:t>
      </w:r>
      <w:r w:rsidRPr="001731F5">
        <w:rPr>
          <w:rFonts w:ascii="Verdana" w:hAnsi="Verdana"/>
          <w:sz w:val="20"/>
          <w:lang w:val="es-CR"/>
        </w:rPr>
        <w:t xml:space="preserve">a Plata, en relación </w:t>
      </w:r>
      <w:r w:rsidR="002B3D04" w:rsidRPr="001731F5">
        <w:rPr>
          <w:rFonts w:ascii="Verdana" w:hAnsi="Verdana"/>
          <w:sz w:val="20"/>
          <w:lang w:val="es-CR"/>
        </w:rPr>
        <w:t>con</w:t>
      </w:r>
      <w:r w:rsidRPr="001731F5">
        <w:rPr>
          <w:rFonts w:ascii="Verdana" w:hAnsi="Verdana"/>
          <w:sz w:val="20"/>
          <w:lang w:val="es-CR"/>
        </w:rPr>
        <w:t xml:space="preserve"> la sentencia absolutoria dictada a favor del agente </w:t>
      </w:r>
      <w:r w:rsidR="002B3D04" w:rsidRPr="001731F5">
        <w:rPr>
          <w:rFonts w:ascii="Verdana" w:hAnsi="Verdana"/>
          <w:sz w:val="20"/>
          <w:lang w:val="es-CR"/>
        </w:rPr>
        <w:t xml:space="preserve">de la policía federal que fue absuelto </w:t>
      </w:r>
      <w:r w:rsidR="00607C20" w:rsidRPr="001731F5">
        <w:rPr>
          <w:rFonts w:ascii="Verdana" w:hAnsi="Verdana"/>
          <w:sz w:val="20"/>
          <w:lang w:val="es-CR"/>
        </w:rPr>
        <w:t xml:space="preserve">del homicidio del señor Gutiérrez </w:t>
      </w:r>
      <w:r w:rsidR="002B3D04" w:rsidRPr="001731F5">
        <w:rPr>
          <w:rFonts w:ascii="Verdana" w:hAnsi="Verdana"/>
          <w:sz w:val="20"/>
          <w:lang w:val="es-CR"/>
        </w:rPr>
        <w:t xml:space="preserve">en </w:t>
      </w:r>
      <w:r w:rsidR="001218E0" w:rsidRPr="001731F5">
        <w:rPr>
          <w:rFonts w:ascii="Verdana" w:hAnsi="Verdana"/>
          <w:sz w:val="20"/>
          <w:lang w:val="es-CR"/>
        </w:rPr>
        <w:t xml:space="preserve">noviembre de </w:t>
      </w:r>
      <w:r w:rsidR="002B3D04" w:rsidRPr="001731F5">
        <w:rPr>
          <w:rFonts w:ascii="Verdana" w:hAnsi="Verdana"/>
          <w:sz w:val="20"/>
          <w:lang w:val="es-CR"/>
        </w:rPr>
        <w:t>1996 (</w:t>
      </w:r>
      <w:r w:rsidR="002B3D04" w:rsidRPr="001731F5">
        <w:rPr>
          <w:rFonts w:ascii="Verdana" w:hAnsi="Verdana"/>
          <w:i/>
          <w:iCs/>
          <w:sz w:val="20"/>
          <w:lang w:val="es-CR"/>
        </w:rPr>
        <w:t xml:space="preserve">supra </w:t>
      </w:r>
      <w:r w:rsidR="002B3D04" w:rsidRPr="001731F5">
        <w:rPr>
          <w:rFonts w:ascii="Verdana" w:hAnsi="Verdana"/>
          <w:sz w:val="20"/>
          <w:lang w:val="es-CR"/>
        </w:rPr>
        <w:t xml:space="preserve">Considerando </w:t>
      </w:r>
      <w:r w:rsidR="00BF4B70">
        <w:rPr>
          <w:rFonts w:ascii="Verdana" w:hAnsi="Verdana"/>
          <w:sz w:val="20"/>
          <w:lang w:val="es-CR"/>
        </w:rPr>
        <w:fldChar w:fldCharType="begin"/>
      </w:r>
      <w:r w:rsidR="00BF4B70">
        <w:rPr>
          <w:rFonts w:ascii="Verdana" w:hAnsi="Verdana"/>
          <w:sz w:val="20"/>
          <w:lang w:val="es-CR"/>
        </w:rPr>
        <w:instrText xml:space="preserve"> REF _Ref26959201 \r \h </w:instrText>
      </w:r>
      <w:r w:rsidR="00BF4B70">
        <w:rPr>
          <w:rFonts w:ascii="Verdana" w:hAnsi="Verdana"/>
          <w:sz w:val="20"/>
          <w:lang w:val="es-CR"/>
        </w:rPr>
      </w:r>
      <w:r w:rsidR="00BF4B70">
        <w:rPr>
          <w:rFonts w:ascii="Verdana" w:hAnsi="Verdana"/>
          <w:sz w:val="20"/>
          <w:lang w:val="es-CR"/>
        </w:rPr>
        <w:fldChar w:fldCharType="separate"/>
      </w:r>
      <w:r w:rsidR="00756751">
        <w:rPr>
          <w:rFonts w:ascii="Verdana" w:hAnsi="Verdana"/>
          <w:sz w:val="20"/>
          <w:lang w:val="es-CR"/>
        </w:rPr>
        <w:t>7</w:t>
      </w:r>
      <w:r w:rsidR="00BF4B70">
        <w:rPr>
          <w:rFonts w:ascii="Verdana" w:hAnsi="Verdana"/>
          <w:sz w:val="20"/>
          <w:lang w:val="es-CR"/>
        </w:rPr>
        <w:fldChar w:fldCharType="end"/>
      </w:r>
      <w:r w:rsidR="002B3D04" w:rsidRPr="001731F5">
        <w:rPr>
          <w:rFonts w:ascii="Verdana" w:hAnsi="Verdana"/>
          <w:sz w:val="20"/>
          <w:lang w:val="es-CR"/>
        </w:rPr>
        <w:t>)</w:t>
      </w:r>
      <w:r w:rsidRPr="001731F5">
        <w:rPr>
          <w:rFonts w:ascii="Verdana" w:hAnsi="Verdana"/>
          <w:sz w:val="20"/>
          <w:lang w:val="es-CR"/>
        </w:rPr>
        <w:t xml:space="preserve">. </w:t>
      </w:r>
      <w:r w:rsidR="00C65679" w:rsidRPr="001731F5">
        <w:rPr>
          <w:rFonts w:ascii="Verdana" w:hAnsi="Verdana"/>
          <w:bCs/>
          <w:sz w:val="20"/>
          <w:lang w:val="es-CR"/>
        </w:rPr>
        <w:t>No obstante, dicha acción fue declarada inadmisible en julio de 2016 por la referida Cámara</w:t>
      </w:r>
      <w:r w:rsidR="00C65679" w:rsidRPr="001731F5">
        <w:rPr>
          <w:rStyle w:val="Refdenotaalpie"/>
          <w:rFonts w:ascii="Verdana" w:hAnsi="Verdana"/>
          <w:bCs/>
          <w:sz w:val="20"/>
          <w:lang w:val="es-CR"/>
        </w:rPr>
        <w:footnoteReference w:id="15"/>
      </w:r>
      <w:r w:rsidR="00C65679" w:rsidRPr="001731F5">
        <w:rPr>
          <w:rFonts w:ascii="Verdana" w:hAnsi="Verdana"/>
          <w:bCs/>
          <w:sz w:val="20"/>
          <w:lang w:val="es-CR"/>
        </w:rPr>
        <w:t>.</w:t>
      </w:r>
      <w:r w:rsidR="00C65679" w:rsidRPr="001731F5">
        <w:rPr>
          <w:rFonts w:ascii="Verdana" w:hAnsi="Verdana"/>
          <w:b/>
          <w:sz w:val="20"/>
          <w:lang w:val="es-CR"/>
        </w:rPr>
        <w:t xml:space="preserve"> </w:t>
      </w:r>
      <w:r w:rsidR="00C65679" w:rsidRPr="001731F5">
        <w:rPr>
          <w:rFonts w:ascii="Verdana" w:hAnsi="Verdana"/>
          <w:bCs/>
          <w:sz w:val="20"/>
          <w:lang w:val="es-CR"/>
        </w:rPr>
        <w:t>El Ministerio Público planteó un recurso de casación contra esta decisión en agosto de 2016,</w:t>
      </w:r>
      <w:r w:rsidR="00C65679" w:rsidRPr="001731F5">
        <w:rPr>
          <w:rFonts w:ascii="Verdana" w:hAnsi="Verdana"/>
          <w:b/>
          <w:sz w:val="20"/>
          <w:lang w:val="es-CR"/>
        </w:rPr>
        <w:t xml:space="preserve"> </w:t>
      </w:r>
      <w:r w:rsidR="00C65679" w:rsidRPr="001731F5">
        <w:rPr>
          <w:rFonts w:ascii="Verdana" w:hAnsi="Verdana"/>
          <w:bCs/>
          <w:sz w:val="20"/>
          <w:lang w:val="es-CR"/>
        </w:rPr>
        <w:t>y la representación de la familia Gutiérrez se adhirió a dicho recurso</w:t>
      </w:r>
      <w:r w:rsidR="008C6A7C" w:rsidRPr="001731F5">
        <w:rPr>
          <w:rStyle w:val="Refdenotaalpie"/>
          <w:rFonts w:ascii="Verdana" w:hAnsi="Verdana"/>
          <w:bCs/>
          <w:sz w:val="20"/>
          <w:lang w:val="es-CR"/>
        </w:rPr>
        <w:footnoteReference w:id="16"/>
      </w:r>
      <w:r w:rsidR="00C65679" w:rsidRPr="001731F5">
        <w:rPr>
          <w:rFonts w:ascii="Verdana" w:hAnsi="Verdana"/>
          <w:bCs/>
          <w:sz w:val="20"/>
          <w:lang w:val="es-CR"/>
        </w:rPr>
        <w:t>.</w:t>
      </w:r>
      <w:bookmarkEnd w:id="9"/>
      <w:r w:rsidR="00C65679" w:rsidRPr="001731F5">
        <w:rPr>
          <w:rFonts w:ascii="Verdana" w:hAnsi="Verdana"/>
          <w:b/>
          <w:sz w:val="20"/>
          <w:lang w:val="es-CR"/>
        </w:rPr>
        <w:t xml:space="preserve"> </w:t>
      </w:r>
    </w:p>
    <w:p w14:paraId="240C1422" w14:textId="225A877C" w:rsidR="00DC7C2C" w:rsidRPr="001731F5" w:rsidRDefault="008C6A7C" w:rsidP="00C47AC0">
      <w:pPr>
        <w:numPr>
          <w:ilvl w:val="0"/>
          <w:numId w:val="5"/>
        </w:numPr>
        <w:spacing w:before="120" w:after="120"/>
        <w:ind w:left="0" w:firstLine="0"/>
        <w:jc w:val="both"/>
        <w:rPr>
          <w:rFonts w:ascii="Verdana" w:hAnsi="Verdana"/>
          <w:bCs/>
          <w:sz w:val="20"/>
          <w:lang w:val="es-CR"/>
        </w:rPr>
      </w:pPr>
      <w:bookmarkStart w:id="10" w:name="_Ref27043422"/>
      <w:r w:rsidRPr="001731F5">
        <w:rPr>
          <w:rFonts w:ascii="Verdana" w:hAnsi="Verdana"/>
          <w:bCs/>
          <w:sz w:val="20"/>
          <w:lang w:val="es-CR"/>
        </w:rPr>
        <w:lastRenderedPageBreak/>
        <w:t>El 22 de marzo de 2018 la Sala Tercera del Tribunal de Casación Penal de la Provincia de Buenos Aires</w:t>
      </w:r>
      <w:r w:rsidR="003E28F2" w:rsidRPr="001731F5">
        <w:rPr>
          <w:rFonts w:ascii="Verdana" w:hAnsi="Verdana"/>
          <w:bCs/>
          <w:sz w:val="20"/>
          <w:lang w:val="es-CR"/>
        </w:rPr>
        <w:t xml:space="preserve"> emitió una decisión resolviendo dicho recurso</w:t>
      </w:r>
      <w:r w:rsidR="00C47AC0" w:rsidRPr="001731F5">
        <w:rPr>
          <w:rStyle w:val="Refdenotaalpie"/>
          <w:rFonts w:ascii="Verdana" w:hAnsi="Verdana"/>
          <w:bCs/>
          <w:sz w:val="20"/>
          <w:lang w:val="es-CR"/>
        </w:rPr>
        <w:footnoteReference w:id="17"/>
      </w:r>
      <w:r w:rsidR="00C47AC0" w:rsidRPr="001731F5">
        <w:rPr>
          <w:rFonts w:ascii="Verdana" w:hAnsi="Verdana"/>
          <w:bCs/>
          <w:sz w:val="20"/>
          <w:lang w:val="es-CR"/>
        </w:rPr>
        <w:t xml:space="preserve">. </w:t>
      </w:r>
      <w:r w:rsidR="00607C20" w:rsidRPr="001731F5">
        <w:rPr>
          <w:rFonts w:ascii="Verdana" w:hAnsi="Verdana"/>
          <w:bCs/>
          <w:sz w:val="20"/>
          <w:lang w:val="es-CR"/>
        </w:rPr>
        <w:t>T</w:t>
      </w:r>
      <w:r w:rsidR="00C47AC0" w:rsidRPr="001731F5">
        <w:rPr>
          <w:rFonts w:ascii="Verdana" w:hAnsi="Verdana"/>
          <w:bCs/>
          <w:sz w:val="20"/>
          <w:lang w:val="es-CR"/>
        </w:rPr>
        <w:t xml:space="preserve">omando en cuenta </w:t>
      </w:r>
      <w:r w:rsidR="00FD73B1" w:rsidRPr="001731F5">
        <w:rPr>
          <w:rFonts w:ascii="Verdana" w:hAnsi="Verdana"/>
          <w:bCs/>
          <w:sz w:val="20"/>
          <w:lang w:val="es-CR"/>
        </w:rPr>
        <w:t>las consideraciones efectuadas por la Corte Interamericana en la Sentencia del presente caso respecto a la violación a los derechos a las garantías judiciales y a la protección judicial, así como el deber que tiene Argentina de acatar los fallos de este tribunal internacional</w:t>
      </w:r>
      <w:r w:rsidR="00C47AC0" w:rsidRPr="001731F5">
        <w:rPr>
          <w:rFonts w:ascii="Verdana" w:hAnsi="Verdana"/>
          <w:bCs/>
          <w:sz w:val="20"/>
          <w:lang w:val="es-CR"/>
        </w:rPr>
        <w:t xml:space="preserve">, </w:t>
      </w:r>
      <w:r w:rsidR="001218E0" w:rsidRPr="001731F5">
        <w:rPr>
          <w:rFonts w:ascii="Verdana" w:hAnsi="Verdana"/>
          <w:bCs/>
          <w:sz w:val="20"/>
          <w:lang w:val="es-CR"/>
        </w:rPr>
        <w:t xml:space="preserve">dicho tribunal interno </w:t>
      </w:r>
      <w:r w:rsidR="003E28F2" w:rsidRPr="001731F5">
        <w:rPr>
          <w:rFonts w:ascii="Verdana" w:hAnsi="Verdana"/>
          <w:bCs/>
          <w:sz w:val="20"/>
          <w:lang w:val="es-CR"/>
        </w:rPr>
        <w:t>decidió</w:t>
      </w:r>
      <w:r w:rsidR="00C47AC0" w:rsidRPr="001731F5">
        <w:rPr>
          <w:rFonts w:ascii="Verdana" w:hAnsi="Verdana"/>
          <w:bCs/>
          <w:sz w:val="20"/>
          <w:lang w:val="es-CR"/>
        </w:rPr>
        <w:t xml:space="preserve"> “hacer lugar a la acción de nulidad de la sentencia firme” planteada por el Ministerio Público contra la sentencia pronunciada en favor del imputado</w:t>
      </w:r>
      <w:r w:rsidR="001218E0" w:rsidRPr="001731F5">
        <w:rPr>
          <w:rFonts w:ascii="Verdana" w:hAnsi="Verdana"/>
          <w:bCs/>
          <w:sz w:val="20"/>
          <w:lang w:val="es-CR"/>
        </w:rPr>
        <w:t xml:space="preserve"> en noviembre de 1996</w:t>
      </w:r>
      <w:r w:rsidR="00C47AC0" w:rsidRPr="001731F5">
        <w:rPr>
          <w:rFonts w:ascii="Verdana" w:hAnsi="Verdana"/>
          <w:bCs/>
          <w:sz w:val="20"/>
          <w:lang w:val="es-CR"/>
        </w:rPr>
        <w:t xml:space="preserve">. </w:t>
      </w:r>
      <w:r w:rsidR="00DC7C2C" w:rsidRPr="001731F5">
        <w:rPr>
          <w:rFonts w:ascii="Verdana" w:hAnsi="Verdana"/>
          <w:bCs/>
          <w:sz w:val="20"/>
          <w:lang w:val="es-CR"/>
        </w:rPr>
        <w:t xml:space="preserve">En consecuencia, </w:t>
      </w:r>
      <w:r w:rsidR="003367A5">
        <w:rPr>
          <w:rFonts w:ascii="Verdana" w:hAnsi="Verdana"/>
          <w:bCs/>
          <w:sz w:val="20"/>
          <w:lang w:val="es-CR"/>
        </w:rPr>
        <w:t>“</w:t>
      </w:r>
      <w:r w:rsidR="00DC7C2C" w:rsidRPr="001731F5">
        <w:rPr>
          <w:rFonts w:ascii="Verdana" w:hAnsi="Verdana"/>
          <w:bCs/>
          <w:sz w:val="20"/>
          <w:lang w:val="es-CR"/>
        </w:rPr>
        <w:t xml:space="preserve">se remitió </w:t>
      </w:r>
      <w:r w:rsidR="003367A5">
        <w:rPr>
          <w:rFonts w:ascii="Verdana" w:hAnsi="Verdana"/>
          <w:bCs/>
          <w:sz w:val="20"/>
          <w:lang w:val="es-CR"/>
        </w:rPr>
        <w:t>[</w:t>
      </w:r>
      <w:r w:rsidR="00DC7C2C" w:rsidRPr="001731F5">
        <w:rPr>
          <w:rFonts w:ascii="Verdana" w:hAnsi="Verdana"/>
          <w:sz w:val="20"/>
          <w:lang w:val="es-CR"/>
        </w:rPr>
        <w:t>esta</w:t>
      </w:r>
      <w:r w:rsidR="003367A5">
        <w:rPr>
          <w:rFonts w:ascii="Verdana" w:hAnsi="Verdana"/>
          <w:sz w:val="20"/>
          <w:lang w:val="es-CR"/>
        </w:rPr>
        <w:t>]</w:t>
      </w:r>
      <w:r w:rsidR="00DC7C2C" w:rsidRPr="001731F5">
        <w:rPr>
          <w:rFonts w:ascii="Verdana" w:hAnsi="Verdana"/>
          <w:sz w:val="20"/>
          <w:lang w:val="es-CR"/>
        </w:rPr>
        <w:t xml:space="preserve"> causa a la Sala </w:t>
      </w:r>
      <w:r w:rsidR="003367A5">
        <w:rPr>
          <w:rFonts w:ascii="Verdana" w:hAnsi="Verdana"/>
          <w:sz w:val="20"/>
          <w:lang w:val="es-CR"/>
        </w:rPr>
        <w:t>[</w:t>
      </w:r>
      <w:r w:rsidR="00DC7C2C" w:rsidRPr="001731F5">
        <w:rPr>
          <w:rFonts w:ascii="Verdana" w:hAnsi="Verdana"/>
          <w:sz w:val="20"/>
          <w:lang w:val="es-CR"/>
        </w:rPr>
        <w:t>Primera</w:t>
      </w:r>
      <w:r w:rsidR="003367A5">
        <w:rPr>
          <w:rFonts w:ascii="Verdana" w:hAnsi="Verdana"/>
          <w:sz w:val="20"/>
          <w:lang w:val="es-CR"/>
        </w:rPr>
        <w:t>]</w:t>
      </w:r>
      <w:r w:rsidR="00DC7C2C" w:rsidRPr="001731F5">
        <w:rPr>
          <w:rFonts w:ascii="Verdana" w:hAnsi="Verdana"/>
          <w:sz w:val="20"/>
          <w:lang w:val="es-CR"/>
        </w:rPr>
        <w:t xml:space="preserve"> de la Cámara de Apelaciones y Garantías </w:t>
      </w:r>
      <w:r w:rsidR="003367A5">
        <w:rPr>
          <w:rFonts w:ascii="Verdana" w:hAnsi="Verdana"/>
          <w:sz w:val="20"/>
          <w:lang w:val="es-CR"/>
        </w:rPr>
        <w:t>[</w:t>
      </w:r>
      <w:r w:rsidR="00DC7C2C" w:rsidRPr="001731F5">
        <w:rPr>
          <w:rFonts w:ascii="Verdana" w:hAnsi="Verdana"/>
          <w:sz w:val="20"/>
          <w:lang w:val="es-CR"/>
        </w:rPr>
        <w:t>en lo Penal</w:t>
      </w:r>
      <w:r w:rsidR="003367A5">
        <w:rPr>
          <w:rFonts w:ascii="Verdana" w:hAnsi="Verdana"/>
          <w:sz w:val="20"/>
          <w:lang w:val="es-CR"/>
        </w:rPr>
        <w:t>]</w:t>
      </w:r>
      <w:r w:rsidR="00DC7C2C" w:rsidRPr="001731F5">
        <w:rPr>
          <w:rFonts w:ascii="Verdana" w:hAnsi="Verdana"/>
          <w:sz w:val="20"/>
          <w:lang w:val="es-CR"/>
        </w:rPr>
        <w:t xml:space="preserve"> de </w:t>
      </w:r>
      <w:r w:rsidR="003367A5">
        <w:rPr>
          <w:rFonts w:ascii="Verdana" w:hAnsi="Verdana"/>
          <w:sz w:val="20"/>
          <w:lang w:val="es-CR"/>
        </w:rPr>
        <w:t>L</w:t>
      </w:r>
      <w:r w:rsidR="00DC7C2C" w:rsidRPr="001731F5">
        <w:rPr>
          <w:rFonts w:ascii="Verdana" w:hAnsi="Verdana"/>
          <w:sz w:val="20"/>
          <w:lang w:val="es-CR"/>
        </w:rPr>
        <w:t>a Plata para que la acumulen a la causa [del otro imputado por la ejecución del señor Gutiérrez]” (</w:t>
      </w:r>
      <w:r w:rsidR="00DC7C2C" w:rsidRPr="001731F5">
        <w:rPr>
          <w:rFonts w:ascii="Verdana" w:hAnsi="Verdana"/>
          <w:i/>
          <w:iCs/>
          <w:sz w:val="20"/>
          <w:lang w:val="es-CR"/>
        </w:rPr>
        <w:t>infra</w:t>
      </w:r>
      <w:r w:rsidR="00DC7C2C" w:rsidRPr="001731F5">
        <w:rPr>
          <w:rFonts w:ascii="Verdana" w:hAnsi="Verdana"/>
          <w:sz w:val="20"/>
          <w:lang w:val="es-CR"/>
        </w:rPr>
        <w:t xml:space="preserve"> Considerandos </w:t>
      </w:r>
      <w:r w:rsidR="003367A5">
        <w:rPr>
          <w:rFonts w:ascii="Verdana" w:hAnsi="Verdana"/>
          <w:sz w:val="20"/>
          <w:lang w:val="es-CR"/>
        </w:rPr>
        <w:fldChar w:fldCharType="begin"/>
      </w:r>
      <w:r w:rsidR="003367A5">
        <w:rPr>
          <w:rFonts w:ascii="Verdana" w:hAnsi="Verdana"/>
          <w:sz w:val="20"/>
          <w:lang w:val="es-CR"/>
        </w:rPr>
        <w:instrText xml:space="preserve"> REF _Ref26955214 \r \h </w:instrText>
      </w:r>
      <w:r w:rsidR="003367A5">
        <w:rPr>
          <w:rFonts w:ascii="Verdana" w:hAnsi="Verdana"/>
          <w:sz w:val="20"/>
          <w:lang w:val="es-CR"/>
        </w:rPr>
      </w:r>
      <w:r w:rsidR="003367A5">
        <w:rPr>
          <w:rFonts w:ascii="Verdana" w:hAnsi="Verdana"/>
          <w:sz w:val="20"/>
          <w:lang w:val="es-CR"/>
        </w:rPr>
        <w:fldChar w:fldCharType="separate"/>
      </w:r>
      <w:r w:rsidR="00756751">
        <w:rPr>
          <w:rFonts w:ascii="Verdana" w:hAnsi="Verdana"/>
          <w:sz w:val="20"/>
          <w:lang w:val="es-CR"/>
        </w:rPr>
        <w:t>17</w:t>
      </w:r>
      <w:r w:rsidR="003367A5">
        <w:rPr>
          <w:rFonts w:ascii="Verdana" w:hAnsi="Verdana"/>
          <w:sz w:val="20"/>
          <w:lang w:val="es-CR"/>
        </w:rPr>
        <w:fldChar w:fldCharType="end"/>
      </w:r>
      <w:r w:rsidR="003367A5">
        <w:rPr>
          <w:rFonts w:ascii="Verdana" w:hAnsi="Verdana"/>
          <w:sz w:val="20"/>
          <w:lang w:val="es-CR"/>
        </w:rPr>
        <w:t xml:space="preserve"> a </w:t>
      </w:r>
      <w:r w:rsidR="003367A5">
        <w:rPr>
          <w:rFonts w:ascii="Verdana" w:hAnsi="Verdana"/>
          <w:sz w:val="20"/>
          <w:lang w:val="es-CR"/>
        </w:rPr>
        <w:fldChar w:fldCharType="begin"/>
      </w:r>
      <w:r w:rsidR="003367A5">
        <w:rPr>
          <w:rFonts w:ascii="Verdana" w:hAnsi="Verdana"/>
          <w:sz w:val="20"/>
          <w:lang w:val="es-CR"/>
        </w:rPr>
        <w:instrText xml:space="preserve"> REF _Ref27036872 \r \h </w:instrText>
      </w:r>
      <w:r w:rsidR="003367A5">
        <w:rPr>
          <w:rFonts w:ascii="Verdana" w:hAnsi="Verdana"/>
          <w:sz w:val="20"/>
          <w:lang w:val="es-CR"/>
        </w:rPr>
      </w:r>
      <w:r w:rsidR="003367A5">
        <w:rPr>
          <w:rFonts w:ascii="Verdana" w:hAnsi="Verdana"/>
          <w:sz w:val="20"/>
          <w:lang w:val="es-CR"/>
        </w:rPr>
        <w:fldChar w:fldCharType="separate"/>
      </w:r>
      <w:r w:rsidR="00756751">
        <w:rPr>
          <w:rFonts w:ascii="Verdana" w:hAnsi="Verdana"/>
          <w:sz w:val="20"/>
          <w:lang w:val="es-CR"/>
        </w:rPr>
        <w:t>20</w:t>
      </w:r>
      <w:r w:rsidR="003367A5">
        <w:rPr>
          <w:rFonts w:ascii="Verdana" w:hAnsi="Verdana"/>
          <w:sz w:val="20"/>
          <w:lang w:val="es-CR"/>
        </w:rPr>
        <w:fldChar w:fldCharType="end"/>
      </w:r>
      <w:r w:rsidR="00DC7C2C" w:rsidRPr="001731F5">
        <w:rPr>
          <w:rFonts w:ascii="Verdana" w:hAnsi="Verdana"/>
          <w:sz w:val="20"/>
          <w:lang w:val="es-CR"/>
        </w:rPr>
        <w:t>).</w:t>
      </w:r>
      <w:r w:rsidR="00DC7C2C" w:rsidRPr="001731F5">
        <w:rPr>
          <w:rFonts w:ascii="Verdana" w:hAnsi="Verdana"/>
          <w:b/>
          <w:bCs/>
          <w:sz w:val="20"/>
          <w:lang w:val="es-CR"/>
        </w:rPr>
        <w:t xml:space="preserve"> </w:t>
      </w:r>
      <w:r w:rsidR="00350C75" w:rsidRPr="001731F5">
        <w:rPr>
          <w:rFonts w:ascii="Verdana" w:hAnsi="Verdana"/>
          <w:bCs/>
          <w:sz w:val="20"/>
          <w:lang w:val="es-CR"/>
        </w:rPr>
        <w:t>Según lo indicado en el último escrito de observaciones de los representantes, de junio de 2019, ambos imputados “tienen programado formalmente iniciar su juicio, de manera conjunta, en el 2022”</w:t>
      </w:r>
      <w:r w:rsidR="00350C75" w:rsidRPr="001731F5">
        <w:rPr>
          <w:rStyle w:val="Refdenotaalpie"/>
          <w:rFonts w:ascii="Verdana" w:hAnsi="Verdana"/>
          <w:bCs/>
          <w:sz w:val="20"/>
          <w:lang w:val="es-CR"/>
        </w:rPr>
        <w:footnoteReference w:id="18"/>
      </w:r>
      <w:r w:rsidR="00350C75" w:rsidRPr="001731F5">
        <w:rPr>
          <w:rFonts w:ascii="Verdana" w:hAnsi="Verdana"/>
          <w:bCs/>
          <w:sz w:val="20"/>
          <w:lang w:val="es-CR"/>
        </w:rPr>
        <w:t>.</w:t>
      </w:r>
      <w:bookmarkEnd w:id="10"/>
      <w:r w:rsidR="00350C75" w:rsidRPr="001731F5">
        <w:rPr>
          <w:rFonts w:ascii="Verdana" w:hAnsi="Verdana"/>
          <w:bCs/>
          <w:sz w:val="20"/>
          <w:lang w:val="es-CR"/>
        </w:rPr>
        <w:t xml:space="preserve"> </w:t>
      </w:r>
    </w:p>
    <w:p w14:paraId="34546E63" w14:textId="3A748B0F" w:rsidR="00752D77" w:rsidRPr="001731F5" w:rsidRDefault="00C47AC0" w:rsidP="00DC7C2C">
      <w:pPr>
        <w:numPr>
          <w:ilvl w:val="0"/>
          <w:numId w:val="5"/>
        </w:numPr>
        <w:spacing w:before="120" w:after="120"/>
        <w:ind w:left="0" w:firstLine="0"/>
        <w:jc w:val="both"/>
        <w:rPr>
          <w:rFonts w:ascii="Verdana" w:hAnsi="Verdana"/>
          <w:bCs/>
          <w:sz w:val="20"/>
          <w:lang w:val="es-CR"/>
        </w:rPr>
      </w:pPr>
      <w:bookmarkStart w:id="11" w:name="_Ref27044622"/>
      <w:r w:rsidRPr="001731F5">
        <w:rPr>
          <w:rFonts w:ascii="Verdana" w:hAnsi="Verdana"/>
          <w:bCs/>
          <w:sz w:val="20"/>
          <w:lang w:val="es-CR"/>
        </w:rPr>
        <w:t xml:space="preserve">Además, </w:t>
      </w:r>
      <w:r w:rsidR="00DC7C2C" w:rsidRPr="001731F5">
        <w:rPr>
          <w:rFonts w:ascii="Verdana" w:hAnsi="Verdana"/>
          <w:bCs/>
          <w:sz w:val="20"/>
          <w:lang w:val="es-CR"/>
        </w:rPr>
        <w:t xml:space="preserve">en la referida decisión de marzo de 2018 dicho tribunal interno </w:t>
      </w:r>
      <w:r w:rsidRPr="001731F5">
        <w:rPr>
          <w:rFonts w:ascii="Verdana" w:hAnsi="Verdana"/>
          <w:bCs/>
          <w:sz w:val="20"/>
          <w:lang w:val="es-CR"/>
        </w:rPr>
        <w:t>dispuso “dar inmediata intervención al Fiscal General de La Plata a fin de que –por intermedio de quien corresponda-</w:t>
      </w:r>
      <w:r w:rsidR="00350C75" w:rsidRPr="001731F5">
        <w:rPr>
          <w:rFonts w:ascii="Verdana" w:hAnsi="Verdana"/>
          <w:bCs/>
          <w:sz w:val="20"/>
          <w:lang w:val="es-CR"/>
        </w:rPr>
        <w:t xml:space="preserve"> </w:t>
      </w:r>
      <w:r w:rsidRPr="001731F5">
        <w:rPr>
          <w:rFonts w:ascii="Verdana" w:hAnsi="Verdana"/>
          <w:bCs/>
          <w:sz w:val="20"/>
          <w:lang w:val="es-CR"/>
        </w:rPr>
        <w:t xml:space="preserve">se realice una investigación completa, imparcial </w:t>
      </w:r>
      <w:r w:rsidR="003367A5">
        <w:rPr>
          <w:rFonts w:ascii="Verdana" w:hAnsi="Verdana"/>
          <w:bCs/>
          <w:sz w:val="20"/>
          <w:lang w:val="es-CR"/>
        </w:rPr>
        <w:t xml:space="preserve">y </w:t>
      </w:r>
      <w:r w:rsidRPr="001731F5">
        <w:rPr>
          <w:rFonts w:ascii="Verdana" w:hAnsi="Verdana"/>
          <w:bCs/>
          <w:sz w:val="20"/>
          <w:lang w:val="es-CR"/>
        </w:rPr>
        <w:t>efectiva con el objeto de determinar la responsabilidad intelectual y material de todos los demás que hayan intervenido</w:t>
      </w:r>
      <w:r w:rsidR="008A27DA" w:rsidRPr="001731F5">
        <w:rPr>
          <w:rFonts w:ascii="Verdana" w:hAnsi="Verdana"/>
          <w:bCs/>
          <w:sz w:val="20"/>
          <w:lang w:val="es-CR"/>
        </w:rPr>
        <w:t xml:space="preserve"> en la preparación y </w:t>
      </w:r>
      <w:r w:rsidR="0061270C" w:rsidRPr="001731F5">
        <w:rPr>
          <w:rFonts w:ascii="Verdana" w:hAnsi="Verdana"/>
          <w:bCs/>
          <w:sz w:val="20"/>
          <w:lang w:val="es-CR"/>
        </w:rPr>
        <w:t>ejecución</w:t>
      </w:r>
      <w:r w:rsidR="008A27DA" w:rsidRPr="001731F5">
        <w:rPr>
          <w:rFonts w:ascii="Verdana" w:hAnsi="Verdana"/>
          <w:bCs/>
          <w:sz w:val="20"/>
          <w:lang w:val="es-CR"/>
        </w:rPr>
        <w:t xml:space="preserve"> del </w:t>
      </w:r>
      <w:proofErr w:type="spellStart"/>
      <w:r w:rsidR="008A27DA" w:rsidRPr="001731F5">
        <w:rPr>
          <w:rFonts w:ascii="Verdana" w:hAnsi="Verdana"/>
          <w:bCs/>
          <w:sz w:val="20"/>
          <w:lang w:val="es-CR"/>
        </w:rPr>
        <w:t>homicido</w:t>
      </w:r>
      <w:proofErr w:type="spellEnd"/>
      <w:r w:rsidR="008A27DA" w:rsidRPr="001731F5">
        <w:rPr>
          <w:rFonts w:ascii="Verdana" w:hAnsi="Verdana"/>
          <w:bCs/>
          <w:sz w:val="20"/>
          <w:lang w:val="es-CR"/>
        </w:rPr>
        <w:t xml:space="preserve"> [</w:t>
      </w:r>
      <w:r w:rsidR="0061270C" w:rsidRPr="001731F5">
        <w:rPr>
          <w:rFonts w:ascii="Verdana" w:hAnsi="Verdana"/>
          <w:bCs/>
          <w:sz w:val="20"/>
          <w:lang w:val="es-CR"/>
        </w:rPr>
        <w:t>del señor Gutiérrez], como en la eventual alteración o desaparición de elementos de prueba, favorecimiento personal de los anteriores u omisión de investigar y/o denunciar lo que correspondía investigar y/o denunciar”</w:t>
      </w:r>
      <w:r w:rsidR="00411C9F" w:rsidRPr="001731F5">
        <w:rPr>
          <w:rStyle w:val="Refdenotaalpie"/>
          <w:rFonts w:ascii="Verdana" w:hAnsi="Verdana"/>
          <w:bCs/>
          <w:sz w:val="20"/>
          <w:lang w:val="es-CR"/>
        </w:rPr>
        <w:footnoteReference w:id="19"/>
      </w:r>
      <w:r w:rsidR="0061270C" w:rsidRPr="001731F5">
        <w:rPr>
          <w:rFonts w:ascii="Verdana" w:hAnsi="Verdana"/>
          <w:bCs/>
          <w:sz w:val="20"/>
          <w:lang w:val="es-CR"/>
        </w:rPr>
        <w:t xml:space="preserve">. </w:t>
      </w:r>
      <w:r w:rsidR="00752D77" w:rsidRPr="001731F5">
        <w:rPr>
          <w:rFonts w:ascii="Verdana" w:hAnsi="Verdana"/>
          <w:bCs/>
          <w:sz w:val="20"/>
          <w:lang w:val="es-CR"/>
        </w:rPr>
        <w:t xml:space="preserve">Según la última información presentada por el </w:t>
      </w:r>
      <w:r w:rsidR="00752D77" w:rsidRPr="001731F5">
        <w:rPr>
          <w:rFonts w:ascii="Verdana" w:hAnsi="Verdana"/>
          <w:bCs/>
          <w:i/>
          <w:iCs/>
          <w:sz w:val="20"/>
          <w:lang w:val="es-CR"/>
        </w:rPr>
        <w:t>Estado</w:t>
      </w:r>
      <w:r w:rsidR="00EE6305" w:rsidRPr="001731F5">
        <w:rPr>
          <w:rFonts w:ascii="Verdana" w:hAnsi="Verdana"/>
          <w:bCs/>
          <w:sz w:val="20"/>
          <w:lang w:val="es-CR"/>
        </w:rPr>
        <w:t xml:space="preserve"> en </w:t>
      </w:r>
      <w:r w:rsidR="00350C75" w:rsidRPr="001731F5">
        <w:rPr>
          <w:rFonts w:ascii="Verdana" w:hAnsi="Verdana"/>
          <w:bCs/>
          <w:sz w:val="20"/>
          <w:lang w:val="es-CR"/>
        </w:rPr>
        <w:t>diciembre</w:t>
      </w:r>
      <w:r w:rsidR="00EE6305" w:rsidRPr="001731F5">
        <w:rPr>
          <w:rFonts w:ascii="Verdana" w:hAnsi="Verdana"/>
          <w:bCs/>
          <w:sz w:val="20"/>
          <w:lang w:val="es-CR"/>
        </w:rPr>
        <w:t xml:space="preserve"> de 2018</w:t>
      </w:r>
      <w:r w:rsidR="00752D77" w:rsidRPr="001731F5">
        <w:rPr>
          <w:rFonts w:ascii="Verdana" w:hAnsi="Verdana"/>
          <w:bCs/>
          <w:sz w:val="20"/>
          <w:lang w:val="es-CR"/>
        </w:rPr>
        <w:t xml:space="preserve">, luego del referido pronunciamiento judicial se inició </w:t>
      </w:r>
      <w:r w:rsidR="00350C75" w:rsidRPr="001731F5">
        <w:rPr>
          <w:rFonts w:ascii="Verdana" w:hAnsi="Verdana"/>
          <w:bCs/>
          <w:sz w:val="20"/>
          <w:lang w:val="es-CR"/>
        </w:rPr>
        <w:t>una nueva</w:t>
      </w:r>
      <w:r w:rsidR="00752D77" w:rsidRPr="001731F5">
        <w:rPr>
          <w:rFonts w:ascii="Verdana" w:hAnsi="Verdana"/>
          <w:sz w:val="20"/>
          <w:lang w:val="es-CR"/>
        </w:rPr>
        <w:t xml:space="preserve"> investigación penal preparatoria </w:t>
      </w:r>
      <w:r w:rsidR="00350C75" w:rsidRPr="001731F5">
        <w:rPr>
          <w:rFonts w:ascii="Verdana" w:hAnsi="Verdana"/>
          <w:sz w:val="20"/>
          <w:lang w:val="es-CR"/>
        </w:rPr>
        <w:t>(</w:t>
      </w:r>
      <w:r w:rsidR="00752D77" w:rsidRPr="001731F5">
        <w:rPr>
          <w:rFonts w:ascii="Verdana" w:hAnsi="Verdana"/>
          <w:sz w:val="20"/>
          <w:lang w:val="es-CR"/>
        </w:rPr>
        <w:t>I.P.P. PP Nº 06-00-014171-18</w:t>
      </w:r>
      <w:r w:rsidR="00350C75" w:rsidRPr="001731F5">
        <w:rPr>
          <w:rFonts w:ascii="Verdana" w:hAnsi="Verdana"/>
          <w:sz w:val="20"/>
          <w:lang w:val="es-CR"/>
        </w:rPr>
        <w:t>)</w:t>
      </w:r>
      <w:r w:rsidR="00DB004B">
        <w:rPr>
          <w:rFonts w:ascii="Verdana" w:hAnsi="Verdana"/>
          <w:sz w:val="20"/>
          <w:lang w:val="es-CR"/>
        </w:rPr>
        <w:t xml:space="preserve"> (</w:t>
      </w:r>
      <w:r w:rsidR="00DB004B" w:rsidRPr="00807D5C">
        <w:rPr>
          <w:rFonts w:ascii="Verdana" w:hAnsi="Verdana"/>
          <w:i/>
          <w:sz w:val="20"/>
          <w:lang w:val="es-CR"/>
        </w:rPr>
        <w:t>infra</w:t>
      </w:r>
      <w:r w:rsidR="00DB004B">
        <w:rPr>
          <w:rFonts w:ascii="Verdana" w:hAnsi="Verdana"/>
          <w:sz w:val="20"/>
          <w:lang w:val="es-CR"/>
        </w:rPr>
        <w:t xml:space="preserve"> Considerando 25)</w:t>
      </w:r>
      <w:r w:rsidR="00752D77" w:rsidRPr="001731F5">
        <w:rPr>
          <w:rFonts w:ascii="Verdana" w:hAnsi="Verdana"/>
          <w:sz w:val="20"/>
          <w:lang w:val="es-CR"/>
        </w:rPr>
        <w:t>.</w:t>
      </w:r>
      <w:bookmarkEnd w:id="11"/>
      <w:r w:rsidR="00752D77" w:rsidRPr="001731F5">
        <w:rPr>
          <w:rFonts w:ascii="Verdana" w:hAnsi="Verdana"/>
          <w:b/>
          <w:bCs/>
          <w:sz w:val="20"/>
          <w:lang w:val="es-CR"/>
        </w:rPr>
        <w:t xml:space="preserve"> </w:t>
      </w:r>
    </w:p>
    <w:p w14:paraId="26787CB5" w14:textId="77777777" w:rsidR="00C370E4" w:rsidRPr="001731F5" w:rsidRDefault="00C370E4" w:rsidP="009D57FA">
      <w:pPr>
        <w:spacing w:before="120" w:after="120"/>
        <w:jc w:val="both"/>
        <w:rPr>
          <w:rFonts w:ascii="Verdana" w:hAnsi="Verdana"/>
          <w:i/>
          <w:iCs/>
          <w:sz w:val="20"/>
          <w:lang w:val="es-CR"/>
        </w:rPr>
      </w:pPr>
    </w:p>
    <w:p w14:paraId="042AE805" w14:textId="50B53436" w:rsidR="005669E3" w:rsidRPr="001731F5" w:rsidRDefault="005669E3" w:rsidP="009D57FA">
      <w:pPr>
        <w:pStyle w:val="Prrafodelista"/>
        <w:numPr>
          <w:ilvl w:val="0"/>
          <w:numId w:val="32"/>
        </w:numPr>
        <w:spacing w:before="120" w:after="120"/>
        <w:jc w:val="both"/>
        <w:rPr>
          <w:rFonts w:ascii="Verdana" w:hAnsi="Verdana"/>
          <w:i/>
          <w:iCs/>
          <w:sz w:val="20"/>
          <w:lang w:val="es-CR"/>
        </w:rPr>
      </w:pPr>
      <w:r w:rsidRPr="001731F5">
        <w:rPr>
          <w:rFonts w:ascii="Verdana" w:hAnsi="Verdana"/>
          <w:i/>
          <w:iCs/>
          <w:sz w:val="20"/>
          <w:lang w:val="es-CR"/>
        </w:rPr>
        <w:t>Causa penal N° S-85.714 seguida contra</w:t>
      </w:r>
      <w:r w:rsidR="000B5718" w:rsidRPr="001731F5">
        <w:rPr>
          <w:rFonts w:ascii="Verdana" w:hAnsi="Verdana"/>
          <w:i/>
          <w:iCs/>
          <w:sz w:val="20"/>
          <w:lang w:val="es-CR"/>
        </w:rPr>
        <w:t xml:space="preserve"> un agente de la policía federal</w:t>
      </w:r>
      <w:r w:rsidRPr="001731F5">
        <w:rPr>
          <w:rFonts w:ascii="Verdana" w:hAnsi="Verdana"/>
          <w:i/>
          <w:iCs/>
          <w:sz w:val="20"/>
          <w:lang w:val="es-CR"/>
        </w:rPr>
        <w:t xml:space="preserve"> por el delito de homicidio calificado por alevosía</w:t>
      </w:r>
      <w:r w:rsidR="000B5718" w:rsidRPr="001731F5">
        <w:rPr>
          <w:rFonts w:ascii="Verdana" w:hAnsi="Verdana"/>
          <w:i/>
          <w:iCs/>
          <w:sz w:val="20"/>
          <w:lang w:val="es-CR"/>
        </w:rPr>
        <w:t xml:space="preserve"> en perjuicio del señor Gutiérrez</w:t>
      </w:r>
      <w:r w:rsidRPr="001731F5">
        <w:rPr>
          <w:rFonts w:ascii="Verdana" w:hAnsi="Verdana"/>
          <w:i/>
          <w:iCs/>
          <w:sz w:val="20"/>
          <w:lang w:val="es-CR"/>
        </w:rPr>
        <w:t xml:space="preserve"> </w:t>
      </w:r>
    </w:p>
    <w:p w14:paraId="614F945C" w14:textId="56AE7F8B" w:rsidR="00840CC0" w:rsidRPr="001731F5" w:rsidRDefault="007D36D3" w:rsidP="005669E3">
      <w:pPr>
        <w:numPr>
          <w:ilvl w:val="0"/>
          <w:numId w:val="5"/>
        </w:numPr>
        <w:spacing w:before="120" w:after="120"/>
        <w:ind w:left="0" w:firstLine="0"/>
        <w:jc w:val="both"/>
        <w:rPr>
          <w:rFonts w:ascii="Verdana" w:hAnsi="Verdana"/>
          <w:sz w:val="20"/>
          <w:lang w:val="es-CR"/>
        </w:rPr>
      </w:pPr>
      <w:bookmarkStart w:id="12" w:name="_Ref27121061"/>
      <w:bookmarkStart w:id="13" w:name="_Ref26955214"/>
      <w:r w:rsidRPr="001731F5">
        <w:rPr>
          <w:rFonts w:ascii="Verdana" w:hAnsi="Verdana"/>
          <w:sz w:val="20"/>
          <w:lang w:val="es-CR"/>
        </w:rPr>
        <w:t xml:space="preserve">En </w:t>
      </w:r>
      <w:r w:rsidR="00DB004B">
        <w:rPr>
          <w:rFonts w:ascii="Verdana" w:hAnsi="Verdana"/>
          <w:sz w:val="20"/>
          <w:lang w:val="es-CR"/>
        </w:rPr>
        <w:t xml:space="preserve">junio de </w:t>
      </w:r>
      <w:r w:rsidRPr="001731F5">
        <w:rPr>
          <w:rFonts w:ascii="Verdana" w:hAnsi="Verdana"/>
          <w:sz w:val="20"/>
          <w:lang w:val="es-CR"/>
        </w:rPr>
        <w:t xml:space="preserve">2013 había sido ordenado que se realizara juicio oral y público contra </w:t>
      </w:r>
      <w:r w:rsidR="00785498">
        <w:rPr>
          <w:rFonts w:ascii="Verdana" w:hAnsi="Verdana"/>
          <w:sz w:val="20"/>
          <w:lang w:val="es-CR"/>
        </w:rPr>
        <w:t xml:space="preserve">un </w:t>
      </w:r>
      <w:r w:rsidRPr="001731F5">
        <w:rPr>
          <w:rFonts w:ascii="Verdana" w:hAnsi="Verdana"/>
          <w:sz w:val="20"/>
          <w:lang w:val="es-CR"/>
        </w:rPr>
        <w:t>agente de la policía federal (</w:t>
      </w:r>
      <w:r w:rsidRPr="001731F5">
        <w:rPr>
          <w:rFonts w:ascii="Verdana" w:hAnsi="Verdana"/>
          <w:i/>
          <w:iCs/>
          <w:sz w:val="20"/>
          <w:lang w:val="es-CR"/>
        </w:rPr>
        <w:t xml:space="preserve">supra </w:t>
      </w:r>
      <w:r w:rsidRPr="001731F5">
        <w:rPr>
          <w:rFonts w:ascii="Verdana" w:hAnsi="Verdana"/>
          <w:sz w:val="20"/>
          <w:lang w:val="es-CR"/>
        </w:rPr>
        <w:t xml:space="preserve">Considerando </w:t>
      </w:r>
      <w:r w:rsidR="000B10CB">
        <w:rPr>
          <w:rFonts w:ascii="Verdana" w:hAnsi="Verdana"/>
          <w:sz w:val="20"/>
          <w:lang w:val="es-CR"/>
        </w:rPr>
        <w:fldChar w:fldCharType="begin"/>
      </w:r>
      <w:r w:rsidR="000B10CB">
        <w:rPr>
          <w:rFonts w:ascii="Verdana" w:hAnsi="Verdana"/>
          <w:sz w:val="20"/>
          <w:lang w:val="es-CR"/>
        </w:rPr>
        <w:instrText xml:space="preserve"> REF _Ref26955146 \r \h </w:instrText>
      </w:r>
      <w:r w:rsidR="000B10CB">
        <w:rPr>
          <w:rFonts w:ascii="Verdana" w:hAnsi="Verdana"/>
          <w:sz w:val="20"/>
          <w:lang w:val="es-CR"/>
        </w:rPr>
      </w:r>
      <w:r w:rsidR="000B10CB">
        <w:rPr>
          <w:rFonts w:ascii="Verdana" w:hAnsi="Verdana"/>
          <w:sz w:val="20"/>
          <w:lang w:val="es-CR"/>
        </w:rPr>
        <w:fldChar w:fldCharType="separate"/>
      </w:r>
      <w:r w:rsidR="00756751">
        <w:rPr>
          <w:rFonts w:ascii="Verdana" w:hAnsi="Verdana"/>
          <w:sz w:val="20"/>
          <w:lang w:val="es-CR"/>
        </w:rPr>
        <w:t>8</w:t>
      </w:r>
      <w:r w:rsidR="000B10CB">
        <w:rPr>
          <w:rFonts w:ascii="Verdana" w:hAnsi="Verdana"/>
          <w:sz w:val="20"/>
          <w:lang w:val="es-CR"/>
        </w:rPr>
        <w:fldChar w:fldCharType="end"/>
      </w:r>
      <w:r w:rsidRPr="001731F5">
        <w:rPr>
          <w:rFonts w:ascii="Verdana" w:hAnsi="Verdana"/>
          <w:sz w:val="20"/>
          <w:lang w:val="es-CR"/>
        </w:rPr>
        <w:t xml:space="preserve">). </w:t>
      </w:r>
      <w:r w:rsidR="000B5F6F" w:rsidRPr="001731F5">
        <w:rPr>
          <w:rFonts w:ascii="Verdana" w:hAnsi="Verdana"/>
          <w:sz w:val="20"/>
          <w:lang w:val="es-CR"/>
        </w:rPr>
        <w:t>De acuerdo con la información aportada por las partes en la etapa de supervisión de cumplimiento, se constata que el 9 de marzo de 2015 la Sala Primera de la Cámara de Apelación y Garantías en lo Penal del Departamento Judicial de La Plata emitió una providencia</w:t>
      </w:r>
      <w:r w:rsidR="0094781B" w:rsidRPr="001731F5">
        <w:rPr>
          <w:rFonts w:ascii="Verdana" w:hAnsi="Verdana"/>
          <w:sz w:val="20"/>
          <w:lang w:val="es-CR"/>
        </w:rPr>
        <w:t>,</w:t>
      </w:r>
      <w:r w:rsidR="000B5F6F" w:rsidRPr="001731F5">
        <w:rPr>
          <w:rFonts w:ascii="Verdana" w:hAnsi="Verdana"/>
          <w:sz w:val="20"/>
          <w:lang w:val="es-CR"/>
        </w:rPr>
        <w:t xml:space="preserve"> en la cual “</w:t>
      </w:r>
      <w:proofErr w:type="spellStart"/>
      <w:r w:rsidR="000B5F6F" w:rsidRPr="001731F5">
        <w:rPr>
          <w:rFonts w:ascii="Verdana" w:hAnsi="Verdana"/>
          <w:sz w:val="20"/>
          <w:lang w:val="es-CR"/>
        </w:rPr>
        <w:t>cit</w:t>
      </w:r>
      <w:proofErr w:type="spellEnd"/>
      <w:r w:rsidR="000B10CB">
        <w:rPr>
          <w:rFonts w:ascii="Verdana" w:hAnsi="Verdana"/>
          <w:sz w:val="20"/>
          <w:lang w:val="es-CR"/>
        </w:rPr>
        <w:t>[</w:t>
      </w:r>
      <w:proofErr w:type="spellStart"/>
      <w:r w:rsidR="000B5F6F" w:rsidRPr="001731F5">
        <w:rPr>
          <w:rFonts w:ascii="Verdana" w:hAnsi="Verdana"/>
          <w:sz w:val="20"/>
          <w:lang w:val="es-CR"/>
        </w:rPr>
        <w:t>ó</w:t>
      </w:r>
      <w:proofErr w:type="spellEnd"/>
      <w:r w:rsidR="000B10CB">
        <w:rPr>
          <w:rFonts w:ascii="Verdana" w:hAnsi="Verdana"/>
          <w:sz w:val="20"/>
          <w:lang w:val="es-CR"/>
        </w:rPr>
        <w:t>]</w:t>
      </w:r>
      <w:r w:rsidR="000B5F6F" w:rsidRPr="001731F5">
        <w:rPr>
          <w:rFonts w:ascii="Verdana" w:hAnsi="Verdana"/>
          <w:sz w:val="20"/>
          <w:lang w:val="es-CR"/>
        </w:rPr>
        <w:t xml:space="preserve"> a las partes a juicio por el plazo individual de diez días a fin de que [</w:t>
      </w:r>
      <w:r w:rsidR="0094781B" w:rsidRPr="001731F5">
        <w:rPr>
          <w:rFonts w:ascii="Verdana" w:hAnsi="Verdana"/>
          <w:sz w:val="20"/>
          <w:lang w:val="es-CR"/>
        </w:rPr>
        <w:t>…</w:t>
      </w:r>
      <w:r w:rsidR="000B5F6F" w:rsidRPr="001731F5">
        <w:rPr>
          <w:rFonts w:ascii="Verdana" w:hAnsi="Verdana"/>
          <w:sz w:val="20"/>
          <w:lang w:val="es-CR"/>
        </w:rPr>
        <w:t>]</w:t>
      </w:r>
      <w:r w:rsidR="0094781B" w:rsidRPr="001731F5">
        <w:rPr>
          <w:rFonts w:ascii="Verdana" w:hAnsi="Verdana"/>
          <w:sz w:val="20"/>
          <w:lang w:val="es-CR"/>
        </w:rPr>
        <w:t xml:space="preserve"> </w:t>
      </w:r>
      <w:proofErr w:type="spellStart"/>
      <w:r w:rsidR="0094781B" w:rsidRPr="001731F5">
        <w:rPr>
          <w:rFonts w:ascii="Verdana" w:hAnsi="Verdana"/>
          <w:sz w:val="20"/>
          <w:lang w:val="es-CR"/>
        </w:rPr>
        <w:t>ofre</w:t>
      </w:r>
      <w:proofErr w:type="spellEnd"/>
      <w:r w:rsidR="0094781B" w:rsidRPr="001731F5">
        <w:rPr>
          <w:rFonts w:ascii="Verdana" w:hAnsi="Verdana"/>
          <w:sz w:val="20"/>
          <w:lang w:val="es-CR"/>
        </w:rPr>
        <w:t>[</w:t>
      </w:r>
      <w:proofErr w:type="spellStart"/>
      <w:r w:rsidR="0094781B" w:rsidRPr="001731F5">
        <w:rPr>
          <w:rFonts w:ascii="Verdana" w:hAnsi="Verdana"/>
          <w:sz w:val="20"/>
          <w:lang w:val="es-CR"/>
        </w:rPr>
        <w:t>cieran</w:t>
      </w:r>
      <w:proofErr w:type="spellEnd"/>
      <w:r w:rsidR="0094781B" w:rsidRPr="001731F5">
        <w:rPr>
          <w:rFonts w:ascii="Verdana" w:hAnsi="Verdana"/>
          <w:sz w:val="20"/>
          <w:lang w:val="es-CR"/>
        </w:rPr>
        <w:t xml:space="preserve">] las pruebas que pretendan utilizar en el debate y las que pretendieran realizar durante la investigación suplementaria, todo lo cual será motivo de tratamiento en la posterior audiencia preliminar que el </w:t>
      </w:r>
      <w:r w:rsidR="00A47B9B">
        <w:rPr>
          <w:rFonts w:ascii="Verdana" w:hAnsi="Verdana"/>
          <w:sz w:val="20"/>
          <w:lang w:val="es-CR"/>
        </w:rPr>
        <w:t>[t]</w:t>
      </w:r>
      <w:proofErr w:type="spellStart"/>
      <w:r w:rsidR="00A47B9B" w:rsidRPr="001731F5">
        <w:rPr>
          <w:rFonts w:ascii="Verdana" w:hAnsi="Verdana"/>
          <w:sz w:val="20"/>
          <w:lang w:val="es-CR"/>
        </w:rPr>
        <w:t>ribunal</w:t>
      </w:r>
      <w:proofErr w:type="spellEnd"/>
      <w:r w:rsidR="00A47B9B" w:rsidRPr="001731F5">
        <w:rPr>
          <w:rFonts w:ascii="Verdana" w:hAnsi="Verdana"/>
          <w:sz w:val="20"/>
          <w:lang w:val="es-CR"/>
        </w:rPr>
        <w:t xml:space="preserve"> </w:t>
      </w:r>
      <w:r w:rsidR="0094781B" w:rsidRPr="001731F5">
        <w:rPr>
          <w:rFonts w:ascii="Verdana" w:hAnsi="Verdana"/>
          <w:sz w:val="20"/>
          <w:lang w:val="es-CR"/>
        </w:rPr>
        <w:t>fijará oportunamente”</w:t>
      </w:r>
      <w:r w:rsidR="0094781B" w:rsidRPr="001731F5">
        <w:rPr>
          <w:rStyle w:val="Refdenotaalpie"/>
          <w:rFonts w:ascii="Verdana" w:hAnsi="Verdana"/>
          <w:sz w:val="20"/>
          <w:lang w:val="es-CR"/>
        </w:rPr>
        <w:footnoteReference w:id="20"/>
      </w:r>
      <w:r w:rsidR="0094781B" w:rsidRPr="001731F5">
        <w:rPr>
          <w:rFonts w:ascii="Verdana" w:hAnsi="Verdana"/>
          <w:sz w:val="20"/>
          <w:lang w:val="es-CR"/>
        </w:rPr>
        <w:t>.</w:t>
      </w:r>
      <w:bookmarkEnd w:id="12"/>
      <w:r w:rsidR="0094781B" w:rsidRPr="001731F5">
        <w:rPr>
          <w:rFonts w:ascii="Verdana" w:hAnsi="Verdana"/>
          <w:sz w:val="20"/>
          <w:lang w:val="es-CR"/>
        </w:rPr>
        <w:t xml:space="preserve"> </w:t>
      </w:r>
      <w:bookmarkEnd w:id="13"/>
      <w:r w:rsidR="0094781B" w:rsidRPr="001731F5">
        <w:rPr>
          <w:rFonts w:ascii="Verdana" w:hAnsi="Verdana"/>
          <w:b/>
          <w:sz w:val="20"/>
          <w:lang w:val="es-CR"/>
        </w:rPr>
        <w:t xml:space="preserve"> </w:t>
      </w:r>
    </w:p>
    <w:p w14:paraId="7536028A" w14:textId="592EEB44" w:rsidR="00485E50" w:rsidRPr="001731F5" w:rsidRDefault="0094781B" w:rsidP="006E3C43">
      <w:pPr>
        <w:numPr>
          <w:ilvl w:val="0"/>
          <w:numId w:val="5"/>
        </w:numPr>
        <w:spacing w:before="120" w:after="120"/>
        <w:ind w:left="0" w:firstLine="0"/>
        <w:jc w:val="both"/>
        <w:rPr>
          <w:rFonts w:ascii="Verdana" w:hAnsi="Verdana"/>
          <w:bCs/>
          <w:sz w:val="20"/>
          <w:lang w:val="es-CR"/>
        </w:rPr>
      </w:pPr>
      <w:r w:rsidRPr="001731F5">
        <w:rPr>
          <w:rFonts w:ascii="Verdana" w:hAnsi="Verdana"/>
          <w:bCs/>
          <w:sz w:val="20"/>
          <w:lang w:val="es-CR"/>
        </w:rPr>
        <w:lastRenderedPageBreak/>
        <w:t>La referida audiencia preliminar se efectuó el 18 de agosto de 2015</w:t>
      </w:r>
      <w:r w:rsidRPr="001731F5">
        <w:rPr>
          <w:rStyle w:val="Refdenotaalpie"/>
          <w:rFonts w:ascii="Verdana" w:hAnsi="Verdana"/>
          <w:bCs/>
          <w:sz w:val="20"/>
          <w:lang w:val="es-CR"/>
        </w:rPr>
        <w:footnoteReference w:id="21"/>
      </w:r>
      <w:r w:rsidRPr="001731F5">
        <w:rPr>
          <w:rFonts w:ascii="Verdana" w:hAnsi="Verdana"/>
          <w:bCs/>
          <w:sz w:val="20"/>
          <w:lang w:val="es-CR"/>
        </w:rPr>
        <w:t>.</w:t>
      </w:r>
      <w:r w:rsidRPr="001731F5">
        <w:rPr>
          <w:rFonts w:ascii="Verdana" w:hAnsi="Verdana"/>
          <w:b/>
          <w:sz w:val="20"/>
          <w:lang w:val="es-CR"/>
        </w:rPr>
        <w:t xml:space="preserve"> </w:t>
      </w:r>
      <w:r w:rsidR="005711C8" w:rsidRPr="001731F5">
        <w:rPr>
          <w:rFonts w:ascii="Verdana" w:hAnsi="Verdana"/>
          <w:bCs/>
          <w:sz w:val="20"/>
          <w:lang w:val="es-CR"/>
        </w:rPr>
        <w:t xml:space="preserve">Ese mismo día la defensa </w:t>
      </w:r>
      <w:r w:rsidR="00D560CA" w:rsidRPr="001731F5">
        <w:rPr>
          <w:rFonts w:ascii="Verdana" w:hAnsi="Verdana"/>
          <w:bCs/>
          <w:sz w:val="20"/>
          <w:lang w:val="es-CR"/>
        </w:rPr>
        <w:t xml:space="preserve">técnica </w:t>
      </w:r>
      <w:r w:rsidR="005711C8" w:rsidRPr="001731F5">
        <w:rPr>
          <w:rFonts w:ascii="Verdana" w:hAnsi="Verdana"/>
          <w:bCs/>
          <w:sz w:val="20"/>
          <w:lang w:val="es-CR"/>
        </w:rPr>
        <w:t xml:space="preserve">del imputado </w:t>
      </w:r>
      <w:r w:rsidR="00E21E92" w:rsidRPr="001731F5">
        <w:rPr>
          <w:rFonts w:ascii="Verdana" w:hAnsi="Verdana"/>
          <w:bCs/>
          <w:sz w:val="20"/>
          <w:lang w:val="es-CR"/>
        </w:rPr>
        <w:t xml:space="preserve">presentó un escrito mediante el cual solicitó la nulidad del </w:t>
      </w:r>
      <w:r w:rsidR="00D560CA" w:rsidRPr="001731F5">
        <w:rPr>
          <w:rFonts w:ascii="Verdana" w:hAnsi="Verdana"/>
          <w:bCs/>
          <w:sz w:val="20"/>
          <w:lang w:val="es-CR"/>
        </w:rPr>
        <w:t>“</w:t>
      </w:r>
      <w:r w:rsidR="006E3C43" w:rsidRPr="001731F5">
        <w:rPr>
          <w:rFonts w:ascii="Verdana" w:hAnsi="Verdana"/>
          <w:bCs/>
          <w:sz w:val="20"/>
          <w:lang w:val="es-CR"/>
        </w:rPr>
        <w:t xml:space="preserve">auto de </w:t>
      </w:r>
      <w:r w:rsidR="00E21E92" w:rsidRPr="001731F5">
        <w:rPr>
          <w:rFonts w:ascii="Verdana" w:hAnsi="Verdana"/>
          <w:bCs/>
          <w:sz w:val="20"/>
          <w:lang w:val="es-CR"/>
        </w:rPr>
        <w:t>llamado a prestar declaración indagatoria</w:t>
      </w:r>
      <w:r w:rsidR="00D560CA" w:rsidRPr="001731F5">
        <w:rPr>
          <w:rFonts w:ascii="Verdana" w:hAnsi="Verdana"/>
          <w:bCs/>
          <w:sz w:val="20"/>
          <w:lang w:val="es-CR"/>
        </w:rPr>
        <w:t>”</w:t>
      </w:r>
      <w:r w:rsidR="00A47B9B">
        <w:rPr>
          <w:rFonts w:ascii="Verdana" w:hAnsi="Verdana"/>
          <w:bCs/>
          <w:sz w:val="20"/>
          <w:lang w:val="es-CR"/>
        </w:rPr>
        <w:t>,</w:t>
      </w:r>
      <w:r w:rsidR="00E21E92" w:rsidRPr="001731F5">
        <w:rPr>
          <w:rFonts w:ascii="Verdana" w:hAnsi="Verdana"/>
          <w:bCs/>
          <w:sz w:val="20"/>
          <w:lang w:val="es-CR"/>
        </w:rPr>
        <w:t xml:space="preserve"> de </w:t>
      </w:r>
      <w:r w:rsidR="00D560CA" w:rsidRPr="001731F5">
        <w:rPr>
          <w:rFonts w:ascii="Verdana" w:hAnsi="Verdana"/>
          <w:bCs/>
          <w:sz w:val="20"/>
          <w:lang w:val="es-CR"/>
        </w:rPr>
        <w:t>“</w:t>
      </w:r>
      <w:r w:rsidR="00E21E92" w:rsidRPr="001731F5">
        <w:rPr>
          <w:rFonts w:ascii="Verdana" w:hAnsi="Verdana"/>
          <w:bCs/>
          <w:sz w:val="20"/>
          <w:lang w:val="es-CR"/>
        </w:rPr>
        <w:t>la audiencia de declaración indagatoria</w:t>
      </w:r>
      <w:r w:rsidR="001A4785">
        <w:rPr>
          <w:rFonts w:ascii="Verdana" w:hAnsi="Verdana"/>
          <w:bCs/>
          <w:sz w:val="20"/>
          <w:lang w:val="es-CR"/>
        </w:rPr>
        <w:t>”,</w:t>
      </w:r>
      <w:r w:rsidR="00785498">
        <w:rPr>
          <w:rFonts w:ascii="Verdana" w:hAnsi="Verdana"/>
          <w:bCs/>
          <w:sz w:val="20"/>
          <w:lang w:val="es-CR"/>
        </w:rPr>
        <w:t xml:space="preserve"> </w:t>
      </w:r>
      <w:r w:rsidR="00A47B9B">
        <w:rPr>
          <w:rFonts w:ascii="Verdana" w:hAnsi="Verdana"/>
          <w:bCs/>
          <w:sz w:val="20"/>
          <w:lang w:val="es-CR"/>
        </w:rPr>
        <w:t>y</w:t>
      </w:r>
      <w:r w:rsidR="00D560CA" w:rsidRPr="001731F5">
        <w:rPr>
          <w:rFonts w:ascii="Verdana" w:hAnsi="Verdana"/>
          <w:bCs/>
          <w:sz w:val="20"/>
          <w:lang w:val="es-CR"/>
        </w:rPr>
        <w:t xml:space="preserve"> </w:t>
      </w:r>
      <w:r w:rsidR="001A4785">
        <w:rPr>
          <w:rFonts w:ascii="Verdana" w:hAnsi="Verdana"/>
          <w:bCs/>
          <w:sz w:val="20"/>
          <w:lang w:val="es-CR"/>
        </w:rPr>
        <w:t xml:space="preserve">“de </w:t>
      </w:r>
      <w:r w:rsidR="00D560CA" w:rsidRPr="001731F5">
        <w:rPr>
          <w:rFonts w:ascii="Verdana" w:hAnsi="Verdana"/>
          <w:bCs/>
          <w:sz w:val="20"/>
          <w:lang w:val="es-CR"/>
        </w:rPr>
        <w:t>la acusación fiscal y de todos los actos consecuentes”</w:t>
      </w:r>
      <w:r w:rsidR="00E21E92" w:rsidRPr="001731F5">
        <w:rPr>
          <w:rFonts w:ascii="Verdana" w:hAnsi="Verdana"/>
          <w:bCs/>
          <w:sz w:val="20"/>
          <w:lang w:val="es-CR"/>
        </w:rPr>
        <w:t>, realizad</w:t>
      </w:r>
      <w:r w:rsidR="00D560CA" w:rsidRPr="001731F5">
        <w:rPr>
          <w:rFonts w:ascii="Verdana" w:hAnsi="Verdana"/>
          <w:bCs/>
          <w:sz w:val="20"/>
          <w:lang w:val="es-CR"/>
        </w:rPr>
        <w:t>a</w:t>
      </w:r>
      <w:r w:rsidR="00E21E92" w:rsidRPr="001731F5">
        <w:rPr>
          <w:rFonts w:ascii="Verdana" w:hAnsi="Verdana"/>
          <w:bCs/>
          <w:sz w:val="20"/>
          <w:lang w:val="es-CR"/>
        </w:rPr>
        <w:t xml:space="preserve">s </w:t>
      </w:r>
      <w:r w:rsidR="008C7063" w:rsidRPr="001731F5">
        <w:rPr>
          <w:rFonts w:ascii="Verdana" w:hAnsi="Verdana"/>
          <w:bCs/>
          <w:sz w:val="20"/>
          <w:lang w:val="es-CR"/>
        </w:rPr>
        <w:t xml:space="preserve">muchos </w:t>
      </w:r>
      <w:r w:rsidR="00E21E92" w:rsidRPr="001731F5">
        <w:rPr>
          <w:rFonts w:ascii="Verdana" w:hAnsi="Verdana"/>
          <w:bCs/>
          <w:sz w:val="20"/>
          <w:lang w:val="es-CR"/>
        </w:rPr>
        <w:t>años atrás, por considerar que se habría</w:t>
      </w:r>
      <w:r w:rsidR="006F4932" w:rsidRPr="001731F5">
        <w:rPr>
          <w:rFonts w:ascii="Verdana" w:hAnsi="Verdana"/>
          <w:bCs/>
          <w:sz w:val="20"/>
          <w:lang w:val="es-CR"/>
        </w:rPr>
        <w:t>n</w:t>
      </w:r>
      <w:r w:rsidR="00E21E92" w:rsidRPr="001731F5">
        <w:rPr>
          <w:rFonts w:ascii="Verdana" w:hAnsi="Verdana"/>
          <w:bCs/>
          <w:sz w:val="20"/>
          <w:lang w:val="es-CR"/>
        </w:rPr>
        <w:t xml:space="preserve"> violado </w:t>
      </w:r>
      <w:r w:rsidR="006F4932" w:rsidRPr="001731F5">
        <w:rPr>
          <w:rFonts w:ascii="Verdana" w:hAnsi="Verdana"/>
          <w:bCs/>
          <w:sz w:val="20"/>
          <w:lang w:val="es-CR"/>
        </w:rPr>
        <w:t>los</w:t>
      </w:r>
      <w:r w:rsidR="00E21E92" w:rsidRPr="001731F5">
        <w:rPr>
          <w:rFonts w:ascii="Verdana" w:hAnsi="Verdana"/>
          <w:bCs/>
          <w:sz w:val="20"/>
          <w:lang w:val="es-CR"/>
        </w:rPr>
        <w:t xml:space="preserve"> derecho</w:t>
      </w:r>
      <w:r w:rsidR="006F4932" w:rsidRPr="001731F5">
        <w:rPr>
          <w:rFonts w:ascii="Verdana" w:hAnsi="Verdana"/>
          <w:bCs/>
          <w:sz w:val="20"/>
          <w:lang w:val="es-CR"/>
        </w:rPr>
        <w:t>s</w:t>
      </w:r>
      <w:r w:rsidR="00E21E92" w:rsidRPr="001731F5">
        <w:rPr>
          <w:rFonts w:ascii="Verdana" w:hAnsi="Verdana"/>
          <w:bCs/>
          <w:sz w:val="20"/>
          <w:lang w:val="es-CR"/>
        </w:rPr>
        <w:t xml:space="preserve"> </w:t>
      </w:r>
      <w:r w:rsidR="006F4932" w:rsidRPr="001731F5">
        <w:rPr>
          <w:rFonts w:ascii="Verdana" w:hAnsi="Verdana"/>
          <w:bCs/>
          <w:sz w:val="20"/>
          <w:lang w:val="es-CR"/>
        </w:rPr>
        <w:t>a la</w:t>
      </w:r>
      <w:r w:rsidR="00E21E92" w:rsidRPr="001731F5">
        <w:rPr>
          <w:rFonts w:ascii="Verdana" w:hAnsi="Verdana"/>
          <w:bCs/>
          <w:sz w:val="20"/>
          <w:lang w:val="es-CR"/>
        </w:rPr>
        <w:t xml:space="preserve"> defensa </w:t>
      </w:r>
      <w:r w:rsidR="006F4932" w:rsidRPr="001731F5">
        <w:rPr>
          <w:rFonts w:ascii="Verdana" w:hAnsi="Verdana"/>
          <w:bCs/>
          <w:sz w:val="20"/>
          <w:lang w:val="es-CR"/>
        </w:rPr>
        <w:t xml:space="preserve">y debido proceso </w:t>
      </w:r>
      <w:r w:rsidR="00E21E92" w:rsidRPr="001731F5">
        <w:rPr>
          <w:rFonts w:ascii="Verdana" w:hAnsi="Verdana"/>
          <w:bCs/>
          <w:sz w:val="20"/>
          <w:lang w:val="es-CR"/>
        </w:rPr>
        <w:t>del imputado y, además, solicitó la extinción de la acción penal por prescripción y sobreseimiento del imputado</w:t>
      </w:r>
      <w:r w:rsidR="00D560CA" w:rsidRPr="001731F5">
        <w:rPr>
          <w:rStyle w:val="Refdenotaalpie"/>
          <w:rFonts w:ascii="Verdana" w:hAnsi="Verdana"/>
          <w:bCs/>
          <w:sz w:val="20"/>
          <w:lang w:val="es-CR"/>
        </w:rPr>
        <w:footnoteReference w:id="22"/>
      </w:r>
      <w:r w:rsidR="00840CC0" w:rsidRPr="001731F5">
        <w:rPr>
          <w:rFonts w:ascii="Verdana" w:hAnsi="Verdana"/>
          <w:bCs/>
          <w:sz w:val="20"/>
          <w:lang w:val="es-CR"/>
        </w:rPr>
        <w:t xml:space="preserve">. </w:t>
      </w:r>
      <w:r w:rsidR="00A47B9B">
        <w:rPr>
          <w:rFonts w:ascii="Verdana" w:hAnsi="Verdana"/>
          <w:bCs/>
          <w:sz w:val="20"/>
          <w:lang w:val="es-CR"/>
        </w:rPr>
        <w:t>El</w:t>
      </w:r>
      <w:r w:rsidR="00D560CA" w:rsidRPr="001731F5">
        <w:rPr>
          <w:rFonts w:ascii="Verdana" w:hAnsi="Verdana"/>
          <w:bCs/>
          <w:sz w:val="20"/>
          <w:lang w:val="es-CR"/>
        </w:rPr>
        <w:t xml:space="preserve"> 26 de agosto de ese año</w:t>
      </w:r>
      <w:r w:rsidR="006F4932" w:rsidRPr="001731F5">
        <w:rPr>
          <w:rFonts w:ascii="Verdana" w:hAnsi="Verdana"/>
          <w:bCs/>
          <w:sz w:val="20"/>
          <w:lang w:val="es-CR"/>
        </w:rPr>
        <w:t xml:space="preserve">, </w:t>
      </w:r>
      <w:r w:rsidR="00D560CA" w:rsidRPr="001731F5">
        <w:rPr>
          <w:rFonts w:ascii="Verdana" w:hAnsi="Verdana"/>
          <w:bCs/>
          <w:sz w:val="20"/>
          <w:lang w:val="es-CR"/>
        </w:rPr>
        <w:t xml:space="preserve">se </w:t>
      </w:r>
      <w:r w:rsidR="006F4932" w:rsidRPr="001731F5">
        <w:rPr>
          <w:rFonts w:ascii="Verdana" w:hAnsi="Verdana"/>
          <w:bCs/>
          <w:sz w:val="20"/>
          <w:lang w:val="es-CR"/>
        </w:rPr>
        <w:t>resolvió</w:t>
      </w:r>
      <w:r w:rsidR="00D560CA" w:rsidRPr="001731F5">
        <w:rPr>
          <w:rFonts w:ascii="Verdana" w:hAnsi="Verdana"/>
          <w:bCs/>
          <w:sz w:val="20"/>
          <w:lang w:val="es-CR"/>
        </w:rPr>
        <w:t xml:space="preserve"> la referida solicitud planteada por la defensa del imputado</w:t>
      </w:r>
      <w:r w:rsidR="006F4932" w:rsidRPr="001731F5">
        <w:rPr>
          <w:rStyle w:val="Refdenotaalpie"/>
          <w:rFonts w:ascii="Verdana" w:hAnsi="Verdana"/>
          <w:bCs/>
          <w:sz w:val="20"/>
          <w:lang w:val="es-CR"/>
        </w:rPr>
        <w:footnoteReference w:id="23"/>
      </w:r>
      <w:r w:rsidR="00D560CA" w:rsidRPr="001731F5">
        <w:rPr>
          <w:rFonts w:ascii="Verdana" w:hAnsi="Verdana"/>
          <w:bCs/>
          <w:sz w:val="20"/>
          <w:lang w:val="es-CR"/>
        </w:rPr>
        <w:t xml:space="preserve">. Al respecto, </w:t>
      </w:r>
      <w:r w:rsidR="006F4932" w:rsidRPr="001731F5">
        <w:rPr>
          <w:rFonts w:ascii="Verdana" w:hAnsi="Verdana"/>
          <w:bCs/>
          <w:sz w:val="20"/>
          <w:lang w:val="es-CR"/>
        </w:rPr>
        <w:t>se</w:t>
      </w:r>
      <w:r w:rsidR="005F15EC" w:rsidRPr="001731F5">
        <w:rPr>
          <w:rFonts w:ascii="Verdana" w:hAnsi="Verdana"/>
          <w:bCs/>
          <w:sz w:val="20"/>
          <w:lang w:val="es-CR"/>
        </w:rPr>
        <w:t xml:space="preserve"> “</w:t>
      </w:r>
      <w:proofErr w:type="gramStart"/>
      <w:r w:rsidR="005F15EC" w:rsidRPr="001731F5">
        <w:rPr>
          <w:rFonts w:ascii="Verdana" w:hAnsi="Verdana"/>
          <w:bCs/>
          <w:sz w:val="20"/>
          <w:lang w:val="es-CR"/>
        </w:rPr>
        <w:t>rechazar[</w:t>
      </w:r>
      <w:proofErr w:type="spellStart"/>
      <w:proofErr w:type="gramEnd"/>
      <w:r w:rsidR="005F15EC" w:rsidRPr="001731F5">
        <w:rPr>
          <w:rFonts w:ascii="Verdana" w:hAnsi="Verdana"/>
          <w:bCs/>
          <w:sz w:val="20"/>
          <w:lang w:val="es-CR"/>
        </w:rPr>
        <w:t>on</w:t>
      </w:r>
      <w:proofErr w:type="spellEnd"/>
      <w:r w:rsidR="005F15EC" w:rsidRPr="001731F5">
        <w:rPr>
          <w:rFonts w:ascii="Verdana" w:hAnsi="Verdana"/>
          <w:bCs/>
          <w:sz w:val="20"/>
          <w:lang w:val="es-CR"/>
        </w:rPr>
        <w:t xml:space="preserve"> los] </w:t>
      </w:r>
      <w:r w:rsidR="00401A03">
        <w:rPr>
          <w:rFonts w:ascii="Verdana" w:hAnsi="Verdana"/>
          <w:bCs/>
          <w:sz w:val="20"/>
          <w:lang w:val="es-CR"/>
        </w:rPr>
        <w:t>planteo</w:t>
      </w:r>
      <w:r w:rsidR="005F15EC" w:rsidRPr="001731F5">
        <w:rPr>
          <w:rFonts w:ascii="Verdana" w:hAnsi="Verdana"/>
          <w:bCs/>
          <w:sz w:val="20"/>
          <w:lang w:val="es-CR"/>
        </w:rPr>
        <w:t>[s] de nulidad del llamado a prestar declaración indagatoria [y</w:t>
      </w:r>
      <w:r w:rsidR="00401A03">
        <w:rPr>
          <w:rFonts w:ascii="Verdana" w:hAnsi="Verdana"/>
          <w:bCs/>
          <w:sz w:val="20"/>
          <w:lang w:val="es-CR"/>
        </w:rPr>
        <w:t xml:space="preserve"> …</w:t>
      </w:r>
      <w:r w:rsidR="005F15EC" w:rsidRPr="001731F5">
        <w:rPr>
          <w:rFonts w:ascii="Verdana" w:hAnsi="Verdana"/>
          <w:bCs/>
          <w:sz w:val="20"/>
          <w:lang w:val="es-CR"/>
        </w:rPr>
        <w:t>] de extinción de la acción penal por prescripción y el sobreseimiento del imputado” y se</w:t>
      </w:r>
      <w:r w:rsidR="006F4932" w:rsidRPr="001731F5">
        <w:rPr>
          <w:rFonts w:ascii="Verdana" w:hAnsi="Verdana"/>
          <w:bCs/>
          <w:sz w:val="20"/>
          <w:lang w:val="es-CR"/>
        </w:rPr>
        <w:t xml:space="preserve"> </w:t>
      </w:r>
      <w:r w:rsidR="007370FA" w:rsidRPr="001731F5">
        <w:rPr>
          <w:rFonts w:ascii="Verdana" w:hAnsi="Verdana"/>
          <w:bCs/>
          <w:sz w:val="20"/>
          <w:lang w:val="es-CR"/>
        </w:rPr>
        <w:t xml:space="preserve">“h[izo] </w:t>
      </w:r>
      <w:r w:rsidR="006F4932" w:rsidRPr="001731F5">
        <w:rPr>
          <w:rFonts w:ascii="Verdana" w:hAnsi="Verdana"/>
          <w:bCs/>
          <w:sz w:val="20"/>
          <w:lang w:val="es-CR"/>
        </w:rPr>
        <w:t xml:space="preserve">lugar </w:t>
      </w:r>
      <w:r w:rsidR="007370FA" w:rsidRPr="001731F5">
        <w:rPr>
          <w:rFonts w:ascii="Verdana" w:hAnsi="Verdana"/>
          <w:bCs/>
          <w:sz w:val="20"/>
          <w:lang w:val="es-CR"/>
        </w:rPr>
        <w:t>al planteo de nulidad de la audiencia de declaración indagatoria del imputado […], de la acusación fiscal y de todos los actos procesales consecuentes”</w:t>
      </w:r>
      <w:r w:rsidR="005F15EC" w:rsidRPr="001731F5">
        <w:rPr>
          <w:rFonts w:ascii="Verdana" w:hAnsi="Verdana"/>
          <w:bCs/>
          <w:sz w:val="20"/>
          <w:lang w:val="es-CR"/>
        </w:rPr>
        <w:t>, con lo cual se devolvieron los autos nuevamente al juzgado de garantías</w:t>
      </w:r>
      <w:r w:rsidR="005F15EC" w:rsidRPr="001731F5">
        <w:rPr>
          <w:rStyle w:val="Refdenotaalpie"/>
          <w:rFonts w:ascii="Verdana" w:hAnsi="Verdana"/>
          <w:bCs/>
          <w:sz w:val="20"/>
          <w:lang w:val="es-CR"/>
        </w:rPr>
        <w:footnoteReference w:id="24"/>
      </w:r>
      <w:r w:rsidR="005F15EC" w:rsidRPr="001731F5">
        <w:rPr>
          <w:rFonts w:ascii="Verdana" w:hAnsi="Verdana"/>
          <w:bCs/>
          <w:sz w:val="20"/>
          <w:lang w:val="es-CR"/>
        </w:rPr>
        <w:t xml:space="preserve">. Ante esta decisión, </w:t>
      </w:r>
      <w:r w:rsidR="001D7010" w:rsidRPr="001731F5">
        <w:rPr>
          <w:rFonts w:ascii="Verdana" w:hAnsi="Verdana"/>
          <w:bCs/>
          <w:sz w:val="20"/>
          <w:lang w:val="es-CR"/>
        </w:rPr>
        <w:t xml:space="preserve">la defensa del imputado, </w:t>
      </w:r>
      <w:r w:rsidR="00632BC4" w:rsidRPr="001731F5">
        <w:rPr>
          <w:rFonts w:ascii="Verdana" w:hAnsi="Verdana"/>
          <w:bCs/>
          <w:sz w:val="20"/>
          <w:lang w:val="es-CR"/>
        </w:rPr>
        <w:t xml:space="preserve">el Ministerio Público y la representación </w:t>
      </w:r>
      <w:r w:rsidR="00BE0D43">
        <w:rPr>
          <w:rFonts w:ascii="Verdana" w:hAnsi="Verdana"/>
          <w:bCs/>
          <w:sz w:val="20"/>
          <w:lang w:val="es-CR"/>
        </w:rPr>
        <w:t xml:space="preserve">legal </w:t>
      </w:r>
      <w:r w:rsidR="00632BC4" w:rsidRPr="001731F5">
        <w:rPr>
          <w:rFonts w:ascii="Verdana" w:hAnsi="Verdana"/>
          <w:bCs/>
          <w:sz w:val="20"/>
          <w:lang w:val="es-CR"/>
        </w:rPr>
        <w:t>de la familia Gutiérrez interpusieron recursos de casación que fueron declarados inadmisibles el 30 de septiembre de 2015</w:t>
      </w:r>
      <w:r w:rsidR="001D7010" w:rsidRPr="001731F5">
        <w:rPr>
          <w:rStyle w:val="Refdenotaalpie"/>
          <w:rFonts w:ascii="Verdana" w:hAnsi="Verdana"/>
          <w:bCs/>
          <w:sz w:val="20"/>
          <w:lang w:val="es-CR"/>
        </w:rPr>
        <w:footnoteReference w:id="25"/>
      </w:r>
      <w:r w:rsidR="00632BC4" w:rsidRPr="001731F5">
        <w:rPr>
          <w:rFonts w:ascii="Verdana" w:hAnsi="Verdana"/>
          <w:bCs/>
          <w:sz w:val="20"/>
          <w:lang w:val="es-CR"/>
        </w:rPr>
        <w:t>.</w:t>
      </w:r>
      <w:r w:rsidR="001D7010" w:rsidRPr="001731F5">
        <w:rPr>
          <w:rFonts w:ascii="Verdana" w:hAnsi="Verdana"/>
          <w:bCs/>
          <w:sz w:val="20"/>
          <w:lang w:val="es-CR"/>
        </w:rPr>
        <w:t xml:space="preserve"> Seguidamente, </w:t>
      </w:r>
      <w:r w:rsidR="00B1308A" w:rsidRPr="001731F5">
        <w:rPr>
          <w:rFonts w:ascii="Verdana" w:hAnsi="Verdana"/>
          <w:bCs/>
          <w:sz w:val="20"/>
          <w:lang w:val="es-CR"/>
        </w:rPr>
        <w:t>todas las referidas partes</w:t>
      </w:r>
      <w:r w:rsidR="001D7010" w:rsidRPr="001731F5">
        <w:rPr>
          <w:rFonts w:ascii="Verdana" w:hAnsi="Verdana"/>
          <w:bCs/>
          <w:sz w:val="20"/>
          <w:lang w:val="es-CR"/>
        </w:rPr>
        <w:t xml:space="preserve"> interpus</w:t>
      </w:r>
      <w:r w:rsidR="00B1308A" w:rsidRPr="001731F5">
        <w:rPr>
          <w:rFonts w:ascii="Verdana" w:hAnsi="Verdana"/>
          <w:bCs/>
          <w:sz w:val="20"/>
          <w:lang w:val="es-CR"/>
        </w:rPr>
        <w:t xml:space="preserve">ieron </w:t>
      </w:r>
      <w:r w:rsidR="001D7010" w:rsidRPr="001731F5">
        <w:rPr>
          <w:rFonts w:ascii="Verdana" w:hAnsi="Verdana"/>
          <w:bCs/>
          <w:sz w:val="20"/>
          <w:lang w:val="es-CR"/>
        </w:rPr>
        <w:t>recurso</w:t>
      </w:r>
      <w:r w:rsidR="00B1308A" w:rsidRPr="001731F5">
        <w:rPr>
          <w:rFonts w:ascii="Verdana" w:hAnsi="Verdana"/>
          <w:bCs/>
          <w:sz w:val="20"/>
          <w:lang w:val="es-CR"/>
        </w:rPr>
        <w:t>s</w:t>
      </w:r>
      <w:r w:rsidR="001D7010" w:rsidRPr="001731F5">
        <w:rPr>
          <w:rFonts w:ascii="Verdana" w:hAnsi="Verdana"/>
          <w:bCs/>
          <w:sz w:val="20"/>
          <w:lang w:val="es-CR"/>
        </w:rPr>
        <w:t xml:space="preserve"> de queja</w:t>
      </w:r>
      <w:r w:rsidR="005D36A7" w:rsidRPr="001731F5">
        <w:rPr>
          <w:rFonts w:ascii="Verdana" w:hAnsi="Verdana"/>
          <w:bCs/>
          <w:sz w:val="20"/>
          <w:lang w:val="es-CR"/>
        </w:rPr>
        <w:t xml:space="preserve">, los cuales fueron resueltos el 2 de febrero de 2016 por la Sala </w:t>
      </w:r>
      <w:r w:rsidR="00A47B9B">
        <w:rPr>
          <w:rFonts w:ascii="Verdana" w:hAnsi="Verdana"/>
          <w:bCs/>
          <w:sz w:val="20"/>
          <w:lang w:val="es-CR"/>
        </w:rPr>
        <w:t>Tercera</w:t>
      </w:r>
      <w:r w:rsidR="00A47B9B" w:rsidRPr="001731F5">
        <w:rPr>
          <w:rFonts w:ascii="Verdana" w:hAnsi="Verdana"/>
          <w:bCs/>
          <w:sz w:val="20"/>
          <w:lang w:val="es-CR"/>
        </w:rPr>
        <w:t xml:space="preserve"> </w:t>
      </w:r>
      <w:r w:rsidR="005D36A7" w:rsidRPr="001731F5">
        <w:rPr>
          <w:rFonts w:ascii="Verdana" w:hAnsi="Verdana"/>
          <w:bCs/>
          <w:sz w:val="20"/>
          <w:lang w:val="es-CR"/>
        </w:rPr>
        <w:t>del Tribunal de Casación Penal</w:t>
      </w:r>
      <w:r w:rsidR="005D36A7" w:rsidRPr="001731F5">
        <w:rPr>
          <w:rStyle w:val="Refdenotaalpie"/>
          <w:rFonts w:ascii="Verdana" w:hAnsi="Verdana"/>
          <w:bCs/>
          <w:sz w:val="20"/>
          <w:lang w:val="es-CR"/>
        </w:rPr>
        <w:footnoteReference w:id="26"/>
      </w:r>
      <w:r w:rsidR="005D36A7" w:rsidRPr="001731F5">
        <w:rPr>
          <w:rFonts w:ascii="Verdana" w:hAnsi="Verdana"/>
          <w:bCs/>
          <w:sz w:val="20"/>
          <w:lang w:val="es-CR"/>
        </w:rPr>
        <w:t xml:space="preserve">, la cual resolvió declarar con lugar los recursos interpuestos por el Ministerio Público y la representación de familia Gutiérrez y </w:t>
      </w:r>
      <w:r w:rsidR="00C84B0E" w:rsidRPr="001731F5">
        <w:rPr>
          <w:rFonts w:ascii="Verdana" w:hAnsi="Verdana"/>
          <w:bCs/>
          <w:sz w:val="20"/>
          <w:lang w:val="es-CR"/>
        </w:rPr>
        <w:t>“</w:t>
      </w:r>
      <w:proofErr w:type="spellStart"/>
      <w:r w:rsidR="005D36A7" w:rsidRPr="001731F5">
        <w:rPr>
          <w:rFonts w:ascii="Verdana" w:hAnsi="Verdana"/>
          <w:bCs/>
          <w:sz w:val="20"/>
          <w:lang w:val="es-CR"/>
        </w:rPr>
        <w:t>devolv</w:t>
      </w:r>
      <w:proofErr w:type="spellEnd"/>
      <w:r w:rsidR="00C84B0E" w:rsidRPr="001731F5">
        <w:rPr>
          <w:rFonts w:ascii="Verdana" w:hAnsi="Verdana"/>
          <w:bCs/>
          <w:sz w:val="20"/>
          <w:lang w:val="es-CR"/>
        </w:rPr>
        <w:t>[</w:t>
      </w:r>
      <w:proofErr w:type="spellStart"/>
      <w:r w:rsidR="005D36A7" w:rsidRPr="001731F5">
        <w:rPr>
          <w:rFonts w:ascii="Verdana" w:hAnsi="Verdana"/>
          <w:bCs/>
          <w:sz w:val="20"/>
          <w:lang w:val="es-CR"/>
        </w:rPr>
        <w:t>er</w:t>
      </w:r>
      <w:proofErr w:type="spellEnd"/>
      <w:r w:rsidR="00C84B0E" w:rsidRPr="001731F5">
        <w:rPr>
          <w:rFonts w:ascii="Verdana" w:hAnsi="Verdana"/>
          <w:bCs/>
          <w:sz w:val="20"/>
          <w:lang w:val="es-CR"/>
        </w:rPr>
        <w:t>]</w:t>
      </w:r>
      <w:r w:rsidR="005D36A7" w:rsidRPr="001731F5">
        <w:rPr>
          <w:rFonts w:ascii="Verdana" w:hAnsi="Verdana"/>
          <w:bCs/>
          <w:sz w:val="20"/>
          <w:lang w:val="es-CR"/>
        </w:rPr>
        <w:t xml:space="preserve"> los</w:t>
      </w:r>
      <w:r w:rsidR="00C84B0E" w:rsidRPr="001731F5">
        <w:rPr>
          <w:rFonts w:ascii="Verdana" w:hAnsi="Verdana"/>
          <w:bCs/>
          <w:sz w:val="20"/>
          <w:lang w:val="es-CR"/>
        </w:rPr>
        <w:t xml:space="preserve"> autos a la Cámara [de Apelación y Garantías en lo Penal], una vez más, a fin de que lleve a cabo el demorado juicio en forma urgente”.</w:t>
      </w:r>
      <w:r w:rsidR="00110E83" w:rsidRPr="001731F5">
        <w:rPr>
          <w:rFonts w:ascii="Verdana" w:hAnsi="Verdana"/>
          <w:b/>
          <w:sz w:val="20"/>
          <w:lang w:val="es-CR"/>
        </w:rPr>
        <w:t xml:space="preserve"> </w:t>
      </w:r>
      <w:r w:rsidR="00110E83" w:rsidRPr="001731F5">
        <w:rPr>
          <w:rFonts w:ascii="Verdana" w:hAnsi="Verdana"/>
          <w:bCs/>
          <w:sz w:val="20"/>
          <w:lang w:val="es-CR"/>
        </w:rPr>
        <w:t>Contra esta decisión, la defensa del imputado interpuso “recursos extraordinarios de nulidad e inaplicabilidad de ley</w:t>
      </w:r>
      <w:r w:rsidR="00C60DA3">
        <w:rPr>
          <w:rFonts w:ascii="Verdana" w:hAnsi="Verdana"/>
          <w:bCs/>
          <w:sz w:val="20"/>
          <w:lang w:val="es-CR"/>
        </w:rPr>
        <w:t>”,</w:t>
      </w:r>
      <w:r w:rsidR="00110E83" w:rsidRPr="001731F5">
        <w:rPr>
          <w:rFonts w:ascii="Verdana" w:hAnsi="Verdana"/>
          <w:bCs/>
          <w:sz w:val="20"/>
          <w:lang w:val="es-CR"/>
        </w:rPr>
        <w:t xml:space="preserve"> </w:t>
      </w:r>
      <w:r w:rsidR="00C60DA3">
        <w:rPr>
          <w:rFonts w:ascii="Verdana" w:hAnsi="Verdana"/>
          <w:bCs/>
          <w:sz w:val="20"/>
          <w:lang w:val="es-CR"/>
        </w:rPr>
        <w:t>“</w:t>
      </w:r>
      <w:r w:rsidR="00110E83" w:rsidRPr="001731F5">
        <w:rPr>
          <w:rFonts w:ascii="Verdana" w:hAnsi="Verdana"/>
          <w:bCs/>
          <w:sz w:val="20"/>
          <w:lang w:val="es-CR"/>
        </w:rPr>
        <w:t xml:space="preserve">ante la Suprema Corte de </w:t>
      </w:r>
      <w:r w:rsidR="00C60DA3">
        <w:rPr>
          <w:rFonts w:ascii="Verdana" w:hAnsi="Verdana"/>
          <w:bCs/>
          <w:sz w:val="20"/>
          <w:lang w:val="es-CR"/>
        </w:rPr>
        <w:t xml:space="preserve">Justicia” de </w:t>
      </w:r>
      <w:r w:rsidR="00110E83" w:rsidRPr="001731F5">
        <w:rPr>
          <w:rFonts w:ascii="Verdana" w:hAnsi="Verdana"/>
          <w:bCs/>
          <w:sz w:val="20"/>
          <w:lang w:val="es-CR"/>
        </w:rPr>
        <w:t>la Provincia de Buenos Aires, los cuales fueron declarados inadmisibles el 31 de marzo de 2016</w:t>
      </w:r>
      <w:r w:rsidR="00110E83" w:rsidRPr="001731F5">
        <w:rPr>
          <w:rStyle w:val="Refdenotaalpie"/>
          <w:rFonts w:ascii="Verdana" w:hAnsi="Verdana"/>
          <w:bCs/>
          <w:sz w:val="20"/>
          <w:lang w:val="es-CR"/>
        </w:rPr>
        <w:footnoteReference w:id="27"/>
      </w:r>
      <w:r w:rsidR="00EF1754" w:rsidRPr="001731F5">
        <w:rPr>
          <w:rFonts w:ascii="Verdana" w:hAnsi="Verdana"/>
          <w:bCs/>
          <w:sz w:val="20"/>
          <w:lang w:val="es-CR"/>
        </w:rPr>
        <w:t xml:space="preserve"> y, posteriormente</w:t>
      </w:r>
      <w:r w:rsidR="00785498">
        <w:rPr>
          <w:rFonts w:ascii="Verdana" w:hAnsi="Verdana"/>
          <w:bCs/>
          <w:sz w:val="20"/>
          <w:lang w:val="es-CR"/>
        </w:rPr>
        <w:t>,</w:t>
      </w:r>
      <w:r w:rsidR="00A47B9B">
        <w:rPr>
          <w:rFonts w:ascii="Verdana" w:hAnsi="Verdana"/>
          <w:bCs/>
          <w:sz w:val="20"/>
          <w:lang w:val="es-CR"/>
        </w:rPr>
        <w:t xml:space="preserve"> la defensa del imputado</w:t>
      </w:r>
      <w:r w:rsidR="00EF1754" w:rsidRPr="001731F5">
        <w:rPr>
          <w:rFonts w:ascii="Verdana" w:hAnsi="Verdana"/>
          <w:bCs/>
          <w:sz w:val="20"/>
          <w:lang w:val="es-CR"/>
        </w:rPr>
        <w:t xml:space="preserve"> interpuso un recurso de queja que fue rechazado el 4 de julio de 2017.</w:t>
      </w:r>
      <w:r w:rsidR="00110E83" w:rsidRPr="001731F5">
        <w:rPr>
          <w:rFonts w:ascii="Verdana" w:hAnsi="Verdana"/>
          <w:b/>
          <w:sz w:val="20"/>
          <w:lang w:val="es-CR"/>
        </w:rPr>
        <w:t xml:space="preserve"> </w:t>
      </w:r>
    </w:p>
    <w:p w14:paraId="52BD71E7" w14:textId="0924CD8E" w:rsidR="0025752E" w:rsidRPr="001731F5" w:rsidRDefault="00EF1754" w:rsidP="0025752E">
      <w:pPr>
        <w:numPr>
          <w:ilvl w:val="0"/>
          <w:numId w:val="5"/>
        </w:numPr>
        <w:spacing w:before="120" w:after="120"/>
        <w:ind w:left="0" w:firstLine="0"/>
        <w:jc w:val="both"/>
        <w:rPr>
          <w:rFonts w:ascii="Verdana" w:hAnsi="Verdana"/>
          <w:bCs/>
          <w:sz w:val="20"/>
          <w:lang w:val="es-CR"/>
        </w:rPr>
      </w:pPr>
      <w:r w:rsidRPr="001731F5">
        <w:rPr>
          <w:rFonts w:ascii="Verdana" w:hAnsi="Verdana"/>
          <w:bCs/>
          <w:sz w:val="20"/>
          <w:lang w:val="es-CR"/>
        </w:rPr>
        <w:t xml:space="preserve">Después de haber sido resueltos los referidos recursos, los magistrados integrantes de la Sala </w:t>
      </w:r>
      <w:r w:rsidRPr="001731F5">
        <w:rPr>
          <w:rFonts w:ascii="Verdana" w:hAnsi="Verdana"/>
          <w:sz w:val="20"/>
          <w:lang w:val="es-CR"/>
        </w:rPr>
        <w:t>Primera de la Cámara de Apelación y Garantías en lo Penal del Departamento Judicial de La Plata</w:t>
      </w:r>
      <w:r w:rsidR="00E75F9F" w:rsidRPr="001731F5">
        <w:rPr>
          <w:rFonts w:ascii="Verdana" w:hAnsi="Verdana"/>
          <w:sz w:val="20"/>
          <w:lang w:val="es-CR"/>
        </w:rPr>
        <w:t xml:space="preserve"> “se excusaron de seguir interviniendo en la causa por entender que se habría abierto juicio de mérito sobre la misma prueba que luego se debatiría en </w:t>
      </w:r>
      <w:r w:rsidR="00C60DA3">
        <w:rPr>
          <w:rFonts w:ascii="Verdana" w:hAnsi="Verdana"/>
          <w:sz w:val="20"/>
          <w:lang w:val="es-CR"/>
        </w:rPr>
        <w:t xml:space="preserve">el </w:t>
      </w:r>
      <w:r w:rsidR="00E75F9F" w:rsidRPr="001731F5">
        <w:rPr>
          <w:rFonts w:ascii="Verdana" w:hAnsi="Verdana"/>
          <w:sz w:val="20"/>
          <w:lang w:val="es-CR"/>
        </w:rPr>
        <w:t xml:space="preserve">juicio oral”, lo que podría afectar su imparcialidad. Sin embargo, dicha excusa fue rechazada por la Cámara departamental en octubre de 2017. Considerando esta decisión, la representación de la familia Gutiérrez solicitó la recusación de los magistrados, la cual también fue rechazada, por lo cual plantearon un recurso de queja, que fue resuelto favorablemente por el Tribunal de </w:t>
      </w:r>
      <w:r w:rsidR="00365CE8" w:rsidRPr="001731F5">
        <w:rPr>
          <w:rFonts w:ascii="Verdana" w:hAnsi="Verdana"/>
          <w:sz w:val="20"/>
          <w:lang w:val="es-CR"/>
        </w:rPr>
        <w:t>Casación</w:t>
      </w:r>
      <w:r w:rsidR="00E75F9F" w:rsidRPr="001731F5">
        <w:rPr>
          <w:rFonts w:ascii="Verdana" w:hAnsi="Verdana"/>
          <w:sz w:val="20"/>
          <w:lang w:val="es-CR"/>
        </w:rPr>
        <w:t xml:space="preserve"> de Buenos Aires, el cual </w:t>
      </w:r>
      <w:r w:rsidR="00365CE8" w:rsidRPr="001731F5">
        <w:rPr>
          <w:rFonts w:ascii="Verdana" w:hAnsi="Verdana"/>
          <w:sz w:val="20"/>
          <w:lang w:val="es-CR"/>
        </w:rPr>
        <w:t xml:space="preserve">mediante decisión emitida el 31 de julio de 2018 </w:t>
      </w:r>
      <w:r w:rsidR="00E75F9F" w:rsidRPr="001731F5">
        <w:rPr>
          <w:rFonts w:ascii="Verdana" w:hAnsi="Verdana"/>
          <w:sz w:val="20"/>
          <w:lang w:val="es-CR"/>
        </w:rPr>
        <w:t>definió l</w:t>
      </w:r>
      <w:r w:rsidR="00365CE8" w:rsidRPr="001731F5">
        <w:rPr>
          <w:rFonts w:ascii="Verdana" w:hAnsi="Verdana"/>
          <w:sz w:val="20"/>
          <w:lang w:val="es-CR"/>
        </w:rPr>
        <w:t>os magistrados que integrar</w:t>
      </w:r>
      <w:r w:rsidR="00785498">
        <w:rPr>
          <w:rFonts w:ascii="Verdana" w:hAnsi="Verdana"/>
          <w:sz w:val="20"/>
          <w:lang w:val="es-CR"/>
        </w:rPr>
        <w:t>ían</w:t>
      </w:r>
      <w:r w:rsidR="00365CE8" w:rsidRPr="001731F5">
        <w:rPr>
          <w:rFonts w:ascii="Verdana" w:hAnsi="Verdana"/>
          <w:sz w:val="20"/>
          <w:lang w:val="es-CR"/>
        </w:rPr>
        <w:t xml:space="preserve"> el Tribunal de Juicio de la presente causa. </w:t>
      </w:r>
    </w:p>
    <w:p w14:paraId="35FBA747" w14:textId="24B30D69" w:rsidR="0025752E" w:rsidRPr="001731F5" w:rsidRDefault="0025752E" w:rsidP="0025752E">
      <w:pPr>
        <w:numPr>
          <w:ilvl w:val="0"/>
          <w:numId w:val="5"/>
        </w:numPr>
        <w:spacing w:before="120" w:after="120"/>
        <w:ind w:left="0" w:firstLine="0"/>
        <w:jc w:val="both"/>
        <w:rPr>
          <w:rFonts w:ascii="Verdana" w:hAnsi="Verdana"/>
          <w:bCs/>
          <w:sz w:val="20"/>
          <w:lang w:val="es-CR"/>
        </w:rPr>
      </w:pPr>
      <w:bookmarkStart w:id="14" w:name="_Ref27044562"/>
      <w:bookmarkStart w:id="15" w:name="_Ref27036872"/>
      <w:r w:rsidRPr="001731F5">
        <w:rPr>
          <w:rFonts w:ascii="Verdana" w:hAnsi="Verdana"/>
          <w:bCs/>
          <w:sz w:val="20"/>
          <w:lang w:val="es-CR"/>
        </w:rPr>
        <w:lastRenderedPageBreak/>
        <w:t xml:space="preserve">Según lo informado por el Estado en marzo de 2018 la presente causa judicial se encuentra en trámite y en “etapa </w:t>
      </w:r>
      <w:r w:rsidR="00487C02">
        <w:rPr>
          <w:rFonts w:ascii="Verdana" w:hAnsi="Verdana"/>
          <w:bCs/>
          <w:sz w:val="20"/>
          <w:lang w:val="es-CR"/>
        </w:rPr>
        <w:t xml:space="preserve">procesal de producción </w:t>
      </w:r>
      <w:r w:rsidRPr="001731F5">
        <w:rPr>
          <w:rFonts w:ascii="Verdana" w:hAnsi="Verdana"/>
          <w:bCs/>
          <w:sz w:val="20"/>
          <w:lang w:val="es-CR"/>
        </w:rPr>
        <w:t xml:space="preserve">probatoria”. </w:t>
      </w:r>
      <w:r w:rsidR="006F14FE" w:rsidRPr="001731F5">
        <w:rPr>
          <w:rFonts w:ascii="Verdana" w:hAnsi="Verdana"/>
          <w:bCs/>
          <w:sz w:val="20"/>
          <w:lang w:val="es-CR"/>
        </w:rPr>
        <w:t xml:space="preserve">Por su parte los representantes </w:t>
      </w:r>
      <w:r w:rsidR="00426396" w:rsidRPr="001731F5">
        <w:rPr>
          <w:rFonts w:ascii="Verdana" w:hAnsi="Verdana"/>
          <w:bCs/>
          <w:sz w:val="20"/>
          <w:lang w:val="es-CR"/>
        </w:rPr>
        <w:t>indicaron,</w:t>
      </w:r>
      <w:r w:rsidR="006F14FE" w:rsidRPr="001731F5">
        <w:rPr>
          <w:rFonts w:ascii="Verdana" w:hAnsi="Verdana"/>
          <w:bCs/>
          <w:sz w:val="20"/>
          <w:lang w:val="es-CR"/>
        </w:rPr>
        <w:t xml:space="preserve"> en su escrito de </w:t>
      </w:r>
      <w:r w:rsidR="00111AB5" w:rsidRPr="001731F5">
        <w:rPr>
          <w:rFonts w:ascii="Verdana" w:hAnsi="Verdana"/>
          <w:bCs/>
          <w:sz w:val="20"/>
          <w:lang w:val="es-CR"/>
        </w:rPr>
        <w:t xml:space="preserve">observaciones de </w:t>
      </w:r>
      <w:r w:rsidR="006F14FE" w:rsidRPr="001731F5">
        <w:rPr>
          <w:rFonts w:ascii="Verdana" w:hAnsi="Verdana"/>
          <w:bCs/>
          <w:sz w:val="20"/>
          <w:lang w:val="es-CR"/>
        </w:rPr>
        <w:t>marzo de 2019</w:t>
      </w:r>
      <w:r w:rsidR="00426396" w:rsidRPr="001731F5">
        <w:rPr>
          <w:rFonts w:ascii="Verdana" w:hAnsi="Verdana"/>
          <w:bCs/>
          <w:sz w:val="20"/>
          <w:lang w:val="es-CR"/>
        </w:rPr>
        <w:t>,</w:t>
      </w:r>
      <w:r w:rsidR="006F14FE" w:rsidRPr="001731F5">
        <w:rPr>
          <w:rFonts w:ascii="Verdana" w:hAnsi="Verdana"/>
          <w:bCs/>
          <w:sz w:val="20"/>
          <w:lang w:val="es-CR"/>
        </w:rPr>
        <w:t xml:space="preserve"> que</w:t>
      </w:r>
      <w:r w:rsidR="00426396" w:rsidRPr="001731F5">
        <w:rPr>
          <w:rFonts w:ascii="Verdana" w:hAnsi="Verdana"/>
          <w:b/>
          <w:sz w:val="20"/>
          <w:lang w:val="es-CR"/>
        </w:rPr>
        <w:t xml:space="preserve"> </w:t>
      </w:r>
      <w:r w:rsidR="00426396" w:rsidRPr="001731F5">
        <w:rPr>
          <w:rFonts w:ascii="Verdana" w:hAnsi="Verdana"/>
          <w:bCs/>
          <w:sz w:val="20"/>
          <w:lang w:val="es-CR"/>
        </w:rPr>
        <w:t>la representación de la familia Gutiérrez solicitó ante la Sala Primera de la Cámara</w:t>
      </w:r>
      <w:r w:rsidR="00426396" w:rsidRPr="001731F5">
        <w:rPr>
          <w:rFonts w:ascii="Verdana" w:hAnsi="Verdana"/>
          <w:sz w:val="20"/>
          <w:lang w:val="es-CR"/>
        </w:rPr>
        <w:t xml:space="preserve"> de Apelación y Garantías que fueran citados a juicio el imputado en esta causa penal, junto con el otro autor material que se encuentra imputado por los hechos ocurridos al señor Gutiérrez (</w:t>
      </w:r>
      <w:r w:rsidR="00426396" w:rsidRPr="001731F5">
        <w:rPr>
          <w:rFonts w:ascii="Verdana" w:hAnsi="Verdana"/>
          <w:i/>
          <w:iCs/>
          <w:sz w:val="20"/>
          <w:lang w:val="es-CR"/>
        </w:rPr>
        <w:t xml:space="preserve">supra </w:t>
      </w:r>
      <w:r w:rsidR="00426396" w:rsidRPr="001731F5">
        <w:rPr>
          <w:rFonts w:ascii="Verdana" w:hAnsi="Verdana"/>
          <w:sz w:val="20"/>
          <w:lang w:val="es-CR"/>
        </w:rPr>
        <w:t>Considerando</w:t>
      </w:r>
      <w:r w:rsidR="00670FA3">
        <w:rPr>
          <w:rFonts w:ascii="Verdana" w:hAnsi="Verdana"/>
          <w:sz w:val="20"/>
          <w:lang w:val="es-CR"/>
        </w:rPr>
        <w:t>s</w:t>
      </w:r>
      <w:r w:rsidR="00426396" w:rsidRPr="001731F5">
        <w:rPr>
          <w:rFonts w:ascii="Verdana" w:hAnsi="Verdana"/>
          <w:sz w:val="20"/>
          <w:lang w:val="es-CR"/>
        </w:rPr>
        <w:t xml:space="preserve"> </w:t>
      </w:r>
      <w:r w:rsidR="00670FA3">
        <w:rPr>
          <w:rFonts w:ascii="Verdana" w:hAnsi="Verdana"/>
          <w:sz w:val="20"/>
          <w:lang w:val="es-CR"/>
        </w:rPr>
        <w:t>7 y 14 a 16</w:t>
      </w:r>
      <w:r w:rsidR="00426396" w:rsidRPr="001731F5">
        <w:rPr>
          <w:rFonts w:ascii="Verdana" w:hAnsi="Verdana"/>
          <w:sz w:val="20"/>
          <w:lang w:val="es-CR"/>
        </w:rPr>
        <w:t xml:space="preserve">), y que “se </w:t>
      </w:r>
      <w:proofErr w:type="spellStart"/>
      <w:r w:rsidR="00426396" w:rsidRPr="001731F5">
        <w:rPr>
          <w:rFonts w:ascii="Verdana" w:hAnsi="Verdana"/>
          <w:sz w:val="20"/>
          <w:lang w:val="es-CR"/>
        </w:rPr>
        <w:t>enc</w:t>
      </w:r>
      <w:proofErr w:type="spellEnd"/>
      <w:r w:rsidR="00426396" w:rsidRPr="001731F5">
        <w:rPr>
          <w:rFonts w:ascii="Verdana" w:hAnsi="Verdana"/>
          <w:sz w:val="20"/>
          <w:lang w:val="es-CR"/>
        </w:rPr>
        <w:t>[</w:t>
      </w:r>
      <w:proofErr w:type="spellStart"/>
      <w:r w:rsidR="00426396" w:rsidRPr="001731F5">
        <w:rPr>
          <w:rFonts w:ascii="Verdana" w:hAnsi="Verdana"/>
          <w:sz w:val="20"/>
          <w:lang w:val="es-CR"/>
        </w:rPr>
        <w:t>ontraban</w:t>
      </w:r>
      <w:proofErr w:type="spellEnd"/>
      <w:r w:rsidR="00426396" w:rsidRPr="001731F5">
        <w:rPr>
          <w:rFonts w:ascii="Verdana" w:hAnsi="Verdana"/>
          <w:sz w:val="20"/>
          <w:lang w:val="es-CR"/>
        </w:rPr>
        <w:t xml:space="preserve">] produciendo la prueba suplementaria ofrecida a la espera de </w:t>
      </w:r>
      <w:r w:rsidR="00FC2AF2">
        <w:rPr>
          <w:rFonts w:ascii="Verdana" w:hAnsi="Verdana"/>
          <w:sz w:val="20"/>
          <w:lang w:val="es-CR"/>
        </w:rPr>
        <w:t>la</w:t>
      </w:r>
      <w:r w:rsidR="00FC2AF2" w:rsidRPr="001731F5">
        <w:rPr>
          <w:rFonts w:ascii="Verdana" w:hAnsi="Verdana"/>
          <w:sz w:val="20"/>
          <w:lang w:val="es-CR"/>
        </w:rPr>
        <w:t xml:space="preserve"> </w:t>
      </w:r>
      <w:r w:rsidR="00426396" w:rsidRPr="001731F5">
        <w:rPr>
          <w:rFonts w:ascii="Verdana" w:hAnsi="Verdana"/>
          <w:sz w:val="20"/>
          <w:lang w:val="es-CR"/>
        </w:rPr>
        <w:t xml:space="preserve">designación de fecha para el debate oral en el que </w:t>
      </w:r>
      <w:proofErr w:type="spellStart"/>
      <w:r w:rsidR="00426396" w:rsidRPr="001731F5">
        <w:rPr>
          <w:rFonts w:ascii="Verdana" w:hAnsi="Verdana"/>
          <w:sz w:val="20"/>
          <w:lang w:val="es-CR"/>
        </w:rPr>
        <w:t>ans</w:t>
      </w:r>
      <w:proofErr w:type="spellEnd"/>
      <w:r w:rsidR="00FC2AF2">
        <w:rPr>
          <w:rFonts w:ascii="Verdana" w:hAnsi="Verdana"/>
          <w:sz w:val="20"/>
          <w:lang w:val="es-CR"/>
        </w:rPr>
        <w:t>[</w:t>
      </w:r>
      <w:proofErr w:type="spellStart"/>
      <w:r w:rsidR="00FC2AF2">
        <w:rPr>
          <w:rFonts w:ascii="Verdana" w:hAnsi="Verdana"/>
          <w:sz w:val="20"/>
          <w:lang w:val="es-CR"/>
        </w:rPr>
        <w:t>iab</w:t>
      </w:r>
      <w:r w:rsidR="00426396" w:rsidRPr="001731F5">
        <w:rPr>
          <w:rFonts w:ascii="Verdana" w:hAnsi="Verdana"/>
          <w:sz w:val="20"/>
          <w:lang w:val="es-CR"/>
        </w:rPr>
        <w:t>an</w:t>
      </w:r>
      <w:proofErr w:type="spellEnd"/>
      <w:r w:rsidR="00FC2AF2">
        <w:rPr>
          <w:rFonts w:ascii="Verdana" w:hAnsi="Verdana"/>
          <w:sz w:val="20"/>
          <w:lang w:val="es-CR"/>
        </w:rPr>
        <w:t>]</w:t>
      </w:r>
      <w:r w:rsidR="00426396" w:rsidRPr="001731F5">
        <w:rPr>
          <w:rFonts w:ascii="Verdana" w:hAnsi="Verdana"/>
          <w:sz w:val="20"/>
          <w:lang w:val="es-CR"/>
        </w:rPr>
        <w:t xml:space="preserve">, se juzgue finalmente a los dos imputados juntos”. </w:t>
      </w:r>
      <w:r w:rsidR="00111AB5" w:rsidRPr="001731F5">
        <w:rPr>
          <w:rFonts w:ascii="Verdana" w:hAnsi="Verdana"/>
          <w:bCs/>
          <w:sz w:val="20"/>
          <w:lang w:val="es-CR"/>
        </w:rPr>
        <w:t>Tal como ha sido indicado, e</w:t>
      </w:r>
      <w:r w:rsidR="00426396" w:rsidRPr="001731F5">
        <w:rPr>
          <w:rFonts w:ascii="Verdana" w:hAnsi="Verdana"/>
          <w:bCs/>
          <w:sz w:val="20"/>
          <w:lang w:val="es-CR"/>
        </w:rPr>
        <w:t>n su escrito de junio de 2019</w:t>
      </w:r>
      <w:r w:rsidR="00785498">
        <w:rPr>
          <w:rFonts w:ascii="Verdana" w:hAnsi="Verdana"/>
          <w:bCs/>
          <w:sz w:val="20"/>
          <w:lang w:val="es-CR"/>
        </w:rPr>
        <w:t xml:space="preserve"> los representantes</w:t>
      </w:r>
      <w:r w:rsidR="00111AB5" w:rsidRPr="001731F5">
        <w:rPr>
          <w:rFonts w:ascii="Verdana" w:hAnsi="Verdana"/>
          <w:bCs/>
          <w:sz w:val="20"/>
          <w:lang w:val="es-CR"/>
        </w:rPr>
        <w:t xml:space="preserve"> </w:t>
      </w:r>
      <w:r w:rsidR="00426396" w:rsidRPr="001731F5">
        <w:rPr>
          <w:rFonts w:ascii="Verdana" w:hAnsi="Verdana"/>
          <w:bCs/>
          <w:sz w:val="20"/>
          <w:lang w:val="es-CR"/>
        </w:rPr>
        <w:t xml:space="preserve">agregaron que ambos imputados </w:t>
      </w:r>
      <w:r w:rsidR="00111AB5" w:rsidRPr="001731F5">
        <w:rPr>
          <w:rFonts w:ascii="Verdana" w:hAnsi="Verdana"/>
          <w:bCs/>
          <w:sz w:val="20"/>
          <w:lang w:val="es-CR"/>
        </w:rPr>
        <w:t>tendrían programado un juicio conjunto en el 2022 (</w:t>
      </w:r>
      <w:r w:rsidR="00111AB5" w:rsidRPr="001731F5">
        <w:rPr>
          <w:rFonts w:ascii="Verdana" w:hAnsi="Verdana"/>
          <w:bCs/>
          <w:i/>
          <w:iCs/>
          <w:sz w:val="20"/>
          <w:lang w:val="es-CR"/>
        </w:rPr>
        <w:t xml:space="preserve">supra </w:t>
      </w:r>
      <w:r w:rsidR="00111AB5" w:rsidRPr="001731F5">
        <w:rPr>
          <w:rFonts w:ascii="Verdana" w:hAnsi="Verdana"/>
          <w:bCs/>
          <w:sz w:val="20"/>
          <w:lang w:val="es-CR"/>
        </w:rPr>
        <w:t xml:space="preserve">Considerando </w:t>
      </w:r>
      <w:r w:rsidR="00FC2AF2">
        <w:rPr>
          <w:rFonts w:ascii="Verdana" w:hAnsi="Verdana"/>
          <w:bCs/>
          <w:sz w:val="20"/>
          <w:lang w:val="es-CR"/>
        </w:rPr>
        <w:fldChar w:fldCharType="begin"/>
      </w:r>
      <w:r w:rsidR="00FC2AF2">
        <w:rPr>
          <w:rFonts w:ascii="Verdana" w:hAnsi="Verdana"/>
          <w:bCs/>
          <w:sz w:val="20"/>
          <w:lang w:val="es-CR"/>
        </w:rPr>
        <w:instrText xml:space="preserve"> REF _Ref27043422 \r \h </w:instrText>
      </w:r>
      <w:r w:rsidR="00FC2AF2">
        <w:rPr>
          <w:rFonts w:ascii="Verdana" w:hAnsi="Verdana"/>
          <w:bCs/>
          <w:sz w:val="20"/>
          <w:lang w:val="es-CR"/>
        </w:rPr>
      </w:r>
      <w:r w:rsidR="00FC2AF2">
        <w:rPr>
          <w:rFonts w:ascii="Verdana" w:hAnsi="Verdana"/>
          <w:bCs/>
          <w:sz w:val="20"/>
          <w:lang w:val="es-CR"/>
        </w:rPr>
        <w:fldChar w:fldCharType="separate"/>
      </w:r>
      <w:r w:rsidR="00756751">
        <w:rPr>
          <w:rFonts w:ascii="Verdana" w:hAnsi="Verdana"/>
          <w:bCs/>
          <w:sz w:val="20"/>
          <w:lang w:val="es-CR"/>
        </w:rPr>
        <w:t>15</w:t>
      </w:r>
      <w:r w:rsidR="00FC2AF2">
        <w:rPr>
          <w:rFonts w:ascii="Verdana" w:hAnsi="Verdana"/>
          <w:bCs/>
          <w:sz w:val="20"/>
          <w:lang w:val="es-CR"/>
        </w:rPr>
        <w:fldChar w:fldCharType="end"/>
      </w:r>
      <w:r w:rsidR="00111AB5" w:rsidRPr="001731F5">
        <w:rPr>
          <w:rFonts w:ascii="Verdana" w:hAnsi="Verdana"/>
          <w:bCs/>
          <w:sz w:val="20"/>
          <w:lang w:val="es-CR"/>
        </w:rPr>
        <w:t>).</w:t>
      </w:r>
      <w:bookmarkEnd w:id="14"/>
      <w:r w:rsidR="00111AB5" w:rsidRPr="001731F5">
        <w:rPr>
          <w:rFonts w:ascii="Verdana" w:hAnsi="Verdana"/>
          <w:bCs/>
          <w:sz w:val="20"/>
          <w:lang w:val="es-CR"/>
        </w:rPr>
        <w:t xml:space="preserve"> </w:t>
      </w:r>
      <w:bookmarkEnd w:id="15"/>
    </w:p>
    <w:p w14:paraId="0CD14530" w14:textId="42DCBE3C" w:rsidR="00BC3FC4" w:rsidRPr="001731F5" w:rsidRDefault="00111AB5" w:rsidP="00945B65">
      <w:pPr>
        <w:numPr>
          <w:ilvl w:val="0"/>
          <w:numId w:val="5"/>
        </w:numPr>
        <w:spacing w:before="120" w:after="120"/>
        <w:ind w:left="0" w:firstLine="0"/>
        <w:jc w:val="both"/>
        <w:rPr>
          <w:rFonts w:ascii="Verdana" w:hAnsi="Verdana"/>
          <w:bCs/>
          <w:sz w:val="20"/>
          <w:lang w:val="es-CR"/>
        </w:rPr>
      </w:pPr>
      <w:r w:rsidRPr="001731F5">
        <w:rPr>
          <w:rFonts w:ascii="Verdana" w:hAnsi="Verdana"/>
          <w:bCs/>
          <w:sz w:val="20"/>
          <w:lang w:val="es-CR"/>
        </w:rPr>
        <w:t xml:space="preserve">La Corte valora positivamente </w:t>
      </w:r>
      <w:r w:rsidR="00572D3B" w:rsidRPr="001731F5">
        <w:rPr>
          <w:rFonts w:ascii="Verdana" w:hAnsi="Verdana"/>
          <w:bCs/>
          <w:sz w:val="20"/>
          <w:lang w:val="es-CR"/>
        </w:rPr>
        <w:t xml:space="preserve">las </w:t>
      </w:r>
      <w:r w:rsidR="00571934" w:rsidRPr="001731F5">
        <w:rPr>
          <w:rFonts w:ascii="Verdana" w:hAnsi="Verdana"/>
          <w:bCs/>
          <w:sz w:val="20"/>
          <w:lang w:val="es-CR"/>
        </w:rPr>
        <w:t>decisiones judiciales</w:t>
      </w:r>
      <w:r w:rsidR="00572D3B" w:rsidRPr="001731F5">
        <w:rPr>
          <w:rFonts w:ascii="Verdana" w:hAnsi="Verdana"/>
          <w:bCs/>
          <w:sz w:val="20"/>
          <w:lang w:val="es-CR"/>
        </w:rPr>
        <w:t xml:space="preserve"> que han permitido continuar el proceso penal </w:t>
      </w:r>
      <w:r w:rsidR="00854305" w:rsidRPr="001731F5">
        <w:rPr>
          <w:rFonts w:ascii="Verdana" w:hAnsi="Verdana"/>
          <w:bCs/>
          <w:sz w:val="20"/>
          <w:lang w:val="es-CR"/>
        </w:rPr>
        <w:t xml:space="preserve">por el delito de homicidio </w:t>
      </w:r>
      <w:r w:rsidR="00572D3B" w:rsidRPr="001731F5">
        <w:rPr>
          <w:rFonts w:ascii="Verdana" w:hAnsi="Verdana"/>
          <w:bCs/>
          <w:sz w:val="20"/>
          <w:lang w:val="es-CR"/>
        </w:rPr>
        <w:t>contra dos presuntos autores materiales de la ejecución del señor Gutiérrez</w:t>
      </w:r>
      <w:r w:rsidR="00854305" w:rsidRPr="001731F5">
        <w:rPr>
          <w:rFonts w:ascii="Verdana" w:hAnsi="Verdana"/>
          <w:bCs/>
          <w:sz w:val="20"/>
          <w:lang w:val="es-CR"/>
        </w:rPr>
        <w:t xml:space="preserve">, y que dichos procesos estén próximos </w:t>
      </w:r>
      <w:r w:rsidR="00210211">
        <w:rPr>
          <w:rFonts w:ascii="Verdana" w:hAnsi="Verdana"/>
          <w:bCs/>
          <w:sz w:val="20"/>
          <w:lang w:val="es-CR"/>
        </w:rPr>
        <w:t xml:space="preserve">a </w:t>
      </w:r>
      <w:r w:rsidR="00854305" w:rsidRPr="001731F5">
        <w:rPr>
          <w:rFonts w:ascii="Verdana" w:hAnsi="Verdana"/>
          <w:bCs/>
          <w:sz w:val="20"/>
          <w:lang w:val="es-CR"/>
        </w:rPr>
        <w:t>avanzar a la etapa de juicio</w:t>
      </w:r>
      <w:r w:rsidR="00581C12" w:rsidRPr="001731F5">
        <w:rPr>
          <w:rFonts w:ascii="Verdana" w:hAnsi="Verdana"/>
          <w:bCs/>
          <w:sz w:val="20"/>
          <w:lang w:val="es-CR"/>
        </w:rPr>
        <w:t xml:space="preserve"> (</w:t>
      </w:r>
      <w:r w:rsidR="00581C12" w:rsidRPr="001731F5">
        <w:rPr>
          <w:rFonts w:ascii="Verdana" w:hAnsi="Verdana"/>
          <w:bCs/>
          <w:i/>
          <w:iCs/>
          <w:sz w:val="20"/>
          <w:lang w:val="es-CR"/>
        </w:rPr>
        <w:t>supra</w:t>
      </w:r>
      <w:r w:rsidR="00581C12" w:rsidRPr="001731F5">
        <w:rPr>
          <w:rFonts w:ascii="Verdana" w:hAnsi="Verdana"/>
          <w:bCs/>
          <w:sz w:val="20"/>
          <w:lang w:val="es-CR"/>
        </w:rPr>
        <w:t xml:space="preserve"> Considerando</w:t>
      </w:r>
      <w:r w:rsidR="00670FA3">
        <w:rPr>
          <w:rFonts w:ascii="Verdana" w:hAnsi="Verdana"/>
          <w:bCs/>
          <w:sz w:val="20"/>
          <w:lang w:val="es-CR"/>
        </w:rPr>
        <w:t>s</w:t>
      </w:r>
      <w:r w:rsidR="00581C12" w:rsidRPr="001731F5">
        <w:rPr>
          <w:rFonts w:ascii="Verdana" w:hAnsi="Verdana"/>
          <w:bCs/>
          <w:sz w:val="20"/>
          <w:lang w:val="es-CR"/>
        </w:rPr>
        <w:t xml:space="preserve"> </w:t>
      </w:r>
      <w:r w:rsidR="00FC2AF2">
        <w:rPr>
          <w:rFonts w:ascii="Verdana" w:hAnsi="Verdana"/>
          <w:bCs/>
          <w:sz w:val="20"/>
          <w:lang w:val="es-CR"/>
        </w:rPr>
        <w:fldChar w:fldCharType="begin"/>
      </w:r>
      <w:r w:rsidR="00FC2AF2">
        <w:rPr>
          <w:rFonts w:ascii="Verdana" w:hAnsi="Verdana"/>
          <w:bCs/>
          <w:sz w:val="20"/>
          <w:lang w:val="es-CR"/>
        </w:rPr>
        <w:instrText xml:space="preserve"> REF _Ref27043422 \r \h </w:instrText>
      </w:r>
      <w:r w:rsidR="00FC2AF2">
        <w:rPr>
          <w:rFonts w:ascii="Verdana" w:hAnsi="Verdana"/>
          <w:bCs/>
          <w:sz w:val="20"/>
          <w:lang w:val="es-CR"/>
        </w:rPr>
      </w:r>
      <w:r w:rsidR="00FC2AF2">
        <w:rPr>
          <w:rFonts w:ascii="Verdana" w:hAnsi="Verdana"/>
          <w:bCs/>
          <w:sz w:val="20"/>
          <w:lang w:val="es-CR"/>
        </w:rPr>
        <w:fldChar w:fldCharType="separate"/>
      </w:r>
      <w:r w:rsidR="00756751">
        <w:rPr>
          <w:rFonts w:ascii="Verdana" w:hAnsi="Verdana"/>
          <w:bCs/>
          <w:sz w:val="20"/>
          <w:lang w:val="es-CR"/>
        </w:rPr>
        <w:t>15</w:t>
      </w:r>
      <w:r w:rsidR="00FC2AF2">
        <w:rPr>
          <w:rFonts w:ascii="Verdana" w:hAnsi="Verdana"/>
          <w:bCs/>
          <w:sz w:val="20"/>
          <w:lang w:val="es-CR"/>
        </w:rPr>
        <w:fldChar w:fldCharType="end"/>
      </w:r>
      <w:r w:rsidR="00670FA3">
        <w:rPr>
          <w:rFonts w:ascii="Verdana" w:hAnsi="Verdana"/>
          <w:bCs/>
          <w:sz w:val="20"/>
          <w:lang w:val="es-CR"/>
        </w:rPr>
        <w:t xml:space="preserve"> y 19</w:t>
      </w:r>
      <w:r w:rsidR="00581C12" w:rsidRPr="001731F5">
        <w:rPr>
          <w:rFonts w:ascii="Verdana" w:hAnsi="Verdana"/>
          <w:bCs/>
          <w:sz w:val="20"/>
          <w:lang w:val="es-CR"/>
        </w:rPr>
        <w:t>)</w:t>
      </w:r>
      <w:r w:rsidR="00854305" w:rsidRPr="001731F5">
        <w:rPr>
          <w:rFonts w:ascii="Verdana" w:hAnsi="Verdana"/>
          <w:bCs/>
          <w:sz w:val="20"/>
          <w:lang w:val="es-CR"/>
        </w:rPr>
        <w:t xml:space="preserve">. </w:t>
      </w:r>
      <w:r w:rsidR="00571934" w:rsidRPr="001731F5">
        <w:rPr>
          <w:rFonts w:ascii="Verdana" w:hAnsi="Verdana"/>
          <w:bCs/>
          <w:sz w:val="20"/>
          <w:lang w:val="es-CR"/>
        </w:rPr>
        <w:t>Estas acciones evidencian que existe voluntad del Estado de Argentina de dar cumplimiento a sus obligaciones internacionales de investigar, juzgar y, eventualmente, sancionar a los responsables de las violaciones a los derechos humanos que fueron determinadas en el presente caso</w:t>
      </w:r>
      <w:r w:rsidR="00BC3FC4" w:rsidRPr="001731F5">
        <w:rPr>
          <w:rFonts w:ascii="Verdana" w:hAnsi="Verdana"/>
          <w:bCs/>
          <w:sz w:val="20"/>
          <w:lang w:val="es-CR"/>
        </w:rPr>
        <w:t>.</w:t>
      </w:r>
    </w:p>
    <w:p w14:paraId="2AE593B0" w14:textId="7E4A4CF5" w:rsidR="00945B65" w:rsidRPr="001731F5" w:rsidRDefault="00F332D6" w:rsidP="00945B65">
      <w:pPr>
        <w:numPr>
          <w:ilvl w:val="0"/>
          <w:numId w:val="5"/>
        </w:numPr>
        <w:spacing w:before="120" w:after="120"/>
        <w:ind w:left="0" w:firstLine="0"/>
        <w:jc w:val="both"/>
        <w:rPr>
          <w:rFonts w:ascii="Verdana" w:hAnsi="Verdana"/>
          <w:bCs/>
          <w:sz w:val="20"/>
          <w:lang w:val="es-CR"/>
        </w:rPr>
      </w:pPr>
      <w:r w:rsidRPr="001731F5">
        <w:rPr>
          <w:rFonts w:ascii="Verdana" w:hAnsi="Verdana"/>
          <w:bCs/>
          <w:sz w:val="20"/>
          <w:lang w:val="es-CR"/>
        </w:rPr>
        <w:t xml:space="preserve">No obstante lo anterior, este Tribunal no deja de advertir que han transcurrido </w:t>
      </w:r>
      <w:r w:rsidR="001B6386" w:rsidRPr="001731F5">
        <w:rPr>
          <w:rFonts w:ascii="Verdana" w:hAnsi="Verdana"/>
          <w:bCs/>
          <w:sz w:val="20"/>
          <w:lang w:val="es-CR"/>
        </w:rPr>
        <w:t>veinticinco años desde que ocurrieron los hechos, más de veinte desde que iniciaron las investigaciones penales respecto de estos dos presuntos autores materiales y seis años desde la emisión de la Sentencia de la Corte, sin que se hayan determinado las correspondientes responsabilidades por la ejecución</w:t>
      </w:r>
      <w:r w:rsidR="00670FA3">
        <w:rPr>
          <w:rFonts w:ascii="Verdana" w:hAnsi="Verdana"/>
          <w:bCs/>
          <w:sz w:val="20"/>
          <w:lang w:val="es-CR"/>
        </w:rPr>
        <w:t xml:space="preserve"> extrajudicial</w:t>
      </w:r>
      <w:r w:rsidR="001B6386" w:rsidRPr="001731F5">
        <w:rPr>
          <w:rFonts w:ascii="Verdana" w:hAnsi="Verdana"/>
          <w:bCs/>
          <w:sz w:val="20"/>
          <w:lang w:val="es-CR"/>
        </w:rPr>
        <w:t xml:space="preserve"> del señor Gutiérrez. </w:t>
      </w:r>
      <w:r w:rsidR="00533040" w:rsidRPr="001731F5">
        <w:rPr>
          <w:rFonts w:ascii="Verdana" w:hAnsi="Verdana"/>
          <w:bCs/>
          <w:sz w:val="20"/>
          <w:lang w:val="es-CR"/>
        </w:rPr>
        <w:t xml:space="preserve">Asimismo, la </w:t>
      </w:r>
      <w:r w:rsidR="00945B65" w:rsidRPr="001731F5">
        <w:rPr>
          <w:rFonts w:ascii="Verdana" w:hAnsi="Verdana"/>
          <w:bCs/>
          <w:sz w:val="20"/>
          <w:lang w:val="es-CR"/>
        </w:rPr>
        <w:t xml:space="preserve">Corte observa que un mayor avance del proceso penal respecto de estos dos presuntos responsables no ha sido posible debido a la cantidad de recursos que han sido interpuestos por las diversas partes intervinientes en estos procesos. </w:t>
      </w:r>
    </w:p>
    <w:p w14:paraId="4EC94C23" w14:textId="30A7B9DD" w:rsidR="00533040" w:rsidRPr="001731F5" w:rsidRDefault="001B6386" w:rsidP="00533040">
      <w:pPr>
        <w:numPr>
          <w:ilvl w:val="0"/>
          <w:numId w:val="5"/>
        </w:numPr>
        <w:spacing w:before="120" w:after="120"/>
        <w:ind w:left="0" w:firstLine="0"/>
        <w:jc w:val="both"/>
        <w:rPr>
          <w:rFonts w:ascii="Verdana" w:hAnsi="Verdana"/>
          <w:bCs/>
          <w:sz w:val="20"/>
          <w:lang w:val="es-CR"/>
        </w:rPr>
      </w:pPr>
      <w:r w:rsidRPr="001731F5">
        <w:rPr>
          <w:rFonts w:ascii="Verdana" w:hAnsi="Verdana"/>
          <w:bCs/>
          <w:sz w:val="20"/>
          <w:lang w:val="es-CR"/>
        </w:rPr>
        <w:t xml:space="preserve">Al respecto, se recuerda </w:t>
      </w:r>
      <w:r w:rsidR="00210211">
        <w:rPr>
          <w:rFonts w:ascii="Verdana" w:hAnsi="Verdana"/>
          <w:bCs/>
          <w:sz w:val="20"/>
          <w:lang w:val="es-CR"/>
        </w:rPr>
        <w:t xml:space="preserve">que </w:t>
      </w:r>
      <w:r w:rsidRPr="001731F5">
        <w:rPr>
          <w:rFonts w:ascii="Verdana" w:hAnsi="Verdana"/>
          <w:bCs/>
          <w:sz w:val="20"/>
          <w:lang w:val="es-CR"/>
        </w:rPr>
        <w:t xml:space="preserve">en la Sentencia, tomando en cuenta el reconocimiento efectuado por Argentina, la Corte concluyó, al pronunciarse sobre la violación a los derechos a las garantías judiciales y </w:t>
      </w:r>
      <w:r w:rsidR="005242BD" w:rsidRPr="001731F5">
        <w:rPr>
          <w:rFonts w:ascii="Verdana" w:hAnsi="Verdana"/>
          <w:bCs/>
          <w:sz w:val="20"/>
          <w:lang w:val="es-CR"/>
        </w:rPr>
        <w:t xml:space="preserve">a </w:t>
      </w:r>
      <w:r w:rsidRPr="001731F5">
        <w:rPr>
          <w:rFonts w:ascii="Verdana" w:hAnsi="Verdana"/>
          <w:bCs/>
          <w:sz w:val="20"/>
          <w:lang w:val="es-CR"/>
        </w:rPr>
        <w:t>la protección judicial, que la investigación de los hechos ocurridos al señor Gutiérrez no había cumplido con los criterios de debida diligencia</w:t>
      </w:r>
      <w:r w:rsidR="00670FA3">
        <w:rPr>
          <w:rFonts w:ascii="Verdana" w:hAnsi="Verdana"/>
          <w:bCs/>
          <w:sz w:val="20"/>
          <w:lang w:val="es-CR"/>
        </w:rPr>
        <w:t xml:space="preserve"> y plazo razonable</w:t>
      </w:r>
      <w:r w:rsidRPr="001731F5">
        <w:rPr>
          <w:rStyle w:val="Refdenotaalpie"/>
          <w:rFonts w:ascii="Verdana" w:hAnsi="Verdana"/>
          <w:bCs/>
          <w:sz w:val="20"/>
          <w:lang w:val="es-CR"/>
        </w:rPr>
        <w:footnoteReference w:id="28"/>
      </w:r>
      <w:r w:rsidRPr="001731F5">
        <w:rPr>
          <w:rFonts w:ascii="Verdana" w:hAnsi="Verdana"/>
          <w:bCs/>
          <w:sz w:val="20"/>
          <w:lang w:val="es-CR"/>
        </w:rPr>
        <w:t xml:space="preserve">. </w:t>
      </w:r>
      <w:r w:rsidR="00533040" w:rsidRPr="001731F5">
        <w:rPr>
          <w:rFonts w:ascii="Verdana" w:hAnsi="Verdana"/>
          <w:bCs/>
          <w:sz w:val="20"/>
          <w:lang w:val="es-CR"/>
        </w:rPr>
        <w:t>En consecuencia</w:t>
      </w:r>
      <w:r w:rsidRPr="001731F5">
        <w:rPr>
          <w:rFonts w:ascii="Verdana" w:hAnsi="Verdana"/>
          <w:bCs/>
          <w:sz w:val="20"/>
          <w:lang w:val="es-CR"/>
        </w:rPr>
        <w:t xml:space="preserve">, al ordenar la </w:t>
      </w:r>
      <w:r w:rsidR="00533040" w:rsidRPr="001731F5">
        <w:rPr>
          <w:rFonts w:ascii="Verdana" w:hAnsi="Verdana"/>
          <w:bCs/>
          <w:sz w:val="20"/>
          <w:lang w:val="es-CR"/>
        </w:rPr>
        <w:t>reparación</w:t>
      </w:r>
      <w:r w:rsidRPr="001731F5">
        <w:rPr>
          <w:rFonts w:ascii="Verdana" w:hAnsi="Verdana"/>
          <w:bCs/>
          <w:sz w:val="20"/>
          <w:lang w:val="es-CR"/>
        </w:rPr>
        <w:t xml:space="preserve"> correspondiente</w:t>
      </w:r>
      <w:r w:rsidR="00210211">
        <w:rPr>
          <w:rFonts w:ascii="Verdana" w:hAnsi="Verdana"/>
          <w:bCs/>
          <w:sz w:val="20"/>
          <w:lang w:val="es-CR"/>
        </w:rPr>
        <w:t>,</w:t>
      </w:r>
      <w:r w:rsidRPr="001731F5">
        <w:rPr>
          <w:rFonts w:ascii="Verdana" w:hAnsi="Verdana"/>
          <w:bCs/>
          <w:sz w:val="20"/>
          <w:lang w:val="es-CR"/>
        </w:rPr>
        <w:t xml:space="preserve"> </w:t>
      </w:r>
      <w:r w:rsidR="00533040" w:rsidRPr="001731F5">
        <w:rPr>
          <w:rFonts w:ascii="Verdana" w:hAnsi="Verdana"/>
          <w:bCs/>
          <w:sz w:val="20"/>
          <w:lang w:val="es-CR"/>
        </w:rPr>
        <w:t xml:space="preserve">la Corte dispuso que el Estado, para cumplir de buena fe los compromisos que había asumido al suscribir el acuerdo de reparaciones, debía llevar a cabo las investigaciones y procesos penales </w:t>
      </w:r>
      <w:r w:rsidR="00670FA3">
        <w:rPr>
          <w:rFonts w:ascii="Verdana" w:hAnsi="Verdana"/>
          <w:bCs/>
          <w:sz w:val="20"/>
          <w:lang w:val="es-CR"/>
        </w:rPr>
        <w:t>respetando dichos criterios</w:t>
      </w:r>
      <w:r w:rsidR="00533040" w:rsidRPr="001731F5">
        <w:rPr>
          <w:rStyle w:val="Refdenotaalpie"/>
          <w:rFonts w:ascii="Verdana" w:hAnsi="Verdana"/>
          <w:bCs/>
          <w:sz w:val="20"/>
          <w:lang w:val="es-CR"/>
        </w:rPr>
        <w:footnoteReference w:id="29"/>
      </w:r>
      <w:r w:rsidR="00533040" w:rsidRPr="001731F5">
        <w:rPr>
          <w:rFonts w:ascii="Verdana" w:hAnsi="Verdana"/>
          <w:bCs/>
          <w:sz w:val="20"/>
          <w:lang w:val="es-CR"/>
        </w:rPr>
        <w:t>.</w:t>
      </w:r>
    </w:p>
    <w:p w14:paraId="78DA1045" w14:textId="5FD50752" w:rsidR="00533040" w:rsidRDefault="00533040" w:rsidP="00533040">
      <w:pPr>
        <w:numPr>
          <w:ilvl w:val="0"/>
          <w:numId w:val="5"/>
        </w:numPr>
        <w:spacing w:before="120" w:after="120"/>
        <w:ind w:left="0" w:firstLine="0"/>
        <w:jc w:val="both"/>
        <w:rPr>
          <w:rFonts w:ascii="Verdana" w:hAnsi="Verdana"/>
          <w:bCs/>
          <w:sz w:val="20"/>
          <w:lang w:val="es-CR"/>
        </w:rPr>
      </w:pPr>
      <w:r w:rsidRPr="001731F5">
        <w:rPr>
          <w:rFonts w:ascii="Verdana" w:hAnsi="Verdana"/>
          <w:sz w:val="20"/>
        </w:rPr>
        <w:t xml:space="preserve">Tomando en cuenta lo anterior, resulta imprescindible que el Estado intensifique sus esfuerzos y adopte medidas concretas para avanzar, con la debida diligencia y celeridad, en el juzgamiento y, en su caso, sanción de los responsables de la ejecución del señor Gutiérrez, máxime, tomando en cuenta que el esclarecimiento de los hechos y </w:t>
      </w:r>
      <w:r w:rsidR="00670FA3">
        <w:rPr>
          <w:rFonts w:ascii="Verdana" w:hAnsi="Verdana"/>
          <w:sz w:val="20"/>
        </w:rPr>
        <w:t xml:space="preserve">la determinación de los </w:t>
      </w:r>
      <w:r w:rsidRPr="001731F5">
        <w:rPr>
          <w:rFonts w:ascii="Verdana" w:hAnsi="Verdana"/>
          <w:sz w:val="20"/>
        </w:rPr>
        <w:t>posibles responsables en el presente caso no representaría un alto nivel de complejidad.</w:t>
      </w:r>
      <w:r w:rsidRPr="001731F5">
        <w:rPr>
          <w:rFonts w:ascii="Verdana" w:hAnsi="Verdana"/>
          <w:bCs/>
          <w:sz w:val="20"/>
          <w:lang w:val="es-CR"/>
        </w:rPr>
        <w:t xml:space="preserve"> En ese sentido, se solicita al Estado que confirme si lo indicado por los representantes de las víctimas respecto a que la fecha para el juicio de los dos presuntos autores materiales </w:t>
      </w:r>
      <w:r w:rsidR="00945B65" w:rsidRPr="001731F5">
        <w:rPr>
          <w:rFonts w:ascii="Verdana" w:hAnsi="Verdana"/>
          <w:bCs/>
          <w:sz w:val="20"/>
          <w:lang w:val="es-CR"/>
        </w:rPr>
        <w:t xml:space="preserve">del homicidio del señor Gutiérrez </w:t>
      </w:r>
      <w:r w:rsidRPr="001731F5">
        <w:rPr>
          <w:rFonts w:ascii="Verdana" w:hAnsi="Verdana"/>
          <w:bCs/>
          <w:sz w:val="20"/>
          <w:lang w:val="es-CR"/>
        </w:rPr>
        <w:t xml:space="preserve">estaría fijada para </w:t>
      </w:r>
      <w:r w:rsidR="00945B65" w:rsidRPr="001731F5">
        <w:rPr>
          <w:rFonts w:ascii="Verdana" w:hAnsi="Verdana"/>
          <w:bCs/>
          <w:sz w:val="20"/>
          <w:lang w:val="es-CR"/>
        </w:rPr>
        <w:t xml:space="preserve">el </w:t>
      </w:r>
      <w:r w:rsidRPr="001731F5">
        <w:rPr>
          <w:rFonts w:ascii="Verdana" w:hAnsi="Verdana"/>
          <w:bCs/>
          <w:sz w:val="20"/>
          <w:lang w:val="es-CR"/>
        </w:rPr>
        <w:t>2022</w:t>
      </w:r>
      <w:r w:rsidR="00945B65" w:rsidRPr="001731F5">
        <w:rPr>
          <w:rFonts w:ascii="Verdana" w:hAnsi="Verdana"/>
          <w:bCs/>
          <w:sz w:val="20"/>
          <w:lang w:val="es-CR"/>
        </w:rPr>
        <w:t>, es decir, dentro de más de dos años (</w:t>
      </w:r>
      <w:r w:rsidR="00945B65" w:rsidRPr="001731F5">
        <w:rPr>
          <w:rFonts w:ascii="Verdana" w:hAnsi="Verdana"/>
          <w:bCs/>
          <w:i/>
          <w:iCs/>
          <w:sz w:val="20"/>
          <w:lang w:val="es-CR"/>
        </w:rPr>
        <w:t>supra</w:t>
      </w:r>
      <w:r w:rsidR="00945B65" w:rsidRPr="001731F5">
        <w:rPr>
          <w:rFonts w:ascii="Verdana" w:hAnsi="Verdana"/>
          <w:bCs/>
          <w:sz w:val="20"/>
          <w:lang w:val="es-CR"/>
        </w:rPr>
        <w:t xml:space="preserve"> Considerandos </w:t>
      </w:r>
      <w:r w:rsidR="00210211">
        <w:rPr>
          <w:rFonts w:ascii="Verdana" w:hAnsi="Verdana"/>
          <w:bCs/>
          <w:sz w:val="20"/>
          <w:lang w:val="es-CR"/>
        </w:rPr>
        <w:fldChar w:fldCharType="begin"/>
      </w:r>
      <w:r w:rsidR="00210211">
        <w:rPr>
          <w:rFonts w:ascii="Verdana" w:hAnsi="Verdana"/>
          <w:bCs/>
          <w:sz w:val="20"/>
          <w:lang w:val="es-CR"/>
        </w:rPr>
        <w:instrText xml:space="preserve"> REF _Ref27043422 \r \h </w:instrText>
      </w:r>
      <w:r w:rsidR="00210211">
        <w:rPr>
          <w:rFonts w:ascii="Verdana" w:hAnsi="Verdana"/>
          <w:bCs/>
          <w:sz w:val="20"/>
          <w:lang w:val="es-CR"/>
        </w:rPr>
      </w:r>
      <w:r w:rsidR="00210211">
        <w:rPr>
          <w:rFonts w:ascii="Verdana" w:hAnsi="Verdana"/>
          <w:bCs/>
          <w:sz w:val="20"/>
          <w:lang w:val="es-CR"/>
        </w:rPr>
        <w:fldChar w:fldCharType="separate"/>
      </w:r>
      <w:r w:rsidR="00756751">
        <w:rPr>
          <w:rFonts w:ascii="Verdana" w:hAnsi="Verdana"/>
          <w:bCs/>
          <w:sz w:val="20"/>
          <w:lang w:val="es-CR"/>
        </w:rPr>
        <w:t>15</w:t>
      </w:r>
      <w:r w:rsidR="00210211">
        <w:rPr>
          <w:rFonts w:ascii="Verdana" w:hAnsi="Verdana"/>
          <w:bCs/>
          <w:sz w:val="20"/>
          <w:lang w:val="es-CR"/>
        </w:rPr>
        <w:fldChar w:fldCharType="end"/>
      </w:r>
      <w:r w:rsidR="00210211">
        <w:rPr>
          <w:rFonts w:ascii="Verdana" w:hAnsi="Verdana"/>
          <w:bCs/>
          <w:sz w:val="20"/>
          <w:lang w:val="es-CR"/>
        </w:rPr>
        <w:t xml:space="preserve"> y </w:t>
      </w:r>
      <w:r w:rsidR="00210211">
        <w:rPr>
          <w:rFonts w:ascii="Verdana" w:hAnsi="Verdana"/>
          <w:bCs/>
          <w:sz w:val="20"/>
          <w:lang w:val="es-CR"/>
        </w:rPr>
        <w:fldChar w:fldCharType="begin"/>
      </w:r>
      <w:r w:rsidR="00210211">
        <w:rPr>
          <w:rFonts w:ascii="Verdana" w:hAnsi="Verdana"/>
          <w:bCs/>
          <w:sz w:val="20"/>
          <w:lang w:val="es-CR"/>
        </w:rPr>
        <w:instrText xml:space="preserve"> REF _Ref27044562 \r \h </w:instrText>
      </w:r>
      <w:r w:rsidR="00210211">
        <w:rPr>
          <w:rFonts w:ascii="Verdana" w:hAnsi="Verdana"/>
          <w:bCs/>
          <w:sz w:val="20"/>
          <w:lang w:val="es-CR"/>
        </w:rPr>
      </w:r>
      <w:r w:rsidR="00210211">
        <w:rPr>
          <w:rFonts w:ascii="Verdana" w:hAnsi="Verdana"/>
          <w:bCs/>
          <w:sz w:val="20"/>
          <w:lang w:val="es-CR"/>
        </w:rPr>
        <w:fldChar w:fldCharType="separate"/>
      </w:r>
      <w:r w:rsidR="00756751">
        <w:rPr>
          <w:rFonts w:ascii="Verdana" w:hAnsi="Verdana"/>
          <w:bCs/>
          <w:sz w:val="20"/>
          <w:lang w:val="es-CR"/>
        </w:rPr>
        <w:t>20</w:t>
      </w:r>
      <w:r w:rsidR="00210211">
        <w:rPr>
          <w:rFonts w:ascii="Verdana" w:hAnsi="Verdana"/>
          <w:bCs/>
          <w:sz w:val="20"/>
          <w:lang w:val="es-CR"/>
        </w:rPr>
        <w:fldChar w:fldCharType="end"/>
      </w:r>
      <w:r w:rsidR="00945B65" w:rsidRPr="001731F5">
        <w:rPr>
          <w:rFonts w:ascii="Verdana" w:hAnsi="Verdana"/>
          <w:bCs/>
          <w:sz w:val="20"/>
          <w:lang w:val="es-CR"/>
        </w:rPr>
        <w:t>)</w:t>
      </w:r>
      <w:r w:rsidRPr="001731F5">
        <w:rPr>
          <w:rFonts w:ascii="Verdana" w:hAnsi="Verdana"/>
          <w:bCs/>
          <w:sz w:val="20"/>
          <w:lang w:val="es-CR"/>
        </w:rPr>
        <w:t xml:space="preserve">, e indique las razones por las cuales no se podría realizar antes. </w:t>
      </w:r>
      <w:r w:rsidR="00AE588B" w:rsidRPr="001731F5">
        <w:rPr>
          <w:rFonts w:ascii="Verdana" w:hAnsi="Verdana"/>
          <w:bCs/>
          <w:sz w:val="20"/>
          <w:lang w:val="es-CR"/>
        </w:rPr>
        <w:t>Asimismo, se requiere al Estado que remita información actualizada y detallada sobre</w:t>
      </w:r>
      <w:r w:rsidR="00785498">
        <w:rPr>
          <w:rFonts w:ascii="Verdana" w:hAnsi="Verdana"/>
          <w:bCs/>
          <w:sz w:val="20"/>
          <w:lang w:val="es-CR"/>
        </w:rPr>
        <w:t xml:space="preserve"> el</w:t>
      </w:r>
      <w:r w:rsidR="00AE588B" w:rsidRPr="001731F5">
        <w:rPr>
          <w:rFonts w:ascii="Verdana" w:hAnsi="Verdana"/>
          <w:bCs/>
          <w:sz w:val="20"/>
          <w:lang w:val="es-CR"/>
        </w:rPr>
        <w:t xml:space="preserve"> </w:t>
      </w:r>
      <w:r w:rsidR="005242BD" w:rsidRPr="001731F5">
        <w:rPr>
          <w:rFonts w:ascii="Verdana" w:hAnsi="Verdana"/>
          <w:bCs/>
          <w:sz w:val="20"/>
          <w:lang w:val="es-CR"/>
        </w:rPr>
        <w:t>estado actual de</w:t>
      </w:r>
      <w:r w:rsidR="00AE588B" w:rsidRPr="001731F5">
        <w:rPr>
          <w:rFonts w:ascii="Verdana" w:hAnsi="Verdana"/>
          <w:bCs/>
          <w:sz w:val="20"/>
          <w:lang w:val="es-CR"/>
        </w:rPr>
        <w:t xml:space="preserve"> dichos proceso</w:t>
      </w:r>
      <w:r w:rsidR="005242BD" w:rsidRPr="001731F5">
        <w:rPr>
          <w:rFonts w:ascii="Verdana" w:hAnsi="Verdana"/>
          <w:bCs/>
          <w:sz w:val="20"/>
          <w:lang w:val="es-CR"/>
        </w:rPr>
        <w:t>s</w:t>
      </w:r>
      <w:r w:rsidR="00AE588B" w:rsidRPr="001731F5">
        <w:rPr>
          <w:rFonts w:ascii="Verdana" w:hAnsi="Verdana"/>
          <w:bCs/>
          <w:sz w:val="20"/>
          <w:lang w:val="es-CR"/>
        </w:rPr>
        <w:t xml:space="preserve"> penales.</w:t>
      </w:r>
    </w:p>
    <w:p w14:paraId="652A3E3C" w14:textId="77777777" w:rsidR="00807D5C" w:rsidRPr="001731F5" w:rsidRDefault="00807D5C" w:rsidP="00807D5C">
      <w:pPr>
        <w:spacing w:before="120" w:after="120"/>
        <w:jc w:val="both"/>
        <w:rPr>
          <w:rFonts w:ascii="Verdana" w:hAnsi="Verdana"/>
          <w:bCs/>
          <w:sz w:val="20"/>
          <w:lang w:val="es-CR"/>
        </w:rPr>
      </w:pPr>
    </w:p>
    <w:p w14:paraId="085CD226" w14:textId="0447384F" w:rsidR="00945B65" w:rsidRPr="001731F5" w:rsidRDefault="00945B65" w:rsidP="00533040">
      <w:pPr>
        <w:numPr>
          <w:ilvl w:val="0"/>
          <w:numId w:val="5"/>
        </w:numPr>
        <w:spacing w:before="120" w:after="120"/>
        <w:ind w:left="0" w:firstLine="0"/>
        <w:jc w:val="both"/>
        <w:rPr>
          <w:rFonts w:ascii="Verdana" w:hAnsi="Verdana"/>
          <w:bCs/>
          <w:sz w:val="20"/>
          <w:lang w:val="es-CR"/>
        </w:rPr>
      </w:pPr>
      <w:bookmarkStart w:id="16" w:name="_Ref26955217"/>
      <w:r w:rsidRPr="001731F5">
        <w:rPr>
          <w:rFonts w:ascii="Verdana" w:hAnsi="Verdana"/>
          <w:bCs/>
          <w:sz w:val="20"/>
          <w:lang w:val="es-CR"/>
        </w:rPr>
        <w:lastRenderedPageBreak/>
        <w:t xml:space="preserve">Por otra parte, la Corte nota que </w:t>
      </w:r>
      <w:r w:rsidR="00BC3FC4" w:rsidRPr="001731F5">
        <w:rPr>
          <w:rFonts w:ascii="Verdana" w:hAnsi="Verdana"/>
          <w:bCs/>
          <w:sz w:val="20"/>
          <w:lang w:val="es-CR"/>
        </w:rPr>
        <w:t>en el 2018 se inició una nueva investigación penal preparatori</w:t>
      </w:r>
      <w:r w:rsidR="00AE588B" w:rsidRPr="001731F5">
        <w:rPr>
          <w:rFonts w:ascii="Verdana" w:hAnsi="Verdana"/>
          <w:bCs/>
          <w:sz w:val="20"/>
          <w:lang w:val="es-CR"/>
        </w:rPr>
        <w:t>a con el objeto de determinar otros posibles responsables de los hechos ocurridos al señor Gutiérrez (</w:t>
      </w:r>
      <w:r w:rsidR="00AE588B" w:rsidRPr="001731F5">
        <w:rPr>
          <w:rFonts w:ascii="Verdana" w:hAnsi="Verdana"/>
          <w:bCs/>
          <w:i/>
          <w:iCs/>
          <w:sz w:val="20"/>
          <w:lang w:val="es-CR"/>
        </w:rPr>
        <w:t>supra</w:t>
      </w:r>
      <w:r w:rsidR="00AE588B" w:rsidRPr="001731F5">
        <w:rPr>
          <w:rFonts w:ascii="Verdana" w:hAnsi="Verdana"/>
          <w:bCs/>
          <w:sz w:val="20"/>
          <w:lang w:val="es-CR"/>
        </w:rPr>
        <w:t xml:space="preserve"> Considerando </w:t>
      </w:r>
      <w:r w:rsidR="00210211">
        <w:rPr>
          <w:rFonts w:ascii="Verdana" w:hAnsi="Verdana"/>
          <w:bCs/>
          <w:sz w:val="20"/>
          <w:lang w:val="es-CR"/>
        </w:rPr>
        <w:fldChar w:fldCharType="begin"/>
      </w:r>
      <w:r w:rsidR="00210211">
        <w:rPr>
          <w:rFonts w:ascii="Verdana" w:hAnsi="Verdana"/>
          <w:bCs/>
          <w:sz w:val="20"/>
          <w:lang w:val="es-CR"/>
        </w:rPr>
        <w:instrText xml:space="preserve"> REF _Ref27044622 \r \h </w:instrText>
      </w:r>
      <w:r w:rsidR="00210211">
        <w:rPr>
          <w:rFonts w:ascii="Verdana" w:hAnsi="Verdana"/>
          <w:bCs/>
          <w:sz w:val="20"/>
          <w:lang w:val="es-CR"/>
        </w:rPr>
      </w:r>
      <w:r w:rsidR="00210211">
        <w:rPr>
          <w:rFonts w:ascii="Verdana" w:hAnsi="Verdana"/>
          <w:bCs/>
          <w:sz w:val="20"/>
          <w:lang w:val="es-CR"/>
        </w:rPr>
        <w:fldChar w:fldCharType="separate"/>
      </w:r>
      <w:r w:rsidR="00756751">
        <w:rPr>
          <w:rFonts w:ascii="Verdana" w:hAnsi="Verdana"/>
          <w:bCs/>
          <w:sz w:val="20"/>
          <w:lang w:val="es-CR"/>
        </w:rPr>
        <w:t>16</w:t>
      </w:r>
      <w:r w:rsidR="00210211">
        <w:rPr>
          <w:rFonts w:ascii="Verdana" w:hAnsi="Verdana"/>
          <w:bCs/>
          <w:sz w:val="20"/>
          <w:lang w:val="es-CR"/>
        </w:rPr>
        <w:fldChar w:fldCharType="end"/>
      </w:r>
      <w:r w:rsidR="00AE588B" w:rsidRPr="001731F5">
        <w:rPr>
          <w:rFonts w:ascii="Verdana" w:hAnsi="Verdana"/>
          <w:bCs/>
          <w:sz w:val="20"/>
          <w:lang w:val="es-CR"/>
        </w:rPr>
        <w:t xml:space="preserve">). Al respecto, se solicita al Estado </w:t>
      </w:r>
      <w:r w:rsidR="005242BD" w:rsidRPr="001731F5">
        <w:rPr>
          <w:rFonts w:ascii="Verdana" w:hAnsi="Verdana"/>
          <w:bCs/>
          <w:sz w:val="20"/>
          <w:lang w:val="es-CR"/>
        </w:rPr>
        <w:t>que remita información actualizada y detallada sobre las diligencias realizadas en el marco de dicha investigación y si éstas son diferentes o adicionales a las realizadas con anterioridad en la investigación preparatoria que se inició en el 2013 con el mismo objetivo y que posteriormente fue archivada sin arrojar resultados sobre otros presuntos responsables de los hechos (</w:t>
      </w:r>
      <w:r w:rsidR="005242BD" w:rsidRPr="001731F5">
        <w:rPr>
          <w:rFonts w:ascii="Verdana" w:hAnsi="Verdana"/>
          <w:bCs/>
          <w:i/>
          <w:iCs/>
          <w:sz w:val="20"/>
          <w:lang w:val="es-CR"/>
        </w:rPr>
        <w:t xml:space="preserve">supra </w:t>
      </w:r>
      <w:r w:rsidR="005242BD" w:rsidRPr="001731F5">
        <w:rPr>
          <w:rFonts w:ascii="Verdana" w:hAnsi="Verdana"/>
          <w:bCs/>
          <w:sz w:val="20"/>
          <w:lang w:val="es-CR"/>
        </w:rPr>
        <w:t xml:space="preserve">Considerando </w:t>
      </w:r>
      <w:r w:rsidR="00210211">
        <w:rPr>
          <w:rFonts w:ascii="Verdana" w:hAnsi="Verdana"/>
          <w:bCs/>
          <w:sz w:val="20"/>
          <w:lang w:val="es-CR"/>
        </w:rPr>
        <w:fldChar w:fldCharType="begin"/>
      </w:r>
      <w:r w:rsidR="00210211">
        <w:rPr>
          <w:rFonts w:ascii="Verdana" w:hAnsi="Verdana"/>
          <w:bCs/>
          <w:sz w:val="20"/>
          <w:lang w:val="es-CR"/>
        </w:rPr>
        <w:instrText xml:space="preserve"> REF _Ref27044668 \r \h </w:instrText>
      </w:r>
      <w:r w:rsidR="00210211">
        <w:rPr>
          <w:rFonts w:ascii="Verdana" w:hAnsi="Verdana"/>
          <w:bCs/>
          <w:sz w:val="20"/>
          <w:lang w:val="es-CR"/>
        </w:rPr>
      </w:r>
      <w:r w:rsidR="00210211">
        <w:rPr>
          <w:rFonts w:ascii="Verdana" w:hAnsi="Verdana"/>
          <w:bCs/>
          <w:sz w:val="20"/>
          <w:lang w:val="es-CR"/>
        </w:rPr>
        <w:fldChar w:fldCharType="separate"/>
      </w:r>
      <w:r w:rsidR="00756751">
        <w:rPr>
          <w:rFonts w:ascii="Verdana" w:hAnsi="Verdana"/>
          <w:bCs/>
          <w:sz w:val="20"/>
          <w:lang w:val="es-CR"/>
        </w:rPr>
        <w:t>13</w:t>
      </w:r>
      <w:r w:rsidR="00210211">
        <w:rPr>
          <w:rFonts w:ascii="Verdana" w:hAnsi="Verdana"/>
          <w:bCs/>
          <w:sz w:val="20"/>
          <w:lang w:val="es-CR"/>
        </w:rPr>
        <w:fldChar w:fldCharType="end"/>
      </w:r>
      <w:r w:rsidR="005242BD" w:rsidRPr="001731F5">
        <w:rPr>
          <w:rFonts w:ascii="Verdana" w:hAnsi="Verdana"/>
          <w:bCs/>
          <w:sz w:val="20"/>
          <w:lang w:val="es-CR"/>
        </w:rPr>
        <w:t>).</w:t>
      </w:r>
      <w:bookmarkEnd w:id="16"/>
      <w:r w:rsidR="005242BD" w:rsidRPr="001731F5">
        <w:rPr>
          <w:rFonts w:ascii="Verdana" w:hAnsi="Verdana"/>
          <w:bCs/>
          <w:sz w:val="20"/>
          <w:lang w:val="es-CR"/>
        </w:rPr>
        <w:t xml:space="preserve"> </w:t>
      </w:r>
    </w:p>
    <w:p w14:paraId="4653F7F2" w14:textId="4F85715F" w:rsidR="00541081" w:rsidRPr="001731F5" w:rsidRDefault="005242BD" w:rsidP="005242BD">
      <w:pPr>
        <w:numPr>
          <w:ilvl w:val="0"/>
          <w:numId w:val="5"/>
        </w:numPr>
        <w:spacing w:before="120" w:after="120"/>
        <w:ind w:left="0" w:firstLine="0"/>
        <w:jc w:val="both"/>
        <w:rPr>
          <w:rFonts w:ascii="Verdana" w:hAnsi="Verdana"/>
          <w:bCs/>
          <w:sz w:val="20"/>
          <w:lang w:val="es-CR"/>
        </w:rPr>
      </w:pPr>
      <w:r w:rsidRPr="001731F5">
        <w:rPr>
          <w:rFonts w:ascii="Verdana" w:hAnsi="Verdana"/>
          <w:sz w:val="20"/>
        </w:rPr>
        <w:t>En razón de lo expuesto, la Corte concluye que, a pesar de los avances constatados, aún se encuentra pendiente de cumplimiento la medida de reparación relativa a llevar a cabo con la debida diligencia y en un plazo razonable, las investigaciones y procesos penales correspondientes, con el fin de individualizar, identificar, juzgar y, en su caso, sancionar a los responsables materiales e intelectuales de los hechos relacionados con la ejecución de Jorge Omar Gutiérrez, ordenada en el punto resolutivo sexto de la Sentencia.</w:t>
      </w:r>
    </w:p>
    <w:p w14:paraId="4B122CB6" w14:textId="77777777" w:rsidR="0075180F" w:rsidRPr="001731F5" w:rsidRDefault="0075180F" w:rsidP="0075180F">
      <w:pPr>
        <w:rPr>
          <w:lang w:val="es-MX"/>
        </w:rPr>
      </w:pPr>
    </w:p>
    <w:p w14:paraId="134A1CEF" w14:textId="77777777" w:rsidR="00FC04D2" w:rsidRPr="001731F5" w:rsidRDefault="00F91571" w:rsidP="00FC04D2">
      <w:pPr>
        <w:pStyle w:val="Ttulo1"/>
        <w:keepLines/>
        <w:numPr>
          <w:ilvl w:val="0"/>
          <w:numId w:val="23"/>
        </w:numPr>
        <w:spacing w:before="0" w:after="0"/>
        <w:jc w:val="both"/>
        <w:rPr>
          <w:rFonts w:ascii="Verdana" w:hAnsi="Verdana"/>
          <w:i/>
          <w:sz w:val="20"/>
          <w:szCs w:val="20"/>
          <w:lang w:val="es-MX"/>
        </w:rPr>
      </w:pPr>
      <w:bookmarkStart w:id="17" w:name="_Toc17466466"/>
      <w:r w:rsidRPr="001731F5">
        <w:rPr>
          <w:rFonts w:ascii="Verdana" w:hAnsi="Verdana"/>
          <w:i/>
          <w:sz w:val="20"/>
          <w:szCs w:val="20"/>
          <w:lang w:val="es-MX"/>
        </w:rPr>
        <w:t>Acto público de reconocimiento de responsabilidad internacional</w:t>
      </w:r>
      <w:bookmarkEnd w:id="17"/>
    </w:p>
    <w:p w14:paraId="1D44B5FF" w14:textId="77777777" w:rsidR="00FC04D2" w:rsidRPr="001731F5" w:rsidRDefault="00FC04D2" w:rsidP="00FC04D2">
      <w:pPr>
        <w:rPr>
          <w:rFonts w:ascii="Verdana" w:hAnsi="Verdana"/>
          <w:b/>
          <w:i/>
          <w:sz w:val="20"/>
          <w:lang w:val="es-MX"/>
        </w:rPr>
      </w:pPr>
    </w:p>
    <w:p w14:paraId="7006C1D0" w14:textId="77777777" w:rsidR="00FC04D2" w:rsidRPr="001731F5" w:rsidRDefault="0075180F" w:rsidP="00807D5C">
      <w:pPr>
        <w:ind w:left="360" w:firstLine="360"/>
        <w:rPr>
          <w:rFonts w:ascii="Verdana" w:hAnsi="Verdana"/>
          <w:i/>
          <w:sz w:val="20"/>
          <w:lang w:val="es-MX"/>
        </w:rPr>
      </w:pPr>
      <w:r w:rsidRPr="001731F5">
        <w:rPr>
          <w:rFonts w:ascii="Verdana" w:hAnsi="Verdana"/>
          <w:i/>
          <w:sz w:val="20"/>
          <w:lang w:val="es-MX"/>
        </w:rPr>
        <w:t>B</w:t>
      </w:r>
      <w:r w:rsidR="00FC04D2" w:rsidRPr="001731F5">
        <w:rPr>
          <w:rFonts w:ascii="Verdana" w:hAnsi="Verdana"/>
          <w:i/>
          <w:sz w:val="20"/>
          <w:lang w:val="es-MX"/>
        </w:rPr>
        <w:t>.1. Medida ordenada por la Corte</w:t>
      </w:r>
    </w:p>
    <w:p w14:paraId="4E464205" w14:textId="6D8DF68B" w:rsidR="00FC04D2" w:rsidRPr="001731F5" w:rsidRDefault="00FC04D2" w:rsidP="003316B2">
      <w:pPr>
        <w:numPr>
          <w:ilvl w:val="0"/>
          <w:numId w:val="5"/>
        </w:numPr>
        <w:spacing w:before="120" w:after="120"/>
        <w:ind w:left="0" w:firstLine="0"/>
        <w:jc w:val="both"/>
        <w:rPr>
          <w:rFonts w:ascii="Verdana" w:hAnsi="Verdana"/>
          <w:sz w:val="20"/>
          <w:lang w:val="es-CR"/>
        </w:rPr>
      </w:pPr>
      <w:bookmarkStart w:id="18" w:name="_Ref26951472"/>
      <w:r w:rsidRPr="001731F5">
        <w:rPr>
          <w:rFonts w:ascii="Verdana" w:hAnsi="Verdana"/>
          <w:sz w:val="20"/>
        </w:rPr>
        <w:t xml:space="preserve">En el punto resolutivo séptimo y en los párrafos 156 a 158 de la Sentencia, </w:t>
      </w:r>
      <w:r w:rsidR="003316B2" w:rsidRPr="001731F5">
        <w:rPr>
          <w:rFonts w:ascii="Verdana" w:hAnsi="Verdana"/>
          <w:sz w:val="20"/>
        </w:rPr>
        <w:t>se dispuso que “[e]</w:t>
      </w:r>
      <w:r w:rsidRPr="001731F5">
        <w:rPr>
          <w:rFonts w:ascii="Verdana" w:hAnsi="Verdana"/>
          <w:sz w:val="20"/>
        </w:rPr>
        <w:t xml:space="preserve">l Estado, </w:t>
      </w:r>
      <w:r w:rsidR="003316B2" w:rsidRPr="001731F5">
        <w:rPr>
          <w:rFonts w:ascii="Verdana" w:hAnsi="Verdana"/>
          <w:sz w:val="20"/>
        </w:rPr>
        <w:t>debe llevar a cabo, en el</w:t>
      </w:r>
      <w:r w:rsidR="003316B2" w:rsidRPr="001731F5">
        <w:rPr>
          <w:rFonts w:ascii="Verdana" w:hAnsi="Verdana"/>
          <w:sz w:val="20"/>
          <w:lang w:val="es-CR"/>
        </w:rPr>
        <w:t xml:space="preserve"> </w:t>
      </w:r>
      <w:r w:rsidR="00173D4B" w:rsidRPr="001731F5">
        <w:rPr>
          <w:rFonts w:ascii="Verdana" w:hAnsi="Verdana"/>
          <w:sz w:val="20"/>
        </w:rPr>
        <w:t>plazo de un año contado a partir de</w:t>
      </w:r>
      <w:r w:rsidRPr="001731F5">
        <w:rPr>
          <w:rFonts w:ascii="Verdana" w:hAnsi="Verdana"/>
          <w:sz w:val="20"/>
        </w:rPr>
        <w:t xml:space="preserve"> la notificac</w:t>
      </w:r>
      <w:r w:rsidR="003316B2" w:rsidRPr="001731F5">
        <w:rPr>
          <w:rFonts w:ascii="Verdana" w:hAnsi="Verdana"/>
          <w:sz w:val="20"/>
        </w:rPr>
        <w:t xml:space="preserve">ión de la </w:t>
      </w:r>
      <w:r w:rsidR="00C042EF">
        <w:rPr>
          <w:rFonts w:ascii="Verdana" w:hAnsi="Verdana"/>
          <w:sz w:val="20"/>
        </w:rPr>
        <w:t xml:space="preserve">[…] </w:t>
      </w:r>
      <w:r w:rsidR="003316B2" w:rsidRPr="001731F5">
        <w:rPr>
          <w:rFonts w:ascii="Verdana" w:hAnsi="Verdana"/>
          <w:sz w:val="20"/>
        </w:rPr>
        <w:t xml:space="preserve">Sentencia, </w:t>
      </w:r>
      <w:r w:rsidR="00173D4B" w:rsidRPr="001731F5">
        <w:rPr>
          <w:rFonts w:ascii="Verdana" w:hAnsi="Verdana"/>
          <w:sz w:val="20"/>
        </w:rPr>
        <w:t>un acto público en el que reconozca su responsabilidad internacional</w:t>
      </w:r>
      <w:r w:rsidR="003316B2" w:rsidRPr="001731F5">
        <w:rPr>
          <w:rFonts w:ascii="Verdana" w:hAnsi="Verdana"/>
          <w:sz w:val="20"/>
        </w:rPr>
        <w:t>”. Se estableció que en dicho acto “se deberá</w:t>
      </w:r>
      <w:r w:rsidRPr="001731F5">
        <w:rPr>
          <w:rFonts w:ascii="Verdana" w:hAnsi="Verdana"/>
          <w:sz w:val="20"/>
        </w:rPr>
        <w:t xml:space="preserve"> hacer referencia a las violaciones de derechos humanos declaradas en la </w:t>
      </w:r>
      <w:r w:rsidR="003316B2" w:rsidRPr="001731F5">
        <w:rPr>
          <w:rFonts w:ascii="Verdana" w:hAnsi="Verdana"/>
          <w:sz w:val="20"/>
        </w:rPr>
        <w:t xml:space="preserve">[…] </w:t>
      </w:r>
      <w:r w:rsidRPr="001731F5">
        <w:rPr>
          <w:rFonts w:ascii="Verdana" w:hAnsi="Verdana"/>
          <w:sz w:val="20"/>
        </w:rPr>
        <w:t>S</w:t>
      </w:r>
      <w:r w:rsidR="00173D4B" w:rsidRPr="001731F5">
        <w:rPr>
          <w:rFonts w:ascii="Verdana" w:hAnsi="Verdana"/>
          <w:sz w:val="20"/>
        </w:rPr>
        <w:t>entencia</w:t>
      </w:r>
      <w:r w:rsidR="003316B2" w:rsidRPr="001731F5">
        <w:rPr>
          <w:rFonts w:ascii="Verdana" w:hAnsi="Verdana"/>
          <w:sz w:val="20"/>
        </w:rPr>
        <w:t xml:space="preserve"> y brindar disculpas por los hechos </w:t>
      </w:r>
      <w:r w:rsidR="00CC5440">
        <w:rPr>
          <w:rFonts w:ascii="Verdana" w:hAnsi="Verdana"/>
          <w:sz w:val="20"/>
        </w:rPr>
        <w:t>d</w:t>
      </w:r>
      <w:r w:rsidR="003316B2" w:rsidRPr="001731F5">
        <w:rPr>
          <w:rFonts w:ascii="Verdana" w:hAnsi="Verdana"/>
          <w:sz w:val="20"/>
        </w:rPr>
        <w:t>el presente caso”</w:t>
      </w:r>
      <w:r w:rsidR="00173D4B" w:rsidRPr="001731F5">
        <w:rPr>
          <w:rFonts w:ascii="Verdana" w:hAnsi="Verdana"/>
          <w:sz w:val="20"/>
        </w:rPr>
        <w:t xml:space="preserve">. </w:t>
      </w:r>
      <w:r w:rsidR="003316B2" w:rsidRPr="001731F5">
        <w:rPr>
          <w:rFonts w:ascii="Verdana" w:hAnsi="Verdana"/>
          <w:sz w:val="20"/>
        </w:rPr>
        <w:t>Además, se indicó que</w:t>
      </w:r>
      <w:r w:rsidRPr="001731F5">
        <w:rPr>
          <w:rFonts w:ascii="Verdana" w:hAnsi="Verdana"/>
          <w:sz w:val="20"/>
        </w:rPr>
        <w:t xml:space="preserve"> </w:t>
      </w:r>
      <w:r w:rsidR="003316B2" w:rsidRPr="001731F5">
        <w:rPr>
          <w:rFonts w:ascii="Verdana" w:hAnsi="Verdana"/>
          <w:sz w:val="20"/>
        </w:rPr>
        <w:t xml:space="preserve">“Argentina deberá </w:t>
      </w:r>
      <w:r w:rsidR="00173D4B" w:rsidRPr="001731F5">
        <w:rPr>
          <w:rFonts w:ascii="Verdana" w:hAnsi="Verdana"/>
          <w:sz w:val="20"/>
        </w:rPr>
        <w:t>acordar con las víctimas o sus representantes la modalidad de cumplimiento del acto público de reconocimiento y las particularidades que se requieran, tales como el lugar y la fecha para su realización, así como también brindar a las víctimas las facilidades necesarias de transporte, logística, entre otras, para tal fin</w:t>
      </w:r>
      <w:r w:rsidRPr="001731F5">
        <w:rPr>
          <w:rFonts w:ascii="Verdana" w:hAnsi="Verdana"/>
          <w:sz w:val="20"/>
        </w:rPr>
        <w:t>”.</w:t>
      </w:r>
      <w:bookmarkEnd w:id="18"/>
    </w:p>
    <w:p w14:paraId="7BF2FEDF" w14:textId="77777777" w:rsidR="00183188" w:rsidRDefault="00183188" w:rsidP="00807D5C">
      <w:pPr>
        <w:ind w:left="360" w:firstLine="360"/>
        <w:rPr>
          <w:rFonts w:ascii="Verdana" w:hAnsi="Verdana"/>
          <w:i/>
          <w:sz w:val="20"/>
          <w:lang w:val="es-MX"/>
        </w:rPr>
      </w:pPr>
    </w:p>
    <w:p w14:paraId="785FA496" w14:textId="77777777" w:rsidR="00DB7130" w:rsidRPr="001731F5" w:rsidRDefault="0075180F" w:rsidP="00807D5C">
      <w:pPr>
        <w:ind w:left="360" w:firstLine="360"/>
        <w:rPr>
          <w:rFonts w:ascii="Verdana" w:hAnsi="Verdana"/>
          <w:i/>
          <w:sz w:val="20"/>
          <w:lang w:val="es-MX"/>
        </w:rPr>
      </w:pPr>
      <w:r w:rsidRPr="001731F5">
        <w:rPr>
          <w:rFonts w:ascii="Verdana" w:hAnsi="Verdana"/>
          <w:i/>
          <w:sz w:val="20"/>
          <w:lang w:val="es-MX"/>
        </w:rPr>
        <w:t>B</w:t>
      </w:r>
      <w:r w:rsidR="00017CD0" w:rsidRPr="001731F5">
        <w:rPr>
          <w:rFonts w:ascii="Verdana" w:hAnsi="Verdana"/>
          <w:i/>
          <w:sz w:val="20"/>
          <w:lang w:val="es-MX"/>
        </w:rPr>
        <w:t>.2. Consideraciones de</w:t>
      </w:r>
      <w:r w:rsidR="00DB7130" w:rsidRPr="001731F5">
        <w:rPr>
          <w:rFonts w:ascii="Verdana" w:hAnsi="Verdana"/>
          <w:i/>
          <w:sz w:val="20"/>
          <w:lang w:val="es-MX"/>
        </w:rPr>
        <w:t xml:space="preserve"> la Corte</w:t>
      </w:r>
    </w:p>
    <w:p w14:paraId="083A087B" w14:textId="1E6C7327" w:rsidR="00AB0850" w:rsidRPr="001731F5" w:rsidRDefault="008B778E" w:rsidP="008B778E">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Con base en </w:t>
      </w:r>
      <w:r w:rsidR="00033613" w:rsidRPr="001731F5">
        <w:rPr>
          <w:rFonts w:ascii="Verdana" w:hAnsi="Verdana"/>
          <w:sz w:val="20"/>
          <w:lang w:val="es-CR"/>
        </w:rPr>
        <w:t>la información y prueba aportada</w:t>
      </w:r>
      <w:r w:rsidRPr="001731F5">
        <w:rPr>
          <w:rFonts w:ascii="Verdana" w:hAnsi="Verdana"/>
          <w:sz w:val="20"/>
          <w:lang w:val="es-CR"/>
        </w:rPr>
        <w:t xml:space="preserve"> por el Estado</w:t>
      </w:r>
      <w:r w:rsidR="00033613" w:rsidRPr="001731F5">
        <w:rPr>
          <w:rStyle w:val="Refdenotaalpie"/>
          <w:rFonts w:ascii="Verdana" w:hAnsi="Verdana"/>
          <w:sz w:val="20"/>
          <w:lang w:val="es-CR"/>
        </w:rPr>
        <w:footnoteReference w:id="30"/>
      </w:r>
      <w:r w:rsidR="008625B7" w:rsidRPr="001731F5">
        <w:rPr>
          <w:rFonts w:ascii="Verdana" w:hAnsi="Verdana"/>
          <w:sz w:val="20"/>
          <w:lang w:val="es-CR"/>
        </w:rPr>
        <w:t xml:space="preserve">, </w:t>
      </w:r>
      <w:r w:rsidRPr="001731F5">
        <w:rPr>
          <w:rFonts w:ascii="Verdana" w:hAnsi="Verdana"/>
          <w:sz w:val="20"/>
          <w:lang w:val="es-CR"/>
        </w:rPr>
        <w:t>las observaciones de los representantes</w:t>
      </w:r>
      <w:r w:rsidR="000C1B12" w:rsidRPr="001731F5">
        <w:rPr>
          <w:rFonts w:ascii="Verdana" w:hAnsi="Verdana"/>
          <w:sz w:val="20"/>
          <w:lang w:val="es-CR"/>
        </w:rPr>
        <w:t xml:space="preserve"> </w:t>
      </w:r>
      <w:r w:rsidR="008625B7" w:rsidRPr="001731F5">
        <w:rPr>
          <w:rFonts w:ascii="Verdana" w:hAnsi="Verdana"/>
          <w:sz w:val="20"/>
          <w:lang w:val="es-CR"/>
        </w:rPr>
        <w:t xml:space="preserve">y la Comisión </w:t>
      </w:r>
      <w:r w:rsidR="000C1B12" w:rsidRPr="001731F5">
        <w:rPr>
          <w:rFonts w:ascii="Verdana" w:hAnsi="Verdana"/>
          <w:sz w:val="20"/>
          <w:lang w:val="es-CR"/>
        </w:rPr>
        <w:t xml:space="preserve">respecto </w:t>
      </w:r>
      <w:r w:rsidR="008625B7" w:rsidRPr="001731F5">
        <w:rPr>
          <w:rFonts w:ascii="Verdana" w:hAnsi="Verdana"/>
          <w:sz w:val="20"/>
          <w:lang w:val="es-CR"/>
        </w:rPr>
        <w:t>al cumplimiento total de este</w:t>
      </w:r>
      <w:r w:rsidR="000C1B12" w:rsidRPr="001731F5">
        <w:rPr>
          <w:rFonts w:ascii="Verdana" w:hAnsi="Verdana"/>
          <w:sz w:val="20"/>
          <w:lang w:val="es-CR"/>
        </w:rPr>
        <w:t xml:space="preserve"> punto de la Sentencia</w:t>
      </w:r>
      <w:r w:rsidRPr="001731F5">
        <w:rPr>
          <w:rFonts w:ascii="Verdana" w:hAnsi="Verdana"/>
          <w:sz w:val="20"/>
          <w:lang w:val="es-CR"/>
        </w:rPr>
        <w:t xml:space="preserve">, la Corte constata que el </w:t>
      </w:r>
      <w:r w:rsidR="00017CD0" w:rsidRPr="001731F5">
        <w:rPr>
          <w:rFonts w:ascii="Verdana" w:hAnsi="Verdana"/>
          <w:sz w:val="20"/>
        </w:rPr>
        <w:t xml:space="preserve">19 de marzo de 2015 se </w:t>
      </w:r>
      <w:r w:rsidRPr="001731F5">
        <w:rPr>
          <w:rFonts w:ascii="Verdana" w:hAnsi="Verdana"/>
          <w:sz w:val="20"/>
        </w:rPr>
        <w:t>llevó a cabo</w:t>
      </w:r>
      <w:r w:rsidR="00033613" w:rsidRPr="001731F5">
        <w:rPr>
          <w:rFonts w:ascii="Verdana" w:hAnsi="Verdana"/>
          <w:sz w:val="20"/>
        </w:rPr>
        <w:t xml:space="preserve"> en la sede del Ministerio de Justicia y Derechos Humanos</w:t>
      </w:r>
      <w:r w:rsidR="00017CD0" w:rsidRPr="001731F5">
        <w:rPr>
          <w:rFonts w:ascii="Verdana" w:hAnsi="Verdana"/>
          <w:sz w:val="20"/>
        </w:rPr>
        <w:t xml:space="preserve"> el acto público de reconocimiento d</w:t>
      </w:r>
      <w:r w:rsidRPr="001731F5">
        <w:rPr>
          <w:rFonts w:ascii="Verdana" w:hAnsi="Verdana"/>
          <w:sz w:val="20"/>
        </w:rPr>
        <w:t>e responsabilidad internacional</w:t>
      </w:r>
      <w:r w:rsidR="00033613" w:rsidRPr="001731F5">
        <w:rPr>
          <w:rFonts w:ascii="Verdana" w:hAnsi="Verdana"/>
          <w:sz w:val="20"/>
        </w:rPr>
        <w:t xml:space="preserve"> por los hechos y violaciones del presente caso</w:t>
      </w:r>
      <w:r w:rsidRPr="001731F5">
        <w:rPr>
          <w:rFonts w:ascii="Verdana" w:hAnsi="Verdana"/>
          <w:sz w:val="20"/>
        </w:rPr>
        <w:t>.</w:t>
      </w:r>
      <w:r w:rsidR="00033613" w:rsidRPr="001731F5">
        <w:rPr>
          <w:rFonts w:ascii="Verdana" w:hAnsi="Verdana"/>
          <w:sz w:val="20"/>
        </w:rPr>
        <w:t xml:space="preserve"> </w:t>
      </w:r>
    </w:p>
    <w:p w14:paraId="3563FF12" w14:textId="6D6384DB" w:rsidR="008B778E" w:rsidRPr="001731F5" w:rsidRDefault="00033613" w:rsidP="008B778E">
      <w:pPr>
        <w:numPr>
          <w:ilvl w:val="0"/>
          <w:numId w:val="5"/>
        </w:numPr>
        <w:spacing w:before="120" w:after="120"/>
        <w:ind w:left="0" w:firstLine="0"/>
        <w:jc w:val="both"/>
        <w:rPr>
          <w:rFonts w:ascii="Verdana" w:hAnsi="Verdana"/>
          <w:sz w:val="20"/>
          <w:lang w:val="es-CR"/>
        </w:rPr>
      </w:pPr>
      <w:r w:rsidRPr="001731F5">
        <w:rPr>
          <w:rFonts w:ascii="Verdana" w:hAnsi="Verdana"/>
          <w:sz w:val="20"/>
        </w:rPr>
        <w:t>El acto fue presid</w:t>
      </w:r>
      <w:r w:rsidR="00CC5440">
        <w:rPr>
          <w:rFonts w:ascii="Verdana" w:hAnsi="Verdana"/>
          <w:sz w:val="20"/>
        </w:rPr>
        <w:t>id</w:t>
      </w:r>
      <w:r w:rsidRPr="001731F5">
        <w:rPr>
          <w:rFonts w:ascii="Verdana" w:hAnsi="Verdana"/>
          <w:sz w:val="20"/>
        </w:rPr>
        <w:t xml:space="preserve">o por </w:t>
      </w:r>
      <w:r w:rsidR="00AB0850" w:rsidRPr="001731F5">
        <w:rPr>
          <w:rFonts w:ascii="Verdana" w:hAnsi="Verdana"/>
          <w:sz w:val="20"/>
        </w:rPr>
        <w:t>el Ministro de Justicia y Derechos Humanos</w:t>
      </w:r>
      <w:r w:rsidR="00061D0C" w:rsidRPr="001731F5">
        <w:rPr>
          <w:rStyle w:val="Refdenotaalpie"/>
          <w:rFonts w:ascii="Verdana" w:hAnsi="Verdana"/>
          <w:sz w:val="20"/>
        </w:rPr>
        <w:footnoteReference w:id="31"/>
      </w:r>
      <w:r w:rsidR="00AB0850" w:rsidRPr="001731F5">
        <w:rPr>
          <w:rFonts w:ascii="Verdana" w:hAnsi="Verdana"/>
          <w:sz w:val="20"/>
        </w:rPr>
        <w:t xml:space="preserve"> y por el Secretario de Derechos Humanos</w:t>
      </w:r>
      <w:r w:rsidR="00061D0C" w:rsidRPr="001731F5">
        <w:rPr>
          <w:rStyle w:val="Refdenotaalpie"/>
          <w:rFonts w:ascii="Verdana" w:hAnsi="Verdana"/>
          <w:sz w:val="20"/>
        </w:rPr>
        <w:footnoteReference w:id="32"/>
      </w:r>
      <w:r w:rsidR="00AB0850" w:rsidRPr="001731F5">
        <w:rPr>
          <w:rFonts w:ascii="Verdana" w:hAnsi="Verdana"/>
          <w:sz w:val="20"/>
        </w:rPr>
        <w:t>, quienes aceptaron la responsabilidad internacional del Estado, reconocieron la importancia del presente caso y la necesidad de avanzar en su investigación y pidieron una disculpa a los familiares del señor Gutiérrez</w:t>
      </w:r>
      <w:r w:rsidR="00AB0850" w:rsidRPr="001731F5">
        <w:rPr>
          <w:rStyle w:val="Refdenotaalpie"/>
          <w:rFonts w:ascii="Verdana" w:hAnsi="Verdana"/>
          <w:sz w:val="20"/>
        </w:rPr>
        <w:footnoteReference w:id="33"/>
      </w:r>
      <w:r w:rsidR="00DD5BE9" w:rsidRPr="001731F5">
        <w:rPr>
          <w:rFonts w:ascii="Verdana" w:hAnsi="Verdana"/>
          <w:sz w:val="20"/>
        </w:rPr>
        <w:t xml:space="preserve">. También </w:t>
      </w:r>
      <w:r w:rsidR="00DD5BE9" w:rsidRPr="001731F5">
        <w:rPr>
          <w:rFonts w:ascii="Verdana" w:hAnsi="Verdana"/>
          <w:sz w:val="20"/>
        </w:rPr>
        <w:lastRenderedPageBreak/>
        <w:t xml:space="preserve">participaron </w:t>
      </w:r>
      <w:r w:rsidR="00AB0850" w:rsidRPr="001731F5">
        <w:rPr>
          <w:rFonts w:ascii="Verdana" w:hAnsi="Verdana"/>
          <w:sz w:val="20"/>
        </w:rPr>
        <w:t xml:space="preserve">la señora Nilda Maldonado, viuda del señor </w:t>
      </w:r>
      <w:r w:rsidR="00870D48" w:rsidRPr="001731F5">
        <w:rPr>
          <w:rFonts w:ascii="Verdana" w:hAnsi="Verdana"/>
          <w:sz w:val="20"/>
        </w:rPr>
        <w:t>Gutiérrez</w:t>
      </w:r>
      <w:r w:rsidR="00AB0850" w:rsidRPr="001731F5">
        <w:rPr>
          <w:rFonts w:ascii="Verdana" w:hAnsi="Verdana"/>
          <w:sz w:val="20"/>
        </w:rPr>
        <w:t>, su hermano Francisco Gutiérrez y su hijo David Gutiérrez</w:t>
      </w:r>
      <w:r w:rsidR="00DD5BE9" w:rsidRPr="001731F5">
        <w:rPr>
          <w:rFonts w:ascii="Verdana" w:hAnsi="Verdana"/>
          <w:sz w:val="20"/>
        </w:rPr>
        <w:t>, y el Presidente de la organización representante de las víctimas (CELS). En sus intervenciones</w:t>
      </w:r>
      <w:r w:rsidR="00870D48">
        <w:rPr>
          <w:rFonts w:ascii="Verdana" w:hAnsi="Verdana"/>
          <w:sz w:val="20"/>
        </w:rPr>
        <w:t>,</w:t>
      </w:r>
      <w:r w:rsidR="00DD5BE9" w:rsidRPr="001731F5">
        <w:rPr>
          <w:rFonts w:ascii="Verdana" w:hAnsi="Verdana"/>
          <w:sz w:val="20"/>
        </w:rPr>
        <w:t xml:space="preserve"> </w:t>
      </w:r>
      <w:r w:rsidR="000C1B12" w:rsidRPr="001731F5">
        <w:rPr>
          <w:rFonts w:ascii="Verdana" w:hAnsi="Verdana"/>
          <w:sz w:val="20"/>
        </w:rPr>
        <w:t>los familiares de la víctima y el referido representante honraron la memoria del</w:t>
      </w:r>
      <w:r w:rsidR="00DD5BE9" w:rsidRPr="001731F5">
        <w:rPr>
          <w:rFonts w:ascii="Verdana" w:hAnsi="Verdana"/>
          <w:sz w:val="20"/>
        </w:rPr>
        <w:t xml:space="preserve"> señor </w:t>
      </w:r>
      <w:r w:rsidR="00870D48" w:rsidRPr="001731F5">
        <w:rPr>
          <w:rFonts w:ascii="Verdana" w:hAnsi="Verdana"/>
          <w:sz w:val="20"/>
        </w:rPr>
        <w:t>Gutiérrez</w:t>
      </w:r>
      <w:r w:rsidR="00DD5BE9" w:rsidRPr="001731F5">
        <w:rPr>
          <w:rFonts w:ascii="Verdana" w:hAnsi="Verdana"/>
          <w:sz w:val="20"/>
        </w:rPr>
        <w:t xml:space="preserve"> y exigieron justicia en el presente caso mediante la investigación de los responsables</w:t>
      </w:r>
      <w:r w:rsidR="00152F69" w:rsidRPr="001731F5">
        <w:rPr>
          <w:rStyle w:val="Refdenotaalpie"/>
          <w:rFonts w:ascii="Verdana" w:hAnsi="Verdana"/>
          <w:sz w:val="20"/>
        </w:rPr>
        <w:footnoteReference w:id="34"/>
      </w:r>
      <w:r w:rsidR="00DD5BE9" w:rsidRPr="001731F5">
        <w:rPr>
          <w:rFonts w:ascii="Verdana" w:hAnsi="Verdana"/>
          <w:sz w:val="20"/>
        </w:rPr>
        <w:t xml:space="preserve">. </w:t>
      </w:r>
      <w:r w:rsidR="00152F69" w:rsidRPr="001731F5">
        <w:rPr>
          <w:rFonts w:ascii="Verdana" w:hAnsi="Verdana"/>
          <w:sz w:val="20"/>
        </w:rPr>
        <w:t xml:space="preserve">Los </w:t>
      </w:r>
      <w:r w:rsidR="00152F69" w:rsidRPr="00807D5C">
        <w:rPr>
          <w:rFonts w:ascii="Verdana" w:hAnsi="Verdana"/>
          <w:sz w:val="20"/>
        </w:rPr>
        <w:t>representantes</w:t>
      </w:r>
      <w:r w:rsidR="00152F69" w:rsidRPr="001731F5">
        <w:rPr>
          <w:rFonts w:ascii="Verdana" w:hAnsi="Verdana"/>
          <w:sz w:val="20"/>
        </w:rPr>
        <w:t xml:space="preserve"> resaltaron que “</w:t>
      </w:r>
      <w:r w:rsidR="00870D48">
        <w:rPr>
          <w:rFonts w:ascii="Verdana" w:hAnsi="Verdana"/>
          <w:sz w:val="20"/>
        </w:rPr>
        <w:t>[</w:t>
      </w:r>
      <w:r w:rsidR="00152F69" w:rsidRPr="001731F5">
        <w:rPr>
          <w:rFonts w:ascii="Verdana" w:hAnsi="Verdana"/>
          <w:sz w:val="20"/>
        </w:rPr>
        <w:t>l</w:t>
      </w:r>
      <w:r w:rsidR="00870D48">
        <w:rPr>
          <w:rFonts w:ascii="Verdana" w:hAnsi="Verdana"/>
          <w:sz w:val="20"/>
        </w:rPr>
        <w:t>]</w:t>
      </w:r>
      <w:r w:rsidR="00152F69" w:rsidRPr="001731F5">
        <w:rPr>
          <w:rFonts w:ascii="Verdana" w:hAnsi="Verdana"/>
          <w:sz w:val="20"/>
        </w:rPr>
        <w:t>a composición de la mesa de oradores fue consensuada entre la familia Gutiérrez, con sus representantes y el Estado”. Además, destacaron que t</w:t>
      </w:r>
      <w:r w:rsidR="00DD5BE9" w:rsidRPr="001731F5">
        <w:rPr>
          <w:rFonts w:ascii="Verdana" w:hAnsi="Verdana"/>
          <w:sz w:val="20"/>
        </w:rPr>
        <w:t>ambién asistieron</w:t>
      </w:r>
      <w:r w:rsidR="000C1B12" w:rsidRPr="001731F5">
        <w:rPr>
          <w:rFonts w:ascii="Verdana" w:hAnsi="Verdana"/>
          <w:sz w:val="20"/>
        </w:rPr>
        <w:t xml:space="preserve"> al acto</w:t>
      </w:r>
      <w:r w:rsidR="00DD5BE9" w:rsidRPr="001731F5">
        <w:rPr>
          <w:rFonts w:ascii="Verdana" w:hAnsi="Verdana"/>
          <w:sz w:val="20"/>
        </w:rPr>
        <w:t xml:space="preserve"> “muchas personas que han acompañado a la familia Gutiérrez en [los] más de 20 años de impunidad del asesinato </w:t>
      </w:r>
      <w:proofErr w:type="gramStart"/>
      <w:r w:rsidR="00DD5BE9" w:rsidRPr="001731F5">
        <w:rPr>
          <w:rFonts w:ascii="Verdana" w:hAnsi="Verdana"/>
          <w:sz w:val="20"/>
        </w:rPr>
        <w:t>de[</w:t>
      </w:r>
      <w:proofErr w:type="gramEnd"/>
      <w:r w:rsidR="00DD5BE9" w:rsidRPr="001731F5">
        <w:rPr>
          <w:rFonts w:ascii="Verdana" w:hAnsi="Verdana"/>
          <w:sz w:val="20"/>
        </w:rPr>
        <w:t>l señor Gutiérrez, y] medios de comunicación”.</w:t>
      </w:r>
    </w:p>
    <w:p w14:paraId="583D2BB5" w14:textId="77777777" w:rsidR="00152F69" w:rsidRPr="001731F5" w:rsidRDefault="00152F69" w:rsidP="00152F69">
      <w:pPr>
        <w:numPr>
          <w:ilvl w:val="0"/>
          <w:numId w:val="5"/>
        </w:numPr>
        <w:spacing w:before="120" w:after="120"/>
        <w:ind w:left="0" w:firstLine="0"/>
        <w:jc w:val="both"/>
        <w:rPr>
          <w:rFonts w:ascii="Verdana" w:hAnsi="Verdana"/>
          <w:sz w:val="20"/>
          <w:lang w:val="es-CR"/>
        </w:rPr>
      </w:pPr>
      <w:bookmarkStart w:id="19" w:name="_Ref27388715"/>
      <w:r w:rsidRPr="001731F5">
        <w:rPr>
          <w:rFonts w:ascii="Verdana" w:hAnsi="Verdana"/>
          <w:sz w:val="20"/>
        </w:rPr>
        <w:t>En los términos expuestos, la Corte considera que el acto realizado por Argentina satisface plenamente el objeto y propósito de la reparación dispuesta, por lo que considera que ha dado cumplimiento total a la medida de reparación relativa a la realización de un acto público de reconocimiento de responsabilidad internacional, ordenada en el punto resolutivo séptimo de la Sentencia.</w:t>
      </w:r>
      <w:bookmarkEnd w:id="19"/>
    </w:p>
    <w:p w14:paraId="3DC2943F" w14:textId="77777777" w:rsidR="000C77FE" w:rsidRPr="001731F5" w:rsidRDefault="000C77FE" w:rsidP="000C77FE">
      <w:pPr>
        <w:spacing w:before="120" w:after="120"/>
        <w:jc w:val="both"/>
        <w:rPr>
          <w:rFonts w:ascii="Verdana" w:hAnsi="Verdana"/>
          <w:sz w:val="20"/>
        </w:rPr>
      </w:pPr>
    </w:p>
    <w:p w14:paraId="6CBE1864" w14:textId="77777777" w:rsidR="000C77FE" w:rsidRPr="001731F5" w:rsidRDefault="000C77FE" w:rsidP="000C77FE">
      <w:pPr>
        <w:pStyle w:val="Ttulo1"/>
        <w:keepLines/>
        <w:numPr>
          <w:ilvl w:val="0"/>
          <w:numId w:val="23"/>
        </w:numPr>
        <w:spacing w:before="0" w:after="0"/>
        <w:jc w:val="both"/>
        <w:rPr>
          <w:rFonts w:ascii="Verdana" w:hAnsi="Verdana"/>
          <w:i/>
          <w:sz w:val="20"/>
          <w:szCs w:val="20"/>
          <w:lang w:val="es-MX"/>
        </w:rPr>
      </w:pPr>
      <w:bookmarkStart w:id="20" w:name="_Toc17466467"/>
      <w:r w:rsidRPr="001731F5">
        <w:rPr>
          <w:rFonts w:ascii="Verdana" w:hAnsi="Verdana"/>
          <w:i/>
          <w:sz w:val="20"/>
          <w:szCs w:val="20"/>
          <w:lang w:val="es-MX"/>
        </w:rPr>
        <w:t>Publicación y difusión de la Sentencia</w:t>
      </w:r>
      <w:bookmarkEnd w:id="20"/>
    </w:p>
    <w:p w14:paraId="53BA968F" w14:textId="77777777" w:rsidR="000C77FE" w:rsidRPr="001731F5" w:rsidRDefault="000C77FE" w:rsidP="000C77FE">
      <w:pPr>
        <w:rPr>
          <w:rFonts w:ascii="Verdana" w:hAnsi="Verdana"/>
          <w:b/>
          <w:i/>
          <w:sz w:val="20"/>
          <w:lang w:val="es-MX"/>
        </w:rPr>
      </w:pPr>
    </w:p>
    <w:p w14:paraId="382ECAE2" w14:textId="77777777" w:rsidR="000C77FE" w:rsidRPr="001731F5" w:rsidRDefault="0075180F" w:rsidP="00807D5C">
      <w:pPr>
        <w:ind w:left="360" w:firstLine="360"/>
        <w:rPr>
          <w:rFonts w:ascii="Verdana" w:hAnsi="Verdana"/>
          <w:i/>
          <w:sz w:val="20"/>
          <w:lang w:val="es-MX"/>
        </w:rPr>
      </w:pPr>
      <w:r w:rsidRPr="001731F5">
        <w:rPr>
          <w:rFonts w:ascii="Verdana" w:hAnsi="Verdana"/>
          <w:i/>
          <w:sz w:val="20"/>
          <w:lang w:val="es-MX"/>
        </w:rPr>
        <w:t>C</w:t>
      </w:r>
      <w:r w:rsidR="000C77FE" w:rsidRPr="001731F5">
        <w:rPr>
          <w:rFonts w:ascii="Verdana" w:hAnsi="Verdana"/>
          <w:i/>
          <w:sz w:val="20"/>
          <w:lang w:val="es-MX"/>
        </w:rPr>
        <w:t>.1. Medida</w:t>
      </w:r>
      <w:r w:rsidR="00213333" w:rsidRPr="001731F5">
        <w:rPr>
          <w:rFonts w:ascii="Verdana" w:hAnsi="Verdana"/>
          <w:i/>
          <w:sz w:val="20"/>
          <w:lang w:val="es-MX"/>
        </w:rPr>
        <w:t>s</w:t>
      </w:r>
      <w:r w:rsidR="000C77FE" w:rsidRPr="001731F5">
        <w:rPr>
          <w:rFonts w:ascii="Verdana" w:hAnsi="Verdana"/>
          <w:i/>
          <w:sz w:val="20"/>
          <w:lang w:val="es-MX"/>
        </w:rPr>
        <w:t xml:space="preserve"> ordenada</w:t>
      </w:r>
      <w:r w:rsidR="00213333" w:rsidRPr="001731F5">
        <w:rPr>
          <w:rFonts w:ascii="Verdana" w:hAnsi="Verdana"/>
          <w:i/>
          <w:sz w:val="20"/>
          <w:lang w:val="es-MX"/>
        </w:rPr>
        <w:t>s</w:t>
      </w:r>
      <w:r w:rsidR="000C77FE" w:rsidRPr="001731F5">
        <w:rPr>
          <w:rFonts w:ascii="Verdana" w:hAnsi="Verdana"/>
          <w:i/>
          <w:sz w:val="20"/>
          <w:lang w:val="es-MX"/>
        </w:rPr>
        <w:t xml:space="preserve"> por la Corte</w:t>
      </w:r>
    </w:p>
    <w:p w14:paraId="762A1F42" w14:textId="77777777" w:rsidR="000C77FE" w:rsidRPr="001731F5" w:rsidRDefault="000C77FE" w:rsidP="00A1102C">
      <w:pPr>
        <w:numPr>
          <w:ilvl w:val="0"/>
          <w:numId w:val="5"/>
        </w:numPr>
        <w:spacing w:before="120" w:after="120"/>
        <w:ind w:left="0" w:firstLine="0"/>
        <w:jc w:val="both"/>
        <w:rPr>
          <w:rFonts w:ascii="Verdana" w:hAnsi="Verdana"/>
          <w:sz w:val="20"/>
          <w:lang w:val="es-CR"/>
        </w:rPr>
      </w:pPr>
      <w:bookmarkStart w:id="21" w:name="_Ref26951475"/>
      <w:r w:rsidRPr="001731F5">
        <w:rPr>
          <w:rFonts w:ascii="Verdana" w:hAnsi="Verdana"/>
          <w:sz w:val="20"/>
        </w:rPr>
        <w:t>En el punto resolutivo octavo y en los párrafos 159 a 160 de la Sentencia, se dispuso que “</w:t>
      </w:r>
      <w:r w:rsidR="00A5357E" w:rsidRPr="001731F5">
        <w:rPr>
          <w:rFonts w:ascii="Verdana" w:hAnsi="Verdana"/>
          <w:sz w:val="20"/>
        </w:rPr>
        <w:t xml:space="preserve">el Estado publique[,] </w:t>
      </w:r>
      <w:r w:rsidRPr="001731F5">
        <w:rPr>
          <w:rFonts w:ascii="Verdana" w:hAnsi="Verdana"/>
          <w:sz w:val="20"/>
        </w:rPr>
        <w:t>en el plazo de seis meses, contado a partir de la notificación de la […] Sentencia</w:t>
      </w:r>
      <w:r w:rsidR="00A5357E" w:rsidRPr="001731F5">
        <w:rPr>
          <w:rFonts w:ascii="Verdana" w:hAnsi="Verdana"/>
          <w:sz w:val="20"/>
        </w:rPr>
        <w:t xml:space="preserve">, </w:t>
      </w:r>
      <w:r w:rsidRPr="001731F5">
        <w:rPr>
          <w:rFonts w:ascii="Verdana" w:hAnsi="Verdana"/>
          <w:sz w:val="20"/>
        </w:rPr>
        <w:t xml:space="preserve">el resumen oficial de la </w:t>
      </w:r>
      <w:r w:rsidR="00A5357E" w:rsidRPr="001731F5">
        <w:rPr>
          <w:rFonts w:ascii="Verdana" w:hAnsi="Verdana"/>
          <w:sz w:val="20"/>
        </w:rPr>
        <w:t>misma elaborado por la Corte</w:t>
      </w:r>
      <w:r w:rsidRPr="001731F5">
        <w:rPr>
          <w:rFonts w:ascii="Verdana" w:hAnsi="Verdana"/>
          <w:sz w:val="20"/>
        </w:rPr>
        <w:t>, por una sola vez, en el Diario Oficial y en un diario de amplia circulación nacional”, y “la Sentencia íntegra</w:t>
      </w:r>
      <w:r w:rsidR="00A5357E" w:rsidRPr="001731F5">
        <w:rPr>
          <w:rFonts w:ascii="Verdana" w:hAnsi="Verdana"/>
          <w:sz w:val="20"/>
        </w:rPr>
        <w:t>[,]</w:t>
      </w:r>
      <w:r w:rsidRPr="001731F5">
        <w:rPr>
          <w:rFonts w:ascii="Verdana" w:hAnsi="Verdana"/>
          <w:sz w:val="20"/>
        </w:rPr>
        <w:t xml:space="preserve"> por al menos 12 meses ininterrumpidos</w:t>
      </w:r>
      <w:r w:rsidR="00A5357E" w:rsidRPr="001731F5">
        <w:rPr>
          <w:rFonts w:ascii="Verdana" w:hAnsi="Verdana"/>
          <w:sz w:val="20"/>
        </w:rPr>
        <w:t>[,]</w:t>
      </w:r>
      <w:r w:rsidRPr="001731F5">
        <w:rPr>
          <w:rFonts w:ascii="Verdana" w:hAnsi="Verdana"/>
          <w:sz w:val="20"/>
        </w:rPr>
        <w:t xml:space="preserve"> en el sitio </w:t>
      </w:r>
      <w:r w:rsidRPr="001731F5">
        <w:rPr>
          <w:rFonts w:ascii="Verdana" w:hAnsi="Verdana"/>
          <w:i/>
          <w:sz w:val="20"/>
        </w:rPr>
        <w:t>web</w:t>
      </w:r>
      <w:r w:rsidRPr="001731F5">
        <w:rPr>
          <w:rFonts w:ascii="Verdana" w:hAnsi="Verdana"/>
          <w:sz w:val="20"/>
        </w:rPr>
        <w:t xml:space="preserve"> del Centro de Información Judicial […], así como en los sitios </w:t>
      </w:r>
      <w:r w:rsidRPr="001731F5">
        <w:rPr>
          <w:rFonts w:ascii="Verdana" w:hAnsi="Verdana"/>
          <w:i/>
          <w:sz w:val="20"/>
        </w:rPr>
        <w:t>web</w:t>
      </w:r>
      <w:r w:rsidRPr="001731F5">
        <w:rPr>
          <w:rFonts w:ascii="Verdana" w:hAnsi="Verdana"/>
          <w:sz w:val="20"/>
        </w:rPr>
        <w:t xml:space="preserve"> oficiales de la Policía Federal Argentina y de la Policía de la Provincia de Buenos Aires”.</w:t>
      </w:r>
      <w:bookmarkEnd w:id="21"/>
      <w:r w:rsidRPr="001731F5">
        <w:rPr>
          <w:rFonts w:ascii="Verdana" w:hAnsi="Verdana"/>
          <w:sz w:val="20"/>
        </w:rPr>
        <w:t xml:space="preserve"> </w:t>
      </w:r>
    </w:p>
    <w:p w14:paraId="15D00561" w14:textId="77777777" w:rsidR="00183188" w:rsidRDefault="00183188" w:rsidP="000C77FE">
      <w:pPr>
        <w:ind w:left="360"/>
        <w:rPr>
          <w:rFonts w:ascii="Verdana" w:hAnsi="Verdana"/>
          <w:i/>
          <w:sz w:val="20"/>
          <w:lang w:val="es-MX"/>
        </w:rPr>
      </w:pPr>
    </w:p>
    <w:p w14:paraId="48FE1B0A" w14:textId="77777777" w:rsidR="000C77FE" w:rsidRPr="001731F5" w:rsidRDefault="0075180F" w:rsidP="00807D5C">
      <w:pPr>
        <w:ind w:left="360" w:firstLine="360"/>
        <w:rPr>
          <w:rFonts w:ascii="Verdana" w:hAnsi="Verdana"/>
          <w:i/>
          <w:sz w:val="20"/>
          <w:lang w:val="es-MX"/>
        </w:rPr>
      </w:pPr>
      <w:r w:rsidRPr="001731F5">
        <w:rPr>
          <w:rFonts w:ascii="Verdana" w:hAnsi="Verdana"/>
          <w:i/>
          <w:sz w:val="20"/>
          <w:lang w:val="es-MX"/>
        </w:rPr>
        <w:t>C</w:t>
      </w:r>
      <w:r w:rsidR="000C77FE" w:rsidRPr="001731F5">
        <w:rPr>
          <w:rFonts w:ascii="Verdana" w:hAnsi="Verdana"/>
          <w:i/>
          <w:sz w:val="20"/>
          <w:lang w:val="es-MX"/>
        </w:rPr>
        <w:t>.2. Consideraciones de la Corte</w:t>
      </w:r>
    </w:p>
    <w:p w14:paraId="57603668" w14:textId="05ECE65B" w:rsidR="00C8752C" w:rsidRPr="001731F5" w:rsidRDefault="00FE378C" w:rsidP="003C4A6C">
      <w:pPr>
        <w:numPr>
          <w:ilvl w:val="0"/>
          <w:numId w:val="5"/>
        </w:numPr>
        <w:spacing w:before="120" w:after="120"/>
        <w:ind w:left="0" w:firstLine="0"/>
        <w:jc w:val="both"/>
        <w:rPr>
          <w:rFonts w:ascii="Verdana" w:hAnsi="Verdana"/>
          <w:sz w:val="20"/>
          <w:lang w:val="es-CR"/>
        </w:rPr>
      </w:pPr>
      <w:r w:rsidRPr="001731F5">
        <w:rPr>
          <w:rFonts w:ascii="Verdana" w:hAnsi="Verdana"/>
          <w:sz w:val="20"/>
        </w:rPr>
        <w:t>Con base en los comprobantes aportados por el Estado y lo observado por los representantes</w:t>
      </w:r>
      <w:r w:rsidR="00A2542E" w:rsidRPr="001731F5">
        <w:rPr>
          <w:rFonts w:ascii="Verdana" w:hAnsi="Verdana"/>
          <w:sz w:val="20"/>
        </w:rPr>
        <w:t xml:space="preserve"> y la Comisión</w:t>
      </w:r>
      <w:r w:rsidRPr="001731F5">
        <w:rPr>
          <w:rFonts w:ascii="Verdana" w:hAnsi="Verdana"/>
          <w:sz w:val="20"/>
        </w:rPr>
        <w:t>, este Tribunal constata que el Estado realiz</w:t>
      </w:r>
      <w:r w:rsidR="00A03AA8" w:rsidRPr="001731F5">
        <w:rPr>
          <w:rFonts w:ascii="Verdana" w:hAnsi="Verdana"/>
          <w:sz w:val="20"/>
        </w:rPr>
        <w:t>ó</w:t>
      </w:r>
      <w:r w:rsidRPr="001731F5">
        <w:rPr>
          <w:rFonts w:ascii="Verdana" w:hAnsi="Verdana"/>
          <w:sz w:val="20"/>
        </w:rPr>
        <w:t xml:space="preserve"> las publicaciones ordenadas en la Sentencia. </w:t>
      </w:r>
      <w:r w:rsidR="00A03AA8" w:rsidRPr="001731F5">
        <w:rPr>
          <w:rFonts w:ascii="Verdana" w:hAnsi="Verdana"/>
          <w:sz w:val="20"/>
        </w:rPr>
        <w:t>P</w:t>
      </w:r>
      <w:r w:rsidRPr="001731F5">
        <w:rPr>
          <w:rFonts w:ascii="Verdana" w:hAnsi="Verdana"/>
          <w:sz w:val="20"/>
        </w:rPr>
        <w:t xml:space="preserve">ublicó, por una sola vez, el resumen oficial de la Sentencia </w:t>
      </w:r>
      <w:r w:rsidR="003C4A6C" w:rsidRPr="001731F5">
        <w:rPr>
          <w:rFonts w:ascii="Verdana" w:hAnsi="Verdana"/>
          <w:sz w:val="20"/>
        </w:rPr>
        <w:t xml:space="preserve">elaborado por la Corte, </w:t>
      </w:r>
      <w:r w:rsidRPr="001731F5">
        <w:rPr>
          <w:rFonts w:ascii="Verdana" w:hAnsi="Verdana"/>
          <w:sz w:val="20"/>
        </w:rPr>
        <w:t xml:space="preserve">en el </w:t>
      </w:r>
      <w:r w:rsidR="004845CA" w:rsidRPr="001731F5">
        <w:rPr>
          <w:rFonts w:ascii="Verdana" w:hAnsi="Verdana"/>
          <w:sz w:val="20"/>
        </w:rPr>
        <w:t>Boletín</w:t>
      </w:r>
      <w:r w:rsidRPr="001731F5">
        <w:rPr>
          <w:rFonts w:ascii="Verdana" w:hAnsi="Verdana"/>
          <w:sz w:val="20"/>
        </w:rPr>
        <w:t xml:space="preserve"> Oficial</w:t>
      </w:r>
      <w:r w:rsidR="004845CA" w:rsidRPr="001731F5">
        <w:rPr>
          <w:rFonts w:ascii="Verdana" w:hAnsi="Verdana"/>
          <w:sz w:val="20"/>
        </w:rPr>
        <w:t xml:space="preserve"> de la Nación</w:t>
      </w:r>
      <w:r w:rsidRPr="001731F5">
        <w:rPr>
          <w:rStyle w:val="Refdenotaalpie"/>
          <w:rFonts w:ascii="Verdana" w:hAnsi="Verdana"/>
          <w:sz w:val="20"/>
        </w:rPr>
        <w:footnoteReference w:id="35"/>
      </w:r>
      <w:r w:rsidR="006D7CB0">
        <w:rPr>
          <w:rFonts w:ascii="Verdana" w:hAnsi="Verdana"/>
          <w:sz w:val="20"/>
        </w:rPr>
        <w:t xml:space="preserve"> y</w:t>
      </w:r>
      <w:r w:rsidR="004845CA" w:rsidRPr="001731F5">
        <w:rPr>
          <w:rFonts w:ascii="Verdana" w:hAnsi="Verdana"/>
          <w:sz w:val="20"/>
        </w:rPr>
        <w:t xml:space="preserve"> </w:t>
      </w:r>
      <w:r w:rsidRPr="001731F5">
        <w:rPr>
          <w:rFonts w:ascii="Verdana" w:hAnsi="Verdana"/>
          <w:sz w:val="20"/>
        </w:rPr>
        <w:t xml:space="preserve">en </w:t>
      </w:r>
      <w:r w:rsidR="00A2542E" w:rsidRPr="001731F5">
        <w:rPr>
          <w:rFonts w:ascii="Verdana" w:hAnsi="Verdana"/>
          <w:sz w:val="20"/>
        </w:rPr>
        <w:t>“</w:t>
      </w:r>
      <w:r w:rsidR="003C4A6C" w:rsidRPr="001731F5">
        <w:rPr>
          <w:rFonts w:ascii="Verdana" w:hAnsi="Verdana"/>
          <w:sz w:val="20"/>
        </w:rPr>
        <w:t xml:space="preserve">el </w:t>
      </w:r>
      <w:r w:rsidR="00A2542E" w:rsidRPr="001731F5">
        <w:rPr>
          <w:rFonts w:ascii="Verdana" w:hAnsi="Verdana"/>
          <w:sz w:val="20"/>
        </w:rPr>
        <w:t>periódico ‘</w:t>
      </w:r>
      <w:r w:rsidRPr="001731F5">
        <w:rPr>
          <w:rFonts w:ascii="Verdana" w:hAnsi="Verdana"/>
          <w:sz w:val="20"/>
        </w:rPr>
        <w:t>Tiempo Argentino</w:t>
      </w:r>
      <w:r w:rsidR="00A2542E" w:rsidRPr="001731F5">
        <w:rPr>
          <w:rFonts w:ascii="Verdana" w:hAnsi="Verdana"/>
          <w:sz w:val="20"/>
        </w:rPr>
        <w:t>’</w:t>
      </w:r>
      <w:r w:rsidRPr="001731F5">
        <w:rPr>
          <w:rFonts w:ascii="Verdana" w:hAnsi="Verdana"/>
          <w:sz w:val="20"/>
        </w:rPr>
        <w:t>”</w:t>
      </w:r>
      <w:r w:rsidR="00A2542E" w:rsidRPr="001731F5">
        <w:rPr>
          <w:rStyle w:val="Refdenotaalpie"/>
          <w:rFonts w:ascii="Verdana" w:hAnsi="Verdana"/>
          <w:sz w:val="20"/>
        </w:rPr>
        <w:footnoteReference w:id="36"/>
      </w:r>
      <w:r w:rsidR="005448F5" w:rsidRPr="001731F5">
        <w:rPr>
          <w:rFonts w:ascii="Verdana" w:hAnsi="Verdana"/>
          <w:sz w:val="20"/>
        </w:rPr>
        <w:t>.</w:t>
      </w:r>
      <w:r w:rsidRPr="001731F5">
        <w:rPr>
          <w:rFonts w:ascii="Verdana" w:hAnsi="Verdana"/>
          <w:sz w:val="20"/>
        </w:rPr>
        <w:t xml:space="preserve"> </w:t>
      </w:r>
      <w:r w:rsidR="005448F5" w:rsidRPr="001731F5">
        <w:rPr>
          <w:rFonts w:ascii="Verdana" w:hAnsi="Verdana"/>
          <w:sz w:val="20"/>
        </w:rPr>
        <w:t>Asimismo, a pedido de los familiares del señor Gutiérrez, se realizó la publicación del resumen de la Sentencia</w:t>
      </w:r>
      <w:r w:rsidRPr="001731F5">
        <w:rPr>
          <w:rFonts w:ascii="Verdana" w:hAnsi="Verdana"/>
          <w:sz w:val="20"/>
        </w:rPr>
        <w:t xml:space="preserve"> en el diario “Página 12”</w:t>
      </w:r>
      <w:r w:rsidR="005448F5" w:rsidRPr="001731F5">
        <w:rPr>
          <w:rStyle w:val="Refdenotaalpie"/>
          <w:rFonts w:ascii="Verdana" w:hAnsi="Verdana"/>
          <w:sz w:val="20"/>
        </w:rPr>
        <w:footnoteReference w:id="37"/>
      </w:r>
      <w:r w:rsidR="00791488" w:rsidRPr="001731F5">
        <w:rPr>
          <w:rFonts w:ascii="Verdana" w:hAnsi="Verdana"/>
          <w:sz w:val="20"/>
        </w:rPr>
        <w:t xml:space="preserve">. De igual </w:t>
      </w:r>
      <w:r w:rsidR="00791488" w:rsidRPr="001731F5">
        <w:rPr>
          <w:rFonts w:ascii="Verdana" w:hAnsi="Verdana"/>
          <w:sz w:val="20"/>
        </w:rPr>
        <w:lastRenderedPageBreak/>
        <w:t xml:space="preserve">forma, </w:t>
      </w:r>
      <w:r w:rsidR="003C4A6C" w:rsidRPr="001731F5">
        <w:rPr>
          <w:rFonts w:ascii="Verdana" w:hAnsi="Verdana"/>
          <w:sz w:val="20"/>
        </w:rPr>
        <w:t>publicó,</w:t>
      </w:r>
      <w:r w:rsidR="00791488" w:rsidRPr="001731F5">
        <w:rPr>
          <w:rFonts w:ascii="Verdana" w:hAnsi="Verdana"/>
          <w:sz w:val="20"/>
        </w:rPr>
        <w:t xml:space="preserve"> por más de un año, de manera íntegra, la Sentencia del caso</w:t>
      </w:r>
      <w:r w:rsidR="00500B03" w:rsidRPr="001731F5">
        <w:rPr>
          <w:rFonts w:ascii="Verdana" w:hAnsi="Verdana"/>
          <w:sz w:val="20"/>
        </w:rPr>
        <w:t xml:space="preserve"> en </w:t>
      </w:r>
      <w:r w:rsidR="007B11D1" w:rsidRPr="001731F5">
        <w:rPr>
          <w:rFonts w:ascii="Verdana" w:hAnsi="Verdana"/>
          <w:sz w:val="20"/>
        </w:rPr>
        <w:t>los</w:t>
      </w:r>
      <w:r w:rsidR="00500B03" w:rsidRPr="001731F5">
        <w:rPr>
          <w:rFonts w:ascii="Verdana" w:hAnsi="Verdana"/>
          <w:sz w:val="20"/>
        </w:rPr>
        <w:t xml:space="preserve"> sitio</w:t>
      </w:r>
      <w:r w:rsidR="007B11D1" w:rsidRPr="001731F5">
        <w:rPr>
          <w:rFonts w:ascii="Verdana" w:hAnsi="Verdana"/>
          <w:sz w:val="20"/>
        </w:rPr>
        <w:t>s</w:t>
      </w:r>
      <w:r w:rsidR="00500B03" w:rsidRPr="001731F5">
        <w:rPr>
          <w:rFonts w:ascii="Verdana" w:hAnsi="Verdana"/>
          <w:sz w:val="20"/>
        </w:rPr>
        <w:t xml:space="preserve"> </w:t>
      </w:r>
      <w:r w:rsidR="00500B03" w:rsidRPr="001731F5">
        <w:rPr>
          <w:rFonts w:ascii="Verdana" w:hAnsi="Verdana"/>
          <w:i/>
          <w:sz w:val="20"/>
        </w:rPr>
        <w:t>web</w:t>
      </w:r>
      <w:r w:rsidR="00500B03" w:rsidRPr="001731F5">
        <w:rPr>
          <w:rFonts w:ascii="Verdana" w:hAnsi="Verdana"/>
          <w:sz w:val="20"/>
        </w:rPr>
        <w:t xml:space="preserve"> de</w:t>
      </w:r>
      <w:r w:rsidR="007B11D1" w:rsidRPr="001731F5">
        <w:rPr>
          <w:rFonts w:ascii="Verdana" w:hAnsi="Verdana"/>
          <w:sz w:val="20"/>
        </w:rPr>
        <w:t>l Centro de Información Judicial</w:t>
      </w:r>
      <w:r w:rsidR="007B11D1" w:rsidRPr="001731F5">
        <w:rPr>
          <w:rStyle w:val="Refdenotaalpie"/>
          <w:rFonts w:ascii="Verdana" w:hAnsi="Verdana"/>
          <w:sz w:val="20"/>
        </w:rPr>
        <w:footnoteReference w:id="38"/>
      </w:r>
      <w:r w:rsidR="007B11D1" w:rsidRPr="001731F5">
        <w:rPr>
          <w:rFonts w:ascii="Verdana" w:hAnsi="Verdana"/>
          <w:sz w:val="20"/>
        </w:rPr>
        <w:t>, de</w:t>
      </w:r>
      <w:r w:rsidR="004845CA" w:rsidRPr="001731F5">
        <w:rPr>
          <w:rFonts w:ascii="Verdana" w:hAnsi="Verdana"/>
          <w:sz w:val="20"/>
        </w:rPr>
        <w:t xml:space="preserve"> </w:t>
      </w:r>
      <w:r w:rsidR="00500B03" w:rsidRPr="001731F5">
        <w:rPr>
          <w:rFonts w:ascii="Verdana" w:hAnsi="Verdana"/>
          <w:sz w:val="20"/>
        </w:rPr>
        <w:t>l</w:t>
      </w:r>
      <w:r w:rsidR="004845CA" w:rsidRPr="001731F5">
        <w:rPr>
          <w:rFonts w:ascii="Verdana" w:hAnsi="Verdana"/>
          <w:sz w:val="20"/>
        </w:rPr>
        <w:t>a Corte Suprema de Justicia de la Nación</w:t>
      </w:r>
      <w:r w:rsidR="003C155B" w:rsidRPr="001731F5">
        <w:rPr>
          <w:rStyle w:val="Refdenotaalpie"/>
          <w:rFonts w:ascii="Verdana" w:hAnsi="Verdana"/>
          <w:sz w:val="20"/>
        </w:rPr>
        <w:footnoteReference w:id="39"/>
      </w:r>
      <w:r w:rsidR="005448F5" w:rsidRPr="001731F5">
        <w:rPr>
          <w:rFonts w:ascii="Verdana" w:hAnsi="Verdana"/>
          <w:sz w:val="20"/>
        </w:rPr>
        <w:t>,</w:t>
      </w:r>
      <w:r w:rsidR="004845CA" w:rsidRPr="001731F5">
        <w:rPr>
          <w:rFonts w:ascii="Verdana" w:hAnsi="Verdana"/>
          <w:sz w:val="20"/>
        </w:rPr>
        <w:t xml:space="preserve"> </w:t>
      </w:r>
      <w:r w:rsidR="00500B03" w:rsidRPr="001731F5">
        <w:rPr>
          <w:rFonts w:ascii="Verdana" w:hAnsi="Verdana"/>
          <w:sz w:val="20"/>
        </w:rPr>
        <w:t>d</w:t>
      </w:r>
      <w:r w:rsidR="005448F5" w:rsidRPr="001731F5">
        <w:rPr>
          <w:rFonts w:ascii="Verdana" w:hAnsi="Verdana"/>
          <w:sz w:val="20"/>
        </w:rPr>
        <w:t>e la Policía Federal Argentina</w:t>
      </w:r>
      <w:r w:rsidR="00234152" w:rsidRPr="001731F5">
        <w:rPr>
          <w:rFonts w:ascii="Verdana" w:hAnsi="Verdana"/>
          <w:sz w:val="20"/>
        </w:rPr>
        <w:t xml:space="preserve"> </w:t>
      </w:r>
      <w:r w:rsidR="005448F5" w:rsidRPr="001731F5">
        <w:rPr>
          <w:rFonts w:ascii="Verdana" w:hAnsi="Verdana"/>
          <w:sz w:val="20"/>
        </w:rPr>
        <w:t xml:space="preserve">y del Ministerio de Seguridad de </w:t>
      </w:r>
      <w:r w:rsidR="00574B51" w:rsidRPr="001731F5">
        <w:rPr>
          <w:rFonts w:ascii="Verdana" w:hAnsi="Verdana"/>
          <w:sz w:val="20"/>
        </w:rPr>
        <w:t>l</w:t>
      </w:r>
      <w:r w:rsidR="005448F5" w:rsidRPr="001731F5">
        <w:rPr>
          <w:rFonts w:ascii="Verdana" w:hAnsi="Verdana"/>
          <w:sz w:val="20"/>
        </w:rPr>
        <w:t>a Provincia de Buenos Aires</w:t>
      </w:r>
      <w:r w:rsidR="00B7236F" w:rsidRPr="001731F5">
        <w:rPr>
          <w:rStyle w:val="Refdenotaalpie"/>
          <w:rFonts w:ascii="Verdana" w:hAnsi="Verdana"/>
          <w:sz w:val="20"/>
        </w:rPr>
        <w:footnoteReference w:id="40"/>
      </w:r>
      <w:r w:rsidR="00500B03" w:rsidRPr="001731F5">
        <w:rPr>
          <w:rFonts w:ascii="Verdana" w:hAnsi="Verdana"/>
          <w:sz w:val="20"/>
        </w:rPr>
        <w:t>.</w:t>
      </w:r>
    </w:p>
    <w:p w14:paraId="21142394" w14:textId="6C4DE67B" w:rsidR="00077253" w:rsidRPr="001731F5" w:rsidRDefault="00234152" w:rsidP="003C4A6C">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En cuanto a la objeción planteada por los representantes respecto a la accesibilidad de la publicación de la Sentencia en la página </w:t>
      </w:r>
      <w:r w:rsidRPr="001731F5">
        <w:rPr>
          <w:rFonts w:ascii="Verdana" w:hAnsi="Verdana"/>
          <w:i/>
          <w:sz w:val="20"/>
          <w:lang w:val="es-CR"/>
        </w:rPr>
        <w:t>web</w:t>
      </w:r>
      <w:r w:rsidRPr="001731F5">
        <w:rPr>
          <w:rFonts w:ascii="Verdana" w:hAnsi="Verdana"/>
          <w:sz w:val="20"/>
          <w:lang w:val="es-CR"/>
        </w:rPr>
        <w:t xml:space="preserve"> del Centro de Información Judicial</w:t>
      </w:r>
      <w:r w:rsidRPr="001731F5">
        <w:rPr>
          <w:rStyle w:val="Refdenotaalpie"/>
          <w:rFonts w:ascii="Verdana" w:hAnsi="Verdana"/>
          <w:sz w:val="20"/>
          <w:lang w:val="es-CR"/>
        </w:rPr>
        <w:footnoteReference w:id="41"/>
      </w:r>
      <w:r w:rsidRPr="001731F5">
        <w:rPr>
          <w:rFonts w:ascii="Verdana" w:hAnsi="Verdana"/>
          <w:sz w:val="20"/>
          <w:lang w:val="es-CR"/>
        </w:rPr>
        <w:t>,</w:t>
      </w:r>
      <w:r w:rsidR="00077253" w:rsidRPr="001731F5">
        <w:rPr>
          <w:rFonts w:ascii="Verdana" w:hAnsi="Verdana"/>
          <w:sz w:val="20"/>
          <w:lang w:val="es-CR"/>
        </w:rPr>
        <w:t xml:space="preserve"> la Corte observa, con base en el comprobante aportado por el Estado, que la referencia a la publicación de la Sentencia se encontraba accesible, ya que fue publicada en la página de inicio del sitio web del Centro de Información Judicial, y se utilizó un tamaño de letra legible. </w:t>
      </w:r>
    </w:p>
    <w:p w14:paraId="1CA5988B" w14:textId="43F9592F" w:rsidR="00FC04D2" w:rsidRPr="001731F5" w:rsidRDefault="00AD2FE9" w:rsidP="00C275BD">
      <w:pPr>
        <w:numPr>
          <w:ilvl w:val="0"/>
          <w:numId w:val="5"/>
        </w:numPr>
        <w:spacing w:before="120" w:after="120"/>
        <w:ind w:left="0" w:firstLine="0"/>
        <w:jc w:val="both"/>
        <w:rPr>
          <w:rFonts w:ascii="Verdana" w:hAnsi="Verdana"/>
          <w:sz w:val="20"/>
          <w:lang w:val="es-CR"/>
        </w:rPr>
      </w:pPr>
      <w:bookmarkStart w:id="22" w:name="_Ref27388721"/>
      <w:r w:rsidRPr="001731F5">
        <w:rPr>
          <w:rFonts w:ascii="Verdana" w:hAnsi="Verdana"/>
          <w:sz w:val="20"/>
        </w:rPr>
        <w:t xml:space="preserve">En razón de lo anterior, la Corte considera que el Estado ha dado cumplimiento total a las medidas </w:t>
      </w:r>
      <w:r w:rsidR="007E09E4" w:rsidRPr="001731F5">
        <w:rPr>
          <w:rFonts w:ascii="Verdana" w:hAnsi="Verdana"/>
          <w:sz w:val="20"/>
        </w:rPr>
        <w:t xml:space="preserve">de reparación </w:t>
      </w:r>
      <w:r w:rsidRPr="001731F5">
        <w:rPr>
          <w:rFonts w:ascii="Verdana" w:hAnsi="Verdana"/>
          <w:sz w:val="20"/>
        </w:rPr>
        <w:t xml:space="preserve">relativas a la </w:t>
      </w:r>
      <w:r w:rsidR="004B4DC3" w:rsidRPr="001731F5">
        <w:rPr>
          <w:rFonts w:ascii="Verdana" w:hAnsi="Verdana"/>
          <w:sz w:val="20"/>
        </w:rPr>
        <w:t>publicación</w:t>
      </w:r>
      <w:r w:rsidRPr="001731F5">
        <w:rPr>
          <w:rFonts w:ascii="Verdana" w:hAnsi="Verdana"/>
          <w:sz w:val="20"/>
        </w:rPr>
        <w:t xml:space="preserve"> y </w:t>
      </w:r>
      <w:r w:rsidR="004B4DC3" w:rsidRPr="001731F5">
        <w:rPr>
          <w:rFonts w:ascii="Verdana" w:hAnsi="Verdana"/>
          <w:sz w:val="20"/>
        </w:rPr>
        <w:t>difusión</w:t>
      </w:r>
      <w:r w:rsidRPr="001731F5">
        <w:rPr>
          <w:rFonts w:ascii="Verdana" w:hAnsi="Verdana"/>
          <w:sz w:val="20"/>
        </w:rPr>
        <w:t xml:space="preserve"> de la Sentencia y </w:t>
      </w:r>
      <w:r w:rsidR="00077253" w:rsidRPr="001731F5">
        <w:rPr>
          <w:rFonts w:ascii="Verdana" w:hAnsi="Verdana"/>
          <w:sz w:val="20"/>
        </w:rPr>
        <w:t xml:space="preserve">de </w:t>
      </w:r>
      <w:r w:rsidRPr="001731F5">
        <w:rPr>
          <w:rFonts w:ascii="Verdana" w:hAnsi="Verdana"/>
          <w:sz w:val="20"/>
        </w:rPr>
        <w:t>su resumen oficial</w:t>
      </w:r>
      <w:r w:rsidR="00077253" w:rsidRPr="001731F5">
        <w:rPr>
          <w:rFonts w:ascii="Verdana" w:hAnsi="Verdana"/>
          <w:sz w:val="20"/>
        </w:rPr>
        <w:t>,</w:t>
      </w:r>
      <w:r w:rsidRPr="001731F5">
        <w:rPr>
          <w:rFonts w:ascii="Verdana" w:hAnsi="Verdana"/>
          <w:sz w:val="20"/>
        </w:rPr>
        <w:t xml:space="preserve"> ordenadas en el punto resolutivo octavo de la misma.</w:t>
      </w:r>
      <w:bookmarkEnd w:id="22"/>
      <w:r w:rsidRPr="001731F5">
        <w:rPr>
          <w:rFonts w:ascii="Verdana" w:hAnsi="Verdana"/>
          <w:sz w:val="20"/>
        </w:rPr>
        <w:t xml:space="preserve"> </w:t>
      </w:r>
    </w:p>
    <w:p w14:paraId="17D9D3AE" w14:textId="77777777" w:rsidR="002E2661" w:rsidRPr="001731F5" w:rsidRDefault="002E2661" w:rsidP="002E2661">
      <w:pPr>
        <w:spacing w:before="120" w:after="120"/>
        <w:jc w:val="both"/>
        <w:rPr>
          <w:rFonts w:ascii="Verdana" w:hAnsi="Verdana"/>
          <w:sz w:val="20"/>
          <w:lang w:val="es-CR"/>
        </w:rPr>
      </w:pPr>
    </w:p>
    <w:p w14:paraId="1A9A831E" w14:textId="77777777" w:rsidR="00185A66" w:rsidRPr="001731F5" w:rsidRDefault="00185A66" w:rsidP="007672DD">
      <w:pPr>
        <w:pStyle w:val="Ttulo1"/>
        <w:keepLines/>
        <w:numPr>
          <w:ilvl w:val="0"/>
          <w:numId w:val="23"/>
        </w:numPr>
        <w:spacing w:before="0" w:after="0"/>
        <w:jc w:val="both"/>
        <w:rPr>
          <w:rFonts w:ascii="Verdana" w:hAnsi="Verdana"/>
          <w:i/>
          <w:sz w:val="20"/>
          <w:szCs w:val="20"/>
          <w:lang w:val="es-MX"/>
        </w:rPr>
      </w:pPr>
      <w:bookmarkStart w:id="23" w:name="_Toc17466468"/>
      <w:r w:rsidRPr="001731F5">
        <w:rPr>
          <w:rFonts w:ascii="Verdana" w:hAnsi="Verdana"/>
          <w:i/>
          <w:sz w:val="20"/>
          <w:szCs w:val="20"/>
          <w:lang w:val="es-MX"/>
        </w:rPr>
        <w:t>Conservación y señalización del galpón y la comisaría donde ocurrieron los hechos que originaron este caso</w:t>
      </w:r>
      <w:bookmarkEnd w:id="23"/>
    </w:p>
    <w:p w14:paraId="34A4E5A0" w14:textId="77777777" w:rsidR="00185A66" w:rsidRPr="001731F5" w:rsidRDefault="00185A66" w:rsidP="00185A66">
      <w:pPr>
        <w:rPr>
          <w:lang w:val="es-MX"/>
        </w:rPr>
      </w:pPr>
    </w:p>
    <w:p w14:paraId="3509E8CB" w14:textId="77777777" w:rsidR="00185A66" w:rsidRPr="001731F5" w:rsidRDefault="00185A66" w:rsidP="00807D5C">
      <w:pPr>
        <w:ind w:left="360" w:firstLine="360"/>
        <w:rPr>
          <w:rFonts w:ascii="Verdana" w:hAnsi="Verdana"/>
          <w:i/>
          <w:sz w:val="20"/>
          <w:lang w:val="es-MX"/>
        </w:rPr>
      </w:pPr>
      <w:r w:rsidRPr="001731F5">
        <w:rPr>
          <w:rFonts w:ascii="Verdana" w:hAnsi="Verdana"/>
          <w:i/>
          <w:sz w:val="20"/>
          <w:lang w:val="es-MX"/>
        </w:rPr>
        <w:t>D.1. Medida ordenada por la Corte</w:t>
      </w:r>
    </w:p>
    <w:p w14:paraId="1D93F992" w14:textId="038FEA15" w:rsidR="00FB0B38" w:rsidRPr="00FB0B38" w:rsidRDefault="00663F2A" w:rsidP="00FB0B38">
      <w:pPr>
        <w:numPr>
          <w:ilvl w:val="0"/>
          <w:numId w:val="5"/>
        </w:numPr>
        <w:spacing w:before="120" w:after="120"/>
        <w:ind w:left="0" w:firstLine="0"/>
        <w:jc w:val="both"/>
        <w:rPr>
          <w:rFonts w:ascii="Verdana" w:hAnsi="Verdana"/>
          <w:sz w:val="20"/>
          <w:lang w:val="es-CR"/>
        </w:rPr>
      </w:pPr>
      <w:bookmarkStart w:id="24" w:name="_Ref26951476"/>
      <w:r w:rsidRPr="001731F5">
        <w:rPr>
          <w:rFonts w:ascii="Verdana" w:hAnsi="Verdana"/>
          <w:sz w:val="20"/>
        </w:rPr>
        <w:t xml:space="preserve">En el punto resolutivo </w:t>
      </w:r>
      <w:r w:rsidR="00652B26" w:rsidRPr="001731F5">
        <w:rPr>
          <w:rFonts w:ascii="Verdana" w:hAnsi="Verdana"/>
          <w:sz w:val="20"/>
        </w:rPr>
        <w:t xml:space="preserve">noveno y los párrafos 161 y 162 de la Sentencia, se dispuso que “[e]l Estado debe adoptar medidas de conservación y señalización del galpón y la comisaría donde ocurrieron los hechos que originaron el presente caso, en el plazo de un año contado a partir de la notificación de </w:t>
      </w:r>
      <w:r w:rsidR="0005765C">
        <w:rPr>
          <w:rFonts w:ascii="Verdana" w:hAnsi="Verdana"/>
          <w:sz w:val="20"/>
        </w:rPr>
        <w:t>[</w:t>
      </w:r>
      <w:r w:rsidR="00652B26" w:rsidRPr="001731F5">
        <w:rPr>
          <w:rFonts w:ascii="Verdana" w:hAnsi="Verdana"/>
          <w:sz w:val="20"/>
        </w:rPr>
        <w:t>la</w:t>
      </w:r>
      <w:r w:rsidR="0005765C">
        <w:rPr>
          <w:rFonts w:ascii="Verdana" w:hAnsi="Verdana"/>
          <w:sz w:val="20"/>
        </w:rPr>
        <w:t>]</w:t>
      </w:r>
      <w:r w:rsidR="00652B26" w:rsidRPr="001731F5">
        <w:rPr>
          <w:rFonts w:ascii="Verdana" w:hAnsi="Verdana"/>
          <w:sz w:val="20"/>
        </w:rPr>
        <w:t xml:space="preserve"> Sentencia”. </w:t>
      </w:r>
      <w:r w:rsidR="00FB0B38">
        <w:rPr>
          <w:rFonts w:ascii="Verdana" w:hAnsi="Verdana"/>
          <w:sz w:val="20"/>
        </w:rPr>
        <w:t>La Corte valoró positivamente esa medida, incluida en el Acuerdo entre las partes, por considerarla “encaminad[a] a reivindicar la memoria de Jorge Omar Gutiérrez”.</w:t>
      </w:r>
      <w:bookmarkEnd w:id="24"/>
      <w:r w:rsidR="00FB0B38">
        <w:rPr>
          <w:rFonts w:ascii="Verdana" w:hAnsi="Verdana"/>
          <w:sz w:val="20"/>
        </w:rPr>
        <w:t xml:space="preserve"> </w:t>
      </w:r>
    </w:p>
    <w:p w14:paraId="5BE44518" w14:textId="77777777" w:rsidR="00CE5773" w:rsidRDefault="00CE5773" w:rsidP="00807D5C">
      <w:pPr>
        <w:ind w:left="360" w:firstLine="360"/>
        <w:rPr>
          <w:rFonts w:ascii="Verdana" w:hAnsi="Verdana"/>
          <w:i/>
          <w:sz w:val="20"/>
          <w:lang w:val="es-MX"/>
        </w:rPr>
      </w:pPr>
    </w:p>
    <w:p w14:paraId="703A46EA" w14:textId="77777777" w:rsidR="00185A66" w:rsidRPr="001731F5" w:rsidRDefault="00185A66" w:rsidP="00807D5C">
      <w:pPr>
        <w:ind w:left="360" w:firstLine="360"/>
        <w:rPr>
          <w:rFonts w:ascii="Verdana" w:hAnsi="Verdana"/>
          <w:i/>
          <w:sz w:val="20"/>
          <w:lang w:val="es-MX"/>
        </w:rPr>
      </w:pPr>
      <w:r w:rsidRPr="001731F5">
        <w:rPr>
          <w:rFonts w:ascii="Verdana" w:hAnsi="Verdana"/>
          <w:i/>
          <w:sz w:val="20"/>
          <w:lang w:val="es-MX"/>
        </w:rPr>
        <w:t>D.2. Consideraciones de la Corte</w:t>
      </w:r>
    </w:p>
    <w:p w14:paraId="06BF8030" w14:textId="5099E896" w:rsidR="003B0291" w:rsidRPr="001731F5" w:rsidRDefault="0089603B" w:rsidP="00185A66">
      <w:pPr>
        <w:numPr>
          <w:ilvl w:val="0"/>
          <w:numId w:val="5"/>
        </w:numPr>
        <w:spacing w:before="120" w:after="120"/>
        <w:ind w:left="0" w:firstLine="0"/>
        <w:jc w:val="both"/>
        <w:rPr>
          <w:rFonts w:ascii="Verdana" w:hAnsi="Verdana"/>
          <w:sz w:val="20"/>
          <w:lang w:val="es-CR"/>
        </w:rPr>
      </w:pPr>
      <w:bookmarkStart w:id="25" w:name="_Ref27151890"/>
      <w:r>
        <w:rPr>
          <w:rFonts w:ascii="Verdana" w:hAnsi="Verdana"/>
          <w:sz w:val="20"/>
        </w:rPr>
        <w:t xml:space="preserve">La Corte advierte que la reparación se refería de forma general a “medidas de </w:t>
      </w:r>
      <w:r w:rsidRPr="001731F5">
        <w:rPr>
          <w:rFonts w:ascii="Verdana" w:hAnsi="Verdana"/>
          <w:sz w:val="20"/>
        </w:rPr>
        <w:t>conservación y señalización</w:t>
      </w:r>
      <w:r>
        <w:rPr>
          <w:rFonts w:ascii="Verdana" w:hAnsi="Verdana"/>
          <w:sz w:val="20"/>
        </w:rPr>
        <w:t xml:space="preserve">”, por lo cual, respecto a su ejecución, necesariamente las partes debían comunicar a este Tribunal las </w:t>
      </w:r>
      <w:r w:rsidR="00CE5773">
        <w:rPr>
          <w:rFonts w:ascii="Verdana" w:hAnsi="Verdana"/>
          <w:sz w:val="20"/>
        </w:rPr>
        <w:t xml:space="preserve">acciones </w:t>
      </w:r>
      <w:r>
        <w:rPr>
          <w:rFonts w:ascii="Verdana" w:hAnsi="Verdana"/>
          <w:sz w:val="20"/>
        </w:rPr>
        <w:t xml:space="preserve">concretas para tal fin. En primer término, </w:t>
      </w:r>
      <w:r w:rsidR="00E507FD" w:rsidRPr="001731F5">
        <w:rPr>
          <w:rFonts w:ascii="Verdana" w:hAnsi="Verdana"/>
          <w:sz w:val="20"/>
        </w:rPr>
        <w:t xml:space="preserve">informaron </w:t>
      </w:r>
      <w:r w:rsidR="003B0291" w:rsidRPr="001731F5">
        <w:rPr>
          <w:rFonts w:ascii="Verdana" w:hAnsi="Verdana"/>
          <w:sz w:val="20"/>
        </w:rPr>
        <w:t>que el 29 de agosto de 2014, con ocasión del vigésimo aniversario de la ejecución</w:t>
      </w:r>
      <w:r w:rsidR="00CE5773">
        <w:rPr>
          <w:rFonts w:ascii="Verdana" w:hAnsi="Verdana"/>
          <w:sz w:val="20"/>
        </w:rPr>
        <w:t xml:space="preserve"> extrajudicial</w:t>
      </w:r>
      <w:r w:rsidR="003B0291" w:rsidRPr="001731F5">
        <w:rPr>
          <w:rFonts w:ascii="Verdana" w:hAnsi="Verdana"/>
          <w:sz w:val="20"/>
        </w:rPr>
        <w:t xml:space="preserve"> del señor Gutiérrez, se colocó una placa recordatoria en </w:t>
      </w:r>
      <w:r w:rsidR="00E9377E" w:rsidRPr="001731F5">
        <w:rPr>
          <w:rFonts w:ascii="Verdana" w:hAnsi="Verdana"/>
          <w:sz w:val="20"/>
        </w:rPr>
        <w:t xml:space="preserve">el “Pasaje Pérgola y </w:t>
      </w:r>
      <w:proofErr w:type="spellStart"/>
      <w:r w:rsidR="00E9377E" w:rsidRPr="001731F5">
        <w:rPr>
          <w:rFonts w:ascii="Verdana" w:hAnsi="Verdana"/>
          <w:sz w:val="20"/>
        </w:rPr>
        <w:t>Giribone</w:t>
      </w:r>
      <w:proofErr w:type="spellEnd"/>
      <w:r w:rsidR="00E9377E" w:rsidRPr="001731F5">
        <w:rPr>
          <w:rFonts w:ascii="Verdana" w:hAnsi="Verdana"/>
          <w:sz w:val="20"/>
        </w:rPr>
        <w:t xml:space="preserve"> en la</w:t>
      </w:r>
      <w:r w:rsidR="003B0291" w:rsidRPr="001731F5">
        <w:rPr>
          <w:rFonts w:ascii="Verdana" w:hAnsi="Verdana"/>
          <w:sz w:val="20"/>
        </w:rPr>
        <w:t xml:space="preserve"> Comisaría N° 2 de Avellaneda</w:t>
      </w:r>
      <w:r w:rsidR="00E9377E" w:rsidRPr="001731F5">
        <w:rPr>
          <w:rFonts w:ascii="Verdana" w:hAnsi="Verdana"/>
          <w:sz w:val="20"/>
        </w:rPr>
        <w:t>”</w:t>
      </w:r>
      <w:r w:rsidR="003B0291" w:rsidRPr="001731F5">
        <w:rPr>
          <w:rFonts w:ascii="Verdana" w:hAnsi="Verdana"/>
          <w:sz w:val="20"/>
        </w:rPr>
        <w:t xml:space="preserve"> en la Provincia de Buenos Aires, donde </w:t>
      </w:r>
      <w:r w:rsidR="00BF1D8C" w:rsidRPr="001731F5">
        <w:rPr>
          <w:rFonts w:ascii="Verdana" w:hAnsi="Verdana"/>
          <w:sz w:val="20"/>
        </w:rPr>
        <w:t xml:space="preserve">al momento de los hechos </w:t>
      </w:r>
      <w:r w:rsidR="003B0291" w:rsidRPr="001731F5">
        <w:rPr>
          <w:rFonts w:ascii="Verdana" w:hAnsi="Verdana"/>
          <w:sz w:val="20"/>
        </w:rPr>
        <w:t xml:space="preserve">la víctima prestaba servicios como Subcomisario. </w:t>
      </w:r>
      <w:r w:rsidR="00BF1D8C" w:rsidRPr="001731F5">
        <w:rPr>
          <w:rFonts w:ascii="Verdana" w:hAnsi="Verdana"/>
          <w:sz w:val="20"/>
        </w:rPr>
        <w:t xml:space="preserve">El texto de la placa fue consensuado </w:t>
      </w:r>
      <w:r w:rsidR="00247A2D">
        <w:rPr>
          <w:rFonts w:ascii="Verdana" w:hAnsi="Verdana"/>
          <w:sz w:val="20"/>
        </w:rPr>
        <w:t xml:space="preserve">entre </w:t>
      </w:r>
      <w:r w:rsidR="00637EC9" w:rsidRPr="001731F5">
        <w:rPr>
          <w:rFonts w:ascii="Verdana" w:hAnsi="Verdana"/>
          <w:sz w:val="20"/>
        </w:rPr>
        <w:t xml:space="preserve">el Estado </w:t>
      </w:r>
      <w:r w:rsidR="00247A2D">
        <w:rPr>
          <w:rFonts w:ascii="Verdana" w:hAnsi="Verdana"/>
          <w:sz w:val="20"/>
        </w:rPr>
        <w:t>y</w:t>
      </w:r>
      <w:r w:rsidR="00BF1D8C" w:rsidRPr="001731F5">
        <w:rPr>
          <w:rFonts w:ascii="Verdana" w:hAnsi="Verdana"/>
          <w:sz w:val="20"/>
        </w:rPr>
        <w:t xml:space="preserve"> los familiares de la víctima</w:t>
      </w:r>
      <w:r w:rsidR="00637EC9" w:rsidRPr="001731F5">
        <w:rPr>
          <w:rFonts w:ascii="Verdana" w:hAnsi="Verdana"/>
          <w:sz w:val="20"/>
        </w:rPr>
        <w:t>,</w:t>
      </w:r>
      <w:r w:rsidR="00BF1D8C" w:rsidRPr="001731F5">
        <w:rPr>
          <w:rFonts w:ascii="Verdana" w:hAnsi="Verdana"/>
          <w:b/>
          <w:sz w:val="20"/>
        </w:rPr>
        <w:t xml:space="preserve"> </w:t>
      </w:r>
      <w:r w:rsidR="00637EC9" w:rsidRPr="001731F5">
        <w:rPr>
          <w:rFonts w:ascii="Verdana" w:hAnsi="Verdana"/>
          <w:sz w:val="20"/>
        </w:rPr>
        <w:t xml:space="preserve">y la colocación de la misma fue realizada por </w:t>
      </w:r>
      <w:r w:rsidR="00C607C9">
        <w:rPr>
          <w:rFonts w:ascii="Verdana" w:hAnsi="Verdana"/>
          <w:sz w:val="20"/>
        </w:rPr>
        <w:t>sus</w:t>
      </w:r>
      <w:r w:rsidR="00C607C9" w:rsidRPr="001731F5">
        <w:rPr>
          <w:rFonts w:ascii="Verdana" w:hAnsi="Verdana"/>
          <w:sz w:val="20"/>
        </w:rPr>
        <w:t xml:space="preserve"> </w:t>
      </w:r>
      <w:r w:rsidR="00637EC9" w:rsidRPr="001731F5">
        <w:rPr>
          <w:rFonts w:ascii="Verdana" w:hAnsi="Verdana"/>
          <w:sz w:val="20"/>
        </w:rPr>
        <w:t>familiares.</w:t>
      </w:r>
      <w:r w:rsidR="00637EC9" w:rsidRPr="001731F5">
        <w:rPr>
          <w:rFonts w:ascii="Verdana" w:hAnsi="Verdana"/>
          <w:b/>
          <w:sz w:val="20"/>
        </w:rPr>
        <w:t xml:space="preserve"> </w:t>
      </w:r>
      <w:r w:rsidR="0009137F" w:rsidRPr="001731F5">
        <w:rPr>
          <w:rFonts w:ascii="Verdana" w:hAnsi="Verdana"/>
          <w:sz w:val="20"/>
        </w:rPr>
        <w:t>Además,</w:t>
      </w:r>
      <w:r w:rsidR="00BF1D8C" w:rsidRPr="001731F5">
        <w:rPr>
          <w:rFonts w:ascii="Verdana" w:hAnsi="Verdana"/>
          <w:sz w:val="20"/>
        </w:rPr>
        <w:t xml:space="preserve"> el Consejo de Derechos </w:t>
      </w:r>
      <w:r w:rsidR="00BF1D8C" w:rsidRPr="001731F5">
        <w:rPr>
          <w:rFonts w:ascii="Verdana" w:hAnsi="Verdana"/>
          <w:sz w:val="20"/>
        </w:rPr>
        <w:lastRenderedPageBreak/>
        <w:t xml:space="preserve">Humanos de la Municipalidad de Avellaneda se comprometió a </w:t>
      </w:r>
      <w:r w:rsidR="0009137F" w:rsidRPr="001731F5">
        <w:rPr>
          <w:rFonts w:ascii="Verdana" w:hAnsi="Verdana"/>
          <w:sz w:val="20"/>
        </w:rPr>
        <w:t xml:space="preserve">dar mantenimiento a </w:t>
      </w:r>
      <w:r w:rsidR="00637EC9" w:rsidRPr="001731F5">
        <w:rPr>
          <w:rFonts w:ascii="Verdana" w:hAnsi="Verdana"/>
          <w:sz w:val="20"/>
        </w:rPr>
        <w:t>la plaza donde está la placa</w:t>
      </w:r>
      <w:r w:rsidR="00BF1D8C" w:rsidRPr="001731F5">
        <w:rPr>
          <w:rStyle w:val="Refdenotaalpie"/>
          <w:rFonts w:ascii="Verdana" w:hAnsi="Verdana"/>
          <w:sz w:val="20"/>
        </w:rPr>
        <w:footnoteReference w:id="42"/>
      </w:r>
      <w:r w:rsidR="00BF1D8C" w:rsidRPr="001731F5">
        <w:rPr>
          <w:rFonts w:ascii="Verdana" w:hAnsi="Verdana"/>
          <w:sz w:val="20"/>
        </w:rPr>
        <w:t>.</w:t>
      </w:r>
      <w:bookmarkEnd w:id="25"/>
      <w:r w:rsidR="00BF1D8C" w:rsidRPr="001731F5">
        <w:rPr>
          <w:rFonts w:ascii="Verdana" w:hAnsi="Verdana"/>
          <w:sz w:val="20"/>
        </w:rPr>
        <w:t xml:space="preserve"> </w:t>
      </w:r>
    </w:p>
    <w:p w14:paraId="7BA56A9B" w14:textId="7198599E" w:rsidR="00110853" w:rsidRPr="001731F5" w:rsidRDefault="00E507FD" w:rsidP="00110853">
      <w:pPr>
        <w:numPr>
          <w:ilvl w:val="0"/>
          <w:numId w:val="5"/>
        </w:numPr>
        <w:spacing w:before="120" w:after="120"/>
        <w:ind w:left="0" w:firstLine="0"/>
        <w:jc w:val="both"/>
        <w:rPr>
          <w:rFonts w:ascii="Verdana" w:hAnsi="Verdana"/>
          <w:sz w:val="20"/>
          <w:lang w:val="es-CR"/>
        </w:rPr>
      </w:pPr>
      <w:r w:rsidRPr="001731F5">
        <w:rPr>
          <w:rFonts w:ascii="Verdana" w:hAnsi="Verdana"/>
          <w:sz w:val="20"/>
        </w:rPr>
        <w:t xml:space="preserve">Si bien la Corte valora positivamente que, antes del vencimiento del plazo de un año otorgado en la Sentencia, se haya realizado la colocación de la referida placa, </w:t>
      </w:r>
      <w:r w:rsidR="00247A2D">
        <w:rPr>
          <w:rFonts w:ascii="Verdana" w:hAnsi="Verdana"/>
          <w:sz w:val="20"/>
        </w:rPr>
        <w:t xml:space="preserve">también </w:t>
      </w:r>
      <w:r w:rsidR="0092195F" w:rsidRPr="001731F5">
        <w:rPr>
          <w:rFonts w:ascii="Verdana" w:hAnsi="Verdana"/>
          <w:sz w:val="20"/>
        </w:rPr>
        <w:t xml:space="preserve">lamenta que se hayan presentado desacuerdos con respecto a quién realizaría </w:t>
      </w:r>
      <w:r w:rsidR="00C607C9">
        <w:rPr>
          <w:rFonts w:ascii="Verdana" w:hAnsi="Verdana"/>
          <w:sz w:val="20"/>
        </w:rPr>
        <w:t>su</w:t>
      </w:r>
      <w:r w:rsidR="00C607C9" w:rsidRPr="001731F5">
        <w:rPr>
          <w:rFonts w:ascii="Verdana" w:hAnsi="Verdana"/>
          <w:sz w:val="20"/>
        </w:rPr>
        <w:t xml:space="preserve"> </w:t>
      </w:r>
      <w:r w:rsidR="0092195F" w:rsidRPr="001731F5">
        <w:rPr>
          <w:rFonts w:ascii="Verdana" w:hAnsi="Verdana"/>
          <w:sz w:val="20"/>
        </w:rPr>
        <w:t>colocación</w:t>
      </w:r>
      <w:r w:rsidR="0092195F" w:rsidRPr="001731F5">
        <w:rPr>
          <w:rStyle w:val="Refdenotaalpie"/>
          <w:rFonts w:ascii="Verdana" w:hAnsi="Verdana"/>
          <w:sz w:val="20"/>
        </w:rPr>
        <w:footnoteReference w:id="43"/>
      </w:r>
      <w:r w:rsidR="0092195F" w:rsidRPr="001731F5">
        <w:rPr>
          <w:rFonts w:ascii="Verdana" w:hAnsi="Verdana"/>
          <w:sz w:val="20"/>
        </w:rPr>
        <w:t xml:space="preserve">. </w:t>
      </w:r>
      <w:r w:rsidR="00E9377E" w:rsidRPr="001731F5">
        <w:rPr>
          <w:rFonts w:ascii="Verdana" w:hAnsi="Verdana"/>
          <w:sz w:val="20"/>
        </w:rPr>
        <w:t xml:space="preserve">Adicionalmente, existe controversia entre el Estado y los representantes respecto a que dicha placa se encuentre aún colocada </w:t>
      </w:r>
      <w:r w:rsidR="00110853" w:rsidRPr="001731F5">
        <w:rPr>
          <w:rFonts w:ascii="Verdana" w:hAnsi="Verdana"/>
          <w:sz w:val="20"/>
        </w:rPr>
        <w:t>(</w:t>
      </w:r>
      <w:r w:rsidR="00110853" w:rsidRPr="001731F5">
        <w:rPr>
          <w:rFonts w:ascii="Verdana" w:hAnsi="Verdana"/>
          <w:i/>
          <w:sz w:val="20"/>
        </w:rPr>
        <w:t>infra</w:t>
      </w:r>
      <w:r w:rsidR="00110853" w:rsidRPr="001731F5">
        <w:rPr>
          <w:rFonts w:ascii="Verdana" w:hAnsi="Verdana"/>
          <w:sz w:val="20"/>
        </w:rPr>
        <w:t xml:space="preserve"> Considerando </w:t>
      </w:r>
      <w:r w:rsidR="001475C0">
        <w:rPr>
          <w:rFonts w:ascii="Verdana" w:hAnsi="Verdana"/>
          <w:sz w:val="20"/>
        </w:rPr>
        <w:fldChar w:fldCharType="begin"/>
      </w:r>
      <w:r w:rsidR="001475C0">
        <w:rPr>
          <w:rFonts w:ascii="Verdana" w:hAnsi="Verdana"/>
          <w:sz w:val="20"/>
        </w:rPr>
        <w:instrText xml:space="preserve"> REF _Ref27138266 \r \h </w:instrText>
      </w:r>
      <w:r w:rsidR="001475C0">
        <w:rPr>
          <w:rFonts w:ascii="Verdana" w:hAnsi="Verdana"/>
          <w:sz w:val="20"/>
        </w:rPr>
      </w:r>
      <w:r w:rsidR="001475C0">
        <w:rPr>
          <w:rFonts w:ascii="Verdana" w:hAnsi="Verdana"/>
          <w:sz w:val="20"/>
        </w:rPr>
        <w:fldChar w:fldCharType="separate"/>
      </w:r>
      <w:r w:rsidR="00756751">
        <w:rPr>
          <w:rFonts w:ascii="Verdana" w:hAnsi="Verdana"/>
          <w:sz w:val="20"/>
        </w:rPr>
        <w:t>38</w:t>
      </w:r>
      <w:r w:rsidR="001475C0">
        <w:rPr>
          <w:rFonts w:ascii="Verdana" w:hAnsi="Verdana"/>
          <w:sz w:val="20"/>
        </w:rPr>
        <w:fldChar w:fldCharType="end"/>
      </w:r>
      <w:r w:rsidR="00110853" w:rsidRPr="001731F5">
        <w:rPr>
          <w:rFonts w:ascii="Verdana" w:hAnsi="Verdana"/>
          <w:sz w:val="20"/>
        </w:rPr>
        <w:t>).</w:t>
      </w:r>
    </w:p>
    <w:p w14:paraId="13F7ACDB" w14:textId="1BF6EC0D" w:rsidR="004137DA" w:rsidRPr="00015F36" w:rsidRDefault="0089603B" w:rsidP="00110853">
      <w:pPr>
        <w:numPr>
          <w:ilvl w:val="0"/>
          <w:numId w:val="5"/>
        </w:numPr>
        <w:spacing w:before="120" w:after="120"/>
        <w:ind w:left="0" w:firstLine="0"/>
        <w:jc w:val="both"/>
        <w:rPr>
          <w:rFonts w:ascii="Verdana" w:hAnsi="Verdana"/>
          <w:sz w:val="20"/>
          <w:lang w:val="es-CR"/>
        </w:rPr>
      </w:pPr>
      <w:bookmarkStart w:id="26" w:name="_Ref27138266"/>
      <w:r>
        <w:rPr>
          <w:rFonts w:ascii="Verdana" w:hAnsi="Verdana"/>
          <w:sz w:val="20"/>
        </w:rPr>
        <w:t xml:space="preserve">Además de dicha placa, los </w:t>
      </w:r>
      <w:r w:rsidRPr="00807D5C">
        <w:rPr>
          <w:rFonts w:ascii="Verdana" w:hAnsi="Verdana"/>
          <w:sz w:val="20"/>
        </w:rPr>
        <w:t>representantes</w:t>
      </w:r>
      <w:r>
        <w:rPr>
          <w:rFonts w:ascii="Verdana" w:hAnsi="Verdana"/>
          <w:i/>
          <w:sz w:val="20"/>
        </w:rPr>
        <w:t xml:space="preserve"> </w:t>
      </w:r>
      <w:r w:rsidRPr="00346F19">
        <w:rPr>
          <w:rFonts w:ascii="Verdana" w:hAnsi="Verdana"/>
          <w:sz w:val="20"/>
        </w:rPr>
        <w:t>se han referido a un “cartel” colocado</w:t>
      </w:r>
      <w:r w:rsidR="00346F19">
        <w:rPr>
          <w:rFonts w:ascii="Verdana" w:hAnsi="Verdana"/>
          <w:sz w:val="20"/>
        </w:rPr>
        <w:t xml:space="preserve"> en la referida comisaría.</w:t>
      </w:r>
      <w:r>
        <w:rPr>
          <w:rFonts w:ascii="Verdana" w:hAnsi="Verdana"/>
          <w:sz w:val="20"/>
        </w:rPr>
        <w:t xml:space="preserve"> </w:t>
      </w:r>
      <w:r w:rsidR="00E9377E" w:rsidRPr="001731F5">
        <w:rPr>
          <w:rFonts w:ascii="Verdana" w:hAnsi="Verdana"/>
          <w:sz w:val="20"/>
        </w:rPr>
        <w:t>E</w:t>
      </w:r>
      <w:r w:rsidR="00D157E8" w:rsidRPr="001731F5">
        <w:rPr>
          <w:rFonts w:ascii="Verdana" w:hAnsi="Verdana"/>
          <w:sz w:val="20"/>
        </w:rPr>
        <w:t>n agosto de 2016 advirtieron a la Corte que, sin haber sido notificados previamente, “</w:t>
      </w:r>
      <w:r w:rsidR="00D157E8" w:rsidRPr="001731F5">
        <w:rPr>
          <w:rFonts w:ascii="Verdana" w:hAnsi="Verdana"/>
          <w:sz w:val="20"/>
          <w:lang w:val="es-CR"/>
        </w:rPr>
        <w:t xml:space="preserve">habían quitado [de la </w:t>
      </w:r>
      <w:r w:rsidR="00C607C9">
        <w:rPr>
          <w:rFonts w:ascii="Verdana" w:hAnsi="Verdana"/>
          <w:sz w:val="20"/>
          <w:lang w:val="es-CR"/>
        </w:rPr>
        <w:t>c</w:t>
      </w:r>
      <w:r w:rsidR="00D157E8" w:rsidRPr="001731F5">
        <w:rPr>
          <w:rFonts w:ascii="Verdana" w:hAnsi="Verdana"/>
          <w:sz w:val="20"/>
          <w:lang w:val="es-CR"/>
        </w:rPr>
        <w:t xml:space="preserve">omisaría] el cartel con el nombre de Jorge Omar Gutiérrez”, lo cual significó una “regresión respecto de lo que ya se había implementado, siquiera parcialmente, al señalizar la </w:t>
      </w:r>
      <w:r w:rsidR="00C607C9">
        <w:rPr>
          <w:rFonts w:ascii="Verdana" w:hAnsi="Verdana"/>
          <w:sz w:val="20"/>
          <w:lang w:val="es-CR"/>
        </w:rPr>
        <w:t>c</w:t>
      </w:r>
      <w:r w:rsidR="00D157E8" w:rsidRPr="001731F5">
        <w:rPr>
          <w:rFonts w:ascii="Verdana" w:hAnsi="Verdana"/>
          <w:sz w:val="20"/>
          <w:lang w:val="es-CR"/>
        </w:rPr>
        <w:t>omisaría”.</w:t>
      </w:r>
      <w:r w:rsidR="00D157E8" w:rsidRPr="001731F5">
        <w:rPr>
          <w:rFonts w:ascii="Verdana" w:hAnsi="Verdana"/>
          <w:b/>
          <w:sz w:val="20"/>
          <w:lang w:val="es-CR"/>
        </w:rPr>
        <w:t xml:space="preserve"> </w:t>
      </w:r>
      <w:r w:rsidR="00B06047" w:rsidRPr="001731F5">
        <w:rPr>
          <w:rFonts w:ascii="Verdana" w:hAnsi="Verdana"/>
          <w:sz w:val="20"/>
          <w:lang w:val="es-CR"/>
        </w:rPr>
        <w:t>Tomando en cuenta esa información</w:t>
      </w:r>
      <w:r w:rsidR="00D157E8" w:rsidRPr="001731F5">
        <w:rPr>
          <w:rFonts w:ascii="Verdana" w:hAnsi="Verdana"/>
          <w:sz w:val="20"/>
          <w:lang w:val="es-CR"/>
        </w:rPr>
        <w:t>, la Secretaría de la Corte, siguiendo instrucciones del Presidente del Tribunal, solicitó al Estado que se refiriera al respecto</w:t>
      </w:r>
      <w:r w:rsidR="00D157E8" w:rsidRPr="001731F5">
        <w:rPr>
          <w:rStyle w:val="Refdenotaalpie"/>
          <w:rFonts w:ascii="Verdana" w:hAnsi="Verdana"/>
          <w:sz w:val="20"/>
          <w:lang w:val="es-CR"/>
        </w:rPr>
        <w:footnoteReference w:id="44"/>
      </w:r>
      <w:r w:rsidR="00D157E8" w:rsidRPr="001731F5">
        <w:rPr>
          <w:rFonts w:ascii="Verdana" w:hAnsi="Verdana"/>
          <w:sz w:val="20"/>
          <w:lang w:val="es-CR"/>
        </w:rPr>
        <w:t>.</w:t>
      </w:r>
      <w:r w:rsidR="00D157E8" w:rsidRPr="001731F5">
        <w:rPr>
          <w:rFonts w:ascii="Verdana" w:hAnsi="Verdana"/>
          <w:b/>
          <w:sz w:val="20"/>
          <w:lang w:val="es-CR"/>
        </w:rPr>
        <w:t xml:space="preserve"> </w:t>
      </w:r>
      <w:r w:rsidR="00D157E8" w:rsidRPr="001731F5">
        <w:rPr>
          <w:rFonts w:ascii="Verdana" w:hAnsi="Verdana"/>
          <w:sz w:val="20"/>
          <w:lang w:val="es-CR"/>
        </w:rPr>
        <w:t xml:space="preserve">En marzo de 2018, </w:t>
      </w:r>
      <w:r w:rsidR="00D157E8" w:rsidRPr="00807D5C">
        <w:rPr>
          <w:rFonts w:ascii="Verdana" w:hAnsi="Verdana"/>
          <w:sz w:val="20"/>
          <w:lang w:val="es-CR"/>
        </w:rPr>
        <w:t>Argentina</w:t>
      </w:r>
      <w:r w:rsidR="00D157E8" w:rsidRPr="001731F5">
        <w:rPr>
          <w:rFonts w:ascii="Verdana" w:hAnsi="Verdana"/>
          <w:sz w:val="20"/>
          <w:lang w:val="es-CR"/>
        </w:rPr>
        <w:t xml:space="preserve"> atendió dicho requerimiento de información, indicando que</w:t>
      </w:r>
      <w:r w:rsidR="00D157E8" w:rsidRPr="001731F5">
        <w:rPr>
          <w:rFonts w:ascii="Verdana" w:hAnsi="Verdana"/>
          <w:b/>
          <w:sz w:val="20"/>
          <w:lang w:val="es-CR"/>
        </w:rPr>
        <w:t xml:space="preserve"> </w:t>
      </w:r>
      <w:r w:rsidR="004137DA" w:rsidRPr="001731F5">
        <w:rPr>
          <w:rFonts w:ascii="Verdana" w:hAnsi="Verdana"/>
          <w:sz w:val="20"/>
          <w:lang w:val="es-CR"/>
        </w:rPr>
        <w:t>el</w:t>
      </w:r>
      <w:r w:rsidR="00B80CE2" w:rsidRPr="001731F5">
        <w:rPr>
          <w:rFonts w:ascii="Verdana" w:hAnsi="Verdana"/>
          <w:sz w:val="20"/>
          <w:lang w:val="es-CR"/>
        </w:rPr>
        <w:t xml:space="preserve"> 7 de septiembre de 2016, por orden del</w:t>
      </w:r>
      <w:r w:rsidR="004137DA" w:rsidRPr="001731F5">
        <w:rPr>
          <w:rFonts w:ascii="Verdana" w:hAnsi="Verdana"/>
          <w:sz w:val="20"/>
          <w:lang w:val="es-CR"/>
        </w:rPr>
        <w:t xml:space="preserve"> Ministerio de Seguridad de la Provincia de Buenos Aires</w:t>
      </w:r>
      <w:r w:rsidR="00346F19">
        <w:rPr>
          <w:rFonts w:ascii="Verdana" w:hAnsi="Verdana"/>
          <w:sz w:val="20"/>
          <w:lang w:val="es-CR"/>
        </w:rPr>
        <w:t>,</w:t>
      </w:r>
      <w:r w:rsidR="004137DA" w:rsidRPr="001731F5">
        <w:rPr>
          <w:rFonts w:ascii="Verdana" w:hAnsi="Verdana"/>
          <w:sz w:val="20"/>
          <w:lang w:val="es-CR"/>
        </w:rPr>
        <w:t xml:space="preserve"> </w:t>
      </w:r>
      <w:r w:rsidR="00B80CE2" w:rsidRPr="001731F5">
        <w:rPr>
          <w:rFonts w:ascii="Verdana" w:hAnsi="Verdana"/>
          <w:sz w:val="20"/>
          <w:lang w:val="es-CR"/>
        </w:rPr>
        <w:t>se realizó</w:t>
      </w:r>
      <w:r w:rsidR="004137DA" w:rsidRPr="001731F5">
        <w:rPr>
          <w:rFonts w:ascii="Verdana" w:hAnsi="Verdana"/>
          <w:sz w:val="20"/>
          <w:lang w:val="es-CR"/>
        </w:rPr>
        <w:t xml:space="preserve"> una inspección a la </w:t>
      </w:r>
      <w:r w:rsidR="0028246D">
        <w:rPr>
          <w:rFonts w:ascii="Verdana" w:hAnsi="Verdana"/>
          <w:sz w:val="20"/>
          <w:lang w:val="es-CR"/>
        </w:rPr>
        <w:t>c</w:t>
      </w:r>
      <w:r w:rsidR="0028246D" w:rsidRPr="001731F5">
        <w:rPr>
          <w:rFonts w:ascii="Verdana" w:hAnsi="Verdana"/>
          <w:sz w:val="20"/>
          <w:lang w:val="es-CR"/>
        </w:rPr>
        <w:t>omisaría</w:t>
      </w:r>
      <w:r w:rsidR="00B80CE2" w:rsidRPr="001731F5">
        <w:rPr>
          <w:rFonts w:ascii="Verdana" w:hAnsi="Verdana"/>
          <w:sz w:val="20"/>
          <w:lang w:val="es-CR"/>
        </w:rPr>
        <w:t>, en la cual se constató que “</w:t>
      </w:r>
      <w:r w:rsidR="004137DA" w:rsidRPr="001731F5">
        <w:rPr>
          <w:rFonts w:ascii="Verdana" w:hAnsi="Verdana"/>
          <w:sz w:val="20"/>
          <w:lang w:val="es-CR"/>
        </w:rPr>
        <w:t>la placa recordatoria se encuentra debidamente ubicada en la dependencia policial y que en el exterior de la misma se halla id</w:t>
      </w:r>
      <w:r w:rsidR="00B80CE2" w:rsidRPr="001731F5">
        <w:rPr>
          <w:rFonts w:ascii="Verdana" w:hAnsi="Verdana"/>
          <w:sz w:val="20"/>
          <w:lang w:val="es-CR"/>
        </w:rPr>
        <w:t>entificado el pasaje denominado ‘</w:t>
      </w:r>
      <w:r w:rsidR="004137DA" w:rsidRPr="001731F5">
        <w:rPr>
          <w:rFonts w:ascii="Verdana" w:hAnsi="Verdana"/>
          <w:sz w:val="20"/>
          <w:lang w:val="es-CR"/>
        </w:rPr>
        <w:t>Jorge Omar Gutiérrez</w:t>
      </w:r>
      <w:r w:rsidR="00B80CE2" w:rsidRPr="001731F5">
        <w:rPr>
          <w:rFonts w:ascii="Verdana" w:hAnsi="Verdana"/>
          <w:sz w:val="20"/>
          <w:lang w:val="es-CR"/>
        </w:rPr>
        <w:t>’</w:t>
      </w:r>
      <w:r w:rsidR="004137DA" w:rsidRPr="001731F5">
        <w:rPr>
          <w:rFonts w:ascii="Verdana" w:hAnsi="Verdana"/>
          <w:sz w:val="20"/>
          <w:lang w:val="es-CR"/>
        </w:rPr>
        <w:t>”</w:t>
      </w:r>
      <w:r w:rsidR="00B80CE2" w:rsidRPr="001731F5">
        <w:rPr>
          <w:rFonts w:ascii="Verdana" w:hAnsi="Verdana"/>
          <w:sz w:val="20"/>
          <w:lang w:val="es-CR"/>
        </w:rPr>
        <w:t xml:space="preserve">. </w:t>
      </w:r>
      <w:r w:rsidR="00B06047" w:rsidRPr="001731F5">
        <w:rPr>
          <w:rFonts w:ascii="Verdana" w:hAnsi="Verdana"/>
          <w:sz w:val="20"/>
          <w:lang w:val="es-CR"/>
        </w:rPr>
        <w:t>Sobre lo anterior</w:t>
      </w:r>
      <w:r w:rsidR="00FC2EDA" w:rsidRPr="001731F5">
        <w:rPr>
          <w:rFonts w:ascii="Verdana" w:hAnsi="Verdana"/>
          <w:sz w:val="20"/>
          <w:lang w:val="es-CR"/>
        </w:rPr>
        <w:t xml:space="preserve">, los </w:t>
      </w:r>
      <w:r w:rsidR="00FC2EDA" w:rsidRPr="00807D5C">
        <w:rPr>
          <w:rFonts w:ascii="Verdana" w:hAnsi="Verdana"/>
          <w:sz w:val="20"/>
          <w:lang w:val="es-CR"/>
        </w:rPr>
        <w:t>representantes</w:t>
      </w:r>
      <w:r w:rsidR="00FC2EDA" w:rsidRPr="001731F5">
        <w:rPr>
          <w:rFonts w:ascii="Verdana" w:hAnsi="Verdana"/>
          <w:sz w:val="20"/>
          <w:lang w:val="es-CR"/>
        </w:rPr>
        <w:t xml:space="preserve"> observaron que el Estado “no presentó información completa respecto a todas las medidas de señalización”, por lo cual precisaron “qué constituye la señalización del galpón y de la comisaria”. </w:t>
      </w:r>
      <w:r w:rsidR="00DC2EAF" w:rsidRPr="001731F5">
        <w:rPr>
          <w:rFonts w:ascii="Verdana" w:hAnsi="Verdana"/>
          <w:sz w:val="20"/>
          <w:lang w:val="es-CR"/>
        </w:rPr>
        <w:t>Explicaron que hay señalizaciones que “fueron paga</w:t>
      </w:r>
      <w:r w:rsidR="00E9377E" w:rsidRPr="001731F5">
        <w:rPr>
          <w:rFonts w:ascii="Verdana" w:hAnsi="Verdana"/>
          <w:sz w:val="20"/>
          <w:lang w:val="es-CR"/>
        </w:rPr>
        <w:t xml:space="preserve">d[a]s y </w:t>
      </w:r>
      <w:proofErr w:type="spellStart"/>
      <w:r w:rsidR="00E9377E" w:rsidRPr="001731F5">
        <w:rPr>
          <w:rFonts w:ascii="Verdana" w:hAnsi="Verdana"/>
          <w:sz w:val="20"/>
          <w:lang w:val="es-CR"/>
        </w:rPr>
        <w:t>puest</w:t>
      </w:r>
      <w:proofErr w:type="spellEnd"/>
      <w:r w:rsidR="00E9377E" w:rsidRPr="001731F5">
        <w:rPr>
          <w:rFonts w:ascii="Verdana" w:hAnsi="Verdana"/>
          <w:sz w:val="20"/>
          <w:lang w:val="es-CR"/>
        </w:rPr>
        <w:t>[a]</w:t>
      </w:r>
      <w:r w:rsidR="00DC2EAF" w:rsidRPr="001731F5">
        <w:rPr>
          <w:rFonts w:ascii="Verdana" w:hAnsi="Verdana"/>
          <w:sz w:val="20"/>
          <w:lang w:val="es-CR"/>
        </w:rPr>
        <w:t>s por la familia Gutiérrez”</w:t>
      </w:r>
      <w:r w:rsidR="00DC2EAF" w:rsidRPr="001731F5">
        <w:rPr>
          <w:rStyle w:val="Refdenotaalpie"/>
          <w:rFonts w:ascii="Verdana" w:hAnsi="Verdana"/>
          <w:sz w:val="20"/>
          <w:lang w:val="es-CR"/>
        </w:rPr>
        <w:footnoteReference w:id="45"/>
      </w:r>
      <w:r w:rsidR="00DC2EAF" w:rsidRPr="001731F5">
        <w:rPr>
          <w:rFonts w:ascii="Verdana" w:hAnsi="Verdana"/>
          <w:sz w:val="20"/>
          <w:lang w:val="es-CR"/>
        </w:rPr>
        <w:t xml:space="preserve"> y otras que “fueron </w:t>
      </w:r>
      <w:proofErr w:type="spellStart"/>
      <w:r w:rsidR="00DC2EAF" w:rsidRPr="001731F5">
        <w:rPr>
          <w:rFonts w:ascii="Verdana" w:hAnsi="Verdana"/>
          <w:sz w:val="20"/>
          <w:lang w:val="es-CR"/>
        </w:rPr>
        <w:t>puest</w:t>
      </w:r>
      <w:proofErr w:type="spellEnd"/>
      <w:r w:rsidR="00DC2EAF" w:rsidRPr="001731F5">
        <w:rPr>
          <w:rFonts w:ascii="Verdana" w:hAnsi="Verdana"/>
          <w:sz w:val="20"/>
          <w:lang w:val="es-CR"/>
        </w:rPr>
        <w:t>[a]s por el Estado</w:t>
      </w:r>
      <w:r w:rsidR="00E9377E" w:rsidRPr="001731F5">
        <w:rPr>
          <w:rFonts w:ascii="Verdana" w:hAnsi="Verdana"/>
          <w:sz w:val="20"/>
          <w:lang w:val="es-CR"/>
        </w:rPr>
        <w:t xml:space="preserve">”. </w:t>
      </w:r>
      <w:r w:rsidR="00346F19">
        <w:rPr>
          <w:rFonts w:ascii="Verdana" w:hAnsi="Verdana"/>
          <w:sz w:val="20"/>
          <w:lang w:val="es-CR"/>
        </w:rPr>
        <w:t>I</w:t>
      </w:r>
      <w:r w:rsidR="00E9377E" w:rsidRPr="001731F5">
        <w:rPr>
          <w:rFonts w:ascii="Verdana" w:hAnsi="Verdana"/>
          <w:sz w:val="20"/>
          <w:lang w:val="es-CR"/>
        </w:rPr>
        <w:t xml:space="preserve">ndicaron </w:t>
      </w:r>
      <w:r w:rsidR="00DC2EAF" w:rsidRPr="001731F5">
        <w:rPr>
          <w:rFonts w:ascii="Verdana" w:hAnsi="Verdana"/>
          <w:sz w:val="20"/>
          <w:lang w:val="es-CR"/>
        </w:rPr>
        <w:t xml:space="preserve">que </w:t>
      </w:r>
      <w:r w:rsidR="00346F19">
        <w:rPr>
          <w:rFonts w:ascii="Verdana" w:hAnsi="Verdana"/>
          <w:sz w:val="20"/>
          <w:lang w:val="es-CR"/>
        </w:rPr>
        <w:t xml:space="preserve">estas últimas </w:t>
      </w:r>
      <w:r w:rsidR="00DC2EAF" w:rsidRPr="001731F5">
        <w:rPr>
          <w:rFonts w:ascii="Verdana" w:hAnsi="Verdana"/>
          <w:sz w:val="20"/>
          <w:lang w:val="es-CR"/>
        </w:rPr>
        <w:t>son “una placa a la entrada del galpón, que estaba al final del pasaje” y “dos carteles que nombra</w:t>
      </w:r>
      <w:r w:rsidR="00A96F9C">
        <w:rPr>
          <w:rFonts w:ascii="Verdana" w:hAnsi="Verdana"/>
          <w:sz w:val="20"/>
          <w:lang w:val="es-CR"/>
        </w:rPr>
        <w:t>ba</w:t>
      </w:r>
      <w:r w:rsidR="00DC2EAF" w:rsidRPr="001731F5">
        <w:rPr>
          <w:rFonts w:ascii="Verdana" w:hAnsi="Verdana"/>
          <w:sz w:val="20"/>
          <w:lang w:val="es-CR"/>
        </w:rPr>
        <w:t xml:space="preserve">n la </w:t>
      </w:r>
      <w:r w:rsidR="0028246D">
        <w:rPr>
          <w:rFonts w:ascii="Verdana" w:hAnsi="Verdana"/>
          <w:sz w:val="20"/>
          <w:lang w:val="es-CR"/>
        </w:rPr>
        <w:t>c</w:t>
      </w:r>
      <w:r w:rsidR="00DC2EAF" w:rsidRPr="001731F5">
        <w:rPr>
          <w:rFonts w:ascii="Verdana" w:hAnsi="Verdana"/>
          <w:sz w:val="20"/>
          <w:lang w:val="es-CR"/>
        </w:rPr>
        <w:t xml:space="preserve">omisaría con el nombre de Jorge Omar Gutiérrez afuera de la </w:t>
      </w:r>
      <w:r w:rsidR="0028246D">
        <w:rPr>
          <w:rFonts w:ascii="Verdana" w:hAnsi="Verdana"/>
          <w:sz w:val="20"/>
          <w:lang w:val="es-CR"/>
        </w:rPr>
        <w:t>c</w:t>
      </w:r>
      <w:r w:rsidR="00E9377E" w:rsidRPr="001731F5">
        <w:rPr>
          <w:rFonts w:ascii="Verdana" w:hAnsi="Verdana"/>
          <w:sz w:val="20"/>
          <w:lang w:val="es-CR"/>
        </w:rPr>
        <w:t>omisaría”, y que</w:t>
      </w:r>
      <w:r w:rsidR="00DC2EAF" w:rsidRPr="001731F5">
        <w:rPr>
          <w:rFonts w:ascii="Verdana" w:hAnsi="Verdana"/>
          <w:sz w:val="20"/>
          <w:lang w:val="es-CR"/>
        </w:rPr>
        <w:t xml:space="preserve"> ninguna de </w:t>
      </w:r>
      <w:r w:rsidR="00E9377E" w:rsidRPr="001731F5">
        <w:rPr>
          <w:rFonts w:ascii="Verdana" w:hAnsi="Verdana"/>
          <w:sz w:val="20"/>
          <w:lang w:val="es-CR"/>
        </w:rPr>
        <w:t>ellas permanecen colocadas</w:t>
      </w:r>
      <w:r w:rsidR="00E9377E" w:rsidRPr="001731F5">
        <w:rPr>
          <w:rStyle w:val="Refdenotaalpie"/>
          <w:rFonts w:ascii="Verdana" w:hAnsi="Verdana"/>
          <w:sz w:val="20"/>
          <w:lang w:val="es-CR"/>
        </w:rPr>
        <w:footnoteReference w:id="46"/>
      </w:r>
      <w:r w:rsidR="00E9377E" w:rsidRPr="001731F5">
        <w:rPr>
          <w:rFonts w:ascii="Verdana" w:hAnsi="Verdana"/>
          <w:sz w:val="20"/>
          <w:lang w:val="es-CR"/>
        </w:rPr>
        <w:t xml:space="preserve">. </w:t>
      </w:r>
      <w:r w:rsidR="00B06047" w:rsidRPr="001731F5">
        <w:rPr>
          <w:rFonts w:ascii="Verdana" w:hAnsi="Verdana"/>
          <w:sz w:val="20"/>
          <w:lang w:val="es-CR"/>
        </w:rPr>
        <w:t xml:space="preserve">Al respecto, solicitaron a este Tribunal que “requiera al Estado optimizar el mantenimiento de las señalizaciones en honor a Jorge Omar Gutiérrez con el fin de que todas estén en las mejores condiciones posibles, en cumplimiento con la medida de reparación ordenada en la Sentencia”. Además, solicitaron que “el Estado </w:t>
      </w:r>
      <w:r w:rsidR="00A96F9C">
        <w:rPr>
          <w:rFonts w:ascii="Verdana" w:hAnsi="Verdana"/>
          <w:sz w:val="20"/>
          <w:lang w:val="es-CR"/>
        </w:rPr>
        <w:t xml:space="preserve">[…] </w:t>
      </w:r>
      <w:r w:rsidR="00B06047" w:rsidRPr="001731F5">
        <w:rPr>
          <w:rFonts w:ascii="Verdana" w:hAnsi="Verdana"/>
          <w:sz w:val="20"/>
          <w:lang w:val="es-CR"/>
        </w:rPr>
        <w:t xml:space="preserve">informe las acciones que tomará para nuevamente hacer la placa conmemorativa del galpón y los carteles de </w:t>
      </w:r>
      <w:r w:rsidR="00A96F9C">
        <w:rPr>
          <w:rFonts w:ascii="Verdana" w:hAnsi="Verdana"/>
          <w:sz w:val="20"/>
          <w:lang w:val="es-CR"/>
        </w:rPr>
        <w:t xml:space="preserve">identificación de </w:t>
      </w:r>
      <w:r w:rsidR="00B06047" w:rsidRPr="001731F5">
        <w:rPr>
          <w:rFonts w:ascii="Verdana" w:hAnsi="Verdana"/>
          <w:sz w:val="20"/>
          <w:lang w:val="es-CR"/>
        </w:rPr>
        <w:t xml:space="preserve">la </w:t>
      </w:r>
      <w:r w:rsidR="0028246D">
        <w:rPr>
          <w:rFonts w:ascii="Verdana" w:hAnsi="Verdana"/>
          <w:sz w:val="20"/>
          <w:lang w:val="es-CR"/>
        </w:rPr>
        <w:t>c</w:t>
      </w:r>
      <w:r w:rsidR="00B06047" w:rsidRPr="001731F5">
        <w:rPr>
          <w:rFonts w:ascii="Verdana" w:hAnsi="Verdana"/>
          <w:sz w:val="20"/>
          <w:lang w:val="es-CR"/>
        </w:rPr>
        <w:t>omisaría”.</w:t>
      </w:r>
      <w:r w:rsidR="00B06047" w:rsidRPr="001731F5">
        <w:rPr>
          <w:rFonts w:ascii="Verdana" w:hAnsi="Verdana"/>
          <w:b/>
          <w:sz w:val="20"/>
          <w:lang w:val="es-CR"/>
        </w:rPr>
        <w:t xml:space="preserve"> </w:t>
      </w:r>
      <w:bookmarkEnd w:id="26"/>
    </w:p>
    <w:p w14:paraId="5DBE7A6A" w14:textId="77777777" w:rsidR="00015F36" w:rsidRPr="001731F5" w:rsidRDefault="00015F36" w:rsidP="00015F36">
      <w:pPr>
        <w:spacing w:before="120" w:after="120"/>
        <w:jc w:val="both"/>
        <w:rPr>
          <w:rFonts w:ascii="Verdana" w:hAnsi="Verdana"/>
          <w:sz w:val="20"/>
          <w:lang w:val="es-CR"/>
        </w:rPr>
      </w:pPr>
    </w:p>
    <w:p w14:paraId="1FAEFA71" w14:textId="66834CC7" w:rsidR="00E9377E" w:rsidRPr="001731F5" w:rsidRDefault="00B06047" w:rsidP="00E9377E">
      <w:pPr>
        <w:numPr>
          <w:ilvl w:val="0"/>
          <w:numId w:val="5"/>
        </w:numPr>
        <w:spacing w:before="120" w:after="120"/>
        <w:ind w:left="0" w:firstLine="0"/>
        <w:jc w:val="both"/>
        <w:rPr>
          <w:rFonts w:ascii="Verdana" w:hAnsi="Verdana"/>
          <w:sz w:val="20"/>
          <w:lang w:val="es-CR"/>
        </w:rPr>
      </w:pPr>
      <w:r w:rsidRPr="001731F5">
        <w:rPr>
          <w:rFonts w:ascii="Verdana" w:hAnsi="Verdana"/>
          <w:sz w:val="20"/>
        </w:rPr>
        <w:lastRenderedPageBreak/>
        <w:t xml:space="preserve">Aun cuando la </w:t>
      </w:r>
      <w:r w:rsidR="00E9377E" w:rsidRPr="001731F5">
        <w:rPr>
          <w:rFonts w:ascii="Verdana" w:hAnsi="Verdana"/>
          <w:sz w:val="20"/>
        </w:rPr>
        <w:t xml:space="preserve">Corte comprende </w:t>
      </w:r>
      <w:r w:rsidRPr="001731F5">
        <w:rPr>
          <w:rFonts w:ascii="Verdana" w:hAnsi="Verdana"/>
          <w:sz w:val="20"/>
        </w:rPr>
        <w:t>lo afirmado por los representantes respecto a que los familiares del señor Gutiérrez</w:t>
      </w:r>
      <w:r w:rsidR="00E9377E" w:rsidRPr="001731F5">
        <w:rPr>
          <w:rFonts w:ascii="Verdana" w:hAnsi="Verdana"/>
          <w:sz w:val="20"/>
        </w:rPr>
        <w:t xml:space="preserve"> </w:t>
      </w:r>
      <w:r w:rsidRPr="001731F5">
        <w:rPr>
          <w:rFonts w:ascii="Verdana" w:hAnsi="Verdana"/>
          <w:sz w:val="20"/>
        </w:rPr>
        <w:t>“por años [</w:t>
      </w:r>
      <w:r w:rsidR="00E9377E" w:rsidRPr="001731F5">
        <w:rPr>
          <w:rFonts w:ascii="Verdana" w:hAnsi="Verdana"/>
          <w:sz w:val="20"/>
        </w:rPr>
        <w:t>ha</w:t>
      </w:r>
      <w:r w:rsidRPr="001731F5">
        <w:rPr>
          <w:rFonts w:ascii="Verdana" w:hAnsi="Verdana"/>
          <w:sz w:val="20"/>
        </w:rPr>
        <w:t>n]</w:t>
      </w:r>
      <w:r w:rsidR="00E9377E" w:rsidRPr="001731F5">
        <w:rPr>
          <w:rFonts w:ascii="Verdana" w:hAnsi="Verdana"/>
          <w:sz w:val="20"/>
        </w:rPr>
        <w:t xml:space="preserve"> </w:t>
      </w:r>
      <w:proofErr w:type="spellStart"/>
      <w:r w:rsidR="00E9377E" w:rsidRPr="001731F5">
        <w:rPr>
          <w:rFonts w:ascii="Verdana" w:hAnsi="Verdana"/>
          <w:sz w:val="20"/>
        </w:rPr>
        <w:t>impuls</w:t>
      </w:r>
      <w:proofErr w:type="spellEnd"/>
      <w:r w:rsidRPr="001731F5">
        <w:rPr>
          <w:rFonts w:ascii="Verdana" w:hAnsi="Verdana"/>
          <w:sz w:val="20"/>
        </w:rPr>
        <w:t>[</w:t>
      </w:r>
      <w:proofErr w:type="spellStart"/>
      <w:r w:rsidR="00E9377E" w:rsidRPr="001731F5">
        <w:rPr>
          <w:rFonts w:ascii="Verdana" w:hAnsi="Verdana"/>
          <w:sz w:val="20"/>
        </w:rPr>
        <w:t>ado</w:t>
      </w:r>
      <w:proofErr w:type="spellEnd"/>
      <w:r w:rsidRPr="001731F5">
        <w:rPr>
          <w:rFonts w:ascii="Verdana" w:hAnsi="Verdana"/>
          <w:sz w:val="20"/>
        </w:rPr>
        <w:t xml:space="preserve">] y </w:t>
      </w:r>
      <w:proofErr w:type="spellStart"/>
      <w:r w:rsidRPr="001731F5">
        <w:rPr>
          <w:rFonts w:ascii="Verdana" w:hAnsi="Verdana"/>
          <w:sz w:val="20"/>
        </w:rPr>
        <w:t>custodi</w:t>
      </w:r>
      <w:proofErr w:type="spellEnd"/>
      <w:r w:rsidRPr="001731F5">
        <w:rPr>
          <w:rFonts w:ascii="Verdana" w:hAnsi="Verdana"/>
          <w:sz w:val="20"/>
        </w:rPr>
        <w:t>[</w:t>
      </w:r>
      <w:proofErr w:type="spellStart"/>
      <w:r w:rsidRPr="001731F5">
        <w:rPr>
          <w:rFonts w:ascii="Verdana" w:hAnsi="Verdana"/>
          <w:sz w:val="20"/>
        </w:rPr>
        <w:t>ado</w:t>
      </w:r>
      <w:proofErr w:type="spellEnd"/>
      <w:r w:rsidRPr="001731F5">
        <w:rPr>
          <w:rFonts w:ascii="Verdana" w:hAnsi="Verdana"/>
          <w:sz w:val="20"/>
        </w:rPr>
        <w:t>]”</w:t>
      </w:r>
      <w:r w:rsidR="00E9377E" w:rsidRPr="001731F5">
        <w:rPr>
          <w:rFonts w:ascii="Verdana" w:hAnsi="Verdana"/>
          <w:sz w:val="20"/>
        </w:rPr>
        <w:t xml:space="preserve"> </w:t>
      </w:r>
      <w:r w:rsidRPr="001731F5">
        <w:rPr>
          <w:rFonts w:ascii="Verdana" w:hAnsi="Verdana"/>
          <w:sz w:val="20"/>
        </w:rPr>
        <w:t xml:space="preserve">ciertas medidas </w:t>
      </w:r>
      <w:r w:rsidR="00F12E2E" w:rsidRPr="001731F5">
        <w:rPr>
          <w:rFonts w:ascii="Verdana" w:hAnsi="Verdana"/>
          <w:sz w:val="20"/>
        </w:rPr>
        <w:t>que han implementado</w:t>
      </w:r>
      <w:r w:rsidRPr="001731F5">
        <w:rPr>
          <w:rFonts w:ascii="Verdana" w:hAnsi="Verdana"/>
          <w:sz w:val="20"/>
        </w:rPr>
        <w:t xml:space="preserve"> </w:t>
      </w:r>
      <w:r w:rsidR="00346F19">
        <w:rPr>
          <w:rFonts w:ascii="Verdana" w:hAnsi="Verdana"/>
          <w:sz w:val="20"/>
        </w:rPr>
        <w:t xml:space="preserve">en </w:t>
      </w:r>
      <w:r w:rsidRPr="001731F5">
        <w:rPr>
          <w:rFonts w:ascii="Verdana" w:hAnsi="Verdana"/>
          <w:sz w:val="20"/>
        </w:rPr>
        <w:t xml:space="preserve">memoria de su familiar y </w:t>
      </w:r>
      <w:r w:rsidR="00F130E3">
        <w:rPr>
          <w:rFonts w:ascii="Verdana" w:hAnsi="Verdana"/>
          <w:sz w:val="20"/>
        </w:rPr>
        <w:t xml:space="preserve">de </w:t>
      </w:r>
      <w:r w:rsidRPr="001731F5">
        <w:rPr>
          <w:rFonts w:ascii="Verdana" w:hAnsi="Verdana"/>
          <w:sz w:val="20"/>
        </w:rPr>
        <w:t>los hechos que le ocurrieron, es pertinente aclarar</w:t>
      </w:r>
      <w:r w:rsidR="00657AE6" w:rsidRPr="001731F5">
        <w:rPr>
          <w:rFonts w:ascii="Verdana" w:hAnsi="Verdana"/>
          <w:sz w:val="20"/>
        </w:rPr>
        <w:t>,</w:t>
      </w:r>
      <w:r w:rsidRPr="001731F5">
        <w:rPr>
          <w:rFonts w:ascii="Verdana" w:hAnsi="Verdana"/>
          <w:sz w:val="20"/>
        </w:rPr>
        <w:t xml:space="preserve"> debido a la referida controversia, que</w:t>
      </w:r>
      <w:r w:rsidR="00F12E2E" w:rsidRPr="001731F5">
        <w:rPr>
          <w:rFonts w:ascii="Verdana" w:hAnsi="Verdana"/>
          <w:sz w:val="20"/>
        </w:rPr>
        <w:t xml:space="preserve"> la Corte solamente supervisar</w:t>
      </w:r>
      <w:r w:rsidR="00630171" w:rsidRPr="001731F5">
        <w:rPr>
          <w:rFonts w:ascii="Verdana" w:hAnsi="Verdana"/>
          <w:sz w:val="20"/>
        </w:rPr>
        <w:t xml:space="preserve">á las medidas de </w:t>
      </w:r>
      <w:r w:rsidR="00630171" w:rsidRPr="001731F5">
        <w:rPr>
          <w:rFonts w:ascii="Verdana" w:hAnsi="Verdana"/>
          <w:sz w:val="20"/>
          <w:lang w:val="es-MX"/>
        </w:rPr>
        <w:t>conservación y señalización del galpón y la comisaría</w:t>
      </w:r>
      <w:r w:rsidR="00F12E2E" w:rsidRPr="001731F5">
        <w:rPr>
          <w:rFonts w:ascii="Verdana" w:hAnsi="Verdana"/>
          <w:sz w:val="20"/>
        </w:rPr>
        <w:t xml:space="preserve"> que </w:t>
      </w:r>
      <w:r w:rsidR="00657AE6" w:rsidRPr="001731F5">
        <w:rPr>
          <w:rFonts w:ascii="Verdana" w:hAnsi="Verdana"/>
          <w:sz w:val="20"/>
        </w:rPr>
        <w:t xml:space="preserve">hayan sido o </w:t>
      </w:r>
      <w:r w:rsidR="00021127">
        <w:rPr>
          <w:rFonts w:ascii="Verdana" w:hAnsi="Verdana"/>
          <w:sz w:val="20"/>
        </w:rPr>
        <w:t>vayan a</w:t>
      </w:r>
      <w:r w:rsidR="004B4DC3">
        <w:rPr>
          <w:rFonts w:ascii="Verdana" w:hAnsi="Verdana"/>
          <w:sz w:val="20"/>
        </w:rPr>
        <w:t xml:space="preserve"> ser</w:t>
      </w:r>
      <w:r w:rsidR="00657AE6" w:rsidRPr="001731F5">
        <w:rPr>
          <w:rFonts w:ascii="Verdana" w:hAnsi="Verdana"/>
          <w:sz w:val="20"/>
        </w:rPr>
        <w:t xml:space="preserve"> </w:t>
      </w:r>
      <w:r w:rsidR="00F12E2E" w:rsidRPr="001731F5">
        <w:rPr>
          <w:rFonts w:ascii="Verdana" w:hAnsi="Verdana"/>
          <w:sz w:val="20"/>
        </w:rPr>
        <w:t>implementadas por el Estado, en consenso con los familiares del señor Gutiérrez y sus representantes, a fin de dar cumplimiento a la Sentencia.</w:t>
      </w:r>
      <w:r w:rsidRPr="001731F5">
        <w:rPr>
          <w:rFonts w:ascii="Verdana" w:hAnsi="Verdana"/>
          <w:sz w:val="20"/>
        </w:rPr>
        <w:t xml:space="preserve"> </w:t>
      </w:r>
    </w:p>
    <w:p w14:paraId="16CA9353" w14:textId="79B148B0" w:rsidR="00ED48D2" w:rsidRPr="001731F5" w:rsidRDefault="00ED48D2" w:rsidP="003B0291">
      <w:pPr>
        <w:numPr>
          <w:ilvl w:val="0"/>
          <w:numId w:val="5"/>
        </w:numPr>
        <w:spacing w:before="120" w:after="120"/>
        <w:ind w:left="0" w:firstLine="0"/>
        <w:jc w:val="both"/>
        <w:rPr>
          <w:rFonts w:ascii="Verdana" w:hAnsi="Verdana"/>
          <w:sz w:val="20"/>
          <w:lang w:val="es-CR"/>
        </w:rPr>
      </w:pPr>
      <w:r w:rsidRPr="001731F5">
        <w:rPr>
          <w:rFonts w:ascii="Verdana" w:hAnsi="Verdana"/>
          <w:sz w:val="20"/>
        </w:rPr>
        <w:t>En virtud de lo expuesto, este Tribunal considera que p</w:t>
      </w:r>
      <w:r w:rsidR="00630171" w:rsidRPr="001731F5">
        <w:rPr>
          <w:rFonts w:ascii="Verdana" w:hAnsi="Verdana"/>
          <w:sz w:val="20"/>
        </w:rPr>
        <w:t xml:space="preserve">ara </w:t>
      </w:r>
      <w:r w:rsidR="00657AE6" w:rsidRPr="001731F5">
        <w:rPr>
          <w:rFonts w:ascii="Verdana" w:hAnsi="Verdana"/>
          <w:sz w:val="20"/>
        </w:rPr>
        <w:t>pronunciarse sobre el grado de</w:t>
      </w:r>
      <w:r w:rsidR="00630171" w:rsidRPr="001731F5">
        <w:rPr>
          <w:rFonts w:ascii="Verdana" w:hAnsi="Verdana"/>
          <w:sz w:val="20"/>
        </w:rPr>
        <w:t xml:space="preserve"> cumplimiento de esta </w:t>
      </w:r>
      <w:r w:rsidR="00021127">
        <w:rPr>
          <w:rFonts w:ascii="Verdana" w:hAnsi="Verdana"/>
          <w:sz w:val="20"/>
        </w:rPr>
        <w:t>reparación</w:t>
      </w:r>
      <w:r w:rsidRPr="001731F5">
        <w:rPr>
          <w:rFonts w:ascii="Verdana" w:hAnsi="Verdana"/>
          <w:sz w:val="20"/>
        </w:rPr>
        <w:t xml:space="preserve"> en una futura resolución, es necesario que el</w:t>
      </w:r>
      <w:r w:rsidR="00630171" w:rsidRPr="001731F5">
        <w:rPr>
          <w:rFonts w:ascii="Verdana" w:hAnsi="Verdana"/>
          <w:sz w:val="20"/>
        </w:rPr>
        <w:t xml:space="preserve"> Estado: (i) aclare si la placa </w:t>
      </w:r>
      <w:r w:rsidR="00735CCF" w:rsidRPr="001731F5">
        <w:rPr>
          <w:rFonts w:ascii="Verdana" w:hAnsi="Verdana"/>
          <w:sz w:val="20"/>
        </w:rPr>
        <w:t>instalada</w:t>
      </w:r>
      <w:r w:rsidR="00630171" w:rsidRPr="001731F5">
        <w:rPr>
          <w:rFonts w:ascii="Verdana" w:hAnsi="Verdana"/>
          <w:sz w:val="20"/>
        </w:rPr>
        <w:t xml:space="preserve"> el 29 de agosto de 2014 (</w:t>
      </w:r>
      <w:r w:rsidR="00630171" w:rsidRPr="001731F5">
        <w:rPr>
          <w:rFonts w:ascii="Verdana" w:hAnsi="Verdana"/>
          <w:i/>
          <w:sz w:val="20"/>
        </w:rPr>
        <w:t xml:space="preserve">supra </w:t>
      </w:r>
      <w:r w:rsidR="00630171" w:rsidRPr="001731F5">
        <w:rPr>
          <w:rFonts w:ascii="Verdana" w:hAnsi="Verdana"/>
          <w:sz w:val="20"/>
        </w:rPr>
        <w:t xml:space="preserve">Considerando </w:t>
      </w:r>
      <w:r w:rsidR="00980E41">
        <w:rPr>
          <w:rFonts w:ascii="Verdana" w:hAnsi="Verdana"/>
          <w:sz w:val="20"/>
        </w:rPr>
        <w:fldChar w:fldCharType="begin"/>
      </w:r>
      <w:r w:rsidR="00980E41">
        <w:rPr>
          <w:rFonts w:ascii="Verdana" w:hAnsi="Verdana"/>
          <w:sz w:val="20"/>
        </w:rPr>
        <w:instrText xml:space="preserve"> REF _Ref27151890 \r \h </w:instrText>
      </w:r>
      <w:r w:rsidR="00980E41">
        <w:rPr>
          <w:rFonts w:ascii="Verdana" w:hAnsi="Verdana"/>
          <w:sz w:val="20"/>
        </w:rPr>
      </w:r>
      <w:r w:rsidR="00980E41">
        <w:rPr>
          <w:rFonts w:ascii="Verdana" w:hAnsi="Verdana"/>
          <w:sz w:val="20"/>
        </w:rPr>
        <w:fldChar w:fldCharType="separate"/>
      </w:r>
      <w:r w:rsidR="00756751">
        <w:rPr>
          <w:rFonts w:ascii="Verdana" w:hAnsi="Verdana"/>
          <w:sz w:val="20"/>
        </w:rPr>
        <w:t>36</w:t>
      </w:r>
      <w:r w:rsidR="00980E41">
        <w:rPr>
          <w:rFonts w:ascii="Verdana" w:hAnsi="Verdana"/>
          <w:sz w:val="20"/>
        </w:rPr>
        <w:fldChar w:fldCharType="end"/>
      </w:r>
      <w:r w:rsidR="00630171" w:rsidRPr="001731F5">
        <w:rPr>
          <w:rFonts w:ascii="Verdana" w:hAnsi="Verdana"/>
          <w:sz w:val="20"/>
        </w:rPr>
        <w:t>) se encuentra colocada actualmente</w:t>
      </w:r>
      <w:r w:rsidR="00021127">
        <w:rPr>
          <w:rFonts w:ascii="Verdana" w:hAnsi="Verdana"/>
          <w:sz w:val="20"/>
        </w:rPr>
        <w:t xml:space="preserve"> y dónde se encuentra colocada</w:t>
      </w:r>
      <w:r w:rsidR="00980E41">
        <w:rPr>
          <w:rFonts w:ascii="Verdana" w:hAnsi="Verdana"/>
          <w:sz w:val="20"/>
        </w:rPr>
        <w:t>, y</w:t>
      </w:r>
      <w:r w:rsidR="00630171" w:rsidRPr="001731F5">
        <w:rPr>
          <w:rFonts w:ascii="Verdana" w:hAnsi="Verdana"/>
          <w:sz w:val="20"/>
        </w:rPr>
        <w:t xml:space="preserve"> (ii) </w:t>
      </w:r>
      <w:r w:rsidR="002D6BA4" w:rsidRPr="001731F5">
        <w:rPr>
          <w:rFonts w:ascii="Verdana" w:hAnsi="Verdana"/>
          <w:sz w:val="20"/>
        </w:rPr>
        <w:t xml:space="preserve">aclare cuáles otras medidas de </w:t>
      </w:r>
      <w:r w:rsidR="00021127">
        <w:rPr>
          <w:rFonts w:ascii="Verdana" w:hAnsi="Verdana"/>
          <w:sz w:val="20"/>
        </w:rPr>
        <w:t xml:space="preserve">“conservación y </w:t>
      </w:r>
      <w:r w:rsidR="002D6BA4" w:rsidRPr="001731F5">
        <w:rPr>
          <w:rFonts w:ascii="Verdana" w:hAnsi="Verdana"/>
          <w:sz w:val="20"/>
        </w:rPr>
        <w:t>señalización del galpón y la comisaría</w:t>
      </w:r>
      <w:r w:rsidR="00021127">
        <w:rPr>
          <w:rFonts w:ascii="Verdana" w:hAnsi="Verdana"/>
          <w:sz w:val="20"/>
        </w:rPr>
        <w:t>”</w:t>
      </w:r>
      <w:r w:rsidR="002D6BA4" w:rsidRPr="001731F5">
        <w:rPr>
          <w:rFonts w:ascii="Verdana" w:hAnsi="Verdana"/>
          <w:sz w:val="20"/>
        </w:rPr>
        <w:t xml:space="preserve"> ha adoptado en cumplimiento de esta Sentencia</w:t>
      </w:r>
      <w:r w:rsidR="00F130E3">
        <w:rPr>
          <w:rFonts w:ascii="Verdana" w:hAnsi="Verdana"/>
          <w:sz w:val="20"/>
        </w:rPr>
        <w:t xml:space="preserve"> (</w:t>
      </w:r>
      <w:r w:rsidR="00F130E3" w:rsidRPr="00807D5C">
        <w:rPr>
          <w:rFonts w:ascii="Verdana" w:hAnsi="Verdana"/>
          <w:i/>
          <w:sz w:val="20"/>
        </w:rPr>
        <w:t>supra</w:t>
      </w:r>
      <w:r w:rsidR="00F130E3">
        <w:rPr>
          <w:rFonts w:ascii="Verdana" w:hAnsi="Verdana"/>
          <w:sz w:val="20"/>
        </w:rPr>
        <w:t xml:space="preserve"> Considerando 39)</w:t>
      </w:r>
      <w:r w:rsidR="002D6BA4" w:rsidRPr="001731F5">
        <w:rPr>
          <w:rFonts w:ascii="Verdana" w:hAnsi="Verdana"/>
          <w:sz w:val="20"/>
        </w:rPr>
        <w:t>.</w:t>
      </w:r>
      <w:r w:rsidRPr="001731F5">
        <w:rPr>
          <w:rFonts w:ascii="Verdana" w:hAnsi="Verdana"/>
          <w:sz w:val="20"/>
          <w:lang w:val="es-CR"/>
        </w:rPr>
        <w:t xml:space="preserve"> En caso que la referida placa se encuentre aún colocada y/o que el Estado haya adoptado otras medidas</w:t>
      </w:r>
      <w:r w:rsidR="00980E41">
        <w:rPr>
          <w:rFonts w:ascii="Verdana" w:hAnsi="Verdana"/>
          <w:sz w:val="20"/>
          <w:lang w:val="es-CR"/>
        </w:rPr>
        <w:t>,</w:t>
      </w:r>
      <w:r w:rsidRPr="001731F5">
        <w:rPr>
          <w:rFonts w:ascii="Verdana" w:hAnsi="Verdana"/>
          <w:sz w:val="20"/>
          <w:lang w:val="es-CR"/>
        </w:rPr>
        <w:t xml:space="preserve"> es necesario que</w:t>
      </w:r>
      <w:r w:rsidR="00980E41">
        <w:rPr>
          <w:rFonts w:ascii="Verdana" w:hAnsi="Verdana"/>
          <w:sz w:val="20"/>
          <w:lang w:val="es-CR"/>
        </w:rPr>
        <w:t>:</w:t>
      </w:r>
      <w:r w:rsidRPr="001731F5">
        <w:rPr>
          <w:rFonts w:ascii="Verdana" w:hAnsi="Verdana"/>
          <w:sz w:val="20"/>
          <w:lang w:val="es-CR"/>
        </w:rPr>
        <w:t xml:space="preserve"> </w:t>
      </w:r>
      <w:r w:rsidR="00980E41">
        <w:rPr>
          <w:rFonts w:ascii="Verdana" w:hAnsi="Verdana"/>
          <w:sz w:val="20"/>
          <w:lang w:val="es-CR"/>
        </w:rPr>
        <w:t xml:space="preserve">i) </w:t>
      </w:r>
      <w:r w:rsidRPr="001731F5">
        <w:rPr>
          <w:rFonts w:ascii="Verdana" w:hAnsi="Verdana"/>
          <w:sz w:val="20"/>
          <w:lang w:val="es-CR"/>
        </w:rPr>
        <w:t>indique la ubicación de las mismas</w:t>
      </w:r>
      <w:r w:rsidR="00980E41">
        <w:rPr>
          <w:rFonts w:ascii="Verdana" w:hAnsi="Verdana"/>
          <w:sz w:val="20"/>
          <w:lang w:val="es-CR"/>
        </w:rPr>
        <w:t>;</w:t>
      </w:r>
      <w:r w:rsidRPr="001731F5">
        <w:rPr>
          <w:rFonts w:ascii="Verdana" w:hAnsi="Verdana"/>
          <w:sz w:val="20"/>
          <w:lang w:val="es-CR"/>
        </w:rPr>
        <w:t xml:space="preserve"> </w:t>
      </w:r>
      <w:r w:rsidR="00980E41">
        <w:rPr>
          <w:rFonts w:ascii="Verdana" w:hAnsi="Verdana"/>
          <w:sz w:val="20"/>
          <w:lang w:val="es-CR"/>
        </w:rPr>
        <w:t xml:space="preserve">ii) </w:t>
      </w:r>
      <w:r w:rsidRPr="001731F5">
        <w:rPr>
          <w:rFonts w:ascii="Verdana" w:hAnsi="Verdana"/>
          <w:sz w:val="20"/>
          <w:lang w:val="es-CR"/>
        </w:rPr>
        <w:t>remita un comprobante fotográfico</w:t>
      </w:r>
      <w:r w:rsidR="00980E41">
        <w:rPr>
          <w:rFonts w:ascii="Verdana" w:hAnsi="Verdana"/>
          <w:sz w:val="20"/>
          <w:lang w:val="es-CR"/>
        </w:rPr>
        <w:t>,</w:t>
      </w:r>
      <w:r w:rsidRPr="001731F5">
        <w:rPr>
          <w:rFonts w:ascii="Verdana" w:hAnsi="Verdana"/>
          <w:sz w:val="20"/>
          <w:lang w:val="es-CR"/>
        </w:rPr>
        <w:t xml:space="preserve"> y </w:t>
      </w:r>
      <w:r w:rsidR="00980E41">
        <w:rPr>
          <w:rFonts w:ascii="Verdana" w:hAnsi="Verdana"/>
          <w:sz w:val="20"/>
          <w:lang w:val="es-CR"/>
        </w:rPr>
        <w:t xml:space="preserve">iii) </w:t>
      </w:r>
      <w:r w:rsidRPr="001731F5">
        <w:rPr>
          <w:rFonts w:ascii="Verdana" w:hAnsi="Verdana"/>
          <w:sz w:val="20"/>
          <w:lang w:val="es-CR"/>
        </w:rPr>
        <w:t xml:space="preserve">explique cuáles son las medidas que ha previsto para su conservación. En el supuesto contrario, Argentina deberá explicar qué medidas adoptará para dar cumplimiento a la presente reparación, a la brevedad posible. </w:t>
      </w:r>
    </w:p>
    <w:p w14:paraId="74829B8F" w14:textId="747EE835" w:rsidR="00A154AF" w:rsidRPr="001731F5" w:rsidRDefault="00ED48D2" w:rsidP="003B0291">
      <w:pPr>
        <w:numPr>
          <w:ilvl w:val="0"/>
          <w:numId w:val="5"/>
        </w:numPr>
        <w:spacing w:before="120" w:after="120"/>
        <w:ind w:left="0" w:firstLine="0"/>
        <w:jc w:val="both"/>
        <w:rPr>
          <w:rFonts w:ascii="Verdana" w:hAnsi="Verdana"/>
          <w:sz w:val="20"/>
          <w:lang w:val="es-CR"/>
        </w:rPr>
      </w:pPr>
      <w:r w:rsidRPr="001731F5">
        <w:rPr>
          <w:rFonts w:ascii="Verdana" w:hAnsi="Verdana"/>
          <w:sz w:val="20"/>
        </w:rPr>
        <w:t xml:space="preserve">La Corte considera que se encuentra pendiente de cumplimiento la </w:t>
      </w:r>
      <w:r w:rsidR="00021127">
        <w:rPr>
          <w:rFonts w:ascii="Verdana" w:hAnsi="Verdana"/>
          <w:sz w:val="20"/>
        </w:rPr>
        <w:t xml:space="preserve">reparación </w:t>
      </w:r>
      <w:r w:rsidRPr="001731F5">
        <w:rPr>
          <w:rFonts w:ascii="Verdana" w:hAnsi="Verdana"/>
          <w:sz w:val="20"/>
        </w:rPr>
        <w:t xml:space="preserve">ordenada en el punto resolutivo noveno de la Sentencia, relativa a </w:t>
      </w:r>
      <w:r w:rsidR="00021127">
        <w:rPr>
          <w:rFonts w:ascii="Verdana" w:hAnsi="Verdana"/>
          <w:sz w:val="20"/>
        </w:rPr>
        <w:t>“</w:t>
      </w:r>
      <w:r w:rsidRPr="001731F5">
        <w:rPr>
          <w:rFonts w:ascii="Verdana" w:hAnsi="Verdana"/>
          <w:sz w:val="20"/>
        </w:rPr>
        <w:t>adoptar medidas de conservación y señalización del galpón y la comisaría donde ocurrieron los hechos que originaron el presente caso</w:t>
      </w:r>
      <w:r w:rsidR="00021127">
        <w:rPr>
          <w:rFonts w:ascii="Verdana" w:hAnsi="Verdana"/>
          <w:sz w:val="20"/>
        </w:rPr>
        <w:t>”</w:t>
      </w:r>
      <w:r w:rsidRPr="001731F5">
        <w:rPr>
          <w:rFonts w:ascii="Verdana" w:hAnsi="Verdana"/>
          <w:sz w:val="20"/>
        </w:rPr>
        <w:t>.</w:t>
      </w:r>
    </w:p>
    <w:p w14:paraId="5196B6EF" w14:textId="77777777" w:rsidR="00185A66" w:rsidRPr="001731F5" w:rsidRDefault="00185A66" w:rsidP="00185A66">
      <w:pPr>
        <w:rPr>
          <w:lang w:val="es-MX"/>
        </w:rPr>
      </w:pPr>
    </w:p>
    <w:p w14:paraId="1DF4BD94" w14:textId="77777777" w:rsidR="00185A66" w:rsidRPr="001731F5" w:rsidRDefault="00185A66" w:rsidP="007672DD">
      <w:pPr>
        <w:pStyle w:val="Ttulo1"/>
        <w:keepLines/>
        <w:numPr>
          <w:ilvl w:val="0"/>
          <w:numId w:val="23"/>
        </w:numPr>
        <w:spacing w:before="0" w:after="0"/>
        <w:jc w:val="both"/>
        <w:rPr>
          <w:rFonts w:ascii="Verdana" w:hAnsi="Verdana"/>
          <w:i/>
          <w:sz w:val="20"/>
          <w:szCs w:val="20"/>
          <w:lang w:val="es-MX"/>
        </w:rPr>
      </w:pPr>
      <w:bookmarkStart w:id="27" w:name="_Toc17466469"/>
      <w:r w:rsidRPr="001731F5">
        <w:rPr>
          <w:rFonts w:ascii="Verdana" w:hAnsi="Verdana"/>
          <w:i/>
          <w:sz w:val="20"/>
          <w:szCs w:val="20"/>
          <w:lang w:val="es-MX"/>
        </w:rPr>
        <w:t>Capacitación en derechos humanos para la Policía Federal Argentina, la Policía de la Provincia de Buenos Aires y la Policía Judicial de dicha Provincia</w:t>
      </w:r>
      <w:bookmarkEnd w:id="27"/>
    </w:p>
    <w:p w14:paraId="51198692" w14:textId="77777777" w:rsidR="00185A66" w:rsidRPr="001731F5" w:rsidRDefault="00185A66" w:rsidP="00185A66">
      <w:pPr>
        <w:rPr>
          <w:lang w:val="es-MX"/>
        </w:rPr>
      </w:pPr>
    </w:p>
    <w:p w14:paraId="5B4C6488" w14:textId="77777777" w:rsidR="00185A66" w:rsidRPr="001731F5" w:rsidRDefault="00185A66" w:rsidP="00807D5C">
      <w:pPr>
        <w:ind w:left="360" w:firstLine="360"/>
        <w:rPr>
          <w:rFonts w:ascii="Verdana" w:hAnsi="Verdana"/>
          <w:i/>
          <w:sz w:val="20"/>
          <w:lang w:val="es-MX"/>
        </w:rPr>
      </w:pPr>
      <w:r w:rsidRPr="001731F5">
        <w:rPr>
          <w:rFonts w:ascii="Verdana" w:hAnsi="Verdana"/>
          <w:i/>
          <w:sz w:val="20"/>
          <w:lang w:val="es-MX"/>
        </w:rPr>
        <w:t>E.1. Medida ordenada por la Corte</w:t>
      </w:r>
    </w:p>
    <w:p w14:paraId="172C04E1" w14:textId="4AE23F6D" w:rsidR="00185A66" w:rsidRPr="00015F36" w:rsidRDefault="002A6B3B" w:rsidP="00807D5C">
      <w:pPr>
        <w:numPr>
          <w:ilvl w:val="0"/>
          <w:numId w:val="5"/>
        </w:numPr>
        <w:spacing w:before="120" w:after="120"/>
        <w:ind w:left="0" w:firstLine="0"/>
        <w:jc w:val="both"/>
        <w:rPr>
          <w:rFonts w:ascii="Verdana" w:hAnsi="Verdana"/>
          <w:sz w:val="20"/>
          <w:lang w:val="es-CR"/>
        </w:rPr>
      </w:pPr>
      <w:bookmarkStart w:id="28" w:name="_Ref26951479"/>
      <w:r w:rsidRPr="00015F36">
        <w:rPr>
          <w:rFonts w:ascii="Verdana" w:hAnsi="Verdana"/>
          <w:sz w:val="20"/>
        </w:rPr>
        <w:t xml:space="preserve">En el punto resolutivo décimo y </w:t>
      </w:r>
      <w:r w:rsidR="00F7390A" w:rsidRPr="00015F36">
        <w:rPr>
          <w:rFonts w:ascii="Verdana" w:hAnsi="Verdana"/>
          <w:sz w:val="20"/>
        </w:rPr>
        <w:t xml:space="preserve">en </w:t>
      </w:r>
      <w:r w:rsidRPr="00015F36">
        <w:rPr>
          <w:rFonts w:ascii="Verdana" w:hAnsi="Verdana"/>
          <w:sz w:val="20"/>
        </w:rPr>
        <w:t>los párrafos 166 a 168 de la Sentencia, se dispuso</w:t>
      </w:r>
      <w:r w:rsidR="00161E17" w:rsidRPr="00015F36">
        <w:rPr>
          <w:rFonts w:ascii="Verdana" w:hAnsi="Verdana"/>
          <w:sz w:val="20"/>
        </w:rPr>
        <w:t xml:space="preserve"> que</w:t>
      </w:r>
      <w:r w:rsidRPr="00015F36">
        <w:rPr>
          <w:rFonts w:ascii="Verdana" w:hAnsi="Verdana"/>
          <w:sz w:val="20"/>
        </w:rPr>
        <w:t>, “sin perjuicio de los programas de capacitación para funcionarios públicos en materia de derechos humanos que ya exist</w:t>
      </w:r>
      <w:r w:rsidR="00F7390A" w:rsidRPr="00015F36">
        <w:rPr>
          <w:rFonts w:ascii="Verdana" w:hAnsi="Verdana"/>
          <w:sz w:val="20"/>
        </w:rPr>
        <w:t>a</w:t>
      </w:r>
      <w:r w:rsidRPr="00015F36">
        <w:rPr>
          <w:rFonts w:ascii="Verdana" w:hAnsi="Verdana"/>
          <w:sz w:val="20"/>
        </w:rPr>
        <w:t xml:space="preserve">n en Argentina”, “[e]l Estado deberá integrar a los currículos de formación o planes de estudio de la Policía Federal Argentina y de la Policía de la Provincia de Buenos Aires, así como de la Policía Judicial de dicha Provincia, en un plazo razonable y con la respectiva disposición presupuestaria, cursos de capacitación sobre las obligaciones de respeto y garantía de los derechos humanos, particularmente[,] el derecho a la vida, y sobre la obligación de investigar con debida diligencia y tutela </w:t>
      </w:r>
      <w:r w:rsidR="00F7390A" w:rsidRPr="00015F36">
        <w:rPr>
          <w:rFonts w:ascii="Verdana" w:hAnsi="Verdana"/>
          <w:sz w:val="20"/>
        </w:rPr>
        <w:t xml:space="preserve">judicial </w:t>
      </w:r>
      <w:r w:rsidRPr="00015F36">
        <w:rPr>
          <w:rFonts w:ascii="Verdana" w:hAnsi="Verdana"/>
          <w:sz w:val="20"/>
        </w:rPr>
        <w:t>efectiva, así como el control de convencionalidad, refiriéndose al presente caso y a esta Sentencia”.</w:t>
      </w:r>
      <w:bookmarkEnd w:id="28"/>
      <w:r w:rsidRPr="00015F36">
        <w:rPr>
          <w:rFonts w:ascii="Verdana" w:hAnsi="Verdana"/>
          <w:sz w:val="20"/>
        </w:rPr>
        <w:t xml:space="preserve"> </w:t>
      </w:r>
      <w:bookmarkStart w:id="29" w:name="_Ref27382598"/>
    </w:p>
    <w:bookmarkEnd w:id="29"/>
    <w:p w14:paraId="0D4583FB" w14:textId="77777777" w:rsidR="00C56713" w:rsidRDefault="00C56713" w:rsidP="00807D5C">
      <w:pPr>
        <w:ind w:left="360" w:firstLine="360"/>
        <w:rPr>
          <w:rFonts w:ascii="Verdana" w:hAnsi="Verdana"/>
          <w:i/>
          <w:sz w:val="20"/>
          <w:lang w:val="es-CR"/>
        </w:rPr>
      </w:pPr>
    </w:p>
    <w:p w14:paraId="74816AC7" w14:textId="3E9B98E0" w:rsidR="006A0579" w:rsidRPr="001731F5" w:rsidRDefault="00185A66" w:rsidP="00807D5C">
      <w:pPr>
        <w:ind w:left="360" w:firstLine="360"/>
        <w:rPr>
          <w:rFonts w:ascii="Verdana" w:hAnsi="Verdana"/>
          <w:i/>
          <w:sz w:val="20"/>
          <w:lang w:val="es-MX"/>
        </w:rPr>
      </w:pPr>
      <w:r w:rsidRPr="001731F5">
        <w:rPr>
          <w:rFonts w:ascii="Verdana" w:hAnsi="Verdana"/>
          <w:i/>
          <w:sz w:val="20"/>
          <w:lang w:val="es-MX"/>
        </w:rPr>
        <w:t xml:space="preserve">E.2. </w:t>
      </w:r>
      <w:r w:rsidR="002D6A7E" w:rsidRPr="001731F5">
        <w:rPr>
          <w:rFonts w:ascii="Verdana" w:hAnsi="Verdana"/>
          <w:i/>
          <w:sz w:val="20"/>
          <w:lang w:val="es-MX"/>
        </w:rPr>
        <w:t>Información y observaciones de las partes y de la Comisión</w:t>
      </w:r>
    </w:p>
    <w:p w14:paraId="3F74636D" w14:textId="212E3C77" w:rsidR="002D6A7E" w:rsidRPr="001731F5" w:rsidRDefault="002D6A7E" w:rsidP="002D6A7E">
      <w:pPr>
        <w:numPr>
          <w:ilvl w:val="0"/>
          <w:numId w:val="5"/>
        </w:numPr>
        <w:spacing w:before="120" w:after="120"/>
        <w:ind w:left="0" w:firstLine="0"/>
        <w:jc w:val="both"/>
        <w:rPr>
          <w:rFonts w:ascii="Verdana" w:hAnsi="Verdana"/>
          <w:sz w:val="20"/>
          <w:lang w:val="es-CR"/>
        </w:rPr>
      </w:pPr>
      <w:bookmarkStart w:id="30" w:name="_Ref27382942"/>
      <w:r w:rsidRPr="001731F5">
        <w:rPr>
          <w:rFonts w:ascii="Verdana" w:hAnsi="Verdana"/>
          <w:sz w:val="20"/>
          <w:lang w:val="es-MX"/>
        </w:rPr>
        <w:t xml:space="preserve">Fundamentalmente en informes </w:t>
      </w:r>
      <w:r w:rsidR="00C56713">
        <w:rPr>
          <w:rFonts w:ascii="Verdana" w:hAnsi="Verdana"/>
          <w:sz w:val="20"/>
          <w:lang w:val="es-MX"/>
        </w:rPr>
        <w:t>presentados en</w:t>
      </w:r>
      <w:r w:rsidR="00C56713" w:rsidRPr="001731F5">
        <w:rPr>
          <w:rFonts w:ascii="Verdana" w:hAnsi="Verdana"/>
          <w:sz w:val="20"/>
          <w:lang w:val="es-MX"/>
        </w:rPr>
        <w:t xml:space="preserve"> </w:t>
      </w:r>
      <w:r w:rsidRPr="001731F5">
        <w:rPr>
          <w:rFonts w:ascii="Verdana" w:hAnsi="Verdana"/>
          <w:sz w:val="20"/>
          <w:lang w:val="es-MX"/>
        </w:rPr>
        <w:t>2017 y 2018 e</w:t>
      </w:r>
      <w:r w:rsidRPr="001731F5">
        <w:rPr>
          <w:rFonts w:ascii="Verdana" w:hAnsi="Verdana"/>
          <w:sz w:val="20"/>
          <w:lang w:val="es-CR"/>
        </w:rPr>
        <w:t xml:space="preserve">l </w:t>
      </w:r>
      <w:r w:rsidRPr="001731F5">
        <w:rPr>
          <w:rFonts w:ascii="Verdana" w:hAnsi="Verdana"/>
          <w:i/>
          <w:iCs/>
          <w:sz w:val="20"/>
          <w:lang w:val="es-CR"/>
        </w:rPr>
        <w:t>Estado</w:t>
      </w:r>
      <w:r w:rsidRPr="001731F5">
        <w:rPr>
          <w:rFonts w:ascii="Verdana" w:hAnsi="Verdana"/>
          <w:sz w:val="20"/>
          <w:lang w:val="es-CR"/>
        </w:rPr>
        <w:t xml:space="preserve"> se </w:t>
      </w:r>
      <w:r w:rsidR="00107D87" w:rsidRPr="001731F5">
        <w:rPr>
          <w:rFonts w:ascii="Verdana" w:hAnsi="Verdana"/>
          <w:sz w:val="20"/>
          <w:lang w:val="es-CR"/>
        </w:rPr>
        <w:t>refirió</w:t>
      </w:r>
      <w:r w:rsidRPr="001731F5">
        <w:rPr>
          <w:rFonts w:ascii="Verdana" w:hAnsi="Verdana"/>
          <w:sz w:val="20"/>
          <w:lang w:val="es-CR"/>
        </w:rPr>
        <w:t xml:space="preserve"> a diversas acciones en materia de capacitación de la Policía Federal, la Policía de la Provincia de Buenos Aires y la Policía Judicial de dicha provincia. En particular, destacó </w:t>
      </w:r>
      <w:r w:rsidR="007B21CA" w:rsidRPr="001731F5">
        <w:rPr>
          <w:rFonts w:ascii="Verdana" w:hAnsi="Verdana"/>
          <w:sz w:val="20"/>
          <w:lang w:val="es-CR"/>
        </w:rPr>
        <w:t>la “</w:t>
      </w:r>
      <w:proofErr w:type="gramStart"/>
      <w:r w:rsidR="007B21CA" w:rsidRPr="001731F5">
        <w:rPr>
          <w:rFonts w:ascii="Verdana" w:hAnsi="Verdana"/>
          <w:sz w:val="20"/>
          <w:lang w:val="es-CR"/>
        </w:rPr>
        <w:t>elabora[</w:t>
      </w:r>
      <w:proofErr w:type="spellStart"/>
      <w:proofErr w:type="gramEnd"/>
      <w:r w:rsidR="007B21CA" w:rsidRPr="001731F5">
        <w:rPr>
          <w:rFonts w:ascii="Verdana" w:hAnsi="Verdana"/>
          <w:sz w:val="20"/>
          <w:lang w:val="es-CR"/>
        </w:rPr>
        <w:t>ción</w:t>
      </w:r>
      <w:proofErr w:type="spellEnd"/>
      <w:r w:rsidR="007B21CA" w:rsidRPr="001731F5">
        <w:rPr>
          <w:rFonts w:ascii="Verdana" w:hAnsi="Verdana"/>
          <w:sz w:val="20"/>
          <w:lang w:val="es-CR"/>
        </w:rPr>
        <w:t xml:space="preserve"> d</w:t>
      </w:r>
      <w:r w:rsidR="00111AF0">
        <w:rPr>
          <w:rFonts w:ascii="Verdana" w:hAnsi="Verdana"/>
          <w:sz w:val="20"/>
          <w:lang w:val="es-CR"/>
        </w:rPr>
        <w:t>]</w:t>
      </w:r>
      <w:r w:rsidR="007B21CA" w:rsidRPr="001731F5">
        <w:rPr>
          <w:rFonts w:ascii="Verdana" w:hAnsi="Verdana"/>
          <w:sz w:val="20"/>
          <w:lang w:val="es-CR"/>
        </w:rPr>
        <w:t xml:space="preserve">el programa del Curso de Formación en Derechos Humanos para Personal de la Policía” </w:t>
      </w:r>
      <w:r w:rsidR="00C56713">
        <w:rPr>
          <w:rFonts w:ascii="Verdana" w:hAnsi="Verdana"/>
          <w:sz w:val="20"/>
          <w:lang w:val="es-CR"/>
        </w:rPr>
        <w:t>(</w:t>
      </w:r>
      <w:r w:rsidR="00C56713" w:rsidRPr="00807D5C">
        <w:rPr>
          <w:rFonts w:ascii="Verdana" w:hAnsi="Verdana"/>
          <w:i/>
          <w:sz w:val="20"/>
          <w:lang w:val="es-CR"/>
        </w:rPr>
        <w:t>infra</w:t>
      </w:r>
      <w:r w:rsidR="00C56713">
        <w:rPr>
          <w:rFonts w:ascii="Verdana" w:hAnsi="Verdana"/>
          <w:sz w:val="20"/>
          <w:lang w:val="es-CR"/>
        </w:rPr>
        <w:t xml:space="preserve"> Considerando 50) </w:t>
      </w:r>
      <w:r w:rsidR="007B21CA" w:rsidRPr="001731F5">
        <w:rPr>
          <w:rFonts w:ascii="Verdana" w:hAnsi="Verdana"/>
          <w:sz w:val="20"/>
          <w:lang w:val="es-CR"/>
        </w:rPr>
        <w:t>y de un “cuadernillo titulado ‘</w:t>
      </w:r>
      <w:r w:rsidR="007B21CA" w:rsidRPr="001731F5">
        <w:rPr>
          <w:rFonts w:ascii="Verdana" w:hAnsi="Verdana"/>
          <w:i/>
          <w:iCs/>
          <w:sz w:val="20"/>
          <w:lang w:val="es-CR"/>
        </w:rPr>
        <w:t xml:space="preserve">Caso Gutiérrez y Familia </w:t>
      </w:r>
      <w:r w:rsidR="00C56713">
        <w:rPr>
          <w:rFonts w:ascii="Verdana" w:hAnsi="Verdana"/>
          <w:i/>
          <w:iCs/>
          <w:sz w:val="20"/>
          <w:lang w:val="es-CR"/>
        </w:rPr>
        <w:t>V</w:t>
      </w:r>
      <w:r w:rsidR="00C56713" w:rsidRPr="001731F5">
        <w:rPr>
          <w:rFonts w:ascii="Verdana" w:hAnsi="Verdana"/>
          <w:i/>
          <w:iCs/>
          <w:sz w:val="20"/>
          <w:lang w:val="es-CR"/>
        </w:rPr>
        <w:t>s</w:t>
      </w:r>
      <w:r w:rsidR="007B21CA" w:rsidRPr="001731F5">
        <w:rPr>
          <w:rFonts w:ascii="Verdana" w:hAnsi="Verdana"/>
          <w:i/>
          <w:iCs/>
          <w:sz w:val="20"/>
          <w:lang w:val="es-CR"/>
        </w:rPr>
        <w:t>. Argentina. Un crimen del Estado argentino</w:t>
      </w:r>
      <w:r w:rsidR="007B21CA" w:rsidRPr="001731F5">
        <w:rPr>
          <w:rFonts w:ascii="Verdana" w:hAnsi="Verdana"/>
          <w:sz w:val="20"/>
          <w:lang w:val="es-CR"/>
        </w:rPr>
        <w:t xml:space="preserve">’ [… cuyo] propósito es su utilización como bibliografía en los diferentes cursos formativos sobre derechos </w:t>
      </w:r>
      <w:r w:rsidR="007B21CA" w:rsidRPr="001731F5">
        <w:rPr>
          <w:rFonts w:ascii="Verdana" w:hAnsi="Verdana"/>
          <w:sz w:val="20"/>
          <w:lang w:val="es-CR"/>
        </w:rPr>
        <w:lastRenderedPageBreak/>
        <w:t>humanos y función policial que se dictan para agentes policiales de la provincia de Buenos Aires”</w:t>
      </w:r>
      <w:r w:rsidR="007B21CA" w:rsidRPr="001731F5">
        <w:rPr>
          <w:rStyle w:val="Refdenotaalpie"/>
          <w:rFonts w:ascii="Verdana" w:hAnsi="Verdana"/>
          <w:sz w:val="20"/>
          <w:lang w:val="es-CR"/>
        </w:rPr>
        <w:footnoteReference w:id="47"/>
      </w:r>
      <w:r w:rsidR="00C56713">
        <w:rPr>
          <w:rFonts w:ascii="Verdana" w:hAnsi="Verdana"/>
          <w:sz w:val="20"/>
          <w:lang w:val="es-CR"/>
        </w:rPr>
        <w:t xml:space="preserve"> (</w:t>
      </w:r>
      <w:r w:rsidR="00C56713" w:rsidRPr="00747733">
        <w:rPr>
          <w:rFonts w:ascii="Verdana" w:hAnsi="Verdana"/>
          <w:i/>
          <w:sz w:val="20"/>
          <w:lang w:val="es-CR"/>
        </w:rPr>
        <w:t>infra</w:t>
      </w:r>
      <w:r w:rsidR="00C56713">
        <w:rPr>
          <w:rFonts w:ascii="Verdana" w:hAnsi="Verdana"/>
          <w:sz w:val="20"/>
          <w:lang w:val="es-CR"/>
        </w:rPr>
        <w:t xml:space="preserve"> Considerando 49)</w:t>
      </w:r>
      <w:r w:rsidR="007B21CA" w:rsidRPr="001731F5">
        <w:rPr>
          <w:rFonts w:ascii="Verdana" w:hAnsi="Verdana"/>
          <w:sz w:val="20"/>
          <w:lang w:val="es-CR"/>
        </w:rPr>
        <w:t>.</w:t>
      </w:r>
      <w:bookmarkEnd w:id="30"/>
      <w:r w:rsidR="00107D87" w:rsidRPr="001731F5">
        <w:rPr>
          <w:rFonts w:ascii="Verdana" w:hAnsi="Verdana"/>
          <w:sz w:val="20"/>
          <w:lang w:val="es-CR"/>
        </w:rPr>
        <w:t xml:space="preserve"> </w:t>
      </w:r>
    </w:p>
    <w:p w14:paraId="5E71064E" w14:textId="280100EC" w:rsidR="00107D87" w:rsidRPr="001731F5" w:rsidRDefault="00107D87" w:rsidP="0037241F">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En las ú</w:t>
      </w:r>
      <w:r w:rsidR="00365C54" w:rsidRPr="001731F5">
        <w:rPr>
          <w:rFonts w:ascii="Verdana" w:hAnsi="Verdana"/>
          <w:sz w:val="20"/>
          <w:lang w:val="es-CR"/>
        </w:rPr>
        <w:t>l</w:t>
      </w:r>
      <w:r w:rsidRPr="001731F5">
        <w:rPr>
          <w:rFonts w:ascii="Verdana" w:hAnsi="Verdana"/>
          <w:sz w:val="20"/>
          <w:lang w:val="es-CR"/>
        </w:rPr>
        <w:t xml:space="preserve">timas observaciones presentadas por los </w:t>
      </w:r>
      <w:r w:rsidRPr="001731F5">
        <w:rPr>
          <w:rFonts w:ascii="Verdana" w:hAnsi="Verdana"/>
          <w:i/>
          <w:iCs/>
          <w:sz w:val="20"/>
          <w:lang w:val="es-CR"/>
        </w:rPr>
        <w:t xml:space="preserve">representantes </w:t>
      </w:r>
      <w:r w:rsidRPr="001731F5">
        <w:rPr>
          <w:rFonts w:ascii="Verdana" w:hAnsi="Verdana"/>
          <w:sz w:val="20"/>
          <w:lang w:val="es-CR"/>
        </w:rPr>
        <w:t>sobre el cumplimiento de esta medida</w:t>
      </w:r>
      <w:r w:rsidR="00365C54" w:rsidRPr="001731F5">
        <w:rPr>
          <w:rFonts w:ascii="Verdana" w:hAnsi="Verdana"/>
          <w:sz w:val="20"/>
          <w:lang w:val="es-CR"/>
        </w:rPr>
        <w:t xml:space="preserve">, </w:t>
      </w:r>
      <w:r w:rsidRPr="001731F5">
        <w:rPr>
          <w:rFonts w:ascii="Verdana" w:hAnsi="Verdana"/>
          <w:sz w:val="20"/>
          <w:lang w:val="es-CR"/>
        </w:rPr>
        <w:t>de julio de 2018</w:t>
      </w:r>
      <w:r w:rsidR="00365C54" w:rsidRPr="001731F5">
        <w:rPr>
          <w:rFonts w:ascii="Verdana" w:hAnsi="Verdana"/>
          <w:sz w:val="20"/>
          <w:lang w:val="es-CR"/>
        </w:rPr>
        <w:t>, sostuvieron</w:t>
      </w:r>
      <w:r w:rsidRPr="001731F5">
        <w:rPr>
          <w:rFonts w:ascii="Verdana" w:hAnsi="Verdana"/>
          <w:sz w:val="20"/>
          <w:lang w:val="es-CR"/>
        </w:rPr>
        <w:t xml:space="preserve"> que el Estado </w:t>
      </w:r>
      <w:r w:rsidR="009043B2">
        <w:rPr>
          <w:rFonts w:ascii="Verdana" w:hAnsi="Verdana"/>
          <w:sz w:val="20"/>
          <w:lang w:val="es-CR"/>
        </w:rPr>
        <w:t>“</w:t>
      </w:r>
      <w:proofErr w:type="spellStart"/>
      <w:r w:rsidRPr="001731F5">
        <w:rPr>
          <w:rFonts w:ascii="Verdana" w:hAnsi="Verdana"/>
          <w:sz w:val="20"/>
          <w:lang w:val="es-CR"/>
        </w:rPr>
        <w:t>entreg</w:t>
      </w:r>
      <w:proofErr w:type="spellEnd"/>
      <w:r w:rsidR="009043B2">
        <w:rPr>
          <w:rFonts w:ascii="Verdana" w:hAnsi="Verdana"/>
          <w:sz w:val="20"/>
          <w:lang w:val="es-CR"/>
        </w:rPr>
        <w:t>[</w:t>
      </w:r>
      <w:proofErr w:type="spellStart"/>
      <w:r w:rsidRPr="001731F5">
        <w:rPr>
          <w:rFonts w:ascii="Verdana" w:hAnsi="Verdana"/>
          <w:sz w:val="20"/>
          <w:lang w:val="es-CR"/>
        </w:rPr>
        <w:t>ó</w:t>
      </w:r>
      <w:proofErr w:type="spellEnd"/>
      <w:r w:rsidR="009043B2">
        <w:rPr>
          <w:rFonts w:ascii="Verdana" w:hAnsi="Verdana"/>
          <w:sz w:val="20"/>
          <w:lang w:val="es-CR"/>
        </w:rPr>
        <w:t>]</w:t>
      </w:r>
      <w:r w:rsidRPr="001731F5">
        <w:rPr>
          <w:rFonts w:ascii="Verdana" w:hAnsi="Verdana"/>
          <w:sz w:val="20"/>
          <w:lang w:val="es-CR"/>
        </w:rPr>
        <w:t xml:space="preserve"> información más concreta y actualizada sobre este punto</w:t>
      </w:r>
      <w:r w:rsidR="009043B2">
        <w:rPr>
          <w:rFonts w:ascii="Verdana" w:hAnsi="Verdana"/>
          <w:sz w:val="20"/>
          <w:lang w:val="es-CR"/>
        </w:rPr>
        <w:t>”</w:t>
      </w:r>
      <w:r w:rsidRPr="001731F5">
        <w:rPr>
          <w:rFonts w:ascii="Verdana" w:hAnsi="Verdana"/>
          <w:sz w:val="20"/>
          <w:lang w:val="es-CR"/>
        </w:rPr>
        <w:t xml:space="preserve"> de la Sentencia y que se encontraban en “proceso de revisión del [referido] cuadernillo, junto con la familia Gutiérrez”. Agregaron que “no ten[</w:t>
      </w:r>
      <w:proofErr w:type="spellStart"/>
      <w:r w:rsidRPr="001731F5">
        <w:rPr>
          <w:rFonts w:ascii="Verdana" w:hAnsi="Verdana"/>
          <w:sz w:val="20"/>
          <w:lang w:val="es-CR"/>
        </w:rPr>
        <w:t>ían</w:t>
      </w:r>
      <w:proofErr w:type="spellEnd"/>
      <w:r w:rsidRPr="001731F5">
        <w:rPr>
          <w:rFonts w:ascii="Verdana" w:hAnsi="Verdana"/>
          <w:sz w:val="20"/>
          <w:lang w:val="es-CR"/>
        </w:rPr>
        <w:t xml:space="preserve">] ninguna observación específica sobre la impartición de </w:t>
      </w:r>
      <w:r w:rsidR="009043B2">
        <w:rPr>
          <w:rFonts w:ascii="Verdana" w:hAnsi="Verdana"/>
          <w:sz w:val="20"/>
          <w:lang w:val="es-CR"/>
        </w:rPr>
        <w:t xml:space="preserve">las </w:t>
      </w:r>
      <w:r w:rsidRPr="001731F5">
        <w:rPr>
          <w:rFonts w:ascii="Verdana" w:hAnsi="Verdana"/>
          <w:sz w:val="20"/>
          <w:lang w:val="es-CR"/>
        </w:rPr>
        <w:t xml:space="preserve">clases a fuerzas de seguridad y la integración en </w:t>
      </w:r>
      <w:r w:rsidR="00110C02" w:rsidRPr="001731F5">
        <w:rPr>
          <w:rFonts w:ascii="Verdana" w:hAnsi="Verdana"/>
          <w:sz w:val="20"/>
          <w:lang w:val="es-CR"/>
        </w:rPr>
        <w:t>l</w:t>
      </w:r>
      <w:r w:rsidR="009043B2">
        <w:rPr>
          <w:rFonts w:ascii="Verdana" w:hAnsi="Verdana"/>
          <w:sz w:val="20"/>
          <w:lang w:val="es-CR"/>
        </w:rPr>
        <w:t>a</w:t>
      </w:r>
      <w:r w:rsidRPr="001731F5">
        <w:rPr>
          <w:rFonts w:ascii="Verdana" w:hAnsi="Verdana"/>
          <w:sz w:val="20"/>
          <w:lang w:val="es-CR"/>
        </w:rPr>
        <w:t xml:space="preserve"> </w:t>
      </w:r>
      <w:proofErr w:type="spellStart"/>
      <w:r w:rsidRPr="001731F5">
        <w:rPr>
          <w:rFonts w:ascii="Verdana" w:hAnsi="Verdana"/>
          <w:sz w:val="20"/>
          <w:lang w:val="es-CR"/>
        </w:rPr>
        <w:t>currícul</w:t>
      </w:r>
      <w:r w:rsidR="009043B2">
        <w:rPr>
          <w:rFonts w:ascii="Verdana" w:hAnsi="Verdana"/>
          <w:sz w:val="20"/>
          <w:lang w:val="es-CR"/>
        </w:rPr>
        <w:t>a</w:t>
      </w:r>
      <w:proofErr w:type="spellEnd"/>
      <w:r w:rsidRPr="001731F5">
        <w:rPr>
          <w:rFonts w:ascii="Verdana" w:hAnsi="Verdana"/>
          <w:sz w:val="20"/>
          <w:lang w:val="es-CR"/>
        </w:rPr>
        <w:t xml:space="preserve"> de diversos temas de derechos humanos”, pero que se “reserva[</w:t>
      </w:r>
      <w:proofErr w:type="spellStart"/>
      <w:r w:rsidRPr="001731F5">
        <w:rPr>
          <w:rFonts w:ascii="Verdana" w:hAnsi="Verdana"/>
          <w:sz w:val="20"/>
          <w:lang w:val="es-CR"/>
        </w:rPr>
        <w:t>ban</w:t>
      </w:r>
      <w:proofErr w:type="spellEnd"/>
      <w:r w:rsidRPr="001731F5">
        <w:rPr>
          <w:rFonts w:ascii="Verdana" w:hAnsi="Verdana"/>
          <w:sz w:val="20"/>
          <w:lang w:val="es-CR"/>
        </w:rPr>
        <w:t>] el derecho de hacer alguna precisión adicional en el futuro</w:t>
      </w:r>
      <w:r w:rsidR="001A0E56" w:rsidRPr="001731F5">
        <w:rPr>
          <w:rFonts w:ascii="Verdana" w:hAnsi="Verdana"/>
          <w:sz w:val="20"/>
          <w:lang w:val="es-CR"/>
        </w:rPr>
        <w:t>”</w:t>
      </w:r>
      <w:r w:rsidRPr="001731F5">
        <w:rPr>
          <w:rFonts w:ascii="Verdana" w:hAnsi="Verdana"/>
          <w:sz w:val="20"/>
          <w:lang w:val="es-CR"/>
        </w:rPr>
        <w:t xml:space="preserve">.  </w:t>
      </w:r>
      <w:r w:rsidR="00557D59" w:rsidRPr="001731F5">
        <w:rPr>
          <w:rFonts w:ascii="Verdana" w:hAnsi="Verdana"/>
          <w:sz w:val="20"/>
          <w:lang w:val="es-CR"/>
        </w:rPr>
        <w:t>Por otra parte, también observaron que</w:t>
      </w:r>
      <w:r w:rsidR="00110C02" w:rsidRPr="001731F5">
        <w:rPr>
          <w:rFonts w:ascii="Verdana" w:hAnsi="Verdana"/>
          <w:sz w:val="20"/>
          <w:lang w:val="es-CR"/>
        </w:rPr>
        <w:t>,</w:t>
      </w:r>
      <w:r w:rsidR="00557D59" w:rsidRPr="001731F5">
        <w:rPr>
          <w:rFonts w:ascii="Verdana" w:hAnsi="Verdana"/>
          <w:b/>
          <w:bCs/>
          <w:sz w:val="20"/>
          <w:lang w:val="es-CR"/>
        </w:rPr>
        <w:t xml:space="preserve"> </w:t>
      </w:r>
      <w:r w:rsidR="00EE564E" w:rsidRPr="001731F5">
        <w:rPr>
          <w:rFonts w:ascii="Verdana" w:hAnsi="Verdana"/>
          <w:sz w:val="20"/>
          <w:lang w:val="es-CR"/>
        </w:rPr>
        <w:t xml:space="preserve">aunque el Estado “ha entregado una vasta cantidad de información sobre este tema”, no “se </w:t>
      </w:r>
      <w:proofErr w:type="spellStart"/>
      <w:r w:rsidR="00EE564E" w:rsidRPr="001731F5">
        <w:rPr>
          <w:rFonts w:ascii="Verdana" w:hAnsi="Verdana"/>
          <w:sz w:val="20"/>
          <w:lang w:val="es-CR"/>
        </w:rPr>
        <w:t>logr</w:t>
      </w:r>
      <w:proofErr w:type="spellEnd"/>
      <w:r w:rsidR="00EE564E" w:rsidRPr="001731F5">
        <w:rPr>
          <w:rFonts w:ascii="Verdana" w:hAnsi="Verdana"/>
          <w:sz w:val="20"/>
          <w:lang w:val="es-CR"/>
        </w:rPr>
        <w:t>[</w:t>
      </w:r>
      <w:proofErr w:type="spellStart"/>
      <w:r w:rsidR="00EE564E" w:rsidRPr="001731F5">
        <w:rPr>
          <w:rFonts w:ascii="Verdana" w:hAnsi="Verdana"/>
          <w:sz w:val="20"/>
          <w:lang w:val="es-CR"/>
        </w:rPr>
        <w:t>a</w:t>
      </w:r>
      <w:r w:rsidR="00785498">
        <w:rPr>
          <w:rFonts w:ascii="Verdana" w:hAnsi="Verdana"/>
          <w:sz w:val="20"/>
          <w:lang w:val="es-CR"/>
        </w:rPr>
        <w:t>n</w:t>
      </w:r>
      <w:proofErr w:type="spellEnd"/>
      <w:r w:rsidR="00EE564E" w:rsidRPr="001731F5">
        <w:rPr>
          <w:rFonts w:ascii="Verdana" w:hAnsi="Verdana"/>
          <w:sz w:val="20"/>
          <w:lang w:val="es-CR"/>
        </w:rPr>
        <w:t>] desprender datos objetivos y concretos a aspectos sumamente básicos sobre la implementación de esta medida”, tales como “el plan de estudios”.</w:t>
      </w:r>
      <w:r w:rsidR="00EE564E" w:rsidRPr="001731F5">
        <w:rPr>
          <w:rFonts w:ascii="Verdana" w:hAnsi="Verdana"/>
          <w:b/>
          <w:bCs/>
          <w:sz w:val="20"/>
          <w:lang w:val="es-CR"/>
        </w:rPr>
        <w:t xml:space="preserve"> </w:t>
      </w:r>
    </w:p>
    <w:p w14:paraId="0C86C9E7" w14:textId="12D7FBE8" w:rsidR="00107D87" w:rsidRPr="001731F5" w:rsidRDefault="00ED391E" w:rsidP="002D6A7E">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La </w:t>
      </w:r>
      <w:r w:rsidRPr="001731F5">
        <w:rPr>
          <w:rFonts w:ascii="Verdana" w:hAnsi="Verdana"/>
          <w:i/>
          <w:iCs/>
          <w:sz w:val="20"/>
          <w:lang w:val="es-CR"/>
        </w:rPr>
        <w:t>Comisión Interamericana</w:t>
      </w:r>
      <w:r w:rsidRPr="001731F5">
        <w:rPr>
          <w:rFonts w:ascii="Verdana" w:hAnsi="Verdana"/>
          <w:sz w:val="20"/>
          <w:lang w:val="es-CR"/>
        </w:rPr>
        <w:t xml:space="preserve"> “valor[</w:t>
      </w:r>
      <w:proofErr w:type="spellStart"/>
      <w:r w:rsidRPr="001731F5">
        <w:rPr>
          <w:rFonts w:ascii="Verdana" w:hAnsi="Verdana"/>
          <w:sz w:val="20"/>
          <w:lang w:val="es-CR"/>
        </w:rPr>
        <w:t>ó</w:t>
      </w:r>
      <w:proofErr w:type="spellEnd"/>
      <w:r w:rsidRPr="001731F5">
        <w:rPr>
          <w:rFonts w:ascii="Verdana" w:hAnsi="Verdana"/>
          <w:sz w:val="20"/>
          <w:lang w:val="es-CR"/>
        </w:rPr>
        <w:t xml:space="preserve">] positivamente las acciones encaminadas para el cumplimiento de esta medida y en especial la creación del ‘manual titulado </w:t>
      </w:r>
      <w:r w:rsidRPr="00807D5C">
        <w:rPr>
          <w:rFonts w:ascii="Verdana" w:hAnsi="Verdana"/>
          <w:i/>
          <w:sz w:val="20"/>
          <w:lang w:val="es-CR"/>
        </w:rPr>
        <w:t>Caso Gutiérrez y Familia Vs. Argentina. Un crimen del Estado Argentino’</w:t>
      </w:r>
      <w:r w:rsidRPr="001731F5">
        <w:rPr>
          <w:rFonts w:ascii="Verdana" w:hAnsi="Verdana"/>
          <w:sz w:val="20"/>
          <w:lang w:val="es-CR"/>
        </w:rPr>
        <w:t xml:space="preserve"> y la creación del ‘Curso de Formación en Derechos Humanos para Personal de la Policía’”. Además, sostuvo que “para considerar cumplida esta medida [es necesario que se] requiera a</w:t>
      </w:r>
      <w:r w:rsidR="009043B2">
        <w:rPr>
          <w:rFonts w:ascii="Verdana" w:hAnsi="Verdana"/>
          <w:sz w:val="20"/>
          <w:lang w:val="es-CR"/>
        </w:rPr>
        <w:t>l</w:t>
      </w:r>
      <w:r w:rsidRPr="001731F5">
        <w:rPr>
          <w:rFonts w:ascii="Verdana" w:hAnsi="Verdana"/>
          <w:sz w:val="20"/>
          <w:lang w:val="es-CR"/>
        </w:rPr>
        <w:t xml:space="preserve"> Estado más información respecto de si </w:t>
      </w:r>
      <w:r w:rsidR="00337354">
        <w:rPr>
          <w:rFonts w:ascii="Verdana" w:hAnsi="Verdana"/>
          <w:sz w:val="20"/>
          <w:lang w:val="es-CR"/>
        </w:rPr>
        <w:t>[…]</w:t>
      </w:r>
      <w:r w:rsidRPr="001731F5">
        <w:rPr>
          <w:rFonts w:ascii="Verdana" w:hAnsi="Verdana"/>
          <w:sz w:val="20"/>
          <w:lang w:val="es-CR"/>
        </w:rPr>
        <w:t xml:space="preserve"> esta materia ya integra el currículo de formación de la Policía Federal Argentina y de la Policía de la Provincia de Buenos Aires, así como de la Policía Judicial de dicha </w:t>
      </w:r>
      <w:proofErr w:type="gramStart"/>
      <w:r w:rsidRPr="001731F5">
        <w:rPr>
          <w:rFonts w:ascii="Verdana" w:hAnsi="Verdana"/>
          <w:sz w:val="20"/>
          <w:lang w:val="es-CR"/>
        </w:rPr>
        <w:t>Provincia</w:t>
      </w:r>
      <w:r w:rsidR="009043B2">
        <w:rPr>
          <w:rFonts w:ascii="Verdana" w:hAnsi="Verdana"/>
          <w:sz w:val="20"/>
          <w:lang w:val="es-CR"/>
        </w:rPr>
        <w:t>[</w:t>
      </w:r>
      <w:proofErr w:type="gramEnd"/>
      <w:r w:rsidRPr="001731F5">
        <w:rPr>
          <w:rFonts w:ascii="Verdana" w:hAnsi="Verdana"/>
          <w:sz w:val="20"/>
          <w:lang w:val="es-CR"/>
        </w:rPr>
        <w:t>,</w:t>
      </w:r>
      <w:r w:rsidR="009043B2">
        <w:rPr>
          <w:rFonts w:ascii="Verdana" w:hAnsi="Verdana"/>
          <w:sz w:val="20"/>
          <w:lang w:val="es-CR"/>
        </w:rPr>
        <w:t>]</w:t>
      </w:r>
      <w:r w:rsidRPr="001731F5">
        <w:rPr>
          <w:rFonts w:ascii="Verdana" w:hAnsi="Verdana"/>
          <w:sz w:val="20"/>
          <w:lang w:val="es-CR"/>
        </w:rPr>
        <w:t xml:space="preserve"> o si se trata de cursos no asociados a la formación obligatoria de dichos agentes”. </w:t>
      </w:r>
    </w:p>
    <w:p w14:paraId="55C15177" w14:textId="77777777" w:rsidR="00015F36" w:rsidRDefault="00015F36" w:rsidP="00807D5C">
      <w:pPr>
        <w:ind w:left="360" w:firstLine="360"/>
        <w:rPr>
          <w:rFonts w:ascii="Verdana" w:hAnsi="Verdana"/>
          <w:i/>
          <w:sz w:val="20"/>
          <w:lang w:val="es-MX"/>
        </w:rPr>
      </w:pPr>
    </w:p>
    <w:p w14:paraId="0EC3E43D" w14:textId="7E1F4D54" w:rsidR="00185A66" w:rsidRPr="001731F5" w:rsidRDefault="006A0579" w:rsidP="00807D5C">
      <w:pPr>
        <w:ind w:left="360" w:firstLine="360"/>
        <w:rPr>
          <w:rFonts w:ascii="Verdana" w:hAnsi="Verdana"/>
          <w:i/>
          <w:sz w:val="20"/>
          <w:lang w:val="es-MX"/>
        </w:rPr>
      </w:pPr>
      <w:r w:rsidRPr="001731F5">
        <w:rPr>
          <w:rFonts w:ascii="Verdana" w:hAnsi="Verdana"/>
          <w:i/>
          <w:sz w:val="20"/>
          <w:lang w:val="es-MX"/>
        </w:rPr>
        <w:t xml:space="preserve">E.3. </w:t>
      </w:r>
      <w:r w:rsidR="00185A66" w:rsidRPr="001731F5">
        <w:rPr>
          <w:rFonts w:ascii="Verdana" w:hAnsi="Verdana"/>
          <w:i/>
          <w:sz w:val="20"/>
          <w:lang w:val="es-MX"/>
        </w:rPr>
        <w:t>Consideraciones de la Corte</w:t>
      </w:r>
    </w:p>
    <w:p w14:paraId="11F7A61C" w14:textId="0BCCF3F6" w:rsidR="006341AC" w:rsidRPr="001731F5" w:rsidRDefault="00045B25" w:rsidP="00110C02">
      <w:pPr>
        <w:numPr>
          <w:ilvl w:val="0"/>
          <w:numId w:val="5"/>
        </w:numPr>
        <w:spacing w:before="120" w:after="120"/>
        <w:ind w:left="0" w:firstLine="0"/>
        <w:jc w:val="both"/>
        <w:rPr>
          <w:rFonts w:ascii="Verdana" w:hAnsi="Verdana"/>
          <w:sz w:val="20"/>
          <w:lang w:val="es-CR"/>
        </w:rPr>
      </w:pPr>
      <w:bookmarkStart w:id="31" w:name="_Ref27384524"/>
      <w:r w:rsidRPr="001731F5">
        <w:rPr>
          <w:rFonts w:ascii="Verdana" w:hAnsi="Verdana"/>
          <w:sz w:val="20"/>
          <w:lang w:val="es-CR"/>
        </w:rPr>
        <w:t>L</w:t>
      </w:r>
      <w:r w:rsidR="00110C02" w:rsidRPr="001731F5">
        <w:rPr>
          <w:rFonts w:ascii="Verdana" w:hAnsi="Verdana"/>
          <w:sz w:val="20"/>
          <w:lang w:val="es-CR"/>
        </w:rPr>
        <w:t xml:space="preserve">a Corte valora que </w:t>
      </w:r>
      <w:r w:rsidR="003865AC" w:rsidRPr="001731F5">
        <w:rPr>
          <w:rFonts w:ascii="Verdana" w:hAnsi="Verdana"/>
          <w:sz w:val="20"/>
          <w:lang w:val="es-CR"/>
        </w:rPr>
        <w:t>Argentina</w:t>
      </w:r>
      <w:r w:rsidR="00110C02" w:rsidRPr="001731F5">
        <w:rPr>
          <w:rFonts w:ascii="Verdana" w:hAnsi="Verdana"/>
          <w:sz w:val="20"/>
          <w:lang w:val="es-CR"/>
        </w:rPr>
        <w:t xml:space="preserve"> haya presentado diversa información y documentos sobre capacitaciones en la función policial</w:t>
      </w:r>
      <w:r w:rsidR="006341AC" w:rsidRPr="001731F5">
        <w:rPr>
          <w:rFonts w:ascii="Verdana" w:hAnsi="Verdana"/>
          <w:sz w:val="20"/>
          <w:lang w:val="es-CR"/>
        </w:rPr>
        <w:t>. Sin embargo, se recuerda que el Estado no solo debe limitarse a remitir documentos, sin</w:t>
      </w:r>
      <w:r w:rsidRPr="001731F5">
        <w:rPr>
          <w:rFonts w:ascii="Verdana" w:hAnsi="Verdana"/>
          <w:sz w:val="20"/>
          <w:lang w:val="es-CR"/>
        </w:rPr>
        <w:t>o</w:t>
      </w:r>
      <w:r w:rsidR="006341AC" w:rsidRPr="001731F5">
        <w:rPr>
          <w:rFonts w:ascii="Verdana" w:hAnsi="Verdana"/>
          <w:sz w:val="20"/>
          <w:lang w:val="es-CR"/>
        </w:rPr>
        <w:t xml:space="preserve"> que </w:t>
      </w:r>
      <w:r w:rsidRPr="001731F5">
        <w:rPr>
          <w:rFonts w:ascii="Verdana" w:hAnsi="Verdana"/>
          <w:sz w:val="20"/>
          <w:lang w:val="es-CR"/>
        </w:rPr>
        <w:t xml:space="preserve">en sus informes </w:t>
      </w:r>
      <w:r w:rsidR="006341AC" w:rsidRPr="001731F5">
        <w:rPr>
          <w:rFonts w:ascii="Verdana" w:hAnsi="Verdana"/>
          <w:sz w:val="20"/>
          <w:lang w:val="es-CR"/>
        </w:rPr>
        <w:t xml:space="preserve">tiene que explicar </w:t>
      </w:r>
      <w:r w:rsidRPr="001731F5">
        <w:rPr>
          <w:rFonts w:ascii="Verdana" w:hAnsi="Verdana"/>
          <w:sz w:val="20"/>
          <w:lang w:val="es-CR"/>
        </w:rPr>
        <w:t xml:space="preserve">clara y detalladamente </w:t>
      </w:r>
      <w:r w:rsidR="006341AC" w:rsidRPr="001731F5">
        <w:rPr>
          <w:rFonts w:ascii="Verdana" w:hAnsi="Verdana"/>
          <w:sz w:val="20"/>
          <w:lang w:val="es-CR"/>
        </w:rPr>
        <w:t xml:space="preserve">cuáles acciones ha implementado para dar cumplimiento a la </w:t>
      </w:r>
      <w:r w:rsidRPr="001731F5">
        <w:rPr>
          <w:rFonts w:ascii="Verdana" w:hAnsi="Verdana"/>
          <w:sz w:val="20"/>
          <w:lang w:val="es-CR"/>
        </w:rPr>
        <w:t>reparación</w:t>
      </w:r>
      <w:r w:rsidR="006341AC" w:rsidRPr="001731F5">
        <w:rPr>
          <w:rFonts w:ascii="Verdana" w:hAnsi="Verdana"/>
          <w:sz w:val="20"/>
          <w:lang w:val="es-CR"/>
        </w:rPr>
        <w:t xml:space="preserve"> y </w:t>
      </w:r>
      <w:r w:rsidRPr="001731F5">
        <w:rPr>
          <w:rFonts w:ascii="Verdana" w:hAnsi="Verdana"/>
          <w:sz w:val="20"/>
          <w:lang w:val="es-CR"/>
        </w:rPr>
        <w:t>expresar</w:t>
      </w:r>
      <w:r w:rsidR="006341AC" w:rsidRPr="001731F5">
        <w:rPr>
          <w:rFonts w:ascii="Verdana" w:hAnsi="Verdana"/>
          <w:sz w:val="20"/>
          <w:lang w:val="es-CR"/>
        </w:rPr>
        <w:t xml:space="preserve"> una posición en cuanto al nivel de cumplimiento alcanzado (</w:t>
      </w:r>
      <w:r w:rsidR="006341AC" w:rsidRPr="001731F5">
        <w:rPr>
          <w:rFonts w:ascii="Verdana" w:hAnsi="Verdana"/>
          <w:i/>
          <w:iCs/>
          <w:sz w:val="20"/>
          <w:lang w:val="es-CR"/>
        </w:rPr>
        <w:t>supra</w:t>
      </w:r>
      <w:r w:rsidR="006341AC" w:rsidRPr="001731F5">
        <w:rPr>
          <w:rFonts w:ascii="Verdana" w:hAnsi="Verdana"/>
          <w:sz w:val="20"/>
          <w:lang w:val="es-CR"/>
        </w:rPr>
        <w:t xml:space="preserve"> Considerando </w:t>
      </w:r>
      <w:r w:rsidR="00337354">
        <w:rPr>
          <w:rFonts w:ascii="Verdana" w:hAnsi="Verdana"/>
          <w:sz w:val="20"/>
          <w:lang w:val="es-CR"/>
        </w:rPr>
        <w:t>10</w:t>
      </w:r>
      <w:r w:rsidR="006341AC" w:rsidRPr="001731F5">
        <w:rPr>
          <w:rFonts w:ascii="Verdana" w:hAnsi="Verdana"/>
          <w:sz w:val="20"/>
          <w:lang w:val="es-CR"/>
        </w:rPr>
        <w:t>).</w:t>
      </w:r>
      <w:bookmarkEnd w:id="31"/>
      <w:r w:rsidR="006341AC" w:rsidRPr="001731F5">
        <w:rPr>
          <w:rFonts w:ascii="Verdana" w:hAnsi="Verdana"/>
          <w:sz w:val="20"/>
          <w:lang w:val="es-CR"/>
        </w:rPr>
        <w:t xml:space="preserve"> </w:t>
      </w:r>
    </w:p>
    <w:p w14:paraId="5FD05F6E" w14:textId="75A0AE57" w:rsidR="00110C02" w:rsidRPr="001731F5" w:rsidRDefault="006341AC" w:rsidP="00045B25">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De la vasta información aportada por el Estado no es posible desprender con </w:t>
      </w:r>
      <w:r w:rsidR="0088785D" w:rsidRPr="001731F5">
        <w:rPr>
          <w:rFonts w:ascii="Verdana" w:hAnsi="Verdana"/>
          <w:sz w:val="20"/>
          <w:lang w:val="es-CR"/>
        </w:rPr>
        <w:t>claridad</w:t>
      </w:r>
      <w:r w:rsidRPr="001731F5">
        <w:rPr>
          <w:rFonts w:ascii="Verdana" w:hAnsi="Verdana"/>
          <w:sz w:val="20"/>
          <w:lang w:val="es-CR"/>
        </w:rPr>
        <w:t xml:space="preserve"> cuáles son las acciones que ha implementado para dar cumplimiento a esta medida de reparación, la cual no se </w:t>
      </w:r>
      <w:r w:rsidR="00D564F6">
        <w:rPr>
          <w:rFonts w:ascii="Verdana" w:hAnsi="Verdana"/>
          <w:sz w:val="20"/>
          <w:lang w:val="es-CR"/>
        </w:rPr>
        <w:t xml:space="preserve">limita </w:t>
      </w:r>
      <w:r w:rsidRPr="001731F5">
        <w:rPr>
          <w:rFonts w:ascii="Verdana" w:hAnsi="Verdana"/>
          <w:sz w:val="20"/>
          <w:lang w:val="es-CR"/>
        </w:rPr>
        <w:t xml:space="preserve">a la realización de capacitaciones para personal de la policía, sino </w:t>
      </w:r>
      <w:r w:rsidR="00D564F6">
        <w:rPr>
          <w:rFonts w:ascii="Verdana" w:hAnsi="Verdana"/>
          <w:sz w:val="20"/>
          <w:lang w:val="es-CR"/>
        </w:rPr>
        <w:t>que implica</w:t>
      </w:r>
      <w:r w:rsidRPr="001731F5">
        <w:rPr>
          <w:rFonts w:ascii="Verdana" w:hAnsi="Verdana"/>
          <w:sz w:val="20"/>
          <w:lang w:val="es-CR"/>
        </w:rPr>
        <w:t xml:space="preserve"> asegurar que se </w:t>
      </w:r>
      <w:r w:rsidR="00110C02" w:rsidRPr="001731F5">
        <w:rPr>
          <w:rFonts w:ascii="Verdana" w:hAnsi="Verdana"/>
          <w:sz w:val="20"/>
          <w:lang w:val="es-CR"/>
        </w:rPr>
        <w:t>“</w:t>
      </w:r>
      <w:proofErr w:type="spellStart"/>
      <w:r w:rsidR="00110C02" w:rsidRPr="001731F5">
        <w:rPr>
          <w:rFonts w:ascii="Verdana" w:hAnsi="Verdana"/>
          <w:sz w:val="20"/>
        </w:rPr>
        <w:t>integr</w:t>
      </w:r>
      <w:proofErr w:type="spellEnd"/>
      <w:r w:rsidRPr="001731F5">
        <w:rPr>
          <w:rFonts w:ascii="Verdana" w:hAnsi="Verdana"/>
          <w:sz w:val="20"/>
        </w:rPr>
        <w:t>[en]</w:t>
      </w:r>
      <w:r w:rsidR="00110C02" w:rsidRPr="001731F5">
        <w:rPr>
          <w:rFonts w:ascii="Verdana" w:hAnsi="Verdana"/>
          <w:sz w:val="20"/>
        </w:rPr>
        <w:t xml:space="preserve"> a los currículos de formación o planes de estudio de la Policía Federal Argentina y de la Policía de la Provincia de Buenos Aires, así como de la Policía Judicial de dicha Provincia” cursos con los contenidos determinados en la Sentencia del caso, a saber: “las obligaciones de respeto y garantía de los derechos humanos, particularmente[,] el derecho a la vida, y sobre la obligación de investigar con debida diligencia y </w:t>
      </w:r>
      <w:r w:rsidR="003D473D">
        <w:rPr>
          <w:rFonts w:ascii="Verdana" w:hAnsi="Verdana"/>
          <w:sz w:val="20"/>
        </w:rPr>
        <w:t xml:space="preserve">la </w:t>
      </w:r>
      <w:r w:rsidR="00110C02" w:rsidRPr="001731F5">
        <w:rPr>
          <w:rFonts w:ascii="Verdana" w:hAnsi="Verdana"/>
          <w:sz w:val="20"/>
        </w:rPr>
        <w:t xml:space="preserve">tutela </w:t>
      </w:r>
      <w:r w:rsidR="003D473D">
        <w:rPr>
          <w:rFonts w:ascii="Verdana" w:hAnsi="Verdana"/>
          <w:sz w:val="20"/>
        </w:rPr>
        <w:t xml:space="preserve">judicial </w:t>
      </w:r>
      <w:r w:rsidR="00110C02" w:rsidRPr="001731F5">
        <w:rPr>
          <w:rFonts w:ascii="Verdana" w:hAnsi="Verdana"/>
          <w:sz w:val="20"/>
        </w:rPr>
        <w:t>efectiva, así como el control de convencionalidad, refiriéndose al presente caso y a esta Sentencia” (</w:t>
      </w:r>
      <w:r w:rsidR="00110C02" w:rsidRPr="001731F5">
        <w:rPr>
          <w:rFonts w:ascii="Verdana" w:hAnsi="Verdana"/>
          <w:i/>
          <w:iCs/>
          <w:sz w:val="20"/>
        </w:rPr>
        <w:t>supra</w:t>
      </w:r>
      <w:r w:rsidR="00110C02" w:rsidRPr="001731F5">
        <w:rPr>
          <w:rFonts w:ascii="Verdana" w:hAnsi="Verdana"/>
          <w:sz w:val="20"/>
        </w:rPr>
        <w:t xml:space="preserve"> Considerando </w:t>
      </w:r>
      <w:r w:rsidR="003D473D">
        <w:rPr>
          <w:rFonts w:ascii="Verdana" w:hAnsi="Verdana"/>
          <w:sz w:val="20"/>
        </w:rPr>
        <w:fldChar w:fldCharType="begin"/>
      </w:r>
      <w:r w:rsidR="003D473D">
        <w:rPr>
          <w:rFonts w:ascii="Verdana" w:hAnsi="Verdana"/>
          <w:sz w:val="20"/>
        </w:rPr>
        <w:instrText xml:space="preserve"> REF _Ref27382598 \r \h </w:instrText>
      </w:r>
      <w:r w:rsidR="003D473D">
        <w:rPr>
          <w:rFonts w:ascii="Verdana" w:hAnsi="Verdana"/>
          <w:sz w:val="20"/>
        </w:rPr>
      </w:r>
      <w:r w:rsidR="003D473D">
        <w:rPr>
          <w:rFonts w:ascii="Verdana" w:hAnsi="Verdana"/>
          <w:sz w:val="20"/>
        </w:rPr>
        <w:fldChar w:fldCharType="separate"/>
      </w:r>
      <w:r w:rsidR="00756751">
        <w:rPr>
          <w:rFonts w:ascii="Verdana" w:hAnsi="Verdana"/>
          <w:sz w:val="20"/>
        </w:rPr>
        <w:t>42</w:t>
      </w:r>
      <w:r w:rsidR="003D473D">
        <w:rPr>
          <w:rFonts w:ascii="Verdana" w:hAnsi="Verdana"/>
          <w:sz w:val="20"/>
        </w:rPr>
        <w:fldChar w:fldCharType="end"/>
      </w:r>
      <w:r w:rsidR="00110C02" w:rsidRPr="001731F5">
        <w:rPr>
          <w:rFonts w:ascii="Verdana" w:hAnsi="Verdana"/>
          <w:sz w:val="20"/>
        </w:rPr>
        <w:t>).</w:t>
      </w:r>
      <w:r w:rsidR="00110C02" w:rsidRPr="001731F5">
        <w:rPr>
          <w:rFonts w:ascii="Verdana" w:hAnsi="Verdana"/>
          <w:sz w:val="20"/>
          <w:lang w:val="es-CR"/>
        </w:rPr>
        <w:t xml:space="preserve"> </w:t>
      </w:r>
      <w:r w:rsidR="00D564F6">
        <w:rPr>
          <w:rFonts w:ascii="Verdana" w:hAnsi="Verdana"/>
          <w:sz w:val="20"/>
          <w:lang w:val="es-CR"/>
        </w:rPr>
        <w:t xml:space="preserve">Es decir que </w:t>
      </w:r>
      <w:r w:rsidR="003D473D">
        <w:rPr>
          <w:rFonts w:ascii="Verdana" w:hAnsi="Verdana"/>
          <w:sz w:val="20"/>
          <w:lang w:val="es-CR"/>
        </w:rPr>
        <w:t>aun</w:t>
      </w:r>
      <w:r w:rsidR="00D564F6">
        <w:rPr>
          <w:rFonts w:ascii="Verdana" w:hAnsi="Verdana"/>
          <w:sz w:val="20"/>
          <w:lang w:val="es-CR"/>
        </w:rPr>
        <w:t xml:space="preserve"> cuando el Estado haya realizado capacitaciones, debe asegurar que las mismas queden integradas a los referidos currículos o planes de estudio</w:t>
      </w:r>
      <w:r w:rsidR="00337354">
        <w:rPr>
          <w:rFonts w:ascii="Verdana" w:hAnsi="Verdana"/>
          <w:sz w:val="20"/>
          <w:lang w:val="es-CR"/>
        </w:rPr>
        <w:t xml:space="preserve"> de las policías</w:t>
      </w:r>
      <w:r w:rsidR="00D564F6">
        <w:rPr>
          <w:rFonts w:ascii="Verdana" w:hAnsi="Verdana"/>
          <w:sz w:val="20"/>
          <w:lang w:val="es-CR"/>
        </w:rPr>
        <w:t xml:space="preserve">, de manera permanente. </w:t>
      </w:r>
    </w:p>
    <w:p w14:paraId="72C15FA6" w14:textId="0365CBD7" w:rsidR="00110C02" w:rsidRPr="001731F5" w:rsidRDefault="001731F5" w:rsidP="00EE564E">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Entonces, p</w:t>
      </w:r>
      <w:r w:rsidR="00110C02" w:rsidRPr="001731F5">
        <w:rPr>
          <w:rFonts w:ascii="Verdana" w:hAnsi="Verdana"/>
          <w:sz w:val="20"/>
          <w:lang w:val="es-CR"/>
        </w:rPr>
        <w:t xml:space="preserve">ara valorar el </w:t>
      </w:r>
      <w:r w:rsidR="006341AC" w:rsidRPr="001731F5">
        <w:rPr>
          <w:rFonts w:ascii="Verdana" w:hAnsi="Verdana"/>
          <w:sz w:val="20"/>
          <w:lang w:val="es-CR"/>
        </w:rPr>
        <w:t xml:space="preserve">nivel de </w:t>
      </w:r>
      <w:r w:rsidR="00110C02" w:rsidRPr="001731F5">
        <w:rPr>
          <w:rFonts w:ascii="Verdana" w:hAnsi="Verdana"/>
          <w:sz w:val="20"/>
          <w:lang w:val="es-CR"/>
        </w:rPr>
        <w:t>cumplimiento de esta reparación</w:t>
      </w:r>
      <w:r w:rsidRPr="001731F5">
        <w:rPr>
          <w:rFonts w:ascii="Verdana" w:hAnsi="Verdana"/>
          <w:sz w:val="20"/>
          <w:lang w:val="es-CR"/>
        </w:rPr>
        <w:t xml:space="preserve">, </w:t>
      </w:r>
      <w:r w:rsidR="006341AC" w:rsidRPr="001731F5">
        <w:rPr>
          <w:rFonts w:ascii="Verdana" w:hAnsi="Verdana"/>
          <w:sz w:val="20"/>
          <w:lang w:val="es-CR"/>
        </w:rPr>
        <w:t>el Tribunal deberá constatar que los planes de formación o estudio de las tres instituciones policiales incorporen cursos con esos contenidos. Tal valoración requiere que Argentina presente dicha información con mayor claridad. En ese sentido,</w:t>
      </w:r>
      <w:r w:rsidR="00110C02" w:rsidRPr="001731F5">
        <w:rPr>
          <w:rFonts w:ascii="Verdana" w:hAnsi="Verdana"/>
          <w:sz w:val="20"/>
          <w:lang w:val="es-CR"/>
        </w:rPr>
        <w:t xml:space="preserve"> </w:t>
      </w:r>
      <w:r w:rsidR="006341AC" w:rsidRPr="001731F5">
        <w:rPr>
          <w:rFonts w:ascii="Verdana" w:hAnsi="Verdana"/>
          <w:sz w:val="20"/>
          <w:lang w:val="es-CR"/>
        </w:rPr>
        <w:t>es necesario que</w:t>
      </w:r>
      <w:r w:rsidR="00110C02" w:rsidRPr="001731F5">
        <w:rPr>
          <w:rFonts w:ascii="Verdana" w:hAnsi="Verdana"/>
          <w:sz w:val="20"/>
          <w:lang w:val="es-CR"/>
        </w:rPr>
        <w:t xml:space="preserve"> elabore un </w:t>
      </w:r>
      <w:r w:rsidR="00110C02" w:rsidRPr="001731F5">
        <w:rPr>
          <w:rFonts w:ascii="Verdana" w:hAnsi="Verdana"/>
          <w:sz w:val="20"/>
          <w:lang w:val="es-CR"/>
        </w:rPr>
        <w:lastRenderedPageBreak/>
        <w:t xml:space="preserve">informe pormenorizado en el que explique cómo los planes de estudio de la </w:t>
      </w:r>
      <w:r w:rsidR="00110C02" w:rsidRPr="001731F5">
        <w:rPr>
          <w:rFonts w:ascii="Verdana" w:hAnsi="Verdana"/>
          <w:sz w:val="20"/>
        </w:rPr>
        <w:t xml:space="preserve">Policía Federal Argentina, la Policía de la Provincia de Buenos Aires y la Policía Judicial de dicha Provincia han integrado los </w:t>
      </w:r>
      <w:r w:rsidRPr="001731F5">
        <w:rPr>
          <w:rFonts w:ascii="Verdana" w:hAnsi="Verdana"/>
          <w:sz w:val="20"/>
        </w:rPr>
        <w:t>contenidos</w:t>
      </w:r>
      <w:r w:rsidR="00110C02" w:rsidRPr="001731F5">
        <w:rPr>
          <w:rFonts w:ascii="Verdana" w:hAnsi="Verdana"/>
          <w:sz w:val="20"/>
        </w:rPr>
        <w:t xml:space="preserve"> referidos en la Sentencia, aporte copia de dichos planes de estudio y exprese de forma concreta cuál es su posición respecto al nivel de cumplimiento de esta medida (</w:t>
      </w:r>
      <w:r w:rsidR="00110C02" w:rsidRPr="001731F5">
        <w:rPr>
          <w:rFonts w:ascii="Verdana" w:hAnsi="Verdana"/>
          <w:i/>
          <w:iCs/>
          <w:sz w:val="20"/>
        </w:rPr>
        <w:t xml:space="preserve">supra </w:t>
      </w:r>
      <w:r w:rsidR="00110C02" w:rsidRPr="001731F5">
        <w:rPr>
          <w:rFonts w:ascii="Verdana" w:hAnsi="Verdana"/>
          <w:sz w:val="20"/>
        </w:rPr>
        <w:t xml:space="preserve">Considerando </w:t>
      </w:r>
      <w:r w:rsidR="00337354">
        <w:rPr>
          <w:rFonts w:ascii="Verdana" w:hAnsi="Verdana"/>
          <w:sz w:val="20"/>
        </w:rPr>
        <w:t>46</w:t>
      </w:r>
      <w:r w:rsidR="00110C02" w:rsidRPr="001731F5">
        <w:rPr>
          <w:rFonts w:ascii="Verdana" w:hAnsi="Verdana"/>
          <w:sz w:val="20"/>
        </w:rPr>
        <w:t xml:space="preserve">). </w:t>
      </w:r>
    </w:p>
    <w:p w14:paraId="26ED0C9A" w14:textId="7349B152" w:rsidR="006341AC" w:rsidRPr="001731F5" w:rsidRDefault="006341AC" w:rsidP="00EE564E">
      <w:pPr>
        <w:numPr>
          <w:ilvl w:val="0"/>
          <w:numId w:val="5"/>
        </w:numPr>
        <w:spacing w:before="120" w:after="120"/>
        <w:ind w:left="0" w:firstLine="0"/>
        <w:jc w:val="both"/>
        <w:rPr>
          <w:rFonts w:ascii="Verdana" w:hAnsi="Verdana"/>
          <w:sz w:val="20"/>
          <w:lang w:val="es-CR"/>
        </w:rPr>
      </w:pPr>
      <w:r w:rsidRPr="001731F5">
        <w:rPr>
          <w:rFonts w:ascii="Verdana" w:hAnsi="Verdana"/>
          <w:sz w:val="20"/>
        </w:rPr>
        <w:t>Por otra parte, la Corte valora positivamente</w:t>
      </w:r>
      <w:r w:rsidR="00511A02" w:rsidRPr="001731F5">
        <w:rPr>
          <w:rFonts w:ascii="Verdana" w:hAnsi="Verdana"/>
          <w:sz w:val="20"/>
        </w:rPr>
        <w:t xml:space="preserve"> que, con el parecer de los representantes y la familia Gutiérrez, se haya</w:t>
      </w:r>
      <w:r w:rsidRPr="001731F5">
        <w:rPr>
          <w:rFonts w:ascii="Verdana" w:hAnsi="Verdana"/>
          <w:sz w:val="20"/>
        </w:rPr>
        <w:t xml:space="preserve"> </w:t>
      </w:r>
      <w:r w:rsidR="00511A02" w:rsidRPr="001731F5">
        <w:rPr>
          <w:rFonts w:ascii="Verdana" w:hAnsi="Verdana"/>
          <w:sz w:val="20"/>
        </w:rPr>
        <w:t>elaborado un</w:t>
      </w:r>
      <w:r w:rsidRPr="001731F5">
        <w:rPr>
          <w:rFonts w:ascii="Verdana" w:hAnsi="Verdana"/>
          <w:sz w:val="20"/>
        </w:rPr>
        <w:t xml:space="preserve"> cuadernillo sobre lo ocurrido en el presente caso </w:t>
      </w:r>
      <w:r w:rsidR="001731F5" w:rsidRPr="001731F5">
        <w:rPr>
          <w:rFonts w:ascii="Verdana" w:hAnsi="Verdana"/>
          <w:sz w:val="20"/>
        </w:rPr>
        <w:t xml:space="preserve">y la Sentencia emitida por la Corte Interamericana, </w:t>
      </w:r>
      <w:r w:rsidR="00511A02" w:rsidRPr="001731F5">
        <w:rPr>
          <w:rFonts w:ascii="Verdana" w:hAnsi="Verdana"/>
          <w:sz w:val="20"/>
        </w:rPr>
        <w:t>con</w:t>
      </w:r>
      <w:r w:rsidRPr="001731F5">
        <w:rPr>
          <w:rFonts w:ascii="Verdana" w:hAnsi="Verdana"/>
          <w:sz w:val="20"/>
        </w:rPr>
        <w:t xml:space="preserve"> la intención de que éste sea utilizado en la formación policial</w:t>
      </w:r>
      <w:r w:rsidR="00337354">
        <w:rPr>
          <w:rFonts w:ascii="Verdana" w:hAnsi="Verdana"/>
          <w:sz w:val="20"/>
        </w:rPr>
        <w:t xml:space="preserve"> (</w:t>
      </w:r>
      <w:r w:rsidR="00337354" w:rsidRPr="00807D5C">
        <w:rPr>
          <w:rFonts w:ascii="Verdana" w:hAnsi="Verdana"/>
          <w:i/>
          <w:sz w:val="20"/>
        </w:rPr>
        <w:t>supra</w:t>
      </w:r>
      <w:r w:rsidR="00337354">
        <w:rPr>
          <w:rFonts w:ascii="Verdana" w:hAnsi="Verdana"/>
          <w:sz w:val="20"/>
        </w:rPr>
        <w:t xml:space="preserve"> Considerandos 43 y 44)</w:t>
      </w:r>
      <w:r w:rsidR="001731F5" w:rsidRPr="001731F5">
        <w:rPr>
          <w:rFonts w:ascii="Verdana" w:hAnsi="Verdana"/>
          <w:sz w:val="20"/>
        </w:rPr>
        <w:t>. Esto</w:t>
      </w:r>
      <w:r w:rsidR="00511A02" w:rsidRPr="001731F5">
        <w:rPr>
          <w:rFonts w:ascii="Verdana" w:hAnsi="Verdana"/>
          <w:sz w:val="20"/>
        </w:rPr>
        <w:t xml:space="preserve"> es acorde con la reparación ordenada, en el sentido de que la </w:t>
      </w:r>
      <w:r w:rsidR="001731F5" w:rsidRPr="001731F5">
        <w:rPr>
          <w:rFonts w:ascii="Verdana" w:hAnsi="Verdana"/>
          <w:sz w:val="20"/>
        </w:rPr>
        <w:t>S</w:t>
      </w:r>
      <w:r w:rsidR="00511A02" w:rsidRPr="001731F5">
        <w:rPr>
          <w:rFonts w:ascii="Verdana" w:hAnsi="Verdana"/>
          <w:sz w:val="20"/>
        </w:rPr>
        <w:t xml:space="preserve">entencia del presente caso es uno de los temas que debe integrarse a los planes de estudio de las referidas tres policías. </w:t>
      </w:r>
      <w:r w:rsidRPr="001731F5">
        <w:rPr>
          <w:rFonts w:ascii="Verdana" w:hAnsi="Verdana"/>
          <w:sz w:val="20"/>
        </w:rPr>
        <w:t xml:space="preserve">Al respecto, se solicita al Estado que en el informe requerido en el </w:t>
      </w:r>
      <w:r w:rsidR="00337354">
        <w:rPr>
          <w:rFonts w:ascii="Verdana" w:hAnsi="Verdana"/>
          <w:sz w:val="20"/>
        </w:rPr>
        <w:t>C</w:t>
      </w:r>
      <w:r w:rsidR="00337354" w:rsidRPr="001731F5">
        <w:rPr>
          <w:rFonts w:ascii="Verdana" w:hAnsi="Verdana"/>
          <w:sz w:val="20"/>
        </w:rPr>
        <w:t xml:space="preserve">onsiderando </w:t>
      </w:r>
      <w:r w:rsidRPr="001731F5">
        <w:rPr>
          <w:rFonts w:ascii="Verdana" w:hAnsi="Verdana"/>
          <w:sz w:val="20"/>
        </w:rPr>
        <w:t xml:space="preserve">anterior también </w:t>
      </w:r>
      <w:r w:rsidR="001731F5" w:rsidRPr="001731F5">
        <w:rPr>
          <w:rFonts w:ascii="Verdana" w:hAnsi="Verdana"/>
          <w:sz w:val="20"/>
        </w:rPr>
        <w:t>indique</w:t>
      </w:r>
      <w:r w:rsidR="00511A02" w:rsidRPr="001731F5">
        <w:rPr>
          <w:rFonts w:ascii="Verdana" w:hAnsi="Verdana"/>
          <w:sz w:val="20"/>
        </w:rPr>
        <w:t xml:space="preserve"> si</w:t>
      </w:r>
      <w:r w:rsidRPr="001731F5">
        <w:rPr>
          <w:rFonts w:ascii="Verdana" w:hAnsi="Verdana"/>
          <w:sz w:val="20"/>
        </w:rPr>
        <w:t xml:space="preserve"> </w:t>
      </w:r>
      <w:r w:rsidR="00081F89">
        <w:rPr>
          <w:rFonts w:ascii="Verdana" w:hAnsi="Verdana"/>
          <w:sz w:val="20"/>
        </w:rPr>
        <w:t xml:space="preserve">el </w:t>
      </w:r>
      <w:r w:rsidRPr="001731F5">
        <w:rPr>
          <w:rFonts w:ascii="Verdana" w:hAnsi="Verdana"/>
          <w:sz w:val="20"/>
        </w:rPr>
        <w:t xml:space="preserve">cuadernillo </w:t>
      </w:r>
      <w:r w:rsidR="00511A02" w:rsidRPr="001731F5">
        <w:rPr>
          <w:rFonts w:ascii="Verdana" w:hAnsi="Verdana"/>
          <w:sz w:val="20"/>
        </w:rPr>
        <w:t>ya h</w:t>
      </w:r>
      <w:r w:rsidRPr="001731F5">
        <w:rPr>
          <w:rFonts w:ascii="Verdana" w:hAnsi="Verdana"/>
          <w:sz w:val="20"/>
        </w:rPr>
        <w:t xml:space="preserve">a sido integrado </w:t>
      </w:r>
      <w:r w:rsidR="00511A02" w:rsidRPr="001731F5">
        <w:rPr>
          <w:rFonts w:ascii="Verdana" w:hAnsi="Verdana"/>
          <w:sz w:val="20"/>
        </w:rPr>
        <w:t>en los</w:t>
      </w:r>
      <w:r w:rsidRPr="001731F5">
        <w:rPr>
          <w:rFonts w:ascii="Verdana" w:hAnsi="Verdana"/>
          <w:sz w:val="20"/>
        </w:rPr>
        <w:t xml:space="preserve"> planes de estudio</w:t>
      </w:r>
      <w:r w:rsidR="00337354">
        <w:rPr>
          <w:rFonts w:ascii="Verdana" w:hAnsi="Verdana"/>
          <w:sz w:val="20"/>
        </w:rPr>
        <w:t xml:space="preserve"> de las policías</w:t>
      </w:r>
      <w:r w:rsidRPr="001731F5">
        <w:rPr>
          <w:rFonts w:ascii="Verdana" w:hAnsi="Verdana"/>
          <w:sz w:val="20"/>
        </w:rPr>
        <w:t xml:space="preserve">. </w:t>
      </w:r>
    </w:p>
    <w:p w14:paraId="06369F45" w14:textId="1EEED604" w:rsidR="00511A02" w:rsidRPr="001731F5" w:rsidRDefault="00511A02" w:rsidP="00EE564E">
      <w:pPr>
        <w:numPr>
          <w:ilvl w:val="0"/>
          <w:numId w:val="5"/>
        </w:numPr>
        <w:spacing w:before="120" w:after="120"/>
        <w:ind w:left="0" w:firstLine="0"/>
        <w:jc w:val="both"/>
        <w:rPr>
          <w:rFonts w:ascii="Verdana" w:hAnsi="Verdana"/>
          <w:sz w:val="20"/>
          <w:lang w:val="es-CR"/>
        </w:rPr>
      </w:pPr>
      <w:bookmarkStart w:id="32" w:name="_Ref27384526"/>
      <w:r w:rsidRPr="001731F5">
        <w:rPr>
          <w:rFonts w:ascii="Verdana" w:hAnsi="Verdana"/>
          <w:sz w:val="20"/>
        </w:rPr>
        <w:t>Adicionalmente, el Estado hizo referencia al “</w:t>
      </w:r>
      <w:r w:rsidRPr="001731F5">
        <w:rPr>
          <w:rFonts w:ascii="Verdana" w:hAnsi="Verdana"/>
          <w:sz w:val="20"/>
          <w:lang w:val="es-CR"/>
        </w:rPr>
        <w:t>Curso de Formación en Derechos Humanos para Personal de la Policía”</w:t>
      </w:r>
      <w:r w:rsidR="003865AC" w:rsidRPr="001731F5">
        <w:rPr>
          <w:rFonts w:ascii="Verdana" w:hAnsi="Verdana"/>
          <w:sz w:val="20"/>
          <w:lang w:val="es-CR"/>
        </w:rPr>
        <w:t xml:space="preserve"> (</w:t>
      </w:r>
      <w:r w:rsidR="003865AC" w:rsidRPr="001731F5">
        <w:rPr>
          <w:rFonts w:ascii="Verdana" w:hAnsi="Verdana"/>
          <w:i/>
          <w:iCs/>
          <w:sz w:val="20"/>
          <w:lang w:val="es-CR"/>
        </w:rPr>
        <w:t xml:space="preserve">supra </w:t>
      </w:r>
      <w:r w:rsidR="003865AC" w:rsidRPr="001731F5">
        <w:rPr>
          <w:rFonts w:ascii="Verdana" w:hAnsi="Verdana"/>
          <w:sz w:val="20"/>
          <w:lang w:val="es-CR"/>
        </w:rPr>
        <w:t xml:space="preserve">Considerando </w:t>
      </w:r>
      <w:r w:rsidR="00081F89">
        <w:rPr>
          <w:rFonts w:ascii="Verdana" w:hAnsi="Verdana"/>
          <w:sz w:val="20"/>
          <w:lang w:val="es-CR"/>
        </w:rPr>
        <w:fldChar w:fldCharType="begin"/>
      </w:r>
      <w:r w:rsidR="00081F89">
        <w:rPr>
          <w:rFonts w:ascii="Verdana" w:hAnsi="Verdana"/>
          <w:sz w:val="20"/>
          <w:lang w:val="es-CR"/>
        </w:rPr>
        <w:instrText xml:space="preserve"> REF _Ref27382942 \r \h </w:instrText>
      </w:r>
      <w:r w:rsidR="00081F89">
        <w:rPr>
          <w:rFonts w:ascii="Verdana" w:hAnsi="Verdana"/>
          <w:sz w:val="20"/>
          <w:lang w:val="es-CR"/>
        </w:rPr>
      </w:r>
      <w:r w:rsidR="00081F89">
        <w:rPr>
          <w:rFonts w:ascii="Verdana" w:hAnsi="Verdana"/>
          <w:sz w:val="20"/>
          <w:lang w:val="es-CR"/>
        </w:rPr>
        <w:fldChar w:fldCharType="separate"/>
      </w:r>
      <w:r w:rsidR="00756751">
        <w:rPr>
          <w:rFonts w:ascii="Verdana" w:hAnsi="Verdana"/>
          <w:sz w:val="20"/>
          <w:lang w:val="es-CR"/>
        </w:rPr>
        <w:t>43</w:t>
      </w:r>
      <w:r w:rsidR="00081F89">
        <w:rPr>
          <w:rFonts w:ascii="Verdana" w:hAnsi="Verdana"/>
          <w:sz w:val="20"/>
          <w:lang w:val="es-CR"/>
        </w:rPr>
        <w:fldChar w:fldCharType="end"/>
      </w:r>
      <w:r w:rsidR="003865AC" w:rsidRPr="001731F5">
        <w:rPr>
          <w:rFonts w:ascii="Verdana" w:hAnsi="Verdana"/>
          <w:sz w:val="20"/>
          <w:lang w:val="es-CR"/>
        </w:rPr>
        <w:t>) y a los contenidos que en él se desarrollan</w:t>
      </w:r>
      <w:r w:rsidR="003865AC" w:rsidRPr="001731F5">
        <w:rPr>
          <w:rStyle w:val="Refdenotaalpie"/>
          <w:rFonts w:ascii="Verdana" w:hAnsi="Verdana"/>
          <w:sz w:val="20"/>
          <w:lang w:val="es-CR"/>
        </w:rPr>
        <w:footnoteReference w:id="48"/>
      </w:r>
      <w:r w:rsidRPr="001731F5">
        <w:rPr>
          <w:rFonts w:ascii="Verdana" w:hAnsi="Verdana"/>
          <w:sz w:val="20"/>
          <w:lang w:val="es-CR"/>
        </w:rPr>
        <w:t>.</w:t>
      </w:r>
      <w:r w:rsidR="001731F5" w:rsidRPr="001731F5">
        <w:rPr>
          <w:rFonts w:ascii="Verdana" w:hAnsi="Verdana"/>
          <w:sz w:val="20"/>
          <w:lang w:val="es-CR"/>
        </w:rPr>
        <w:t xml:space="preserve"> Con la información aportada,</w:t>
      </w:r>
      <w:r w:rsidR="003865AC" w:rsidRPr="001731F5">
        <w:rPr>
          <w:rFonts w:ascii="Verdana" w:hAnsi="Verdana"/>
          <w:sz w:val="20"/>
          <w:lang w:val="es-CR"/>
        </w:rPr>
        <w:t xml:space="preserve"> no queda claro si este curso es sol</w:t>
      </w:r>
      <w:r w:rsidR="00337354">
        <w:rPr>
          <w:rFonts w:ascii="Verdana" w:hAnsi="Verdana"/>
          <w:sz w:val="20"/>
          <w:lang w:val="es-CR"/>
        </w:rPr>
        <w:t>o</w:t>
      </w:r>
      <w:r w:rsidR="003865AC" w:rsidRPr="001731F5">
        <w:rPr>
          <w:rFonts w:ascii="Verdana" w:hAnsi="Verdana"/>
          <w:sz w:val="20"/>
          <w:lang w:val="es-CR"/>
        </w:rPr>
        <w:t xml:space="preserve"> para la Policía de la Provincia de Buenos Aires y forma parte de su plan de estudios, o si </w:t>
      </w:r>
      <w:r w:rsidR="001731F5" w:rsidRPr="001731F5">
        <w:rPr>
          <w:rFonts w:ascii="Verdana" w:hAnsi="Verdana"/>
          <w:sz w:val="20"/>
          <w:lang w:val="es-CR"/>
        </w:rPr>
        <w:t xml:space="preserve">también </w:t>
      </w:r>
      <w:r w:rsidR="003865AC" w:rsidRPr="001731F5">
        <w:rPr>
          <w:rFonts w:ascii="Verdana" w:hAnsi="Verdana"/>
          <w:sz w:val="20"/>
          <w:lang w:val="es-CR"/>
        </w:rPr>
        <w:t xml:space="preserve">se impartirá para las otras dos policías. Tampoco </w:t>
      </w:r>
      <w:r w:rsidR="001731F5" w:rsidRPr="001731F5">
        <w:rPr>
          <w:rFonts w:ascii="Verdana" w:hAnsi="Verdana"/>
          <w:sz w:val="20"/>
          <w:lang w:val="es-CR"/>
        </w:rPr>
        <w:t>está</w:t>
      </w:r>
      <w:r w:rsidR="003865AC" w:rsidRPr="001731F5">
        <w:rPr>
          <w:rFonts w:ascii="Verdana" w:hAnsi="Verdana"/>
          <w:sz w:val="20"/>
          <w:lang w:val="es-CR"/>
        </w:rPr>
        <w:t xml:space="preserve"> claro </w:t>
      </w:r>
      <w:r w:rsidR="001731F5" w:rsidRPr="001731F5">
        <w:rPr>
          <w:rFonts w:ascii="Verdana" w:hAnsi="Verdana"/>
          <w:sz w:val="20"/>
          <w:lang w:val="es-CR"/>
        </w:rPr>
        <w:t>que dentro de su</w:t>
      </w:r>
      <w:r w:rsidR="003865AC" w:rsidRPr="001731F5">
        <w:rPr>
          <w:rFonts w:ascii="Verdana" w:hAnsi="Verdana"/>
          <w:sz w:val="20"/>
          <w:lang w:val="es-CR"/>
        </w:rPr>
        <w:t xml:space="preserve"> contenido</w:t>
      </w:r>
      <w:r w:rsidR="001731F5" w:rsidRPr="001731F5">
        <w:rPr>
          <w:rFonts w:ascii="Verdana" w:hAnsi="Verdana"/>
          <w:sz w:val="20"/>
          <w:lang w:val="es-CR"/>
        </w:rPr>
        <w:t xml:space="preserve"> </w:t>
      </w:r>
      <w:r w:rsidR="003865AC" w:rsidRPr="001731F5">
        <w:rPr>
          <w:rFonts w:ascii="Verdana" w:hAnsi="Verdana"/>
          <w:sz w:val="20"/>
          <w:lang w:val="es-CR"/>
        </w:rPr>
        <w:t>se abar</w:t>
      </w:r>
      <w:r w:rsidR="001731F5" w:rsidRPr="001731F5">
        <w:rPr>
          <w:rFonts w:ascii="Verdana" w:hAnsi="Verdana"/>
          <w:sz w:val="20"/>
          <w:lang w:val="es-CR"/>
        </w:rPr>
        <w:t>quen</w:t>
      </w:r>
      <w:r w:rsidR="00337354">
        <w:rPr>
          <w:rFonts w:ascii="Verdana" w:hAnsi="Verdana"/>
          <w:sz w:val="20"/>
          <w:lang w:val="es-CR"/>
        </w:rPr>
        <w:t xml:space="preserve"> todos</w:t>
      </w:r>
      <w:r w:rsidR="003865AC" w:rsidRPr="001731F5">
        <w:rPr>
          <w:rFonts w:ascii="Verdana" w:hAnsi="Verdana"/>
          <w:sz w:val="20"/>
          <w:lang w:val="es-CR"/>
        </w:rPr>
        <w:t xml:space="preserve"> los temas </w:t>
      </w:r>
      <w:r w:rsidR="001731F5" w:rsidRPr="001731F5">
        <w:rPr>
          <w:rFonts w:ascii="Verdana" w:hAnsi="Verdana"/>
          <w:sz w:val="20"/>
          <w:lang w:val="es-CR"/>
        </w:rPr>
        <w:t xml:space="preserve">específicos </w:t>
      </w:r>
      <w:r w:rsidR="003865AC" w:rsidRPr="001731F5">
        <w:rPr>
          <w:rFonts w:ascii="Verdana" w:hAnsi="Verdana"/>
          <w:sz w:val="20"/>
          <w:lang w:val="es-CR"/>
        </w:rPr>
        <w:t>dispuestos en la Sentencia.</w:t>
      </w:r>
      <w:bookmarkEnd w:id="32"/>
      <w:r w:rsidR="003865AC" w:rsidRPr="001731F5">
        <w:rPr>
          <w:rFonts w:ascii="Verdana" w:hAnsi="Verdana"/>
          <w:sz w:val="20"/>
          <w:lang w:val="es-CR"/>
        </w:rPr>
        <w:t xml:space="preserve"> </w:t>
      </w:r>
    </w:p>
    <w:p w14:paraId="2FB7B5D4" w14:textId="28585DAE" w:rsidR="00161E17" w:rsidRPr="001731F5" w:rsidRDefault="00161E17" w:rsidP="00FC2AF2">
      <w:pPr>
        <w:numPr>
          <w:ilvl w:val="0"/>
          <w:numId w:val="5"/>
        </w:numPr>
        <w:spacing w:before="120" w:after="120"/>
        <w:ind w:left="0" w:firstLine="0"/>
        <w:jc w:val="both"/>
        <w:rPr>
          <w:rFonts w:ascii="Verdana" w:hAnsi="Verdana"/>
          <w:sz w:val="20"/>
          <w:lang w:val="es-CR"/>
        </w:rPr>
      </w:pPr>
      <w:r w:rsidRPr="001731F5">
        <w:rPr>
          <w:rFonts w:ascii="Verdana" w:hAnsi="Verdana"/>
          <w:sz w:val="20"/>
          <w:lang w:val="es-CR"/>
        </w:rPr>
        <w:t xml:space="preserve">En consecuencia, este Tribunal considera que </w:t>
      </w:r>
      <w:r w:rsidR="001731F5" w:rsidRPr="001731F5">
        <w:rPr>
          <w:rFonts w:ascii="Verdana" w:hAnsi="Verdana"/>
          <w:sz w:val="20"/>
          <w:lang w:val="es-CR"/>
        </w:rPr>
        <w:t xml:space="preserve">se encuentra pendiente de cumplimiento la medida ordenada en el punto resolutivo décimo de la Sentencia y, para valorar su nivel de implementación en una futura resolución, se solicita al Estado que remita la información indicada en los Considerandos </w:t>
      </w:r>
      <w:r w:rsidR="00420831">
        <w:rPr>
          <w:rFonts w:ascii="Verdana" w:hAnsi="Verdana"/>
          <w:sz w:val="20"/>
          <w:lang w:val="es-CR"/>
        </w:rPr>
        <w:fldChar w:fldCharType="begin"/>
      </w:r>
      <w:r w:rsidR="00420831">
        <w:rPr>
          <w:rFonts w:ascii="Verdana" w:hAnsi="Verdana"/>
          <w:sz w:val="20"/>
          <w:lang w:val="es-CR"/>
        </w:rPr>
        <w:instrText xml:space="preserve"> REF _Ref27384524 \r \h </w:instrText>
      </w:r>
      <w:r w:rsidR="00420831">
        <w:rPr>
          <w:rFonts w:ascii="Verdana" w:hAnsi="Verdana"/>
          <w:sz w:val="20"/>
          <w:lang w:val="es-CR"/>
        </w:rPr>
      </w:r>
      <w:r w:rsidR="00420831">
        <w:rPr>
          <w:rFonts w:ascii="Verdana" w:hAnsi="Verdana"/>
          <w:sz w:val="20"/>
          <w:lang w:val="es-CR"/>
        </w:rPr>
        <w:fldChar w:fldCharType="separate"/>
      </w:r>
      <w:r w:rsidR="00756751">
        <w:rPr>
          <w:rFonts w:ascii="Verdana" w:hAnsi="Verdana"/>
          <w:sz w:val="20"/>
          <w:lang w:val="es-CR"/>
        </w:rPr>
        <w:t>46</w:t>
      </w:r>
      <w:r w:rsidR="00420831">
        <w:rPr>
          <w:rFonts w:ascii="Verdana" w:hAnsi="Verdana"/>
          <w:sz w:val="20"/>
          <w:lang w:val="es-CR"/>
        </w:rPr>
        <w:fldChar w:fldCharType="end"/>
      </w:r>
      <w:r w:rsidR="00420831">
        <w:rPr>
          <w:rFonts w:ascii="Verdana" w:hAnsi="Verdana"/>
          <w:sz w:val="20"/>
          <w:lang w:val="es-CR"/>
        </w:rPr>
        <w:t xml:space="preserve"> a </w:t>
      </w:r>
      <w:r w:rsidR="00420831">
        <w:rPr>
          <w:rFonts w:ascii="Verdana" w:hAnsi="Verdana"/>
          <w:sz w:val="20"/>
          <w:lang w:val="es-CR"/>
        </w:rPr>
        <w:fldChar w:fldCharType="begin"/>
      </w:r>
      <w:r w:rsidR="00420831">
        <w:rPr>
          <w:rFonts w:ascii="Verdana" w:hAnsi="Verdana"/>
          <w:sz w:val="20"/>
          <w:lang w:val="es-CR"/>
        </w:rPr>
        <w:instrText xml:space="preserve"> REF _Ref27384526 \r \h </w:instrText>
      </w:r>
      <w:r w:rsidR="00420831">
        <w:rPr>
          <w:rFonts w:ascii="Verdana" w:hAnsi="Verdana"/>
          <w:sz w:val="20"/>
          <w:lang w:val="es-CR"/>
        </w:rPr>
      </w:r>
      <w:r w:rsidR="00420831">
        <w:rPr>
          <w:rFonts w:ascii="Verdana" w:hAnsi="Verdana"/>
          <w:sz w:val="20"/>
          <w:lang w:val="es-CR"/>
        </w:rPr>
        <w:fldChar w:fldCharType="separate"/>
      </w:r>
      <w:r w:rsidR="00756751">
        <w:rPr>
          <w:rFonts w:ascii="Verdana" w:hAnsi="Verdana"/>
          <w:sz w:val="20"/>
          <w:lang w:val="es-CR"/>
        </w:rPr>
        <w:t>50</w:t>
      </w:r>
      <w:r w:rsidR="00420831">
        <w:rPr>
          <w:rFonts w:ascii="Verdana" w:hAnsi="Verdana"/>
          <w:sz w:val="20"/>
          <w:lang w:val="es-CR"/>
        </w:rPr>
        <w:fldChar w:fldCharType="end"/>
      </w:r>
      <w:r w:rsidR="001731F5" w:rsidRPr="001731F5">
        <w:rPr>
          <w:rFonts w:ascii="Verdana" w:hAnsi="Verdana"/>
          <w:sz w:val="20"/>
          <w:lang w:val="es-CR"/>
        </w:rPr>
        <w:t xml:space="preserve">. </w:t>
      </w:r>
    </w:p>
    <w:p w14:paraId="02E120BC" w14:textId="77777777" w:rsidR="00185A66" w:rsidRPr="001731F5" w:rsidRDefault="00185A66" w:rsidP="00185A66">
      <w:pPr>
        <w:rPr>
          <w:lang w:val="es-MX"/>
        </w:rPr>
      </w:pPr>
    </w:p>
    <w:p w14:paraId="11B18D43" w14:textId="77777777" w:rsidR="007672DD" w:rsidRPr="001731F5" w:rsidRDefault="00185A66" w:rsidP="007672DD">
      <w:pPr>
        <w:pStyle w:val="Ttulo1"/>
        <w:keepLines/>
        <w:numPr>
          <w:ilvl w:val="0"/>
          <w:numId w:val="23"/>
        </w:numPr>
        <w:spacing w:before="0" w:after="0"/>
        <w:jc w:val="both"/>
        <w:rPr>
          <w:rFonts w:ascii="Verdana" w:hAnsi="Verdana"/>
          <w:i/>
          <w:sz w:val="20"/>
          <w:szCs w:val="20"/>
          <w:lang w:val="es-MX"/>
        </w:rPr>
      </w:pPr>
      <w:bookmarkStart w:id="33" w:name="_Toc17466470"/>
      <w:r w:rsidRPr="001731F5">
        <w:rPr>
          <w:rFonts w:ascii="Verdana" w:hAnsi="Verdana"/>
          <w:i/>
          <w:sz w:val="20"/>
          <w:szCs w:val="20"/>
          <w:lang w:val="es-MX"/>
        </w:rPr>
        <w:t>I</w:t>
      </w:r>
      <w:r w:rsidR="00D91575" w:rsidRPr="001731F5">
        <w:rPr>
          <w:rFonts w:ascii="Verdana" w:hAnsi="Verdana"/>
          <w:i/>
          <w:sz w:val="20"/>
          <w:szCs w:val="20"/>
          <w:lang w:val="es-MX"/>
        </w:rPr>
        <w:t xml:space="preserve">ndemnizaciones </w:t>
      </w:r>
      <w:r w:rsidRPr="001731F5">
        <w:rPr>
          <w:rFonts w:ascii="Verdana" w:hAnsi="Verdana"/>
          <w:i/>
          <w:sz w:val="20"/>
          <w:szCs w:val="20"/>
          <w:lang w:val="es-MX"/>
        </w:rPr>
        <w:t>por</w:t>
      </w:r>
      <w:r w:rsidR="00D91575" w:rsidRPr="001731F5">
        <w:rPr>
          <w:rFonts w:ascii="Verdana" w:hAnsi="Verdana"/>
          <w:i/>
          <w:sz w:val="20"/>
          <w:szCs w:val="20"/>
          <w:lang w:val="es-MX"/>
        </w:rPr>
        <w:t xml:space="preserve"> daños materiales e inmateriales</w:t>
      </w:r>
      <w:r w:rsidRPr="001731F5">
        <w:rPr>
          <w:rFonts w:ascii="Verdana" w:hAnsi="Verdana"/>
          <w:i/>
          <w:sz w:val="20"/>
          <w:szCs w:val="20"/>
          <w:lang w:val="es-MX"/>
        </w:rPr>
        <w:t xml:space="preserve"> </w:t>
      </w:r>
      <w:r w:rsidR="00D91575" w:rsidRPr="001731F5">
        <w:rPr>
          <w:rFonts w:ascii="Verdana" w:hAnsi="Verdana"/>
          <w:i/>
          <w:sz w:val="20"/>
          <w:szCs w:val="20"/>
          <w:lang w:val="es-MX"/>
        </w:rPr>
        <w:t>y reintegro de costas y gastos</w:t>
      </w:r>
      <w:bookmarkEnd w:id="33"/>
    </w:p>
    <w:p w14:paraId="63850953" w14:textId="77777777" w:rsidR="007672DD" w:rsidRPr="001731F5" w:rsidRDefault="007672DD" w:rsidP="007672DD">
      <w:pPr>
        <w:rPr>
          <w:rFonts w:ascii="Verdana" w:hAnsi="Verdana"/>
          <w:b/>
          <w:i/>
          <w:sz w:val="20"/>
          <w:lang w:val="es-MX"/>
        </w:rPr>
      </w:pPr>
    </w:p>
    <w:p w14:paraId="01C398A9" w14:textId="77777777" w:rsidR="007672DD" w:rsidRPr="001731F5" w:rsidRDefault="00185A66" w:rsidP="00807D5C">
      <w:pPr>
        <w:ind w:left="360" w:firstLine="360"/>
        <w:rPr>
          <w:rFonts w:ascii="Verdana" w:hAnsi="Verdana"/>
          <w:i/>
          <w:sz w:val="20"/>
          <w:lang w:val="es-MX"/>
        </w:rPr>
      </w:pPr>
      <w:r w:rsidRPr="001731F5">
        <w:rPr>
          <w:rFonts w:ascii="Verdana" w:hAnsi="Verdana"/>
          <w:i/>
          <w:sz w:val="20"/>
          <w:lang w:val="es-MX"/>
        </w:rPr>
        <w:t>F</w:t>
      </w:r>
      <w:r w:rsidR="007672DD" w:rsidRPr="001731F5">
        <w:rPr>
          <w:rFonts w:ascii="Verdana" w:hAnsi="Verdana"/>
          <w:i/>
          <w:sz w:val="20"/>
          <w:lang w:val="es-MX"/>
        </w:rPr>
        <w:t>.1. Medida</w:t>
      </w:r>
      <w:r w:rsidR="00D91575" w:rsidRPr="001731F5">
        <w:rPr>
          <w:rFonts w:ascii="Verdana" w:hAnsi="Verdana"/>
          <w:i/>
          <w:sz w:val="20"/>
          <w:lang w:val="es-MX"/>
        </w:rPr>
        <w:t>s</w:t>
      </w:r>
      <w:r w:rsidR="007672DD" w:rsidRPr="001731F5">
        <w:rPr>
          <w:rFonts w:ascii="Verdana" w:hAnsi="Verdana"/>
          <w:i/>
          <w:sz w:val="20"/>
          <w:lang w:val="es-MX"/>
        </w:rPr>
        <w:t xml:space="preserve"> ordenada</w:t>
      </w:r>
      <w:r w:rsidR="00213333" w:rsidRPr="001731F5">
        <w:rPr>
          <w:rFonts w:ascii="Verdana" w:hAnsi="Verdana"/>
          <w:i/>
          <w:sz w:val="20"/>
          <w:lang w:val="es-MX"/>
        </w:rPr>
        <w:t>s</w:t>
      </w:r>
      <w:r w:rsidR="007672DD" w:rsidRPr="001731F5">
        <w:rPr>
          <w:rFonts w:ascii="Verdana" w:hAnsi="Verdana"/>
          <w:i/>
          <w:sz w:val="20"/>
          <w:lang w:val="es-MX"/>
        </w:rPr>
        <w:t xml:space="preserve"> por la Corte</w:t>
      </w:r>
    </w:p>
    <w:p w14:paraId="47C44743" w14:textId="2E3072E2" w:rsidR="00031C83" w:rsidRPr="008F0DB4" w:rsidRDefault="00A3117B" w:rsidP="00AB0850">
      <w:pPr>
        <w:pStyle w:val="Prrafodelista"/>
        <w:numPr>
          <w:ilvl w:val="0"/>
          <w:numId w:val="5"/>
        </w:numPr>
        <w:spacing w:before="120" w:after="120"/>
        <w:ind w:left="0" w:firstLine="0"/>
        <w:jc w:val="both"/>
        <w:rPr>
          <w:rFonts w:ascii="Verdana" w:hAnsi="Verdana"/>
          <w:sz w:val="20"/>
          <w:lang w:val="es-MX"/>
        </w:rPr>
      </w:pPr>
      <w:bookmarkStart w:id="34" w:name="_Ref26951483"/>
      <w:r w:rsidRPr="001731F5">
        <w:rPr>
          <w:rFonts w:ascii="Verdana" w:hAnsi="Verdana"/>
          <w:sz w:val="20"/>
        </w:rPr>
        <w:t>En el punto resolutivo décimo primero de la Sentencia, la Corte dispuso que</w:t>
      </w:r>
      <w:r w:rsidR="00EA7986" w:rsidRPr="001731F5">
        <w:rPr>
          <w:rFonts w:ascii="Verdana" w:hAnsi="Verdana"/>
          <w:sz w:val="20"/>
        </w:rPr>
        <w:t>, “</w:t>
      </w:r>
      <w:r w:rsidR="002B68F6">
        <w:rPr>
          <w:rFonts w:ascii="Verdana" w:hAnsi="Verdana"/>
          <w:sz w:val="20"/>
        </w:rPr>
        <w:t>d</w:t>
      </w:r>
      <w:r w:rsidR="00EA7986" w:rsidRPr="001731F5">
        <w:rPr>
          <w:rFonts w:ascii="Verdana" w:hAnsi="Verdana"/>
          <w:sz w:val="20"/>
        </w:rPr>
        <w:t>en</w:t>
      </w:r>
      <w:r w:rsidR="002B68F6">
        <w:rPr>
          <w:rFonts w:ascii="Verdana" w:hAnsi="Verdana"/>
          <w:sz w:val="20"/>
        </w:rPr>
        <w:t>tro</w:t>
      </w:r>
      <w:r w:rsidR="00EA7986" w:rsidRPr="001731F5">
        <w:rPr>
          <w:rFonts w:ascii="Verdana" w:hAnsi="Verdana"/>
          <w:sz w:val="20"/>
        </w:rPr>
        <w:t xml:space="preserve"> </w:t>
      </w:r>
      <w:r w:rsidR="002B68F6">
        <w:rPr>
          <w:rFonts w:ascii="Verdana" w:hAnsi="Verdana"/>
          <w:sz w:val="20"/>
        </w:rPr>
        <w:t>d</w:t>
      </w:r>
      <w:r w:rsidR="00EA7986" w:rsidRPr="001731F5">
        <w:rPr>
          <w:rFonts w:ascii="Verdana" w:hAnsi="Verdana"/>
          <w:sz w:val="20"/>
        </w:rPr>
        <w:t>el plazo de un año, contado a partir de la notificación [de la misma]”,</w:t>
      </w:r>
      <w:r w:rsidRPr="001731F5">
        <w:rPr>
          <w:rFonts w:ascii="Verdana" w:hAnsi="Verdana"/>
          <w:sz w:val="20"/>
        </w:rPr>
        <w:t xml:space="preserve"> </w:t>
      </w:r>
      <w:r w:rsidR="00EA7986" w:rsidRPr="001731F5">
        <w:rPr>
          <w:rFonts w:ascii="Verdana" w:hAnsi="Verdana"/>
          <w:sz w:val="20"/>
        </w:rPr>
        <w:t>“[</w:t>
      </w:r>
      <w:r w:rsidRPr="001731F5">
        <w:rPr>
          <w:rFonts w:ascii="Verdana" w:hAnsi="Verdana"/>
          <w:sz w:val="20"/>
        </w:rPr>
        <w:t>e</w:t>
      </w:r>
      <w:r w:rsidR="00EA7986" w:rsidRPr="001731F5">
        <w:rPr>
          <w:rFonts w:ascii="Verdana" w:hAnsi="Verdana"/>
          <w:sz w:val="20"/>
        </w:rPr>
        <w:t>]</w:t>
      </w:r>
      <w:r w:rsidRPr="001731F5">
        <w:rPr>
          <w:rFonts w:ascii="Verdana" w:hAnsi="Verdana"/>
          <w:sz w:val="20"/>
        </w:rPr>
        <w:t xml:space="preserve">l Estado </w:t>
      </w:r>
      <w:r w:rsidR="00EA7986" w:rsidRPr="001731F5">
        <w:rPr>
          <w:rFonts w:ascii="Verdana" w:hAnsi="Verdana"/>
          <w:sz w:val="20"/>
        </w:rPr>
        <w:t>debe</w:t>
      </w:r>
      <w:r w:rsidRPr="001731F5">
        <w:rPr>
          <w:rFonts w:ascii="Verdana" w:hAnsi="Verdana"/>
          <w:sz w:val="20"/>
        </w:rPr>
        <w:t xml:space="preserve"> pagar las cantidad</w:t>
      </w:r>
      <w:r w:rsidR="002E7E16" w:rsidRPr="001731F5">
        <w:rPr>
          <w:rFonts w:ascii="Verdana" w:hAnsi="Verdana"/>
          <w:sz w:val="20"/>
        </w:rPr>
        <w:t>es fijadas en los párrafos 176</w:t>
      </w:r>
      <w:r w:rsidR="002E7E16" w:rsidRPr="001731F5">
        <w:rPr>
          <w:rStyle w:val="Refdenotaalpie"/>
          <w:rFonts w:ascii="Verdana" w:hAnsi="Verdana"/>
          <w:sz w:val="20"/>
        </w:rPr>
        <w:footnoteReference w:id="49"/>
      </w:r>
      <w:r w:rsidR="002E7E16" w:rsidRPr="001731F5">
        <w:rPr>
          <w:rFonts w:ascii="Verdana" w:hAnsi="Verdana"/>
          <w:sz w:val="20"/>
        </w:rPr>
        <w:t>, 186</w:t>
      </w:r>
      <w:r w:rsidR="00871E40" w:rsidRPr="001731F5">
        <w:rPr>
          <w:rStyle w:val="Refdenotaalpie"/>
          <w:rFonts w:ascii="Verdana" w:hAnsi="Verdana"/>
          <w:sz w:val="20"/>
        </w:rPr>
        <w:footnoteReference w:id="50"/>
      </w:r>
      <w:r w:rsidR="002E7E16" w:rsidRPr="001731F5">
        <w:rPr>
          <w:rFonts w:ascii="Verdana" w:hAnsi="Verdana"/>
          <w:sz w:val="20"/>
        </w:rPr>
        <w:t xml:space="preserve"> y 193 a 195</w:t>
      </w:r>
      <w:r w:rsidR="00871E40" w:rsidRPr="001731F5">
        <w:rPr>
          <w:rStyle w:val="Refdenotaalpie"/>
          <w:rFonts w:ascii="Verdana" w:hAnsi="Verdana"/>
          <w:sz w:val="20"/>
        </w:rPr>
        <w:footnoteReference w:id="51"/>
      </w:r>
      <w:r w:rsidRPr="001731F5">
        <w:rPr>
          <w:rFonts w:ascii="Verdana" w:hAnsi="Verdana"/>
          <w:sz w:val="20"/>
        </w:rPr>
        <w:t xml:space="preserve"> de </w:t>
      </w:r>
      <w:r w:rsidR="002E7E16" w:rsidRPr="001731F5">
        <w:rPr>
          <w:rFonts w:ascii="Verdana" w:hAnsi="Verdana"/>
          <w:sz w:val="20"/>
        </w:rPr>
        <w:lastRenderedPageBreak/>
        <w:t>[la</w:t>
      </w:r>
      <w:r w:rsidRPr="001731F5">
        <w:rPr>
          <w:rFonts w:ascii="Verdana" w:hAnsi="Verdana"/>
          <w:sz w:val="20"/>
        </w:rPr>
        <w:t>] Sentencia</w:t>
      </w:r>
      <w:r w:rsidR="002E7E16" w:rsidRPr="001731F5">
        <w:rPr>
          <w:rFonts w:ascii="Verdana" w:hAnsi="Verdana"/>
          <w:sz w:val="20"/>
        </w:rPr>
        <w:t>,</w:t>
      </w:r>
      <w:r w:rsidRPr="001731F5">
        <w:rPr>
          <w:rFonts w:ascii="Verdana" w:hAnsi="Verdana"/>
          <w:sz w:val="20"/>
        </w:rPr>
        <w:t xml:space="preserve"> por concepto de </w:t>
      </w:r>
      <w:r w:rsidR="002E7E16" w:rsidRPr="001731F5">
        <w:rPr>
          <w:rFonts w:ascii="Verdana" w:hAnsi="Verdana"/>
          <w:sz w:val="20"/>
        </w:rPr>
        <w:t xml:space="preserve">indemnizaciones por </w:t>
      </w:r>
      <w:r w:rsidRPr="001731F5">
        <w:rPr>
          <w:rFonts w:ascii="Verdana" w:hAnsi="Verdana"/>
          <w:sz w:val="20"/>
        </w:rPr>
        <w:t>daño</w:t>
      </w:r>
      <w:r w:rsidR="002E7E16" w:rsidRPr="001731F5">
        <w:rPr>
          <w:rFonts w:ascii="Verdana" w:hAnsi="Verdana"/>
          <w:sz w:val="20"/>
        </w:rPr>
        <w:t>s</w:t>
      </w:r>
      <w:r w:rsidRPr="001731F5">
        <w:rPr>
          <w:rFonts w:ascii="Verdana" w:hAnsi="Verdana"/>
          <w:sz w:val="20"/>
        </w:rPr>
        <w:t xml:space="preserve"> </w:t>
      </w:r>
      <w:r w:rsidR="002E7E16" w:rsidRPr="001731F5">
        <w:rPr>
          <w:rFonts w:ascii="Verdana" w:hAnsi="Verdana"/>
          <w:sz w:val="20"/>
        </w:rPr>
        <w:t xml:space="preserve">materiales e </w:t>
      </w:r>
      <w:r w:rsidRPr="001731F5">
        <w:rPr>
          <w:rFonts w:ascii="Verdana" w:hAnsi="Verdana"/>
          <w:sz w:val="20"/>
        </w:rPr>
        <w:t>inmaterial</w:t>
      </w:r>
      <w:r w:rsidR="002E7E16" w:rsidRPr="001731F5">
        <w:rPr>
          <w:rFonts w:ascii="Verdana" w:hAnsi="Verdana"/>
          <w:sz w:val="20"/>
        </w:rPr>
        <w:t>es,</w:t>
      </w:r>
      <w:r w:rsidRPr="001731F5">
        <w:rPr>
          <w:rFonts w:ascii="Verdana" w:hAnsi="Verdana"/>
          <w:sz w:val="20"/>
        </w:rPr>
        <w:t xml:space="preserve"> y </w:t>
      </w:r>
      <w:r w:rsidR="002E7E16" w:rsidRPr="001731F5">
        <w:rPr>
          <w:rFonts w:ascii="Verdana" w:hAnsi="Verdana"/>
          <w:sz w:val="20"/>
        </w:rPr>
        <w:t xml:space="preserve">por el </w:t>
      </w:r>
      <w:r w:rsidRPr="001731F5">
        <w:rPr>
          <w:rFonts w:ascii="Verdana" w:hAnsi="Verdana"/>
          <w:sz w:val="20"/>
        </w:rPr>
        <w:t>reintegro de costas y gastos</w:t>
      </w:r>
      <w:r w:rsidR="00EA7986" w:rsidRPr="001731F5">
        <w:rPr>
          <w:rFonts w:ascii="Verdana" w:hAnsi="Verdana"/>
          <w:sz w:val="20"/>
        </w:rPr>
        <w:t>, en los términos de los referidos párrafos y de los párrafos 172 a 204</w:t>
      </w:r>
      <w:r w:rsidR="00EA7986" w:rsidRPr="001731F5">
        <w:rPr>
          <w:rStyle w:val="Refdenotaalpie"/>
          <w:rFonts w:ascii="Verdana" w:hAnsi="Verdana"/>
          <w:sz w:val="20"/>
        </w:rPr>
        <w:footnoteReference w:id="52"/>
      </w:r>
      <w:r w:rsidR="00EA7986" w:rsidRPr="001731F5">
        <w:rPr>
          <w:rFonts w:ascii="Verdana" w:hAnsi="Verdana"/>
          <w:sz w:val="20"/>
        </w:rPr>
        <w:t xml:space="preserve"> de la […] Sentencia”.</w:t>
      </w:r>
      <w:bookmarkEnd w:id="34"/>
    </w:p>
    <w:p w14:paraId="31A2E2C5" w14:textId="77777777" w:rsidR="008F0DB4" w:rsidRPr="004B4DC3" w:rsidRDefault="008F0DB4" w:rsidP="008F0DB4">
      <w:pPr>
        <w:pStyle w:val="Prrafodelista"/>
        <w:spacing w:before="120" w:after="120"/>
        <w:ind w:left="0"/>
        <w:jc w:val="both"/>
        <w:rPr>
          <w:rFonts w:ascii="Verdana" w:hAnsi="Verdana"/>
          <w:sz w:val="20"/>
          <w:lang w:val="es-MX"/>
        </w:rPr>
      </w:pPr>
    </w:p>
    <w:p w14:paraId="4FEEB433" w14:textId="77777777" w:rsidR="00031C83" w:rsidRPr="001731F5" w:rsidRDefault="00185A66" w:rsidP="00807D5C">
      <w:pPr>
        <w:ind w:left="360" w:firstLine="360"/>
        <w:rPr>
          <w:rFonts w:ascii="Verdana" w:hAnsi="Verdana"/>
          <w:i/>
          <w:sz w:val="20"/>
          <w:lang w:val="es-MX"/>
        </w:rPr>
      </w:pPr>
      <w:r w:rsidRPr="001731F5">
        <w:rPr>
          <w:rFonts w:ascii="Verdana" w:hAnsi="Verdana"/>
          <w:i/>
          <w:sz w:val="20"/>
          <w:lang w:val="es-MX"/>
        </w:rPr>
        <w:t>F</w:t>
      </w:r>
      <w:r w:rsidR="00031C83" w:rsidRPr="001731F5">
        <w:rPr>
          <w:rFonts w:ascii="Verdana" w:hAnsi="Verdana"/>
          <w:i/>
          <w:sz w:val="20"/>
          <w:lang w:val="es-MX"/>
        </w:rPr>
        <w:t>.2. Consideraciones la Corte</w:t>
      </w:r>
    </w:p>
    <w:p w14:paraId="1383F7B9" w14:textId="4C7492BD" w:rsidR="00213333" w:rsidRPr="001731F5" w:rsidRDefault="00B935D4" w:rsidP="007672DD">
      <w:pPr>
        <w:pStyle w:val="Prrafodelista"/>
        <w:numPr>
          <w:ilvl w:val="0"/>
          <w:numId w:val="5"/>
        </w:numPr>
        <w:spacing w:before="120" w:after="120"/>
        <w:ind w:left="0" w:firstLine="0"/>
        <w:jc w:val="both"/>
        <w:rPr>
          <w:rFonts w:ascii="Verdana" w:hAnsi="Verdana"/>
          <w:sz w:val="20"/>
          <w:lang w:val="es-MX"/>
        </w:rPr>
      </w:pPr>
      <w:r w:rsidRPr="001731F5">
        <w:rPr>
          <w:rFonts w:ascii="Verdana" w:hAnsi="Verdana"/>
          <w:sz w:val="20"/>
          <w:lang w:val="es-MX"/>
        </w:rPr>
        <w:t xml:space="preserve"> El </w:t>
      </w:r>
      <w:r w:rsidRPr="00807D5C">
        <w:rPr>
          <w:rFonts w:ascii="Verdana" w:hAnsi="Verdana"/>
          <w:sz w:val="20"/>
          <w:lang w:val="es-MX"/>
        </w:rPr>
        <w:t>Estado</w:t>
      </w:r>
      <w:r w:rsidRPr="001731F5">
        <w:rPr>
          <w:rFonts w:ascii="Verdana" w:hAnsi="Verdana"/>
          <w:sz w:val="20"/>
          <w:lang w:val="es-MX"/>
        </w:rPr>
        <w:t xml:space="preserve"> aportó copia del Decreto No. 2807/2014, publicado el </w:t>
      </w:r>
      <w:r w:rsidR="009F1B09" w:rsidRPr="001731F5">
        <w:rPr>
          <w:rFonts w:ascii="Verdana" w:hAnsi="Verdana"/>
          <w:sz w:val="20"/>
          <w:lang w:val="es-MX"/>
        </w:rPr>
        <w:t>5 de febrero de 2015</w:t>
      </w:r>
      <w:r w:rsidRPr="001731F5">
        <w:rPr>
          <w:rFonts w:ascii="Verdana" w:hAnsi="Verdana"/>
          <w:sz w:val="20"/>
          <w:lang w:val="es-MX"/>
        </w:rPr>
        <w:t>, mediante el cual se dispuso el pago de los montos ordenados por la Corte en esta Sentencia por concepto de daños materiales e inmateriales y reintegro de costas y gastos</w:t>
      </w:r>
      <w:r w:rsidR="00D97B11" w:rsidRPr="001731F5">
        <w:rPr>
          <w:rStyle w:val="Refdenotaalpie"/>
          <w:rFonts w:ascii="Verdana" w:hAnsi="Verdana"/>
          <w:sz w:val="20"/>
          <w:lang w:val="es-MX"/>
        </w:rPr>
        <w:footnoteReference w:id="53"/>
      </w:r>
      <w:r w:rsidRPr="001731F5">
        <w:rPr>
          <w:rFonts w:ascii="Verdana" w:hAnsi="Verdana"/>
          <w:sz w:val="20"/>
          <w:lang w:val="es-MX"/>
        </w:rPr>
        <w:t>. Luego de la publicación del referido decreto,</w:t>
      </w:r>
      <w:r w:rsidR="00D97B11" w:rsidRPr="001731F5">
        <w:rPr>
          <w:rFonts w:ascii="Verdana" w:hAnsi="Verdana"/>
          <w:sz w:val="20"/>
          <w:lang w:val="es-MX"/>
        </w:rPr>
        <w:t xml:space="preserve"> l</w:t>
      </w:r>
      <w:r w:rsidRPr="001731F5">
        <w:rPr>
          <w:rFonts w:ascii="Verdana" w:hAnsi="Verdana"/>
          <w:sz w:val="20"/>
          <w:lang w:val="es-MX"/>
        </w:rPr>
        <w:t xml:space="preserve">os </w:t>
      </w:r>
      <w:r w:rsidRPr="00807D5C">
        <w:rPr>
          <w:rFonts w:ascii="Verdana" w:hAnsi="Verdana"/>
          <w:sz w:val="20"/>
          <w:lang w:val="es-MX"/>
        </w:rPr>
        <w:t>representantes</w:t>
      </w:r>
      <w:r w:rsidRPr="009D6592">
        <w:rPr>
          <w:rFonts w:ascii="Verdana" w:hAnsi="Verdana"/>
          <w:sz w:val="20"/>
          <w:lang w:val="es-MX"/>
        </w:rPr>
        <w:t xml:space="preserve"> </w:t>
      </w:r>
      <w:r w:rsidRPr="001731F5">
        <w:rPr>
          <w:rFonts w:ascii="Verdana" w:hAnsi="Verdana"/>
          <w:sz w:val="20"/>
          <w:lang w:val="es-MX"/>
        </w:rPr>
        <w:t>informaron que</w:t>
      </w:r>
      <w:r w:rsidR="00213333" w:rsidRPr="001731F5">
        <w:rPr>
          <w:rFonts w:ascii="Verdana" w:hAnsi="Verdana"/>
          <w:sz w:val="20"/>
          <w:lang w:val="es-MX"/>
        </w:rPr>
        <w:t xml:space="preserve"> en septiembre de 2015 presentaron al Ministerio de Economía la documentación “exigida </w:t>
      </w:r>
      <w:r w:rsidR="00D2126C">
        <w:rPr>
          <w:rFonts w:ascii="Verdana" w:hAnsi="Verdana"/>
          <w:sz w:val="20"/>
          <w:lang w:val="es-MX"/>
        </w:rPr>
        <w:t xml:space="preserve">por [éste] </w:t>
      </w:r>
      <w:r w:rsidR="00213333" w:rsidRPr="001731F5">
        <w:rPr>
          <w:rFonts w:ascii="Verdana" w:hAnsi="Verdana"/>
          <w:sz w:val="20"/>
          <w:lang w:val="es-MX"/>
        </w:rPr>
        <w:t>para efectivizar las indemnizaciones económicas, costas y gastos”,</w:t>
      </w:r>
      <w:r w:rsidR="00213333" w:rsidRPr="001731F5">
        <w:rPr>
          <w:rFonts w:ascii="Verdana" w:hAnsi="Verdana"/>
          <w:b/>
          <w:sz w:val="20"/>
          <w:lang w:val="es-MX"/>
        </w:rPr>
        <w:t xml:space="preserve"> </w:t>
      </w:r>
      <w:r w:rsidR="00213333" w:rsidRPr="001731F5">
        <w:rPr>
          <w:rFonts w:ascii="Verdana" w:hAnsi="Verdana"/>
          <w:sz w:val="20"/>
          <w:lang w:val="es-MX"/>
        </w:rPr>
        <w:t>y que “poco después la familia Gutiérrez y sus representantes recibieron las indemnizaciones, y el pago de gastos y costas</w:t>
      </w:r>
      <w:r w:rsidR="00D2126C">
        <w:rPr>
          <w:rFonts w:ascii="Verdana" w:hAnsi="Verdana"/>
          <w:sz w:val="20"/>
          <w:lang w:val="es-MX"/>
        </w:rPr>
        <w:t>,</w:t>
      </w:r>
      <w:r w:rsidR="00213333" w:rsidRPr="001731F5">
        <w:rPr>
          <w:rFonts w:ascii="Verdana" w:hAnsi="Verdana"/>
          <w:sz w:val="20"/>
          <w:lang w:val="es-MX"/>
        </w:rPr>
        <w:t xml:space="preserve"> respectivamente”. Por ello, consideraron que “se encuentra cumplido este punto” de la Sentencia. </w:t>
      </w:r>
    </w:p>
    <w:p w14:paraId="48C33CF6" w14:textId="77777777" w:rsidR="00213333" w:rsidRPr="001731F5" w:rsidRDefault="00213333" w:rsidP="007672DD">
      <w:pPr>
        <w:pStyle w:val="Prrafodelista"/>
        <w:numPr>
          <w:ilvl w:val="0"/>
          <w:numId w:val="5"/>
        </w:numPr>
        <w:spacing w:before="120" w:after="120"/>
        <w:ind w:left="0" w:firstLine="0"/>
        <w:jc w:val="both"/>
        <w:rPr>
          <w:rFonts w:ascii="Verdana" w:hAnsi="Verdana"/>
          <w:sz w:val="20"/>
          <w:lang w:val="es-MX"/>
        </w:rPr>
      </w:pPr>
      <w:bookmarkStart w:id="35" w:name="_Ref27388777"/>
      <w:r w:rsidRPr="001731F5">
        <w:rPr>
          <w:rFonts w:ascii="Verdana" w:hAnsi="Verdana"/>
          <w:sz w:val="20"/>
          <w:lang w:val="es-MX"/>
        </w:rPr>
        <w:t xml:space="preserve">Con base en lo informado por las partes, este Tribunal considera que el Estado ha dado cumplimiento total a las medidas de reparación ordenadas en el punto resolutivo décimo primero de la Sentencia, relativas al pago de las indemnizaciones </w:t>
      </w:r>
      <w:r w:rsidRPr="001731F5">
        <w:rPr>
          <w:rFonts w:ascii="Verdana" w:hAnsi="Verdana"/>
          <w:sz w:val="20"/>
        </w:rPr>
        <w:t>por daños materiales e inmateriales y al reintegro de costas y gastos.</w:t>
      </w:r>
      <w:bookmarkEnd w:id="35"/>
    </w:p>
    <w:p w14:paraId="3EDDD948" w14:textId="77777777" w:rsidR="004B4DC3" w:rsidRDefault="004B4DC3" w:rsidP="00C46870">
      <w:pPr>
        <w:spacing w:before="120" w:after="120"/>
        <w:jc w:val="both"/>
        <w:rPr>
          <w:rFonts w:ascii="Verdana" w:hAnsi="Verdana"/>
          <w:sz w:val="20"/>
          <w:lang w:val="es-MX"/>
        </w:rPr>
      </w:pPr>
    </w:p>
    <w:p w14:paraId="68096139" w14:textId="77777777" w:rsidR="000706EF" w:rsidRPr="001731F5" w:rsidRDefault="000706EF" w:rsidP="000F7C8B">
      <w:pPr>
        <w:spacing w:before="120" w:after="120"/>
        <w:jc w:val="both"/>
        <w:rPr>
          <w:rFonts w:ascii="Verdana" w:hAnsi="Verdana"/>
          <w:b/>
          <w:sz w:val="20"/>
          <w:lang w:val="es-MX"/>
        </w:rPr>
      </w:pPr>
      <w:r w:rsidRPr="001731F5">
        <w:rPr>
          <w:rFonts w:ascii="Verdana" w:hAnsi="Verdana"/>
          <w:b/>
          <w:sz w:val="20"/>
          <w:lang w:val="es-MX"/>
        </w:rPr>
        <w:t>POR TANTO</w:t>
      </w:r>
      <w:r w:rsidR="00172B4D" w:rsidRPr="001731F5">
        <w:rPr>
          <w:rFonts w:ascii="Verdana" w:hAnsi="Verdana"/>
          <w:b/>
          <w:sz w:val="20"/>
          <w:lang w:val="es-MX"/>
        </w:rPr>
        <w:t>:</w:t>
      </w:r>
    </w:p>
    <w:p w14:paraId="4AE3B39A" w14:textId="77777777" w:rsidR="000706EF" w:rsidRPr="001731F5" w:rsidRDefault="000706EF" w:rsidP="000F7C8B">
      <w:pPr>
        <w:spacing w:before="120" w:after="120"/>
        <w:jc w:val="both"/>
        <w:rPr>
          <w:rFonts w:ascii="Verdana" w:hAnsi="Verdana"/>
          <w:b/>
          <w:sz w:val="20"/>
          <w:lang w:val="es-MX"/>
        </w:rPr>
      </w:pPr>
      <w:r w:rsidRPr="001731F5">
        <w:rPr>
          <w:rFonts w:ascii="Verdana" w:hAnsi="Verdana"/>
          <w:b/>
          <w:sz w:val="20"/>
          <w:lang w:val="es-MX"/>
        </w:rPr>
        <w:t>LA CORTE INTERAMERICANA DE DERECHOS HUMANOS,</w:t>
      </w:r>
    </w:p>
    <w:p w14:paraId="1C6E0A5E" w14:textId="1CD08873" w:rsidR="002F13B3" w:rsidRPr="001731F5" w:rsidRDefault="00F62C5C" w:rsidP="00307F0C">
      <w:pPr>
        <w:spacing w:before="120" w:after="120"/>
        <w:jc w:val="both"/>
        <w:rPr>
          <w:rFonts w:ascii="Verdana" w:hAnsi="Verdana"/>
          <w:sz w:val="20"/>
        </w:rPr>
      </w:pPr>
      <w:r>
        <w:rPr>
          <w:rFonts w:ascii="Verdana" w:hAnsi="Verdana"/>
          <w:sz w:val="20"/>
        </w:rPr>
        <w:t>e</w:t>
      </w:r>
      <w:r w:rsidR="00D82AFC" w:rsidRPr="001731F5">
        <w:rPr>
          <w:rFonts w:ascii="Verdana" w:hAnsi="Verdana"/>
          <w:sz w:val="20"/>
        </w:rPr>
        <w:t xml:space="preserve">n </w:t>
      </w:r>
      <w:r w:rsidR="00652641" w:rsidRPr="001731F5">
        <w:rPr>
          <w:rFonts w:ascii="Verdana" w:hAnsi="Verdana"/>
          <w:sz w:val="20"/>
        </w:rPr>
        <w:t>el ejercicio de sus atribuciones de supervisión del cumplimiento de sus decisiones y de conformidad con los artículos 33, 62.1, 62.3, 65, 67 y 68.1 de la Convención Americana sobre Derechos Humanos, 24, 25 y 30 del Estatuto, y 31.2 y 69 de su Reglamento,</w:t>
      </w:r>
    </w:p>
    <w:p w14:paraId="44906F72" w14:textId="77777777" w:rsidR="001E1543" w:rsidRDefault="001E1543" w:rsidP="000F7C8B">
      <w:pPr>
        <w:spacing w:before="120" w:after="120"/>
        <w:ind w:right="4"/>
        <w:jc w:val="both"/>
        <w:rPr>
          <w:rFonts w:ascii="Verdana" w:hAnsi="Verdana"/>
          <w:b/>
          <w:sz w:val="20"/>
          <w:lang w:val="es-MX"/>
        </w:rPr>
      </w:pPr>
    </w:p>
    <w:p w14:paraId="74104433" w14:textId="77777777" w:rsidR="00D2717C" w:rsidRPr="001731F5" w:rsidRDefault="00D2717C" w:rsidP="000F7C8B">
      <w:pPr>
        <w:spacing w:before="120" w:after="120"/>
        <w:ind w:right="4"/>
        <w:jc w:val="both"/>
        <w:rPr>
          <w:rFonts w:ascii="Verdana" w:hAnsi="Verdana"/>
          <w:b/>
          <w:sz w:val="20"/>
          <w:lang w:val="es-MX"/>
        </w:rPr>
      </w:pPr>
      <w:r w:rsidRPr="001731F5">
        <w:rPr>
          <w:rFonts w:ascii="Verdana" w:hAnsi="Verdana"/>
          <w:b/>
          <w:sz w:val="20"/>
          <w:lang w:val="es-MX"/>
        </w:rPr>
        <w:t xml:space="preserve">RESUELVE: </w:t>
      </w:r>
    </w:p>
    <w:p w14:paraId="2F1545ED" w14:textId="0ADA292A" w:rsidR="00B44EB8" w:rsidRPr="001731F5" w:rsidRDefault="00652641" w:rsidP="002F13B3">
      <w:pPr>
        <w:numPr>
          <w:ilvl w:val="0"/>
          <w:numId w:val="1"/>
        </w:numPr>
        <w:spacing w:before="120" w:after="120"/>
        <w:ind w:left="0" w:hanging="11"/>
        <w:jc w:val="both"/>
        <w:rPr>
          <w:rFonts w:ascii="Verdana" w:hAnsi="Verdana"/>
          <w:sz w:val="20"/>
          <w:lang w:val="es-MX"/>
        </w:rPr>
      </w:pPr>
      <w:r w:rsidRPr="001731F5">
        <w:rPr>
          <w:rFonts w:ascii="Verdana" w:hAnsi="Verdana"/>
          <w:sz w:val="20"/>
        </w:rPr>
        <w:t xml:space="preserve">Declarar, de conformidad con lo señalado en </w:t>
      </w:r>
      <w:r w:rsidR="0078506D" w:rsidRPr="001731F5">
        <w:rPr>
          <w:rFonts w:ascii="Verdana" w:hAnsi="Verdana"/>
          <w:sz w:val="20"/>
        </w:rPr>
        <w:t>los</w:t>
      </w:r>
      <w:r w:rsidR="00307F0C" w:rsidRPr="001731F5">
        <w:rPr>
          <w:rFonts w:ascii="Verdana" w:hAnsi="Verdana"/>
          <w:sz w:val="20"/>
        </w:rPr>
        <w:t xml:space="preserve"> Considerando</w:t>
      </w:r>
      <w:r w:rsidR="0078506D" w:rsidRPr="001731F5">
        <w:rPr>
          <w:rFonts w:ascii="Verdana" w:hAnsi="Verdana"/>
          <w:sz w:val="20"/>
        </w:rPr>
        <w:t>s</w:t>
      </w:r>
      <w:r w:rsidR="00307F0C" w:rsidRPr="001731F5">
        <w:rPr>
          <w:rFonts w:ascii="Verdana" w:hAnsi="Verdana"/>
          <w:sz w:val="20"/>
        </w:rPr>
        <w:t xml:space="preserve"> </w:t>
      </w:r>
      <w:r w:rsidR="009D6592">
        <w:rPr>
          <w:rFonts w:ascii="Verdana" w:hAnsi="Verdana"/>
          <w:sz w:val="20"/>
        </w:rPr>
        <w:t>30, 34 y 54</w:t>
      </w:r>
      <w:r w:rsidRPr="001731F5">
        <w:rPr>
          <w:rFonts w:ascii="Verdana" w:hAnsi="Verdana"/>
          <w:sz w:val="20"/>
        </w:rPr>
        <w:t xml:space="preserve"> de la presente Resolución, que el Estado ha dado cumplimiento </w:t>
      </w:r>
      <w:r w:rsidR="00B44EB8" w:rsidRPr="001731F5">
        <w:rPr>
          <w:rFonts w:ascii="Verdana" w:hAnsi="Verdana"/>
          <w:sz w:val="20"/>
        </w:rPr>
        <w:t>tot</w:t>
      </w:r>
      <w:r w:rsidR="00307F0C" w:rsidRPr="001731F5">
        <w:rPr>
          <w:rFonts w:ascii="Verdana" w:hAnsi="Verdana"/>
          <w:sz w:val="20"/>
        </w:rPr>
        <w:t>al</w:t>
      </w:r>
      <w:r w:rsidRPr="001731F5">
        <w:rPr>
          <w:rFonts w:ascii="Verdana" w:hAnsi="Verdana"/>
          <w:sz w:val="20"/>
        </w:rPr>
        <w:t xml:space="preserve"> a la</w:t>
      </w:r>
      <w:r w:rsidR="00B44EB8" w:rsidRPr="001731F5">
        <w:rPr>
          <w:rFonts w:ascii="Verdana" w:hAnsi="Verdana"/>
          <w:sz w:val="20"/>
        </w:rPr>
        <w:t>s siguientes reparaciones:</w:t>
      </w:r>
      <w:r w:rsidRPr="001731F5">
        <w:rPr>
          <w:rFonts w:ascii="Verdana" w:hAnsi="Verdana"/>
          <w:sz w:val="20"/>
        </w:rPr>
        <w:t xml:space="preserve"> </w:t>
      </w:r>
    </w:p>
    <w:p w14:paraId="5E285011" w14:textId="77777777" w:rsidR="00B44EB8" w:rsidRPr="001731F5" w:rsidRDefault="00B44EB8" w:rsidP="00B44EB8">
      <w:pPr>
        <w:pStyle w:val="Prrafodelista"/>
        <w:numPr>
          <w:ilvl w:val="0"/>
          <w:numId w:val="27"/>
        </w:numPr>
        <w:spacing w:before="120" w:after="120"/>
        <w:jc w:val="both"/>
        <w:rPr>
          <w:rFonts w:ascii="Verdana" w:hAnsi="Verdana"/>
          <w:sz w:val="20"/>
          <w:lang w:val="es-MX"/>
        </w:rPr>
      </w:pPr>
      <w:r w:rsidRPr="001731F5">
        <w:rPr>
          <w:rFonts w:ascii="Verdana" w:hAnsi="Verdana"/>
          <w:sz w:val="20"/>
          <w:lang w:val="es-MX"/>
        </w:rPr>
        <w:t xml:space="preserve">realizar un acto público de reconocimiento de responsabilidad internacional </w:t>
      </w:r>
      <w:r w:rsidRPr="001731F5">
        <w:rPr>
          <w:rFonts w:ascii="Verdana" w:hAnsi="Verdana"/>
          <w:i/>
          <w:sz w:val="20"/>
        </w:rPr>
        <w:t xml:space="preserve">(punto resolutivo </w:t>
      </w:r>
      <w:r w:rsidR="00541655" w:rsidRPr="001731F5">
        <w:rPr>
          <w:rFonts w:ascii="Verdana" w:hAnsi="Verdana"/>
          <w:i/>
          <w:sz w:val="20"/>
        </w:rPr>
        <w:t>séptimo</w:t>
      </w:r>
      <w:r w:rsidRPr="001731F5">
        <w:rPr>
          <w:rFonts w:ascii="Verdana" w:hAnsi="Verdana"/>
          <w:i/>
          <w:sz w:val="20"/>
        </w:rPr>
        <w:t xml:space="preserve"> de la Sentencia)</w:t>
      </w:r>
      <w:r w:rsidR="00541655" w:rsidRPr="001731F5">
        <w:rPr>
          <w:rFonts w:ascii="Verdana" w:hAnsi="Verdana"/>
          <w:sz w:val="20"/>
        </w:rPr>
        <w:t>;</w:t>
      </w:r>
    </w:p>
    <w:p w14:paraId="4B947424" w14:textId="77777777" w:rsidR="00B44EB8" w:rsidRPr="001731F5" w:rsidRDefault="00B44EB8" w:rsidP="00B44EB8">
      <w:pPr>
        <w:pStyle w:val="Prrafodelista"/>
        <w:numPr>
          <w:ilvl w:val="0"/>
          <w:numId w:val="27"/>
        </w:numPr>
        <w:spacing w:before="120" w:after="120"/>
        <w:jc w:val="both"/>
        <w:rPr>
          <w:rFonts w:ascii="Verdana" w:hAnsi="Verdana"/>
          <w:sz w:val="20"/>
          <w:lang w:val="es-MX"/>
        </w:rPr>
      </w:pPr>
      <w:r w:rsidRPr="001731F5">
        <w:rPr>
          <w:rFonts w:ascii="Verdana" w:hAnsi="Verdana"/>
          <w:sz w:val="20"/>
        </w:rPr>
        <w:lastRenderedPageBreak/>
        <w:t xml:space="preserve">realizar las publicaciones y difusión de la Sentencia y de su resumen oficial </w:t>
      </w:r>
      <w:r w:rsidRPr="001731F5">
        <w:rPr>
          <w:rFonts w:ascii="Verdana" w:hAnsi="Verdana"/>
          <w:i/>
          <w:sz w:val="20"/>
        </w:rPr>
        <w:t>(punto resolutivo octavo de la Sentencia)</w:t>
      </w:r>
      <w:r w:rsidR="00541655" w:rsidRPr="001731F5">
        <w:rPr>
          <w:rFonts w:ascii="Verdana" w:hAnsi="Verdana"/>
          <w:sz w:val="20"/>
        </w:rPr>
        <w:t>;</w:t>
      </w:r>
    </w:p>
    <w:p w14:paraId="19386C5C" w14:textId="77777777" w:rsidR="00541655" w:rsidRPr="001731F5" w:rsidRDefault="00541655" w:rsidP="00541655">
      <w:pPr>
        <w:pStyle w:val="Prrafodelista"/>
        <w:numPr>
          <w:ilvl w:val="0"/>
          <w:numId w:val="27"/>
        </w:numPr>
        <w:spacing w:before="120" w:after="120"/>
        <w:jc w:val="both"/>
        <w:rPr>
          <w:rFonts w:ascii="Verdana" w:hAnsi="Verdana"/>
          <w:i/>
          <w:sz w:val="20"/>
          <w:lang w:val="es-MX"/>
        </w:rPr>
      </w:pPr>
      <w:r w:rsidRPr="001731F5">
        <w:rPr>
          <w:rFonts w:ascii="Verdana" w:hAnsi="Verdana"/>
          <w:sz w:val="20"/>
        </w:rPr>
        <w:t>pagar a los familiares del señor Gutiérrez las cantidades fijadas en los párrafos 176 y 186 por concepto de indemnizaciones por daños materiales e inmateriales (</w:t>
      </w:r>
      <w:r w:rsidRPr="001731F5">
        <w:rPr>
          <w:rFonts w:ascii="Verdana" w:hAnsi="Verdana"/>
          <w:i/>
          <w:sz w:val="20"/>
        </w:rPr>
        <w:t>punto resolutivo décimo primero de la Sentencia</w:t>
      </w:r>
      <w:r w:rsidRPr="001731F5">
        <w:rPr>
          <w:rFonts w:ascii="Verdana" w:hAnsi="Verdana"/>
          <w:sz w:val="20"/>
        </w:rPr>
        <w:t>), y</w:t>
      </w:r>
    </w:p>
    <w:p w14:paraId="24A1D2C0" w14:textId="77777777" w:rsidR="00541655" w:rsidRPr="00684796" w:rsidRDefault="00541655" w:rsidP="00541655">
      <w:pPr>
        <w:pStyle w:val="Prrafodelista"/>
        <w:numPr>
          <w:ilvl w:val="0"/>
          <w:numId w:val="27"/>
        </w:numPr>
        <w:spacing w:before="120" w:after="120"/>
        <w:jc w:val="both"/>
        <w:rPr>
          <w:rFonts w:ascii="Verdana" w:hAnsi="Verdana"/>
          <w:i/>
          <w:sz w:val="20"/>
          <w:lang w:val="es-MX"/>
        </w:rPr>
      </w:pPr>
      <w:r w:rsidRPr="001731F5">
        <w:rPr>
          <w:rFonts w:ascii="Verdana" w:hAnsi="Verdana"/>
          <w:sz w:val="20"/>
        </w:rPr>
        <w:t xml:space="preserve">pagar las cantidades fijadas en los párrafos 193 a 195 de la Sentencia, por concepto de reintegro de costas y gastos </w:t>
      </w:r>
      <w:r w:rsidRPr="001731F5">
        <w:rPr>
          <w:rFonts w:ascii="Verdana" w:hAnsi="Verdana"/>
          <w:i/>
          <w:sz w:val="20"/>
        </w:rPr>
        <w:t>(punto resolutivo décimo primero de la Sentencia).</w:t>
      </w:r>
    </w:p>
    <w:p w14:paraId="78B92BF2" w14:textId="77777777" w:rsidR="00684796" w:rsidRPr="001731F5" w:rsidRDefault="00684796" w:rsidP="00684796">
      <w:pPr>
        <w:pStyle w:val="Prrafodelista"/>
        <w:spacing w:before="120" w:after="120"/>
        <w:ind w:left="720"/>
        <w:jc w:val="both"/>
        <w:rPr>
          <w:rFonts w:ascii="Verdana" w:hAnsi="Verdana"/>
          <w:i/>
          <w:sz w:val="20"/>
          <w:lang w:val="es-MX"/>
        </w:rPr>
      </w:pPr>
    </w:p>
    <w:p w14:paraId="6F1ED49B" w14:textId="77777777" w:rsidR="002F13B3" w:rsidRPr="001731F5" w:rsidRDefault="00652641" w:rsidP="002F13B3">
      <w:pPr>
        <w:numPr>
          <w:ilvl w:val="0"/>
          <w:numId w:val="1"/>
        </w:numPr>
        <w:spacing w:before="120" w:after="120"/>
        <w:ind w:left="0" w:hanging="11"/>
        <w:jc w:val="both"/>
        <w:rPr>
          <w:rFonts w:ascii="Verdana" w:hAnsi="Verdana"/>
          <w:sz w:val="20"/>
          <w:lang w:val="es-MX"/>
        </w:rPr>
      </w:pPr>
      <w:r w:rsidRPr="001731F5">
        <w:rPr>
          <w:rFonts w:ascii="Verdana" w:hAnsi="Verdana"/>
          <w:sz w:val="20"/>
        </w:rPr>
        <w:t>Mantener abierto el procedimiento de supervisión de cumplimiento respecto de la</w:t>
      </w:r>
      <w:r w:rsidR="00E2546D" w:rsidRPr="001731F5">
        <w:rPr>
          <w:rFonts w:ascii="Verdana" w:hAnsi="Verdana"/>
          <w:sz w:val="20"/>
        </w:rPr>
        <w:t>s</w:t>
      </w:r>
      <w:r w:rsidRPr="001731F5">
        <w:rPr>
          <w:rFonts w:ascii="Verdana" w:hAnsi="Verdana"/>
          <w:sz w:val="20"/>
        </w:rPr>
        <w:t xml:space="preserve"> </w:t>
      </w:r>
      <w:r w:rsidR="00B44EB8" w:rsidRPr="001731F5">
        <w:rPr>
          <w:rFonts w:ascii="Verdana" w:hAnsi="Verdana"/>
          <w:sz w:val="20"/>
        </w:rPr>
        <w:t xml:space="preserve">siguientes </w:t>
      </w:r>
      <w:r w:rsidRPr="001731F5">
        <w:rPr>
          <w:rFonts w:ascii="Verdana" w:hAnsi="Verdana"/>
          <w:sz w:val="20"/>
        </w:rPr>
        <w:t>medida</w:t>
      </w:r>
      <w:r w:rsidR="00E2546D" w:rsidRPr="001731F5">
        <w:rPr>
          <w:rFonts w:ascii="Verdana" w:hAnsi="Verdana"/>
          <w:sz w:val="20"/>
        </w:rPr>
        <w:t>s</w:t>
      </w:r>
      <w:r w:rsidRPr="001731F5">
        <w:rPr>
          <w:rFonts w:ascii="Verdana" w:hAnsi="Verdana"/>
          <w:sz w:val="20"/>
        </w:rPr>
        <w:t xml:space="preserve"> de </w:t>
      </w:r>
      <w:r w:rsidR="00D219C0" w:rsidRPr="001731F5">
        <w:rPr>
          <w:rFonts w:ascii="Verdana" w:hAnsi="Verdana"/>
          <w:sz w:val="20"/>
        </w:rPr>
        <w:t>reparación</w:t>
      </w:r>
      <w:r w:rsidR="00B44EB8" w:rsidRPr="001731F5">
        <w:rPr>
          <w:rFonts w:ascii="Verdana" w:hAnsi="Verdana"/>
          <w:sz w:val="20"/>
        </w:rPr>
        <w:t>:</w:t>
      </w:r>
      <w:r w:rsidR="00D219C0" w:rsidRPr="001731F5">
        <w:rPr>
          <w:rFonts w:ascii="Verdana" w:hAnsi="Verdana"/>
          <w:sz w:val="20"/>
        </w:rPr>
        <w:t xml:space="preserve"> </w:t>
      </w:r>
    </w:p>
    <w:p w14:paraId="0CCF3BBE" w14:textId="77777777" w:rsidR="00B44EB8" w:rsidRPr="001731F5" w:rsidRDefault="00263A33" w:rsidP="00B44EB8">
      <w:pPr>
        <w:pStyle w:val="Prrafodelista"/>
        <w:numPr>
          <w:ilvl w:val="0"/>
          <w:numId w:val="28"/>
        </w:numPr>
        <w:spacing w:before="120" w:after="120"/>
        <w:jc w:val="both"/>
        <w:rPr>
          <w:rFonts w:ascii="Verdana" w:hAnsi="Verdana"/>
          <w:sz w:val="20"/>
          <w:lang w:val="es-MX"/>
        </w:rPr>
      </w:pPr>
      <w:r w:rsidRPr="001731F5">
        <w:rPr>
          <w:rFonts w:ascii="Verdana" w:hAnsi="Verdana"/>
          <w:sz w:val="20"/>
        </w:rPr>
        <w:t>llevar a cabo las investigaciones y procesos penales correspondientes, con el fin de individualizar, identificar, juzgar y, en su caso, sancionar a los responsables materiales e intelectuales de los hechos relacionados con la eje</w:t>
      </w:r>
      <w:r w:rsidR="00976C36" w:rsidRPr="001731F5">
        <w:rPr>
          <w:rFonts w:ascii="Verdana" w:hAnsi="Verdana"/>
          <w:sz w:val="20"/>
        </w:rPr>
        <w:t xml:space="preserve">cución de Jorge Omar Gutiérrez </w:t>
      </w:r>
      <w:r w:rsidR="002E2661" w:rsidRPr="001731F5">
        <w:rPr>
          <w:rFonts w:ascii="Verdana" w:hAnsi="Verdana"/>
          <w:i/>
          <w:sz w:val="20"/>
        </w:rPr>
        <w:t>(punto resolutivo sexto de la Sentencia)</w:t>
      </w:r>
      <w:r w:rsidR="002E2661" w:rsidRPr="001731F5">
        <w:rPr>
          <w:rFonts w:ascii="Verdana" w:hAnsi="Verdana"/>
          <w:sz w:val="20"/>
        </w:rPr>
        <w:t>;</w:t>
      </w:r>
    </w:p>
    <w:p w14:paraId="05339E33" w14:textId="77777777" w:rsidR="002E2661" w:rsidRPr="001731F5" w:rsidRDefault="002E2661" w:rsidP="00B44EB8">
      <w:pPr>
        <w:pStyle w:val="Prrafodelista"/>
        <w:numPr>
          <w:ilvl w:val="0"/>
          <w:numId w:val="28"/>
        </w:numPr>
        <w:spacing w:before="120" w:after="120"/>
        <w:jc w:val="both"/>
        <w:rPr>
          <w:rFonts w:ascii="Verdana" w:hAnsi="Verdana"/>
          <w:sz w:val="20"/>
          <w:lang w:val="es-MX"/>
        </w:rPr>
      </w:pPr>
      <w:r w:rsidRPr="001731F5">
        <w:rPr>
          <w:rFonts w:ascii="Verdana" w:hAnsi="Verdana"/>
          <w:sz w:val="20"/>
        </w:rPr>
        <w:t xml:space="preserve">adoptar medidas de conservación y señalización del galpón y la comisaría donde ocurrieron los hechos que originaron el presente caso </w:t>
      </w:r>
      <w:r w:rsidRPr="001731F5">
        <w:rPr>
          <w:rFonts w:ascii="Verdana" w:hAnsi="Verdana"/>
          <w:i/>
          <w:sz w:val="20"/>
        </w:rPr>
        <w:t>(punto res</w:t>
      </w:r>
      <w:r w:rsidR="008F3791" w:rsidRPr="001731F5">
        <w:rPr>
          <w:rFonts w:ascii="Verdana" w:hAnsi="Verdana"/>
          <w:i/>
          <w:sz w:val="20"/>
        </w:rPr>
        <w:t>olutivo noveno de la Sentencia)</w:t>
      </w:r>
      <w:r w:rsidR="008F3791" w:rsidRPr="001731F5">
        <w:rPr>
          <w:rFonts w:ascii="Verdana" w:hAnsi="Verdana"/>
          <w:sz w:val="20"/>
        </w:rPr>
        <w:t xml:space="preserve">, </w:t>
      </w:r>
      <w:r w:rsidR="00976C36" w:rsidRPr="001731F5">
        <w:rPr>
          <w:rFonts w:ascii="Verdana" w:hAnsi="Verdana"/>
          <w:sz w:val="20"/>
        </w:rPr>
        <w:t>e</w:t>
      </w:r>
    </w:p>
    <w:p w14:paraId="2848CA85" w14:textId="77777777" w:rsidR="002E2661" w:rsidRPr="001731F5" w:rsidRDefault="002E2661" w:rsidP="00B44EB8">
      <w:pPr>
        <w:pStyle w:val="Prrafodelista"/>
        <w:numPr>
          <w:ilvl w:val="0"/>
          <w:numId w:val="28"/>
        </w:numPr>
        <w:spacing w:before="120" w:after="120"/>
        <w:jc w:val="both"/>
        <w:rPr>
          <w:rFonts w:ascii="Verdana" w:hAnsi="Verdana"/>
          <w:sz w:val="20"/>
          <w:lang w:val="es-MX"/>
        </w:rPr>
      </w:pPr>
      <w:r w:rsidRPr="001731F5">
        <w:rPr>
          <w:rFonts w:ascii="Verdana" w:hAnsi="Verdana"/>
          <w:sz w:val="20"/>
        </w:rPr>
        <w:t xml:space="preserve">integrar a los currículos de formación o planes de estudio de la Policía Federal Argentina y de la Policía de la Provincia de Buenos Aires, así como de la Policía Judicial de dicha Provincia, cursos de capacitación sobre las obligaciones de respeto y garantía de los derechos humanos, particularmente el derecho a la vida, y sobre la obligación de investigar con debida diligencia y la tutela judicial efectiva, así como el control de convencionalidad </w:t>
      </w:r>
      <w:r w:rsidRPr="001731F5">
        <w:rPr>
          <w:rFonts w:ascii="Verdana" w:hAnsi="Verdana"/>
          <w:i/>
          <w:sz w:val="20"/>
        </w:rPr>
        <w:t>(punto resol</w:t>
      </w:r>
      <w:r w:rsidR="008F3791" w:rsidRPr="001731F5">
        <w:rPr>
          <w:rFonts w:ascii="Verdana" w:hAnsi="Verdana"/>
          <w:i/>
          <w:sz w:val="20"/>
        </w:rPr>
        <w:t>utivo décimo de la Sentencia)</w:t>
      </w:r>
      <w:r w:rsidR="008F3791" w:rsidRPr="001731F5">
        <w:rPr>
          <w:rFonts w:ascii="Verdana" w:hAnsi="Verdana"/>
          <w:sz w:val="20"/>
        </w:rPr>
        <w:t>.</w:t>
      </w:r>
    </w:p>
    <w:p w14:paraId="0B8E0871" w14:textId="77777777" w:rsidR="002F13B3" w:rsidRPr="001731F5" w:rsidRDefault="009C3D4F" w:rsidP="002F13B3">
      <w:pPr>
        <w:numPr>
          <w:ilvl w:val="0"/>
          <w:numId w:val="1"/>
        </w:numPr>
        <w:spacing w:before="120" w:after="120"/>
        <w:ind w:left="0" w:hanging="11"/>
        <w:jc w:val="both"/>
        <w:rPr>
          <w:rFonts w:ascii="Verdana" w:hAnsi="Verdana"/>
          <w:sz w:val="20"/>
          <w:lang w:val="es-MX"/>
        </w:rPr>
      </w:pPr>
      <w:r w:rsidRPr="001731F5">
        <w:rPr>
          <w:rFonts w:ascii="Verdana" w:hAnsi="Verdana"/>
          <w:sz w:val="20"/>
          <w:lang w:val="es-MX"/>
        </w:rPr>
        <w:t>Disponer que el Estado adopte, en definitiva y a la mayor brevedad, las medidas que sean necesarias para dar efectivo y pronto cumplimiento a los puntos pendientes de la Sentencia de fondo, reparaciones y costas emitida en el presente caso, de acuerdo con lo considerado en la presente Resolución, y con lo estipulado en el artículo 68.1 de la Convención Americana sobre Derechos Humanos.</w:t>
      </w:r>
    </w:p>
    <w:p w14:paraId="62E68C66" w14:textId="03319A37" w:rsidR="002F13B3" w:rsidRPr="001731F5" w:rsidRDefault="00D219C0" w:rsidP="002F13B3">
      <w:pPr>
        <w:numPr>
          <w:ilvl w:val="0"/>
          <w:numId w:val="1"/>
        </w:numPr>
        <w:spacing w:before="120" w:after="120"/>
        <w:ind w:left="0" w:hanging="11"/>
        <w:jc w:val="both"/>
        <w:rPr>
          <w:rFonts w:ascii="Verdana" w:hAnsi="Verdana"/>
          <w:sz w:val="20"/>
          <w:lang w:val="es-MX"/>
        </w:rPr>
      </w:pPr>
      <w:r w:rsidRPr="001731F5">
        <w:rPr>
          <w:rFonts w:ascii="Verdana" w:hAnsi="Verdana"/>
          <w:sz w:val="20"/>
        </w:rPr>
        <w:t xml:space="preserve">Disponer que el Estado presente a la Corte Interamericana de Derechos Humanos, a más tardar el </w:t>
      </w:r>
      <w:r w:rsidR="004B4DC3">
        <w:rPr>
          <w:rFonts w:ascii="Verdana" w:hAnsi="Verdana"/>
          <w:sz w:val="20"/>
        </w:rPr>
        <w:t xml:space="preserve">30 </w:t>
      </w:r>
      <w:r w:rsidR="009933FF" w:rsidRPr="001731F5">
        <w:rPr>
          <w:rFonts w:ascii="Verdana" w:hAnsi="Verdana"/>
          <w:sz w:val="20"/>
        </w:rPr>
        <w:t xml:space="preserve">de </w:t>
      </w:r>
      <w:r w:rsidR="004B4DC3">
        <w:rPr>
          <w:rFonts w:ascii="Verdana" w:hAnsi="Verdana"/>
          <w:sz w:val="20"/>
        </w:rPr>
        <w:t>marzo</w:t>
      </w:r>
      <w:r w:rsidR="004B4DC3" w:rsidRPr="001731F5">
        <w:rPr>
          <w:rFonts w:ascii="Verdana" w:hAnsi="Verdana"/>
          <w:sz w:val="20"/>
        </w:rPr>
        <w:t xml:space="preserve"> </w:t>
      </w:r>
      <w:r w:rsidRPr="001731F5">
        <w:rPr>
          <w:rFonts w:ascii="Verdana" w:hAnsi="Verdana"/>
          <w:sz w:val="20"/>
        </w:rPr>
        <w:t>de 20</w:t>
      </w:r>
      <w:r w:rsidR="00D17D92" w:rsidRPr="001731F5">
        <w:rPr>
          <w:rFonts w:ascii="Verdana" w:hAnsi="Verdana"/>
          <w:sz w:val="20"/>
        </w:rPr>
        <w:t>20</w:t>
      </w:r>
      <w:r w:rsidRPr="001731F5">
        <w:rPr>
          <w:rFonts w:ascii="Verdana" w:hAnsi="Verdana"/>
          <w:sz w:val="20"/>
        </w:rPr>
        <w:t xml:space="preserve">, </w:t>
      </w:r>
      <w:r w:rsidR="00B44EB8" w:rsidRPr="001731F5">
        <w:rPr>
          <w:rFonts w:ascii="Verdana" w:hAnsi="Verdana"/>
          <w:sz w:val="20"/>
        </w:rPr>
        <w:t>un informe en el cual indique todas las medidas adoptadas para cumplir con las reparaciones ordenadas por esta Corte que se encuentran pendientes de cumplimiento</w:t>
      </w:r>
      <w:r w:rsidR="009D6592">
        <w:rPr>
          <w:rFonts w:ascii="Verdana" w:hAnsi="Verdana"/>
          <w:sz w:val="20"/>
        </w:rPr>
        <w:t>, de conformidad con los Considerandos 10, 24, 25, 40 y 46 a 50, así como los puntos resolutivos 2 y 3 de esta Resolución</w:t>
      </w:r>
      <w:r w:rsidRPr="001731F5">
        <w:rPr>
          <w:rFonts w:ascii="Verdana" w:hAnsi="Verdana"/>
          <w:sz w:val="20"/>
        </w:rPr>
        <w:t xml:space="preserve">. </w:t>
      </w:r>
    </w:p>
    <w:p w14:paraId="41A50B7B" w14:textId="77777777" w:rsidR="002F13B3" w:rsidRPr="001731F5" w:rsidRDefault="00D219C0" w:rsidP="002F13B3">
      <w:pPr>
        <w:numPr>
          <w:ilvl w:val="0"/>
          <w:numId w:val="1"/>
        </w:numPr>
        <w:spacing w:before="120" w:after="120"/>
        <w:ind w:left="0" w:hanging="11"/>
        <w:jc w:val="both"/>
        <w:rPr>
          <w:rFonts w:ascii="Verdana" w:hAnsi="Verdana"/>
          <w:sz w:val="20"/>
          <w:lang w:val="es-MX"/>
        </w:rPr>
      </w:pPr>
      <w:r w:rsidRPr="001731F5">
        <w:rPr>
          <w:rFonts w:ascii="Verdana" w:hAnsi="Verdana"/>
          <w:sz w:val="20"/>
        </w:rPr>
        <w:t>Disponer que los representantes de las víctimas y la Comisión Interamericana de Derechos Humanos presenten observaciones al informe del Estado mencionado en el punto resolutivo anterior, en los plazos de cuatro y seis semanas, respectivamente, contados a partir de la recepción del informe.</w:t>
      </w:r>
    </w:p>
    <w:p w14:paraId="73B65322" w14:textId="2A7E6CC6" w:rsidR="00EE57EB" w:rsidRDefault="00EF74B0" w:rsidP="007672DD">
      <w:pPr>
        <w:numPr>
          <w:ilvl w:val="0"/>
          <w:numId w:val="1"/>
        </w:numPr>
        <w:spacing w:before="120" w:after="120"/>
        <w:ind w:left="0" w:hanging="11"/>
        <w:jc w:val="both"/>
        <w:rPr>
          <w:rFonts w:ascii="Verdana" w:hAnsi="Verdana"/>
          <w:sz w:val="20"/>
        </w:rPr>
      </w:pPr>
      <w:r w:rsidRPr="001731F5">
        <w:rPr>
          <w:rFonts w:ascii="Verdana" w:hAnsi="Verdana"/>
          <w:sz w:val="20"/>
        </w:rPr>
        <w:t>Disponer que</w:t>
      </w:r>
      <w:r w:rsidR="0021463F" w:rsidRPr="001731F5">
        <w:rPr>
          <w:rFonts w:ascii="Verdana" w:hAnsi="Verdana"/>
          <w:sz w:val="20"/>
        </w:rPr>
        <w:t xml:space="preserve"> la Secretaría de la Corte</w:t>
      </w:r>
      <w:r w:rsidR="00ED421A">
        <w:rPr>
          <w:rFonts w:ascii="Verdana" w:hAnsi="Verdana"/>
          <w:sz w:val="20"/>
        </w:rPr>
        <w:t xml:space="preserve"> Interamericana de Derechos Humanos</w:t>
      </w:r>
      <w:r w:rsidR="0021463F" w:rsidRPr="001731F5">
        <w:rPr>
          <w:rFonts w:ascii="Verdana" w:hAnsi="Verdana"/>
          <w:sz w:val="20"/>
        </w:rPr>
        <w:t xml:space="preserve"> notifique la presente Resolución al Estado, a los representantes de las víctimas y a la Comisión Interamericana de Derechos Humanos.</w:t>
      </w:r>
    </w:p>
    <w:p w14:paraId="4F1FB4CE" w14:textId="77777777" w:rsidR="00EE57EB" w:rsidRDefault="00EE57EB">
      <w:pPr>
        <w:rPr>
          <w:rFonts w:ascii="Verdana" w:hAnsi="Verdana"/>
          <w:sz w:val="20"/>
        </w:rPr>
      </w:pPr>
      <w:r>
        <w:rPr>
          <w:rFonts w:ascii="Verdana" w:hAnsi="Verdana"/>
          <w:sz w:val="20"/>
        </w:rPr>
        <w:br w:type="page"/>
      </w:r>
    </w:p>
    <w:p w14:paraId="6E7FF1B3" w14:textId="77777777" w:rsidR="0063396F" w:rsidRPr="00847B73" w:rsidRDefault="0063396F" w:rsidP="0063396F">
      <w:pPr>
        <w:keepNext/>
        <w:jc w:val="both"/>
        <w:outlineLvl w:val="0"/>
        <w:rPr>
          <w:rFonts w:ascii="Verdana" w:hAnsi="Verdana" w:cs="Verdana"/>
          <w:b/>
          <w:bCs/>
          <w:sz w:val="20"/>
          <w:lang w:val="es-ES"/>
        </w:rPr>
      </w:pPr>
      <w:bookmarkStart w:id="36" w:name="_GoBack"/>
      <w:r w:rsidRPr="00847B73">
        <w:rPr>
          <w:rFonts w:ascii="Verdana" w:hAnsi="Verdana" w:cs="Courier New"/>
          <w:noProof/>
          <w:sz w:val="20"/>
          <w:lang w:val="es-AR"/>
        </w:rPr>
        <w:lastRenderedPageBreak/>
        <w:t xml:space="preserve">Corte IDH. </w:t>
      </w:r>
      <w:r w:rsidRPr="00847B73">
        <w:rPr>
          <w:rFonts w:ascii="Verdana" w:hAnsi="Verdana"/>
          <w:bCs/>
          <w:i/>
          <w:sz w:val="20"/>
          <w:lang w:val="es-CR"/>
        </w:rPr>
        <w:t xml:space="preserve">Caso </w:t>
      </w:r>
      <w:r>
        <w:rPr>
          <w:rFonts w:ascii="Verdana" w:hAnsi="Verdana"/>
          <w:bCs/>
          <w:i/>
          <w:sz w:val="20"/>
          <w:lang w:val="es-CR"/>
        </w:rPr>
        <w:t>Gutiérrez y familia Vs. Argentina.</w:t>
      </w:r>
      <w:r w:rsidRPr="00847B73">
        <w:rPr>
          <w:rFonts w:ascii="Verdana" w:hAnsi="Verdana"/>
          <w:bCs/>
          <w:i/>
          <w:sz w:val="20"/>
          <w:lang w:val="es-CR"/>
        </w:rPr>
        <w:t xml:space="preserve"> </w:t>
      </w:r>
      <w:r>
        <w:rPr>
          <w:rFonts w:ascii="Verdana" w:hAnsi="Verdana" w:cs="Arial"/>
          <w:sz w:val="20"/>
          <w:lang w:val="es-CR"/>
        </w:rPr>
        <w:t>Supervisión de Cumplimiento de Sentencia.</w:t>
      </w:r>
      <w:r>
        <w:rPr>
          <w:rFonts w:ascii="Verdana" w:hAnsi="Verdana" w:cs="Arial"/>
          <w:i/>
          <w:sz w:val="20"/>
          <w:lang w:val="es-CR"/>
        </w:rPr>
        <w:t xml:space="preserve"> </w:t>
      </w:r>
      <w:r w:rsidRPr="00847B73">
        <w:rPr>
          <w:rFonts w:ascii="Verdana" w:hAnsi="Verdana"/>
          <w:sz w:val="20"/>
          <w:lang w:val="es-ES"/>
        </w:rPr>
        <w:t xml:space="preserve">Resolución de la Corte Interamericana de Derechos Humanos de </w:t>
      </w:r>
      <w:r>
        <w:rPr>
          <w:rFonts w:ascii="Verdana" w:hAnsi="Verdana"/>
          <w:sz w:val="20"/>
          <w:lang w:val="es-ES"/>
        </w:rPr>
        <w:t>22</w:t>
      </w:r>
      <w:r w:rsidRPr="00847B73">
        <w:rPr>
          <w:rFonts w:ascii="Verdana" w:hAnsi="Verdana"/>
          <w:sz w:val="20"/>
          <w:lang w:val="es-CR"/>
        </w:rPr>
        <w:t xml:space="preserve"> de </w:t>
      </w:r>
      <w:r>
        <w:rPr>
          <w:rFonts w:ascii="Verdana" w:hAnsi="Verdana"/>
          <w:sz w:val="20"/>
          <w:lang w:val="es-CR"/>
        </w:rPr>
        <w:t xml:space="preserve">noviembre </w:t>
      </w:r>
      <w:r w:rsidRPr="00847B73">
        <w:rPr>
          <w:rFonts w:ascii="Verdana" w:hAnsi="Verdana"/>
          <w:sz w:val="20"/>
          <w:lang w:val="es-CR"/>
        </w:rPr>
        <w:t>de 2019</w:t>
      </w:r>
      <w:r w:rsidRPr="00847B73">
        <w:rPr>
          <w:rFonts w:ascii="Verdana" w:hAnsi="Verdana"/>
          <w:sz w:val="20"/>
          <w:lang w:val="es-ES"/>
        </w:rPr>
        <w:t xml:space="preserve">. </w:t>
      </w:r>
    </w:p>
    <w:bookmarkEnd w:id="36"/>
    <w:p w14:paraId="3D684674" w14:textId="77777777" w:rsidR="0063396F" w:rsidRPr="00847B73" w:rsidRDefault="0063396F" w:rsidP="0063396F">
      <w:pPr>
        <w:jc w:val="center"/>
        <w:rPr>
          <w:rFonts w:ascii="Verdana" w:hAnsi="Verdana"/>
          <w:sz w:val="20"/>
          <w:lang w:val="es-ES"/>
        </w:rPr>
      </w:pPr>
    </w:p>
    <w:p w14:paraId="6463B5AB" w14:textId="77777777" w:rsidR="0063396F" w:rsidRPr="00847B73" w:rsidRDefault="0063396F" w:rsidP="0063396F">
      <w:pPr>
        <w:jc w:val="center"/>
        <w:rPr>
          <w:rFonts w:ascii="Verdana" w:hAnsi="Verdana"/>
          <w:sz w:val="20"/>
          <w:lang w:val="es-ES"/>
        </w:rPr>
      </w:pPr>
    </w:p>
    <w:p w14:paraId="603D3FAE" w14:textId="77777777" w:rsidR="0063396F" w:rsidRPr="00826239" w:rsidRDefault="0063396F" w:rsidP="0063396F">
      <w:pPr>
        <w:tabs>
          <w:tab w:val="left" w:pos="567"/>
        </w:tabs>
        <w:ind w:right="4"/>
        <w:jc w:val="center"/>
        <w:rPr>
          <w:rFonts w:ascii="Verdana" w:hAnsi="Verdana"/>
          <w:b/>
          <w:smallCaps/>
          <w:sz w:val="20"/>
          <w:lang w:val="es-CO"/>
        </w:rPr>
      </w:pPr>
    </w:p>
    <w:p w14:paraId="7DF94F2D" w14:textId="77777777" w:rsidR="0063396F" w:rsidRPr="00847B73" w:rsidRDefault="0063396F" w:rsidP="0063396F">
      <w:pPr>
        <w:jc w:val="both"/>
        <w:rPr>
          <w:rFonts w:ascii="Verdana" w:hAnsi="Verdana"/>
          <w:sz w:val="20"/>
          <w:lang w:val="pt-BR"/>
        </w:rPr>
      </w:pPr>
    </w:p>
    <w:p w14:paraId="605F6BC7" w14:textId="77777777" w:rsidR="0063396F" w:rsidRDefault="0063396F" w:rsidP="0063396F">
      <w:pPr>
        <w:jc w:val="center"/>
        <w:rPr>
          <w:rFonts w:ascii="Verdana" w:hAnsi="Verdana"/>
          <w:sz w:val="20"/>
          <w:lang w:val="pt-BR"/>
        </w:rPr>
      </w:pPr>
      <w:r w:rsidRPr="00847B73">
        <w:rPr>
          <w:rFonts w:ascii="Verdana" w:hAnsi="Verdana"/>
          <w:sz w:val="20"/>
          <w:lang w:val="pt-BR"/>
        </w:rPr>
        <w:t xml:space="preserve">Eduardo Vio Grossi </w:t>
      </w:r>
    </w:p>
    <w:p w14:paraId="47B6AA01" w14:textId="77777777" w:rsidR="0063396F" w:rsidRPr="00847B73" w:rsidRDefault="0063396F" w:rsidP="0063396F">
      <w:pPr>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 </w:t>
      </w:r>
    </w:p>
    <w:p w14:paraId="45A4B3BE" w14:textId="77777777" w:rsidR="0063396F" w:rsidRPr="00847B73" w:rsidRDefault="0063396F" w:rsidP="0063396F">
      <w:pPr>
        <w:jc w:val="both"/>
        <w:rPr>
          <w:rFonts w:ascii="Verdana" w:hAnsi="Verdana"/>
          <w:sz w:val="20"/>
          <w:lang w:val="pt-BR"/>
        </w:rPr>
      </w:pPr>
    </w:p>
    <w:p w14:paraId="5A904F85" w14:textId="77777777" w:rsidR="0063396F" w:rsidRDefault="0063396F" w:rsidP="0063396F">
      <w:pPr>
        <w:jc w:val="both"/>
        <w:rPr>
          <w:rFonts w:ascii="Verdana" w:hAnsi="Verdana"/>
          <w:sz w:val="20"/>
          <w:lang w:val="pt-BR"/>
        </w:rPr>
      </w:pPr>
    </w:p>
    <w:p w14:paraId="6D4796CD" w14:textId="77777777" w:rsidR="0063396F" w:rsidRPr="00847B73" w:rsidRDefault="0063396F" w:rsidP="0063396F">
      <w:pPr>
        <w:jc w:val="both"/>
        <w:rPr>
          <w:rFonts w:ascii="Verdana" w:hAnsi="Verdana"/>
          <w:sz w:val="20"/>
          <w:lang w:val="pt-BR"/>
        </w:rPr>
      </w:pPr>
    </w:p>
    <w:p w14:paraId="6E712F7B" w14:textId="77777777" w:rsidR="0063396F" w:rsidRPr="00847B73" w:rsidRDefault="0063396F" w:rsidP="0063396F">
      <w:pPr>
        <w:jc w:val="both"/>
        <w:rPr>
          <w:rFonts w:ascii="Verdana" w:hAnsi="Verdana"/>
          <w:sz w:val="20"/>
          <w:lang w:val="pt-BR"/>
        </w:rPr>
      </w:pPr>
    </w:p>
    <w:p w14:paraId="07376903" w14:textId="77777777" w:rsidR="0063396F" w:rsidRPr="00847B73" w:rsidRDefault="0063396F" w:rsidP="0063396F">
      <w:pPr>
        <w:jc w:val="both"/>
        <w:rPr>
          <w:rFonts w:ascii="Verdana" w:hAnsi="Verdana"/>
          <w:sz w:val="20"/>
          <w:lang w:val="pt-BR"/>
        </w:rPr>
      </w:pPr>
    </w:p>
    <w:p w14:paraId="73C45E25" w14:textId="77777777" w:rsidR="0063396F" w:rsidRDefault="0063396F" w:rsidP="0063396F">
      <w:pPr>
        <w:rPr>
          <w:rFonts w:ascii="Verdana" w:hAnsi="Verdana"/>
          <w:sz w:val="20"/>
          <w:lang w:val="pt-BR"/>
        </w:rPr>
      </w:pPr>
      <w:r w:rsidRPr="00847B73">
        <w:rPr>
          <w:rFonts w:ascii="Verdana" w:hAnsi="Verdana"/>
          <w:sz w:val="20"/>
          <w:lang w:val="pt-BR"/>
        </w:rPr>
        <w:t>H</w:t>
      </w:r>
      <w:r>
        <w:rPr>
          <w:rFonts w:ascii="Verdana" w:hAnsi="Verdana"/>
          <w:sz w:val="20"/>
          <w:lang w:val="pt-BR"/>
        </w:rPr>
        <w:t>umberto Antonio Sierra Porto</w:t>
      </w:r>
      <w:r w:rsidRPr="000637F4">
        <w:rPr>
          <w:rFonts w:ascii="Verdana" w:hAnsi="Verdana"/>
          <w:sz w:val="20"/>
          <w:lang w:val="pt-BR"/>
        </w:rPr>
        <w:t xml:space="preserve"> </w:t>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r>
      <w:r>
        <w:rPr>
          <w:rFonts w:ascii="Verdana" w:hAnsi="Verdana"/>
          <w:sz w:val="20"/>
          <w:lang w:val="pt-BR"/>
        </w:rPr>
        <w:tab/>
        <w:t xml:space="preserve">    Elizabeth Odio Benito</w:t>
      </w:r>
    </w:p>
    <w:p w14:paraId="4F5CAB46" w14:textId="77777777" w:rsidR="0063396F" w:rsidRDefault="0063396F" w:rsidP="0063396F">
      <w:pPr>
        <w:rPr>
          <w:rFonts w:ascii="Verdana" w:hAnsi="Verdana"/>
          <w:sz w:val="20"/>
          <w:lang w:val="pt-BR"/>
        </w:rPr>
      </w:pPr>
    </w:p>
    <w:p w14:paraId="312383C2" w14:textId="77777777" w:rsidR="0063396F" w:rsidRDefault="0063396F" w:rsidP="0063396F">
      <w:pPr>
        <w:rPr>
          <w:rFonts w:ascii="Verdana" w:hAnsi="Verdana"/>
          <w:sz w:val="20"/>
          <w:lang w:val="pt-BR"/>
        </w:rPr>
      </w:pPr>
    </w:p>
    <w:p w14:paraId="3A826F76" w14:textId="77777777" w:rsidR="0063396F" w:rsidRDefault="0063396F" w:rsidP="0063396F">
      <w:pPr>
        <w:rPr>
          <w:rFonts w:ascii="Verdana" w:hAnsi="Verdana"/>
          <w:sz w:val="20"/>
          <w:lang w:val="pt-BR"/>
        </w:rPr>
      </w:pPr>
    </w:p>
    <w:p w14:paraId="38FACE5F" w14:textId="77777777" w:rsidR="0063396F" w:rsidRPr="00847B73" w:rsidRDefault="0063396F" w:rsidP="0063396F">
      <w:pPr>
        <w:rPr>
          <w:rFonts w:ascii="Verdana" w:hAnsi="Verdana"/>
          <w:sz w:val="20"/>
          <w:lang w:val="pt-BR"/>
        </w:rPr>
      </w:pPr>
    </w:p>
    <w:p w14:paraId="08CBD773" w14:textId="77777777" w:rsidR="0063396F" w:rsidRPr="00847B73" w:rsidRDefault="0063396F" w:rsidP="0063396F">
      <w:pPr>
        <w:jc w:val="both"/>
        <w:rPr>
          <w:rFonts w:ascii="Verdana" w:hAnsi="Verdana"/>
          <w:sz w:val="20"/>
          <w:lang w:val="pt-BR"/>
        </w:rPr>
      </w:pPr>
    </w:p>
    <w:p w14:paraId="0F150E74" w14:textId="77777777" w:rsidR="0063396F" w:rsidRPr="00847B73" w:rsidRDefault="0063396F" w:rsidP="0063396F">
      <w:pPr>
        <w:rPr>
          <w:rFonts w:ascii="Verdana" w:hAnsi="Verdana"/>
          <w:sz w:val="20"/>
          <w:lang w:val="es-CR"/>
        </w:rPr>
      </w:pPr>
      <w:r>
        <w:rPr>
          <w:rFonts w:ascii="Verdana" w:hAnsi="Verdana"/>
          <w:sz w:val="20"/>
          <w:lang w:val="pt-BR"/>
        </w:rPr>
        <w:t xml:space="preserve">L. Patricio Pazmiño </w:t>
      </w:r>
      <w:r w:rsidRPr="00847B73">
        <w:rPr>
          <w:rFonts w:ascii="Verdana" w:hAnsi="Verdana"/>
          <w:sz w:val="20"/>
          <w:lang w:val="pt-BR"/>
        </w:rPr>
        <w:t>Freire</w:t>
      </w:r>
      <w:r w:rsidRPr="000637F4">
        <w:rPr>
          <w:rFonts w:ascii="Verdana" w:hAnsi="Verdana"/>
          <w:sz w:val="20"/>
          <w:lang w:val="es-CR"/>
        </w:rPr>
        <w:t xml:space="preserve"> </w:t>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r>
      <w:r>
        <w:rPr>
          <w:rFonts w:ascii="Verdana" w:hAnsi="Verdana"/>
          <w:sz w:val="20"/>
          <w:lang w:val="es-CR"/>
        </w:rPr>
        <w:tab/>
        <w:t xml:space="preserve">       </w:t>
      </w:r>
      <w:r w:rsidRPr="00847B73">
        <w:rPr>
          <w:rFonts w:ascii="Verdana" w:hAnsi="Verdana"/>
          <w:sz w:val="20"/>
          <w:lang w:val="es-CR"/>
        </w:rPr>
        <w:t>Ricardo C. Pérez Manrique</w:t>
      </w:r>
    </w:p>
    <w:p w14:paraId="35D82A0B" w14:textId="77777777" w:rsidR="0063396F" w:rsidRPr="00847B73" w:rsidRDefault="0063396F" w:rsidP="0063396F">
      <w:pPr>
        <w:jc w:val="both"/>
        <w:rPr>
          <w:rFonts w:ascii="Verdana" w:hAnsi="Verdana"/>
          <w:sz w:val="20"/>
          <w:lang w:val="es-CR"/>
        </w:rPr>
      </w:pPr>
    </w:p>
    <w:p w14:paraId="40D1C0C9" w14:textId="77777777" w:rsidR="0063396F" w:rsidRPr="00847B73" w:rsidRDefault="0063396F" w:rsidP="0063396F">
      <w:pPr>
        <w:rPr>
          <w:rFonts w:ascii="Verdana" w:hAnsi="Verdana"/>
          <w:sz w:val="20"/>
          <w:lang w:val="pt-BR"/>
        </w:rPr>
      </w:pPr>
    </w:p>
    <w:p w14:paraId="49DDC239" w14:textId="77777777" w:rsidR="0063396F" w:rsidRPr="00847B73" w:rsidRDefault="0063396F" w:rsidP="0063396F">
      <w:pPr>
        <w:rPr>
          <w:rFonts w:ascii="Verdana" w:hAnsi="Verdana"/>
          <w:sz w:val="20"/>
          <w:lang w:val="pt-BR"/>
        </w:rPr>
      </w:pPr>
    </w:p>
    <w:p w14:paraId="5B70F16D" w14:textId="77777777" w:rsidR="0063396F" w:rsidRDefault="0063396F" w:rsidP="0063396F">
      <w:pPr>
        <w:rPr>
          <w:rFonts w:ascii="Verdana" w:hAnsi="Verdana"/>
          <w:sz w:val="20"/>
          <w:lang w:val="pt-BR"/>
        </w:rPr>
      </w:pPr>
    </w:p>
    <w:p w14:paraId="16EAD1F2" w14:textId="77777777" w:rsidR="0063396F" w:rsidRPr="00847B73" w:rsidRDefault="0063396F" w:rsidP="0063396F">
      <w:pPr>
        <w:jc w:val="both"/>
        <w:rPr>
          <w:rFonts w:ascii="Verdana" w:hAnsi="Verdana"/>
          <w:sz w:val="20"/>
          <w:lang w:val="pt-BR"/>
        </w:rPr>
      </w:pPr>
    </w:p>
    <w:p w14:paraId="4984E13E" w14:textId="77777777" w:rsidR="0063396F" w:rsidRPr="00847B73" w:rsidRDefault="0063396F" w:rsidP="0063396F">
      <w:pPr>
        <w:jc w:val="center"/>
        <w:rPr>
          <w:rFonts w:ascii="Verdana" w:hAnsi="Verdana"/>
          <w:sz w:val="20"/>
          <w:lang w:val="pt-BR"/>
        </w:rPr>
      </w:pPr>
      <w:r w:rsidRPr="00847B73">
        <w:rPr>
          <w:rFonts w:ascii="Verdana" w:hAnsi="Verdana"/>
          <w:sz w:val="20"/>
          <w:lang w:val="pt-BR"/>
        </w:rPr>
        <w:t>Pablo Saavedra Alessandri</w:t>
      </w:r>
    </w:p>
    <w:p w14:paraId="09C1E76F" w14:textId="77777777" w:rsidR="0063396F" w:rsidRPr="00847B73" w:rsidRDefault="0063396F" w:rsidP="0063396F">
      <w:pPr>
        <w:jc w:val="center"/>
        <w:rPr>
          <w:rFonts w:ascii="Verdana" w:hAnsi="Verdana"/>
          <w:sz w:val="20"/>
          <w:lang w:val="pt-BR"/>
        </w:rPr>
      </w:pPr>
      <w:r w:rsidRPr="00847B73">
        <w:rPr>
          <w:rFonts w:ascii="Verdana" w:hAnsi="Verdana"/>
          <w:sz w:val="20"/>
          <w:lang w:val="pt-BR"/>
        </w:rPr>
        <w:t>Secretario</w:t>
      </w:r>
    </w:p>
    <w:p w14:paraId="6ED853FB" w14:textId="77777777" w:rsidR="0063396F" w:rsidRPr="00847B73" w:rsidRDefault="0063396F" w:rsidP="0063396F">
      <w:pPr>
        <w:rPr>
          <w:rFonts w:ascii="Verdana" w:hAnsi="Verdana"/>
          <w:sz w:val="20"/>
          <w:lang w:val="pt-BR"/>
        </w:rPr>
      </w:pPr>
    </w:p>
    <w:p w14:paraId="7C1AA909" w14:textId="77777777" w:rsidR="0063396F" w:rsidRDefault="0063396F" w:rsidP="0063396F">
      <w:pPr>
        <w:pStyle w:val="Textonotapie"/>
        <w:rPr>
          <w:rFonts w:ascii="Verdana" w:hAnsi="Verdana"/>
          <w:lang w:val="pt-BR"/>
        </w:rPr>
      </w:pPr>
    </w:p>
    <w:p w14:paraId="25D3AAFE" w14:textId="77777777" w:rsidR="0063396F" w:rsidRDefault="0063396F" w:rsidP="0063396F">
      <w:pPr>
        <w:pStyle w:val="Textonotapie"/>
        <w:rPr>
          <w:rFonts w:ascii="Verdana" w:hAnsi="Verdana"/>
          <w:lang w:val="pt-BR"/>
        </w:rPr>
      </w:pPr>
    </w:p>
    <w:p w14:paraId="44539B54" w14:textId="77777777" w:rsidR="0063396F" w:rsidRPr="00847B73" w:rsidRDefault="0063396F" w:rsidP="0063396F">
      <w:pPr>
        <w:pStyle w:val="Textonotapie"/>
        <w:rPr>
          <w:rFonts w:ascii="Verdana" w:hAnsi="Verdana"/>
          <w:lang w:val="pt-BR"/>
        </w:rPr>
      </w:pPr>
    </w:p>
    <w:p w14:paraId="567AC32D" w14:textId="77777777" w:rsidR="0063396F" w:rsidRPr="00847B73" w:rsidRDefault="0063396F" w:rsidP="0063396F">
      <w:pPr>
        <w:jc w:val="both"/>
        <w:rPr>
          <w:rFonts w:ascii="Verdana" w:hAnsi="Verdana"/>
          <w:sz w:val="20"/>
          <w:lang w:val="pt-BR"/>
        </w:rPr>
      </w:pPr>
      <w:r w:rsidRPr="00847B73">
        <w:rPr>
          <w:rFonts w:ascii="Verdana" w:hAnsi="Verdana"/>
          <w:sz w:val="20"/>
          <w:lang w:val="pt-BR"/>
        </w:rPr>
        <w:t>Comuníquese y ejecútese,</w:t>
      </w:r>
    </w:p>
    <w:p w14:paraId="3E9E7123" w14:textId="77777777" w:rsidR="0063396F" w:rsidRPr="00847B73" w:rsidRDefault="0063396F" w:rsidP="0063396F">
      <w:pPr>
        <w:jc w:val="both"/>
        <w:rPr>
          <w:rFonts w:ascii="Verdana" w:hAnsi="Verdana"/>
          <w:sz w:val="20"/>
          <w:lang w:val="pt-BR"/>
        </w:rPr>
      </w:pPr>
    </w:p>
    <w:p w14:paraId="5F6712BF" w14:textId="77777777" w:rsidR="0063396F" w:rsidRPr="00847B73" w:rsidRDefault="0063396F" w:rsidP="0063396F">
      <w:pPr>
        <w:jc w:val="both"/>
        <w:rPr>
          <w:rFonts w:ascii="Verdana" w:hAnsi="Verdana"/>
          <w:sz w:val="20"/>
          <w:lang w:val="pt-BR"/>
        </w:rPr>
      </w:pPr>
    </w:p>
    <w:p w14:paraId="10470AB9" w14:textId="77777777" w:rsidR="0063396F" w:rsidRPr="00847B73" w:rsidRDefault="0063396F" w:rsidP="0063396F">
      <w:pPr>
        <w:jc w:val="both"/>
        <w:rPr>
          <w:rFonts w:ascii="Verdana" w:hAnsi="Verdana"/>
          <w:sz w:val="20"/>
          <w:lang w:val="pt-BR"/>
        </w:rPr>
      </w:pPr>
    </w:p>
    <w:p w14:paraId="10730CD0" w14:textId="77777777" w:rsidR="0063396F" w:rsidRDefault="0063396F" w:rsidP="0063396F">
      <w:pPr>
        <w:jc w:val="both"/>
        <w:rPr>
          <w:rFonts w:ascii="Verdana" w:hAnsi="Verdana"/>
          <w:sz w:val="20"/>
          <w:lang w:val="pt-BR"/>
        </w:rPr>
      </w:pPr>
    </w:p>
    <w:p w14:paraId="28BF447B" w14:textId="77777777" w:rsidR="0063396F" w:rsidRDefault="0063396F" w:rsidP="0063396F">
      <w:pPr>
        <w:jc w:val="both"/>
        <w:rPr>
          <w:rFonts w:ascii="Verdana" w:hAnsi="Verdana"/>
          <w:sz w:val="20"/>
          <w:lang w:val="pt-BR"/>
        </w:rPr>
      </w:pPr>
    </w:p>
    <w:p w14:paraId="4CB2F002" w14:textId="77777777" w:rsidR="0063396F" w:rsidRDefault="0063396F" w:rsidP="0063396F">
      <w:pPr>
        <w:ind w:left="6372"/>
        <w:jc w:val="center"/>
        <w:rPr>
          <w:rFonts w:ascii="Verdana" w:hAnsi="Verdana"/>
          <w:sz w:val="20"/>
          <w:lang w:val="pt-BR"/>
        </w:rPr>
      </w:pPr>
      <w:r w:rsidRPr="00847B73">
        <w:rPr>
          <w:rFonts w:ascii="Verdana" w:hAnsi="Verdana"/>
          <w:sz w:val="20"/>
          <w:lang w:val="pt-BR"/>
        </w:rPr>
        <w:t xml:space="preserve">Eduardo Vio Grossi </w:t>
      </w:r>
    </w:p>
    <w:p w14:paraId="07AE67F4" w14:textId="77777777" w:rsidR="0063396F" w:rsidRPr="00847B73" w:rsidRDefault="0063396F" w:rsidP="0063396F">
      <w:pPr>
        <w:ind w:left="5664" w:firstLine="708"/>
        <w:jc w:val="center"/>
        <w:rPr>
          <w:rFonts w:ascii="Verdana" w:hAnsi="Verdana"/>
          <w:sz w:val="20"/>
          <w:lang w:val="pt-BR"/>
        </w:rPr>
      </w:pPr>
      <w:r w:rsidRPr="00847B73">
        <w:rPr>
          <w:rFonts w:ascii="Verdana" w:hAnsi="Verdana"/>
          <w:sz w:val="20"/>
          <w:lang w:val="pt-BR"/>
        </w:rPr>
        <w:t>Presidente</w:t>
      </w:r>
      <w:r>
        <w:rPr>
          <w:rFonts w:ascii="Verdana" w:hAnsi="Verdana"/>
          <w:sz w:val="20"/>
          <w:lang w:val="pt-BR"/>
        </w:rPr>
        <w:t xml:space="preserve"> en ejercicio </w:t>
      </w:r>
    </w:p>
    <w:p w14:paraId="48D6AC58" w14:textId="77777777" w:rsidR="0063396F" w:rsidRPr="00847B73" w:rsidRDefault="0063396F" w:rsidP="0063396F">
      <w:pPr>
        <w:jc w:val="both"/>
        <w:rPr>
          <w:rFonts w:ascii="Verdana" w:hAnsi="Verdana"/>
          <w:sz w:val="20"/>
          <w:lang w:val="pt-BR"/>
        </w:rPr>
      </w:pPr>
    </w:p>
    <w:p w14:paraId="6E9E885A" w14:textId="77777777" w:rsidR="0063396F" w:rsidRDefault="0063396F" w:rsidP="0063396F">
      <w:pPr>
        <w:jc w:val="both"/>
        <w:rPr>
          <w:rFonts w:ascii="Verdana" w:hAnsi="Verdana"/>
          <w:sz w:val="20"/>
          <w:lang w:val="pt-BR"/>
        </w:rPr>
      </w:pPr>
    </w:p>
    <w:p w14:paraId="52E1E379" w14:textId="77777777" w:rsidR="0063396F" w:rsidRDefault="0063396F" w:rsidP="0063396F">
      <w:pPr>
        <w:jc w:val="both"/>
        <w:rPr>
          <w:rFonts w:ascii="Verdana" w:hAnsi="Verdana"/>
          <w:sz w:val="20"/>
          <w:lang w:val="pt-BR"/>
        </w:rPr>
      </w:pPr>
    </w:p>
    <w:p w14:paraId="3EE07FAF" w14:textId="77777777" w:rsidR="0063396F" w:rsidRDefault="0063396F" w:rsidP="0063396F">
      <w:pPr>
        <w:jc w:val="both"/>
        <w:rPr>
          <w:rFonts w:ascii="Verdana" w:hAnsi="Verdana"/>
          <w:sz w:val="20"/>
          <w:lang w:val="pt-BR"/>
        </w:rPr>
      </w:pPr>
    </w:p>
    <w:p w14:paraId="458F378A" w14:textId="77777777" w:rsidR="0063396F" w:rsidRPr="00847B73" w:rsidRDefault="0063396F" w:rsidP="0063396F">
      <w:pPr>
        <w:jc w:val="both"/>
        <w:rPr>
          <w:rFonts w:ascii="Verdana" w:hAnsi="Verdana"/>
          <w:sz w:val="20"/>
          <w:lang w:val="pt-BR"/>
        </w:rPr>
      </w:pPr>
    </w:p>
    <w:p w14:paraId="2252703E" w14:textId="77777777" w:rsidR="0063396F" w:rsidRPr="00847B73" w:rsidRDefault="0063396F" w:rsidP="0063396F">
      <w:pPr>
        <w:jc w:val="both"/>
        <w:rPr>
          <w:rFonts w:ascii="Verdana" w:hAnsi="Verdana"/>
          <w:sz w:val="20"/>
          <w:lang w:val="es-ES"/>
        </w:rPr>
      </w:pPr>
      <w:r w:rsidRPr="00847B73">
        <w:rPr>
          <w:rFonts w:ascii="Verdana" w:hAnsi="Verdana"/>
          <w:sz w:val="20"/>
          <w:lang w:val="es-ES"/>
        </w:rPr>
        <w:t>Pablo Saavedra Alessandri</w:t>
      </w:r>
    </w:p>
    <w:p w14:paraId="4FA8BC76" w14:textId="77777777" w:rsidR="0063396F" w:rsidRPr="00FC7D8B" w:rsidRDefault="0063396F" w:rsidP="0063396F">
      <w:pPr>
        <w:rPr>
          <w:rFonts w:ascii="Verdana" w:hAnsi="Verdana"/>
          <w:sz w:val="20"/>
          <w:lang w:val="es-CR"/>
        </w:rPr>
      </w:pPr>
      <w:r w:rsidRPr="00847B73">
        <w:rPr>
          <w:rFonts w:ascii="Verdana" w:hAnsi="Verdana"/>
          <w:sz w:val="20"/>
          <w:lang w:val="es-ES"/>
        </w:rPr>
        <w:tab/>
      </w:r>
      <w:r w:rsidRPr="00847B73">
        <w:rPr>
          <w:rFonts w:ascii="Verdana" w:hAnsi="Verdana"/>
          <w:sz w:val="20"/>
          <w:lang w:val="es-CR"/>
        </w:rPr>
        <w:t>Secretario</w:t>
      </w:r>
    </w:p>
    <w:p w14:paraId="2A1CB5FD" w14:textId="77777777" w:rsidR="007672DD" w:rsidRPr="001731F5" w:rsidRDefault="007672DD" w:rsidP="00EE57EB">
      <w:pPr>
        <w:spacing w:before="120" w:after="120"/>
        <w:jc w:val="both"/>
        <w:rPr>
          <w:rFonts w:ascii="Verdana" w:hAnsi="Verdana"/>
          <w:sz w:val="20"/>
          <w:lang w:val="es-MX"/>
        </w:rPr>
      </w:pPr>
    </w:p>
    <w:sectPr w:rsidR="007672DD" w:rsidRPr="001731F5" w:rsidSect="00EE57EB">
      <w:headerReference w:type="even" r:id="rId8"/>
      <w:footerReference w:type="even" r:id="rId9"/>
      <w:footerReference w:type="default" r:id="rId10"/>
      <w:pgSz w:w="12240" w:h="15840"/>
      <w:pgMar w:top="1417" w:right="1701" w:bottom="1417"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37E945" w14:textId="77777777" w:rsidR="005027BD" w:rsidRDefault="005027BD" w:rsidP="008740E4">
      <w:r>
        <w:separator/>
      </w:r>
    </w:p>
  </w:endnote>
  <w:endnote w:type="continuationSeparator" w:id="0">
    <w:p w14:paraId="6F6E7E99" w14:textId="77777777" w:rsidR="005027BD" w:rsidRDefault="005027BD" w:rsidP="008740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0" w:usb1="08070000" w:usb2="00000010" w:usb3="00000000" w:csb0="00020000" w:csb1="00000000"/>
  </w:font>
  <w:font w:name="New York">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Verdana-Italic">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D941F1" w14:textId="77777777" w:rsidR="00A47B9B" w:rsidRDefault="00A47B9B">
    <w:pPr>
      <w:pStyle w:val="Piedepgina"/>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0858619"/>
      <w:docPartObj>
        <w:docPartGallery w:val="Page Numbers (Bottom of Page)"/>
        <w:docPartUnique/>
      </w:docPartObj>
    </w:sdtPr>
    <w:sdtEndPr>
      <w:rPr>
        <w:rFonts w:ascii="Verdana" w:hAnsi="Verdana"/>
        <w:sz w:val="20"/>
      </w:rPr>
    </w:sdtEndPr>
    <w:sdtContent>
      <w:p w14:paraId="57FB082C" w14:textId="77777777" w:rsidR="00A47B9B" w:rsidRPr="007762F4" w:rsidRDefault="00A47B9B">
        <w:pPr>
          <w:pStyle w:val="Piedepgina"/>
          <w:jc w:val="center"/>
          <w:rPr>
            <w:rFonts w:ascii="Verdana" w:hAnsi="Verdana"/>
            <w:sz w:val="20"/>
          </w:rPr>
        </w:pPr>
        <w:r w:rsidRPr="007762F4">
          <w:rPr>
            <w:rFonts w:ascii="Verdana" w:hAnsi="Verdana"/>
            <w:sz w:val="20"/>
          </w:rPr>
          <w:t>-</w:t>
        </w:r>
        <w:r w:rsidRPr="007762F4">
          <w:rPr>
            <w:rFonts w:ascii="Verdana" w:hAnsi="Verdana"/>
            <w:sz w:val="20"/>
          </w:rPr>
          <w:fldChar w:fldCharType="begin"/>
        </w:r>
        <w:r w:rsidRPr="007762F4">
          <w:rPr>
            <w:rFonts w:ascii="Verdana" w:hAnsi="Verdana"/>
            <w:sz w:val="20"/>
          </w:rPr>
          <w:instrText>PAGE   \* MERGEFORMAT</w:instrText>
        </w:r>
        <w:r w:rsidRPr="007762F4">
          <w:rPr>
            <w:rFonts w:ascii="Verdana" w:hAnsi="Verdana"/>
            <w:sz w:val="20"/>
          </w:rPr>
          <w:fldChar w:fldCharType="separate"/>
        </w:r>
        <w:r w:rsidR="0063396F" w:rsidRPr="0063396F">
          <w:rPr>
            <w:rFonts w:ascii="Verdana" w:hAnsi="Verdana"/>
            <w:noProof/>
            <w:sz w:val="20"/>
            <w:lang w:val="es-ES"/>
          </w:rPr>
          <w:t>18</w:t>
        </w:r>
        <w:r w:rsidRPr="007762F4">
          <w:rPr>
            <w:rFonts w:ascii="Verdana" w:hAnsi="Verdana"/>
            <w:sz w:val="20"/>
          </w:rPr>
          <w:fldChar w:fldCharType="end"/>
        </w:r>
        <w:r w:rsidRPr="007762F4">
          <w:rPr>
            <w:rFonts w:ascii="Verdana" w:hAnsi="Verdana"/>
            <w:sz w:val="20"/>
          </w:rPr>
          <w:t>-</w:t>
        </w:r>
      </w:p>
    </w:sdtContent>
  </w:sdt>
  <w:p w14:paraId="54755314" w14:textId="77777777" w:rsidR="00A47B9B" w:rsidRPr="00E613E2" w:rsidRDefault="00A47B9B" w:rsidP="00E613E2">
    <w:pPr>
      <w:pStyle w:val="Piedepgina"/>
      <w:jc w:val="center"/>
      <w:rPr>
        <w:rFonts w:ascii="Verdana" w:hAnsi="Verdana"/>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2CC902" w14:textId="77777777" w:rsidR="005027BD" w:rsidRDefault="005027BD" w:rsidP="008740E4">
      <w:r>
        <w:separator/>
      </w:r>
    </w:p>
  </w:footnote>
  <w:footnote w:type="continuationSeparator" w:id="0">
    <w:p w14:paraId="4C3C4C74" w14:textId="77777777" w:rsidR="005027BD" w:rsidRDefault="005027BD" w:rsidP="008740E4">
      <w:r>
        <w:continuationSeparator/>
      </w:r>
    </w:p>
  </w:footnote>
  <w:footnote w:id="1">
    <w:p w14:paraId="3D8C4787" w14:textId="29DD2114" w:rsidR="00A47B9B" w:rsidRPr="001731F5" w:rsidRDefault="00A47B9B" w:rsidP="00541655">
      <w:pPr>
        <w:pStyle w:val="Textonotapie"/>
        <w:jc w:val="both"/>
        <w:rPr>
          <w:rFonts w:ascii="Verdana" w:hAnsi="Verdana"/>
          <w:sz w:val="16"/>
          <w:szCs w:val="16"/>
          <w:lang w:val="es-CR"/>
        </w:rPr>
      </w:pPr>
      <w:r w:rsidRPr="001731F5">
        <w:rPr>
          <w:rFonts w:ascii="Verdana" w:hAnsi="Verdana"/>
          <w:sz w:val="16"/>
          <w:szCs w:val="16"/>
          <w:lang w:val="es-CR"/>
        </w:rPr>
        <w:t>*</w:t>
      </w:r>
      <w:r w:rsidRPr="001731F5">
        <w:rPr>
          <w:rFonts w:ascii="Verdana" w:hAnsi="Verdana"/>
          <w:sz w:val="16"/>
          <w:szCs w:val="16"/>
          <w:lang w:val="es-CR"/>
        </w:rPr>
        <w:tab/>
        <w:t>El Juez Eugenio Raúl Zaffaroni, de nacionalidad argentina, no participó en el conocimiento y deliberación de la presente Resolución, de conformidad con lo dispuesto en el artículo 19.1 del Reglamento de la Corte.</w:t>
      </w:r>
      <w:r>
        <w:rPr>
          <w:rFonts w:ascii="Verdana" w:hAnsi="Verdana"/>
          <w:sz w:val="16"/>
          <w:szCs w:val="16"/>
          <w:lang w:val="es-CR"/>
        </w:rPr>
        <w:t xml:space="preserve"> </w:t>
      </w:r>
      <w:r w:rsidRPr="00354BEB">
        <w:rPr>
          <w:rFonts w:ascii="Verdana" w:hAnsi="Verdana"/>
          <w:sz w:val="16"/>
          <w:szCs w:val="16"/>
        </w:rPr>
        <w:t>El Juez Eduardo Ferrer Mac-</w:t>
      </w:r>
      <w:proofErr w:type="spellStart"/>
      <w:r w:rsidRPr="00354BEB">
        <w:rPr>
          <w:rFonts w:ascii="Verdana" w:hAnsi="Verdana"/>
          <w:sz w:val="16"/>
          <w:szCs w:val="16"/>
        </w:rPr>
        <w:t>Gregor</w:t>
      </w:r>
      <w:proofErr w:type="spellEnd"/>
      <w:r w:rsidRPr="00354BEB">
        <w:rPr>
          <w:rFonts w:ascii="Verdana" w:hAnsi="Verdana"/>
          <w:sz w:val="16"/>
          <w:szCs w:val="16"/>
        </w:rPr>
        <w:t xml:space="preserve"> </w:t>
      </w:r>
      <w:proofErr w:type="spellStart"/>
      <w:r w:rsidRPr="00354BEB">
        <w:rPr>
          <w:rFonts w:ascii="Verdana" w:hAnsi="Verdana"/>
          <w:sz w:val="16"/>
          <w:szCs w:val="16"/>
        </w:rPr>
        <w:t>Poisot</w:t>
      </w:r>
      <w:proofErr w:type="spellEnd"/>
      <w:r w:rsidRPr="00354BEB">
        <w:rPr>
          <w:rFonts w:ascii="Verdana" w:hAnsi="Verdana"/>
          <w:sz w:val="16"/>
          <w:szCs w:val="16"/>
        </w:rPr>
        <w:t xml:space="preserve"> no participó en la deliberación y firma de la presente Resolución por razones de fuerza mayor.</w:t>
      </w:r>
    </w:p>
  </w:footnote>
  <w:footnote w:id="2">
    <w:p w14:paraId="49A0D085" w14:textId="3E172F8B"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 xml:space="preserve">Cfr. </w:t>
      </w:r>
      <w:r w:rsidRPr="001731F5">
        <w:rPr>
          <w:rStyle w:val="Textoennegrita"/>
          <w:rFonts w:ascii="Verdana" w:hAnsi="Verdana"/>
          <w:b w:val="0"/>
          <w:i/>
          <w:color w:val="000000"/>
          <w:sz w:val="16"/>
          <w:szCs w:val="16"/>
          <w:shd w:val="clear" w:color="auto" w:fill="FFFFFF"/>
        </w:rPr>
        <w:t>Caso Gutiérrez y familia Vs. Argentina. Fondo, Reparaciones y Costas.</w:t>
      </w:r>
      <w:r w:rsidRPr="001731F5">
        <w:rPr>
          <w:rStyle w:val="Textoennegrita"/>
          <w:rFonts w:ascii="Verdana" w:hAnsi="Verdana"/>
          <w:b w:val="0"/>
          <w:color w:val="000000"/>
          <w:sz w:val="16"/>
          <w:szCs w:val="16"/>
          <w:shd w:val="clear" w:color="auto" w:fill="FFFFFF"/>
        </w:rPr>
        <w:t xml:space="preserve"> Sentencia de 25 de noviembre de 2013. Serie C No. 271</w:t>
      </w:r>
      <w:r>
        <w:rPr>
          <w:rStyle w:val="Textoennegrita"/>
          <w:rFonts w:ascii="Verdana" w:hAnsi="Verdana"/>
          <w:b w:val="0"/>
          <w:color w:val="000000"/>
          <w:sz w:val="16"/>
          <w:szCs w:val="16"/>
          <w:shd w:val="clear" w:color="auto" w:fill="FFFFFF"/>
        </w:rPr>
        <w:t>.</w:t>
      </w:r>
      <w:r w:rsidRPr="001731F5">
        <w:rPr>
          <w:rStyle w:val="Textoennegrita"/>
          <w:rFonts w:ascii="Verdana" w:hAnsi="Verdana"/>
          <w:b w:val="0"/>
          <w:color w:val="000000"/>
          <w:sz w:val="16"/>
          <w:szCs w:val="16"/>
          <w:shd w:val="clear" w:color="auto" w:fill="FFFFFF"/>
        </w:rPr>
        <w:t xml:space="preserve"> </w:t>
      </w:r>
      <w:r>
        <w:rPr>
          <w:rStyle w:val="Textoennegrita"/>
          <w:rFonts w:ascii="Verdana" w:hAnsi="Verdana"/>
          <w:b w:val="0"/>
          <w:color w:val="000000"/>
          <w:sz w:val="16"/>
          <w:szCs w:val="16"/>
          <w:shd w:val="clear" w:color="auto" w:fill="FFFFFF"/>
        </w:rPr>
        <w:t>D</w:t>
      </w:r>
      <w:r w:rsidRPr="001731F5">
        <w:rPr>
          <w:rStyle w:val="Textoennegrita"/>
          <w:rFonts w:ascii="Verdana" w:hAnsi="Verdana"/>
          <w:b w:val="0"/>
          <w:color w:val="000000"/>
          <w:sz w:val="16"/>
          <w:szCs w:val="16"/>
          <w:shd w:val="clear" w:color="auto" w:fill="FFFFFF"/>
        </w:rPr>
        <w:t xml:space="preserve">isponible en: </w:t>
      </w:r>
      <w:hyperlink r:id="rId1" w:history="1">
        <w:r w:rsidRPr="001731F5">
          <w:rPr>
            <w:rStyle w:val="Hipervnculo"/>
            <w:rFonts w:ascii="Verdana" w:hAnsi="Verdana"/>
            <w:sz w:val="16"/>
            <w:szCs w:val="16"/>
            <w:shd w:val="clear" w:color="auto" w:fill="FFFFFF"/>
          </w:rPr>
          <w:t>http://www.corteidh.or.cr/docs/casos/articulos/seriec_271_esp.pdf</w:t>
        </w:r>
      </w:hyperlink>
      <w:r w:rsidRPr="001731F5">
        <w:rPr>
          <w:rStyle w:val="Textoennegrita"/>
          <w:rFonts w:ascii="Verdana" w:hAnsi="Verdana"/>
          <w:b w:val="0"/>
          <w:color w:val="000000"/>
          <w:sz w:val="16"/>
          <w:szCs w:val="16"/>
          <w:shd w:val="clear" w:color="auto" w:fill="FFFFFF"/>
        </w:rPr>
        <w:t xml:space="preserve">. </w:t>
      </w:r>
      <w:r w:rsidRPr="001731F5">
        <w:rPr>
          <w:rFonts w:ascii="Verdana" w:hAnsi="Verdana"/>
          <w:sz w:val="16"/>
          <w:szCs w:val="16"/>
        </w:rPr>
        <w:t>La Sentencia fue notificada el 19 de diciembre de 2013.</w:t>
      </w:r>
    </w:p>
  </w:footnote>
  <w:footnote w:id="3">
    <w:p w14:paraId="396C6D49" w14:textId="3CEF50D9" w:rsidR="00A47B9B" w:rsidRPr="001731F5" w:rsidRDefault="00A47B9B" w:rsidP="00541655">
      <w:pPr>
        <w:pStyle w:val="Textonotapie"/>
        <w:jc w:val="both"/>
        <w:rPr>
          <w:rFonts w:ascii="Verdana" w:hAnsi="Verdana"/>
          <w:sz w:val="16"/>
          <w:szCs w:val="16"/>
          <w:lang w:val="es-CR"/>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1) Nilda del Valle Maldonado de Gutiérrez (esposa); 2) Jorge Gabriel Gutiérrez (hijo); 3) Omar David Gutiérrez (hijo); 4) </w:t>
      </w:r>
      <w:proofErr w:type="spellStart"/>
      <w:r w:rsidRPr="001731F5">
        <w:rPr>
          <w:rFonts w:ascii="Verdana" w:hAnsi="Verdana"/>
          <w:sz w:val="16"/>
          <w:szCs w:val="16"/>
        </w:rPr>
        <w:t>Marilin</w:t>
      </w:r>
      <w:proofErr w:type="spellEnd"/>
      <w:r w:rsidRPr="001731F5">
        <w:rPr>
          <w:rFonts w:ascii="Verdana" w:hAnsi="Verdana"/>
          <w:sz w:val="16"/>
          <w:szCs w:val="16"/>
        </w:rPr>
        <w:t xml:space="preserve"> Verónica Gutiérrez (hija); 5) Francisco Gutiérrez (hermano), 6) y Nilda Gutiérrez (hermana). </w:t>
      </w:r>
      <w:r w:rsidRPr="001731F5">
        <w:rPr>
          <w:rFonts w:ascii="Verdana" w:hAnsi="Verdana"/>
          <w:i/>
          <w:sz w:val="16"/>
          <w:szCs w:val="16"/>
        </w:rPr>
        <w:t xml:space="preserve">Cfr.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nota 1</w:t>
      </w:r>
      <w:r w:rsidRPr="001731F5">
        <w:rPr>
          <w:rStyle w:val="Textoennegrita"/>
          <w:rFonts w:ascii="Verdana" w:hAnsi="Verdana"/>
          <w:b w:val="0"/>
          <w:color w:val="000000"/>
          <w:sz w:val="16"/>
          <w:szCs w:val="16"/>
          <w:shd w:val="clear" w:color="auto" w:fill="FFFFFF"/>
        </w:rPr>
        <w:t>, párr. 24.</w:t>
      </w:r>
    </w:p>
  </w:footnote>
  <w:footnote w:id="4">
    <w:p w14:paraId="0FA963BD" w14:textId="77777777"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sz w:val="16"/>
          <w:szCs w:val="16"/>
          <w:lang w:val="es-CR"/>
        </w:rPr>
        <w:t>El Centro de Estudios Legales y Sociales (CELS).</w:t>
      </w:r>
    </w:p>
  </w:footnote>
  <w:footnote w:id="5">
    <w:p w14:paraId="7063F172" w14:textId="6910D240"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Facultad que además se desprende de lo dispuesto en los artículos 33, 62.1, 62.3 y 65 de la Convención Americana </w:t>
      </w:r>
      <w:r>
        <w:rPr>
          <w:rFonts w:ascii="Verdana" w:hAnsi="Verdana"/>
          <w:sz w:val="16"/>
          <w:szCs w:val="16"/>
        </w:rPr>
        <w:t xml:space="preserve">sobre Derechos Humanos </w:t>
      </w:r>
      <w:r w:rsidRPr="001731F5">
        <w:rPr>
          <w:rFonts w:ascii="Verdana" w:hAnsi="Verdana"/>
          <w:sz w:val="16"/>
          <w:szCs w:val="16"/>
        </w:rPr>
        <w:t>y 30 de su Estatuto y se encuentra regulada en el artículo 69 de su Reglamento.</w:t>
      </w:r>
    </w:p>
  </w:footnote>
  <w:footnote w:id="6">
    <w:p w14:paraId="45328D90" w14:textId="6735D936" w:rsidR="00A47B9B" w:rsidRPr="001731F5" w:rsidRDefault="00A47B9B" w:rsidP="00150963">
      <w:pPr>
        <w:pStyle w:val="Textonotapie"/>
        <w:jc w:val="both"/>
        <w:rPr>
          <w:rFonts w:ascii="Verdana" w:hAnsi="Verdana"/>
          <w:sz w:val="16"/>
          <w:szCs w:val="16"/>
          <w:lang w:val="es-CR"/>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lang w:val="es-CR"/>
        </w:rPr>
        <w:tab/>
      </w:r>
      <w:r w:rsidRPr="001731F5">
        <w:rPr>
          <w:rFonts w:ascii="Verdana" w:hAnsi="Verdana"/>
          <w:i/>
          <w:sz w:val="16"/>
          <w:szCs w:val="16"/>
        </w:rPr>
        <w:t>Cfr. Caso Cinco Pensionistas Vs. Perú. Supervisión de Cumplimiento de Sentencia.</w:t>
      </w:r>
      <w:r w:rsidRPr="001731F5">
        <w:rPr>
          <w:rFonts w:ascii="Verdana" w:hAnsi="Verdana"/>
          <w:sz w:val="16"/>
          <w:szCs w:val="16"/>
        </w:rPr>
        <w:t xml:space="preserve"> Resolución de la Corte de 17 de noviembre de 2004, Considerando quinto, y </w:t>
      </w:r>
      <w:r w:rsidRPr="00807D5C">
        <w:rPr>
          <w:rFonts w:ascii="Verdana" w:hAnsi="Verdana"/>
          <w:i/>
          <w:sz w:val="16"/>
          <w:szCs w:val="16"/>
        </w:rPr>
        <w:t xml:space="preserve">Caso Carvajal </w:t>
      </w:r>
      <w:proofErr w:type="spellStart"/>
      <w:r w:rsidRPr="00807D5C">
        <w:rPr>
          <w:rFonts w:ascii="Verdana" w:hAnsi="Verdana"/>
          <w:i/>
          <w:sz w:val="16"/>
          <w:szCs w:val="16"/>
        </w:rPr>
        <w:t>Carvajal</w:t>
      </w:r>
      <w:proofErr w:type="spellEnd"/>
      <w:r w:rsidRPr="00807D5C">
        <w:rPr>
          <w:rFonts w:ascii="Verdana" w:hAnsi="Verdana"/>
          <w:i/>
          <w:sz w:val="16"/>
          <w:szCs w:val="16"/>
        </w:rPr>
        <w:t xml:space="preserve"> y otros Vs. Colombia. Supervisión de Cumplimiento de Sentencia</w:t>
      </w:r>
      <w:r w:rsidRPr="00150963">
        <w:rPr>
          <w:rFonts w:ascii="Verdana" w:hAnsi="Verdana"/>
          <w:sz w:val="16"/>
          <w:szCs w:val="16"/>
        </w:rPr>
        <w:t>. Resolución de la Corte Interamericana de Derechos Humanos de 7 de octubre de 2019, Considerando</w:t>
      </w:r>
      <w:r>
        <w:rPr>
          <w:rFonts w:ascii="Verdana" w:hAnsi="Verdana"/>
          <w:sz w:val="16"/>
          <w:szCs w:val="16"/>
        </w:rPr>
        <w:t xml:space="preserve"> </w:t>
      </w:r>
      <w:r w:rsidRPr="00150963">
        <w:rPr>
          <w:rFonts w:ascii="Verdana" w:hAnsi="Verdana"/>
          <w:sz w:val="16"/>
          <w:szCs w:val="16"/>
        </w:rPr>
        <w:t>2</w:t>
      </w:r>
      <w:r w:rsidRPr="001731F5">
        <w:rPr>
          <w:rStyle w:val="Textoennegrita"/>
          <w:rFonts w:ascii="Verdana" w:hAnsi="Verdana"/>
          <w:b w:val="0"/>
          <w:color w:val="000000"/>
          <w:sz w:val="16"/>
          <w:szCs w:val="16"/>
          <w:shd w:val="clear" w:color="auto" w:fill="FFFFFF"/>
        </w:rPr>
        <w:t>.</w:t>
      </w:r>
    </w:p>
  </w:footnote>
  <w:footnote w:id="7">
    <w:p w14:paraId="3F6D9D90" w14:textId="0948E67B" w:rsidR="00A47B9B" w:rsidRPr="001731F5" w:rsidRDefault="00A47B9B" w:rsidP="00541655">
      <w:pPr>
        <w:pStyle w:val="Textonotapie"/>
        <w:jc w:val="both"/>
        <w:rPr>
          <w:rFonts w:ascii="Verdana" w:hAnsi="Verdana"/>
          <w:sz w:val="16"/>
          <w:szCs w:val="16"/>
          <w:lang w:val="es-CR"/>
        </w:rPr>
      </w:pPr>
      <w:r w:rsidRPr="001731F5">
        <w:rPr>
          <w:rStyle w:val="Refdenotaalpie"/>
          <w:rFonts w:ascii="Verdana" w:hAnsi="Verdana"/>
          <w:sz w:val="16"/>
          <w:szCs w:val="16"/>
        </w:rPr>
        <w:footnoteRef/>
      </w:r>
      <w:r w:rsidRPr="001731F5">
        <w:rPr>
          <w:rFonts w:ascii="Verdana" w:hAnsi="Verdana"/>
          <w:sz w:val="16"/>
          <w:szCs w:val="16"/>
          <w:lang w:val="de-DE"/>
        </w:rPr>
        <w:t xml:space="preserve"> </w:t>
      </w:r>
      <w:r w:rsidRPr="001731F5">
        <w:rPr>
          <w:rFonts w:ascii="Verdana" w:hAnsi="Verdana"/>
          <w:sz w:val="16"/>
          <w:szCs w:val="16"/>
          <w:lang w:val="de-DE"/>
        </w:rPr>
        <w:tab/>
      </w:r>
      <w:r w:rsidRPr="001731F5">
        <w:rPr>
          <w:rFonts w:ascii="Verdana" w:hAnsi="Verdana"/>
          <w:i/>
          <w:noProof/>
          <w:color w:val="000000"/>
          <w:sz w:val="16"/>
          <w:szCs w:val="16"/>
          <w:lang w:val="de-DE"/>
        </w:rPr>
        <w:t xml:space="preserve">Cfr. Caso Ivcher Bronstein Vs. </w:t>
      </w:r>
      <w:r w:rsidRPr="001731F5">
        <w:rPr>
          <w:rFonts w:ascii="Verdana" w:hAnsi="Verdana"/>
          <w:i/>
          <w:noProof/>
          <w:color w:val="000000"/>
          <w:sz w:val="16"/>
          <w:szCs w:val="16"/>
          <w:lang w:val="es-ES"/>
        </w:rPr>
        <w:t>Perú. Competencia.</w:t>
      </w:r>
      <w:r w:rsidRPr="001731F5">
        <w:rPr>
          <w:rFonts w:ascii="Verdana" w:hAnsi="Verdana"/>
          <w:noProof/>
          <w:color w:val="000000"/>
          <w:sz w:val="16"/>
          <w:szCs w:val="16"/>
          <w:lang w:val="es-ES"/>
        </w:rPr>
        <w:t xml:space="preserve"> Sentencia de de la Corte Interamericana de Derechos Humanos de 24 de septiembre de 1999.</w:t>
      </w:r>
      <w:r w:rsidRPr="001731F5">
        <w:rPr>
          <w:rFonts w:ascii="Verdana" w:hAnsi="Verdana"/>
          <w:color w:val="000000"/>
          <w:sz w:val="16"/>
          <w:szCs w:val="16"/>
          <w:lang w:val="es-ES"/>
        </w:rPr>
        <w:t xml:space="preserve"> </w:t>
      </w:r>
      <w:r w:rsidRPr="001731F5">
        <w:rPr>
          <w:rFonts w:ascii="Verdana" w:hAnsi="Verdana"/>
          <w:noProof/>
          <w:color w:val="000000"/>
          <w:sz w:val="16"/>
          <w:szCs w:val="16"/>
          <w:lang w:val="es-ES"/>
        </w:rPr>
        <w:t xml:space="preserve">Serie C No. 54, párr. 37, </w:t>
      </w:r>
      <w:r w:rsidRPr="001731F5">
        <w:rPr>
          <w:rFonts w:ascii="Verdana" w:hAnsi="Verdana"/>
          <w:bCs/>
          <w:color w:val="000000"/>
          <w:sz w:val="16"/>
          <w:szCs w:val="16"/>
          <w:lang w:bidi="en-US"/>
        </w:rPr>
        <w:t xml:space="preserve">y </w:t>
      </w:r>
      <w:r w:rsidRPr="001731F5">
        <w:rPr>
          <w:rStyle w:val="Textoennegrita"/>
          <w:rFonts w:ascii="Verdana" w:hAnsi="Verdana"/>
          <w:b w:val="0"/>
          <w:i/>
          <w:color w:val="000000"/>
          <w:sz w:val="16"/>
          <w:szCs w:val="16"/>
          <w:shd w:val="clear" w:color="auto" w:fill="FFFFFF"/>
        </w:rPr>
        <w:t xml:space="preserve">Caso </w:t>
      </w:r>
      <w:r>
        <w:rPr>
          <w:rStyle w:val="Textoennegrita"/>
          <w:rFonts w:ascii="Verdana" w:hAnsi="Verdana"/>
          <w:b w:val="0"/>
          <w:i/>
          <w:color w:val="000000"/>
          <w:sz w:val="16"/>
          <w:szCs w:val="16"/>
          <w:shd w:val="clear" w:color="auto" w:fill="FFFFFF"/>
        </w:rPr>
        <w:t xml:space="preserve">Carvajal </w:t>
      </w:r>
      <w:proofErr w:type="spellStart"/>
      <w:r>
        <w:rPr>
          <w:rStyle w:val="Textoennegrita"/>
          <w:rFonts w:ascii="Verdana" w:hAnsi="Verdana"/>
          <w:b w:val="0"/>
          <w:i/>
          <w:color w:val="000000"/>
          <w:sz w:val="16"/>
          <w:szCs w:val="16"/>
          <w:shd w:val="clear" w:color="auto" w:fill="FFFFFF"/>
        </w:rPr>
        <w:t>Carvajal</w:t>
      </w:r>
      <w:proofErr w:type="spellEnd"/>
      <w:r w:rsidRPr="001731F5">
        <w:rPr>
          <w:rStyle w:val="Textoennegrita"/>
          <w:rFonts w:ascii="Verdana" w:hAnsi="Verdana"/>
          <w:b w:val="0"/>
          <w:i/>
          <w:color w:val="000000"/>
          <w:sz w:val="16"/>
          <w:szCs w:val="16"/>
          <w:shd w:val="clear" w:color="auto" w:fill="FFFFFF"/>
        </w:rPr>
        <w:t xml:space="preserve"> Vs. </w:t>
      </w:r>
      <w:r>
        <w:rPr>
          <w:rStyle w:val="Textoennegrita"/>
          <w:rFonts w:ascii="Verdana" w:hAnsi="Verdana"/>
          <w:b w:val="0"/>
          <w:i/>
          <w:color w:val="000000"/>
          <w:sz w:val="16"/>
          <w:szCs w:val="16"/>
          <w:shd w:val="clear" w:color="auto" w:fill="FFFFFF"/>
        </w:rPr>
        <w:t>Colombia</w:t>
      </w:r>
      <w:r w:rsidRPr="001731F5">
        <w:rPr>
          <w:rStyle w:val="Textoennegrita"/>
          <w:rFonts w:ascii="Verdana" w:hAnsi="Verdana"/>
          <w:b w:val="0"/>
          <w:i/>
          <w:color w:val="000000"/>
          <w:sz w:val="16"/>
          <w:szCs w:val="16"/>
          <w:shd w:val="clear" w:color="auto" w:fill="FFFFFF"/>
        </w:rPr>
        <w:t>, supra</w:t>
      </w:r>
      <w:r w:rsidRPr="001731F5">
        <w:rPr>
          <w:rStyle w:val="Textoennegrita"/>
          <w:rFonts w:ascii="Verdana" w:hAnsi="Verdana"/>
          <w:b w:val="0"/>
          <w:color w:val="000000"/>
          <w:sz w:val="16"/>
          <w:szCs w:val="16"/>
          <w:shd w:val="clear" w:color="auto" w:fill="FFFFFF"/>
        </w:rPr>
        <w:t xml:space="preserve"> nota </w:t>
      </w:r>
      <w:r>
        <w:rPr>
          <w:rStyle w:val="Textoennegrita"/>
          <w:rFonts w:ascii="Verdana" w:hAnsi="Verdana"/>
          <w:b w:val="0"/>
          <w:color w:val="000000"/>
          <w:sz w:val="16"/>
          <w:szCs w:val="16"/>
          <w:shd w:val="clear" w:color="auto" w:fill="FFFFFF"/>
        </w:rPr>
        <w:fldChar w:fldCharType="begin"/>
      </w:r>
      <w:r>
        <w:rPr>
          <w:rStyle w:val="Textoennegrita"/>
          <w:rFonts w:ascii="Verdana" w:hAnsi="Verdana"/>
          <w:b w:val="0"/>
          <w:color w:val="000000"/>
          <w:sz w:val="16"/>
          <w:szCs w:val="16"/>
          <w:shd w:val="clear" w:color="auto" w:fill="FFFFFF"/>
        </w:rPr>
        <w:instrText xml:space="preserve"> NOTEREF _Ref26951129 \h </w:instrText>
      </w:r>
      <w:r>
        <w:rPr>
          <w:rStyle w:val="Textoennegrita"/>
          <w:rFonts w:ascii="Verdana" w:hAnsi="Verdana"/>
          <w:b w:val="0"/>
          <w:color w:val="000000"/>
          <w:sz w:val="16"/>
          <w:szCs w:val="16"/>
          <w:shd w:val="clear" w:color="auto" w:fill="FFFFFF"/>
        </w:rPr>
      </w:r>
      <w:r>
        <w:rPr>
          <w:rStyle w:val="Textoennegrita"/>
          <w:rFonts w:ascii="Verdana" w:hAnsi="Verdana"/>
          <w:b w:val="0"/>
          <w:color w:val="000000"/>
          <w:sz w:val="16"/>
          <w:szCs w:val="16"/>
          <w:shd w:val="clear" w:color="auto" w:fill="FFFFFF"/>
        </w:rPr>
        <w:fldChar w:fldCharType="separate"/>
      </w:r>
      <w:r w:rsidR="00756751">
        <w:rPr>
          <w:rStyle w:val="Textoennegrita"/>
          <w:rFonts w:ascii="Verdana" w:hAnsi="Verdana"/>
          <w:b w:val="0"/>
          <w:color w:val="000000"/>
          <w:sz w:val="16"/>
          <w:szCs w:val="16"/>
          <w:shd w:val="clear" w:color="auto" w:fill="FFFFFF"/>
        </w:rPr>
        <w:t>5</w:t>
      </w:r>
      <w:r>
        <w:rPr>
          <w:rStyle w:val="Textoennegrita"/>
          <w:rFonts w:ascii="Verdana" w:hAnsi="Verdana"/>
          <w:b w:val="0"/>
          <w:color w:val="000000"/>
          <w:sz w:val="16"/>
          <w:szCs w:val="16"/>
          <w:shd w:val="clear" w:color="auto" w:fill="FFFFFF"/>
        </w:rPr>
        <w:fldChar w:fldCharType="end"/>
      </w:r>
      <w:r w:rsidRPr="001731F5">
        <w:rPr>
          <w:rStyle w:val="Textoennegrita"/>
          <w:rFonts w:ascii="Verdana" w:hAnsi="Verdana"/>
          <w:b w:val="0"/>
          <w:i/>
          <w:color w:val="000000"/>
          <w:sz w:val="16"/>
          <w:szCs w:val="16"/>
          <w:shd w:val="clear" w:color="auto" w:fill="FFFFFF"/>
        </w:rPr>
        <w:t>,</w:t>
      </w:r>
      <w:r w:rsidRPr="001731F5">
        <w:rPr>
          <w:rStyle w:val="Textoennegrita"/>
          <w:rFonts w:ascii="Verdana" w:hAnsi="Verdana"/>
          <w:b w:val="0"/>
          <w:color w:val="000000"/>
          <w:sz w:val="16"/>
          <w:szCs w:val="16"/>
          <w:shd w:val="clear" w:color="auto" w:fill="FFFFFF"/>
        </w:rPr>
        <w:t xml:space="preserve"> Considerando </w:t>
      </w:r>
      <w:r>
        <w:rPr>
          <w:rStyle w:val="Textoennegrita"/>
          <w:rFonts w:ascii="Verdana" w:hAnsi="Verdana"/>
          <w:b w:val="0"/>
          <w:color w:val="000000"/>
          <w:sz w:val="16"/>
          <w:szCs w:val="16"/>
          <w:shd w:val="clear" w:color="auto" w:fill="FFFFFF"/>
        </w:rPr>
        <w:t>2</w:t>
      </w:r>
      <w:r w:rsidRPr="001731F5">
        <w:rPr>
          <w:rStyle w:val="Textoennegrita"/>
          <w:rFonts w:ascii="Verdana" w:hAnsi="Verdana"/>
          <w:b w:val="0"/>
          <w:color w:val="000000"/>
          <w:sz w:val="16"/>
          <w:szCs w:val="16"/>
          <w:shd w:val="clear" w:color="auto" w:fill="FFFFFF"/>
        </w:rPr>
        <w:t>.</w:t>
      </w:r>
    </w:p>
  </w:footnote>
  <w:footnote w:id="8">
    <w:p w14:paraId="6B426564" w14:textId="5D6E97C6"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 xml:space="preserve">nota 1, </w:t>
      </w:r>
      <w:proofErr w:type="spellStart"/>
      <w:r>
        <w:rPr>
          <w:rFonts w:ascii="Verdana" w:hAnsi="Verdana"/>
          <w:sz w:val="16"/>
          <w:szCs w:val="16"/>
        </w:rPr>
        <w:t>p</w:t>
      </w:r>
      <w:r w:rsidRPr="001731F5">
        <w:rPr>
          <w:rFonts w:ascii="Verdana" w:hAnsi="Verdana"/>
          <w:sz w:val="16"/>
          <w:szCs w:val="16"/>
        </w:rPr>
        <w:t>árrs</w:t>
      </w:r>
      <w:proofErr w:type="spellEnd"/>
      <w:r w:rsidRPr="001731F5">
        <w:rPr>
          <w:rFonts w:ascii="Verdana" w:hAnsi="Verdana"/>
          <w:sz w:val="16"/>
          <w:szCs w:val="16"/>
        </w:rPr>
        <w:t xml:space="preserve">. 17, 26, 148, </w:t>
      </w:r>
      <w:r w:rsidRPr="001731F5">
        <w:rPr>
          <w:rFonts w:ascii="Verdana" w:hAnsi="Verdana"/>
          <w:sz w:val="16"/>
          <w:szCs w:val="16"/>
          <w:lang w:val="es-CR"/>
        </w:rPr>
        <w:t>154, 158, 162, 168 y 172.</w:t>
      </w:r>
    </w:p>
  </w:footnote>
  <w:footnote w:id="9">
    <w:p w14:paraId="6D38A37D" w14:textId="76C15EE4"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Pr>
          <w:rFonts w:ascii="Verdana" w:hAnsi="Verdana"/>
          <w:sz w:val="16"/>
          <w:szCs w:val="16"/>
        </w:rPr>
        <w:t xml:space="preserve">A saber: </w:t>
      </w:r>
      <w:r w:rsidRPr="001731F5">
        <w:rPr>
          <w:rFonts w:ascii="Verdana" w:hAnsi="Verdana"/>
          <w:sz w:val="16"/>
          <w:szCs w:val="16"/>
        </w:rPr>
        <w:t xml:space="preserve">i) “Establecimiento del ‘Día Nacional de Lucha contra el Narcotráfico’”, y ii) “Regulación e implementación de mecanismos de control externos para las fuerzas policiales federales, mejoras a la capacidad de investigación del sistema de justicia, implementación de la Policía Judicial de la Provincia de Buenos Aires y </w:t>
      </w:r>
      <w:r>
        <w:rPr>
          <w:rFonts w:ascii="Verdana" w:hAnsi="Verdana"/>
          <w:sz w:val="16"/>
          <w:szCs w:val="16"/>
        </w:rPr>
        <w:t xml:space="preserve">de </w:t>
      </w:r>
      <w:r w:rsidRPr="001731F5">
        <w:rPr>
          <w:rFonts w:ascii="Verdana" w:hAnsi="Verdana"/>
          <w:sz w:val="16"/>
          <w:szCs w:val="16"/>
        </w:rPr>
        <w:t xml:space="preserve">sistemas de protección efectivos de protección de víctimas y testigos”. </w:t>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 xml:space="preserve">nota 1, </w:t>
      </w:r>
      <w:proofErr w:type="spellStart"/>
      <w:r>
        <w:rPr>
          <w:rFonts w:ascii="Verdana" w:hAnsi="Verdana"/>
          <w:sz w:val="16"/>
          <w:szCs w:val="16"/>
        </w:rPr>
        <w:t>p</w:t>
      </w:r>
      <w:r w:rsidRPr="001731F5">
        <w:rPr>
          <w:rFonts w:ascii="Verdana" w:hAnsi="Verdana"/>
          <w:sz w:val="16"/>
          <w:szCs w:val="16"/>
        </w:rPr>
        <w:t>árrs</w:t>
      </w:r>
      <w:proofErr w:type="spellEnd"/>
      <w:r w:rsidRPr="001731F5">
        <w:rPr>
          <w:rFonts w:ascii="Verdana" w:hAnsi="Verdana"/>
          <w:sz w:val="16"/>
          <w:szCs w:val="16"/>
        </w:rPr>
        <w:t xml:space="preserve">. 164 y 171. </w:t>
      </w:r>
    </w:p>
  </w:footnote>
  <w:footnote w:id="10">
    <w:p w14:paraId="3F0D345A" w14:textId="73625A78" w:rsidR="00A47B9B" w:rsidRPr="001731F5" w:rsidRDefault="00A47B9B">
      <w:pPr>
        <w:pStyle w:val="Textonotapie"/>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 xml:space="preserve">nota 1, </w:t>
      </w:r>
      <w:proofErr w:type="spellStart"/>
      <w:r>
        <w:rPr>
          <w:rFonts w:ascii="Verdana" w:hAnsi="Verdana"/>
          <w:sz w:val="16"/>
          <w:szCs w:val="16"/>
        </w:rPr>
        <w:t>p</w:t>
      </w:r>
      <w:r w:rsidRPr="001731F5">
        <w:rPr>
          <w:rFonts w:ascii="Verdana" w:hAnsi="Verdana"/>
          <w:sz w:val="16"/>
          <w:szCs w:val="16"/>
        </w:rPr>
        <w:t>árrs</w:t>
      </w:r>
      <w:proofErr w:type="spellEnd"/>
      <w:r w:rsidRPr="001731F5">
        <w:rPr>
          <w:rFonts w:ascii="Verdana" w:hAnsi="Verdana"/>
          <w:sz w:val="16"/>
          <w:szCs w:val="16"/>
        </w:rPr>
        <w:t>. 44 a 50.</w:t>
      </w:r>
    </w:p>
  </w:footnote>
  <w:footnote w:id="11">
    <w:p w14:paraId="0A32D521" w14:textId="1F35A15C" w:rsidR="00A47B9B" w:rsidRPr="001731F5" w:rsidRDefault="00A47B9B">
      <w:pPr>
        <w:pStyle w:val="Textonotapie"/>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 xml:space="preserve">nota 1, </w:t>
      </w:r>
      <w:proofErr w:type="spellStart"/>
      <w:r>
        <w:rPr>
          <w:rFonts w:ascii="Verdana" w:hAnsi="Verdana"/>
          <w:sz w:val="16"/>
          <w:szCs w:val="16"/>
        </w:rPr>
        <w:t>p</w:t>
      </w:r>
      <w:r w:rsidRPr="001731F5">
        <w:rPr>
          <w:rFonts w:ascii="Verdana" w:hAnsi="Verdana"/>
          <w:sz w:val="16"/>
          <w:szCs w:val="16"/>
        </w:rPr>
        <w:t>árrs</w:t>
      </w:r>
      <w:proofErr w:type="spellEnd"/>
      <w:r w:rsidRPr="001731F5">
        <w:rPr>
          <w:rFonts w:ascii="Verdana" w:hAnsi="Verdana"/>
          <w:sz w:val="16"/>
          <w:szCs w:val="16"/>
        </w:rPr>
        <w:t>. 58 a 72.</w:t>
      </w:r>
    </w:p>
  </w:footnote>
  <w:footnote w:id="12">
    <w:p w14:paraId="633BE205" w14:textId="1DD7D412" w:rsidR="00A47B9B" w:rsidRPr="001731F5" w:rsidRDefault="00A47B9B" w:rsidP="008C6A7C">
      <w:pPr>
        <w:pStyle w:val="Textonotapie"/>
        <w:jc w:val="both"/>
        <w:rPr>
          <w:rFonts w:ascii="Verdana" w:hAnsi="Verdana"/>
          <w:color w:val="00B050"/>
          <w:sz w:val="16"/>
          <w:szCs w:val="16"/>
        </w:rPr>
      </w:pPr>
      <w:r w:rsidRPr="00807D5C">
        <w:rPr>
          <w:rFonts w:ascii="Verdana" w:hAnsi="Verdana"/>
          <w:sz w:val="16"/>
          <w:szCs w:val="16"/>
          <w:vertAlign w:val="superscript"/>
        </w:rPr>
        <w:footnoteRef/>
      </w:r>
      <w:r w:rsidRPr="00807D5C">
        <w:rPr>
          <w:rFonts w:ascii="Verdana" w:hAnsi="Verdana"/>
          <w:sz w:val="16"/>
          <w:szCs w:val="16"/>
          <w:vertAlign w:val="superscript"/>
        </w:rPr>
        <w:t xml:space="preserve"> </w:t>
      </w:r>
      <w:r w:rsidRPr="00807D5C">
        <w:rPr>
          <w:rFonts w:ascii="Verdana" w:hAnsi="Verdana"/>
          <w:sz w:val="16"/>
          <w:szCs w:val="16"/>
          <w:vertAlign w:val="superscript"/>
        </w:rPr>
        <w:tab/>
      </w:r>
      <w:r>
        <w:rPr>
          <w:rFonts w:ascii="Verdana" w:hAnsi="Verdana"/>
          <w:i/>
          <w:sz w:val="16"/>
          <w:szCs w:val="16"/>
        </w:rPr>
        <w:t xml:space="preserve">Cfr. </w:t>
      </w:r>
      <w:r>
        <w:rPr>
          <w:rFonts w:ascii="Verdana" w:hAnsi="Verdana"/>
          <w:sz w:val="16"/>
          <w:szCs w:val="16"/>
        </w:rPr>
        <w:t>A</w:t>
      </w:r>
      <w:r w:rsidRPr="00807D5C">
        <w:rPr>
          <w:rFonts w:ascii="Verdana" w:hAnsi="Verdana"/>
          <w:sz w:val="16"/>
          <w:szCs w:val="16"/>
        </w:rPr>
        <w:t xml:space="preserve">cuerdo No. 407 </w:t>
      </w:r>
      <w:r>
        <w:rPr>
          <w:rFonts w:ascii="Verdana" w:hAnsi="Verdana"/>
          <w:sz w:val="16"/>
          <w:szCs w:val="16"/>
        </w:rPr>
        <w:t xml:space="preserve">emitido </w:t>
      </w:r>
      <w:r w:rsidRPr="00807D5C">
        <w:rPr>
          <w:rFonts w:ascii="Verdana" w:hAnsi="Verdana"/>
          <w:sz w:val="16"/>
          <w:szCs w:val="16"/>
        </w:rPr>
        <w:t>e</w:t>
      </w:r>
      <w:r>
        <w:rPr>
          <w:rFonts w:ascii="Verdana" w:hAnsi="Verdana"/>
          <w:sz w:val="16"/>
          <w:szCs w:val="16"/>
        </w:rPr>
        <w:t>l</w:t>
      </w:r>
      <w:r w:rsidRPr="00807D5C">
        <w:rPr>
          <w:rFonts w:ascii="Verdana" w:hAnsi="Verdana"/>
          <w:sz w:val="16"/>
          <w:szCs w:val="16"/>
        </w:rPr>
        <w:t xml:space="preserve"> 7 de mayo de 2013</w:t>
      </w:r>
      <w:r>
        <w:rPr>
          <w:rFonts w:ascii="Verdana" w:hAnsi="Verdana"/>
          <w:sz w:val="16"/>
          <w:szCs w:val="16"/>
        </w:rPr>
        <w:t xml:space="preserve"> por la Sala Tercera d</w:t>
      </w:r>
      <w:r w:rsidRPr="00807D5C">
        <w:rPr>
          <w:rFonts w:ascii="Verdana" w:hAnsi="Verdana"/>
          <w:sz w:val="16"/>
          <w:szCs w:val="16"/>
        </w:rPr>
        <w:t>el Tribunal de Casación Penal de la Provincia de Buenos Aires</w:t>
      </w:r>
      <w:r>
        <w:rPr>
          <w:rFonts w:ascii="Verdana" w:hAnsi="Verdana"/>
          <w:sz w:val="16"/>
          <w:szCs w:val="16"/>
        </w:rPr>
        <w:t xml:space="preserve"> (anexo al informe estatal de 2 de julio de 2015)</w:t>
      </w:r>
      <w:r w:rsidRPr="00807D5C">
        <w:rPr>
          <w:rFonts w:ascii="Verdana" w:hAnsi="Verdana"/>
          <w:sz w:val="16"/>
          <w:szCs w:val="16"/>
        </w:rPr>
        <w:t>.</w:t>
      </w:r>
    </w:p>
  </w:footnote>
  <w:footnote w:id="13">
    <w:p w14:paraId="7CC869E3" w14:textId="293A2A2D" w:rsidR="00A47B9B" w:rsidRPr="001731F5" w:rsidRDefault="00A47B9B" w:rsidP="008C6A7C">
      <w:pPr>
        <w:pStyle w:val="Textonotapie"/>
        <w:jc w:val="both"/>
      </w:pPr>
      <w:r w:rsidRPr="00807D5C">
        <w:rPr>
          <w:rFonts w:ascii="Verdana" w:hAnsi="Verdana"/>
          <w:sz w:val="16"/>
          <w:szCs w:val="16"/>
          <w:vertAlign w:val="superscript"/>
        </w:rPr>
        <w:footnoteRef/>
      </w:r>
      <w:r w:rsidRPr="00807D5C">
        <w:rPr>
          <w:rFonts w:ascii="Verdana" w:hAnsi="Verdana"/>
          <w:sz w:val="16"/>
          <w:szCs w:val="16"/>
        </w:rPr>
        <w:t xml:space="preserve"> </w:t>
      </w:r>
      <w:r w:rsidRPr="00807D5C">
        <w:rPr>
          <w:rFonts w:ascii="Verdana" w:hAnsi="Verdana"/>
          <w:sz w:val="16"/>
          <w:szCs w:val="16"/>
        </w:rPr>
        <w:tab/>
      </w:r>
      <w:r w:rsidRPr="00807D5C">
        <w:rPr>
          <w:rFonts w:ascii="Verdana" w:hAnsi="Verdana"/>
          <w:i/>
          <w:sz w:val="16"/>
          <w:szCs w:val="16"/>
        </w:rPr>
        <w:t xml:space="preserve">Cfr. </w:t>
      </w:r>
      <w:r w:rsidRPr="00807D5C">
        <w:rPr>
          <w:rFonts w:ascii="Verdana" w:hAnsi="Verdana"/>
          <w:sz w:val="16"/>
          <w:szCs w:val="16"/>
        </w:rPr>
        <w:t xml:space="preserve">Informes </w:t>
      </w:r>
      <w:r>
        <w:rPr>
          <w:rFonts w:ascii="Verdana" w:hAnsi="Verdana"/>
          <w:sz w:val="16"/>
          <w:szCs w:val="16"/>
        </w:rPr>
        <w:t>d</w:t>
      </w:r>
      <w:r w:rsidRPr="00807D5C">
        <w:rPr>
          <w:rFonts w:ascii="Verdana" w:hAnsi="Verdana"/>
          <w:sz w:val="16"/>
          <w:szCs w:val="16"/>
        </w:rPr>
        <w:t xml:space="preserve">e 7 de octubre de 2014, 16 de abril de 2015 y 23 de noviembre de 2015, </w:t>
      </w:r>
      <w:r>
        <w:rPr>
          <w:rFonts w:ascii="Verdana" w:hAnsi="Verdana"/>
          <w:sz w:val="16"/>
          <w:szCs w:val="16"/>
        </w:rPr>
        <w:t xml:space="preserve">elaborados por </w:t>
      </w:r>
      <w:r w:rsidRPr="00807D5C">
        <w:rPr>
          <w:rFonts w:ascii="Verdana" w:hAnsi="Verdana"/>
          <w:sz w:val="16"/>
          <w:szCs w:val="16"/>
        </w:rPr>
        <w:t>el Agente Fiscal de la Unidad Funcional de Instrucción y de Juicio N° 11 del Departamento Judicial de La Plata (anexos a</w:t>
      </w:r>
      <w:r>
        <w:rPr>
          <w:rFonts w:ascii="Verdana" w:hAnsi="Verdana"/>
          <w:sz w:val="16"/>
          <w:szCs w:val="16"/>
        </w:rPr>
        <w:t xml:space="preserve"> </w:t>
      </w:r>
      <w:r w:rsidRPr="00807D5C">
        <w:rPr>
          <w:rFonts w:ascii="Verdana" w:hAnsi="Verdana"/>
          <w:sz w:val="16"/>
          <w:szCs w:val="16"/>
        </w:rPr>
        <w:t>l</w:t>
      </w:r>
      <w:r>
        <w:rPr>
          <w:rFonts w:ascii="Verdana" w:hAnsi="Verdana"/>
          <w:sz w:val="16"/>
          <w:szCs w:val="16"/>
        </w:rPr>
        <w:t>os</w:t>
      </w:r>
      <w:r w:rsidRPr="00807D5C">
        <w:rPr>
          <w:rFonts w:ascii="Verdana" w:hAnsi="Verdana"/>
          <w:sz w:val="16"/>
          <w:szCs w:val="16"/>
        </w:rPr>
        <w:t xml:space="preserve"> informe</w:t>
      </w:r>
      <w:r>
        <w:rPr>
          <w:rFonts w:ascii="Verdana" w:hAnsi="Verdana"/>
          <w:sz w:val="16"/>
          <w:szCs w:val="16"/>
        </w:rPr>
        <w:t>s</w:t>
      </w:r>
      <w:r w:rsidRPr="00807D5C">
        <w:rPr>
          <w:rFonts w:ascii="Verdana" w:hAnsi="Verdana"/>
          <w:sz w:val="16"/>
          <w:szCs w:val="16"/>
        </w:rPr>
        <w:t xml:space="preserve"> estatal</w:t>
      </w:r>
      <w:r>
        <w:rPr>
          <w:rFonts w:ascii="Verdana" w:hAnsi="Verdana"/>
          <w:sz w:val="16"/>
          <w:szCs w:val="16"/>
        </w:rPr>
        <w:t>es</w:t>
      </w:r>
      <w:r w:rsidRPr="00807D5C">
        <w:rPr>
          <w:rFonts w:ascii="Verdana" w:hAnsi="Verdana"/>
          <w:sz w:val="16"/>
          <w:szCs w:val="16"/>
        </w:rPr>
        <w:t xml:space="preserve"> de 2 de julio de 2015 y de 17 de febrero de 2016).</w:t>
      </w:r>
      <w:r w:rsidRPr="00807D5C">
        <w:t xml:space="preserve"> </w:t>
      </w:r>
    </w:p>
  </w:footnote>
  <w:footnote w:id="14">
    <w:p w14:paraId="4B7B3C9E" w14:textId="7EC87C9B" w:rsidR="00A47B9B" w:rsidRPr="001731F5" w:rsidRDefault="00A47B9B" w:rsidP="008C6A7C">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xml:space="preserve"> Decisión emitida el 11 de abril de 2016 por el Agente Fiscal a cargo de la Unidad Funcional de Instrucción y de Juicio Nº 11 del Departamento Judicial de La Plata (anexo al informe estatal de junio de 2016).</w:t>
      </w:r>
    </w:p>
  </w:footnote>
  <w:footnote w:id="15">
    <w:p w14:paraId="6A6C5EB2" w14:textId="28D1D46E" w:rsidR="00A47B9B" w:rsidRPr="008B39DB" w:rsidRDefault="00A47B9B" w:rsidP="0061270C">
      <w:pPr>
        <w:pStyle w:val="Textonotapie"/>
        <w:jc w:val="both"/>
        <w:rPr>
          <w:rFonts w:ascii="Verdana" w:hAnsi="Verdana"/>
          <w:color w:val="00B050"/>
          <w:sz w:val="16"/>
          <w:szCs w:val="16"/>
        </w:rPr>
      </w:pPr>
      <w:r w:rsidRPr="00807D5C">
        <w:rPr>
          <w:rStyle w:val="Refdenotaalpie"/>
          <w:rFonts w:ascii="Verdana" w:hAnsi="Verdana"/>
          <w:sz w:val="16"/>
          <w:szCs w:val="16"/>
        </w:rPr>
        <w:footnoteRef/>
      </w:r>
      <w:r w:rsidRPr="00807D5C">
        <w:rPr>
          <w:rFonts w:ascii="Verdana" w:hAnsi="Verdana"/>
          <w:sz w:val="16"/>
          <w:szCs w:val="16"/>
        </w:rPr>
        <w:t xml:space="preserve"> </w:t>
      </w:r>
      <w:r w:rsidRPr="00807D5C">
        <w:rPr>
          <w:rFonts w:ascii="Verdana" w:hAnsi="Verdana"/>
          <w:sz w:val="16"/>
          <w:szCs w:val="16"/>
        </w:rPr>
        <w:tab/>
      </w:r>
      <w:r w:rsidRPr="00807D5C">
        <w:rPr>
          <w:rFonts w:ascii="Verdana" w:hAnsi="Verdana"/>
          <w:i/>
          <w:sz w:val="16"/>
          <w:szCs w:val="16"/>
        </w:rPr>
        <w:t xml:space="preserve">Cfr. </w:t>
      </w:r>
      <w:r w:rsidRPr="00807D5C">
        <w:rPr>
          <w:rFonts w:ascii="Verdana" w:hAnsi="Verdana"/>
          <w:sz w:val="16"/>
          <w:szCs w:val="16"/>
        </w:rPr>
        <w:t xml:space="preserve">Resolución emitida por la Sala </w:t>
      </w:r>
      <w:r>
        <w:rPr>
          <w:rFonts w:ascii="Verdana" w:hAnsi="Verdana"/>
          <w:sz w:val="16"/>
          <w:szCs w:val="16"/>
        </w:rPr>
        <w:t>Primera</w:t>
      </w:r>
      <w:r w:rsidRPr="00807D5C">
        <w:rPr>
          <w:rFonts w:ascii="Verdana" w:hAnsi="Verdana"/>
          <w:sz w:val="16"/>
          <w:szCs w:val="16"/>
        </w:rPr>
        <w:t xml:space="preserve"> de la Cámara de Apelación y Garantías en lo Penal Departamental </w:t>
      </w:r>
      <w:r>
        <w:rPr>
          <w:rFonts w:ascii="Verdana" w:hAnsi="Verdana"/>
          <w:sz w:val="16"/>
          <w:szCs w:val="16"/>
        </w:rPr>
        <w:t>el</w:t>
      </w:r>
      <w:r w:rsidRPr="00807D5C">
        <w:rPr>
          <w:rFonts w:ascii="Verdana" w:hAnsi="Verdana"/>
          <w:sz w:val="16"/>
          <w:szCs w:val="16"/>
        </w:rPr>
        <w:t xml:space="preserve"> 6 de julio de 2016 (anexo al </w:t>
      </w:r>
      <w:r>
        <w:rPr>
          <w:rFonts w:ascii="Verdana" w:hAnsi="Verdana"/>
          <w:sz w:val="16"/>
          <w:szCs w:val="16"/>
        </w:rPr>
        <w:t>escrito de los representantes</w:t>
      </w:r>
      <w:r w:rsidRPr="00807D5C">
        <w:rPr>
          <w:rFonts w:ascii="Verdana" w:hAnsi="Verdana"/>
          <w:sz w:val="16"/>
          <w:szCs w:val="16"/>
        </w:rPr>
        <w:t xml:space="preserve"> de 22 de agosto de 2016).</w:t>
      </w:r>
    </w:p>
  </w:footnote>
  <w:footnote w:id="16">
    <w:p w14:paraId="5CAEF698" w14:textId="782D4743" w:rsidR="00A47B9B" w:rsidRPr="001731F5" w:rsidRDefault="00A47B9B" w:rsidP="0061270C">
      <w:pPr>
        <w:pStyle w:val="Textonotapie"/>
        <w:jc w:val="both"/>
        <w:rPr>
          <w:sz w:val="16"/>
          <w:szCs w:val="16"/>
        </w:rPr>
      </w:pPr>
      <w:r w:rsidRPr="00807D5C">
        <w:rPr>
          <w:rStyle w:val="Refdenotaalpie"/>
          <w:rFonts w:ascii="Verdana" w:hAnsi="Verdana"/>
          <w:sz w:val="16"/>
          <w:szCs w:val="16"/>
        </w:rPr>
        <w:footnoteRef/>
      </w:r>
      <w:r w:rsidRPr="00807D5C">
        <w:rPr>
          <w:rFonts w:ascii="Verdana" w:hAnsi="Verdana"/>
          <w:sz w:val="16"/>
          <w:szCs w:val="16"/>
        </w:rPr>
        <w:t xml:space="preserve"> </w:t>
      </w:r>
      <w:r w:rsidRPr="00807D5C">
        <w:rPr>
          <w:rFonts w:ascii="Verdana" w:hAnsi="Verdana"/>
          <w:sz w:val="16"/>
          <w:szCs w:val="16"/>
        </w:rPr>
        <w:tab/>
      </w:r>
      <w:r w:rsidRPr="00807D5C">
        <w:rPr>
          <w:rFonts w:ascii="Verdana" w:hAnsi="Verdana"/>
          <w:i/>
          <w:sz w:val="16"/>
          <w:szCs w:val="16"/>
        </w:rPr>
        <w:t xml:space="preserve">Cfr. </w:t>
      </w:r>
      <w:r w:rsidRPr="00807D5C">
        <w:rPr>
          <w:rFonts w:ascii="Verdana" w:hAnsi="Verdana"/>
          <w:sz w:val="16"/>
          <w:szCs w:val="16"/>
        </w:rPr>
        <w:t xml:space="preserve">Escrito de adhesión suscrito por Nilda del Valle Maldonado Gutiérrez, Nilda Elena Gutiérrez y Francisco V. Gutiérrez (anexo al escrito de los representantes de 27 de noviembre de 2017). </w:t>
      </w:r>
    </w:p>
  </w:footnote>
  <w:footnote w:id="17">
    <w:p w14:paraId="7D2B7FF5" w14:textId="2027C4EB" w:rsidR="00A47B9B" w:rsidRPr="001731F5" w:rsidRDefault="00A47B9B" w:rsidP="0061270C">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xml:space="preserve">. Acuerdo emitido el 22 de marzo de 2018 por la </w:t>
      </w:r>
      <w:r w:rsidRPr="001731F5">
        <w:rPr>
          <w:rFonts w:ascii="Verdana" w:hAnsi="Verdana"/>
          <w:bCs/>
          <w:sz w:val="16"/>
          <w:szCs w:val="16"/>
          <w:lang w:val="es-CR"/>
        </w:rPr>
        <w:t xml:space="preserve">Sala Tercera del Tribunal de Casación Penal de la Provincia de Buenos Aires (anexo al escrito de los representantes de </w:t>
      </w:r>
      <w:r>
        <w:rPr>
          <w:rFonts w:ascii="Verdana" w:hAnsi="Verdana"/>
          <w:bCs/>
          <w:sz w:val="16"/>
          <w:szCs w:val="16"/>
          <w:lang w:val="es-CR"/>
        </w:rPr>
        <w:t xml:space="preserve">23 de </w:t>
      </w:r>
      <w:r w:rsidRPr="001731F5">
        <w:rPr>
          <w:rFonts w:ascii="Verdana" w:hAnsi="Verdana"/>
          <w:bCs/>
          <w:sz w:val="16"/>
          <w:szCs w:val="16"/>
          <w:lang w:val="es-CR"/>
        </w:rPr>
        <w:t>julio de 2018).</w:t>
      </w:r>
    </w:p>
  </w:footnote>
  <w:footnote w:id="18">
    <w:p w14:paraId="706D204D" w14:textId="4F3270EA" w:rsidR="00A47B9B" w:rsidRPr="001731F5" w:rsidRDefault="00A47B9B" w:rsidP="00350C7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Al respecto, </w:t>
      </w:r>
      <w:r>
        <w:rPr>
          <w:rFonts w:ascii="Verdana" w:hAnsi="Verdana"/>
          <w:sz w:val="16"/>
          <w:szCs w:val="16"/>
        </w:rPr>
        <w:t xml:space="preserve">los representantes </w:t>
      </w:r>
      <w:r w:rsidRPr="001731F5">
        <w:rPr>
          <w:rFonts w:ascii="Verdana" w:hAnsi="Verdana"/>
          <w:sz w:val="16"/>
          <w:szCs w:val="16"/>
        </w:rPr>
        <w:t>consideraron que “</w:t>
      </w:r>
      <w:r w:rsidRPr="001731F5">
        <w:rPr>
          <w:rFonts w:ascii="Verdana" w:hAnsi="Verdana" w:cs="Times"/>
          <w:sz w:val="16"/>
          <w:szCs w:val="16"/>
        </w:rPr>
        <w:t>[s]i bien es un logro finalmente haber superado los numerosos obstáculos para ya tener fecha certera de juicio […] resulta a todas luces contrario a las reparaciones ordenadas por la Corte IDH en este caso que recién el juicio d</w:t>
      </w:r>
      <w:r>
        <w:rPr>
          <w:rFonts w:ascii="Verdana" w:hAnsi="Verdana" w:cs="Times"/>
          <w:sz w:val="16"/>
          <w:szCs w:val="16"/>
        </w:rPr>
        <w:t>é</w:t>
      </w:r>
      <w:r w:rsidRPr="001731F5">
        <w:rPr>
          <w:rFonts w:ascii="Verdana" w:hAnsi="Verdana" w:cs="Times"/>
          <w:sz w:val="16"/>
          <w:szCs w:val="16"/>
        </w:rPr>
        <w:t xml:space="preserve"> inicio dentro de más de dos años y medio”.</w:t>
      </w:r>
    </w:p>
  </w:footnote>
  <w:footnote w:id="19">
    <w:p w14:paraId="40BC1B40" w14:textId="27D22C61" w:rsidR="00A47B9B" w:rsidRPr="001731F5" w:rsidRDefault="00A47B9B" w:rsidP="00411C9F">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bCs/>
          <w:sz w:val="16"/>
          <w:szCs w:val="16"/>
          <w:lang w:val="es-CR"/>
        </w:rPr>
        <w:t xml:space="preserve">Respecto de la referida decisión, el </w:t>
      </w:r>
      <w:r w:rsidRPr="00807D5C">
        <w:rPr>
          <w:rFonts w:ascii="Verdana" w:hAnsi="Verdana"/>
          <w:bCs/>
          <w:iCs/>
          <w:sz w:val="16"/>
          <w:szCs w:val="16"/>
          <w:lang w:val="es-CR"/>
        </w:rPr>
        <w:t>Estado</w:t>
      </w:r>
      <w:r w:rsidRPr="00DB004B">
        <w:rPr>
          <w:rFonts w:ascii="Verdana" w:hAnsi="Verdana"/>
          <w:bCs/>
          <w:sz w:val="16"/>
          <w:szCs w:val="16"/>
          <w:lang w:val="es-CR"/>
        </w:rPr>
        <w:t xml:space="preserve"> </w:t>
      </w:r>
      <w:r w:rsidRPr="001731F5">
        <w:rPr>
          <w:rFonts w:ascii="Verdana" w:hAnsi="Verdana"/>
          <w:bCs/>
          <w:sz w:val="16"/>
          <w:szCs w:val="16"/>
          <w:lang w:val="es-CR"/>
        </w:rPr>
        <w:t xml:space="preserve">sostuvo que </w:t>
      </w:r>
      <w:r w:rsidRPr="001731F5">
        <w:rPr>
          <w:rFonts w:ascii="Verdana" w:hAnsi="Verdana"/>
          <w:sz w:val="16"/>
          <w:szCs w:val="16"/>
          <w:lang w:val="es-CR"/>
        </w:rPr>
        <w:t xml:space="preserve">“constituye un avance trascendental en el cumplimiento de la obligación de investigar los hechos relacionados con la ejecución de Jorge Omar Gutiérrez e instar los procesos penales correspondientes”. Los </w:t>
      </w:r>
      <w:r w:rsidRPr="00807D5C">
        <w:rPr>
          <w:rFonts w:ascii="Verdana" w:hAnsi="Verdana"/>
          <w:iCs/>
          <w:sz w:val="16"/>
          <w:szCs w:val="16"/>
          <w:lang w:val="es-CR"/>
        </w:rPr>
        <w:t>representantes</w:t>
      </w:r>
      <w:r w:rsidRPr="001731F5">
        <w:rPr>
          <w:rFonts w:ascii="Verdana" w:hAnsi="Verdana"/>
          <w:sz w:val="16"/>
          <w:szCs w:val="16"/>
          <w:lang w:val="es-CR"/>
        </w:rPr>
        <w:t xml:space="preserve"> reconocieron este avance y enfatizaron en que “[h]</w:t>
      </w:r>
      <w:proofErr w:type="spellStart"/>
      <w:r w:rsidRPr="001731F5">
        <w:rPr>
          <w:rFonts w:ascii="Verdana" w:hAnsi="Verdana"/>
          <w:sz w:val="16"/>
          <w:szCs w:val="16"/>
          <w:lang w:val="es-CR"/>
        </w:rPr>
        <w:t>abrá</w:t>
      </w:r>
      <w:proofErr w:type="spellEnd"/>
      <w:r w:rsidRPr="001731F5">
        <w:rPr>
          <w:rFonts w:ascii="Verdana" w:hAnsi="Verdana"/>
          <w:sz w:val="16"/>
          <w:szCs w:val="16"/>
          <w:lang w:val="es-CR"/>
        </w:rPr>
        <w:t xml:space="preserve"> que ver si esta decisión resulta en avances concretos respecto de la situación de [los dos agentes de la policía imputados], así como del juzgamiento de todas las autorías materiales e intelectuales”.</w:t>
      </w:r>
    </w:p>
  </w:footnote>
  <w:footnote w:id="20">
    <w:p w14:paraId="7EB3D234" w14:textId="4252EC32" w:rsidR="00A47B9B" w:rsidRPr="001731F5" w:rsidRDefault="00A47B9B" w:rsidP="0094781B">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807D5C">
        <w:rPr>
          <w:rFonts w:ascii="Verdana" w:hAnsi="Verdana"/>
          <w:i/>
          <w:sz w:val="16"/>
          <w:szCs w:val="16"/>
        </w:rPr>
        <w:t>Cfr.</w:t>
      </w:r>
      <w:r w:rsidRPr="001731F5">
        <w:rPr>
          <w:rFonts w:ascii="Verdana" w:hAnsi="Verdana"/>
          <w:sz w:val="16"/>
          <w:szCs w:val="16"/>
        </w:rPr>
        <w:t xml:space="preserve"> Escrito de 10 de marzo de 2015 suscrito por el Juez de la Cámara de Apelación y Garantías en lo Penal del Departamento Judicial de </w:t>
      </w:r>
      <w:r>
        <w:rPr>
          <w:rFonts w:ascii="Verdana" w:hAnsi="Verdana"/>
          <w:sz w:val="16"/>
          <w:szCs w:val="16"/>
        </w:rPr>
        <w:t>L</w:t>
      </w:r>
      <w:r w:rsidRPr="001731F5">
        <w:rPr>
          <w:rFonts w:ascii="Verdana" w:hAnsi="Verdana"/>
          <w:sz w:val="16"/>
          <w:szCs w:val="16"/>
        </w:rPr>
        <w:t xml:space="preserve">a Plata (anexo al informe estatal de abril de 2015). </w:t>
      </w:r>
    </w:p>
  </w:footnote>
  <w:footnote w:id="21">
    <w:p w14:paraId="66617D60" w14:textId="6DA20483" w:rsidR="00A47B9B" w:rsidRPr="001731F5" w:rsidRDefault="00A47B9B" w:rsidP="0094781B">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Originalmente la audiencia preliminar había sido fijada para el 7 de agosto de 2015, sin embargo, se aplazó hasta el 18 de ese mes, debido a un cambio de defensores </w:t>
      </w:r>
      <w:r>
        <w:rPr>
          <w:rFonts w:ascii="Verdana" w:hAnsi="Verdana"/>
          <w:sz w:val="16"/>
          <w:szCs w:val="16"/>
        </w:rPr>
        <w:t>decidido</w:t>
      </w:r>
      <w:r w:rsidRPr="001731F5">
        <w:rPr>
          <w:rFonts w:ascii="Verdana" w:hAnsi="Verdana"/>
          <w:sz w:val="16"/>
          <w:szCs w:val="16"/>
        </w:rPr>
        <w:t xml:space="preserve"> por el imputado.</w:t>
      </w:r>
    </w:p>
  </w:footnote>
  <w:footnote w:id="22">
    <w:p w14:paraId="1ACD9349" w14:textId="5750D61D" w:rsidR="00A47B9B" w:rsidRPr="001731F5" w:rsidRDefault="00A47B9B" w:rsidP="00D560CA">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bCs/>
          <w:sz w:val="16"/>
          <w:szCs w:val="16"/>
          <w:lang w:val="es-CR"/>
        </w:rPr>
        <w:t xml:space="preserve">Los </w:t>
      </w:r>
      <w:r w:rsidRPr="00807D5C">
        <w:rPr>
          <w:rFonts w:ascii="Verdana" w:hAnsi="Verdana"/>
          <w:bCs/>
          <w:iCs/>
          <w:sz w:val="16"/>
          <w:szCs w:val="16"/>
          <w:lang w:val="es-CR"/>
        </w:rPr>
        <w:t>representantes</w:t>
      </w:r>
      <w:r w:rsidRPr="001731F5">
        <w:rPr>
          <w:rFonts w:ascii="Verdana" w:hAnsi="Verdana"/>
          <w:bCs/>
          <w:sz w:val="16"/>
          <w:szCs w:val="16"/>
          <w:lang w:val="es-CR"/>
        </w:rPr>
        <w:t xml:space="preserve"> indicaron que “20 de agosto </w:t>
      </w:r>
      <w:r>
        <w:rPr>
          <w:rFonts w:ascii="Verdana" w:hAnsi="Verdana"/>
          <w:bCs/>
          <w:sz w:val="16"/>
          <w:szCs w:val="16"/>
          <w:lang w:val="es-CR"/>
        </w:rPr>
        <w:t>[</w:t>
      </w:r>
      <w:r w:rsidRPr="001731F5">
        <w:rPr>
          <w:rFonts w:ascii="Verdana" w:hAnsi="Verdana"/>
          <w:bCs/>
          <w:sz w:val="16"/>
          <w:szCs w:val="16"/>
          <w:lang w:val="es-CR"/>
        </w:rPr>
        <w:t>de 2015</w:t>
      </w:r>
      <w:r>
        <w:rPr>
          <w:rFonts w:ascii="Verdana" w:hAnsi="Verdana"/>
          <w:bCs/>
          <w:sz w:val="16"/>
          <w:szCs w:val="16"/>
          <w:lang w:val="es-CR"/>
        </w:rPr>
        <w:t>]</w:t>
      </w:r>
      <w:r w:rsidRPr="001731F5">
        <w:rPr>
          <w:rFonts w:ascii="Verdana" w:hAnsi="Verdana"/>
          <w:bCs/>
          <w:sz w:val="16"/>
          <w:szCs w:val="16"/>
          <w:lang w:val="es-CR"/>
        </w:rPr>
        <w:t xml:space="preserve">, </w:t>
      </w:r>
      <w:r>
        <w:rPr>
          <w:rFonts w:ascii="Verdana" w:hAnsi="Verdana"/>
          <w:bCs/>
          <w:sz w:val="16"/>
          <w:szCs w:val="16"/>
          <w:lang w:val="es-CR"/>
        </w:rPr>
        <w:t>el</w:t>
      </w:r>
      <w:r w:rsidRPr="001731F5">
        <w:rPr>
          <w:rFonts w:ascii="Verdana" w:hAnsi="Verdana"/>
          <w:bCs/>
          <w:sz w:val="16"/>
          <w:szCs w:val="16"/>
          <w:lang w:val="es-CR"/>
        </w:rPr>
        <w:t xml:space="preserve"> representa</w:t>
      </w:r>
      <w:r>
        <w:rPr>
          <w:rFonts w:ascii="Verdana" w:hAnsi="Verdana"/>
          <w:bCs/>
          <w:sz w:val="16"/>
          <w:szCs w:val="16"/>
          <w:lang w:val="es-CR"/>
        </w:rPr>
        <w:t>nte</w:t>
      </w:r>
      <w:r w:rsidRPr="001731F5">
        <w:rPr>
          <w:rFonts w:ascii="Verdana" w:hAnsi="Verdana"/>
          <w:bCs/>
          <w:sz w:val="16"/>
          <w:szCs w:val="16"/>
          <w:lang w:val="es-CR"/>
        </w:rPr>
        <w:t xml:space="preserve"> legal de la familia Gutiérrez, a través de la figura del particular damnificado</w:t>
      </w:r>
      <w:r>
        <w:rPr>
          <w:rFonts w:ascii="Verdana" w:hAnsi="Verdana"/>
          <w:bCs/>
          <w:sz w:val="16"/>
          <w:szCs w:val="16"/>
          <w:lang w:val="es-CR"/>
        </w:rPr>
        <w:t>,</w:t>
      </w:r>
      <w:r w:rsidRPr="001731F5">
        <w:rPr>
          <w:rFonts w:ascii="Verdana" w:hAnsi="Verdana"/>
          <w:bCs/>
          <w:sz w:val="16"/>
          <w:szCs w:val="16"/>
          <w:lang w:val="es-CR"/>
        </w:rPr>
        <w:t xml:space="preserve"> contestó </w:t>
      </w:r>
      <w:r>
        <w:rPr>
          <w:rFonts w:ascii="Verdana" w:hAnsi="Verdana"/>
          <w:bCs/>
          <w:sz w:val="16"/>
          <w:szCs w:val="16"/>
          <w:lang w:val="es-CR"/>
        </w:rPr>
        <w:t>el traslado señalando, entre otras cuestiones</w:t>
      </w:r>
      <w:r w:rsidRPr="001731F5">
        <w:rPr>
          <w:rFonts w:ascii="Verdana" w:hAnsi="Verdana"/>
          <w:bCs/>
          <w:sz w:val="16"/>
          <w:szCs w:val="16"/>
          <w:lang w:val="es-CR"/>
        </w:rPr>
        <w:t xml:space="preserve"> que determinar la extinción de la acción penal […] sería contrario a la sentencia de la </w:t>
      </w:r>
      <w:r>
        <w:rPr>
          <w:rFonts w:ascii="Verdana" w:hAnsi="Verdana"/>
          <w:bCs/>
          <w:sz w:val="16"/>
          <w:szCs w:val="16"/>
          <w:lang w:val="es-CR"/>
        </w:rPr>
        <w:t xml:space="preserve">[…] </w:t>
      </w:r>
      <w:r w:rsidRPr="001731F5">
        <w:rPr>
          <w:rFonts w:ascii="Verdana" w:hAnsi="Verdana"/>
          <w:bCs/>
          <w:sz w:val="16"/>
          <w:szCs w:val="16"/>
          <w:lang w:val="es-CR"/>
        </w:rPr>
        <w:t>Corte IDH y solicitó que continúe el juicio oral”.</w:t>
      </w:r>
    </w:p>
  </w:footnote>
  <w:footnote w:id="23">
    <w:p w14:paraId="692126D7" w14:textId="66198F14" w:rsidR="00A47B9B" w:rsidRPr="001731F5" w:rsidRDefault="00A47B9B" w:rsidP="006F4932">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xml:space="preserve"> Resolución emitida el 26 de agosto de 2015 por la Sala I de la Cámara de Apelación y Garantías </w:t>
      </w:r>
      <w:r>
        <w:rPr>
          <w:rFonts w:ascii="Verdana" w:hAnsi="Verdana"/>
          <w:sz w:val="16"/>
          <w:szCs w:val="16"/>
        </w:rPr>
        <w:t xml:space="preserve">en lo Penal Departamental </w:t>
      </w:r>
      <w:r w:rsidRPr="001731F5">
        <w:rPr>
          <w:rFonts w:ascii="Verdana" w:hAnsi="Verdana"/>
          <w:sz w:val="16"/>
          <w:szCs w:val="16"/>
        </w:rPr>
        <w:t>de La Plata -con integración diversa a la natural- (anexo al escrito de los representantes de octubre de 2015).</w:t>
      </w:r>
    </w:p>
  </w:footnote>
  <w:footnote w:id="24">
    <w:p w14:paraId="69BAF20A" w14:textId="3CFBEF0B" w:rsidR="00A47B9B" w:rsidRPr="001731F5" w:rsidRDefault="00A47B9B" w:rsidP="005F15EC">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bCs/>
          <w:sz w:val="16"/>
          <w:szCs w:val="16"/>
          <w:lang w:val="es-CR"/>
        </w:rPr>
        <w:t xml:space="preserve">Los </w:t>
      </w:r>
      <w:r w:rsidRPr="00807D5C">
        <w:rPr>
          <w:rFonts w:ascii="Verdana" w:hAnsi="Verdana"/>
          <w:bCs/>
          <w:iCs/>
          <w:sz w:val="16"/>
          <w:szCs w:val="16"/>
          <w:lang w:val="es-CR"/>
        </w:rPr>
        <w:t>representantes</w:t>
      </w:r>
      <w:r w:rsidRPr="00A47B9B">
        <w:rPr>
          <w:rFonts w:ascii="Verdana" w:hAnsi="Verdana"/>
          <w:bCs/>
          <w:sz w:val="16"/>
          <w:szCs w:val="16"/>
          <w:lang w:val="es-CR"/>
        </w:rPr>
        <w:t xml:space="preserve"> </w:t>
      </w:r>
      <w:r w:rsidRPr="001731F5">
        <w:rPr>
          <w:rFonts w:ascii="Verdana" w:hAnsi="Verdana"/>
          <w:bCs/>
          <w:sz w:val="16"/>
          <w:szCs w:val="16"/>
          <w:lang w:val="es-CR"/>
        </w:rPr>
        <w:t xml:space="preserve">criticaron que “en </w:t>
      </w:r>
      <w:r>
        <w:rPr>
          <w:rFonts w:ascii="Verdana" w:hAnsi="Verdana"/>
          <w:bCs/>
          <w:sz w:val="16"/>
          <w:szCs w:val="16"/>
          <w:lang w:val="es-CR"/>
        </w:rPr>
        <w:t>su</w:t>
      </w:r>
      <w:r w:rsidRPr="001731F5">
        <w:rPr>
          <w:rFonts w:ascii="Verdana" w:hAnsi="Verdana"/>
          <w:bCs/>
          <w:sz w:val="16"/>
          <w:szCs w:val="16"/>
          <w:lang w:val="es-CR"/>
        </w:rPr>
        <w:t xml:space="preserve"> decisión el tribunal no incluyó ningún argumento relativo al </w:t>
      </w:r>
      <w:r>
        <w:rPr>
          <w:rFonts w:ascii="Verdana" w:hAnsi="Verdana"/>
          <w:bCs/>
          <w:sz w:val="16"/>
          <w:szCs w:val="16"/>
          <w:lang w:val="es-CR"/>
        </w:rPr>
        <w:t xml:space="preserve">deber de velar por el </w:t>
      </w:r>
      <w:r w:rsidRPr="001731F5">
        <w:rPr>
          <w:rFonts w:ascii="Verdana" w:hAnsi="Verdana"/>
          <w:bCs/>
          <w:sz w:val="16"/>
          <w:szCs w:val="16"/>
          <w:lang w:val="es-CR"/>
        </w:rPr>
        <w:t xml:space="preserve">cumplimiento de la </w:t>
      </w:r>
      <w:r>
        <w:rPr>
          <w:rFonts w:ascii="Verdana" w:hAnsi="Verdana"/>
          <w:bCs/>
          <w:sz w:val="16"/>
          <w:szCs w:val="16"/>
          <w:lang w:val="es-CR"/>
        </w:rPr>
        <w:t>[</w:t>
      </w:r>
      <w:r w:rsidRPr="001731F5">
        <w:rPr>
          <w:rFonts w:ascii="Verdana" w:hAnsi="Verdana"/>
          <w:bCs/>
          <w:sz w:val="16"/>
          <w:szCs w:val="16"/>
          <w:lang w:val="es-CR"/>
        </w:rPr>
        <w:t>S</w:t>
      </w:r>
      <w:r>
        <w:rPr>
          <w:rFonts w:ascii="Verdana" w:hAnsi="Verdana"/>
          <w:bCs/>
          <w:sz w:val="16"/>
          <w:szCs w:val="16"/>
          <w:lang w:val="es-CR"/>
        </w:rPr>
        <w:t>]</w:t>
      </w:r>
      <w:proofErr w:type="spellStart"/>
      <w:r w:rsidRPr="001731F5">
        <w:rPr>
          <w:rFonts w:ascii="Verdana" w:hAnsi="Verdana"/>
          <w:bCs/>
          <w:sz w:val="16"/>
          <w:szCs w:val="16"/>
          <w:lang w:val="es-CR"/>
        </w:rPr>
        <w:t>entencia</w:t>
      </w:r>
      <w:proofErr w:type="spellEnd"/>
      <w:r w:rsidRPr="001731F5">
        <w:rPr>
          <w:rFonts w:ascii="Verdana" w:hAnsi="Verdana"/>
          <w:bCs/>
          <w:sz w:val="16"/>
          <w:szCs w:val="16"/>
          <w:lang w:val="es-CR"/>
        </w:rPr>
        <w:t xml:space="preserve"> de la Corte I</w:t>
      </w:r>
      <w:r>
        <w:rPr>
          <w:rFonts w:ascii="Verdana" w:hAnsi="Verdana"/>
          <w:bCs/>
          <w:sz w:val="16"/>
          <w:szCs w:val="16"/>
          <w:lang w:val="es-CR"/>
        </w:rPr>
        <w:t>nteramericana,</w:t>
      </w:r>
      <w:r w:rsidRPr="001731F5">
        <w:rPr>
          <w:rFonts w:ascii="Verdana" w:hAnsi="Verdana"/>
          <w:bCs/>
          <w:sz w:val="16"/>
          <w:szCs w:val="16"/>
          <w:lang w:val="es-CR"/>
        </w:rPr>
        <w:t xml:space="preserve"> y por ejemplo, respecto de la prescripción, consideró que la acción penal únicamente se mantenía debido a la calificación legal en juego”.</w:t>
      </w:r>
    </w:p>
  </w:footnote>
  <w:footnote w:id="25">
    <w:p w14:paraId="57F1C881" w14:textId="280E4700" w:rsidR="00A47B9B" w:rsidRPr="001731F5" w:rsidRDefault="00A47B9B" w:rsidP="001D7010">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xml:space="preserve"> Resolución emitida el 30 de septiembre de 2015 por la Sala I de la Cámara de Apelación y Garantías de La Plata -con integración diversa a la natural- (anexo al escrito de los representantes de octubre de 2015).</w:t>
      </w:r>
    </w:p>
  </w:footnote>
  <w:footnote w:id="26">
    <w:p w14:paraId="483975E9" w14:textId="46C681D9" w:rsidR="00A47B9B" w:rsidRPr="001731F5" w:rsidRDefault="00A47B9B" w:rsidP="00C75A9F">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xml:space="preserve"> Acuerdo ordinario emitido el 2 de febrero de 2016 por la Sala III del Tribunal de Casación Penal (anexo al informe estatal de julio de 2016). </w:t>
      </w:r>
    </w:p>
  </w:footnote>
  <w:footnote w:id="27">
    <w:p w14:paraId="5C449FB6" w14:textId="6BCA81E7" w:rsidR="00A47B9B" w:rsidRPr="001731F5" w:rsidRDefault="00A47B9B" w:rsidP="00C75A9F">
      <w:pPr>
        <w:pStyle w:val="Textonotapie"/>
        <w:jc w:val="both"/>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iCs/>
          <w:sz w:val="16"/>
          <w:szCs w:val="16"/>
        </w:rPr>
        <w:t>Cfr</w:t>
      </w:r>
      <w:r w:rsidRPr="001731F5">
        <w:rPr>
          <w:rFonts w:ascii="Verdana" w:hAnsi="Verdana"/>
          <w:sz w:val="16"/>
          <w:szCs w:val="16"/>
        </w:rPr>
        <w:t>. Sentencia de 31 de marzo de 2016 (anexo al informe estatal de julio de 2016).</w:t>
      </w:r>
    </w:p>
  </w:footnote>
  <w:footnote w:id="28">
    <w:p w14:paraId="431AE934" w14:textId="52E666BD" w:rsidR="00A47B9B" w:rsidRPr="001731F5" w:rsidRDefault="00A47B9B">
      <w:pPr>
        <w:pStyle w:val="Textonotapie"/>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nota 1, p</w:t>
      </w:r>
      <w:r w:rsidRPr="001731F5">
        <w:rPr>
          <w:rFonts w:ascii="Verdana" w:hAnsi="Verdana"/>
          <w:sz w:val="16"/>
          <w:szCs w:val="16"/>
        </w:rPr>
        <w:t xml:space="preserve">árr. 134. </w:t>
      </w:r>
    </w:p>
  </w:footnote>
  <w:footnote w:id="29">
    <w:p w14:paraId="200320DC" w14:textId="6C00492F" w:rsidR="00A47B9B" w:rsidRPr="001731F5" w:rsidRDefault="00A47B9B">
      <w:pPr>
        <w:pStyle w:val="Textonotapie"/>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w:t>
      </w:r>
      <w:r w:rsidRPr="001731F5">
        <w:rPr>
          <w:rStyle w:val="Textoennegrita"/>
          <w:rFonts w:ascii="Verdana" w:hAnsi="Verdana"/>
          <w:b w:val="0"/>
          <w:i/>
          <w:color w:val="000000"/>
          <w:sz w:val="16"/>
          <w:szCs w:val="16"/>
          <w:shd w:val="clear" w:color="auto" w:fill="FFFFFF"/>
        </w:rPr>
        <w:t>Caso Gutiérrez y familia, supra</w:t>
      </w:r>
      <w:r>
        <w:rPr>
          <w:rStyle w:val="Textoennegrita"/>
          <w:rFonts w:ascii="Verdana" w:hAnsi="Verdana"/>
          <w:b w:val="0"/>
          <w:i/>
          <w:color w:val="000000"/>
          <w:sz w:val="16"/>
          <w:szCs w:val="16"/>
          <w:shd w:val="clear" w:color="auto" w:fill="FFFFFF"/>
        </w:rPr>
        <w:t xml:space="preserve"> </w:t>
      </w:r>
      <w:r>
        <w:rPr>
          <w:rStyle w:val="Textoennegrita"/>
          <w:rFonts w:ascii="Verdana" w:hAnsi="Verdana"/>
          <w:b w:val="0"/>
          <w:color w:val="000000"/>
          <w:sz w:val="16"/>
          <w:szCs w:val="16"/>
          <w:shd w:val="clear" w:color="auto" w:fill="FFFFFF"/>
        </w:rPr>
        <w:t>nota 1, p</w:t>
      </w:r>
      <w:r w:rsidRPr="001731F5">
        <w:rPr>
          <w:rFonts w:ascii="Verdana" w:hAnsi="Verdana"/>
          <w:sz w:val="16"/>
          <w:szCs w:val="16"/>
        </w:rPr>
        <w:t>árr. 154.</w:t>
      </w:r>
      <w:r w:rsidRPr="001731F5">
        <w:t xml:space="preserve"> </w:t>
      </w:r>
    </w:p>
  </w:footnote>
  <w:footnote w:id="30">
    <w:p w14:paraId="30E4DD7C" w14:textId="609C0E18"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w:t>
      </w:r>
      <w:r w:rsidRPr="00807D5C">
        <w:rPr>
          <w:rFonts w:ascii="Verdana" w:hAnsi="Verdana"/>
          <w:sz w:val="16"/>
          <w:szCs w:val="16"/>
        </w:rPr>
        <w:t>Estado</w:t>
      </w:r>
      <w:r w:rsidRPr="001731F5">
        <w:rPr>
          <w:rFonts w:ascii="Verdana" w:hAnsi="Verdana"/>
          <w:sz w:val="16"/>
          <w:szCs w:val="16"/>
        </w:rPr>
        <w:t xml:space="preserve"> informó sobre la realización del acto y las personas que participaron en el mismo y sostuvo que esto “constituye el cumplimiento de uno de los puntos ordenados por es[t]e Tribunal internacional”. Como prueba indicó el enlace electrónico a la nota de prensa que publicó al respecto la “Agencia de Noticias Jurídicas” (</w:t>
      </w:r>
      <w:hyperlink r:id="rId2" w:history="1">
        <w:r w:rsidRPr="001731F5">
          <w:rPr>
            <w:rStyle w:val="Hipervnculo"/>
            <w:rFonts w:ascii="Verdana" w:hAnsi="Verdana"/>
            <w:sz w:val="16"/>
            <w:szCs w:val="16"/>
          </w:rPr>
          <w:t>http://www.archivoinfojus.gob.ar/nacionales/caso-gutierrez-el-estado-acompana-a-la-familia-en-el-reclamo-de-justicia-7883.html</w:t>
        </w:r>
      </w:hyperlink>
      <w:r w:rsidRPr="001731F5">
        <w:rPr>
          <w:rFonts w:ascii="Verdana" w:hAnsi="Verdana"/>
          <w:sz w:val="16"/>
          <w:szCs w:val="16"/>
        </w:rPr>
        <w:t>)</w:t>
      </w:r>
      <w:r w:rsidR="00183188">
        <w:rPr>
          <w:rFonts w:ascii="Verdana" w:hAnsi="Verdana"/>
          <w:sz w:val="16"/>
          <w:szCs w:val="16"/>
        </w:rPr>
        <w:t xml:space="preserve"> (</w:t>
      </w:r>
      <w:r w:rsidR="00183188" w:rsidRPr="00807D5C">
        <w:rPr>
          <w:rFonts w:ascii="Verdana" w:hAnsi="Verdana"/>
          <w:i/>
          <w:sz w:val="16"/>
          <w:szCs w:val="16"/>
        </w:rPr>
        <w:t xml:space="preserve">infra </w:t>
      </w:r>
      <w:r w:rsidR="00183188">
        <w:rPr>
          <w:rFonts w:ascii="Verdana" w:hAnsi="Verdana"/>
          <w:sz w:val="16"/>
          <w:szCs w:val="16"/>
        </w:rPr>
        <w:t>nota 32)</w:t>
      </w:r>
      <w:r w:rsidRPr="001731F5">
        <w:rPr>
          <w:rFonts w:ascii="Verdana" w:hAnsi="Verdana"/>
          <w:sz w:val="16"/>
          <w:szCs w:val="16"/>
        </w:rPr>
        <w:t xml:space="preserve">. </w:t>
      </w:r>
    </w:p>
  </w:footnote>
  <w:footnote w:id="31">
    <w:p w14:paraId="5711A740" w14:textId="77777777"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señor </w:t>
      </w:r>
      <w:r w:rsidRPr="001731F5">
        <w:rPr>
          <w:rFonts w:ascii="Verdana" w:hAnsi="Verdana" w:cs="Arial"/>
          <w:color w:val="000000"/>
          <w:sz w:val="16"/>
          <w:szCs w:val="16"/>
        </w:rPr>
        <w:t xml:space="preserve">Julio </w:t>
      </w:r>
      <w:proofErr w:type="spellStart"/>
      <w:r w:rsidRPr="001731F5">
        <w:rPr>
          <w:rFonts w:ascii="Verdana" w:hAnsi="Verdana" w:cs="Arial"/>
          <w:color w:val="000000"/>
          <w:sz w:val="16"/>
          <w:szCs w:val="16"/>
        </w:rPr>
        <w:t>Alak</w:t>
      </w:r>
      <w:proofErr w:type="spellEnd"/>
      <w:r w:rsidRPr="001731F5">
        <w:rPr>
          <w:rFonts w:ascii="Verdana" w:hAnsi="Verdana" w:cs="Arial"/>
          <w:color w:val="000000"/>
          <w:sz w:val="16"/>
          <w:szCs w:val="16"/>
        </w:rPr>
        <w:t>.</w:t>
      </w:r>
    </w:p>
  </w:footnote>
  <w:footnote w:id="32">
    <w:p w14:paraId="5B4A2DD8" w14:textId="77777777"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señor </w:t>
      </w:r>
      <w:r w:rsidRPr="001731F5">
        <w:rPr>
          <w:rFonts w:ascii="Verdana" w:hAnsi="Verdana" w:cs="Arial"/>
          <w:color w:val="000000"/>
          <w:sz w:val="16"/>
          <w:szCs w:val="16"/>
        </w:rPr>
        <w:t>Martín Fresneda.</w:t>
      </w:r>
    </w:p>
  </w:footnote>
  <w:footnote w:id="33">
    <w:p w14:paraId="47CDB160" w14:textId="77777777" w:rsidR="00A47B9B" w:rsidRPr="001731F5" w:rsidRDefault="00A47B9B" w:rsidP="00541655">
      <w:pPr>
        <w:jc w:val="both"/>
        <w:rPr>
          <w:rFonts w:ascii="Verdana" w:eastAsia="Times New Roman" w:hAnsi="Verdana"/>
          <w:sz w:val="16"/>
          <w:szCs w:val="16"/>
          <w:lang w:val="es-CR" w:eastAsia="es-CR"/>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El Ministro de Justicia y Derechos Humanos expresó que “</w:t>
      </w:r>
      <w:r w:rsidRPr="001731F5">
        <w:rPr>
          <w:rFonts w:ascii="Verdana" w:hAnsi="Verdana" w:cs="Arial"/>
          <w:color w:val="000000"/>
          <w:sz w:val="16"/>
          <w:szCs w:val="16"/>
        </w:rPr>
        <w:t xml:space="preserve">el caso Gutiérrez es un símbolo de la Argentina por la que tenemos que luchar para la consolidación de un proceso democrático que sepa combatir las mafias que lo contaminan”. Además, señaló que “el Estado argentino le pide perdón a la familia Gutiérrez por no haber cuidado a quien honestamente trabajaba para poner fin a las mafias”. El Secretario de Derechos Humanos sostuvo que “aceptar la responsabilidad internacional que nos cabe como Estado, no significa una palmada en la espalda, significa que desde acá partimos para buscar verdad y justicia”. </w:t>
      </w:r>
      <w:r w:rsidRPr="001731F5">
        <w:rPr>
          <w:rFonts w:ascii="Verdana" w:hAnsi="Verdana" w:cs="Arial"/>
          <w:i/>
          <w:sz w:val="16"/>
          <w:szCs w:val="16"/>
        </w:rPr>
        <w:t>Cfr.</w:t>
      </w:r>
      <w:r w:rsidRPr="001731F5">
        <w:rPr>
          <w:rFonts w:ascii="Verdana" w:hAnsi="Verdana" w:cs="Arial"/>
          <w:sz w:val="16"/>
          <w:szCs w:val="16"/>
        </w:rPr>
        <w:t xml:space="preserve"> Nota de prensa de la Agencia Nacional de Noticias Jurídicas titulada “</w:t>
      </w:r>
      <w:r w:rsidRPr="001731F5">
        <w:rPr>
          <w:rFonts w:ascii="Verdana" w:hAnsi="Verdana"/>
          <w:sz w:val="16"/>
          <w:szCs w:val="16"/>
        </w:rPr>
        <w:t>Acto de resarcimiento en el Ministerio de Justicia y Derechos Humanos. Caso Gutiérrez: el Estado acompaña a la familia en el reclamo de justicia”, 19 de marzo de 2015 (citada en el informe estatal de 24 de abril de 2015).</w:t>
      </w:r>
    </w:p>
  </w:footnote>
  <w:footnote w:id="34">
    <w:p w14:paraId="391A9E05" w14:textId="5DD58795"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cs="Arial"/>
          <w:i/>
          <w:sz w:val="16"/>
          <w:szCs w:val="16"/>
        </w:rPr>
        <w:t xml:space="preserve">Cfr. </w:t>
      </w:r>
      <w:r w:rsidRPr="001731F5">
        <w:rPr>
          <w:rFonts w:ascii="Verdana" w:hAnsi="Verdana" w:cs="Arial"/>
          <w:sz w:val="16"/>
          <w:szCs w:val="16"/>
        </w:rPr>
        <w:t xml:space="preserve">Nota de prensa de la Agencia Nacional de Noticias Jurídicas, </w:t>
      </w:r>
      <w:r w:rsidRPr="001731F5">
        <w:rPr>
          <w:rFonts w:ascii="Verdana" w:hAnsi="Verdana" w:cs="Arial"/>
          <w:i/>
          <w:sz w:val="16"/>
          <w:szCs w:val="16"/>
        </w:rPr>
        <w:t xml:space="preserve">supra </w:t>
      </w:r>
      <w:r w:rsidRPr="001731F5">
        <w:rPr>
          <w:rFonts w:ascii="Verdana" w:hAnsi="Verdana" w:cs="Arial"/>
          <w:sz w:val="16"/>
          <w:szCs w:val="16"/>
        </w:rPr>
        <w:t>nota</w:t>
      </w:r>
      <w:r w:rsidR="00183188">
        <w:rPr>
          <w:rFonts w:ascii="Verdana" w:hAnsi="Verdana" w:cs="Arial"/>
          <w:sz w:val="16"/>
          <w:szCs w:val="16"/>
        </w:rPr>
        <w:t>s</w:t>
      </w:r>
      <w:r w:rsidRPr="001731F5">
        <w:rPr>
          <w:rFonts w:ascii="Verdana" w:hAnsi="Verdana" w:cs="Arial"/>
          <w:sz w:val="16"/>
          <w:szCs w:val="16"/>
        </w:rPr>
        <w:t xml:space="preserve"> </w:t>
      </w:r>
      <w:r w:rsidR="00183188">
        <w:rPr>
          <w:rFonts w:ascii="Verdana" w:hAnsi="Verdana" w:cs="Arial"/>
          <w:sz w:val="16"/>
          <w:szCs w:val="16"/>
        </w:rPr>
        <w:t>29 y 32</w:t>
      </w:r>
      <w:r w:rsidR="00183188" w:rsidRPr="001731F5">
        <w:rPr>
          <w:rFonts w:ascii="Verdana" w:hAnsi="Verdana" w:cs="Arial"/>
          <w:sz w:val="16"/>
          <w:szCs w:val="16"/>
        </w:rPr>
        <w:t>.</w:t>
      </w:r>
    </w:p>
  </w:footnote>
  <w:footnote w:id="35">
    <w:p w14:paraId="4D2D001B" w14:textId="63BF494D" w:rsidR="00A47B9B" w:rsidRPr="001731F5" w:rsidRDefault="00A47B9B" w:rsidP="00541655">
      <w:pPr>
        <w:jc w:val="both"/>
        <w:rPr>
          <w:rFonts w:ascii="Verdana" w:hAnsi="Verdana"/>
          <w:b/>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Copia de la publicación del resumen oficial de la Sentencia en el Boletín Oficial de la República Argentina No. 32.84</w:t>
      </w:r>
      <w:r>
        <w:rPr>
          <w:rFonts w:ascii="Verdana" w:hAnsi="Verdana"/>
          <w:sz w:val="16"/>
          <w:szCs w:val="16"/>
        </w:rPr>
        <w:t>0</w:t>
      </w:r>
      <w:r w:rsidRPr="001731F5">
        <w:rPr>
          <w:rFonts w:ascii="Verdana" w:hAnsi="Verdana"/>
          <w:sz w:val="16"/>
          <w:szCs w:val="16"/>
        </w:rPr>
        <w:t xml:space="preserve"> de 6 de marzo de 2014, págs. 23 y 24 (anexo al informe estatal de 15 de agosto de 2014). </w:t>
      </w:r>
    </w:p>
  </w:footnote>
  <w:footnote w:id="36">
    <w:p w14:paraId="5269E0ED" w14:textId="15058BC3" w:rsidR="00A47B9B" w:rsidRPr="001731F5" w:rsidRDefault="00A47B9B" w:rsidP="00541655">
      <w:pPr>
        <w:jc w:val="both"/>
        <w:rPr>
          <w:rFonts w:ascii="Verdana" w:hAnsi="Verdana"/>
          <w:b/>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Copia de la publicación del resumen oficial de la Sentencia en el periódico “Tiempo Argentino” de 6 de marzo de 2014 (anexo al informe estatal de 15 de agosto de 2014).</w:t>
      </w:r>
    </w:p>
  </w:footnote>
  <w:footnote w:id="37">
    <w:p w14:paraId="42E6CB20" w14:textId="496B2C19" w:rsidR="00A47B9B" w:rsidRPr="001731F5" w:rsidRDefault="00A47B9B" w:rsidP="00541655">
      <w:pPr>
        <w:jc w:val="both"/>
        <w:rPr>
          <w:rFonts w:ascii="Verdana" w:hAnsi="Verdana"/>
          <w:b/>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Los </w:t>
      </w:r>
      <w:r w:rsidRPr="00807D5C">
        <w:rPr>
          <w:rFonts w:ascii="Verdana" w:hAnsi="Verdana"/>
          <w:sz w:val="16"/>
          <w:szCs w:val="16"/>
        </w:rPr>
        <w:t>representantes</w:t>
      </w:r>
      <w:r w:rsidRPr="001731F5">
        <w:rPr>
          <w:rFonts w:ascii="Verdana" w:hAnsi="Verdana"/>
          <w:sz w:val="16"/>
          <w:szCs w:val="16"/>
        </w:rPr>
        <w:t xml:space="preserve"> hicieron notar al Estado que no “fu[</w:t>
      </w:r>
      <w:proofErr w:type="spellStart"/>
      <w:r w:rsidRPr="001731F5">
        <w:rPr>
          <w:rFonts w:ascii="Verdana" w:hAnsi="Verdana"/>
          <w:sz w:val="16"/>
          <w:szCs w:val="16"/>
        </w:rPr>
        <w:t>eron</w:t>
      </w:r>
      <w:proofErr w:type="spellEnd"/>
      <w:r w:rsidRPr="001731F5">
        <w:rPr>
          <w:rFonts w:ascii="Verdana" w:hAnsi="Verdana"/>
          <w:sz w:val="16"/>
          <w:szCs w:val="16"/>
        </w:rPr>
        <w:t>] notificados oportunamente [de] que [se] había llevado a cabo [la] publicación” del resumen de la Sentencia en el periódico “Tiempo Argentino”. Por lo cual</w:t>
      </w:r>
      <w:r w:rsidR="00CE5773">
        <w:rPr>
          <w:rFonts w:ascii="Verdana" w:hAnsi="Verdana"/>
          <w:sz w:val="16"/>
          <w:szCs w:val="16"/>
        </w:rPr>
        <w:t>,</w:t>
      </w:r>
      <w:r w:rsidRPr="001731F5">
        <w:rPr>
          <w:rFonts w:ascii="Verdana" w:hAnsi="Verdana"/>
          <w:sz w:val="16"/>
          <w:szCs w:val="16"/>
        </w:rPr>
        <w:t xml:space="preserve"> “la familia no </w:t>
      </w:r>
      <w:proofErr w:type="spellStart"/>
      <w:r w:rsidRPr="001731F5">
        <w:rPr>
          <w:rFonts w:ascii="Verdana" w:hAnsi="Verdana"/>
          <w:sz w:val="16"/>
          <w:szCs w:val="16"/>
        </w:rPr>
        <w:t>pud</w:t>
      </w:r>
      <w:proofErr w:type="spellEnd"/>
      <w:r w:rsidRPr="001731F5">
        <w:rPr>
          <w:rFonts w:ascii="Verdana" w:hAnsi="Verdana"/>
          <w:sz w:val="16"/>
          <w:szCs w:val="16"/>
        </w:rPr>
        <w:t>[</w:t>
      </w:r>
      <w:proofErr w:type="spellStart"/>
      <w:r>
        <w:rPr>
          <w:rFonts w:ascii="Verdana" w:hAnsi="Verdana"/>
          <w:sz w:val="16"/>
          <w:szCs w:val="16"/>
        </w:rPr>
        <w:t>i</w:t>
      </w:r>
      <w:r w:rsidRPr="001731F5">
        <w:rPr>
          <w:rFonts w:ascii="Verdana" w:hAnsi="Verdana"/>
          <w:sz w:val="16"/>
          <w:szCs w:val="16"/>
        </w:rPr>
        <w:t>o</w:t>
      </w:r>
      <w:proofErr w:type="spellEnd"/>
      <w:r w:rsidRPr="001731F5">
        <w:rPr>
          <w:rFonts w:ascii="Verdana" w:hAnsi="Verdana"/>
          <w:sz w:val="16"/>
          <w:szCs w:val="16"/>
        </w:rPr>
        <w:t xml:space="preserve">] comprar los ejemplares para su conservación”. Por ello, realizaron una solicitud formal a la Secretaría de Derechos Humanos para que “nuevamente se </w:t>
      </w:r>
      <w:proofErr w:type="spellStart"/>
      <w:r w:rsidRPr="001731F5">
        <w:rPr>
          <w:rFonts w:ascii="Verdana" w:hAnsi="Verdana"/>
          <w:sz w:val="16"/>
          <w:szCs w:val="16"/>
        </w:rPr>
        <w:t>llev</w:t>
      </w:r>
      <w:proofErr w:type="spellEnd"/>
      <w:r w:rsidRPr="001731F5">
        <w:rPr>
          <w:rFonts w:ascii="Verdana" w:hAnsi="Verdana"/>
          <w:sz w:val="16"/>
          <w:szCs w:val="16"/>
        </w:rPr>
        <w:t>[ara] a</w:t>
      </w:r>
      <w:r>
        <w:rPr>
          <w:rFonts w:ascii="Verdana" w:hAnsi="Verdana"/>
          <w:sz w:val="16"/>
          <w:szCs w:val="16"/>
        </w:rPr>
        <w:t xml:space="preserve"> </w:t>
      </w:r>
      <w:r w:rsidRPr="001731F5">
        <w:rPr>
          <w:rFonts w:ascii="Verdana" w:hAnsi="Verdana"/>
          <w:sz w:val="16"/>
          <w:szCs w:val="16"/>
        </w:rPr>
        <w:t>cabo la publicación”. El Estado accedió a tal solicitud y luego de informarles anticipadamente realizó nuevamente la publicación en el diario “Página 12”, en el día del vigésimo aniversario del asesinato del señor Gutiérrez.</w:t>
      </w:r>
      <w:r w:rsidRPr="001731F5">
        <w:rPr>
          <w:rFonts w:ascii="Verdana" w:hAnsi="Verdana"/>
          <w:sz w:val="16"/>
          <w:szCs w:val="16"/>
          <w:lang w:val="es-CR"/>
        </w:rPr>
        <w:t xml:space="preserve"> </w:t>
      </w:r>
      <w:r w:rsidRPr="001731F5">
        <w:rPr>
          <w:rFonts w:ascii="Verdana" w:hAnsi="Verdana"/>
          <w:i/>
          <w:sz w:val="16"/>
          <w:szCs w:val="16"/>
        </w:rPr>
        <w:t>Cfr.</w:t>
      </w:r>
      <w:r w:rsidRPr="001731F5">
        <w:rPr>
          <w:rFonts w:ascii="Verdana" w:hAnsi="Verdana"/>
          <w:sz w:val="16"/>
          <w:szCs w:val="16"/>
        </w:rPr>
        <w:t xml:space="preserve"> Copia de la publicación del resumen oficial de la Sentencia en el diario “Página 12” de 29 de agosto de 2014</w:t>
      </w:r>
      <w:r>
        <w:rPr>
          <w:rFonts w:ascii="Verdana" w:hAnsi="Verdana"/>
          <w:sz w:val="16"/>
          <w:szCs w:val="16"/>
        </w:rPr>
        <w:t>, pág. 22</w:t>
      </w:r>
      <w:r w:rsidRPr="001731F5">
        <w:rPr>
          <w:rFonts w:ascii="Verdana" w:hAnsi="Verdana"/>
          <w:sz w:val="16"/>
          <w:szCs w:val="16"/>
        </w:rPr>
        <w:t xml:space="preserve"> (anexo al informe estatal de 21 enero de 2015). </w:t>
      </w:r>
    </w:p>
  </w:footnote>
  <w:footnote w:id="38">
    <w:p w14:paraId="2B0B5B19" w14:textId="7E54FFD1"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w:t>
      </w:r>
      <w:r w:rsidRPr="00807D5C">
        <w:rPr>
          <w:rFonts w:ascii="Verdana" w:hAnsi="Verdana"/>
          <w:sz w:val="16"/>
          <w:szCs w:val="16"/>
        </w:rPr>
        <w:t>Estado</w:t>
      </w:r>
      <w:r w:rsidRPr="001731F5">
        <w:rPr>
          <w:rFonts w:ascii="Verdana" w:hAnsi="Verdana"/>
          <w:sz w:val="16"/>
          <w:szCs w:val="16"/>
        </w:rPr>
        <w:t xml:space="preserve"> indicó en su informe de 21 de enero de 2015, que la Sentencia fue “publicada en el portal del Centro de Información Judicial” el 15 de diciembre de 2014, e indicó el enlace electrónico mediante el cual podía accederse a dicha publicación (</w:t>
      </w:r>
      <w:hyperlink r:id="rId3" w:history="1">
        <w:r w:rsidRPr="001731F5">
          <w:rPr>
            <w:rStyle w:val="Hipervnculo"/>
            <w:rFonts w:ascii="Verdana" w:hAnsi="Verdana"/>
            <w:sz w:val="16"/>
            <w:szCs w:val="16"/>
          </w:rPr>
          <w:t>https://www.cij.gov.ar/adj/pdfs/ADJ-0.464934001418220954.pdf</w:t>
        </w:r>
      </w:hyperlink>
      <w:r w:rsidRPr="001731F5">
        <w:rPr>
          <w:rFonts w:ascii="Verdana" w:hAnsi="Verdana"/>
          <w:sz w:val="16"/>
          <w:szCs w:val="16"/>
        </w:rPr>
        <w:t>).</w:t>
      </w:r>
    </w:p>
  </w:footnote>
  <w:footnote w:id="39">
    <w:p w14:paraId="6DB2AB11" w14:textId="433094AB" w:rsidR="00A47B9B" w:rsidRPr="001731F5" w:rsidRDefault="00A47B9B" w:rsidP="00541655">
      <w:pPr>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w:t>
      </w:r>
      <w:r w:rsidRPr="00807D5C">
        <w:rPr>
          <w:rFonts w:ascii="Verdana" w:hAnsi="Verdana"/>
          <w:sz w:val="16"/>
          <w:szCs w:val="16"/>
        </w:rPr>
        <w:t>Estado</w:t>
      </w:r>
      <w:r w:rsidRPr="001731F5">
        <w:rPr>
          <w:rFonts w:ascii="Verdana" w:hAnsi="Verdana"/>
          <w:sz w:val="16"/>
          <w:szCs w:val="16"/>
        </w:rPr>
        <w:t xml:space="preserve"> sostuvo que “el texto íntegro de la sentencia fue publicado en el sitio web de la Corte Suprema de Justicia de la Nación (</w:t>
      </w:r>
      <w:hyperlink r:id="rId4" w:history="1">
        <w:r w:rsidRPr="001731F5">
          <w:rPr>
            <w:rStyle w:val="Hipervnculo"/>
            <w:rFonts w:ascii="Verdana" w:hAnsi="Verdana"/>
            <w:sz w:val="16"/>
            <w:szCs w:val="16"/>
          </w:rPr>
          <w:t>www.csjn.gov.ar</w:t>
        </w:r>
      </w:hyperlink>
      <w:r w:rsidRPr="001731F5">
        <w:rPr>
          <w:rFonts w:ascii="Verdana" w:hAnsi="Verdana"/>
          <w:sz w:val="16"/>
          <w:szCs w:val="16"/>
        </w:rPr>
        <w:t>) en fecha 25 de abril de 2014”.</w:t>
      </w:r>
      <w:r w:rsidRPr="001731F5">
        <w:rPr>
          <w:rFonts w:ascii="Verdana" w:hAnsi="Verdana"/>
          <w:i/>
          <w:sz w:val="16"/>
          <w:szCs w:val="16"/>
        </w:rPr>
        <w:t xml:space="preserve"> Cfr.</w:t>
      </w:r>
      <w:r w:rsidRPr="001731F5">
        <w:rPr>
          <w:rFonts w:ascii="Verdana" w:hAnsi="Verdana"/>
          <w:sz w:val="16"/>
          <w:szCs w:val="16"/>
        </w:rPr>
        <w:t xml:space="preserve"> Oficio suscrito por el Secretario General y de Gestión de la Corte de Suprema de Justicia de 12 de agosto de 2014 (anexo al informe estatal de 19 de septiembre de 2014), y captura de pantalla de la publicación realizada en la página de inicio del sitio </w:t>
      </w:r>
      <w:r w:rsidRPr="001731F5">
        <w:rPr>
          <w:rFonts w:ascii="Verdana" w:hAnsi="Verdana"/>
          <w:i/>
          <w:sz w:val="16"/>
          <w:szCs w:val="16"/>
        </w:rPr>
        <w:t>web</w:t>
      </w:r>
      <w:r w:rsidRPr="001731F5">
        <w:rPr>
          <w:rFonts w:ascii="Verdana" w:hAnsi="Verdana"/>
          <w:sz w:val="16"/>
          <w:szCs w:val="16"/>
        </w:rPr>
        <w:t xml:space="preserve"> de la Corte Suprema de Justicia (anexo al informe estatal de 21 de enero de 2015). </w:t>
      </w:r>
    </w:p>
  </w:footnote>
  <w:footnote w:id="40">
    <w:p w14:paraId="7A5994F9" w14:textId="7C0E1985" w:rsidR="00A47B9B" w:rsidRPr="001731F5" w:rsidRDefault="00A47B9B" w:rsidP="00541655">
      <w:pPr>
        <w:jc w:val="both"/>
        <w:rPr>
          <w:rFonts w:ascii="Verdana" w:hAnsi="Verdana"/>
          <w:i/>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El </w:t>
      </w:r>
      <w:r w:rsidRPr="00807D5C">
        <w:rPr>
          <w:rFonts w:ascii="Verdana" w:hAnsi="Verdana"/>
          <w:sz w:val="16"/>
          <w:szCs w:val="16"/>
        </w:rPr>
        <w:t>Estado</w:t>
      </w:r>
      <w:r w:rsidRPr="001731F5">
        <w:rPr>
          <w:rFonts w:ascii="Verdana" w:hAnsi="Verdana"/>
          <w:sz w:val="16"/>
          <w:szCs w:val="16"/>
        </w:rPr>
        <w:t xml:space="preserve"> indicó los enlaces electrónicos de la referida policía y ministerio y aportó capturas de pantalla de la</w:t>
      </w:r>
      <w:r w:rsidR="00CE5773">
        <w:rPr>
          <w:rFonts w:ascii="Verdana" w:hAnsi="Verdana"/>
          <w:sz w:val="16"/>
          <w:szCs w:val="16"/>
        </w:rPr>
        <w:t>s</w:t>
      </w:r>
      <w:r w:rsidRPr="001731F5">
        <w:rPr>
          <w:rFonts w:ascii="Verdana" w:hAnsi="Verdana"/>
          <w:sz w:val="16"/>
          <w:szCs w:val="16"/>
        </w:rPr>
        <w:t xml:space="preserve"> </w:t>
      </w:r>
      <w:r w:rsidR="00CE5773" w:rsidRPr="001731F5">
        <w:rPr>
          <w:rFonts w:ascii="Verdana" w:hAnsi="Verdana"/>
          <w:sz w:val="16"/>
          <w:szCs w:val="16"/>
        </w:rPr>
        <w:t>publicaci</w:t>
      </w:r>
      <w:r w:rsidR="00CE5773">
        <w:rPr>
          <w:rFonts w:ascii="Verdana" w:hAnsi="Verdana"/>
          <w:sz w:val="16"/>
          <w:szCs w:val="16"/>
        </w:rPr>
        <w:t>ones</w:t>
      </w:r>
      <w:r w:rsidR="00CE5773" w:rsidRPr="001731F5">
        <w:rPr>
          <w:rFonts w:ascii="Verdana" w:hAnsi="Verdana"/>
          <w:sz w:val="16"/>
          <w:szCs w:val="16"/>
        </w:rPr>
        <w:t xml:space="preserve"> </w:t>
      </w:r>
      <w:r w:rsidRPr="001731F5">
        <w:rPr>
          <w:rFonts w:ascii="Verdana" w:hAnsi="Verdana"/>
          <w:sz w:val="16"/>
          <w:szCs w:val="16"/>
        </w:rPr>
        <w:t>realizada</w:t>
      </w:r>
      <w:r w:rsidR="00CE5773">
        <w:rPr>
          <w:rFonts w:ascii="Verdana" w:hAnsi="Verdana"/>
          <w:sz w:val="16"/>
          <w:szCs w:val="16"/>
        </w:rPr>
        <w:t>s</w:t>
      </w:r>
      <w:r w:rsidRPr="001731F5">
        <w:rPr>
          <w:rFonts w:ascii="Verdana" w:hAnsi="Verdana"/>
          <w:sz w:val="16"/>
          <w:szCs w:val="16"/>
        </w:rPr>
        <w:t xml:space="preserve"> en sus sitios </w:t>
      </w:r>
      <w:r w:rsidRPr="001731F5">
        <w:rPr>
          <w:rFonts w:ascii="Verdana" w:hAnsi="Verdana"/>
          <w:i/>
          <w:sz w:val="16"/>
          <w:szCs w:val="16"/>
        </w:rPr>
        <w:t>web</w:t>
      </w:r>
      <w:r w:rsidRPr="001731F5">
        <w:rPr>
          <w:rFonts w:ascii="Verdana" w:hAnsi="Verdana"/>
          <w:sz w:val="16"/>
          <w:szCs w:val="16"/>
        </w:rPr>
        <w:t xml:space="preserve">. </w:t>
      </w:r>
      <w:r w:rsidRPr="001731F5">
        <w:rPr>
          <w:rFonts w:ascii="Verdana" w:hAnsi="Verdana"/>
          <w:i/>
          <w:sz w:val="16"/>
          <w:szCs w:val="16"/>
        </w:rPr>
        <w:t xml:space="preserve">Cfr. </w:t>
      </w:r>
      <w:r w:rsidRPr="001731F5">
        <w:rPr>
          <w:rFonts w:ascii="Verdana" w:hAnsi="Verdana"/>
          <w:sz w:val="16"/>
          <w:szCs w:val="16"/>
        </w:rPr>
        <w:t xml:space="preserve">Captura de pantalla de la publicación realizada en la página de inicio de los sitios </w:t>
      </w:r>
      <w:r w:rsidRPr="001731F5">
        <w:rPr>
          <w:rFonts w:ascii="Verdana" w:hAnsi="Verdana"/>
          <w:i/>
          <w:sz w:val="16"/>
          <w:szCs w:val="16"/>
        </w:rPr>
        <w:t>web</w:t>
      </w:r>
      <w:r w:rsidRPr="001731F5">
        <w:rPr>
          <w:rFonts w:ascii="Verdana" w:hAnsi="Verdana"/>
          <w:sz w:val="16"/>
          <w:szCs w:val="16"/>
        </w:rPr>
        <w:t xml:space="preserve"> de la Policía Federal Argentina y del Ministerio de Seguridad de la Provincia de Buenos Aires (anexos al informe estatal de 21 de enero de 2015).</w:t>
      </w:r>
    </w:p>
  </w:footnote>
  <w:footnote w:id="41">
    <w:p w14:paraId="59B50094" w14:textId="3AC3CA76"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Sostuvieron que “resulta muy complicado encontrar e</w:t>
      </w:r>
      <w:r>
        <w:rPr>
          <w:rFonts w:ascii="Verdana" w:hAnsi="Verdana"/>
          <w:sz w:val="16"/>
          <w:szCs w:val="16"/>
        </w:rPr>
        <w:t>l</w:t>
      </w:r>
      <w:r w:rsidRPr="001731F5">
        <w:rPr>
          <w:rFonts w:ascii="Verdana" w:hAnsi="Verdana"/>
          <w:sz w:val="16"/>
          <w:szCs w:val="16"/>
        </w:rPr>
        <w:t xml:space="preserve"> enlace [a la Sentencia] puesto que se encuentra al final de la página, con una letra muy pequeña y una señalización que únicamente indica ‘Caso Gutiérrez (Sentencia CIDH)’”. </w:t>
      </w:r>
    </w:p>
  </w:footnote>
  <w:footnote w:id="42">
    <w:p w14:paraId="0FE40BCE" w14:textId="62EC17B1"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Cfr.</w:t>
      </w:r>
      <w:r w:rsidRPr="001731F5">
        <w:rPr>
          <w:rFonts w:ascii="Verdana" w:hAnsi="Verdana"/>
          <w:sz w:val="16"/>
          <w:szCs w:val="16"/>
        </w:rPr>
        <w:t xml:space="preserve"> Oficio suscrito por el Presidente del Consejo de Derechos Humanos de la Municipalidad de Avellaneda de 11 de septiembre de 2014 (anexo al informe estatal de 21 de enero de 2015).</w:t>
      </w:r>
    </w:p>
  </w:footnote>
  <w:footnote w:id="43">
    <w:p w14:paraId="3AA58FBD" w14:textId="1740FC4B"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Los </w:t>
      </w:r>
      <w:r w:rsidRPr="00807D5C">
        <w:rPr>
          <w:rFonts w:ascii="Verdana" w:hAnsi="Verdana"/>
          <w:sz w:val="16"/>
          <w:szCs w:val="16"/>
        </w:rPr>
        <w:t>representantes</w:t>
      </w:r>
      <w:r w:rsidRPr="001731F5">
        <w:rPr>
          <w:rFonts w:ascii="Verdana" w:hAnsi="Verdana"/>
          <w:sz w:val="16"/>
          <w:szCs w:val="16"/>
        </w:rPr>
        <w:t xml:space="preserve"> sostuvieron que </w:t>
      </w:r>
      <w:r w:rsidRPr="001731F5">
        <w:rPr>
          <w:rFonts w:ascii="Verdana" w:hAnsi="Verdana"/>
          <w:sz w:val="16"/>
          <w:szCs w:val="16"/>
          <w:lang w:val="es-CR"/>
        </w:rPr>
        <w:t>“[l]</w:t>
      </w:r>
      <w:proofErr w:type="spellStart"/>
      <w:r w:rsidRPr="001731F5">
        <w:rPr>
          <w:rFonts w:ascii="Verdana" w:hAnsi="Verdana"/>
          <w:sz w:val="16"/>
          <w:szCs w:val="16"/>
          <w:lang w:val="es-CR"/>
        </w:rPr>
        <w:t>amentablemente</w:t>
      </w:r>
      <w:proofErr w:type="spellEnd"/>
      <w:r>
        <w:rPr>
          <w:rFonts w:ascii="Verdana" w:hAnsi="Verdana"/>
          <w:sz w:val="16"/>
          <w:szCs w:val="16"/>
          <w:lang w:val="es-CR"/>
        </w:rPr>
        <w:t>,</w:t>
      </w:r>
      <w:r w:rsidRPr="001731F5">
        <w:rPr>
          <w:rFonts w:ascii="Verdana" w:hAnsi="Verdana"/>
          <w:sz w:val="16"/>
          <w:szCs w:val="16"/>
          <w:lang w:val="es-CR"/>
        </w:rPr>
        <w:t xml:space="preserve"> la placa se terminó colgando a instancias de la propia familia, debido a diversas desinteligencias en la </w:t>
      </w:r>
      <w:proofErr w:type="spellStart"/>
      <w:r w:rsidRPr="001731F5">
        <w:rPr>
          <w:rFonts w:ascii="Verdana" w:hAnsi="Verdana"/>
          <w:sz w:val="16"/>
          <w:szCs w:val="16"/>
          <w:lang w:val="es-CR"/>
        </w:rPr>
        <w:t>efectivización</w:t>
      </w:r>
      <w:proofErr w:type="spellEnd"/>
      <w:r w:rsidRPr="001731F5">
        <w:rPr>
          <w:rFonts w:ascii="Verdana" w:hAnsi="Verdana"/>
          <w:sz w:val="16"/>
          <w:szCs w:val="16"/>
          <w:lang w:val="es-CR"/>
        </w:rPr>
        <w:t xml:space="preserve"> de la medida, que impidieron que pueda concretarse como un acto verdaderamente reparatorio”. Al respecto, en un oficio suscrito por el Presidente del Consejo de Derechos Humanos de la Municipalidad de Avellaneda, aportado por el Estado, se explicó que “</w:t>
      </w:r>
      <w:r>
        <w:rPr>
          <w:rFonts w:ascii="Verdana" w:hAnsi="Verdana"/>
          <w:sz w:val="16"/>
          <w:szCs w:val="16"/>
          <w:lang w:val="es-CR"/>
        </w:rPr>
        <w:t>[</w:t>
      </w:r>
      <w:r w:rsidRPr="001731F5">
        <w:rPr>
          <w:rFonts w:ascii="Verdana" w:hAnsi="Verdana"/>
          <w:sz w:val="16"/>
          <w:szCs w:val="16"/>
          <w:lang w:val="es-CR"/>
        </w:rPr>
        <w:t>l</w:t>
      </w:r>
      <w:r>
        <w:rPr>
          <w:rFonts w:ascii="Verdana" w:hAnsi="Verdana"/>
          <w:sz w:val="16"/>
          <w:szCs w:val="16"/>
          <w:lang w:val="es-CR"/>
        </w:rPr>
        <w:t>]</w:t>
      </w:r>
      <w:r w:rsidRPr="001731F5">
        <w:rPr>
          <w:rFonts w:ascii="Verdana" w:hAnsi="Verdana"/>
          <w:sz w:val="16"/>
          <w:szCs w:val="16"/>
          <w:lang w:val="es-CR"/>
        </w:rPr>
        <w:t xml:space="preserve">a familia del homenajeado se opuso a la colocación de la [placa] por parte de trabajadores municipales” y que “ellos mismos se encargarían de colocarla”. Ello se debió a “la no concurrencia de la […] </w:t>
      </w:r>
      <w:proofErr w:type="spellStart"/>
      <w:r w:rsidRPr="001731F5">
        <w:rPr>
          <w:rFonts w:ascii="Verdana" w:hAnsi="Verdana"/>
          <w:sz w:val="16"/>
          <w:szCs w:val="16"/>
          <w:lang w:val="es-CR"/>
        </w:rPr>
        <w:t>President</w:t>
      </w:r>
      <w:proofErr w:type="spellEnd"/>
      <w:r>
        <w:rPr>
          <w:rFonts w:ascii="Verdana" w:hAnsi="Verdana"/>
          <w:sz w:val="16"/>
          <w:szCs w:val="16"/>
          <w:lang w:val="es-CR"/>
        </w:rPr>
        <w:t>[</w:t>
      </w:r>
      <w:r w:rsidRPr="001731F5">
        <w:rPr>
          <w:rFonts w:ascii="Verdana" w:hAnsi="Verdana"/>
          <w:sz w:val="16"/>
          <w:szCs w:val="16"/>
          <w:lang w:val="es-CR"/>
        </w:rPr>
        <w:t>a</w:t>
      </w:r>
      <w:r>
        <w:rPr>
          <w:rFonts w:ascii="Verdana" w:hAnsi="Verdana"/>
          <w:sz w:val="16"/>
          <w:szCs w:val="16"/>
          <w:lang w:val="es-CR"/>
        </w:rPr>
        <w:t>]</w:t>
      </w:r>
      <w:r w:rsidRPr="001731F5">
        <w:rPr>
          <w:rFonts w:ascii="Verdana" w:hAnsi="Verdana"/>
          <w:sz w:val="16"/>
          <w:szCs w:val="16"/>
          <w:lang w:val="es-CR"/>
        </w:rPr>
        <w:t xml:space="preserve"> de la Nación”, por lo cual respetaron la voluntad de la familia de colocar ellos la placa. </w:t>
      </w:r>
      <w:r w:rsidRPr="00807D5C">
        <w:rPr>
          <w:rFonts w:ascii="Verdana" w:hAnsi="Verdana"/>
          <w:i/>
          <w:sz w:val="16"/>
          <w:szCs w:val="16"/>
          <w:lang w:val="es-CR"/>
        </w:rPr>
        <w:t>Cfr.</w:t>
      </w:r>
      <w:r w:rsidRPr="001731F5">
        <w:rPr>
          <w:rFonts w:ascii="Verdana" w:hAnsi="Verdana"/>
          <w:sz w:val="16"/>
          <w:szCs w:val="16"/>
          <w:lang w:val="es-CR"/>
        </w:rPr>
        <w:t xml:space="preserve"> Oficio</w:t>
      </w:r>
      <w:r w:rsidRPr="001731F5">
        <w:rPr>
          <w:rFonts w:ascii="Verdana" w:hAnsi="Verdana"/>
          <w:b/>
          <w:sz w:val="16"/>
          <w:szCs w:val="16"/>
          <w:lang w:val="es-CR"/>
        </w:rPr>
        <w:t xml:space="preserve"> </w:t>
      </w:r>
      <w:r w:rsidRPr="001731F5">
        <w:rPr>
          <w:rFonts w:ascii="Verdana" w:hAnsi="Verdana"/>
          <w:sz w:val="16"/>
          <w:szCs w:val="16"/>
        </w:rPr>
        <w:t>suscrito por el Presidente del Consejo</w:t>
      </w:r>
      <w:r>
        <w:rPr>
          <w:rFonts w:ascii="Verdana" w:hAnsi="Verdana"/>
          <w:sz w:val="16"/>
          <w:szCs w:val="16"/>
        </w:rPr>
        <w:t xml:space="preserve"> Municipal </w:t>
      </w:r>
      <w:r w:rsidRPr="001731F5">
        <w:rPr>
          <w:rFonts w:ascii="Verdana" w:hAnsi="Verdana"/>
          <w:sz w:val="16"/>
          <w:szCs w:val="16"/>
        </w:rPr>
        <w:t>de Derechos Humanos de la Municipalidad de Avellaneda de 15 de julio de 2015 (anexo al informe estatal de 23 de septiembre de 2015).</w:t>
      </w:r>
    </w:p>
  </w:footnote>
  <w:footnote w:id="44">
    <w:p w14:paraId="7C881E72" w14:textId="331B8ACF"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Pr>
          <w:rFonts w:ascii="Verdana" w:hAnsi="Verdana"/>
          <w:i/>
          <w:sz w:val="16"/>
          <w:szCs w:val="16"/>
        </w:rPr>
        <w:t xml:space="preserve">Cfr. </w:t>
      </w:r>
      <w:r>
        <w:rPr>
          <w:rFonts w:ascii="Verdana" w:hAnsi="Verdana"/>
          <w:sz w:val="16"/>
          <w:szCs w:val="16"/>
        </w:rPr>
        <w:t xml:space="preserve">Nota de la Secretaría de la Corte de 9 de septiembre de 2016. </w:t>
      </w:r>
    </w:p>
  </w:footnote>
  <w:footnote w:id="45">
    <w:p w14:paraId="0D0504FC" w14:textId="33AD1956"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Indicaron que se trata de: “(i) dos placas conmemorativas dentro de la comisaría; (ii) el nombre de Jorge Omar Gutiérrez en el cruce de calles; (iii) señalización de un pasaje conmemorativo que tiene: cartel de bienvenida, cartel explicativo de quién fue Jorge Omar Gutiérrez, una fotografía de Gutiérrez [y] varios murales”.</w:t>
      </w:r>
    </w:p>
  </w:footnote>
  <w:footnote w:id="46">
    <w:p w14:paraId="149CFDE8" w14:textId="23B17D21" w:rsidR="00A47B9B" w:rsidRPr="001731F5" w:rsidRDefault="00A47B9B" w:rsidP="00541655">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00F130E3">
        <w:rPr>
          <w:rFonts w:ascii="Verdana" w:hAnsi="Verdana"/>
          <w:sz w:val="16"/>
          <w:szCs w:val="16"/>
        </w:rPr>
        <w:t>E</w:t>
      </w:r>
      <w:r w:rsidRPr="001731F5">
        <w:rPr>
          <w:rFonts w:ascii="Verdana" w:hAnsi="Verdana"/>
          <w:sz w:val="16"/>
          <w:szCs w:val="16"/>
        </w:rPr>
        <w:t xml:space="preserve">xpusieron que “la placa que fue puesta en el </w:t>
      </w:r>
      <w:proofErr w:type="gramStart"/>
      <w:r w:rsidRPr="001731F5">
        <w:rPr>
          <w:rFonts w:ascii="Verdana" w:hAnsi="Verdana"/>
          <w:sz w:val="16"/>
          <w:szCs w:val="16"/>
        </w:rPr>
        <w:t>galpón[</w:t>
      </w:r>
      <w:proofErr w:type="gramEnd"/>
      <w:r w:rsidRPr="001731F5">
        <w:rPr>
          <w:rFonts w:ascii="Verdana" w:hAnsi="Verdana"/>
          <w:sz w:val="16"/>
          <w:szCs w:val="16"/>
        </w:rPr>
        <w:t xml:space="preserve">,] ya no está” debido a que “[h]ubo una obra que terminó derrumbando varias paredes, entre ellas, la que tenía la placa”, y que “desde hace cerca de dos años […] no se encontraban más los dos carteles afuera de la comisaría que [la] identificaban […] con el nombre de Jorge Omar Gutiérrez”. </w:t>
      </w:r>
    </w:p>
  </w:footnote>
  <w:footnote w:id="47">
    <w:p w14:paraId="1D14B2FC" w14:textId="61B53C62" w:rsidR="00A47B9B" w:rsidRPr="001731F5" w:rsidRDefault="00A47B9B" w:rsidP="00107D87">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Explicó que este cuadernillo “fue sometido a consideración de la familia Gutiérrez y del CELS en una reunión mantenida el 07/02/2018, en miras a que </w:t>
      </w:r>
      <w:proofErr w:type="spellStart"/>
      <w:r w:rsidRPr="001731F5">
        <w:rPr>
          <w:rFonts w:ascii="Verdana" w:hAnsi="Verdana"/>
          <w:sz w:val="16"/>
          <w:szCs w:val="16"/>
        </w:rPr>
        <w:t>reali</w:t>
      </w:r>
      <w:proofErr w:type="spellEnd"/>
      <w:r w:rsidRPr="001731F5">
        <w:rPr>
          <w:rFonts w:ascii="Verdana" w:hAnsi="Verdana" w:cs="Times"/>
          <w:sz w:val="16"/>
          <w:szCs w:val="16"/>
        </w:rPr>
        <w:t>[</w:t>
      </w:r>
      <w:proofErr w:type="spellStart"/>
      <w:r w:rsidRPr="001731F5">
        <w:rPr>
          <w:rFonts w:ascii="Verdana" w:hAnsi="Verdana" w:cs="Times"/>
          <w:sz w:val="16"/>
          <w:szCs w:val="16"/>
        </w:rPr>
        <w:t>zaran</w:t>
      </w:r>
      <w:proofErr w:type="spellEnd"/>
      <w:r w:rsidRPr="001731F5">
        <w:rPr>
          <w:rFonts w:ascii="Verdana" w:hAnsi="Verdana" w:cs="Times"/>
          <w:sz w:val="16"/>
          <w:szCs w:val="16"/>
        </w:rPr>
        <w:t xml:space="preserve">] los comentarios que estimasen pertinentes sobre </w:t>
      </w:r>
      <w:r>
        <w:rPr>
          <w:rFonts w:ascii="Verdana" w:hAnsi="Verdana" w:cs="Times"/>
          <w:sz w:val="16"/>
          <w:szCs w:val="16"/>
        </w:rPr>
        <w:t>la</w:t>
      </w:r>
      <w:r w:rsidRPr="001731F5">
        <w:rPr>
          <w:rFonts w:ascii="Verdana" w:hAnsi="Verdana" w:cs="Times"/>
          <w:sz w:val="16"/>
          <w:szCs w:val="16"/>
        </w:rPr>
        <w:t xml:space="preserve"> elaboración y su contenido”. </w:t>
      </w:r>
    </w:p>
  </w:footnote>
  <w:footnote w:id="48">
    <w:p w14:paraId="224254EE" w14:textId="750D0EE5" w:rsidR="00A47B9B" w:rsidRPr="001731F5" w:rsidRDefault="00A47B9B" w:rsidP="003865AC">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sz w:val="16"/>
          <w:szCs w:val="16"/>
          <w:lang w:val="es-CR"/>
        </w:rPr>
        <w:t>Indicó que desarrolla los siguientes contenidos: a) “Concepto, desarrollo y características de los derechos humanos”</w:t>
      </w:r>
      <w:r w:rsidR="00143CE7" w:rsidRPr="001731F5">
        <w:rPr>
          <w:rFonts w:ascii="Verdana" w:hAnsi="Verdana"/>
          <w:sz w:val="16"/>
          <w:szCs w:val="16"/>
          <w:lang w:val="es-CR"/>
        </w:rPr>
        <w:t>; b) “Estado y derechos</w:t>
      </w:r>
      <w:r w:rsidRPr="001731F5">
        <w:rPr>
          <w:rFonts w:ascii="Verdana" w:hAnsi="Verdana"/>
          <w:sz w:val="16"/>
          <w:szCs w:val="16"/>
          <w:lang w:val="es-CR"/>
        </w:rPr>
        <w:t xml:space="preserve"> La relevancia de la calidad de agente estatal. Responsabilidad individual. Responsabilidad estatal interna e internacional por violaciones a derechos  humanos”; c) “El derecho a la libertad personal y los procedimientos policiales”; d) </w:t>
      </w:r>
      <w:r>
        <w:rPr>
          <w:rFonts w:ascii="Verdana" w:hAnsi="Verdana"/>
          <w:sz w:val="16"/>
          <w:szCs w:val="16"/>
          <w:lang w:val="es-CR"/>
        </w:rPr>
        <w:t>“</w:t>
      </w:r>
      <w:r w:rsidRPr="001731F5">
        <w:rPr>
          <w:rFonts w:ascii="Verdana" w:hAnsi="Verdana"/>
          <w:sz w:val="16"/>
          <w:szCs w:val="16"/>
          <w:lang w:val="es-CR"/>
        </w:rPr>
        <w:t xml:space="preserve">El alcance del derecho a la integridad personal y prohibición de la tortura”; e) “La función policial y la perspectiva de género”, y f) “La función policial frente a grupos específicos”. </w:t>
      </w:r>
    </w:p>
  </w:footnote>
  <w:footnote w:id="49">
    <w:p w14:paraId="65C57642" w14:textId="56487C7A" w:rsidR="00A47B9B" w:rsidRPr="001731F5" w:rsidRDefault="00A47B9B" w:rsidP="00D97B11">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En el párrafo 176 “la Corte </w:t>
      </w:r>
      <w:proofErr w:type="spellStart"/>
      <w:r w:rsidRPr="001731F5">
        <w:rPr>
          <w:rFonts w:ascii="Verdana" w:hAnsi="Verdana"/>
          <w:sz w:val="16"/>
          <w:szCs w:val="16"/>
        </w:rPr>
        <w:t>fij</w:t>
      </w:r>
      <w:proofErr w:type="spellEnd"/>
      <w:r w:rsidRPr="001731F5">
        <w:rPr>
          <w:rFonts w:ascii="Verdana" w:hAnsi="Verdana"/>
          <w:sz w:val="16"/>
          <w:szCs w:val="16"/>
        </w:rPr>
        <w:t>[</w:t>
      </w:r>
      <w:proofErr w:type="spellStart"/>
      <w:r w:rsidRPr="001731F5">
        <w:rPr>
          <w:rFonts w:ascii="Verdana" w:hAnsi="Verdana"/>
          <w:sz w:val="16"/>
          <w:szCs w:val="16"/>
        </w:rPr>
        <w:t>ó</w:t>
      </w:r>
      <w:proofErr w:type="spellEnd"/>
      <w:r w:rsidRPr="001731F5">
        <w:rPr>
          <w:rFonts w:ascii="Verdana" w:hAnsi="Verdana"/>
          <w:sz w:val="16"/>
          <w:szCs w:val="16"/>
        </w:rPr>
        <w:t>] en equidad una compensación de USD $1.000,00 (mil dólares de los Estados Unidos de América) por concepto de daño emergente”, y dispuso que ésta “[fuera] entregada a Nilda del Valle Maldonado”.</w:t>
      </w:r>
    </w:p>
  </w:footnote>
  <w:footnote w:id="50">
    <w:p w14:paraId="6356BF08" w14:textId="35DC301C" w:rsidR="00A47B9B" w:rsidRPr="001731F5" w:rsidRDefault="00A47B9B" w:rsidP="00D97B11">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En el párrafo 186 “la Corte decid[</w:t>
      </w:r>
      <w:proofErr w:type="spellStart"/>
      <w:r w:rsidRPr="001731F5">
        <w:rPr>
          <w:rFonts w:ascii="Verdana" w:hAnsi="Verdana"/>
          <w:sz w:val="16"/>
          <w:szCs w:val="16"/>
        </w:rPr>
        <w:t>ió</w:t>
      </w:r>
      <w:proofErr w:type="spellEnd"/>
      <w:r w:rsidRPr="001731F5">
        <w:rPr>
          <w:rFonts w:ascii="Verdana" w:hAnsi="Verdana"/>
          <w:sz w:val="16"/>
          <w:szCs w:val="16"/>
        </w:rPr>
        <w:t>] ordenar al Estado el pago de una compensación de USD $75.000,00 (setenta y cinco mil dólares de los Estados Unidos de América) por los daños inmateriales sufridos por [la víctima] Jorge Omar Gutiérrez”, y dispuso que “[d]</w:t>
      </w:r>
      <w:proofErr w:type="spellStart"/>
      <w:r w:rsidRPr="001731F5">
        <w:rPr>
          <w:rFonts w:ascii="Verdana" w:hAnsi="Verdana"/>
          <w:sz w:val="16"/>
          <w:szCs w:val="16"/>
        </w:rPr>
        <w:t>icha</w:t>
      </w:r>
      <w:proofErr w:type="spellEnd"/>
      <w:r w:rsidRPr="001731F5">
        <w:rPr>
          <w:rFonts w:ascii="Verdana" w:hAnsi="Verdana"/>
          <w:sz w:val="16"/>
          <w:szCs w:val="16"/>
        </w:rPr>
        <w:t xml:space="preserve"> cantidad </w:t>
      </w:r>
      <w:proofErr w:type="spellStart"/>
      <w:r w:rsidRPr="001731F5">
        <w:rPr>
          <w:rFonts w:ascii="Verdana" w:hAnsi="Verdana"/>
          <w:sz w:val="16"/>
          <w:szCs w:val="16"/>
        </w:rPr>
        <w:t>deb</w:t>
      </w:r>
      <w:proofErr w:type="spellEnd"/>
      <w:r>
        <w:rPr>
          <w:rFonts w:ascii="Verdana" w:hAnsi="Verdana"/>
          <w:sz w:val="16"/>
          <w:szCs w:val="16"/>
        </w:rPr>
        <w:t>[</w:t>
      </w:r>
      <w:proofErr w:type="spellStart"/>
      <w:r>
        <w:rPr>
          <w:rFonts w:ascii="Verdana" w:hAnsi="Verdana"/>
          <w:sz w:val="16"/>
          <w:szCs w:val="16"/>
        </w:rPr>
        <w:t>ía</w:t>
      </w:r>
      <w:proofErr w:type="spellEnd"/>
      <w:r>
        <w:rPr>
          <w:rFonts w:ascii="Verdana" w:hAnsi="Verdana"/>
          <w:sz w:val="16"/>
          <w:szCs w:val="16"/>
        </w:rPr>
        <w:t>]</w:t>
      </w:r>
      <w:r w:rsidRPr="001731F5">
        <w:rPr>
          <w:rFonts w:ascii="Verdana" w:hAnsi="Verdana"/>
          <w:sz w:val="16"/>
          <w:szCs w:val="16"/>
        </w:rPr>
        <w:t xml:space="preserve"> ser entregada en su totalidad y en partes iguales a la esposa y los hijos de la víctima, respectivamente, Nilda del Valle Maldonado de Gutiérrez, Jorge Gabriel, Omar David y </w:t>
      </w:r>
      <w:proofErr w:type="spellStart"/>
      <w:r w:rsidRPr="001731F5">
        <w:rPr>
          <w:rFonts w:ascii="Verdana" w:hAnsi="Verdana"/>
          <w:sz w:val="16"/>
          <w:szCs w:val="16"/>
        </w:rPr>
        <w:t>Marilín</w:t>
      </w:r>
      <w:proofErr w:type="spellEnd"/>
      <w:r w:rsidRPr="001731F5">
        <w:rPr>
          <w:rFonts w:ascii="Verdana" w:hAnsi="Verdana"/>
          <w:sz w:val="16"/>
          <w:szCs w:val="16"/>
        </w:rPr>
        <w:t xml:space="preserve"> Verónica Gutiérrez”. </w:t>
      </w:r>
    </w:p>
    <w:p w14:paraId="11EB75D1" w14:textId="1D2A98F2" w:rsidR="00A47B9B" w:rsidRPr="001731F5" w:rsidRDefault="00A47B9B" w:rsidP="00D97B11">
      <w:pPr>
        <w:pStyle w:val="Textonotapie"/>
        <w:jc w:val="both"/>
        <w:rPr>
          <w:rFonts w:ascii="Verdana" w:hAnsi="Verdana"/>
          <w:sz w:val="16"/>
          <w:szCs w:val="16"/>
        </w:rPr>
      </w:pPr>
      <w:r w:rsidRPr="001731F5">
        <w:rPr>
          <w:rFonts w:ascii="Verdana" w:hAnsi="Verdana"/>
          <w:sz w:val="16"/>
          <w:szCs w:val="16"/>
        </w:rPr>
        <w:tab/>
        <w:t>Además, el Tribunal “</w:t>
      </w:r>
      <w:proofErr w:type="spellStart"/>
      <w:r w:rsidRPr="001731F5">
        <w:rPr>
          <w:rFonts w:ascii="Verdana" w:hAnsi="Verdana"/>
          <w:sz w:val="16"/>
          <w:szCs w:val="16"/>
        </w:rPr>
        <w:t>consider</w:t>
      </w:r>
      <w:proofErr w:type="spellEnd"/>
      <w:r w:rsidRPr="001731F5">
        <w:rPr>
          <w:rFonts w:ascii="Verdana" w:hAnsi="Verdana"/>
          <w:sz w:val="16"/>
          <w:szCs w:val="16"/>
        </w:rPr>
        <w:t>[</w:t>
      </w:r>
      <w:proofErr w:type="spellStart"/>
      <w:r w:rsidRPr="001731F5">
        <w:rPr>
          <w:rFonts w:ascii="Verdana" w:hAnsi="Verdana"/>
          <w:sz w:val="16"/>
          <w:szCs w:val="16"/>
        </w:rPr>
        <w:t>ó</w:t>
      </w:r>
      <w:proofErr w:type="spellEnd"/>
      <w:r w:rsidRPr="001731F5">
        <w:rPr>
          <w:rFonts w:ascii="Verdana" w:hAnsi="Verdana"/>
          <w:sz w:val="16"/>
          <w:szCs w:val="16"/>
        </w:rPr>
        <w:t>] que el Estado debe compensar</w:t>
      </w:r>
      <w:r>
        <w:rPr>
          <w:rFonts w:ascii="Verdana" w:hAnsi="Verdana"/>
          <w:sz w:val="16"/>
          <w:szCs w:val="16"/>
        </w:rPr>
        <w:t xml:space="preserve"> en equidad,</w:t>
      </w:r>
      <w:r w:rsidRPr="001731F5">
        <w:rPr>
          <w:rFonts w:ascii="Verdana" w:hAnsi="Verdana"/>
          <w:sz w:val="16"/>
          <w:szCs w:val="16"/>
        </w:rPr>
        <w:t xml:space="preserve"> las siguientes sumas de dinero, en dólares de los Estados Unidos de América, a favor de las víctimas”, por concepto de daño inmaterial: i) USD $20.000,00 a favor de Nilda del Valle Maldonado de Gutiérrez (esposa); ii) USD $10.000,00 a favor de Jorge Gabriel Gutiérrez (hijo); iii) USD $10.000,00 a favor de Omar David Gutiérrez (hijo); iv) USD $10.000,00 a favor de </w:t>
      </w:r>
      <w:proofErr w:type="spellStart"/>
      <w:r w:rsidRPr="001731F5">
        <w:rPr>
          <w:rFonts w:ascii="Verdana" w:hAnsi="Verdana"/>
          <w:sz w:val="16"/>
          <w:szCs w:val="16"/>
        </w:rPr>
        <w:t>Marilin</w:t>
      </w:r>
      <w:proofErr w:type="spellEnd"/>
      <w:r w:rsidRPr="001731F5">
        <w:rPr>
          <w:rFonts w:ascii="Verdana" w:hAnsi="Verdana"/>
          <w:sz w:val="16"/>
          <w:szCs w:val="16"/>
        </w:rPr>
        <w:t xml:space="preserve"> Verónica Gutiérrez (hija); v) USD $10.000,00 a favor de Francisco Gutiérrez (hermano), y vi) USD $5.000,00 a favor de Nilda Gutiérrez (hermana). </w:t>
      </w:r>
    </w:p>
  </w:footnote>
  <w:footnote w:id="51">
    <w:p w14:paraId="11139996" w14:textId="057A4FFD" w:rsidR="00A47B9B" w:rsidRPr="001731F5" w:rsidRDefault="00A47B9B" w:rsidP="00D97B11">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 xml:space="preserve">En los párrafos 193 a 195 de la Sentencia la Corte fijó los siguientes montos por concepto de reintegro de costas y gastos: i) a favor de Nilda del Valle Maldonado, las cantidades de USD $6.000,00 (seis mil dólares de los Estados Unidos de América) “por concepto de costas incurridas en el litigio nacional” y de USD $5.262,56 (cinco mil doscientos sesenta y dos dólares con cincuenta y seis centavos de los Estados Unidos de América) por concepto de “gastos sufragados para asistir a la audiencia pública celebrada ante esta Corte”; ii) a favor de Francisco Gutiérrez, la cantidad de USD $6.000,00 (seis mil dólares de los Estados Unidos de América) “por concepto de costas incurridas en el litigio nacional”, y iii) a favor de los representantes de las víctimas, las cantidades de USD $4.213,10 (cuatro mil doscientos trece dólares con diez centavos de dólar de los Estados Unidos de América) por concepto de reintegro de “boletos aéreos a la sede de la Comisión Interamericana en </w:t>
      </w:r>
      <w:proofErr w:type="spellStart"/>
      <w:r w:rsidRPr="001731F5">
        <w:rPr>
          <w:rFonts w:ascii="Verdana" w:hAnsi="Verdana"/>
          <w:sz w:val="16"/>
          <w:szCs w:val="16"/>
        </w:rPr>
        <w:t>Washigton</w:t>
      </w:r>
      <w:proofErr w:type="spellEnd"/>
      <w:r w:rsidRPr="001731F5">
        <w:rPr>
          <w:rFonts w:ascii="Verdana" w:hAnsi="Verdana"/>
          <w:sz w:val="16"/>
          <w:szCs w:val="16"/>
        </w:rPr>
        <w:t xml:space="preserve"> D.C.”; de USD $4.407,65 (cuatro mil cuatrocientos siete dólares con sesenta y cinco centavos de dólar de los Estados Unidos de América) por concepto de “gastos sufragados para asistir a la audiencia pública celebrada ante esta Corte”, y de USD $25.000,00 (veinticinco mil dólares de los Estados Unidos de América) “ordena[da] [por la Corte] en equidad […] por concepto de honorarios”. La Corte dispuso que “[l]as cantidades fijadas a favor de los representantes de las víctimas deberán ser entregadas directamente al Centro de Estudios Legales y Sociales (CELS)</w:t>
      </w:r>
      <w:r>
        <w:rPr>
          <w:rFonts w:ascii="Verdana" w:hAnsi="Verdana"/>
          <w:sz w:val="16"/>
          <w:szCs w:val="16"/>
        </w:rPr>
        <w:t>”</w:t>
      </w:r>
      <w:r w:rsidRPr="001731F5">
        <w:rPr>
          <w:rFonts w:ascii="Verdana" w:hAnsi="Verdana"/>
          <w:sz w:val="16"/>
          <w:szCs w:val="16"/>
        </w:rPr>
        <w:t>.</w:t>
      </w:r>
    </w:p>
  </w:footnote>
  <w:footnote w:id="52">
    <w:p w14:paraId="37F7CDFC" w14:textId="77777777" w:rsidR="00A47B9B" w:rsidRPr="001731F5" w:rsidRDefault="00A47B9B" w:rsidP="00D97B11">
      <w:pPr>
        <w:pStyle w:val="Textonotapie"/>
        <w:jc w:val="both"/>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t>En estos párrafos se establece la “[m]</w:t>
      </w:r>
      <w:proofErr w:type="spellStart"/>
      <w:r w:rsidRPr="001731F5">
        <w:rPr>
          <w:rFonts w:ascii="Verdana" w:hAnsi="Verdana"/>
          <w:sz w:val="16"/>
          <w:szCs w:val="16"/>
        </w:rPr>
        <w:t>odalidad</w:t>
      </w:r>
      <w:proofErr w:type="spellEnd"/>
      <w:r w:rsidRPr="001731F5">
        <w:rPr>
          <w:rFonts w:ascii="Verdana" w:hAnsi="Verdana"/>
          <w:sz w:val="16"/>
          <w:szCs w:val="16"/>
        </w:rPr>
        <w:t xml:space="preserve"> de cumplimiento de los pagos ordenados” en la Sentencia.</w:t>
      </w:r>
    </w:p>
  </w:footnote>
  <w:footnote w:id="53">
    <w:p w14:paraId="38A602C1" w14:textId="0BBD0568" w:rsidR="00A47B9B" w:rsidRPr="00D97B11" w:rsidRDefault="00A47B9B" w:rsidP="00D97B11">
      <w:pPr>
        <w:pStyle w:val="Textonotapie"/>
        <w:rPr>
          <w:rFonts w:ascii="Verdana" w:hAnsi="Verdana"/>
          <w:sz w:val="16"/>
          <w:szCs w:val="16"/>
        </w:rPr>
      </w:pPr>
      <w:r w:rsidRPr="001731F5">
        <w:rPr>
          <w:rStyle w:val="Refdenotaalpie"/>
          <w:rFonts w:ascii="Verdana" w:hAnsi="Verdana"/>
          <w:sz w:val="16"/>
          <w:szCs w:val="16"/>
        </w:rPr>
        <w:footnoteRef/>
      </w:r>
      <w:r w:rsidRPr="001731F5">
        <w:rPr>
          <w:rFonts w:ascii="Verdana" w:hAnsi="Verdana"/>
          <w:sz w:val="16"/>
          <w:szCs w:val="16"/>
        </w:rPr>
        <w:t xml:space="preserve"> </w:t>
      </w:r>
      <w:r w:rsidRPr="001731F5">
        <w:rPr>
          <w:rFonts w:ascii="Verdana" w:hAnsi="Verdana"/>
          <w:sz w:val="16"/>
          <w:szCs w:val="16"/>
        </w:rPr>
        <w:tab/>
      </w:r>
      <w:r w:rsidRPr="001731F5">
        <w:rPr>
          <w:rFonts w:ascii="Verdana" w:hAnsi="Verdana"/>
          <w:i/>
          <w:sz w:val="16"/>
          <w:szCs w:val="16"/>
        </w:rPr>
        <w:t xml:space="preserve">Cfr. </w:t>
      </w:r>
      <w:r w:rsidRPr="001731F5">
        <w:rPr>
          <w:rFonts w:ascii="Verdana" w:hAnsi="Verdana"/>
          <w:sz w:val="16"/>
          <w:szCs w:val="16"/>
        </w:rPr>
        <w:t>Decreto 2807/2014 publicado en el Boletín Oficial de la República Argentina Número 33</w:t>
      </w:r>
      <w:r>
        <w:rPr>
          <w:rFonts w:ascii="Verdana" w:hAnsi="Verdana"/>
          <w:sz w:val="16"/>
          <w:szCs w:val="16"/>
        </w:rPr>
        <w:t>.</w:t>
      </w:r>
      <w:r w:rsidRPr="001731F5">
        <w:rPr>
          <w:rFonts w:ascii="Verdana" w:hAnsi="Verdana"/>
          <w:sz w:val="16"/>
          <w:szCs w:val="16"/>
        </w:rPr>
        <w:t xml:space="preserve">065 de 5 de febrero de 2015 (anexo al informe estatal de 16 de marzo de 2015).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F91FF" w14:textId="77777777" w:rsidR="00A47B9B" w:rsidRPr="002F13B3" w:rsidRDefault="00A47B9B">
    <w:pPr>
      <w:pStyle w:val="Encabezado"/>
      <w:jc w:val="center"/>
      <w:rPr>
        <w:rFonts w:ascii="Verdana" w:hAnsi="Verdana"/>
        <w:sz w:val="20"/>
      </w:rPr>
    </w:pPr>
    <w:r w:rsidRPr="002F13B3">
      <w:rPr>
        <w:rFonts w:ascii="Verdana" w:hAnsi="Verdana"/>
        <w:sz w:val="20"/>
      </w:rPr>
      <w:t>-</w:t>
    </w:r>
    <w:r w:rsidRPr="002F13B3">
      <w:rPr>
        <w:rFonts w:ascii="Verdana" w:hAnsi="Verdana"/>
        <w:sz w:val="20"/>
      </w:rPr>
      <w:fldChar w:fldCharType="begin"/>
    </w:r>
    <w:r w:rsidRPr="002F13B3">
      <w:rPr>
        <w:rFonts w:ascii="Verdana" w:hAnsi="Verdana"/>
        <w:sz w:val="20"/>
      </w:rPr>
      <w:instrText>PAGE   \* MERGEFORMAT</w:instrText>
    </w:r>
    <w:r w:rsidRPr="002F13B3">
      <w:rPr>
        <w:rFonts w:ascii="Verdana" w:hAnsi="Verdana"/>
        <w:sz w:val="20"/>
      </w:rPr>
      <w:fldChar w:fldCharType="separate"/>
    </w:r>
    <w:r w:rsidRPr="002F13B3">
      <w:rPr>
        <w:rFonts w:ascii="Verdana" w:hAnsi="Verdana"/>
        <w:noProof/>
        <w:sz w:val="20"/>
        <w:lang w:val="es-ES"/>
      </w:rPr>
      <w:t>6</w:t>
    </w:r>
    <w:r w:rsidRPr="002F13B3">
      <w:rPr>
        <w:rFonts w:ascii="Verdana" w:hAnsi="Verdana"/>
        <w:sz w:val="20"/>
      </w:rPr>
      <w:fldChar w:fldCharType="end"/>
    </w:r>
    <w:r w:rsidRPr="002F13B3">
      <w:rPr>
        <w:rFonts w:ascii="Verdana" w:hAnsi="Verdana"/>
        <w:sz w:val="20"/>
      </w:rPr>
      <w:t>-</w:t>
    </w:r>
  </w:p>
  <w:p w14:paraId="40F0D8D3" w14:textId="77777777" w:rsidR="00A47B9B" w:rsidRDefault="00A47B9B">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FDCB33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75A2AE6"/>
    <w:multiLevelType w:val="multilevel"/>
    <w:tmpl w:val="86806766"/>
    <w:lvl w:ilvl="0">
      <w:start w:val="1"/>
      <w:numFmt w:val="decimal"/>
      <w:lvlText w:val="%1."/>
      <w:lvlJc w:val="left"/>
      <w:pPr>
        <w:ind w:left="360" w:hanging="360"/>
      </w:pPr>
      <w:rPr>
        <w:rFonts w:hint="default"/>
      </w:rPr>
    </w:lvl>
    <w:lvl w:ilvl="1">
      <w:start w:val="2"/>
      <w:numFmt w:val="decimal"/>
      <w:isLgl/>
      <w:lvlText w:val="%1.%2."/>
      <w:lvlJc w:val="left"/>
      <w:pPr>
        <w:ind w:left="1151" w:hanging="720"/>
      </w:pPr>
      <w:rPr>
        <w:rFonts w:hint="default"/>
      </w:rPr>
    </w:lvl>
    <w:lvl w:ilvl="2">
      <w:start w:val="1"/>
      <w:numFmt w:val="decimal"/>
      <w:isLgl/>
      <w:lvlText w:val="%1.%2.%3."/>
      <w:lvlJc w:val="left"/>
      <w:pPr>
        <w:ind w:left="1211" w:hanging="720"/>
      </w:pPr>
      <w:rPr>
        <w:rFonts w:hint="default"/>
      </w:rPr>
    </w:lvl>
    <w:lvl w:ilvl="3">
      <w:start w:val="1"/>
      <w:numFmt w:val="decimal"/>
      <w:isLgl/>
      <w:lvlText w:val="%1.%2.%3.%4."/>
      <w:lvlJc w:val="left"/>
      <w:pPr>
        <w:ind w:left="1631" w:hanging="1080"/>
      </w:pPr>
      <w:rPr>
        <w:rFonts w:hint="default"/>
      </w:rPr>
    </w:lvl>
    <w:lvl w:ilvl="4">
      <w:start w:val="1"/>
      <w:numFmt w:val="decimal"/>
      <w:isLgl/>
      <w:lvlText w:val="%1.%2.%3.%4.%5."/>
      <w:lvlJc w:val="left"/>
      <w:pPr>
        <w:ind w:left="2051" w:hanging="1440"/>
      </w:pPr>
      <w:rPr>
        <w:rFonts w:hint="default"/>
      </w:rPr>
    </w:lvl>
    <w:lvl w:ilvl="5">
      <w:start w:val="1"/>
      <w:numFmt w:val="decimal"/>
      <w:isLgl/>
      <w:lvlText w:val="%1.%2.%3.%4.%5.%6."/>
      <w:lvlJc w:val="left"/>
      <w:pPr>
        <w:ind w:left="2111" w:hanging="1440"/>
      </w:pPr>
      <w:rPr>
        <w:rFonts w:hint="default"/>
      </w:rPr>
    </w:lvl>
    <w:lvl w:ilvl="6">
      <w:start w:val="1"/>
      <w:numFmt w:val="decimal"/>
      <w:isLgl/>
      <w:lvlText w:val="%1.%2.%3.%4.%5.%6.%7."/>
      <w:lvlJc w:val="left"/>
      <w:pPr>
        <w:ind w:left="2531" w:hanging="1800"/>
      </w:pPr>
      <w:rPr>
        <w:rFonts w:hint="default"/>
      </w:rPr>
    </w:lvl>
    <w:lvl w:ilvl="7">
      <w:start w:val="1"/>
      <w:numFmt w:val="decimal"/>
      <w:isLgl/>
      <w:lvlText w:val="%1.%2.%3.%4.%5.%6.%7.%8."/>
      <w:lvlJc w:val="left"/>
      <w:pPr>
        <w:ind w:left="2951" w:hanging="2160"/>
      </w:pPr>
      <w:rPr>
        <w:rFonts w:hint="default"/>
      </w:rPr>
    </w:lvl>
    <w:lvl w:ilvl="8">
      <w:start w:val="1"/>
      <w:numFmt w:val="decimal"/>
      <w:isLgl/>
      <w:lvlText w:val="%1.%2.%3.%4.%5.%6.%7.%8.%9."/>
      <w:lvlJc w:val="left"/>
      <w:pPr>
        <w:ind w:left="3011" w:hanging="2160"/>
      </w:pPr>
      <w:rPr>
        <w:rFonts w:hint="default"/>
      </w:rPr>
    </w:lvl>
  </w:abstractNum>
  <w:abstractNum w:abstractNumId="2" w15:restartNumberingAfterBreak="0">
    <w:nsid w:val="08D056DA"/>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3" w15:restartNumberingAfterBreak="0">
    <w:nsid w:val="0B317AC4"/>
    <w:multiLevelType w:val="hybridMultilevel"/>
    <w:tmpl w:val="F3406E74"/>
    <w:lvl w:ilvl="0" w:tplc="F856A9F8">
      <w:start w:val="1"/>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4" w15:restartNumberingAfterBreak="0">
    <w:nsid w:val="162A6BC5"/>
    <w:multiLevelType w:val="hybridMultilevel"/>
    <w:tmpl w:val="4F76CFFE"/>
    <w:lvl w:ilvl="0" w:tplc="CC5EC06C">
      <w:start w:val="1"/>
      <w:numFmt w:val="decimal"/>
      <w:lvlText w:val="%1."/>
      <w:lvlJc w:val="left"/>
      <w:pPr>
        <w:ind w:left="927" w:hanging="360"/>
      </w:pPr>
      <w:rPr>
        <w:b w:val="0"/>
        <w:sz w:val="20"/>
        <w:szCs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64F7BD4"/>
    <w:multiLevelType w:val="hybridMultilevel"/>
    <w:tmpl w:val="B584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C454317"/>
    <w:multiLevelType w:val="hybridMultilevel"/>
    <w:tmpl w:val="F1D080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7" w15:restartNumberingAfterBreak="0">
    <w:nsid w:val="27F4664F"/>
    <w:multiLevelType w:val="hybridMultilevel"/>
    <w:tmpl w:val="5FDE6400"/>
    <w:lvl w:ilvl="0" w:tplc="140A0015">
      <w:start w:val="1"/>
      <w:numFmt w:val="upperLetter"/>
      <w:lvlText w:val="%1."/>
      <w:lvlJc w:val="left"/>
      <w:pPr>
        <w:ind w:left="360" w:hanging="360"/>
      </w:p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8" w15:restartNumberingAfterBreak="0">
    <w:nsid w:val="284A524C"/>
    <w:multiLevelType w:val="hybridMultilevel"/>
    <w:tmpl w:val="ADCE6AAA"/>
    <w:lvl w:ilvl="0" w:tplc="140A000F">
      <w:start w:val="1"/>
      <w:numFmt w:val="decimal"/>
      <w:lvlText w:val="%1."/>
      <w:lvlJc w:val="left"/>
      <w:pPr>
        <w:ind w:left="360" w:hanging="360"/>
      </w:pPr>
      <w:rPr>
        <w:rFonts w:hint="default"/>
      </w:rPr>
    </w:lvl>
    <w:lvl w:ilvl="1" w:tplc="140A0019" w:tentative="1">
      <w:start w:val="1"/>
      <w:numFmt w:val="lowerLetter"/>
      <w:lvlText w:val="%2."/>
      <w:lvlJc w:val="left"/>
      <w:pPr>
        <w:ind w:left="1080" w:hanging="360"/>
      </w:pPr>
    </w:lvl>
    <w:lvl w:ilvl="2" w:tplc="140A001B" w:tentative="1">
      <w:start w:val="1"/>
      <w:numFmt w:val="lowerRoman"/>
      <w:lvlText w:val="%3."/>
      <w:lvlJc w:val="right"/>
      <w:pPr>
        <w:ind w:left="1800" w:hanging="180"/>
      </w:pPr>
    </w:lvl>
    <w:lvl w:ilvl="3" w:tplc="140A000F" w:tentative="1">
      <w:start w:val="1"/>
      <w:numFmt w:val="decimal"/>
      <w:lvlText w:val="%4."/>
      <w:lvlJc w:val="left"/>
      <w:pPr>
        <w:ind w:left="2520" w:hanging="360"/>
      </w:pPr>
    </w:lvl>
    <w:lvl w:ilvl="4" w:tplc="140A0019" w:tentative="1">
      <w:start w:val="1"/>
      <w:numFmt w:val="lowerLetter"/>
      <w:lvlText w:val="%5."/>
      <w:lvlJc w:val="left"/>
      <w:pPr>
        <w:ind w:left="3240" w:hanging="360"/>
      </w:pPr>
    </w:lvl>
    <w:lvl w:ilvl="5" w:tplc="140A001B" w:tentative="1">
      <w:start w:val="1"/>
      <w:numFmt w:val="lowerRoman"/>
      <w:lvlText w:val="%6."/>
      <w:lvlJc w:val="right"/>
      <w:pPr>
        <w:ind w:left="3960" w:hanging="180"/>
      </w:pPr>
    </w:lvl>
    <w:lvl w:ilvl="6" w:tplc="140A000F" w:tentative="1">
      <w:start w:val="1"/>
      <w:numFmt w:val="decimal"/>
      <w:lvlText w:val="%7."/>
      <w:lvlJc w:val="left"/>
      <w:pPr>
        <w:ind w:left="4680" w:hanging="360"/>
      </w:pPr>
    </w:lvl>
    <w:lvl w:ilvl="7" w:tplc="140A0019" w:tentative="1">
      <w:start w:val="1"/>
      <w:numFmt w:val="lowerLetter"/>
      <w:lvlText w:val="%8."/>
      <w:lvlJc w:val="left"/>
      <w:pPr>
        <w:ind w:left="5400" w:hanging="360"/>
      </w:pPr>
    </w:lvl>
    <w:lvl w:ilvl="8" w:tplc="140A001B" w:tentative="1">
      <w:start w:val="1"/>
      <w:numFmt w:val="lowerRoman"/>
      <w:lvlText w:val="%9."/>
      <w:lvlJc w:val="right"/>
      <w:pPr>
        <w:ind w:left="6120" w:hanging="180"/>
      </w:pPr>
    </w:lvl>
  </w:abstractNum>
  <w:abstractNum w:abstractNumId="9" w15:restartNumberingAfterBreak="0">
    <w:nsid w:val="285F04A0"/>
    <w:multiLevelType w:val="hybridMultilevel"/>
    <w:tmpl w:val="25EE5CF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3E4D45"/>
    <w:multiLevelType w:val="hybridMultilevel"/>
    <w:tmpl w:val="F47CDA86"/>
    <w:lvl w:ilvl="0" w:tplc="140A0015">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15:restartNumberingAfterBreak="0">
    <w:nsid w:val="304639B1"/>
    <w:multiLevelType w:val="hybridMultilevel"/>
    <w:tmpl w:val="E04A0266"/>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15:restartNumberingAfterBreak="0">
    <w:nsid w:val="339233D2"/>
    <w:multiLevelType w:val="hybridMultilevel"/>
    <w:tmpl w:val="862CCBD0"/>
    <w:lvl w:ilvl="0" w:tplc="648CCC30">
      <w:start w:val="3"/>
      <w:numFmt w:val="upperLetter"/>
      <w:lvlText w:val="%1."/>
      <w:lvlJc w:val="left"/>
      <w:pPr>
        <w:ind w:left="720" w:hanging="360"/>
      </w:pPr>
      <w:rPr>
        <w:rFonts w:hint="default"/>
        <w:b/>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3" w15:restartNumberingAfterBreak="0">
    <w:nsid w:val="33A91580"/>
    <w:multiLevelType w:val="hybridMultilevel"/>
    <w:tmpl w:val="05004B96"/>
    <w:lvl w:ilvl="0" w:tplc="140A0015">
      <w:start w:val="1"/>
      <w:numFmt w:val="upp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4" w15:restartNumberingAfterBreak="0">
    <w:nsid w:val="37137FE9"/>
    <w:multiLevelType w:val="hybridMultilevel"/>
    <w:tmpl w:val="772A0D02"/>
    <w:lvl w:ilvl="0" w:tplc="588C8A2A">
      <w:start w:val="1"/>
      <w:numFmt w:val="lowerRoman"/>
      <w:lvlText w:val="%1)"/>
      <w:lvlJc w:val="left"/>
      <w:pPr>
        <w:ind w:left="1080" w:hanging="720"/>
      </w:pPr>
      <w:rPr>
        <w:rFonts w:hint="default"/>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378F38BF"/>
    <w:multiLevelType w:val="hybridMultilevel"/>
    <w:tmpl w:val="8C1C6E86"/>
    <w:lvl w:ilvl="0" w:tplc="BF4A1162">
      <w:start w:val="1"/>
      <w:numFmt w:val="lowerRoman"/>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46916131"/>
    <w:multiLevelType w:val="hybridMultilevel"/>
    <w:tmpl w:val="C81C7196"/>
    <w:lvl w:ilvl="0" w:tplc="E83C03D4">
      <w:start w:val="1"/>
      <w:numFmt w:val="decimal"/>
      <w:lvlText w:val="%1."/>
      <w:lvlJc w:val="left"/>
      <w:pPr>
        <w:ind w:left="720" w:hanging="360"/>
      </w:pPr>
      <w:rPr>
        <w:rFonts w:ascii="Verdana" w:eastAsia="Times" w:hAnsi="Verdana" w:cs="Times New Roman" w:hint="default"/>
        <w:b w:val="0"/>
        <w:sz w:val="2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7" w15:restartNumberingAfterBreak="0">
    <w:nsid w:val="470E275F"/>
    <w:multiLevelType w:val="hybridMultilevel"/>
    <w:tmpl w:val="5C7EABE6"/>
    <w:lvl w:ilvl="0" w:tplc="32B25338">
      <w:start w:val="1"/>
      <w:numFmt w:val="decimal"/>
      <w:lvlText w:val="%1."/>
      <w:lvlJc w:val="left"/>
      <w:pPr>
        <w:ind w:left="720" w:hanging="360"/>
      </w:pPr>
      <w:rPr>
        <w:rFonts w:hint="default"/>
        <w:b w:val="0"/>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15:restartNumberingAfterBreak="0">
    <w:nsid w:val="49C37B7B"/>
    <w:multiLevelType w:val="hybridMultilevel"/>
    <w:tmpl w:val="F7F40022"/>
    <w:lvl w:ilvl="0" w:tplc="9A3EC95C">
      <w:start w:val="1"/>
      <w:numFmt w:val="lowerRoman"/>
      <w:lvlText w:val="%1)"/>
      <w:lvlJc w:val="left"/>
      <w:pPr>
        <w:ind w:left="720" w:hanging="360"/>
      </w:pPr>
      <w:rPr>
        <w:rFonts w:ascii="Verdana" w:eastAsia="Times" w:hAnsi="Verdana" w:cs="Times New Roman"/>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9" w15:restartNumberingAfterBreak="0">
    <w:nsid w:val="4BF07BD9"/>
    <w:multiLevelType w:val="hybridMultilevel"/>
    <w:tmpl w:val="B502A8B0"/>
    <w:lvl w:ilvl="0" w:tplc="D592CF84">
      <w:start w:val="1"/>
      <w:numFmt w:val="lowerLetter"/>
      <w:lvlText w:val="%1)"/>
      <w:lvlJc w:val="left"/>
      <w:pPr>
        <w:ind w:left="720" w:hanging="360"/>
      </w:pPr>
      <w:rPr>
        <w:i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0" w15:restartNumberingAfterBreak="0">
    <w:nsid w:val="4F023E4D"/>
    <w:multiLevelType w:val="hybridMultilevel"/>
    <w:tmpl w:val="AC6E9EB0"/>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54E515F7"/>
    <w:multiLevelType w:val="hybridMultilevel"/>
    <w:tmpl w:val="B0786AA4"/>
    <w:lvl w:ilvl="0" w:tplc="140A0017">
      <w:start w:val="1"/>
      <w:numFmt w:val="lowerLetter"/>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2" w15:restartNumberingAfterBreak="0">
    <w:nsid w:val="56857562"/>
    <w:multiLevelType w:val="hybridMultilevel"/>
    <w:tmpl w:val="65284814"/>
    <w:lvl w:ilvl="0" w:tplc="8BFE3276">
      <w:start w:val="1"/>
      <w:numFmt w:val="decimal"/>
      <w:lvlText w:val="%1."/>
      <w:lvlJc w:val="left"/>
      <w:pPr>
        <w:ind w:left="720" w:hanging="360"/>
      </w:pPr>
      <w:rPr>
        <w:b w:val="0"/>
      </w:rPr>
    </w:lvl>
    <w:lvl w:ilvl="1" w:tplc="140A0019">
      <w:start w:val="1"/>
      <w:numFmt w:val="lowerLetter"/>
      <w:lvlText w:val="%2."/>
      <w:lvlJc w:val="left"/>
      <w:pPr>
        <w:ind w:left="1440" w:hanging="360"/>
      </w:pPr>
    </w:lvl>
    <w:lvl w:ilvl="2" w:tplc="140A001B">
      <w:start w:val="1"/>
      <w:numFmt w:val="lowerRoman"/>
      <w:lvlText w:val="%3."/>
      <w:lvlJc w:val="right"/>
      <w:pPr>
        <w:ind w:left="2160" w:hanging="180"/>
      </w:pPr>
    </w:lvl>
    <w:lvl w:ilvl="3" w:tplc="140A000F">
      <w:start w:val="1"/>
      <w:numFmt w:val="decimal"/>
      <w:lvlText w:val="%4."/>
      <w:lvlJc w:val="left"/>
      <w:pPr>
        <w:ind w:left="2880" w:hanging="360"/>
      </w:pPr>
    </w:lvl>
    <w:lvl w:ilvl="4" w:tplc="140A0019">
      <w:start w:val="1"/>
      <w:numFmt w:val="lowerLetter"/>
      <w:lvlText w:val="%5."/>
      <w:lvlJc w:val="left"/>
      <w:pPr>
        <w:ind w:left="3600" w:hanging="360"/>
      </w:pPr>
    </w:lvl>
    <w:lvl w:ilvl="5" w:tplc="140A001B">
      <w:start w:val="1"/>
      <w:numFmt w:val="lowerRoman"/>
      <w:lvlText w:val="%6."/>
      <w:lvlJc w:val="right"/>
      <w:pPr>
        <w:ind w:left="4320" w:hanging="180"/>
      </w:pPr>
    </w:lvl>
    <w:lvl w:ilvl="6" w:tplc="140A000F">
      <w:start w:val="1"/>
      <w:numFmt w:val="decimal"/>
      <w:lvlText w:val="%7."/>
      <w:lvlJc w:val="left"/>
      <w:pPr>
        <w:ind w:left="5040" w:hanging="360"/>
      </w:pPr>
    </w:lvl>
    <w:lvl w:ilvl="7" w:tplc="140A0019">
      <w:start w:val="1"/>
      <w:numFmt w:val="lowerLetter"/>
      <w:lvlText w:val="%8."/>
      <w:lvlJc w:val="left"/>
      <w:pPr>
        <w:ind w:left="5760" w:hanging="360"/>
      </w:pPr>
    </w:lvl>
    <w:lvl w:ilvl="8" w:tplc="140A001B">
      <w:start w:val="1"/>
      <w:numFmt w:val="lowerRoman"/>
      <w:lvlText w:val="%9."/>
      <w:lvlJc w:val="right"/>
      <w:pPr>
        <w:ind w:left="6480" w:hanging="180"/>
      </w:pPr>
    </w:lvl>
  </w:abstractNum>
  <w:abstractNum w:abstractNumId="23" w15:restartNumberingAfterBreak="0">
    <w:nsid w:val="585A3860"/>
    <w:multiLevelType w:val="hybridMultilevel"/>
    <w:tmpl w:val="A8FC615C"/>
    <w:lvl w:ilvl="0" w:tplc="942A7336">
      <w:start w:val="1"/>
      <w:numFmt w:val="upperLetter"/>
      <w:lvlText w:val="%1)"/>
      <w:lvlJc w:val="left"/>
      <w:pPr>
        <w:ind w:left="720" w:hanging="360"/>
      </w:pPr>
      <w:rPr>
        <w:rFonts w:hint="default"/>
        <w:b/>
        <w:i/>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4" w15:restartNumberingAfterBreak="0">
    <w:nsid w:val="612C201C"/>
    <w:multiLevelType w:val="hybridMultilevel"/>
    <w:tmpl w:val="B584382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52D2B51"/>
    <w:multiLevelType w:val="hybridMultilevel"/>
    <w:tmpl w:val="53CE69B4"/>
    <w:lvl w:ilvl="0" w:tplc="C576F2F6">
      <w:start w:val="1"/>
      <w:numFmt w:val="low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15:restartNumberingAfterBreak="0">
    <w:nsid w:val="70274F36"/>
    <w:multiLevelType w:val="hybridMultilevel"/>
    <w:tmpl w:val="7A06BA44"/>
    <w:lvl w:ilvl="0" w:tplc="422602C4">
      <w:start w:val="1"/>
      <w:numFmt w:val="upperLetter"/>
      <w:lvlText w:val="%1."/>
      <w:lvlJc w:val="left"/>
      <w:pPr>
        <w:ind w:left="1080" w:hanging="360"/>
      </w:pPr>
      <w:rPr>
        <w:rFonts w:hint="default"/>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27" w15:restartNumberingAfterBreak="0">
    <w:nsid w:val="71B50E82"/>
    <w:multiLevelType w:val="hybridMultilevel"/>
    <w:tmpl w:val="CE1493CA"/>
    <w:lvl w:ilvl="0" w:tplc="588C8A2A">
      <w:start w:val="1"/>
      <w:numFmt w:val="lowerRoman"/>
      <w:lvlText w:val="%1)"/>
      <w:lvlJc w:val="left"/>
      <w:pPr>
        <w:ind w:left="1080" w:hanging="720"/>
      </w:pPr>
      <w:rPr>
        <w:rFonts w:hint="default"/>
        <w:i/>
        <w:iCs/>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739D3058"/>
    <w:multiLevelType w:val="hybridMultilevel"/>
    <w:tmpl w:val="F9CA61E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57A12A2"/>
    <w:multiLevelType w:val="hybridMultilevel"/>
    <w:tmpl w:val="ED1AC842"/>
    <w:lvl w:ilvl="0" w:tplc="3EFA658E">
      <w:start w:val="1"/>
      <w:numFmt w:val="decimal"/>
      <w:lvlText w:val="%1."/>
      <w:lvlJc w:val="left"/>
      <w:pPr>
        <w:ind w:left="1065" w:hanging="705"/>
      </w:pPr>
      <w:rPr>
        <w:rFonts w:hint="default"/>
        <w:b w:val="0"/>
        <w:i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72B0CD8"/>
    <w:multiLevelType w:val="hybridMultilevel"/>
    <w:tmpl w:val="9D9E680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E2B1DE0"/>
    <w:multiLevelType w:val="hybridMultilevel"/>
    <w:tmpl w:val="4F0863F8"/>
    <w:lvl w:ilvl="0" w:tplc="9724CEE4">
      <w:start w:val="1"/>
      <w:numFmt w:val="lowerLetter"/>
      <w:lvlText w:val="%1)"/>
      <w:lvlJc w:val="left"/>
      <w:pPr>
        <w:ind w:left="927" w:hanging="360"/>
      </w:pPr>
      <w:rPr>
        <w:rFonts w:ascii="Verdana" w:hAnsi="Verdana" w:hint="default"/>
        <w:b w:val="0"/>
        <w:sz w:val="20"/>
      </w:rPr>
    </w:lvl>
    <w:lvl w:ilvl="1" w:tplc="140A0019" w:tentative="1">
      <w:start w:val="1"/>
      <w:numFmt w:val="lowerLetter"/>
      <w:lvlText w:val="%2."/>
      <w:lvlJc w:val="left"/>
      <w:pPr>
        <w:ind w:left="1647" w:hanging="360"/>
      </w:pPr>
    </w:lvl>
    <w:lvl w:ilvl="2" w:tplc="140A001B" w:tentative="1">
      <w:start w:val="1"/>
      <w:numFmt w:val="lowerRoman"/>
      <w:lvlText w:val="%3."/>
      <w:lvlJc w:val="right"/>
      <w:pPr>
        <w:ind w:left="2367" w:hanging="180"/>
      </w:pPr>
    </w:lvl>
    <w:lvl w:ilvl="3" w:tplc="140A000F" w:tentative="1">
      <w:start w:val="1"/>
      <w:numFmt w:val="decimal"/>
      <w:lvlText w:val="%4."/>
      <w:lvlJc w:val="left"/>
      <w:pPr>
        <w:ind w:left="3087" w:hanging="360"/>
      </w:pPr>
    </w:lvl>
    <w:lvl w:ilvl="4" w:tplc="140A0019" w:tentative="1">
      <w:start w:val="1"/>
      <w:numFmt w:val="lowerLetter"/>
      <w:lvlText w:val="%5."/>
      <w:lvlJc w:val="left"/>
      <w:pPr>
        <w:ind w:left="3807" w:hanging="360"/>
      </w:pPr>
    </w:lvl>
    <w:lvl w:ilvl="5" w:tplc="140A001B" w:tentative="1">
      <w:start w:val="1"/>
      <w:numFmt w:val="lowerRoman"/>
      <w:lvlText w:val="%6."/>
      <w:lvlJc w:val="right"/>
      <w:pPr>
        <w:ind w:left="4527" w:hanging="180"/>
      </w:pPr>
    </w:lvl>
    <w:lvl w:ilvl="6" w:tplc="140A000F" w:tentative="1">
      <w:start w:val="1"/>
      <w:numFmt w:val="decimal"/>
      <w:lvlText w:val="%7."/>
      <w:lvlJc w:val="left"/>
      <w:pPr>
        <w:ind w:left="5247" w:hanging="360"/>
      </w:pPr>
    </w:lvl>
    <w:lvl w:ilvl="7" w:tplc="140A0019" w:tentative="1">
      <w:start w:val="1"/>
      <w:numFmt w:val="lowerLetter"/>
      <w:lvlText w:val="%8."/>
      <w:lvlJc w:val="left"/>
      <w:pPr>
        <w:ind w:left="5967" w:hanging="360"/>
      </w:pPr>
    </w:lvl>
    <w:lvl w:ilvl="8" w:tplc="140A001B" w:tentative="1">
      <w:start w:val="1"/>
      <w:numFmt w:val="lowerRoman"/>
      <w:lvlText w:val="%9."/>
      <w:lvlJc w:val="right"/>
      <w:pPr>
        <w:ind w:left="6687" w:hanging="180"/>
      </w:pPr>
    </w:lvl>
  </w:abstractNum>
  <w:num w:numId="1">
    <w:abstractNumId w:val="1"/>
  </w:num>
  <w:num w:numId="2">
    <w:abstractNumId w:val="31"/>
  </w:num>
  <w:num w:numId="3">
    <w:abstractNumId w:val="8"/>
  </w:num>
  <w:num w:numId="4">
    <w:abstractNumId w:val="16"/>
  </w:num>
  <w:num w:numId="5">
    <w:abstractNumId w:val="17"/>
  </w:num>
  <w:num w:numId="6">
    <w:abstractNumId w:val="3"/>
  </w:num>
  <w:num w:numId="7">
    <w:abstractNumId w:val="13"/>
  </w:num>
  <w:num w:numId="8">
    <w:abstractNumId w:val="12"/>
  </w:num>
  <w:num w:numId="9">
    <w:abstractNumId w:val="0"/>
  </w:num>
  <w:num w:numId="10">
    <w:abstractNumId w:val="29"/>
  </w:num>
  <w:num w:numId="11">
    <w:abstractNumId w:val="10"/>
  </w:num>
  <w:num w:numId="12">
    <w:abstractNumId w:val="21"/>
  </w:num>
  <w:num w:numId="13">
    <w:abstractNumId w:val="23"/>
  </w:num>
  <w:num w:numId="14">
    <w:abstractNumId w:val="2"/>
  </w:num>
  <w:num w:numId="15">
    <w:abstractNumId w:val="7"/>
  </w:num>
  <w:num w:numId="16">
    <w:abstractNumId w:val="4"/>
  </w:num>
  <w:num w:numId="1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2"/>
  </w:num>
  <w:num w:numId="19">
    <w:abstractNumId w:val="11"/>
  </w:num>
  <w:num w:numId="20">
    <w:abstractNumId w:val="26"/>
  </w:num>
  <w:num w:numId="21">
    <w:abstractNumId w:val="18"/>
  </w:num>
  <w:num w:numId="22">
    <w:abstractNumId w:val="25"/>
  </w:num>
  <w:num w:numId="23">
    <w:abstractNumId w:val="28"/>
  </w:num>
  <w:num w:numId="24">
    <w:abstractNumId w:val="24"/>
  </w:num>
  <w:num w:numId="25">
    <w:abstractNumId w:val="5"/>
  </w:num>
  <w:num w:numId="26">
    <w:abstractNumId w:val="9"/>
  </w:num>
  <w:num w:numId="27">
    <w:abstractNumId w:val="19"/>
  </w:num>
  <w:num w:numId="28">
    <w:abstractNumId w:val="20"/>
  </w:num>
  <w:num w:numId="29">
    <w:abstractNumId w:val="30"/>
  </w:num>
  <w:num w:numId="30">
    <w:abstractNumId w:val="6"/>
  </w:num>
  <w:num w:numId="31">
    <w:abstractNumId w:val="15"/>
  </w:num>
  <w:num w:numId="32">
    <w:abstractNumId w:val="27"/>
  </w:num>
  <w:num w:numId="33">
    <w:abstractNumId w:val="14"/>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40E4"/>
    <w:rsid w:val="000004E4"/>
    <w:rsid w:val="00004113"/>
    <w:rsid w:val="0000498E"/>
    <w:rsid w:val="00005C4B"/>
    <w:rsid w:val="00006191"/>
    <w:rsid w:val="00007307"/>
    <w:rsid w:val="000073EB"/>
    <w:rsid w:val="00007AF1"/>
    <w:rsid w:val="00007C5B"/>
    <w:rsid w:val="00007F9F"/>
    <w:rsid w:val="00012014"/>
    <w:rsid w:val="0001217B"/>
    <w:rsid w:val="0001225D"/>
    <w:rsid w:val="00015F36"/>
    <w:rsid w:val="00017CD0"/>
    <w:rsid w:val="00020449"/>
    <w:rsid w:val="0002052B"/>
    <w:rsid w:val="00020959"/>
    <w:rsid w:val="00020B03"/>
    <w:rsid w:val="000210B7"/>
    <w:rsid w:val="00021127"/>
    <w:rsid w:val="0002147D"/>
    <w:rsid w:val="00025420"/>
    <w:rsid w:val="0002603E"/>
    <w:rsid w:val="0002632B"/>
    <w:rsid w:val="00027EAD"/>
    <w:rsid w:val="00030E81"/>
    <w:rsid w:val="00031C83"/>
    <w:rsid w:val="00033613"/>
    <w:rsid w:val="0003393E"/>
    <w:rsid w:val="00033C9C"/>
    <w:rsid w:val="000351A8"/>
    <w:rsid w:val="00035FD7"/>
    <w:rsid w:val="00036167"/>
    <w:rsid w:val="00037DC4"/>
    <w:rsid w:val="00040D19"/>
    <w:rsid w:val="00041870"/>
    <w:rsid w:val="00043D21"/>
    <w:rsid w:val="00044325"/>
    <w:rsid w:val="000452CC"/>
    <w:rsid w:val="00045B25"/>
    <w:rsid w:val="00045F15"/>
    <w:rsid w:val="00047422"/>
    <w:rsid w:val="0004794F"/>
    <w:rsid w:val="00047C27"/>
    <w:rsid w:val="0005039F"/>
    <w:rsid w:val="000503D6"/>
    <w:rsid w:val="00051695"/>
    <w:rsid w:val="000538F8"/>
    <w:rsid w:val="000539B3"/>
    <w:rsid w:val="000559A7"/>
    <w:rsid w:val="00055DD4"/>
    <w:rsid w:val="00056408"/>
    <w:rsid w:val="0005765C"/>
    <w:rsid w:val="00057688"/>
    <w:rsid w:val="00057DA2"/>
    <w:rsid w:val="000600FC"/>
    <w:rsid w:val="00060608"/>
    <w:rsid w:val="00061678"/>
    <w:rsid w:val="00061D0C"/>
    <w:rsid w:val="00062135"/>
    <w:rsid w:val="00062A89"/>
    <w:rsid w:val="00063918"/>
    <w:rsid w:val="00065736"/>
    <w:rsid w:val="00065A45"/>
    <w:rsid w:val="00065B2F"/>
    <w:rsid w:val="0006663A"/>
    <w:rsid w:val="000706EF"/>
    <w:rsid w:val="00071613"/>
    <w:rsid w:val="00071985"/>
    <w:rsid w:val="00073643"/>
    <w:rsid w:val="0007499A"/>
    <w:rsid w:val="000753E5"/>
    <w:rsid w:val="00076D5F"/>
    <w:rsid w:val="00077253"/>
    <w:rsid w:val="00080073"/>
    <w:rsid w:val="000806E9"/>
    <w:rsid w:val="000811AA"/>
    <w:rsid w:val="0008150F"/>
    <w:rsid w:val="00081F89"/>
    <w:rsid w:val="000822DA"/>
    <w:rsid w:val="00083C95"/>
    <w:rsid w:val="000844ED"/>
    <w:rsid w:val="0008486E"/>
    <w:rsid w:val="000905EF"/>
    <w:rsid w:val="0009137F"/>
    <w:rsid w:val="00092711"/>
    <w:rsid w:val="00092E33"/>
    <w:rsid w:val="0009323A"/>
    <w:rsid w:val="0009396B"/>
    <w:rsid w:val="000948CC"/>
    <w:rsid w:val="00096627"/>
    <w:rsid w:val="00096A15"/>
    <w:rsid w:val="000A0148"/>
    <w:rsid w:val="000A1519"/>
    <w:rsid w:val="000A1999"/>
    <w:rsid w:val="000A1A21"/>
    <w:rsid w:val="000A4B44"/>
    <w:rsid w:val="000A6C54"/>
    <w:rsid w:val="000B0871"/>
    <w:rsid w:val="000B10CB"/>
    <w:rsid w:val="000B209C"/>
    <w:rsid w:val="000B3523"/>
    <w:rsid w:val="000B5718"/>
    <w:rsid w:val="000B5F6F"/>
    <w:rsid w:val="000B6BC3"/>
    <w:rsid w:val="000C05CB"/>
    <w:rsid w:val="000C0808"/>
    <w:rsid w:val="000C1B12"/>
    <w:rsid w:val="000C4602"/>
    <w:rsid w:val="000C5FD1"/>
    <w:rsid w:val="000C66E1"/>
    <w:rsid w:val="000C69A3"/>
    <w:rsid w:val="000C77FE"/>
    <w:rsid w:val="000C78F0"/>
    <w:rsid w:val="000D30AF"/>
    <w:rsid w:val="000D3770"/>
    <w:rsid w:val="000D42AE"/>
    <w:rsid w:val="000D44B5"/>
    <w:rsid w:val="000D4911"/>
    <w:rsid w:val="000D5DC0"/>
    <w:rsid w:val="000D6490"/>
    <w:rsid w:val="000D69BD"/>
    <w:rsid w:val="000E29C4"/>
    <w:rsid w:val="000E3500"/>
    <w:rsid w:val="000E44C2"/>
    <w:rsid w:val="000E622B"/>
    <w:rsid w:val="000E62D5"/>
    <w:rsid w:val="000F1D64"/>
    <w:rsid w:val="000F1E4F"/>
    <w:rsid w:val="000F2443"/>
    <w:rsid w:val="000F49F9"/>
    <w:rsid w:val="000F4A74"/>
    <w:rsid w:val="000F7C8B"/>
    <w:rsid w:val="00100A8B"/>
    <w:rsid w:val="001010E6"/>
    <w:rsid w:val="001026BE"/>
    <w:rsid w:val="001035EF"/>
    <w:rsid w:val="00104984"/>
    <w:rsid w:val="00105490"/>
    <w:rsid w:val="00106871"/>
    <w:rsid w:val="0010754F"/>
    <w:rsid w:val="00107D87"/>
    <w:rsid w:val="001104A8"/>
    <w:rsid w:val="00110853"/>
    <w:rsid w:val="00110951"/>
    <w:rsid w:val="00110C02"/>
    <w:rsid w:val="00110E83"/>
    <w:rsid w:val="00111132"/>
    <w:rsid w:val="00111AB5"/>
    <w:rsid w:val="00111AF0"/>
    <w:rsid w:val="00112723"/>
    <w:rsid w:val="00117595"/>
    <w:rsid w:val="001217FF"/>
    <w:rsid w:val="00121896"/>
    <w:rsid w:val="001218E0"/>
    <w:rsid w:val="00122C46"/>
    <w:rsid w:val="00123394"/>
    <w:rsid w:val="0012369E"/>
    <w:rsid w:val="00126907"/>
    <w:rsid w:val="00134845"/>
    <w:rsid w:val="001355E0"/>
    <w:rsid w:val="00137EB2"/>
    <w:rsid w:val="00141C6C"/>
    <w:rsid w:val="00143CE7"/>
    <w:rsid w:val="0014551B"/>
    <w:rsid w:val="00145856"/>
    <w:rsid w:val="00145988"/>
    <w:rsid w:val="00145C26"/>
    <w:rsid w:val="001475C0"/>
    <w:rsid w:val="00147CA5"/>
    <w:rsid w:val="00147D84"/>
    <w:rsid w:val="001508A1"/>
    <w:rsid w:val="00150963"/>
    <w:rsid w:val="00151359"/>
    <w:rsid w:val="0015153D"/>
    <w:rsid w:val="00152A57"/>
    <w:rsid w:val="00152F69"/>
    <w:rsid w:val="001538E0"/>
    <w:rsid w:val="001616A6"/>
    <w:rsid w:val="00161E17"/>
    <w:rsid w:val="00162D7B"/>
    <w:rsid w:val="00163376"/>
    <w:rsid w:val="00163386"/>
    <w:rsid w:val="00164952"/>
    <w:rsid w:val="00165829"/>
    <w:rsid w:val="00167CE4"/>
    <w:rsid w:val="001709FD"/>
    <w:rsid w:val="00170DA3"/>
    <w:rsid w:val="00172349"/>
    <w:rsid w:val="00172B4D"/>
    <w:rsid w:val="00172E48"/>
    <w:rsid w:val="00172EDE"/>
    <w:rsid w:val="001731F5"/>
    <w:rsid w:val="00173C2B"/>
    <w:rsid w:val="00173D4B"/>
    <w:rsid w:val="00173E37"/>
    <w:rsid w:val="0017543A"/>
    <w:rsid w:val="001767E0"/>
    <w:rsid w:val="00176818"/>
    <w:rsid w:val="00176BDD"/>
    <w:rsid w:val="00177CC1"/>
    <w:rsid w:val="00177EFD"/>
    <w:rsid w:val="001801D7"/>
    <w:rsid w:val="00183188"/>
    <w:rsid w:val="00183EF9"/>
    <w:rsid w:val="001857DE"/>
    <w:rsid w:val="00185A66"/>
    <w:rsid w:val="00187E35"/>
    <w:rsid w:val="001916C2"/>
    <w:rsid w:val="001925CB"/>
    <w:rsid w:val="00192FD7"/>
    <w:rsid w:val="0019550F"/>
    <w:rsid w:val="001974B3"/>
    <w:rsid w:val="001A069F"/>
    <w:rsid w:val="001A0E56"/>
    <w:rsid w:val="001A0FA0"/>
    <w:rsid w:val="001A20E6"/>
    <w:rsid w:val="001A234D"/>
    <w:rsid w:val="001A371C"/>
    <w:rsid w:val="001A4785"/>
    <w:rsid w:val="001A4981"/>
    <w:rsid w:val="001A6912"/>
    <w:rsid w:val="001A6999"/>
    <w:rsid w:val="001B0409"/>
    <w:rsid w:val="001B09C1"/>
    <w:rsid w:val="001B0CCD"/>
    <w:rsid w:val="001B1104"/>
    <w:rsid w:val="001B3ADA"/>
    <w:rsid w:val="001B4AE4"/>
    <w:rsid w:val="001B6386"/>
    <w:rsid w:val="001B7CD1"/>
    <w:rsid w:val="001C149F"/>
    <w:rsid w:val="001C2F24"/>
    <w:rsid w:val="001C3207"/>
    <w:rsid w:val="001C41A0"/>
    <w:rsid w:val="001C5EDF"/>
    <w:rsid w:val="001C61C0"/>
    <w:rsid w:val="001C640C"/>
    <w:rsid w:val="001C64F1"/>
    <w:rsid w:val="001C6975"/>
    <w:rsid w:val="001C7C05"/>
    <w:rsid w:val="001D3835"/>
    <w:rsid w:val="001D604A"/>
    <w:rsid w:val="001D7010"/>
    <w:rsid w:val="001D7C05"/>
    <w:rsid w:val="001E1543"/>
    <w:rsid w:val="001E171A"/>
    <w:rsid w:val="001E5B7A"/>
    <w:rsid w:val="001E7F28"/>
    <w:rsid w:val="001F15AC"/>
    <w:rsid w:val="001F613C"/>
    <w:rsid w:val="00200046"/>
    <w:rsid w:val="00200818"/>
    <w:rsid w:val="00200C31"/>
    <w:rsid w:val="00201270"/>
    <w:rsid w:val="00203A53"/>
    <w:rsid w:val="00204300"/>
    <w:rsid w:val="00204CAC"/>
    <w:rsid w:val="0020715F"/>
    <w:rsid w:val="00210211"/>
    <w:rsid w:val="00210AF6"/>
    <w:rsid w:val="00210B4A"/>
    <w:rsid w:val="002112F4"/>
    <w:rsid w:val="002126ED"/>
    <w:rsid w:val="00212AD9"/>
    <w:rsid w:val="00213333"/>
    <w:rsid w:val="0021463F"/>
    <w:rsid w:val="00214708"/>
    <w:rsid w:val="00215047"/>
    <w:rsid w:val="00216819"/>
    <w:rsid w:val="0021791D"/>
    <w:rsid w:val="0022189A"/>
    <w:rsid w:val="00223149"/>
    <w:rsid w:val="0022633E"/>
    <w:rsid w:val="0023103F"/>
    <w:rsid w:val="00231574"/>
    <w:rsid w:val="00231E6D"/>
    <w:rsid w:val="00234152"/>
    <w:rsid w:val="00234CC2"/>
    <w:rsid w:val="00235077"/>
    <w:rsid w:val="00240C83"/>
    <w:rsid w:val="00241543"/>
    <w:rsid w:val="002420BA"/>
    <w:rsid w:val="00242979"/>
    <w:rsid w:val="002455FE"/>
    <w:rsid w:val="00245624"/>
    <w:rsid w:val="00245BE5"/>
    <w:rsid w:val="00245D5D"/>
    <w:rsid w:val="0024717B"/>
    <w:rsid w:val="00247353"/>
    <w:rsid w:val="00247A28"/>
    <w:rsid w:val="00247A2D"/>
    <w:rsid w:val="00250086"/>
    <w:rsid w:val="002512B1"/>
    <w:rsid w:val="00252345"/>
    <w:rsid w:val="0025294E"/>
    <w:rsid w:val="0025341A"/>
    <w:rsid w:val="00254342"/>
    <w:rsid w:val="002568EE"/>
    <w:rsid w:val="0025752E"/>
    <w:rsid w:val="00260913"/>
    <w:rsid w:val="00260AE5"/>
    <w:rsid w:val="002626EC"/>
    <w:rsid w:val="00263A33"/>
    <w:rsid w:val="002646FD"/>
    <w:rsid w:val="00264C17"/>
    <w:rsid w:val="00264F77"/>
    <w:rsid w:val="00265313"/>
    <w:rsid w:val="00266209"/>
    <w:rsid w:val="002673E3"/>
    <w:rsid w:val="0027251D"/>
    <w:rsid w:val="00276128"/>
    <w:rsid w:val="00276193"/>
    <w:rsid w:val="0028027F"/>
    <w:rsid w:val="00281129"/>
    <w:rsid w:val="0028246D"/>
    <w:rsid w:val="002830CE"/>
    <w:rsid w:val="00285592"/>
    <w:rsid w:val="00287B74"/>
    <w:rsid w:val="00290A67"/>
    <w:rsid w:val="00290F1D"/>
    <w:rsid w:val="002916FF"/>
    <w:rsid w:val="00291900"/>
    <w:rsid w:val="00295835"/>
    <w:rsid w:val="00295905"/>
    <w:rsid w:val="00295FDE"/>
    <w:rsid w:val="002979BB"/>
    <w:rsid w:val="002A04D2"/>
    <w:rsid w:val="002A05B5"/>
    <w:rsid w:val="002A11EC"/>
    <w:rsid w:val="002A1BCA"/>
    <w:rsid w:val="002A2FED"/>
    <w:rsid w:val="002A6B3B"/>
    <w:rsid w:val="002B04B7"/>
    <w:rsid w:val="002B1288"/>
    <w:rsid w:val="002B3D04"/>
    <w:rsid w:val="002B68F6"/>
    <w:rsid w:val="002C2A4B"/>
    <w:rsid w:val="002C2F9E"/>
    <w:rsid w:val="002C337D"/>
    <w:rsid w:val="002C4785"/>
    <w:rsid w:val="002C5195"/>
    <w:rsid w:val="002C6D7F"/>
    <w:rsid w:val="002C7DA9"/>
    <w:rsid w:val="002D1E51"/>
    <w:rsid w:val="002D2220"/>
    <w:rsid w:val="002D2E90"/>
    <w:rsid w:val="002D2EDE"/>
    <w:rsid w:val="002D5A76"/>
    <w:rsid w:val="002D6A7E"/>
    <w:rsid w:val="002D6BA4"/>
    <w:rsid w:val="002D7FC2"/>
    <w:rsid w:val="002E057B"/>
    <w:rsid w:val="002E0669"/>
    <w:rsid w:val="002E2661"/>
    <w:rsid w:val="002E272B"/>
    <w:rsid w:val="002E2F03"/>
    <w:rsid w:val="002E31F2"/>
    <w:rsid w:val="002E69D1"/>
    <w:rsid w:val="002E7578"/>
    <w:rsid w:val="002E759A"/>
    <w:rsid w:val="002E7642"/>
    <w:rsid w:val="002E7746"/>
    <w:rsid w:val="002E7E16"/>
    <w:rsid w:val="002F13B3"/>
    <w:rsid w:val="002F1FF0"/>
    <w:rsid w:val="002F35B9"/>
    <w:rsid w:val="002F3C5B"/>
    <w:rsid w:val="002F4129"/>
    <w:rsid w:val="002F41DD"/>
    <w:rsid w:val="002F5294"/>
    <w:rsid w:val="002F5739"/>
    <w:rsid w:val="002F6093"/>
    <w:rsid w:val="003010B0"/>
    <w:rsid w:val="0030135D"/>
    <w:rsid w:val="00302709"/>
    <w:rsid w:val="00302AF2"/>
    <w:rsid w:val="00303828"/>
    <w:rsid w:val="0030537A"/>
    <w:rsid w:val="00306FA6"/>
    <w:rsid w:val="00307CAA"/>
    <w:rsid w:val="00307F0C"/>
    <w:rsid w:val="00310F25"/>
    <w:rsid w:val="00317C16"/>
    <w:rsid w:val="00322149"/>
    <w:rsid w:val="0032254F"/>
    <w:rsid w:val="003227AD"/>
    <w:rsid w:val="003230F3"/>
    <w:rsid w:val="0032311A"/>
    <w:rsid w:val="00324746"/>
    <w:rsid w:val="00325FCD"/>
    <w:rsid w:val="00326515"/>
    <w:rsid w:val="00327A5C"/>
    <w:rsid w:val="00330F2D"/>
    <w:rsid w:val="003316B2"/>
    <w:rsid w:val="00332C56"/>
    <w:rsid w:val="003365E6"/>
    <w:rsid w:val="003367A5"/>
    <w:rsid w:val="00337354"/>
    <w:rsid w:val="00340A20"/>
    <w:rsid w:val="003413C2"/>
    <w:rsid w:val="00341CCF"/>
    <w:rsid w:val="00342392"/>
    <w:rsid w:val="00343DF6"/>
    <w:rsid w:val="00344501"/>
    <w:rsid w:val="003458BE"/>
    <w:rsid w:val="00346C61"/>
    <w:rsid w:val="00346F19"/>
    <w:rsid w:val="0035035F"/>
    <w:rsid w:val="00350C75"/>
    <w:rsid w:val="00351FFD"/>
    <w:rsid w:val="00353E18"/>
    <w:rsid w:val="00354557"/>
    <w:rsid w:val="00357014"/>
    <w:rsid w:val="00357174"/>
    <w:rsid w:val="00362DF3"/>
    <w:rsid w:val="0036358B"/>
    <w:rsid w:val="003642AD"/>
    <w:rsid w:val="00364FA3"/>
    <w:rsid w:val="00365452"/>
    <w:rsid w:val="00365C54"/>
    <w:rsid w:val="00365CE8"/>
    <w:rsid w:val="003703E6"/>
    <w:rsid w:val="00370942"/>
    <w:rsid w:val="00371C15"/>
    <w:rsid w:val="00371FCF"/>
    <w:rsid w:val="0037241F"/>
    <w:rsid w:val="003735D4"/>
    <w:rsid w:val="00374B7C"/>
    <w:rsid w:val="00376375"/>
    <w:rsid w:val="00376627"/>
    <w:rsid w:val="0037703E"/>
    <w:rsid w:val="00380BAE"/>
    <w:rsid w:val="00383E0D"/>
    <w:rsid w:val="003865AC"/>
    <w:rsid w:val="00387DC0"/>
    <w:rsid w:val="00387FBA"/>
    <w:rsid w:val="00392F41"/>
    <w:rsid w:val="0039359E"/>
    <w:rsid w:val="003937D3"/>
    <w:rsid w:val="00393F53"/>
    <w:rsid w:val="00394EEA"/>
    <w:rsid w:val="003950C4"/>
    <w:rsid w:val="003A0C4C"/>
    <w:rsid w:val="003A42E8"/>
    <w:rsid w:val="003A5940"/>
    <w:rsid w:val="003A5BCC"/>
    <w:rsid w:val="003A66A0"/>
    <w:rsid w:val="003A7006"/>
    <w:rsid w:val="003B0291"/>
    <w:rsid w:val="003B0600"/>
    <w:rsid w:val="003B07B7"/>
    <w:rsid w:val="003B07FB"/>
    <w:rsid w:val="003B2804"/>
    <w:rsid w:val="003B2F46"/>
    <w:rsid w:val="003B2F99"/>
    <w:rsid w:val="003B45F6"/>
    <w:rsid w:val="003B7739"/>
    <w:rsid w:val="003C01F5"/>
    <w:rsid w:val="003C155B"/>
    <w:rsid w:val="003C2090"/>
    <w:rsid w:val="003C2EAE"/>
    <w:rsid w:val="003C3A8B"/>
    <w:rsid w:val="003C4A6C"/>
    <w:rsid w:val="003C5EDF"/>
    <w:rsid w:val="003D0205"/>
    <w:rsid w:val="003D0914"/>
    <w:rsid w:val="003D271C"/>
    <w:rsid w:val="003D2BD7"/>
    <w:rsid w:val="003D2C58"/>
    <w:rsid w:val="003D473D"/>
    <w:rsid w:val="003D6314"/>
    <w:rsid w:val="003D6393"/>
    <w:rsid w:val="003D6658"/>
    <w:rsid w:val="003D6AB7"/>
    <w:rsid w:val="003E05F9"/>
    <w:rsid w:val="003E0A5F"/>
    <w:rsid w:val="003E1779"/>
    <w:rsid w:val="003E237F"/>
    <w:rsid w:val="003E28F2"/>
    <w:rsid w:val="003E2BB4"/>
    <w:rsid w:val="003E3B15"/>
    <w:rsid w:val="003E551B"/>
    <w:rsid w:val="003F4BAE"/>
    <w:rsid w:val="003F5DF6"/>
    <w:rsid w:val="003F5ED5"/>
    <w:rsid w:val="003F6736"/>
    <w:rsid w:val="003F6CA0"/>
    <w:rsid w:val="00401497"/>
    <w:rsid w:val="004018F2"/>
    <w:rsid w:val="00401A03"/>
    <w:rsid w:val="00402A2D"/>
    <w:rsid w:val="00402E6E"/>
    <w:rsid w:val="00402E86"/>
    <w:rsid w:val="00406B46"/>
    <w:rsid w:val="00410F4A"/>
    <w:rsid w:val="00411C1A"/>
    <w:rsid w:val="00411C9F"/>
    <w:rsid w:val="004137DA"/>
    <w:rsid w:val="00413D99"/>
    <w:rsid w:val="004140F7"/>
    <w:rsid w:val="00416003"/>
    <w:rsid w:val="00416CEF"/>
    <w:rsid w:val="00416F22"/>
    <w:rsid w:val="004176C8"/>
    <w:rsid w:val="004205D7"/>
    <w:rsid w:val="00420831"/>
    <w:rsid w:val="004236DD"/>
    <w:rsid w:val="00424490"/>
    <w:rsid w:val="004247B4"/>
    <w:rsid w:val="00424A3D"/>
    <w:rsid w:val="00424BF2"/>
    <w:rsid w:val="00426396"/>
    <w:rsid w:val="0042726F"/>
    <w:rsid w:val="00430228"/>
    <w:rsid w:val="004304A9"/>
    <w:rsid w:val="00432715"/>
    <w:rsid w:val="0043326D"/>
    <w:rsid w:val="00434E7B"/>
    <w:rsid w:val="0043687A"/>
    <w:rsid w:val="004372E3"/>
    <w:rsid w:val="004401B2"/>
    <w:rsid w:val="00441652"/>
    <w:rsid w:val="004421D9"/>
    <w:rsid w:val="00444CA8"/>
    <w:rsid w:val="004504F6"/>
    <w:rsid w:val="004505F9"/>
    <w:rsid w:val="00450C11"/>
    <w:rsid w:val="00451930"/>
    <w:rsid w:val="004523E5"/>
    <w:rsid w:val="004547AE"/>
    <w:rsid w:val="004555A4"/>
    <w:rsid w:val="00457307"/>
    <w:rsid w:val="00462273"/>
    <w:rsid w:val="00462F6A"/>
    <w:rsid w:val="00463F3C"/>
    <w:rsid w:val="00465EA5"/>
    <w:rsid w:val="00466E18"/>
    <w:rsid w:val="00467933"/>
    <w:rsid w:val="00467E35"/>
    <w:rsid w:val="00470AAF"/>
    <w:rsid w:val="00472A94"/>
    <w:rsid w:val="004741A4"/>
    <w:rsid w:val="00474DCC"/>
    <w:rsid w:val="00475378"/>
    <w:rsid w:val="00476847"/>
    <w:rsid w:val="00477D9A"/>
    <w:rsid w:val="00477DC2"/>
    <w:rsid w:val="0048000A"/>
    <w:rsid w:val="00482041"/>
    <w:rsid w:val="004845CA"/>
    <w:rsid w:val="00485E50"/>
    <w:rsid w:val="00486334"/>
    <w:rsid w:val="00487132"/>
    <w:rsid w:val="004871A3"/>
    <w:rsid w:val="00487C02"/>
    <w:rsid w:val="004904B5"/>
    <w:rsid w:val="0049261F"/>
    <w:rsid w:val="00492C18"/>
    <w:rsid w:val="00493613"/>
    <w:rsid w:val="00493C06"/>
    <w:rsid w:val="004946A2"/>
    <w:rsid w:val="00495E27"/>
    <w:rsid w:val="0049744F"/>
    <w:rsid w:val="004A1E88"/>
    <w:rsid w:val="004A365E"/>
    <w:rsid w:val="004A3E14"/>
    <w:rsid w:val="004A4522"/>
    <w:rsid w:val="004A4838"/>
    <w:rsid w:val="004A5431"/>
    <w:rsid w:val="004A63F0"/>
    <w:rsid w:val="004A7261"/>
    <w:rsid w:val="004A787D"/>
    <w:rsid w:val="004A7DE9"/>
    <w:rsid w:val="004B1673"/>
    <w:rsid w:val="004B30F4"/>
    <w:rsid w:val="004B4458"/>
    <w:rsid w:val="004B4557"/>
    <w:rsid w:val="004B4DC3"/>
    <w:rsid w:val="004B7546"/>
    <w:rsid w:val="004C0337"/>
    <w:rsid w:val="004C0B50"/>
    <w:rsid w:val="004C0E60"/>
    <w:rsid w:val="004C2CCE"/>
    <w:rsid w:val="004C35FC"/>
    <w:rsid w:val="004C597E"/>
    <w:rsid w:val="004C61BF"/>
    <w:rsid w:val="004C7B3D"/>
    <w:rsid w:val="004D0DF7"/>
    <w:rsid w:val="004D3568"/>
    <w:rsid w:val="004D39C6"/>
    <w:rsid w:val="004D3DA9"/>
    <w:rsid w:val="004D5295"/>
    <w:rsid w:val="004E0639"/>
    <w:rsid w:val="004E0C54"/>
    <w:rsid w:val="004E0DD8"/>
    <w:rsid w:val="004E2E90"/>
    <w:rsid w:val="004E332E"/>
    <w:rsid w:val="004E4B59"/>
    <w:rsid w:val="004E4BAB"/>
    <w:rsid w:val="004E54F1"/>
    <w:rsid w:val="004F0585"/>
    <w:rsid w:val="004F07DB"/>
    <w:rsid w:val="004F09FB"/>
    <w:rsid w:val="004F2E6A"/>
    <w:rsid w:val="004F37DB"/>
    <w:rsid w:val="004F4CA1"/>
    <w:rsid w:val="004F5240"/>
    <w:rsid w:val="004F5ACB"/>
    <w:rsid w:val="004F6E27"/>
    <w:rsid w:val="005002EB"/>
    <w:rsid w:val="00500B03"/>
    <w:rsid w:val="0050111D"/>
    <w:rsid w:val="00501A50"/>
    <w:rsid w:val="00501A7F"/>
    <w:rsid w:val="005027BD"/>
    <w:rsid w:val="00502A93"/>
    <w:rsid w:val="005061C8"/>
    <w:rsid w:val="00506834"/>
    <w:rsid w:val="00506DB5"/>
    <w:rsid w:val="0050714E"/>
    <w:rsid w:val="005073AD"/>
    <w:rsid w:val="005106AB"/>
    <w:rsid w:val="00511A02"/>
    <w:rsid w:val="00512E5D"/>
    <w:rsid w:val="005130D6"/>
    <w:rsid w:val="0051409C"/>
    <w:rsid w:val="00520286"/>
    <w:rsid w:val="00522373"/>
    <w:rsid w:val="005225C7"/>
    <w:rsid w:val="00523227"/>
    <w:rsid w:val="00523962"/>
    <w:rsid w:val="005242BD"/>
    <w:rsid w:val="00524EDF"/>
    <w:rsid w:val="00526BD2"/>
    <w:rsid w:val="005272A0"/>
    <w:rsid w:val="005278BA"/>
    <w:rsid w:val="00527BE7"/>
    <w:rsid w:val="00530ED4"/>
    <w:rsid w:val="005310EB"/>
    <w:rsid w:val="00533040"/>
    <w:rsid w:val="0053342D"/>
    <w:rsid w:val="0053347C"/>
    <w:rsid w:val="00533F20"/>
    <w:rsid w:val="005349E0"/>
    <w:rsid w:val="00535580"/>
    <w:rsid w:val="00536B50"/>
    <w:rsid w:val="00541081"/>
    <w:rsid w:val="00541655"/>
    <w:rsid w:val="00542428"/>
    <w:rsid w:val="005433AA"/>
    <w:rsid w:val="005435C1"/>
    <w:rsid w:val="005448F5"/>
    <w:rsid w:val="00544E91"/>
    <w:rsid w:val="005457F9"/>
    <w:rsid w:val="00546668"/>
    <w:rsid w:val="00547173"/>
    <w:rsid w:val="00547A57"/>
    <w:rsid w:val="00551C6B"/>
    <w:rsid w:val="005524AD"/>
    <w:rsid w:val="0055349E"/>
    <w:rsid w:val="005551B1"/>
    <w:rsid w:val="00557D59"/>
    <w:rsid w:val="005601CE"/>
    <w:rsid w:val="00562B74"/>
    <w:rsid w:val="00563C73"/>
    <w:rsid w:val="00564C15"/>
    <w:rsid w:val="00564FFF"/>
    <w:rsid w:val="005669E3"/>
    <w:rsid w:val="00566AE5"/>
    <w:rsid w:val="00570C65"/>
    <w:rsid w:val="005711C8"/>
    <w:rsid w:val="00571934"/>
    <w:rsid w:val="00572581"/>
    <w:rsid w:val="00572D3B"/>
    <w:rsid w:val="005731DB"/>
    <w:rsid w:val="0057446F"/>
    <w:rsid w:val="00574B51"/>
    <w:rsid w:val="0057511D"/>
    <w:rsid w:val="005758ED"/>
    <w:rsid w:val="00575B65"/>
    <w:rsid w:val="0057606B"/>
    <w:rsid w:val="00577C08"/>
    <w:rsid w:val="00581C12"/>
    <w:rsid w:val="00582409"/>
    <w:rsid w:val="0058278C"/>
    <w:rsid w:val="005840D7"/>
    <w:rsid w:val="00584A92"/>
    <w:rsid w:val="00586923"/>
    <w:rsid w:val="00586A98"/>
    <w:rsid w:val="00592EA9"/>
    <w:rsid w:val="00594F8A"/>
    <w:rsid w:val="00595078"/>
    <w:rsid w:val="005A0F43"/>
    <w:rsid w:val="005A26E4"/>
    <w:rsid w:val="005A2F8A"/>
    <w:rsid w:val="005B1929"/>
    <w:rsid w:val="005B4ABD"/>
    <w:rsid w:val="005B4FC1"/>
    <w:rsid w:val="005B7C63"/>
    <w:rsid w:val="005C1460"/>
    <w:rsid w:val="005C25B6"/>
    <w:rsid w:val="005C2ED1"/>
    <w:rsid w:val="005C3147"/>
    <w:rsid w:val="005C44B6"/>
    <w:rsid w:val="005C4D2F"/>
    <w:rsid w:val="005C500F"/>
    <w:rsid w:val="005C5E21"/>
    <w:rsid w:val="005C628A"/>
    <w:rsid w:val="005C6C2E"/>
    <w:rsid w:val="005C705D"/>
    <w:rsid w:val="005C7763"/>
    <w:rsid w:val="005D101E"/>
    <w:rsid w:val="005D1CF3"/>
    <w:rsid w:val="005D3001"/>
    <w:rsid w:val="005D36A7"/>
    <w:rsid w:val="005D5648"/>
    <w:rsid w:val="005D7E8C"/>
    <w:rsid w:val="005E28FA"/>
    <w:rsid w:val="005E60C3"/>
    <w:rsid w:val="005E7562"/>
    <w:rsid w:val="005F0BD5"/>
    <w:rsid w:val="005F15EC"/>
    <w:rsid w:val="005F1EA3"/>
    <w:rsid w:val="005F2D05"/>
    <w:rsid w:val="005F42C6"/>
    <w:rsid w:val="005F4A6C"/>
    <w:rsid w:val="005F51E3"/>
    <w:rsid w:val="005F7129"/>
    <w:rsid w:val="00600B3B"/>
    <w:rsid w:val="00601789"/>
    <w:rsid w:val="00604B0F"/>
    <w:rsid w:val="00605815"/>
    <w:rsid w:val="00605B78"/>
    <w:rsid w:val="00606BFA"/>
    <w:rsid w:val="00607C20"/>
    <w:rsid w:val="00607FF5"/>
    <w:rsid w:val="0061075E"/>
    <w:rsid w:val="00611A4E"/>
    <w:rsid w:val="00612080"/>
    <w:rsid w:val="0061270C"/>
    <w:rsid w:val="00612E27"/>
    <w:rsid w:val="00613584"/>
    <w:rsid w:val="00614C5F"/>
    <w:rsid w:val="00616EAC"/>
    <w:rsid w:val="00616FFE"/>
    <w:rsid w:val="0062003C"/>
    <w:rsid w:val="00620053"/>
    <w:rsid w:val="00620ACF"/>
    <w:rsid w:val="00622954"/>
    <w:rsid w:val="00623116"/>
    <w:rsid w:val="00623488"/>
    <w:rsid w:val="0062402C"/>
    <w:rsid w:val="006241B8"/>
    <w:rsid w:val="00624499"/>
    <w:rsid w:val="006248C0"/>
    <w:rsid w:val="00626BB4"/>
    <w:rsid w:val="00626E58"/>
    <w:rsid w:val="00627A90"/>
    <w:rsid w:val="00630171"/>
    <w:rsid w:val="00630860"/>
    <w:rsid w:val="0063190B"/>
    <w:rsid w:val="00631F34"/>
    <w:rsid w:val="00632624"/>
    <w:rsid w:val="00632BC4"/>
    <w:rsid w:val="006334DA"/>
    <w:rsid w:val="0063396F"/>
    <w:rsid w:val="006341AC"/>
    <w:rsid w:val="006352CB"/>
    <w:rsid w:val="00635FBB"/>
    <w:rsid w:val="006375F2"/>
    <w:rsid w:val="00637EC9"/>
    <w:rsid w:val="00644BE1"/>
    <w:rsid w:val="00646CAE"/>
    <w:rsid w:val="0065011E"/>
    <w:rsid w:val="0065092B"/>
    <w:rsid w:val="00651898"/>
    <w:rsid w:val="00651A14"/>
    <w:rsid w:val="00652527"/>
    <w:rsid w:val="00652641"/>
    <w:rsid w:val="00652B26"/>
    <w:rsid w:val="00652E96"/>
    <w:rsid w:val="006566D8"/>
    <w:rsid w:val="00657579"/>
    <w:rsid w:val="00657AE6"/>
    <w:rsid w:val="00657F23"/>
    <w:rsid w:val="00660C58"/>
    <w:rsid w:val="00662FF9"/>
    <w:rsid w:val="00663F2A"/>
    <w:rsid w:val="00664AF4"/>
    <w:rsid w:val="00670977"/>
    <w:rsid w:val="00670FA3"/>
    <w:rsid w:val="0067170F"/>
    <w:rsid w:val="00671FB6"/>
    <w:rsid w:val="00673FAC"/>
    <w:rsid w:val="00674214"/>
    <w:rsid w:val="00674A93"/>
    <w:rsid w:val="0067555F"/>
    <w:rsid w:val="006762FA"/>
    <w:rsid w:val="006767F0"/>
    <w:rsid w:val="00677648"/>
    <w:rsid w:val="0068049D"/>
    <w:rsid w:val="006812C7"/>
    <w:rsid w:val="0068216F"/>
    <w:rsid w:val="00684796"/>
    <w:rsid w:val="006856ED"/>
    <w:rsid w:val="0069021D"/>
    <w:rsid w:val="006911A6"/>
    <w:rsid w:val="00694A05"/>
    <w:rsid w:val="00694ED2"/>
    <w:rsid w:val="00697AC2"/>
    <w:rsid w:val="006A0355"/>
    <w:rsid w:val="006A0579"/>
    <w:rsid w:val="006A22C0"/>
    <w:rsid w:val="006A3905"/>
    <w:rsid w:val="006A4331"/>
    <w:rsid w:val="006A4CA4"/>
    <w:rsid w:val="006A5EE9"/>
    <w:rsid w:val="006A6371"/>
    <w:rsid w:val="006A6CB8"/>
    <w:rsid w:val="006A73FE"/>
    <w:rsid w:val="006B0216"/>
    <w:rsid w:val="006B5047"/>
    <w:rsid w:val="006B57A3"/>
    <w:rsid w:val="006B6A72"/>
    <w:rsid w:val="006B6B71"/>
    <w:rsid w:val="006C057B"/>
    <w:rsid w:val="006C280A"/>
    <w:rsid w:val="006C2FBB"/>
    <w:rsid w:val="006C3454"/>
    <w:rsid w:val="006C35F8"/>
    <w:rsid w:val="006C3F41"/>
    <w:rsid w:val="006C4212"/>
    <w:rsid w:val="006C436E"/>
    <w:rsid w:val="006C4A24"/>
    <w:rsid w:val="006C53DB"/>
    <w:rsid w:val="006D0BBB"/>
    <w:rsid w:val="006D1D23"/>
    <w:rsid w:val="006D20F8"/>
    <w:rsid w:val="006D6420"/>
    <w:rsid w:val="006D7CB0"/>
    <w:rsid w:val="006D7FDF"/>
    <w:rsid w:val="006E0601"/>
    <w:rsid w:val="006E325C"/>
    <w:rsid w:val="006E3C43"/>
    <w:rsid w:val="006E7FB8"/>
    <w:rsid w:val="006F04F4"/>
    <w:rsid w:val="006F0E3C"/>
    <w:rsid w:val="006F12BD"/>
    <w:rsid w:val="006F14FE"/>
    <w:rsid w:val="006F2643"/>
    <w:rsid w:val="006F2810"/>
    <w:rsid w:val="006F2DC2"/>
    <w:rsid w:val="006F3643"/>
    <w:rsid w:val="006F3C49"/>
    <w:rsid w:val="006F4932"/>
    <w:rsid w:val="006F4E3A"/>
    <w:rsid w:val="006F64AD"/>
    <w:rsid w:val="006F7349"/>
    <w:rsid w:val="006F746C"/>
    <w:rsid w:val="00701ECD"/>
    <w:rsid w:val="00704A97"/>
    <w:rsid w:val="00704B76"/>
    <w:rsid w:val="00706F5D"/>
    <w:rsid w:val="007077D3"/>
    <w:rsid w:val="007079AE"/>
    <w:rsid w:val="007125C7"/>
    <w:rsid w:val="00712EC6"/>
    <w:rsid w:val="00714859"/>
    <w:rsid w:val="00716759"/>
    <w:rsid w:val="00717364"/>
    <w:rsid w:val="0072026C"/>
    <w:rsid w:val="007208FB"/>
    <w:rsid w:val="00721797"/>
    <w:rsid w:val="00721D32"/>
    <w:rsid w:val="007244B6"/>
    <w:rsid w:val="00727E4F"/>
    <w:rsid w:val="00730A07"/>
    <w:rsid w:val="0073160E"/>
    <w:rsid w:val="00733AEE"/>
    <w:rsid w:val="00733FDA"/>
    <w:rsid w:val="007350D5"/>
    <w:rsid w:val="00735CCF"/>
    <w:rsid w:val="007370FA"/>
    <w:rsid w:val="007372FB"/>
    <w:rsid w:val="00741C3E"/>
    <w:rsid w:val="00742C76"/>
    <w:rsid w:val="00744699"/>
    <w:rsid w:val="00746395"/>
    <w:rsid w:val="007505BE"/>
    <w:rsid w:val="00751543"/>
    <w:rsid w:val="007515B8"/>
    <w:rsid w:val="0075180F"/>
    <w:rsid w:val="00752D77"/>
    <w:rsid w:val="00753218"/>
    <w:rsid w:val="00756009"/>
    <w:rsid w:val="00756751"/>
    <w:rsid w:val="00756A45"/>
    <w:rsid w:val="007634C9"/>
    <w:rsid w:val="00763E9A"/>
    <w:rsid w:val="00765F54"/>
    <w:rsid w:val="00766E6D"/>
    <w:rsid w:val="007672DD"/>
    <w:rsid w:val="007722AE"/>
    <w:rsid w:val="0077628B"/>
    <w:rsid w:val="007762F4"/>
    <w:rsid w:val="00776D30"/>
    <w:rsid w:val="007808BA"/>
    <w:rsid w:val="00780CC9"/>
    <w:rsid w:val="0078165A"/>
    <w:rsid w:val="00782ACC"/>
    <w:rsid w:val="00783016"/>
    <w:rsid w:val="0078327E"/>
    <w:rsid w:val="0078506D"/>
    <w:rsid w:val="00785498"/>
    <w:rsid w:val="00790286"/>
    <w:rsid w:val="00791488"/>
    <w:rsid w:val="007952EB"/>
    <w:rsid w:val="00797C68"/>
    <w:rsid w:val="007A0BD3"/>
    <w:rsid w:val="007A14DF"/>
    <w:rsid w:val="007A150C"/>
    <w:rsid w:val="007A1B6E"/>
    <w:rsid w:val="007A2A57"/>
    <w:rsid w:val="007A2E2C"/>
    <w:rsid w:val="007A2E52"/>
    <w:rsid w:val="007A590B"/>
    <w:rsid w:val="007A5BEB"/>
    <w:rsid w:val="007B0B3B"/>
    <w:rsid w:val="007B11D1"/>
    <w:rsid w:val="007B1784"/>
    <w:rsid w:val="007B21CA"/>
    <w:rsid w:val="007B42A2"/>
    <w:rsid w:val="007B453E"/>
    <w:rsid w:val="007B6335"/>
    <w:rsid w:val="007C1AF9"/>
    <w:rsid w:val="007C34BC"/>
    <w:rsid w:val="007C5A41"/>
    <w:rsid w:val="007C6F56"/>
    <w:rsid w:val="007D17DD"/>
    <w:rsid w:val="007D1F66"/>
    <w:rsid w:val="007D20E3"/>
    <w:rsid w:val="007D3356"/>
    <w:rsid w:val="007D36D3"/>
    <w:rsid w:val="007D495D"/>
    <w:rsid w:val="007D4C6C"/>
    <w:rsid w:val="007D5CAA"/>
    <w:rsid w:val="007D6A4A"/>
    <w:rsid w:val="007D7206"/>
    <w:rsid w:val="007E09E4"/>
    <w:rsid w:val="007E14AA"/>
    <w:rsid w:val="007E1931"/>
    <w:rsid w:val="007E47DF"/>
    <w:rsid w:val="007E51C7"/>
    <w:rsid w:val="007E5A4D"/>
    <w:rsid w:val="007F2C8B"/>
    <w:rsid w:val="007F3E1A"/>
    <w:rsid w:val="007F4D7A"/>
    <w:rsid w:val="007F527F"/>
    <w:rsid w:val="007F5B5F"/>
    <w:rsid w:val="00800539"/>
    <w:rsid w:val="00800647"/>
    <w:rsid w:val="00802C86"/>
    <w:rsid w:val="0080413A"/>
    <w:rsid w:val="00805C72"/>
    <w:rsid w:val="00807494"/>
    <w:rsid w:val="00807D5C"/>
    <w:rsid w:val="0081052D"/>
    <w:rsid w:val="00814383"/>
    <w:rsid w:val="00815E06"/>
    <w:rsid w:val="00816FD3"/>
    <w:rsid w:val="00817ECB"/>
    <w:rsid w:val="00822F98"/>
    <w:rsid w:val="008242E0"/>
    <w:rsid w:val="00824727"/>
    <w:rsid w:val="008248B0"/>
    <w:rsid w:val="00827589"/>
    <w:rsid w:val="00827D5B"/>
    <w:rsid w:val="00830942"/>
    <w:rsid w:val="00832AA4"/>
    <w:rsid w:val="00833355"/>
    <w:rsid w:val="00833534"/>
    <w:rsid w:val="00833D24"/>
    <w:rsid w:val="0083526C"/>
    <w:rsid w:val="00837FB9"/>
    <w:rsid w:val="00840CC0"/>
    <w:rsid w:val="008412DD"/>
    <w:rsid w:val="008415AB"/>
    <w:rsid w:val="00841B7B"/>
    <w:rsid w:val="0084246E"/>
    <w:rsid w:val="00842A72"/>
    <w:rsid w:val="00845D34"/>
    <w:rsid w:val="008476EF"/>
    <w:rsid w:val="00847E5D"/>
    <w:rsid w:val="008512D6"/>
    <w:rsid w:val="00851EFF"/>
    <w:rsid w:val="008528DC"/>
    <w:rsid w:val="00852DFC"/>
    <w:rsid w:val="00853FEE"/>
    <w:rsid w:val="00854305"/>
    <w:rsid w:val="008549FD"/>
    <w:rsid w:val="008562F6"/>
    <w:rsid w:val="0085676A"/>
    <w:rsid w:val="00856F42"/>
    <w:rsid w:val="0085726C"/>
    <w:rsid w:val="008625B7"/>
    <w:rsid w:val="00862ED6"/>
    <w:rsid w:val="00863CB5"/>
    <w:rsid w:val="00864198"/>
    <w:rsid w:val="0086611B"/>
    <w:rsid w:val="00870022"/>
    <w:rsid w:val="00870D48"/>
    <w:rsid w:val="00871E40"/>
    <w:rsid w:val="0087260A"/>
    <w:rsid w:val="008740E4"/>
    <w:rsid w:val="0087637A"/>
    <w:rsid w:val="00876F37"/>
    <w:rsid w:val="0088085A"/>
    <w:rsid w:val="008840DE"/>
    <w:rsid w:val="0088435E"/>
    <w:rsid w:val="00884738"/>
    <w:rsid w:val="008859BA"/>
    <w:rsid w:val="008869E4"/>
    <w:rsid w:val="00886A05"/>
    <w:rsid w:val="00887554"/>
    <w:rsid w:val="0088776B"/>
    <w:rsid w:val="0088785D"/>
    <w:rsid w:val="008926C4"/>
    <w:rsid w:val="008935A9"/>
    <w:rsid w:val="00893AD4"/>
    <w:rsid w:val="00893DA7"/>
    <w:rsid w:val="00894C7D"/>
    <w:rsid w:val="0089603B"/>
    <w:rsid w:val="008962B8"/>
    <w:rsid w:val="0089781F"/>
    <w:rsid w:val="00897B1D"/>
    <w:rsid w:val="008A0021"/>
    <w:rsid w:val="008A27DA"/>
    <w:rsid w:val="008A2F9D"/>
    <w:rsid w:val="008A78C3"/>
    <w:rsid w:val="008A7A27"/>
    <w:rsid w:val="008B24F1"/>
    <w:rsid w:val="008B2859"/>
    <w:rsid w:val="008B3593"/>
    <w:rsid w:val="008B3870"/>
    <w:rsid w:val="008B39DB"/>
    <w:rsid w:val="008B40CB"/>
    <w:rsid w:val="008B4190"/>
    <w:rsid w:val="008B426D"/>
    <w:rsid w:val="008B514C"/>
    <w:rsid w:val="008B52E4"/>
    <w:rsid w:val="008B6BEB"/>
    <w:rsid w:val="008B778E"/>
    <w:rsid w:val="008C028C"/>
    <w:rsid w:val="008C0A51"/>
    <w:rsid w:val="008C3413"/>
    <w:rsid w:val="008C4C96"/>
    <w:rsid w:val="008C6A7C"/>
    <w:rsid w:val="008C6E6A"/>
    <w:rsid w:val="008C7063"/>
    <w:rsid w:val="008D0EBB"/>
    <w:rsid w:val="008D1F9D"/>
    <w:rsid w:val="008D28F5"/>
    <w:rsid w:val="008D3D79"/>
    <w:rsid w:val="008D496C"/>
    <w:rsid w:val="008D4B65"/>
    <w:rsid w:val="008D4CDC"/>
    <w:rsid w:val="008D5E7B"/>
    <w:rsid w:val="008D5FAF"/>
    <w:rsid w:val="008D68E7"/>
    <w:rsid w:val="008E1649"/>
    <w:rsid w:val="008E1ED0"/>
    <w:rsid w:val="008E32DE"/>
    <w:rsid w:val="008E3E3F"/>
    <w:rsid w:val="008E6410"/>
    <w:rsid w:val="008F0626"/>
    <w:rsid w:val="008F0CED"/>
    <w:rsid w:val="008F0DB4"/>
    <w:rsid w:val="008F3791"/>
    <w:rsid w:val="008F5C67"/>
    <w:rsid w:val="008F5D4F"/>
    <w:rsid w:val="008F6AD3"/>
    <w:rsid w:val="008F6C9E"/>
    <w:rsid w:val="008F7198"/>
    <w:rsid w:val="0090019F"/>
    <w:rsid w:val="0090198B"/>
    <w:rsid w:val="0090346E"/>
    <w:rsid w:val="00903DD8"/>
    <w:rsid w:val="009043B2"/>
    <w:rsid w:val="009109A7"/>
    <w:rsid w:val="00910E16"/>
    <w:rsid w:val="009122E8"/>
    <w:rsid w:val="0091233E"/>
    <w:rsid w:val="009126B2"/>
    <w:rsid w:val="00916679"/>
    <w:rsid w:val="009175AA"/>
    <w:rsid w:val="00917986"/>
    <w:rsid w:val="00917E47"/>
    <w:rsid w:val="00920EDD"/>
    <w:rsid w:val="0092195F"/>
    <w:rsid w:val="00922F46"/>
    <w:rsid w:val="00924488"/>
    <w:rsid w:val="00924707"/>
    <w:rsid w:val="009269DC"/>
    <w:rsid w:val="009322B8"/>
    <w:rsid w:val="0093305F"/>
    <w:rsid w:val="009333FF"/>
    <w:rsid w:val="00933925"/>
    <w:rsid w:val="00934967"/>
    <w:rsid w:val="0093526A"/>
    <w:rsid w:val="00935B0E"/>
    <w:rsid w:val="0094443A"/>
    <w:rsid w:val="009454B6"/>
    <w:rsid w:val="00945B65"/>
    <w:rsid w:val="00945CF1"/>
    <w:rsid w:val="009462C4"/>
    <w:rsid w:val="0094781B"/>
    <w:rsid w:val="00951C4E"/>
    <w:rsid w:val="009554F2"/>
    <w:rsid w:val="00956049"/>
    <w:rsid w:val="00956C85"/>
    <w:rsid w:val="00961008"/>
    <w:rsid w:val="00961375"/>
    <w:rsid w:val="009635D6"/>
    <w:rsid w:val="00964BB9"/>
    <w:rsid w:val="00966CBA"/>
    <w:rsid w:val="0096729F"/>
    <w:rsid w:val="00970F8E"/>
    <w:rsid w:val="00971A75"/>
    <w:rsid w:val="00972319"/>
    <w:rsid w:val="00975698"/>
    <w:rsid w:val="00975B90"/>
    <w:rsid w:val="00975DED"/>
    <w:rsid w:val="00976021"/>
    <w:rsid w:val="00976C36"/>
    <w:rsid w:val="0098039C"/>
    <w:rsid w:val="009805BC"/>
    <w:rsid w:val="00980E41"/>
    <w:rsid w:val="009933FF"/>
    <w:rsid w:val="0099396F"/>
    <w:rsid w:val="009947C5"/>
    <w:rsid w:val="009958B7"/>
    <w:rsid w:val="00995D94"/>
    <w:rsid w:val="00996384"/>
    <w:rsid w:val="009972EC"/>
    <w:rsid w:val="009A037A"/>
    <w:rsid w:val="009A0D4F"/>
    <w:rsid w:val="009A21A2"/>
    <w:rsid w:val="009A3F62"/>
    <w:rsid w:val="009A4B45"/>
    <w:rsid w:val="009A6A73"/>
    <w:rsid w:val="009A7BF3"/>
    <w:rsid w:val="009A7D04"/>
    <w:rsid w:val="009B150B"/>
    <w:rsid w:val="009B34C9"/>
    <w:rsid w:val="009B3713"/>
    <w:rsid w:val="009B3D89"/>
    <w:rsid w:val="009B6950"/>
    <w:rsid w:val="009C0016"/>
    <w:rsid w:val="009C3D4F"/>
    <w:rsid w:val="009C4D55"/>
    <w:rsid w:val="009C56CF"/>
    <w:rsid w:val="009D0408"/>
    <w:rsid w:val="009D0D22"/>
    <w:rsid w:val="009D2764"/>
    <w:rsid w:val="009D3DFE"/>
    <w:rsid w:val="009D3EE1"/>
    <w:rsid w:val="009D4305"/>
    <w:rsid w:val="009D4A01"/>
    <w:rsid w:val="009D50BA"/>
    <w:rsid w:val="009D57FA"/>
    <w:rsid w:val="009D61EF"/>
    <w:rsid w:val="009D6592"/>
    <w:rsid w:val="009D6F71"/>
    <w:rsid w:val="009D7264"/>
    <w:rsid w:val="009D7B8C"/>
    <w:rsid w:val="009E04F0"/>
    <w:rsid w:val="009E1327"/>
    <w:rsid w:val="009E3A56"/>
    <w:rsid w:val="009E4345"/>
    <w:rsid w:val="009E484D"/>
    <w:rsid w:val="009F03D8"/>
    <w:rsid w:val="009F07BD"/>
    <w:rsid w:val="009F0EDE"/>
    <w:rsid w:val="009F1B09"/>
    <w:rsid w:val="009F2266"/>
    <w:rsid w:val="009F30EF"/>
    <w:rsid w:val="009F518C"/>
    <w:rsid w:val="009F65FD"/>
    <w:rsid w:val="009F76C6"/>
    <w:rsid w:val="009F7B7E"/>
    <w:rsid w:val="00A00670"/>
    <w:rsid w:val="00A01448"/>
    <w:rsid w:val="00A01D18"/>
    <w:rsid w:val="00A020A3"/>
    <w:rsid w:val="00A025F4"/>
    <w:rsid w:val="00A02609"/>
    <w:rsid w:val="00A02C51"/>
    <w:rsid w:val="00A03AA8"/>
    <w:rsid w:val="00A041ED"/>
    <w:rsid w:val="00A059C9"/>
    <w:rsid w:val="00A1102C"/>
    <w:rsid w:val="00A123B2"/>
    <w:rsid w:val="00A13EC8"/>
    <w:rsid w:val="00A154AF"/>
    <w:rsid w:val="00A16491"/>
    <w:rsid w:val="00A16D37"/>
    <w:rsid w:val="00A172B1"/>
    <w:rsid w:val="00A178E5"/>
    <w:rsid w:val="00A20497"/>
    <w:rsid w:val="00A23627"/>
    <w:rsid w:val="00A24041"/>
    <w:rsid w:val="00A25180"/>
    <w:rsid w:val="00A2542E"/>
    <w:rsid w:val="00A2611B"/>
    <w:rsid w:val="00A3074B"/>
    <w:rsid w:val="00A3117B"/>
    <w:rsid w:val="00A33790"/>
    <w:rsid w:val="00A33E9A"/>
    <w:rsid w:val="00A35A01"/>
    <w:rsid w:val="00A4047D"/>
    <w:rsid w:val="00A4173D"/>
    <w:rsid w:val="00A42719"/>
    <w:rsid w:val="00A4324A"/>
    <w:rsid w:val="00A439B8"/>
    <w:rsid w:val="00A44B10"/>
    <w:rsid w:val="00A44BAF"/>
    <w:rsid w:val="00A453F8"/>
    <w:rsid w:val="00A46146"/>
    <w:rsid w:val="00A47B9B"/>
    <w:rsid w:val="00A47EF0"/>
    <w:rsid w:val="00A51C34"/>
    <w:rsid w:val="00A521AF"/>
    <w:rsid w:val="00A5357E"/>
    <w:rsid w:val="00A545F2"/>
    <w:rsid w:val="00A5539D"/>
    <w:rsid w:val="00A55D35"/>
    <w:rsid w:val="00A57462"/>
    <w:rsid w:val="00A57D3D"/>
    <w:rsid w:val="00A61CDD"/>
    <w:rsid w:val="00A641FE"/>
    <w:rsid w:val="00A64202"/>
    <w:rsid w:val="00A66F22"/>
    <w:rsid w:val="00A67621"/>
    <w:rsid w:val="00A67CD8"/>
    <w:rsid w:val="00A67F74"/>
    <w:rsid w:val="00A75683"/>
    <w:rsid w:val="00A75C03"/>
    <w:rsid w:val="00A77197"/>
    <w:rsid w:val="00A77740"/>
    <w:rsid w:val="00A80CAD"/>
    <w:rsid w:val="00A814A1"/>
    <w:rsid w:val="00A816EF"/>
    <w:rsid w:val="00A8314E"/>
    <w:rsid w:val="00A84CFA"/>
    <w:rsid w:val="00A85AB6"/>
    <w:rsid w:val="00A8648A"/>
    <w:rsid w:val="00A911E2"/>
    <w:rsid w:val="00A9165C"/>
    <w:rsid w:val="00A93867"/>
    <w:rsid w:val="00A944E1"/>
    <w:rsid w:val="00A94520"/>
    <w:rsid w:val="00A96B83"/>
    <w:rsid w:val="00A96F9C"/>
    <w:rsid w:val="00A97BF6"/>
    <w:rsid w:val="00AA04E4"/>
    <w:rsid w:val="00AA06D7"/>
    <w:rsid w:val="00AA2740"/>
    <w:rsid w:val="00AA39CF"/>
    <w:rsid w:val="00AA3F73"/>
    <w:rsid w:val="00AA57BF"/>
    <w:rsid w:val="00AA6587"/>
    <w:rsid w:val="00AB0850"/>
    <w:rsid w:val="00AB4254"/>
    <w:rsid w:val="00AB5C41"/>
    <w:rsid w:val="00AB62E3"/>
    <w:rsid w:val="00AB6CF2"/>
    <w:rsid w:val="00AC018A"/>
    <w:rsid w:val="00AC1A21"/>
    <w:rsid w:val="00AC4215"/>
    <w:rsid w:val="00AC423D"/>
    <w:rsid w:val="00AC5ABE"/>
    <w:rsid w:val="00AC7FE3"/>
    <w:rsid w:val="00AD079B"/>
    <w:rsid w:val="00AD10A1"/>
    <w:rsid w:val="00AD195A"/>
    <w:rsid w:val="00AD2AD9"/>
    <w:rsid w:val="00AD2FE9"/>
    <w:rsid w:val="00AD2FF0"/>
    <w:rsid w:val="00AD397F"/>
    <w:rsid w:val="00AD4DF9"/>
    <w:rsid w:val="00AD4EAB"/>
    <w:rsid w:val="00AD5064"/>
    <w:rsid w:val="00AD54A2"/>
    <w:rsid w:val="00AD6B9C"/>
    <w:rsid w:val="00AD6DB5"/>
    <w:rsid w:val="00AD7286"/>
    <w:rsid w:val="00AE1971"/>
    <w:rsid w:val="00AE2393"/>
    <w:rsid w:val="00AE2D43"/>
    <w:rsid w:val="00AE3D79"/>
    <w:rsid w:val="00AE5514"/>
    <w:rsid w:val="00AE588B"/>
    <w:rsid w:val="00AE7512"/>
    <w:rsid w:val="00AE7B61"/>
    <w:rsid w:val="00AF0B2C"/>
    <w:rsid w:val="00AF10C4"/>
    <w:rsid w:val="00AF1C14"/>
    <w:rsid w:val="00AF2A9D"/>
    <w:rsid w:val="00AF2FAF"/>
    <w:rsid w:val="00AF350D"/>
    <w:rsid w:val="00AF3631"/>
    <w:rsid w:val="00AF3F16"/>
    <w:rsid w:val="00AF4444"/>
    <w:rsid w:val="00AF5034"/>
    <w:rsid w:val="00AF67B4"/>
    <w:rsid w:val="00AF6CC8"/>
    <w:rsid w:val="00AF7B69"/>
    <w:rsid w:val="00B000C3"/>
    <w:rsid w:val="00B03530"/>
    <w:rsid w:val="00B040F1"/>
    <w:rsid w:val="00B05088"/>
    <w:rsid w:val="00B05228"/>
    <w:rsid w:val="00B05A25"/>
    <w:rsid w:val="00B05ACF"/>
    <w:rsid w:val="00B06047"/>
    <w:rsid w:val="00B07ED6"/>
    <w:rsid w:val="00B12AA9"/>
    <w:rsid w:val="00B1308A"/>
    <w:rsid w:val="00B14301"/>
    <w:rsid w:val="00B164DE"/>
    <w:rsid w:val="00B22A65"/>
    <w:rsid w:val="00B22F58"/>
    <w:rsid w:val="00B26083"/>
    <w:rsid w:val="00B27A2B"/>
    <w:rsid w:val="00B27BA7"/>
    <w:rsid w:val="00B27C8A"/>
    <w:rsid w:val="00B306E8"/>
    <w:rsid w:val="00B33C8C"/>
    <w:rsid w:val="00B3412F"/>
    <w:rsid w:val="00B34419"/>
    <w:rsid w:val="00B35585"/>
    <w:rsid w:val="00B43E96"/>
    <w:rsid w:val="00B44EB8"/>
    <w:rsid w:val="00B472EE"/>
    <w:rsid w:val="00B4730A"/>
    <w:rsid w:val="00B47504"/>
    <w:rsid w:val="00B5061D"/>
    <w:rsid w:val="00B50CBE"/>
    <w:rsid w:val="00B51839"/>
    <w:rsid w:val="00B52435"/>
    <w:rsid w:val="00B524A5"/>
    <w:rsid w:val="00B54BF1"/>
    <w:rsid w:val="00B55303"/>
    <w:rsid w:val="00B57515"/>
    <w:rsid w:val="00B57B62"/>
    <w:rsid w:val="00B600F5"/>
    <w:rsid w:val="00B60C89"/>
    <w:rsid w:val="00B60D1E"/>
    <w:rsid w:val="00B60E95"/>
    <w:rsid w:val="00B61730"/>
    <w:rsid w:val="00B61B21"/>
    <w:rsid w:val="00B6205E"/>
    <w:rsid w:val="00B62223"/>
    <w:rsid w:val="00B644CD"/>
    <w:rsid w:val="00B64FE7"/>
    <w:rsid w:val="00B660A2"/>
    <w:rsid w:val="00B674A7"/>
    <w:rsid w:val="00B67BC3"/>
    <w:rsid w:val="00B67CAF"/>
    <w:rsid w:val="00B70464"/>
    <w:rsid w:val="00B7236F"/>
    <w:rsid w:val="00B723E7"/>
    <w:rsid w:val="00B72DA6"/>
    <w:rsid w:val="00B77696"/>
    <w:rsid w:val="00B80CE2"/>
    <w:rsid w:val="00B81401"/>
    <w:rsid w:val="00B814A4"/>
    <w:rsid w:val="00B8255A"/>
    <w:rsid w:val="00B84E67"/>
    <w:rsid w:val="00B92CC4"/>
    <w:rsid w:val="00B935D4"/>
    <w:rsid w:val="00B9587B"/>
    <w:rsid w:val="00BA0FE6"/>
    <w:rsid w:val="00BA22E6"/>
    <w:rsid w:val="00BA35FE"/>
    <w:rsid w:val="00BA4402"/>
    <w:rsid w:val="00BA50C2"/>
    <w:rsid w:val="00BA7760"/>
    <w:rsid w:val="00BA7915"/>
    <w:rsid w:val="00BB0B56"/>
    <w:rsid w:val="00BB12AD"/>
    <w:rsid w:val="00BB145E"/>
    <w:rsid w:val="00BB4BE8"/>
    <w:rsid w:val="00BB5F23"/>
    <w:rsid w:val="00BB63E5"/>
    <w:rsid w:val="00BB68B5"/>
    <w:rsid w:val="00BB7798"/>
    <w:rsid w:val="00BC1219"/>
    <w:rsid w:val="00BC2D5C"/>
    <w:rsid w:val="00BC3942"/>
    <w:rsid w:val="00BC3FC4"/>
    <w:rsid w:val="00BC4CDF"/>
    <w:rsid w:val="00BC71B0"/>
    <w:rsid w:val="00BD29BF"/>
    <w:rsid w:val="00BD5DBF"/>
    <w:rsid w:val="00BD665E"/>
    <w:rsid w:val="00BE03E5"/>
    <w:rsid w:val="00BE0D43"/>
    <w:rsid w:val="00BE1914"/>
    <w:rsid w:val="00BE221D"/>
    <w:rsid w:val="00BE4A77"/>
    <w:rsid w:val="00BE5EE0"/>
    <w:rsid w:val="00BE7EC2"/>
    <w:rsid w:val="00BF13DE"/>
    <w:rsid w:val="00BF17C4"/>
    <w:rsid w:val="00BF1D8C"/>
    <w:rsid w:val="00BF2E93"/>
    <w:rsid w:val="00BF3B07"/>
    <w:rsid w:val="00BF4B70"/>
    <w:rsid w:val="00BF4FF4"/>
    <w:rsid w:val="00BF7246"/>
    <w:rsid w:val="00BF797F"/>
    <w:rsid w:val="00C01388"/>
    <w:rsid w:val="00C018D9"/>
    <w:rsid w:val="00C0263B"/>
    <w:rsid w:val="00C03535"/>
    <w:rsid w:val="00C03B55"/>
    <w:rsid w:val="00C042EF"/>
    <w:rsid w:val="00C04667"/>
    <w:rsid w:val="00C05C57"/>
    <w:rsid w:val="00C063EA"/>
    <w:rsid w:val="00C068A4"/>
    <w:rsid w:val="00C10AA8"/>
    <w:rsid w:val="00C13593"/>
    <w:rsid w:val="00C1439B"/>
    <w:rsid w:val="00C22047"/>
    <w:rsid w:val="00C270DD"/>
    <w:rsid w:val="00C275BD"/>
    <w:rsid w:val="00C31873"/>
    <w:rsid w:val="00C331B2"/>
    <w:rsid w:val="00C33A28"/>
    <w:rsid w:val="00C34075"/>
    <w:rsid w:val="00C34ED3"/>
    <w:rsid w:val="00C35256"/>
    <w:rsid w:val="00C35A7F"/>
    <w:rsid w:val="00C370E4"/>
    <w:rsid w:val="00C4290F"/>
    <w:rsid w:val="00C43F17"/>
    <w:rsid w:val="00C4473A"/>
    <w:rsid w:val="00C448FE"/>
    <w:rsid w:val="00C46870"/>
    <w:rsid w:val="00C475A4"/>
    <w:rsid w:val="00C47AC0"/>
    <w:rsid w:val="00C52522"/>
    <w:rsid w:val="00C54BFE"/>
    <w:rsid w:val="00C565A2"/>
    <w:rsid w:val="00C56713"/>
    <w:rsid w:val="00C6031A"/>
    <w:rsid w:val="00C60378"/>
    <w:rsid w:val="00C607C9"/>
    <w:rsid w:val="00C60DA3"/>
    <w:rsid w:val="00C61EAA"/>
    <w:rsid w:val="00C62BD2"/>
    <w:rsid w:val="00C65679"/>
    <w:rsid w:val="00C67007"/>
    <w:rsid w:val="00C671BA"/>
    <w:rsid w:val="00C71A05"/>
    <w:rsid w:val="00C72E51"/>
    <w:rsid w:val="00C739EC"/>
    <w:rsid w:val="00C73B80"/>
    <w:rsid w:val="00C747E9"/>
    <w:rsid w:val="00C74F04"/>
    <w:rsid w:val="00C75A9F"/>
    <w:rsid w:val="00C76442"/>
    <w:rsid w:val="00C77031"/>
    <w:rsid w:val="00C81B6E"/>
    <w:rsid w:val="00C84B0E"/>
    <w:rsid w:val="00C85653"/>
    <w:rsid w:val="00C8752C"/>
    <w:rsid w:val="00C91C04"/>
    <w:rsid w:val="00C92B35"/>
    <w:rsid w:val="00C957A5"/>
    <w:rsid w:val="00C96928"/>
    <w:rsid w:val="00C96B65"/>
    <w:rsid w:val="00C97BB8"/>
    <w:rsid w:val="00C97ECF"/>
    <w:rsid w:val="00CA1355"/>
    <w:rsid w:val="00CA45F4"/>
    <w:rsid w:val="00CA6229"/>
    <w:rsid w:val="00CB05F0"/>
    <w:rsid w:val="00CB1DC8"/>
    <w:rsid w:val="00CB2C5F"/>
    <w:rsid w:val="00CB2CE5"/>
    <w:rsid w:val="00CB4309"/>
    <w:rsid w:val="00CB4C8B"/>
    <w:rsid w:val="00CB54E2"/>
    <w:rsid w:val="00CB619F"/>
    <w:rsid w:val="00CB7354"/>
    <w:rsid w:val="00CB79E3"/>
    <w:rsid w:val="00CB7F9E"/>
    <w:rsid w:val="00CC07FD"/>
    <w:rsid w:val="00CC1B36"/>
    <w:rsid w:val="00CC20D2"/>
    <w:rsid w:val="00CC5440"/>
    <w:rsid w:val="00CC5771"/>
    <w:rsid w:val="00CC68A1"/>
    <w:rsid w:val="00CD11D2"/>
    <w:rsid w:val="00CD2508"/>
    <w:rsid w:val="00CD25F2"/>
    <w:rsid w:val="00CD3A2F"/>
    <w:rsid w:val="00CD43EF"/>
    <w:rsid w:val="00CD5F2B"/>
    <w:rsid w:val="00CD6703"/>
    <w:rsid w:val="00CE0304"/>
    <w:rsid w:val="00CE1054"/>
    <w:rsid w:val="00CE1855"/>
    <w:rsid w:val="00CE3687"/>
    <w:rsid w:val="00CE45E5"/>
    <w:rsid w:val="00CE5773"/>
    <w:rsid w:val="00CF0AF8"/>
    <w:rsid w:val="00CF5508"/>
    <w:rsid w:val="00D006CA"/>
    <w:rsid w:val="00D014B0"/>
    <w:rsid w:val="00D12119"/>
    <w:rsid w:val="00D12329"/>
    <w:rsid w:val="00D14E3F"/>
    <w:rsid w:val="00D157E8"/>
    <w:rsid w:val="00D15CF0"/>
    <w:rsid w:val="00D16216"/>
    <w:rsid w:val="00D16747"/>
    <w:rsid w:val="00D17177"/>
    <w:rsid w:val="00D17B20"/>
    <w:rsid w:val="00D17D92"/>
    <w:rsid w:val="00D2126C"/>
    <w:rsid w:val="00D219C0"/>
    <w:rsid w:val="00D21ADD"/>
    <w:rsid w:val="00D22633"/>
    <w:rsid w:val="00D2298A"/>
    <w:rsid w:val="00D22EB4"/>
    <w:rsid w:val="00D2531E"/>
    <w:rsid w:val="00D2717C"/>
    <w:rsid w:val="00D30218"/>
    <w:rsid w:val="00D33319"/>
    <w:rsid w:val="00D34192"/>
    <w:rsid w:val="00D34FA8"/>
    <w:rsid w:val="00D35444"/>
    <w:rsid w:val="00D368B1"/>
    <w:rsid w:val="00D37B01"/>
    <w:rsid w:val="00D37DF1"/>
    <w:rsid w:val="00D41CFF"/>
    <w:rsid w:val="00D422E8"/>
    <w:rsid w:val="00D4470B"/>
    <w:rsid w:val="00D44CAF"/>
    <w:rsid w:val="00D46944"/>
    <w:rsid w:val="00D479E9"/>
    <w:rsid w:val="00D538DA"/>
    <w:rsid w:val="00D560CA"/>
    <w:rsid w:val="00D564F6"/>
    <w:rsid w:val="00D5715A"/>
    <w:rsid w:val="00D60267"/>
    <w:rsid w:val="00D603BA"/>
    <w:rsid w:val="00D6295A"/>
    <w:rsid w:val="00D636C1"/>
    <w:rsid w:val="00D65762"/>
    <w:rsid w:val="00D71439"/>
    <w:rsid w:val="00D740B1"/>
    <w:rsid w:val="00D75593"/>
    <w:rsid w:val="00D75FB1"/>
    <w:rsid w:val="00D7674A"/>
    <w:rsid w:val="00D774F6"/>
    <w:rsid w:val="00D77A66"/>
    <w:rsid w:val="00D819DB"/>
    <w:rsid w:val="00D81C19"/>
    <w:rsid w:val="00D8245C"/>
    <w:rsid w:val="00D82A7A"/>
    <w:rsid w:val="00D82AFC"/>
    <w:rsid w:val="00D82C19"/>
    <w:rsid w:val="00D82DD9"/>
    <w:rsid w:val="00D836B6"/>
    <w:rsid w:val="00D843E4"/>
    <w:rsid w:val="00D867D9"/>
    <w:rsid w:val="00D90598"/>
    <w:rsid w:val="00D91363"/>
    <w:rsid w:val="00D91575"/>
    <w:rsid w:val="00D91F1F"/>
    <w:rsid w:val="00D93517"/>
    <w:rsid w:val="00D950E0"/>
    <w:rsid w:val="00D95384"/>
    <w:rsid w:val="00D9790C"/>
    <w:rsid w:val="00D97B11"/>
    <w:rsid w:val="00DA34C4"/>
    <w:rsid w:val="00DA4319"/>
    <w:rsid w:val="00DA4800"/>
    <w:rsid w:val="00DA5528"/>
    <w:rsid w:val="00DA647A"/>
    <w:rsid w:val="00DA7F66"/>
    <w:rsid w:val="00DB004B"/>
    <w:rsid w:val="00DB0534"/>
    <w:rsid w:val="00DB120A"/>
    <w:rsid w:val="00DB576B"/>
    <w:rsid w:val="00DB7130"/>
    <w:rsid w:val="00DB719C"/>
    <w:rsid w:val="00DB7BC7"/>
    <w:rsid w:val="00DC0C5A"/>
    <w:rsid w:val="00DC17D2"/>
    <w:rsid w:val="00DC1FBE"/>
    <w:rsid w:val="00DC21E9"/>
    <w:rsid w:val="00DC2DB8"/>
    <w:rsid w:val="00DC2EAF"/>
    <w:rsid w:val="00DC3F87"/>
    <w:rsid w:val="00DC4052"/>
    <w:rsid w:val="00DC4E3F"/>
    <w:rsid w:val="00DC7619"/>
    <w:rsid w:val="00DC7C2C"/>
    <w:rsid w:val="00DD0EF0"/>
    <w:rsid w:val="00DD1F9D"/>
    <w:rsid w:val="00DD30A7"/>
    <w:rsid w:val="00DD3D2E"/>
    <w:rsid w:val="00DD44CD"/>
    <w:rsid w:val="00DD508E"/>
    <w:rsid w:val="00DD5342"/>
    <w:rsid w:val="00DD55C8"/>
    <w:rsid w:val="00DD5BE9"/>
    <w:rsid w:val="00DD7116"/>
    <w:rsid w:val="00DE33A1"/>
    <w:rsid w:val="00DE4AD2"/>
    <w:rsid w:val="00DE4F73"/>
    <w:rsid w:val="00DE536D"/>
    <w:rsid w:val="00DE6DAB"/>
    <w:rsid w:val="00DE7A2C"/>
    <w:rsid w:val="00DE7FFD"/>
    <w:rsid w:val="00DF01EA"/>
    <w:rsid w:val="00DF4642"/>
    <w:rsid w:val="00DF6BEA"/>
    <w:rsid w:val="00E03E70"/>
    <w:rsid w:val="00E041C0"/>
    <w:rsid w:val="00E043F9"/>
    <w:rsid w:val="00E04745"/>
    <w:rsid w:val="00E04B7D"/>
    <w:rsid w:val="00E0631B"/>
    <w:rsid w:val="00E103BA"/>
    <w:rsid w:val="00E10ABB"/>
    <w:rsid w:val="00E12E98"/>
    <w:rsid w:val="00E1301D"/>
    <w:rsid w:val="00E13976"/>
    <w:rsid w:val="00E153E1"/>
    <w:rsid w:val="00E15549"/>
    <w:rsid w:val="00E16718"/>
    <w:rsid w:val="00E16B77"/>
    <w:rsid w:val="00E20619"/>
    <w:rsid w:val="00E20A0F"/>
    <w:rsid w:val="00E21E92"/>
    <w:rsid w:val="00E2395C"/>
    <w:rsid w:val="00E2546D"/>
    <w:rsid w:val="00E31FA6"/>
    <w:rsid w:val="00E322C2"/>
    <w:rsid w:val="00E33D1B"/>
    <w:rsid w:val="00E352C2"/>
    <w:rsid w:val="00E371A9"/>
    <w:rsid w:val="00E42780"/>
    <w:rsid w:val="00E43691"/>
    <w:rsid w:val="00E44C8B"/>
    <w:rsid w:val="00E454A6"/>
    <w:rsid w:val="00E507FD"/>
    <w:rsid w:val="00E509F9"/>
    <w:rsid w:val="00E5113B"/>
    <w:rsid w:val="00E51A50"/>
    <w:rsid w:val="00E53E25"/>
    <w:rsid w:val="00E54D05"/>
    <w:rsid w:val="00E5557C"/>
    <w:rsid w:val="00E5742B"/>
    <w:rsid w:val="00E57600"/>
    <w:rsid w:val="00E57834"/>
    <w:rsid w:val="00E60931"/>
    <w:rsid w:val="00E610E7"/>
    <w:rsid w:val="00E613E2"/>
    <w:rsid w:val="00E640EC"/>
    <w:rsid w:val="00E64199"/>
    <w:rsid w:val="00E6741D"/>
    <w:rsid w:val="00E67985"/>
    <w:rsid w:val="00E679DF"/>
    <w:rsid w:val="00E707EC"/>
    <w:rsid w:val="00E70D25"/>
    <w:rsid w:val="00E70ECF"/>
    <w:rsid w:val="00E71160"/>
    <w:rsid w:val="00E72CE3"/>
    <w:rsid w:val="00E7454F"/>
    <w:rsid w:val="00E74E8A"/>
    <w:rsid w:val="00E75D56"/>
    <w:rsid w:val="00E75F9F"/>
    <w:rsid w:val="00E7782A"/>
    <w:rsid w:val="00E80FC9"/>
    <w:rsid w:val="00E8225E"/>
    <w:rsid w:val="00E86E07"/>
    <w:rsid w:val="00E87633"/>
    <w:rsid w:val="00E87DA5"/>
    <w:rsid w:val="00E91C02"/>
    <w:rsid w:val="00E91FE3"/>
    <w:rsid w:val="00E927C3"/>
    <w:rsid w:val="00E92F02"/>
    <w:rsid w:val="00E9377E"/>
    <w:rsid w:val="00E96BC7"/>
    <w:rsid w:val="00E96C1B"/>
    <w:rsid w:val="00E96D50"/>
    <w:rsid w:val="00E97E2D"/>
    <w:rsid w:val="00EA1700"/>
    <w:rsid w:val="00EA1C8A"/>
    <w:rsid w:val="00EA2962"/>
    <w:rsid w:val="00EA5A6E"/>
    <w:rsid w:val="00EA67F1"/>
    <w:rsid w:val="00EA7986"/>
    <w:rsid w:val="00EB1F1E"/>
    <w:rsid w:val="00EB2842"/>
    <w:rsid w:val="00EB2BD3"/>
    <w:rsid w:val="00EB4A21"/>
    <w:rsid w:val="00EB4E41"/>
    <w:rsid w:val="00EB7F26"/>
    <w:rsid w:val="00EC063C"/>
    <w:rsid w:val="00EC2345"/>
    <w:rsid w:val="00EC27E8"/>
    <w:rsid w:val="00EC34BC"/>
    <w:rsid w:val="00EC4C00"/>
    <w:rsid w:val="00EC54CD"/>
    <w:rsid w:val="00EC5BDA"/>
    <w:rsid w:val="00EC5F7A"/>
    <w:rsid w:val="00EC670A"/>
    <w:rsid w:val="00EC7A9E"/>
    <w:rsid w:val="00ED09AA"/>
    <w:rsid w:val="00ED219C"/>
    <w:rsid w:val="00ED34E3"/>
    <w:rsid w:val="00ED391E"/>
    <w:rsid w:val="00ED421A"/>
    <w:rsid w:val="00ED47F3"/>
    <w:rsid w:val="00ED48D2"/>
    <w:rsid w:val="00ED5664"/>
    <w:rsid w:val="00ED6ED0"/>
    <w:rsid w:val="00ED7534"/>
    <w:rsid w:val="00EE055F"/>
    <w:rsid w:val="00EE2107"/>
    <w:rsid w:val="00EE24B3"/>
    <w:rsid w:val="00EE2975"/>
    <w:rsid w:val="00EE42B7"/>
    <w:rsid w:val="00EE4E28"/>
    <w:rsid w:val="00EE4E67"/>
    <w:rsid w:val="00EE564E"/>
    <w:rsid w:val="00EE573C"/>
    <w:rsid w:val="00EE57EB"/>
    <w:rsid w:val="00EE60D4"/>
    <w:rsid w:val="00EE6305"/>
    <w:rsid w:val="00EE72DA"/>
    <w:rsid w:val="00EE78B2"/>
    <w:rsid w:val="00EF1282"/>
    <w:rsid w:val="00EF1754"/>
    <w:rsid w:val="00EF2B07"/>
    <w:rsid w:val="00EF2E6C"/>
    <w:rsid w:val="00EF35C3"/>
    <w:rsid w:val="00EF6BF3"/>
    <w:rsid w:val="00EF74B0"/>
    <w:rsid w:val="00F00552"/>
    <w:rsid w:val="00F0194F"/>
    <w:rsid w:val="00F02767"/>
    <w:rsid w:val="00F052F3"/>
    <w:rsid w:val="00F05A8F"/>
    <w:rsid w:val="00F06265"/>
    <w:rsid w:val="00F10E0A"/>
    <w:rsid w:val="00F10F46"/>
    <w:rsid w:val="00F12150"/>
    <w:rsid w:val="00F12373"/>
    <w:rsid w:val="00F12E2E"/>
    <w:rsid w:val="00F130E3"/>
    <w:rsid w:val="00F13CDA"/>
    <w:rsid w:val="00F13F1B"/>
    <w:rsid w:val="00F176CF"/>
    <w:rsid w:val="00F20285"/>
    <w:rsid w:val="00F215BA"/>
    <w:rsid w:val="00F216F2"/>
    <w:rsid w:val="00F21F7C"/>
    <w:rsid w:val="00F22736"/>
    <w:rsid w:val="00F246B3"/>
    <w:rsid w:val="00F2550E"/>
    <w:rsid w:val="00F266FC"/>
    <w:rsid w:val="00F31878"/>
    <w:rsid w:val="00F32E43"/>
    <w:rsid w:val="00F332D6"/>
    <w:rsid w:val="00F34FCF"/>
    <w:rsid w:val="00F35D2A"/>
    <w:rsid w:val="00F36F5D"/>
    <w:rsid w:val="00F375A8"/>
    <w:rsid w:val="00F401F6"/>
    <w:rsid w:val="00F417B5"/>
    <w:rsid w:val="00F44CAC"/>
    <w:rsid w:val="00F45251"/>
    <w:rsid w:val="00F47654"/>
    <w:rsid w:val="00F50325"/>
    <w:rsid w:val="00F52BED"/>
    <w:rsid w:val="00F55A33"/>
    <w:rsid w:val="00F55E0D"/>
    <w:rsid w:val="00F567D1"/>
    <w:rsid w:val="00F56B06"/>
    <w:rsid w:val="00F6124E"/>
    <w:rsid w:val="00F61459"/>
    <w:rsid w:val="00F61E8A"/>
    <w:rsid w:val="00F62C5C"/>
    <w:rsid w:val="00F6333B"/>
    <w:rsid w:val="00F6445F"/>
    <w:rsid w:val="00F64501"/>
    <w:rsid w:val="00F653D2"/>
    <w:rsid w:val="00F65CA4"/>
    <w:rsid w:val="00F66BD0"/>
    <w:rsid w:val="00F67316"/>
    <w:rsid w:val="00F675DF"/>
    <w:rsid w:val="00F6790E"/>
    <w:rsid w:val="00F67F26"/>
    <w:rsid w:val="00F70321"/>
    <w:rsid w:val="00F713FF"/>
    <w:rsid w:val="00F71E1C"/>
    <w:rsid w:val="00F7279E"/>
    <w:rsid w:val="00F7373A"/>
    <w:rsid w:val="00F7390A"/>
    <w:rsid w:val="00F74A2A"/>
    <w:rsid w:val="00F754C4"/>
    <w:rsid w:val="00F76B7F"/>
    <w:rsid w:val="00F77785"/>
    <w:rsid w:val="00F801DC"/>
    <w:rsid w:val="00F82C58"/>
    <w:rsid w:val="00F82D31"/>
    <w:rsid w:val="00F8306F"/>
    <w:rsid w:val="00F8320A"/>
    <w:rsid w:val="00F83C47"/>
    <w:rsid w:val="00F85627"/>
    <w:rsid w:val="00F85F65"/>
    <w:rsid w:val="00F906B9"/>
    <w:rsid w:val="00F90B9E"/>
    <w:rsid w:val="00F91571"/>
    <w:rsid w:val="00F93695"/>
    <w:rsid w:val="00F94671"/>
    <w:rsid w:val="00FA0615"/>
    <w:rsid w:val="00FA076B"/>
    <w:rsid w:val="00FA0F06"/>
    <w:rsid w:val="00FA19DF"/>
    <w:rsid w:val="00FA288B"/>
    <w:rsid w:val="00FA3102"/>
    <w:rsid w:val="00FA320C"/>
    <w:rsid w:val="00FA3BED"/>
    <w:rsid w:val="00FB0B38"/>
    <w:rsid w:val="00FB3DEE"/>
    <w:rsid w:val="00FB5582"/>
    <w:rsid w:val="00FB5CB1"/>
    <w:rsid w:val="00FB707C"/>
    <w:rsid w:val="00FC04D2"/>
    <w:rsid w:val="00FC2AF2"/>
    <w:rsid w:val="00FC2D49"/>
    <w:rsid w:val="00FC2EDA"/>
    <w:rsid w:val="00FC2FDA"/>
    <w:rsid w:val="00FC45D3"/>
    <w:rsid w:val="00FC4CBE"/>
    <w:rsid w:val="00FC5570"/>
    <w:rsid w:val="00FC5778"/>
    <w:rsid w:val="00FC67D4"/>
    <w:rsid w:val="00FC69DF"/>
    <w:rsid w:val="00FC6AAE"/>
    <w:rsid w:val="00FD2658"/>
    <w:rsid w:val="00FD329A"/>
    <w:rsid w:val="00FD69BD"/>
    <w:rsid w:val="00FD6D8C"/>
    <w:rsid w:val="00FD7180"/>
    <w:rsid w:val="00FD73B1"/>
    <w:rsid w:val="00FE0840"/>
    <w:rsid w:val="00FE158A"/>
    <w:rsid w:val="00FE18D7"/>
    <w:rsid w:val="00FE28B7"/>
    <w:rsid w:val="00FE2BCC"/>
    <w:rsid w:val="00FE32B0"/>
    <w:rsid w:val="00FE378C"/>
    <w:rsid w:val="00FE399B"/>
    <w:rsid w:val="00FE5FE2"/>
    <w:rsid w:val="00FE7A49"/>
    <w:rsid w:val="00FF047B"/>
    <w:rsid w:val="00FF3A25"/>
    <w:rsid w:val="00FF54EA"/>
  </w:rsids>
  <m:mathPr>
    <m:mathFont m:val="Cambria Math"/>
    <m:brkBin m:val="before"/>
    <m:brkBinSub m:val="--"/>
    <m:smallFrac m:val="0"/>
    <m:dispDef/>
    <m:lMargin m:val="0"/>
    <m:rMargin m:val="0"/>
    <m:defJc m:val="centerGroup"/>
    <m:wrapIndent m:val="1440"/>
    <m:intLim m:val="subSup"/>
    <m:naryLim m:val="undOvr"/>
  </m:mathPr>
  <w:themeFontLang w:val="es-C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67EE68"/>
  <w15:docId w15:val="{E0434236-BACE-4569-91E8-E2FDFEBFC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2DD"/>
    <w:rPr>
      <w:rFonts w:ascii="Garamond" w:eastAsia="Times" w:hAnsi="Garamond"/>
      <w:sz w:val="24"/>
      <w:lang w:val="es-ES_tradnl" w:eastAsia="en-US"/>
    </w:rPr>
  </w:style>
  <w:style w:type="paragraph" w:styleId="Ttulo1">
    <w:name w:val="heading 1"/>
    <w:basedOn w:val="Normal"/>
    <w:next w:val="Normal"/>
    <w:link w:val="Ttulo1Car"/>
    <w:uiPriority w:val="9"/>
    <w:qFormat/>
    <w:rsid w:val="00434E7B"/>
    <w:pPr>
      <w:keepNext/>
      <w:spacing w:before="240" w:after="60"/>
      <w:outlineLvl w:val="0"/>
    </w:pPr>
    <w:rPr>
      <w:rFonts w:ascii="Cambria" w:eastAsia="Times New Roman" w:hAnsi="Cambria"/>
      <w:b/>
      <w:bCs/>
      <w:kern w:val="32"/>
      <w:sz w:val="32"/>
      <w:szCs w:val="32"/>
    </w:rPr>
  </w:style>
  <w:style w:type="paragraph" w:styleId="Ttulo2">
    <w:name w:val="heading 2"/>
    <w:basedOn w:val="Normal"/>
    <w:next w:val="Normal"/>
    <w:link w:val="Ttulo2Car"/>
    <w:uiPriority w:val="9"/>
    <w:semiHidden/>
    <w:unhideWhenUsed/>
    <w:qFormat/>
    <w:rsid w:val="00061D0C"/>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4">
    <w:name w:val="heading 4"/>
    <w:basedOn w:val="Normal"/>
    <w:next w:val="Normal"/>
    <w:link w:val="Ttulo4Car"/>
    <w:uiPriority w:val="99"/>
    <w:qFormat/>
    <w:rsid w:val="00523227"/>
    <w:pPr>
      <w:keepNext/>
      <w:keepLines/>
      <w:spacing w:before="200"/>
      <w:outlineLvl w:val="3"/>
    </w:pPr>
    <w:rPr>
      <w:rFonts w:ascii="Cambria" w:eastAsia="MS Mincho" w:hAnsi="Cambria"/>
      <w:b/>
      <w:bCs/>
      <w:i/>
      <w:iCs/>
      <w:color w:val="4F81BD"/>
      <w:sz w:val="16"/>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Footnote Text Char Char Char Char Char,Footnote Text Char Char Char Char,Footnote reference,FA Fu,Footnote Text Char Char Char,Footnote Text Cha,FA Fußnotentext,FA Fuﬂnotentext,Footnote Text Char Char,FA Fu?notentext,Ca,FA Fu?notente,C,ft"/>
    <w:basedOn w:val="Normal"/>
    <w:link w:val="TextonotapieCar"/>
    <w:uiPriority w:val="99"/>
    <w:qFormat/>
    <w:rsid w:val="008740E4"/>
    <w:rPr>
      <w:rFonts w:ascii="Times" w:hAnsi="Times"/>
    </w:rPr>
  </w:style>
  <w:style w:type="character" w:customStyle="1" w:styleId="TextonotapieCar">
    <w:name w:val="Texto nota pie Car"/>
    <w:aliases w:val="Footnote Text Char Char Char Char Char Car,Footnote Text Char Char Char Char Car,Footnote reference Car,FA Fu Car,Footnote Text Char Char Char Car,Footnote Text Cha Car,FA Fußnotentext Car,FA Fuﬂnotentext Car,FA Fu?notentext Car,C Car"/>
    <w:link w:val="Textonotapie"/>
    <w:uiPriority w:val="99"/>
    <w:rsid w:val="008740E4"/>
    <w:rPr>
      <w:rFonts w:ascii="Times" w:eastAsia="Times" w:hAnsi="Times" w:cs="Times New Roman"/>
      <w:sz w:val="24"/>
      <w:szCs w:val="20"/>
      <w:lang w:val="es-ES_tradnl"/>
    </w:rPr>
  </w:style>
  <w:style w:type="character" w:styleId="Refdenotaalpie">
    <w:name w:val="footnote reference"/>
    <w:aliases w:val="Texto de nota al pie,Footnotes refss,Appel note de bas de page,Footnote number,referencia nota al pie,BVI fnr,f,4_G,16 Point,Superscript 6 Point,Texto nota al pie,Footnote Reference Char3,Footnote Reference Char1 Char,Ref. de nota al"/>
    <w:uiPriority w:val="99"/>
    <w:qFormat/>
    <w:rsid w:val="008740E4"/>
    <w:rPr>
      <w:vertAlign w:val="superscript"/>
    </w:rPr>
  </w:style>
  <w:style w:type="paragraph" w:styleId="Textoindependiente">
    <w:name w:val="Body Text"/>
    <w:basedOn w:val="Normal"/>
    <w:link w:val="TextoindependienteCar"/>
    <w:rsid w:val="008740E4"/>
    <w:pPr>
      <w:ind w:right="764"/>
      <w:jc w:val="both"/>
    </w:pPr>
  </w:style>
  <w:style w:type="character" w:customStyle="1" w:styleId="TextoindependienteCar">
    <w:name w:val="Texto independiente Car"/>
    <w:link w:val="Textoindependiente"/>
    <w:rsid w:val="008740E4"/>
    <w:rPr>
      <w:rFonts w:ascii="Garamond" w:eastAsia="Times" w:hAnsi="Garamond" w:cs="Times New Roman"/>
      <w:sz w:val="24"/>
      <w:szCs w:val="20"/>
      <w:lang w:val="es-ES_tradnl"/>
    </w:rPr>
  </w:style>
  <w:style w:type="paragraph" w:styleId="Piedepgina">
    <w:name w:val="footer"/>
    <w:basedOn w:val="Normal"/>
    <w:link w:val="PiedepginaCar"/>
    <w:uiPriority w:val="99"/>
    <w:rsid w:val="008740E4"/>
    <w:pPr>
      <w:tabs>
        <w:tab w:val="center" w:pos="4320"/>
        <w:tab w:val="right" w:pos="8640"/>
      </w:tabs>
    </w:pPr>
  </w:style>
  <w:style w:type="character" w:customStyle="1" w:styleId="PiedepginaCar">
    <w:name w:val="Pie de página Car"/>
    <w:link w:val="Piedepgina"/>
    <w:uiPriority w:val="99"/>
    <w:rsid w:val="008740E4"/>
    <w:rPr>
      <w:rFonts w:ascii="Garamond" w:eastAsia="Times" w:hAnsi="Garamond" w:cs="Times New Roman"/>
      <w:sz w:val="24"/>
      <w:szCs w:val="20"/>
      <w:lang w:val="es-ES_tradnl"/>
    </w:rPr>
  </w:style>
  <w:style w:type="character" w:styleId="Nmerodepgina">
    <w:name w:val="page number"/>
    <w:basedOn w:val="Fuentedeprrafopredeter"/>
    <w:rsid w:val="008740E4"/>
  </w:style>
  <w:style w:type="paragraph" w:styleId="Encabezado">
    <w:name w:val="header"/>
    <w:basedOn w:val="Normal"/>
    <w:link w:val="EncabezadoCar"/>
    <w:uiPriority w:val="99"/>
    <w:rsid w:val="008740E4"/>
    <w:pPr>
      <w:tabs>
        <w:tab w:val="center" w:pos="4320"/>
        <w:tab w:val="right" w:pos="8640"/>
      </w:tabs>
    </w:pPr>
  </w:style>
  <w:style w:type="character" w:customStyle="1" w:styleId="EncabezadoCar">
    <w:name w:val="Encabezado Car"/>
    <w:link w:val="Encabezado"/>
    <w:uiPriority w:val="99"/>
    <w:rsid w:val="008740E4"/>
    <w:rPr>
      <w:rFonts w:ascii="Garamond" w:eastAsia="Times" w:hAnsi="Garamond" w:cs="Times New Roman"/>
      <w:sz w:val="24"/>
      <w:szCs w:val="20"/>
      <w:lang w:val="es-ES_tradnl"/>
    </w:rPr>
  </w:style>
  <w:style w:type="character" w:customStyle="1" w:styleId="apple-style-span">
    <w:name w:val="apple-style-span"/>
    <w:basedOn w:val="Fuentedeprrafopredeter"/>
    <w:rsid w:val="008740E4"/>
  </w:style>
  <w:style w:type="paragraph" w:customStyle="1" w:styleId="ColorfulList-Accent11">
    <w:name w:val="Colorful List - Accent 11"/>
    <w:aliases w:val="List Paragraph,Footnote,Párrafo de lista1"/>
    <w:basedOn w:val="Normal"/>
    <w:link w:val="ColorfulList-Accent1Char1"/>
    <w:uiPriority w:val="34"/>
    <w:qFormat/>
    <w:rsid w:val="008740E4"/>
    <w:pPr>
      <w:ind w:left="720"/>
      <w:contextualSpacing/>
    </w:pPr>
  </w:style>
  <w:style w:type="paragraph" w:customStyle="1" w:styleId="Textoindependiente1">
    <w:name w:val="Texto independiente1"/>
    <w:basedOn w:val="Normal"/>
    <w:rsid w:val="008740E4"/>
    <w:pPr>
      <w:widowControl w:val="0"/>
      <w:jc w:val="both"/>
    </w:pPr>
    <w:rPr>
      <w:rFonts w:ascii="New York" w:eastAsia="Times New Roman" w:hAnsi="New York"/>
    </w:rPr>
  </w:style>
  <w:style w:type="paragraph" w:styleId="Textodeglobo">
    <w:name w:val="Balloon Text"/>
    <w:basedOn w:val="Normal"/>
    <w:link w:val="TextodegloboCar"/>
    <w:uiPriority w:val="99"/>
    <w:semiHidden/>
    <w:unhideWhenUsed/>
    <w:rsid w:val="008740E4"/>
    <w:rPr>
      <w:rFonts w:ascii="Tahoma" w:hAnsi="Tahoma"/>
      <w:sz w:val="16"/>
      <w:szCs w:val="16"/>
    </w:rPr>
  </w:style>
  <w:style w:type="character" w:customStyle="1" w:styleId="TextodegloboCar">
    <w:name w:val="Texto de globo Car"/>
    <w:link w:val="Textodeglobo"/>
    <w:uiPriority w:val="99"/>
    <w:semiHidden/>
    <w:rsid w:val="008740E4"/>
    <w:rPr>
      <w:rFonts w:ascii="Tahoma" w:eastAsia="Times" w:hAnsi="Tahoma" w:cs="Tahoma"/>
      <w:sz w:val="16"/>
      <w:szCs w:val="16"/>
      <w:lang w:val="es-ES_tradnl"/>
    </w:rPr>
  </w:style>
  <w:style w:type="paragraph" w:styleId="Textoindependiente2">
    <w:name w:val="Body Text 2"/>
    <w:basedOn w:val="Normal"/>
    <w:link w:val="Textoindependiente2Car"/>
    <w:uiPriority w:val="99"/>
    <w:semiHidden/>
    <w:unhideWhenUsed/>
    <w:rsid w:val="00D77A66"/>
    <w:pPr>
      <w:spacing w:after="120" w:line="480" w:lineRule="auto"/>
    </w:pPr>
  </w:style>
  <w:style w:type="character" w:customStyle="1" w:styleId="Textoindependiente2Car">
    <w:name w:val="Texto independiente 2 Car"/>
    <w:link w:val="Textoindependiente2"/>
    <w:uiPriority w:val="99"/>
    <w:semiHidden/>
    <w:rsid w:val="00D77A66"/>
    <w:rPr>
      <w:rFonts w:ascii="Garamond" w:eastAsia="Times" w:hAnsi="Garamond" w:cs="Times New Roman"/>
      <w:sz w:val="24"/>
      <w:szCs w:val="20"/>
      <w:lang w:val="es-ES_tradnl"/>
    </w:rPr>
  </w:style>
  <w:style w:type="character" w:styleId="Refdecomentario">
    <w:name w:val="annotation reference"/>
    <w:uiPriority w:val="99"/>
    <w:semiHidden/>
    <w:unhideWhenUsed/>
    <w:rsid w:val="00354557"/>
    <w:rPr>
      <w:sz w:val="16"/>
      <w:szCs w:val="16"/>
    </w:rPr>
  </w:style>
  <w:style w:type="paragraph" w:styleId="Textocomentario">
    <w:name w:val="annotation text"/>
    <w:basedOn w:val="Normal"/>
    <w:link w:val="TextocomentarioCar"/>
    <w:uiPriority w:val="99"/>
    <w:semiHidden/>
    <w:unhideWhenUsed/>
    <w:rsid w:val="00354557"/>
    <w:rPr>
      <w:sz w:val="20"/>
    </w:rPr>
  </w:style>
  <w:style w:type="character" w:customStyle="1" w:styleId="TextocomentarioCar">
    <w:name w:val="Texto comentario Car"/>
    <w:link w:val="Textocomentario"/>
    <w:uiPriority w:val="99"/>
    <w:semiHidden/>
    <w:rsid w:val="00354557"/>
    <w:rPr>
      <w:rFonts w:ascii="Garamond" w:eastAsia="Times" w:hAnsi="Garamond" w:cs="Times New Roman"/>
      <w:sz w:val="20"/>
      <w:szCs w:val="20"/>
      <w:lang w:val="es-ES_tradnl"/>
    </w:rPr>
  </w:style>
  <w:style w:type="paragraph" w:styleId="Asuntodelcomentario">
    <w:name w:val="annotation subject"/>
    <w:basedOn w:val="Textocomentario"/>
    <w:next w:val="Textocomentario"/>
    <w:link w:val="AsuntodelcomentarioCar"/>
    <w:uiPriority w:val="99"/>
    <w:semiHidden/>
    <w:unhideWhenUsed/>
    <w:rsid w:val="00354557"/>
    <w:rPr>
      <w:b/>
      <w:bCs/>
    </w:rPr>
  </w:style>
  <w:style w:type="character" w:customStyle="1" w:styleId="AsuntodelcomentarioCar">
    <w:name w:val="Asunto del comentario Car"/>
    <w:link w:val="Asuntodelcomentario"/>
    <w:uiPriority w:val="99"/>
    <w:semiHidden/>
    <w:rsid w:val="00354557"/>
    <w:rPr>
      <w:rFonts w:ascii="Garamond" w:eastAsia="Times" w:hAnsi="Garamond" w:cs="Times New Roman"/>
      <w:b/>
      <w:bCs/>
      <w:sz w:val="20"/>
      <w:szCs w:val="20"/>
      <w:lang w:val="es-ES_tradnl"/>
    </w:rPr>
  </w:style>
  <w:style w:type="character" w:styleId="Hipervnculo">
    <w:name w:val="Hyperlink"/>
    <w:uiPriority w:val="99"/>
    <w:unhideWhenUsed/>
    <w:rsid w:val="005349E0"/>
    <w:rPr>
      <w:color w:val="0000FF"/>
      <w:u w:val="single"/>
    </w:rPr>
  </w:style>
  <w:style w:type="character" w:customStyle="1" w:styleId="apple-converted-space">
    <w:name w:val="apple-converted-space"/>
    <w:basedOn w:val="Fuentedeprrafopredeter"/>
    <w:rsid w:val="0096729F"/>
  </w:style>
  <w:style w:type="character" w:styleId="nfasis">
    <w:name w:val="Emphasis"/>
    <w:uiPriority w:val="20"/>
    <w:qFormat/>
    <w:rsid w:val="003458BE"/>
    <w:rPr>
      <w:i/>
      <w:iCs/>
    </w:rPr>
  </w:style>
  <w:style w:type="character" w:styleId="Nmerodelnea">
    <w:name w:val="line number"/>
    <w:basedOn w:val="Fuentedeprrafopredeter"/>
    <w:uiPriority w:val="99"/>
    <w:semiHidden/>
    <w:unhideWhenUsed/>
    <w:rsid w:val="002E7642"/>
  </w:style>
  <w:style w:type="character" w:customStyle="1" w:styleId="ColorfulList-Accent1Char1">
    <w:name w:val="Colorful List - Accent 1 Char1"/>
    <w:aliases w:val="Footnote Char1,Párrafo de lista1 Char1,List Paragraph Char1"/>
    <w:link w:val="ColorfulList-Accent11"/>
    <w:uiPriority w:val="34"/>
    <w:rsid w:val="00E57600"/>
    <w:rPr>
      <w:rFonts w:ascii="Garamond" w:eastAsia="Times" w:hAnsi="Garamond"/>
      <w:sz w:val="24"/>
      <w:lang w:val="es-ES_tradnl" w:eastAsia="en-US"/>
    </w:rPr>
  </w:style>
  <w:style w:type="table" w:styleId="Tablaconcuadrcula">
    <w:name w:val="Table Grid"/>
    <w:basedOn w:val="Tablanormal"/>
    <w:uiPriority w:val="59"/>
    <w:rsid w:val="004C0B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5C44B6"/>
    <w:pPr>
      <w:spacing w:before="100" w:beforeAutospacing="1" w:after="100" w:afterAutospacing="1"/>
    </w:pPr>
    <w:rPr>
      <w:rFonts w:ascii="Times New Roman" w:eastAsia="Times New Roman" w:hAnsi="Times New Roman"/>
      <w:szCs w:val="24"/>
      <w:lang w:val="es-CR" w:eastAsia="es-CR"/>
    </w:rPr>
  </w:style>
  <w:style w:type="paragraph" w:customStyle="1" w:styleId="Sangradetindependiente">
    <w:name w:val="SangrÌa de t. independiente"/>
    <w:basedOn w:val="Normal"/>
    <w:rsid w:val="00AF2A9D"/>
    <w:pPr>
      <w:ind w:right="12"/>
      <w:jc w:val="both"/>
    </w:pPr>
    <w:rPr>
      <w:rFonts w:eastAsia="Times New Roman"/>
      <w:sz w:val="20"/>
      <w:lang w:eastAsia="es-ES"/>
    </w:rPr>
  </w:style>
  <w:style w:type="character" w:styleId="Textoennegrita">
    <w:name w:val="Strong"/>
    <w:uiPriority w:val="22"/>
    <w:qFormat/>
    <w:rsid w:val="00C54BFE"/>
    <w:rPr>
      <w:b/>
      <w:bCs/>
    </w:rPr>
  </w:style>
  <w:style w:type="character" w:customStyle="1" w:styleId="s6b621b36">
    <w:name w:val="s6b621b36"/>
    <w:basedOn w:val="Fuentedeprrafopredeter"/>
    <w:rsid w:val="00C54BFE"/>
  </w:style>
  <w:style w:type="paragraph" w:customStyle="1" w:styleId="ColorfulShading-Accent11">
    <w:name w:val="Colorful Shading - Accent 11"/>
    <w:hidden/>
    <w:uiPriority w:val="99"/>
    <w:semiHidden/>
    <w:rsid w:val="0006663A"/>
    <w:rPr>
      <w:rFonts w:ascii="Garamond" w:eastAsia="Times" w:hAnsi="Garamond"/>
      <w:sz w:val="24"/>
      <w:lang w:val="es-ES_tradnl" w:eastAsia="en-US"/>
    </w:rPr>
  </w:style>
  <w:style w:type="paragraph" w:styleId="Sangradetextonormal">
    <w:name w:val="Body Text Indent"/>
    <w:basedOn w:val="Normal"/>
    <w:link w:val="SangradetextonormalCar"/>
    <w:uiPriority w:val="99"/>
    <w:unhideWhenUsed/>
    <w:rsid w:val="00FC2FDA"/>
    <w:pPr>
      <w:spacing w:after="120"/>
      <w:ind w:left="360"/>
    </w:pPr>
  </w:style>
  <w:style w:type="character" w:customStyle="1" w:styleId="SangradetextonormalCar">
    <w:name w:val="Sangría de texto normal Car"/>
    <w:link w:val="Sangradetextonormal"/>
    <w:uiPriority w:val="99"/>
    <w:rsid w:val="00FC2FDA"/>
    <w:rPr>
      <w:rFonts w:ascii="Garamond" w:eastAsia="Times" w:hAnsi="Garamond"/>
      <w:sz w:val="24"/>
      <w:lang w:val="es-ES_tradnl"/>
    </w:rPr>
  </w:style>
  <w:style w:type="character" w:customStyle="1" w:styleId="ColorfulList-Accent1Char">
    <w:name w:val="Colorful List - Accent 1 Char"/>
    <w:link w:val="Cuadrculamedia1-nfasis2"/>
    <w:uiPriority w:val="34"/>
    <w:rsid w:val="00D2717C"/>
    <w:rPr>
      <w:rFonts w:ascii="Garamond" w:eastAsia="Times" w:hAnsi="Garamond"/>
      <w:sz w:val="24"/>
      <w:lang w:val="es-ES_tradnl" w:eastAsia="en-US"/>
    </w:rPr>
  </w:style>
  <w:style w:type="table" w:styleId="Cuadrculamedia1-nfasis2">
    <w:name w:val="Medium Grid 1 Accent 2"/>
    <w:basedOn w:val="Tablanormal"/>
    <w:link w:val="ColorfulList-Accent1Char"/>
    <w:uiPriority w:val="34"/>
    <w:rsid w:val="00D2717C"/>
    <w:rPr>
      <w:rFonts w:ascii="Garamond" w:eastAsia="Times" w:hAnsi="Garamond"/>
      <w:sz w:val="24"/>
      <w:lang w:val="es-ES_tradnl"/>
    </w:rPr>
    <w:tblPr>
      <w:tblStyleRowBandSize w:val="1"/>
      <w:tblStyleColBandSize w:val="1"/>
    </w:tblPr>
    <w:tcPr>
      <w:shd w:val="clear" w:color="auto" w:fill="EDF2F8"/>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character" w:customStyle="1" w:styleId="Ttulo4Car">
    <w:name w:val="Título 4 Car"/>
    <w:link w:val="Ttulo4"/>
    <w:uiPriority w:val="99"/>
    <w:rsid w:val="00523227"/>
    <w:rPr>
      <w:rFonts w:ascii="Cambria" w:eastAsia="MS Mincho" w:hAnsi="Cambria"/>
      <w:b/>
      <w:bCs/>
      <w:i/>
      <w:iCs/>
      <w:color w:val="4F81BD"/>
      <w:sz w:val="16"/>
      <w:szCs w:val="24"/>
      <w:lang w:val="es-ES_tradnl" w:eastAsia="en-US"/>
    </w:rPr>
  </w:style>
  <w:style w:type="character" w:customStyle="1" w:styleId="ListParagraphChar">
    <w:name w:val="List Paragraph Char"/>
    <w:aliases w:val="Footnote Char,Párrafo de lista1 Char"/>
    <w:uiPriority w:val="99"/>
    <w:locked/>
    <w:rsid w:val="00727E4F"/>
  </w:style>
  <w:style w:type="paragraph" w:styleId="Prrafodelista">
    <w:name w:val="List Paragraph"/>
    <w:basedOn w:val="Normal"/>
    <w:uiPriority w:val="99"/>
    <w:qFormat/>
    <w:rsid w:val="00D82C19"/>
    <w:pPr>
      <w:ind w:left="708"/>
    </w:pPr>
  </w:style>
  <w:style w:type="character" w:customStyle="1" w:styleId="Ttulo1Car">
    <w:name w:val="Título 1 Car"/>
    <w:link w:val="Ttulo1"/>
    <w:uiPriority w:val="9"/>
    <w:rsid w:val="00434E7B"/>
    <w:rPr>
      <w:rFonts w:ascii="Cambria" w:eastAsia="Times New Roman" w:hAnsi="Cambria" w:cs="Times New Roman"/>
      <w:b/>
      <w:bCs/>
      <w:kern w:val="32"/>
      <w:sz w:val="32"/>
      <w:szCs w:val="32"/>
      <w:lang w:val="es-ES_tradnl" w:eastAsia="en-US"/>
    </w:rPr>
  </w:style>
  <w:style w:type="paragraph" w:styleId="TDC1">
    <w:name w:val="toc 1"/>
    <w:basedOn w:val="Normal"/>
    <w:next w:val="Normal"/>
    <w:autoRedefine/>
    <w:uiPriority w:val="39"/>
    <w:unhideWhenUsed/>
    <w:rsid w:val="008D496C"/>
    <w:pPr>
      <w:tabs>
        <w:tab w:val="left" w:pos="480"/>
        <w:tab w:val="right" w:leader="dot" w:pos="8828"/>
      </w:tabs>
      <w:spacing w:before="60" w:after="60"/>
      <w:ind w:left="480"/>
      <w:jc w:val="both"/>
    </w:pPr>
    <w:rPr>
      <w:rFonts w:asciiTheme="minorHAnsi" w:hAnsiTheme="minorHAnsi"/>
      <w:b/>
      <w:bCs/>
      <w:sz w:val="20"/>
    </w:rPr>
  </w:style>
  <w:style w:type="character" w:customStyle="1" w:styleId="FootnoteTextChar1">
    <w:name w:val="Footnote Text Char1"/>
    <w:aliases w:val="Footnote Text Char Char Char Char Char Char1,Footnote Text Char Char Char Char Char2,Footnote reference Char1,FA Fu Char1,Footnote Text Char Char Char Char2,Footnote Text Cha Char1,FA Fußnotentext Char1,FA Fuﬂnotentext Char1,Ca Char1"/>
    <w:semiHidden/>
    <w:locked/>
    <w:rsid w:val="007F527F"/>
    <w:rPr>
      <w:lang w:val="en-US" w:eastAsia="en-US"/>
    </w:rPr>
  </w:style>
  <w:style w:type="character" w:styleId="Hipervnculovisitado">
    <w:name w:val="FollowedHyperlink"/>
    <w:basedOn w:val="Fuentedeprrafopredeter"/>
    <w:uiPriority w:val="99"/>
    <w:semiHidden/>
    <w:unhideWhenUsed/>
    <w:rsid w:val="00467E35"/>
    <w:rPr>
      <w:color w:val="800080" w:themeColor="followedHyperlink"/>
      <w:u w:val="single"/>
    </w:rPr>
  </w:style>
  <w:style w:type="character" w:customStyle="1" w:styleId="Mencinsinresolver1">
    <w:name w:val="Mención sin resolver1"/>
    <w:basedOn w:val="Fuentedeprrafopredeter"/>
    <w:uiPriority w:val="99"/>
    <w:semiHidden/>
    <w:unhideWhenUsed/>
    <w:rsid w:val="003C155B"/>
    <w:rPr>
      <w:color w:val="605E5C"/>
      <w:shd w:val="clear" w:color="auto" w:fill="E1DFDD"/>
    </w:rPr>
  </w:style>
  <w:style w:type="paragraph" w:styleId="TtuloTDC">
    <w:name w:val="TOC Heading"/>
    <w:basedOn w:val="Ttulo1"/>
    <w:next w:val="Normal"/>
    <w:uiPriority w:val="39"/>
    <w:unhideWhenUsed/>
    <w:qFormat/>
    <w:rsid w:val="009D3EE1"/>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val="en-US" w:eastAsia="ja-JP"/>
    </w:rPr>
  </w:style>
  <w:style w:type="character" w:customStyle="1" w:styleId="Ttulo2Car">
    <w:name w:val="Título 2 Car"/>
    <w:basedOn w:val="Fuentedeprrafopredeter"/>
    <w:link w:val="Ttulo2"/>
    <w:uiPriority w:val="9"/>
    <w:semiHidden/>
    <w:rsid w:val="00061D0C"/>
    <w:rPr>
      <w:rFonts w:asciiTheme="majorHAnsi" w:eastAsiaTheme="majorEastAsia" w:hAnsiTheme="majorHAnsi" w:cstheme="majorBidi"/>
      <w:color w:val="365F91" w:themeColor="accent1" w:themeShade="BF"/>
      <w:sz w:val="26"/>
      <w:szCs w:val="26"/>
      <w:lang w:val="es-ES_tradnl" w:eastAsia="en-US"/>
    </w:rPr>
  </w:style>
  <w:style w:type="paragraph" w:styleId="TDC2">
    <w:name w:val="toc 2"/>
    <w:basedOn w:val="Normal"/>
    <w:next w:val="Normal"/>
    <w:autoRedefine/>
    <w:uiPriority w:val="39"/>
    <w:unhideWhenUsed/>
    <w:rsid w:val="005435C1"/>
    <w:pPr>
      <w:spacing w:before="120"/>
      <w:ind w:left="240"/>
    </w:pPr>
    <w:rPr>
      <w:rFonts w:asciiTheme="minorHAnsi" w:hAnsiTheme="minorHAnsi"/>
      <w:i/>
      <w:iCs/>
      <w:sz w:val="20"/>
    </w:rPr>
  </w:style>
  <w:style w:type="paragraph" w:styleId="TDC3">
    <w:name w:val="toc 3"/>
    <w:basedOn w:val="Normal"/>
    <w:next w:val="Normal"/>
    <w:autoRedefine/>
    <w:uiPriority w:val="39"/>
    <w:unhideWhenUsed/>
    <w:rsid w:val="005435C1"/>
    <w:pPr>
      <w:ind w:left="480"/>
    </w:pPr>
    <w:rPr>
      <w:rFonts w:asciiTheme="minorHAnsi" w:hAnsiTheme="minorHAnsi"/>
      <w:sz w:val="20"/>
    </w:rPr>
  </w:style>
  <w:style w:type="paragraph" w:styleId="TDC4">
    <w:name w:val="toc 4"/>
    <w:basedOn w:val="Normal"/>
    <w:next w:val="Normal"/>
    <w:autoRedefine/>
    <w:uiPriority w:val="39"/>
    <w:unhideWhenUsed/>
    <w:rsid w:val="005435C1"/>
    <w:pPr>
      <w:ind w:left="720"/>
    </w:pPr>
    <w:rPr>
      <w:rFonts w:asciiTheme="minorHAnsi" w:hAnsiTheme="minorHAnsi"/>
      <w:sz w:val="20"/>
    </w:rPr>
  </w:style>
  <w:style w:type="paragraph" w:styleId="TDC5">
    <w:name w:val="toc 5"/>
    <w:basedOn w:val="Normal"/>
    <w:next w:val="Normal"/>
    <w:autoRedefine/>
    <w:uiPriority w:val="39"/>
    <w:unhideWhenUsed/>
    <w:rsid w:val="005435C1"/>
    <w:pPr>
      <w:ind w:left="960"/>
    </w:pPr>
    <w:rPr>
      <w:rFonts w:asciiTheme="minorHAnsi" w:hAnsiTheme="minorHAnsi"/>
      <w:sz w:val="20"/>
    </w:rPr>
  </w:style>
  <w:style w:type="paragraph" w:styleId="TDC6">
    <w:name w:val="toc 6"/>
    <w:basedOn w:val="Normal"/>
    <w:next w:val="Normal"/>
    <w:autoRedefine/>
    <w:uiPriority w:val="39"/>
    <w:unhideWhenUsed/>
    <w:rsid w:val="005435C1"/>
    <w:pPr>
      <w:ind w:left="1200"/>
    </w:pPr>
    <w:rPr>
      <w:rFonts w:asciiTheme="minorHAnsi" w:hAnsiTheme="minorHAnsi"/>
      <w:sz w:val="20"/>
    </w:rPr>
  </w:style>
  <w:style w:type="paragraph" w:styleId="TDC7">
    <w:name w:val="toc 7"/>
    <w:basedOn w:val="Normal"/>
    <w:next w:val="Normal"/>
    <w:autoRedefine/>
    <w:uiPriority w:val="39"/>
    <w:unhideWhenUsed/>
    <w:rsid w:val="005435C1"/>
    <w:pPr>
      <w:ind w:left="1440"/>
    </w:pPr>
    <w:rPr>
      <w:rFonts w:asciiTheme="minorHAnsi" w:hAnsiTheme="minorHAnsi"/>
      <w:sz w:val="20"/>
    </w:rPr>
  </w:style>
  <w:style w:type="paragraph" w:styleId="TDC8">
    <w:name w:val="toc 8"/>
    <w:basedOn w:val="Normal"/>
    <w:next w:val="Normal"/>
    <w:autoRedefine/>
    <w:uiPriority w:val="39"/>
    <w:unhideWhenUsed/>
    <w:rsid w:val="005435C1"/>
    <w:pPr>
      <w:ind w:left="1680"/>
    </w:pPr>
    <w:rPr>
      <w:rFonts w:asciiTheme="minorHAnsi" w:hAnsiTheme="minorHAnsi"/>
      <w:sz w:val="20"/>
    </w:rPr>
  </w:style>
  <w:style w:type="paragraph" w:styleId="TDC9">
    <w:name w:val="toc 9"/>
    <w:basedOn w:val="Normal"/>
    <w:next w:val="Normal"/>
    <w:autoRedefine/>
    <w:uiPriority w:val="39"/>
    <w:unhideWhenUsed/>
    <w:rsid w:val="005435C1"/>
    <w:pPr>
      <w:ind w:left="1920"/>
    </w:pPr>
    <w:rPr>
      <w:rFonts w:asciiTheme="minorHAnsi" w:hAnsiTheme="minorHAnsi"/>
      <w:sz w:val="20"/>
    </w:rPr>
  </w:style>
  <w:style w:type="character" w:styleId="Textodelmarcadordeposicin">
    <w:name w:val="Placeholder Text"/>
    <w:basedOn w:val="Fuentedeprrafopredeter"/>
    <w:uiPriority w:val="99"/>
    <w:semiHidden/>
    <w:rsid w:val="005D36A7"/>
    <w:rPr>
      <w:color w:val="808080"/>
    </w:rPr>
  </w:style>
  <w:style w:type="paragraph" w:customStyle="1" w:styleId="Default">
    <w:name w:val="Default"/>
    <w:rsid w:val="00FB0B38"/>
    <w:pPr>
      <w:autoSpaceDE w:val="0"/>
      <w:autoSpaceDN w:val="0"/>
      <w:adjustRightInd w:val="0"/>
    </w:pPr>
    <w:rPr>
      <w:rFonts w:ascii="Verdana" w:hAnsi="Verdana" w:cs="Verdan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742808">
      <w:bodyDiv w:val="1"/>
      <w:marLeft w:val="0"/>
      <w:marRight w:val="0"/>
      <w:marTop w:val="0"/>
      <w:marBottom w:val="0"/>
      <w:divBdr>
        <w:top w:val="none" w:sz="0" w:space="0" w:color="auto"/>
        <w:left w:val="none" w:sz="0" w:space="0" w:color="auto"/>
        <w:bottom w:val="none" w:sz="0" w:space="0" w:color="auto"/>
        <w:right w:val="none" w:sz="0" w:space="0" w:color="auto"/>
      </w:divBdr>
    </w:div>
    <w:div w:id="73432268">
      <w:bodyDiv w:val="1"/>
      <w:marLeft w:val="0"/>
      <w:marRight w:val="0"/>
      <w:marTop w:val="0"/>
      <w:marBottom w:val="0"/>
      <w:divBdr>
        <w:top w:val="none" w:sz="0" w:space="0" w:color="auto"/>
        <w:left w:val="none" w:sz="0" w:space="0" w:color="auto"/>
        <w:bottom w:val="none" w:sz="0" w:space="0" w:color="auto"/>
        <w:right w:val="none" w:sz="0" w:space="0" w:color="auto"/>
      </w:divBdr>
      <w:divsChild>
        <w:div w:id="981809012">
          <w:marLeft w:val="0"/>
          <w:marRight w:val="0"/>
          <w:marTop w:val="0"/>
          <w:marBottom w:val="0"/>
          <w:divBdr>
            <w:top w:val="none" w:sz="0" w:space="0" w:color="auto"/>
            <w:left w:val="none" w:sz="0" w:space="0" w:color="auto"/>
            <w:bottom w:val="none" w:sz="0" w:space="0" w:color="auto"/>
            <w:right w:val="none" w:sz="0" w:space="0" w:color="auto"/>
          </w:divBdr>
          <w:divsChild>
            <w:div w:id="944577886">
              <w:marLeft w:val="0"/>
              <w:marRight w:val="0"/>
              <w:marTop w:val="0"/>
              <w:marBottom w:val="0"/>
              <w:divBdr>
                <w:top w:val="none" w:sz="0" w:space="0" w:color="auto"/>
                <w:left w:val="none" w:sz="0" w:space="0" w:color="auto"/>
                <w:bottom w:val="none" w:sz="0" w:space="0" w:color="auto"/>
                <w:right w:val="none" w:sz="0" w:space="0" w:color="auto"/>
              </w:divBdr>
              <w:divsChild>
                <w:div w:id="1488937672">
                  <w:marLeft w:val="0"/>
                  <w:marRight w:val="0"/>
                  <w:marTop w:val="0"/>
                  <w:marBottom w:val="0"/>
                  <w:divBdr>
                    <w:top w:val="none" w:sz="0" w:space="0" w:color="auto"/>
                    <w:left w:val="none" w:sz="0" w:space="0" w:color="auto"/>
                    <w:bottom w:val="none" w:sz="0" w:space="0" w:color="auto"/>
                    <w:right w:val="none" w:sz="0" w:space="0" w:color="auto"/>
                  </w:divBdr>
                  <w:divsChild>
                    <w:div w:id="818887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8868359">
      <w:bodyDiv w:val="1"/>
      <w:marLeft w:val="0"/>
      <w:marRight w:val="0"/>
      <w:marTop w:val="0"/>
      <w:marBottom w:val="0"/>
      <w:divBdr>
        <w:top w:val="none" w:sz="0" w:space="0" w:color="auto"/>
        <w:left w:val="none" w:sz="0" w:space="0" w:color="auto"/>
        <w:bottom w:val="none" w:sz="0" w:space="0" w:color="auto"/>
        <w:right w:val="none" w:sz="0" w:space="0" w:color="auto"/>
      </w:divBdr>
    </w:div>
    <w:div w:id="461000009">
      <w:bodyDiv w:val="1"/>
      <w:marLeft w:val="0"/>
      <w:marRight w:val="0"/>
      <w:marTop w:val="0"/>
      <w:marBottom w:val="0"/>
      <w:divBdr>
        <w:top w:val="none" w:sz="0" w:space="0" w:color="auto"/>
        <w:left w:val="none" w:sz="0" w:space="0" w:color="auto"/>
        <w:bottom w:val="none" w:sz="0" w:space="0" w:color="auto"/>
        <w:right w:val="none" w:sz="0" w:space="0" w:color="auto"/>
      </w:divBdr>
    </w:div>
    <w:div w:id="532307958">
      <w:bodyDiv w:val="1"/>
      <w:marLeft w:val="0"/>
      <w:marRight w:val="0"/>
      <w:marTop w:val="0"/>
      <w:marBottom w:val="0"/>
      <w:divBdr>
        <w:top w:val="none" w:sz="0" w:space="0" w:color="auto"/>
        <w:left w:val="none" w:sz="0" w:space="0" w:color="auto"/>
        <w:bottom w:val="none" w:sz="0" w:space="0" w:color="auto"/>
        <w:right w:val="none" w:sz="0" w:space="0" w:color="auto"/>
      </w:divBdr>
      <w:divsChild>
        <w:div w:id="1113094520">
          <w:marLeft w:val="0"/>
          <w:marRight w:val="0"/>
          <w:marTop w:val="0"/>
          <w:marBottom w:val="0"/>
          <w:divBdr>
            <w:top w:val="none" w:sz="0" w:space="0" w:color="auto"/>
            <w:left w:val="none" w:sz="0" w:space="0" w:color="auto"/>
            <w:bottom w:val="none" w:sz="0" w:space="0" w:color="auto"/>
            <w:right w:val="none" w:sz="0" w:space="0" w:color="auto"/>
          </w:divBdr>
          <w:divsChild>
            <w:div w:id="1032919203">
              <w:marLeft w:val="0"/>
              <w:marRight w:val="0"/>
              <w:marTop w:val="0"/>
              <w:marBottom w:val="0"/>
              <w:divBdr>
                <w:top w:val="none" w:sz="0" w:space="0" w:color="auto"/>
                <w:left w:val="none" w:sz="0" w:space="0" w:color="auto"/>
                <w:bottom w:val="none" w:sz="0" w:space="0" w:color="auto"/>
                <w:right w:val="none" w:sz="0" w:space="0" w:color="auto"/>
              </w:divBdr>
              <w:divsChild>
                <w:div w:id="1953779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814200">
      <w:bodyDiv w:val="1"/>
      <w:marLeft w:val="0"/>
      <w:marRight w:val="0"/>
      <w:marTop w:val="0"/>
      <w:marBottom w:val="0"/>
      <w:divBdr>
        <w:top w:val="none" w:sz="0" w:space="0" w:color="auto"/>
        <w:left w:val="none" w:sz="0" w:space="0" w:color="auto"/>
        <w:bottom w:val="none" w:sz="0" w:space="0" w:color="auto"/>
        <w:right w:val="none" w:sz="0" w:space="0" w:color="auto"/>
      </w:divBdr>
      <w:divsChild>
        <w:div w:id="1417287315">
          <w:marLeft w:val="0"/>
          <w:marRight w:val="0"/>
          <w:marTop w:val="0"/>
          <w:marBottom w:val="0"/>
          <w:divBdr>
            <w:top w:val="none" w:sz="0" w:space="0" w:color="auto"/>
            <w:left w:val="none" w:sz="0" w:space="0" w:color="auto"/>
            <w:bottom w:val="none" w:sz="0" w:space="0" w:color="auto"/>
            <w:right w:val="none" w:sz="0" w:space="0" w:color="auto"/>
          </w:divBdr>
          <w:divsChild>
            <w:div w:id="780152951">
              <w:marLeft w:val="0"/>
              <w:marRight w:val="0"/>
              <w:marTop w:val="0"/>
              <w:marBottom w:val="0"/>
              <w:divBdr>
                <w:top w:val="none" w:sz="0" w:space="0" w:color="auto"/>
                <w:left w:val="none" w:sz="0" w:space="0" w:color="auto"/>
                <w:bottom w:val="none" w:sz="0" w:space="0" w:color="auto"/>
                <w:right w:val="none" w:sz="0" w:space="0" w:color="auto"/>
              </w:divBdr>
              <w:divsChild>
                <w:div w:id="1640263712">
                  <w:marLeft w:val="0"/>
                  <w:marRight w:val="0"/>
                  <w:marTop w:val="0"/>
                  <w:marBottom w:val="0"/>
                  <w:divBdr>
                    <w:top w:val="none" w:sz="0" w:space="0" w:color="auto"/>
                    <w:left w:val="none" w:sz="0" w:space="0" w:color="auto"/>
                    <w:bottom w:val="none" w:sz="0" w:space="0" w:color="auto"/>
                    <w:right w:val="none" w:sz="0" w:space="0" w:color="auto"/>
                  </w:divBdr>
                  <w:divsChild>
                    <w:div w:id="459767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930305">
      <w:bodyDiv w:val="1"/>
      <w:marLeft w:val="0"/>
      <w:marRight w:val="0"/>
      <w:marTop w:val="0"/>
      <w:marBottom w:val="0"/>
      <w:divBdr>
        <w:top w:val="none" w:sz="0" w:space="0" w:color="auto"/>
        <w:left w:val="none" w:sz="0" w:space="0" w:color="auto"/>
        <w:bottom w:val="none" w:sz="0" w:space="0" w:color="auto"/>
        <w:right w:val="none" w:sz="0" w:space="0" w:color="auto"/>
      </w:divBdr>
      <w:divsChild>
        <w:div w:id="1601336379">
          <w:marLeft w:val="0"/>
          <w:marRight w:val="0"/>
          <w:marTop w:val="0"/>
          <w:marBottom w:val="0"/>
          <w:divBdr>
            <w:top w:val="none" w:sz="0" w:space="0" w:color="auto"/>
            <w:left w:val="none" w:sz="0" w:space="0" w:color="auto"/>
            <w:bottom w:val="none" w:sz="0" w:space="0" w:color="auto"/>
            <w:right w:val="none" w:sz="0" w:space="0" w:color="auto"/>
          </w:divBdr>
          <w:divsChild>
            <w:div w:id="905646731">
              <w:marLeft w:val="0"/>
              <w:marRight w:val="0"/>
              <w:marTop w:val="0"/>
              <w:marBottom w:val="0"/>
              <w:divBdr>
                <w:top w:val="none" w:sz="0" w:space="0" w:color="auto"/>
                <w:left w:val="none" w:sz="0" w:space="0" w:color="auto"/>
                <w:bottom w:val="none" w:sz="0" w:space="0" w:color="auto"/>
                <w:right w:val="none" w:sz="0" w:space="0" w:color="auto"/>
              </w:divBdr>
              <w:divsChild>
                <w:div w:id="931473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424909">
      <w:bodyDiv w:val="1"/>
      <w:marLeft w:val="0"/>
      <w:marRight w:val="0"/>
      <w:marTop w:val="0"/>
      <w:marBottom w:val="0"/>
      <w:divBdr>
        <w:top w:val="none" w:sz="0" w:space="0" w:color="auto"/>
        <w:left w:val="none" w:sz="0" w:space="0" w:color="auto"/>
        <w:bottom w:val="none" w:sz="0" w:space="0" w:color="auto"/>
        <w:right w:val="none" w:sz="0" w:space="0" w:color="auto"/>
      </w:divBdr>
      <w:divsChild>
        <w:div w:id="870268690">
          <w:marLeft w:val="0"/>
          <w:marRight w:val="0"/>
          <w:marTop w:val="0"/>
          <w:marBottom w:val="0"/>
          <w:divBdr>
            <w:top w:val="none" w:sz="0" w:space="0" w:color="auto"/>
            <w:left w:val="none" w:sz="0" w:space="0" w:color="auto"/>
            <w:bottom w:val="none" w:sz="0" w:space="0" w:color="auto"/>
            <w:right w:val="none" w:sz="0" w:space="0" w:color="auto"/>
          </w:divBdr>
          <w:divsChild>
            <w:div w:id="489449841">
              <w:marLeft w:val="0"/>
              <w:marRight w:val="0"/>
              <w:marTop w:val="0"/>
              <w:marBottom w:val="0"/>
              <w:divBdr>
                <w:top w:val="none" w:sz="0" w:space="0" w:color="auto"/>
                <w:left w:val="none" w:sz="0" w:space="0" w:color="auto"/>
                <w:bottom w:val="none" w:sz="0" w:space="0" w:color="auto"/>
                <w:right w:val="none" w:sz="0" w:space="0" w:color="auto"/>
              </w:divBdr>
              <w:divsChild>
                <w:div w:id="1790122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2942027">
      <w:bodyDiv w:val="1"/>
      <w:marLeft w:val="0"/>
      <w:marRight w:val="0"/>
      <w:marTop w:val="0"/>
      <w:marBottom w:val="0"/>
      <w:divBdr>
        <w:top w:val="none" w:sz="0" w:space="0" w:color="auto"/>
        <w:left w:val="none" w:sz="0" w:space="0" w:color="auto"/>
        <w:bottom w:val="none" w:sz="0" w:space="0" w:color="auto"/>
        <w:right w:val="none" w:sz="0" w:space="0" w:color="auto"/>
      </w:divBdr>
      <w:divsChild>
        <w:div w:id="1849562865">
          <w:marLeft w:val="0"/>
          <w:marRight w:val="0"/>
          <w:marTop w:val="180"/>
          <w:marBottom w:val="0"/>
          <w:divBdr>
            <w:top w:val="none" w:sz="0" w:space="0" w:color="auto"/>
            <w:left w:val="none" w:sz="0" w:space="0" w:color="auto"/>
            <w:bottom w:val="none" w:sz="0" w:space="0" w:color="auto"/>
            <w:right w:val="none" w:sz="0" w:space="0" w:color="auto"/>
          </w:divBdr>
        </w:div>
      </w:divsChild>
    </w:div>
    <w:div w:id="868955078">
      <w:bodyDiv w:val="1"/>
      <w:marLeft w:val="0"/>
      <w:marRight w:val="0"/>
      <w:marTop w:val="0"/>
      <w:marBottom w:val="0"/>
      <w:divBdr>
        <w:top w:val="none" w:sz="0" w:space="0" w:color="auto"/>
        <w:left w:val="none" w:sz="0" w:space="0" w:color="auto"/>
        <w:bottom w:val="none" w:sz="0" w:space="0" w:color="auto"/>
        <w:right w:val="none" w:sz="0" w:space="0" w:color="auto"/>
      </w:divBdr>
    </w:div>
    <w:div w:id="898706916">
      <w:bodyDiv w:val="1"/>
      <w:marLeft w:val="0"/>
      <w:marRight w:val="0"/>
      <w:marTop w:val="0"/>
      <w:marBottom w:val="0"/>
      <w:divBdr>
        <w:top w:val="none" w:sz="0" w:space="0" w:color="auto"/>
        <w:left w:val="none" w:sz="0" w:space="0" w:color="auto"/>
        <w:bottom w:val="none" w:sz="0" w:space="0" w:color="auto"/>
        <w:right w:val="none" w:sz="0" w:space="0" w:color="auto"/>
      </w:divBdr>
    </w:div>
    <w:div w:id="922954447">
      <w:bodyDiv w:val="1"/>
      <w:marLeft w:val="0"/>
      <w:marRight w:val="0"/>
      <w:marTop w:val="0"/>
      <w:marBottom w:val="0"/>
      <w:divBdr>
        <w:top w:val="none" w:sz="0" w:space="0" w:color="auto"/>
        <w:left w:val="none" w:sz="0" w:space="0" w:color="auto"/>
        <w:bottom w:val="none" w:sz="0" w:space="0" w:color="auto"/>
        <w:right w:val="none" w:sz="0" w:space="0" w:color="auto"/>
      </w:divBdr>
    </w:div>
    <w:div w:id="1201936448">
      <w:bodyDiv w:val="1"/>
      <w:marLeft w:val="0"/>
      <w:marRight w:val="0"/>
      <w:marTop w:val="0"/>
      <w:marBottom w:val="0"/>
      <w:divBdr>
        <w:top w:val="none" w:sz="0" w:space="0" w:color="auto"/>
        <w:left w:val="none" w:sz="0" w:space="0" w:color="auto"/>
        <w:bottom w:val="none" w:sz="0" w:space="0" w:color="auto"/>
        <w:right w:val="none" w:sz="0" w:space="0" w:color="auto"/>
      </w:divBdr>
      <w:divsChild>
        <w:div w:id="513960519">
          <w:marLeft w:val="0"/>
          <w:marRight w:val="0"/>
          <w:marTop w:val="0"/>
          <w:marBottom w:val="0"/>
          <w:divBdr>
            <w:top w:val="none" w:sz="0" w:space="0" w:color="auto"/>
            <w:left w:val="none" w:sz="0" w:space="0" w:color="auto"/>
            <w:bottom w:val="none" w:sz="0" w:space="0" w:color="auto"/>
            <w:right w:val="none" w:sz="0" w:space="0" w:color="auto"/>
          </w:divBdr>
          <w:divsChild>
            <w:div w:id="388193000">
              <w:marLeft w:val="0"/>
              <w:marRight w:val="0"/>
              <w:marTop w:val="0"/>
              <w:marBottom w:val="0"/>
              <w:divBdr>
                <w:top w:val="none" w:sz="0" w:space="0" w:color="auto"/>
                <w:left w:val="none" w:sz="0" w:space="0" w:color="auto"/>
                <w:bottom w:val="none" w:sz="0" w:space="0" w:color="auto"/>
                <w:right w:val="none" w:sz="0" w:space="0" w:color="auto"/>
              </w:divBdr>
              <w:divsChild>
                <w:div w:id="27965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32018">
      <w:bodyDiv w:val="1"/>
      <w:marLeft w:val="0"/>
      <w:marRight w:val="0"/>
      <w:marTop w:val="0"/>
      <w:marBottom w:val="0"/>
      <w:divBdr>
        <w:top w:val="none" w:sz="0" w:space="0" w:color="auto"/>
        <w:left w:val="none" w:sz="0" w:space="0" w:color="auto"/>
        <w:bottom w:val="none" w:sz="0" w:space="0" w:color="auto"/>
        <w:right w:val="none" w:sz="0" w:space="0" w:color="auto"/>
      </w:divBdr>
    </w:div>
    <w:div w:id="1559390585">
      <w:bodyDiv w:val="1"/>
      <w:marLeft w:val="0"/>
      <w:marRight w:val="0"/>
      <w:marTop w:val="0"/>
      <w:marBottom w:val="0"/>
      <w:divBdr>
        <w:top w:val="none" w:sz="0" w:space="0" w:color="auto"/>
        <w:left w:val="none" w:sz="0" w:space="0" w:color="auto"/>
        <w:bottom w:val="none" w:sz="0" w:space="0" w:color="auto"/>
        <w:right w:val="none" w:sz="0" w:space="0" w:color="auto"/>
      </w:divBdr>
      <w:divsChild>
        <w:div w:id="2139715792">
          <w:marLeft w:val="0"/>
          <w:marRight w:val="0"/>
          <w:marTop w:val="0"/>
          <w:marBottom w:val="0"/>
          <w:divBdr>
            <w:top w:val="none" w:sz="0" w:space="0" w:color="auto"/>
            <w:left w:val="none" w:sz="0" w:space="0" w:color="auto"/>
            <w:bottom w:val="none" w:sz="0" w:space="0" w:color="auto"/>
            <w:right w:val="none" w:sz="0" w:space="0" w:color="auto"/>
          </w:divBdr>
          <w:divsChild>
            <w:div w:id="777914939">
              <w:marLeft w:val="0"/>
              <w:marRight w:val="0"/>
              <w:marTop w:val="0"/>
              <w:marBottom w:val="0"/>
              <w:divBdr>
                <w:top w:val="none" w:sz="0" w:space="0" w:color="auto"/>
                <w:left w:val="none" w:sz="0" w:space="0" w:color="auto"/>
                <w:bottom w:val="none" w:sz="0" w:space="0" w:color="auto"/>
                <w:right w:val="none" w:sz="0" w:space="0" w:color="auto"/>
              </w:divBdr>
              <w:divsChild>
                <w:div w:id="1365061917">
                  <w:marLeft w:val="0"/>
                  <w:marRight w:val="0"/>
                  <w:marTop w:val="0"/>
                  <w:marBottom w:val="0"/>
                  <w:divBdr>
                    <w:top w:val="none" w:sz="0" w:space="0" w:color="auto"/>
                    <w:left w:val="none" w:sz="0" w:space="0" w:color="auto"/>
                    <w:bottom w:val="none" w:sz="0" w:space="0" w:color="auto"/>
                    <w:right w:val="none" w:sz="0" w:space="0" w:color="auto"/>
                  </w:divBdr>
                  <w:divsChild>
                    <w:div w:id="1633443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6664863">
      <w:bodyDiv w:val="1"/>
      <w:marLeft w:val="0"/>
      <w:marRight w:val="0"/>
      <w:marTop w:val="0"/>
      <w:marBottom w:val="0"/>
      <w:divBdr>
        <w:top w:val="none" w:sz="0" w:space="0" w:color="auto"/>
        <w:left w:val="none" w:sz="0" w:space="0" w:color="auto"/>
        <w:bottom w:val="none" w:sz="0" w:space="0" w:color="auto"/>
        <w:right w:val="none" w:sz="0" w:space="0" w:color="auto"/>
      </w:divBdr>
      <w:divsChild>
        <w:div w:id="261568088">
          <w:marLeft w:val="0"/>
          <w:marRight w:val="0"/>
          <w:marTop w:val="0"/>
          <w:marBottom w:val="0"/>
          <w:divBdr>
            <w:top w:val="none" w:sz="0" w:space="0" w:color="auto"/>
            <w:left w:val="none" w:sz="0" w:space="0" w:color="auto"/>
            <w:bottom w:val="none" w:sz="0" w:space="0" w:color="auto"/>
            <w:right w:val="none" w:sz="0" w:space="0" w:color="auto"/>
          </w:divBdr>
          <w:divsChild>
            <w:div w:id="761073589">
              <w:marLeft w:val="0"/>
              <w:marRight w:val="0"/>
              <w:marTop w:val="0"/>
              <w:marBottom w:val="0"/>
              <w:divBdr>
                <w:top w:val="none" w:sz="0" w:space="0" w:color="auto"/>
                <w:left w:val="none" w:sz="0" w:space="0" w:color="auto"/>
                <w:bottom w:val="none" w:sz="0" w:space="0" w:color="auto"/>
                <w:right w:val="none" w:sz="0" w:space="0" w:color="auto"/>
              </w:divBdr>
              <w:divsChild>
                <w:div w:id="1463814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0370983">
      <w:bodyDiv w:val="1"/>
      <w:marLeft w:val="0"/>
      <w:marRight w:val="0"/>
      <w:marTop w:val="0"/>
      <w:marBottom w:val="0"/>
      <w:divBdr>
        <w:top w:val="none" w:sz="0" w:space="0" w:color="auto"/>
        <w:left w:val="none" w:sz="0" w:space="0" w:color="auto"/>
        <w:bottom w:val="none" w:sz="0" w:space="0" w:color="auto"/>
        <w:right w:val="none" w:sz="0" w:space="0" w:color="auto"/>
      </w:divBdr>
      <w:divsChild>
        <w:div w:id="873495550">
          <w:marLeft w:val="0"/>
          <w:marRight w:val="0"/>
          <w:marTop w:val="0"/>
          <w:marBottom w:val="0"/>
          <w:divBdr>
            <w:top w:val="none" w:sz="0" w:space="0" w:color="auto"/>
            <w:left w:val="none" w:sz="0" w:space="0" w:color="auto"/>
            <w:bottom w:val="none" w:sz="0" w:space="0" w:color="auto"/>
            <w:right w:val="none" w:sz="0" w:space="0" w:color="auto"/>
          </w:divBdr>
          <w:divsChild>
            <w:div w:id="1265184529">
              <w:marLeft w:val="0"/>
              <w:marRight w:val="0"/>
              <w:marTop w:val="0"/>
              <w:marBottom w:val="0"/>
              <w:divBdr>
                <w:top w:val="none" w:sz="0" w:space="0" w:color="auto"/>
                <w:left w:val="none" w:sz="0" w:space="0" w:color="auto"/>
                <w:bottom w:val="none" w:sz="0" w:space="0" w:color="auto"/>
                <w:right w:val="none" w:sz="0" w:space="0" w:color="auto"/>
              </w:divBdr>
              <w:divsChild>
                <w:div w:id="126460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673721">
      <w:bodyDiv w:val="1"/>
      <w:marLeft w:val="0"/>
      <w:marRight w:val="0"/>
      <w:marTop w:val="0"/>
      <w:marBottom w:val="0"/>
      <w:divBdr>
        <w:top w:val="none" w:sz="0" w:space="0" w:color="auto"/>
        <w:left w:val="none" w:sz="0" w:space="0" w:color="auto"/>
        <w:bottom w:val="none" w:sz="0" w:space="0" w:color="auto"/>
        <w:right w:val="none" w:sz="0" w:space="0" w:color="auto"/>
      </w:divBdr>
      <w:divsChild>
        <w:div w:id="1485659262">
          <w:marLeft w:val="0"/>
          <w:marRight w:val="0"/>
          <w:marTop w:val="0"/>
          <w:marBottom w:val="0"/>
          <w:divBdr>
            <w:top w:val="none" w:sz="0" w:space="0" w:color="auto"/>
            <w:left w:val="none" w:sz="0" w:space="0" w:color="auto"/>
            <w:bottom w:val="none" w:sz="0" w:space="0" w:color="auto"/>
            <w:right w:val="none" w:sz="0" w:space="0" w:color="auto"/>
          </w:divBdr>
          <w:divsChild>
            <w:div w:id="1785155258">
              <w:marLeft w:val="0"/>
              <w:marRight w:val="0"/>
              <w:marTop w:val="0"/>
              <w:marBottom w:val="0"/>
              <w:divBdr>
                <w:top w:val="none" w:sz="0" w:space="0" w:color="auto"/>
                <w:left w:val="none" w:sz="0" w:space="0" w:color="auto"/>
                <w:bottom w:val="none" w:sz="0" w:space="0" w:color="auto"/>
                <w:right w:val="none" w:sz="0" w:space="0" w:color="auto"/>
              </w:divBdr>
              <w:divsChild>
                <w:div w:id="1008219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9470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s://www.cij.gov.ar/adj/pdfs/ADJ-0.464934001418220954.pdf" TargetMode="External"/><Relationship Id="rId2" Type="http://schemas.openxmlformats.org/officeDocument/2006/relationships/hyperlink" Target="http://www.archivoinfojus.gob.ar/nacionales/caso-gutierrez-el-estado-acompana-a-la-familia-en-el-reclamo-de-justicia-7883.html" TargetMode="External"/><Relationship Id="rId1" Type="http://schemas.openxmlformats.org/officeDocument/2006/relationships/hyperlink" Target="http://www.corteidh.or.cr/docs/casos/articulos/seriec_271_esp.pdf" TargetMode="External"/><Relationship Id="rId4" Type="http://schemas.openxmlformats.org/officeDocument/2006/relationships/hyperlink" Target="http://www.csjn.gov.a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BD3971-7012-4FF9-82DF-76F4156125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18</Pages>
  <Words>7775</Words>
  <Characters>42764</Characters>
  <Application>Microsoft Office Word</Application>
  <DocSecurity>0</DocSecurity>
  <Lines>356</Lines>
  <Paragraphs>100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50439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Corte IDH</dc:creator>
  <cp:lastModifiedBy>Hannia Sanchez</cp:lastModifiedBy>
  <cp:revision>3</cp:revision>
  <cp:lastPrinted>2019-12-19T22:34:00Z</cp:lastPrinted>
  <dcterms:created xsi:type="dcterms:W3CDTF">2019-12-19T22:33:00Z</dcterms:created>
  <dcterms:modified xsi:type="dcterms:W3CDTF">2019-12-19T22:34:00Z</dcterms:modified>
</cp:coreProperties>
</file>