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5A73" w14:textId="77777777" w:rsidR="009F16AE" w:rsidRDefault="009F16AE" w:rsidP="001E5411">
      <w:pPr>
        <w:spacing w:after="0" w:line="240" w:lineRule="auto"/>
        <w:jc w:val="center"/>
        <w:rPr>
          <w:rFonts w:ascii="Verdana" w:hAnsi="Verdana"/>
          <w:b/>
          <w:sz w:val="20"/>
          <w:szCs w:val="20"/>
          <w:lang w:val="es-CR"/>
        </w:rPr>
      </w:pPr>
      <w:bookmarkStart w:id="0" w:name="_GoBack"/>
      <w:bookmarkEnd w:id="0"/>
    </w:p>
    <w:p w14:paraId="2ED7FBEC" w14:textId="77777777" w:rsidR="009F16AE" w:rsidRDefault="009F16AE" w:rsidP="001E5411">
      <w:pPr>
        <w:spacing w:after="0" w:line="240" w:lineRule="auto"/>
        <w:jc w:val="center"/>
        <w:rPr>
          <w:rFonts w:ascii="Verdana" w:hAnsi="Verdana"/>
          <w:b/>
          <w:sz w:val="20"/>
          <w:szCs w:val="20"/>
          <w:lang w:val="es-CR"/>
        </w:rPr>
      </w:pPr>
    </w:p>
    <w:p w14:paraId="2EE84DC6" w14:textId="77777777" w:rsidR="009F16AE" w:rsidRDefault="009F16AE" w:rsidP="001E5411">
      <w:pPr>
        <w:spacing w:after="0" w:line="240" w:lineRule="auto"/>
        <w:jc w:val="center"/>
        <w:rPr>
          <w:rFonts w:ascii="Verdana" w:hAnsi="Verdana"/>
          <w:b/>
          <w:sz w:val="20"/>
          <w:szCs w:val="20"/>
          <w:lang w:val="es-CR"/>
        </w:rPr>
      </w:pPr>
    </w:p>
    <w:p w14:paraId="20FC71E2" w14:textId="77777777" w:rsidR="009F16AE" w:rsidRDefault="009F16AE" w:rsidP="001E5411">
      <w:pPr>
        <w:spacing w:after="0" w:line="240" w:lineRule="auto"/>
        <w:jc w:val="center"/>
        <w:rPr>
          <w:rFonts w:ascii="Verdana" w:hAnsi="Verdana"/>
          <w:b/>
          <w:sz w:val="20"/>
          <w:szCs w:val="20"/>
          <w:lang w:val="es-CR"/>
        </w:rPr>
      </w:pPr>
    </w:p>
    <w:p w14:paraId="0FA9B37C" w14:textId="77777777" w:rsidR="009F16AE" w:rsidRDefault="009F16AE" w:rsidP="001E5411">
      <w:pPr>
        <w:spacing w:after="0" w:line="240" w:lineRule="auto"/>
        <w:jc w:val="center"/>
        <w:rPr>
          <w:rFonts w:ascii="Verdana" w:hAnsi="Verdana"/>
          <w:b/>
          <w:sz w:val="20"/>
          <w:szCs w:val="20"/>
          <w:lang w:val="es-CR"/>
        </w:rPr>
      </w:pPr>
    </w:p>
    <w:p w14:paraId="68315216" w14:textId="77777777" w:rsidR="003E1DE2" w:rsidRDefault="003E1DE2" w:rsidP="001E5411">
      <w:pPr>
        <w:spacing w:after="0" w:line="240" w:lineRule="auto"/>
        <w:jc w:val="center"/>
        <w:rPr>
          <w:rFonts w:ascii="Verdana" w:hAnsi="Verdana"/>
          <w:b/>
          <w:sz w:val="20"/>
          <w:szCs w:val="20"/>
          <w:lang w:val="es-CR"/>
        </w:rPr>
      </w:pPr>
    </w:p>
    <w:p w14:paraId="47270B08" w14:textId="77777777" w:rsidR="003E1DE2" w:rsidRDefault="003E1DE2" w:rsidP="001E5411">
      <w:pPr>
        <w:spacing w:after="0" w:line="240" w:lineRule="auto"/>
        <w:jc w:val="center"/>
        <w:rPr>
          <w:rFonts w:ascii="Verdana" w:hAnsi="Verdana"/>
          <w:b/>
          <w:sz w:val="20"/>
          <w:szCs w:val="20"/>
          <w:lang w:val="es-CR"/>
        </w:rPr>
      </w:pPr>
    </w:p>
    <w:p w14:paraId="7C57615A" w14:textId="77777777" w:rsidR="009F16AE" w:rsidRDefault="009F16AE" w:rsidP="001E5411">
      <w:pPr>
        <w:spacing w:after="0" w:line="240" w:lineRule="auto"/>
        <w:jc w:val="center"/>
        <w:rPr>
          <w:rFonts w:ascii="Verdana" w:hAnsi="Verdana"/>
          <w:b/>
          <w:sz w:val="20"/>
          <w:szCs w:val="20"/>
          <w:lang w:val="es-CR"/>
        </w:rPr>
      </w:pPr>
    </w:p>
    <w:p w14:paraId="3F3EBA93" w14:textId="77777777" w:rsidR="000E1545" w:rsidRDefault="000E1545" w:rsidP="001E5411">
      <w:pPr>
        <w:spacing w:after="0" w:line="240" w:lineRule="auto"/>
        <w:jc w:val="center"/>
        <w:rPr>
          <w:rFonts w:ascii="Verdana" w:hAnsi="Verdana"/>
          <w:b/>
          <w:sz w:val="20"/>
          <w:szCs w:val="20"/>
          <w:lang w:val="es-CR"/>
        </w:rPr>
      </w:pPr>
    </w:p>
    <w:p w14:paraId="64885D10" w14:textId="77777777" w:rsidR="006A759B"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5E670979" w14:textId="77777777" w:rsidR="001E5411" w:rsidRDefault="001E5411" w:rsidP="001E5411">
      <w:pPr>
        <w:spacing w:after="0" w:line="240" w:lineRule="auto"/>
        <w:jc w:val="center"/>
        <w:rPr>
          <w:rFonts w:ascii="Verdana" w:hAnsi="Verdana"/>
          <w:b/>
          <w:sz w:val="20"/>
          <w:szCs w:val="20"/>
          <w:lang w:val="es-CR"/>
        </w:rPr>
      </w:pPr>
    </w:p>
    <w:p w14:paraId="31E35EEB" w14:textId="36EE0DA6"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6A37DF">
        <w:rPr>
          <w:rStyle w:val="FootnoteReference"/>
          <w:rFonts w:ascii="Verdana" w:hAnsi="Verdana"/>
          <w:b/>
          <w:sz w:val="20"/>
          <w:szCs w:val="20"/>
          <w:lang w:val="es-CR"/>
        </w:rPr>
        <w:footnoteReference w:customMarkFollows="1" w:id="1"/>
        <w:t>*</w:t>
      </w:r>
    </w:p>
    <w:p w14:paraId="7ABD2FCA" w14:textId="77777777" w:rsidR="001E5411" w:rsidRDefault="001E5411" w:rsidP="001E5411">
      <w:pPr>
        <w:spacing w:after="0" w:line="240" w:lineRule="auto"/>
        <w:jc w:val="center"/>
        <w:rPr>
          <w:rFonts w:ascii="Verdana" w:hAnsi="Verdana"/>
          <w:b/>
          <w:sz w:val="20"/>
          <w:szCs w:val="20"/>
          <w:lang w:val="es-CR"/>
        </w:rPr>
      </w:pPr>
    </w:p>
    <w:p w14:paraId="46DF5118" w14:textId="1E1F57EF"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DF14C8">
        <w:rPr>
          <w:rFonts w:ascii="Verdana" w:hAnsi="Verdana"/>
          <w:b/>
          <w:sz w:val="20"/>
          <w:szCs w:val="20"/>
          <w:lang w:val="es-CR"/>
        </w:rPr>
        <w:t>26</w:t>
      </w:r>
      <w:r>
        <w:rPr>
          <w:rFonts w:ascii="Verdana" w:hAnsi="Verdana"/>
          <w:b/>
          <w:sz w:val="20"/>
          <w:szCs w:val="20"/>
          <w:lang w:val="es-CR"/>
        </w:rPr>
        <w:t xml:space="preserve"> DE </w:t>
      </w:r>
      <w:r w:rsidR="003F5F29">
        <w:rPr>
          <w:rFonts w:ascii="Verdana" w:hAnsi="Verdana"/>
          <w:b/>
          <w:sz w:val="20"/>
          <w:szCs w:val="20"/>
          <w:lang w:val="es-CR"/>
        </w:rPr>
        <w:t>SEPTIEMBRE</w:t>
      </w:r>
      <w:r w:rsidR="0070201A">
        <w:rPr>
          <w:rFonts w:ascii="Verdana" w:hAnsi="Verdana"/>
          <w:b/>
          <w:sz w:val="20"/>
          <w:szCs w:val="20"/>
          <w:lang w:val="es-CR"/>
        </w:rPr>
        <w:t xml:space="preserve"> </w:t>
      </w:r>
      <w:r>
        <w:rPr>
          <w:rFonts w:ascii="Verdana" w:hAnsi="Verdana"/>
          <w:b/>
          <w:sz w:val="20"/>
          <w:szCs w:val="20"/>
          <w:lang w:val="es-CR"/>
        </w:rPr>
        <w:t>DE 201</w:t>
      </w:r>
      <w:r w:rsidR="0070201A">
        <w:rPr>
          <w:rFonts w:ascii="Verdana" w:hAnsi="Verdana"/>
          <w:b/>
          <w:sz w:val="20"/>
          <w:szCs w:val="20"/>
          <w:lang w:val="es-CR"/>
        </w:rPr>
        <w:t>8</w:t>
      </w:r>
    </w:p>
    <w:p w14:paraId="0036D12D" w14:textId="77777777" w:rsidR="001E5411" w:rsidRDefault="001E5411" w:rsidP="001E5411">
      <w:pPr>
        <w:spacing w:after="0" w:line="240" w:lineRule="auto"/>
        <w:jc w:val="center"/>
        <w:rPr>
          <w:rFonts w:ascii="Verdana" w:hAnsi="Verdana"/>
          <w:b/>
          <w:sz w:val="20"/>
          <w:szCs w:val="20"/>
          <w:lang w:val="es-CR"/>
        </w:rPr>
      </w:pPr>
    </w:p>
    <w:p w14:paraId="52035B73"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4C57EF">
        <w:rPr>
          <w:rFonts w:ascii="Verdana" w:hAnsi="Verdana"/>
          <w:b/>
          <w:sz w:val="20"/>
          <w:szCs w:val="20"/>
          <w:lang w:val="es-CR"/>
        </w:rPr>
        <w:t xml:space="preserve">GUTIÉRREZ HERNÁNDEZ Y OTROS </w:t>
      </w:r>
      <w:r>
        <w:rPr>
          <w:rFonts w:ascii="Verdana" w:hAnsi="Verdana"/>
          <w:b/>
          <w:sz w:val="20"/>
          <w:szCs w:val="20"/>
          <w:lang w:val="es-CR"/>
        </w:rPr>
        <w:t xml:space="preserve">VS. </w:t>
      </w:r>
      <w:r w:rsidR="007D510E">
        <w:rPr>
          <w:rFonts w:ascii="Verdana" w:hAnsi="Verdana"/>
          <w:b/>
          <w:sz w:val="20"/>
          <w:szCs w:val="20"/>
          <w:lang w:val="es-CR"/>
        </w:rPr>
        <w:t>GUATEMALA</w:t>
      </w:r>
    </w:p>
    <w:p w14:paraId="65D83C25" w14:textId="77777777" w:rsidR="001E5411" w:rsidRDefault="001E5411" w:rsidP="001E5411">
      <w:pPr>
        <w:spacing w:after="0" w:line="240" w:lineRule="auto"/>
        <w:jc w:val="center"/>
        <w:rPr>
          <w:rFonts w:ascii="Verdana" w:hAnsi="Verdana"/>
          <w:b/>
          <w:sz w:val="20"/>
          <w:szCs w:val="20"/>
          <w:lang w:val="es-CR"/>
        </w:rPr>
      </w:pPr>
    </w:p>
    <w:p w14:paraId="338838D9"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0BF9BBC5" w14:textId="77777777" w:rsidR="001E5411" w:rsidRDefault="001E5411" w:rsidP="001E5411">
      <w:pPr>
        <w:spacing w:after="0" w:line="240" w:lineRule="auto"/>
        <w:rPr>
          <w:rFonts w:ascii="Verdana" w:hAnsi="Verdana"/>
          <w:b/>
          <w:sz w:val="20"/>
          <w:szCs w:val="20"/>
          <w:lang w:val="es-CR"/>
        </w:rPr>
      </w:pPr>
    </w:p>
    <w:p w14:paraId="12A8E023" w14:textId="77777777" w:rsidR="00405015" w:rsidRDefault="00405015" w:rsidP="001E5411">
      <w:pPr>
        <w:spacing w:after="0" w:line="240" w:lineRule="auto"/>
        <w:rPr>
          <w:rFonts w:ascii="Verdana" w:hAnsi="Verdana"/>
          <w:b/>
          <w:sz w:val="20"/>
          <w:szCs w:val="20"/>
          <w:lang w:val="es-CR"/>
        </w:rPr>
      </w:pPr>
    </w:p>
    <w:p w14:paraId="73AB6D29" w14:textId="77777777" w:rsidR="00405015" w:rsidRDefault="00405015" w:rsidP="001E5411">
      <w:pPr>
        <w:spacing w:after="0" w:line="240" w:lineRule="auto"/>
        <w:rPr>
          <w:rFonts w:ascii="Verdana" w:hAnsi="Verdana"/>
          <w:b/>
          <w:sz w:val="20"/>
          <w:szCs w:val="20"/>
          <w:lang w:val="es-CR"/>
        </w:rPr>
      </w:pPr>
    </w:p>
    <w:p w14:paraId="06A52D5E" w14:textId="77777777" w:rsidR="001E5411" w:rsidRDefault="001E5411" w:rsidP="001E5411">
      <w:pPr>
        <w:spacing w:after="0" w:line="240" w:lineRule="auto"/>
        <w:rPr>
          <w:rFonts w:ascii="Verdana" w:hAnsi="Verdana"/>
          <w:b/>
          <w:sz w:val="20"/>
          <w:szCs w:val="20"/>
          <w:lang w:val="es-CR"/>
        </w:rPr>
      </w:pPr>
      <w:r>
        <w:rPr>
          <w:rFonts w:ascii="Verdana" w:hAnsi="Verdana"/>
          <w:b/>
          <w:sz w:val="20"/>
          <w:szCs w:val="20"/>
          <w:lang w:val="es-CR"/>
        </w:rPr>
        <w:t>VISTO:</w:t>
      </w:r>
    </w:p>
    <w:p w14:paraId="09CA167D" w14:textId="77777777" w:rsidR="001E5411" w:rsidRDefault="001E5411" w:rsidP="001E5411">
      <w:pPr>
        <w:spacing w:after="0" w:line="240" w:lineRule="auto"/>
        <w:rPr>
          <w:rFonts w:ascii="Verdana" w:hAnsi="Verdana"/>
          <w:sz w:val="20"/>
          <w:szCs w:val="20"/>
          <w:lang w:val="es-CR"/>
        </w:rPr>
      </w:pPr>
    </w:p>
    <w:p w14:paraId="28CD7AC0" w14:textId="63F24AE9" w:rsidR="00B30A18" w:rsidRDefault="008123E1" w:rsidP="003557DD">
      <w:pPr>
        <w:pStyle w:val="ListParagraph"/>
        <w:numPr>
          <w:ilvl w:val="0"/>
          <w:numId w:val="1"/>
        </w:numPr>
        <w:spacing w:after="0" w:line="240" w:lineRule="auto"/>
        <w:ind w:left="0" w:firstLine="0"/>
        <w:jc w:val="both"/>
        <w:rPr>
          <w:rFonts w:ascii="Verdana" w:hAnsi="Verdana"/>
          <w:sz w:val="20"/>
          <w:szCs w:val="20"/>
          <w:lang w:val="es-CR"/>
        </w:rPr>
      </w:pPr>
      <w:bookmarkStart w:id="1" w:name="_Ref526503233"/>
      <w:r>
        <w:rPr>
          <w:rFonts w:ascii="Verdana" w:hAnsi="Verdana"/>
          <w:sz w:val="20"/>
          <w:szCs w:val="20"/>
          <w:lang w:val="es-CR"/>
        </w:rPr>
        <w:t>La Sentencia de excepciones preliminares, fondo, reparaciones y costas dictada por la Corte Interamericana de Derechos Humanos (en adelante “la Corte”, “la Corte Interamericana” o “el Tribunal”) el 24 de agosto de 2017</w:t>
      </w:r>
      <w:r>
        <w:rPr>
          <w:rStyle w:val="FootnoteReference"/>
          <w:rFonts w:ascii="Verdana" w:hAnsi="Verdana"/>
          <w:sz w:val="20"/>
          <w:szCs w:val="20"/>
          <w:lang w:val="es-CR"/>
        </w:rPr>
        <w:footnoteReference w:id="2"/>
      </w:r>
      <w:r>
        <w:rPr>
          <w:rFonts w:ascii="Verdana" w:hAnsi="Verdana"/>
          <w:sz w:val="20"/>
          <w:szCs w:val="20"/>
          <w:lang w:val="es-CR"/>
        </w:rPr>
        <w:t xml:space="preserve">. En dicha Sentencia, la Corte, declaró la responsabilidad internacional del Estado de Guatemala (en adelante “el Estado” o “Guatemala”) en virtud de la falta de debida diligencia en la primera etapa de la investigación de la desaparición de Mayra Gutiérrez Hernández, por cuanto en </w:t>
      </w:r>
      <w:r w:rsidR="006A37DF">
        <w:rPr>
          <w:rFonts w:ascii="Verdana" w:hAnsi="Verdana"/>
          <w:sz w:val="20"/>
          <w:szCs w:val="20"/>
          <w:lang w:val="es-CR"/>
        </w:rPr>
        <w:t>dicho</w:t>
      </w:r>
      <w:r>
        <w:rPr>
          <w:rFonts w:ascii="Verdana" w:hAnsi="Verdana"/>
          <w:sz w:val="20"/>
          <w:szCs w:val="20"/>
          <w:lang w:val="es-CR"/>
        </w:rPr>
        <w:t xml:space="preserve"> proceso se realizó una valoración estereotipada de ella y se prejuzgó sobre el móvil de </w:t>
      </w:r>
      <w:r w:rsidR="006A37DF">
        <w:rPr>
          <w:rFonts w:ascii="Verdana" w:hAnsi="Verdana"/>
          <w:sz w:val="20"/>
          <w:szCs w:val="20"/>
          <w:lang w:val="es-CR"/>
        </w:rPr>
        <w:t>su</w:t>
      </w:r>
      <w:r>
        <w:rPr>
          <w:rFonts w:ascii="Verdana" w:hAnsi="Verdana"/>
          <w:sz w:val="20"/>
          <w:szCs w:val="20"/>
          <w:lang w:val="es-CR"/>
        </w:rPr>
        <w:t xml:space="preserve"> desaparición, centrando la investigación en sus relaciones personales y estilo de vida. Dichos prejuicios y estereotipos negativos de género afectaron la objetividad de los agentes encargados de las investigaciones, cerrando posibles líneas de investigación. Lo anterior conllevó a que el caso no se investigara de manera seria,</w:t>
      </w:r>
      <w:r w:rsidR="005F29FB">
        <w:rPr>
          <w:rFonts w:ascii="Verdana" w:hAnsi="Verdana"/>
          <w:sz w:val="20"/>
          <w:szCs w:val="20"/>
          <w:lang w:val="es-CR"/>
        </w:rPr>
        <w:t xml:space="preserve"> con rigor</w:t>
      </w:r>
      <w:r w:rsidR="008F6F37">
        <w:rPr>
          <w:rFonts w:ascii="Verdana" w:hAnsi="Verdana"/>
          <w:sz w:val="20"/>
          <w:szCs w:val="20"/>
          <w:lang w:val="es-CR"/>
        </w:rPr>
        <w:t xml:space="preserve"> </w:t>
      </w:r>
      <w:r>
        <w:rPr>
          <w:rFonts w:ascii="Verdana" w:hAnsi="Verdana"/>
          <w:sz w:val="20"/>
          <w:szCs w:val="20"/>
          <w:lang w:val="es-CR"/>
        </w:rPr>
        <w:t xml:space="preserve">ni exhaustivamente, manteniéndose en </w:t>
      </w:r>
      <w:r w:rsidR="005F29FB">
        <w:rPr>
          <w:rFonts w:ascii="Verdana" w:hAnsi="Verdana"/>
          <w:sz w:val="20"/>
          <w:szCs w:val="20"/>
          <w:lang w:val="es-CR"/>
        </w:rPr>
        <w:t xml:space="preserve">la </w:t>
      </w:r>
      <w:r>
        <w:rPr>
          <w:rFonts w:ascii="Verdana" w:hAnsi="Verdana"/>
          <w:sz w:val="20"/>
          <w:szCs w:val="20"/>
          <w:lang w:val="es-CR"/>
        </w:rPr>
        <w:t xml:space="preserve">impunidad por más de 17 años, constituyendo una forma de discriminación en el acceso a la justicia por razones de género. La Corte consideró que dichas deficiencias, falencias y omisiones en la investigación representaron una violación a la exigencia de debida diligencia y el plazo razonable </w:t>
      </w:r>
      <w:r w:rsidR="005F29FB">
        <w:rPr>
          <w:rFonts w:ascii="Verdana" w:hAnsi="Verdana"/>
          <w:sz w:val="20"/>
          <w:szCs w:val="20"/>
          <w:lang w:val="es-CR"/>
        </w:rPr>
        <w:t xml:space="preserve">en la </w:t>
      </w:r>
      <w:r>
        <w:rPr>
          <w:rFonts w:ascii="Verdana" w:hAnsi="Verdana"/>
          <w:sz w:val="20"/>
          <w:szCs w:val="20"/>
          <w:lang w:val="es-CR"/>
        </w:rPr>
        <w:t>investigación y persecución penal de la desaparición de Mayra Gutiérrez, violentando el derecho a la igual protección de la ley, y los derechos a las garantías judiciales y protección judicial</w:t>
      </w:r>
      <w:r w:rsidR="005F29FB">
        <w:rPr>
          <w:rFonts w:ascii="Verdana" w:hAnsi="Verdana"/>
          <w:sz w:val="20"/>
          <w:szCs w:val="20"/>
          <w:lang w:val="es-CR"/>
        </w:rPr>
        <w:t>, en relación con el deber de respetar y garantizar sin discriminación los derechos contenidos en la Convención Americana,</w:t>
      </w:r>
      <w:r>
        <w:rPr>
          <w:rFonts w:ascii="Verdana" w:hAnsi="Verdana"/>
          <w:sz w:val="20"/>
          <w:szCs w:val="20"/>
          <w:lang w:val="es-CR"/>
        </w:rPr>
        <w:t xml:space="preserve"> en perjuicio de Mayra Angelina Gutiérrez Hernández y sus familiares</w:t>
      </w:r>
      <w:r>
        <w:rPr>
          <w:rStyle w:val="FootnoteReference"/>
          <w:rFonts w:ascii="Verdana" w:hAnsi="Verdana"/>
          <w:sz w:val="20"/>
          <w:szCs w:val="20"/>
          <w:lang w:val="es-CR"/>
        </w:rPr>
        <w:footnoteReference w:id="3"/>
      </w:r>
      <w:r>
        <w:rPr>
          <w:rFonts w:ascii="Verdana" w:hAnsi="Verdana"/>
          <w:sz w:val="20"/>
          <w:szCs w:val="20"/>
          <w:lang w:val="es-CR"/>
        </w:rPr>
        <w:t xml:space="preserve">. El Tribunal estableció que su Sentencia constituye por sí </w:t>
      </w:r>
      <w:r w:rsidR="00A37B3A">
        <w:rPr>
          <w:rFonts w:ascii="Verdana" w:hAnsi="Verdana"/>
          <w:sz w:val="20"/>
          <w:szCs w:val="20"/>
          <w:lang w:val="es-CR"/>
        </w:rPr>
        <w:t>misma una forma de reparación y</w:t>
      </w:r>
      <w:r>
        <w:rPr>
          <w:rFonts w:ascii="Verdana" w:hAnsi="Verdana"/>
          <w:sz w:val="20"/>
          <w:szCs w:val="20"/>
          <w:lang w:val="es-CR"/>
        </w:rPr>
        <w:t xml:space="preserve"> ordenó al Estado </w:t>
      </w:r>
      <w:r w:rsidR="002C15E8">
        <w:rPr>
          <w:rFonts w:ascii="Verdana" w:hAnsi="Verdana"/>
          <w:sz w:val="20"/>
          <w:szCs w:val="20"/>
          <w:lang w:val="es-CR"/>
        </w:rPr>
        <w:t>la adopción de</w:t>
      </w:r>
      <w:r>
        <w:rPr>
          <w:rFonts w:ascii="Verdana" w:hAnsi="Verdana"/>
          <w:sz w:val="20"/>
          <w:szCs w:val="20"/>
          <w:lang w:val="es-CR"/>
        </w:rPr>
        <w:t xml:space="preserve"> medidas </w:t>
      </w:r>
      <w:r w:rsidR="002C15E8">
        <w:rPr>
          <w:rFonts w:ascii="Verdana" w:hAnsi="Verdana"/>
          <w:sz w:val="20"/>
          <w:szCs w:val="20"/>
          <w:lang w:val="es-CR"/>
        </w:rPr>
        <w:t xml:space="preserve">adicionales </w:t>
      </w:r>
      <w:r>
        <w:rPr>
          <w:rFonts w:ascii="Verdana" w:hAnsi="Verdana"/>
          <w:sz w:val="20"/>
          <w:szCs w:val="20"/>
          <w:lang w:val="es-CR"/>
        </w:rPr>
        <w:t>de reparación (</w:t>
      </w:r>
      <w:r>
        <w:rPr>
          <w:rFonts w:ascii="Verdana" w:hAnsi="Verdana"/>
          <w:i/>
          <w:sz w:val="20"/>
          <w:szCs w:val="20"/>
          <w:lang w:val="es-CR"/>
        </w:rPr>
        <w:t xml:space="preserve">infra </w:t>
      </w:r>
      <w:r>
        <w:rPr>
          <w:rFonts w:ascii="Verdana" w:hAnsi="Verdana"/>
          <w:sz w:val="20"/>
          <w:szCs w:val="20"/>
          <w:lang w:val="es-CR"/>
        </w:rPr>
        <w:t xml:space="preserve">Considerando </w:t>
      </w:r>
      <w:r w:rsidR="005F29FB">
        <w:rPr>
          <w:rFonts w:ascii="Verdana" w:hAnsi="Verdana"/>
          <w:sz w:val="20"/>
          <w:szCs w:val="20"/>
          <w:lang w:val="es-CR"/>
        </w:rPr>
        <w:fldChar w:fldCharType="begin"/>
      </w:r>
      <w:r w:rsidR="005F29FB">
        <w:rPr>
          <w:rFonts w:ascii="Verdana" w:hAnsi="Verdana"/>
          <w:sz w:val="20"/>
          <w:szCs w:val="20"/>
          <w:lang w:val="es-CR"/>
        </w:rPr>
        <w:instrText xml:space="preserve"> REF _Ref526434423 \r \h </w:instrText>
      </w:r>
      <w:r w:rsidR="005F29FB">
        <w:rPr>
          <w:rFonts w:ascii="Verdana" w:hAnsi="Verdana"/>
          <w:sz w:val="20"/>
          <w:szCs w:val="20"/>
          <w:lang w:val="es-CR"/>
        </w:rPr>
      </w:r>
      <w:r w:rsidR="005F29FB">
        <w:rPr>
          <w:rFonts w:ascii="Verdana" w:hAnsi="Verdana"/>
          <w:sz w:val="20"/>
          <w:szCs w:val="20"/>
          <w:lang w:val="es-CR"/>
        </w:rPr>
        <w:fldChar w:fldCharType="separate"/>
      </w:r>
      <w:r w:rsidR="004E041C">
        <w:rPr>
          <w:rFonts w:ascii="Verdana" w:hAnsi="Verdana"/>
          <w:sz w:val="20"/>
          <w:szCs w:val="20"/>
          <w:lang w:val="es-CR"/>
        </w:rPr>
        <w:t>1</w:t>
      </w:r>
      <w:r w:rsidR="005F29FB">
        <w:rPr>
          <w:rFonts w:ascii="Verdana" w:hAnsi="Verdana"/>
          <w:sz w:val="20"/>
          <w:szCs w:val="20"/>
          <w:lang w:val="es-CR"/>
        </w:rPr>
        <w:fldChar w:fldCharType="end"/>
      </w:r>
      <w:r>
        <w:rPr>
          <w:rFonts w:ascii="Verdana" w:hAnsi="Verdana"/>
          <w:sz w:val="20"/>
          <w:szCs w:val="20"/>
          <w:lang w:val="es-CR"/>
        </w:rPr>
        <w:t>).</w:t>
      </w:r>
      <w:bookmarkEnd w:id="1"/>
      <w:r>
        <w:rPr>
          <w:rFonts w:ascii="Verdana" w:hAnsi="Verdana"/>
          <w:sz w:val="20"/>
          <w:szCs w:val="20"/>
          <w:lang w:val="es-CR"/>
        </w:rPr>
        <w:t xml:space="preserve"> </w:t>
      </w:r>
      <w:r w:rsidR="00F71C32">
        <w:rPr>
          <w:rFonts w:ascii="Verdana" w:hAnsi="Verdana"/>
          <w:sz w:val="20"/>
          <w:szCs w:val="20"/>
          <w:lang w:val="es-CR"/>
        </w:rPr>
        <w:t xml:space="preserve"> </w:t>
      </w:r>
    </w:p>
    <w:p w14:paraId="30C0C604" w14:textId="77777777" w:rsidR="0023362F" w:rsidRDefault="0023362F" w:rsidP="0023362F">
      <w:pPr>
        <w:pStyle w:val="ListParagraph"/>
        <w:spacing w:after="0" w:line="240" w:lineRule="auto"/>
        <w:ind w:left="0"/>
        <w:jc w:val="both"/>
        <w:rPr>
          <w:rFonts w:ascii="Verdana" w:hAnsi="Verdana"/>
          <w:sz w:val="20"/>
          <w:szCs w:val="20"/>
          <w:lang w:val="es-CR"/>
        </w:rPr>
      </w:pPr>
    </w:p>
    <w:p w14:paraId="48F2705D" w14:textId="04004B47" w:rsidR="0023362F" w:rsidRDefault="0023362F" w:rsidP="003557DD">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 xml:space="preserve">La Sentencia de interpretación emitida el 22 de agosto de 2018 (en </w:t>
      </w:r>
      <w:r w:rsidR="00035801">
        <w:rPr>
          <w:rFonts w:ascii="Verdana" w:hAnsi="Verdana"/>
          <w:sz w:val="20"/>
          <w:szCs w:val="20"/>
          <w:lang w:val="es-CR"/>
        </w:rPr>
        <w:t>adelante</w:t>
      </w:r>
      <w:r>
        <w:rPr>
          <w:rFonts w:ascii="Verdana" w:hAnsi="Verdana"/>
          <w:sz w:val="20"/>
          <w:szCs w:val="20"/>
          <w:lang w:val="es-CR"/>
        </w:rPr>
        <w:t xml:space="preserve"> </w:t>
      </w:r>
      <w:r w:rsidR="00035801">
        <w:rPr>
          <w:rFonts w:ascii="Verdana" w:hAnsi="Verdana"/>
          <w:sz w:val="20"/>
          <w:szCs w:val="20"/>
          <w:lang w:val="es-CR"/>
        </w:rPr>
        <w:t>“</w:t>
      </w:r>
      <w:r>
        <w:rPr>
          <w:rFonts w:ascii="Verdana" w:hAnsi="Verdana"/>
          <w:sz w:val="20"/>
          <w:szCs w:val="20"/>
          <w:lang w:val="es-CR"/>
        </w:rPr>
        <w:t>la Sentencia de interpretación</w:t>
      </w:r>
      <w:r w:rsidR="00035801">
        <w:rPr>
          <w:rFonts w:ascii="Verdana" w:hAnsi="Verdana"/>
          <w:sz w:val="20"/>
          <w:szCs w:val="20"/>
          <w:lang w:val="es-CR"/>
        </w:rPr>
        <w:t>”</w:t>
      </w:r>
      <w:r>
        <w:rPr>
          <w:rFonts w:ascii="Verdana" w:hAnsi="Verdana"/>
          <w:sz w:val="20"/>
          <w:szCs w:val="20"/>
          <w:lang w:val="es-CR"/>
        </w:rPr>
        <w:t>)</w:t>
      </w:r>
      <w:r>
        <w:rPr>
          <w:rStyle w:val="FootnoteReference"/>
          <w:rFonts w:ascii="Verdana" w:hAnsi="Verdana"/>
          <w:sz w:val="20"/>
          <w:szCs w:val="20"/>
          <w:lang w:val="es-CR"/>
        </w:rPr>
        <w:footnoteReference w:id="4"/>
      </w:r>
      <w:r>
        <w:rPr>
          <w:rFonts w:ascii="Verdana" w:hAnsi="Verdana"/>
          <w:sz w:val="20"/>
          <w:szCs w:val="20"/>
          <w:lang w:val="es-CR"/>
        </w:rPr>
        <w:t>.</w:t>
      </w:r>
    </w:p>
    <w:p w14:paraId="6DEADA35" w14:textId="77777777" w:rsidR="000119AE" w:rsidRPr="000119AE" w:rsidRDefault="000119AE" w:rsidP="000119AE">
      <w:pPr>
        <w:spacing w:after="0" w:line="240" w:lineRule="auto"/>
        <w:jc w:val="both"/>
        <w:rPr>
          <w:rFonts w:ascii="Verdana" w:hAnsi="Verdana"/>
          <w:sz w:val="20"/>
          <w:szCs w:val="20"/>
          <w:lang w:val="es-CR"/>
        </w:rPr>
      </w:pPr>
    </w:p>
    <w:p w14:paraId="65C227E0" w14:textId="558F8C8A" w:rsidR="008123E1" w:rsidRPr="008123E1" w:rsidRDefault="00481A61"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Los</w:t>
      </w:r>
      <w:r w:rsidR="00E12F56">
        <w:rPr>
          <w:rFonts w:ascii="Verdana" w:hAnsi="Verdana"/>
          <w:sz w:val="20"/>
          <w:szCs w:val="20"/>
          <w:lang w:val="es-CR"/>
        </w:rPr>
        <w:t xml:space="preserve"> </w:t>
      </w:r>
      <w:r w:rsidR="009D1723">
        <w:rPr>
          <w:rFonts w:ascii="Verdana" w:hAnsi="Verdana"/>
          <w:sz w:val="20"/>
          <w:szCs w:val="20"/>
          <w:lang w:val="es-CR"/>
        </w:rPr>
        <w:t xml:space="preserve">informes </w:t>
      </w:r>
      <w:r w:rsidR="00F71C32">
        <w:rPr>
          <w:rFonts w:ascii="Verdana" w:hAnsi="Verdana"/>
          <w:sz w:val="20"/>
          <w:szCs w:val="20"/>
          <w:lang w:val="es-CR"/>
        </w:rPr>
        <w:t>presentado</w:t>
      </w:r>
      <w:r>
        <w:rPr>
          <w:rFonts w:ascii="Verdana" w:hAnsi="Verdana"/>
          <w:sz w:val="20"/>
          <w:szCs w:val="20"/>
          <w:lang w:val="es-CR"/>
        </w:rPr>
        <w:t>s</w:t>
      </w:r>
      <w:r w:rsidR="00F71C32">
        <w:rPr>
          <w:rFonts w:ascii="Verdana" w:hAnsi="Verdana"/>
          <w:sz w:val="20"/>
          <w:szCs w:val="20"/>
          <w:lang w:val="es-CR"/>
        </w:rPr>
        <w:t xml:space="preserve"> por el Estado de </w:t>
      </w:r>
      <w:r w:rsidR="00E12F56">
        <w:rPr>
          <w:rFonts w:ascii="Verdana" w:hAnsi="Verdana"/>
          <w:sz w:val="20"/>
          <w:szCs w:val="20"/>
          <w:lang w:val="es-CR"/>
        </w:rPr>
        <w:t>Guatemala</w:t>
      </w:r>
      <w:r w:rsidR="00F71C32">
        <w:rPr>
          <w:rFonts w:ascii="Verdana" w:hAnsi="Verdana"/>
          <w:sz w:val="20"/>
          <w:szCs w:val="20"/>
          <w:lang w:val="es-CR"/>
        </w:rPr>
        <w:t xml:space="preserve"> el</w:t>
      </w:r>
      <w:r w:rsidR="00BE1A2F">
        <w:rPr>
          <w:rFonts w:ascii="Verdana" w:hAnsi="Verdana"/>
          <w:sz w:val="20"/>
          <w:szCs w:val="20"/>
          <w:lang w:val="es-CR"/>
        </w:rPr>
        <w:t xml:space="preserve"> </w:t>
      </w:r>
      <w:r w:rsidR="00F2322B">
        <w:rPr>
          <w:rFonts w:ascii="Verdana" w:hAnsi="Verdana"/>
          <w:sz w:val="20"/>
          <w:szCs w:val="20"/>
          <w:lang w:val="es-CR"/>
        </w:rPr>
        <w:t>11 de enero</w:t>
      </w:r>
      <w:r>
        <w:rPr>
          <w:rFonts w:ascii="Verdana" w:hAnsi="Verdana"/>
          <w:sz w:val="20"/>
          <w:szCs w:val="20"/>
          <w:lang w:val="es-CR"/>
        </w:rPr>
        <w:t xml:space="preserve"> y 17 de mayo</w:t>
      </w:r>
      <w:r w:rsidR="00F71C32">
        <w:rPr>
          <w:rFonts w:ascii="Verdana" w:hAnsi="Verdana"/>
          <w:sz w:val="20"/>
          <w:szCs w:val="20"/>
          <w:lang w:val="es-CR"/>
        </w:rPr>
        <w:t xml:space="preserve"> </w:t>
      </w:r>
      <w:r w:rsidR="00BE1A2F">
        <w:rPr>
          <w:rFonts w:ascii="Verdana" w:hAnsi="Verdana"/>
          <w:sz w:val="20"/>
          <w:szCs w:val="20"/>
          <w:lang w:val="es-CR"/>
        </w:rPr>
        <w:t xml:space="preserve">de </w:t>
      </w:r>
      <w:r w:rsidR="00BE1A2F" w:rsidRPr="006A37DF">
        <w:rPr>
          <w:rFonts w:ascii="Verdana" w:hAnsi="Verdana"/>
          <w:sz w:val="20"/>
          <w:szCs w:val="20"/>
          <w:lang w:val="es-CR"/>
        </w:rPr>
        <w:t>201</w:t>
      </w:r>
      <w:r w:rsidR="00F2322B" w:rsidRPr="006A37DF">
        <w:rPr>
          <w:rFonts w:ascii="Verdana" w:hAnsi="Verdana"/>
          <w:sz w:val="20"/>
          <w:szCs w:val="20"/>
          <w:lang w:val="es-CR"/>
        </w:rPr>
        <w:t>8</w:t>
      </w:r>
      <w:r w:rsidR="00BE1A2F" w:rsidRPr="006A37DF">
        <w:rPr>
          <w:rFonts w:ascii="Verdana" w:hAnsi="Verdana"/>
          <w:sz w:val="20"/>
          <w:szCs w:val="20"/>
          <w:lang w:val="es-CR"/>
        </w:rPr>
        <w:t>.</w:t>
      </w:r>
    </w:p>
    <w:p w14:paraId="6480A9B2" w14:textId="77777777" w:rsidR="008123E1" w:rsidRPr="008123E1" w:rsidRDefault="008123E1" w:rsidP="008123E1">
      <w:pPr>
        <w:pStyle w:val="ListParagraph"/>
        <w:rPr>
          <w:rFonts w:ascii="Verdana" w:hAnsi="Verdana"/>
          <w:sz w:val="20"/>
          <w:szCs w:val="20"/>
          <w:lang w:val="es-CR"/>
        </w:rPr>
      </w:pPr>
    </w:p>
    <w:p w14:paraId="6533045F" w14:textId="77777777" w:rsidR="00A05702" w:rsidRPr="008123E1" w:rsidRDefault="00A05702" w:rsidP="00A05702">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El escrito de observaciones presentado por la Comisión Interamericana de Derechos Humanos (en adelante “la Comisión Interamericana” o “la Comisión”) el 9 de julio de 2018.</w:t>
      </w:r>
    </w:p>
    <w:p w14:paraId="5A92F16E" w14:textId="77777777" w:rsidR="00A05702" w:rsidRPr="00A05702" w:rsidRDefault="00A05702" w:rsidP="00A05702">
      <w:pPr>
        <w:pStyle w:val="ListParagraph"/>
        <w:spacing w:after="0" w:line="240" w:lineRule="auto"/>
        <w:ind w:left="0"/>
        <w:jc w:val="both"/>
        <w:rPr>
          <w:rFonts w:ascii="Verdana" w:hAnsi="Verdana"/>
          <w:sz w:val="20"/>
          <w:szCs w:val="20"/>
          <w:lang w:val="es-CR"/>
        </w:rPr>
      </w:pPr>
    </w:p>
    <w:p w14:paraId="36FAEC07" w14:textId="75B51E8E" w:rsidR="00BD0976" w:rsidRDefault="003F5F29"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El escrito de observaciones presentado por </w:t>
      </w:r>
      <w:r w:rsidR="008123E1" w:rsidRPr="008123E1">
        <w:rPr>
          <w:rFonts w:ascii="Verdana" w:hAnsi="Verdana"/>
          <w:sz w:val="20"/>
          <w:szCs w:val="20"/>
          <w:lang w:val="es-CR"/>
        </w:rPr>
        <w:t>los representantes de las víctimas</w:t>
      </w:r>
      <w:r w:rsidR="005303AF">
        <w:rPr>
          <w:rFonts w:ascii="Verdana" w:hAnsi="Verdana"/>
          <w:sz w:val="20"/>
          <w:szCs w:val="20"/>
          <w:lang w:val="es-CR"/>
        </w:rPr>
        <w:t xml:space="preserve"> (en </w:t>
      </w:r>
      <w:r w:rsidR="00035801">
        <w:rPr>
          <w:rFonts w:ascii="Verdana" w:hAnsi="Verdana"/>
          <w:sz w:val="20"/>
          <w:szCs w:val="20"/>
          <w:lang w:val="es-CR"/>
        </w:rPr>
        <w:t>adelante</w:t>
      </w:r>
      <w:r w:rsidR="005303AF">
        <w:rPr>
          <w:rFonts w:ascii="Verdana" w:hAnsi="Verdana"/>
          <w:sz w:val="20"/>
          <w:szCs w:val="20"/>
          <w:lang w:val="es-CR"/>
        </w:rPr>
        <w:t xml:space="preserve"> “los representantes”)</w:t>
      </w:r>
      <w:r w:rsidR="008123E1">
        <w:rPr>
          <w:rStyle w:val="FootnoteReference"/>
          <w:rFonts w:ascii="Verdana" w:hAnsi="Verdana"/>
          <w:sz w:val="20"/>
          <w:szCs w:val="20"/>
          <w:lang w:val="es-CR"/>
        </w:rPr>
        <w:footnoteReference w:id="5"/>
      </w:r>
      <w:r>
        <w:rPr>
          <w:rFonts w:ascii="Verdana" w:hAnsi="Verdana"/>
          <w:sz w:val="20"/>
          <w:szCs w:val="20"/>
          <w:lang w:val="es-CR"/>
        </w:rPr>
        <w:t xml:space="preserve"> el 25 de julio de 2018</w:t>
      </w:r>
      <w:r w:rsidR="008123E1" w:rsidRPr="008123E1">
        <w:rPr>
          <w:rFonts w:ascii="Verdana" w:hAnsi="Verdana"/>
          <w:sz w:val="20"/>
          <w:szCs w:val="20"/>
          <w:lang w:val="es-CR"/>
        </w:rPr>
        <w:t>.</w:t>
      </w:r>
    </w:p>
    <w:p w14:paraId="11B63D90" w14:textId="77777777" w:rsidR="005C677C" w:rsidRPr="00270DD6" w:rsidRDefault="005C677C" w:rsidP="00270DD6">
      <w:pPr>
        <w:pStyle w:val="ListParagraph"/>
        <w:rPr>
          <w:rFonts w:ascii="Verdana" w:hAnsi="Verdana"/>
          <w:sz w:val="20"/>
          <w:szCs w:val="20"/>
          <w:lang w:val="es-CR"/>
        </w:rPr>
      </w:pPr>
    </w:p>
    <w:p w14:paraId="533DA4A1" w14:textId="77777777" w:rsidR="008123E1" w:rsidRDefault="008123E1" w:rsidP="00BD0976">
      <w:pPr>
        <w:spacing w:after="0" w:line="240" w:lineRule="auto"/>
        <w:jc w:val="both"/>
        <w:rPr>
          <w:rFonts w:ascii="Verdana" w:hAnsi="Verdana"/>
          <w:sz w:val="20"/>
          <w:szCs w:val="20"/>
          <w:lang w:val="es-CR"/>
        </w:rPr>
      </w:pPr>
    </w:p>
    <w:p w14:paraId="7EE19764" w14:textId="77777777" w:rsidR="00BD0976" w:rsidRDefault="00BD0976" w:rsidP="00BD0976">
      <w:pPr>
        <w:spacing w:after="0" w:line="240" w:lineRule="auto"/>
        <w:jc w:val="both"/>
        <w:rPr>
          <w:rFonts w:ascii="Verdana" w:hAnsi="Verdana"/>
          <w:sz w:val="20"/>
          <w:szCs w:val="20"/>
          <w:lang w:val="es-CR"/>
        </w:rPr>
      </w:pPr>
      <w:r>
        <w:rPr>
          <w:rFonts w:ascii="Verdana" w:hAnsi="Verdana"/>
          <w:b/>
          <w:sz w:val="20"/>
          <w:szCs w:val="20"/>
          <w:lang w:val="es-CR"/>
        </w:rPr>
        <w:t>CONSIDERANDO QUE:</w:t>
      </w:r>
    </w:p>
    <w:p w14:paraId="2F79CE8A" w14:textId="77777777" w:rsidR="00BD0976" w:rsidRDefault="00BD0976" w:rsidP="00BD0976">
      <w:pPr>
        <w:spacing w:after="0" w:line="240" w:lineRule="auto"/>
        <w:jc w:val="both"/>
        <w:rPr>
          <w:rFonts w:ascii="Verdana" w:hAnsi="Verdana"/>
          <w:sz w:val="20"/>
          <w:szCs w:val="20"/>
          <w:lang w:val="es-CR"/>
        </w:rPr>
      </w:pPr>
    </w:p>
    <w:p w14:paraId="56176BA5" w14:textId="13BF3AF2" w:rsidR="005C0773" w:rsidRDefault="00BD0976" w:rsidP="005C0773">
      <w:pPr>
        <w:pStyle w:val="ListParagraph"/>
        <w:numPr>
          <w:ilvl w:val="0"/>
          <w:numId w:val="2"/>
        </w:numPr>
        <w:spacing w:line="240" w:lineRule="auto"/>
        <w:ind w:left="0" w:firstLine="0"/>
        <w:jc w:val="both"/>
        <w:rPr>
          <w:rFonts w:ascii="Verdana" w:hAnsi="Verdana"/>
          <w:sz w:val="20"/>
          <w:szCs w:val="20"/>
          <w:lang w:val="es-CR"/>
        </w:rPr>
      </w:pPr>
      <w:bookmarkStart w:id="2" w:name="_Ref526434423"/>
      <w:r w:rsidRPr="00270DD6">
        <w:rPr>
          <w:rFonts w:ascii="Verdana" w:hAnsi="Verdana"/>
          <w:sz w:val="20"/>
          <w:szCs w:val="20"/>
          <w:lang w:val="es-CR"/>
        </w:rPr>
        <w:t>En el ejercicio de su función jurisdiccional de supervisar el cumplimiento de sus decisiones</w:t>
      </w:r>
      <w:r w:rsidRPr="006A2CB0">
        <w:rPr>
          <w:rStyle w:val="FootnoteReference"/>
          <w:rFonts w:ascii="Verdana" w:hAnsi="Verdana"/>
          <w:sz w:val="20"/>
          <w:szCs w:val="20"/>
          <w:lang w:val="es-CR"/>
        </w:rPr>
        <w:footnoteReference w:id="6"/>
      </w:r>
      <w:r w:rsidRPr="00270DD6">
        <w:rPr>
          <w:rFonts w:ascii="Verdana" w:hAnsi="Verdana"/>
          <w:sz w:val="20"/>
          <w:szCs w:val="20"/>
          <w:lang w:val="es-CR"/>
        </w:rPr>
        <w:t xml:space="preserve">, la Corte ha venido supervisando la ejecución de la Sentencia emitida en el presente caso </w:t>
      </w:r>
      <w:r w:rsidR="00BE1A2F" w:rsidRPr="00270DD6">
        <w:rPr>
          <w:rFonts w:ascii="Verdana" w:hAnsi="Verdana"/>
          <w:sz w:val="20"/>
          <w:szCs w:val="20"/>
          <w:lang w:val="es-CR"/>
        </w:rPr>
        <w:t xml:space="preserve">en </w:t>
      </w:r>
      <w:r w:rsidR="00CE325D" w:rsidRPr="00270DD6">
        <w:rPr>
          <w:rFonts w:ascii="Verdana" w:hAnsi="Verdana"/>
          <w:sz w:val="20"/>
          <w:szCs w:val="20"/>
          <w:lang w:val="es-CR"/>
        </w:rPr>
        <w:t>agosto de 2017</w:t>
      </w:r>
      <w:r w:rsidRPr="00270DD6">
        <w:rPr>
          <w:rFonts w:ascii="Verdana" w:hAnsi="Verdana"/>
          <w:sz w:val="20"/>
          <w:szCs w:val="20"/>
          <w:lang w:val="es-CR"/>
        </w:rPr>
        <w:t xml:space="preserve"> (</w:t>
      </w:r>
      <w:r w:rsidRPr="00270DD6">
        <w:rPr>
          <w:rFonts w:ascii="Verdana" w:hAnsi="Verdana"/>
          <w:i/>
          <w:sz w:val="20"/>
          <w:szCs w:val="20"/>
          <w:lang w:val="es-CR"/>
        </w:rPr>
        <w:t xml:space="preserve">supra </w:t>
      </w:r>
      <w:r w:rsidRPr="00270DD6">
        <w:rPr>
          <w:rFonts w:ascii="Verdana" w:hAnsi="Verdana"/>
          <w:sz w:val="20"/>
          <w:szCs w:val="20"/>
          <w:lang w:val="es-CR"/>
        </w:rPr>
        <w:t xml:space="preserve">Visto </w:t>
      </w:r>
      <w:r w:rsidR="00035801" w:rsidRPr="00270DD6">
        <w:rPr>
          <w:rFonts w:ascii="Verdana" w:hAnsi="Verdana"/>
          <w:sz w:val="20"/>
          <w:szCs w:val="20"/>
          <w:lang w:val="es-CR"/>
        </w:rPr>
        <w:fldChar w:fldCharType="begin"/>
      </w:r>
      <w:r w:rsidR="00035801" w:rsidRPr="00270DD6">
        <w:rPr>
          <w:rFonts w:ascii="Verdana" w:hAnsi="Verdana"/>
          <w:sz w:val="20"/>
          <w:szCs w:val="20"/>
          <w:lang w:val="es-CR"/>
        </w:rPr>
        <w:instrText xml:space="preserve"> REF _Ref526503233 \r \h </w:instrText>
      </w:r>
      <w:r w:rsidR="00035801" w:rsidRPr="00270DD6">
        <w:rPr>
          <w:rFonts w:ascii="Verdana" w:hAnsi="Verdana"/>
          <w:sz w:val="20"/>
          <w:szCs w:val="20"/>
          <w:lang w:val="es-CR"/>
        </w:rPr>
      </w:r>
      <w:r w:rsidR="00035801" w:rsidRPr="00270DD6">
        <w:rPr>
          <w:rFonts w:ascii="Verdana" w:hAnsi="Verdana"/>
          <w:sz w:val="20"/>
          <w:szCs w:val="20"/>
          <w:lang w:val="es-CR"/>
        </w:rPr>
        <w:fldChar w:fldCharType="separate"/>
      </w:r>
      <w:r w:rsidR="004E041C">
        <w:rPr>
          <w:rFonts w:ascii="Verdana" w:hAnsi="Verdana"/>
          <w:sz w:val="20"/>
          <w:szCs w:val="20"/>
          <w:lang w:val="es-CR"/>
        </w:rPr>
        <w:t>1</w:t>
      </w:r>
      <w:r w:rsidR="00035801" w:rsidRPr="00270DD6">
        <w:rPr>
          <w:rFonts w:ascii="Verdana" w:hAnsi="Verdana"/>
          <w:sz w:val="20"/>
          <w:szCs w:val="20"/>
          <w:lang w:val="es-CR"/>
        </w:rPr>
        <w:fldChar w:fldCharType="end"/>
      </w:r>
      <w:r w:rsidRPr="00270DD6">
        <w:rPr>
          <w:rFonts w:ascii="Verdana" w:hAnsi="Verdana"/>
          <w:sz w:val="20"/>
          <w:szCs w:val="20"/>
          <w:lang w:val="es-CR"/>
        </w:rPr>
        <w:t xml:space="preserve">). </w:t>
      </w:r>
      <w:r w:rsidR="005C0773" w:rsidRPr="00270DD6">
        <w:rPr>
          <w:rFonts w:ascii="Verdana" w:hAnsi="Verdana"/>
          <w:sz w:val="20"/>
          <w:szCs w:val="20"/>
          <w:lang w:val="es-CR"/>
        </w:rPr>
        <w:t xml:space="preserve">En la Sentencia, la Corte ordenó al Estado las siguientes medidas de reparación: a) </w:t>
      </w:r>
      <w:r w:rsidR="002D241B" w:rsidRPr="00270DD6">
        <w:rPr>
          <w:rFonts w:ascii="Verdana" w:hAnsi="Verdana"/>
          <w:sz w:val="20"/>
          <w:szCs w:val="20"/>
          <w:lang w:val="es-CR"/>
        </w:rPr>
        <w:t>conducir eficazmente la investigación, libre de e</w:t>
      </w:r>
      <w:r w:rsidR="009B06B3">
        <w:rPr>
          <w:rFonts w:ascii="Verdana" w:hAnsi="Verdana"/>
          <w:sz w:val="20"/>
          <w:szCs w:val="20"/>
          <w:lang w:val="es-CR"/>
        </w:rPr>
        <w:t>stereotipos negativos de género</w:t>
      </w:r>
      <w:r w:rsidR="002D241B" w:rsidRPr="00270DD6">
        <w:rPr>
          <w:rFonts w:ascii="Verdana" w:hAnsi="Verdana"/>
          <w:sz w:val="20"/>
          <w:szCs w:val="20"/>
          <w:lang w:val="es-CR"/>
        </w:rPr>
        <w:t xml:space="preserve"> y</w:t>
      </w:r>
      <w:r w:rsidR="009B06B3">
        <w:rPr>
          <w:rFonts w:ascii="Verdana" w:hAnsi="Verdana"/>
          <w:sz w:val="20"/>
          <w:szCs w:val="20"/>
          <w:lang w:val="es-CR"/>
        </w:rPr>
        <w:t>,</w:t>
      </w:r>
      <w:r w:rsidR="002D241B" w:rsidRPr="00270DD6">
        <w:rPr>
          <w:rFonts w:ascii="Verdana" w:hAnsi="Verdana"/>
          <w:sz w:val="20"/>
          <w:szCs w:val="20"/>
          <w:lang w:val="es-CR"/>
        </w:rPr>
        <w:t xml:space="preserve"> en su caso, continuar y/o abrir el o los procesos penales que correspondieren, para identificar, procesar y, en su caso, sancionar a los responsables de la desaparición de Mayra Gutiérrez (</w:t>
      </w:r>
      <w:r w:rsidR="002D241B" w:rsidRPr="00270DD6">
        <w:rPr>
          <w:rFonts w:ascii="Verdana" w:hAnsi="Verdana"/>
          <w:i/>
          <w:sz w:val="20"/>
          <w:szCs w:val="20"/>
          <w:lang w:val="es-CR"/>
        </w:rPr>
        <w:t>punto resolutivo décimo de la Sentencia</w:t>
      </w:r>
      <w:r w:rsidR="002D241B" w:rsidRPr="00270DD6">
        <w:rPr>
          <w:rFonts w:ascii="Verdana" w:hAnsi="Verdana"/>
          <w:sz w:val="20"/>
          <w:szCs w:val="20"/>
          <w:lang w:val="es-CR"/>
        </w:rPr>
        <w:t xml:space="preserve">); b) </w:t>
      </w:r>
      <w:r w:rsidR="005303AF" w:rsidRPr="00270DD6">
        <w:rPr>
          <w:rFonts w:ascii="Verdana" w:hAnsi="Verdana"/>
          <w:sz w:val="20"/>
          <w:szCs w:val="20"/>
          <w:lang w:val="es-CR"/>
        </w:rPr>
        <w:t>realizar determinadas publicaciones de la Sentencia y su resumen oficial</w:t>
      </w:r>
      <w:r w:rsidR="002D241B" w:rsidRPr="00270DD6">
        <w:rPr>
          <w:rFonts w:ascii="Verdana" w:hAnsi="Verdana"/>
          <w:sz w:val="20"/>
          <w:szCs w:val="20"/>
          <w:lang w:val="es-CR"/>
        </w:rPr>
        <w:t xml:space="preserve"> (</w:t>
      </w:r>
      <w:r w:rsidR="002D241B" w:rsidRPr="00270DD6">
        <w:rPr>
          <w:rFonts w:ascii="Verdana" w:hAnsi="Verdana"/>
          <w:i/>
          <w:sz w:val="20"/>
          <w:szCs w:val="20"/>
          <w:lang w:val="es-CR"/>
        </w:rPr>
        <w:t>infra</w:t>
      </w:r>
      <w:r w:rsidR="002D241B" w:rsidRPr="00270DD6">
        <w:rPr>
          <w:rFonts w:ascii="Verdana" w:hAnsi="Verdana"/>
          <w:sz w:val="20"/>
          <w:szCs w:val="20"/>
          <w:lang w:val="es-CR"/>
        </w:rPr>
        <w:t xml:space="preserve"> Considerando </w:t>
      </w:r>
      <w:r w:rsidR="00E26C5A" w:rsidRPr="00270DD6">
        <w:rPr>
          <w:rFonts w:ascii="Verdana" w:hAnsi="Verdana"/>
          <w:sz w:val="20"/>
          <w:szCs w:val="20"/>
          <w:lang w:val="es-CR"/>
        </w:rPr>
        <w:fldChar w:fldCharType="begin"/>
      </w:r>
      <w:r w:rsidR="00E26C5A" w:rsidRPr="00270DD6">
        <w:rPr>
          <w:rFonts w:ascii="Verdana" w:hAnsi="Verdana"/>
          <w:sz w:val="20"/>
          <w:szCs w:val="20"/>
          <w:lang w:val="es-CR"/>
        </w:rPr>
        <w:instrText xml:space="preserve"> REF _Ref526503317 \r \h </w:instrText>
      </w:r>
      <w:r w:rsidR="00E26C5A" w:rsidRPr="00270DD6">
        <w:rPr>
          <w:rFonts w:ascii="Verdana" w:hAnsi="Verdana"/>
          <w:sz w:val="20"/>
          <w:szCs w:val="20"/>
          <w:lang w:val="es-CR"/>
        </w:rPr>
      </w:r>
      <w:r w:rsidR="00E26C5A" w:rsidRPr="00270DD6">
        <w:rPr>
          <w:rFonts w:ascii="Verdana" w:hAnsi="Verdana"/>
          <w:sz w:val="20"/>
          <w:szCs w:val="20"/>
          <w:lang w:val="es-CR"/>
        </w:rPr>
        <w:fldChar w:fldCharType="separate"/>
      </w:r>
      <w:r w:rsidR="004E041C">
        <w:rPr>
          <w:rFonts w:ascii="Verdana" w:hAnsi="Verdana"/>
          <w:sz w:val="20"/>
          <w:szCs w:val="20"/>
          <w:lang w:val="es-CR"/>
        </w:rPr>
        <w:t>4</w:t>
      </w:r>
      <w:r w:rsidR="00E26C5A" w:rsidRPr="00270DD6">
        <w:rPr>
          <w:rFonts w:ascii="Verdana" w:hAnsi="Verdana"/>
          <w:sz w:val="20"/>
          <w:szCs w:val="20"/>
          <w:lang w:val="es-CR"/>
        </w:rPr>
        <w:fldChar w:fldCharType="end"/>
      </w:r>
      <w:r w:rsidR="003F0D98">
        <w:rPr>
          <w:rFonts w:ascii="Verdana" w:hAnsi="Verdana"/>
          <w:sz w:val="20"/>
          <w:szCs w:val="20"/>
          <w:lang w:val="es-CR"/>
        </w:rPr>
        <w:t>);</w:t>
      </w:r>
      <w:r w:rsidR="002D241B" w:rsidRPr="00270DD6">
        <w:rPr>
          <w:rFonts w:ascii="Verdana" w:hAnsi="Verdana"/>
          <w:sz w:val="20"/>
          <w:szCs w:val="20"/>
          <w:lang w:val="es-CR"/>
        </w:rPr>
        <w:t xml:space="preserve"> c) pagar la</w:t>
      </w:r>
      <w:r w:rsidR="003F0D98">
        <w:rPr>
          <w:rFonts w:ascii="Verdana" w:hAnsi="Verdana"/>
          <w:sz w:val="20"/>
          <w:szCs w:val="20"/>
          <w:lang w:val="es-CR"/>
        </w:rPr>
        <w:t>s cantidades fijadas</w:t>
      </w:r>
      <w:r w:rsidR="002D241B" w:rsidRPr="00270DD6">
        <w:rPr>
          <w:rFonts w:ascii="Verdana" w:hAnsi="Verdana"/>
          <w:sz w:val="20"/>
          <w:szCs w:val="20"/>
          <w:lang w:val="es-CR"/>
        </w:rPr>
        <w:t xml:space="preserve"> por concepto de indemnizaciones por daños inmateriales</w:t>
      </w:r>
      <w:r w:rsidR="003F0D98">
        <w:rPr>
          <w:rFonts w:ascii="Verdana" w:hAnsi="Verdana"/>
          <w:sz w:val="20"/>
          <w:szCs w:val="20"/>
          <w:lang w:val="es-CR"/>
        </w:rPr>
        <w:t>,</w:t>
      </w:r>
      <w:r w:rsidR="002D241B" w:rsidRPr="00270DD6">
        <w:rPr>
          <w:rFonts w:ascii="Verdana" w:hAnsi="Verdana"/>
          <w:sz w:val="20"/>
          <w:szCs w:val="20"/>
          <w:lang w:val="es-CR"/>
        </w:rPr>
        <w:t xml:space="preserve"> y </w:t>
      </w:r>
      <w:r w:rsidR="003F0D98">
        <w:rPr>
          <w:rFonts w:ascii="Verdana" w:hAnsi="Verdana"/>
          <w:sz w:val="20"/>
          <w:szCs w:val="20"/>
          <w:lang w:val="es-CR"/>
        </w:rPr>
        <w:t xml:space="preserve">d) pagar la cantidad fijada </w:t>
      </w:r>
      <w:r w:rsidR="002D241B" w:rsidRPr="00270DD6">
        <w:rPr>
          <w:rFonts w:ascii="Verdana" w:hAnsi="Verdana"/>
          <w:sz w:val="20"/>
          <w:szCs w:val="20"/>
          <w:lang w:val="es-CR"/>
        </w:rPr>
        <w:t>por el reintegro de costas y gastos (</w:t>
      </w:r>
      <w:r w:rsidR="002D241B" w:rsidRPr="00270DD6">
        <w:rPr>
          <w:rFonts w:ascii="Verdana" w:hAnsi="Verdana"/>
          <w:i/>
          <w:sz w:val="20"/>
          <w:szCs w:val="20"/>
          <w:lang w:val="es-CR"/>
        </w:rPr>
        <w:t xml:space="preserve">infra </w:t>
      </w:r>
      <w:r w:rsidR="008F6F37" w:rsidRPr="00270DD6">
        <w:rPr>
          <w:rFonts w:ascii="Verdana" w:hAnsi="Verdana"/>
          <w:sz w:val="20"/>
          <w:szCs w:val="20"/>
          <w:lang w:val="es-CR"/>
        </w:rPr>
        <w:t xml:space="preserve">Considerando </w:t>
      </w:r>
      <w:r w:rsidR="00E26C5A" w:rsidRPr="00270DD6">
        <w:rPr>
          <w:rFonts w:ascii="Verdana" w:hAnsi="Verdana"/>
          <w:sz w:val="20"/>
          <w:szCs w:val="20"/>
          <w:lang w:val="es-CR"/>
        </w:rPr>
        <w:fldChar w:fldCharType="begin"/>
      </w:r>
      <w:r w:rsidR="00E26C5A" w:rsidRPr="00270DD6">
        <w:rPr>
          <w:rFonts w:ascii="Verdana" w:hAnsi="Verdana"/>
          <w:sz w:val="20"/>
          <w:szCs w:val="20"/>
          <w:lang w:val="es-CR"/>
        </w:rPr>
        <w:instrText xml:space="preserve"> REF _Ref526503374 \r \h </w:instrText>
      </w:r>
      <w:r w:rsidR="00E26C5A" w:rsidRPr="00270DD6">
        <w:rPr>
          <w:rFonts w:ascii="Verdana" w:hAnsi="Verdana"/>
          <w:sz w:val="20"/>
          <w:szCs w:val="20"/>
          <w:lang w:val="es-CR"/>
        </w:rPr>
      </w:r>
      <w:r w:rsidR="00E26C5A" w:rsidRPr="00270DD6">
        <w:rPr>
          <w:rFonts w:ascii="Verdana" w:hAnsi="Verdana"/>
          <w:sz w:val="20"/>
          <w:szCs w:val="20"/>
          <w:lang w:val="es-CR"/>
        </w:rPr>
        <w:fldChar w:fldCharType="separate"/>
      </w:r>
      <w:r w:rsidR="004E041C">
        <w:rPr>
          <w:rFonts w:ascii="Verdana" w:hAnsi="Verdana"/>
          <w:sz w:val="20"/>
          <w:szCs w:val="20"/>
          <w:lang w:val="es-CR"/>
        </w:rPr>
        <w:t>8</w:t>
      </w:r>
      <w:r w:rsidR="00E26C5A" w:rsidRPr="00270DD6">
        <w:rPr>
          <w:rFonts w:ascii="Verdana" w:hAnsi="Verdana"/>
          <w:sz w:val="20"/>
          <w:szCs w:val="20"/>
          <w:lang w:val="es-CR"/>
        </w:rPr>
        <w:fldChar w:fldCharType="end"/>
      </w:r>
      <w:r w:rsidR="008F6F37" w:rsidRPr="00270DD6">
        <w:rPr>
          <w:rFonts w:ascii="Verdana" w:hAnsi="Verdana"/>
          <w:sz w:val="20"/>
          <w:szCs w:val="20"/>
          <w:lang w:val="es-CR"/>
        </w:rPr>
        <w:t xml:space="preserve">). </w:t>
      </w:r>
      <w:bookmarkEnd w:id="2"/>
    </w:p>
    <w:p w14:paraId="385BE655" w14:textId="77777777" w:rsidR="00270DD6" w:rsidRDefault="00270DD6" w:rsidP="00270DD6">
      <w:pPr>
        <w:pStyle w:val="ListParagraph"/>
        <w:spacing w:line="240" w:lineRule="auto"/>
        <w:ind w:left="0"/>
        <w:jc w:val="both"/>
        <w:rPr>
          <w:rFonts w:ascii="Verdana" w:hAnsi="Verdana"/>
          <w:sz w:val="20"/>
          <w:szCs w:val="20"/>
          <w:lang w:val="es-CR"/>
        </w:rPr>
      </w:pPr>
    </w:p>
    <w:p w14:paraId="1287C4EB" w14:textId="77777777" w:rsidR="00405015" w:rsidRPr="00270DD6" w:rsidRDefault="00405015" w:rsidP="00270DD6">
      <w:pPr>
        <w:pStyle w:val="ListParagraph"/>
        <w:spacing w:line="240" w:lineRule="auto"/>
        <w:ind w:left="0"/>
        <w:jc w:val="both"/>
        <w:rPr>
          <w:rFonts w:ascii="Verdana" w:hAnsi="Verdana"/>
          <w:sz w:val="20"/>
          <w:szCs w:val="20"/>
          <w:lang w:val="es-CR"/>
        </w:rPr>
      </w:pPr>
    </w:p>
    <w:p w14:paraId="5B8982F7" w14:textId="77777777" w:rsidR="00B50C62" w:rsidRDefault="002D241B" w:rsidP="00B50C62">
      <w:pPr>
        <w:pStyle w:val="ListParagraph"/>
        <w:numPr>
          <w:ilvl w:val="0"/>
          <w:numId w:val="2"/>
        </w:numPr>
        <w:spacing w:line="240" w:lineRule="auto"/>
        <w:ind w:left="0" w:firstLine="0"/>
        <w:jc w:val="both"/>
        <w:rPr>
          <w:rFonts w:ascii="Verdana" w:hAnsi="Verdana"/>
          <w:sz w:val="20"/>
          <w:szCs w:val="20"/>
          <w:lang w:val="es-CR"/>
        </w:rPr>
      </w:pPr>
      <w:r w:rsidRPr="00226C10">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lang w:val="es-CR"/>
        </w:rPr>
        <w:footnoteReference w:id="7"/>
      </w:r>
      <w:r w:rsidRPr="00226C10">
        <w:rPr>
          <w:rFonts w:ascii="Verdana" w:hAnsi="Verdana"/>
          <w:sz w:val="20"/>
          <w:szCs w:val="20"/>
          <w:lang w:val="es-CR"/>
        </w:rPr>
        <w:t>. Los Estados Parte en la Convención deben garantizar el cumplimiento de las disposiciones convencionales y sus efectos propios (</w:t>
      </w:r>
      <w:r w:rsidRPr="00226C10">
        <w:rPr>
          <w:rFonts w:ascii="Verdana" w:hAnsi="Verdana"/>
          <w:i/>
          <w:sz w:val="20"/>
          <w:szCs w:val="20"/>
          <w:lang w:val="es-CR"/>
        </w:rPr>
        <w:t>effet utile</w:t>
      </w:r>
      <w:r w:rsidRPr="00226C10">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lang w:val="es-CR"/>
        </w:rPr>
        <w:footnoteReference w:id="8"/>
      </w:r>
      <w:r>
        <w:rPr>
          <w:rFonts w:ascii="Verdana" w:hAnsi="Verdana"/>
          <w:sz w:val="20"/>
          <w:szCs w:val="20"/>
          <w:lang w:val="es-CR"/>
        </w:rPr>
        <w:t>.</w:t>
      </w:r>
      <w:r w:rsidR="00120F28" w:rsidRPr="00005A12">
        <w:rPr>
          <w:rFonts w:ascii="Verdana" w:hAnsi="Verdana"/>
          <w:sz w:val="20"/>
          <w:szCs w:val="20"/>
          <w:lang w:val="es-CR"/>
        </w:rPr>
        <w:t xml:space="preserve"> </w:t>
      </w:r>
    </w:p>
    <w:p w14:paraId="45721865" w14:textId="77777777" w:rsidR="00005A12" w:rsidRDefault="00005A12" w:rsidP="00005A12">
      <w:pPr>
        <w:pStyle w:val="ListParagraph"/>
        <w:spacing w:line="240" w:lineRule="auto"/>
        <w:ind w:left="0"/>
        <w:jc w:val="both"/>
        <w:rPr>
          <w:rFonts w:ascii="Verdana" w:hAnsi="Verdana"/>
          <w:sz w:val="20"/>
          <w:szCs w:val="20"/>
          <w:lang w:val="es-CR"/>
        </w:rPr>
      </w:pPr>
    </w:p>
    <w:p w14:paraId="6E822A97" w14:textId="77777777" w:rsidR="00405015" w:rsidRPr="00005A12" w:rsidRDefault="00405015" w:rsidP="00005A12">
      <w:pPr>
        <w:pStyle w:val="ListParagraph"/>
        <w:spacing w:line="240" w:lineRule="auto"/>
        <w:ind w:left="0"/>
        <w:jc w:val="both"/>
        <w:rPr>
          <w:rFonts w:ascii="Verdana" w:hAnsi="Verdana"/>
          <w:sz w:val="20"/>
          <w:szCs w:val="20"/>
          <w:lang w:val="es-CR"/>
        </w:rPr>
      </w:pPr>
    </w:p>
    <w:p w14:paraId="451EAC4A" w14:textId="5C87C30E" w:rsidR="00B50C62" w:rsidRDefault="007E09EF" w:rsidP="003004AD">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 xml:space="preserve">La Corte se pronunciará sobre las </w:t>
      </w:r>
      <w:r w:rsidR="00D06593">
        <w:rPr>
          <w:rFonts w:ascii="Verdana" w:hAnsi="Verdana"/>
          <w:sz w:val="20"/>
          <w:szCs w:val="20"/>
          <w:lang w:val="es-CR"/>
        </w:rPr>
        <w:t xml:space="preserve">tres </w:t>
      </w:r>
      <w:r>
        <w:rPr>
          <w:rFonts w:ascii="Verdana" w:hAnsi="Verdana"/>
          <w:sz w:val="20"/>
          <w:szCs w:val="20"/>
          <w:lang w:val="es-CR"/>
        </w:rPr>
        <w:t>medidas respecto de las cuales el Estado presentó información</w:t>
      </w:r>
      <w:r w:rsidR="00D06593">
        <w:rPr>
          <w:rFonts w:ascii="Verdana" w:hAnsi="Verdana"/>
          <w:sz w:val="20"/>
          <w:szCs w:val="20"/>
          <w:lang w:val="es-CR"/>
        </w:rPr>
        <w:t xml:space="preserve"> que permite valorar el grado de cumplimiento de las mismas</w:t>
      </w:r>
      <w:r>
        <w:rPr>
          <w:rFonts w:ascii="Verdana" w:hAnsi="Verdana"/>
          <w:sz w:val="20"/>
          <w:szCs w:val="20"/>
          <w:lang w:val="es-CR"/>
        </w:rPr>
        <w:t xml:space="preserve"> (</w:t>
      </w:r>
      <w:r w:rsidR="00DA5155">
        <w:rPr>
          <w:rFonts w:ascii="Verdana" w:hAnsi="Verdana"/>
          <w:i/>
          <w:sz w:val="20"/>
          <w:szCs w:val="20"/>
          <w:lang w:val="es-CR"/>
        </w:rPr>
        <w:t xml:space="preserve">infra </w:t>
      </w:r>
      <w:r>
        <w:rPr>
          <w:rFonts w:ascii="Verdana" w:hAnsi="Verdana"/>
          <w:sz w:val="20"/>
          <w:szCs w:val="20"/>
          <w:lang w:val="es-CR"/>
        </w:rPr>
        <w:t>Considerando</w:t>
      </w:r>
      <w:r w:rsidR="00DA5155">
        <w:rPr>
          <w:rFonts w:ascii="Verdana" w:hAnsi="Verdana"/>
          <w:sz w:val="20"/>
          <w:szCs w:val="20"/>
          <w:lang w:val="es-CR"/>
        </w:rPr>
        <w:t>s</w:t>
      </w:r>
      <w:r>
        <w:rPr>
          <w:rFonts w:ascii="Verdana" w:hAnsi="Verdana"/>
          <w:sz w:val="20"/>
          <w:szCs w:val="20"/>
          <w:lang w:val="es-CR"/>
        </w:rPr>
        <w:t xml:space="preserve"> </w:t>
      </w:r>
      <w:r w:rsidR="00DA5155">
        <w:rPr>
          <w:rFonts w:ascii="Verdana" w:hAnsi="Verdana"/>
          <w:sz w:val="20"/>
          <w:szCs w:val="20"/>
          <w:lang w:val="es-CR"/>
        </w:rPr>
        <w:t>4 y 8</w:t>
      </w:r>
      <w:r>
        <w:rPr>
          <w:rFonts w:ascii="Verdana" w:hAnsi="Verdana"/>
          <w:sz w:val="20"/>
          <w:szCs w:val="20"/>
          <w:lang w:val="es-CR"/>
        </w:rPr>
        <w:t xml:space="preserve">). </w:t>
      </w:r>
      <w:r w:rsidR="00496A3A">
        <w:rPr>
          <w:rFonts w:ascii="Verdana" w:hAnsi="Verdana"/>
          <w:sz w:val="20"/>
          <w:szCs w:val="20"/>
          <w:lang w:val="es-CR"/>
        </w:rPr>
        <w:t xml:space="preserve">Con relación a la obligación de investigar, juzgar y, en su caso, sancionar, </w:t>
      </w:r>
      <w:r w:rsidR="00D06593">
        <w:rPr>
          <w:rFonts w:ascii="Verdana" w:hAnsi="Verdana"/>
          <w:sz w:val="20"/>
          <w:szCs w:val="20"/>
          <w:lang w:val="es-CR"/>
        </w:rPr>
        <w:t xml:space="preserve">la Corte hace notar que el 25 de septiembre de 2018 venció el plazo de un año para que el Estado presentara el informe requerido en el punto dispositivo décimo tercero de la Sentencia, sin que el mismo hubiese sido presentado. </w:t>
      </w:r>
      <w:r w:rsidR="00393550">
        <w:rPr>
          <w:rFonts w:ascii="Verdana" w:hAnsi="Verdana"/>
          <w:sz w:val="20"/>
          <w:szCs w:val="20"/>
          <w:lang w:val="es-CR"/>
        </w:rPr>
        <w:t xml:space="preserve">Dicha medida será supervisada en una posterior resolución. </w:t>
      </w:r>
      <w:r w:rsidR="003004AD">
        <w:rPr>
          <w:rFonts w:ascii="Verdana" w:hAnsi="Verdana"/>
          <w:sz w:val="20"/>
          <w:szCs w:val="20"/>
          <w:lang w:val="es-CR"/>
        </w:rPr>
        <w:t>El Tribunal estructurará sus consideraciones en el siguiente orden:</w:t>
      </w:r>
    </w:p>
    <w:p w14:paraId="44C4654E" w14:textId="77777777" w:rsidR="00F2322B" w:rsidRDefault="00F2322B" w:rsidP="00F2322B">
      <w:pPr>
        <w:pStyle w:val="ListParagraph"/>
        <w:spacing w:after="0" w:line="240" w:lineRule="auto"/>
        <w:ind w:left="0"/>
        <w:jc w:val="both"/>
        <w:rPr>
          <w:rFonts w:ascii="Verdana" w:hAnsi="Verdana"/>
          <w:sz w:val="20"/>
          <w:szCs w:val="20"/>
          <w:lang w:val="es-CR"/>
        </w:rPr>
      </w:pPr>
    </w:p>
    <w:p w14:paraId="3D6F33AF" w14:textId="77777777" w:rsidR="00F2322B" w:rsidRPr="00F2322B" w:rsidRDefault="00F2322B" w:rsidP="00F2322B">
      <w:pPr>
        <w:pStyle w:val="TOC1"/>
        <w:tabs>
          <w:tab w:val="left" w:pos="660"/>
          <w:tab w:val="right" w:leader="dot" w:pos="9350"/>
        </w:tabs>
        <w:spacing w:after="0" w:line="240" w:lineRule="auto"/>
        <w:jc w:val="both"/>
        <w:rPr>
          <w:rFonts w:ascii="Verdana" w:eastAsiaTheme="minorEastAsia" w:hAnsi="Verdana"/>
          <w:i/>
          <w:noProof/>
          <w:sz w:val="16"/>
          <w:szCs w:val="16"/>
          <w:lang w:val="es-CR" w:eastAsia="es-CR"/>
        </w:rPr>
      </w:pPr>
      <w:r w:rsidRPr="00F2322B">
        <w:rPr>
          <w:rFonts w:ascii="Verdana" w:hAnsi="Verdana"/>
          <w:i/>
          <w:sz w:val="16"/>
          <w:szCs w:val="16"/>
          <w:lang w:val="es-CR"/>
        </w:rPr>
        <w:fldChar w:fldCharType="begin"/>
      </w:r>
      <w:r w:rsidRPr="00F2322B">
        <w:rPr>
          <w:rFonts w:ascii="Verdana" w:hAnsi="Verdana"/>
          <w:i/>
          <w:sz w:val="16"/>
          <w:szCs w:val="16"/>
          <w:lang w:val="es-CR"/>
        </w:rPr>
        <w:instrText xml:space="preserve"> TOC \o "1-3" \h \z \u </w:instrText>
      </w:r>
      <w:r w:rsidRPr="00F2322B">
        <w:rPr>
          <w:rFonts w:ascii="Verdana" w:hAnsi="Verdana"/>
          <w:i/>
          <w:sz w:val="16"/>
          <w:szCs w:val="16"/>
          <w:lang w:val="es-CR"/>
        </w:rPr>
        <w:fldChar w:fldCharType="separate"/>
      </w:r>
      <w:hyperlink w:anchor="_Toc506975458" w:history="1">
        <w:r w:rsidRPr="00F2322B">
          <w:rPr>
            <w:rStyle w:val="Hyperlink"/>
            <w:rFonts w:ascii="Verdana" w:hAnsi="Verdana"/>
            <w:i/>
            <w:noProof/>
            <w:sz w:val="16"/>
            <w:szCs w:val="16"/>
            <w:lang w:val="es-CR"/>
          </w:rPr>
          <w:t>A.</w:t>
        </w:r>
        <w:r w:rsidRPr="00F2322B">
          <w:rPr>
            <w:rFonts w:ascii="Verdana" w:eastAsiaTheme="minorEastAsia" w:hAnsi="Verdana"/>
            <w:i/>
            <w:noProof/>
            <w:sz w:val="16"/>
            <w:szCs w:val="16"/>
            <w:lang w:val="es-CR" w:eastAsia="es-CR"/>
          </w:rPr>
          <w:tab/>
        </w:r>
        <w:r w:rsidRPr="00F2322B">
          <w:rPr>
            <w:rStyle w:val="Hyperlink"/>
            <w:rFonts w:ascii="Verdana" w:hAnsi="Verdana"/>
            <w:i/>
            <w:noProof/>
            <w:sz w:val="16"/>
            <w:szCs w:val="16"/>
            <w:lang w:val="es-CR"/>
          </w:rPr>
          <w:t>Publicación y difusión de la Sentencia</w:t>
        </w:r>
        <w:r w:rsidRPr="00F2322B">
          <w:rPr>
            <w:rFonts w:ascii="Verdana" w:hAnsi="Verdana"/>
            <w:i/>
            <w:noProof/>
            <w:webHidden/>
            <w:sz w:val="16"/>
            <w:szCs w:val="16"/>
          </w:rPr>
          <w:tab/>
        </w:r>
        <w:r w:rsidRPr="00F2322B">
          <w:rPr>
            <w:rFonts w:ascii="Verdana" w:hAnsi="Verdana"/>
            <w:i/>
            <w:noProof/>
            <w:webHidden/>
            <w:sz w:val="16"/>
            <w:szCs w:val="16"/>
          </w:rPr>
          <w:fldChar w:fldCharType="begin"/>
        </w:r>
        <w:r w:rsidRPr="00F2322B">
          <w:rPr>
            <w:rFonts w:ascii="Verdana" w:hAnsi="Verdana"/>
            <w:i/>
            <w:noProof/>
            <w:webHidden/>
            <w:sz w:val="16"/>
            <w:szCs w:val="16"/>
          </w:rPr>
          <w:instrText xml:space="preserve"> PAGEREF _Toc506975458 \h </w:instrText>
        </w:r>
        <w:r w:rsidRPr="00F2322B">
          <w:rPr>
            <w:rFonts w:ascii="Verdana" w:hAnsi="Verdana"/>
            <w:i/>
            <w:noProof/>
            <w:webHidden/>
            <w:sz w:val="16"/>
            <w:szCs w:val="16"/>
          </w:rPr>
        </w:r>
        <w:r w:rsidRPr="00F2322B">
          <w:rPr>
            <w:rFonts w:ascii="Verdana" w:hAnsi="Verdana"/>
            <w:i/>
            <w:noProof/>
            <w:webHidden/>
            <w:sz w:val="16"/>
            <w:szCs w:val="16"/>
          </w:rPr>
          <w:fldChar w:fldCharType="separate"/>
        </w:r>
        <w:r w:rsidR="004E041C">
          <w:rPr>
            <w:rFonts w:ascii="Verdana" w:hAnsi="Verdana"/>
            <w:i/>
            <w:noProof/>
            <w:webHidden/>
            <w:sz w:val="16"/>
            <w:szCs w:val="16"/>
          </w:rPr>
          <w:t>2</w:t>
        </w:r>
        <w:r w:rsidRPr="00F2322B">
          <w:rPr>
            <w:rFonts w:ascii="Verdana" w:hAnsi="Verdana"/>
            <w:i/>
            <w:noProof/>
            <w:webHidden/>
            <w:sz w:val="16"/>
            <w:szCs w:val="16"/>
          </w:rPr>
          <w:fldChar w:fldCharType="end"/>
        </w:r>
      </w:hyperlink>
    </w:p>
    <w:p w14:paraId="6E1E8BF3" w14:textId="77777777" w:rsidR="00F2322B" w:rsidRPr="00F2322B" w:rsidRDefault="00451762" w:rsidP="00F2322B">
      <w:pPr>
        <w:pStyle w:val="TOC1"/>
        <w:tabs>
          <w:tab w:val="left" w:pos="660"/>
          <w:tab w:val="right" w:leader="dot" w:pos="9350"/>
        </w:tabs>
        <w:spacing w:after="0" w:line="240" w:lineRule="auto"/>
        <w:jc w:val="both"/>
        <w:rPr>
          <w:rFonts w:ascii="Verdana" w:eastAsiaTheme="minorEastAsia" w:hAnsi="Verdana"/>
          <w:i/>
          <w:noProof/>
          <w:sz w:val="16"/>
          <w:szCs w:val="16"/>
          <w:lang w:val="es-CR" w:eastAsia="es-CR"/>
        </w:rPr>
      </w:pPr>
      <w:hyperlink w:anchor="_Toc506975459" w:history="1">
        <w:r w:rsidR="00F2322B" w:rsidRPr="00F2322B">
          <w:rPr>
            <w:rStyle w:val="Hyperlink"/>
            <w:rFonts w:ascii="Verdana" w:hAnsi="Verdana"/>
            <w:i/>
            <w:noProof/>
            <w:sz w:val="16"/>
            <w:szCs w:val="16"/>
            <w:lang w:val="es-CR"/>
          </w:rPr>
          <w:t>B.</w:t>
        </w:r>
        <w:r w:rsidR="00F2322B" w:rsidRPr="00F2322B">
          <w:rPr>
            <w:rFonts w:ascii="Verdana" w:eastAsiaTheme="minorEastAsia" w:hAnsi="Verdana"/>
            <w:i/>
            <w:noProof/>
            <w:sz w:val="16"/>
            <w:szCs w:val="16"/>
            <w:lang w:val="es-CR" w:eastAsia="es-CR"/>
          </w:rPr>
          <w:tab/>
        </w:r>
        <w:r w:rsidR="00F2322B" w:rsidRPr="00F2322B">
          <w:rPr>
            <w:rStyle w:val="Hyperlink"/>
            <w:rFonts w:ascii="Verdana" w:hAnsi="Verdana"/>
            <w:i/>
            <w:noProof/>
            <w:sz w:val="16"/>
            <w:szCs w:val="16"/>
            <w:lang w:val="es-CR"/>
          </w:rPr>
          <w:t>Indemnizaciones por daños inmateriales y reintegro de costas y gastos</w:t>
        </w:r>
        <w:r w:rsidR="00F2322B" w:rsidRPr="00F2322B">
          <w:rPr>
            <w:rFonts w:ascii="Verdana" w:hAnsi="Verdana"/>
            <w:i/>
            <w:noProof/>
            <w:webHidden/>
            <w:sz w:val="16"/>
            <w:szCs w:val="16"/>
          </w:rPr>
          <w:tab/>
        </w:r>
        <w:r w:rsidR="00F2322B" w:rsidRPr="00F2322B">
          <w:rPr>
            <w:rFonts w:ascii="Verdana" w:hAnsi="Verdana"/>
            <w:i/>
            <w:noProof/>
            <w:webHidden/>
            <w:sz w:val="16"/>
            <w:szCs w:val="16"/>
          </w:rPr>
          <w:fldChar w:fldCharType="begin"/>
        </w:r>
        <w:r w:rsidR="00F2322B" w:rsidRPr="00F2322B">
          <w:rPr>
            <w:rFonts w:ascii="Verdana" w:hAnsi="Verdana"/>
            <w:i/>
            <w:noProof/>
            <w:webHidden/>
            <w:sz w:val="16"/>
            <w:szCs w:val="16"/>
          </w:rPr>
          <w:instrText xml:space="preserve"> PAGEREF _Toc506975459 \h </w:instrText>
        </w:r>
        <w:r w:rsidR="00F2322B" w:rsidRPr="00F2322B">
          <w:rPr>
            <w:rFonts w:ascii="Verdana" w:hAnsi="Verdana"/>
            <w:i/>
            <w:noProof/>
            <w:webHidden/>
            <w:sz w:val="16"/>
            <w:szCs w:val="16"/>
          </w:rPr>
        </w:r>
        <w:r w:rsidR="00F2322B" w:rsidRPr="00F2322B">
          <w:rPr>
            <w:rFonts w:ascii="Verdana" w:hAnsi="Verdana"/>
            <w:i/>
            <w:noProof/>
            <w:webHidden/>
            <w:sz w:val="16"/>
            <w:szCs w:val="16"/>
          </w:rPr>
          <w:fldChar w:fldCharType="separate"/>
        </w:r>
        <w:r w:rsidR="004E041C">
          <w:rPr>
            <w:rFonts w:ascii="Verdana" w:hAnsi="Verdana"/>
            <w:i/>
            <w:noProof/>
            <w:webHidden/>
            <w:sz w:val="16"/>
            <w:szCs w:val="16"/>
          </w:rPr>
          <w:t>2</w:t>
        </w:r>
        <w:r w:rsidR="00F2322B" w:rsidRPr="00F2322B">
          <w:rPr>
            <w:rFonts w:ascii="Verdana" w:hAnsi="Verdana"/>
            <w:i/>
            <w:noProof/>
            <w:webHidden/>
            <w:sz w:val="16"/>
            <w:szCs w:val="16"/>
          </w:rPr>
          <w:fldChar w:fldCharType="end"/>
        </w:r>
      </w:hyperlink>
    </w:p>
    <w:p w14:paraId="24EBDF24" w14:textId="77777777" w:rsidR="003004AD" w:rsidRDefault="00F2322B" w:rsidP="00F2322B">
      <w:pPr>
        <w:spacing w:after="0" w:line="240" w:lineRule="auto"/>
        <w:jc w:val="both"/>
        <w:rPr>
          <w:rFonts w:ascii="Verdana" w:hAnsi="Verdana"/>
          <w:i/>
          <w:sz w:val="16"/>
          <w:szCs w:val="16"/>
          <w:lang w:val="es-CR"/>
        </w:rPr>
      </w:pPr>
      <w:r w:rsidRPr="00F2322B">
        <w:rPr>
          <w:rFonts w:ascii="Verdana" w:hAnsi="Verdana"/>
          <w:i/>
          <w:sz w:val="16"/>
          <w:szCs w:val="16"/>
          <w:lang w:val="es-CR"/>
        </w:rPr>
        <w:fldChar w:fldCharType="end"/>
      </w:r>
    </w:p>
    <w:p w14:paraId="7D9A2AFB" w14:textId="77777777" w:rsidR="00405015" w:rsidRPr="003004AD" w:rsidRDefault="00405015" w:rsidP="00F2322B">
      <w:pPr>
        <w:spacing w:after="0" w:line="240" w:lineRule="auto"/>
        <w:jc w:val="both"/>
        <w:rPr>
          <w:rFonts w:ascii="Verdana" w:hAnsi="Verdana"/>
          <w:sz w:val="20"/>
          <w:szCs w:val="20"/>
          <w:lang w:val="es-CR"/>
        </w:rPr>
      </w:pPr>
    </w:p>
    <w:p w14:paraId="07DC3748" w14:textId="041E3012" w:rsidR="003004AD" w:rsidRDefault="003004AD" w:rsidP="00481A61">
      <w:pPr>
        <w:pStyle w:val="Heading1"/>
        <w:numPr>
          <w:ilvl w:val="0"/>
          <w:numId w:val="15"/>
        </w:numPr>
        <w:spacing w:before="0" w:line="240" w:lineRule="auto"/>
        <w:rPr>
          <w:rFonts w:ascii="Verdana" w:hAnsi="Verdana"/>
          <w:color w:val="auto"/>
          <w:sz w:val="20"/>
          <w:szCs w:val="16"/>
          <w:lang w:val="es-CR"/>
        </w:rPr>
      </w:pPr>
      <w:bookmarkStart w:id="3" w:name="_Toc506975458"/>
      <w:r>
        <w:rPr>
          <w:rFonts w:ascii="Verdana" w:hAnsi="Verdana"/>
          <w:color w:val="auto"/>
          <w:sz w:val="20"/>
          <w:szCs w:val="16"/>
          <w:lang w:val="es-CR"/>
        </w:rPr>
        <w:t>Publicación y difusión de la Sentencia</w:t>
      </w:r>
      <w:bookmarkEnd w:id="3"/>
      <w:r>
        <w:rPr>
          <w:rFonts w:ascii="Verdana" w:hAnsi="Verdana"/>
          <w:color w:val="auto"/>
          <w:sz w:val="20"/>
          <w:szCs w:val="16"/>
          <w:lang w:val="es-CR"/>
        </w:rPr>
        <w:t xml:space="preserve"> </w:t>
      </w:r>
    </w:p>
    <w:p w14:paraId="26417869" w14:textId="77777777" w:rsidR="00481A61" w:rsidRDefault="00481A61" w:rsidP="00481A61">
      <w:pPr>
        <w:spacing w:after="0" w:line="240" w:lineRule="auto"/>
        <w:ind w:left="360" w:firstLine="360"/>
        <w:rPr>
          <w:rFonts w:ascii="Verdana" w:hAnsi="Verdana"/>
          <w:i/>
          <w:sz w:val="20"/>
          <w:szCs w:val="20"/>
          <w:lang w:val="es-CR"/>
        </w:rPr>
      </w:pPr>
    </w:p>
    <w:p w14:paraId="38B510EA" w14:textId="0A2FABB3" w:rsidR="003004AD" w:rsidRDefault="003004AD" w:rsidP="00481A61">
      <w:pPr>
        <w:spacing w:after="0" w:line="240" w:lineRule="auto"/>
        <w:ind w:left="360" w:firstLine="360"/>
        <w:rPr>
          <w:rFonts w:ascii="Verdana" w:hAnsi="Verdana"/>
          <w:i/>
          <w:sz w:val="20"/>
          <w:szCs w:val="20"/>
          <w:lang w:val="es-CR"/>
        </w:rPr>
      </w:pPr>
      <w:r>
        <w:rPr>
          <w:rFonts w:ascii="Verdana" w:hAnsi="Verdana"/>
          <w:i/>
          <w:sz w:val="20"/>
          <w:szCs w:val="20"/>
          <w:lang w:val="es-CR"/>
        </w:rPr>
        <w:t>A.1. Medida</w:t>
      </w:r>
      <w:r w:rsidR="00393550">
        <w:rPr>
          <w:rFonts w:ascii="Verdana" w:hAnsi="Verdana"/>
          <w:i/>
          <w:sz w:val="20"/>
          <w:szCs w:val="20"/>
          <w:lang w:val="es-CR"/>
        </w:rPr>
        <w:t>s</w:t>
      </w:r>
      <w:r>
        <w:rPr>
          <w:rFonts w:ascii="Verdana" w:hAnsi="Verdana"/>
          <w:i/>
          <w:sz w:val="20"/>
          <w:szCs w:val="20"/>
          <w:lang w:val="es-CR"/>
        </w:rPr>
        <w:t xml:space="preserve"> ordenada</w:t>
      </w:r>
      <w:r w:rsidR="00393550">
        <w:rPr>
          <w:rFonts w:ascii="Verdana" w:hAnsi="Verdana"/>
          <w:i/>
          <w:sz w:val="20"/>
          <w:szCs w:val="20"/>
          <w:lang w:val="es-CR"/>
        </w:rPr>
        <w:t>s</w:t>
      </w:r>
      <w:r>
        <w:rPr>
          <w:rFonts w:ascii="Verdana" w:hAnsi="Verdana"/>
          <w:i/>
          <w:sz w:val="20"/>
          <w:szCs w:val="20"/>
          <w:lang w:val="es-CR"/>
        </w:rPr>
        <w:t xml:space="preserve"> por la Corte</w:t>
      </w:r>
    </w:p>
    <w:p w14:paraId="1556A066" w14:textId="77777777" w:rsidR="00481A61" w:rsidRDefault="00481A61" w:rsidP="00481A61">
      <w:pPr>
        <w:spacing w:after="0" w:line="240" w:lineRule="auto"/>
        <w:ind w:left="360" w:firstLine="360"/>
        <w:rPr>
          <w:rFonts w:ascii="Verdana" w:hAnsi="Verdana"/>
          <w:i/>
          <w:sz w:val="20"/>
          <w:szCs w:val="20"/>
          <w:lang w:val="es-CR"/>
        </w:rPr>
      </w:pPr>
    </w:p>
    <w:p w14:paraId="37543628" w14:textId="29C4C1CF" w:rsidR="008551B0" w:rsidRDefault="00F2322B" w:rsidP="008551B0">
      <w:pPr>
        <w:pStyle w:val="ListParagraph"/>
        <w:numPr>
          <w:ilvl w:val="0"/>
          <w:numId w:val="2"/>
        </w:numPr>
        <w:spacing w:after="0" w:line="240" w:lineRule="auto"/>
        <w:ind w:left="0" w:firstLine="0"/>
        <w:jc w:val="both"/>
        <w:rPr>
          <w:rFonts w:ascii="Verdana" w:hAnsi="Verdana"/>
          <w:sz w:val="20"/>
          <w:szCs w:val="20"/>
          <w:lang w:val="es-CR"/>
        </w:rPr>
      </w:pPr>
      <w:bookmarkStart w:id="4" w:name="_Ref526503317"/>
      <w:r>
        <w:rPr>
          <w:rFonts w:ascii="Verdana" w:hAnsi="Verdana"/>
          <w:sz w:val="20"/>
          <w:szCs w:val="20"/>
          <w:lang w:val="es-CR"/>
        </w:rPr>
        <w:t xml:space="preserve">En el punto resolutivo </w:t>
      </w:r>
      <w:r w:rsidR="007E09EF">
        <w:rPr>
          <w:rFonts w:ascii="Verdana" w:hAnsi="Verdana"/>
          <w:sz w:val="20"/>
          <w:szCs w:val="20"/>
          <w:lang w:val="es-CR"/>
        </w:rPr>
        <w:t>décimo primero</w:t>
      </w:r>
      <w:r>
        <w:rPr>
          <w:rFonts w:ascii="Verdana" w:hAnsi="Verdana"/>
          <w:sz w:val="20"/>
          <w:szCs w:val="20"/>
          <w:lang w:val="es-CR"/>
        </w:rPr>
        <w:t xml:space="preserve"> y en el párrafo 212 de la Sentencia, la Corte ordenó al Estado “publicar, en un tamaño de letra legible y en </w:t>
      </w:r>
      <w:r w:rsidR="00B80EC8">
        <w:rPr>
          <w:rFonts w:ascii="Verdana" w:hAnsi="Verdana"/>
          <w:sz w:val="20"/>
          <w:szCs w:val="20"/>
          <w:lang w:val="es-CR"/>
        </w:rPr>
        <w:t xml:space="preserve">un </w:t>
      </w:r>
      <w:r>
        <w:rPr>
          <w:rFonts w:ascii="Verdana" w:hAnsi="Verdana"/>
          <w:sz w:val="20"/>
          <w:szCs w:val="20"/>
          <w:lang w:val="es-CR"/>
        </w:rPr>
        <w:t xml:space="preserve">plazo de seis meses, contado a partir de la notificación de la […] Sentencia: a) el resumen oficial de la Sentencia elaborado por la Corte, por una sola vez, en el Diario Oficial y en un diario </w:t>
      </w:r>
      <w:r w:rsidR="00B80EC8">
        <w:rPr>
          <w:rFonts w:ascii="Verdana" w:hAnsi="Verdana"/>
          <w:sz w:val="20"/>
          <w:szCs w:val="20"/>
          <w:lang w:val="es-CR"/>
        </w:rPr>
        <w:t xml:space="preserve">nacional </w:t>
      </w:r>
      <w:r>
        <w:rPr>
          <w:rFonts w:ascii="Verdana" w:hAnsi="Verdana"/>
          <w:sz w:val="20"/>
          <w:szCs w:val="20"/>
          <w:lang w:val="es-CR"/>
        </w:rPr>
        <w:t>de amplia circulación, y b) la […] Sentencia en su integridad, disponible al menos por un período de un año, en un […] sitio web oficial del Estado”.</w:t>
      </w:r>
      <w:r w:rsidR="008551B0">
        <w:rPr>
          <w:rFonts w:ascii="Verdana" w:hAnsi="Verdana"/>
          <w:sz w:val="20"/>
          <w:szCs w:val="20"/>
          <w:lang w:val="es-CR"/>
        </w:rPr>
        <w:t xml:space="preserve"> Asimismo, se le requirió “informar de forma inmediata […] una vez que proceda a realizar cada una de las publicaciones dispuestas, independientemente del plazo de un año para presentar su primer informe”.</w:t>
      </w:r>
      <w:bookmarkEnd w:id="4"/>
      <w:r w:rsidR="008551B0">
        <w:rPr>
          <w:rFonts w:ascii="Verdana" w:hAnsi="Verdana"/>
          <w:sz w:val="20"/>
          <w:szCs w:val="20"/>
          <w:lang w:val="es-CR"/>
        </w:rPr>
        <w:t xml:space="preserve"> </w:t>
      </w:r>
    </w:p>
    <w:p w14:paraId="34AE72DA" w14:textId="77777777" w:rsidR="00F2322B" w:rsidRDefault="00F2322B" w:rsidP="008551B0">
      <w:pPr>
        <w:pStyle w:val="ListParagraph"/>
        <w:spacing w:after="0" w:line="240" w:lineRule="auto"/>
        <w:ind w:left="0"/>
        <w:jc w:val="both"/>
        <w:rPr>
          <w:rFonts w:ascii="Verdana" w:hAnsi="Verdana"/>
          <w:sz w:val="20"/>
          <w:szCs w:val="20"/>
          <w:lang w:val="es-CR"/>
        </w:rPr>
      </w:pPr>
    </w:p>
    <w:p w14:paraId="1E6FE78E" w14:textId="77777777" w:rsidR="00405015" w:rsidRDefault="00405015" w:rsidP="008551B0">
      <w:pPr>
        <w:pStyle w:val="ListParagraph"/>
        <w:spacing w:after="0" w:line="240" w:lineRule="auto"/>
        <w:ind w:left="0"/>
        <w:jc w:val="both"/>
        <w:rPr>
          <w:rFonts w:ascii="Verdana" w:hAnsi="Verdana"/>
          <w:sz w:val="20"/>
          <w:szCs w:val="20"/>
          <w:lang w:val="es-CR"/>
        </w:rPr>
      </w:pPr>
    </w:p>
    <w:p w14:paraId="2378D244" w14:textId="77777777" w:rsidR="00F2322B" w:rsidRPr="00F2322B" w:rsidRDefault="00F2322B" w:rsidP="00F2322B">
      <w:pPr>
        <w:ind w:left="360" w:firstLine="360"/>
        <w:rPr>
          <w:rFonts w:ascii="Verdana" w:hAnsi="Verdana"/>
          <w:sz w:val="20"/>
          <w:szCs w:val="20"/>
          <w:lang w:val="es-CR"/>
        </w:rPr>
      </w:pPr>
      <w:r>
        <w:rPr>
          <w:rFonts w:ascii="Verdana" w:hAnsi="Verdana"/>
          <w:i/>
          <w:sz w:val="20"/>
          <w:szCs w:val="20"/>
          <w:lang w:val="es-CR"/>
        </w:rPr>
        <w:t>A.2. Consideraciones de la Corte</w:t>
      </w:r>
    </w:p>
    <w:p w14:paraId="6D272F9A" w14:textId="706D3E89" w:rsidR="002D2549" w:rsidRDefault="002D2549" w:rsidP="00F2322B">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Con base en los comprobantes aportados por el Estado, en sus informes de enero y mayo de 2</w:t>
      </w:r>
      <w:r w:rsidR="00C21DE3">
        <w:rPr>
          <w:rFonts w:ascii="Verdana" w:hAnsi="Verdana"/>
          <w:sz w:val="20"/>
          <w:szCs w:val="20"/>
          <w:lang w:val="es-CR"/>
        </w:rPr>
        <w:t>0</w:t>
      </w:r>
      <w:r>
        <w:rPr>
          <w:rFonts w:ascii="Verdana" w:hAnsi="Verdana"/>
          <w:sz w:val="20"/>
          <w:szCs w:val="20"/>
          <w:lang w:val="es-CR"/>
        </w:rPr>
        <w:t>18</w:t>
      </w:r>
      <w:r w:rsidR="00F2322B">
        <w:rPr>
          <w:rFonts w:ascii="Verdana" w:hAnsi="Verdana"/>
          <w:sz w:val="20"/>
          <w:szCs w:val="20"/>
          <w:lang w:val="es-CR"/>
        </w:rPr>
        <w:t>,</w:t>
      </w:r>
      <w:r w:rsidR="003F5F29">
        <w:rPr>
          <w:rFonts w:ascii="Verdana" w:hAnsi="Verdana"/>
          <w:sz w:val="20"/>
          <w:szCs w:val="20"/>
          <w:lang w:val="es-CR"/>
        </w:rPr>
        <w:t xml:space="preserve"> y lo indicado por los representantes en sus observaciones de julio de 2018</w:t>
      </w:r>
      <w:r w:rsidR="003F5F29">
        <w:rPr>
          <w:rStyle w:val="FootnoteReference"/>
          <w:rFonts w:ascii="Verdana" w:hAnsi="Verdana"/>
          <w:sz w:val="20"/>
          <w:szCs w:val="20"/>
          <w:lang w:val="es-CR"/>
        </w:rPr>
        <w:footnoteReference w:id="9"/>
      </w:r>
      <w:r w:rsidR="003F5F29">
        <w:rPr>
          <w:rFonts w:ascii="Verdana" w:hAnsi="Verdana"/>
          <w:sz w:val="20"/>
          <w:szCs w:val="20"/>
          <w:lang w:val="es-CR"/>
        </w:rPr>
        <w:t>,</w:t>
      </w:r>
      <w:r w:rsidR="00F2322B">
        <w:rPr>
          <w:rFonts w:ascii="Verdana" w:hAnsi="Verdana"/>
          <w:sz w:val="20"/>
          <w:szCs w:val="20"/>
          <w:lang w:val="es-CR"/>
        </w:rPr>
        <w:t xml:space="preserve"> </w:t>
      </w:r>
      <w:r>
        <w:rPr>
          <w:rFonts w:ascii="Verdana" w:hAnsi="Verdana"/>
          <w:sz w:val="20"/>
          <w:szCs w:val="20"/>
          <w:lang w:val="es-CR"/>
        </w:rPr>
        <w:t xml:space="preserve">este Tribunal constata </w:t>
      </w:r>
      <w:r w:rsidR="00F2322B">
        <w:rPr>
          <w:rFonts w:ascii="Verdana" w:hAnsi="Verdana"/>
          <w:sz w:val="20"/>
          <w:szCs w:val="20"/>
          <w:lang w:val="es-CR"/>
        </w:rPr>
        <w:t xml:space="preserve">que Guatemala </w:t>
      </w:r>
      <w:r>
        <w:rPr>
          <w:rFonts w:ascii="Verdana" w:hAnsi="Verdana"/>
          <w:sz w:val="20"/>
          <w:szCs w:val="20"/>
          <w:lang w:val="es-CR"/>
        </w:rPr>
        <w:t>publicó el 27 de noviembre de 2017</w:t>
      </w:r>
      <w:r w:rsidR="001F28BA">
        <w:rPr>
          <w:rFonts w:ascii="Verdana" w:hAnsi="Verdana"/>
          <w:sz w:val="20"/>
          <w:szCs w:val="20"/>
          <w:lang w:val="es-CR"/>
        </w:rPr>
        <w:t>, dentro del plazo dispuesto en la Sentencia,</w:t>
      </w:r>
      <w:r>
        <w:rPr>
          <w:rFonts w:ascii="Verdana" w:hAnsi="Verdana"/>
          <w:sz w:val="20"/>
          <w:szCs w:val="20"/>
          <w:lang w:val="es-CR"/>
        </w:rPr>
        <w:t xml:space="preserve"> </w:t>
      </w:r>
      <w:r w:rsidR="001F28BA">
        <w:rPr>
          <w:rFonts w:ascii="Verdana" w:hAnsi="Verdana"/>
          <w:sz w:val="20"/>
          <w:szCs w:val="20"/>
          <w:lang w:val="es-CR"/>
        </w:rPr>
        <w:t>el resumen oficial de</w:t>
      </w:r>
      <w:r w:rsidR="00F2322B">
        <w:rPr>
          <w:rFonts w:ascii="Verdana" w:hAnsi="Verdana"/>
          <w:sz w:val="20"/>
          <w:szCs w:val="20"/>
          <w:lang w:val="es-CR"/>
        </w:rPr>
        <w:t xml:space="preserve"> la </w:t>
      </w:r>
      <w:r w:rsidR="001F28BA">
        <w:rPr>
          <w:rFonts w:ascii="Verdana" w:hAnsi="Verdana"/>
          <w:sz w:val="20"/>
          <w:szCs w:val="20"/>
          <w:lang w:val="es-CR"/>
        </w:rPr>
        <w:t xml:space="preserve">misma </w:t>
      </w:r>
      <w:r w:rsidR="00F2322B">
        <w:rPr>
          <w:rFonts w:ascii="Verdana" w:hAnsi="Verdana"/>
          <w:sz w:val="20"/>
          <w:szCs w:val="20"/>
          <w:lang w:val="es-CR"/>
        </w:rPr>
        <w:t>en el Diario Oficial</w:t>
      </w:r>
      <w:r w:rsidR="00F2322B">
        <w:rPr>
          <w:rStyle w:val="FootnoteReference"/>
          <w:rFonts w:ascii="Verdana" w:hAnsi="Verdana"/>
          <w:sz w:val="20"/>
          <w:szCs w:val="20"/>
          <w:lang w:val="es-CR"/>
        </w:rPr>
        <w:footnoteReference w:id="10"/>
      </w:r>
      <w:r w:rsidR="00F66865">
        <w:rPr>
          <w:rFonts w:ascii="Verdana" w:hAnsi="Verdana"/>
          <w:sz w:val="20"/>
          <w:szCs w:val="20"/>
          <w:lang w:val="es-CR"/>
        </w:rPr>
        <w:t>,</w:t>
      </w:r>
      <w:r w:rsidR="00F2322B">
        <w:rPr>
          <w:rFonts w:ascii="Verdana" w:hAnsi="Verdana"/>
          <w:sz w:val="20"/>
          <w:szCs w:val="20"/>
          <w:lang w:val="es-CR"/>
        </w:rPr>
        <w:t xml:space="preserve"> </w:t>
      </w:r>
      <w:r>
        <w:rPr>
          <w:rFonts w:ascii="Verdana" w:hAnsi="Verdana"/>
          <w:sz w:val="20"/>
          <w:szCs w:val="20"/>
          <w:lang w:val="es-CR"/>
        </w:rPr>
        <w:t xml:space="preserve">y </w:t>
      </w:r>
      <w:r w:rsidR="001F28BA">
        <w:rPr>
          <w:rFonts w:ascii="Verdana" w:hAnsi="Verdana"/>
          <w:sz w:val="20"/>
          <w:szCs w:val="20"/>
          <w:lang w:val="es-CR"/>
        </w:rPr>
        <w:t xml:space="preserve">que </w:t>
      </w:r>
      <w:r>
        <w:rPr>
          <w:rFonts w:ascii="Verdana" w:hAnsi="Verdana"/>
          <w:sz w:val="20"/>
          <w:szCs w:val="20"/>
          <w:lang w:val="es-CR"/>
        </w:rPr>
        <w:t xml:space="preserve">el 27 de abril de 2018 </w:t>
      </w:r>
      <w:r w:rsidR="001F28BA">
        <w:rPr>
          <w:rFonts w:ascii="Verdana" w:hAnsi="Verdana"/>
          <w:sz w:val="20"/>
          <w:szCs w:val="20"/>
          <w:lang w:val="es-CR"/>
        </w:rPr>
        <w:t xml:space="preserve">publicó </w:t>
      </w:r>
      <w:r>
        <w:rPr>
          <w:rFonts w:ascii="Verdana" w:hAnsi="Verdana"/>
          <w:sz w:val="20"/>
          <w:szCs w:val="20"/>
          <w:lang w:val="es-CR"/>
        </w:rPr>
        <w:t xml:space="preserve">el resumen de la Sentencia en </w:t>
      </w:r>
      <w:r w:rsidR="007E09EF">
        <w:rPr>
          <w:rFonts w:ascii="Verdana" w:hAnsi="Verdana"/>
          <w:sz w:val="20"/>
          <w:szCs w:val="20"/>
          <w:lang w:val="es-CR"/>
        </w:rPr>
        <w:t>el diario de amplia circulación nacional</w:t>
      </w:r>
      <w:r>
        <w:rPr>
          <w:rFonts w:ascii="Verdana" w:hAnsi="Verdana"/>
          <w:sz w:val="20"/>
          <w:szCs w:val="20"/>
          <w:lang w:val="es-CR"/>
        </w:rPr>
        <w:t xml:space="preserve"> “Prensa Libre”</w:t>
      </w:r>
      <w:r>
        <w:rPr>
          <w:rStyle w:val="FootnoteReference"/>
          <w:rFonts w:ascii="Verdana" w:hAnsi="Verdana"/>
          <w:sz w:val="20"/>
          <w:szCs w:val="20"/>
          <w:lang w:val="es-CR"/>
        </w:rPr>
        <w:footnoteReference w:id="11"/>
      </w:r>
      <w:r>
        <w:rPr>
          <w:rFonts w:ascii="Verdana" w:hAnsi="Verdana"/>
          <w:sz w:val="20"/>
          <w:szCs w:val="20"/>
          <w:lang w:val="es-CR"/>
        </w:rPr>
        <w:t xml:space="preserve">, por lo que considera que el Estado dio cumplimiento </w:t>
      </w:r>
      <w:r w:rsidR="00C21DE3">
        <w:rPr>
          <w:rFonts w:ascii="Verdana" w:hAnsi="Verdana"/>
          <w:sz w:val="20"/>
          <w:szCs w:val="20"/>
          <w:lang w:val="es-CR"/>
        </w:rPr>
        <w:t>a estas medidas de reparación</w:t>
      </w:r>
      <w:r>
        <w:rPr>
          <w:rFonts w:ascii="Verdana" w:hAnsi="Verdana"/>
          <w:sz w:val="20"/>
          <w:szCs w:val="20"/>
          <w:lang w:val="es-CR"/>
        </w:rPr>
        <w:t xml:space="preserve">. </w:t>
      </w:r>
    </w:p>
    <w:p w14:paraId="135A09EE" w14:textId="77777777" w:rsidR="002D2549" w:rsidRDefault="002D2549" w:rsidP="002D2549">
      <w:pPr>
        <w:pStyle w:val="ListParagraph"/>
        <w:spacing w:after="0" w:line="240" w:lineRule="auto"/>
        <w:ind w:left="0"/>
        <w:jc w:val="both"/>
        <w:rPr>
          <w:rFonts w:ascii="Verdana" w:hAnsi="Verdana"/>
          <w:sz w:val="20"/>
          <w:szCs w:val="20"/>
          <w:lang w:val="es-CR"/>
        </w:rPr>
      </w:pPr>
    </w:p>
    <w:p w14:paraId="003BA0FE" w14:textId="35590D23" w:rsidR="00F2322B" w:rsidRDefault="002D2549" w:rsidP="00F2322B">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En cuanto a</w:t>
      </w:r>
      <w:r w:rsidR="00F2322B">
        <w:rPr>
          <w:rFonts w:ascii="Verdana" w:hAnsi="Verdana"/>
          <w:sz w:val="20"/>
          <w:szCs w:val="20"/>
          <w:lang w:val="es-CR"/>
        </w:rPr>
        <w:t xml:space="preserve"> la publicación de l</w:t>
      </w:r>
      <w:r w:rsidR="00F66865">
        <w:rPr>
          <w:rFonts w:ascii="Verdana" w:hAnsi="Verdana"/>
          <w:sz w:val="20"/>
          <w:szCs w:val="20"/>
          <w:lang w:val="es-CR"/>
        </w:rPr>
        <w:t xml:space="preserve">a Sentencia </w:t>
      </w:r>
      <w:r>
        <w:rPr>
          <w:rFonts w:ascii="Verdana" w:hAnsi="Verdana"/>
          <w:sz w:val="20"/>
          <w:szCs w:val="20"/>
          <w:lang w:val="es-CR"/>
        </w:rPr>
        <w:t xml:space="preserve">de manera íntegra en un sitio </w:t>
      </w:r>
      <w:r>
        <w:rPr>
          <w:rFonts w:ascii="Verdana" w:hAnsi="Verdana"/>
          <w:i/>
          <w:sz w:val="20"/>
          <w:szCs w:val="20"/>
          <w:lang w:val="es-CR"/>
        </w:rPr>
        <w:t xml:space="preserve">web </w:t>
      </w:r>
      <w:r>
        <w:rPr>
          <w:rFonts w:ascii="Verdana" w:hAnsi="Verdana"/>
          <w:sz w:val="20"/>
          <w:szCs w:val="20"/>
          <w:lang w:val="es-CR"/>
        </w:rPr>
        <w:t xml:space="preserve">oficial por el período de un año, la Corte constata que ésta fue realizada </w:t>
      </w:r>
      <w:r w:rsidR="00F66865">
        <w:rPr>
          <w:rFonts w:ascii="Verdana" w:hAnsi="Verdana"/>
          <w:sz w:val="20"/>
          <w:szCs w:val="20"/>
          <w:lang w:val="es-CR"/>
        </w:rPr>
        <w:t xml:space="preserve">en la página </w:t>
      </w:r>
      <w:r w:rsidR="00F66865" w:rsidRPr="002D2549">
        <w:rPr>
          <w:rFonts w:ascii="Verdana" w:hAnsi="Verdana"/>
          <w:i/>
          <w:sz w:val="20"/>
          <w:szCs w:val="20"/>
          <w:lang w:val="es-CR"/>
        </w:rPr>
        <w:t>web</w:t>
      </w:r>
      <w:r w:rsidR="00F66865">
        <w:rPr>
          <w:rFonts w:ascii="Verdana" w:hAnsi="Verdana"/>
          <w:sz w:val="20"/>
          <w:szCs w:val="20"/>
          <w:lang w:val="es-CR"/>
        </w:rPr>
        <w:t xml:space="preserve"> de la Comisión Presidencial Coordinadora de la Política del Ejecutivo en Materia de Derechos Humanos</w:t>
      </w:r>
      <w:r w:rsidR="007E09EF">
        <w:rPr>
          <w:rFonts w:ascii="Verdana" w:hAnsi="Verdana"/>
          <w:sz w:val="20"/>
          <w:szCs w:val="20"/>
          <w:lang w:val="es-CR"/>
        </w:rPr>
        <w:t xml:space="preserve"> (COPREDEH)</w:t>
      </w:r>
      <w:r w:rsidR="00F2322B">
        <w:rPr>
          <w:rStyle w:val="FootnoteReference"/>
          <w:rFonts w:ascii="Verdana" w:hAnsi="Verdana"/>
          <w:sz w:val="20"/>
          <w:szCs w:val="20"/>
          <w:lang w:val="es-CR"/>
        </w:rPr>
        <w:footnoteReference w:id="12"/>
      </w:r>
      <w:r w:rsidR="00F2322B">
        <w:rPr>
          <w:rFonts w:ascii="Verdana" w:hAnsi="Verdana"/>
          <w:sz w:val="20"/>
          <w:szCs w:val="20"/>
          <w:lang w:val="es-CR"/>
        </w:rPr>
        <w:t xml:space="preserve">. </w:t>
      </w:r>
      <w:r>
        <w:rPr>
          <w:rFonts w:ascii="Verdana" w:hAnsi="Verdana"/>
          <w:sz w:val="20"/>
          <w:szCs w:val="20"/>
          <w:lang w:val="es-CR"/>
        </w:rPr>
        <w:t>E</w:t>
      </w:r>
      <w:r w:rsidR="00F2322B">
        <w:rPr>
          <w:rFonts w:ascii="Verdana" w:hAnsi="Verdana"/>
          <w:sz w:val="20"/>
          <w:szCs w:val="20"/>
          <w:lang w:val="es-CR"/>
        </w:rPr>
        <w:t>l Estado indicó que fue realizad</w:t>
      </w:r>
      <w:r w:rsidR="008123E1">
        <w:rPr>
          <w:rFonts w:ascii="Verdana" w:hAnsi="Verdana"/>
          <w:sz w:val="20"/>
          <w:szCs w:val="20"/>
          <w:lang w:val="es-CR"/>
        </w:rPr>
        <w:t>a a partir del 8 de diciembre de 2017</w:t>
      </w:r>
      <w:r w:rsidR="00F2322B">
        <w:rPr>
          <w:rFonts w:ascii="Verdana" w:hAnsi="Verdana"/>
          <w:sz w:val="20"/>
          <w:szCs w:val="20"/>
          <w:lang w:val="es-CR"/>
        </w:rPr>
        <w:t>.</w:t>
      </w:r>
      <w:r w:rsidR="003F5F29">
        <w:rPr>
          <w:rFonts w:ascii="Verdana" w:hAnsi="Verdana"/>
          <w:sz w:val="20"/>
          <w:szCs w:val="20"/>
          <w:lang w:val="es-CR"/>
        </w:rPr>
        <w:t xml:space="preserve"> Los representantes no se refirieron a este extremo de la medida de reparación.</w:t>
      </w:r>
      <w:r w:rsidR="00F2322B">
        <w:rPr>
          <w:rFonts w:ascii="Verdana" w:hAnsi="Verdana"/>
          <w:sz w:val="20"/>
          <w:szCs w:val="20"/>
          <w:lang w:val="es-CR"/>
        </w:rPr>
        <w:t xml:space="preserve"> La Corte considera que el Estado ha dado cumplimiento a esta medida y deberá continuar </w:t>
      </w:r>
      <w:r w:rsidR="00F2322B">
        <w:rPr>
          <w:rFonts w:ascii="Verdana" w:hAnsi="Verdana"/>
          <w:sz w:val="20"/>
          <w:szCs w:val="20"/>
          <w:lang w:val="es-CR"/>
        </w:rPr>
        <w:lastRenderedPageBreak/>
        <w:t xml:space="preserve">garantizando la preservación de la publicación en la referida página web al menos hasta el </w:t>
      </w:r>
      <w:r w:rsidR="008123E1">
        <w:rPr>
          <w:rFonts w:ascii="Verdana" w:hAnsi="Verdana"/>
          <w:sz w:val="20"/>
          <w:szCs w:val="20"/>
          <w:lang w:val="es-CR"/>
        </w:rPr>
        <w:t>8 de diciembre de 2018</w:t>
      </w:r>
      <w:r w:rsidR="00F2322B">
        <w:rPr>
          <w:rFonts w:ascii="Verdana" w:hAnsi="Verdana"/>
          <w:sz w:val="20"/>
          <w:szCs w:val="20"/>
          <w:lang w:val="es-CR"/>
        </w:rPr>
        <w:t>, debido a que la misma debe estar disponible al menos por un año</w:t>
      </w:r>
      <w:r w:rsidR="008A1933">
        <w:rPr>
          <w:rStyle w:val="FootnoteReference"/>
          <w:rFonts w:ascii="Verdana" w:hAnsi="Verdana"/>
          <w:sz w:val="20"/>
          <w:szCs w:val="20"/>
          <w:lang w:val="es-CR"/>
        </w:rPr>
        <w:footnoteReference w:id="13"/>
      </w:r>
      <w:r w:rsidR="00F2322B">
        <w:rPr>
          <w:rFonts w:ascii="Verdana" w:hAnsi="Verdana"/>
          <w:sz w:val="20"/>
          <w:szCs w:val="20"/>
          <w:lang w:val="es-CR"/>
        </w:rPr>
        <w:t>.</w:t>
      </w:r>
    </w:p>
    <w:p w14:paraId="0A9BE63A" w14:textId="77777777" w:rsidR="00F2322B" w:rsidRDefault="00F2322B" w:rsidP="00F2322B">
      <w:pPr>
        <w:pStyle w:val="ListParagraph"/>
        <w:spacing w:after="0" w:line="240" w:lineRule="auto"/>
        <w:ind w:left="0"/>
        <w:jc w:val="both"/>
        <w:rPr>
          <w:rFonts w:ascii="Verdana" w:hAnsi="Verdana"/>
          <w:sz w:val="20"/>
          <w:szCs w:val="20"/>
          <w:lang w:val="es-CR"/>
        </w:rPr>
      </w:pPr>
    </w:p>
    <w:p w14:paraId="19DBEA29" w14:textId="2A04FA58" w:rsidR="00F2322B" w:rsidRDefault="00F2322B" w:rsidP="00F2322B">
      <w:pPr>
        <w:pStyle w:val="ListParagraph"/>
        <w:numPr>
          <w:ilvl w:val="0"/>
          <w:numId w:val="2"/>
        </w:numPr>
        <w:spacing w:after="0" w:line="240" w:lineRule="auto"/>
        <w:ind w:left="0" w:firstLine="0"/>
        <w:jc w:val="both"/>
        <w:rPr>
          <w:rFonts w:ascii="Verdana" w:hAnsi="Verdana"/>
          <w:sz w:val="20"/>
          <w:szCs w:val="20"/>
          <w:lang w:val="es-CR"/>
        </w:rPr>
      </w:pPr>
      <w:r w:rsidRPr="00F2322B">
        <w:rPr>
          <w:rFonts w:ascii="Verdana" w:hAnsi="Verdana"/>
          <w:sz w:val="20"/>
          <w:szCs w:val="20"/>
          <w:lang w:val="es-CR"/>
        </w:rPr>
        <w:t>En consec</w:t>
      </w:r>
      <w:r w:rsidR="001F28BA">
        <w:rPr>
          <w:rFonts w:ascii="Verdana" w:hAnsi="Verdana"/>
          <w:sz w:val="20"/>
          <w:szCs w:val="20"/>
          <w:lang w:val="es-CR"/>
        </w:rPr>
        <w:t xml:space="preserve">uencia, la Corte considera que </w:t>
      </w:r>
      <w:r w:rsidRPr="00F2322B">
        <w:rPr>
          <w:rFonts w:ascii="Verdana" w:hAnsi="Verdana"/>
          <w:sz w:val="20"/>
          <w:szCs w:val="20"/>
          <w:lang w:val="es-CR"/>
        </w:rPr>
        <w:t>el Esta</w:t>
      </w:r>
      <w:r w:rsidR="008A1933">
        <w:rPr>
          <w:rFonts w:ascii="Verdana" w:hAnsi="Verdana"/>
          <w:sz w:val="20"/>
          <w:szCs w:val="20"/>
          <w:lang w:val="es-CR"/>
        </w:rPr>
        <w:t xml:space="preserve">do dio cumplimiento </w:t>
      </w:r>
      <w:r w:rsidR="00C21DE3">
        <w:rPr>
          <w:rFonts w:ascii="Verdana" w:hAnsi="Verdana"/>
          <w:sz w:val="20"/>
          <w:szCs w:val="20"/>
          <w:lang w:val="es-CR"/>
        </w:rPr>
        <w:t>total</w:t>
      </w:r>
      <w:r w:rsidR="008A1933">
        <w:rPr>
          <w:rFonts w:ascii="Verdana" w:hAnsi="Verdana"/>
          <w:sz w:val="20"/>
          <w:szCs w:val="20"/>
          <w:lang w:val="es-CR"/>
        </w:rPr>
        <w:t xml:space="preserve"> </w:t>
      </w:r>
      <w:r w:rsidR="00FB46C7">
        <w:rPr>
          <w:rFonts w:ascii="Verdana" w:hAnsi="Verdana"/>
          <w:sz w:val="20"/>
          <w:szCs w:val="20"/>
          <w:lang w:val="es-CR"/>
        </w:rPr>
        <w:t xml:space="preserve">a las medidas </w:t>
      </w:r>
      <w:r w:rsidR="001F28BA">
        <w:rPr>
          <w:rFonts w:ascii="Verdana" w:hAnsi="Verdana"/>
          <w:sz w:val="20"/>
          <w:szCs w:val="20"/>
          <w:lang w:val="es-CR"/>
        </w:rPr>
        <w:t xml:space="preserve">de publicación y difusión de la Sentencia y su resumen oficial, </w:t>
      </w:r>
      <w:r w:rsidR="00FB46C7">
        <w:rPr>
          <w:rFonts w:ascii="Verdana" w:hAnsi="Verdana"/>
          <w:sz w:val="20"/>
          <w:szCs w:val="20"/>
          <w:lang w:val="es-CR"/>
        </w:rPr>
        <w:t>dispuestas en e</w:t>
      </w:r>
      <w:r w:rsidR="008A1933">
        <w:rPr>
          <w:rFonts w:ascii="Verdana" w:hAnsi="Verdana"/>
          <w:sz w:val="20"/>
          <w:szCs w:val="20"/>
          <w:lang w:val="es-CR"/>
        </w:rPr>
        <w:t>l</w:t>
      </w:r>
      <w:r w:rsidR="00C21DE3">
        <w:rPr>
          <w:rFonts w:ascii="Verdana" w:hAnsi="Verdana"/>
          <w:sz w:val="20"/>
          <w:szCs w:val="20"/>
          <w:lang w:val="es-CR"/>
        </w:rPr>
        <w:t xml:space="preserve"> punto resolutivo </w:t>
      </w:r>
      <w:r w:rsidR="007E09EF">
        <w:rPr>
          <w:rFonts w:ascii="Verdana" w:hAnsi="Verdana"/>
          <w:sz w:val="20"/>
          <w:szCs w:val="20"/>
          <w:lang w:val="es-CR"/>
        </w:rPr>
        <w:t>undécimo</w:t>
      </w:r>
      <w:r w:rsidR="001F28BA">
        <w:rPr>
          <w:rFonts w:ascii="Verdana" w:hAnsi="Verdana"/>
          <w:sz w:val="20"/>
          <w:szCs w:val="20"/>
          <w:lang w:val="es-CR"/>
        </w:rPr>
        <w:t xml:space="preserve"> de la Sentencia</w:t>
      </w:r>
      <w:r w:rsidR="00C21DE3">
        <w:rPr>
          <w:rFonts w:ascii="Verdana" w:hAnsi="Verdana"/>
          <w:sz w:val="20"/>
          <w:szCs w:val="20"/>
          <w:lang w:val="es-CR"/>
        </w:rPr>
        <w:t xml:space="preserve">. </w:t>
      </w:r>
    </w:p>
    <w:p w14:paraId="7B64903C" w14:textId="77777777" w:rsidR="00DD1BBC" w:rsidRPr="00DD1BBC" w:rsidRDefault="00DD1BBC" w:rsidP="00DD1BBC">
      <w:pPr>
        <w:spacing w:after="0" w:line="240" w:lineRule="auto"/>
        <w:jc w:val="both"/>
        <w:rPr>
          <w:rFonts w:ascii="Verdana" w:hAnsi="Verdana"/>
          <w:sz w:val="20"/>
          <w:szCs w:val="20"/>
          <w:lang w:val="es-CR"/>
        </w:rPr>
      </w:pPr>
    </w:p>
    <w:p w14:paraId="5BFE3B61" w14:textId="77777777" w:rsidR="008123E1" w:rsidRDefault="008123E1" w:rsidP="008123E1">
      <w:pPr>
        <w:pStyle w:val="ListParagraph"/>
        <w:spacing w:after="0" w:line="240" w:lineRule="auto"/>
        <w:ind w:left="0"/>
        <w:jc w:val="both"/>
        <w:rPr>
          <w:rFonts w:ascii="Verdana" w:hAnsi="Verdana"/>
          <w:sz w:val="20"/>
          <w:szCs w:val="20"/>
          <w:lang w:val="es-CR"/>
        </w:rPr>
      </w:pPr>
    </w:p>
    <w:p w14:paraId="4338D7EC" w14:textId="77777777" w:rsidR="00865B96" w:rsidRPr="00DD1BBC" w:rsidRDefault="003004AD" w:rsidP="00C21DE3">
      <w:pPr>
        <w:pStyle w:val="Heading1"/>
        <w:numPr>
          <w:ilvl w:val="0"/>
          <w:numId w:val="15"/>
        </w:numPr>
        <w:spacing w:before="0" w:line="240" w:lineRule="auto"/>
        <w:rPr>
          <w:rFonts w:ascii="Verdana" w:hAnsi="Verdana"/>
          <w:color w:val="auto"/>
          <w:sz w:val="20"/>
          <w:szCs w:val="20"/>
          <w:lang w:val="es-CR"/>
        </w:rPr>
      </w:pPr>
      <w:bookmarkStart w:id="5" w:name="_Toc506975459"/>
      <w:r w:rsidRPr="00DD1BBC">
        <w:rPr>
          <w:rFonts w:ascii="Verdana" w:hAnsi="Verdana"/>
          <w:color w:val="auto"/>
          <w:sz w:val="20"/>
          <w:szCs w:val="20"/>
          <w:lang w:val="es-CR"/>
        </w:rPr>
        <w:t>Indemnizaciones por daños inmateriales y reintegro de costas y gastos</w:t>
      </w:r>
      <w:bookmarkEnd w:id="5"/>
    </w:p>
    <w:p w14:paraId="76C050D9" w14:textId="77777777" w:rsidR="00C21DE3" w:rsidRDefault="00C21DE3" w:rsidP="00C21DE3">
      <w:pPr>
        <w:spacing w:after="0" w:line="240" w:lineRule="auto"/>
        <w:ind w:firstLine="360"/>
        <w:jc w:val="both"/>
        <w:rPr>
          <w:rFonts w:ascii="Verdana" w:hAnsi="Verdana"/>
          <w:i/>
          <w:sz w:val="20"/>
          <w:szCs w:val="20"/>
          <w:lang w:val="es-CR"/>
        </w:rPr>
      </w:pPr>
    </w:p>
    <w:p w14:paraId="4AEA860C" w14:textId="77777777" w:rsidR="008A1933" w:rsidRDefault="003004AD" w:rsidP="00C21DE3">
      <w:pPr>
        <w:spacing w:after="0" w:line="240" w:lineRule="auto"/>
        <w:ind w:firstLine="360"/>
        <w:jc w:val="both"/>
        <w:rPr>
          <w:rFonts w:ascii="Verdana" w:hAnsi="Verdana"/>
          <w:i/>
          <w:sz w:val="20"/>
          <w:szCs w:val="20"/>
          <w:lang w:val="es-CR"/>
        </w:rPr>
      </w:pPr>
      <w:r>
        <w:rPr>
          <w:rFonts w:ascii="Verdana" w:hAnsi="Verdana"/>
          <w:i/>
          <w:sz w:val="20"/>
          <w:szCs w:val="20"/>
          <w:lang w:val="es-CR"/>
        </w:rPr>
        <w:t>B.1. Medida</w:t>
      </w:r>
      <w:r w:rsidR="004C1D34">
        <w:rPr>
          <w:rFonts w:ascii="Verdana" w:hAnsi="Verdana"/>
          <w:i/>
          <w:sz w:val="20"/>
          <w:szCs w:val="20"/>
          <w:lang w:val="es-CR"/>
        </w:rPr>
        <w:t>s</w:t>
      </w:r>
      <w:r>
        <w:rPr>
          <w:rFonts w:ascii="Verdana" w:hAnsi="Verdana"/>
          <w:i/>
          <w:sz w:val="20"/>
          <w:szCs w:val="20"/>
          <w:lang w:val="es-CR"/>
        </w:rPr>
        <w:t xml:space="preserve"> ordenada</w:t>
      </w:r>
      <w:r w:rsidR="004C1D34">
        <w:rPr>
          <w:rFonts w:ascii="Verdana" w:hAnsi="Verdana"/>
          <w:i/>
          <w:sz w:val="20"/>
          <w:szCs w:val="20"/>
          <w:lang w:val="es-CR"/>
        </w:rPr>
        <w:t>s</w:t>
      </w:r>
      <w:r>
        <w:rPr>
          <w:rFonts w:ascii="Verdana" w:hAnsi="Verdana"/>
          <w:i/>
          <w:sz w:val="20"/>
          <w:szCs w:val="20"/>
          <w:lang w:val="es-CR"/>
        </w:rPr>
        <w:t xml:space="preserve"> por la Corte</w:t>
      </w:r>
    </w:p>
    <w:p w14:paraId="222565E2" w14:textId="77777777" w:rsidR="00C21DE3" w:rsidRDefault="00C21DE3" w:rsidP="00C21DE3">
      <w:pPr>
        <w:spacing w:after="0" w:line="240" w:lineRule="auto"/>
        <w:ind w:firstLine="360"/>
        <w:jc w:val="both"/>
        <w:rPr>
          <w:rFonts w:ascii="Verdana" w:hAnsi="Verdana"/>
          <w:i/>
          <w:sz w:val="20"/>
          <w:szCs w:val="20"/>
          <w:lang w:val="es-CR"/>
        </w:rPr>
      </w:pPr>
    </w:p>
    <w:p w14:paraId="7E330613" w14:textId="50B9CC7F" w:rsidR="0023362F" w:rsidRDefault="008A1933" w:rsidP="0023362F">
      <w:pPr>
        <w:pStyle w:val="ListParagraph"/>
        <w:numPr>
          <w:ilvl w:val="0"/>
          <w:numId w:val="2"/>
        </w:numPr>
        <w:spacing w:after="0" w:line="240" w:lineRule="auto"/>
        <w:ind w:left="0" w:firstLine="0"/>
        <w:jc w:val="both"/>
        <w:rPr>
          <w:rFonts w:ascii="Verdana" w:hAnsi="Verdana"/>
          <w:sz w:val="20"/>
          <w:szCs w:val="20"/>
          <w:lang w:val="es-CR"/>
        </w:rPr>
      </w:pPr>
      <w:bookmarkStart w:id="6" w:name="_Ref526503374"/>
      <w:r>
        <w:rPr>
          <w:rFonts w:ascii="Verdana" w:hAnsi="Verdana"/>
          <w:sz w:val="20"/>
          <w:szCs w:val="20"/>
          <w:lang w:val="es-CR"/>
        </w:rPr>
        <w:t xml:space="preserve">En el punto resolutivo </w:t>
      </w:r>
      <w:r w:rsidR="008F6F37">
        <w:rPr>
          <w:rFonts w:ascii="Verdana" w:hAnsi="Verdana"/>
          <w:sz w:val="20"/>
          <w:szCs w:val="20"/>
          <w:lang w:val="es-CR"/>
        </w:rPr>
        <w:t>décimo segundo</w:t>
      </w:r>
      <w:r>
        <w:rPr>
          <w:rFonts w:ascii="Verdana" w:hAnsi="Verdana"/>
          <w:sz w:val="20"/>
          <w:szCs w:val="20"/>
          <w:lang w:val="es-CR"/>
        </w:rPr>
        <w:t xml:space="preserve"> y en los párrafos 219 y 226 de la Sentencia, la Corte “fij[ó] en equidad, por concepto de daño inmaterial, la cantidad de USD $55.000,00 (cincuenta y cinco mil dólares de los Estados Unidos de América) a favor de Mayra Angelina Gutiérrez Hernández; la cantidad de USD $20.000,00 (veinte mil dólares de los Estados Unidos de América) a favor de Ángela María del Carmen Argüello Gutiérrez y la cantidad de USD $10.000,00 (diez mil dólares de los Estados Unidos de América) respectivamente a favor de sus hermanos Nilda y Armando Gutiérrez Hernández”</w:t>
      </w:r>
      <w:r w:rsidR="008123E1">
        <w:rPr>
          <w:rStyle w:val="FootnoteReference"/>
          <w:rFonts w:ascii="Verdana" w:hAnsi="Verdana"/>
          <w:sz w:val="20"/>
          <w:szCs w:val="20"/>
          <w:lang w:val="es-CR"/>
        </w:rPr>
        <w:footnoteReference w:id="14"/>
      </w:r>
      <w:r>
        <w:rPr>
          <w:rFonts w:ascii="Verdana" w:hAnsi="Verdana"/>
          <w:sz w:val="20"/>
          <w:szCs w:val="20"/>
          <w:lang w:val="es-CR"/>
        </w:rPr>
        <w:t xml:space="preserve">. Asimismo, determinó que “el Estado deb[ía] entregar la cantidad de USD $20,000.00 (veinte mil dólares de los Estados Unidos de América) al [Grupo de Apoyo Mutuo], con motivo de los gastos por la tramitación del proceso ante el sistema interamericano de derechos humanos”. </w:t>
      </w:r>
      <w:r w:rsidR="008123E1">
        <w:rPr>
          <w:rFonts w:ascii="Verdana" w:hAnsi="Verdana"/>
          <w:sz w:val="20"/>
          <w:szCs w:val="20"/>
          <w:lang w:val="es-CR"/>
        </w:rPr>
        <w:t xml:space="preserve">Dichos pagos debían ser realizados “en un plazo de un año contado a partir de la notificación” de la Sentencia. </w:t>
      </w:r>
      <w:r w:rsidR="00AF2459">
        <w:rPr>
          <w:rFonts w:ascii="Verdana" w:hAnsi="Verdana"/>
          <w:sz w:val="20"/>
          <w:szCs w:val="20"/>
          <w:lang w:val="es-CR"/>
        </w:rPr>
        <w:t xml:space="preserve"> En el párrafo 228 de la </w:t>
      </w:r>
      <w:r w:rsidR="00034B94">
        <w:rPr>
          <w:rFonts w:ascii="Verdana" w:hAnsi="Verdana"/>
          <w:sz w:val="20"/>
          <w:szCs w:val="20"/>
          <w:lang w:val="es-CR"/>
        </w:rPr>
        <w:t>misma</w:t>
      </w:r>
      <w:r w:rsidR="00AF2459">
        <w:rPr>
          <w:rFonts w:ascii="Verdana" w:hAnsi="Verdana"/>
          <w:sz w:val="20"/>
          <w:szCs w:val="20"/>
          <w:lang w:val="es-CR"/>
        </w:rPr>
        <w:t>, la Corte además dispuso que “</w:t>
      </w:r>
      <w:r w:rsidR="00034B94">
        <w:rPr>
          <w:rFonts w:ascii="Verdana" w:hAnsi="Verdana"/>
          <w:sz w:val="20"/>
          <w:szCs w:val="20"/>
          <w:lang w:val="es-CR"/>
        </w:rPr>
        <w:t>[e]</w:t>
      </w:r>
      <w:r w:rsidR="00AF2459" w:rsidRPr="00AF2459">
        <w:rPr>
          <w:rFonts w:ascii="Verdana" w:hAnsi="Verdana"/>
          <w:sz w:val="20"/>
          <w:szCs w:val="20"/>
          <w:lang w:val="es-CR"/>
        </w:rPr>
        <w:t>n caso de que los beneficiarios hayan fallecido o fallezcan antes de que le sea entregada</w:t>
      </w:r>
      <w:r w:rsidR="00AF2459">
        <w:rPr>
          <w:rFonts w:ascii="Verdana" w:hAnsi="Verdana"/>
          <w:sz w:val="20"/>
          <w:szCs w:val="20"/>
          <w:lang w:val="es-CR"/>
        </w:rPr>
        <w:t xml:space="preserve"> </w:t>
      </w:r>
      <w:r w:rsidR="00AF2459" w:rsidRPr="00AF2459">
        <w:rPr>
          <w:rFonts w:ascii="Verdana" w:hAnsi="Verdana"/>
          <w:sz w:val="20"/>
          <w:szCs w:val="20"/>
          <w:lang w:val="es-CR"/>
        </w:rPr>
        <w:t>la cantidad respectiva, esta se entregará directamente a sus derechohabientes, conforme al</w:t>
      </w:r>
      <w:r w:rsidR="00AF2459">
        <w:rPr>
          <w:rFonts w:ascii="Verdana" w:hAnsi="Verdana"/>
          <w:sz w:val="20"/>
          <w:szCs w:val="20"/>
          <w:lang w:val="es-CR"/>
        </w:rPr>
        <w:t xml:space="preserve"> </w:t>
      </w:r>
      <w:r w:rsidR="00AF2459" w:rsidRPr="00AF2459">
        <w:rPr>
          <w:rFonts w:ascii="Verdana" w:hAnsi="Verdana"/>
          <w:sz w:val="20"/>
          <w:szCs w:val="20"/>
          <w:lang w:val="es-CR"/>
        </w:rPr>
        <w:t>derecho interno aplicable</w:t>
      </w:r>
      <w:r w:rsidR="00AF2459">
        <w:rPr>
          <w:rFonts w:ascii="Verdana" w:hAnsi="Verdana"/>
          <w:sz w:val="20"/>
          <w:szCs w:val="20"/>
          <w:lang w:val="es-CR"/>
        </w:rPr>
        <w:t>”.</w:t>
      </w:r>
      <w:bookmarkEnd w:id="6"/>
      <w:r w:rsidR="00AF2459">
        <w:rPr>
          <w:rFonts w:ascii="Verdana" w:hAnsi="Verdana"/>
          <w:sz w:val="20"/>
          <w:szCs w:val="20"/>
          <w:lang w:val="es-CR"/>
        </w:rPr>
        <w:t xml:space="preserve"> </w:t>
      </w:r>
    </w:p>
    <w:p w14:paraId="2365751A" w14:textId="77777777" w:rsidR="0023362F" w:rsidRDefault="0023362F" w:rsidP="0023362F">
      <w:pPr>
        <w:pStyle w:val="ListParagraph"/>
        <w:spacing w:after="0" w:line="240" w:lineRule="auto"/>
        <w:ind w:left="0"/>
        <w:jc w:val="both"/>
        <w:rPr>
          <w:rFonts w:ascii="Verdana" w:hAnsi="Verdana"/>
          <w:sz w:val="20"/>
          <w:szCs w:val="20"/>
          <w:lang w:val="es-CR"/>
        </w:rPr>
      </w:pPr>
    </w:p>
    <w:p w14:paraId="4DAE5247" w14:textId="5EDBBE77" w:rsidR="0023362F" w:rsidRPr="0023362F" w:rsidRDefault="0023362F" w:rsidP="0023362F">
      <w:pPr>
        <w:pStyle w:val="ListParagraph"/>
        <w:numPr>
          <w:ilvl w:val="0"/>
          <w:numId w:val="2"/>
        </w:numPr>
        <w:spacing w:after="0" w:line="240" w:lineRule="auto"/>
        <w:ind w:left="0" w:firstLine="0"/>
        <w:jc w:val="both"/>
        <w:rPr>
          <w:rFonts w:ascii="Verdana" w:hAnsi="Verdana"/>
          <w:sz w:val="20"/>
          <w:szCs w:val="20"/>
          <w:lang w:val="es-CR"/>
        </w:rPr>
      </w:pPr>
      <w:r w:rsidRPr="0023362F">
        <w:rPr>
          <w:rFonts w:ascii="Verdana" w:hAnsi="Verdana"/>
          <w:sz w:val="20"/>
          <w:szCs w:val="20"/>
          <w:lang w:val="es-CR"/>
        </w:rPr>
        <w:t>Además, en el párrafo 27 de la Sentencia de interpretación, la Corte indicó que “la indemnización correspondiente a la señora Mayra</w:t>
      </w:r>
      <w:r>
        <w:rPr>
          <w:rFonts w:ascii="Verdana" w:hAnsi="Verdana"/>
          <w:sz w:val="20"/>
          <w:szCs w:val="20"/>
          <w:lang w:val="es-CR"/>
        </w:rPr>
        <w:t xml:space="preserve"> </w:t>
      </w:r>
      <w:r w:rsidRPr="0023362F">
        <w:rPr>
          <w:rFonts w:ascii="Verdana" w:hAnsi="Verdana"/>
          <w:sz w:val="20"/>
          <w:szCs w:val="20"/>
          <w:lang w:val="es-CR"/>
        </w:rPr>
        <w:t>Angelina Gutiérrez Hernández, víctima desaparecida, deberá ser entregada directamente a sus derechohabientes conforme al derecho interno aplicable”.</w:t>
      </w:r>
    </w:p>
    <w:p w14:paraId="2E43EE1D" w14:textId="77777777" w:rsidR="00865B96" w:rsidRDefault="00865B96" w:rsidP="00865B96">
      <w:pPr>
        <w:pStyle w:val="ListParagraph"/>
        <w:spacing w:after="0" w:line="240" w:lineRule="auto"/>
        <w:ind w:left="0" w:firstLine="720"/>
        <w:jc w:val="both"/>
        <w:rPr>
          <w:rFonts w:ascii="Verdana" w:hAnsi="Verdana"/>
          <w:i/>
          <w:sz w:val="20"/>
          <w:szCs w:val="20"/>
          <w:lang w:val="es-CR"/>
        </w:rPr>
      </w:pPr>
    </w:p>
    <w:p w14:paraId="4612FC8A" w14:textId="77777777" w:rsidR="00405015" w:rsidRDefault="00405015" w:rsidP="00865B96">
      <w:pPr>
        <w:pStyle w:val="ListParagraph"/>
        <w:spacing w:after="0" w:line="240" w:lineRule="auto"/>
        <w:ind w:left="0" w:firstLine="720"/>
        <w:jc w:val="both"/>
        <w:rPr>
          <w:rFonts w:ascii="Verdana" w:hAnsi="Verdana"/>
          <w:i/>
          <w:sz w:val="20"/>
          <w:szCs w:val="20"/>
          <w:lang w:val="es-CR"/>
        </w:rPr>
      </w:pPr>
    </w:p>
    <w:p w14:paraId="7F12A872" w14:textId="77777777" w:rsidR="00865B96" w:rsidRDefault="00865B96" w:rsidP="00865B96">
      <w:pPr>
        <w:pStyle w:val="ListParagraph"/>
        <w:spacing w:after="0" w:line="240" w:lineRule="auto"/>
        <w:ind w:left="0" w:firstLine="720"/>
        <w:jc w:val="both"/>
        <w:rPr>
          <w:rFonts w:ascii="Verdana" w:hAnsi="Verdana"/>
          <w:sz w:val="20"/>
          <w:szCs w:val="20"/>
          <w:lang w:val="es-CR"/>
        </w:rPr>
      </w:pPr>
      <w:r>
        <w:rPr>
          <w:rFonts w:ascii="Verdana" w:hAnsi="Verdana"/>
          <w:i/>
          <w:sz w:val="20"/>
          <w:szCs w:val="20"/>
          <w:lang w:val="es-CR"/>
        </w:rPr>
        <w:t>B.2. Consideraciones de la Corte</w:t>
      </w:r>
    </w:p>
    <w:p w14:paraId="09D51C6C" w14:textId="77777777" w:rsidR="00F9508B" w:rsidRDefault="00F9508B" w:rsidP="00F9508B">
      <w:pPr>
        <w:pStyle w:val="ListParagraph"/>
        <w:spacing w:after="0" w:line="240" w:lineRule="auto"/>
        <w:ind w:left="0"/>
        <w:jc w:val="both"/>
        <w:rPr>
          <w:rFonts w:ascii="Verdana" w:hAnsi="Verdana"/>
          <w:sz w:val="20"/>
          <w:szCs w:val="20"/>
          <w:lang w:val="es-CR"/>
        </w:rPr>
      </w:pPr>
    </w:p>
    <w:p w14:paraId="4FB00A37" w14:textId="78C397A1" w:rsidR="00F9508B" w:rsidRDefault="008A1933" w:rsidP="008A1933">
      <w:pPr>
        <w:pStyle w:val="ListParagraph"/>
        <w:numPr>
          <w:ilvl w:val="0"/>
          <w:numId w:val="2"/>
        </w:numPr>
        <w:spacing w:after="0" w:line="240" w:lineRule="auto"/>
        <w:ind w:left="0" w:firstLine="0"/>
        <w:jc w:val="both"/>
        <w:rPr>
          <w:rFonts w:ascii="Verdana" w:hAnsi="Verdana"/>
          <w:sz w:val="20"/>
          <w:szCs w:val="20"/>
          <w:lang w:val="es-CR"/>
        </w:rPr>
      </w:pPr>
      <w:r w:rsidRPr="008A1933">
        <w:rPr>
          <w:rFonts w:ascii="Verdana" w:hAnsi="Verdana"/>
          <w:sz w:val="20"/>
          <w:szCs w:val="20"/>
          <w:lang w:val="es-CR"/>
        </w:rPr>
        <w:t>La Corte constata, con base en actas firmadas por la</w:t>
      </w:r>
      <w:r w:rsidR="00F9508B">
        <w:rPr>
          <w:rFonts w:ascii="Verdana" w:hAnsi="Verdana"/>
          <w:sz w:val="20"/>
          <w:szCs w:val="20"/>
          <w:lang w:val="es-CR"/>
        </w:rPr>
        <w:t>s</w:t>
      </w:r>
      <w:r w:rsidRPr="008A1933">
        <w:rPr>
          <w:rFonts w:ascii="Verdana" w:hAnsi="Verdana"/>
          <w:sz w:val="20"/>
          <w:szCs w:val="20"/>
          <w:lang w:val="es-CR"/>
        </w:rPr>
        <w:t xml:space="preserve"> víctima</w:t>
      </w:r>
      <w:r w:rsidR="00F9508B">
        <w:rPr>
          <w:rFonts w:ascii="Verdana" w:hAnsi="Verdana"/>
          <w:sz w:val="20"/>
          <w:szCs w:val="20"/>
          <w:lang w:val="es-CR"/>
        </w:rPr>
        <w:t>s</w:t>
      </w:r>
      <w:r w:rsidR="00F351FF">
        <w:rPr>
          <w:rFonts w:ascii="Verdana" w:hAnsi="Verdana"/>
          <w:sz w:val="20"/>
          <w:szCs w:val="20"/>
          <w:lang w:val="es-CR"/>
        </w:rPr>
        <w:t xml:space="preserve"> y por</w:t>
      </w:r>
      <w:r w:rsidR="00F9508B">
        <w:rPr>
          <w:rFonts w:ascii="Verdana" w:hAnsi="Verdana"/>
          <w:sz w:val="20"/>
          <w:szCs w:val="20"/>
          <w:lang w:val="es-CR"/>
        </w:rPr>
        <w:t xml:space="preserve"> </w:t>
      </w:r>
      <w:r w:rsidRPr="008A1933">
        <w:rPr>
          <w:rFonts w:ascii="Verdana" w:hAnsi="Verdana"/>
          <w:sz w:val="20"/>
          <w:szCs w:val="20"/>
          <w:lang w:val="es-CR"/>
        </w:rPr>
        <w:t>el Presidente</w:t>
      </w:r>
      <w:r w:rsidR="00F9508B">
        <w:rPr>
          <w:rFonts w:ascii="Verdana" w:hAnsi="Verdana"/>
          <w:sz w:val="20"/>
          <w:szCs w:val="20"/>
          <w:lang w:val="es-CR"/>
        </w:rPr>
        <w:t xml:space="preserve"> y el Director Ejecutivo</w:t>
      </w:r>
      <w:r w:rsidRPr="008A1933">
        <w:rPr>
          <w:rFonts w:ascii="Verdana" w:hAnsi="Verdana"/>
          <w:sz w:val="20"/>
          <w:szCs w:val="20"/>
          <w:lang w:val="es-CR"/>
        </w:rPr>
        <w:t xml:space="preserve"> de COPREDEH, que </w:t>
      </w:r>
      <w:r w:rsidR="00F9508B">
        <w:rPr>
          <w:rFonts w:ascii="Verdana" w:hAnsi="Verdana"/>
          <w:sz w:val="20"/>
          <w:szCs w:val="20"/>
          <w:lang w:val="es-CR"/>
        </w:rPr>
        <w:t>el 19 de diciembre de 2017</w:t>
      </w:r>
      <w:r w:rsidRPr="008A1933">
        <w:rPr>
          <w:rFonts w:ascii="Verdana" w:hAnsi="Verdana"/>
          <w:sz w:val="20"/>
          <w:szCs w:val="20"/>
          <w:lang w:val="es-CR"/>
        </w:rPr>
        <w:t xml:space="preserve">, dentro del plazo dispuesto en la Sentencia, se </w:t>
      </w:r>
      <w:r w:rsidR="00F9508B">
        <w:rPr>
          <w:rFonts w:ascii="Verdana" w:hAnsi="Verdana"/>
          <w:sz w:val="20"/>
          <w:szCs w:val="20"/>
          <w:lang w:val="es-CR"/>
        </w:rPr>
        <w:t>hizo efectivo el pago por concepto de indemnización por daño inmaterial a favor de Ángela María del Carmen Argüello Gutiérrez, Nilda Ileana Gutiérrez Hernández y Armando Eduardo Gutiérrez Hernández</w:t>
      </w:r>
      <w:r w:rsidR="00F9508B">
        <w:rPr>
          <w:rStyle w:val="FootnoteReference"/>
          <w:rFonts w:ascii="Verdana" w:hAnsi="Verdana"/>
          <w:sz w:val="20"/>
          <w:szCs w:val="20"/>
          <w:lang w:val="es-CR"/>
        </w:rPr>
        <w:footnoteReference w:id="15"/>
      </w:r>
      <w:r w:rsidR="00F9508B">
        <w:rPr>
          <w:rFonts w:ascii="Verdana" w:hAnsi="Verdana"/>
          <w:sz w:val="20"/>
          <w:szCs w:val="20"/>
          <w:lang w:val="es-CR"/>
        </w:rPr>
        <w:t xml:space="preserve">. </w:t>
      </w:r>
      <w:r w:rsidR="003F5F29">
        <w:rPr>
          <w:rFonts w:ascii="Verdana" w:hAnsi="Verdana"/>
          <w:sz w:val="20"/>
          <w:szCs w:val="20"/>
          <w:lang w:val="es-CR"/>
        </w:rPr>
        <w:t>Los representantes no presentaron objeciones a la referida afirmación</w:t>
      </w:r>
      <w:r w:rsidR="00687977">
        <w:rPr>
          <w:rStyle w:val="FootnoteReference"/>
          <w:rFonts w:ascii="Verdana" w:hAnsi="Verdana"/>
          <w:sz w:val="20"/>
          <w:szCs w:val="20"/>
          <w:lang w:val="es-CR"/>
        </w:rPr>
        <w:footnoteReference w:id="16"/>
      </w:r>
      <w:r w:rsidR="003F5F29">
        <w:rPr>
          <w:rFonts w:ascii="Verdana" w:hAnsi="Verdana"/>
          <w:sz w:val="20"/>
          <w:szCs w:val="20"/>
          <w:lang w:val="es-CR"/>
        </w:rPr>
        <w:t>.</w:t>
      </w:r>
    </w:p>
    <w:p w14:paraId="2F84B58D" w14:textId="77777777" w:rsidR="00F9508B" w:rsidRPr="00F9508B" w:rsidRDefault="00F9508B" w:rsidP="00F9508B">
      <w:pPr>
        <w:pStyle w:val="ListParagraph"/>
        <w:rPr>
          <w:rFonts w:ascii="Verdana" w:hAnsi="Verdana"/>
          <w:sz w:val="20"/>
          <w:szCs w:val="20"/>
          <w:lang w:val="es-CR"/>
        </w:rPr>
      </w:pPr>
    </w:p>
    <w:p w14:paraId="1135A656" w14:textId="5358F8AF" w:rsidR="00F9508B" w:rsidRDefault="00F9508B" w:rsidP="008A1933">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Asimismo, </w:t>
      </w:r>
      <w:r w:rsidR="00865B96">
        <w:rPr>
          <w:rFonts w:ascii="Verdana" w:hAnsi="Verdana"/>
          <w:sz w:val="20"/>
          <w:szCs w:val="20"/>
          <w:lang w:val="es-CR"/>
        </w:rPr>
        <w:t xml:space="preserve">este Tribunal constata, con base en el acta firmada por Mario Alcides Polanco Pérez, Presidente y </w:t>
      </w:r>
      <w:r w:rsidR="008F6F37">
        <w:rPr>
          <w:rFonts w:ascii="Verdana" w:hAnsi="Verdana"/>
          <w:sz w:val="20"/>
          <w:szCs w:val="20"/>
          <w:lang w:val="es-CR"/>
        </w:rPr>
        <w:t>representante l</w:t>
      </w:r>
      <w:r w:rsidR="00865B96">
        <w:rPr>
          <w:rFonts w:ascii="Verdana" w:hAnsi="Verdana"/>
          <w:sz w:val="20"/>
          <w:szCs w:val="20"/>
          <w:lang w:val="es-CR"/>
        </w:rPr>
        <w:t xml:space="preserve">egal de la entidad Grupo Apoyo Mutuo (GAM), y por </w:t>
      </w:r>
      <w:r w:rsidR="00865B96" w:rsidRPr="008A1933">
        <w:rPr>
          <w:rFonts w:ascii="Verdana" w:hAnsi="Verdana"/>
          <w:sz w:val="20"/>
          <w:szCs w:val="20"/>
          <w:lang w:val="es-CR"/>
        </w:rPr>
        <w:t>el Presidente</w:t>
      </w:r>
      <w:r w:rsidR="00865B96">
        <w:rPr>
          <w:rFonts w:ascii="Verdana" w:hAnsi="Verdana"/>
          <w:sz w:val="20"/>
          <w:szCs w:val="20"/>
          <w:lang w:val="es-CR"/>
        </w:rPr>
        <w:t xml:space="preserve"> y el Director Ejecutivo</w:t>
      </w:r>
      <w:r w:rsidR="00865B96" w:rsidRPr="008A1933">
        <w:rPr>
          <w:rFonts w:ascii="Verdana" w:hAnsi="Verdana"/>
          <w:sz w:val="20"/>
          <w:szCs w:val="20"/>
          <w:lang w:val="es-CR"/>
        </w:rPr>
        <w:t xml:space="preserve"> de</w:t>
      </w:r>
      <w:r w:rsidR="00865B96">
        <w:rPr>
          <w:rFonts w:ascii="Verdana" w:hAnsi="Verdana"/>
          <w:sz w:val="20"/>
          <w:szCs w:val="20"/>
          <w:lang w:val="es-CR"/>
        </w:rPr>
        <w:t xml:space="preserve"> COPREDEH, que el 19 de diciembre de 2017, dentro del plazo dispuesto en la Sentencia, se hizo efectivo el pago por concepto de reintegro de costas y g</w:t>
      </w:r>
      <w:r w:rsidR="00226518">
        <w:rPr>
          <w:rFonts w:ascii="Verdana" w:hAnsi="Verdana"/>
          <w:sz w:val="20"/>
          <w:szCs w:val="20"/>
          <w:lang w:val="es-CR"/>
        </w:rPr>
        <w:t>as</w:t>
      </w:r>
      <w:r w:rsidR="00865B96">
        <w:rPr>
          <w:rFonts w:ascii="Verdana" w:hAnsi="Verdana"/>
          <w:sz w:val="20"/>
          <w:szCs w:val="20"/>
          <w:lang w:val="es-CR"/>
        </w:rPr>
        <w:t>tos a favor de la entidad GAM</w:t>
      </w:r>
      <w:r w:rsidR="00865B96">
        <w:rPr>
          <w:rStyle w:val="FootnoteReference"/>
          <w:rFonts w:ascii="Verdana" w:hAnsi="Verdana"/>
          <w:sz w:val="20"/>
          <w:szCs w:val="20"/>
          <w:lang w:val="es-CR"/>
        </w:rPr>
        <w:footnoteReference w:id="17"/>
      </w:r>
      <w:r w:rsidR="00865B96">
        <w:rPr>
          <w:rFonts w:ascii="Verdana" w:hAnsi="Verdana"/>
          <w:sz w:val="20"/>
          <w:szCs w:val="20"/>
          <w:lang w:val="es-CR"/>
        </w:rPr>
        <w:t xml:space="preserve">. </w:t>
      </w:r>
      <w:r w:rsidR="003F5F29">
        <w:rPr>
          <w:rFonts w:ascii="Verdana" w:hAnsi="Verdana"/>
          <w:sz w:val="20"/>
          <w:szCs w:val="20"/>
          <w:lang w:val="es-CR"/>
        </w:rPr>
        <w:t xml:space="preserve">Los representantes tampoco presentaron objeción alguna a lo señalado por el Estado. </w:t>
      </w:r>
    </w:p>
    <w:p w14:paraId="523AE8FD" w14:textId="77777777" w:rsidR="00F9508B" w:rsidRDefault="00F9508B" w:rsidP="00F9508B">
      <w:pPr>
        <w:pStyle w:val="ListParagraph"/>
        <w:spacing w:after="0" w:line="240" w:lineRule="auto"/>
        <w:ind w:left="0"/>
        <w:jc w:val="both"/>
        <w:rPr>
          <w:rFonts w:ascii="Verdana" w:hAnsi="Verdana"/>
          <w:sz w:val="20"/>
          <w:szCs w:val="20"/>
          <w:lang w:val="es-CR"/>
        </w:rPr>
      </w:pPr>
    </w:p>
    <w:p w14:paraId="648519BF" w14:textId="77777777" w:rsidR="00405015" w:rsidRDefault="00405015" w:rsidP="00F9508B">
      <w:pPr>
        <w:pStyle w:val="ListParagraph"/>
        <w:spacing w:after="0" w:line="240" w:lineRule="auto"/>
        <w:ind w:left="0"/>
        <w:jc w:val="both"/>
        <w:rPr>
          <w:rFonts w:ascii="Verdana" w:hAnsi="Verdana"/>
          <w:sz w:val="20"/>
          <w:szCs w:val="20"/>
          <w:lang w:val="es-CR"/>
        </w:rPr>
      </w:pPr>
    </w:p>
    <w:p w14:paraId="53A94EC0" w14:textId="7B0C360E" w:rsidR="00AF2459" w:rsidRPr="0023362F" w:rsidRDefault="008A1933" w:rsidP="00AF2459">
      <w:pPr>
        <w:pStyle w:val="ListParagraph"/>
        <w:numPr>
          <w:ilvl w:val="0"/>
          <w:numId w:val="2"/>
        </w:numPr>
        <w:spacing w:after="0" w:line="240" w:lineRule="auto"/>
        <w:ind w:left="0" w:firstLine="0"/>
        <w:jc w:val="both"/>
        <w:rPr>
          <w:rFonts w:ascii="Verdana" w:hAnsi="Verdana"/>
          <w:b/>
          <w:sz w:val="20"/>
          <w:szCs w:val="20"/>
          <w:lang w:val="es-CR"/>
        </w:rPr>
      </w:pPr>
      <w:r w:rsidRPr="0023362F">
        <w:rPr>
          <w:rFonts w:ascii="Verdana" w:hAnsi="Verdana"/>
          <w:sz w:val="20"/>
          <w:szCs w:val="20"/>
          <w:lang w:val="es-CR"/>
        </w:rPr>
        <w:t xml:space="preserve">Por lo anterior, la Corte considera que el Estado dio cumplimiento, dentro del plazo dispuesto para ello, a las medidas de reparación relativas al pago de las indemnizaciones por concepto de daño inmaterial a </w:t>
      </w:r>
      <w:r w:rsidR="00AF2459" w:rsidRPr="0023362F">
        <w:rPr>
          <w:rFonts w:ascii="Verdana" w:hAnsi="Verdana"/>
          <w:sz w:val="20"/>
          <w:szCs w:val="20"/>
          <w:lang w:val="es-CR"/>
        </w:rPr>
        <w:t>favor de las</w:t>
      </w:r>
      <w:r w:rsidRPr="0023362F">
        <w:rPr>
          <w:rFonts w:ascii="Verdana" w:hAnsi="Verdana"/>
          <w:sz w:val="20"/>
          <w:szCs w:val="20"/>
          <w:lang w:val="es-CR"/>
        </w:rPr>
        <w:t xml:space="preserve"> víctima</w:t>
      </w:r>
      <w:r w:rsidR="00865B96" w:rsidRPr="0023362F">
        <w:rPr>
          <w:rFonts w:ascii="Verdana" w:hAnsi="Verdana"/>
          <w:sz w:val="20"/>
          <w:szCs w:val="20"/>
          <w:lang w:val="es-CR"/>
        </w:rPr>
        <w:t>s</w:t>
      </w:r>
      <w:r w:rsidR="00AF2459" w:rsidRPr="0023362F">
        <w:rPr>
          <w:rFonts w:ascii="Verdana" w:hAnsi="Verdana"/>
          <w:sz w:val="20"/>
          <w:szCs w:val="20"/>
          <w:lang w:val="es-CR"/>
        </w:rPr>
        <w:t xml:space="preserve"> Ángela María del Carmen Argüello Gutiérrez, Nilda Ileana Gutiérrez Hernández y Armando Eduardo Gutiérrez Hernández</w:t>
      </w:r>
      <w:r w:rsidRPr="0023362F">
        <w:rPr>
          <w:rFonts w:ascii="Verdana" w:hAnsi="Verdana"/>
          <w:sz w:val="20"/>
          <w:szCs w:val="20"/>
          <w:lang w:val="es-CR"/>
        </w:rPr>
        <w:t>, y del reintegro de costas y gastos a favor de</w:t>
      </w:r>
      <w:r w:rsidR="00865B96" w:rsidRPr="0023362F">
        <w:rPr>
          <w:rFonts w:ascii="Verdana" w:hAnsi="Verdana"/>
          <w:sz w:val="20"/>
          <w:szCs w:val="20"/>
          <w:lang w:val="es-CR"/>
        </w:rPr>
        <w:t xml:space="preserve">l Grupo Apoyo Mutuo, representante de las </w:t>
      </w:r>
      <w:r w:rsidR="008123E1" w:rsidRPr="0023362F">
        <w:rPr>
          <w:rFonts w:ascii="Verdana" w:hAnsi="Verdana"/>
          <w:sz w:val="20"/>
          <w:szCs w:val="20"/>
          <w:lang w:val="es-CR"/>
        </w:rPr>
        <w:t>víctimas, quedando pendiente el pago del monto dispuesto por concepto de indemnización por el daño inmaterial sufrido por Mayra Angelina Gutiérrez Hernández</w:t>
      </w:r>
      <w:r w:rsidR="00730C8D" w:rsidRPr="0023362F">
        <w:rPr>
          <w:rStyle w:val="FootnoteReference"/>
          <w:rFonts w:ascii="Verdana" w:hAnsi="Verdana"/>
          <w:sz w:val="20"/>
          <w:szCs w:val="20"/>
          <w:lang w:val="es-CR"/>
        </w:rPr>
        <w:footnoteReference w:id="18"/>
      </w:r>
      <w:r w:rsidR="008123E1" w:rsidRPr="0023362F">
        <w:rPr>
          <w:rFonts w:ascii="Verdana" w:hAnsi="Verdana"/>
          <w:sz w:val="20"/>
          <w:szCs w:val="20"/>
          <w:lang w:val="es-CR"/>
        </w:rPr>
        <w:t xml:space="preserve">. </w:t>
      </w:r>
    </w:p>
    <w:p w14:paraId="213F04F4" w14:textId="77777777" w:rsidR="00520405" w:rsidRDefault="00520405" w:rsidP="000E24F5">
      <w:pPr>
        <w:spacing w:after="0" w:line="240" w:lineRule="auto"/>
        <w:jc w:val="both"/>
        <w:rPr>
          <w:rFonts w:ascii="Verdana" w:hAnsi="Verdana"/>
          <w:sz w:val="20"/>
          <w:lang w:val="es-CR"/>
        </w:rPr>
      </w:pPr>
    </w:p>
    <w:p w14:paraId="616F1EAF" w14:textId="77777777" w:rsidR="00405015" w:rsidRPr="00D33461" w:rsidRDefault="00405015" w:rsidP="000E24F5">
      <w:pPr>
        <w:spacing w:after="0" w:line="240" w:lineRule="auto"/>
        <w:jc w:val="both"/>
        <w:rPr>
          <w:rFonts w:ascii="Verdana" w:hAnsi="Verdana"/>
          <w:sz w:val="20"/>
          <w:lang w:val="es-CR"/>
        </w:rPr>
      </w:pPr>
    </w:p>
    <w:p w14:paraId="09ADB905"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POR TANTO:</w:t>
      </w:r>
    </w:p>
    <w:p w14:paraId="66D3D667" w14:textId="77777777" w:rsidR="00C94147" w:rsidRDefault="00C94147" w:rsidP="000E24F5">
      <w:pPr>
        <w:spacing w:after="0" w:line="240" w:lineRule="auto"/>
        <w:jc w:val="both"/>
        <w:rPr>
          <w:rFonts w:ascii="Verdana" w:hAnsi="Verdana"/>
          <w:b/>
          <w:sz w:val="20"/>
          <w:lang w:val="es-CR"/>
        </w:rPr>
      </w:pPr>
    </w:p>
    <w:p w14:paraId="4FD7391E" w14:textId="77777777" w:rsidR="008F6F37" w:rsidRDefault="008F6F37" w:rsidP="000E24F5">
      <w:pPr>
        <w:spacing w:after="0" w:line="240" w:lineRule="auto"/>
        <w:jc w:val="both"/>
        <w:rPr>
          <w:rFonts w:ascii="Verdana" w:hAnsi="Verdana"/>
          <w:b/>
          <w:sz w:val="20"/>
          <w:lang w:val="es-CR"/>
        </w:rPr>
      </w:pPr>
      <w:r>
        <w:rPr>
          <w:rFonts w:ascii="Verdana" w:hAnsi="Verdana"/>
          <w:b/>
          <w:sz w:val="20"/>
          <w:lang w:val="es-CR"/>
        </w:rPr>
        <w:t>LA CORTE INTERAMERICANA DE DERECHOS HUMANOS</w:t>
      </w:r>
    </w:p>
    <w:p w14:paraId="0EB7069F" w14:textId="77777777" w:rsidR="000E24F5" w:rsidRDefault="000E24F5" w:rsidP="000E24F5">
      <w:pPr>
        <w:spacing w:after="0" w:line="240" w:lineRule="auto"/>
        <w:jc w:val="both"/>
        <w:rPr>
          <w:rFonts w:ascii="Verdana" w:hAnsi="Verdana"/>
          <w:b/>
          <w:sz w:val="20"/>
          <w:lang w:val="es-CR"/>
        </w:rPr>
      </w:pPr>
    </w:p>
    <w:p w14:paraId="1E85C99F" w14:textId="17492B6B" w:rsidR="000E24F5" w:rsidRDefault="000E24F5" w:rsidP="000E24F5">
      <w:pPr>
        <w:spacing w:after="0" w:line="240" w:lineRule="auto"/>
        <w:jc w:val="both"/>
        <w:rPr>
          <w:rFonts w:ascii="Verdana" w:hAnsi="Verdana"/>
          <w:sz w:val="20"/>
          <w:lang w:val="es-CR"/>
        </w:rPr>
      </w:pPr>
      <w:r>
        <w:rPr>
          <w:rFonts w:ascii="Verdana" w:hAnsi="Verdana"/>
          <w:sz w:val="20"/>
          <w:lang w:val="es-CR"/>
        </w:rPr>
        <w:t>en el ejercicio de sus atribuciones de supervisión de</w:t>
      </w:r>
      <w:r w:rsidR="00002725">
        <w:rPr>
          <w:rFonts w:ascii="Verdana" w:hAnsi="Verdana"/>
          <w:sz w:val="20"/>
          <w:lang w:val="es-CR"/>
        </w:rPr>
        <w:t>l</w:t>
      </w:r>
      <w:r>
        <w:rPr>
          <w:rFonts w:ascii="Verdana" w:hAnsi="Verdana"/>
          <w:sz w:val="20"/>
          <w:lang w:val="es-CR"/>
        </w:rPr>
        <w:t xml:space="preserve"> cumplimiento de sus decisiones, de conformidad con los artículos 33, 62.1, 62.3, 65</w:t>
      </w:r>
      <w:r w:rsidR="00002725">
        <w:rPr>
          <w:rFonts w:ascii="Verdana" w:hAnsi="Verdana"/>
          <w:sz w:val="20"/>
          <w:lang w:val="es-CR"/>
        </w:rPr>
        <w:t>,</w:t>
      </w:r>
      <w:r>
        <w:rPr>
          <w:rFonts w:ascii="Verdana" w:hAnsi="Verdana"/>
          <w:sz w:val="20"/>
          <w:lang w:val="es-CR"/>
        </w:rPr>
        <w:t xml:space="preserve"> 67 y 68.1 de la Convención Americana sobre Derechos Humanos, 24, 25 y 30 del Estatuto y 31.2 y 69 de su Reglamento,</w:t>
      </w:r>
    </w:p>
    <w:p w14:paraId="0D9493A9" w14:textId="77777777" w:rsidR="000E24F5" w:rsidRDefault="000E24F5" w:rsidP="000E24F5">
      <w:pPr>
        <w:spacing w:after="0" w:line="240" w:lineRule="auto"/>
        <w:jc w:val="both"/>
        <w:rPr>
          <w:rFonts w:ascii="Verdana" w:hAnsi="Verdana"/>
          <w:sz w:val="20"/>
          <w:lang w:val="es-CR"/>
        </w:rPr>
      </w:pPr>
    </w:p>
    <w:p w14:paraId="7EF916A2" w14:textId="77777777" w:rsidR="00405015" w:rsidRDefault="00405015" w:rsidP="000E24F5">
      <w:pPr>
        <w:spacing w:after="0" w:line="240" w:lineRule="auto"/>
        <w:jc w:val="both"/>
        <w:rPr>
          <w:rFonts w:ascii="Verdana" w:hAnsi="Verdana"/>
          <w:sz w:val="20"/>
          <w:lang w:val="es-CR"/>
        </w:rPr>
      </w:pPr>
    </w:p>
    <w:p w14:paraId="17F16508"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RESUELVE:</w:t>
      </w:r>
    </w:p>
    <w:p w14:paraId="22BDA4F2" w14:textId="77777777" w:rsidR="000E24F5" w:rsidRDefault="000E24F5" w:rsidP="000E24F5">
      <w:pPr>
        <w:spacing w:after="0" w:line="240" w:lineRule="auto"/>
        <w:jc w:val="both"/>
        <w:rPr>
          <w:rFonts w:ascii="Verdana" w:hAnsi="Verdana"/>
          <w:b/>
          <w:sz w:val="20"/>
          <w:lang w:val="es-CR"/>
        </w:rPr>
      </w:pPr>
    </w:p>
    <w:p w14:paraId="40D66949" w14:textId="495867A7" w:rsidR="00523BB8" w:rsidRDefault="000E24F5" w:rsidP="00A5278D">
      <w:pPr>
        <w:pStyle w:val="ListParagraph"/>
        <w:numPr>
          <w:ilvl w:val="0"/>
          <w:numId w:val="19"/>
        </w:numPr>
        <w:spacing w:after="0" w:line="240" w:lineRule="auto"/>
        <w:ind w:left="0" w:firstLine="0"/>
        <w:jc w:val="both"/>
        <w:rPr>
          <w:rFonts w:ascii="Verdana" w:hAnsi="Verdana"/>
          <w:sz w:val="20"/>
          <w:lang w:val="es-CR"/>
        </w:rPr>
      </w:pPr>
      <w:r w:rsidRPr="00A5278D">
        <w:rPr>
          <w:rFonts w:ascii="Verdana" w:hAnsi="Verdana"/>
          <w:sz w:val="20"/>
          <w:lang w:val="es-CR"/>
        </w:rPr>
        <w:t xml:space="preserve">Declarar, de conformidad con lo señalado en la parte considerativa de la presente Resolución, </w:t>
      </w:r>
      <w:r w:rsidR="007B7292" w:rsidRPr="00A5278D">
        <w:rPr>
          <w:rFonts w:ascii="Verdana" w:hAnsi="Verdana"/>
          <w:sz w:val="20"/>
          <w:lang w:val="es-CR"/>
        </w:rPr>
        <w:t xml:space="preserve">que </w:t>
      </w:r>
      <w:r w:rsidR="00F2322B" w:rsidRPr="00A5278D">
        <w:rPr>
          <w:rFonts w:ascii="Verdana" w:hAnsi="Verdana"/>
          <w:sz w:val="20"/>
          <w:lang w:val="es-CR"/>
        </w:rPr>
        <w:t xml:space="preserve">el Estado ha dado cumplimiento </w:t>
      </w:r>
      <w:r w:rsidR="00C21DE3" w:rsidRPr="00A5278D">
        <w:rPr>
          <w:rFonts w:ascii="Verdana" w:hAnsi="Verdana"/>
          <w:sz w:val="20"/>
          <w:lang w:val="es-CR"/>
        </w:rPr>
        <w:t>total</w:t>
      </w:r>
      <w:r w:rsidR="00F2322B" w:rsidRPr="00A5278D">
        <w:rPr>
          <w:rFonts w:ascii="Verdana" w:hAnsi="Verdana"/>
          <w:sz w:val="20"/>
          <w:lang w:val="es-CR"/>
        </w:rPr>
        <w:t xml:space="preserve"> a </w:t>
      </w:r>
      <w:r w:rsidR="00A5278D" w:rsidRPr="00A5278D">
        <w:rPr>
          <w:rFonts w:ascii="Verdana" w:hAnsi="Verdana"/>
          <w:sz w:val="20"/>
          <w:lang w:val="es-CR"/>
        </w:rPr>
        <w:t>la</w:t>
      </w:r>
      <w:r w:rsidR="00523BB8">
        <w:rPr>
          <w:rFonts w:ascii="Verdana" w:hAnsi="Verdana"/>
          <w:sz w:val="20"/>
          <w:lang w:val="es-CR"/>
        </w:rPr>
        <w:t>s</w:t>
      </w:r>
      <w:r w:rsidR="00C21DE3" w:rsidRPr="00A5278D">
        <w:rPr>
          <w:rFonts w:ascii="Verdana" w:hAnsi="Verdana"/>
          <w:sz w:val="20"/>
          <w:lang w:val="es-CR"/>
        </w:rPr>
        <w:t xml:space="preserve"> </w:t>
      </w:r>
      <w:r w:rsidR="00F2322B" w:rsidRPr="00A5278D">
        <w:rPr>
          <w:rFonts w:ascii="Verdana" w:hAnsi="Verdana"/>
          <w:sz w:val="20"/>
          <w:lang w:val="es-CR"/>
        </w:rPr>
        <w:t>medida</w:t>
      </w:r>
      <w:r w:rsidR="00523BB8">
        <w:rPr>
          <w:rFonts w:ascii="Verdana" w:hAnsi="Verdana"/>
          <w:sz w:val="20"/>
          <w:lang w:val="es-CR"/>
        </w:rPr>
        <w:t>s</w:t>
      </w:r>
      <w:r w:rsidR="00F2322B" w:rsidRPr="00A5278D">
        <w:rPr>
          <w:rFonts w:ascii="Verdana" w:hAnsi="Verdana"/>
          <w:sz w:val="20"/>
          <w:lang w:val="es-CR"/>
        </w:rPr>
        <w:t xml:space="preserve"> de reparaci</w:t>
      </w:r>
      <w:r w:rsidR="00CA70D7" w:rsidRPr="00A5278D">
        <w:rPr>
          <w:rFonts w:ascii="Verdana" w:hAnsi="Verdana"/>
          <w:sz w:val="20"/>
          <w:lang w:val="es-CR"/>
        </w:rPr>
        <w:t>ón</w:t>
      </w:r>
      <w:r w:rsidR="00A5278D" w:rsidRPr="00A5278D">
        <w:rPr>
          <w:rFonts w:ascii="Verdana" w:hAnsi="Verdana"/>
          <w:sz w:val="20"/>
          <w:lang w:val="es-CR"/>
        </w:rPr>
        <w:t xml:space="preserve"> correspondiente</w:t>
      </w:r>
      <w:r w:rsidR="00002725">
        <w:rPr>
          <w:rFonts w:ascii="Verdana" w:hAnsi="Verdana"/>
          <w:sz w:val="20"/>
          <w:lang w:val="es-CR"/>
        </w:rPr>
        <w:t>s</w:t>
      </w:r>
      <w:r w:rsidR="00A5278D" w:rsidRPr="00A5278D">
        <w:rPr>
          <w:rFonts w:ascii="Verdana" w:hAnsi="Verdana"/>
          <w:sz w:val="20"/>
          <w:lang w:val="es-CR"/>
        </w:rPr>
        <w:t xml:space="preserve"> a</w:t>
      </w:r>
      <w:r w:rsidR="00523BB8">
        <w:rPr>
          <w:rFonts w:ascii="Verdana" w:hAnsi="Verdana"/>
          <w:sz w:val="20"/>
          <w:lang w:val="es-CR"/>
        </w:rPr>
        <w:t>:</w:t>
      </w:r>
    </w:p>
    <w:p w14:paraId="34E636BE" w14:textId="77777777" w:rsidR="00405015" w:rsidRDefault="00405015" w:rsidP="00405015">
      <w:pPr>
        <w:pStyle w:val="ListParagraph"/>
        <w:spacing w:after="0" w:line="240" w:lineRule="auto"/>
        <w:ind w:left="0"/>
        <w:jc w:val="both"/>
        <w:rPr>
          <w:rFonts w:ascii="Verdana" w:hAnsi="Verdana"/>
          <w:sz w:val="20"/>
          <w:lang w:val="es-CR"/>
        </w:rPr>
      </w:pPr>
    </w:p>
    <w:p w14:paraId="606DA4DD" w14:textId="6D13532D" w:rsidR="00C21DE3" w:rsidRDefault="00CA70D7" w:rsidP="00C94147">
      <w:pPr>
        <w:pStyle w:val="ListParagraph"/>
        <w:numPr>
          <w:ilvl w:val="0"/>
          <w:numId w:val="21"/>
        </w:numPr>
        <w:spacing w:after="0" w:line="240" w:lineRule="auto"/>
        <w:jc w:val="both"/>
        <w:rPr>
          <w:rFonts w:ascii="Verdana" w:hAnsi="Verdana"/>
          <w:sz w:val="20"/>
          <w:lang w:val="es-CR"/>
        </w:rPr>
      </w:pPr>
      <w:r w:rsidRPr="00A5278D">
        <w:rPr>
          <w:rFonts w:ascii="Verdana" w:hAnsi="Verdana"/>
          <w:sz w:val="20"/>
          <w:lang w:val="es-CR"/>
        </w:rPr>
        <w:t>“</w:t>
      </w:r>
      <w:r w:rsidR="00A5278D" w:rsidRPr="00A5278D">
        <w:rPr>
          <w:rFonts w:ascii="Verdana" w:hAnsi="Verdana"/>
          <w:sz w:val="20"/>
          <w:lang w:val="es-CR"/>
        </w:rPr>
        <w:t>p</w:t>
      </w:r>
      <w:r w:rsidRPr="00A5278D">
        <w:rPr>
          <w:rFonts w:ascii="Verdana" w:hAnsi="Verdana"/>
          <w:sz w:val="20"/>
          <w:lang w:val="es-CR"/>
        </w:rPr>
        <w:t xml:space="preserve">ublicar […]: a) el resumen oficial de la Sentencia elaborado por la Corte, por una sola vez, en el Diario Oficial y en un diario nacional de amplia circulación, y b) la </w:t>
      </w:r>
      <w:r w:rsidR="00C21DE3" w:rsidRPr="00A5278D">
        <w:rPr>
          <w:rFonts w:ascii="Verdana" w:hAnsi="Verdana"/>
          <w:sz w:val="20"/>
          <w:lang w:val="es-CR"/>
        </w:rPr>
        <w:t>[…]</w:t>
      </w:r>
      <w:r w:rsidRPr="00A5278D">
        <w:rPr>
          <w:rFonts w:ascii="Verdana" w:hAnsi="Verdana"/>
          <w:sz w:val="20"/>
          <w:lang w:val="es-CR"/>
        </w:rPr>
        <w:t xml:space="preserve"> Sentencia en su integridad, disponible al menos por un período de un año, en un </w:t>
      </w:r>
      <w:r w:rsidR="00002725">
        <w:rPr>
          <w:rFonts w:ascii="Verdana" w:hAnsi="Verdana"/>
          <w:sz w:val="20"/>
          <w:lang w:val="es-CR"/>
        </w:rPr>
        <w:t>[…]</w:t>
      </w:r>
      <w:r w:rsidRPr="00A5278D">
        <w:rPr>
          <w:rFonts w:ascii="Verdana" w:hAnsi="Verdana"/>
          <w:sz w:val="20"/>
          <w:lang w:val="es-CR"/>
        </w:rPr>
        <w:t xml:space="preserve"> sitio web oficial del Estado</w:t>
      </w:r>
      <w:r w:rsidR="00C21DE3" w:rsidRPr="00A5278D">
        <w:rPr>
          <w:rFonts w:ascii="Verdana" w:hAnsi="Verdana"/>
          <w:sz w:val="20"/>
          <w:lang w:val="es-CR"/>
        </w:rPr>
        <w:t>” (</w:t>
      </w:r>
      <w:r w:rsidR="00C21DE3" w:rsidRPr="00A5278D">
        <w:rPr>
          <w:rFonts w:ascii="Verdana" w:hAnsi="Verdana"/>
          <w:i/>
          <w:sz w:val="20"/>
          <w:lang w:val="es-CR"/>
        </w:rPr>
        <w:t>punto resolutivo décimo primero de la Sentencia</w:t>
      </w:r>
      <w:r w:rsidR="00C21DE3" w:rsidRPr="00A5278D">
        <w:rPr>
          <w:rFonts w:ascii="Verdana" w:hAnsi="Verdana"/>
          <w:sz w:val="20"/>
          <w:lang w:val="es-CR"/>
        </w:rPr>
        <w:t>), y</w:t>
      </w:r>
    </w:p>
    <w:p w14:paraId="20026BBA" w14:textId="21E76473" w:rsidR="00523BB8" w:rsidRDefault="00523BB8" w:rsidP="00C94147">
      <w:pPr>
        <w:pStyle w:val="ListParagraph"/>
        <w:numPr>
          <w:ilvl w:val="0"/>
          <w:numId w:val="21"/>
        </w:numPr>
        <w:spacing w:after="0" w:line="240" w:lineRule="auto"/>
        <w:jc w:val="both"/>
        <w:rPr>
          <w:rFonts w:ascii="Verdana" w:hAnsi="Verdana"/>
          <w:sz w:val="20"/>
          <w:lang w:val="es-CR"/>
        </w:rPr>
      </w:pPr>
      <w:r>
        <w:rPr>
          <w:rFonts w:ascii="Verdana" w:hAnsi="Verdana"/>
          <w:sz w:val="20"/>
          <w:lang w:val="es-CR"/>
        </w:rPr>
        <w:t xml:space="preserve">pagar la cantidad fijada en el párrafo </w:t>
      </w:r>
      <w:r w:rsidR="00C94147">
        <w:rPr>
          <w:rFonts w:ascii="Verdana" w:hAnsi="Verdana"/>
          <w:sz w:val="20"/>
          <w:lang w:val="es-CR"/>
        </w:rPr>
        <w:t>226</w:t>
      </w:r>
      <w:r>
        <w:rPr>
          <w:rFonts w:ascii="Verdana" w:hAnsi="Verdana"/>
          <w:sz w:val="20"/>
          <w:lang w:val="es-CR"/>
        </w:rPr>
        <w:t xml:space="preserve"> de la Sentencia por concepto de reintegro de costas y gastos al Grupo Apoyo Mutuo (</w:t>
      </w:r>
      <w:r>
        <w:rPr>
          <w:rFonts w:ascii="Verdana" w:hAnsi="Verdana"/>
          <w:i/>
          <w:sz w:val="20"/>
          <w:lang w:val="es-CR"/>
        </w:rPr>
        <w:t>punto resolutivo décimo segundo de la Sentencia</w:t>
      </w:r>
      <w:r>
        <w:rPr>
          <w:rFonts w:ascii="Verdana" w:hAnsi="Verdana"/>
          <w:sz w:val="20"/>
          <w:lang w:val="es-CR"/>
        </w:rPr>
        <w:t>).</w:t>
      </w:r>
    </w:p>
    <w:p w14:paraId="695AA107" w14:textId="77777777" w:rsidR="00A5278D" w:rsidRDefault="00A5278D" w:rsidP="00A5278D">
      <w:pPr>
        <w:pStyle w:val="ListParagraph"/>
        <w:spacing w:after="0" w:line="240" w:lineRule="auto"/>
        <w:ind w:left="0"/>
        <w:jc w:val="both"/>
        <w:rPr>
          <w:rFonts w:ascii="Verdana" w:hAnsi="Verdana"/>
          <w:sz w:val="20"/>
          <w:lang w:val="es-CR"/>
        </w:rPr>
      </w:pPr>
    </w:p>
    <w:p w14:paraId="7ECEF475" w14:textId="77777777" w:rsidR="00405015" w:rsidRPr="00A5278D" w:rsidRDefault="00405015" w:rsidP="00A5278D">
      <w:pPr>
        <w:pStyle w:val="ListParagraph"/>
        <w:spacing w:after="0" w:line="240" w:lineRule="auto"/>
        <w:ind w:left="0"/>
        <w:jc w:val="both"/>
        <w:rPr>
          <w:rFonts w:ascii="Verdana" w:hAnsi="Verdana"/>
          <w:sz w:val="20"/>
          <w:lang w:val="es-CR"/>
        </w:rPr>
      </w:pPr>
    </w:p>
    <w:p w14:paraId="54E07537" w14:textId="750622A5" w:rsidR="00CA70D7" w:rsidRPr="00C21DE3" w:rsidRDefault="00A5278D" w:rsidP="00A5278D">
      <w:pPr>
        <w:pStyle w:val="ListParagraph"/>
        <w:numPr>
          <w:ilvl w:val="0"/>
          <w:numId w:val="19"/>
        </w:numPr>
        <w:spacing w:after="0" w:line="240" w:lineRule="auto"/>
        <w:ind w:left="0" w:firstLine="0"/>
        <w:jc w:val="both"/>
        <w:rPr>
          <w:rFonts w:ascii="Verdana" w:hAnsi="Verdana"/>
          <w:sz w:val="20"/>
          <w:lang w:val="es-CR"/>
        </w:rPr>
      </w:pPr>
      <w:r w:rsidRPr="00CA70D7">
        <w:rPr>
          <w:rFonts w:ascii="Verdana" w:hAnsi="Verdana"/>
          <w:sz w:val="20"/>
          <w:lang w:val="es-CR"/>
        </w:rPr>
        <w:lastRenderedPageBreak/>
        <w:t xml:space="preserve">Declarar, de conformidad con lo señalado en la parte considerativa de la presente Resolución, que el Estado ha dado cumplimiento </w:t>
      </w:r>
      <w:r>
        <w:rPr>
          <w:rFonts w:ascii="Verdana" w:hAnsi="Verdana"/>
          <w:sz w:val="20"/>
          <w:lang w:val="es-CR"/>
        </w:rPr>
        <w:t>parcial</w:t>
      </w:r>
      <w:r w:rsidRPr="00CA70D7">
        <w:rPr>
          <w:rFonts w:ascii="Verdana" w:hAnsi="Verdana"/>
          <w:sz w:val="20"/>
          <w:lang w:val="es-CR"/>
        </w:rPr>
        <w:t xml:space="preserve"> a la</w:t>
      </w:r>
      <w:r w:rsidRPr="00C21DE3">
        <w:rPr>
          <w:rFonts w:ascii="Verdana" w:hAnsi="Verdana"/>
          <w:sz w:val="20"/>
          <w:lang w:val="es-CR"/>
        </w:rPr>
        <w:t xml:space="preserve"> </w:t>
      </w:r>
      <w:r>
        <w:rPr>
          <w:rFonts w:ascii="Verdana" w:hAnsi="Verdana"/>
          <w:sz w:val="20"/>
          <w:lang w:val="es-CR"/>
        </w:rPr>
        <w:t>medida correspondiente a p</w:t>
      </w:r>
      <w:r w:rsidR="00CA70D7" w:rsidRPr="00C21DE3">
        <w:rPr>
          <w:rFonts w:ascii="Verdana" w:hAnsi="Verdana"/>
          <w:sz w:val="20"/>
          <w:lang w:val="es-CR"/>
        </w:rPr>
        <w:t xml:space="preserve">agar las cantidades fijadas en </w:t>
      </w:r>
      <w:r w:rsidR="00523BB8">
        <w:rPr>
          <w:rFonts w:ascii="Verdana" w:hAnsi="Verdana"/>
          <w:sz w:val="20"/>
          <w:lang w:val="es-CR"/>
        </w:rPr>
        <w:t>el</w:t>
      </w:r>
      <w:r w:rsidR="00CA70D7" w:rsidRPr="00C21DE3">
        <w:rPr>
          <w:rFonts w:ascii="Verdana" w:hAnsi="Verdana"/>
          <w:sz w:val="20"/>
          <w:lang w:val="es-CR"/>
        </w:rPr>
        <w:t xml:space="preserve"> párrafo 219 de la</w:t>
      </w:r>
      <w:r w:rsidR="00C94147">
        <w:rPr>
          <w:rFonts w:ascii="Verdana" w:hAnsi="Verdana"/>
          <w:sz w:val="20"/>
          <w:lang w:val="es-CR"/>
        </w:rPr>
        <w:t xml:space="preserve"> </w:t>
      </w:r>
      <w:r w:rsidR="00CA70D7" w:rsidRPr="00C21DE3">
        <w:rPr>
          <w:rFonts w:ascii="Verdana" w:hAnsi="Verdana"/>
          <w:sz w:val="20"/>
          <w:lang w:val="es-CR"/>
        </w:rPr>
        <w:t>Sentencia por concepto de indemnizaciones por daños inmateriales</w:t>
      </w:r>
      <w:r w:rsidR="00523BB8">
        <w:rPr>
          <w:rFonts w:ascii="Verdana" w:hAnsi="Verdana"/>
          <w:sz w:val="20"/>
          <w:lang w:val="es-CR"/>
        </w:rPr>
        <w:t xml:space="preserve"> a favor de las víctimas </w:t>
      </w:r>
      <w:r w:rsidR="00523BB8">
        <w:rPr>
          <w:rFonts w:ascii="Verdana" w:hAnsi="Verdana"/>
          <w:sz w:val="20"/>
          <w:szCs w:val="20"/>
          <w:lang w:val="es-CR"/>
        </w:rPr>
        <w:t>Ángela María del Carmen Argüello Gutiérrez, Nilda Ileana Gutiérrez Hernández y Armando Eduardo Gutiérrez Hernández</w:t>
      </w:r>
      <w:r w:rsidR="00523BB8" w:rsidRPr="008A1933">
        <w:rPr>
          <w:rFonts w:ascii="Verdana" w:hAnsi="Verdana"/>
          <w:sz w:val="20"/>
          <w:szCs w:val="20"/>
          <w:lang w:val="es-CR"/>
        </w:rPr>
        <w:t xml:space="preserve">, </w:t>
      </w:r>
      <w:r w:rsidR="00523BB8">
        <w:rPr>
          <w:rFonts w:ascii="Verdana" w:hAnsi="Verdana"/>
          <w:sz w:val="20"/>
          <w:szCs w:val="20"/>
          <w:lang w:val="es-CR"/>
        </w:rPr>
        <w:t>quedando pendiente el pago del monto dispuesto por el daño inmaterial sufrido por la víctima Mayra Angelina Gutiérrez Hernández</w:t>
      </w:r>
      <w:r w:rsidR="00C21DE3">
        <w:rPr>
          <w:rFonts w:ascii="Verdana" w:hAnsi="Verdana"/>
          <w:sz w:val="20"/>
          <w:lang w:val="es-CR"/>
        </w:rPr>
        <w:t xml:space="preserve"> (</w:t>
      </w:r>
      <w:r w:rsidR="00C21DE3">
        <w:rPr>
          <w:rFonts w:ascii="Verdana" w:hAnsi="Verdana"/>
          <w:i/>
          <w:sz w:val="20"/>
          <w:lang w:val="es-CR"/>
        </w:rPr>
        <w:t>punto resolutivo décimo segundo de la Sentencia</w:t>
      </w:r>
      <w:r w:rsidR="00C21DE3">
        <w:rPr>
          <w:rFonts w:ascii="Verdana" w:hAnsi="Verdana"/>
          <w:sz w:val="20"/>
          <w:lang w:val="es-CR"/>
        </w:rPr>
        <w:t>).</w:t>
      </w:r>
    </w:p>
    <w:p w14:paraId="41FD997E" w14:textId="77777777" w:rsidR="00C21DE3" w:rsidRDefault="00C21DE3" w:rsidP="00C21DE3">
      <w:pPr>
        <w:pStyle w:val="ListParagraph"/>
        <w:spacing w:after="0" w:line="240" w:lineRule="auto"/>
        <w:ind w:left="0"/>
        <w:jc w:val="both"/>
        <w:rPr>
          <w:rFonts w:ascii="Verdana" w:hAnsi="Verdana"/>
          <w:sz w:val="20"/>
          <w:lang w:val="es-CR"/>
        </w:rPr>
      </w:pPr>
    </w:p>
    <w:p w14:paraId="38F660CC" w14:textId="77777777" w:rsidR="00A5278D" w:rsidRDefault="00CA70D7" w:rsidP="00A5278D">
      <w:pPr>
        <w:pStyle w:val="ListParagraph"/>
        <w:numPr>
          <w:ilvl w:val="0"/>
          <w:numId w:val="19"/>
        </w:numPr>
        <w:spacing w:after="0" w:line="240" w:lineRule="auto"/>
        <w:ind w:left="0" w:firstLine="0"/>
        <w:jc w:val="both"/>
        <w:rPr>
          <w:rFonts w:ascii="Verdana" w:hAnsi="Verdana"/>
          <w:sz w:val="20"/>
          <w:szCs w:val="20"/>
          <w:lang w:val="es-CR"/>
        </w:rPr>
      </w:pPr>
      <w:r w:rsidRPr="005E70CB">
        <w:rPr>
          <w:rFonts w:ascii="Verdana" w:hAnsi="Verdana"/>
          <w:sz w:val="20"/>
          <w:szCs w:val="20"/>
          <w:lang w:val="es-CR"/>
        </w:rPr>
        <w:t>Mantener abierto el procedimiento de supervisión de cumplimiento de la</w:t>
      </w:r>
      <w:r w:rsidR="00A5278D">
        <w:rPr>
          <w:rFonts w:ascii="Verdana" w:hAnsi="Verdana"/>
          <w:sz w:val="20"/>
          <w:szCs w:val="20"/>
          <w:lang w:val="es-CR"/>
        </w:rPr>
        <w:t>s</w:t>
      </w:r>
      <w:r w:rsidRPr="005E70CB">
        <w:rPr>
          <w:rFonts w:ascii="Verdana" w:hAnsi="Verdana"/>
          <w:sz w:val="20"/>
          <w:szCs w:val="20"/>
          <w:lang w:val="es-CR"/>
        </w:rPr>
        <w:t xml:space="preserve"> siguiente</w:t>
      </w:r>
      <w:r w:rsidR="00A5278D">
        <w:rPr>
          <w:rFonts w:ascii="Verdana" w:hAnsi="Verdana"/>
          <w:sz w:val="20"/>
          <w:szCs w:val="20"/>
          <w:lang w:val="es-CR"/>
        </w:rPr>
        <w:t>s</w:t>
      </w:r>
      <w:r w:rsidRPr="005E70CB">
        <w:rPr>
          <w:rFonts w:ascii="Verdana" w:hAnsi="Verdana"/>
          <w:sz w:val="20"/>
          <w:szCs w:val="20"/>
          <w:lang w:val="es-CR"/>
        </w:rPr>
        <w:t xml:space="preserve"> medida</w:t>
      </w:r>
      <w:r w:rsidR="00A5278D">
        <w:rPr>
          <w:rFonts w:ascii="Verdana" w:hAnsi="Verdana"/>
          <w:sz w:val="20"/>
          <w:szCs w:val="20"/>
          <w:lang w:val="es-CR"/>
        </w:rPr>
        <w:t>s</w:t>
      </w:r>
      <w:r w:rsidRPr="005E70CB">
        <w:rPr>
          <w:rFonts w:ascii="Verdana" w:hAnsi="Verdana"/>
          <w:sz w:val="20"/>
          <w:szCs w:val="20"/>
          <w:lang w:val="es-CR"/>
        </w:rPr>
        <w:t xml:space="preserve"> de reparación: </w:t>
      </w:r>
    </w:p>
    <w:p w14:paraId="05F0DC00" w14:textId="77777777" w:rsidR="00226518" w:rsidRDefault="00226518" w:rsidP="00226518">
      <w:pPr>
        <w:pStyle w:val="ListParagraph"/>
        <w:spacing w:after="0" w:line="240" w:lineRule="auto"/>
        <w:ind w:left="0"/>
        <w:jc w:val="both"/>
        <w:rPr>
          <w:rFonts w:ascii="Verdana" w:hAnsi="Verdana"/>
          <w:sz w:val="20"/>
          <w:szCs w:val="20"/>
          <w:lang w:val="es-CR"/>
        </w:rPr>
      </w:pPr>
    </w:p>
    <w:p w14:paraId="2A4A1987" w14:textId="0CF74A7A" w:rsidR="005E70CB" w:rsidRDefault="008F6F37" w:rsidP="00A5278D">
      <w:pPr>
        <w:pStyle w:val="ListParagraph"/>
        <w:numPr>
          <w:ilvl w:val="0"/>
          <w:numId w:val="20"/>
        </w:numPr>
        <w:spacing w:after="0" w:line="240" w:lineRule="auto"/>
        <w:jc w:val="both"/>
        <w:rPr>
          <w:rFonts w:ascii="Verdana" w:hAnsi="Verdana"/>
          <w:sz w:val="20"/>
          <w:szCs w:val="20"/>
          <w:lang w:val="es-CR"/>
        </w:rPr>
      </w:pPr>
      <w:r>
        <w:rPr>
          <w:rFonts w:ascii="Verdana" w:hAnsi="Verdana"/>
          <w:sz w:val="20"/>
          <w:szCs w:val="20"/>
          <w:lang w:val="es-CR"/>
        </w:rPr>
        <w:t>c</w:t>
      </w:r>
      <w:r w:rsidR="005E70CB" w:rsidRPr="005E70CB">
        <w:rPr>
          <w:rFonts w:ascii="Verdana" w:hAnsi="Verdana"/>
          <w:sz w:val="20"/>
          <w:szCs w:val="20"/>
          <w:lang w:val="es-CR"/>
        </w:rPr>
        <w:t xml:space="preserve">onducir eficazmente la investigación, libre de estereotipos negativos de género, y en su caso, continuar y/o abrir el o los procesos penales que correspondieren, para identificar, procesar y, en su caso, sancionar a los responsables de la </w:t>
      </w:r>
      <w:r>
        <w:rPr>
          <w:rFonts w:ascii="Verdana" w:hAnsi="Verdana"/>
          <w:sz w:val="20"/>
          <w:szCs w:val="20"/>
          <w:lang w:val="es-CR"/>
        </w:rPr>
        <w:t>desaparición de Mayra Gutiérrez</w:t>
      </w:r>
      <w:r w:rsidR="00C21DE3">
        <w:rPr>
          <w:rFonts w:ascii="Verdana" w:hAnsi="Verdana"/>
          <w:sz w:val="20"/>
          <w:szCs w:val="20"/>
          <w:lang w:val="es-CR"/>
        </w:rPr>
        <w:t xml:space="preserve"> (</w:t>
      </w:r>
      <w:r w:rsidR="00C21DE3">
        <w:rPr>
          <w:rFonts w:ascii="Verdana" w:hAnsi="Verdana"/>
          <w:i/>
          <w:sz w:val="20"/>
          <w:szCs w:val="20"/>
          <w:lang w:val="es-CR"/>
        </w:rPr>
        <w:t>punto resolutivo décimo de la Sentencia</w:t>
      </w:r>
      <w:r w:rsidR="00C21DE3">
        <w:rPr>
          <w:rFonts w:ascii="Verdana" w:hAnsi="Verdana"/>
          <w:sz w:val="20"/>
          <w:szCs w:val="20"/>
          <w:lang w:val="es-CR"/>
        </w:rPr>
        <w:t>)</w:t>
      </w:r>
      <w:r w:rsidR="00002725">
        <w:rPr>
          <w:rFonts w:ascii="Verdana" w:hAnsi="Verdana"/>
          <w:sz w:val="20"/>
          <w:szCs w:val="20"/>
          <w:lang w:val="es-CR"/>
        </w:rPr>
        <w:t>, y</w:t>
      </w:r>
    </w:p>
    <w:p w14:paraId="7C5CBCC0" w14:textId="37034C42" w:rsidR="00002725" w:rsidRPr="005E70CB" w:rsidRDefault="00002725" w:rsidP="00A5278D">
      <w:pPr>
        <w:pStyle w:val="ListParagraph"/>
        <w:numPr>
          <w:ilvl w:val="0"/>
          <w:numId w:val="20"/>
        </w:numPr>
        <w:spacing w:after="0" w:line="240" w:lineRule="auto"/>
        <w:jc w:val="both"/>
        <w:rPr>
          <w:rFonts w:ascii="Verdana" w:hAnsi="Verdana"/>
          <w:sz w:val="20"/>
          <w:szCs w:val="20"/>
          <w:lang w:val="es-CR"/>
        </w:rPr>
      </w:pPr>
      <w:r>
        <w:rPr>
          <w:rFonts w:ascii="Verdana" w:hAnsi="Verdana"/>
          <w:sz w:val="20"/>
          <w:szCs w:val="20"/>
          <w:lang w:val="es-CR"/>
        </w:rPr>
        <w:t>pagar la cantidad fijada en la Sentencia por concepto del daño inmaterial sufrido por Mayra Angelina Gutiérrez Hernández (</w:t>
      </w:r>
      <w:r>
        <w:rPr>
          <w:rFonts w:ascii="Verdana" w:hAnsi="Verdana"/>
          <w:i/>
          <w:sz w:val="20"/>
          <w:szCs w:val="20"/>
          <w:lang w:val="es-CR"/>
        </w:rPr>
        <w:t>punto resolutivo décimo segundo de la Sentencia</w:t>
      </w:r>
      <w:r>
        <w:rPr>
          <w:rFonts w:ascii="Verdana" w:hAnsi="Verdana"/>
          <w:sz w:val="20"/>
          <w:szCs w:val="20"/>
          <w:lang w:val="es-CR"/>
        </w:rPr>
        <w:t>).</w:t>
      </w:r>
    </w:p>
    <w:p w14:paraId="77C22276" w14:textId="77777777" w:rsidR="005E70CB" w:rsidRPr="005E70CB" w:rsidRDefault="005E70CB" w:rsidP="005E70CB">
      <w:pPr>
        <w:pStyle w:val="ListParagraph"/>
        <w:rPr>
          <w:rFonts w:ascii="Verdana" w:hAnsi="Verdana"/>
          <w:sz w:val="20"/>
          <w:szCs w:val="20"/>
          <w:lang w:val="es-CR"/>
        </w:rPr>
      </w:pPr>
    </w:p>
    <w:p w14:paraId="3A965638" w14:textId="4B69E54D" w:rsidR="00185A9C" w:rsidRDefault="005E70CB" w:rsidP="000E24F5">
      <w:pPr>
        <w:pStyle w:val="ListParagraph"/>
        <w:numPr>
          <w:ilvl w:val="0"/>
          <w:numId w:val="19"/>
        </w:numPr>
        <w:spacing w:after="0" w:line="240" w:lineRule="auto"/>
        <w:ind w:left="0" w:firstLine="0"/>
        <w:jc w:val="both"/>
        <w:rPr>
          <w:rFonts w:ascii="Verdana" w:hAnsi="Verdana"/>
          <w:sz w:val="20"/>
          <w:szCs w:val="20"/>
          <w:lang w:val="es-CR"/>
        </w:rPr>
      </w:pPr>
      <w:r w:rsidRPr="005E70CB">
        <w:rPr>
          <w:rFonts w:ascii="Verdana" w:hAnsi="Verdana"/>
          <w:sz w:val="20"/>
          <w:szCs w:val="20"/>
          <w:lang w:val="es-CR"/>
        </w:rPr>
        <w:t>Requerir a la Secretaría de la Corte que notifique la presente Resolución al Estado, a los representantes de las víctimas y a la Comisión Interamericana de Derechos Humanos.</w:t>
      </w:r>
    </w:p>
    <w:p w14:paraId="0F3362C3" w14:textId="77777777" w:rsidR="00185A9C" w:rsidRPr="00185A9C" w:rsidRDefault="00185A9C" w:rsidP="00185A9C">
      <w:pPr>
        <w:keepNext/>
        <w:jc w:val="both"/>
        <w:outlineLvl w:val="0"/>
        <w:rPr>
          <w:rFonts w:ascii="Verdana" w:eastAsia="Times" w:hAnsi="Verdana" w:cs="Verdana"/>
          <w:b/>
          <w:bCs/>
          <w:sz w:val="20"/>
          <w:szCs w:val="20"/>
          <w:lang w:val="es-ES"/>
        </w:rPr>
      </w:pPr>
      <w:r>
        <w:rPr>
          <w:rFonts w:ascii="Verdana" w:hAnsi="Verdana"/>
          <w:sz w:val="20"/>
          <w:szCs w:val="20"/>
          <w:lang w:val="es-CR"/>
        </w:rPr>
        <w:br w:type="page"/>
      </w:r>
      <w:r w:rsidRPr="00185A9C">
        <w:rPr>
          <w:rFonts w:ascii="Verdana" w:eastAsia="Times" w:hAnsi="Verdana" w:cs="Courier New"/>
          <w:noProof/>
          <w:sz w:val="20"/>
          <w:szCs w:val="20"/>
          <w:lang w:val="es-AR"/>
        </w:rPr>
        <w:lastRenderedPageBreak/>
        <w:t xml:space="preserve">Corte IDH. </w:t>
      </w:r>
      <w:r w:rsidRPr="00185A9C">
        <w:rPr>
          <w:rFonts w:ascii="Verdana" w:eastAsia="Times" w:hAnsi="Verdana" w:cs="Times New Roman"/>
          <w:bCs/>
          <w:i/>
          <w:sz w:val="20"/>
          <w:szCs w:val="20"/>
          <w:lang w:val="es-CR"/>
        </w:rPr>
        <w:t xml:space="preserve">Caso Gutiérrez Hernández y otros Vs. Guatemala.  Supervisión de Cumplimiento de Sentencia. </w:t>
      </w:r>
      <w:r w:rsidRPr="00185A9C">
        <w:rPr>
          <w:rFonts w:ascii="Verdana" w:eastAsia="Times" w:hAnsi="Verdana" w:cs="Times New Roman"/>
          <w:sz w:val="20"/>
          <w:szCs w:val="20"/>
          <w:lang w:val="es-CR"/>
        </w:rPr>
        <w:t xml:space="preserve"> </w:t>
      </w:r>
      <w:r w:rsidRPr="00185A9C">
        <w:rPr>
          <w:rFonts w:ascii="Verdana" w:eastAsia="Times" w:hAnsi="Verdana" w:cs="Times New Roman"/>
          <w:sz w:val="20"/>
          <w:szCs w:val="20"/>
          <w:lang w:val="es-ES"/>
        </w:rPr>
        <w:t xml:space="preserve">Resolución de la Corte Interamericana de Derechos Humanos de </w:t>
      </w:r>
      <w:r w:rsidRPr="00185A9C">
        <w:rPr>
          <w:rFonts w:ascii="Verdana" w:eastAsia="Times" w:hAnsi="Verdana" w:cs="Times New Roman"/>
          <w:sz w:val="20"/>
          <w:szCs w:val="20"/>
          <w:lang w:val="es-CR"/>
        </w:rPr>
        <w:t>26 de septiembre de 2018</w:t>
      </w:r>
      <w:r w:rsidRPr="00185A9C">
        <w:rPr>
          <w:rFonts w:ascii="Verdana" w:eastAsia="Times" w:hAnsi="Verdana" w:cs="Times New Roman"/>
          <w:sz w:val="20"/>
          <w:szCs w:val="20"/>
          <w:lang w:val="es-ES"/>
        </w:rPr>
        <w:t xml:space="preserve">. </w:t>
      </w:r>
    </w:p>
    <w:p w14:paraId="41609C58" w14:textId="77777777" w:rsidR="00185A9C" w:rsidRPr="00185A9C" w:rsidRDefault="00185A9C" w:rsidP="00185A9C">
      <w:pPr>
        <w:spacing w:after="0" w:line="240" w:lineRule="auto"/>
        <w:jc w:val="center"/>
        <w:rPr>
          <w:rFonts w:ascii="Verdana" w:eastAsia="Times" w:hAnsi="Verdana" w:cs="Times New Roman"/>
          <w:sz w:val="20"/>
          <w:szCs w:val="20"/>
          <w:lang w:val="es-ES"/>
        </w:rPr>
      </w:pPr>
    </w:p>
    <w:p w14:paraId="325ABD14" w14:textId="77777777" w:rsidR="00185A9C" w:rsidRPr="00185A9C" w:rsidRDefault="00185A9C" w:rsidP="00185A9C">
      <w:pPr>
        <w:spacing w:after="0" w:line="240" w:lineRule="auto"/>
        <w:jc w:val="center"/>
        <w:rPr>
          <w:rFonts w:ascii="Verdana" w:eastAsia="Times" w:hAnsi="Verdana" w:cs="Times New Roman"/>
          <w:sz w:val="20"/>
          <w:szCs w:val="20"/>
          <w:lang w:val="es-ES"/>
        </w:rPr>
      </w:pPr>
    </w:p>
    <w:p w14:paraId="50663ECB" w14:textId="77777777" w:rsidR="00185A9C" w:rsidRPr="00185A9C" w:rsidRDefault="00185A9C" w:rsidP="00185A9C">
      <w:pPr>
        <w:spacing w:after="0" w:line="240" w:lineRule="auto"/>
        <w:rPr>
          <w:rFonts w:ascii="Verdana" w:eastAsia="Calibri" w:hAnsi="Verdana" w:cs="Times New Roman"/>
          <w:b/>
          <w:i/>
          <w:sz w:val="20"/>
          <w:szCs w:val="20"/>
          <w:lang w:val="es-CR"/>
        </w:rPr>
      </w:pPr>
    </w:p>
    <w:p w14:paraId="7D83E44F" w14:textId="77777777" w:rsidR="00185A9C" w:rsidRPr="00185A9C" w:rsidRDefault="00185A9C" w:rsidP="00185A9C">
      <w:pPr>
        <w:spacing w:after="0" w:line="240" w:lineRule="auto"/>
        <w:rPr>
          <w:rFonts w:ascii="Verdana" w:eastAsia="Calibri" w:hAnsi="Verdana" w:cs="Times New Roman"/>
          <w:b/>
          <w:i/>
          <w:sz w:val="20"/>
          <w:szCs w:val="20"/>
          <w:lang w:val="es-CR"/>
        </w:rPr>
      </w:pPr>
    </w:p>
    <w:p w14:paraId="47DAA07D" w14:textId="77777777" w:rsidR="00185A9C" w:rsidRPr="00185A9C" w:rsidRDefault="00185A9C" w:rsidP="00185A9C">
      <w:pPr>
        <w:spacing w:after="0" w:line="240" w:lineRule="auto"/>
        <w:rPr>
          <w:rFonts w:ascii="Verdana" w:eastAsia="Times" w:hAnsi="Verdana" w:cs="Times New Roman"/>
          <w:sz w:val="20"/>
          <w:szCs w:val="20"/>
          <w:lang w:val="es-MX"/>
        </w:rPr>
      </w:pPr>
    </w:p>
    <w:p w14:paraId="294BA391" w14:textId="77777777" w:rsidR="00185A9C" w:rsidRPr="00185A9C" w:rsidRDefault="00185A9C" w:rsidP="00185A9C">
      <w:pPr>
        <w:spacing w:after="0" w:line="240" w:lineRule="auto"/>
        <w:jc w:val="center"/>
        <w:rPr>
          <w:rFonts w:ascii="Verdana" w:eastAsia="Times" w:hAnsi="Verdana" w:cs="Times New Roman"/>
          <w:sz w:val="20"/>
          <w:szCs w:val="20"/>
          <w:lang w:val="es-ES"/>
        </w:rPr>
      </w:pPr>
      <w:r w:rsidRPr="00185A9C">
        <w:rPr>
          <w:rFonts w:ascii="Verdana" w:eastAsia="Times" w:hAnsi="Verdana" w:cs="Times New Roman"/>
          <w:sz w:val="20"/>
          <w:szCs w:val="20"/>
          <w:lang w:val="es-ES"/>
        </w:rPr>
        <w:t>Eduardo Ferrer Mac-Gregor Poisot</w:t>
      </w:r>
      <w:r w:rsidRPr="00185A9C">
        <w:rPr>
          <w:rFonts w:ascii="Verdana" w:eastAsia="Times" w:hAnsi="Verdana" w:cs="Times New Roman"/>
          <w:sz w:val="20"/>
          <w:szCs w:val="20"/>
          <w:lang w:val="es-ES"/>
        </w:rPr>
        <w:tab/>
      </w:r>
    </w:p>
    <w:p w14:paraId="55CEC871" w14:textId="77777777" w:rsidR="00185A9C" w:rsidRPr="00185A9C" w:rsidRDefault="00185A9C" w:rsidP="00185A9C">
      <w:pPr>
        <w:spacing w:after="0" w:line="240" w:lineRule="auto"/>
        <w:jc w:val="center"/>
        <w:rPr>
          <w:rFonts w:ascii="Verdana" w:eastAsia="Times" w:hAnsi="Verdana" w:cs="Times New Roman"/>
          <w:sz w:val="20"/>
          <w:szCs w:val="20"/>
          <w:lang w:val="es-ES"/>
        </w:rPr>
      </w:pPr>
      <w:r w:rsidRPr="00185A9C">
        <w:rPr>
          <w:rFonts w:ascii="Verdana" w:eastAsia="Times" w:hAnsi="Verdana" w:cs="Times New Roman"/>
          <w:sz w:val="20"/>
          <w:szCs w:val="20"/>
          <w:lang w:val="es-ES"/>
        </w:rPr>
        <w:t xml:space="preserve">Presidente </w:t>
      </w:r>
    </w:p>
    <w:p w14:paraId="78EC7DED"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23A7D600" w14:textId="77777777" w:rsidR="00185A9C" w:rsidRPr="00185A9C" w:rsidRDefault="00185A9C" w:rsidP="00185A9C">
      <w:pPr>
        <w:tabs>
          <w:tab w:val="left" w:pos="1485"/>
        </w:tabs>
        <w:spacing w:after="0" w:line="240" w:lineRule="auto"/>
        <w:jc w:val="both"/>
        <w:rPr>
          <w:rFonts w:ascii="Verdana" w:eastAsia="Times" w:hAnsi="Verdana" w:cs="Times New Roman"/>
          <w:sz w:val="20"/>
          <w:szCs w:val="20"/>
          <w:lang w:val="es-ES"/>
        </w:rPr>
      </w:pPr>
      <w:r w:rsidRPr="00185A9C">
        <w:rPr>
          <w:rFonts w:ascii="Verdana" w:eastAsia="Times" w:hAnsi="Verdana" w:cs="Times New Roman"/>
          <w:sz w:val="20"/>
          <w:szCs w:val="20"/>
          <w:lang w:val="es-ES"/>
        </w:rPr>
        <w:tab/>
      </w:r>
    </w:p>
    <w:p w14:paraId="78C97CDD"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64C81355"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6A9A9731"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47A7218B" w14:textId="77777777" w:rsidR="00185A9C" w:rsidRPr="00185A9C" w:rsidRDefault="00185A9C" w:rsidP="00185A9C">
      <w:pPr>
        <w:spacing w:after="0" w:line="240" w:lineRule="auto"/>
        <w:jc w:val="both"/>
        <w:rPr>
          <w:rFonts w:ascii="Verdana" w:eastAsia="Times" w:hAnsi="Verdana" w:cs="Times New Roman"/>
          <w:sz w:val="20"/>
          <w:szCs w:val="20"/>
          <w:lang w:val="es-ES"/>
        </w:rPr>
      </w:pPr>
      <w:r w:rsidRPr="00185A9C">
        <w:rPr>
          <w:rFonts w:ascii="Verdana" w:eastAsia="Times" w:hAnsi="Verdana" w:cs="Times New Roman"/>
          <w:sz w:val="20"/>
          <w:szCs w:val="20"/>
          <w:lang w:val="es-ES"/>
        </w:rPr>
        <w:t>Eduardo Vio Grossi</w:t>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t>Humberto Antonio Sierra Porto</w:t>
      </w:r>
    </w:p>
    <w:p w14:paraId="71BEBD2A"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3D6BF523"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71A8035F"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5596548A"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033603E2"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4A3FAF19" w14:textId="77777777" w:rsidR="00185A9C" w:rsidRPr="00185A9C" w:rsidRDefault="00185A9C" w:rsidP="00185A9C">
      <w:pPr>
        <w:spacing w:after="0" w:line="240" w:lineRule="auto"/>
        <w:rPr>
          <w:rFonts w:ascii="Verdana" w:eastAsia="Times" w:hAnsi="Verdana" w:cs="Times New Roman"/>
          <w:sz w:val="20"/>
          <w:szCs w:val="20"/>
          <w:lang w:val="es-ES"/>
        </w:rPr>
      </w:pPr>
      <w:r w:rsidRPr="00185A9C">
        <w:rPr>
          <w:rFonts w:ascii="Verdana" w:eastAsia="Times" w:hAnsi="Verdana" w:cs="Times New Roman"/>
          <w:sz w:val="20"/>
          <w:szCs w:val="20"/>
          <w:lang w:val="es-ES"/>
        </w:rPr>
        <w:t xml:space="preserve">Eugenio Raúl Zaffaroni </w:t>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ES"/>
        </w:rPr>
        <w:tab/>
        <w:t>L. Patricio Pazmiño Freire</w:t>
      </w:r>
    </w:p>
    <w:p w14:paraId="082D1C31"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459F4091"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097CE06F"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16BAA911"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11F4A122"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70D6526A"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6924AE22" w14:textId="77777777" w:rsidR="00185A9C" w:rsidRPr="00185A9C" w:rsidRDefault="00185A9C" w:rsidP="00185A9C">
      <w:pPr>
        <w:spacing w:after="0" w:line="240" w:lineRule="auto"/>
        <w:jc w:val="center"/>
        <w:rPr>
          <w:rFonts w:ascii="Verdana" w:eastAsia="Times" w:hAnsi="Verdana" w:cs="Times New Roman"/>
          <w:sz w:val="20"/>
          <w:szCs w:val="20"/>
          <w:lang w:val="es-ES"/>
        </w:rPr>
      </w:pPr>
      <w:r w:rsidRPr="00185A9C">
        <w:rPr>
          <w:rFonts w:ascii="Verdana" w:eastAsia="Times" w:hAnsi="Verdana" w:cs="Times New Roman"/>
          <w:sz w:val="20"/>
          <w:szCs w:val="20"/>
          <w:lang w:val="es-ES"/>
        </w:rPr>
        <w:t>Pablo Saavedra Alessandri</w:t>
      </w:r>
    </w:p>
    <w:p w14:paraId="3F39317B" w14:textId="77777777" w:rsidR="00185A9C" w:rsidRPr="00185A9C" w:rsidRDefault="00185A9C" w:rsidP="00185A9C">
      <w:pPr>
        <w:spacing w:after="0" w:line="240" w:lineRule="auto"/>
        <w:jc w:val="center"/>
        <w:rPr>
          <w:rFonts w:ascii="Verdana" w:eastAsia="Times" w:hAnsi="Verdana" w:cs="Times New Roman"/>
          <w:sz w:val="20"/>
          <w:szCs w:val="20"/>
          <w:lang w:val="es-ES"/>
        </w:rPr>
      </w:pPr>
      <w:r w:rsidRPr="00185A9C">
        <w:rPr>
          <w:rFonts w:ascii="Verdana" w:eastAsia="Times" w:hAnsi="Verdana" w:cs="Times New Roman"/>
          <w:sz w:val="20"/>
          <w:szCs w:val="20"/>
          <w:lang w:val="es-ES"/>
        </w:rPr>
        <w:t>Secretario</w:t>
      </w:r>
    </w:p>
    <w:p w14:paraId="102C2171" w14:textId="77777777" w:rsidR="00185A9C" w:rsidRPr="00185A9C" w:rsidRDefault="00185A9C" w:rsidP="00185A9C">
      <w:pPr>
        <w:spacing w:after="0" w:line="240" w:lineRule="auto"/>
        <w:rPr>
          <w:rFonts w:ascii="Verdana" w:eastAsia="Times" w:hAnsi="Verdana" w:cs="Times New Roman"/>
          <w:sz w:val="20"/>
          <w:szCs w:val="20"/>
          <w:lang w:val="es-ES"/>
        </w:rPr>
      </w:pPr>
    </w:p>
    <w:p w14:paraId="080B92CB"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3F0B25B3"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29B22775"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32A08EC5" w14:textId="77777777" w:rsidR="00185A9C" w:rsidRPr="00185A9C" w:rsidRDefault="00185A9C" w:rsidP="00185A9C">
      <w:pPr>
        <w:spacing w:after="0" w:line="240" w:lineRule="auto"/>
        <w:jc w:val="both"/>
        <w:rPr>
          <w:rFonts w:ascii="Verdana" w:eastAsia="Times" w:hAnsi="Verdana" w:cs="Times New Roman"/>
          <w:sz w:val="20"/>
          <w:szCs w:val="20"/>
          <w:lang w:val="es-ES"/>
        </w:rPr>
      </w:pPr>
      <w:r w:rsidRPr="00185A9C">
        <w:rPr>
          <w:rFonts w:ascii="Verdana" w:eastAsia="Times" w:hAnsi="Verdana" w:cs="Times New Roman"/>
          <w:sz w:val="20"/>
          <w:szCs w:val="20"/>
          <w:lang w:val="es-ES"/>
        </w:rPr>
        <w:t>Comuníquese y ejecútese,</w:t>
      </w:r>
    </w:p>
    <w:p w14:paraId="5491D82F"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7A1F5AE3"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1FEEB22C"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233617A1"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6D354690"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2FE102AA"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66301370" w14:textId="77777777" w:rsidR="00185A9C" w:rsidRPr="00185A9C" w:rsidRDefault="00185A9C" w:rsidP="00185A9C">
      <w:pPr>
        <w:spacing w:after="0" w:line="240" w:lineRule="auto"/>
        <w:ind w:left="4956"/>
        <w:jc w:val="center"/>
        <w:rPr>
          <w:rFonts w:ascii="Verdana" w:eastAsia="Times" w:hAnsi="Verdana" w:cs="Times New Roman"/>
          <w:sz w:val="20"/>
          <w:szCs w:val="20"/>
          <w:lang w:val="es-ES"/>
        </w:rPr>
      </w:pPr>
      <w:r w:rsidRPr="00185A9C">
        <w:rPr>
          <w:rFonts w:ascii="Verdana" w:eastAsia="Times" w:hAnsi="Verdana" w:cs="Times New Roman"/>
          <w:sz w:val="20"/>
          <w:szCs w:val="20"/>
          <w:lang w:val="es-ES"/>
        </w:rPr>
        <w:t>Eduardo Ferrer Mac-Gregor Poisot</w:t>
      </w:r>
      <w:r w:rsidRPr="00185A9C">
        <w:rPr>
          <w:rFonts w:ascii="Verdana" w:eastAsia="Times" w:hAnsi="Verdana" w:cs="Times New Roman"/>
          <w:sz w:val="20"/>
          <w:szCs w:val="20"/>
          <w:lang w:val="es-ES"/>
        </w:rPr>
        <w:tab/>
      </w:r>
    </w:p>
    <w:p w14:paraId="5D66AE2A" w14:textId="77777777" w:rsidR="00185A9C" w:rsidRPr="00185A9C" w:rsidRDefault="00185A9C" w:rsidP="00185A9C">
      <w:pPr>
        <w:spacing w:after="0" w:line="240" w:lineRule="auto"/>
        <w:ind w:left="4956" w:firstLine="708"/>
        <w:rPr>
          <w:rFonts w:ascii="Verdana" w:eastAsia="Times" w:hAnsi="Verdana" w:cs="Times New Roman"/>
          <w:sz w:val="20"/>
          <w:szCs w:val="20"/>
          <w:lang w:val="es-ES"/>
        </w:rPr>
      </w:pPr>
      <w:r w:rsidRPr="00185A9C">
        <w:rPr>
          <w:rFonts w:ascii="Verdana" w:eastAsia="Times" w:hAnsi="Verdana" w:cs="Times New Roman"/>
          <w:sz w:val="20"/>
          <w:szCs w:val="20"/>
          <w:lang w:val="es-ES"/>
        </w:rPr>
        <w:t xml:space="preserve">        Presidente </w:t>
      </w:r>
    </w:p>
    <w:p w14:paraId="47347279"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42187768"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3FA99664"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67FB4A59"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2E60383C"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3C5A31F6" w14:textId="77777777" w:rsidR="00185A9C" w:rsidRPr="00185A9C" w:rsidRDefault="00185A9C" w:rsidP="00185A9C">
      <w:pPr>
        <w:spacing w:after="0" w:line="240" w:lineRule="auto"/>
        <w:jc w:val="both"/>
        <w:rPr>
          <w:rFonts w:ascii="Verdana" w:eastAsia="Times" w:hAnsi="Verdana" w:cs="Times New Roman"/>
          <w:sz w:val="20"/>
          <w:szCs w:val="20"/>
          <w:lang w:val="es-ES"/>
        </w:rPr>
      </w:pPr>
    </w:p>
    <w:p w14:paraId="6B3B6DE0" w14:textId="77777777" w:rsidR="00185A9C" w:rsidRPr="00185A9C" w:rsidRDefault="00185A9C" w:rsidP="00185A9C">
      <w:pPr>
        <w:spacing w:after="0" w:line="240" w:lineRule="auto"/>
        <w:jc w:val="both"/>
        <w:rPr>
          <w:rFonts w:ascii="Verdana" w:eastAsia="Times" w:hAnsi="Verdana" w:cs="Times New Roman"/>
          <w:sz w:val="20"/>
          <w:szCs w:val="20"/>
          <w:lang w:val="es-ES"/>
        </w:rPr>
      </w:pPr>
      <w:r w:rsidRPr="00185A9C">
        <w:rPr>
          <w:rFonts w:ascii="Verdana" w:eastAsia="Times" w:hAnsi="Verdana" w:cs="Times New Roman"/>
          <w:sz w:val="20"/>
          <w:szCs w:val="20"/>
          <w:lang w:val="es-ES"/>
        </w:rPr>
        <w:t>Pablo Saavedra Alessandri</w:t>
      </w:r>
    </w:p>
    <w:p w14:paraId="61F31D77" w14:textId="77777777" w:rsidR="00185A9C" w:rsidRPr="00185A9C" w:rsidRDefault="00185A9C" w:rsidP="00185A9C">
      <w:pPr>
        <w:spacing w:after="0" w:line="240" w:lineRule="auto"/>
        <w:rPr>
          <w:rFonts w:ascii="Verdana" w:eastAsia="Times" w:hAnsi="Verdana" w:cs="Times New Roman"/>
          <w:sz w:val="20"/>
          <w:szCs w:val="20"/>
          <w:lang w:val="es-CR"/>
        </w:rPr>
      </w:pPr>
      <w:r w:rsidRPr="00185A9C">
        <w:rPr>
          <w:rFonts w:ascii="Verdana" w:eastAsia="Times" w:hAnsi="Verdana" w:cs="Times New Roman"/>
          <w:sz w:val="20"/>
          <w:szCs w:val="20"/>
          <w:lang w:val="es-ES"/>
        </w:rPr>
        <w:tab/>
      </w:r>
      <w:r w:rsidRPr="00185A9C">
        <w:rPr>
          <w:rFonts w:ascii="Verdana" w:eastAsia="Times" w:hAnsi="Verdana" w:cs="Times New Roman"/>
          <w:sz w:val="20"/>
          <w:szCs w:val="20"/>
          <w:lang w:val="es-CR"/>
        </w:rPr>
        <w:t>Secretario</w:t>
      </w:r>
    </w:p>
    <w:p w14:paraId="1DAB3055" w14:textId="4FA5301B" w:rsidR="00CA70D7" w:rsidRPr="00185A9C" w:rsidRDefault="00CA70D7" w:rsidP="00185A9C">
      <w:pPr>
        <w:rPr>
          <w:rFonts w:ascii="Verdana" w:hAnsi="Verdana"/>
          <w:sz w:val="20"/>
          <w:szCs w:val="20"/>
          <w:lang w:val="es-CR"/>
        </w:rPr>
      </w:pPr>
    </w:p>
    <w:sectPr w:rsidR="00CA70D7" w:rsidRPr="00185A9C" w:rsidSect="0049376A">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FA689" w14:textId="77777777" w:rsidR="00F351FF" w:rsidRDefault="00F351FF" w:rsidP="001E5411">
      <w:pPr>
        <w:spacing w:after="0" w:line="240" w:lineRule="auto"/>
      </w:pPr>
      <w:r>
        <w:separator/>
      </w:r>
    </w:p>
  </w:endnote>
  <w:endnote w:type="continuationSeparator" w:id="0">
    <w:p w14:paraId="31448E83" w14:textId="77777777" w:rsidR="00F351FF" w:rsidRDefault="00F351FF"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015A" w14:textId="4850C392" w:rsidR="00C94147" w:rsidRDefault="00C94147">
    <w:pPr>
      <w:pStyle w:val="Footer"/>
      <w:jc w:val="center"/>
    </w:pPr>
  </w:p>
  <w:p w14:paraId="0BDDDD28" w14:textId="77777777" w:rsidR="00C94147" w:rsidRDefault="00C9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19798" w14:textId="77777777" w:rsidR="00F351FF" w:rsidRDefault="00F351FF" w:rsidP="001E5411">
      <w:pPr>
        <w:spacing w:after="0" w:line="240" w:lineRule="auto"/>
      </w:pPr>
      <w:r>
        <w:separator/>
      </w:r>
    </w:p>
  </w:footnote>
  <w:footnote w:type="continuationSeparator" w:id="0">
    <w:p w14:paraId="579DF0B5" w14:textId="77777777" w:rsidR="00F351FF" w:rsidRDefault="00F351FF" w:rsidP="001E5411">
      <w:pPr>
        <w:spacing w:after="0" w:line="240" w:lineRule="auto"/>
      </w:pPr>
      <w:r>
        <w:continuationSeparator/>
      </w:r>
    </w:p>
  </w:footnote>
  <w:footnote w:id="1">
    <w:p w14:paraId="5853B32D" w14:textId="5BBF34B7" w:rsidR="006A37DF" w:rsidRPr="006A37DF" w:rsidRDefault="006A37DF" w:rsidP="006A37DF">
      <w:pPr>
        <w:pStyle w:val="FootnoteText"/>
        <w:jc w:val="both"/>
        <w:rPr>
          <w:rFonts w:ascii="Verdana" w:hAnsi="Verdana"/>
          <w:sz w:val="16"/>
          <w:szCs w:val="16"/>
          <w:lang w:val="es-CR"/>
        </w:rPr>
      </w:pPr>
      <w:r w:rsidRPr="006A37DF">
        <w:rPr>
          <w:rStyle w:val="FootnoteReference"/>
          <w:rFonts w:ascii="Verdana" w:hAnsi="Verdana"/>
          <w:sz w:val="16"/>
          <w:szCs w:val="16"/>
          <w:lang w:val="es-CR"/>
        </w:rPr>
        <w:t>*</w:t>
      </w:r>
      <w:r w:rsidRPr="006A37DF">
        <w:rPr>
          <w:rFonts w:ascii="Verdana" w:hAnsi="Verdana"/>
          <w:sz w:val="16"/>
          <w:szCs w:val="16"/>
          <w:lang w:val="es-CR"/>
        </w:rPr>
        <w:t xml:space="preserve"> </w:t>
      </w:r>
      <w:r w:rsidRPr="006A37DF">
        <w:rPr>
          <w:rFonts w:ascii="Verdana" w:hAnsi="Verdana"/>
          <w:sz w:val="16"/>
          <w:szCs w:val="16"/>
          <w:lang w:val="es-CR"/>
        </w:rPr>
        <w:tab/>
        <w:t>La Jueza Elizabeth Odio Benito no asistió al 127º Período Ordinario de Sesiones de la Corte Interamericana por motivos de fuerza mayor, lo cual fue aceptado por el Pleno. Por esa razón no participó en la deliberación y firma de esta Resolución.</w:t>
      </w:r>
    </w:p>
  </w:footnote>
  <w:footnote w:id="2">
    <w:p w14:paraId="6E2277B5" w14:textId="77777777" w:rsidR="00F351FF" w:rsidRPr="00D379DE" w:rsidRDefault="00F351FF" w:rsidP="008123E1">
      <w:pPr>
        <w:pStyle w:val="FootnoteText"/>
        <w:jc w:val="both"/>
        <w:rPr>
          <w:rFonts w:ascii="Verdana" w:hAnsi="Verdana"/>
          <w:sz w:val="16"/>
          <w:szCs w:val="16"/>
          <w:lang w:val="es-CR"/>
        </w:rPr>
      </w:pPr>
      <w:r w:rsidRPr="00D379DE">
        <w:rPr>
          <w:rStyle w:val="FootnoteReference"/>
          <w:rFonts w:ascii="Verdana" w:hAnsi="Verdana"/>
          <w:sz w:val="16"/>
          <w:szCs w:val="16"/>
        </w:rPr>
        <w:footnoteRef/>
      </w:r>
      <w:r w:rsidRPr="00D379DE">
        <w:rPr>
          <w:rFonts w:ascii="Verdana" w:hAnsi="Verdana"/>
          <w:sz w:val="16"/>
          <w:szCs w:val="16"/>
          <w:lang w:val="es-CR"/>
        </w:rPr>
        <w:t xml:space="preserve"> </w:t>
      </w:r>
      <w:r w:rsidRPr="00D379DE">
        <w:rPr>
          <w:rFonts w:ascii="Verdana" w:hAnsi="Verdana"/>
          <w:sz w:val="16"/>
          <w:szCs w:val="16"/>
          <w:lang w:val="es-CR"/>
        </w:rPr>
        <w:tab/>
      </w:r>
      <w:r w:rsidRPr="00D379DE">
        <w:rPr>
          <w:rFonts w:ascii="Verdana" w:hAnsi="Verdana"/>
          <w:i/>
          <w:sz w:val="16"/>
          <w:szCs w:val="16"/>
          <w:lang w:val="es-CR"/>
        </w:rPr>
        <w:t xml:space="preserve">Cfr. Caso Gutiérrez Hernández y otros Vs. Guatemala. Excepciones Preliminares, Fondo, Reparaciones y Costas. </w:t>
      </w:r>
      <w:r w:rsidRPr="00D379DE">
        <w:rPr>
          <w:rFonts w:ascii="Verdana" w:hAnsi="Verdana"/>
          <w:sz w:val="16"/>
          <w:szCs w:val="16"/>
          <w:lang w:val="es-CR"/>
        </w:rPr>
        <w:t xml:space="preserve">Sentencia de 24 de agosto de 2017. Serie C No. 339. El texto íntegro de la Sentencia se encuentra disponible en: </w:t>
      </w:r>
      <w:hyperlink r:id="rId1" w:history="1">
        <w:r w:rsidRPr="00D379DE">
          <w:rPr>
            <w:rStyle w:val="Hyperlink"/>
            <w:rFonts w:ascii="Verdana" w:hAnsi="Verdana"/>
            <w:sz w:val="16"/>
            <w:szCs w:val="16"/>
            <w:lang w:val="es-CR"/>
          </w:rPr>
          <w:t>http://www.corteidh.or.cr/docs/casos/articulos/seriec_339_esp.pdf</w:t>
        </w:r>
      </w:hyperlink>
      <w:r w:rsidRPr="00D379DE">
        <w:rPr>
          <w:rFonts w:ascii="Verdana" w:hAnsi="Verdana"/>
          <w:sz w:val="16"/>
          <w:szCs w:val="16"/>
          <w:lang w:val="es-CR"/>
        </w:rPr>
        <w:t>. La Sentencia fue notificada al Estado el 25 de septiembre de 2017.</w:t>
      </w:r>
    </w:p>
  </w:footnote>
  <w:footnote w:id="3">
    <w:p w14:paraId="3B5757E3" w14:textId="01A72727" w:rsidR="00F351FF" w:rsidRPr="005303AF" w:rsidRDefault="00F351FF" w:rsidP="005303AF">
      <w:pPr>
        <w:pStyle w:val="FootnoteText"/>
        <w:jc w:val="both"/>
        <w:rPr>
          <w:rFonts w:ascii="Verdana" w:hAnsi="Verdana"/>
          <w:sz w:val="16"/>
          <w:szCs w:val="16"/>
          <w:lang w:val="es-CR"/>
        </w:rPr>
      </w:pPr>
      <w:r w:rsidRPr="005303AF">
        <w:rPr>
          <w:rStyle w:val="FootnoteReference"/>
          <w:rFonts w:ascii="Verdana" w:hAnsi="Verdana"/>
          <w:sz w:val="16"/>
          <w:szCs w:val="16"/>
        </w:rPr>
        <w:footnoteRef/>
      </w:r>
      <w:r w:rsidRPr="005303AF">
        <w:rPr>
          <w:rFonts w:ascii="Verdana" w:hAnsi="Verdana"/>
          <w:sz w:val="16"/>
          <w:szCs w:val="16"/>
          <w:lang w:val="es-CR"/>
        </w:rPr>
        <w:t xml:space="preserve"> </w:t>
      </w:r>
      <w:r>
        <w:rPr>
          <w:rFonts w:ascii="Verdana" w:hAnsi="Verdana"/>
          <w:sz w:val="16"/>
          <w:szCs w:val="16"/>
          <w:lang w:val="es-CR"/>
        </w:rPr>
        <w:tab/>
        <w:t xml:space="preserve">Los familiares de Mayra Ángelina Gutiérrez Hernández son: </w:t>
      </w:r>
      <w:r w:rsidR="002758D4">
        <w:rPr>
          <w:rFonts w:ascii="Verdana" w:hAnsi="Verdana"/>
          <w:sz w:val="16"/>
          <w:szCs w:val="16"/>
          <w:lang w:val="es-CR"/>
        </w:rPr>
        <w:t xml:space="preserve">su hija </w:t>
      </w:r>
      <w:r w:rsidRPr="005303AF">
        <w:rPr>
          <w:rFonts w:ascii="Verdana" w:hAnsi="Verdana"/>
          <w:sz w:val="16"/>
          <w:szCs w:val="16"/>
          <w:lang w:val="es-CR"/>
        </w:rPr>
        <w:t xml:space="preserve">Ángela María del Carmen Argüello Gutiérrez, </w:t>
      </w:r>
      <w:r w:rsidR="002758D4">
        <w:rPr>
          <w:rFonts w:ascii="Verdana" w:hAnsi="Verdana"/>
          <w:sz w:val="16"/>
          <w:szCs w:val="16"/>
          <w:lang w:val="es-CR"/>
        </w:rPr>
        <w:t xml:space="preserve">y sus hermanos </w:t>
      </w:r>
      <w:r w:rsidRPr="005303AF">
        <w:rPr>
          <w:rFonts w:ascii="Verdana" w:hAnsi="Verdana"/>
          <w:sz w:val="16"/>
          <w:szCs w:val="16"/>
          <w:lang w:val="es-CR"/>
        </w:rPr>
        <w:t>Nilda y Armando Gutiérrez</w:t>
      </w:r>
      <w:r w:rsidR="005F29FB">
        <w:rPr>
          <w:rFonts w:ascii="Verdana" w:hAnsi="Verdana"/>
          <w:sz w:val="16"/>
          <w:szCs w:val="16"/>
          <w:lang w:val="es-CR"/>
        </w:rPr>
        <w:t xml:space="preserve"> Hernández</w:t>
      </w:r>
      <w:r w:rsidRPr="005303AF">
        <w:rPr>
          <w:rFonts w:ascii="Verdana" w:hAnsi="Verdana"/>
          <w:sz w:val="16"/>
          <w:szCs w:val="16"/>
          <w:lang w:val="es-CR"/>
        </w:rPr>
        <w:t>.</w:t>
      </w:r>
    </w:p>
  </w:footnote>
  <w:footnote w:id="4">
    <w:p w14:paraId="7B93421C" w14:textId="34DE796C" w:rsidR="0023362F" w:rsidRPr="0023362F" w:rsidRDefault="0023362F" w:rsidP="0023362F">
      <w:pPr>
        <w:pStyle w:val="FootnoteText"/>
        <w:jc w:val="both"/>
        <w:rPr>
          <w:rFonts w:ascii="Verdana" w:hAnsi="Verdana"/>
          <w:sz w:val="16"/>
          <w:szCs w:val="16"/>
          <w:lang w:val="es-CR"/>
        </w:rPr>
      </w:pPr>
      <w:r w:rsidRPr="0023362F">
        <w:rPr>
          <w:rStyle w:val="FootnoteReference"/>
          <w:rFonts w:ascii="Verdana" w:hAnsi="Verdana"/>
          <w:sz w:val="16"/>
          <w:szCs w:val="16"/>
        </w:rPr>
        <w:footnoteRef/>
      </w:r>
      <w:r w:rsidRPr="0023362F">
        <w:rPr>
          <w:rFonts w:ascii="Verdana" w:hAnsi="Verdana"/>
          <w:sz w:val="16"/>
          <w:szCs w:val="16"/>
          <w:lang w:val="es-CR"/>
        </w:rPr>
        <w:t xml:space="preserve"> </w:t>
      </w:r>
      <w:r w:rsidRPr="0023362F">
        <w:rPr>
          <w:rFonts w:ascii="Verdana" w:hAnsi="Verdana"/>
          <w:sz w:val="16"/>
          <w:szCs w:val="16"/>
          <w:lang w:val="es-CR"/>
        </w:rPr>
        <w:tab/>
      </w:r>
      <w:r w:rsidRPr="0023362F">
        <w:rPr>
          <w:rFonts w:ascii="Verdana" w:hAnsi="Verdana"/>
          <w:i/>
          <w:sz w:val="16"/>
          <w:szCs w:val="16"/>
          <w:lang w:val="es-CR"/>
        </w:rPr>
        <w:t>Cfr. Caso Gutiérrez Hernández y otros Vs. Guatemala. Interpretación de la Sentencia de Excepciones Preliminares, Fondo, Reparaciones y Costas.</w:t>
      </w:r>
      <w:r w:rsidRPr="0023362F">
        <w:rPr>
          <w:rFonts w:ascii="Verdana" w:hAnsi="Verdana"/>
          <w:sz w:val="16"/>
          <w:szCs w:val="16"/>
          <w:lang w:val="es-CR"/>
        </w:rPr>
        <w:t xml:space="preserve"> Sentencia de 22 de agosto de 2018. Serie C No. 357</w:t>
      </w:r>
      <w:r>
        <w:rPr>
          <w:rFonts w:ascii="Verdana" w:hAnsi="Verdana"/>
          <w:sz w:val="16"/>
          <w:szCs w:val="16"/>
          <w:lang w:val="es-CR"/>
        </w:rPr>
        <w:t xml:space="preserve">. Disponible en: </w:t>
      </w:r>
      <w:hyperlink r:id="rId2" w:history="1">
        <w:r w:rsidRPr="006C250F">
          <w:rPr>
            <w:rStyle w:val="Hyperlink"/>
            <w:rFonts w:ascii="Verdana" w:hAnsi="Verdana"/>
            <w:sz w:val="16"/>
            <w:szCs w:val="16"/>
            <w:lang w:val="es-CR"/>
          </w:rPr>
          <w:t>http://www.corteidh.or.cr/docs/casos/articulos/seriec_357_esp.pdf</w:t>
        </w:r>
      </w:hyperlink>
      <w:r>
        <w:rPr>
          <w:rFonts w:ascii="Verdana" w:hAnsi="Verdana"/>
          <w:sz w:val="16"/>
          <w:szCs w:val="16"/>
          <w:lang w:val="es-CR"/>
        </w:rPr>
        <w:t xml:space="preserve"> </w:t>
      </w:r>
    </w:p>
  </w:footnote>
  <w:footnote w:id="5">
    <w:p w14:paraId="20D36021" w14:textId="77777777" w:rsidR="00F351FF" w:rsidRPr="00FC3B42" w:rsidRDefault="00F351FF" w:rsidP="00552D6F">
      <w:pPr>
        <w:pStyle w:val="FootnoteText"/>
        <w:jc w:val="both"/>
        <w:rPr>
          <w:lang w:val="es-ES_tradnl"/>
        </w:rPr>
      </w:pPr>
      <w:r>
        <w:rPr>
          <w:rStyle w:val="FootnoteReference"/>
        </w:rPr>
        <w:footnoteRef/>
      </w:r>
      <w:r w:rsidRPr="00FC3B42">
        <w:rPr>
          <w:lang w:val="es-CR"/>
        </w:rPr>
        <w:t xml:space="preserve"> </w:t>
      </w:r>
      <w:r>
        <w:rPr>
          <w:lang w:val="es-CR"/>
        </w:rPr>
        <w:tab/>
      </w:r>
      <w:r>
        <w:rPr>
          <w:rFonts w:ascii="Verdana" w:hAnsi="Verdana"/>
          <w:sz w:val="16"/>
          <w:szCs w:val="16"/>
          <w:lang w:val="es-CR"/>
        </w:rPr>
        <w:t>El Grupo Apoyo Mutuo representa a las víctimas en la presente etapa de supervisión de cumplimiento de Sentencia.</w:t>
      </w:r>
    </w:p>
  </w:footnote>
  <w:footnote w:id="6">
    <w:p w14:paraId="681BA276" w14:textId="77777777" w:rsidR="00F351FF" w:rsidRPr="006A700C" w:rsidRDefault="00F351FF"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7">
    <w:p w14:paraId="073465DB" w14:textId="5772FEF1" w:rsidR="00F351FF" w:rsidRPr="00226C10" w:rsidRDefault="00F351FF" w:rsidP="002D241B">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Cinco Pensionistas Vs. Perú.</w:t>
      </w:r>
      <w:r>
        <w:rPr>
          <w:rFonts w:ascii="Verdana" w:hAnsi="Verdana"/>
          <w:i/>
          <w:sz w:val="16"/>
          <w:szCs w:val="16"/>
          <w:lang w:val="es-CR"/>
        </w:rPr>
        <w:t xml:space="preserve"> Supervisión de Cumplimiento de Sentencia.</w:t>
      </w:r>
      <w:r w:rsidRPr="00226C10">
        <w:rPr>
          <w:rFonts w:ascii="Verdana" w:hAnsi="Verdana"/>
          <w:sz w:val="16"/>
          <w:szCs w:val="16"/>
          <w:lang w:val="es-CR"/>
        </w:rPr>
        <w:t xml:space="preserve"> Resolución de la Corte Interamericana de Derechos Humanos de 17 de noviembre de 2004, Considerando 5, y </w:t>
      </w:r>
      <w:r w:rsidRPr="0053546C">
        <w:rPr>
          <w:rFonts w:ascii="Verdana" w:hAnsi="Verdana"/>
          <w:i/>
          <w:sz w:val="16"/>
          <w:szCs w:val="16"/>
          <w:lang w:val="es-CR"/>
        </w:rPr>
        <w:t>Caso Masacre</w:t>
      </w:r>
      <w:r>
        <w:rPr>
          <w:rFonts w:ascii="Verdana" w:hAnsi="Verdana"/>
          <w:i/>
          <w:sz w:val="16"/>
          <w:szCs w:val="16"/>
          <w:lang w:val="es-CR"/>
        </w:rPr>
        <w:t>s</w:t>
      </w:r>
      <w:r w:rsidRPr="0053546C">
        <w:rPr>
          <w:rFonts w:ascii="Verdana" w:hAnsi="Verdana"/>
          <w:i/>
          <w:sz w:val="16"/>
          <w:szCs w:val="16"/>
          <w:lang w:val="es-CR"/>
        </w:rPr>
        <w:t xml:space="preserve"> de </w:t>
      </w:r>
      <w:r w:rsidR="00B80EC8">
        <w:rPr>
          <w:rFonts w:ascii="Verdana" w:hAnsi="Verdana"/>
          <w:i/>
          <w:sz w:val="16"/>
          <w:szCs w:val="16"/>
          <w:lang w:val="es-CR"/>
        </w:rPr>
        <w:t>El Mozote y lugares aledaños</w:t>
      </w:r>
      <w:r w:rsidRPr="0053546C">
        <w:rPr>
          <w:rFonts w:ascii="Verdana" w:hAnsi="Verdana"/>
          <w:i/>
          <w:sz w:val="16"/>
          <w:szCs w:val="16"/>
          <w:lang w:val="es-CR"/>
        </w:rPr>
        <w:t xml:space="preserve"> Vs.</w:t>
      </w:r>
      <w:r w:rsidR="00B80EC8">
        <w:rPr>
          <w:rFonts w:ascii="Verdana" w:hAnsi="Verdana"/>
          <w:i/>
          <w:sz w:val="16"/>
          <w:szCs w:val="16"/>
          <w:lang w:val="es-CR"/>
        </w:rPr>
        <w:t xml:space="preserve"> El Salvador</w:t>
      </w:r>
      <w:r w:rsidRPr="0053546C">
        <w:rPr>
          <w:rFonts w:ascii="Verdana" w:hAnsi="Verdana"/>
          <w:i/>
          <w:sz w:val="16"/>
          <w:szCs w:val="16"/>
          <w:lang w:val="es-CR"/>
        </w:rPr>
        <w:t>. Supervisión de Cumplimiento de Sentencia.</w:t>
      </w:r>
      <w:r w:rsidRPr="00226C10">
        <w:rPr>
          <w:rFonts w:ascii="Verdana" w:hAnsi="Verdana"/>
          <w:sz w:val="16"/>
          <w:szCs w:val="16"/>
          <w:lang w:val="es-CR"/>
        </w:rPr>
        <w:t xml:space="preserve"> Resolución de la Corte Interamericana de Derechos Humanos </w:t>
      </w:r>
      <w:r w:rsidR="00B80EC8">
        <w:rPr>
          <w:rFonts w:ascii="Verdana" w:hAnsi="Verdana"/>
          <w:sz w:val="16"/>
          <w:szCs w:val="16"/>
          <w:lang w:val="es-CR"/>
        </w:rPr>
        <w:t>30</w:t>
      </w:r>
      <w:r w:rsidRPr="00226C10">
        <w:rPr>
          <w:rFonts w:ascii="Verdana" w:hAnsi="Verdana"/>
          <w:sz w:val="16"/>
          <w:szCs w:val="16"/>
          <w:lang w:val="es-CR"/>
        </w:rPr>
        <w:t xml:space="preserve"> de </w:t>
      </w:r>
      <w:r>
        <w:rPr>
          <w:rFonts w:ascii="Verdana" w:hAnsi="Verdana"/>
          <w:sz w:val="16"/>
          <w:szCs w:val="16"/>
          <w:lang w:val="es-CR"/>
        </w:rPr>
        <w:t>ma</w:t>
      </w:r>
      <w:r w:rsidR="00B80EC8">
        <w:rPr>
          <w:rFonts w:ascii="Verdana" w:hAnsi="Verdana"/>
          <w:sz w:val="16"/>
          <w:szCs w:val="16"/>
          <w:lang w:val="es-CR"/>
        </w:rPr>
        <w:t>y</w:t>
      </w:r>
      <w:r>
        <w:rPr>
          <w:rFonts w:ascii="Verdana" w:hAnsi="Verdana"/>
          <w:sz w:val="16"/>
          <w:szCs w:val="16"/>
          <w:lang w:val="es-CR"/>
        </w:rPr>
        <w:t>o</w:t>
      </w:r>
      <w:r w:rsidRPr="00226C10">
        <w:rPr>
          <w:rFonts w:ascii="Verdana" w:hAnsi="Verdana"/>
          <w:sz w:val="16"/>
          <w:szCs w:val="16"/>
          <w:lang w:val="es-CR"/>
        </w:rPr>
        <w:t xml:space="preserve"> de 201</w:t>
      </w:r>
      <w:r>
        <w:rPr>
          <w:rFonts w:ascii="Verdana" w:hAnsi="Verdana"/>
          <w:sz w:val="16"/>
          <w:szCs w:val="16"/>
          <w:lang w:val="es-CR"/>
        </w:rPr>
        <w:t>8</w:t>
      </w:r>
      <w:r w:rsidRPr="00226C10">
        <w:rPr>
          <w:rFonts w:ascii="Verdana" w:hAnsi="Verdana"/>
          <w:sz w:val="16"/>
          <w:szCs w:val="16"/>
          <w:lang w:val="es-CR"/>
        </w:rPr>
        <w:t>, Considerando 2.</w:t>
      </w:r>
    </w:p>
  </w:footnote>
  <w:footnote w:id="8">
    <w:p w14:paraId="00344600" w14:textId="56D07578" w:rsidR="00F351FF" w:rsidRPr="00226C10" w:rsidRDefault="00F351FF" w:rsidP="002D241B">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Ivcher Bronstein Vs. Perú. Competencia.</w:t>
      </w:r>
      <w:r w:rsidRPr="00226C10">
        <w:rPr>
          <w:rFonts w:ascii="Verdana" w:hAnsi="Verdana"/>
          <w:sz w:val="16"/>
          <w:szCs w:val="16"/>
          <w:lang w:val="es-CR"/>
        </w:rPr>
        <w:t xml:space="preserve"> Sentencia de la Corte Interamericana de Derechos Humanos de 24 de septiembre de 1999. Serie C No. 54, párr. 37, y </w:t>
      </w:r>
      <w:r w:rsidRPr="0053546C">
        <w:rPr>
          <w:rFonts w:ascii="Verdana" w:hAnsi="Verdana"/>
          <w:i/>
          <w:sz w:val="16"/>
          <w:szCs w:val="16"/>
          <w:lang w:val="es-CR"/>
        </w:rPr>
        <w:t>Caso Masacre</w:t>
      </w:r>
      <w:r>
        <w:rPr>
          <w:rFonts w:ascii="Verdana" w:hAnsi="Verdana"/>
          <w:i/>
          <w:sz w:val="16"/>
          <w:szCs w:val="16"/>
          <w:lang w:val="es-CR"/>
        </w:rPr>
        <w:t>s</w:t>
      </w:r>
      <w:r w:rsidRPr="0053546C">
        <w:rPr>
          <w:rFonts w:ascii="Verdana" w:hAnsi="Verdana"/>
          <w:i/>
          <w:sz w:val="16"/>
          <w:szCs w:val="16"/>
          <w:lang w:val="es-CR"/>
        </w:rPr>
        <w:t xml:space="preserve"> de </w:t>
      </w:r>
      <w:r w:rsidR="00B80EC8">
        <w:rPr>
          <w:rFonts w:ascii="Verdana" w:hAnsi="Verdana"/>
          <w:i/>
          <w:sz w:val="16"/>
          <w:szCs w:val="16"/>
          <w:lang w:val="es-CR"/>
        </w:rPr>
        <w:t>El Mozote y lugares aledaños</w:t>
      </w:r>
      <w:r w:rsidRPr="0053546C">
        <w:rPr>
          <w:rFonts w:ascii="Verdana" w:hAnsi="Verdana"/>
          <w:i/>
          <w:sz w:val="16"/>
          <w:szCs w:val="16"/>
          <w:lang w:val="es-CR"/>
        </w:rPr>
        <w:t xml:space="preserve"> Vs. </w:t>
      </w:r>
      <w:r w:rsidR="00B80EC8">
        <w:rPr>
          <w:rFonts w:ascii="Verdana" w:hAnsi="Verdana"/>
          <w:i/>
          <w:sz w:val="16"/>
          <w:szCs w:val="16"/>
          <w:lang w:val="es-CR"/>
        </w:rPr>
        <w:t>El Salvador</w:t>
      </w:r>
      <w:r w:rsidR="00C812DE">
        <w:rPr>
          <w:rFonts w:ascii="Verdana" w:hAnsi="Verdana"/>
          <w:i/>
          <w:sz w:val="16"/>
          <w:szCs w:val="16"/>
          <w:lang w:val="es-CR"/>
        </w:rPr>
        <w:t xml:space="preserve">, supra </w:t>
      </w:r>
      <w:r w:rsidR="00C812DE" w:rsidRPr="00C812DE">
        <w:rPr>
          <w:rFonts w:ascii="Verdana" w:hAnsi="Verdana"/>
          <w:sz w:val="16"/>
          <w:szCs w:val="16"/>
          <w:lang w:val="es-CR"/>
        </w:rPr>
        <w:t>nota 6</w:t>
      </w:r>
      <w:r w:rsidRPr="00C812DE">
        <w:rPr>
          <w:rFonts w:ascii="Verdana" w:hAnsi="Verdana"/>
          <w:sz w:val="16"/>
          <w:szCs w:val="16"/>
          <w:lang w:val="es-CR"/>
        </w:rPr>
        <w:t xml:space="preserve">, </w:t>
      </w:r>
      <w:r w:rsidRPr="00226C10">
        <w:rPr>
          <w:rFonts w:ascii="Verdana" w:hAnsi="Verdana"/>
          <w:sz w:val="16"/>
          <w:szCs w:val="16"/>
          <w:lang w:val="es-CR"/>
        </w:rPr>
        <w:t>Considerando 2.</w:t>
      </w:r>
    </w:p>
  </w:footnote>
  <w:footnote w:id="9">
    <w:p w14:paraId="52C66237" w14:textId="7B1076F6" w:rsidR="003F5F29" w:rsidRPr="003F5F29" w:rsidRDefault="003F5F29" w:rsidP="003F5F29">
      <w:pPr>
        <w:pStyle w:val="FootnoteText"/>
        <w:jc w:val="both"/>
        <w:rPr>
          <w:rFonts w:ascii="Verdana" w:hAnsi="Verdana"/>
          <w:sz w:val="16"/>
          <w:szCs w:val="16"/>
          <w:lang w:val="es-CR"/>
        </w:rPr>
      </w:pPr>
      <w:r w:rsidRPr="003F5F29">
        <w:rPr>
          <w:rStyle w:val="FootnoteReference"/>
          <w:rFonts w:ascii="Verdana" w:hAnsi="Verdana"/>
          <w:sz w:val="16"/>
          <w:szCs w:val="16"/>
        </w:rPr>
        <w:footnoteRef/>
      </w:r>
      <w:r w:rsidRPr="003F5F29">
        <w:rPr>
          <w:rFonts w:ascii="Verdana" w:hAnsi="Verdana"/>
          <w:sz w:val="16"/>
          <w:szCs w:val="16"/>
          <w:lang w:val="es-CR"/>
        </w:rPr>
        <w:t xml:space="preserve"> </w:t>
      </w:r>
      <w:r w:rsidRPr="003F5F29">
        <w:rPr>
          <w:rFonts w:ascii="Verdana" w:hAnsi="Verdana"/>
          <w:sz w:val="16"/>
          <w:szCs w:val="16"/>
          <w:lang w:val="es-CR"/>
        </w:rPr>
        <w:tab/>
        <w:t xml:space="preserve">Indicaron que “la publicación de la sentencia se ha hecho efectivo, en dos medios de comunicación </w:t>
      </w:r>
      <w:r w:rsidR="007061DF">
        <w:rPr>
          <w:rFonts w:ascii="Verdana" w:hAnsi="Verdana"/>
          <w:sz w:val="16"/>
          <w:szCs w:val="16"/>
          <w:lang w:val="es-CR"/>
        </w:rPr>
        <w:t>es</w:t>
      </w:r>
      <w:r w:rsidR="00D06593">
        <w:rPr>
          <w:rFonts w:ascii="Verdana" w:hAnsi="Verdana"/>
          <w:sz w:val="16"/>
          <w:szCs w:val="16"/>
          <w:lang w:val="es-CR"/>
        </w:rPr>
        <w:t>[c]</w:t>
      </w:r>
      <w:r w:rsidR="007061DF">
        <w:rPr>
          <w:rFonts w:ascii="Verdana" w:hAnsi="Verdana"/>
          <w:sz w:val="16"/>
          <w:szCs w:val="16"/>
          <w:lang w:val="es-CR"/>
        </w:rPr>
        <w:t xml:space="preserve">rito </w:t>
      </w:r>
      <w:r w:rsidRPr="003F5F29">
        <w:rPr>
          <w:rFonts w:ascii="Verdana" w:hAnsi="Verdana"/>
          <w:sz w:val="16"/>
          <w:szCs w:val="16"/>
          <w:lang w:val="es-CR"/>
        </w:rPr>
        <w:t>como lo es</w:t>
      </w:r>
      <w:r w:rsidR="00D06593">
        <w:rPr>
          <w:rFonts w:ascii="Verdana" w:hAnsi="Verdana"/>
          <w:sz w:val="16"/>
          <w:szCs w:val="16"/>
          <w:lang w:val="es-CR"/>
        </w:rPr>
        <w:t xml:space="preserve"> […]</w:t>
      </w:r>
      <w:r w:rsidRPr="003F5F29">
        <w:rPr>
          <w:rFonts w:ascii="Verdana" w:hAnsi="Verdana"/>
          <w:sz w:val="16"/>
          <w:szCs w:val="16"/>
          <w:lang w:val="es-CR"/>
        </w:rPr>
        <w:t xml:space="preserve"> El ‘Diario de Centro América’ y ‘Prensa Libre’” [sic].</w:t>
      </w:r>
    </w:p>
  </w:footnote>
  <w:footnote w:id="10">
    <w:p w14:paraId="4904B9A7" w14:textId="306F8BF3" w:rsidR="00F351FF" w:rsidRDefault="00F351FF" w:rsidP="00F2322B">
      <w:pPr>
        <w:pStyle w:val="FootnoteText"/>
        <w:jc w:val="both"/>
        <w:rPr>
          <w:rFonts w:ascii="Verdana" w:hAnsi="Verdana"/>
          <w:sz w:val="16"/>
          <w:szCs w:val="16"/>
          <w:lang w:val="es-CR"/>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 xml:space="preserve">Copia del diario oficial “Diario de Centro América” de 27 de noviembre de 2017, pág. 27 (Anexo 2 al informe </w:t>
      </w:r>
      <w:r w:rsidR="007061DF">
        <w:rPr>
          <w:rFonts w:ascii="Verdana" w:hAnsi="Verdana"/>
          <w:sz w:val="16"/>
          <w:szCs w:val="16"/>
          <w:lang w:val="es-CR"/>
        </w:rPr>
        <w:t xml:space="preserve">presentado por </w:t>
      </w:r>
      <w:r>
        <w:rPr>
          <w:rFonts w:ascii="Verdana" w:hAnsi="Verdana"/>
          <w:sz w:val="16"/>
          <w:szCs w:val="16"/>
          <w:lang w:val="es-CR"/>
        </w:rPr>
        <w:t xml:space="preserve">el Estado </w:t>
      </w:r>
      <w:r w:rsidR="007061DF">
        <w:rPr>
          <w:rFonts w:ascii="Verdana" w:hAnsi="Verdana"/>
          <w:sz w:val="16"/>
          <w:szCs w:val="16"/>
          <w:lang w:val="es-CR"/>
        </w:rPr>
        <w:t>el</w:t>
      </w:r>
      <w:r>
        <w:rPr>
          <w:rFonts w:ascii="Verdana" w:hAnsi="Verdana"/>
          <w:sz w:val="16"/>
          <w:szCs w:val="16"/>
          <w:lang w:val="es-CR"/>
        </w:rPr>
        <w:t xml:space="preserve"> 11 de enero de 2018). </w:t>
      </w:r>
      <w:r>
        <w:rPr>
          <w:rFonts w:ascii="Verdana" w:hAnsi="Verdana"/>
          <w:sz w:val="16"/>
          <w:szCs w:val="16"/>
          <w:lang w:val="es-CR"/>
        </w:rPr>
        <w:tab/>
      </w:r>
    </w:p>
  </w:footnote>
  <w:footnote w:id="11">
    <w:p w14:paraId="55531B5A" w14:textId="2859B7DB" w:rsidR="00F351FF" w:rsidRPr="002D2549" w:rsidRDefault="00F351FF" w:rsidP="002D2549">
      <w:pPr>
        <w:pStyle w:val="FootnoteText"/>
        <w:jc w:val="both"/>
        <w:rPr>
          <w:rFonts w:ascii="Verdana" w:hAnsi="Verdana"/>
          <w:sz w:val="16"/>
          <w:szCs w:val="16"/>
          <w:lang w:val="es-CR"/>
        </w:rPr>
      </w:pPr>
      <w:r w:rsidRPr="002D2549">
        <w:rPr>
          <w:rStyle w:val="FootnoteReference"/>
          <w:rFonts w:ascii="Verdana" w:hAnsi="Verdana"/>
          <w:sz w:val="16"/>
          <w:szCs w:val="16"/>
        </w:rPr>
        <w:footnoteRef/>
      </w:r>
      <w:r w:rsidRPr="002D2549">
        <w:rPr>
          <w:rFonts w:ascii="Verdana" w:hAnsi="Verdana"/>
          <w:sz w:val="16"/>
          <w:szCs w:val="16"/>
          <w:lang w:val="es-CR"/>
        </w:rPr>
        <w:t xml:space="preserve"> </w:t>
      </w:r>
      <w:r w:rsidRPr="002D2549">
        <w:rPr>
          <w:rFonts w:ascii="Verdana" w:hAnsi="Verdana"/>
          <w:sz w:val="16"/>
          <w:szCs w:val="16"/>
          <w:lang w:val="es-CR"/>
        </w:rPr>
        <w:tab/>
      </w:r>
      <w:r w:rsidRPr="002D2549">
        <w:rPr>
          <w:rFonts w:ascii="Verdana" w:hAnsi="Verdana"/>
          <w:i/>
          <w:sz w:val="16"/>
          <w:szCs w:val="16"/>
          <w:lang w:val="es-CR"/>
        </w:rPr>
        <w:t xml:space="preserve">Cfr. </w:t>
      </w:r>
      <w:r w:rsidRPr="002D2549">
        <w:rPr>
          <w:rFonts w:ascii="Verdana" w:hAnsi="Verdana"/>
          <w:sz w:val="16"/>
          <w:szCs w:val="16"/>
          <w:lang w:val="es-CR"/>
        </w:rPr>
        <w:t>Copia del periódico “Prensa Libre” de 27 de abril de 2018</w:t>
      </w:r>
      <w:r w:rsidR="007061DF">
        <w:rPr>
          <w:rFonts w:ascii="Verdana" w:hAnsi="Verdana"/>
          <w:sz w:val="16"/>
          <w:szCs w:val="16"/>
          <w:lang w:val="es-CR"/>
        </w:rPr>
        <w:t>, pág. 27</w:t>
      </w:r>
      <w:r w:rsidRPr="002D2549">
        <w:rPr>
          <w:rFonts w:ascii="Verdana" w:hAnsi="Verdana"/>
          <w:sz w:val="16"/>
          <w:szCs w:val="16"/>
          <w:lang w:val="es-CR"/>
        </w:rPr>
        <w:t xml:space="preserve"> (Anexo 1 al informe presentado por el Estado el 17 de mayo de 2018). </w:t>
      </w:r>
    </w:p>
  </w:footnote>
  <w:footnote w:id="12">
    <w:p w14:paraId="704D23CF" w14:textId="04F8F614" w:rsidR="00F351FF" w:rsidRPr="00F66865" w:rsidRDefault="00F351FF" w:rsidP="00F2322B">
      <w:pPr>
        <w:pStyle w:val="FootnoteText"/>
        <w:jc w:val="both"/>
        <w:rPr>
          <w:rFonts w:ascii="Verdana" w:hAnsi="Verdana"/>
          <w:sz w:val="16"/>
          <w:szCs w:val="16"/>
          <w:lang w:val="es-CR"/>
        </w:rPr>
      </w:pPr>
      <w:r w:rsidRPr="00F66865">
        <w:rPr>
          <w:rStyle w:val="FootnoteReference"/>
          <w:rFonts w:ascii="Verdana" w:hAnsi="Verdana"/>
          <w:sz w:val="16"/>
          <w:szCs w:val="16"/>
        </w:rPr>
        <w:footnoteRef/>
      </w:r>
      <w:r w:rsidRPr="00F66865">
        <w:rPr>
          <w:rFonts w:ascii="Verdana" w:hAnsi="Verdana"/>
          <w:sz w:val="16"/>
          <w:szCs w:val="16"/>
          <w:lang w:val="es-CR"/>
        </w:rPr>
        <w:t xml:space="preserve"> </w:t>
      </w:r>
      <w:r w:rsidRPr="00F66865">
        <w:rPr>
          <w:rFonts w:ascii="Verdana" w:hAnsi="Verdana"/>
          <w:sz w:val="16"/>
          <w:szCs w:val="16"/>
          <w:lang w:val="es-CR"/>
        </w:rPr>
        <w:tab/>
      </w:r>
      <w:r w:rsidRPr="00F66865">
        <w:rPr>
          <w:rFonts w:ascii="Verdana" w:hAnsi="Verdana"/>
          <w:i/>
          <w:sz w:val="16"/>
          <w:szCs w:val="16"/>
          <w:lang w:val="es-CR"/>
        </w:rPr>
        <w:t xml:space="preserve">Cfr. </w:t>
      </w:r>
      <w:r w:rsidRPr="00F66865">
        <w:rPr>
          <w:rFonts w:ascii="Verdana" w:hAnsi="Verdana"/>
          <w:sz w:val="16"/>
          <w:szCs w:val="16"/>
          <w:lang w:val="es-CR"/>
        </w:rPr>
        <w:t xml:space="preserve">Página Web de la Comisión Presidencial Coordinadora de la Política del Ejecutivo en Materia de Derechos Humanos (enlace al documento indicado por el Estado en su comunicación de 11 de enero de 2018 disponible en: </w:t>
      </w:r>
      <w:hyperlink r:id="rId3" w:history="1">
        <w:r w:rsidRPr="00F66865">
          <w:rPr>
            <w:rStyle w:val="Hyperlink"/>
            <w:rFonts w:ascii="Verdana" w:hAnsi="Verdana"/>
            <w:sz w:val="16"/>
            <w:szCs w:val="16"/>
            <w:lang w:val="es-CR"/>
          </w:rPr>
          <w:t>http://copredeh.gob.gt/sentencia-gutierrez-hernandez-otros-vs-guatemala/</w:t>
        </w:r>
      </w:hyperlink>
      <w:r w:rsidRPr="00F66865">
        <w:rPr>
          <w:rFonts w:ascii="Verdana" w:hAnsi="Verdana"/>
          <w:sz w:val="16"/>
          <w:szCs w:val="16"/>
          <w:lang w:val="es-CR"/>
        </w:rPr>
        <w:t xml:space="preserve">, última consulta el </w:t>
      </w:r>
      <w:r>
        <w:rPr>
          <w:rFonts w:ascii="Verdana" w:hAnsi="Verdana"/>
          <w:sz w:val="16"/>
          <w:szCs w:val="16"/>
          <w:lang w:val="es-CR"/>
        </w:rPr>
        <w:t>2</w:t>
      </w:r>
      <w:r w:rsidR="007061DF">
        <w:rPr>
          <w:rFonts w:ascii="Verdana" w:hAnsi="Verdana"/>
          <w:sz w:val="16"/>
          <w:szCs w:val="16"/>
          <w:lang w:val="es-CR"/>
        </w:rPr>
        <w:t>6</w:t>
      </w:r>
      <w:r w:rsidRPr="00F66865">
        <w:rPr>
          <w:rFonts w:ascii="Verdana" w:hAnsi="Verdana"/>
          <w:sz w:val="16"/>
          <w:szCs w:val="16"/>
          <w:lang w:val="es-CR"/>
        </w:rPr>
        <w:t xml:space="preserve"> de </w:t>
      </w:r>
      <w:r w:rsidR="007061DF">
        <w:rPr>
          <w:rFonts w:ascii="Verdana" w:hAnsi="Verdana"/>
          <w:sz w:val="16"/>
          <w:szCs w:val="16"/>
          <w:lang w:val="es-CR"/>
        </w:rPr>
        <w:t>septiembre</w:t>
      </w:r>
      <w:r w:rsidR="007061DF" w:rsidRPr="00F66865">
        <w:rPr>
          <w:rFonts w:ascii="Verdana" w:hAnsi="Verdana"/>
          <w:sz w:val="16"/>
          <w:szCs w:val="16"/>
          <w:lang w:val="es-CR"/>
        </w:rPr>
        <w:t xml:space="preserve"> </w:t>
      </w:r>
      <w:r w:rsidRPr="00F66865">
        <w:rPr>
          <w:rFonts w:ascii="Verdana" w:hAnsi="Verdana"/>
          <w:sz w:val="16"/>
          <w:szCs w:val="16"/>
          <w:lang w:val="es-CR"/>
        </w:rPr>
        <w:t>de 2018).</w:t>
      </w:r>
    </w:p>
  </w:footnote>
  <w:footnote w:id="13">
    <w:p w14:paraId="5A63AD6A" w14:textId="77777777" w:rsidR="00F351FF" w:rsidRPr="008A1933" w:rsidRDefault="00F351FF" w:rsidP="002D2549">
      <w:pPr>
        <w:pStyle w:val="FootnoteText"/>
        <w:jc w:val="both"/>
        <w:rPr>
          <w:lang w:val="es-CR"/>
        </w:rPr>
      </w:pPr>
      <w:r w:rsidRPr="008A1933">
        <w:rPr>
          <w:rStyle w:val="FootnoteReference"/>
          <w:rFonts w:ascii="Verdana" w:hAnsi="Verdana"/>
          <w:sz w:val="16"/>
          <w:szCs w:val="16"/>
        </w:rPr>
        <w:footnoteRef/>
      </w:r>
      <w:r w:rsidRPr="00FF3035">
        <w:rPr>
          <w:rFonts w:ascii="Verdana" w:hAnsi="Verdana"/>
          <w:sz w:val="16"/>
          <w:szCs w:val="16"/>
          <w:lang w:val="pt-BR"/>
        </w:rPr>
        <w:t xml:space="preserve"> </w:t>
      </w:r>
      <w:r w:rsidRPr="00FF3035">
        <w:rPr>
          <w:rFonts w:ascii="Verdana" w:hAnsi="Verdana"/>
          <w:sz w:val="16"/>
          <w:szCs w:val="16"/>
          <w:lang w:val="pt-BR"/>
        </w:rPr>
        <w:tab/>
      </w:r>
      <w:r w:rsidRPr="00FF3035">
        <w:rPr>
          <w:rFonts w:ascii="Verdana" w:hAnsi="Verdana"/>
          <w:i/>
          <w:sz w:val="16"/>
          <w:szCs w:val="16"/>
          <w:lang w:val="pt-BR"/>
        </w:rPr>
        <w:t xml:space="preserve">Cfr. Caso Familia Pacheco Tineo Vs. </w:t>
      </w:r>
      <w:r w:rsidRPr="008A1933">
        <w:rPr>
          <w:rFonts w:ascii="Verdana" w:hAnsi="Verdana"/>
          <w:i/>
          <w:sz w:val="16"/>
          <w:szCs w:val="16"/>
          <w:lang w:val="es-CR"/>
        </w:rPr>
        <w:t>Bolivia. Supervisión de Cumplimiento de Sentencia.</w:t>
      </w:r>
      <w:r w:rsidRPr="008A1933">
        <w:rPr>
          <w:rFonts w:ascii="Verdana" w:hAnsi="Verdana"/>
          <w:sz w:val="16"/>
          <w:szCs w:val="16"/>
          <w:lang w:val="es-CR"/>
        </w:rPr>
        <w:t xml:space="preserve"> Resolución de la</w:t>
      </w:r>
      <w:r>
        <w:rPr>
          <w:rFonts w:ascii="Verdana" w:hAnsi="Verdana"/>
          <w:sz w:val="16"/>
          <w:szCs w:val="16"/>
          <w:lang w:val="es-CR"/>
        </w:rPr>
        <w:t xml:space="preserve"> </w:t>
      </w:r>
      <w:r w:rsidRPr="008A1933">
        <w:rPr>
          <w:rFonts w:ascii="Verdana" w:hAnsi="Verdana"/>
          <w:sz w:val="16"/>
          <w:szCs w:val="16"/>
          <w:lang w:val="es-CR"/>
        </w:rPr>
        <w:t xml:space="preserve">Corte Interamericana de Derechos Humanos de 17 de abril de 2015, Considerando 9, y </w:t>
      </w:r>
      <w:r w:rsidRPr="008A1933">
        <w:rPr>
          <w:rFonts w:ascii="Verdana" w:hAnsi="Verdana"/>
          <w:i/>
          <w:sz w:val="16"/>
          <w:szCs w:val="16"/>
          <w:lang w:val="es-CR"/>
        </w:rPr>
        <w:t xml:space="preserve">Caso </w:t>
      </w:r>
      <w:r>
        <w:rPr>
          <w:rFonts w:ascii="Verdana" w:hAnsi="Verdana"/>
          <w:i/>
          <w:sz w:val="16"/>
          <w:szCs w:val="16"/>
          <w:lang w:val="es-CR"/>
        </w:rPr>
        <w:t>Andrade Salmón</w:t>
      </w:r>
      <w:r w:rsidRPr="008A1933">
        <w:rPr>
          <w:rFonts w:ascii="Verdana" w:hAnsi="Verdana"/>
          <w:i/>
          <w:sz w:val="16"/>
          <w:szCs w:val="16"/>
          <w:lang w:val="es-CR"/>
        </w:rPr>
        <w:t xml:space="preserve"> Vs. Bolivia. Supervisión de Cumplimiento de Sentencia.</w:t>
      </w:r>
      <w:r w:rsidRPr="008A1933">
        <w:rPr>
          <w:rFonts w:ascii="Verdana" w:hAnsi="Verdana"/>
          <w:sz w:val="16"/>
          <w:szCs w:val="16"/>
          <w:lang w:val="es-CR"/>
        </w:rPr>
        <w:t xml:space="preserve"> Resolución de la Corte Interamericana de Derechos Humanos de </w:t>
      </w:r>
      <w:r>
        <w:rPr>
          <w:rFonts w:ascii="Verdana" w:hAnsi="Verdana"/>
          <w:sz w:val="16"/>
          <w:szCs w:val="16"/>
          <w:lang w:val="es-CR"/>
        </w:rPr>
        <w:t>5</w:t>
      </w:r>
      <w:r w:rsidRPr="008A1933">
        <w:rPr>
          <w:rFonts w:ascii="Verdana" w:hAnsi="Verdana"/>
          <w:sz w:val="16"/>
          <w:szCs w:val="16"/>
          <w:lang w:val="es-CR"/>
        </w:rPr>
        <w:t xml:space="preserve"> de </w:t>
      </w:r>
      <w:r>
        <w:rPr>
          <w:rFonts w:ascii="Verdana" w:hAnsi="Verdana"/>
          <w:sz w:val="16"/>
          <w:szCs w:val="16"/>
          <w:lang w:val="es-CR"/>
        </w:rPr>
        <w:t>febrero</w:t>
      </w:r>
      <w:r w:rsidRPr="008A1933">
        <w:rPr>
          <w:rFonts w:ascii="Verdana" w:hAnsi="Verdana"/>
          <w:sz w:val="16"/>
          <w:szCs w:val="16"/>
          <w:lang w:val="es-CR"/>
        </w:rPr>
        <w:t xml:space="preserve"> de 201</w:t>
      </w:r>
      <w:r>
        <w:rPr>
          <w:rFonts w:ascii="Verdana" w:hAnsi="Verdana"/>
          <w:sz w:val="16"/>
          <w:szCs w:val="16"/>
          <w:lang w:val="es-CR"/>
        </w:rPr>
        <w:t>8</w:t>
      </w:r>
      <w:r w:rsidRPr="008A1933">
        <w:rPr>
          <w:rFonts w:ascii="Verdana" w:hAnsi="Verdana"/>
          <w:sz w:val="16"/>
          <w:szCs w:val="16"/>
          <w:lang w:val="es-CR"/>
        </w:rPr>
        <w:t xml:space="preserve">, Considerando </w:t>
      </w:r>
      <w:r>
        <w:rPr>
          <w:rFonts w:ascii="Verdana" w:hAnsi="Verdana"/>
          <w:sz w:val="16"/>
          <w:szCs w:val="16"/>
          <w:lang w:val="es-CR"/>
        </w:rPr>
        <w:t>13</w:t>
      </w:r>
      <w:r w:rsidRPr="008A1933">
        <w:rPr>
          <w:rFonts w:ascii="Verdana" w:hAnsi="Verdana"/>
          <w:sz w:val="16"/>
          <w:szCs w:val="16"/>
          <w:lang w:val="es-CR"/>
        </w:rPr>
        <w:t xml:space="preserve">. </w:t>
      </w:r>
    </w:p>
  </w:footnote>
  <w:footnote w:id="14">
    <w:p w14:paraId="3D00A708" w14:textId="17FEA248" w:rsidR="00F351FF" w:rsidRPr="008123E1" w:rsidRDefault="00F351FF" w:rsidP="008123E1">
      <w:pPr>
        <w:pStyle w:val="FootnoteText"/>
        <w:jc w:val="both"/>
        <w:rPr>
          <w:rFonts w:ascii="Verdana" w:hAnsi="Verdana"/>
          <w:sz w:val="16"/>
          <w:szCs w:val="16"/>
          <w:lang w:val="es-CR"/>
        </w:rPr>
      </w:pPr>
      <w:r w:rsidRPr="008123E1">
        <w:rPr>
          <w:rStyle w:val="FootnoteReference"/>
          <w:rFonts w:ascii="Verdana" w:hAnsi="Verdana"/>
          <w:sz w:val="16"/>
          <w:szCs w:val="16"/>
        </w:rPr>
        <w:footnoteRef/>
      </w:r>
      <w:r w:rsidRPr="008123E1">
        <w:rPr>
          <w:rFonts w:ascii="Verdana" w:hAnsi="Verdana"/>
          <w:sz w:val="16"/>
          <w:szCs w:val="16"/>
          <w:lang w:val="es-CR"/>
        </w:rPr>
        <w:t xml:space="preserve"> </w:t>
      </w:r>
      <w:r w:rsidRPr="008123E1">
        <w:rPr>
          <w:rFonts w:ascii="Verdana" w:hAnsi="Verdana"/>
          <w:sz w:val="16"/>
          <w:szCs w:val="16"/>
          <w:lang w:val="es-CR"/>
        </w:rPr>
        <w:tab/>
        <w:t>La Corte indicó que el Estado “deb[ía] efectuar el pago de las indemnizaciones por concepto de daño inmaterial y el reintegro de costas y gastos establecidos en la […] Sentencia directamente a las personas indicadas en la misma, en un plazo de un año contado a partir de la notificación de la […] Sentencia […]. En caso de que los beneficiarios hayan fallecido o fallezcan antes de que le sea entregada la cantidad respectiva, esta se entregará directamente a sus derechohabientes, conforme al derecho interno aplicable”</w:t>
      </w:r>
      <w:r w:rsidR="00FB46C7">
        <w:rPr>
          <w:rFonts w:ascii="Verdana" w:hAnsi="Verdana"/>
          <w:sz w:val="16"/>
          <w:szCs w:val="16"/>
          <w:lang w:val="es-CR"/>
        </w:rPr>
        <w:t xml:space="preserve">. </w:t>
      </w:r>
      <w:r w:rsidRPr="008123E1">
        <w:rPr>
          <w:rFonts w:ascii="Verdana" w:hAnsi="Verdana"/>
          <w:i/>
          <w:sz w:val="16"/>
          <w:szCs w:val="16"/>
          <w:lang w:val="es-CR"/>
        </w:rPr>
        <w:t>Cfr. Caso Gutiérrez Hernández y otros Vs. Guatemala,</w:t>
      </w:r>
      <w:r w:rsidRPr="008123E1">
        <w:rPr>
          <w:rFonts w:ascii="Verdana" w:hAnsi="Verdana"/>
          <w:sz w:val="16"/>
          <w:szCs w:val="16"/>
          <w:lang w:val="es-CR"/>
        </w:rPr>
        <w:t xml:space="preserve"> </w:t>
      </w:r>
      <w:r w:rsidRPr="008123E1">
        <w:rPr>
          <w:rFonts w:ascii="Verdana" w:hAnsi="Verdana"/>
          <w:i/>
          <w:sz w:val="16"/>
          <w:szCs w:val="16"/>
          <w:lang w:val="es-CR"/>
        </w:rPr>
        <w:t xml:space="preserve">supra </w:t>
      </w:r>
      <w:r w:rsidR="00FB46C7">
        <w:rPr>
          <w:rFonts w:ascii="Verdana" w:hAnsi="Verdana"/>
          <w:sz w:val="16"/>
          <w:szCs w:val="16"/>
          <w:lang w:val="es-CR"/>
        </w:rPr>
        <w:t>nota 1, párrs. 227 y 228</w:t>
      </w:r>
      <w:r w:rsidRPr="008123E1">
        <w:rPr>
          <w:rFonts w:ascii="Verdana" w:hAnsi="Verdana"/>
          <w:sz w:val="16"/>
          <w:szCs w:val="16"/>
          <w:lang w:val="es-CR"/>
        </w:rPr>
        <w:t xml:space="preserve">. </w:t>
      </w:r>
    </w:p>
  </w:footnote>
  <w:footnote w:id="15">
    <w:p w14:paraId="5D14AA7B" w14:textId="7FB5B3E7" w:rsidR="00F351FF" w:rsidRPr="00F9508B" w:rsidRDefault="00F351FF" w:rsidP="00F9508B">
      <w:pPr>
        <w:pStyle w:val="FootnoteText"/>
        <w:jc w:val="both"/>
        <w:rPr>
          <w:rFonts w:ascii="Verdana" w:hAnsi="Verdana"/>
          <w:sz w:val="16"/>
          <w:szCs w:val="16"/>
          <w:lang w:val="es-CR"/>
        </w:rPr>
      </w:pPr>
      <w:r w:rsidRPr="00F9508B">
        <w:rPr>
          <w:rStyle w:val="FootnoteReference"/>
          <w:rFonts w:ascii="Verdana" w:hAnsi="Verdana"/>
          <w:sz w:val="16"/>
          <w:szCs w:val="16"/>
        </w:rPr>
        <w:footnoteRef/>
      </w:r>
      <w:r w:rsidRPr="00F9508B">
        <w:rPr>
          <w:rFonts w:ascii="Verdana" w:hAnsi="Verdana"/>
          <w:sz w:val="16"/>
          <w:szCs w:val="16"/>
          <w:lang w:val="es-CR"/>
        </w:rPr>
        <w:t xml:space="preserve"> </w:t>
      </w:r>
      <w:r w:rsidRPr="00F9508B">
        <w:rPr>
          <w:rFonts w:ascii="Verdana" w:hAnsi="Verdana"/>
          <w:sz w:val="16"/>
          <w:szCs w:val="16"/>
          <w:lang w:val="es-CR"/>
        </w:rPr>
        <w:tab/>
        <w:t xml:space="preserve">El Estado presentó </w:t>
      </w:r>
      <w:r>
        <w:rPr>
          <w:rFonts w:ascii="Verdana" w:hAnsi="Verdana"/>
          <w:sz w:val="16"/>
          <w:szCs w:val="16"/>
          <w:lang w:val="es-CR"/>
        </w:rPr>
        <w:t>tres</w:t>
      </w:r>
      <w:r w:rsidRPr="00F9508B">
        <w:rPr>
          <w:rFonts w:ascii="Verdana" w:hAnsi="Verdana"/>
          <w:sz w:val="16"/>
          <w:szCs w:val="16"/>
          <w:lang w:val="es-CR"/>
        </w:rPr>
        <w:t xml:space="preserve"> actas firmadas </w:t>
      </w:r>
      <w:r>
        <w:rPr>
          <w:rFonts w:ascii="Verdana" w:hAnsi="Verdana"/>
          <w:sz w:val="16"/>
          <w:szCs w:val="16"/>
          <w:lang w:val="es-CR"/>
        </w:rPr>
        <w:t>por</w:t>
      </w:r>
      <w:r w:rsidRPr="00F9508B">
        <w:rPr>
          <w:rFonts w:ascii="Verdana" w:hAnsi="Verdana"/>
          <w:sz w:val="16"/>
          <w:szCs w:val="16"/>
          <w:lang w:val="es-CR"/>
        </w:rPr>
        <w:t xml:space="preserve"> Jorge Luis Borrayo Reyes, </w:t>
      </w:r>
      <w:r>
        <w:rPr>
          <w:rFonts w:ascii="Verdana" w:hAnsi="Verdana"/>
          <w:sz w:val="16"/>
          <w:szCs w:val="16"/>
          <w:lang w:val="es-CR"/>
        </w:rPr>
        <w:t>P</w:t>
      </w:r>
      <w:r w:rsidRPr="00F9508B">
        <w:rPr>
          <w:rFonts w:ascii="Verdana" w:hAnsi="Verdana"/>
          <w:sz w:val="16"/>
          <w:szCs w:val="16"/>
          <w:lang w:val="es-CR"/>
        </w:rPr>
        <w:t>residente de COPREDEH, Felipe Sánchez González, Director Ejecutivo de COPREDEH</w:t>
      </w:r>
      <w:r w:rsidR="00226518">
        <w:rPr>
          <w:rFonts w:ascii="Verdana" w:hAnsi="Verdana"/>
          <w:sz w:val="16"/>
          <w:szCs w:val="16"/>
          <w:lang w:val="es-CR"/>
        </w:rPr>
        <w:t>, por un lado,</w:t>
      </w:r>
      <w:r w:rsidRPr="00F9508B">
        <w:rPr>
          <w:rFonts w:ascii="Verdana" w:hAnsi="Verdana"/>
          <w:sz w:val="16"/>
          <w:szCs w:val="16"/>
          <w:lang w:val="es-CR"/>
        </w:rPr>
        <w:t xml:space="preserve"> y Ángela María del Carmen Argüello Gutiérrez, Nilda Ileana Gutiérrez Hernández y Armando Eduardo Gutiérrez Hernández</w:t>
      </w:r>
      <w:r>
        <w:rPr>
          <w:rFonts w:ascii="Verdana" w:hAnsi="Verdana"/>
          <w:sz w:val="16"/>
          <w:szCs w:val="16"/>
          <w:lang w:val="es-CR"/>
        </w:rPr>
        <w:t>,</w:t>
      </w:r>
      <w:r w:rsidR="00226518">
        <w:rPr>
          <w:rFonts w:ascii="Verdana" w:hAnsi="Verdana"/>
          <w:sz w:val="16"/>
          <w:szCs w:val="16"/>
          <w:lang w:val="es-CR"/>
        </w:rPr>
        <w:t xml:space="preserve"> por el otro,</w:t>
      </w:r>
      <w:r>
        <w:rPr>
          <w:rFonts w:ascii="Verdana" w:hAnsi="Verdana"/>
          <w:sz w:val="16"/>
          <w:szCs w:val="16"/>
          <w:lang w:val="es-CR"/>
        </w:rPr>
        <w:t xml:space="preserve"> las cuales dan cuenta de que a las víctimas</w:t>
      </w:r>
      <w:r w:rsidRPr="00F9508B">
        <w:rPr>
          <w:rFonts w:ascii="Verdana" w:hAnsi="Verdana"/>
          <w:sz w:val="16"/>
          <w:szCs w:val="16"/>
          <w:lang w:val="es-CR"/>
        </w:rPr>
        <w:t xml:space="preserve"> se les </w:t>
      </w:r>
      <w:r>
        <w:rPr>
          <w:rFonts w:ascii="Verdana" w:hAnsi="Verdana"/>
          <w:sz w:val="16"/>
          <w:szCs w:val="16"/>
          <w:lang w:val="es-CR"/>
        </w:rPr>
        <w:t>depositó en sus respectivas cuentas bancarias del Banco de Desarrollo Rural el pago correspondiente (Anexo 4</w:t>
      </w:r>
      <w:r w:rsidRPr="00F9508B">
        <w:rPr>
          <w:rFonts w:ascii="Verdana" w:hAnsi="Verdana"/>
          <w:sz w:val="16"/>
          <w:szCs w:val="16"/>
          <w:lang w:val="es-CR"/>
        </w:rPr>
        <w:t xml:space="preserve"> al informe presentado por el Estado el 11 de enero de 2018).</w:t>
      </w:r>
    </w:p>
  </w:footnote>
  <w:footnote w:id="16">
    <w:p w14:paraId="50451CD3" w14:textId="0CC8F108" w:rsidR="00687977" w:rsidRPr="00D06593" w:rsidRDefault="00687977" w:rsidP="00D06593">
      <w:pPr>
        <w:pStyle w:val="FootnoteText"/>
        <w:jc w:val="both"/>
        <w:rPr>
          <w:rFonts w:ascii="Verdana" w:hAnsi="Verdana"/>
          <w:sz w:val="16"/>
          <w:szCs w:val="16"/>
          <w:lang w:val="es-CR"/>
        </w:rPr>
      </w:pPr>
      <w:r w:rsidRPr="00D06593">
        <w:rPr>
          <w:rStyle w:val="FootnoteReference"/>
          <w:rFonts w:ascii="Verdana" w:hAnsi="Verdana"/>
          <w:sz w:val="16"/>
          <w:szCs w:val="16"/>
        </w:rPr>
        <w:footnoteRef/>
      </w:r>
      <w:r w:rsidRPr="00D06593">
        <w:rPr>
          <w:rFonts w:ascii="Verdana" w:hAnsi="Verdana"/>
          <w:sz w:val="16"/>
          <w:szCs w:val="16"/>
          <w:lang w:val="es-CR"/>
        </w:rPr>
        <w:t xml:space="preserve"> </w:t>
      </w:r>
      <w:r w:rsidRPr="00D06593">
        <w:rPr>
          <w:rFonts w:ascii="Verdana" w:hAnsi="Verdana"/>
          <w:sz w:val="16"/>
          <w:szCs w:val="16"/>
          <w:lang w:val="es-CR"/>
        </w:rPr>
        <w:tab/>
        <w:t xml:space="preserve">No obstante ello, en su escrito de julio de 2018, </w:t>
      </w:r>
      <w:r w:rsidR="00D06593">
        <w:rPr>
          <w:rFonts w:ascii="Verdana" w:hAnsi="Verdana"/>
          <w:sz w:val="16"/>
          <w:szCs w:val="16"/>
          <w:lang w:val="es-CR"/>
        </w:rPr>
        <w:t>hicieron notar</w:t>
      </w:r>
      <w:r w:rsidRPr="00D06593">
        <w:rPr>
          <w:rFonts w:ascii="Verdana" w:hAnsi="Verdana"/>
          <w:sz w:val="16"/>
          <w:szCs w:val="16"/>
          <w:lang w:val="es-CR"/>
        </w:rPr>
        <w:t xml:space="preserve"> que no “se ha dado cumplimiento a la indemnización compensatoria a favor de Mayra Angelina Gutiérrez Hernández”.</w:t>
      </w:r>
    </w:p>
  </w:footnote>
  <w:footnote w:id="17">
    <w:p w14:paraId="7CDD22F2" w14:textId="77777777" w:rsidR="00F351FF" w:rsidRPr="00865B96" w:rsidRDefault="00F351FF" w:rsidP="00865B96">
      <w:pPr>
        <w:pStyle w:val="FootnoteText"/>
        <w:jc w:val="both"/>
        <w:rPr>
          <w:rFonts w:ascii="Verdana" w:hAnsi="Verdana"/>
          <w:sz w:val="16"/>
          <w:szCs w:val="16"/>
          <w:lang w:val="es-CR"/>
        </w:rPr>
      </w:pPr>
      <w:r w:rsidRPr="00865B96">
        <w:rPr>
          <w:rStyle w:val="FootnoteReference"/>
          <w:rFonts w:ascii="Verdana" w:hAnsi="Verdana"/>
          <w:sz w:val="16"/>
          <w:szCs w:val="16"/>
        </w:rPr>
        <w:footnoteRef/>
      </w:r>
      <w:r w:rsidRPr="00865B96">
        <w:rPr>
          <w:rFonts w:ascii="Verdana" w:hAnsi="Verdana"/>
          <w:sz w:val="16"/>
          <w:szCs w:val="16"/>
          <w:lang w:val="es-CR"/>
        </w:rPr>
        <w:t xml:space="preserve"> </w:t>
      </w:r>
      <w:r w:rsidRPr="00865B96">
        <w:rPr>
          <w:rFonts w:ascii="Verdana" w:hAnsi="Verdana"/>
          <w:sz w:val="16"/>
          <w:szCs w:val="16"/>
          <w:lang w:val="es-CR"/>
        </w:rPr>
        <w:tab/>
      </w:r>
      <w:r w:rsidRPr="00865B96">
        <w:rPr>
          <w:rFonts w:ascii="Verdana" w:hAnsi="Verdana"/>
          <w:i/>
          <w:sz w:val="16"/>
          <w:szCs w:val="16"/>
          <w:lang w:val="es-CR"/>
        </w:rPr>
        <w:t xml:space="preserve">Cfr. </w:t>
      </w:r>
      <w:r w:rsidRPr="00865B96">
        <w:rPr>
          <w:rFonts w:ascii="Verdana" w:hAnsi="Verdana"/>
          <w:sz w:val="16"/>
          <w:szCs w:val="16"/>
          <w:lang w:val="es-CR"/>
        </w:rPr>
        <w:t>Acta Notarial de 19 de diciembre de 2017 firmada por Jorge Luis Borrayo Reyes, presidente de COPREDEH, Felipe Sánchez González, Director Ejecutivo de COPREDEH y Mario Alcides Polanco Pérez, Presidente y Representante legal del Grupo Apoyo Mutuo (Anexo 5 al informe presentado por el Estado el 11 de enero de 2018).</w:t>
      </w:r>
    </w:p>
  </w:footnote>
  <w:footnote w:id="18">
    <w:p w14:paraId="7C05AAFD" w14:textId="17A76799" w:rsidR="00730C8D" w:rsidRPr="00730C8D" w:rsidRDefault="00730C8D">
      <w:pPr>
        <w:pStyle w:val="FootnoteText"/>
        <w:rPr>
          <w:rFonts w:ascii="Verdana" w:hAnsi="Verdana"/>
          <w:sz w:val="16"/>
          <w:szCs w:val="16"/>
          <w:lang w:val="es-CR"/>
        </w:rPr>
      </w:pPr>
      <w:r w:rsidRPr="00730C8D">
        <w:rPr>
          <w:rStyle w:val="FootnoteReference"/>
          <w:rFonts w:ascii="Verdana" w:hAnsi="Verdana"/>
          <w:sz w:val="16"/>
          <w:szCs w:val="16"/>
        </w:rPr>
        <w:footnoteRef/>
      </w:r>
      <w:r w:rsidRPr="00730C8D">
        <w:rPr>
          <w:rFonts w:ascii="Verdana" w:hAnsi="Verdana"/>
          <w:sz w:val="16"/>
          <w:szCs w:val="16"/>
          <w:lang w:val="es-CR"/>
        </w:rPr>
        <w:t xml:space="preserve"> </w:t>
      </w:r>
      <w:r w:rsidRPr="00730C8D">
        <w:rPr>
          <w:rFonts w:ascii="Verdana" w:hAnsi="Verdana"/>
          <w:sz w:val="16"/>
          <w:szCs w:val="16"/>
          <w:lang w:val="es-CR"/>
        </w:rPr>
        <w:tab/>
        <w:t>Al respecto, los representantes solicitaron que la indemnización compensatoria a favor de Mayra Angelina Gutiérrez Hernán</w:t>
      </w:r>
      <w:r>
        <w:rPr>
          <w:rFonts w:ascii="Verdana" w:hAnsi="Verdana"/>
          <w:sz w:val="16"/>
          <w:szCs w:val="16"/>
          <w:lang w:val="es-CR"/>
        </w:rPr>
        <w:t>d</w:t>
      </w:r>
      <w:r w:rsidRPr="00730C8D">
        <w:rPr>
          <w:rFonts w:ascii="Verdana" w:hAnsi="Verdana"/>
          <w:sz w:val="16"/>
          <w:szCs w:val="16"/>
          <w:lang w:val="es-CR"/>
        </w:rPr>
        <w:t>ez “se rija por el ordenamiento jurídico interno guatemalteco</w:t>
      </w:r>
      <w:r>
        <w:rPr>
          <w:rFonts w:ascii="Verdana" w:hAnsi="Verdana"/>
          <w:sz w:val="16"/>
          <w:szCs w:val="16"/>
          <w:lang w:val="es-CR"/>
        </w:rPr>
        <w:t xml:space="preserve">, a lo que para el efecto establece el Código Civil y el Código Procesal Civil </w:t>
      </w:r>
      <w:r w:rsidR="00002725">
        <w:rPr>
          <w:rFonts w:ascii="Verdana" w:hAnsi="Verdana"/>
          <w:sz w:val="16"/>
          <w:szCs w:val="16"/>
          <w:lang w:val="es-CR"/>
        </w:rPr>
        <w:t>[</w:t>
      </w:r>
      <w:r>
        <w:rPr>
          <w:rFonts w:ascii="Verdana" w:hAnsi="Verdana"/>
          <w:sz w:val="16"/>
          <w:szCs w:val="16"/>
          <w:lang w:val="es-CR"/>
        </w:rPr>
        <w:t>y</w:t>
      </w:r>
      <w:r w:rsidR="00002725">
        <w:rPr>
          <w:rFonts w:ascii="Verdana" w:hAnsi="Verdana"/>
          <w:sz w:val="16"/>
          <w:szCs w:val="16"/>
          <w:lang w:val="es-CR"/>
        </w:rPr>
        <w:t>]</w:t>
      </w:r>
      <w:r>
        <w:rPr>
          <w:rFonts w:ascii="Verdana" w:hAnsi="Verdana"/>
          <w:sz w:val="16"/>
          <w:szCs w:val="16"/>
          <w:lang w:val="es-CR"/>
        </w:rPr>
        <w:t xml:space="preserve"> Mercantil, sobre la Sucesión Hereditaria</w:t>
      </w:r>
      <w:r w:rsidRPr="00730C8D">
        <w:rPr>
          <w:rFonts w:ascii="Verdana" w:hAnsi="Verdana"/>
          <w:sz w:val="16"/>
          <w:szCs w:val="16"/>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7785"/>
      <w:docPartObj>
        <w:docPartGallery w:val="Page Numbers (Top of Page)"/>
        <w:docPartUnique/>
      </w:docPartObj>
    </w:sdtPr>
    <w:sdtEndPr>
      <w:rPr>
        <w:rFonts w:ascii="Verdana" w:hAnsi="Verdana"/>
        <w:noProof/>
        <w:sz w:val="20"/>
        <w:szCs w:val="20"/>
      </w:rPr>
    </w:sdtEndPr>
    <w:sdtContent>
      <w:p w14:paraId="78AFBA9B" w14:textId="6FF12BD8" w:rsidR="00226518" w:rsidRPr="00974563" w:rsidRDefault="00974563">
        <w:pPr>
          <w:pStyle w:val="Header"/>
          <w:jc w:val="center"/>
          <w:rPr>
            <w:rFonts w:ascii="Verdana" w:hAnsi="Verdana"/>
            <w:sz w:val="20"/>
            <w:szCs w:val="20"/>
          </w:rPr>
        </w:pPr>
        <w:r>
          <w:t>-</w:t>
        </w:r>
        <w:r w:rsidR="00226518" w:rsidRPr="00974563">
          <w:rPr>
            <w:rFonts w:ascii="Verdana" w:hAnsi="Verdana"/>
            <w:sz w:val="20"/>
            <w:szCs w:val="20"/>
          </w:rPr>
          <w:fldChar w:fldCharType="begin"/>
        </w:r>
        <w:r w:rsidR="00226518" w:rsidRPr="00974563">
          <w:rPr>
            <w:rFonts w:ascii="Verdana" w:hAnsi="Verdana"/>
            <w:sz w:val="20"/>
            <w:szCs w:val="20"/>
          </w:rPr>
          <w:instrText xml:space="preserve"> PAGE   \* MERGEFORMAT </w:instrText>
        </w:r>
        <w:r w:rsidR="00226518" w:rsidRPr="00974563">
          <w:rPr>
            <w:rFonts w:ascii="Verdana" w:hAnsi="Verdana"/>
            <w:sz w:val="20"/>
            <w:szCs w:val="20"/>
          </w:rPr>
          <w:fldChar w:fldCharType="separate"/>
        </w:r>
        <w:r w:rsidR="00451762">
          <w:rPr>
            <w:rFonts w:ascii="Verdana" w:hAnsi="Verdana"/>
            <w:noProof/>
            <w:sz w:val="20"/>
            <w:szCs w:val="20"/>
          </w:rPr>
          <w:t>2</w:t>
        </w:r>
        <w:r w:rsidR="00226518" w:rsidRPr="00974563">
          <w:rPr>
            <w:rFonts w:ascii="Verdana" w:hAnsi="Verdana"/>
            <w:noProof/>
            <w:sz w:val="20"/>
            <w:szCs w:val="20"/>
          </w:rPr>
          <w:fldChar w:fldCharType="end"/>
        </w:r>
        <w:r>
          <w:rPr>
            <w:rFonts w:ascii="Verdana" w:hAnsi="Verdana"/>
            <w:noProof/>
            <w:sz w:val="20"/>
            <w:szCs w:val="20"/>
          </w:rPr>
          <w:t>-</w:t>
        </w:r>
      </w:p>
    </w:sdtContent>
  </w:sdt>
  <w:p w14:paraId="05B78BE0" w14:textId="77777777" w:rsidR="00226518" w:rsidRDefault="0022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46B2D65"/>
    <w:multiLevelType w:val="hybridMultilevel"/>
    <w:tmpl w:val="75D02A0E"/>
    <w:lvl w:ilvl="0" w:tplc="140A000F">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EBD1220"/>
    <w:multiLevelType w:val="multilevel"/>
    <w:tmpl w:val="75D02A0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0B48C0"/>
    <w:multiLevelType w:val="hybridMultilevel"/>
    <w:tmpl w:val="D248D410"/>
    <w:lvl w:ilvl="0" w:tplc="CD56E2C8">
      <w:numFmt w:val="bullet"/>
      <w:lvlText w:val="-"/>
      <w:lvlJc w:val="left"/>
      <w:pPr>
        <w:ind w:left="720" w:hanging="360"/>
      </w:pPr>
      <w:rPr>
        <w:rFonts w:ascii="Verdana" w:eastAsiaTheme="minorHAnsi" w:hAnsi="Verdana"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6ED3B8B"/>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889790B"/>
    <w:multiLevelType w:val="hybridMultilevel"/>
    <w:tmpl w:val="3B06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E14B1"/>
    <w:multiLevelType w:val="hybridMultilevel"/>
    <w:tmpl w:val="B568CB9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7C30D17"/>
    <w:multiLevelType w:val="hybridMultilevel"/>
    <w:tmpl w:val="DF9C03D0"/>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291677D0"/>
    <w:multiLevelType w:val="hybridMultilevel"/>
    <w:tmpl w:val="C3982E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CBC6D7E"/>
    <w:multiLevelType w:val="hybridMultilevel"/>
    <w:tmpl w:val="7416E5C6"/>
    <w:lvl w:ilvl="0" w:tplc="7AF6A3C2">
      <w:start w:val="1"/>
      <w:numFmt w:val="decimal"/>
      <w:lvlText w:val="%1."/>
      <w:lvlJc w:val="left"/>
      <w:pPr>
        <w:ind w:left="720" w:hanging="360"/>
      </w:pPr>
      <w:rPr>
        <w:rFonts w:ascii="Verdana" w:eastAsiaTheme="minorHAnsi" w:hAnsi="Verdan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13B6759"/>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CF36D00"/>
    <w:multiLevelType w:val="hybridMultilevel"/>
    <w:tmpl w:val="0B8C4A26"/>
    <w:lvl w:ilvl="0" w:tplc="26D05E94">
      <w:start w:val="1"/>
      <w:numFmt w:val="decimal"/>
      <w:lvlText w:val="%1."/>
      <w:lvlJc w:val="left"/>
      <w:pPr>
        <w:ind w:left="720" w:hanging="360"/>
      </w:pPr>
      <w:rPr>
        <w:rFonts w:ascii="Verdana" w:eastAsiaTheme="minorHAnsi" w:hAnsi="Verdan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AEA00A3"/>
    <w:multiLevelType w:val="hybridMultilevel"/>
    <w:tmpl w:val="6678A652"/>
    <w:lvl w:ilvl="0" w:tplc="8A5C9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2977ED"/>
    <w:multiLevelType w:val="hybridMultilevel"/>
    <w:tmpl w:val="1042059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08C38E4"/>
    <w:multiLevelType w:val="hybridMultilevel"/>
    <w:tmpl w:val="D98A45B2"/>
    <w:lvl w:ilvl="0" w:tplc="140A000F">
      <w:start w:val="1"/>
      <w:numFmt w:val="decimal"/>
      <w:lvlText w:val="%1."/>
      <w:lvlJc w:val="left"/>
      <w:pPr>
        <w:ind w:left="720" w:hanging="360"/>
      </w:pPr>
    </w:lvl>
    <w:lvl w:ilvl="1" w:tplc="7F5EB592">
      <w:start w:val="1"/>
      <w:numFmt w:val="decimal"/>
      <w:lvlText w:val="%2."/>
      <w:lvlJc w:val="left"/>
      <w:pPr>
        <w:ind w:left="1440" w:hanging="360"/>
      </w:pPr>
      <w:rPr>
        <w:rFonts w:ascii="Verdana" w:eastAsiaTheme="minorHAnsi" w:hAnsi="Verdana" w:cstheme="minorBidi"/>
      </w:rPr>
    </w:lvl>
    <w:lvl w:ilvl="2" w:tplc="228A6F6A">
      <w:start w:val="1"/>
      <w:numFmt w:val="lowerLetter"/>
      <w:lvlText w:val="%3)"/>
      <w:lvlJc w:val="left"/>
      <w:pPr>
        <w:ind w:left="2340" w:hanging="36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nsid w:val="659E2883"/>
    <w:multiLevelType w:val="hybridMultilevel"/>
    <w:tmpl w:val="58F06782"/>
    <w:lvl w:ilvl="0" w:tplc="5CDCCD30">
      <w:start w:val="1"/>
      <w:numFmt w:val="upperLetter"/>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19"/>
  </w:num>
  <w:num w:numId="4">
    <w:abstractNumId w:val="16"/>
  </w:num>
  <w:num w:numId="5">
    <w:abstractNumId w:val="8"/>
  </w:num>
  <w:num w:numId="6">
    <w:abstractNumId w:val="0"/>
  </w:num>
  <w:num w:numId="7">
    <w:abstractNumId w:val="20"/>
  </w:num>
  <w:num w:numId="8">
    <w:abstractNumId w:val="10"/>
  </w:num>
  <w:num w:numId="9">
    <w:abstractNumId w:val="4"/>
  </w:num>
  <w:num w:numId="10">
    <w:abstractNumId w:val="12"/>
  </w:num>
  <w:num w:numId="11">
    <w:abstractNumId w:val="5"/>
  </w:num>
  <w:num w:numId="12">
    <w:abstractNumId w:val="6"/>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02725"/>
    <w:rsid w:val="0000584D"/>
    <w:rsid w:val="00005A12"/>
    <w:rsid w:val="00007617"/>
    <w:rsid w:val="000119AE"/>
    <w:rsid w:val="000164B0"/>
    <w:rsid w:val="00034B94"/>
    <w:rsid w:val="00035801"/>
    <w:rsid w:val="00035F60"/>
    <w:rsid w:val="0005071E"/>
    <w:rsid w:val="00055E2C"/>
    <w:rsid w:val="000626DE"/>
    <w:rsid w:val="000666F2"/>
    <w:rsid w:val="00072E53"/>
    <w:rsid w:val="00084F6E"/>
    <w:rsid w:val="000A497C"/>
    <w:rsid w:val="000A7D0F"/>
    <w:rsid w:val="000A7DB5"/>
    <w:rsid w:val="000C5C4E"/>
    <w:rsid w:val="000C7780"/>
    <w:rsid w:val="000D6292"/>
    <w:rsid w:val="000E1545"/>
    <w:rsid w:val="000E24F5"/>
    <w:rsid w:val="000F3146"/>
    <w:rsid w:val="00120F28"/>
    <w:rsid w:val="00131DEF"/>
    <w:rsid w:val="00135176"/>
    <w:rsid w:val="00136710"/>
    <w:rsid w:val="00145185"/>
    <w:rsid w:val="001458FF"/>
    <w:rsid w:val="00152FED"/>
    <w:rsid w:val="00160EBD"/>
    <w:rsid w:val="001617CA"/>
    <w:rsid w:val="00163A9C"/>
    <w:rsid w:val="00164AFB"/>
    <w:rsid w:val="001675CC"/>
    <w:rsid w:val="00171509"/>
    <w:rsid w:val="00175A08"/>
    <w:rsid w:val="00185A9C"/>
    <w:rsid w:val="001A24CD"/>
    <w:rsid w:val="001B19DD"/>
    <w:rsid w:val="001B377F"/>
    <w:rsid w:val="001C5D0E"/>
    <w:rsid w:val="001D6996"/>
    <w:rsid w:val="001D75A0"/>
    <w:rsid w:val="001E5411"/>
    <w:rsid w:val="001E58B8"/>
    <w:rsid w:val="001F28BA"/>
    <w:rsid w:val="00203233"/>
    <w:rsid w:val="002044DC"/>
    <w:rsid w:val="0022077F"/>
    <w:rsid w:val="00221273"/>
    <w:rsid w:val="00225FAE"/>
    <w:rsid w:val="00226518"/>
    <w:rsid w:val="00226819"/>
    <w:rsid w:val="00227136"/>
    <w:rsid w:val="0023362F"/>
    <w:rsid w:val="00244730"/>
    <w:rsid w:val="002468E1"/>
    <w:rsid w:val="00270DD6"/>
    <w:rsid w:val="002758D4"/>
    <w:rsid w:val="00284438"/>
    <w:rsid w:val="00290862"/>
    <w:rsid w:val="00290E64"/>
    <w:rsid w:val="002A5097"/>
    <w:rsid w:val="002B0D48"/>
    <w:rsid w:val="002C15E8"/>
    <w:rsid w:val="002C2648"/>
    <w:rsid w:val="002C585A"/>
    <w:rsid w:val="002D241B"/>
    <w:rsid w:val="002D2549"/>
    <w:rsid w:val="002D6662"/>
    <w:rsid w:val="002E4F71"/>
    <w:rsid w:val="002E761A"/>
    <w:rsid w:val="002F798E"/>
    <w:rsid w:val="003004AD"/>
    <w:rsid w:val="0031183D"/>
    <w:rsid w:val="00321AC3"/>
    <w:rsid w:val="00327F13"/>
    <w:rsid w:val="003306D1"/>
    <w:rsid w:val="003360C4"/>
    <w:rsid w:val="00351CA3"/>
    <w:rsid w:val="003557DD"/>
    <w:rsid w:val="00372C9D"/>
    <w:rsid w:val="00376369"/>
    <w:rsid w:val="0037775A"/>
    <w:rsid w:val="00381B53"/>
    <w:rsid w:val="00382CBF"/>
    <w:rsid w:val="00385150"/>
    <w:rsid w:val="00393550"/>
    <w:rsid w:val="003A1A47"/>
    <w:rsid w:val="003C1789"/>
    <w:rsid w:val="003D4ED5"/>
    <w:rsid w:val="003E1D74"/>
    <w:rsid w:val="003E1DE2"/>
    <w:rsid w:val="003E3571"/>
    <w:rsid w:val="003E5640"/>
    <w:rsid w:val="003F0D98"/>
    <w:rsid w:val="003F1360"/>
    <w:rsid w:val="003F20D2"/>
    <w:rsid w:val="003F3FCF"/>
    <w:rsid w:val="003F40CC"/>
    <w:rsid w:val="003F5F29"/>
    <w:rsid w:val="003F7D97"/>
    <w:rsid w:val="00403BF9"/>
    <w:rsid w:val="00405015"/>
    <w:rsid w:val="00405509"/>
    <w:rsid w:val="00405517"/>
    <w:rsid w:val="004420DE"/>
    <w:rsid w:val="00447F88"/>
    <w:rsid w:val="00451762"/>
    <w:rsid w:val="00456029"/>
    <w:rsid w:val="0045616E"/>
    <w:rsid w:val="00460D33"/>
    <w:rsid w:val="004612B4"/>
    <w:rsid w:val="00467100"/>
    <w:rsid w:val="00471663"/>
    <w:rsid w:val="00477D39"/>
    <w:rsid w:val="00481A61"/>
    <w:rsid w:val="00482C5D"/>
    <w:rsid w:val="00485D8D"/>
    <w:rsid w:val="004916F0"/>
    <w:rsid w:val="0049376A"/>
    <w:rsid w:val="00494A37"/>
    <w:rsid w:val="00496A3A"/>
    <w:rsid w:val="004A1E1E"/>
    <w:rsid w:val="004B7F6B"/>
    <w:rsid w:val="004C1D34"/>
    <w:rsid w:val="004C57EF"/>
    <w:rsid w:val="004C5E76"/>
    <w:rsid w:val="004D43EB"/>
    <w:rsid w:val="004E041C"/>
    <w:rsid w:val="004E7B33"/>
    <w:rsid w:val="004F637D"/>
    <w:rsid w:val="00502488"/>
    <w:rsid w:val="00520405"/>
    <w:rsid w:val="00520742"/>
    <w:rsid w:val="00521D13"/>
    <w:rsid w:val="00523BB8"/>
    <w:rsid w:val="005303AF"/>
    <w:rsid w:val="00546EEE"/>
    <w:rsid w:val="00552D6F"/>
    <w:rsid w:val="00564B0C"/>
    <w:rsid w:val="00571B77"/>
    <w:rsid w:val="00573397"/>
    <w:rsid w:val="0057445F"/>
    <w:rsid w:val="005809E3"/>
    <w:rsid w:val="005A2B55"/>
    <w:rsid w:val="005C0773"/>
    <w:rsid w:val="005C677C"/>
    <w:rsid w:val="005C68F7"/>
    <w:rsid w:val="005E0056"/>
    <w:rsid w:val="005E134F"/>
    <w:rsid w:val="005E70CB"/>
    <w:rsid w:val="005F29FB"/>
    <w:rsid w:val="005F6B82"/>
    <w:rsid w:val="006051A8"/>
    <w:rsid w:val="00607342"/>
    <w:rsid w:val="0065030A"/>
    <w:rsid w:val="00650ED9"/>
    <w:rsid w:val="0066102D"/>
    <w:rsid w:val="00687977"/>
    <w:rsid w:val="006A2CB0"/>
    <w:rsid w:val="006A37DF"/>
    <w:rsid w:val="006A700C"/>
    <w:rsid w:val="006A759B"/>
    <w:rsid w:val="006B388E"/>
    <w:rsid w:val="006C356C"/>
    <w:rsid w:val="006C5E2A"/>
    <w:rsid w:val="006C6CC5"/>
    <w:rsid w:val="006D5B4C"/>
    <w:rsid w:val="006D7217"/>
    <w:rsid w:val="006D73CF"/>
    <w:rsid w:val="006E1CEA"/>
    <w:rsid w:val="006F4500"/>
    <w:rsid w:val="0070201A"/>
    <w:rsid w:val="007061DF"/>
    <w:rsid w:val="007166A2"/>
    <w:rsid w:val="007179A2"/>
    <w:rsid w:val="00730C8D"/>
    <w:rsid w:val="0074011F"/>
    <w:rsid w:val="00741EE4"/>
    <w:rsid w:val="00742524"/>
    <w:rsid w:val="00767961"/>
    <w:rsid w:val="00774A78"/>
    <w:rsid w:val="00777BAC"/>
    <w:rsid w:val="00781EF7"/>
    <w:rsid w:val="00782BD1"/>
    <w:rsid w:val="00792A07"/>
    <w:rsid w:val="00794BF2"/>
    <w:rsid w:val="007A7F8E"/>
    <w:rsid w:val="007B1CBB"/>
    <w:rsid w:val="007B6324"/>
    <w:rsid w:val="007B68AD"/>
    <w:rsid w:val="007B6AF5"/>
    <w:rsid w:val="007B7292"/>
    <w:rsid w:val="007D510E"/>
    <w:rsid w:val="007E09EF"/>
    <w:rsid w:val="007E1C52"/>
    <w:rsid w:val="007E3DAE"/>
    <w:rsid w:val="007E49E7"/>
    <w:rsid w:val="007F1C40"/>
    <w:rsid w:val="007F2CA4"/>
    <w:rsid w:val="00801A17"/>
    <w:rsid w:val="00802B6A"/>
    <w:rsid w:val="008123E1"/>
    <w:rsid w:val="00833E8E"/>
    <w:rsid w:val="00846A2C"/>
    <w:rsid w:val="008551B0"/>
    <w:rsid w:val="00861154"/>
    <w:rsid w:val="00865B96"/>
    <w:rsid w:val="0087187A"/>
    <w:rsid w:val="0087256F"/>
    <w:rsid w:val="00876249"/>
    <w:rsid w:val="00881B96"/>
    <w:rsid w:val="00896291"/>
    <w:rsid w:val="008A1933"/>
    <w:rsid w:val="008B46D3"/>
    <w:rsid w:val="008B4BAC"/>
    <w:rsid w:val="008C23DF"/>
    <w:rsid w:val="008E0C4D"/>
    <w:rsid w:val="008E44A2"/>
    <w:rsid w:val="008F6F37"/>
    <w:rsid w:val="00902667"/>
    <w:rsid w:val="00921789"/>
    <w:rsid w:val="00923AEB"/>
    <w:rsid w:val="0093781B"/>
    <w:rsid w:val="00944004"/>
    <w:rsid w:val="00954D55"/>
    <w:rsid w:val="00962494"/>
    <w:rsid w:val="00967A8F"/>
    <w:rsid w:val="0097377E"/>
    <w:rsid w:val="00974563"/>
    <w:rsid w:val="00974D95"/>
    <w:rsid w:val="00976E63"/>
    <w:rsid w:val="00985839"/>
    <w:rsid w:val="00993505"/>
    <w:rsid w:val="009949F3"/>
    <w:rsid w:val="0099549D"/>
    <w:rsid w:val="009B06B3"/>
    <w:rsid w:val="009B53B2"/>
    <w:rsid w:val="009B5EDF"/>
    <w:rsid w:val="009C07D1"/>
    <w:rsid w:val="009D1723"/>
    <w:rsid w:val="009D77F2"/>
    <w:rsid w:val="009F16AE"/>
    <w:rsid w:val="009F2E9B"/>
    <w:rsid w:val="00A0280C"/>
    <w:rsid w:val="00A035DD"/>
    <w:rsid w:val="00A04452"/>
    <w:rsid w:val="00A04659"/>
    <w:rsid w:val="00A05702"/>
    <w:rsid w:val="00A26125"/>
    <w:rsid w:val="00A268B0"/>
    <w:rsid w:val="00A349B4"/>
    <w:rsid w:val="00A362F3"/>
    <w:rsid w:val="00A37B3A"/>
    <w:rsid w:val="00A50D22"/>
    <w:rsid w:val="00A5278D"/>
    <w:rsid w:val="00A5546E"/>
    <w:rsid w:val="00A573BF"/>
    <w:rsid w:val="00A6598D"/>
    <w:rsid w:val="00A94D9E"/>
    <w:rsid w:val="00AA3E3F"/>
    <w:rsid w:val="00AB1DC9"/>
    <w:rsid w:val="00AC4E92"/>
    <w:rsid w:val="00AF2459"/>
    <w:rsid w:val="00B1544D"/>
    <w:rsid w:val="00B228B5"/>
    <w:rsid w:val="00B26560"/>
    <w:rsid w:val="00B26B16"/>
    <w:rsid w:val="00B302AE"/>
    <w:rsid w:val="00B30A18"/>
    <w:rsid w:val="00B46BAC"/>
    <w:rsid w:val="00B479D6"/>
    <w:rsid w:val="00B50C62"/>
    <w:rsid w:val="00B52C54"/>
    <w:rsid w:val="00B52E84"/>
    <w:rsid w:val="00B540F6"/>
    <w:rsid w:val="00B62BAC"/>
    <w:rsid w:val="00B6662C"/>
    <w:rsid w:val="00B717CC"/>
    <w:rsid w:val="00B72B59"/>
    <w:rsid w:val="00B75009"/>
    <w:rsid w:val="00B76779"/>
    <w:rsid w:val="00B80EC8"/>
    <w:rsid w:val="00B84117"/>
    <w:rsid w:val="00B91666"/>
    <w:rsid w:val="00B9171C"/>
    <w:rsid w:val="00B9267A"/>
    <w:rsid w:val="00BD0976"/>
    <w:rsid w:val="00BD5B17"/>
    <w:rsid w:val="00BE1A2F"/>
    <w:rsid w:val="00BE3306"/>
    <w:rsid w:val="00BE4905"/>
    <w:rsid w:val="00C218A1"/>
    <w:rsid w:val="00C21DE3"/>
    <w:rsid w:val="00C3637C"/>
    <w:rsid w:val="00C502B5"/>
    <w:rsid w:val="00C55B8B"/>
    <w:rsid w:val="00C57858"/>
    <w:rsid w:val="00C67516"/>
    <w:rsid w:val="00C710A6"/>
    <w:rsid w:val="00C74A3F"/>
    <w:rsid w:val="00C812DE"/>
    <w:rsid w:val="00C84E43"/>
    <w:rsid w:val="00C94147"/>
    <w:rsid w:val="00CA2B2F"/>
    <w:rsid w:val="00CA70D7"/>
    <w:rsid w:val="00CB5421"/>
    <w:rsid w:val="00CC56CA"/>
    <w:rsid w:val="00CD1FC3"/>
    <w:rsid w:val="00CD7FE1"/>
    <w:rsid w:val="00CE20CB"/>
    <w:rsid w:val="00CE325D"/>
    <w:rsid w:val="00CF0D67"/>
    <w:rsid w:val="00D06593"/>
    <w:rsid w:val="00D065CF"/>
    <w:rsid w:val="00D0726E"/>
    <w:rsid w:val="00D15FE7"/>
    <w:rsid w:val="00D16D21"/>
    <w:rsid w:val="00D3062E"/>
    <w:rsid w:val="00D33461"/>
    <w:rsid w:val="00D379DE"/>
    <w:rsid w:val="00D41674"/>
    <w:rsid w:val="00D56CA3"/>
    <w:rsid w:val="00D57FFE"/>
    <w:rsid w:val="00D80AE5"/>
    <w:rsid w:val="00D8135C"/>
    <w:rsid w:val="00D91870"/>
    <w:rsid w:val="00D92D8C"/>
    <w:rsid w:val="00D96A53"/>
    <w:rsid w:val="00DA044D"/>
    <w:rsid w:val="00DA3803"/>
    <w:rsid w:val="00DA5155"/>
    <w:rsid w:val="00DA78E0"/>
    <w:rsid w:val="00DB785F"/>
    <w:rsid w:val="00DC2A52"/>
    <w:rsid w:val="00DC50FA"/>
    <w:rsid w:val="00DC6DD3"/>
    <w:rsid w:val="00DD1BBC"/>
    <w:rsid w:val="00DE11B8"/>
    <w:rsid w:val="00DE24EC"/>
    <w:rsid w:val="00DF14C8"/>
    <w:rsid w:val="00DF4236"/>
    <w:rsid w:val="00DF4963"/>
    <w:rsid w:val="00DF5BE7"/>
    <w:rsid w:val="00DF7D35"/>
    <w:rsid w:val="00E121E4"/>
    <w:rsid w:val="00E12F56"/>
    <w:rsid w:val="00E2290C"/>
    <w:rsid w:val="00E26C5A"/>
    <w:rsid w:val="00E468AF"/>
    <w:rsid w:val="00E5313B"/>
    <w:rsid w:val="00E74D45"/>
    <w:rsid w:val="00E75A49"/>
    <w:rsid w:val="00E96DB8"/>
    <w:rsid w:val="00EA41EF"/>
    <w:rsid w:val="00EA42CF"/>
    <w:rsid w:val="00EF1C88"/>
    <w:rsid w:val="00EF1FD3"/>
    <w:rsid w:val="00F16BA6"/>
    <w:rsid w:val="00F2322B"/>
    <w:rsid w:val="00F23386"/>
    <w:rsid w:val="00F32C3E"/>
    <w:rsid w:val="00F351FF"/>
    <w:rsid w:val="00F4300A"/>
    <w:rsid w:val="00F4633C"/>
    <w:rsid w:val="00F47D6F"/>
    <w:rsid w:val="00F530D0"/>
    <w:rsid w:val="00F60787"/>
    <w:rsid w:val="00F64BBD"/>
    <w:rsid w:val="00F66865"/>
    <w:rsid w:val="00F71C32"/>
    <w:rsid w:val="00F7783B"/>
    <w:rsid w:val="00F85462"/>
    <w:rsid w:val="00F9508B"/>
    <w:rsid w:val="00F97167"/>
    <w:rsid w:val="00FA3B2C"/>
    <w:rsid w:val="00FA4472"/>
    <w:rsid w:val="00FB46C7"/>
    <w:rsid w:val="00FD3498"/>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7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B30A18"/>
    <w:rPr>
      <w:sz w:val="20"/>
      <w:szCs w:val="20"/>
    </w:rPr>
  </w:style>
  <w:style w:type="character" w:styleId="FootnoteReference">
    <w:name w:val="footnote reference"/>
    <w:basedOn w:val="DefaultParagraphFont"/>
    <w:uiPriority w:val="99"/>
    <w:semiHidden/>
    <w:unhideWhenUsed/>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character" w:customStyle="1" w:styleId="Heading1Char">
    <w:name w:val="Heading 1 Char"/>
    <w:basedOn w:val="DefaultParagraphFont"/>
    <w:link w:val="Heading1"/>
    <w:uiPriority w:val="9"/>
    <w:rsid w:val="003004A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322B"/>
    <w:pPr>
      <w:spacing w:after="100"/>
    </w:pPr>
  </w:style>
  <w:style w:type="paragraph" w:styleId="NormalWeb">
    <w:name w:val="Normal (Web)"/>
    <w:basedOn w:val="Normal"/>
    <w:uiPriority w:val="99"/>
    <w:semiHidden/>
    <w:unhideWhenUsed/>
    <w:rsid w:val="008551B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B30A18"/>
    <w:rPr>
      <w:sz w:val="20"/>
      <w:szCs w:val="20"/>
    </w:rPr>
  </w:style>
  <w:style w:type="character" w:styleId="FootnoteReference">
    <w:name w:val="footnote reference"/>
    <w:basedOn w:val="DefaultParagraphFont"/>
    <w:uiPriority w:val="99"/>
    <w:semiHidden/>
    <w:unhideWhenUsed/>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character" w:customStyle="1" w:styleId="Heading1Char">
    <w:name w:val="Heading 1 Char"/>
    <w:basedOn w:val="DefaultParagraphFont"/>
    <w:link w:val="Heading1"/>
    <w:uiPriority w:val="9"/>
    <w:rsid w:val="003004A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322B"/>
    <w:pPr>
      <w:spacing w:after="100"/>
    </w:pPr>
  </w:style>
  <w:style w:type="paragraph" w:styleId="NormalWeb">
    <w:name w:val="Normal (Web)"/>
    <w:basedOn w:val="Normal"/>
    <w:uiPriority w:val="99"/>
    <w:semiHidden/>
    <w:unhideWhenUsed/>
    <w:rsid w:val="008551B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893">
      <w:bodyDiv w:val="1"/>
      <w:marLeft w:val="0"/>
      <w:marRight w:val="0"/>
      <w:marTop w:val="0"/>
      <w:marBottom w:val="0"/>
      <w:divBdr>
        <w:top w:val="none" w:sz="0" w:space="0" w:color="auto"/>
        <w:left w:val="none" w:sz="0" w:space="0" w:color="auto"/>
        <w:bottom w:val="none" w:sz="0" w:space="0" w:color="auto"/>
        <w:right w:val="none" w:sz="0" w:space="0" w:color="auto"/>
      </w:divBdr>
    </w:div>
    <w:div w:id="40254181">
      <w:bodyDiv w:val="1"/>
      <w:marLeft w:val="0"/>
      <w:marRight w:val="0"/>
      <w:marTop w:val="0"/>
      <w:marBottom w:val="0"/>
      <w:divBdr>
        <w:top w:val="none" w:sz="0" w:space="0" w:color="auto"/>
        <w:left w:val="none" w:sz="0" w:space="0" w:color="auto"/>
        <w:bottom w:val="none" w:sz="0" w:space="0" w:color="auto"/>
        <w:right w:val="none" w:sz="0" w:space="0" w:color="auto"/>
      </w:divBdr>
    </w:div>
    <w:div w:id="76245363">
      <w:bodyDiv w:val="1"/>
      <w:marLeft w:val="0"/>
      <w:marRight w:val="0"/>
      <w:marTop w:val="0"/>
      <w:marBottom w:val="0"/>
      <w:divBdr>
        <w:top w:val="none" w:sz="0" w:space="0" w:color="auto"/>
        <w:left w:val="none" w:sz="0" w:space="0" w:color="auto"/>
        <w:bottom w:val="none" w:sz="0" w:space="0" w:color="auto"/>
        <w:right w:val="none" w:sz="0" w:space="0" w:color="auto"/>
      </w:divBdr>
    </w:div>
    <w:div w:id="179852512">
      <w:bodyDiv w:val="1"/>
      <w:marLeft w:val="0"/>
      <w:marRight w:val="0"/>
      <w:marTop w:val="0"/>
      <w:marBottom w:val="0"/>
      <w:divBdr>
        <w:top w:val="none" w:sz="0" w:space="0" w:color="auto"/>
        <w:left w:val="none" w:sz="0" w:space="0" w:color="auto"/>
        <w:bottom w:val="none" w:sz="0" w:space="0" w:color="auto"/>
        <w:right w:val="none" w:sz="0" w:space="0" w:color="auto"/>
      </w:divBdr>
      <w:divsChild>
        <w:div w:id="642349071">
          <w:marLeft w:val="0"/>
          <w:marRight w:val="0"/>
          <w:marTop w:val="0"/>
          <w:marBottom w:val="0"/>
          <w:divBdr>
            <w:top w:val="none" w:sz="0" w:space="0" w:color="auto"/>
            <w:left w:val="none" w:sz="0" w:space="0" w:color="auto"/>
            <w:bottom w:val="none" w:sz="0" w:space="0" w:color="auto"/>
            <w:right w:val="none" w:sz="0" w:space="0" w:color="auto"/>
          </w:divBdr>
          <w:divsChild>
            <w:div w:id="692458782">
              <w:marLeft w:val="0"/>
              <w:marRight w:val="0"/>
              <w:marTop w:val="0"/>
              <w:marBottom w:val="0"/>
              <w:divBdr>
                <w:top w:val="none" w:sz="0" w:space="0" w:color="auto"/>
                <w:left w:val="none" w:sz="0" w:space="0" w:color="auto"/>
                <w:bottom w:val="none" w:sz="0" w:space="0" w:color="auto"/>
                <w:right w:val="none" w:sz="0" w:space="0" w:color="auto"/>
              </w:divBdr>
              <w:divsChild>
                <w:div w:id="2178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107">
      <w:bodyDiv w:val="1"/>
      <w:marLeft w:val="0"/>
      <w:marRight w:val="0"/>
      <w:marTop w:val="0"/>
      <w:marBottom w:val="0"/>
      <w:divBdr>
        <w:top w:val="none" w:sz="0" w:space="0" w:color="auto"/>
        <w:left w:val="none" w:sz="0" w:space="0" w:color="auto"/>
        <w:bottom w:val="none" w:sz="0" w:space="0" w:color="auto"/>
        <w:right w:val="none" w:sz="0" w:space="0" w:color="auto"/>
      </w:divBdr>
      <w:divsChild>
        <w:div w:id="765737041">
          <w:marLeft w:val="0"/>
          <w:marRight w:val="0"/>
          <w:marTop w:val="0"/>
          <w:marBottom w:val="0"/>
          <w:divBdr>
            <w:top w:val="none" w:sz="0" w:space="0" w:color="auto"/>
            <w:left w:val="none" w:sz="0" w:space="0" w:color="auto"/>
            <w:bottom w:val="none" w:sz="0" w:space="0" w:color="auto"/>
            <w:right w:val="none" w:sz="0" w:space="0" w:color="auto"/>
          </w:divBdr>
          <w:divsChild>
            <w:div w:id="959533603">
              <w:marLeft w:val="0"/>
              <w:marRight w:val="0"/>
              <w:marTop w:val="0"/>
              <w:marBottom w:val="0"/>
              <w:divBdr>
                <w:top w:val="none" w:sz="0" w:space="0" w:color="auto"/>
                <w:left w:val="none" w:sz="0" w:space="0" w:color="auto"/>
                <w:bottom w:val="none" w:sz="0" w:space="0" w:color="auto"/>
                <w:right w:val="none" w:sz="0" w:space="0" w:color="auto"/>
              </w:divBdr>
              <w:divsChild>
                <w:div w:id="20050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1573">
      <w:bodyDiv w:val="1"/>
      <w:marLeft w:val="0"/>
      <w:marRight w:val="0"/>
      <w:marTop w:val="0"/>
      <w:marBottom w:val="0"/>
      <w:divBdr>
        <w:top w:val="none" w:sz="0" w:space="0" w:color="auto"/>
        <w:left w:val="none" w:sz="0" w:space="0" w:color="auto"/>
        <w:bottom w:val="none" w:sz="0" w:space="0" w:color="auto"/>
        <w:right w:val="none" w:sz="0" w:space="0" w:color="auto"/>
      </w:divBdr>
    </w:div>
    <w:div w:id="1468473428">
      <w:bodyDiv w:val="1"/>
      <w:marLeft w:val="0"/>
      <w:marRight w:val="0"/>
      <w:marTop w:val="0"/>
      <w:marBottom w:val="0"/>
      <w:divBdr>
        <w:top w:val="none" w:sz="0" w:space="0" w:color="auto"/>
        <w:left w:val="none" w:sz="0" w:space="0" w:color="auto"/>
        <w:bottom w:val="none" w:sz="0" w:space="0" w:color="auto"/>
        <w:right w:val="none" w:sz="0" w:space="0" w:color="auto"/>
      </w:divBdr>
    </w:div>
    <w:div w:id="1609771291">
      <w:bodyDiv w:val="1"/>
      <w:marLeft w:val="0"/>
      <w:marRight w:val="0"/>
      <w:marTop w:val="0"/>
      <w:marBottom w:val="0"/>
      <w:divBdr>
        <w:top w:val="none" w:sz="0" w:space="0" w:color="auto"/>
        <w:left w:val="none" w:sz="0" w:space="0" w:color="auto"/>
        <w:bottom w:val="none" w:sz="0" w:space="0" w:color="auto"/>
        <w:right w:val="none" w:sz="0" w:space="0" w:color="auto"/>
      </w:divBdr>
    </w:div>
    <w:div w:id="1670788675">
      <w:bodyDiv w:val="1"/>
      <w:marLeft w:val="0"/>
      <w:marRight w:val="0"/>
      <w:marTop w:val="0"/>
      <w:marBottom w:val="0"/>
      <w:divBdr>
        <w:top w:val="none" w:sz="0" w:space="0" w:color="auto"/>
        <w:left w:val="none" w:sz="0" w:space="0" w:color="auto"/>
        <w:bottom w:val="none" w:sz="0" w:space="0" w:color="auto"/>
        <w:right w:val="none" w:sz="0" w:space="0" w:color="auto"/>
      </w:divBdr>
    </w:div>
    <w:div w:id="1975521338">
      <w:bodyDiv w:val="1"/>
      <w:marLeft w:val="0"/>
      <w:marRight w:val="0"/>
      <w:marTop w:val="0"/>
      <w:marBottom w:val="0"/>
      <w:divBdr>
        <w:top w:val="none" w:sz="0" w:space="0" w:color="auto"/>
        <w:left w:val="none" w:sz="0" w:space="0" w:color="auto"/>
        <w:bottom w:val="none" w:sz="0" w:space="0" w:color="auto"/>
        <w:right w:val="none" w:sz="0" w:space="0" w:color="auto"/>
      </w:divBdr>
    </w:div>
    <w:div w:id="20184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predeh.gob.gt/sentencia-gutierrez-hernandez-otros-vs-guatemala/" TargetMode="External"/><Relationship Id="rId2" Type="http://schemas.openxmlformats.org/officeDocument/2006/relationships/hyperlink" Target="http://www.corteidh.or.cr/docs/casos/articulos/seriec_357_esp.pdf" TargetMode="External"/><Relationship Id="rId1" Type="http://schemas.openxmlformats.org/officeDocument/2006/relationships/hyperlink" Target="http://www.corteidh.or.cr/docs/casos/articulos/seriec_339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9F5B-7101-4588-BA07-6A2E96E3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2122</Words>
  <Characters>11671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2018-10-30T18:08:00Z</cp:lastPrinted>
  <dcterms:created xsi:type="dcterms:W3CDTF">2018-10-31T15:13:00Z</dcterms:created>
  <dcterms:modified xsi:type="dcterms:W3CDTF">2018-10-31T15:13:00Z</dcterms:modified>
</cp:coreProperties>
</file>