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F8B37" w14:textId="77777777" w:rsidR="00210443" w:rsidRDefault="00210443" w:rsidP="00305922">
      <w:pPr>
        <w:spacing w:after="0" w:line="240" w:lineRule="auto"/>
        <w:jc w:val="both"/>
        <w:rPr>
          <w:rFonts w:ascii="Verdana" w:hAnsi="Verdana" w:cs="Arial"/>
          <w:b/>
          <w:sz w:val="20"/>
          <w:szCs w:val="20"/>
          <w:lang w:val="es-CR"/>
        </w:rPr>
      </w:pPr>
      <w:bookmarkStart w:id="0" w:name="_GoBack"/>
      <w:bookmarkEnd w:id="0"/>
    </w:p>
    <w:p w14:paraId="40C6BB8C" w14:textId="77777777" w:rsidR="00305922" w:rsidRDefault="00305922" w:rsidP="00305922">
      <w:pPr>
        <w:spacing w:after="0" w:line="240" w:lineRule="auto"/>
        <w:jc w:val="both"/>
        <w:rPr>
          <w:rFonts w:ascii="Verdana" w:hAnsi="Verdana" w:cs="Arial"/>
          <w:b/>
          <w:sz w:val="20"/>
          <w:szCs w:val="20"/>
          <w:lang w:val="es-CR"/>
        </w:rPr>
      </w:pPr>
    </w:p>
    <w:p w14:paraId="2315B743" w14:textId="77777777" w:rsidR="00305922" w:rsidRDefault="00305922" w:rsidP="00305922">
      <w:pPr>
        <w:spacing w:after="0" w:line="240" w:lineRule="auto"/>
        <w:jc w:val="both"/>
        <w:rPr>
          <w:rFonts w:ascii="Verdana" w:hAnsi="Verdana" w:cs="Arial"/>
          <w:b/>
          <w:sz w:val="20"/>
          <w:szCs w:val="20"/>
          <w:lang w:val="es-CR"/>
        </w:rPr>
      </w:pPr>
    </w:p>
    <w:p w14:paraId="1324512C" w14:textId="77777777" w:rsidR="00305922" w:rsidRDefault="00305922" w:rsidP="00305922">
      <w:pPr>
        <w:spacing w:after="0" w:line="240" w:lineRule="auto"/>
        <w:jc w:val="both"/>
        <w:rPr>
          <w:rFonts w:ascii="Verdana" w:hAnsi="Verdana" w:cs="Arial"/>
          <w:b/>
          <w:sz w:val="20"/>
          <w:szCs w:val="20"/>
          <w:lang w:val="es-CR"/>
        </w:rPr>
      </w:pPr>
    </w:p>
    <w:p w14:paraId="734AB190" w14:textId="77777777" w:rsidR="00305922" w:rsidRDefault="00305922" w:rsidP="00305922">
      <w:pPr>
        <w:spacing w:after="0" w:line="240" w:lineRule="auto"/>
        <w:jc w:val="both"/>
        <w:rPr>
          <w:rFonts w:ascii="Verdana" w:hAnsi="Verdana" w:cs="Arial"/>
          <w:b/>
          <w:sz w:val="20"/>
          <w:szCs w:val="20"/>
          <w:lang w:val="es-CR"/>
        </w:rPr>
      </w:pPr>
    </w:p>
    <w:p w14:paraId="060FF919" w14:textId="77777777" w:rsidR="00B21414" w:rsidRPr="00883AD6" w:rsidRDefault="00B21414" w:rsidP="00305922">
      <w:pPr>
        <w:spacing w:after="0" w:line="240" w:lineRule="auto"/>
        <w:jc w:val="both"/>
        <w:rPr>
          <w:rFonts w:ascii="Verdana" w:hAnsi="Verdana" w:cs="Arial"/>
          <w:b/>
          <w:sz w:val="20"/>
          <w:szCs w:val="20"/>
          <w:lang w:val="es-CR"/>
        </w:rPr>
      </w:pPr>
    </w:p>
    <w:p w14:paraId="526A71BB" w14:textId="77777777" w:rsidR="00210443" w:rsidRDefault="00210443" w:rsidP="00305922">
      <w:pPr>
        <w:spacing w:after="0" w:line="240" w:lineRule="auto"/>
        <w:jc w:val="center"/>
        <w:rPr>
          <w:rFonts w:ascii="Verdana" w:hAnsi="Verdana" w:cs="Arial"/>
          <w:b/>
          <w:sz w:val="20"/>
          <w:szCs w:val="20"/>
          <w:lang w:val="es-CR"/>
        </w:rPr>
      </w:pPr>
      <w:r w:rsidRPr="00883AD6">
        <w:rPr>
          <w:rFonts w:ascii="Verdana" w:hAnsi="Verdana" w:cs="Arial"/>
          <w:b/>
          <w:sz w:val="20"/>
          <w:szCs w:val="20"/>
          <w:lang w:val="es-CR"/>
        </w:rPr>
        <w:t>RESOLUCIÓN DE LA</w:t>
      </w:r>
    </w:p>
    <w:p w14:paraId="4AB73DCF" w14:textId="77777777" w:rsidR="001873C3" w:rsidRPr="00883AD6" w:rsidRDefault="001873C3" w:rsidP="00305922">
      <w:pPr>
        <w:spacing w:after="0" w:line="240" w:lineRule="auto"/>
        <w:jc w:val="center"/>
        <w:rPr>
          <w:rFonts w:ascii="Verdana" w:hAnsi="Verdana" w:cs="Arial"/>
          <w:b/>
          <w:sz w:val="20"/>
          <w:szCs w:val="20"/>
          <w:lang w:val="es-CR"/>
        </w:rPr>
      </w:pPr>
    </w:p>
    <w:p w14:paraId="5899F2FE" w14:textId="77777777" w:rsidR="00210443" w:rsidRPr="00883AD6" w:rsidRDefault="00210443" w:rsidP="00305922">
      <w:pPr>
        <w:spacing w:after="0" w:line="240" w:lineRule="auto"/>
        <w:jc w:val="center"/>
        <w:rPr>
          <w:rFonts w:ascii="Verdana" w:hAnsi="Verdana" w:cs="Arial"/>
          <w:b/>
          <w:smallCaps/>
          <w:sz w:val="20"/>
          <w:szCs w:val="20"/>
          <w:lang w:val="es-CR"/>
        </w:rPr>
      </w:pPr>
      <w:r w:rsidRPr="00883AD6">
        <w:rPr>
          <w:rFonts w:ascii="Verdana" w:hAnsi="Verdana" w:cs="Arial"/>
          <w:b/>
          <w:sz w:val="20"/>
          <w:szCs w:val="20"/>
          <w:lang w:val="es-CR"/>
        </w:rPr>
        <w:t>CORTE INTERAMERICANA DE DERECHOS HUMANOS</w:t>
      </w:r>
      <w:r w:rsidRPr="000353F8">
        <w:rPr>
          <w:rStyle w:val="FootnoteReference"/>
          <w:rFonts w:ascii="Verdana" w:hAnsi="Verdana" w:cs="Arial"/>
          <w:b/>
          <w:smallCaps/>
          <w:sz w:val="20"/>
          <w:szCs w:val="20"/>
        </w:rPr>
        <w:footnoteReference w:customMarkFollows="1" w:id="1"/>
        <w:sym w:font="Symbol" w:char="F02A"/>
      </w:r>
    </w:p>
    <w:p w14:paraId="250BCEDF" w14:textId="77777777" w:rsidR="00210443" w:rsidRPr="00883AD6" w:rsidRDefault="00210443" w:rsidP="00305922">
      <w:pPr>
        <w:spacing w:after="0" w:line="240" w:lineRule="auto"/>
        <w:jc w:val="center"/>
        <w:rPr>
          <w:rFonts w:ascii="Verdana" w:hAnsi="Verdana" w:cs="Arial"/>
          <w:b/>
          <w:sz w:val="20"/>
          <w:szCs w:val="20"/>
          <w:lang w:val="es-CR"/>
        </w:rPr>
      </w:pPr>
    </w:p>
    <w:p w14:paraId="510BF742" w14:textId="05E1601E" w:rsidR="00210443" w:rsidRPr="00883AD6" w:rsidRDefault="00210443" w:rsidP="00305922">
      <w:pPr>
        <w:spacing w:after="0" w:line="240" w:lineRule="auto"/>
        <w:jc w:val="center"/>
        <w:rPr>
          <w:rFonts w:ascii="Verdana" w:hAnsi="Verdana" w:cs="Arial"/>
          <w:b/>
          <w:sz w:val="20"/>
          <w:szCs w:val="20"/>
          <w:lang w:val="es-CR"/>
        </w:rPr>
      </w:pPr>
      <w:r w:rsidRPr="00883AD6">
        <w:rPr>
          <w:rFonts w:ascii="Verdana" w:hAnsi="Verdana" w:cs="Arial"/>
          <w:b/>
          <w:sz w:val="20"/>
          <w:szCs w:val="20"/>
          <w:lang w:val="es-CR"/>
        </w:rPr>
        <w:t xml:space="preserve">DE </w:t>
      </w:r>
      <w:r w:rsidR="009021C7">
        <w:rPr>
          <w:rFonts w:ascii="Verdana" w:hAnsi="Verdana" w:cs="Arial"/>
          <w:b/>
          <w:sz w:val="20"/>
          <w:szCs w:val="20"/>
          <w:lang w:val="es-CR"/>
        </w:rPr>
        <w:t>14</w:t>
      </w:r>
      <w:r w:rsidRPr="00883AD6">
        <w:rPr>
          <w:rFonts w:ascii="Verdana" w:hAnsi="Verdana" w:cs="Arial"/>
          <w:b/>
          <w:sz w:val="20"/>
          <w:szCs w:val="20"/>
          <w:lang w:val="es-CR"/>
        </w:rPr>
        <w:t xml:space="preserve"> DE </w:t>
      </w:r>
      <w:r w:rsidR="00305922">
        <w:rPr>
          <w:rFonts w:ascii="Verdana" w:hAnsi="Verdana" w:cs="Arial"/>
          <w:b/>
          <w:sz w:val="20"/>
          <w:szCs w:val="20"/>
          <w:lang w:val="es-CR"/>
        </w:rPr>
        <w:t>NOVIEMBRE</w:t>
      </w:r>
      <w:r w:rsidRPr="00883AD6">
        <w:rPr>
          <w:rFonts w:ascii="Verdana" w:hAnsi="Verdana" w:cs="Arial"/>
          <w:b/>
          <w:sz w:val="20"/>
          <w:szCs w:val="20"/>
          <w:lang w:val="es-CR"/>
        </w:rPr>
        <w:t xml:space="preserve"> DE </w:t>
      </w:r>
      <w:r w:rsidR="00EC5C10" w:rsidRPr="00883AD6">
        <w:rPr>
          <w:rFonts w:ascii="Verdana" w:hAnsi="Verdana" w:cs="Arial"/>
          <w:b/>
          <w:sz w:val="20"/>
          <w:szCs w:val="20"/>
          <w:lang w:val="es-CR"/>
        </w:rPr>
        <w:t>2017</w:t>
      </w:r>
    </w:p>
    <w:p w14:paraId="53198C4C" w14:textId="77777777" w:rsidR="00210443" w:rsidRPr="00883AD6" w:rsidRDefault="00210443" w:rsidP="00305922">
      <w:pPr>
        <w:spacing w:after="0" w:line="240" w:lineRule="auto"/>
        <w:jc w:val="center"/>
        <w:rPr>
          <w:rFonts w:ascii="Verdana" w:hAnsi="Verdana" w:cs="Arial"/>
          <w:b/>
          <w:sz w:val="20"/>
          <w:szCs w:val="20"/>
          <w:lang w:val="es-CR"/>
        </w:rPr>
      </w:pPr>
    </w:p>
    <w:p w14:paraId="162819FA" w14:textId="77777777" w:rsidR="00210443" w:rsidRDefault="00210443" w:rsidP="00305922">
      <w:pPr>
        <w:spacing w:after="0" w:line="240" w:lineRule="auto"/>
        <w:jc w:val="center"/>
        <w:rPr>
          <w:rFonts w:ascii="Verdana" w:hAnsi="Verdana" w:cs="Arial"/>
          <w:b/>
          <w:i/>
          <w:sz w:val="20"/>
          <w:szCs w:val="20"/>
          <w:lang w:val="es-CR"/>
        </w:rPr>
      </w:pPr>
      <w:r w:rsidRPr="00883AD6">
        <w:rPr>
          <w:rFonts w:ascii="Verdana" w:hAnsi="Verdana" w:cs="Arial"/>
          <w:b/>
          <w:i/>
          <w:sz w:val="20"/>
          <w:szCs w:val="20"/>
          <w:lang w:val="es-CR"/>
        </w:rPr>
        <w:t>CASO HELIODORO PORTUGAL VS. PANAMÁ</w:t>
      </w:r>
    </w:p>
    <w:p w14:paraId="72CB03C4" w14:textId="77777777" w:rsidR="001873C3" w:rsidRPr="00883AD6" w:rsidRDefault="001873C3" w:rsidP="00305922">
      <w:pPr>
        <w:spacing w:after="0" w:line="240" w:lineRule="auto"/>
        <w:jc w:val="center"/>
        <w:rPr>
          <w:rFonts w:ascii="Verdana" w:hAnsi="Verdana" w:cs="Arial"/>
          <w:b/>
          <w:sz w:val="20"/>
          <w:szCs w:val="20"/>
          <w:lang w:val="es-CR"/>
        </w:rPr>
      </w:pPr>
    </w:p>
    <w:p w14:paraId="1B79418C" w14:textId="77777777" w:rsidR="00210443" w:rsidRPr="00883AD6" w:rsidRDefault="00210443" w:rsidP="00305922">
      <w:pPr>
        <w:spacing w:after="0" w:line="240" w:lineRule="auto"/>
        <w:jc w:val="center"/>
        <w:rPr>
          <w:rFonts w:ascii="Verdana" w:hAnsi="Verdana" w:cs="Arial"/>
          <w:b/>
          <w:sz w:val="20"/>
          <w:szCs w:val="20"/>
          <w:lang w:val="es-CR"/>
        </w:rPr>
      </w:pPr>
      <w:r w:rsidRPr="00883AD6">
        <w:rPr>
          <w:rFonts w:ascii="Verdana" w:hAnsi="Verdana" w:cs="Arial"/>
          <w:b/>
          <w:sz w:val="20"/>
          <w:szCs w:val="20"/>
          <w:lang w:val="es-CR"/>
        </w:rPr>
        <w:t>SUPERVISIÓN DE CUMPLIMIENTO DE SENTENCIA</w:t>
      </w:r>
    </w:p>
    <w:p w14:paraId="15D45468" w14:textId="77777777" w:rsidR="00210443" w:rsidRPr="00883AD6" w:rsidRDefault="00210443" w:rsidP="00305922">
      <w:pPr>
        <w:spacing w:before="120" w:after="120" w:line="240" w:lineRule="auto"/>
        <w:jc w:val="both"/>
        <w:rPr>
          <w:rFonts w:ascii="Verdana" w:hAnsi="Verdana" w:cs="Arial"/>
          <w:b/>
          <w:sz w:val="20"/>
          <w:szCs w:val="20"/>
          <w:lang w:val="es-CR"/>
        </w:rPr>
      </w:pPr>
    </w:p>
    <w:p w14:paraId="0DB6C445" w14:textId="77777777" w:rsidR="00210443" w:rsidRPr="00883AD6" w:rsidRDefault="00210443" w:rsidP="00305922">
      <w:pPr>
        <w:spacing w:before="120" w:after="120" w:line="240" w:lineRule="auto"/>
        <w:jc w:val="both"/>
        <w:rPr>
          <w:rFonts w:ascii="Verdana" w:hAnsi="Verdana" w:cs="Arial"/>
          <w:b/>
          <w:sz w:val="20"/>
          <w:szCs w:val="20"/>
          <w:lang w:val="es-CR"/>
        </w:rPr>
      </w:pPr>
      <w:r w:rsidRPr="00883AD6">
        <w:rPr>
          <w:rFonts w:ascii="Verdana" w:hAnsi="Verdana" w:cs="Arial"/>
          <w:b/>
          <w:sz w:val="20"/>
          <w:szCs w:val="20"/>
          <w:lang w:val="es-CR"/>
        </w:rPr>
        <w:t xml:space="preserve">VISTO: </w:t>
      </w:r>
    </w:p>
    <w:p w14:paraId="37943E2B" w14:textId="6D327A0A" w:rsidR="00354D4D" w:rsidRPr="006F5B50" w:rsidRDefault="00210443" w:rsidP="00305922">
      <w:pPr>
        <w:pStyle w:val="ListParagraph"/>
        <w:numPr>
          <w:ilvl w:val="0"/>
          <w:numId w:val="1"/>
        </w:numPr>
        <w:spacing w:line="240" w:lineRule="auto"/>
        <w:ind w:left="0" w:firstLine="0"/>
        <w:jc w:val="both"/>
        <w:rPr>
          <w:rFonts w:ascii="Verdana" w:hAnsi="Verdana" w:cs="Arial"/>
          <w:sz w:val="20"/>
          <w:szCs w:val="20"/>
          <w:lang w:val="es-MX"/>
        </w:rPr>
      </w:pPr>
      <w:bookmarkStart w:id="1" w:name="_Ref498615582"/>
      <w:r w:rsidRPr="006F5B50">
        <w:rPr>
          <w:rFonts w:ascii="Verdana" w:hAnsi="Verdana" w:cs="Arial"/>
          <w:sz w:val="20"/>
          <w:szCs w:val="20"/>
          <w:lang w:val="es-MX"/>
        </w:rPr>
        <w:t>La Sentencia de excepciones preliminares, fondo, reparaciones y costas (en adelante “la Sentencia”) dictada por la Corte Interamericana de Derechos Humanos (en adelante “la Corte Interamericana</w:t>
      </w:r>
      <w:r w:rsidR="001873C3">
        <w:rPr>
          <w:rFonts w:ascii="Verdana" w:hAnsi="Verdana" w:cs="Arial"/>
          <w:sz w:val="20"/>
          <w:szCs w:val="20"/>
          <w:lang w:val="es-MX"/>
        </w:rPr>
        <w:t>”</w:t>
      </w:r>
      <w:r w:rsidRPr="006F5B50">
        <w:rPr>
          <w:rFonts w:ascii="Verdana" w:hAnsi="Verdana" w:cs="Arial"/>
          <w:sz w:val="20"/>
          <w:szCs w:val="20"/>
          <w:lang w:val="es-MX"/>
        </w:rPr>
        <w:t xml:space="preserve">, </w:t>
      </w:r>
      <w:r w:rsidR="001873C3">
        <w:rPr>
          <w:rFonts w:ascii="Verdana" w:hAnsi="Verdana" w:cs="Arial"/>
          <w:sz w:val="20"/>
          <w:szCs w:val="20"/>
          <w:lang w:val="es-MX"/>
        </w:rPr>
        <w:t>“</w:t>
      </w:r>
      <w:r w:rsidRPr="006F5B50">
        <w:rPr>
          <w:rFonts w:ascii="Verdana" w:hAnsi="Verdana" w:cs="Arial"/>
          <w:sz w:val="20"/>
          <w:szCs w:val="20"/>
          <w:lang w:val="es-MX"/>
        </w:rPr>
        <w:t xml:space="preserve">la Corte” o “el Tribunal”) el 12 de </w:t>
      </w:r>
      <w:r w:rsidR="001C55C9" w:rsidRPr="006F5B50">
        <w:rPr>
          <w:rFonts w:ascii="Verdana" w:hAnsi="Verdana" w:cs="Arial"/>
          <w:sz w:val="20"/>
          <w:szCs w:val="20"/>
          <w:lang w:val="es-MX"/>
        </w:rPr>
        <w:t>agosto de 2008</w:t>
      </w:r>
      <w:r w:rsidR="00FF2564">
        <w:rPr>
          <w:rStyle w:val="FootnoteReference"/>
          <w:rFonts w:ascii="Verdana" w:hAnsi="Verdana" w:cs="Arial"/>
          <w:sz w:val="20"/>
          <w:szCs w:val="20"/>
          <w:lang w:val="es-MX"/>
        </w:rPr>
        <w:footnoteReference w:id="2"/>
      </w:r>
      <w:r w:rsidR="001C55C9" w:rsidRPr="006F5B50">
        <w:rPr>
          <w:rFonts w:ascii="Verdana" w:hAnsi="Verdana" w:cs="Arial"/>
          <w:sz w:val="20"/>
          <w:szCs w:val="20"/>
          <w:lang w:val="es-MX"/>
        </w:rPr>
        <w:t>. La Corte declaró</w:t>
      </w:r>
      <w:r w:rsidRPr="006F5B50">
        <w:rPr>
          <w:rFonts w:ascii="Verdana" w:hAnsi="Verdana" w:cs="Arial"/>
          <w:sz w:val="20"/>
          <w:szCs w:val="20"/>
          <w:lang w:val="es-MX"/>
        </w:rPr>
        <w:t xml:space="preserve"> la responsabilidad internacional</w:t>
      </w:r>
      <w:r w:rsidR="0010045A" w:rsidRPr="006F5B50">
        <w:rPr>
          <w:rFonts w:ascii="Verdana" w:hAnsi="Verdana" w:cs="Arial"/>
          <w:sz w:val="20"/>
          <w:szCs w:val="20"/>
          <w:lang w:val="es-MX"/>
        </w:rPr>
        <w:t xml:space="preserve"> de la República de Panamá (en adelante “el Estado” o “Panamá”</w:t>
      </w:r>
      <w:r w:rsidR="002E5907">
        <w:rPr>
          <w:rFonts w:ascii="Verdana" w:hAnsi="Verdana" w:cs="Arial"/>
          <w:sz w:val="20"/>
          <w:szCs w:val="20"/>
          <w:lang w:val="es-MX"/>
        </w:rPr>
        <w:t>)</w:t>
      </w:r>
      <w:r w:rsidR="00A51A50" w:rsidRPr="006F5B50">
        <w:rPr>
          <w:rFonts w:ascii="Verdana" w:hAnsi="Verdana" w:cs="Arial"/>
          <w:sz w:val="20"/>
          <w:szCs w:val="20"/>
          <w:lang w:val="es-MX"/>
        </w:rPr>
        <w:t xml:space="preserve"> por la desaparición forzada del señor </w:t>
      </w:r>
      <w:r w:rsidR="0010045A" w:rsidRPr="006F5B50">
        <w:rPr>
          <w:rFonts w:ascii="Verdana" w:hAnsi="Verdana" w:cs="Arial"/>
          <w:sz w:val="20"/>
          <w:szCs w:val="20"/>
          <w:lang w:val="es-MX"/>
        </w:rPr>
        <w:t>Heliodoro</w:t>
      </w:r>
      <w:r w:rsidR="00A51A50" w:rsidRPr="006F5B50">
        <w:rPr>
          <w:rFonts w:ascii="Verdana" w:hAnsi="Verdana" w:cs="Arial"/>
          <w:sz w:val="20"/>
          <w:szCs w:val="20"/>
          <w:lang w:val="es-MX"/>
        </w:rPr>
        <w:t xml:space="preserve"> Portugal</w:t>
      </w:r>
      <w:r w:rsidR="00C67182" w:rsidRPr="006F5B50">
        <w:rPr>
          <w:rFonts w:ascii="Verdana" w:hAnsi="Verdana" w:cs="Arial"/>
          <w:sz w:val="20"/>
          <w:szCs w:val="20"/>
          <w:lang w:val="es-MX"/>
        </w:rPr>
        <w:t xml:space="preserve"> ocurrida en 1970</w:t>
      </w:r>
      <w:r w:rsidR="0010045A" w:rsidRPr="006F5B50">
        <w:rPr>
          <w:rFonts w:ascii="Verdana" w:hAnsi="Verdana" w:cs="Arial"/>
          <w:sz w:val="20"/>
          <w:szCs w:val="20"/>
          <w:lang w:val="es-MX"/>
        </w:rPr>
        <w:t xml:space="preserve">, durante el gobierno militar </w:t>
      </w:r>
      <w:r w:rsidR="00C67182" w:rsidRPr="006F5B50">
        <w:rPr>
          <w:rFonts w:ascii="Verdana" w:hAnsi="Verdana" w:cs="Arial"/>
          <w:sz w:val="20"/>
          <w:szCs w:val="20"/>
          <w:lang w:val="es-MX"/>
        </w:rPr>
        <w:t>en Panamá</w:t>
      </w:r>
      <w:r w:rsidR="002E5907">
        <w:rPr>
          <w:rFonts w:ascii="Verdana" w:hAnsi="Verdana" w:cs="Arial"/>
          <w:sz w:val="20"/>
          <w:szCs w:val="20"/>
          <w:lang w:val="es-MX"/>
        </w:rPr>
        <w:t>, y que concluyó en el año 2000 cuando se identificaron sus restos</w:t>
      </w:r>
      <w:r w:rsidR="0059707C">
        <w:rPr>
          <w:rFonts w:ascii="Verdana" w:hAnsi="Verdana" w:cs="Arial"/>
          <w:sz w:val="20"/>
          <w:szCs w:val="20"/>
          <w:lang w:val="es-MX"/>
        </w:rPr>
        <w:t xml:space="preserve"> encontrados en un cuartel en </w:t>
      </w:r>
      <w:proofErr w:type="spellStart"/>
      <w:r w:rsidR="0059707C">
        <w:rPr>
          <w:rFonts w:ascii="Verdana" w:hAnsi="Verdana" w:cs="Arial"/>
          <w:sz w:val="20"/>
          <w:szCs w:val="20"/>
          <w:lang w:val="es-MX"/>
        </w:rPr>
        <w:t>Tocumen</w:t>
      </w:r>
      <w:proofErr w:type="spellEnd"/>
      <w:r w:rsidR="00354D4D" w:rsidRPr="006F5B50">
        <w:rPr>
          <w:rFonts w:ascii="Verdana" w:hAnsi="Verdana" w:cs="Arial"/>
          <w:sz w:val="20"/>
          <w:szCs w:val="20"/>
          <w:lang w:val="es-MX"/>
        </w:rPr>
        <w:t xml:space="preserve">. </w:t>
      </w:r>
      <w:r w:rsidR="00C67182" w:rsidRPr="006F5B50">
        <w:rPr>
          <w:rFonts w:ascii="Verdana" w:hAnsi="Verdana" w:cs="Arial"/>
          <w:sz w:val="20"/>
          <w:szCs w:val="20"/>
          <w:lang w:val="es-MX"/>
        </w:rPr>
        <w:t>El señor</w:t>
      </w:r>
      <w:r w:rsidR="00354D4D" w:rsidRPr="006F5B50">
        <w:rPr>
          <w:rFonts w:ascii="Verdana" w:hAnsi="Verdana" w:cs="Arial"/>
          <w:sz w:val="20"/>
          <w:szCs w:val="20"/>
          <w:lang w:val="es-MX"/>
        </w:rPr>
        <w:t xml:space="preserve"> Portugal</w:t>
      </w:r>
      <w:r w:rsidR="00642D49" w:rsidRPr="006F5B50">
        <w:rPr>
          <w:rFonts w:ascii="Verdana" w:hAnsi="Verdana" w:cs="Arial"/>
          <w:sz w:val="20"/>
          <w:szCs w:val="20"/>
          <w:lang w:val="es-MX"/>
        </w:rPr>
        <w:t>,</w:t>
      </w:r>
      <w:r w:rsidR="00354D4D" w:rsidRPr="006F5B50">
        <w:rPr>
          <w:rFonts w:ascii="Verdana" w:hAnsi="Verdana" w:cs="Arial"/>
          <w:sz w:val="20"/>
          <w:szCs w:val="20"/>
          <w:lang w:val="es-MX"/>
        </w:rPr>
        <w:t xml:space="preserve"> promotor del “Movimiento de Unidad Revolucionaria”, se encontraba en un café en la ciudad de Panamá </w:t>
      </w:r>
      <w:r w:rsidR="003E38B6" w:rsidRPr="006F5B50">
        <w:rPr>
          <w:rFonts w:ascii="Verdana" w:hAnsi="Verdana" w:cs="Arial"/>
          <w:sz w:val="20"/>
          <w:szCs w:val="20"/>
          <w:lang w:val="es-MX"/>
        </w:rPr>
        <w:t>cuando</w:t>
      </w:r>
      <w:r w:rsidR="00354D4D" w:rsidRPr="006F5B50">
        <w:rPr>
          <w:rFonts w:ascii="Verdana" w:hAnsi="Verdana" w:cs="Arial"/>
          <w:sz w:val="20"/>
          <w:szCs w:val="20"/>
          <w:lang w:val="es-MX"/>
        </w:rPr>
        <w:t xml:space="preserve"> </w:t>
      </w:r>
      <w:r w:rsidR="006067C0">
        <w:rPr>
          <w:rFonts w:ascii="Verdana" w:hAnsi="Verdana" w:cs="Arial"/>
          <w:sz w:val="20"/>
          <w:szCs w:val="20"/>
          <w:lang w:val="es-MX"/>
        </w:rPr>
        <w:t xml:space="preserve">efectivos de la Guardia Nacional, </w:t>
      </w:r>
      <w:r w:rsidR="00354D4D" w:rsidRPr="006F5B50">
        <w:rPr>
          <w:rFonts w:ascii="Verdana" w:hAnsi="Verdana" w:cs="Arial"/>
          <w:sz w:val="20"/>
          <w:szCs w:val="20"/>
          <w:lang w:val="es-MX"/>
        </w:rPr>
        <w:t>vestidos de civiles</w:t>
      </w:r>
      <w:r w:rsidR="006067C0">
        <w:rPr>
          <w:rFonts w:ascii="Verdana" w:hAnsi="Verdana" w:cs="Arial"/>
          <w:sz w:val="20"/>
          <w:szCs w:val="20"/>
          <w:lang w:val="es-MX"/>
        </w:rPr>
        <w:t>,</w:t>
      </w:r>
      <w:r w:rsidR="00354D4D" w:rsidRPr="006F5B50">
        <w:rPr>
          <w:rFonts w:ascii="Verdana" w:hAnsi="Verdana" w:cs="Arial"/>
          <w:sz w:val="20"/>
          <w:szCs w:val="20"/>
          <w:lang w:val="es-MX"/>
        </w:rPr>
        <w:t xml:space="preserve"> bajaron de una camioneta y </w:t>
      </w:r>
      <w:r w:rsidR="00C67182" w:rsidRPr="006F5B50">
        <w:rPr>
          <w:rFonts w:ascii="Verdana" w:hAnsi="Verdana" w:cs="Arial"/>
          <w:sz w:val="20"/>
          <w:szCs w:val="20"/>
          <w:lang w:val="es-MX"/>
        </w:rPr>
        <w:t xml:space="preserve">le </w:t>
      </w:r>
      <w:r w:rsidR="00354D4D" w:rsidRPr="006F5B50">
        <w:rPr>
          <w:rFonts w:ascii="Verdana" w:hAnsi="Verdana" w:cs="Arial"/>
          <w:sz w:val="20"/>
          <w:szCs w:val="20"/>
          <w:lang w:val="es-MX"/>
        </w:rPr>
        <w:t xml:space="preserve">obligaron </w:t>
      </w:r>
      <w:r w:rsidR="00C67182" w:rsidRPr="006F5B50">
        <w:rPr>
          <w:rFonts w:ascii="Verdana" w:hAnsi="Verdana" w:cs="Arial"/>
          <w:sz w:val="20"/>
          <w:szCs w:val="20"/>
          <w:lang w:val="es-MX"/>
        </w:rPr>
        <w:t>a subirse en ella</w:t>
      </w:r>
      <w:r w:rsidR="00354D4D" w:rsidRPr="006F5B50">
        <w:rPr>
          <w:rFonts w:ascii="Verdana" w:hAnsi="Verdana" w:cs="Arial"/>
          <w:sz w:val="20"/>
          <w:szCs w:val="20"/>
          <w:lang w:val="es-MX"/>
        </w:rPr>
        <w:t xml:space="preserve">. </w:t>
      </w:r>
      <w:r w:rsidR="007650BF">
        <w:rPr>
          <w:rFonts w:ascii="Verdana" w:hAnsi="Verdana" w:cs="Arial"/>
          <w:sz w:val="20"/>
          <w:szCs w:val="20"/>
          <w:lang w:val="es-MX"/>
        </w:rPr>
        <w:t xml:space="preserve">La Corte determinó la responsabilidad internacional de Panamá también por la falta de investigación de dicha desaparición en perjuicio de </w:t>
      </w:r>
      <w:r w:rsidR="00FF2564">
        <w:rPr>
          <w:rFonts w:ascii="Verdana" w:hAnsi="Verdana" w:cs="Arial"/>
          <w:sz w:val="20"/>
          <w:szCs w:val="20"/>
          <w:lang w:val="es-MX"/>
        </w:rPr>
        <w:t xml:space="preserve">Graciela de León, Patria Portugal y Franklin Portugal, </w:t>
      </w:r>
      <w:r w:rsidR="007650BF">
        <w:rPr>
          <w:rFonts w:ascii="Verdana" w:hAnsi="Verdana" w:cs="Arial"/>
          <w:sz w:val="20"/>
          <w:szCs w:val="20"/>
          <w:lang w:val="es-MX"/>
        </w:rPr>
        <w:t xml:space="preserve">familiares del señor Portugal. </w:t>
      </w:r>
      <w:r w:rsidR="00354D4D" w:rsidRPr="006F5B50">
        <w:rPr>
          <w:rFonts w:ascii="Verdana" w:hAnsi="Verdana" w:cs="Arial"/>
          <w:sz w:val="20"/>
          <w:szCs w:val="20"/>
          <w:lang w:val="es-MX"/>
        </w:rPr>
        <w:t xml:space="preserve">La Corte </w:t>
      </w:r>
      <w:r w:rsidR="003E38B6" w:rsidRPr="006F5B50">
        <w:rPr>
          <w:rFonts w:ascii="Verdana" w:hAnsi="Verdana" w:cs="Arial"/>
          <w:sz w:val="20"/>
          <w:szCs w:val="20"/>
          <w:lang w:val="es-MX"/>
        </w:rPr>
        <w:t>estableció</w:t>
      </w:r>
      <w:r w:rsidR="00354D4D" w:rsidRPr="006F5B50">
        <w:rPr>
          <w:rFonts w:ascii="Verdana" w:hAnsi="Verdana" w:cs="Arial"/>
          <w:sz w:val="20"/>
          <w:szCs w:val="20"/>
          <w:lang w:val="es-MX"/>
        </w:rPr>
        <w:t xml:space="preserve"> que su Sentencia constituye por sí misma una forma de reparación y, además, orden</w:t>
      </w:r>
      <w:r w:rsidR="00246E7F">
        <w:rPr>
          <w:rFonts w:ascii="Verdana" w:hAnsi="Verdana" w:cs="Arial"/>
          <w:sz w:val="20"/>
          <w:szCs w:val="20"/>
          <w:lang w:val="es-MX"/>
        </w:rPr>
        <w:t>ó</w:t>
      </w:r>
      <w:r w:rsidR="00354D4D" w:rsidRPr="006F5B50">
        <w:rPr>
          <w:rFonts w:ascii="Verdana" w:hAnsi="Verdana" w:cs="Arial"/>
          <w:sz w:val="20"/>
          <w:szCs w:val="20"/>
          <w:lang w:val="es-MX"/>
        </w:rPr>
        <w:t xml:space="preserve"> al Estado determinadas medidas de reparación (</w:t>
      </w:r>
      <w:r w:rsidR="00354D4D" w:rsidRPr="00A00A2F">
        <w:rPr>
          <w:rFonts w:ascii="Verdana" w:hAnsi="Verdana" w:cs="Arial"/>
          <w:i/>
          <w:sz w:val="20"/>
          <w:szCs w:val="20"/>
          <w:lang w:val="es-MX"/>
        </w:rPr>
        <w:t>infra</w:t>
      </w:r>
      <w:r w:rsidR="00354D4D" w:rsidRPr="006F5B50">
        <w:rPr>
          <w:rFonts w:ascii="Verdana" w:hAnsi="Verdana" w:cs="Arial"/>
          <w:sz w:val="20"/>
          <w:szCs w:val="20"/>
          <w:lang w:val="es-MX"/>
        </w:rPr>
        <w:t xml:space="preserve"> Considerando </w:t>
      </w:r>
      <w:r w:rsidR="00152C6D">
        <w:rPr>
          <w:rFonts w:ascii="Verdana" w:hAnsi="Verdana" w:cs="Arial"/>
          <w:sz w:val="20"/>
          <w:szCs w:val="20"/>
          <w:lang w:val="es-MX"/>
        </w:rPr>
        <w:fldChar w:fldCharType="begin"/>
      </w:r>
      <w:r w:rsidR="00152C6D">
        <w:rPr>
          <w:rFonts w:ascii="Verdana" w:hAnsi="Verdana" w:cs="Arial"/>
          <w:sz w:val="20"/>
          <w:szCs w:val="20"/>
          <w:lang w:val="es-MX"/>
        </w:rPr>
        <w:instrText xml:space="preserve"> REF _Ref498615574 \r \h </w:instrText>
      </w:r>
      <w:r w:rsidR="00152C6D">
        <w:rPr>
          <w:rFonts w:ascii="Verdana" w:hAnsi="Verdana" w:cs="Arial"/>
          <w:sz w:val="20"/>
          <w:szCs w:val="20"/>
          <w:lang w:val="es-MX"/>
        </w:rPr>
      </w:r>
      <w:r w:rsidR="00152C6D">
        <w:rPr>
          <w:rFonts w:ascii="Verdana" w:hAnsi="Verdana" w:cs="Arial"/>
          <w:sz w:val="20"/>
          <w:szCs w:val="20"/>
          <w:lang w:val="es-MX"/>
        </w:rPr>
        <w:fldChar w:fldCharType="separate"/>
      </w:r>
      <w:r w:rsidR="00360B00">
        <w:rPr>
          <w:rFonts w:ascii="Verdana" w:hAnsi="Verdana" w:cs="Arial"/>
          <w:sz w:val="20"/>
          <w:szCs w:val="20"/>
          <w:lang w:val="es-MX"/>
        </w:rPr>
        <w:t>1</w:t>
      </w:r>
      <w:r w:rsidR="00152C6D">
        <w:rPr>
          <w:rFonts w:ascii="Verdana" w:hAnsi="Verdana" w:cs="Arial"/>
          <w:sz w:val="20"/>
          <w:szCs w:val="20"/>
          <w:lang w:val="es-MX"/>
        </w:rPr>
        <w:fldChar w:fldCharType="end"/>
      </w:r>
      <w:r w:rsidR="00354D4D" w:rsidRPr="006F5B50">
        <w:rPr>
          <w:rFonts w:ascii="Verdana" w:hAnsi="Verdana" w:cs="Arial"/>
          <w:sz w:val="20"/>
          <w:szCs w:val="20"/>
          <w:lang w:val="es-MX"/>
        </w:rPr>
        <w:t>).</w:t>
      </w:r>
      <w:bookmarkEnd w:id="1"/>
    </w:p>
    <w:p w14:paraId="4D21CCD0" w14:textId="77777777" w:rsidR="00883AD6" w:rsidRPr="004D1369" w:rsidRDefault="00883AD6" w:rsidP="00305922">
      <w:pPr>
        <w:pStyle w:val="ListParagraph"/>
        <w:spacing w:line="240" w:lineRule="auto"/>
        <w:ind w:left="0"/>
        <w:jc w:val="both"/>
        <w:rPr>
          <w:rFonts w:ascii="Verdana" w:hAnsi="Verdana" w:cs="Arial"/>
          <w:sz w:val="20"/>
          <w:szCs w:val="20"/>
          <w:highlight w:val="yellow"/>
          <w:lang w:val="es-MX"/>
        </w:rPr>
      </w:pPr>
    </w:p>
    <w:p w14:paraId="24BB358F" w14:textId="4A028A2E" w:rsidR="00354D4D" w:rsidRDefault="00DA7A37" w:rsidP="00305922">
      <w:pPr>
        <w:pStyle w:val="ListParagraph"/>
        <w:numPr>
          <w:ilvl w:val="0"/>
          <w:numId w:val="1"/>
        </w:numPr>
        <w:spacing w:line="240" w:lineRule="auto"/>
        <w:ind w:left="0" w:firstLine="0"/>
        <w:jc w:val="both"/>
        <w:rPr>
          <w:rFonts w:ascii="Verdana" w:hAnsi="Verdana" w:cs="Arial"/>
          <w:sz w:val="20"/>
          <w:szCs w:val="20"/>
          <w:lang w:val="es-MX"/>
        </w:rPr>
      </w:pPr>
      <w:bookmarkStart w:id="2" w:name="_Ref498603302"/>
      <w:r w:rsidRPr="006F5B50">
        <w:rPr>
          <w:rFonts w:ascii="Verdana" w:hAnsi="Verdana" w:cs="Arial"/>
          <w:sz w:val="20"/>
          <w:szCs w:val="20"/>
          <w:lang w:val="es-MX"/>
        </w:rPr>
        <w:t xml:space="preserve">Las Resoluciones de </w:t>
      </w:r>
      <w:r w:rsidR="003E38B6" w:rsidRPr="006F5B50">
        <w:rPr>
          <w:rFonts w:ascii="Verdana" w:hAnsi="Verdana" w:cs="Arial"/>
          <w:sz w:val="20"/>
          <w:szCs w:val="20"/>
          <w:lang w:val="es-MX"/>
        </w:rPr>
        <w:t>supervisión</w:t>
      </w:r>
      <w:r w:rsidRPr="006F5B50">
        <w:rPr>
          <w:rFonts w:ascii="Verdana" w:hAnsi="Verdana" w:cs="Arial"/>
          <w:sz w:val="20"/>
          <w:szCs w:val="20"/>
          <w:lang w:val="es-MX"/>
        </w:rPr>
        <w:t xml:space="preserve"> de cumplim</w:t>
      </w:r>
      <w:r w:rsidR="00AB599A">
        <w:rPr>
          <w:rFonts w:ascii="Verdana" w:hAnsi="Verdana" w:cs="Arial"/>
          <w:sz w:val="20"/>
          <w:szCs w:val="20"/>
          <w:lang w:val="es-MX"/>
        </w:rPr>
        <w:t>i</w:t>
      </w:r>
      <w:r w:rsidRPr="006F5B50">
        <w:rPr>
          <w:rFonts w:ascii="Verdana" w:hAnsi="Verdana" w:cs="Arial"/>
          <w:sz w:val="20"/>
          <w:szCs w:val="20"/>
          <w:lang w:val="es-MX"/>
        </w:rPr>
        <w:t xml:space="preserve">ento de </w:t>
      </w:r>
      <w:r w:rsidR="001873C3">
        <w:rPr>
          <w:rFonts w:ascii="Verdana" w:hAnsi="Verdana" w:cs="Arial"/>
          <w:sz w:val="20"/>
          <w:szCs w:val="20"/>
          <w:lang w:val="es-MX"/>
        </w:rPr>
        <w:t>S</w:t>
      </w:r>
      <w:r w:rsidRPr="006F5B50">
        <w:rPr>
          <w:rFonts w:ascii="Verdana" w:hAnsi="Verdana" w:cs="Arial"/>
          <w:sz w:val="20"/>
          <w:szCs w:val="20"/>
          <w:lang w:val="es-MX"/>
        </w:rPr>
        <w:t>entencia emitidas por l</w:t>
      </w:r>
      <w:r w:rsidR="001873C3">
        <w:rPr>
          <w:rFonts w:ascii="Verdana" w:hAnsi="Verdana" w:cs="Arial"/>
          <w:sz w:val="20"/>
          <w:szCs w:val="20"/>
          <w:lang w:val="es-MX"/>
        </w:rPr>
        <w:t>a</w:t>
      </w:r>
      <w:r w:rsidRPr="006F5B50">
        <w:rPr>
          <w:rFonts w:ascii="Verdana" w:hAnsi="Verdana" w:cs="Arial"/>
          <w:sz w:val="20"/>
          <w:szCs w:val="20"/>
          <w:lang w:val="es-MX"/>
        </w:rPr>
        <w:t xml:space="preserve"> </w:t>
      </w:r>
      <w:r w:rsidR="001873C3">
        <w:rPr>
          <w:rFonts w:ascii="Verdana" w:hAnsi="Verdana" w:cs="Arial"/>
          <w:sz w:val="20"/>
          <w:szCs w:val="20"/>
          <w:lang w:val="es-MX"/>
        </w:rPr>
        <w:t>Corte Interamericana</w:t>
      </w:r>
      <w:r w:rsidRPr="006F5B50">
        <w:rPr>
          <w:rFonts w:ascii="Verdana" w:hAnsi="Verdana" w:cs="Arial"/>
          <w:sz w:val="20"/>
          <w:szCs w:val="20"/>
          <w:lang w:val="es-MX"/>
        </w:rPr>
        <w:t xml:space="preserve"> </w:t>
      </w:r>
      <w:r w:rsidR="006F5B50" w:rsidRPr="006F5B50">
        <w:rPr>
          <w:rFonts w:ascii="Verdana" w:hAnsi="Verdana" w:cs="Arial"/>
          <w:sz w:val="20"/>
          <w:szCs w:val="20"/>
          <w:lang w:val="es-MX"/>
        </w:rPr>
        <w:t xml:space="preserve">el </w:t>
      </w:r>
      <w:r w:rsidRPr="006F5B50">
        <w:rPr>
          <w:rFonts w:ascii="Verdana" w:hAnsi="Verdana" w:cs="Arial"/>
          <w:sz w:val="20"/>
          <w:szCs w:val="20"/>
          <w:lang w:val="es-MX"/>
        </w:rPr>
        <w:t>28 de mayo de 2010</w:t>
      </w:r>
      <w:r w:rsidR="003E38B6" w:rsidRPr="006F5B50">
        <w:rPr>
          <w:rStyle w:val="FootnoteReference"/>
          <w:rFonts w:ascii="Verdana" w:hAnsi="Verdana" w:cs="Arial"/>
          <w:sz w:val="20"/>
          <w:szCs w:val="20"/>
          <w:lang w:val="es-MX"/>
        </w:rPr>
        <w:footnoteReference w:id="3"/>
      </w:r>
      <w:r w:rsidRPr="006F5B50">
        <w:rPr>
          <w:rFonts w:ascii="Verdana" w:hAnsi="Verdana" w:cs="Arial"/>
          <w:sz w:val="20"/>
          <w:szCs w:val="20"/>
          <w:lang w:val="es-MX"/>
        </w:rPr>
        <w:t xml:space="preserve"> y 19 de junio de 2012</w:t>
      </w:r>
      <w:r w:rsidR="003E38B6" w:rsidRPr="006F5B50">
        <w:rPr>
          <w:rStyle w:val="FootnoteReference"/>
          <w:rFonts w:ascii="Verdana" w:hAnsi="Verdana" w:cs="Arial"/>
          <w:sz w:val="20"/>
          <w:szCs w:val="20"/>
          <w:lang w:val="es-MX"/>
        </w:rPr>
        <w:footnoteReference w:id="4"/>
      </w:r>
      <w:r w:rsidRPr="006F5B50">
        <w:rPr>
          <w:rFonts w:ascii="Verdana" w:hAnsi="Verdana" w:cs="Arial"/>
          <w:sz w:val="20"/>
          <w:szCs w:val="20"/>
          <w:lang w:val="es-MX"/>
        </w:rPr>
        <w:t>.</w:t>
      </w:r>
      <w:bookmarkEnd w:id="2"/>
    </w:p>
    <w:p w14:paraId="3D027B4D" w14:textId="77777777" w:rsidR="006F5B50" w:rsidRPr="006F5B50" w:rsidRDefault="006F5B50" w:rsidP="006F5B50">
      <w:pPr>
        <w:pStyle w:val="ListParagraph"/>
        <w:rPr>
          <w:rFonts w:ascii="Verdana" w:hAnsi="Verdana" w:cs="Arial"/>
          <w:sz w:val="20"/>
          <w:szCs w:val="20"/>
          <w:lang w:val="es-MX"/>
        </w:rPr>
      </w:pPr>
    </w:p>
    <w:p w14:paraId="23411656" w14:textId="4A7D362E" w:rsidR="006F5B50" w:rsidRPr="006F5B50" w:rsidRDefault="006F5B50" w:rsidP="00305922">
      <w:pPr>
        <w:pStyle w:val="ListParagraph"/>
        <w:numPr>
          <w:ilvl w:val="0"/>
          <w:numId w:val="1"/>
        </w:numPr>
        <w:spacing w:line="240" w:lineRule="auto"/>
        <w:ind w:left="0" w:firstLine="0"/>
        <w:jc w:val="both"/>
        <w:rPr>
          <w:rFonts w:ascii="Verdana" w:hAnsi="Verdana" w:cs="Arial"/>
          <w:sz w:val="20"/>
          <w:szCs w:val="20"/>
          <w:lang w:val="es-MX"/>
        </w:rPr>
      </w:pPr>
      <w:r>
        <w:rPr>
          <w:rFonts w:ascii="Verdana" w:hAnsi="Verdana" w:cs="Arial"/>
          <w:sz w:val="20"/>
          <w:szCs w:val="20"/>
          <w:lang w:val="es-MX"/>
        </w:rPr>
        <w:t xml:space="preserve">Los </w:t>
      </w:r>
      <w:r w:rsidR="006E25DC">
        <w:rPr>
          <w:rFonts w:ascii="Verdana" w:hAnsi="Verdana" w:cs="Arial"/>
          <w:sz w:val="20"/>
          <w:szCs w:val="20"/>
          <w:lang w:val="es-MX"/>
        </w:rPr>
        <w:t xml:space="preserve">cuatro </w:t>
      </w:r>
      <w:r>
        <w:rPr>
          <w:rFonts w:ascii="Verdana" w:hAnsi="Verdana" w:cs="Arial"/>
          <w:sz w:val="20"/>
          <w:szCs w:val="20"/>
          <w:lang w:val="es-MX"/>
        </w:rPr>
        <w:t>informes presentados por el Estado entre octubre de 2013 y marzo de 2017</w:t>
      </w:r>
      <w:r w:rsidR="006E25DC">
        <w:rPr>
          <w:rStyle w:val="FootnoteReference"/>
          <w:rFonts w:ascii="Verdana" w:hAnsi="Verdana" w:cs="Arial"/>
          <w:sz w:val="20"/>
          <w:szCs w:val="20"/>
          <w:lang w:val="es-MX"/>
        </w:rPr>
        <w:footnoteReference w:id="5"/>
      </w:r>
      <w:r>
        <w:rPr>
          <w:rFonts w:ascii="Verdana" w:hAnsi="Verdana" w:cs="Arial"/>
          <w:sz w:val="20"/>
          <w:szCs w:val="20"/>
          <w:lang w:val="es-MX"/>
        </w:rPr>
        <w:t>.</w:t>
      </w:r>
    </w:p>
    <w:p w14:paraId="1302A129" w14:textId="77777777" w:rsidR="00883AD6" w:rsidRPr="004D1369" w:rsidRDefault="00883AD6" w:rsidP="00305922">
      <w:pPr>
        <w:pStyle w:val="ListParagraph"/>
        <w:spacing w:line="240" w:lineRule="auto"/>
        <w:ind w:left="0"/>
        <w:jc w:val="both"/>
        <w:rPr>
          <w:rFonts w:ascii="Verdana" w:hAnsi="Verdana" w:cs="Arial"/>
          <w:sz w:val="20"/>
          <w:szCs w:val="20"/>
          <w:highlight w:val="yellow"/>
          <w:lang w:val="es-MX"/>
        </w:rPr>
      </w:pPr>
    </w:p>
    <w:p w14:paraId="66ED530C" w14:textId="14791860" w:rsidR="00535381" w:rsidRPr="006F5B50" w:rsidRDefault="00535381" w:rsidP="00305922">
      <w:pPr>
        <w:pStyle w:val="ListParagraph"/>
        <w:numPr>
          <w:ilvl w:val="0"/>
          <w:numId w:val="1"/>
        </w:numPr>
        <w:spacing w:line="240" w:lineRule="auto"/>
        <w:ind w:left="0" w:firstLine="0"/>
        <w:jc w:val="both"/>
        <w:rPr>
          <w:rFonts w:ascii="Verdana" w:hAnsi="Verdana" w:cs="Arial"/>
          <w:sz w:val="20"/>
          <w:szCs w:val="20"/>
          <w:lang w:val="es-MX"/>
        </w:rPr>
      </w:pPr>
      <w:r w:rsidRPr="006F5B50">
        <w:rPr>
          <w:rFonts w:ascii="Verdana" w:hAnsi="Verdana" w:cs="Arial"/>
          <w:sz w:val="20"/>
          <w:szCs w:val="20"/>
          <w:lang w:val="es-MX"/>
        </w:rPr>
        <w:lastRenderedPageBreak/>
        <w:t xml:space="preserve">Los </w:t>
      </w:r>
      <w:r w:rsidR="000D5DC8">
        <w:rPr>
          <w:rFonts w:ascii="Verdana" w:hAnsi="Verdana" w:cs="Arial"/>
          <w:sz w:val="20"/>
          <w:szCs w:val="20"/>
          <w:lang w:val="es-MX"/>
        </w:rPr>
        <w:t>cuatro</w:t>
      </w:r>
      <w:r w:rsidR="000D5DC8" w:rsidRPr="006F5B50">
        <w:rPr>
          <w:rFonts w:ascii="Verdana" w:hAnsi="Verdana" w:cs="Arial"/>
          <w:sz w:val="20"/>
          <w:szCs w:val="20"/>
          <w:lang w:val="es-MX"/>
        </w:rPr>
        <w:t xml:space="preserve"> </w:t>
      </w:r>
      <w:r w:rsidRPr="006F5B50">
        <w:rPr>
          <w:rFonts w:ascii="Verdana" w:hAnsi="Verdana" w:cs="Arial"/>
          <w:sz w:val="20"/>
          <w:szCs w:val="20"/>
          <w:lang w:val="es-MX"/>
        </w:rPr>
        <w:t>escritos de observaciones presentados por los representantes de las víctimas</w:t>
      </w:r>
      <w:r w:rsidR="006F77EB" w:rsidRPr="006F5B50">
        <w:rPr>
          <w:rFonts w:ascii="Verdana" w:hAnsi="Verdana" w:cs="Arial"/>
          <w:sz w:val="20"/>
          <w:szCs w:val="20"/>
          <w:lang w:val="es-MX"/>
        </w:rPr>
        <w:t xml:space="preserve"> (en adelante “los representantes”)</w:t>
      </w:r>
      <w:r w:rsidR="00287B1A" w:rsidRPr="006F5B50">
        <w:rPr>
          <w:rStyle w:val="FootnoteReference"/>
          <w:rFonts w:ascii="Verdana" w:hAnsi="Verdana" w:cs="Arial"/>
          <w:sz w:val="20"/>
          <w:szCs w:val="20"/>
          <w:lang w:val="es-MX"/>
        </w:rPr>
        <w:footnoteReference w:id="6"/>
      </w:r>
      <w:r w:rsidR="006F77EB" w:rsidRPr="006F5B50">
        <w:rPr>
          <w:rFonts w:ascii="Verdana" w:hAnsi="Verdana" w:cs="Arial"/>
          <w:sz w:val="20"/>
          <w:szCs w:val="20"/>
          <w:lang w:val="es-MX"/>
        </w:rPr>
        <w:t xml:space="preserve"> presentados entre </w:t>
      </w:r>
      <w:r w:rsidR="00EB7925" w:rsidRPr="006F5B50">
        <w:rPr>
          <w:rFonts w:ascii="Verdana" w:hAnsi="Verdana" w:cs="Arial"/>
          <w:sz w:val="20"/>
          <w:szCs w:val="20"/>
          <w:lang w:val="es-MX"/>
        </w:rPr>
        <w:t>enero de 2014 y mayo de 2017</w:t>
      </w:r>
      <w:r w:rsidR="00EB7925" w:rsidRPr="006F5B50">
        <w:rPr>
          <w:rStyle w:val="FootnoteReference"/>
          <w:rFonts w:ascii="Verdana" w:hAnsi="Verdana" w:cs="Arial"/>
          <w:sz w:val="20"/>
          <w:szCs w:val="20"/>
          <w:lang w:val="es-MX"/>
        </w:rPr>
        <w:footnoteReference w:id="7"/>
      </w:r>
      <w:r w:rsidR="006F5B50" w:rsidRPr="006F5B50">
        <w:rPr>
          <w:rFonts w:ascii="Verdana" w:hAnsi="Verdana" w:cs="Arial"/>
          <w:sz w:val="20"/>
          <w:szCs w:val="20"/>
          <w:lang w:val="es-MX"/>
        </w:rPr>
        <w:t>.</w:t>
      </w:r>
    </w:p>
    <w:p w14:paraId="3997D332" w14:textId="77777777" w:rsidR="006F5B50" w:rsidRPr="004D1369" w:rsidRDefault="006F5B50" w:rsidP="006F5B50">
      <w:pPr>
        <w:pStyle w:val="ListParagraph"/>
        <w:spacing w:line="240" w:lineRule="auto"/>
        <w:ind w:left="0"/>
        <w:jc w:val="both"/>
        <w:rPr>
          <w:rFonts w:ascii="Verdana" w:hAnsi="Verdana" w:cs="Arial"/>
          <w:sz w:val="20"/>
          <w:szCs w:val="20"/>
          <w:highlight w:val="yellow"/>
          <w:lang w:val="es-MX"/>
        </w:rPr>
      </w:pPr>
    </w:p>
    <w:p w14:paraId="108DE4DB" w14:textId="309CC7C8" w:rsidR="00535381" w:rsidRPr="006F5B50" w:rsidRDefault="00535381" w:rsidP="00305922">
      <w:pPr>
        <w:pStyle w:val="ListParagraph"/>
        <w:numPr>
          <w:ilvl w:val="0"/>
          <w:numId w:val="1"/>
        </w:numPr>
        <w:spacing w:line="240" w:lineRule="auto"/>
        <w:ind w:left="0" w:firstLine="0"/>
        <w:jc w:val="both"/>
        <w:rPr>
          <w:rFonts w:ascii="Verdana" w:hAnsi="Verdana" w:cs="Arial"/>
          <w:sz w:val="20"/>
          <w:szCs w:val="20"/>
          <w:lang w:val="es-MX"/>
        </w:rPr>
      </w:pPr>
      <w:r w:rsidRPr="006F5B50">
        <w:rPr>
          <w:rFonts w:ascii="Verdana" w:hAnsi="Verdana" w:cs="Arial"/>
          <w:sz w:val="20"/>
          <w:szCs w:val="20"/>
          <w:lang w:val="es-MX"/>
        </w:rPr>
        <w:t xml:space="preserve">Los </w:t>
      </w:r>
      <w:r w:rsidR="006F5B50" w:rsidRPr="006F5B50">
        <w:rPr>
          <w:rFonts w:ascii="Verdana" w:hAnsi="Verdana" w:cs="Arial"/>
          <w:sz w:val="20"/>
          <w:szCs w:val="20"/>
          <w:lang w:val="es-MX"/>
        </w:rPr>
        <w:t>tres</w:t>
      </w:r>
      <w:r w:rsidR="005B2391" w:rsidRPr="006F5B50">
        <w:rPr>
          <w:rFonts w:ascii="Verdana" w:hAnsi="Verdana" w:cs="Arial"/>
          <w:sz w:val="20"/>
          <w:szCs w:val="20"/>
          <w:lang w:val="es-MX"/>
        </w:rPr>
        <w:t xml:space="preserve"> </w:t>
      </w:r>
      <w:r w:rsidRPr="006F5B50">
        <w:rPr>
          <w:rFonts w:ascii="Verdana" w:hAnsi="Verdana" w:cs="Arial"/>
          <w:sz w:val="20"/>
          <w:szCs w:val="20"/>
          <w:lang w:val="es-MX"/>
        </w:rPr>
        <w:t xml:space="preserve">escritos de observaciones presentados por la </w:t>
      </w:r>
      <w:r w:rsidR="00883AD6" w:rsidRPr="006F5B50">
        <w:rPr>
          <w:rFonts w:ascii="Verdana" w:hAnsi="Verdana" w:cs="Arial"/>
          <w:sz w:val="20"/>
          <w:szCs w:val="20"/>
          <w:lang w:val="es-MX"/>
        </w:rPr>
        <w:t>Comisión</w:t>
      </w:r>
      <w:r w:rsidRPr="006F5B50">
        <w:rPr>
          <w:rFonts w:ascii="Verdana" w:hAnsi="Verdana" w:cs="Arial"/>
          <w:sz w:val="20"/>
          <w:szCs w:val="20"/>
          <w:lang w:val="es-MX"/>
        </w:rPr>
        <w:t xml:space="preserve"> Interamericana de Derechos Humanos (en adelante, “la Comisión Interamericana” o “la </w:t>
      </w:r>
      <w:r w:rsidR="00883AD6" w:rsidRPr="006F5B50">
        <w:rPr>
          <w:rFonts w:ascii="Verdana" w:hAnsi="Verdana" w:cs="Arial"/>
          <w:sz w:val="20"/>
          <w:szCs w:val="20"/>
          <w:lang w:val="es-MX"/>
        </w:rPr>
        <w:t>Comisión”</w:t>
      </w:r>
      <w:r w:rsidRPr="006F5B50">
        <w:rPr>
          <w:rFonts w:ascii="Verdana" w:hAnsi="Verdana" w:cs="Arial"/>
          <w:sz w:val="20"/>
          <w:szCs w:val="20"/>
          <w:lang w:val="es-MX"/>
        </w:rPr>
        <w:t>) entre</w:t>
      </w:r>
      <w:r w:rsidR="00883AD6" w:rsidRPr="006F5B50">
        <w:rPr>
          <w:rFonts w:ascii="Verdana" w:hAnsi="Verdana" w:cs="Arial"/>
          <w:sz w:val="20"/>
          <w:szCs w:val="20"/>
          <w:lang w:val="es-MX"/>
        </w:rPr>
        <w:t xml:space="preserve"> </w:t>
      </w:r>
      <w:r w:rsidR="00C5318E" w:rsidRPr="006F5B50">
        <w:rPr>
          <w:rFonts w:ascii="Verdana" w:hAnsi="Verdana" w:cs="Arial"/>
          <w:sz w:val="20"/>
          <w:szCs w:val="20"/>
          <w:lang w:val="es-MX"/>
        </w:rPr>
        <w:t xml:space="preserve">enero de 2014 y </w:t>
      </w:r>
      <w:r w:rsidR="006F5B50" w:rsidRPr="006F5B50">
        <w:rPr>
          <w:rFonts w:ascii="Verdana" w:hAnsi="Verdana" w:cs="Arial"/>
          <w:sz w:val="20"/>
          <w:szCs w:val="20"/>
          <w:lang w:val="es-MX"/>
        </w:rPr>
        <w:t>septiembre</w:t>
      </w:r>
      <w:r w:rsidR="00C5318E" w:rsidRPr="006F5B50">
        <w:rPr>
          <w:rFonts w:ascii="Verdana" w:hAnsi="Verdana" w:cs="Arial"/>
          <w:sz w:val="20"/>
          <w:szCs w:val="20"/>
          <w:lang w:val="es-MX"/>
        </w:rPr>
        <w:t xml:space="preserve"> de 201</w:t>
      </w:r>
      <w:r w:rsidR="006F5B50" w:rsidRPr="006F5B50">
        <w:rPr>
          <w:rFonts w:ascii="Verdana" w:hAnsi="Verdana" w:cs="Arial"/>
          <w:sz w:val="20"/>
          <w:szCs w:val="20"/>
          <w:lang w:val="es-MX"/>
        </w:rPr>
        <w:t>7</w:t>
      </w:r>
      <w:r w:rsidR="000D5DC8">
        <w:rPr>
          <w:rStyle w:val="FootnoteReference"/>
          <w:rFonts w:ascii="Verdana" w:hAnsi="Verdana" w:cs="Arial"/>
          <w:sz w:val="20"/>
          <w:szCs w:val="20"/>
          <w:lang w:val="es-MX"/>
        </w:rPr>
        <w:footnoteReference w:id="8"/>
      </w:r>
      <w:r w:rsidR="00C5318E" w:rsidRPr="006F5B50">
        <w:rPr>
          <w:rFonts w:ascii="Verdana" w:hAnsi="Verdana" w:cs="Arial"/>
          <w:sz w:val="20"/>
          <w:szCs w:val="20"/>
          <w:lang w:val="es-MX"/>
        </w:rPr>
        <w:t>.</w:t>
      </w:r>
    </w:p>
    <w:p w14:paraId="2E91682C" w14:textId="77777777" w:rsidR="00535381" w:rsidRDefault="00535381" w:rsidP="00305922">
      <w:pPr>
        <w:pStyle w:val="ListParagraph"/>
        <w:spacing w:line="240" w:lineRule="auto"/>
        <w:ind w:left="0"/>
        <w:jc w:val="both"/>
        <w:rPr>
          <w:rFonts w:ascii="Verdana" w:hAnsi="Verdana" w:cs="Arial"/>
          <w:sz w:val="20"/>
          <w:szCs w:val="20"/>
          <w:lang w:val="es-MX"/>
        </w:rPr>
      </w:pPr>
    </w:p>
    <w:p w14:paraId="1B5625D2" w14:textId="77777777" w:rsidR="00883AD6" w:rsidRDefault="00535381" w:rsidP="00305922">
      <w:pPr>
        <w:pStyle w:val="ListParagraph"/>
        <w:spacing w:line="240" w:lineRule="auto"/>
        <w:ind w:left="0"/>
        <w:jc w:val="both"/>
        <w:rPr>
          <w:rFonts w:ascii="Verdana" w:hAnsi="Verdana" w:cs="Arial"/>
          <w:b/>
          <w:sz w:val="20"/>
          <w:szCs w:val="20"/>
          <w:lang w:val="es-MX"/>
        </w:rPr>
      </w:pPr>
      <w:r w:rsidRPr="00883AD6">
        <w:rPr>
          <w:rFonts w:ascii="Verdana" w:hAnsi="Verdana" w:cs="Arial"/>
          <w:b/>
          <w:sz w:val="20"/>
          <w:szCs w:val="20"/>
          <w:lang w:val="es-MX"/>
        </w:rPr>
        <w:t>CONSIDERANDO QUE:</w:t>
      </w:r>
    </w:p>
    <w:p w14:paraId="52F5A7DA" w14:textId="77777777" w:rsidR="00883AD6" w:rsidRDefault="00883AD6" w:rsidP="00305922">
      <w:pPr>
        <w:pStyle w:val="ListParagraph"/>
        <w:spacing w:line="240" w:lineRule="auto"/>
        <w:ind w:left="0"/>
        <w:jc w:val="both"/>
        <w:rPr>
          <w:rFonts w:ascii="Verdana" w:hAnsi="Verdana" w:cs="Arial"/>
          <w:b/>
          <w:sz w:val="20"/>
          <w:szCs w:val="20"/>
          <w:lang w:val="es-MX"/>
        </w:rPr>
      </w:pPr>
    </w:p>
    <w:p w14:paraId="353549BC" w14:textId="4480BBA8" w:rsidR="00C23E34" w:rsidRPr="00E464F3" w:rsidRDefault="00535381" w:rsidP="00305922">
      <w:pPr>
        <w:pStyle w:val="ListParagraph"/>
        <w:numPr>
          <w:ilvl w:val="0"/>
          <w:numId w:val="3"/>
        </w:numPr>
        <w:spacing w:before="120" w:after="120" w:line="240" w:lineRule="auto"/>
        <w:ind w:left="0" w:firstLine="0"/>
        <w:contextualSpacing w:val="0"/>
        <w:jc w:val="both"/>
        <w:rPr>
          <w:rFonts w:ascii="Verdana" w:hAnsi="Verdana" w:cs="Arial"/>
          <w:sz w:val="20"/>
          <w:szCs w:val="20"/>
          <w:lang w:val="es-MX"/>
        </w:rPr>
      </w:pPr>
      <w:bookmarkStart w:id="3" w:name="_Ref498615574"/>
      <w:r w:rsidRPr="00E464F3">
        <w:rPr>
          <w:rFonts w:ascii="Verdana" w:hAnsi="Verdana" w:cs="Arial"/>
          <w:sz w:val="20"/>
          <w:szCs w:val="20"/>
          <w:lang w:val="es-CR"/>
        </w:rPr>
        <w:t xml:space="preserve">En el ejercicio de </w:t>
      </w:r>
      <w:r w:rsidRPr="00E464F3">
        <w:rPr>
          <w:rFonts w:ascii="Verdana" w:hAnsi="Verdana" w:cs="Arial"/>
          <w:sz w:val="20"/>
          <w:szCs w:val="20"/>
          <w:lang w:val="es-ES"/>
        </w:rPr>
        <w:t xml:space="preserve">su función jurisdiccional de </w:t>
      </w:r>
      <w:r w:rsidRPr="00E464F3">
        <w:rPr>
          <w:rFonts w:ascii="Verdana" w:hAnsi="Verdana" w:cs="Arial"/>
          <w:sz w:val="20"/>
          <w:szCs w:val="20"/>
          <w:lang w:val="es-CR"/>
        </w:rPr>
        <w:t>supervisar el cumplimiento de sus decisiones</w:t>
      </w:r>
      <w:r w:rsidRPr="00883AD6">
        <w:rPr>
          <w:rStyle w:val="FootnoteReference"/>
          <w:rFonts w:ascii="Verdana" w:hAnsi="Verdana" w:cs="Arial"/>
          <w:sz w:val="20"/>
          <w:szCs w:val="20"/>
        </w:rPr>
        <w:footnoteReference w:id="9"/>
      </w:r>
      <w:r w:rsidRPr="00E464F3">
        <w:rPr>
          <w:rFonts w:ascii="Verdana" w:hAnsi="Verdana" w:cs="Arial"/>
          <w:sz w:val="20"/>
          <w:szCs w:val="20"/>
          <w:lang w:val="es-CR"/>
        </w:rPr>
        <w:t xml:space="preserve">, la Corte ha venido supervisando la ejecución de la Sentencia emitida </w:t>
      </w:r>
      <w:r w:rsidRPr="00E464F3">
        <w:rPr>
          <w:rFonts w:ascii="Verdana" w:hAnsi="Verdana" w:cs="Arial"/>
          <w:sz w:val="20"/>
          <w:szCs w:val="20"/>
          <w:lang w:val="es-MX"/>
        </w:rPr>
        <w:t>hace más de nueve años</w:t>
      </w:r>
      <w:r w:rsidR="00190873" w:rsidRPr="00E464F3">
        <w:rPr>
          <w:rFonts w:ascii="Verdana" w:hAnsi="Verdana" w:cs="Arial"/>
          <w:sz w:val="20"/>
          <w:szCs w:val="20"/>
          <w:lang w:val="es-MX"/>
        </w:rPr>
        <w:t xml:space="preserve"> (</w:t>
      </w:r>
      <w:r w:rsidR="00190873" w:rsidRPr="00E464F3">
        <w:rPr>
          <w:rFonts w:ascii="Verdana" w:hAnsi="Verdana" w:cs="Arial"/>
          <w:i/>
          <w:sz w:val="20"/>
          <w:szCs w:val="20"/>
          <w:lang w:val="es-MX"/>
        </w:rPr>
        <w:t>supra</w:t>
      </w:r>
      <w:r w:rsidR="00190873" w:rsidRPr="00E464F3">
        <w:rPr>
          <w:rFonts w:ascii="Verdana" w:hAnsi="Verdana" w:cs="Arial"/>
          <w:sz w:val="20"/>
          <w:szCs w:val="20"/>
          <w:lang w:val="es-MX"/>
        </w:rPr>
        <w:t xml:space="preserve"> Visto </w:t>
      </w:r>
      <w:r w:rsidR="00152C6D">
        <w:rPr>
          <w:rFonts w:ascii="Verdana" w:hAnsi="Verdana" w:cs="Arial"/>
          <w:sz w:val="20"/>
          <w:szCs w:val="20"/>
          <w:lang w:val="es-MX"/>
        </w:rPr>
        <w:fldChar w:fldCharType="begin"/>
      </w:r>
      <w:r w:rsidR="00152C6D">
        <w:rPr>
          <w:rFonts w:ascii="Verdana" w:hAnsi="Verdana" w:cs="Arial"/>
          <w:sz w:val="20"/>
          <w:szCs w:val="20"/>
          <w:lang w:val="es-MX"/>
        </w:rPr>
        <w:instrText xml:space="preserve"> REF _Ref498615582 \r \h </w:instrText>
      </w:r>
      <w:r w:rsidR="00152C6D">
        <w:rPr>
          <w:rFonts w:ascii="Verdana" w:hAnsi="Verdana" w:cs="Arial"/>
          <w:sz w:val="20"/>
          <w:szCs w:val="20"/>
          <w:lang w:val="es-MX"/>
        </w:rPr>
      </w:r>
      <w:r w:rsidR="00152C6D">
        <w:rPr>
          <w:rFonts w:ascii="Verdana" w:hAnsi="Verdana" w:cs="Arial"/>
          <w:sz w:val="20"/>
          <w:szCs w:val="20"/>
          <w:lang w:val="es-MX"/>
        </w:rPr>
        <w:fldChar w:fldCharType="separate"/>
      </w:r>
      <w:r w:rsidR="00360B00">
        <w:rPr>
          <w:rFonts w:ascii="Verdana" w:hAnsi="Verdana" w:cs="Arial"/>
          <w:sz w:val="20"/>
          <w:szCs w:val="20"/>
          <w:lang w:val="es-MX"/>
        </w:rPr>
        <w:t>1</w:t>
      </w:r>
      <w:r w:rsidR="00152C6D">
        <w:rPr>
          <w:rFonts w:ascii="Verdana" w:hAnsi="Verdana" w:cs="Arial"/>
          <w:sz w:val="20"/>
          <w:szCs w:val="20"/>
          <w:lang w:val="es-MX"/>
        </w:rPr>
        <w:fldChar w:fldCharType="end"/>
      </w:r>
      <w:r w:rsidR="00190873" w:rsidRPr="00E464F3">
        <w:rPr>
          <w:rFonts w:ascii="Verdana" w:hAnsi="Verdana" w:cs="Arial"/>
          <w:sz w:val="20"/>
          <w:szCs w:val="20"/>
          <w:lang w:val="es-MX"/>
        </w:rPr>
        <w:t>)</w:t>
      </w:r>
      <w:r w:rsidRPr="00E464F3">
        <w:rPr>
          <w:rFonts w:ascii="Verdana" w:hAnsi="Verdana" w:cs="Arial"/>
          <w:sz w:val="20"/>
          <w:szCs w:val="20"/>
          <w:lang w:val="es-MX"/>
        </w:rPr>
        <w:t xml:space="preserve">. El Tribunal ha emitido </w:t>
      </w:r>
      <w:r w:rsidR="00190873" w:rsidRPr="00E464F3">
        <w:rPr>
          <w:rFonts w:ascii="Verdana" w:hAnsi="Verdana" w:cs="Arial"/>
          <w:sz w:val="20"/>
          <w:szCs w:val="20"/>
          <w:lang w:val="es-MX"/>
        </w:rPr>
        <w:t>dos</w:t>
      </w:r>
      <w:r w:rsidRPr="00E464F3">
        <w:rPr>
          <w:rFonts w:ascii="Verdana" w:hAnsi="Verdana" w:cs="Arial"/>
          <w:sz w:val="20"/>
          <w:szCs w:val="20"/>
          <w:lang w:val="es-MX"/>
        </w:rPr>
        <w:t xml:space="preserve"> resoluciones de supervisión de cumplimiento (</w:t>
      </w:r>
      <w:r w:rsidRPr="006E62E4">
        <w:rPr>
          <w:rFonts w:ascii="Verdana" w:hAnsi="Verdana" w:cs="Arial"/>
          <w:i/>
          <w:sz w:val="20"/>
          <w:szCs w:val="20"/>
          <w:lang w:val="es-MX"/>
        </w:rPr>
        <w:t>supra</w:t>
      </w:r>
      <w:r w:rsidRPr="00E464F3">
        <w:rPr>
          <w:rFonts w:ascii="Verdana" w:hAnsi="Verdana" w:cs="Arial"/>
          <w:sz w:val="20"/>
          <w:szCs w:val="20"/>
          <w:lang w:val="es-MX"/>
        </w:rPr>
        <w:t xml:space="preserve"> Visto </w:t>
      </w:r>
      <w:r w:rsidR="00152C6D">
        <w:rPr>
          <w:rFonts w:ascii="Verdana" w:hAnsi="Verdana" w:cs="Arial"/>
          <w:sz w:val="20"/>
          <w:szCs w:val="20"/>
          <w:lang w:val="es-MX"/>
        </w:rPr>
        <w:fldChar w:fldCharType="begin"/>
      </w:r>
      <w:r w:rsidR="00152C6D">
        <w:rPr>
          <w:rFonts w:ascii="Verdana" w:hAnsi="Verdana" w:cs="Arial"/>
          <w:sz w:val="20"/>
          <w:szCs w:val="20"/>
          <w:lang w:val="es-MX"/>
        </w:rPr>
        <w:instrText xml:space="preserve"> REF _Ref498603302 \r \h </w:instrText>
      </w:r>
      <w:r w:rsidR="00152C6D">
        <w:rPr>
          <w:rFonts w:ascii="Verdana" w:hAnsi="Verdana" w:cs="Arial"/>
          <w:sz w:val="20"/>
          <w:szCs w:val="20"/>
          <w:lang w:val="es-MX"/>
        </w:rPr>
      </w:r>
      <w:r w:rsidR="00152C6D">
        <w:rPr>
          <w:rFonts w:ascii="Verdana" w:hAnsi="Verdana" w:cs="Arial"/>
          <w:sz w:val="20"/>
          <w:szCs w:val="20"/>
          <w:lang w:val="es-MX"/>
        </w:rPr>
        <w:fldChar w:fldCharType="separate"/>
      </w:r>
      <w:r w:rsidR="00360B00">
        <w:rPr>
          <w:rFonts w:ascii="Verdana" w:hAnsi="Verdana" w:cs="Arial"/>
          <w:sz w:val="20"/>
          <w:szCs w:val="20"/>
          <w:lang w:val="es-MX"/>
        </w:rPr>
        <w:t>2</w:t>
      </w:r>
      <w:r w:rsidR="00152C6D">
        <w:rPr>
          <w:rFonts w:ascii="Verdana" w:hAnsi="Verdana" w:cs="Arial"/>
          <w:sz w:val="20"/>
          <w:szCs w:val="20"/>
          <w:lang w:val="es-MX"/>
        </w:rPr>
        <w:fldChar w:fldCharType="end"/>
      </w:r>
      <w:r w:rsidRPr="00E464F3">
        <w:rPr>
          <w:rFonts w:ascii="Verdana" w:hAnsi="Verdana" w:cs="Arial"/>
          <w:sz w:val="20"/>
          <w:szCs w:val="20"/>
          <w:lang w:val="es-MX"/>
        </w:rPr>
        <w:t xml:space="preserve">), en las cuales declaró que Panamá ha dado cumplimiento total a </w:t>
      </w:r>
      <w:r w:rsidR="00566D68" w:rsidRPr="00E464F3">
        <w:rPr>
          <w:rFonts w:ascii="Verdana" w:hAnsi="Verdana" w:cs="Arial"/>
          <w:sz w:val="20"/>
          <w:szCs w:val="20"/>
          <w:lang w:val="es-MX"/>
        </w:rPr>
        <w:t>cinco de medidas de reparación</w:t>
      </w:r>
      <w:r w:rsidR="00566D68" w:rsidRPr="00883AD6">
        <w:rPr>
          <w:rStyle w:val="FootnoteReference"/>
          <w:rFonts w:ascii="Verdana" w:hAnsi="Verdana" w:cs="Arial"/>
          <w:sz w:val="20"/>
          <w:szCs w:val="20"/>
          <w:lang w:val="es-MX"/>
        </w:rPr>
        <w:footnoteReference w:id="10"/>
      </w:r>
      <w:r w:rsidR="00931D55" w:rsidRPr="00E464F3">
        <w:rPr>
          <w:rFonts w:ascii="Verdana" w:hAnsi="Verdana" w:cs="Arial"/>
          <w:sz w:val="20"/>
          <w:szCs w:val="20"/>
          <w:lang w:val="es-MX"/>
        </w:rPr>
        <w:t xml:space="preserve"> y cumplimiento parcial a una reparación</w:t>
      </w:r>
      <w:r w:rsidR="00C23E34" w:rsidRPr="00883AD6">
        <w:rPr>
          <w:rStyle w:val="FootnoteReference"/>
          <w:rFonts w:ascii="Verdana" w:hAnsi="Verdana" w:cs="Arial"/>
          <w:sz w:val="20"/>
          <w:szCs w:val="20"/>
          <w:lang w:val="es-MX"/>
        </w:rPr>
        <w:footnoteReference w:id="11"/>
      </w:r>
      <w:r w:rsidR="00931D55" w:rsidRPr="00E464F3">
        <w:rPr>
          <w:rFonts w:ascii="Verdana" w:hAnsi="Verdana" w:cs="Arial"/>
          <w:sz w:val="20"/>
          <w:szCs w:val="20"/>
          <w:lang w:val="es-MX"/>
        </w:rPr>
        <w:t xml:space="preserve">, quedando pendientes de cumplimiento </w:t>
      </w:r>
      <w:r w:rsidR="000A642D" w:rsidRPr="00E464F3">
        <w:rPr>
          <w:rFonts w:ascii="Verdana" w:hAnsi="Verdana" w:cs="Arial"/>
          <w:sz w:val="20"/>
          <w:szCs w:val="20"/>
          <w:lang w:val="es-MX"/>
        </w:rPr>
        <w:t>tres</w:t>
      </w:r>
      <w:r w:rsidR="00931D55" w:rsidRPr="00E464F3">
        <w:rPr>
          <w:rFonts w:ascii="Verdana" w:hAnsi="Verdana" w:cs="Arial"/>
          <w:sz w:val="20"/>
          <w:szCs w:val="20"/>
          <w:lang w:val="es-MX"/>
        </w:rPr>
        <w:t xml:space="preserve"> medidas</w:t>
      </w:r>
      <w:r w:rsidR="000A642D">
        <w:rPr>
          <w:rStyle w:val="FootnoteReference"/>
          <w:rFonts w:ascii="Verdana" w:hAnsi="Verdana" w:cs="Arial"/>
          <w:sz w:val="20"/>
          <w:szCs w:val="20"/>
          <w:lang w:val="es-MX"/>
        </w:rPr>
        <w:footnoteReference w:id="12"/>
      </w:r>
      <w:r w:rsidR="000A642D" w:rsidRPr="00E464F3">
        <w:rPr>
          <w:rFonts w:ascii="Verdana" w:hAnsi="Verdana" w:cs="Arial"/>
          <w:sz w:val="20"/>
          <w:szCs w:val="20"/>
          <w:lang w:val="es-MX"/>
        </w:rPr>
        <w:t>.</w:t>
      </w:r>
      <w:bookmarkEnd w:id="3"/>
    </w:p>
    <w:p w14:paraId="585A8E95" w14:textId="77777777" w:rsidR="00E464F3" w:rsidRPr="00E464F3" w:rsidRDefault="00E464F3" w:rsidP="00E464F3">
      <w:pPr>
        <w:pStyle w:val="ListParagraph"/>
        <w:numPr>
          <w:ilvl w:val="0"/>
          <w:numId w:val="3"/>
        </w:numPr>
        <w:spacing w:before="120" w:after="120" w:line="240" w:lineRule="auto"/>
        <w:ind w:left="0" w:firstLine="0"/>
        <w:contextualSpacing w:val="0"/>
        <w:jc w:val="both"/>
        <w:rPr>
          <w:rFonts w:ascii="Verdana" w:hAnsi="Verdana"/>
          <w:sz w:val="20"/>
          <w:lang w:val="es-CR"/>
        </w:rPr>
      </w:pPr>
      <w:r>
        <w:rPr>
          <w:rFonts w:ascii="Verdana" w:hAnsi="Verdana"/>
          <w:sz w:val="20"/>
          <w:lang w:val="es-CR"/>
        </w:rPr>
        <w:t xml:space="preserve">De conformidad con lo establecido en el artículo 68.1 de la Convención Americana, “[l]os Estados </w:t>
      </w:r>
      <w:r w:rsidRPr="00E464F3">
        <w:rPr>
          <w:rFonts w:ascii="Verdana" w:hAnsi="Verdana" w:cs="Arial"/>
          <w:sz w:val="20"/>
          <w:szCs w:val="20"/>
          <w:lang w:val="es-MX"/>
        </w:rPr>
        <w:t>Partes</w:t>
      </w:r>
      <w:r>
        <w:rPr>
          <w:rFonts w:ascii="Verdana" w:hAnsi="Verdana"/>
          <w:sz w:val="20"/>
          <w:lang w:val="es-CR"/>
        </w:rPr>
        <w:t xml:space="preserve"> en la Convención se comprometen a cumplir la decisión de la Corte en todo caso en que sean partes”. </w:t>
      </w:r>
      <w:r w:rsidRPr="00E464F3">
        <w:rPr>
          <w:rFonts w:ascii="Verdana" w:hAnsi="Verdana"/>
          <w:sz w:val="20"/>
          <w:lang w:val="es-CR"/>
        </w:rPr>
        <w:t xml:space="preserve">Esta obligación incluye el deber del </w:t>
      </w:r>
      <w:r>
        <w:rPr>
          <w:rFonts w:ascii="Verdana" w:hAnsi="Verdana"/>
          <w:sz w:val="20"/>
          <w:lang w:val="es-CR"/>
        </w:rPr>
        <w:t>Estado</w:t>
      </w:r>
      <w:r w:rsidRPr="00E464F3">
        <w:rPr>
          <w:rFonts w:ascii="Verdana" w:hAnsi="Verdana"/>
          <w:sz w:val="20"/>
          <w:lang w:val="es-CR"/>
        </w:rPr>
        <w:t xml:space="preserve"> de informar a la Corte sobre las medidas adoptadas para cumplir cada uno de los puntos ordenados por ésta, lo cual es fundamental para evaluar el estado de cumplimiento de la Sentencia en su conjunto</w:t>
      </w:r>
      <w:r>
        <w:rPr>
          <w:rStyle w:val="FootnoteReference"/>
          <w:rFonts w:ascii="Verdana" w:hAnsi="Verdana"/>
          <w:sz w:val="20"/>
        </w:rPr>
        <w:footnoteReference w:id="13"/>
      </w:r>
      <w:r w:rsidRPr="00E464F3">
        <w:rPr>
          <w:rFonts w:ascii="Verdana" w:hAnsi="Verdana"/>
          <w:sz w:val="20"/>
          <w:lang w:val="es-CR"/>
        </w:rPr>
        <w:t xml:space="preserve">. Los Estados Parte en la Convención deben garantizar el cumplimiento de las disposiciones convencionales y sus efectos propios </w:t>
      </w:r>
      <w:r w:rsidRPr="00E464F3">
        <w:rPr>
          <w:rFonts w:ascii="Verdana" w:hAnsi="Verdana"/>
          <w:i/>
          <w:sz w:val="20"/>
          <w:lang w:val="es-CR"/>
        </w:rPr>
        <w:t>(</w:t>
      </w:r>
      <w:proofErr w:type="spellStart"/>
      <w:r w:rsidRPr="00E464F3">
        <w:rPr>
          <w:rFonts w:ascii="Verdana" w:hAnsi="Verdana"/>
          <w:i/>
          <w:sz w:val="20"/>
          <w:lang w:val="es-CR"/>
        </w:rPr>
        <w:t>effet</w:t>
      </w:r>
      <w:proofErr w:type="spellEnd"/>
      <w:r w:rsidRPr="00E464F3">
        <w:rPr>
          <w:rFonts w:ascii="Verdana" w:hAnsi="Verdana"/>
          <w:i/>
          <w:sz w:val="20"/>
          <w:lang w:val="es-CR"/>
        </w:rPr>
        <w:t xml:space="preserve"> </w:t>
      </w:r>
      <w:proofErr w:type="spellStart"/>
      <w:r w:rsidRPr="00E464F3">
        <w:rPr>
          <w:rFonts w:ascii="Verdana" w:hAnsi="Verdana"/>
          <w:i/>
          <w:sz w:val="20"/>
          <w:lang w:val="es-CR"/>
        </w:rPr>
        <w:t>utile</w:t>
      </w:r>
      <w:proofErr w:type="spellEnd"/>
      <w:r w:rsidRPr="00E464F3">
        <w:rPr>
          <w:rFonts w:ascii="Verdana" w:hAnsi="Verdana"/>
          <w:i/>
          <w:sz w:val="20"/>
          <w:lang w:val="es-CR"/>
        </w:rPr>
        <w:t xml:space="preserve">) </w:t>
      </w:r>
      <w:r w:rsidRPr="00E464F3">
        <w:rPr>
          <w:rFonts w:ascii="Verdana" w:hAnsi="Verdana"/>
          <w:sz w:val="20"/>
          <w:lang w:val="es-CR"/>
        </w:rPr>
        <w:t>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sz w:val="20"/>
        </w:rPr>
        <w:footnoteReference w:id="14"/>
      </w:r>
      <w:r w:rsidRPr="00E464F3">
        <w:rPr>
          <w:rFonts w:ascii="Verdana" w:hAnsi="Verdana"/>
          <w:sz w:val="20"/>
          <w:lang w:val="es-CR"/>
        </w:rPr>
        <w:t>.</w:t>
      </w:r>
    </w:p>
    <w:p w14:paraId="251CC971" w14:textId="1ABB20FE" w:rsidR="00883AD6" w:rsidRPr="00A97603" w:rsidRDefault="000F3D87" w:rsidP="00305922">
      <w:pPr>
        <w:pStyle w:val="ListParagraph"/>
        <w:numPr>
          <w:ilvl w:val="0"/>
          <w:numId w:val="3"/>
        </w:numPr>
        <w:spacing w:before="120" w:after="120" w:line="240" w:lineRule="auto"/>
        <w:ind w:left="0" w:firstLine="0"/>
        <w:contextualSpacing w:val="0"/>
        <w:jc w:val="both"/>
        <w:rPr>
          <w:rFonts w:ascii="Verdana" w:hAnsi="Verdana" w:cs="Arial"/>
          <w:b/>
          <w:sz w:val="20"/>
          <w:szCs w:val="20"/>
          <w:lang w:val="es-MX"/>
        </w:rPr>
      </w:pPr>
      <w:r>
        <w:rPr>
          <w:rFonts w:ascii="Verdana" w:hAnsi="Verdana" w:cs="Arial"/>
          <w:sz w:val="20"/>
          <w:szCs w:val="20"/>
          <w:lang w:val="es-CR"/>
        </w:rPr>
        <w:t>La Corte valorará la información presentada por las partes respecto de las tres medidas de reparación pendientes de cumplimiento en el presente caso, y determinará el grado de cumplimiento por parte del Estado. Las consideraciones de este Tribunal se estructurarán en el siguiente orden:</w:t>
      </w:r>
    </w:p>
    <w:sdt>
      <w:sdtPr>
        <w:rPr>
          <w:rFonts w:ascii="Calibri" w:eastAsia="Calibri" w:hAnsi="Calibri" w:cs="Times New Roman"/>
          <w:b w:val="0"/>
          <w:bCs w:val="0"/>
          <w:color w:val="auto"/>
          <w:sz w:val="22"/>
          <w:szCs w:val="22"/>
          <w:lang w:eastAsia="en-US"/>
        </w:rPr>
        <w:id w:val="1237823062"/>
        <w:docPartObj>
          <w:docPartGallery w:val="Table of Contents"/>
          <w:docPartUnique/>
        </w:docPartObj>
      </w:sdtPr>
      <w:sdtEndPr>
        <w:rPr>
          <w:noProof/>
        </w:rPr>
      </w:sdtEndPr>
      <w:sdtContent>
        <w:p w14:paraId="5C68A953" w14:textId="77777777" w:rsidR="006F5B50" w:rsidRPr="006F5B50" w:rsidRDefault="006F5B50" w:rsidP="006F5B50">
          <w:pPr>
            <w:pStyle w:val="TOCHeading"/>
            <w:tabs>
              <w:tab w:val="left" w:pos="709"/>
            </w:tabs>
            <w:ind w:left="567" w:right="571"/>
            <w:rPr>
              <w:rFonts w:ascii="Verdana" w:hAnsi="Verdana"/>
              <w:b w:val="0"/>
              <w:sz w:val="16"/>
              <w:szCs w:val="16"/>
            </w:rPr>
          </w:pPr>
        </w:p>
        <w:p w14:paraId="3634B49D" w14:textId="46C04405" w:rsidR="006F5B50" w:rsidRPr="006F5B50" w:rsidRDefault="006F5B50" w:rsidP="006F5B50">
          <w:pPr>
            <w:pStyle w:val="TOC1"/>
            <w:tabs>
              <w:tab w:val="left" w:pos="660"/>
              <w:tab w:val="left" w:pos="709"/>
              <w:tab w:val="right" w:leader="dot" w:pos="9350"/>
            </w:tabs>
            <w:ind w:left="567" w:right="571"/>
            <w:rPr>
              <w:rFonts w:ascii="Verdana" w:hAnsi="Verdana"/>
              <w:noProof/>
              <w:sz w:val="16"/>
              <w:szCs w:val="16"/>
            </w:rPr>
          </w:pPr>
          <w:r w:rsidRPr="006F5B50">
            <w:rPr>
              <w:rFonts w:ascii="Verdana" w:hAnsi="Verdana"/>
              <w:sz w:val="16"/>
              <w:szCs w:val="16"/>
            </w:rPr>
            <w:fldChar w:fldCharType="begin"/>
          </w:r>
          <w:r w:rsidRPr="006F5B50">
            <w:rPr>
              <w:rFonts w:ascii="Verdana" w:hAnsi="Verdana"/>
              <w:sz w:val="16"/>
              <w:szCs w:val="16"/>
            </w:rPr>
            <w:instrText xml:space="preserve"> TOC \o "1-3" \h \z \u </w:instrText>
          </w:r>
          <w:r w:rsidRPr="006F5B50">
            <w:rPr>
              <w:rFonts w:ascii="Verdana" w:hAnsi="Verdana"/>
              <w:sz w:val="16"/>
              <w:szCs w:val="16"/>
            </w:rPr>
            <w:fldChar w:fldCharType="separate"/>
          </w:r>
          <w:hyperlink w:anchor="_Toc493607394" w:history="1">
            <w:r w:rsidRPr="006F5B50">
              <w:rPr>
                <w:rStyle w:val="Hyperlink"/>
                <w:rFonts w:ascii="Verdana" w:hAnsi="Verdana" w:cs="Arial"/>
                <w:i/>
                <w:noProof/>
                <w:sz w:val="16"/>
                <w:szCs w:val="16"/>
                <w:lang w:val="es-MX"/>
              </w:rPr>
              <w:t xml:space="preserve">A.Obligación de </w:t>
            </w:r>
            <w:r w:rsidR="00A56CB3">
              <w:rPr>
                <w:rStyle w:val="Hyperlink"/>
                <w:rFonts w:ascii="Verdana" w:hAnsi="Verdana" w:cs="Arial"/>
                <w:i/>
                <w:noProof/>
                <w:sz w:val="16"/>
                <w:szCs w:val="16"/>
                <w:lang w:val="es-MX"/>
              </w:rPr>
              <w:t>i</w:t>
            </w:r>
            <w:r w:rsidRPr="006F5B50">
              <w:rPr>
                <w:rStyle w:val="Hyperlink"/>
                <w:rFonts w:ascii="Verdana" w:hAnsi="Verdana" w:cs="Arial"/>
                <w:i/>
                <w:noProof/>
                <w:sz w:val="16"/>
                <w:szCs w:val="16"/>
                <w:lang w:val="es-MX"/>
              </w:rPr>
              <w:t>nvestigar, juzgar, y de ser el caso, sancionar</w:t>
            </w:r>
            <w:r w:rsidRPr="006F5B50">
              <w:rPr>
                <w:rFonts w:ascii="Verdana" w:hAnsi="Verdana"/>
                <w:noProof/>
                <w:webHidden/>
                <w:sz w:val="16"/>
                <w:szCs w:val="16"/>
              </w:rPr>
              <w:tab/>
            </w:r>
            <w:r w:rsidRPr="006F5B50">
              <w:rPr>
                <w:rFonts w:ascii="Verdana" w:hAnsi="Verdana"/>
                <w:noProof/>
                <w:webHidden/>
                <w:sz w:val="16"/>
                <w:szCs w:val="16"/>
              </w:rPr>
              <w:fldChar w:fldCharType="begin"/>
            </w:r>
            <w:r w:rsidRPr="006F5B50">
              <w:rPr>
                <w:rFonts w:ascii="Verdana" w:hAnsi="Verdana"/>
                <w:noProof/>
                <w:webHidden/>
                <w:sz w:val="16"/>
                <w:szCs w:val="16"/>
              </w:rPr>
              <w:instrText xml:space="preserve"> PAGEREF _Toc493607394 \h </w:instrText>
            </w:r>
            <w:r w:rsidRPr="006F5B50">
              <w:rPr>
                <w:rFonts w:ascii="Verdana" w:hAnsi="Verdana"/>
                <w:noProof/>
                <w:webHidden/>
                <w:sz w:val="16"/>
                <w:szCs w:val="16"/>
              </w:rPr>
            </w:r>
            <w:r w:rsidRPr="006F5B50">
              <w:rPr>
                <w:rFonts w:ascii="Verdana" w:hAnsi="Verdana"/>
                <w:noProof/>
                <w:webHidden/>
                <w:sz w:val="16"/>
                <w:szCs w:val="16"/>
              </w:rPr>
              <w:fldChar w:fldCharType="separate"/>
            </w:r>
            <w:r w:rsidR="00360B00">
              <w:rPr>
                <w:rFonts w:ascii="Verdana" w:hAnsi="Verdana"/>
                <w:noProof/>
                <w:webHidden/>
                <w:sz w:val="16"/>
                <w:szCs w:val="16"/>
              </w:rPr>
              <w:t>3</w:t>
            </w:r>
            <w:r w:rsidRPr="006F5B50">
              <w:rPr>
                <w:rFonts w:ascii="Verdana" w:hAnsi="Verdana"/>
                <w:noProof/>
                <w:webHidden/>
                <w:sz w:val="16"/>
                <w:szCs w:val="16"/>
              </w:rPr>
              <w:fldChar w:fldCharType="end"/>
            </w:r>
          </w:hyperlink>
        </w:p>
        <w:p w14:paraId="1F01AE40" w14:textId="307FC5FD" w:rsidR="006F5B50" w:rsidRPr="006F5B50" w:rsidRDefault="00C95429" w:rsidP="006F5B50">
          <w:pPr>
            <w:pStyle w:val="TOC1"/>
            <w:tabs>
              <w:tab w:val="left" w:pos="660"/>
              <w:tab w:val="left" w:pos="709"/>
              <w:tab w:val="right" w:leader="dot" w:pos="9350"/>
            </w:tabs>
            <w:ind w:left="567" w:right="571"/>
            <w:rPr>
              <w:rFonts w:ascii="Verdana" w:hAnsi="Verdana"/>
              <w:noProof/>
              <w:sz w:val="16"/>
              <w:szCs w:val="16"/>
            </w:rPr>
          </w:pPr>
          <w:hyperlink w:anchor="_Toc493607395" w:history="1">
            <w:r w:rsidR="006F5B50" w:rsidRPr="006F5B50">
              <w:rPr>
                <w:rStyle w:val="Hyperlink"/>
                <w:rFonts w:ascii="Verdana" w:hAnsi="Verdana" w:cs="Arial"/>
                <w:i/>
                <w:noProof/>
                <w:sz w:val="16"/>
                <w:szCs w:val="16"/>
                <w:lang w:val="es-MX"/>
              </w:rPr>
              <w:t xml:space="preserve">B.Tratamiento </w:t>
            </w:r>
            <w:r w:rsidR="00A56CB3">
              <w:rPr>
                <w:rStyle w:val="Hyperlink"/>
                <w:rFonts w:ascii="Verdana" w:hAnsi="Verdana" w:cs="Arial"/>
                <w:i/>
                <w:noProof/>
                <w:sz w:val="16"/>
                <w:szCs w:val="16"/>
                <w:lang w:val="es-MX"/>
              </w:rPr>
              <w:t>m</w:t>
            </w:r>
            <w:r w:rsidR="006F5B50" w:rsidRPr="006F5B50">
              <w:rPr>
                <w:rStyle w:val="Hyperlink"/>
                <w:rFonts w:ascii="Verdana" w:hAnsi="Verdana" w:cs="Arial"/>
                <w:i/>
                <w:noProof/>
                <w:sz w:val="16"/>
                <w:szCs w:val="16"/>
                <w:lang w:val="es-MX"/>
              </w:rPr>
              <w:t xml:space="preserve">édico y </w:t>
            </w:r>
            <w:r w:rsidR="00A56CB3">
              <w:rPr>
                <w:rStyle w:val="Hyperlink"/>
                <w:rFonts w:ascii="Verdana" w:hAnsi="Verdana" w:cs="Arial"/>
                <w:i/>
                <w:noProof/>
                <w:sz w:val="16"/>
                <w:szCs w:val="16"/>
                <w:lang w:val="es-MX"/>
              </w:rPr>
              <w:t>p</w:t>
            </w:r>
            <w:r w:rsidR="006F5B50" w:rsidRPr="006F5B50">
              <w:rPr>
                <w:rStyle w:val="Hyperlink"/>
                <w:rFonts w:ascii="Verdana" w:hAnsi="Verdana" w:cs="Arial"/>
                <w:i/>
                <w:noProof/>
                <w:sz w:val="16"/>
                <w:szCs w:val="16"/>
                <w:lang w:val="es-MX"/>
              </w:rPr>
              <w:t>sicológico</w:t>
            </w:r>
            <w:r w:rsidR="006F5B50" w:rsidRPr="006F5B50">
              <w:rPr>
                <w:rFonts w:ascii="Verdana" w:hAnsi="Verdana"/>
                <w:noProof/>
                <w:webHidden/>
                <w:sz w:val="16"/>
                <w:szCs w:val="16"/>
              </w:rPr>
              <w:tab/>
            </w:r>
            <w:r w:rsidR="006F5B50" w:rsidRPr="006F5B50">
              <w:rPr>
                <w:rFonts w:ascii="Verdana" w:hAnsi="Verdana"/>
                <w:noProof/>
                <w:webHidden/>
                <w:sz w:val="16"/>
                <w:szCs w:val="16"/>
              </w:rPr>
              <w:fldChar w:fldCharType="begin"/>
            </w:r>
            <w:r w:rsidR="006F5B50" w:rsidRPr="006F5B50">
              <w:rPr>
                <w:rFonts w:ascii="Verdana" w:hAnsi="Verdana"/>
                <w:noProof/>
                <w:webHidden/>
                <w:sz w:val="16"/>
                <w:szCs w:val="16"/>
              </w:rPr>
              <w:instrText xml:space="preserve"> PAGEREF _Toc493607395 \h </w:instrText>
            </w:r>
            <w:r w:rsidR="006F5B50" w:rsidRPr="006F5B50">
              <w:rPr>
                <w:rFonts w:ascii="Verdana" w:hAnsi="Verdana"/>
                <w:noProof/>
                <w:webHidden/>
                <w:sz w:val="16"/>
                <w:szCs w:val="16"/>
              </w:rPr>
            </w:r>
            <w:r w:rsidR="006F5B50" w:rsidRPr="006F5B50">
              <w:rPr>
                <w:rFonts w:ascii="Verdana" w:hAnsi="Verdana"/>
                <w:noProof/>
                <w:webHidden/>
                <w:sz w:val="16"/>
                <w:szCs w:val="16"/>
              </w:rPr>
              <w:fldChar w:fldCharType="separate"/>
            </w:r>
            <w:r w:rsidR="00360B00">
              <w:rPr>
                <w:rFonts w:ascii="Verdana" w:hAnsi="Verdana"/>
                <w:noProof/>
                <w:webHidden/>
                <w:sz w:val="16"/>
                <w:szCs w:val="16"/>
              </w:rPr>
              <w:t>6</w:t>
            </w:r>
            <w:r w:rsidR="006F5B50" w:rsidRPr="006F5B50">
              <w:rPr>
                <w:rFonts w:ascii="Verdana" w:hAnsi="Verdana"/>
                <w:noProof/>
                <w:webHidden/>
                <w:sz w:val="16"/>
                <w:szCs w:val="16"/>
              </w:rPr>
              <w:fldChar w:fldCharType="end"/>
            </w:r>
          </w:hyperlink>
        </w:p>
        <w:p w14:paraId="1E867E1B" w14:textId="77777777" w:rsidR="006F5B50" w:rsidRPr="006F5B50" w:rsidRDefault="00C95429" w:rsidP="006F5B50">
          <w:pPr>
            <w:pStyle w:val="TOC1"/>
            <w:tabs>
              <w:tab w:val="left" w:pos="660"/>
              <w:tab w:val="left" w:pos="709"/>
              <w:tab w:val="right" w:leader="dot" w:pos="9350"/>
            </w:tabs>
            <w:ind w:left="567" w:right="571"/>
            <w:rPr>
              <w:rFonts w:ascii="Verdana" w:hAnsi="Verdana"/>
              <w:noProof/>
              <w:sz w:val="16"/>
              <w:szCs w:val="16"/>
            </w:rPr>
          </w:pPr>
          <w:hyperlink w:anchor="_Toc493607396" w:history="1">
            <w:r w:rsidR="006F5B50" w:rsidRPr="006F5B50">
              <w:rPr>
                <w:rStyle w:val="Hyperlink"/>
                <w:rFonts w:ascii="Verdana" w:hAnsi="Verdana" w:cs="Arial"/>
                <w:i/>
                <w:noProof/>
                <w:sz w:val="16"/>
                <w:szCs w:val="16"/>
                <w:lang w:val="es-MX"/>
              </w:rPr>
              <w:t>C.Adecuación de la tipificación del delito de desaparición forzada</w:t>
            </w:r>
            <w:r w:rsidR="006F5B50" w:rsidRPr="006F5B50">
              <w:rPr>
                <w:rFonts w:ascii="Verdana" w:hAnsi="Verdana"/>
                <w:noProof/>
                <w:webHidden/>
                <w:sz w:val="16"/>
                <w:szCs w:val="16"/>
              </w:rPr>
              <w:tab/>
            </w:r>
            <w:r w:rsidR="006F5B50" w:rsidRPr="006F5B50">
              <w:rPr>
                <w:rFonts w:ascii="Verdana" w:hAnsi="Verdana"/>
                <w:noProof/>
                <w:webHidden/>
                <w:sz w:val="16"/>
                <w:szCs w:val="16"/>
              </w:rPr>
              <w:fldChar w:fldCharType="begin"/>
            </w:r>
            <w:r w:rsidR="006F5B50" w:rsidRPr="006F5B50">
              <w:rPr>
                <w:rFonts w:ascii="Verdana" w:hAnsi="Verdana"/>
                <w:noProof/>
                <w:webHidden/>
                <w:sz w:val="16"/>
                <w:szCs w:val="16"/>
              </w:rPr>
              <w:instrText xml:space="preserve"> PAGEREF _Toc493607396 \h </w:instrText>
            </w:r>
            <w:r w:rsidR="006F5B50" w:rsidRPr="006F5B50">
              <w:rPr>
                <w:rFonts w:ascii="Verdana" w:hAnsi="Verdana"/>
                <w:noProof/>
                <w:webHidden/>
                <w:sz w:val="16"/>
                <w:szCs w:val="16"/>
              </w:rPr>
            </w:r>
            <w:r w:rsidR="006F5B50" w:rsidRPr="006F5B50">
              <w:rPr>
                <w:rFonts w:ascii="Verdana" w:hAnsi="Verdana"/>
                <w:noProof/>
                <w:webHidden/>
                <w:sz w:val="16"/>
                <w:szCs w:val="16"/>
              </w:rPr>
              <w:fldChar w:fldCharType="separate"/>
            </w:r>
            <w:r w:rsidR="00360B00">
              <w:rPr>
                <w:rFonts w:ascii="Verdana" w:hAnsi="Verdana"/>
                <w:noProof/>
                <w:webHidden/>
                <w:sz w:val="16"/>
                <w:szCs w:val="16"/>
              </w:rPr>
              <w:t>9</w:t>
            </w:r>
            <w:r w:rsidR="006F5B50" w:rsidRPr="006F5B50">
              <w:rPr>
                <w:rFonts w:ascii="Verdana" w:hAnsi="Verdana"/>
                <w:noProof/>
                <w:webHidden/>
                <w:sz w:val="16"/>
                <w:szCs w:val="16"/>
              </w:rPr>
              <w:fldChar w:fldCharType="end"/>
            </w:r>
          </w:hyperlink>
        </w:p>
        <w:p w14:paraId="28A095C5" w14:textId="77777777" w:rsidR="006F5B50" w:rsidRDefault="006F5B50" w:rsidP="006F5B50">
          <w:pPr>
            <w:tabs>
              <w:tab w:val="left" w:pos="709"/>
            </w:tabs>
            <w:ind w:left="567" w:right="571"/>
          </w:pPr>
          <w:r w:rsidRPr="006F5B50">
            <w:rPr>
              <w:rFonts w:ascii="Verdana" w:hAnsi="Verdana"/>
              <w:bCs/>
              <w:noProof/>
              <w:sz w:val="16"/>
              <w:szCs w:val="16"/>
            </w:rPr>
            <w:fldChar w:fldCharType="end"/>
          </w:r>
        </w:p>
      </w:sdtContent>
    </w:sdt>
    <w:p w14:paraId="339E76BE" w14:textId="268E1E03" w:rsidR="00734A1A" w:rsidRDefault="00734A1A" w:rsidP="006F5B50">
      <w:pPr>
        <w:pStyle w:val="ListParagraph"/>
        <w:numPr>
          <w:ilvl w:val="0"/>
          <w:numId w:val="9"/>
        </w:numPr>
        <w:spacing w:before="120" w:after="120" w:line="240" w:lineRule="auto"/>
        <w:ind w:left="0" w:firstLine="0"/>
        <w:contextualSpacing w:val="0"/>
        <w:jc w:val="both"/>
        <w:outlineLvl w:val="0"/>
        <w:rPr>
          <w:rFonts w:ascii="Verdana" w:hAnsi="Verdana" w:cs="Arial"/>
          <w:b/>
          <w:i/>
          <w:sz w:val="20"/>
          <w:szCs w:val="20"/>
          <w:lang w:val="es-MX"/>
        </w:rPr>
      </w:pPr>
      <w:bookmarkStart w:id="4" w:name="_Toc493607394"/>
      <w:r>
        <w:rPr>
          <w:rFonts w:ascii="Verdana" w:hAnsi="Verdana" w:cs="Arial"/>
          <w:b/>
          <w:i/>
          <w:sz w:val="20"/>
          <w:szCs w:val="20"/>
          <w:lang w:val="es-MX"/>
        </w:rPr>
        <w:t xml:space="preserve">Obligación de </w:t>
      </w:r>
      <w:r w:rsidR="002A6C73">
        <w:rPr>
          <w:rFonts w:ascii="Verdana" w:hAnsi="Verdana" w:cs="Arial"/>
          <w:b/>
          <w:i/>
          <w:sz w:val="20"/>
          <w:szCs w:val="20"/>
          <w:lang w:val="es-MX"/>
        </w:rPr>
        <w:t>i</w:t>
      </w:r>
      <w:r>
        <w:rPr>
          <w:rFonts w:ascii="Verdana" w:hAnsi="Verdana" w:cs="Arial"/>
          <w:b/>
          <w:i/>
          <w:sz w:val="20"/>
          <w:szCs w:val="20"/>
          <w:lang w:val="es-MX"/>
        </w:rPr>
        <w:t>nvestigar, juzgar y</w:t>
      </w:r>
      <w:r w:rsidR="002A6C73">
        <w:rPr>
          <w:rFonts w:ascii="Verdana" w:hAnsi="Verdana" w:cs="Arial"/>
          <w:b/>
          <w:i/>
          <w:sz w:val="20"/>
          <w:szCs w:val="20"/>
          <w:lang w:val="es-MX"/>
        </w:rPr>
        <w:t>,</w:t>
      </w:r>
      <w:r>
        <w:rPr>
          <w:rFonts w:ascii="Verdana" w:hAnsi="Verdana" w:cs="Arial"/>
          <w:b/>
          <w:i/>
          <w:sz w:val="20"/>
          <w:szCs w:val="20"/>
          <w:lang w:val="es-MX"/>
        </w:rPr>
        <w:t xml:space="preserve"> de ser el caso, sancionar</w:t>
      </w:r>
      <w:bookmarkEnd w:id="4"/>
    </w:p>
    <w:p w14:paraId="46505844" w14:textId="77777777" w:rsidR="00051EE9" w:rsidRDefault="00051EE9" w:rsidP="00051EE9">
      <w:pPr>
        <w:pStyle w:val="ListParagraph"/>
        <w:spacing w:before="120" w:after="120" w:line="240" w:lineRule="auto"/>
        <w:ind w:left="0"/>
        <w:contextualSpacing w:val="0"/>
        <w:jc w:val="both"/>
        <w:outlineLvl w:val="0"/>
        <w:rPr>
          <w:rFonts w:ascii="Verdana" w:hAnsi="Verdana" w:cs="Arial"/>
          <w:b/>
          <w:i/>
          <w:sz w:val="20"/>
          <w:szCs w:val="20"/>
          <w:lang w:val="es-MX"/>
        </w:rPr>
      </w:pPr>
    </w:p>
    <w:p w14:paraId="135708EA" w14:textId="6862F374" w:rsidR="00051EE9" w:rsidRDefault="00734A1A" w:rsidP="00107D30">
      <w:pPr>
        <w:pStyle w:val="ListParagraph"/>
        <w:spacing w:before="120" w:after="120" w:line="240" w:lineRule="auto"/>
        <w:ind w:left="0" w:firstLine="720"/>
        <w:contextualSpacing w:val="0"/>
        <w:jc w:val="both"/>
        <w:rPr>
          <w:rFonts w:ascii="Verdana" w:hAnsi="Verdana" w:cs="Arial"/>
          <w:i/>
          <w:sz w:val="20"/>
          <w:szCs w:val="20"/>
          <w:lang w:val="es-MX"/>
        </w:rPr>
      </w:pPr>
      <w:r>
        <w:rPr>
          <w:rFonts w:ascii="Verdana" w:hAnsi="Verdana" w:cs="Arial"/>
          <w:i/>
          <w:sz w:val="20"/>
          <w:szCs w:val="20"/>
          <w:lang w:val="es-MX"/>
        </w:rPr>
        <w:t>A</w:t>
      </w:r>
      <w:r w:rsidRPr="00734A1A">
        <w:rPr>
          <w:rFonts w:ascii="Verdana" w:hAnsi="Verdana" w:cs="Arial"/>
          <w:i/>
          <w:sz w:val="20"/>
          <w:szCs w:val="20"/>
          <w:lang w:val="es-MX"/>
        </w:rPr>
        <w:t>.1 Medida ordenada por la Corte y supervisión realizada en resoluciones anteriores</w:t>
      </w:r>
    </w:p>
    <w:p w14:paraId="3722878D" w14:textId="77777777" w:rsidR="00107D30" w:rsidRPr="00051EE9" w:rsidRDefault="00107D30" w:rsidP="00107D30">
      <w:pPr>
        <w:pStyle w:val="ListParagraph"/>
        <w:spacing w:before="120" w:after="120" w:line="240" w:lineRule="auto"/>
        <w:ind w:left="0" w:firstLine="720"/>
        <w:contextualSpacing w:val="0"/>
        <w:jc w:val="both"/>
        <w:rPr>
          <w:rFonts w:ascii="Verdana" w:hAnsi="Verdana" w:cs="Arial"/>
          <w:i/>
          <w:sz w:val="20"/>
          <w:szCs w:val="20"/>
          <w:lang w:val="es-MX"/>
        </w:rPr>
      </w:pPr>
    </w:p>
    <w:p w14:paraId="2630CAA3" w14:textId="77777777" w:rsidR="00734A1A" w:rsidRPr="00734A1A" w:rsidRDefault="00734A1A" w:rsidP="00734A1A">
      <w:pPr>
        <w:pStyle w:val="ListParagraph"/>
        <w:numPr>
          <w:ilvl w:val="0"/>
          <w:numId w:val="3"/>
        </w:numPr>
        <w:spacing w:before="120" w:after="120" w:line="240" w:lineRule="auto"/>
        <w:ind w:left="0" w:firstLine="0"/>
        <w:contextualSpacing w:val="0"/>
        <w:jc w:val="both"/>
        <w:rPr>
          <w:rFonts w:ascii="Verdana" w:hAnsi="Verdana"/>
          <w:sz w:val="20"/>
          <w:lang w:val="es-CR"/>
        </w:rPr>
      </w:pPr>
      <w:bookmarkStart w:id="5" w:name="_Ref498677718"/>
      <w:r w:rsidRPr="00734A1A">
        <w:rPr>
          <w:rFonts w:ascii="Verdana" w:hAnsi="Verdana" w:cs="Arial"/>
          <w:sz w:val="20"/>
          <w:szCs w:val="20"/>
          <w:lang w:val="es-MX"/>
        </w:rPr>
        <w:t>En el punto</w:t>
      </w:r>
      <w:r>
        <w:rPr>
          <w:rFonts w:ascii="Verdana" w:hAnsi="Verdana" w:cs="Arial"/>
          <w:sz w:val="20"/>
          <w:szCs w:val="20"/>
          <w:lang w:val="es-MX"/>
        </w:rPr>
        <w:t xml:space="preserve"> resolutivo décimo segundo y en los párrafos 243 a 247 de la Sentencia, la Corte dispuso que el Estado debe “</w:t>
      </w:r>
      <w:r w:rsidRPr="00734A1A">
        <w:rPr>
          <w:rFonts w:ascii="Verdana" w:hAnsi="Verdana"/>
          <w:snapToGrid w:val="0"/>
          <w:sz w:val="20"/>
          <w:szCs w:val="20"/>
          <w:lang w:val="es-CR"/>
        </w:rPr>
        <w:t>investigar los hechos que generaron las violaciones del presente caso, e identificar, juzgar y, en su caso,</w:t>
      </w:r>
      <w:r w:rsidRPr="00734A1A">
        <w:rPr>
          <w:rFonts w:ascii="Verdana" w:hAnsi="Verdana"/>
          <w:snapToGrid w:val="0"/>
          <w:sz w:val="20"/>
          <w:lang w:val="es-CR"/>
        </w:rPr>
        <w:t xml:space="preserve"> sancionar a los responsables</w:t>
      </w:r>
      <w:r>
        <w:rPr>
          <w:rFonts w:ascii="Verdana" w:hAnsi="Verdana"/>
          <w:snapToGrid w:val="0"/>
          <w:sz w:val="20"/>
          <w:lang w:val="es-CR"/>
        </w:rPr>
        <w:t>”.</w:t>
      </w:r>
      <w:bookmarkEnd w:id="5"/>
      <w:r>
        <w:rPr>
          <w:rFonts w:ascii="Verdana" w:hAnsi="Verdana"/>
          <w:snapToGrid w:val="0"/>
          <w:sz w:val="20"/>
          <w:lang w:val="es-CR"/>
        </w:rPr>
        <w:t xml:space="preserve"> </w:t>
      </w:r>
    </w:p>
    <w:p w14:paraId="38DA937A" w14:textId="1DCD74A5" w:rsidR="00734A1A" w:rsidRPr="00734A1A" w:rsidRDefault="00734A1A" w:rsidP="00734A1A">
      <w:pPr>
        <w:pStyle w:val="ListParagraph"/>
        <w:numPr>
          <w:ilvl w:val="0"/>
          <w:numId w:val="3"/>
        </w:numPr>
        <w:spacing w:before="120" w:after="120" w:line="240" w:lineRule="auto"/>
        <w:ind w:left="0" w:firstLine="0"/>
        <w:contextualSpacing w:val="0"/>
        <w:jc w:val="both"/>
        <w:rPr>
          <w:rFonts w:ascii="Verdana" w:hAnsi="Verdana"/>
          <w:sz w:val="20"/>
          <w:lang w:val="es-CR"/>
        </w:rPr>
      </w:pPr>
      <w:r>
        <w:rPr>
          <w:rFonts w:ascii="Verdana" w:hAnsi="Verdana"/>
          <w:snapToGrid w:val="0"/>
          <w:sz w:val="20"/>
          <w:lang w:val="es-CR"/>
        </w:rPr>
        <w:t xml:space="preserve">Al respecto, en la Sentencia, la Corte </w:t>
      </w:r>
      <w:r w:rsidRPr="00734A1A">
        <w:rPr>
          <w:rFonts w:ascii="Verdana" w:hAnsi="Verdana" w:cs="Arial"/>
          <w:sz w:val="20"/>
          <w:szCs w:val="20"/>
          <w:lang w:val="es-CR"/>
        </w:rPr>
        <w:t>dispuso</w:t>
      </w:r>
      <w:r>
        <w:rPr>
          <w:rFonts w:ascii="Verdana" w:hAnsi="Verdana"/>
          <w:snapToGrid w:val="0"/>
          <w:sz w:val="20"/>
          <w:lang w:val="es-CR"/>
        </w:rPr>
        <w:t xml:space="preserve"> que “</w:t>
      </w:r>
      <w:r w:rsidRPr="00734A1A">
        <w:rPr>
          <w:rFonts w:ascii="Verdana" w:hAnsi="Verdana"/>
          <w:sz w:val="20"/>
          <w:lang w:val="es-CR"/>
        </w:rPr>
        <w:t xml:space="preserve">en cumplimiento de su obligación de investigar y, en su caso, sancionar a los responsables de los hechos, el Estado debe remover todos los obstáculos, </w:t>
      </w:r>
      <w:r w:rsidRPr="00734A1A">
        <w:rPr>
          <w:rFonts w:ascii="Verdana" w:hAnsi="Verdana"/>
          <w:i/>
          <w:sz w:val="20"/>
          <w:lang w:val="es-CR"/>
        </w:rPr>
        <w:t>de facto y de jure</w:t>
      </w:r>
      <w:r w:rsidRPr="00734A1A">
        <w:rPr>
          <w:rFonts w:ascii="Verdana" w:hAnsi="Verdana"/>
          <w:sz w:val="20"/>
          <w:lang w:val="es-CR"/>
        </w:rPr>
        <w:t>, que impidan la debida investigación de los hechos, y utilizar todos los medios disponibles para hacer expedita dicha investigación y los procedimientos respectivos, a fin de evitar la repetición de hechos tan graves como los presentes</w:t>
      </w:r>
      <w:r w:rsidR="002A6C73">
        <w:rPr>
          <w:rFonts w:ascii="Verdana" w:hAnsi="Verdana"/>
          <w:sz w:val="20"/>
          <w:lang w:val="es-CR"/>
        </w:rPr>
        <w:t>”</w:t>
      </w:r>
      <w:r w:rsidRPr="00734A1A">
        <w:rPr>
          <w:rFonts w:ascii="Verdana" w:hAnsi="Verdana"/>
          <w:sz w:val="20"/>
          <w:lang w:val="es-CR"/>
        </w:rPr>
        <w:t xml:space="preserve">. </w:t>
      </w:r>
      <w:r w:rsidR="002A6C73">
        <w:rPr>
          <w:rFonts w:ascii="Verdana" w:hAnsi="Verdana"/>
          <w:sz w:val="20"/>
          <w:lang w:val="es-CR"/>
        </w:rPr>
        <w:t>Asimismo, se estipuló que “e</w:t>
      </w:r>
      <w:r w:rsidRPr="00734A1A">
        <w:rPr>
          <w:rFonts w:ascii="Verdana" w:hAnsi="Verdana"/>
          <w:sz w:val="20"/>
          <w:lang w:val="es-CR"/>
        </w:rPr>
        <w:t>l Estado no podrá argüir ninguna ley ni disposición de derecho interno para eximirse de su obligación de investigar y, en su caso, sancionar penalmente a los responsables de los hechos cometidos en perjuicio del señor Heli</w:t>
      </w:r>
      <w:r>
        <w:rPr>
          <w:rFonts w:ascii="Verdana" w:hAnsi="Verdana"/>
          <w:sz w:val="20"/>
          <w:lang w:val="es-CR"/>
        </w:rPr>
        <w:t>odoro Portugal”. Además, indicó que “</w:t>
      </w:r>
      <w:r w:rsidRPr="00734A1A">
        <w:rPr>
          <w:rFonts w:ascii="Verdana" w:hAnsi="Verdana"/>
          <w:snapToGrid w:val="0"/>
          <w:sz w:val="20"/>
          <w:lang w:val="es-CR"/>
        </w:rPr>
        <w:t>el Estado debe asegurar que los familiares del señor Portugal tengan pleno acceso y capacidad de actuar en todas las etapas e instancias de dichas investigaciones y procesos, de acuerdo con la ley interna y las normas de la Convención Americana</w:t>
      </w:r>
      <w:r w:rsidR="002A6C73">
        <w:rPr>
          <w:rFonts w:ascii="Verdana" w:hAnsi="Verdana"/>
          <w:snapToGrid w:val="0"/>
          <w:sz w:val="20"/>
          <w:lang w:val="es-CR"/>
        </w:rPr>
        <w:t>”</w:t>
      </w:r>
      <w:r w:rsidRPr="00734A1A">
        <w:rPr>
          <w:rFonts w:ascii="Verdana" w:hAnsi="Verdana"/>
          <w:snapToGrid w:val="0"/>
          <w:sz w:val="20"/>
          <w:lang w:val="es-CR"/>
        </w:rPr>
        <w:t xml:space="preserve">. </w:t>
      </w:r>
      <w:r w:rsidR="002A6C73">
        <w:rPr>
          <w:rFonts w:ascii="Verdana" w:hAnsi="Verdana"/>
          <w:snapToGrid w:val="0"/>
          <w:sz w:val="20"/>
          <w:lang w:val="es-CR"/>
        </w:rPr>
        <w:t>Además, “e</w:t>
      </w:r>
      <w:r w:rsidRPr="00734A1A">
        <w:rPr>
          <w:rFonts w:ascii="Verdana" w:hAnsi="Verdana"/>
          <w:snapToGrid w:val="0"/>
          <w:sz w:val="20"/>
          <w:lang w:val="es-CR"/>
        </w:rPr>
        <w:t>l resultado del proceso deberá ser públicamente divulgado para que la sociedad panameña pueda conocer la determinación judicial de los hechos y sus responsables en el presente caso</w:t>
      </w:r>
      <w:r>
        <w:rPr>
          <w:rFonts w:ascii="Verdana" w:hAnsi="Verdana"/>
          <w:snapToGrid w:val="0"/>
          <w:sz w:val="20"/>
          <w:lang w:val="es-CR"/>
        </w:rPr>
        <w:t>”.</w:t>
      </w:r>
    </w:p>
    <w:p w14:paraId="34587501" w14:textId="71874DA7" w:rsidR="00AE2D23" w:rsidRPr="00AE2D23" w:rsidRDefault="006A767A" w:rsidP="00AE2D23">
      <w:pPr>
        <w:pStyle w:val="ListParagraph"/>
        <w:numPr>
          <w:ilvl w:val="0"/>
          <w:numId w:val="3"/>
        </w:numPr>
        <w:spacing w:before="120" w:after="120" w:line="240" w:lineRule="auto"/>
        <w:ind w:left="0" w:firstLine="0"/>
        <w:contextualSpacing w:val="0"/>
        <w:jc w:val="both"/>
        <w:rPr>
          <w:rFonts w:ascii="Verdana" w:hAnsi="Verdana"/>
          <w:sz w:val="20"/>
          <w:szCs w:val="20"/>
          <w:lang w:val="es-CR"/>
        </w:rPr>
      </w:pPr>
      <w:bookmarkStart w:id="6" w:name="_Ref498597533"/>
      <w:r w:rsidRPr="00AE2D23">
        <w:rPr>
          <w:rFonts w:ascii="Verdana" w:hAnsi="Verdana"/>
          <w:sz w:val="20"/>
          <w:szCs w:val="20"/>
          <w:lang w:val="es-CR"/>
        </w:rPr>
        <w:t>En su Resolución de 2012, la Corte</w:t>
      </w:r>
      <w:r w:rsidR="00AE2D23" w:rsidRPr="00AE2D23">
        <w:rPr>
          <w:rFonts w:ascii="Verdana" w:hAnsi="Verdana"/>
          <w:sz w:val="20"/>
          <w:szCs w:val="20"/>
          <w:lang w:val="es-CR"/>
        </w:rPr>
        <w:t xml:space="preserve"> constató que el Estado había indicado que </w:t>
      </w:r>
      <w:r w:rsidR="007B1A3A">
        <w:rPr>
          <w:rFonts w:ascii="Verdana" w:hAnsi="Verdana"/>
          <w:sz w:val="20"/>
          <w:szCs w:val="20"/>
          <w:lang w:val="es-CR"/>
        </w:rPr>
        <w:t>“</w:t>
      </w:r>
      <w:r w:rsidR="00AE2D23" w:rsidRPr="00AE2D23">
        <w:rPr>
          <w:rFonts w:ascii="Verdana" w:hAnsi="Verdana"/>
          <w:sz w:val="20"/>
          <w:szCs w:val="20"/>
          <w:lang w:val="es-ES_tradnl"/>
        </w:rPr>
        <w:t>el 8 de marzo de 2010 el Segundo Tribunal Superior de Justicia abrió una causa criminal contra ocho imputados y sobreseyó a dos personas</w:t>
      </w:r>
      <w:r w:rsidR="00FF2564">
        <w:rPr>
          <w:rFonts w:ascii="Verdana" w:hAnsi="Verdana"/>
          <w:sz w:val="20"/>
          <w:szCs w:val="20"/>
          <w:lang w:val="es-ES_tradnl"/>
        </w:rPr>
        <w:t>”, y que l</w:t>
      </w:r>
      <w:r w:rsidR="00AE2D23" w:rsidRPr="00AE2D23">
        <w:rPr>
          <w:rFonts w:ascii="Verdana" w:hAnsi="Verdana"/>
          <w:sz w:val="20"/>
          <w:szCs w:val="20"/>
          <w:lang w:val="es-ES_tradnl"/>
        </w:rPr>
        <w:t>a Fiscalía apeló dicha sentencia con respecto a una de las personas sobreseídas. Asimismo, el Estado indicó que dentro de este proceso se convocó a dos audiencias, el 7 de julio de 2010 y el 29 de junio de 2011. Inicialmente, el Estado indicó que la audiencia de julio de 2010 fue postergada debido a la apelación interpuesta por la Fiscalía. Posteriormente, Panamá señaló que la audiencia fue postergada debido a la falta de notificación de algunas de las partes. Además, Panamá informó sobre diversas diligencias realizadas en relación con el proceso de extradición de uno de los imputados.</w:t>
      </w:r>
      <w:r w:rsidRPr="00AE2D23">
        <w:rPr>
          <w:rFonts w:ascii="Verdana" w:hAnsi="Verdana"/>
          <w:sz w:val="20"/>
          <w:szCs w:val="20"/>
          <w:lang w:val="es-CR"/>
        </w:rPr>
        <w:t xml:space="preserve"> </w:t>
      </w:r>
      <w:r w:rsidR="00605C66">
        <w:rPr>
          <w:rFonts w:ascii="Verdana" w:hAnsi="Verdana"/>
          <w:sz w:val="20"/>
          <w:szCs w:val="20"/>
          <w:lang w:val="es-CR"/>
        </w:rPr>
        <w:t xml:space="preserve">En dicha Resolución, la Corte </w:t>
      </w:r>
      <w:r w:rsidRPr="00AE2D23">
        <w:rPr>
          <w:rFonts w:ascii="Verdana" w:hAnsi="Verdana"/>
          <w:sz w:val="20"/>
          <w:szCs w:val="20"/>
          <w:lang w:val="es-CR"/>
        </w:rPr>
        <w:t xml:space="preserve">requirió </w:t>
      </w:r>
      <w:r w:rsidR="00605C66">
        <w:rPr>
          <w:rFonts w:ascii="Verdana" w:hAnsi="Verdana"/>
          <w:sz w:val="20"/>
          <w:szCs w:val="20"/>
          <w:lang w:val="es-CR"/>
        </w:rPr>
        <w:t>a</w:t>
      </w:r>
      <w:r w:rsidRPr="00AE2D23">
        <w:rPr>
          <w:rFonts w:ascii="Verdana" w:hAnsi="Verdana"/>
          <w:sz w:val="20"/>
          <w:szCs w:val="20"/>
          <w:lang w:val="es-CR"/>
        </w:rPr>
        <w:t xml:space="preserve">l Estado </w:t>
      </w:r>
      <w:r w:rsidR="00605C66">
        <w:rPr>
          <w:rFonts w:ascii="Verdana" w:hAnsi="Verdana"/>
          <w:sz w:val="20"/>
          <w:szCs w:val="20"/>
          <w:lang w:val="es-CR"/>
        </w:rPr>
        <w:t xml:space="preserve">que </w:t>
      </w:r>
      <w:r w:rsidRPr="00AE2D23">
        <w:rPr>
          <w:rFonts w:ascii="Verdana" w:hAnsi="Verdana"/>
          <w:sz w:val="20"/>
          <w:szCs w:val="20"/>
          <w:lang w:val="es-CR"/>
        </w:rPr>
        <w:t>“</w:t>
      </w:r>
      <w:proofErr w:type="spellStart"/>
      <w:r w:rsidRPr="00AE2D23">
        <w:rPr>
          <w:rFonts w:ascii="Verdana" w:hAnsi="Verdana"/>
          <w:sz w:val="20"/>
          <w:szCs w:val="20"/>
          <w:lang w:val="es-MX"/>
        </w:rPr>
        <w:t>present</w:t>
      </w:r>
      <w:r w:rsidR="00E23D0E">
        <w:rPr>
          <w:rFonts w:ascii="Verdana" w:hAnsi="Verdana"/>
          <w:sz w:val="20"/>
          <w:szCs w:val="20"/>
          <w:lang w:val="es-MX"/>
        </w:rPr>
        <w:t>ara</w:t>
      </w:r>
      <w:proofErr w:type="spellEnd"/>
      <w:r w:rsidRPr="00AE2D23">
        <w:rPr>
          <w:rFonts w:ascii="Verdana" w:hAnsi="Verdana"/>
          <w:sz w:val="20"/>
          <w:szCs w:val="20"/>
          <w:lang w:val="es-MX"/>
        </w:rPr>
        <w:t xml:space="preserve"> información ordenada, detallada, completa y actualizada sobre el o los procesos de investigación en curso y las diligencias realizadas desde la emisión de la Sentencia de la Corte hasta la fecha, remitiendo copias de las partes relevantes de los respectivos expedientes”</w:t>
      </w:r>
      <w:r w:rsidR="00AE2D23" w:rsidRPr="00AE2D23">
        <w:rPr>
          <w:rFonts w:ascii="Verdana" w:hAnsi="Verdana"/>
          <w:sz w:val="20"/>
          <w:szCs w:val="20"/>
          <w:lang w:val="es-MX"/>
        </w:rPr>
        <w:t>, y que se refiriera a las observaciones de los representantes y de la Comisión respecto “de los hechos y conductas que están siendo objeto de investigación, así como su encuadramiento legal”</w:t>
      </w:r>
      <w:bookmarkStart w:id="7" w:name="_Ref498615642"/>
      <w:r w:rsidR="00AE2D23" w:rsidRPr="00AE2D23">
        <w:rPr>
          <w:rStyle w:val="FootnoteReference"/>
          <w:rFonts w:ascii="Verdana" w:hAnsi="Verdana"/>
          <w:sz w:val="20"/>
          <w:szCs w:val="20"/>
          <w:lang w:val="es-MX"/>
        </w:rPr>
        <w:footnoteReference w:id="15"/>
      </w:r>
      <w:bookmarkEnd w:id="7"/>
      <w:r w:rsidR="00AE2D23" w:rsidRPr="00AE2D23">
        <w:rPr>
          <w:rFonts w:ascii="Verdana" w:hAnsi="Verdana"/>
          <w:sz w:val="20"/>
          <w:szCs w:val="20"/>
          <w:lang w:val="es-MX"/>
        </w:rPr>
        <w:t>.</w:t>
      </w:r>
      <w:bookmarkEnd w:id="6"/>
      <w:r w:rsidR="00AE2D23" w:rsidRPr="00AE2D23">
        <w:rPr>
          <w:rFonts w:ascii="Verdana" w:hAnsi="Verdana"/>
          <w:sz w:val="20"/>
          <w:szCs w:val="20"/>
          <w:lang w:val="es-MX"/>
        </w:rPr>
        <w:t xml:space="preserve"> </w:t>
      </w:r>
    </w:p>
    <w:p w14:paraId="408D7E5B" w14:textId="77777777" w:rsidR="00AE2D23" w:rsidRDefault="00AE2D23" w:rsidP="00AE2D23">
      <w:pPr>
        <w:pStyle w:val="ListParagraph"/>
        <w:spacing w:before="120" w:after="120" w:line="240" w:lineRule="auto"/>
        <w:jc w:val="both"/>
        <w:rPr>
          <w:rFonts w:ascii="Verdana" w:hAnsi="Verdana" w:cs="Arial"/>
          <w:i/>
          <w:sz w:val="20"/>
          <w:szCs w:val="20"/>
          <w:lang w:val="es-MX"/>
        </w:rPr>
      </w:pPr>
      <w:r>
        <w:rPr>
          <w:rFonts w:ascii="Verdana" w:hAnsi="Verdana" w:cs="Arial"/>
          <w:i/>
          <w:sz w:val="20"/>
          <w:szCs w:val="20"/>
          <w:lang w:val="es-MX"/>
        </w:rPr>
        <w:lastRenderedPageBreak/>
        <w:t>A</w:t>
      </w:r>
      <w:r w:rsidRPr="00AE2D23">
        <w:rPr>
          <w:rFonts w:ascii="Verdana" w:hAnsi="Verdana" w:cs="Arial"/>
          <w:i/>
          <w:sz w:val="20"/>
          <w:szCs w:val="20"/>
          <w:lang w:val="es-MX"/>
        </w:rPr>
        <w:t>.2 Consideraciones de la Corte</w:t>
      </w:r>
    </w:p>
    <w:p w14:paraId="0F353E7B" w14:textId="77777777" w:rsidR="00AE2D23" w:rsidRPr="00AE2D23" w:rsidRDefault="00AE2D23" w:rsidP="00AE2D23">
      <w:pPr>
        <w:pStyle w:val="ListParagraph"/>
        <w:spacing w:before="120" w:after="120" w:line="240" w:lineRule="auto"/>
        <w:jc w:val="both"/>
        <w:rPr>
          <w:rFonts w:ascii="Verdana" w:hAnsi="Verdana" w:cs="Arial"/>
          <w:i/>
          <w:sz w:val="20"/>
          <w:szCs w:val="20"/>
          <w:lang w:val="es-MX"/>
        </w:rPr>
      </w:pPr>
    </w:p>
    <w:p w14:paraId="08AAAADC" w14:textId="77777777" w:rsidR="00AE2D23" w:rsidRPr="00AE3BB9" w:rsidRDefault="006D19B3" w:rsidP="00AE2D23">
      <w:pPr>
        <w:pStyle w:val="ListParagraph"/>
        <w:numPr>
          <w:ilvl w:val="0"/>
          <w:numId w:val="3"/>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 xml:space="preserve">Con base en la información proporcionada </w:t>
      </w:r>
      <w:r w:rsidRPr="00AE3BB9">
        <w:rPr>
          <w:rFonts w:ascii="Verdana" w:hAnsi="Verdana"/>
          <w:sz w:val="20"/>
          <w:szCs w:val="20"/>
          <w:lang w:val="es-CR"/>
        </w:rPr>
        <w:t>por las partes y la Comisión, con posterioridad a la Resolució</w:t>
      </w:r>
      <w:r w:rsidR="001E6510" w:rsidRPr="00AE3BB9">
        <w:rPr>
          <w:rFonts w:ascii="Verdana" w:hAnsi="Verdana"/>
          <w:sz w:val="20"/>
          <w:szCs w:val="20"/>
          <w:lang w:val="es-CR"/>
        </w:rPr>
        <w:t>n de 2012, se puede identificar que</w:t>
      </w:r>
      <w:r w:rsidRPr="00AE3BB9">
        <w:rPr>
          <w:rFonts w:ascii="Verdana" w:hAnsi="Verdana"/>
          <w:sz w:val="20"/>
          <w:szCs w:val="20"/>
          <w:lang w:val="es-CR"/>
        </w:rPr>
        <w:t>:</w:t>
      </w:r>
    </w:p>
    <w:p w14:paraId="6135BAE5" w14:textId="6EBAEF15" w:rsidR="00A51581" w:rsidRPr="00AE3BB9" w:rsidRDefault="000E3E34" w:rsidP="00A51581">
      <w:pPr>
        <w:pStyle w:val="ListParagraph"/>
        <w:numPr>
          <w:ilvl w:val="1"/>
          <w:numId w:val="3"/>
        </w:numPr>
        <w:spacing w:before="120" w:after="120" w:line="240" w:lineRule="auto"/>
        <w:ind w:left="1134" w:hanging="567"/>
        <w:contextualSpacing w:val="0"/>
        <w:jc w:val="both"/>
        <w:rPr>
          <w:rFonts w:ascii="Verdana" w:hAnsi="Verdana"/>
          <w:sz w:val="20"/>
          <w:szCs w:val="20"/>
          <w:lang w:val="es-CR"/>
        </w:rPr>
      </w:pPr>
      <w:bookmarkStart w:id="8" w:name="_Ref498598064"/>
      <w:r>
        <w:rPr>
          <w:rFonts w:ascii="Verdana" w:hAnsi="Verdana"/>
          <w:sz w:val="20"/>
          <w:szCs w:val="20"/>
          <w:lang w:val="es-CR"/>
        </w:rPr>
        <w:t>E</w:t>
      </w:r>
      <w:r w:rsidR="00A51581" w:rsidRPr="00AE3BB9">
        <w:rPr>
          <w:rFonts w:ascii="Verdana" w:hAnsi="Verdana"/>
          <w:sz w:val="20"/>
          <w:szCs w:val="20"/>
          <w:lang w:val="es-CR"/>
        </w:rPr>
        <w:t xml:space="preserve">l Estado no ha informado sobre las investigaciones que se han llevado en contra de siete de los ocho imputados en el marco de la “causa criminal” iniciada el 17 de junio de 2011 a la que se hizo referencia en </w:t>
      </w:r>
      <w:r w:rsidR="00491FCA" w:rsidRPr="00AE3BB9">
        <w:rPr>
          <w:rFonts w:ascii="Verdana" w:hAnsi="Verdana"/>
          <w:sz w:val="20"/>
          <w:szCs w:val="20"/>
          <w:lang w:val="es-CR"/>
        </w:rPr>
        <w:t xml:space="preserve">dicha </w:t>
      </w:r>
      <w:r w:rsidR="00A51581" w:rsidRPr="00AE3BB9">
        <w:rPr>
          <w:rFonts w:ascii="Verdana" w:hAnsi="Verdana"/>
          <w:sz w:val="20"/>
          <w:szCs w:val="20"/>
          <w:lang w:val="es-CR"/>
        </w:rPr>
        <w:t>Resolución (</w:t>
      </w:r>
      <w:r w:rsidR="00A51581" w:rsidRPr="00AE3BB9">
        <w:rPr>
          <w:rFonts w:ascii="Verdana" w:hAnsi="Verdana"/>
          <w:i/>
          <w:sz w:val="20"/>
          <w:szCs w:val="20"/>
          <w:lang w:val="es-CR"/>
        </w:rPr>
        <w:t>supra</w:t>
      </w:r>
      <w:r w:rsidR="00A51581" w:rsidRPr="00AE3BB9">
        <w:rPr>
          <w:rFonts w:ascii="Verdana" w:hAnsi="Verdana"/>
          <w:sz w:val="20"/>
          <w:szCs w:val="20"/>
          <w:lang w:val="es-CR"/>
        </w:rPr>
        <w:t xml:space="preserve"> Considerando </w:t>
      </w:r>
      <w:r w:rsidR="00C07C66">
        <w:rPr>
          <w:rFonts w:ascii="Verdana" w:hAnsi="Verdana"/>
          <w:sz w:val="20"/>
          <w:szCs w:val="20"/>
          <w:lang w:val="es-CR"/>
        </w:rPr>
        <w:fldChar w:fldCharType="begin"/>
      </w:r>
      <w:r w:rsidR="00C07C66">
        <w:rPr>
          <w:rFonts w:ascii="Verdana" w:hAnsi="Verdana"/>
          <w:sz w:val="20"/>
          <w:szCs w:val="20"/>
          <w:lang w:val="es-CR"/>
        </w:rPr>
        <w:instrText xml:space="preserve"> REF _Ref498597533 \r \h </w:instrText>
      </w:r>
      <w:r w:rsidR="00C07C66">
        <w:rPr>
          <w:rFonts w:ascii="Verdana" w:hAnsi="Verdana"/>
          <w:sz w:val="20"/>
          <w:szCs w:val="20"/>
          <w:lang w:val="es-CR"/>
        </w:rPr>
      </w:r>
      <w:r w:rsidR="00C07C66">
        <w:rPr>
          <w:rFonts w:ascii="Verdana" w:hAnsi="Verdana"/>
          <w:sz w:val="20"/>
          <w:szCs w:val="20"/>
          <w:lang w:val="es-CR"/>
        </w:rPr>
        <w:fldChar w:fldCharType="separate"/>
      </w:r>
      <w:r w:rsidR="00360B00">
        <w:rPr>
          <w:rFonts w:ascii="Verdana" w:hAnsi="Verdana"/>
          <w:sz w:val="20"/>
          <w:szCs w:val="20"/>
          <w:lang w:val="es-CR"/>
        </w:rPr>
        <w:t>6</w:t>
      </w:r>
      <w:r w:rsidR="00C07C66">
        <w:rPr>
          <w:rFonts w:ascii="Verdana" w:hAnsi="Verdana"/>
          <w:sz w:val="20"/>
          <w:szCs w:val="20"/>
          <w:lang w:val="es-CR"/>
        </w:rPr>
        <w:fldChar w:fldCharType="end"/>
      </w:r>
      <w:r w:rsidR="00A51581" w:rsidRPr="00AE3BB9">
        <w:rPr>
          <w:rFonts w:ascii="Verdana" w:hAnsi="Verdana"/>
          <w:sz w:val="20"/>
          <w:szCs w:val="20"/>
          <w:lang w:val="es-CR"/>
        </w:rPr>
        <w:t xml:space="preserve">). Además, el Estado </w:t>
      </w:r>
      <w:r w:rsidR="00491FCA" w:rsidRPr="00AE3BB9">
        <w:rPr>
          <w:rFonts w:ascii="Verdana" w:hAnsi="Verdana"/>
          <w:sz w:val="20"/>
          <w:szCs w:val="20"/>
          <w:lang w:val="es-CR"/>
        </w:rPr>
        <w:t xml:space="preserve">no volvió a informar sobre el </w:t>
      </w:r>
      <w:r w:rsidR="00A51581" w:rsidRPr="00AE3BB9">
        <w:rPr>
          <w:rFonts w:ascii="Verdana" w:hAnsi="Verdana"/>
          <w:sz w:val="20"/>
          <w:szCs w:val="20"/>
          <w:lang w:val="es-CR"/>
        </w:rPr>
        <w:t xml:space="preserve">trámite </w:t>
      </w:r>
      <w:r w:rsidR="00491FCA" w:rsidRPr="00AE3BB9">
        <w:rPr>
          <w:rFonts w:ascii="Verdana" w:hAnsi="Verdana"/>
          <w:sz w:val="20"/>
          <w:szCs w:val="20"/>
          <w:lang w:val="es-CR"/>
        </w:rPr>
        <w:t xml:space="preserve">del </w:t>
      </w:r>
      <w:r w:rsidR="00A51581" w:rsidRPr="00AE3BB9">
        <w:rPr>
          <w:rFonts w:ascii="Verdana" w:hAnsi="Verdana"/>
          <w:sz w:val="20"/>
          <w:szCs w:val="20"/>
          <w:lang w:val="es-CR"/>
        </w:rPr>
        <w:t>recurso de apelación</w:t>
      </w:r>
      <w:r w:rsidR="00491FCA" w:rsidRPr="00AE3BB9">
        <w:rPr>
          <w:rFonts w:ascii="Verdana" w:hAnsi="Verdana"/>
          <w:sz w:val="20"/>
          <w:szCs w:val="20"/>
          <w:lang w:val="es-CR"/>
        </w:rPr>
        <w:t xml:space="preserve"> que en el 2011 indicó que estaba pendiente, respecto </w:t>
      </w:r>
      <w:r w:rsidR="00FF2564">
        <w:rPr>
          <w:rFonts w:ascii="Verdana" w:hAnsi="Verdana"/>
          <w:sz w:val="20"/>
          <w:szCs w:val="20"/>
          <w:lang w:val="es-CR"/>
        </w:rPr>
        <w:t xml:space="preserve">del </w:t>
      </w:r>
      <w:r w:rsidR="00A51581" w:rsidRPr="00AE3BB9">
        <w:rPr>
          <w:rFonts w:ascii="Verdana" w:hAnsi="Verdana"/>
          <w:sz w:val="20"/>
          <w:szCs w:val="20"/>
          <w:lang w:val="es-CR"/>
        </w:rPr>
        <w:t xml:space="preserve">sobreseimiento de </w:t>
      </w:r>
      <w:proofErr w:type="gramStart"/>
      <w:r w:rsidR="00A51581" w:rsidRPr="00AE3BB9">
        <w:rPr>
          <w:rFonts w:ascii="Verdana" w:hAnsi="Verdana"/>
          <w:sz w:val="20"/>
          <w:szCs w:val="20"/>
          <w:lang w:val="es-CR"/>
        </w:rPr>
        <w:t xml:space="preserve">una </w:t>
      </w:r>
      <w:r w:rsidR="00491FCA" w:rsidRPr="00AE3BB9">
        <w:rPr>
          <w:rFonts w:ascii="Verdana" w:hAnsi="Verdana"/>
          <w:sz w:val="20"/>
          <w:szCs w:val="20"/>
          <w:lang w:val="es-CR"/>
        </w:rPr>
        <w:t>persona distinta a esos ocho imputados</w:t>
      </w:r>
      <w:r w:rsidR="00C07C66">
        <w:rPr>
          <w:rFonts w:ascii="Verdana" w:hAnsi="Verdana"/>
          <w:sz w:val="20"/>
          <w:szCs w:val="20"/>
          <w:lang w:val="es-CR"/>
        </w:rPr>
        <w:t xml:space="preserve"> </w:t>
      </w:r>
      <w:r w:rsidR="00A51581" w:rsidRPr="00AE3BB9">
        <w:rPr>
          <w:rFonts w:ascii="Verdana" w:hAnsi="Verdana"/>
          <w:sz w:val="20"/>
          <w:szCs w:val="20"/>
          <w:lang w:val="es-CR"/>
        </w:rPr>
        <w:t>(</w:t>
      </w:r>
      <w:r w:rsidR="00A51581" w:rsidRPr="00AE3BB9">
        <w:rPr>
          <w:rFonts w:ascii="Verdana" w:hAnsi="Verdana"/>
          <w:i/>
          <w:sz w:val="20"/>
          <w:szCs w:val="20"/>
          <w:lang w:val="es-CR"/>
        </w:rPr>
        <w:t>infra</w:t>
      </w:r>
      <w:r w:rsidR="00A51581" w:rsidRPr="00AE3BB9">
        <w:rPr>
          <w:rFonts w:ascii="Verdana" w:hAnsi="Verdana"/>
          <w:sz w:val="20"/>
          <w:szCs w:val="20"/>
          <w:lang w:val="es-CR"/>
        </w:rPr>
        <w:t xml:space="preserve"> Considerando </w:t>
      </w:r>
      <w:r w:rsidR="00152C6D">
        <w:rPr>
          <w:rFonts w:ascii="Verdana" w:hAnsi="Verdana"/>
          <w:sz w:val="20"/>
          <w:szCs w:val="20"/>
          <w:lang w:val="es-CR"/>
        </w:rPr>
        <w:t>7.</w:t>
      </w:r>
      <w:proofErr w:type="gramEnd"/>
      <w:r w:rsidR="00152C6D">
        <w:rPr>
          <w:rFonts w:ascii="Verdana" w:hAnsi="Verdana"/>
          <w:sz w:val="20"/>
          <w:szCs w:val="20"/>
          <w:lang w:val="es-CR"/>
        </w:rPr>
        <w:fldChar w:fldCharType="begin"/>
      </w:r>
      <w:r w:rsidR="00152C6D">
        <w:rPr>
          <w:rFonts w:ascii="Verdana" w:hAnsi="Verdana"/>
          <w:sz w:val="20"/>
          <w:szCs w:val="20"/>
          <w:lang w:val="es-CR"/>
        </w:rPr>
        <w:instrText xml:space="preserve"> REF _Ref498597996 \r \h </w:instrText>
      </w:r>
      <w:r w:rsidR="00152C6D">
        <w:rPr>
          <w:rFonts w:ascii="Verdana" w:hAnsi="Verdana"/>
          <w:sz w:val="20"/>
          <w:szCs w:val="20"/>
          <w:lang w:val="es-CR"/>
        </w:rPr>
      </w:r>
      <w:r w:rsidR="00152C6D">
        <w:rPr>
          <w:rFonts w:ascii="Verdana" w:hAnsi="Verdana"/>
          <w:sz w:val="20"/>
          <w:szCs w:val="20"/>
          <w:lang w:val="es-CR"/>
        </w:rPr>
        <w:fldChar w:fldCharType="separate"/>
      </w:r>
      <w:r w:rsidR="00360B00">
        <w:rPr>
          <w:rFonts w:ascii="Verdana" w:hAnsi="Verdana"/>
          <w:sz w:val="20"/>
          <w:szCs w:val="20"/>
          <w:lang w:val="es-CR"/>
        </w:rPr>
        <w:t>b</w:t>
      </w:r>
      <w:r w:rsidR="00152C6D">
        <w:rPr>
          <w:rFonts w:ascii="Verdana" w:hAnsi="Verdana"/>
          <w:sz w:val="20"/>
          <w:szCs w:val="20"/>
          <w:lang w:val="es-CR"/>
        </w:rPr>
        <w:fldChar w:fldCharType="end"/>
      </w:r>
      <w:r w:rsidR="00A51581" w:rsidRPr="00AE3BB9">
        <w:rPr>
          <w:rFonts w:ascii="Verdana" w:hAnsi="Verdana"/>
          <w:sz w:val="20"/>
          <w:szCs w:val="20"/>
          <w:lang w:val="es-CR"/>
        </w:rPr>
        <w:t xml:space="preserve">). </w:t>
      </w:r>
      <w:r w:rsidR="00491FCA" w:rsidRPr="00AE3BB9">
        <w:rPr>
          <w:rFonts w:ascii="Verdana" w:hAnsi="Verdana"/>
          <w:sz w:val="20"/>
          <w:szCs w:val="20"/>
          <w:lang w:val="es-CR"/>
        </w:rPr>
        <w:t>L</w:t>
      </w:r>
      <w:r w:rsidR="00A51581" w:rsidRPr="00AE3BB9">
        <w:rPr>
          <w:rFonts w:ascii="Verdana" w:hAnsi="Verdana"/>
          <w:sz w:val="20"/>
          <w:szCs w:val="20"/>
          <w:lang w:val="es-CR"/>
        </w:rPr>
        <w:t xml:space="preserve">os informes presentados por el Estado se limitaron a hacer referencia al sobreseimiento de </w:t>
      </w:r>
      <w:r w:rsidR="00491FCA" w:rsidRPr="00AE3BB9">
        <w:rPr>
          <w:rFonts w:ascii="Verdana" w:hAnsi="Verdana"/>
          <w:sz w:val="20"/>
          <w:szCs w:val="20"/>
          <w:lang w:val="es-CR"/>
        </w:rPr>
        <w:t>otro</w:t>
      </w:r>
      <w:r w:rsidR="00A51581" w:rsidRPr="00AE3BB9">
        <w:rPr>
          <w:rFonts w:ascii="Verdana" w:hAnsi="Verdana"/>
          <w:sz w:val="20"/>
          <w:szCs w:val="20"/>
          <w:lang w:val="es-CR"/>
        </w:rPr>
        <w:t xml:space="preserve"> imputado y al proceso penal seguido en contra de Manuel Noriega (</w:t>
      </w:r>
      <w:r w:rsidR="00A51581" w:rsidRPr="00AE3BB9">
        <w:rPr>
          <w:rFonts w:ascii="Verdana" w:hAnsi="Verdana"/>
          <w:i/>
          <w:sz w:val="20"/>
          <w:szCs w:val="20"/>
          <w:lang w:val="es-CR"/>
        </w:rPr>
        <w:t xml:space="preserve">infra </w:t>
      </w:r>
      <w:r w:rsidR="00A51581" w:rsidRPr="00AE3BB9">
        <w:rPr>
          <w:rFonts w:ascii="Verdana" w:hAnsi="Verdana"/>
          <w:sz w:val="20"/>
          <w:szCs w:val="20"/>
          <w:lang w:val="es-CR"/>
        </w:rPr>
        <w:t xml:space="preserve">Considerandos </w:t>
      </w:r>
      <w:r w:rsidR="00C07C66">
        <w:rPr>
          <w:rFonts w:ascii="Verdana" w:hAnsi="Verdana"/>
          <w:sz w:val="20"/>
          <w:szCs w:val="20"/>
          <w:lang w:val="es-CR"/>
        </w:rPr>
        <w:t>7.</w:t>
      </w:r>
      <w:r w:rsidR="00C07C66">
        <w:rPr>
          <w:rFonts w:ascii="Verdana" w:hAnsi="Verdana"/>
          <w:sz w:val="20"/>
          <w:szCs w:val="20"/>
          <w:lang w:val="es-CR"/>
        </w:rPr>
        <w:fldChar w:fldCharType="begin"/>
      </w:r>
      <w:r w:rsidR="00C07C66">
        <w:rPr>
          <w:rFonts w:ascii="Verdana" w:hAnsi="Verdana"/>
          <w:sz w:val="20"/>
          <w:szCs w:val="20"/>
          <w:lang w:val="es-CR"/>
        </w:rPr>
        <w:instrText xml:space="preserve"> REF _Ref498597996 \r \h </w:instrText>
      </w:r>
      <w:r w:rsidR="00C07C66">
        <w:rPr>
          <w:rFonts w:ascii="Verdana" w:hAnsi="Verdana"/>
          <w:sz w:val="20"/>
          <w:szCs w:val="20"/>
          <w:lang w:val="es-CR"/>
        </w:rPr>
      </w:r>
      <w:r w:rsidR="00C07C66">
        <w:rPr>
          <w:rFonts w:ascii="Verdana" w:hAnsi="Verdana"/>
          <w:sz w:val="20"/>
          <w:szCs w:val="20"/>
          <w:lang w:val="es-CR"/>
        </w:rPr>
        <w:fldChar w:fldCharType="separate"/>
      </w:r>
      <w:r w:rsidR="00360B00">
        <w:rPr>
          <w:rFonts w:ascii="Verdana" w:hAnsi="Verdana"/>
          <w:sz w:val="20"/>
          <w:szCs w:val="20"/>
          <w:lang w:val="es-CR"/>
        </w:rPr>
        <w:t>b</w:t>
      </w:r>
      <w:r w:rsidR="00C07C66">
        <w:rPr>
          <w:rFonts w:ascii="Verdana" w:hAnsi="Verdana"/>
          <w:sz w:val="20"/>
          <w:szCs w:val="20"/>
          <w:lang w:val="es-CR"/>
        </w:rPr>
        <w:fldChar w:fldCharType="end"/>
      </w:r>
      <w:r w:rsidR="00A51581" w:rsidRPr="00AE3BB9">
        <w:rPr>
          <w:rFonts w:ascii="Verdana" w:hAnsi="Verdana"/>
          <w:sz w:val="20"/>
          <w:szCs w:val="20"/>
          <w:lang w:val="es-CR"/>
        </w:rPr>
        <w:t xml:space="preserve"> y </w:t>
      </w:r>
      <w:r w:rsidR="00C07C66">
        <w:rPr>
          <w:rFonts w:ascii="Verdana" w:hAnsi="Verdana"/>
          <w:sz w:val="20"/>
          <w:szCs w:val="20"/>
          <w:lang w:val="es-CR"/>
        </w:rPr>
        <w:t>7.</w:t>
      </w:r>
      <w:r w:rsidR="00C07C66">
        <w:rPr>
          <w:rFonts w:ascii="Verdana" w:hAnsi="Verdana"/>
          <w:sz w:val="20"/>
          <w:szCs w:val="20"/>
          <w:lang w:val="es-CR"/>
        </w:rPr>
        <w:fldChar w:fldCharType="begin"/>
      </w:r>
      <w:r w:rsidR="00C07C66">
        <w:rPr>
          <w:rFonts w:ascii="Verdana" w:hAnsi="Verdana"/>
          <w:sz w:val="20"/>
          <w:szCs w:val="20"/>
          <w:lang w:val="es-CR"/>
        </w:rPr>
        <w:instrText xml:space="preserve"> REF _Ref498598012 \r \h </w:instrText>
      </w:r>
      <w:r w:rsidR="00C07C66">
        <w:rPr>
          <w:rFonts w:ascii="Verdana" w:hAnsi="Verdana"/>
          <w:sz w:val="20"/>
          <w:szCs w:val="20"/>
          <w:lang w:val="es-CR"/>
        </w:rPr>
      </w:r>
      <w:r w:rsidR="00C07C66">
        <w:rPr>
          <w:rFonts w:ascii="Verdana" w:hAnsi="Verdana"/>
          <w:sz w:val="20"/>
          <w:szCs w:val="20"/>
          <w:lang w:val="es-CR"/>
        </w:rPr>
        <w:fldChar w:fldCharType="separate"/>
      </w:r>
      <w:r w:rsidR="00360B00">
        <w:rPr>
          <w:rFonts w:ascii="Verdana" w:hAnsi="Verdana"/>
          <w:sz w:val="20"/>
          <w:szCs w:val="20"/>
          <w:lang w:val="es-CR"/>
        </w:rPr>
        <w:t>c</w:t>
      </w:r>
      <w:r w:rsidR="00C07C66">
        <w:rPr>
          <w:rFonts w:ascii="Verdana" w:hAnsi="Verdana"/>
          <w:sz w:val="20"/>
          <w:szCs w:val="20"/>
          <w:lang w:val="es-CR"/>
        </w:rPr>
        <w:fldChar w:fldCharType="end"/>
      </w:r>
      <w:r w:rsidR="00A51581" w:rsidRPr="00AE3BB9">
        <w:rPr>
          <w:rFonts w:ascii="Verdana" w:hAnsi="Verdana"/>
          <w:sz w:val="20"/>
          <w:szCs w:val="20"/>
          <w:lang w:val="es-CR"/>
        </w:rPr>
        <w:t>).</w:t>
      </w:r>
      <w:bookmarkEnd w:id="8"/>
    </w:p>
    <w:p w14:paraId="166979EA" w14:textId="1A564E67" w:rsidR="006D19B3" w:rsidRDefault="006D19B3" w:rsidP="00F34D2E">
      <w:pPr>
        <w:pStyle w:val="ListParagraph"/>
        <w:numPr>
          <w:ilvl w:val="1"/>
          <w:numId w:val="3"/>
        </w:numPr>
        <w:spacing w:before="120" w:after="120" w:line="240" w:lineRule="auto"/>
        <w:ind w:left="1134" w:hanging="567"/>
        <w:contextualSpacing w:val="0"/>
        <w:jc w:val="both"/>
        <w:rPr>
          <w:rFonts w:ascii="Verdana" w:hAnsi="Verdana"/>
          <w:sz w:val="20"/>
          <w:szCs w:val="20"/>
          <w:lang w:val="es-CR"/>
        </w:rPr>
      </w:pPr>
      <w:bookmarkStart w:id="9" w:name="_Ref498597996"/>
      <w:r>
        <w:rPr>
          <w:rFonts w:ascii="Verdana" w:hAnsi="Verdana"/>
          <w:sz w:val="20"/>
          <w:szCs w:val="20"/>
          <w:lang w:val="es-CR"/>
        </w:rPr>
        <w:t xml:space="preserve">Entre 2010 y 2014 se encontró suspendido el </w:t>
      </w:r>
      <w:r w:rsidR="00C422AF">
        <w:rPr>
          <w:rFonts w:ascii="Verdana" w:hAnsi="Verdana"/>
          <w:sz w:val="20"/>
          <w:szCs w:val="20"/>
          <w:lang w:val="es-CR"/>
        </w:rPr>
        <w:t>proceso</w:t>
      </w:r>
      <w:r>
        <w:rPr>
          <w:rFonts w:ascii="Verdana" w:hAnsi="Verdana"/>
          <w:sz w:val="20"/>
          <w:szCs w:val="20"/>
          <w:lang w:val="es-CR"/>
        </w:rPr>
        <w:t xml:space="preserve"> penal</w:t>
      </w:r>
      <w:r w:rsidR="001E6510">
        <w:rPr>
          <w:rFonts w:ascii="Verdana" w:hAnsi="Verdana"/>
          <w:sz w:val="20"/>
          <w:szCs w:val="20"/>
          <w:lang w:val="es-CR"/>
        </w:rPr>
        <w:t xml:space="preserve"> por los hechos perpetrados en contra del señor Heliodoro Portugal</w:t>
      </w:r>
      <w:r>
        <w:rPr>
          <w:rFonts w:ascii="Verdana" w:hAnsi="Verdana"/>
          <w:sz w:val="20"/>
          <w:szCs w:val="20"/>
          <w:lang w:val="es-CR"/>
        </w:rPr>
        <w:t xml:space="preserve">, ya que </w:t>
      </w:r>
      <w:r w:rsidR="00FF2564">
        <w:rPr>
          <w:rFonts w:ascii="Verdana" w:hAnsi="Verdana"/>
          <w:sz w:val="20"/>
          <w:szCs w:val="20"/>
          <w:lang w:val="es-CR"/>
        </w:rPr>
        <w:t>estuvo</w:t>
      </w:r>
      <w:r>
        <w:rPr>
          <w:rFonts w:ascii="Verdana" w:hAnsi="Verdana"/>
          <w:sz w:val="20"/>
          <w:szCs w:val="20"/>
          <w:lang w:val="es-CR"/>
        </w:rPr>
        <w:t xml:space="preserve"> ante la Sala Penal de la Corte Suprema de Justicia “a fin de resolver Recurso de Apelación presentado por la Fiscalía Tercera Superior en contra del Auto No. 59 de 8 de marzo de 2010 [… en el que] se dictó sobreseimiento provisional</w:t>
      </w:r>
      <w:r w:rsidR="00994648">
        <w:rPr>
          <w:rFonts w:ascii="Verdana" w:hAnsi="Verdana"/>
          <w:sz w:val="20"/>
          <w:szCs w:val="20"/>
          <w:lang w:val="es-CR"/>
        </w:rPr>
        <w:t>”</w:t>
      </w:r>
      <w:r>
        <w:rPr>
          <w:rFonts w:ascii="Verdana" w:hAnsi="Verdana"/>
          <w:sz w:val="20"/>
          <w:szCs w:val="20"/>
          <w:lang w:val="es-CR"/>
        </w:rPr>
        <w:t xml:space="preserve"> a favor de </w:t>
      </w:r>
      <w:r w:rsidR="00994648">
        <w:rPr>
          <w:rFonts w:ascii="Verdana" w:hAnsi="Verdana"/>
          <w:sz w:val="20"/>
          <w:szCs w:val="20"/>
          <w:lang w:val="es-CR"/>
        </w:rPr>
        <w:t xml:space="preserve">un imputado </w:t>
      </w:r>
      <w:r w:rsidR="00DE2FA4">
        <w:rPr>
          <w:rFonts w:ascii="Verdana" w:hAnsi="Verdana"/>
          <w:sz w:val="20"/>
          <w:szCs w:val="20"/>
          <w:lang w:val="es-CR"/>
        </w:rPr>
        <w:t xml:space="preserve"> (</w:t>
      </w:r>
      <w:r w:rsidR="00DE2FA4">
        <w:rPr>
          <w:rFonts w:ascii="Verdana" w:hAnsi="Verdana"/>
          <w:i/>
          <w:sz w:val="20"/>
          <w:szCs w:val="20"/>
          <w:lang w:val="es-CR"/>
        </w:rPr>
        <w:t>supra</w:t>
      </w:r>
      <w:r w:rsidR="00DE2FA4">
        <w:rPr>
          <w:rFonts w:ascii="Verdana" w:hAnsi="Verdana"/>
          <w:sz w:val="20"/>
          <w:szCs w:val="20"/>
          <w:lang w:val="es-CR"/>
        </w:rPr>
        <w:t xml:space="preserve"> Considerando </w:t>
      </w:r>
      <w:r w:rsidR="00C07C66">
        <w:rPr>
          <w:rFonts w:ascii="Verdana" w:hAnsi="Verdana"/>
          <w:sz w:val="20"/>
          <w:szCs w:val="20"/>
          <w:lang w:val="es-CR"/>
        </w:rPr>
        <w:t>7.</w:t>
      </w:r>
      <w:r w:rsidR="00C07C66">
        <w:rPr>
          <w:rFonts w:ascii="Verdana" w:hAnsi="Verdana"/>
          <w:sz w:val="20"/>
          <w:szCs w:val="20"/>
          <w:lang w:val="es-CR"/>
        </w:rPr>
        <w:fldChar w:fldCharType="begin"/>
      </w:r>
      <w:r w:rsidR="00C07C66">
        <w:rPr>
          <w:rFonts w:ascii="Verdana" w:hAnsi="Verdana"/>
          <w:sz w:val="20"/>
          <w:szCs w:val="20"/>
          <w:lang w:val="es-CR"/>
        </w:rPr>
        <w:instrText xml:space="preserve"> REF _Ref498598064 \r \h </w:instrText>
      </w:r>
      <w:r w:rsidR="00C07C66">
        <w:rPr>
          <w:rFonts w:ascii="Verdana" w:hAnsi="Verdana"/>
          <w:sz w:val="20"/>
          <w:szCs w:val="20"/>
          <w:lang w:val="es-CR"/>
        </w:rPr>
      </w:r>
      <w:r w:rsidR="00C07C66">
        <w:rPr>
          <w:rFonts w:ascii="Verdana" w:hAnsi="Verdana"/>
          <w:sz w:val="20"/>
          <w:szCs w:val="20"/>
          <w:lang w:val="es-CR"/>
        </w:rPr>
        <w:fldChar w:fldCharType="separate"/>
      </w:r>
      <w:r w:rsidR="00360B00">
        <w:rPr>
          <w:rFonts w:ascii="Verdana" w:hAnsi="Verdana"/>
          <w:sz w:val="20"/>
          <w:szCs w:val="20"/>
          <w:lang w:val="es-CR"/>
        </w:rPr>
        <w:t>a</w:t>
      </w:r>
      <w:r w:rsidR="00C07C66">
        <w:rPr>
          <w:rFonts w:ascii="Verdana" w:hAnsi="Verdana"/>
          <w:sz w:val="20"/>
          <w:szCs w:val="20"/>
          <w:lang w:val="es-CR"/>
        </w:rPr>
        <w:fldChar w:fldCharType="end"/>
      </w:r>
      <w:r w:rsidR="00DE2FA4">
        <w:rPr>
          <w:rFonts w:ascii="Verdana" w:hAnsi="Verdana"/>
          <w:sz w:val="20"/>
          <w:szCs w:val="20"/>
          <w:lang w:val="es-CR"/>
        </w:rPr>
        <w:t>)</w:t>
      </w:r>
      <w:r>
        <w:rPr>
          <w:rFonts w:ascii="Verdana" w:hAnsi="Verdana"/>
          <w:sz w:val="20"/>
          <w:szCs w:val="20"/>
          <w:lang w:val="es-CR"/>
        </w:rPr>
        <w:t xml:space="preserve">. </w:t>
      </w:r>
      <w:r w:rsidRPr="006D19B3">
        <w:rPr>
          <w:rFonts w:ascii="Verdana" w:hAnsi="Verdana"/>
          <w:sz w:val="20"/>
          <w:szCs w:val="20"/>
          <w:lang w:val="es-CR"/>
        </w:rPr>
        <w:t xml:space="preserve">El 28 de agosto </w:t>
      </w:r>
      <w:r>
        <w:rPr>
          <w:rFonts w:ascii="Verdana" w:hAnsi="Verdana"/>
          <w:sz w:val="20"/>
          <w:szCs w:val="20"/>
          <w:lang w:val="es-CR"/>
        </w:rPr>
        <w:t xml:space="preserve">de 2014, la referida Sala Penal ratificó el </w:t>
      </w:r>
      <w:r w:rsidR="00DF2FA6">
        <w:rPr>
          <w:rFonts w:ascii="Verdana" w:hAnsi="Verdana"/>
          <w:sz w:val="20"/>
          <w:szCs w:val="20"/>
          <w:lang w:val="es-CR"/>
        </w:rPr>
        <w:t>a</w:t>
      </w:r>
      <w:r>
        <w:rPr>
          <w:rFonts w:ascii="Verdana" w:hAnsi="Verdana"/>
          <w:sz w:val="20"/>
          <w:szCs w:val="20"/>
          <w:lang w:val="es-CR"/>
        </w:rPr>
        <w:t xml:space="preserve">uto No. 59. </w:t>
      </w:r>
      <w:r w:rsidR="001258E7">
        <w:rPr>
          <w:rFonts w:ascii="Verdana" w:hAnsi="Verdana"/>
          <w:sz w:val="20"/>
          <w:szCs w:val="20"/>
          <w:lang w:val="es-CR"/>
        </w:rPr>
        <w:t>Con posterioridad a ello, n</w:t>
      </w:r>
      <w:r>
        <w:rPr>
          <w:rFonts w:ascii="Verdana" w:hAnsi="Verdana"/>
          <w:sz w:val="20"/>
          <w:szCs w:val="20"/>
          <w:lang w:val="es-CR"/>
        </w:rPr>
        <w:t xml:space="preserve">i las partes ni la Comisión </w:t>
      </w:r>
      <w:r w:rsidR="001E6510">
        <w:rPr>
          <w:rFonts w:ascii="Verdana" w:hAnsi="Verdana"/>
          <w:sz w:val="20"/>
          <w:szCs w:val="20"/>
          <w:lang w:val="es-CR"/>
        </w:rPr>
        <w:t xml:space="preserve">se han referido </w:t>
      </w:r>
      <w:r w:rsidR="00F87DA1">
        <w:rPr>
          <w:rFonts w:ascii="Verdana" w:hAnsi="Verdana"/>
          <w:sz w:val="20"/>
          <w:szCs w:val="20"/>
          <w:lang w:val="es-CR"/>
        </w:rPr>
        <w:t xml:space="preserve">a dicho </w:t>
      </w:r>
      <w:r>
        <w:rPr>
          <w:rFonts w:ascii="Verdana" w:hAnsi="Verdana"/>
          <w:sz w:val="20"/>
          <w:szCs w:val="20"/>
          <w:lang w:val="es-CR"/>
        </w:rPr>
        <w:t>sobreseimiento provisional</w:t>
      </w:r>
      <w:r w:rsidR="001E6510">
        <w:rPr>
          <w:rFonts w:ascii="Verdana" w:hAnsi="Verdana"/>
          <w:sz w:val="20"/>
          <w:szCs w:val="20"/>
          <w:lang w:val="es-CR"/>
        </w:rPr>
        <w:t>.</w:t>
      </w:r>
      <w:bookmarkEnd w:id="9"/>
    </w:p>
    <w:p w14:paraId="6776BE21" w14:textId="7C0A8F4B" w:rsidR="006D19B3" w:rsidRDefault="00F3564D" w:rsidP="00F34D2E">
      <w:pPr>
        <w:pStyle w:val="ListParagraph"/>
        <w:numPr>
          <w:ilvl w:val="1"/>
          <w:numId w:val="3"/>
        </w:numPr>
        <w:spacing w:before="120" w:after="120" w:line="240" w:lineRule="auto"/>
        <w:ind w:left="1134" w:hanging="567"/>
        <w:contextualSpacing w:val="0"/>
        <w:jc w:val="both"/>
        <w:rPr>
          <w:rFonts w:ascii="Verdana" w:hAnsi="Verdana"/>
          <w:sz w:val="20"/>
          <w:szCs w:val="20"/>
          <w:lang w:val="es-CR"/>
        </w:rPr>
      </w:pPr>
      <w:bookmarkStart w:id="10" w:name="_Ref498598012"/>
      <w:r>
        <w:rPr>
          <w:rFonts w:ascii="Verdana" w:hAnsi="Verdana"/>
          <w:sz w:val="20"/>
          <w:szCs w:val="20"/>
          <w:lang w:val="es-CR"/>
        </w:rPr>
        <w:t xml:space="preserve">En lo que respecta al proceso en contra del imputado </w:t>
      </w:r>
      <w:r w:rsidRPr="004A7300">
        <w:rPr>
          <w:rFonts w:ascii="Verdana" w:hAnsi="Verdana"/>
          <w:sz w:val="20"/>
          <w:szCs w:val="20"/>
          <w:lang w:val="es-CR"/>
        </w:rPr>
        <w:t>Manuel Antonio Noriega</w:t>
      </w:r>
      <w:r w:rsidR="00616413">
        <w:rPr>
          <w:rFonts w:ascii="Verdana" w:hAnsi="Verdana"/>
          <w:sz w:val="20"/>
          <w:szCs w:val="20"/>
          <w:lang w:val="es-CR"/>
        </w:rPr>
        <w:t>,</w:t>
      </w:r>
      <w:r w:rsidRPr="004A7300">
        <w:rPr>
          <w:rFonts w:ascii="Verdana" w:hAnsi="Verdana"/>
          <w:sz w:val="20"/>
          <w:szCs w:val="20"/>
          <w:lang w:val="es-CR"/>
        </w:rPr>
        <w:t xml:space="preserve"> </w:t>
      </w:r>
      <w:r w:rsidR="00616413">
        <w:rPr>
          <w:rFonts w:ascii="Verdana" w:hAnsi="Verdana"/>
          <w:sz w:val="20"/>
          <w:szCs w:val="20"/>
          <w:lang w:val="es-CR"/>
        </w:rPr>
        <w:t>d</w:t>
      </w:r>
      <w:r w:rsidR="001E6510" w:rsidRPr="004A7300">
        <w:rPr>
          <w:rFonts w:ascii="Verdana" w:hAnsi="Verdana"/>
          <w:sz w:val="20"/>
          <w:szCs w:val="20"/>
          <w:lang w:val="es-CR"/>
        </w:rPr>
        <w:t xml:space="preserve">esde </w:t>
      </w:r>
      <w:r w:rsidR="00FF2564">
        <w:rPr>
          <w:rFonts w:ascii="Verdana" w:hAnsi="Verdana"/>
          <w:sz w:val="20"/>
          <w:szCs w:val="20"/>
          <w:lang w:val="es-CR"/>
        </w:rPr>
        <w:t xml:space="preserve">el </w:t>
      </w:r>
      <w:r w:rsidR="001E6510" w:rsidRPr="004A7300">
        <w:rPr>
          <w:rFonts w:ascii="Verdana" w:hAnsi="Verdana"/>
          <w:sz w:val="20"/>
          <w:szCs w:val="20"/>
          <w:lang w:val="es-CR"/>
        </w:rPr>
        <w:t xml:space="preserve">2010 se </w:t>
      </w:r>
      <w:r w:rsidR="00DE2FA4">
        <w:rPr>
          <w:rFonts w:ascii="Verdana" w:hAnsi="Verdana"/>
          <w:sz w:val="20"/>
          <w:szCs w:val="20"/>
          <w:lang w:val="es-CR"/>
        </w:rPr>
        <w:t>encontraba</w:t>
      </w:r>
      <w:r w:rsidR="001E6510" w:rsidRPr="004A7300">
        <w:rPr>
          <w:rFonts w:ascii="Verdana" w:hAnsi="Verdana"/>
          <w:sz w:val="20"/>
          <w:szCs w:val="20"/>
          <w:lang w:val="es-CR"/>
        </w:rPr>
        <w:t xml:space="preserve"> pendiente la realización de </w:t>
      </w:r>
      <w:r w:rsidR="001136AE">
        <w:rPr>
          <w:rFonts w:ascii="Verdana" w:hAnsi="Verdana"/>
          <w:sz w:val="20"/>
          <w:szCs w:val="20"/>
          <w:lang w:val="es-CR"/>
        </w:rPr>
        <w:t>“</w:t>
      </w:r>
      <w:r w:rsidR="001E6510" w:rsidRPr="004A7300">
        <w:rPr>
          <w:rFonts w:ascii="Verdana" w:hAnsi="Verdana"/>
          <w:sz w:val="20"/>
          <w:szCs w:val="20"/>
          <w:lang w:val="es-CR"/>
        </w:rPr>
        <w:t>la audiencia</w:t>
      </w:r>
      <w:r w:rsidR="001136AE">
        <w:rPr>
          <w:rFonts w:ascii="Verdana" w:hAnsi="Verdana"/>
          <w:sz w:val="20"/>
          <w:szCs w:val="20"/>
          <w:lang w:val="es-CR"/>
        </w:rPr>
        <w:t>”</w:t>
      </w:r>
      <w:r w:rsidR="00EF412F">
        <w:rPr>
          <w:rFonts w:ascii="Verdana" w:hAnsi="Verdana"/>
          <w:sz w:val="20"/>
          <w:szCs w:val="20"/>
          <w:lang w:val="es-CR"/>
        </w:rPr>
        <w:t>.</w:t>
      </w:r>
      <w:r w:rsidR="00683114">
        <w:rPr>
          <w:rFonts w:ascii="Verdana" w:hAnsi="Verdana"/>
          <w:sz w:val="20"/>
          <w:szCs w:val="20"/>
          <w:lang w:val="es-CR"/>
        </w:rPr>
        <w:t xml:space="preserve"> El señor Noriega </w:t>
      </w:r>
      <w:r w:rsidR="001E6510" w:rsidRPr="004A7300">
        <w:rPr>
          <w:rFonts w:ascii="Verdana" w:hAnsi="Verdana"/>
          <w:sz w:val="20"/>
          <w:szCs w:val="20"/>
          <w:lang w:val="es-CR"/>
        </w:rPr>
        <w:t xml:space="preserve"> </w:t>
      </w:r>
      <w:r w:rsidR="00E01D03">
        <w:rPr>
          <w:rFonts w:ascii="Verdana" w:hAnsi="Verdana"/>
          <w:sz w:val="20"/>
          <w:szCs w:val="20"/>
          <w:lang w:val="es-CR"/>
        </w:rPr>
        <w:t xml:space="preserve">se encontraba acusado por </w:t>
      </w:r>
      <w:r w:rsidR="00994648">
        <w:rPr>
          <w:rFonts w:ascii="Verdana" w:hAnsi="Verdana"/>
          <w:sz w:val="20"/>
          <w:szCs w:val="20"/>
          <w:lang w:val="es-CR"/>
        </w:rPr>
        <w:t>los</w:t>
      </w:r>
      <w:r w:rsidR="00E01D03">
        <w:rPr>
          <w:rFonts w:ascii="Verdana" w:hAnsi="Verdana"/>
          <w:sz w:val="20"/>
          <w:szCs w:val="20"/>
          <w:lang w:val="es-CR"/>
        </w:rPr>
        <w:t xml:space="preserve"> delito</w:t>
      </w:r>
      <w:r w:rsidR="00994648">
        <w:rPr>
          <w:rFonts w:ascii="Verdana" w:hAnsi="Verdana"/>
          <w:sz w:val="20"/>
          <w:szCs w:val="20"/>
          <w:lang w:val="es-CR"/>
        </w:rPr>
        <w:t>s</w:t>
      </w:r>
      <w:r w:rsidR="00E01D03">
        <w:rPr>
          <w:rFonts w:ascii="Verdana" w:hAnsi="Verdana"/>
          <w:sz w:val="20"/>
          <w:szCs w:val="20"/>
          <w:lang w:val="es-CR"/>
        </w:rPr>
        <w:t xml:space="preserve"> </w:t>
      </w:r>
      <w:r w:rsidR="00994648">
        <w:rPr>
          <w:rFonts w:ascii="Verdana" w:hAnsi="Verdana"/>
          <w:sz w:val="20"/>
          <w:szCs w:val="20"/>
          <w:lang w:val="es-CR"/>
        </w:rPr>
        <w:t>de homicidio y desaparición forzosa</w:t>
      </w:r>
      <w:r w:rsidR="00E01D03">
        <w:rPr>
          <w:rFonts w:ascii="Verdana" w:hAnsi="Verdana"/>
          <w:sz w:val="20"/>
          <w:szCs w:val="20"/>
          <w:lang w:val="es-CR"/>
        </w:rPr>
        <w:t xml:space="preserve"> en perjuicio del </w:t>
      </w:r>
      <w:r w:rsidR="001E6510" w:rsidRPr="004A7300">
        <w:rPr>
          <w:rFonts w:ascii="Verdana" w:hAnsi="Verdana"/>
          <w:sz w:val="20"/>
          <w:szCs w:val="20"/>
          <w:lang w:val="es-CR"/>
        </w:rPr>
        <w:t xml:space="preserve">señor Heliodoro Portugal. </w:t>
      </w:r>
      <w:r w:rsidR="00E01D03">
        <w:rPr>
          <w:rFonts w:ascii="Verdana" w:hAnsi="Verdana"/>
          <w:sz w:val="20"/>
          <w:szCs w:val="20"/>
          <w:lang w:val="es-CR"/>
        </w:rPr>
        <w:t>L</w:t>
      </w:r>
      <w:r w:rsidR="001E6510" w:rsidRPr="004A7300">
        <w:rPr>
          <w:rFonts w:ascii="Verdana" w:hAnsi="Verdana"/>
          <w:sz w:val="20"/>
          <w:szCs w:val="20"/>
          <w:lang w:val="es-CR"/>
        </w:rPr>
        <w:t>a referida audiencia fue diferida al menos dos veces</w:t>
      </w:r>
      <w:bookmarkStart w:id="11" w:name="_Ref498680845"/>
      <w:r w:rsidR="001E6510" w:rsidRPr="004A7300">
        <w:rPr>
          <w:rStyle w:val="FootnoteReference"/>
          <w:rFonts w:ascii="Verdana" w:hAnsi="Verdana"/>
          <w:sz w:val="20"/>
          <w:szCs w:val="20"/>
          <w:lang w:val="es-CR"/>
        </w:rPr>
        <w:footnoteReference w:id="16"/>
      </w:r>
      <w:bookmarkEnd w:id="11"/>
      <w:r w:rsidR="009E303C" w:rsidRPr="004A7300">
        <w:rPr>
          <w:rFonts w:ascii="Verdana" w:hAnsi="Verdana"/>
          <w:sz w:val="20"/>
          <w:szCs w:val="20"/>
          <w:lang w:val="es-CR"/>
        </w:rPr>
        <w:t xml:space="preserve">. Además se </w:t>
      </w:r>
      <w:r w:rsidR="00E01D03">
        <w:rPr>
          <w:rFonts w:ascii="Verdana" w:hAnsi="Verdana"/>
          <w:sz w:val="20"/>
          <w:szCs w:val="20"/>
          <w:lang w:val="es-CR"/>
        </w:rPr>
        <w:t xml:space="preserve">dieron </w:t>
      </w:r>
      <w:r w:rsidR="009E303C" w:rsidRPr="004A7300">
        <w:rPr>
          <w:rFonts w:ascii="Verdana" w:hAnsi="Verdana"/>
          <w:sz w:val="20"/>
          <w:szCs w:val="20"/>
          <w:lang w:val="es-CR"/>
        </w:rPr>
        <w:t>dilaciones en el proceso,</w:t>
      </w:r>
      <w:r w:rsidR="001E6510" w:rsidRPr="004A7300">
        <w:rPr>
          <w:rFonts w:ascii="Verdana" w:hAnsi="Verdana"/>
          <w:sz w:val="20"/>
          <w:szCs w:val="20"/>
          <w:lang w:val="es-CR"/>
        </w:rPr>
        <w:t xml:space="preserve"> principalmente relacionad</w:t>
      </w:r>
      <w:r w:rsidR="009E303C" w:rsidRPr="004A7300">
        <w:rPr>
          <w:rFonts w:ascii="Verdana" w:hAnsi="Verdana"/>
          <w:sz w:val="20"/>
          <w:szCs w:val="20"/>
          <w:lang w:val="es-CR"/>
        </w:rPr>
        <w:t>a</w:t>
      </w:r>
      <w:r w:rsidR="001E6510" w:rsidRPr="004A7300">
        <w:rPr>
          <w:rFonts w:ascii="Verdana" w:hAnsi="Verdana"/>
          <w:sz w:val="20"/>
          <w:szCs w:val="20"/>
          <w:lang w:val="es-CR"/>
        </w:rPr>
        <w:t xml:space="preserve">s con los términos en los que </w:t>
      </w:r>
      <w:r w:rsidR="006E62E4">
        <w:rPr>
          <w:rFonts w:ascii="Verdana" w:hAnsi="Verdana"/>
          <w:sz w:val="20"/>
          <w:szCs w:val="20"/>
          <w:lang w:val="es-CR"/>
        </w:rPr>
        <w:t xml:space="preserve">Panamá solicitó la extradición del señor Noriega a Francia </w:t>
      </w:r>
      <w:r w:rsidR="000C4186" w:rsidRPr="004A7300">
        <w:rPr>
          <w:rFonts w:ascii="Verdana" w:hAnsi="Verdana"/>
          <w:sz w:val="20"/>
          <w:szCs w:val="20"/>
          <w:lang w:val="es-CR"/>
        </w:rPr>
        <w:t>(</w:t>
      </w:r>
      <w:r w:rsidR="000C4186" w:rsidRPr="004A7300">
        <w:rPr>
          <w:rFonts w:ascii="Verdana" w:hAnsi="Verdana"/>
          <w:i/>
          <w:sz w:val="20"/>
          <w:szCs w:val="20"/>
          <w:lang w:val="es-CR"/>
        </w:rPr>
        <w:t>supra</w:t>
      </w:r>
      <w:r w:rsidR="000C4186" w:rsidRPr="004A7300">
        <w:rPr>
          <w:rFonts w:ascii="Verdana" w:hAnsi="Verdana"/>
          <w:sz w:val="20"/>
          <w:szCs w:val="20"/>
          <w:lang w:val="es-CR"/>
        </w:rPr>
        <w:t xml:space="preserve"> nota </w:t>
      </w:r>
      <w:r w:rsidR="00772A2D">
        <w:rPr>
          <w:rFonts w:ascii="Verdana" w:hAnsi="Verdana"/>
          <w:sz w:val="20"/>
          <w:szCs w:val="20"/>
          <w:lang w:val="es-CR"/>
        </w:rPr>
        <w:fldChar w:fldCharType="begin"/>
      </w:r>
      <w:r w:rsidR="00772A2D">
        <w:rPr>
          <w:rFonts w:ascii="Verdana" w:hAnsi="Verdana"/>
          <w:sz w:val="20"/>
          <w:szCs w:val="20"/>
          <w:lang w:val="es-CR"/>
        </w:rPr>
        <w:instrText xml:space="preserve"> NOTEREF _Ref498680845 \h </w:instrText>
      </w:r>
      <w:r w:rsidR="00772A2D">
        <w:rPr>
          <w:rFonts w:ascii="Verdana" w:hAnsi="Verdana"/>
          <w:sz w:val="20"/>
          <w:szCs w:val="20"/>
          <w:lang w:val="es-CR"/>
        </w:rPr>
      </w:r>
      <w:r w:rsidR="00772A2D">
        <w:rPr>
          <w:rFonts w:ascii="Verdana" w:hAnsi="Verdana"/>
          <w:sz w:val="20"/>
          <w:szCs w:val="20"/>
          <w:lang w:val="es-CR"/>
        </w:rPr>
        <w:fldChar w:fldCharType="separate"/>
      </w:r>
      <w:r w:rsidR="00360B00">
        <w:rPr>
          <w:rFonts w:ascii="Verdana" w:hAnsi="Verdana"/>
          <w:sz w:val="20"/>
          <w:szCs w:val="20"/>
          <w:lang w:val="es-CR"/>
        </w:rPr>
        <w:t>15</w:t>
      </w:r>
      <w:r w:rsidR="00772A2D">
        <w:rPr>
          <w:rFonts w:ascii="Verdana" w:hAnsi="Verdana"/>
          <w:sz w:val="20"/>
          <w:szCs w:val="20"/>
          <w:lang w:val="es-CR"/>
        </w:rPr>
        <w:fldChar w:fldCharType="end"/>
      </w:r>
      <w:r w:rsidR="000C4186" w:rsidRPr="004A7300">
        <w:rPr>
          <w:rFonts w:ascii="Verdana" w:hAnsi="Verdana"/>
          <w:sz w:val="20"/>
          <w:szCs w:val="20"/>
          <w:lang w:val="es-CR"/>
        </w:rPr>
        <w:t>)</w:t>
      </w:r>
      <w:r w:rsidR="001E6510" w:rsidRPr="004A7300">
        <w:rPr>
          <w:rFonts w:ascii="Verdana" w:hAnsi="Verdana"/>
          <w:sz w:val="20"/>
          <w:szCs w:val="20"/>
          <w:lang w:val="es-CR"/>
        </w:rPr>
        <w:t xml:space="preserve">, </w:t>
      </w:r>
      <w:r w:rsidR="009E303C" w:rsidRPr="004A7300">
        <w:rPr>
          <w:rFonts w:ascii="Verdana" w:hAnsi="Verdana"/>
          <w:sz w:val="20"/>
          <w:szCs w:val="20"/>
          <w:lang w:val="es-CR"/>
        </w:rPr>
        <w:t xml:space="preserve">y </w:t>
      </w:r>
      <w:r w:rsidR="00275A11">
        <w:rPr>
          <w:rFonts w:ascii="Verdana" w:hAnsi="Verdana"/>
          <w:sz w:val="20"/>
          <w:szCs w:val="20"/>
          <w:lang w:val="es-CR"/>
        </w:rPr>
        <w:t xml:space="preserve">debido a </w:t>
      </w:r>
      <w:r w:rsidR="009E303C" w:rsidRPr="004A7300">
        <w:rPr>
          <w:rFonts w:ascii="Verdana" w:hAnsi="Verdana"/>
          <w:sz w:val="20"/>
          <w:szCs w:val="20"/>
          <w:lang w:val="es-CR"/>
        </w:rPr>
        <w:t xml:space="preserve">otras solicitudes realizadas por el imputado de sustitución de </w:t>
      </w:r>
      <w:r w:rsidR="00E20749">
        <w:rPr>
          <w:rFonts w:ascii="Verdana" w:hAnsi="Verdana"/>
          <w:sz w:val="20"/>
          <w:szCs w:val="20"/>
          <w:lang w:val="es-CR"/>
        </w:rPr>
        <w:t xml:space="preserve">la detención provisional </w:t>
      </w:r>
      <w:r w:rsidR="009E303C" w:rsidRPr="004A7300">
        <w:rPr>
          <w:rFonts w:ascii="Verdana" w:hAnsi="Verdana"/>
          <w:sz w:val="20"/>
          <w:szCs w:val="20"/>
          <w:lang w:val="es-CR"/>
        </w:rPr>
        <w:t xml:space="preserve">por otra medida menos severa, principalmente por alegados problemas de salud </w:t>
      </w:r>
      <w:r w:rsidR="009E303C" w:rsidRPr="004A7300">
        <w:rPr>
          <w:rFonts w:ascii="Verdana" w:hAnsi="Verdana"/>
          <w:sz w:val="20"/>
          <w:szCs w:val="20"/>
          <w:lang w:val="es-CR"/>
        </w:rPr>
        <w:lastRenderedPageBreak/>
        <w:t>del imputado</w:t>
      </w:r>
      <w:r w:rsidR="000C4186" w:rsidRPr="004A7300">
        <w:rPr>
          <w:rStyle w:val="FootnoteReference"/>
          <w:rFonts w:ascii="Verdana" w:hAnsi="Verdana"/>
          <w:sz w:val="20"/>
          <w:szCs w:val="20"/>
          <w:lang w:val="es-CR"/>
        </w:rPr>
        <w:footnoteReference w:id="17"/>
      </w:r>
      <w:r w:rsidR="001E6510" w:rsidRPr="004A7300">
        <w:rPr>
          <w:rFonts w:ascii="Verdana" w:hAnsi="Verdana"/>
          <w:sz w:val="20"/>
          <w:szCs w:val="20"/>
          <w:lang w:val="es-CR"/>
        </w:rPr>
        <w:t xml:space="preserve">. </w:t>
      </w:r>
      <w:r w:rsidR="00DE2FA4">
        <w:rPr>
          <w:rFonts w:ascii="Verdana" w:hAnsi="Verdana"/>
          <w:sz w:val="20"/>
          <w:szCs w:val="20"/>
          <w:lang w:val="es-CR"/>
        </w:rPr>
        <w:t xml:space="preserve">La </w:t>
      </w:r>
      <w:r w:rsidR="00DE2FA4">
        <w:rPr>
          <w:rFonts w:ascii="Verdana" w:hAnsi="Verdana"/>
          <w:i/>
          <w:sz w:val="20"/>
          <w:szCs w:val="20"/>
          <w:lang w:val="es-CR"/>
        </w:rPr>
        <w:t>Comisión</w:t>
      </w:r>
      <w:r w:rsidR="00DE2FA4">
        <w:rPr>
          <w:rFonts w:ascii="Verdana" w:hAnsi="Verdana"/>
          <w:sz w:val="20"/>
          <w:szCs w:val="20"/>
          <w:lang w:val="es-CR"/>
        </w:rPr>
        <w:t xml:space="preserve"> informó, en sus observaciones de septiembre de 2017, que el imputado Manuel Noriega falleció.</w:t>
      </w:r>
      <w:bookmarkEnd w:id="10"/>
      <w:r w:rsidR="00DE2FA4">
        <w:rPr>
          <w:rFonts w:ascii="Verdana" w:hAnsi="Verdana"/>
          <w:sz w:val="20"/>
          <w:szCs w:val="20"/>
          <w:lang w:val="es-CR"/>
        </w:rPr>
        <w:t xml:space="preserve">  </w:t>
      </w:r>
    </w:p>
    <w:p w14:paraId="5168D3B3" w14:textId="3E894BC6" w:rsidR="004A7300" w:rsidRDefault="00DE2FA4" w:rsidP="00F34D2E">
      <w:pPr>
        <w:pStyle w:val="ListParagraph"/>
        <w:numPr>
          <w:ilvl w:val="1"/>
          <w:numId w:val="3"/>
        </w:numPr>
        <w:spacing w:before="120" w:after="120" w:line="240" w:lineRule="auto"/>
        <w:ind w:left="1134" w:hanging="567"/>
        <w:contextualSpacing w:val="0"/>
        <w:jc w:val="both"/>
        <w:rPr>
          <w:rFonts w:ascii="Verdana" w:hAnsi="Verdana"/>
          <w:sz w:val="20"/>
          <w:szCs w:val="20"/>
          <w:lang w:val="es-CR"/>
        </w:rPr>
      </w:pPr>
      <w:r>
        <w:rPr>
          <w:rFonts w:ascii="Verdana" w:hAnsi="Verdana"/>
          <w:sz w:val="20"/>
          <w:szCs w:val="20"/>
          <w:lang w:val="es-CR"/>
        </w:rPr>
        <w:t>Los representantes manifesta</w:t>
      </w:r>
      <w:r w:rsidR="006817BA">
        <w:rPr>
          <w:rFonts w:ascii="Verdana" w:hAnsi="Verdana"/>
          <w:sz w:val="20"/>
          <w:szCs w:val="20"/>
          <w:lang w:val="es-CR"/>
        </w:rPr>
        <w:t>ron</w:t>
      </w:r>
      <w:r>
        <w:rPr>
          <w:rFonts w:ascii="Verdana" w:hAnsi="Verdana"/>
          <w:sz w:val="20"/>
          <w:szCs w:val="20"/>
          <w:lang w:val="es-CR"/>
        </w:rPr>
        <w:t xml:space="preserve"> de forma recurrente limitaciones en la participación de Patria Portugal en el proceso penal </w:t>
      </w:r>
      <w:r w:rsidR="006817BA">
        <w:rPr>
          <w:rFonts w:ascii="Verdana" w:hAnsi="Verdana"/>
          <w:sz w:val="20"/>
          <w:szCs w:val="20"/>
          <w:lang w:val="es-CR"/>
        </w:rPr>
        <w:t xml:space="preserve">que se siguió </w:t>
      </w:r>
      <w:r w:rsidR="006E62E4">
        <w:rPr>
          <w:rFonts w:ascii="Verdana" w:hAnsi="Verdana"/>
          <w:sz w:val="20"/>
          <w:szCs w:val="20"/>
          <w:lang w:val="es-CR"/>
        </w:rPr>
        <w:t>contra e</w:t>
      </w:r>
      <w:r w:rsidR="006817BA">
        <w:rPr>
          <w:rFonts w:ascii="Verdana" w:hAnsi="Verdana"/>
          <w:sz w:val="20"/>
          <w:szCs w:val="20"/>
          <w:lang w:val="es-CR"/>
        </w:rPr>
        <w:t>l señor</w:t>
      </w:r>
      <w:r w:rsidR="006E62E4">
        <w:rPr>
          <w:rFonts w:ascii="Verdana" w:hAnsi="Verdana"/>
          <w:sz w:val="20"/>
          <w:szCs w:val="20"/>
          <w:lang w:val="es-CR"/>
        </w:rPr>
        <w:t xml:space="preserve"> Noriega</w:t>
      </w:r>
      <w:r>
        <w:rPr>
          <w:rFonts w:ascii="Verdana" w:hAnsi="Verdana"/>
          <w:sz w:val="20"/>
          <w:szCs w:val="20"/>
          <w:lang w:val="es-CR"/>
        </w:rPr>
        <w:t xml:space="preserve">. </w:t>
      </w:r>
      <w:r w:rsidR="006817BA">
        <w:rPr>
          <w:rFonts w:ascii="Verdana" w:hAnsi="Verdana"/>
          <w:sz w:val="20"/>
          <w:szCs w:val="20"/>
          <w:lang w:val="es-CR"/>
        </w:rPr>
        <w:t>E</w:t>
      </w:r>
      <w:r>
        <w:rPr>
          <w:rFonts w:ascii="Verdana" w:hAnsi="Verdana"/>
          <w:sz w:val="20"/>
          <w:szCs w:val="20"/>
          <w:lang w:val="es-CR"/>
        </w:rPr>
        <w:t xml:space="preserve">n sus observaciones de mayo y octubre de 2015, los representantes hicieron notar que “las autoridades competentes </w:t>
      </w:r>
      <w:r w:rsidRPr="00DE2FA4">
        <w:rPr>
          <w:rFonts w:ascii="Verdana" w:hAnsi="Verdana"/>
          <w:sz w:val="20"/>
          <w:szCs w:val="20"/>
          <w:lang w:val="es-CR"/>
        </w:rPr>
        <w:t>no han notificado ni comunicado formal y adecuadamente a la señora Patria Portugal sobre las decisiones relacionadas al proceso bajo comentario”</w:t>
      </w:r>
      <w:r>
        <w:rPr>
          <w:rFonts w:ascii="Verdana" w:hAnsi="Verdana"/>
          <w:sz w:val="20"/>
          <w:szCs w:val="20"/>
          <w:lang w:val="es-CR"/>
        </w:rPr>
        <w:t>. En febrero de 2017 el Estado comunicó que en junio de 2016 Patria Portugal solicitó incorporarse al proceso penal como querellante, lo cual fue admitido</w:t>
      </w:r>
      <w:r w:rsidR="00AC6813">
        <w:rPr>
          <w:rFonts w:ascii="Verdana" w:hAnsi="Verdana"/>
          <w:sz w:val="20"/>
          <w:szCs w:val="20"/>
          <w:lang w:val="es-CR"/>
        </w:rPr>
        <w:t xml:space="preserve"> al mes siguiente</w:t>
      </w:r>
      <w:r>
        <w:rPr>
          <w:rFonts w:ascii="Verdana" w:hAnsi="Verdana"/>
          <w:sz w:val="20"/>
          <w:szCs w:val="20"/>
          <w:lang w:val="es-CR"/>
        </w:rPr>
        <w:t>.</w:t>
      </w:r>
    </w:p>
    <w:p w14:paraId="3D8E6074" w14:textId="49818ACF" w:rsidR="00DE2FA4" w:rsidRDefault="00BB4536" w:rsidP="001C0F6B">
      <w:pPr>
        <w:pStyle w:val="ListParagraph"/>
        <w:numPr>
          <w:ilvl w:val="1"/>
          <w:numId w:val="3"/>
        </w:numPr>
        <w:spacing w:before="120" w:after="120" w:line="240" w:lineRule="auto"/>
        <w:ind w:left="1134" w:hanging="589"/>
        <w:contextualSpacing w:val="0"/>
        <w:jc w:val="both"/>
        <w:rPr>
          <w:rFonts w:ascii="Verdana" w:hAnsi="Verdana"/>
          <w:sz w:val="20"/>
          <w:szCs w:val="20"/>
          <w:lang w:val="es-CR"/>
        </w:rPr>
      </w:pPr>
      <w:r>
        <w:rPr>
          <w:rFonts w:ascii="Verdana" w:hAnsi="Verdana"/>
          <w:sz w:val="20"/>
          <w:szCs w:val="20"/>
          <w:lang w:val="es-CR"/>
        </w:rPr>
        <w:t>El Estado no proporcionó la información solicitada por la Corte Interamericana</w:t>
      </w:r>
      <w:r w:rsidR="006E62E4">
        <w:rPr>
          <w:rFonts w:ascii="Verdana" w:hAnsi="Verdana"/>
          <w:sz w:val="20"/>
          <w:szCs w:val="20"/>
          <w:lang w:val="es-CR"/>
        </w:rPr>
        <w:t xml:space="preserve"> </w:t>
      </w:r>
      <w:r w:rsidR="00DE2FA4">
        <w:rPr>
          <w:rFonts w:ascii="Verdana" w:hAnsi="Verdana"/>
          <w:sz w:val="20"/>
          <w:szCs w:val="20"/>
          <w:lang w:val="es-CR"/>
        </w:rPr>
        <w:t>mediante su Resolución de 2012</w:t>
      </w:r>
      <w:r w:rsidR="00E66594">
        <w:rPr>
          <w:rFonts w:ascii="Verdana" w:hAnsi="Verdana"/>
          <w:sz w:val="20"/>
          <w:szCs w:val="20"/>
          <w:lang w:val="es-CR"/>
        </w:rPr>
        <w:t xml:space="preserve"> </w:t>
      </w:r>
      <w:r w:rsidR="00DE2FA4">
        <w:rPr>
          <w:rFonts w:ascii="Verdana" w:hAnsi="Verdana"/>
          <w:sz w:val="20"/>
          <w:szCs w:val="20"/>
          <w:lang w:val="es-CR"/>
        </w:rPr>
        <w:t>(</w:t>
      </w:r>
      <w:r w:rsidR="00DE2FA4">
        <w:rPr>
          <w:rFonts w:ascii="Verdana" w:hAnsi="Verdana"/>
          <w:i/>
          <w:sz w:val="20"/>
          <w:szCs w:val="20"/>
          <w:lang w:val="es-CR"/>
        </w:rPr>
        <w:t>supra</w:t>
      </w:r>
      <w:r w:rsidR="00DE2FA4">
        <w:rPr>
          <w:rFonts w:ascii="Verdana" w:hAnsi="Verdana"/>
          <w:sz w:val="20"/>
          <w:szCs w:val="20"/>
          <w:lang w:val="es-CR"/>
        </w:rPr>
        <w:t xml:space="preserve"> Considerando </w:t>
      </w:r>
      <w:r w:rsidR="00E66594">
        <w:rPr>
          <w:rFonts w:ascii="Verdana" w:hAnsi="Verdana"/>
          <w:sz w:val="20"/>
          <w:szCs w:val="20"/>
          <w:lang w:val="es-CR"/>
        </w:rPr>
        <w:fldChar w:fldCharType="begin"/>
      </w:r>
      <w:r w:rsidR="00E66594">
        <w:rPr>
          <w:rFonts w:ascii="Verdana" w:hAnsi="Verdana"/>
          <w:sz w:val="20"/>
          <w:szCs w:val="20"/>
          <w:lang w:val="es-CR"/>
        </w:rPr>
        <w:instrText xml:space="preserve"> REF _Ref498597533 \r \h </w:instrText>
      </w:r>
      <w:r w:rsidR="00E66594">
        <w:rPr>
          <w:rFonts w:ascii="Verdana" w:hAnsi="Verdana"/>
          <w:sz w:val="20"/>
          <w:szCs w:val="20"/>
          <w:lang w:val="es-CR"/>
        </w:rPr>
      </w:r>
      <w:r w:rsidR="00E66594">
        <w:rPr>
          <w:rFonts w:ascii="Verdana" w:hAnsi="Verdana"/>
          <w:sz w:val="20"/>
          <w:szCs w:val="20"/>
          <w:lang w:val="es-CR"/>
        </w:rPr>
        <w:fldChar w:fldCharType="separate"/>
      </w:r>
      <w:r w:rsidR="00360B00">
        <w:rPr>
          <w:rFonts w:ascii="Verdana" w:hAnsi="Verdana"/>
          <w:sz w:val="20"/>
          <w:szCs w:val="20"/>
          <w:lang w:val="es-CR"/>
        </w:rPr>
        <w:t>6</w:t>
      </w:r>
      <w:r w:rsidR="00E66594">
        <w:rPr>
          <w:rFonts w:ascii="Verdana" w:hAnsi="Verdana"/>
          <w:sz w:val="20"/>
          <w:szCs w:val="20"/>
          <w:lang w:val="es-CR"/>
        </w:rPr>
        <w:fldChar w:fldCharType="end"/>
      </w:r>
      <w:r w:rsidR="00DE2FA4">
        <w:rPr>
          <w:rFonts w:ascii="Verdana" w:hAnsi="Verdana"/>
          <w:sz w:val="20"/>
          <w:szCs w:val="20"/>
          <w:lang w:val="es-CR"/>
        </w:rPr>
        <w:t xml:space="preserve">). </w:t>
      </w:r>
    </w:p>
    <w:p w14:paraId="1A172799" w14:textId="77777777" w:rsidR="00DE2FA4" w:rsidRDefault="00DE2FA4" w:rsidP="006E62E4">
      <w:pPr>
        <w:pStyle w:val="ListParagraph"/>
        <w:numPr>
          <w:ilvl w:val="1"/>
          <w:numId w:val="3"/>
        </w:numPr>
        <w:spacing w:before="120" w:after="120" w:line="240" w:lineRule="auto"/>
        <w:ind w:left="1134" w:hanging="589"/>
        <w:contextualSpacing w:val="0"/>
        <w:jc w:val="both"/>
        <w:rPr>
          <w:rFonts w:ascii="Verdana" w:hAnsi="Verdana"/>
          <w:sz w:val="20"/>
          <w:szCs w:val="20"/>
          <w:lang w:val="es-CR"/>
        </w:rPr>
      </w:pPr>
      <w:r>
        <w:rPr>
          <w:rFonts w:ascii="Verdana" w:hAnsi="Verdana"/>
          <w:sz w:val="20"/>
          <w:szCs w:val="20"/>
          <w:lang w:val="es-CR"/>
        </w:rPr>
        <w:t xml:space="preserve">No se hace referencia a alguna otra investigación que se haya llevado a cabo o que se esté llevando a cabo sobre los hechos perpetrados en perjuicio de Heliodoro Portugal. </w:t>
      </w:r>
    </w:p>
    <w:p w14:paraId="0556C9D0" w14:textId="1EBAA14E" w:rsidR="00DE2FA4" w:rsidRDefault="00DE2FA4" w:rsidP="00DE2FA4">
      <w:pPr>
        <w:pStyle w:val="ListParagraph"/>
        <w:numPr>
          <w:ilvl w:val="0"/>
          <w:numId w:val="3"/>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 xml:space="preserve">De la información aportada por las partes y la Comisión no se puede desprender avance alguno en la investigación de la desaparición forzada de Heliodoro Portugal. Al contrario, desde la Resolución de la Corte de 2012 se encontraba pendiente la fijación de una audiencia de juicio </w:t>
      </w:r>
      <w:r w:rsidR="00417EE0">
        <w:rPr>
          <w:rFonts w:ascii="Verdana" w:hAnsi="Verdana"/>
          <w:sz w:val="20"/>
          <w:szCs w:val="20"/>
          <w:lang w:val="es-CR"/>
        </w:rPr>
        <w:t>en el proceso contra el imputado Manuel Noriega</w:t>
      </w:r>
      <w:r>
        <w:rPr>
          <w:rFonts w:ascii="Verdana" w:hAnsi="Verdana"/>
          <w:sz w:val="20"/>
          <w:szCs w:val="20"/>
          <w:lang w:val="es-CR"/>
        </w:rPr>
        <w:t xml:space="preserve">, que no llegó a </w:t>
      </w:r>
      <w:r w:rsidRPr="00D16E03">
        <w:rPr>
          <w:rFonts w:ascii="Verdana" w:hAnsi="Verdana"/>
          <w:sz w:val="20"/>
          <w:szCs w:val="20"/>
          <w:lang w:val="es-CR"/>
        </w:rPr>
        <w:t xml:space="preserve">realizarse. Aunado a ello, se hace notar que el Estado no proporcionó información alguna sobre </w:t>
      </w:r>
      <w:r w:rsidR="00A51581" w:rsidRPr="00D16E03">
        <w:rPr>
          <w:rFonts w:ascii="Verdana" w:hAnsi="Verdana"/>
          <w:sz w:val="20"/>
          <w:szCs w:val="20"/>
          <w:lang w:val="es-CR"/>
        </w:rPr>
        <w:t>el estado de las investigaciones llevadas a cabo en contra de los otros siete imputados que habían sido identificados por el Estado en su informe de 2011, o cualquier otra investigación que haya iniciado para que la desaparición forzada del señor Heliodoro Portugal no quede en la impunidad</w:t>
      </w:r>
      <w:r w:rsidRPr="00D16E03">
        <w:rPr>
          <w:rFonts w:ascii="Verdana" w:hAnsi="Verdana"/>
          <w:sz w:val="20"/>
          <w:szCs w:val="20"/>
          <w:lang w:val="es-CR"/>
        </w:rPr>
        <w:t>.</w:t>
      </w:r>
    </w:p>
    <w:p w14:paraId="6D88F100" w14:textId="1EED6CD3" w:rsidR="00DE2FA4" w:rsidRDefault="00DE2FA4" w:rsidP="00A51581">
      <w:pPr>
        <w:pStyle w:val="ListParagraph"/>
        <w:numPr>
          <w:ilvl w:val="0"/>
          <w:numId w:val="3"/>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 xml:space="preserve">En este sentido, en casos </w:t>
      </w:r>
      <w:r w:rsidR="00BD6BC0">
        <w:rPr>
          <w:rFonts w:ascii="Verdana" w:hAnsi="Verdana" w:cs="Verdana"/>
          <w:sz w:val="20"/>
          <w:szCs w:val="20"/>
          <w:lang w:val="es-ES"/>
        </w:rPr>
        <w:t>relativos</w:t>
      </w:r>
      <w:r>
        <w:rPr>
          <w:rFonts w:ascii="Verdana" w:hAnsi="Verdana"/>
          <w:sz w:val="20"/>
          <w:szCs w:val="20"/>
          <w:lang w:val="es-CR"/>
        </w:rPr>
        <w:t xml:space="preserve"> a desapariciones forzadas, el Tribunal ha sido particularmente enfático en  que “el paso del tiempo guarda una relación directamente proporcional con la limitación –y en algunos casos, la imposibilidad- para obtener las pruebas y/o testimonios, dificultando y aún tornando nugatoria o ineficaz, la práctica de diligencias probatorias a fin de esclarecer los hechos materia de investigación, identificar a los posibles autores y partícipes, y determinar las eventuales responsabilidades penales”</w:t>
      </w:r>
      <w:r>
        <w:rPr>
          <w:rStyle w:val="FootnoteReference"/>
          <w:rFonts w:ascii="Verdana" w:hAnsi="Verdana"/>
          <w:sz w:val="20"/>
          <w:szCs w:val="20"/>
          <w:lang w:val="es-CR"/>
        </w:rPr>
        <w:footnoteReference w:id="18"/>
      </w:r>
      <w:r>
        <w:rPr>
          <w:rFonts w:ascii="Verdana" w:hAnsi="Verdana"/>
          <w:sz w:val="20"/>
          <w:szCs w:val="20"/>
          <w:lang w:val="es-CR"/>
        </w:rPr>
        <w:t>.</w:t>
      </w:r>
      <w:r w:rsidR="000E11CB">
        <w:rPr>
          <w:rFonts w:ascii="Verdana" w:hAnsi="Verdana"/>
          <w:sz w:val="20"/>
          <w:szCs w:val="20"/>
          <w:lang w:val="es-CR"/>
        </w:rPr>
        <w:t xml:space="preserve"> </w:t>
      </w:r>
      <w:r w:rsidR="000E11CB" w:rsidRPr="00C0704D">
        <w:rPr>
          <w:rFonts w:ascii="Verdana" w:hAnsi="Verdana"/>
          <w:sz w:val="20"/>
          <w:szCs w:val="20"/>
          <w:lang w:val="es-CR"/>
        </w:rPr>
        <w:t>Al respecto, la Corte nota que</w:t>
      </w:r>
      <w:r w:rsidR="00A51581" w:rsidRPr="00C0704D">
        <w:rPr>
          <w:rFonts w:ascii="Verdana" w:hAnsi="Verdana"/>
          <w:sz w:val="20"/>
          <w:szCs w:val="20"/>
          <w:lang w:val="es-CR"/>
        </w:rPr>
        <w:t xml:space="preserve"> entre la culminación de la etapa de investigación y el fallecimiento del imputado </w:t>
      </w:r>
      <w:r w:rsidR="002D2DF6" w:rsidRPr="00C0704D">
        <w:rPr>
          <w:rFonts w:ascii="Verdana" w:hAnsi="Verdana"/>
          <w:sz w:val="20"/>
          <w:szCs w:val="20"/>
          <w:lang w:val="es-CR"/>
        </w:rPr>
        <w:t xml:space="preserve">Manuel Noriega </w:t>
      </w:r>
      <w:r w:rsidR="00A51581" w:rsidRPr="00C0704D">
        <w:rPr>
          <w:rFonts w:ascii="Verdana" w:hAnsi="Verdana"/>
          <w:sz w:val="20"/>
          <w:szCs w:val="20"/>
          <w:lang w:val="es-CR"/>
        </w:rPr>
        <w:t>transcurrieron seis años sin que hubiere sido juzgado.</w:t>
      </w:r>
      <w:r w:rsidR="00A51581" w:rsidRPr="00C0704D">
        <w:rPr>
          <w:lang w:val="es-CR"/>
        </w:rPr>
        <w:t xml:space="preserve"> </w:t>
      </w:r>
      <w:r w:rsidR="00A51581" w:rsidRPr="00C0704D">
        <w:rPr>
          <w:rFonts w:ascii="Verdana" w:hAnsi="Verdana"/>
          <w:sz w:val="20"/>
          <w:szCs w:val="20"/>
          <w:lang w:val="es-CR"/>
        </w:rPr>
        <w:t>L</w:t>
      </w:r>
      <w:r w:rsidR="000E11CB" w:rsidRPr="00C0704D">
        <w:rPr>
          <w:rFonts w:ascii="Verdana" w:hAnsi="Verdana"/>
          <w:sz w:val="20"/>
          <w:szCs w:val="20"/>
          <w:lang w:val="es-CR"/>
        </w:rPr>
        <w:t>as limitaciones derivadas del transcurso del tiempo son atribuibles al Estado, ya que</w:t>
      </w:r>
      <w:r w:rsidR="00A51581" w:rsidRPr="00C0704D">
        <w:rPr>
          <w:rFonts w:ascii="Verdana" w:hAnsi="Verdana"/>
          <w:sz w:val="20"/>
          <w:szCs w:val="20"/>
          <w:lang w:val="es-CR"/>
        </w:rPr>
        <w:t xml:space="preserve"> </w:t>
      </w:r>
      <w:r w:rsidR="002D2DF6" w:rsidRPr="00C0704D">
        <w:rPr>
          <w:rFonts w:ascii="Verdana" w:hAnsi="Verdana"/>
          <w:sz w:val="20"/>
          <w:szCs w:val="20"/>
          <w:lang w:val="es-CR"/>
        </w:rPr>
        <w:t>por</w:t>
      </w:r>
      <w:r w:rsidR="00A51581" w:rsidRPr="00C0704D">
        <w:rPr>
          <w:rFonts w:ascii="Verdana" w:hAnsi="Verdana"/>
          <w:sz w:val="20"/>
          <w:szCs w:val="20"/>
          <w:lang w:val="es-CR"/>
        </w:rPr>
        <w:t xml:space="preserve"> falta de debida diligencia </w:t>
      </w:r>
      <w:r w:rsidR="002D2DF6" w:rsidRPr="00C0704D">
        <w:rPr>
          <w:rFonts w:ascii="Verdana" w:hAnsi="Verdana"/>
          <w:sz w:val="20"/>
          <w:szCs w:val="20"/>
          <w:lang w:val="es-CR"/>
        </w:rPr>
        <w:t xml:space="preserve">no se logró </w:t>
      </w:r>
      <w:r w:rsidR="00A51581" w:rsidRPr="00C0704D">
        <w:rPr>
          <w:rFonts w:ascii="Verdana" w:hAnsi="Verdana"/>
          <w:sz w:val="20"/>
          <w:szCs w:val="20"/>
          <w:lang w:val="es-CR"/>
        </w:rPr>
        <w:t xml:space="preserve">efectuar el enjuiciamiento </w:t>
      </w:r>
      <w:r w:rsidR="002D2DF6" w:rsidRPr="00C0704D">
        <w:rPr>
          <w:rFonts w:ascii="Verdana" w:hAnsi="Verdana"/>
          <w:sz w:val="20"/>
          <w:szCs w:val="20"/>
          <w:lang w:val="es-CR"/>
        </w:rPr>
        <w:t xml:space="preserve">del </w:t>
      </w:r>
      <w:r w:rsidR="006E62E4" w:rsidRPr="00C0704D">
        <w:rPr>
          <w:rFonts w:ascii="Verdana" w:hAnsi="Verdana"/>
          <w:sz w:val="20"/>
          <w:szCs w:val="20"/>
          <w:lang w:val="es-CR"/>
        </w:rPr>
        <w:t>único imputado por los hechos perpetrados en contra del señor Heliodoro Portugal</w:t>
      </w:r>
      <w:r w:rsidR="00A51581" w:rsidRPr="00C0704D">
        <w:rPr>
          <w:rFonts w:ascii="Verdana" w:hAnsi="Verdana"/>
          <w:sz w:val="20"/>
          <w:szCs w:val="20"/>
          <w:lang w:val="es-CR"/>
        </w:rPr>
        <w:t xml:space="preserve"> sobre el cual el Estado ha proporcionado información desde 2011</w:t>
      </w:r>
      <w:r w:rsidR="000E11CB">
        <w:rPr>
          <w:rFonts w:ascii="Verdana" w:hAnsi="Verdana"/>
          <w:sz w:val="20"/>
          <w:szCs w:val="20"/>
          <w:lang w:val="es-CR"/>
        </w:rPr>
        <w:t>. Esto es especialmente relevante teniendo en cuenta que los hechos correspondientes al presente caso ocurrieron hace aproximadamente 47 años, y que la Sentencia de la Corte fue dictada hace más de nueve años</w:t>
      </w:r>
      <w:r w:rsidR="006A7136">
        <w:rPr>
          <w:rFonts w:ascii="Verdana" w:hAnsi="Verdana"/>
          <w:sz w:val="20"/>
          <w:szCs w:val="20"/>
          <w:lang w:val="es-CR"/>
        </w:rPr>
        <w:t xml:space="preserve">. </w:t>
      </w:r>
      <w:r w:rsidR="000E11CB">
        <w:rPr>
          <w:rFonts w:ascii="Verdana" w:hAnsi="Verdana"/>
          <w:sz w:val="20"/>
          <w:szCs w:val="20"/>
          <w:lang w:val="es-CR"/>
        </w:rPr>
        <w:t>Panamá debe continuar efectuando las diligencias pertinentes para completar las investigaciones</w:t>
      </w:r>
      <w:r w:rsidR="006E04D6">
        <w:rPr>
          <w:rFonts w:ascii="Verdana" w:hAnsi="Verdana"/>
          <w:sz w:val="20"/>
          <w:szCs w:val="20"/>
          <w:lang w:val="es-CR"/>
        </w:rPr>
        <w:t xml:space="preserve"> de los otros posibles responsables por la desaparición forzada del señor Portugal,</w:t>
      </w:r>
      <w:r w:rsidR="000E11CB">
        <w:rPr>
          <w:rFonts w:ascii="Verdana" w:hAnsi="Verdana"/>
          <w:sz w:val="20"/>
          <w:szCs w:val="20"/>
          <w:lang w:val="es-CR"/>
        </w:rPr>
        <w:t xml:space="preserve"> y </w:t>
      </w:r>
      <w:r w:rsidR="000D37E2">
        <w:rPr>
          <w:rFonts w:ascii="Verdana" w:hAnsi="Verdana"/>
          <w:sz w:val="20"/>
          <w:szCs w:val="20"/>
          <w:lang w:val="es-CR"/>
        </w:rPr>
        <w:t xml:space="preserve">los </w:t>
      </w:r>
      <w:r w:rsidR="000E11CB">
        <w:rPr>
          <w:rFonts w:ascii="Verdana" w:hAnsi="Verdana"/>
          <w:sz w:val="20"/>
          <w:szCs w:val="20"/>
          <w:lang w:val="es-CR"/>
        </w:rPr>
        <w:lastRenderedPageBreak/>
        <w:t>enjuiciamientos correspondientes con la mayor celeridad, para evitar que se agraven los obstáculos que derivan del tiempo y que las graves violaciones a derechos humanos de las que fue víctima el señor Heliodoro Portugal queden en la impunidad.</w:t>
      </w:r>
      <w:r>
        <w:rPr>
          <w:rFonts w:ascii="Verdana" w:hAnsi="Verdana"/>
          <w:sz w:val="20"/>
          <w:szCs w:val="20"/>
          <w:lang w:val="es-CR"/>
        </w:rPr>
        <w:t xml:space="preserve"> </w:t>
      </w:r>
    </w:p>
    <w:p w14:paraId="4651AC6B" w14:textId="61CA8286" w:rsidR="00051EE9" w:rsidRPr="00C759D7" w:rsidRDefault="000E11CB" w:rsidP="00051EE9">
      <w:pPr>
        <w:pStyle w:val="ListParagraph"/>
        <w:numPr>
          <w:ilvl w:val="0"/>
          <w:numId w:val="3"/>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 xml:space="preserve">Por las razones antedichas, la Corte considera que dicha medida continúa pendiente de cumplimiento, y requiere al Estado que presente información actualizada y detallada </w:t>
      </w:r>
      <w:r w:rsidRPr="000E11CB">
        <w:rPr>
          <w:rFonts w:ascii="Verdana" w:hAnsi="Verdana"/>
          <w:sz w:val="20"/>
          <w:szCs w:val="20"/>
          <w:lang w:val="es-CR"/>
        </w:rPr>
        <w:t>sobre la adopción de medidas destinadas a culminar con la investigación y el juzgamiento</w:t>
      </w:r>
      <w:r>
        <w:rPr>
          <w:rFonts w:ascii="Verdana" w:hAnsi="Verdana"/>
          <w:sz w:val="20"/>
          <w:szCs w:val="20"/>
          <w:lang w:val="es-CR"/>
        </w:rPr>
        <w:t xml:space="preserve"> de la desaparición forzada y la ejecución extrajudicial perpetrada en contra de Heliodoro Portugal. En particular, el Estado deberá especificar las medidas adoptadas para continuar con la identificación y enjuiciamiento de otras posibles personas que hayan estado involucradas en los hechos objeto del presente caso, todo ello en atención a los criterios dispuestos en la Sentencia. Igualmente, el Estado deberá indicar con claridad los tipos penales con base en los cuales se sigue la investigación y subsecuente juzgamiento de los hechos perpetrados en contra de la víctima Heliodoro Portugal objeto del presente caso. Finalmente, se reitera la solicitud de la Resolución de 2012 (</w:t>
      </w:r>
      <w:r>
        <w:rPr>
          <w:rFonts w:ascii="Verdana" w:hAnsi="Verdana"/>
          <w:i/>
          <w:sz w:val="20"/>
          <w:szCs w:val="20"/>
          <w:lang w:val="es-CR"/>
        </w:rPr>
        <w:t>supra</w:t>
      </w:r>
      <w:r>
        <w:rPr>
          <w:rFonts w:ascii="Verdana" w:hAnsi="Verdana"/>
          <w:sz w:val="20"/>
          <w:szCs w:val="20"/>
          <w:lang w:val="es-CR"/>
        </w:rPr>
        <w:t xml:space="preserve"> Considerando </w:t>
      </w:r>
      <w:r w:rsidR="000B7E73">
        <w:rPr>
          <w:rFonts w:ascii="Verdana" w:hAnsi="Verdana"/>
          <w:sz w:val="20"/>
          <w:szCs w:val="20"/>
          <w:lang w:val="es-CR"/>
        </w:rPr>
        <w:fldChar w:fldCharType="begin"/>
      </w:r>
      <w:r w:rsidR="000B7E73">
        <w:rPr>
          <w:rFonts w:ascii="Verdana" w:hAnsi="Verdana"/>
          <w:sz w:val="20"/>
          <w:szCs w:val="20"/>
          <w:lang w:val="es-CR"/>
        </w:rPr>
        <w:instrText xml:space="preserve"> REF _Ref498597533 \r \h </w:instrText>
      </w:r>
      <w:r w:rsidR="000B7E73">
        <w:rPr>
          <w:rFonts w:ascii="Verdana" w:hAnsi="Verdana"/>
          <w:sz w:val="20"/>
          <w:szCs w:val="20"/>
          <w:lang w:val="es-CR"/>
        </w:rPr>
      </w:r>
      <w:r w:rsidR="000B7E73">
        <w:rPr>
          <w:rFonts w:ascii="Verdana" w:hAnsi="Verdana"/>
          <w:sz w:val="20"/>
          <w:szCs w:val="20"/>
          <w:lang w:val="es-CR"/>
        </w:rPr>
        <w:fldChar w:fldCharType="separate"/>
      </w:r>
      <w:r w:rsidR="00360B00">
        <w:rPr>
          <w:rFonts w:ascii="Verdana" w:hAnsi="Verdana"/>
          <w:sz w:val="20"/>
          <w:szCs w:val="20"/>
          <w:lang w:val="es-CR"/>
        </w:rPr>
        <w:t>6</w:t>
      </w:r>
      <w:r w:rsidR="000B7E73">
        <w:rPr>
          <w:rFonts w:ascii="Verdana" w:hAnsi="Verdana"/>
          <w:sz w:val="20"/>
          <w:szCs w:val="20"/>
          <w:lang w:val="es-CR"/>
        </w:rPr>
        <w:fldChar w:fldCharType="end"/>
      </w:r>
      <w:r>
        <w:rPr>
          <w:rFonts w:ascii="Verdana" w:hAnsi="Verdana"/>
          <w:sz w:val="20"/>
          <w:szCs w:val="20"/>
          <w:lang w:val="es-CR"/>
        </w:rPr>
        <w:t xml:space="preserve">), por la cual el Estado deberá transmitir a la Corte </w:t>
      </w:r>
      <w:r w:rsidRPr="00AE2D23">
        <w:rPr>
          <w:rFonts w:ascii="Verdana" w:hAnsi="Verdana"/>
          <w:sz w:val="20"/>
          <w:szCs w:val="20"/>
          <w:lang w:val="es-MX"/>
        </w:rPr>
        <w:t>las diligencias realizadas desde la emisión de la Sentencia de la Corte en el presente caso hasta la fecha</w:t>
      </w:r>
      <w:r>
        <w:rPr>
          <w:rFonts w:ascii="Verdana" w:hAnsi="Verdana"/>
          <w:sz w:val="20"/>
          <w:szCs w:val="20"/>
          <w:lang w:val="es-MX"/>
        </w:rPr>
        <w:t xml:space="preserve"> relativas a la investigación de dichos hechos</w:t>
      </w:r>
      <w:r w:rsidRPr="00AE2D23">
        <w:rPr>
          <w:rFonts w:ascii="Verdana" w:hAnsi="Verdana"/>
          <w:sz w:val="20"/>
          <w:szCs w:val="20"/>
          <w:lang w:val="es-MX"/>
        </w:rPr>
        <w:t>, remitiendo copias de las partes relevantes de los respectivos expedientes</w:t>
      </w:r>
      <w:r>
        <w:rPr>
          <w:rFonts w:ascii="Verdana" w:hAnsi="Verdana"/>
          <w:sz w:val="20"/>
          <w:szCs w:val="20"/>
          <w:lang w:val="es-MX"/>
        </w:rPr>
        <w:t xml:space="preserve">. </w:t>
      </w:r>
    </w:p>
    <w:p w14:paraId="0B7FF11D" w14:textId="7E591D09" w:rsidR="00051EE9" w:rsidRPr="00C759D7" w:rsidRDefault="000E11CB" w:rsidP="00051EE9">
      <w:pPr>
        <w:pStyle w:val="ListParagraph"/>
        <w:numPr>
          <w:ilvl w:val="0"/>
          <w:numId w:val="9"/>
        </w:numPr>
        <w:spacing w:before="120" w:after="120" w:line="240" w:lineRule="auto"/>
        <w:ind w:left="0" w:firstLine="0"/>
        <w:contextualSpacing w:val="0"/>
        <w:jc w:val="both"/>
        <w:outlineLvl w:val="0"/>
        <w:rPr>
          <w:rFonts w:ascii="Verdana" w:hAnsi="Verdana" w:cs="Arial"/>
          <w:b/>
          <w:i/>
          <w:sz w:val="20"/>
          <w:szCs w:val="20"/>
          <w:lang w:val="es-MX"/>
        </w:rPr>
      </w:pPr>
      <w:bookmarkStart w:id="12" w:name="_Toc493607395"/>
      <w:r>
        <w:rPr>
          <w:rFonts w:ascii="Verdana" w:hAnsi="Verdana" w:cs="Arial"/>
          <w:b/>
          <w:i/>
          <w:sz w:val="20"/>
          <w:szCs w:val="20"/>
          <w:lang w:val="es-MX"/>
        </w:rPr>
        <w:t xml:space="preserve">Tratamiento </w:t>
      </w:r>
      <w:r w:rsidR="007566E5">
        <w:rPr>
          <w:rFonts w:ascii="Verdana" w:hAnsi="Verdana" w:cs="Arial"/>
          <w:b/>
          <w:i/>
          <w:sz w:val="20"/>
          <w:szCs w:val="20"/>
          <w:lang w:val="es-MX"/>
        </w:rPr>
        <w:t>m</w:t>
      </w:r>
      <w:r>
        <w:rPr>
          <w:rFonts w:ascii="Verdana" w:hAnsi="Verdana" w:cs="Arial"/>
          <w:b/>
          <w:i/>
          <w:sz w:val="20"/>
          <w:szCs w:val="20"/>
          <w:lang w:val="es-MX"/>
        </w:rPr>
        <w:t xml:space="preserve">édico y </w:t>
      </w:r>
      <w:r w:rsidR="007566E5">
        <w:rPr>
          <w:rFonts w:ascii="Verdana" w:hAnsi="Verdana" w:cs="Arial"/>
          <w:b/>
          <w:i/>
          <w:sz w:val="20"/>
          <w:szCs w:val="20"/>
          <w:lang w:val="es-MX"/>
        </w:rPr>
        <w:t>p</w:t>
      </w:r>
      <w:r>
        <w:rPr>
          <w:rFonts w:ascii="Verdana" w:hAnsi="Verdana" w:cs="Arial"/>
          <w:b/>
          <w:i/>
          <w:sz w:val="20"/>
          <w:szCs w:val="20"/>
          <w:lang w:val="es-MX"/>
        </w:rPr>
        <w:t>sicológico</w:t>
      </w:r>
      <w:bookmarkEnd w:id="12"/>
      <w:r>
        <w:rPr>
          <w:rFonts w:ascii="Verdana" w:hAnsi="Verdana" w:cs="Arial"/>
          <w:b/>
          <w:i/>
          <w:sz w:val="20"/>
          <w:szCs w:val="20"/>
          <w:lang w:val="es-MX"/>
        </w:rPr>
        <w:t xml:space="preserve"> </w:t>
      </w:r>
    </w:p>
    <w:p w14:paraId="12D492BF" w14:textId="3AEBA276" w:rsidR="000E11CB" w:rsidRPr="000E11CB" w:rsidRDefault="000E11CB" w:rsidP="000E11CB">
      <w:pPr>
        <w:pStyle w:val="ListParagraph"/>
        <w:spacing w:before="120" w:after="120" w:line="240" w:lineRule="auto"/>
        <w:ind w:left="0" w:firstLine="720"/>
        <w:contextualSpacing w:val="0"/>
        <w:jc w:val="both"/>
        <w:rPr>
          <w:rFonts w:ascii="Verdana" w:hAnsi="Verdana" w:cs="Arial"/>
          <w:i/>
          <w:sz w:val="20"/>
          <w:szCs w:val="20"/>
          <w:lang w:val="es-MX"/>
        </w:rPr>
      </w:pPr>
      <w:r>
        <w:rPr>
          <w:rFonts w:ascii="Verdana" w:hAnsi="Verdana" w:cs="Arial"/>
          <w:i/>
          <w:sz w:val="20"/>
          <w:szCs w:val="20"/>
          <w:lang w:val="es-MX"/>
        </w:rPr>
        <w:t>B</w:t>
      </w:r>
      <w:r w:rsidRPr="000E11CB">
        <w:rPr>
          <w:rFonts w:ascii="Verdana" w:hAnsi="Verdana" w:cs="Arial"/>
          <w:i/>
          <w:sz w:val="20"/>
          <w:szCs w:val="20"/>
          <w:lang w:val="es-MX"/>
        </w:rPr>
        <w:t>.1 Medida ordenada por la Corte y supervisión realizada en resoluciones anteriores</w:t>
      </w:r>
    </w:p>
    <w:p w14:paraId="000E7598" w14:textId="0C30DB35" w:rsidR="000E11CB" w:rsidRPr="006F5B50" w:rsidRDefault="000E11CB" w:rsidP="000E11CB">
      <w:pPr>
        <w:pStyle w:val="ListParagraph"/>
        <w:numPr>
          <w:ilvl w:val="0"/>
          <w:numId w:val="3"/>
        </w:numPr>
        <w:tabs>
          <w:tab w:val="left" w:pos="0"/>
        </w:tabs>
        <w:spacing w:line="240" w:lineRule="auto"/>
        <w:ind w:left="0" w:firstLine="0"/>
        <w:jc w:val="both"/>
        <w:rPr>
          <w:rFonts w:ascii="Verdana" w:hAnsi="Verdana" w:cs="Arial"/>
          <w:sz w:val="20"/>
          <w:szCs w:val="20"/>
          <w:lang w:val="es-MX"/>
        </w:rPr>
      </w:pPr>
      <w:bookmarkStart w:id="13" w:name="_Ref498611967"/>
      <w:r w:rsidRPr="000E11CB">
        <w:rPr>
          <w:rFonts w:ascii="Verdana" w:hAnsi="Verdana" w:cs="Arial"/>
          <w:sz w:val="20"/>
          <w:szCs w:val="20"/>
          <w:lang w:val="es-MX"/>
        </w:rPr>
        <w:t xml:space="preserve">En el </w:t>
      </w:r>
      <w:r>
        <w:rPr>
          <w:rFonts w:ascii="Verdana" w:hAnsi="Verdana" w:cs="Arial"/>
          <w:sz w:val="20"/>
          <w:szCs w:val="20"/>
          <w:lang w:val="es-MX"/>
        </w:rPr>
        <w:t>punto resolutivo décimo quinto y en el párrafo 256 de la Sentencia, el Tribunal ordenó al Estado “</w:t>
      </w:r>
      <w:r w:rsidRPr="000E11CB">
        <w:rPr>
          <w:rFonts w:ascii="Verdana" w:hAnsi="Verdana"/>
          <w:snapToGrid w:val="0"/>
          <w:sz w:val="20"/>
          <w:lang w:val="es-CR"/>
        </w:rPr>
        <w:t>brindar gratuitamente y de forma inmediata,</w:t>
      </w:r>
      <w:r w:rsidRPr="000E11CB">
        <w:rPr>
          <w:rFonts w:ascii="Verdana" w:hAnsi="Verdana"/>
          <w:b/>
          <w:snapToGrid w:val="0"/>
          <w:sz w:val="20"/>
          <w:lang w:val="es-CR"/>
        </w:rPr>
        <w:t xml:space="preserve"> </w:t>
      </w:r>
      <w:r w:rsidRPr="000E11CB">
        <w:rPr>
          <w:rFonts w:ascii="Verdana" w:hAnsi="Verdana"/>
          <w:snapToGrid w:val="0"/>
          <w:sz w:val="20"/>
          <w:lang w:val="es-CR"/>
        </w:rPr>
        <w:t>a través de sus instituciones de salud especializadas, el tratamiento médico y psicológico requerido por Graciela De León de Rodríguez, Patria Portugal y Franklin Portugal</w:t>
      </w:r>
      <w:r>
        <w:rPr>
          <w:rFonts w:ascii="Verdana" w:hAnsi="Verdana"/>
          <w:snapToGrid w:val="0"/>
          <w:sz w:val="20"/>
          <w:lang w:val="es-CR"/>
        </w:rPr>
        <w:t>”</w:t>
      </w:r>
      <w:r w:rsidR="006F5B50">
        <w:rPr>
          <w:rFonts w:ascii="Verdana" w:hAnsi="Verdana"/>
          <w:snapToGrid w:val="0"/>
          <w:sz w:val="20"/>
          <w:lang w:val="es-CR"/>
        </w:rPr>
        <w:t>. La Corte indicó que “</w:t>
      </w:r>
      <w:r w:rsidR="00E66C5C">
        <w:rPr>
          <w:rFonts w:ascii="Verdana" w:hAnsi="Verdana"/>
          <w:snapToGrid w:val="0"/>
          <w:sz w:val="20"/>
          <w:lang w:val="es-CR"/>
        </w:rPr>
        <w:t>e</w:t>
      </w:r>
      <w:r w:rsidR="006F5B50" w:rsidRPr="006F5B50">
        <w:rPr>
          <w:rFonts w:ascii="Verdana" w:hAnsi="Verdana"/>
          <w:snapToGrid w:val="0"/>
          <w:sz w:val="20"/>
          <w:lang w:val="es-CR"/>
        </w:rPr>
        <w:t>l tratamiento médico de salud física debe brindarse por personal e instituciones especializadas en la atención de las dolencias que presentan tales personas que aseguren que se proporcione el tratamiento más adecuado y efectivo</w:t>
      </w:r>
      <w:r w:rsidR="00E66C5C">
        <w:rPr>
          <w:rFonts w:ascii="Verdana" w:hAnsi="Verdana"/>
          <w:snapToGrid w:val="0"/>
          <w:sz w:val="20"/>
          <w:lang w:val="es-CR"/>
        </w:rPr>
        <w:t>”</w:t>
      </w:r>
      <w:r w:rsidR="006F5B50" w:rsidRPr="006F5B50">
        <w:rPr>
          <w:rFonts w:ascii="Verdana" w:hAnsi="Verdana"/>
          <w:snapToGrid w:val="0"/>
          <w:sz w:val="20"/>
          <w:lang w:val="es-CR"/>
        </w:rPr>
        <w:t xml:space="preserve">. </w:t>
      </w:r>
      <w:r w:rsidR="00E66C5C">
        <w:rPr>
          <w:rFonts w:ascii="Verdana" w:hAnsi="Verdana"/>
          <w:snapToGrid w:val="0"/>
          <w:sz w:val="20"/>
          <w:lang w:val="es-CR"/>
        </w:rPr>
        <w:t>Asimismo, “</w:t>
      </w:r>
      <w:r w:rsidR="000B7E73">
        <w:rPr>
          <w:rFonts w:ascii="Verdana" w:hAnsi="Verdana"/>
          <w:snapToGrid w:val="0"/>
          <w:sz w:val="20"/>
          <w:lang w:val="es-CR"/>
        </w:rPr>
        <w:t>[</w:t>
      </w:r>
      <w:r w:rsidR="00E66C5C">
        <w:rPr>
          <w:rFonts w:ascii="Verdana" w:hAnsi="Verdana"/>
          <w:snapToGrid w:val="0"/>
          <w:sz w:val="20"/>
          <w:lang w:val="es-CR"/>
        </w:rPr>
        <w:t>e</w:t>
      </w:r>
      <w:r w:rsidR="000B7E73">
        <w:rPr>
          <w:rFonts w:ascii="Verdana" w:hAnsi="Verdana"/>
          <w:snapToGrid w:val="0"/>
          <w:sz w:val="20"/>
          <w:lang w:val="es-CR"/>
        </w:rPr>
        <w:t>]</w:t>
      </w:r>
      <w:r w:rsidR="006F5B50" w:rsidRPr="006F5B50">
        <w:rPr>
          <w:rFonts w:ascii="Verdana" w:hAnsi="Verdana"/>
          <w:snapToGrid w:val="0"/>
          <w:sz w:val="20"/>
          <w:lang w:val="es-CR"/>
        </w:rPr>
        <w:t>l tratamiento psicológico y psiquiátrico debe brindarse por personal e instituciones especializadas en la atención de víctimas de hechos como los ocurridos en el presente caso. Dicho tratamiento médico y psicológico debe ser prestado a partir de la notificación de la presente Sentencia y por el tiempo que sea necesario, así como debe incluir el suministro de los medicamentos que se requieran, y debe tomar en consideración los padecimientos de cada uno de ellos después de una evaluación individual</w:t>
      </w:r>
      <w:r w:rsidR="006F5B50">
        <w:rPr>
          <w:rFonts w:ascii="Verdana" w:hAnsi="Verdana"/>
          <w:snapToGrid w:val="0"/>
          <w:sz w:val="20"/>
          <w:lang w:val="es-CR"/>
        </w:rPr>
        <w:t>”.</w:t>
      </w:r>
      <w:bookmarkEnd w:id="13"/>
    </w:p>
    <w:p w14:paraId="45C1F148" w14:textId="77777777" w:rsidR="006F5B50" w:rsidRPr="006F5B50" w:rsidRDefault="006F5B50" w:rsidP="006F5B50">
      <w:pPr>
        <w:pStyle w:val="ListParagraph"/>
        <w:tabs>
          <w:tab w:val="left" w:pos="0"/>
        </w:tabs>
        <w:spacing w:line="240" w:lineRule="auto"/>
        <w:ind w:left="0"/>
        <w:jc w:val="both"/>
        <w:rPr>
          <w:rFonts w:ascii="Verdana" w:hAnsi="Verdana" w:cs="Arial"/>
          <w:sz w:val="20"/>
          <w:szCs w:val="20"/>
          <w:lang w:val="es-MX"/>
        </w:rPr>
      </w:pPr>
    </w:p>
    <w:p w14:paraId="582B2D91" w14:textId="087C8FD6" w:rsidR="00051EE9" w:rsidRPr="00C759D7" w:rsidRDefault="006F5B50" w:rsidP="00C759D7">
      <w:pPr>
        <w:pStyle w:val="ListParagraph"/>
        <w:numPr>
          <w:ilvl w:val="0"/>
          <w:numId w:val="3"/>
        </w:numPr>
        <w:tabs>
          <w:tab w:val="left" w:pos="0"/>
        </w:tabs>
        <w:spacing w:line="240" w:lineRule="auto"/>
        <w:ind w:left="0" w:firstLine="0"/>
        <w:jc w:val="both"/>
        <w:rPr>
          <w:rFonts w:ascii="Verdana" w:hAnsi="Verdana" w:cs="Arial"/>
          <w:sz w:val="20"/>
          <w:szCs w:val="20"/>
          <w:lang w:val="es-MX"/>
        </w:rPr>
      </w:pPr>
      <w:bookmarkStart w:id="14" w:name="_Ref498682170"/>
      <w:r w:rsidRPr="006F5B50">
        <w:rPr>
          <w:rFonts w:ascii="Verdana" w:hAnsi="Verdana" w:cs="Arial"/>
          <w:sz w:val="20"/>
          <w:szCs w:val="20"/>
          <w:lang w:val="es-MX"/>
        </w:rPr>
        <w:t>En la resolución de supervisión de cumplimiento emitida en junio de 2012 (</w:t>
      </w:r>
      <w:r w:rsidRPr="006F5B50">
        <w:rPr>
          <w:rFonts w:ascii="Verdana" w:hAnsi="Verdana" w:cs="Arial"/>
          <w:i/>
          <w:sz w:val="20"/>
          <w:szCs w:val="20"/>
          <w:lang w:val="es-MX"/>
        </w:rPr>
        <w:t xml:space="preserve">supra </w:t>
      </w:r>
      <w:r w:rsidRPr="006F5B50">
        <w:rPr>
          <w:rFonts w:ascii="Verdana" w:hAnsi="Verdana" w:cs="Arial"/>
          <w:sz w:val="20"/>
          <w:szCs w:val="20"/>
          <w:lang w:val="es-MX"/>
        </w:rPr>
        <w:t xml:space="preserve">Visto </w:t>
      </w:r>
      <w:r w:rsidR="00BE1D1F">
        <w:rPr>
          <w:rFonts w:ascii="Verdana" w:hAnsi="Verdana" w:cs="Arial"/>
          <w:sz w:val="20"/>
          <w:szCs w:val="20"/>
          <w:lang w:val="es-MX"/>
        </w:rPr>
        <w:fldChar w:fldCharType="begin"/>
      </w:r>
      <w:r w:rsidR="00BE1D1F">
        <w:rPr>
          <w:rFonts w:ascii="Verdana" w:hAnsi="Verdana" w:cs="Arial"/>
          <w:sz w:val="20"/>
          <w:szCs w:val="20"/>
          <w:lang w:val="es-MX"/>
        </w:rPr>
        <w:instrText xml:space="preserve"> REF _Ref498603302 \r \h </w:instrText>
      </w:r>
      <w:r w:rsidR="00BE1D1F">
        <w:rPr>
          <w:rFonts w:ascii="Verdana" w:hAnsi="Verdana" w:cs="Arial"/>
          <w:sz w:val="20"/>
          <w:szCs w:val="20"/>
          <w:lang w:val="es-MX"/>
        </w:rPr>
      </w:r>
      <w:r w:rsidR="00BE1D1F">
        <w:rPr>
          <w:rFonts w:ascii="Verdana" w:hAnsi="Verdana" w:cs="Arial"/>
          <w:sz w:val="20"/>
          <w:szCs w:val="20"/>
          <w:lang w:val="es-MX"/>
        </w:rPr>
        <w:fldChar w:fldCharType="separate"/>
      </w:r>
      <w:r w:rsidR="00360B00">
        <w:rPr>
          <w:rFonts w:ascii="Verdana" w:hAnsi="Verdana" w:cs="Arial"/>
          <w:sz w:val="20"/>
          <w:szCs w:val="20"/>
          <w:lang w:val="es-MX"/>
        </w:rPr>
        <w:t>2</w:t>
      </w:r>
      <w:r w:rsidR="00BE1D1F">
        <w:rPr>
          <w:rFonts w:ascii="Verdana" w:hAnsi="Verdana" w:cs="Arial"/>
          <w:sz w:val="20"/>
          <w:szCs w:val="20"/>
          <w:lang w:val="es-MX"/>
        </w:rPr>
        <w:fldChar w:fldCharType="end"/>
      </w:r>
      <w:r w:rsidRPr="006F5B50">
        <w:rPr>
          <w:rFonts w:ascii="Verdana" w:hAnsi="Verdana" w:cs="Arial"/>
          <w:sz w:val="20"/>
          <w:szCs w:val="20"/>
          <w:lang w:val="es-MX"/>
        </w:rPr>
        <w:t xml:space="preserve">), la Corte tomó </w:t>
      </w:r>
      <w:r w:rsidRPr="006F5B50">
        <w:rPr>
          <w:rFonts w:ascii="Verdana" w:hAnsi="Verdana"/>
          <w:snapToGrid w:val="0"/>
          <w:sz w:val="20"/>
          <w:szCs w:val="20"/>
          <w:lang w:val="es-CR"/>
        </w:rPr>
        <w:t xml:space="preserve">nota “del otorgamiento de un carnet de identificación y el establecimiento de un equipo médico para atender a las víctimas del caso, así como [de] </w:t>
      </w:r>
      <w:r w:rsidR="00BE1D1F">
        <w:rPr>
          <w:rFonts w:ascii="Verdana" w:hAnsi="Verdana"/>
          <w:snapToGrid w:val="0"/>
          <w:sz w:val="20"/>
          <w:szCs w:val="20"/>
          <w:lang w:val="es-CR"/>
        </w:rPr>
        <w:t xml:space="preserve">las </w:t>
      </w:r>
      <w:r w:rsidRPr="006F5B50">
        <w:rPr>
          <w:rFonts w:ascii="Verdana" w:hAnsi="Verdana"/>
          <w:snapToGrid w:val="0"/>
          <w:sz w:val="20"/>
          <w:szCs w:val="20"/>
          <w:lang w:val="es-CR"/>
        </w:rPr>
        <w:t>atenciones brindadas por los órganos de salud pública”, pero consideró indispensable “</w:t>
      </w:r>
      <w:r w:rsidRPr="006F5B50">
        <w:rPr>
          <w:rFonts w:ascii="Verdana" w:hAnsi="Verdana"/>
          <w:sz w:val="20"/>
          <w:szCs w:val="20"/>
          <w:lang w:val="es-CR"/>
        </w:rPr>
        <w:t xml:space="preserve">que se realice una evaluación inicial respecto de ellas”, </w:t>
      </w:r>
      <w:r w:rsidR="00994648">
        <w:rPr>
          <w:rFonts w:ascii="Verdana" w:hAnsi="Verdana"/>
          <w:sz w:val="20"/>
          <w:szCs w:val="20"/>
          <w:lang w:val="es-CR"/>
        </w:rPr>
        <w:t>tal como lo había ordenado la Sentencia y que no se había realizado a la fecha de emisión de la Resolución</w:t>
      </w:r>
      <w:r w:rsidRPr="006F5B50">
        <w:rPr>
          <w:rFonts w:ascii="Verdana" w:hAnsi="Verdana"/>
          <w:sz w:val="20"/>
          <w:szCs w:val="20"/>
          <w:lang w:val="es-CR"/>
        </w:rPr>
        <w:t>. La Corte reiteró en esa oportunidad que “</w:t>
      </w:r>
      <w:r w:rsidRPr="006F5B50">
        <w:rPr>
          <w:rFonts w:ascii="Verdana" w:hAnsi="Verdana"/>
          <w:sz w:val="20"/>
          <w:szCs w:val="20"/>
          <w:lang w:val="es-ES"/>
        </w:rPr>
        <w:t xml:space="preserve">tanto la atención médica como la psicológica deben responder a los requerimientos y contar con el consentimiento de las personas beneficiarias”. En consecuencia, </w:t>
      </w:r>
      <w:r w:rsidR="00665CD5">
        <w:rPr>
          <w:rFonts w:ascii="Verdana" w:hAnsi="Verdana"/>
          <w:sz w:val="20"/>
          <w:szCs w:val="20"/>
          <w:lang w:val="es-ES"/>
        </w:rPr>
        <w:t>el Tribunal</w:t>
      </w:r>
      <w:r w:rsidRPr="006F5B50">
        <w:rPr>
          <w:rFonts w:ascii="Verdana" w:hAnsi="Verdana"/>
          <w:sz w:val="20"/>
          <w:szCs w:val="20"/>
          <w:lang w:val="es-ES"/>
        </w:rPr>
        <w:t xml:space="preserve"> estimó necesario “que el Estado remita información ordenada, completa y actualizada respecto a las medidas adoptadas para el cumplimiento de este punto del Fallo a favor de </w:t>
      </w:r>
      <w:r w:rsidRPr="006F5B50">
        <w:rPr>
          <w:rFonts w:ascii="Verdana" w:hAnsi="Verdana"/>
          <w:sz w:val="20"/>
          <w:szCs w:val="20"/>
          <w:lang w:val="es-ES_tradnl"/>
        </w:rPr>
        <w:t>Graciela De León, Patria Portugal y Franklin Portugal”, y que se refiriera a la viabilidad de que “</w:t>
      </w:r>
      <w:r w:rsidRPr="006F5B50">
        <w:rPr>
          <w:rFonts w:ascii="Verdana" w:hAnsi="Verdana"/>
          <w:sz w:val="20"/>
          <w:szCs w:val="20"/>
          <w:lang w:val="es-ES"/>
        </w:rPr>
        <w:t>las personas que han sufrido violencia en diferentes modalidades, [puedan] se[r] atendidas en el marco del sistema de salud […] mental [de Panamá]”</w:t>
      </w:r>
      <w:bookmarkStart w:id="15" w:name="_Ref498606857"/>
      <w:r w:rsidR="00994648">
        <w:rPr>
          <w:rStyle w:val="FootnoteReference"/>
          <w:rFonts w:ascii="Verdana" w:hAnsi="Verdana"/>
          <w:sz w:val="20"/>
          <w:szCs w:val="20"/>
          <w:lang w:val="es-ES"/>
        </w:rPr>
        <w:footnoteReference w:id="19"/>
      </w:r>
      <w:bookmarkEnd w:id="15"/>
      <w:r w:rsidRPr="006F5B50">
        <w:rPr>
          <w:rFonts w:ascii="Verdana" w:hAnsi="Verdana"/>
          <w:sz w:val="20"/>
          <w:szCs w:val="20"/>
          <w:lang w:val="es-ES"/>
        </w:rPr>
        <w:t>.</w:t>
      </w:r>
      <w:bookmarkEnd w:id="14"/>
    </w:p>
    <w:p w14:paraId="42EBD25B" w14:textId="77777777" w:rsidR="006F5B50" w:rsidRDefault="006F5B50" w:rsidP="006F5B50">
      <w:pPr>
        <w:spacing w:before="120" w:after="120" w:line="240" w:lineRule="auto"/>
        <w:ind w:firstLine="720"/>
        <w:jc w:val="both"/>
        <w:rPr>
          <w:rFonts w:ascii="Verdana" w:hAnsi="Verdana" w:cs="Arial"/>
          <w:i/>
          <w:sz w:val="20"/>
          <w:szCs w:val="20"/>
          <w:lang w:val="es-MX"/>
        </w:rPr>
      </w:pPr>
      <w:r>
        <w:rPr>
          <w:rFonts w:ascii="Verdana" w:hAnsi="Verdana" w:cs="Arial"/>
          <w:i/>
          <w:sz w:val="20"/>
          <w:szCs w:val="20"/>
          <w:lang w:val="es-MX"/>
        </w:rPr>
        <w:lastRenderedPageBreak/>
        <w:t>B</w:t>
      </w:r>
      <w:r w:rsidRPr="00883AD6">
        <w:rPr>
          <w:rFonts w:ascii="Verdana" w:hAnsi="Verdana" w:cs="Arial"/>
          <w:i/>
          <w:sz w:val="20"/>
          <w:szCs w:val="20"/>
          <w:lang w:val="es-MX"/>
        </w:rPr>
        <w:t>.2 Consideraciones de la Corte</w:t>
      </w:r>
    </w:p>
    <w:p w14:paraId="32868DED" w14:textId="38196600" w:rsidR="0025473D" w:rsidRDefault="006F5B50" w:rsidP="006F5B50">
      <w:pPr>
        <w:pStyle w:val="ListParagraph"/>
        <w:numPr>
          <w:ilvl w:val="0"/>
          <w:numId w:val="3"/>
        </w:numPr>
        <w:tabs>
          <w:tab w:val="left" w:pos="0"/>
        </w:tabs>
        <w:spacing w:line="240" w:lineRule="auto"/>
        <w:ind w:left="0" w:firstLine="0"/>
        <w:jc w:val="both"/>
        <w:rPr>
          <w:rFonts w:ascii="Verdana" w:hAnsi="Verdana" w:cs="Arial"/>
          <w:sz w:val="20"/>
          <w:szCs w:val="20"/>
          <w:lang w:val="es-MX"/>
        </w:rPr>
      </w:pPr>
      <w:r w:rsidRPr="006F5B50">
        <w:rPr>
          <w:rFonts w:ascii="Verdana" w:hAnsi="Verdana" w:cs="Arial"/>
          <w:sz w:val="20"/>
          <w:szCs w:val="20"/>
          <w:lang w:val="es-MX"/>
        </w:rPr>
        <w:t xml:space="preserve">Con base en la información proporcionada por las partes y la Comisión, la Corte observa que </w:t>
      </w:r>
      <w:r w:rsidR="00BA60BA">
        <w:rPr>
          <w:rFonts w:ascii="Verdana" w:hAnsi="Verdana" w:cs="Arial"/>
          <w:sz w:val="20"/>
          <w:szCs w:val="20"/>
          <w:lang w:val="es-MX"/>
        </w:rPr>
        <w:t xml:space="preserve">la situación de implementación de esta medida ha </w:t>
      </w:r>
      <w:r w:rsidR="00B809CD">
        <w:rPr>
          <w:rFonts w:ascii="Verdana" w:hAnsi="Verdana" w:cs="Arial"/>
          <w:sz w:val="20"/>
          <w:szCs w:val="20"/>
          <w:lang w:val="es-MX"/>
        </w:rPr>
        <w:t xml:space="preserve">cambiado </w:t>
      </w:r>
      <w:r w:rsidR="00BA60BA">
        <w:rPr>
          <w:rFonts w:ascii="Verdana" w:hAnsi="Verdana" w:cs="Arial"/>
          <w:sz w:val="20"/>
          <w:szCs w:val="20"/>
          <w:lang w:val="es-MX"/>
        </w:rPr>
        <w:t>en el 2017 (</w:t>
      </w:r>
      <w:r w:rsidR="00BA60BA" w:rsidRPr="00BA60BA">
        <w:rPr>
          <w:rFonts w:ascii="Verdana" w:hAnsi="Verdana" w:cs="Arial"/>
          <w:i/>
          <w:sz w:val="20"/>
          <w:szCs w:val="20"/>
          <w:lang w:val="es-MX"/>
        </w:rPr>
        <w:t>infra</w:t>
      </w:r>
      <w:r w:rsidR="00BA60BA">
        <w:rPr>
          <w:rFonts w:ascii="Verdana" w:hAnsi="Verdana" w:cs="Arial"/>
          <w:sz w:val="20"/>
          <w:szCs w:val="20"/>
          <w:lang w:val="es-MX"/>
        </w:rPr>
        <w:t xml:space="preserve"> Considerando </w:t>
      </w:r>
      <w:r w:rsidR="00BE1D1F">
        <w:rPr>
          <w:rFonts w:ascii="Verdana" w:hAnsi="Verdana" w:cs="Arial"/>
          <w:sz w:val="20"/>
          <w:szCs w:val="20"/>
          <w:lang w:val="es-MX"/>
        </w:rPr>
        <w:fldChar w:fldCharType="begin"/>
      </w:r>
      <w:r w:rsidR="00BE1D1F">
        <w:rPr>
          <w:rFonts w:ascii="Verdana" w:hAnsi="Verdana" w:cs="Arial"/>
          <w:sz w:val="20"/>
          <w:szCs w:val="20"/>
          <w:lang w:val="es-MX"/>
        </w:rPr>
        <w:instrText xml:space="preserve"> REF _Ref498603577 \r \h </w:instrText>
      </w:r>
      <w:r w:rsidR="00BE1D1F">
        <w:rPr>
          <w:rFonts w:ascii="Verdana" w:hAnsi="Verdana" w:cs="Arial"/>
          <w:sz w:val="20"/>
          <w:szCs w:val="20"/>
          <w:lang w:val="es-MX"/>
        </w:rPr>
      </w:r>
      <w:r w:rsidR="00BE1D1F">
        <w:rPr>
          <w:rFonts w:ascii="Verdana" w:hAnsi="Verdana" w:cs="Arial"/>
          <w:sz w:val="20"/>
          <w:szCs w:val="20"/>
          <w:lang w:val="es-MX"/>
        </w:rPr>
        <w:fldChar w:fldCharType="separate"/>
      </w:r>
      <w:r w:rsidR="00360B00">
        <w:rPr>
          <w:rFonts w:ascii="Verdana" w:hAnsi="Verdana" w:cs="Arial"/>
          <w:sz w:val="20"/>
          <w:szCs w:val="20"/>
          <w:lang w:val="es-MX"/>
        </w:rPr>
        <w:t>17</w:t>
      </w:r>
      <w:r w:rsidR="00BE1D1F">
        <w:rPr>
          <w:rFonts w:ascii="Verdana" w:hAnsi="Verdana" w:cs="Arial"/>
          <w:sz w:val="20"/>
          <w:szCs w:val="20"/>
          <w:lang w:val="es-MX"/>
        </w:rPr>
        <w:fldChar w:fldCharType="end"/>
      </w:r>
      <w:r w:rsidR="00BA60BA">
        <w:rPr>
          <w:rFonts w:ascii="Verdana" w:hAnsi="Verdana" w:cs="Arial"/>
          <w:sz w:val="20"/>
          <w:szCs w:val="20"/>
          <w:lang w:val="es-MX"/>
        </w:rPr>
        <w:t xml:space="preserve">) con respecto a los cuatro años anteriores. </w:t>
      </w:r>
      <w:r w:rsidR="005E5110">
        <w:rPr>
          <w:rFonts w:ascii="Verdana" w:hAnsi="Verdana" w:cs="Arial"/>
          <w:sz w:val="20"/>
          <w:szCs w:val="20"/>
          <w:lang w:val="es-MX"/>
        </w:rPr>
        <w:t>Aun cuando se ha dado una mejora, es preciso recordar cuá</w:t>
      </w:r>
      <w:r w:rsidR="00CD5D52">
        <w:rPr>
          <w:rFonts w:ascii="Verdana" w:hAnsi="Verdana" w:cs="Arial"/>
          <w:sz w:val="20"/>
          <w:szCs w:val="20"/>
          <w:lang w:val="es-MX"/>
        </w:rPr>
        <w:t>les fueron la</w:t>
      </w:r>
      <w:r w:rsidR="00A05E7F">
        <w:rPr>
          <w:rFonts w:ascii="Verdana" w:hAnsi="Verdana" w:cs="Arial"/>
          <w:sz w:val="20"/>
          <w:szCs w:val="20"/>
          <w:lang w:val="es-MX"/>
        </w:rPr>
        <w:t>s inconformidades hechas notar por los represe</w:t>
      </w:r>
      <w:r w:rsidR="005E5110">
        <w:rPr>
          <w:rFonts w:ascii="Verdana" w:hAnsi="Verdana" w:cs="Arial"/>
          <w:sz w:val="20"/>
          <w:szCs w:val="20"/>
          <w:lang w:val="es-MX"/>
        </w:rPr>
        <w:t xml:space="preserve">ntantes de las víctimas y la Comisión </w:t>
      </w:r>
      <w:r w:rsidRPr="006F5B50">
        <w:rPr>
          <w:rFonts w:ascii="Verdana" w:hAnsi="Verdana" w:cs="Arial"/>
          <w:sz w:val="20"/>
          <w:szCs w:val="20"/>
          <w:lang w:val="es-MX"/>
        </w:rPr>
        <w:t>entre</w:t>
      </w:r>
      <w:r w:rsidR="005E5110">
        <w:rPr>
          <w:rFonts w:ascii="Verdana" w:hAnsi="Verdana" w:cs="Arial"/>
          <w:sz w:val="20"/>
          <w:szCs w:val="20"/>
          <w:lang w:val="es-MX"/>
        </w:rPr>
        <w:t xml:space="preserve"> el</w:t>
      </w:r>
      <w:r w:rsidRPr="006F5B50">
        <w:rPr>
          <w:rFonts w:ascii="Verdana" w:hAnsi="Verdana" w:cs="Arial"/>
          <w:sz w:val="20"/>
          <w:szCs w:val="20"/>
          <w:lang w:val="es-MX"/>
        </w:rPr>
        <w:t xml:space="preserve"> 2012 y </w:t>
      </w:r>
      <w:r w:rsidR="005E5110">
        <w:rPr>
          <w:rFonts w:ascii="Verdana" w:hAnsi="Verdana" w:cs="Arial"/>
          <w:sz w:val="20"/>
          <w:szCs w:val="20"/>
          <w:lang w:val="es-MX"/>
        </w:rPr>
        <w:t xml:space="preserve">el </w:t>
      </w:r>
      <w:r w:rsidRPr="006F5B50">
        <w:rPr>
          <w:rFonts w:ascii="Verdana" w:hAnsi="Verdana" w:cs="Arial"/>
          <w:sz w:val="20"/>
          <w:szCs w:val="20"/>
          <w:lang w:val="es-MX"/>
        </w:rPr>
        <w:t>201</w:t>
      </w:r>
      <w:r>
        <w:rPr>
          <w:rFonts w:ascii="Verdana" w:hAnsi="Verdana" w:cs="Arial"/>
          <w:sz w:val="20"/>
          <w:szCs w:val="20"/>
          <w:lang w:val="es-MX"/>
        </w:rPr>
        <w:t>6</w:t>
      </w:r>
      <w:r w:rsidR="002063DE">
        <w:rPr>
          <w:rFonts w:ascii="Verdana" w:hAnsi="Verdana" w:cs="Arial"/>
          <w:sz w:val="20"/>
          <w:szCs w:val="20"/>
          <w:lang w:val="es-MX"/>
        </w:rPr>
        <w:t xml:space="preserve"> </w:t>
      </w:r>
      <w:r w:rsidR="003F501B">
        <w:rPr>
          <w:rFonts w:ascii="Verdana" w:hAnsi="Verdana" w:cs="Arial"/>
          <w:sz w:val="20"/>
          <w:szCs w:val="20"/>
          <w:lang w:val="es-MX"/>
        </w:rPr>
        <w:t>(</w:t>
      </w:r>
      <w:r w:rsidR="003F501B" w:rsidRPr="006E62E4">
        <w:rPr>
          <w:rFonts w:ascii="Verdana" w:hAnsi="Verdana" w:cs="Arial"/>
          <w:i/>
          <w:sz w:val="20"/>
          <w:szCs w:val="20"/>
          <w:lang w:val="es-MX"/>
        </w:rPr>
        <w:t>infra</w:t>
      </w:r>
      <w:r w:rsidR="003F501B">
        <w:rPr>
          <w:rFonts w:ascii="Verdana" w:hAnsi="Verdana" w:cs="Arial"/>
          <w:sz w:val="20"/>
          <w:szCs w:val="20"/>
          <w:lang w:val="es-MX"/>
        </w:rPr>
        <w:t xml:space="preserve"> Considerandos </w:t>
      </w:r>
      <w:r w:rsidR="00BE1D1F">
        <w:rPr>
          <w:rFonts w:ascii="Verdana" w:hAnsi="Verdana" w:cs="Arial"/>
          <w:sz w:val="20"/>
          <w:szCs w:val="20"/>
          <w:lang w:val="es-MX"/>
        </w:rPr>
        <w:fldChar w:fldCharType="begin"/>
      </w:r>
      <w:r w:rsidR="00BE1D1F">
        <w:rPr>
          <w:rFonts w:ascii="Verdana" w:hAnsi="Verdana" w:cs="Arial"/>
          <w:sz w:val="20"/>
          <w:szCs w:val="20"/>
          <w:lang w:val="es-MX"/>
        </w:rPr>
        <w:instrText xml:space="preserve"> REF _Ref498603586 \r \h </w:instrText>
      </w:r>
      <w:r w:rsidR="00BE1D1F">
        <w:rPr>
          <w:rFonts w:ascii="Verdana" w:hAnsi="Verdana" w:cs="Arial"/>
          <w:sz w:val="20"/>
          <w:szCs w:val="20"/>
          <w:lang w:val="es-MX"/>
        </w:rPr>
      </w:r>
      <w:r w:rsidR="00BE1D1F">
        <w:rPr>
          <w:rFonts w:ascii="Verdana" w:hAnsi="Verdana" w:cs="Arial"/>
          <w:sz w:val="20"/>
          <w:szCs w:val="20"/>
          <w:lang w:val="es-MX"/>
        </w:rPr>
        <w:fldChar w:fldCharType="separate"/>
      </w:r>
      <w:r w:rsidR="00360B00">
        <w:rPr>
          <w:rFonts w:ascii="Verdana" w:hAnsi="Verdana" w:cs="Arial"/>
          <w:sz w:val="20"/>
          <w:szCs w:val="20"/>
          <w:lang w:val="es-MX"/>
        </w:rPr>
        <w:t>14</w:t>
      </w:r>
      <w:r w:rsidR="00BE1D1F">
        <w:rPr>
          <w:rFonts w:ascii="Verdana" w:hAnsi="Verdana" w:cs="Arial"/>
          <w:sz w:val="20"/>
          <w:szCs w:val="20"/>
          <w:lang w:val="es-MX"/>
        </w:rPr>
        <w:fldChar w:fldCharType="end"/>
      </w:r>
      <w:r w:rsidR="003F501B">
        <w:rPr>
          <w:rFonts w:ascii="Verdana" w:hAnsi="Verdana" w:cs="Arial"/>
          <w:sz w:val="20"/>
          <w:szCs w:val="20"/>
          <w:lang w:val="es-MX"/>
        </w:rPr>
        <w:t xml:space="preserve"> y </w:t>
      </w:r>
      <w:r w:rsidR="00BE1D1F">
        <w:rPr>
          <w:rFonts w:ascii="Verdana" w:hAnsi="Verdana" w:cs="Arial"/>
          <w:sz w:val="20"/>
          <w:szCs w:val="20"/>
          <w:lang w:val="es-MX"/>
        </w:rPr>
        <w:fldChar w:fldCharType="begin"/>
      </w:r>
      <w:r w:rsidR="00BE1D1F">
        <w:rPr>
          <w:rFonts w:ascii="Verdana" w:hAnsi="Verdana" w:cs="Arial"/>
          <w:sz w:val="20"/>
          <w:szCs w:val="20"/>
          <w:lang w:val="es-MX"/>
        </w:rPr>
        <w:instrText xml:space="preserve"> REF _Ref498603595 \r \h </w:instrText>
      </w:r>
      <w:r w:rsidR="00BE1D1F">
        <w:rPr>
          <w:rFonts w:ascii="Verdana" w:hAnsi="Verdana" w:cs="Arial"/>
          <w:sz w:val="20"/>
          <w:szCs w:val="20"/>
          <w:lang w:val="es-MX"/>
        </w:rPr>
      </w:r>
      <w:r w:rsidR="00BE1D1F">
        <w:rPr>
          <w:rFonts w:ascii="Verdana" w:hAnsi="Verdana" w:cs="Arial"/>
          <w:sz w:val="20"/>
          <w:szCs w:val="20"/>
          <w:lang w:val="es-MX"/>
        </w:rPr>
        <w:fldChar w:fldCharType="separate"/>
      </w:r>
      <w:r w:rsidR="00360B00">
        <w:rPr>
          <w:rFonts w:ascii="Verdana" w:hAnsi="Verdana" w:cs="Arial"/>
          <w:sz w:val="20"/>
          <w:szCs w:val="20"/>
          <w:lang w:val="es-MX"/>
        </w:rPr>
        <w:t>15</w:t>
      </w:r>
      <w:r w:rsidR="00BE1D1F">
        <w:rPr>
          <w:rFonts w:ascii="Verdana" w:hAnsi="Verdana" w:cs="Arial"/>
          <w:sz w:val="20"/>
          <w:szCs w:val="20"/>
          <w:lang w:val="es-MX"/>
        </w:rPr>
        <w:fldChar w:fldCharType="end"/>
      </w:r>
      <w:r w:rsidR="003F501B">
        <w:rPr>
          <w:rFonts w:ascii="Verdana" w:hAnsi="Verdana" w:cs="Arial"/>
          <w:sz w:val="20"/>
          <w:szCs w:val="20"/>
          <w:lang w:val="es-MX"/>
        </w:rPr>
        <w:t xml:space="preserve">) </w:t>
      </w:r>
      <w:r w:rsidR="002063DE">
        <w:rPr>
          <w:rFonts w:ascii="Verdana" w:hAnsi="Verdana" w:cs="Arial"/>
          <w:sz w:val="20"/>
          <w:szCs w:val="20"/>
          <w:lang w:val="es-MX"/>
        </w:rPr>
        <w:t>y las que persisten (</w:t>
      </w:r>
      <w:r w:rsidR="002063DE" w:rsidRPr="006E62E4">
        <w:rPr>
          <w:rFonts w:ascii="Verdana" w:hAnsi="Verdana" w:cs="Arial"/>
          <w:i/>
          <w:sz w:val="20"/>
          <w:szCs w:val="20"/>
          <w:lang w:val="es-MX"/>
        </w:rPr>
        <w:t>infra</w:t>
      </w:r>
      <w:r w:rsidR="002063DE">
        <w:rPr>
          <w:rFonts w:ascii="Verdana" w:hAnsi="Verdana" w:cs="Arial"/>
          <w:sz w:val="20"/>
          <w:szCs w:val="20"/>
          <w:lang w:val="es-MX"/>
        </w:rPr>
        <w:t xml:space="preserve"> Considerando </w:t>
      </w:r>
      <w:r w:rsidR="00BE1D1F">
        <w:rPr>
          <w:rFonts w:ascii="Verdana" w:hAnsi="Verdana" w:cs="Arial"/>
          <w:sz w:val="20"/>
          <w:szCs w:val="20"/>
          <w:lang w:val="es-MX"/>
        </w:rPr>
        <w:fldChar w:fldCharType="begin"/>
      </w:r>
      <w:r w:rsidR="00BE1D1F">
        <w:rPr>
          <w:rFonts w:ascii="Verdana" w:hAnsi="Verdana" w:cs="Arial"/>
          <w:sz w:val="20"/>
          <w:szCs w:val="20"/>
          <w:lang w:val="es-MX"/>
        </w:rPr>
        <w:instrText xml:space="preserve"> REF _Ref498603606 \r \h </w:instrText>
      </w:r>
      <w:r w:rsidR="00BE1D1F">
        <w:rPr>
          <w:rFonts w:ascii="Verdana" w:hAnsi="Verdana" w:cs="Arial"/>
          <w:sz w:val="20"/>
          <w:szCs w:val="20"/>
          <w:lang w:val="es-MX"/>
        </w:rPr>
      </w:r>
      <w:r w:rsidR="00BE1D1F">
        <w:rPr>
          <w:rFonts w:ascii="Verdana" w:hAnsi="Verdana" w:cs="Arial"/>
          <w:sz w:val="20"/>
          <w:szCs w:val="20"/>
          <w:lang w:val="es-MX"/>
        </w:rPr>
        <w:fldChar w:fldCharType="separate"/>
      </w:r>
      <w:r w:rsidR="00360B00">
        <w:rPr>
          <w:rFonts w:ascii="Verdana" w:hAnsi="Verdana" w:cs="Arial"/>
          <w:sz w:val="20"/>
          <w:szCs w:val="20"/>
          <w:lang w:val="es-MX"/>
        </w:rPr>
        <w:t>18</w:t>
      </w:r>
      <w:r w:rsidR="00BE1D1F">
        <w:rPr>
          <w:rFonts w:ascii="Verdana" w:hAnsi="Verdana" w:cs="Arial"/>
          <w:sz w:val="20"/>
          <w:szCs w:val="20"/>
          <w:lang w:val="es-MX"/>
        </w:rPr>
        <w:fldChar w:fldCharType="end"/>
      </w:r>
      <w:r w:rsidR="002063DE">
        <w:rPr>
          <w:rFonts w:ascii="Verdana" w:hAnsi="Verdana" w:cs="Arial"/>
          <w:sz w:val="20"/>
          <w:szCs w:val="20"/>
          <w:lang w:val="es-MX"/>
        </w:rPr>
        <w:t>)</w:t>
      </w:r>
      <w:r w:rsidR="00CD5D52">
        <w:rPr>
          <w:rFonts w:ascii="Verdana" w:hAnsi="Verdana" w:cs="Arial"/>
          <w:sz w:val="20"/>
          <w:szCs w:val="20"/>
          <w:lang w:val="es-MX"/>
        </w:rPr>
        <w:t>,</w:t>
      </w:r>
      <w:r w:rsidR="00A05E7F">
        <w:rPr>
          <w:rFonts w:ascii="Verdana" w:hAnsi="Verdana" w:cs="Arial"/>
          <w:sz w:val="20"/>
          <w:szCs w:val="20"/>
          <w:lang w:val="es-MX"/>
        </w:rPr>
        <w:t xml:space="preserve"> en aras de que el Estado </w:t>
      </w:r>
      <w:r w:rsidR="00CD5D52">
        <w:rPr>
          <w:rFonts w:ascii="Verdana" w:hAnsi="Verdana" w:cs="Arial"/>
          <w:sz w:val="20"/>
          <w:szCs w:val="20"/>
          <w:lang w:val="es-MX"/>
        </w:rPr>
        <w:t xml:space="preserve">tome las medidas necesarias para superarlas o </w:t>
      </w:r>
      <w:r w:rsidR="00460E73">
        <w:rPr>
          <w:rFonts w:ascii="Verdana" w:hAnsi="Verdana" w:cs="Arial"/>
          <w:sz w:val="20"/>
          <w:szCs w:val="20"/>
          <w:lang w:val="es-MX"/>
        </w:rPr>
        <w:t xml:space="preserve">comunique a esta Corte </w:t>
      </w:r>
      <w:r w:rsidR="00CD5D52">
        <w:rPr>
          <w:rFonts w:ascii="Verdana" w:hAnsi="Verdana" w:cs="Arial"/>
          <w:sz w:val="20"/>
          <w:szCs w:val="20"/>
          <w:lang w:val="es-MX"/>
        </w:rPr>
        <w:t xml:space="preserve">las precisiones correspondientes. </w:t>
      </w:r>
    </w:p>
    <w:p w14:paraId="6302C550" w14:textId="77777777" w:rsidR="0025473D" w:rsidRDefault="0025473D" w:rsidP="006E62E4">
      <w:pPr>
        <w:pStyle w:val="ListParagraph"/>
        <w:tabs>
          <w:tab w:val="left" w:pos="0"/>
        </w:tabs>
        <w:spacing w:line="240" w:lineRule="auto"/>
        <w:ind w:left="0"/>
        <w:jc w:val="both"/>
        <w:rPr>
          <w:rFonts w:ascii="Verdana" w:hAnsi="Verdana" w:cs="Arial"/>
          <w:sz w:val="20"/>
          <w:szCs w:val="20"/>
          <w:lang w:val="es-MX"/>
        </w:rPr>
      </w:pPr>
    </w:p>
    <w:p w14:paraId="6BF1C0D3" w14:textId="3C283432" w:rsidR="006F5B50" w:rsidRDefault="004C2AC4" w:rsidP="006F5B50">
      <w:pPr>
        <w:pStyle w:val="ListParagraph"/>
        <w:numPr>
          <w:ilvl w:val="0"/>
          <w:numId w:val="3"/>
        </w:numPr>
        <w:tabs>
          <w:tab w:val="left" w:pos="0"/>
        </w:tabs>
        <w:spacing w:line="240" w:lineRule="auto"/>
        <w:ind w:left="0" w:firstLine="0"/>
        <w:jc w:val="both"/>
        <w:rPr>
          <w:rFonts w:ascii="Verdana" w:hAnsi="Verdana" w:cs="Arial"/>
          <w:sz w:val="20"/>
          <w:szCs w:val="20"/>
          <w:lang w:val="es-MX"/>
        </w:rPr>
      </w:pPr>
      <w:bookmarkStart w:id="16" w:name="_Ref498603586"/>
      <w:r>
        <w:rPr>
          <w:rFonts w:ascii="Verdana" w:hAnsi="Verdana" w:cs="Arial"/>
          <w:sz w:val="20"/>
          <w:szCs w:val="20"/>
          <w:lang w:val="es-MX"/>
        </w:rPr>
        <w:t xml:space="preserve">Según la información proporcionada por los representantes de </w:t>
      </w:r>
      <w:r w:rsidR="006F5B50" w:rsidRPr="006F5B50">
        <w:rPr>
          <w:rFonts w:ascii="Verdana" w:hAnsi="Verdana" w:cs="Arial"/>
          <w:sz w:val="20"/>
          <w:szCs w:val="20"/>
          <w:lang w:val="es-MX"/>
        </w:rPr>
        <w:t>las víctimas</w:t>
      </w:r>
      <w:r>
        <w:rPr>
          <w:rFonts w:ascii="Verdana" w:hAnsi="Verdana" w:cs="Arial"/>
          <w:sz w:val="20"/>
          <w:szCs w:val="20"/>
          <w:lang w:val="es-MX"/>
        </w:rPr>
        <w:t xml:space="preserve">, </w:t>
      </w:r>
      <w:r w:rsidR="009D66BC">
        <w:rPr>
          <w:rFonts w:ascii="Verdana" w:hAnsi="Verdana" w:cs="Arial"/>
          <w:sz w:val="20"/>
          <w:szCs w:val="20"/>
          <w:lang w:val="es-MX"/>
        </w:rPr>
        <w:t xml:space="preserve">entre los años 2012 a 2016 </w:t>
      </w:r>
      <w:r w:rsidR="00FA3E11">
        <w:rPr>
          <w:rFonts w:ascii="Verdana" w:hAnsi="Verdana" w:cs="Arial"/>
          <w:sz w:val="20"/>
          <w:szCs w:val="20"/>
          <w:lang w:val="es-MX"/>
        </w:rPr>
        <w:t xml:space="preserve">las víctimas </w:t>
      </w:r>
      <w:r w:rsidR="00116894">
        <w:rPr>
          <w:rFonts w:ascii="Verdana" w:hAnsi="Verdana" w:cs="Arial"/>
          <w:sz w:val="20"/>
          <w:szCs w:val="20"/>
          <w:lang w:val="es-MX"/>
        </w:rPr>
        <w:t>únicamente se beneficiaron de dos acciones estatales puntuales</w:t>
      </w:r>
      <w:r w:rsidR="006F5B50" w:rsidRPr="006F5B50">
        <w:rPr>
          <w:rFonts w:ascii="Verdana" w:hAnsi="Verdana" w:cs="Arial"/>
          <w:sz w:val="20"/>
          <w:szCs w:val="20"/>
          <w:lang w:val="es-MX"/>
        </w:rPr>
        <w:t xml:space="preserve">: el reembolso de determinados gastos médicos solicitados por Patria Portugal entre mayo y junio de 2013, </w:t>
      </w:r>
      <w:r w:rsidR="00F67786">
        <w:rPr>
          <w:rFonts w:ascii="Verdana" w:hAnsi="Verdana" w:cs="Arial"/>
          <w:sz w:val="20"/>
          <w:szCs w:val="20"/>
          <w:lang w:val="es-MX"/>
        </w:rPr>
        <w:t xml:space="preserve">y </w:t>
      </w:r>
      <w:r w:rsidR="006F5B50">
        <w:rPr>
          <w:rFonts w:ascii="Verdana" w:hAnsi="Verdana" w:cs="Arial"/>
          <w:sz w:val="20"/>
          <w:szCs w:val="20"/>
          <w:lang w:val="es-MX"/>
        </w:rPr>
        <w:t>una</w:t>
      </w:r>
      <w:r w:rsidR="006F5B50" w:rsidRPr="006F5B50">
        <w:rPr>
          <w:rFonts w:ascii="Verdana" w:hAnsi="Verdana" w:cs="Arial"/>
          <w:sz w:val="20"/>
          <w:szCs w:val="20"/>
          <w:lang w:val="es-MX"/>
        </w:rPr>
        <w:t xml:space="preserve"> cita médica en </w:t>
      </w:r>
      <w:r w:rsidR="00B4166C">
        <w:rPr>
          <w:rFonts w:ascii="Verdana" w:hAnsi="Verdana" w:cs="Arial"/>
          <w:sz w:val="20"/>
          <w:szCs w:val="20"/>
          <w:lang w:val="es-MX"/>
        </w:rPr>
        <w:t xml:space="preserve">el </w:t>
      </w:r>
      <w:r w:rsidR="006F5B50" w:rsidRPr="006F5B50">
        <w:rPr>
          <w:rFonts w:ascii="Verdana" w:hAnsi="Verdana" w:cs="Arial"/>
          <w:sz w:val="20"/>
          <w:szCs w:val="20"/>
          <w:lang w:val="es-MX"/>
        </w:rPr>
        <w:t>2015</w:t>
      </w:r>
      <w:r w:rsidR="006F5B50">
        <w:rPr>
          <w:rFonts w:ascii="Verdana" w:hAnsi="Verdana" w:cs="Arial"/>
          <w:sz w:val="20"/>
          <w:szCs w:val="20"/>
          <w:lang w:val="es-MX"/>
        </w:rPr>
        <w:t xml:space="preserve"> de Patria Portugal</w:t>
      </w:r>
      <w:r w:rsidR="006F5B50" w:rsidRPr="006F5B50">
        <w:rPr>
          <w:rFonts w:ascii="Verdana" w:hAnsi="Verdana" w:cs="Arial"/>
          <w:sz w:val="20"/>
          <w:szCs w:val="20"/>
          <w:lang w:val="es-MX"/>
        </w:rPr>
        <w:t xml:space="preserve"> en el área de oftalmología</w:t>
      </w:r>
      <w:r w:rsidR="006F5B50">
        <w:rPr>
          <w:rStyle w:val="FootnoteReference"/>
          <w:rFonts w:ascii="Verdana" w:hAnsi="Verdana" w:cs="Arial"/>
          <w:sz w:val="20"/>
          <w:szCs w:val="20"/>
          <w:lang w:val="es-MX"/>
        </w:rPr>
        <w:footnoteReference w:id="20"/>
      </w:r>
      <w:r w:rsidR="006F5B50">
        <w:rPr>
          <w:rFonts w:ascii="Verdana" w:hAnsi="Verdana" w:cs="Arial"/>
          <w:sz w:val="20"/>
          <w:szCs w:val="20"/>
          <w:lang w:val="es-MX"/>
        </w:rPr>
        <w:t xml:space="preserve">. </w:t>
      </w:r>
      <w:r w:rsidR="00141D69" w:rsidRPr="00AF76C6">
        <w:rPr>
          <w:rFonts w:ascii="Verdana" w:hAnsi="Verdana" w:cs="Arial"/>
          <w:sz w:val="20"/>
          <w:szCs w:val="20"/>
          <w:lang w:val="es-MX"/>
        </w:rPr>
        <w:t xml:space="preserve">Asimismo, Panamá informó en el 2013 que había emitido </w:t>
      </w:r>
      <w:r w:rsidR="00B24807" w:rsidRPr="00AF76C6">
        <w:rPr>
          <w:rFonts w:ascii="Verdana" w:hAnsi="Verdana" w:cs="Arial"/>
          <w:sz w:val="20"/>
          <w:szCs w:val="20"/>
          <w:lang w:val="es-MX"/>
        </w:rPr>
        <w:t xml:space="preserve">tres “carné”, para que </w:t>
      </w:r>
      <w:r w:rsidR="00141D69" w:rsidRPr="00AF76C6">
        <w:rPr>
          <w:rFonts w:ascii="Verdana" w:hAnsi="Verdana" w:cs="Arial"/>
          <w:sz w:val="20"/>
          <w:szCs w:val="20"/>
          <w:lang w:val="es-MX"/>
        </w:rPr>
        <w:t xml:space="preserve">las víctimas </w:t>
      </w:r>
      <w:r w:rsidR="00B24807" w:rsidRPr="00AF76C6">
        <w:rPr>
          <w:rFonts w:ascii="Verdana" w:hAnsi="Verdana" w:cs="Arial"/>
          <w:sz w:val="20"/>
          <w:szCs w:val="20"/>
          <w:lang w:val="es-MX"/>
        </w:rPr>
        <w:t xml:space="preserve">recibieran atención especial y expedita en el Hospital Santo Tomás, </w:t>
      </w:r>
      <w:r w:rsidR="00141D69" w:rsidRPr="00AF76C6">
        <w:rPr>
          <w:rFonts w:ascii="Verdana" w:hAnsi="Verdana" w:cs="Arial"/>
          <w:sz w:val="20"/>
          <w:szCs w:val="20"/>
          <w:lang w:val="es-MX"/>
        </w:rPr>
        <w:t>pero no consta a esta Cor</w:t>
      </w:r>
      <w:r w:rsidR="00AF76C6" w:rsidRPr="00AF76C6">
        <w:rPr>
          <w:rFonts w:ascii="Verdana" w:hAnsi="Verdana" w:cs="Arial"/>
          <w:sz w:val="20"/>
          <w:szCs w:val="20"/>
          <w:lang w:val="es-MX"/>
        </w:rPr>
        <w:t>te que hubieren sido entregados.</w:t>
      </w:r>
      <w:r w:rsidR="00141D69" w:rsidRPr="00AF76C6">
        <w:rPr>
          <w:rFonts w:ascii="Verdana" w:hAnsi="Verdana"/>
          <w:sz w:val="20"/>
          <w:szCs w:val="20"/>
          <w:lang w:val="es-CR"/>
        </w:rPr>
        <w:t xml:space="preserve"> </w:t>
      </w:r>
      <w:r w:rsidR="00AF76C6" w:rsidRPr="00AF76C6">
        <w:rPr>
          <w:rFonts w:ascii="Verdana" w:hAnsi="Verdana"/>
          <w:sz w:val="20"/>
          <w:szCs w:val="20"/>
          <w:lang w:val="es-CR"/>
        </w:rPr>
        <w:t>En sus observaciones a ese informe, l</w:t>
      </w:r>
      <w:r w:rsidR="00141D69" w:rsidRPr="00AF76C6">
        <w:rPr>
          <w:rFonts w:ascii="Verdana" w:hAnsi="Verdana"/>
          <w:sz w:val="20"/>
          <w:szCs w:val="20"/>
          <w:lang w:val="es-CR"/>
        </w:rPr>
        <w:t>os representantes de las víctimas indicaron que las víctimas no tenían conocimiento de la emisión de estos carnés. Con posterioridad a</w:t>
      </w:r>
      <w:r w:rsidR="00FF2564">
        <w:rPr>
          <w:rFonts w:ascii="Verdana" w:hAnsi="Verdana"/>
          <w:sz w:val="20"/>
          <w:szCs w:val="20"/>
          <w:lang w:val="es-CR"/>
        </w:rPr>
        <w:t>l</w:t>
      </w:r>
      <w:r w:rsidR="00141D69" w:rsidRPr="00AF76C6">
        <w:rPr>
          <w:rFonts w:ascii="Verdana" w:hAnsi="Verdana"/>
          <w:sz w:val="20"/>
          <w:szCs w:val="20"/>
          <w:lang w:val="es-CR"/>
        </w:rPr>
        <w:t xml:space="preserve"> 2013, ninguna de las partes hizo referencia a estos carnés</w:t>
      </w:r>
      <w:r w:rsidR="0052405D">
        <w:rPr>
          <w:rFonts w:ascii="Verdana" w:hAnsi="Verdana"/>
          <w:sz w:val="20"/>
          <w:szCs w:val="20"/>
          <w:lang w:val="es-CR"/>
        </w:rPr>
        <w:t>, los cuales podrían coadyuvar a que reciban una atención diferenciada por su calidad de víctimas acorde a lo ordenado en la Sentencia</w:t>
      </w:r>
      <w:r w:rsidR="00141D69" w:rsidRPr="00AF76C6">
        <w:rPr>
          <w:rFonts w:ascii="Verdana" w:hAnsi="Verdana"/>
          <w:sz w:val="20"/>
          <w:szCs w:val="20"/>
          <w:lang w:val="es-CR"/>
        </w:rPr>
        <w:t>.</w:t>
      </w:r>
      <w:bookmarkEnd w:id="16"/>
    </w:p>
    <w:p w14:paraId="347F61B4" w14:textId="77777777" w:rsidR="006F5B50" w:rsidRDefault="006F5B50" w:rsidP="006E62E4">
      <w:pPr>
        <w:pStyle w:val="ListParagraph"/>
        <w:tabs>
          <w:tab w:val="left" w:pos="0"/>
        </w:tabs>
        <w:spacing w:line="240" w:lineRule="auto"/>
        <w:ind w:left="0"/>
        <w:jc w:val="center"/>
        <w:rPr>
          <w:rFonts w:ascii="Verdana" w:hAnsi="Verdana" w:cs="Arial"/>
          <w:sz w:val="20"/>
          <w:szCs w:val="20"/>
          <w:lang w:val="es-MX"/>
        </w:rPr>
      </w:pPr>
    </w:p>
    <w:p w14:paraId="01B94D8B" w14:textId="0069047B" w:rsidR="006F5B50" w:rsidRPr="00107D30" w:rsidRDefault="00F655B2" w:rsidP="006F5B50">
      <w:pPr>
        <w:pStyle w:val="ListParagraph"/>
        <w:numPr>
          <w:ilvl w:val="0"/>
          <w:numId w:val="3"/>
        </w:numPr>
        <w:tabs>
          <w:tab w:val="left" w:pos="0"/>
        </w:tabs>
        <w:spacing w:line="240" w:lineRule="auto"/>
        <w:ind w:left="0" w:firstLine="0"/>
        <w:jc w:val="both"/>
        <w:rPr>
          <w:rFonts w:ascii="Verdana" w:hAnsi="Verdana" w:cs="Arial"/>
          <w:sz w:val="20"/>
          <w:szCs w:val="20"/>
          <w:lang w:val="es-MX"/>
        </w:rPr>
      </w:pPr>
      <w:bookmarkStart w:id="17" w:name="_Ref498603595"/>
      <w:r>
        <w:rPr>
          <w:rFonts w:ascii="Verdana" w:hAnsi="Verdana" w:cs="Arial"/>
          <w:sz w:val="20"/>
          <w:szCs w:val="20"/>
          <w:lang w:val="es-MX"/>
        </w:rPr>
        <w:t>D</w:t>
      </w:r>
      <w:r w:rsidR="006F5B50">
        <w:rPr>
          <w:rFonts w:ascii="Verdana" w:hAnsi="Verdana" w:cs="Arial"/>
          <w:sz w:val="20"/>
          <w:szCs w:val="20"/>
          <w:lang w:val="es-MX"/>
        </w:rPr>
        <w:t xml:space="preserve">urante ese período de tiempo, tanto los </w:t>
      </w:r>
      <w:r w:rsidR="006F5B50" w:rsidRPr="006F5B50">
        <w:rPr>
          <w:rFonts w:ascii="Verdana" w:hAnsi="Verdana" w:cs="Arial"/>
          <w:i/>
          <w:sz w:val="20"/>
          <w:szCs w:val="20"/>
          <w:lang w:val="es-MX"/>
        </w:rPr>
        <w:t>representantes</w:t>
      </w:r>
      <w:r w:rsidR="006F5B50">
        <w:rPr>
          <w:rFonts w:ascii="Verdana" w:hAnsi="Verdana" w:cs="Arial"/>
          <w:sz w:val="20"/>
          <w:szCs w:val="20"/>
          <w:lang w:val="es-MX"/>
        </w:rPr>
        <w:t xml:space="preserve"> como la </w:t>
      </w:r>
      <w:r w:rsidR="006F5B50" w:rsidRPr="006F5B50">
        <w:rPr>
          <w:rFonts w:ascii="Verdana" w:hAnsi="Verdana" w:cs="Arial"/>
          <w:i/>
          <w:sz w:val="20"/>
          <w:szCs w:val="20"/>
          <w:lang w:val="es-MX"/>
        </w:rPr>
        <w:t>Comisión</w:t>
      </w:r>
      <w:r w:rsidR="006F5B50">
        <w:rPr>
          <w:rFonts w:ascii="Verdana" w:hAnsi="Verdana" w:cs="Arial"/>
          <w:sz w:val="20"/>
          <w:szCs w:val="20"/>
          <w:lang w:val="es-MX"/>
        </w:rPr>
        <w:t xml:space="preserve"> identificaron que: (i) </w:t>
      </w:r>
      <w:r w:rsidR="00B03988">
        <w:rPr>
          <w:rFonts w:ascii="Verdana" w:hAnsi="Verdana" w:cs="Arial"/>
          <w:sz w:val="20"/>
          <w:szCs w:val="20"/>
          <w:lang w:val="es-MX"/>
        </w:rPr>
        <w:t xml:space="preserve">no </w:t>
      </w:r>
      <w:r w:rsidR="006F5B50">
        <w:rPr>
          <w:rFonts w:ascii="Verdana" w:hAnsi="Verdana" w:cs="Arial"/>
          <w:sz w:val="20"/>
          <w:szCs w:val="20"/>
          <w:lang w:val="es-MX"/>
        </w:rPr>
        <w:t>se realizó un diagnóstico integral a las víctimas “a fin de establecer adecuadamente su situación de salud tanto física como psicológica y de esta manera disponer de la atención especializada que requieran”, lo cual contravendría lo ordenado por la Corte; (ii) se requiere un “</w:t>
      </w:r>
      <w:r w:rsidR="006F5B50" w:rsidRPr="006F5B50">
        <w:rPr>
          <w:rFonts w:ascii="Verdana" w:hAnsi="Verdana" w:cs="Arial"/>
          <w:sz w:val="20"/>
          <w:szCs w:val="20"/>
          <w:lang w:val="es-MX"/>
        </w:rPr>
        <w:t>canal permanente de comunicación para coordinar que las víctimas reciban el tratamiento adecuado dentro de las instituciones especializadas asignadas para estos fines, y en caso que estas instituciones no puedan ofrecer los tratamientos y medicament</w:t>
      </w:r>
      <w:r w:rsidR="007D5490">
        <w:rPr>
          <w:rFonts w:ascii="Verdana" w:hAnsi="Verdana" w:cs="Arial"/>
          <w:sz w:val="20"/>
          <w:szCs w:val="20"/>
          <w:lang w:val="es-MX"/>
        </w:rPr>
        <w:t>o</w:t>
      </w:r>
      <w:r w:rsidR="006F5B50" w:rsidRPr="006F5B50">
        <w:rPr>
          <w:rFonts w:ascii="Verdana" w:hAnsi="Verdana" w:cs="Arial"/>
          <w:sz w:val="20"/>
          <w:szCs w:val="20"/>
          <w:lang w:val="es-MX"/>
        </w:rPr>
        <w:t>s requeridos, se proceda a realizar las gestiones pertinentes para facilitarles la atención debida en donde corresponda”</w:t>
      </w:r>
      <w:r w:rsidR="006F5B50">
        <w:rPr>
          <w:rFonts w:ascii="Verdana" w:hAnsi="Verdana" w:cs="Arial"/>
          <w:sz w:val="20"/>
          <w:szCs w:val="20"/>
          <w:lang w:val="es-MX"/>
        </w:rPr>
        <w:t xml:space="preserve">; (iii) el Estado no se refirió a </w:t>
      </w:r>
      <w:r w:rsidR="006F5B50" w:rsidRPr="006F5B50">
        <w:rPr>
          <w:rFonts w:ascii="Verdana" w:hAnsi="Verdana" w:cs="Arial"/>
          <w:sz w:val="20"/>
          <w:szCs w:val="20"/>
          <w:lang w:val="es-MX"/>
        </w:rPr>
        <w:t xml:space="preserve">la solicitud de que </w:t>
      </w:r>
      <w:r w:rsidR="00516D93">
        <w:rPr>
          <w:rFonts w:ascii="Verdana" w:hAnsi="Verdana" w:cs="Arial"/>
          <w:sz w:val="20"/>
          <w:szCs w:val="20"/>
          <w:lang w:val="es-MX"/>
        </w:rPr>
        <w:t>”</w:t>
      </w:r>
      <w:r w:rsidR="006F5B50" w:rsidRPr="006F5B50">
        <w:rPr>
          <w:rFonts w:ascii="Verdana" w:hAnsi="Verdana" w:cs="Arial"/>
          <w:sz w:val="20"/>
          <w:szCs w:val="20"/>
          <w:lang w:val="es-MX"/>
        </w:rPr>
        <w:t>las personas que hayan sufrido violencia, sean atendidas en el sistema de salud mental acorde con el programa regional de salud mental de la Organi</w:t>
      </w:r>
      <w:r w:rsidR="006F5B50">
        <w:rPr>
          <w:rFonts w:ascii="Verdana" w:hAnsi="Verdana" w:cs="Arial"/>
          <w:sz w:val="20"/>
          <w:szCs w:val="20"/>
          <w:lang w:val="es-MX"/>
        </w:rPr>
        <w:t>zación Panamericana de la Salud”</w:t>
      </w:r>
      <w:r w:rsidR="006F5B50" w:rsidRPr="006F5B50">
        <w:rPr>
          <w:rFonts w:ascii="Verdana" w:hAnsi="Verdana" w:cs="Arial"/>
          <w:sz w:val="20"/>
          <w:szCs w:val="20"/>
          <w:lang w:val="es-MX"/>
        </w:rPr>
        <w:t xml:space="preserve"> </w:t>
      </w:r>
      <w:r w:rsidR="006F5B50">
        <w:rPr>
          <w:rFonts w:ascii="Verdana" w:hAnsi="Verdana" w:cs="Arial"/>
          <w:sz w:val="20"/>
          <w:szCs w:val="20"/>
          <w:lang w:val="es-MX"/>
        </w:rPr>
        <w:t>(</w:t>
      </w:r>
      <w:r w:rsidR="006F5B50" w:rsidRPr="00FF2564">
        <w:rPr>
          <w:rFonts w:ascii="Verdana" w:hAnsi="Verdana" w:cs="Arial"/>
          <w:i/>
          <w:sz w:val="20"/>
          <w:szCs w:val="20"/>
          <w:lang w:val="es-MX"/>
        </w:rPr>
        <w:t>supra</w:t>
      </w:r>
      <w:r w:rsidR="006F5B50">
        <w:rPr>
          <w:rFonts w:ascii="Verdana" w:hAnsi="Verdana" w:cs="Arial"/>
          <w:sz w:val="20"/>
          <w:szCs w:val="20"/>
          <w:lang w:val="es-MX"/>
        </w:rPr>
        <w:t xml:space="preserve"> </w:t>
      </w:r>
      <w:r w:rsidR="00FA3E11">
        <w:rPr>
          <w:rFonts w:ascii="Verdana" w:hAnsi="Verdana" w:cs="Arial"/>
          <w:sz w:val="20"/>
          <w:szCs w:val="20"/>
          <w:lang w:val="es-MX"/>
        </w:rPr>
        <w:t xml:space="preserve">Considerando </w:t>
      </w:r>
      <w:r w:rsidR="00FA3E11">
        <w:rPr>
          <w:rFonts w:ascii="Verdana" w:hAnsi="Verdana" w:cs="Arial"/>
          <w:sz w:val="20"/>
          <w:szCs w:val="20"/>
          <w:lang w:val="es-MX"/>
        </w:rPr>
        <w:fldChar w:fldCharType="begin"/>
      </w:r>
      <w:r w:rsidR="00FA3E11">
        <w:rPr>
          <w:rFonts w:ascii="Verdana" w:hAnsi="Verdana" w:cs="Arial"/>
          <w:sz w:val="20"/>
          <w:szCs w:val="20"/>
          <w:lang w:val="es-MX"/>
        </w:rPr>
        <w:instrText xml:space="preserve"> REF _Ref498682170 \r \h </w:instrText>
      </w:r>
      <w:r w:rsidR="00FA3E11">
        <w:rPr>
          <w:rFonts w:ascii="Verdana" w:hAnsi="Verdana" w:cs="Arial"/>
          <w:sz w:val="20"/>
          <w:szCs w:val="20"/>
          <w:lang w:val="es-MX"/>
        </w:rPr>
      </w:r>
      <w:r w:rsidR="00FA3E11">
        <w:rPr>
          <w:rFonts w:ascii="Verdana" w:hAnsi="Verdana" w:cs="Arial"/>
          <w:sz w:val="20"/>
          <w:szCs w:val="20"/>
          <w:lang w:val="es-MX"/>
        </w:rPr>
        <w:fldChar w:fldCharType="separate"/>
      </w:r>
      <w:r w:rsidR="00360B00">
        <w:rPr>
          <w:rFonts w:ascii="Verdana" w:hAnsi="Verdana" w:cs="Arial"/>
          <w:sz w:val="20"/>
          <w:szCs w:val="20"/>
          <w:lang w:val="es-MX"/>
        </w:rPr>
        <w:t>12</w:t>
      </w:r>
      <w:r w:rsidR="00FA3E11">
        <w:rPr>
          <w:rFonts w:ascii="Verdana" w:hAnsi="Verdana" w:cs="Arial"/>
          <w:sz w:val="20"/>
          <w:szCs w:val="20"/>
          <w:lang w:val="es-MX"/>
        </w:rPr>
        <w:fldChar w:fldCharType="end"/>
      </w:r>
      <w:r w:rsidR="00FA3E11">
        <w:rPr>
          <w:rFonts w:ascii="Verdana" w:hAnsi="Verdana" w:cs="Arial"/>
          <w:sz w:val="20"/>
          <w:szCs w:val="20"/>
          <w:lang w:val="es-MX"/>
        </w:rPr>
        <w:t xml:space="preserve"> y </w:t>
      </w:r>
      <w:r w:rsidR="00516D93">
        <w:rPr>
          <w:rFonts w:ascii="Verdana" w:hAnsi="Verdana" w:cs="Arial"/>
          <w:sz w:val="20"/>
          <w:szCs w:val="20"/>
          <w:lang w:val="es-MX"/>
        </w:rPr>
        <w:t>nota</w:t>
      </w:r>
      <w:r w:rsidR="006F5B50">
        <w:rPr>
          <w:rFonts w:ascii="Verdana" w:hAnsi="Verdana" w:cs="Arial"/>
          <w:sz w:val="20"/>
          <w:szCs w:val="20"/>
          <w:lang w:val="es-MX"/>
        </w:rPr>
        <w:t xml:space="preserve"> </w:t>
      </w:r>
      <w:r w:rsidR="00516D93">
        <w:rPr>
          <w:rFonts w:ascii="Verdana" w:hAnsi="Verdana" w:cs="Arial"/>
          <w:sz w:val="20"/>
          <w:szCs w:val="20"/>
          <w:lang w:val="es-MX"/>
        </w:rPr>
        <w:fldChar w:fldCharType="begin"/>
      </w:r>
      <w:r w:rsidR="00516D93">
        <w:rPr>
          <w:rFonts w:ascii="Verdana" w:hAnsi="Verdana" w:cs="Arial"/>
          <w:sz w:val="20"/>
          <w:szCs w:val="20"/>
          <w:lang w:val="es-MX"/>
        </w:rPr>
        <w:instrText xml:space="preserve"> NOTEREF _Ref498606857 \h </w:instrText>
      </w:r>
      <w:r w:rsidR="00516D93">
        <w:rPr>
          <w:rFonts w:ascii="Verdana" w:hAnsi="Verdana" w:cs="Arial"/>
          <w:sz w:val="20"/>
          <w:szCs w:val="20"/>
          <w:lang w:val="es-MX"/>
        </w:rPr>
      </w:r>
      <w:r w:rsidR="00516D93">
        <w:rPr>
          <w:rFonts w:ascii="Verdana" w:hAnsi="Verdana" w:cs="Arial"/>
          <w:sz w:val="20"/>
          <w:szCs w:val="20"/>
          <w:lang w:val="es-MX"/>
        </w:rPr>
        <w:fldChar w:fldCharType="separate"/>
      </w:r>
      <w:r w:rsidR="00360B00">
        <w:rPr>
          <w:rFonts w:ascii="Verdana" w:hAnsi="Verdana" w:cs="Arial"/>
          <w:sz w:val="20"/>
          <w:szCs w:val="20"/>
          <w:lang w:val="es-MX"/>
        </w:rPr>
        <w:t>18</w:t>
      </w:r>
      <w:r w:rsidR="00516D93">
        <w:rPr>
          <w:rFonts w:ascii="Verdana" w:hAnsi="Verdana" w:cs="Arial"/>
          <w:sz w:val="20"/>
          <w:szCs w:val="20"/>
          <w:lang w:val="es-MX"/>
        </w:rPr>
        <w:fldChar w:fldCharType="end"/>
      </w:r>
      <w:r w:rsidR="006F5B50">
        <w:rPr>
          <w:rFonts w:ascii="Verdana" w:hAnsi="Verdana" w:cs="Arial"/>
          <w:sz w:val="20"/>
          <w:szCs w:val="20"/>
          <w:lang w:val="es-MX"/>
        </w:rPr>
        <w:t>), y (iv) que “</w:t>
      </w:r>
      <w:r w:rsidR="006F5B50" w:rsidRPr="006F5B50">
        <w:rPr>
          <w:rFonts w:ascii="Verdana" w:hAnsi="Verdana" w:cs="Arial"/>
          <w:sz w:val="20"/>
          <w:szCs w:val="20"/>
          <w:lang w:val="es-MX"/>
        </w:rPr>
        <w:t xml:space="preserve">las distintas citas médicas a </w:t>
      </w:r>
      <w:r w:rsidR="006F5B50">
        <w:rPr>
          <w:rFonts w:ascii="Verdana" w:hAnsi="Verdana" w:cs="Arial"/>
          <w:sz w:val="20"/>
          <w:szCs w:val="20"/>
          <w:lang w:val="es-MX"/>
        </w:rPr>
        <w:t>las</w:t>
      </w:r>
      <w:r w:rsidR="006F5B50" w:rsidRPr="006F5B50">
        <w:rPr>
          <w:rFonts w:ascii="Verdana" w:hAnsi="Verdana" w:cs="Arial"/>
          <w:sz w:val="20"/>
          <w:szCs w:val="20"/>
          <w:lang w:val="es-MX"/>
        </w:rPr>
        <w:t xml:space="preserve"> que han acudido los integrantes de la familia Portugal, han sido citas médicas tramitadas por ellos mismos sin que se realicen en el marco de un plan de atención integral y tampoco han sido gestionadas a través de la obligación del Estado”</w:t>
      </w:r>
      <w:r w:rsidR="006F5B50">
        <w:rPr>
          <w:rFonts w:ascii="Verdana" w:hAnsi="Verdana" w:cs="Arial"/>
          <w:sz w:val="20"/>
          <w:szCs w:val="20"/>
          <w:lang w:val="es-MX"/>
        </w:rPr>
        <w:t xml:space="preserve">. Además, en términos generales, las víctimas manifestaron su “inconformidad con la prestación del servicio” de salud en </w:t>
      </w:r>
      <w:r w:rsidR="007D5490">
        <w:rPr>
          <w:rFonts w:ascii="Verdana" w:hAnsi="Verdana" w:cs="Arial"/>
          <w:sz w:val="20"/>
          <w:szCs w:val="20"/>
          <w:lang w:val="es-MX"/>
        </w:rPr>
        <w:t>el</w:t>
      </w:r>
      <w:r w:rsidR="006F5B50">
        <w:rPr>
          <w:rFonts w:ascii="Verdana" w:hAnsi="Verdana" w:cs="Arial"/>
          <w:sz w:val="20"/>
          <w:szCs w:val="20"/>
          <w:lang w:val="es-MX"/>
        </w:rPr>
        <w:t xml:space="preserve"> Hospital</w:t>
      </w:r>
      <w:r w:rsidR="007D5490">
        <w:rPr>
          <w:rFonts w:ascii="Verdana" w:hAnsi="Verdana" w:cs="Arial"/>
          <w:sz w:val="20"/>
          <w:szCs w:val="20"/>
          <w:lang w:val="es-MX"/>
        </w:rPr>
        <w:t xml:space="preserve"> Santo Tomás</w:t>
      </w:r>
      <w:r w:rsidR="006F5B50">
        <w:rPr>
          <w:rFonts w:ascii="Verdana" w:hAnsi="Verdana" w:cs="Arial"/>
          <w:sz w:val="20"/>
          <w:szCs w:val="20"/>
          <w:lang w:val="es-MX"/>
        </w:rPr>
        <w:t>, razón por l</w:t>
      </w:r>
      <w:r w:rsidR="00997CF6">
        <w:rPr>
          <w:rFonts w:ascii="Verdana" w:hAnsi="Verdana" w:cs="Arial"/>
          <w:sz w:val="20"/>
          <w:szCs w:val="20"/>
          <w:lang w:val="es-MX"/>
        </w:rPr>
        <w:t>o</w:t>
      </w:r>
      <w:r w:rsidR="006F5B50">
        <w:rPr>
          <w:rFonts w:ascii="Verdana" w:hAnsi="Verdana" w:cs="Arial"/>
          <w:sz w:val="20"/>
          <w:szCs w:val="20"/>
          <w:lang w:val="es-MX"/>
        </w:rPr>
        <w:t xml:space="preserve"> cual no </w:t>
      </w:r>
      <w:r w:rsidR="00997CF6">
        <w:rPr>
          <w:rFonts w:ascii="Verdana" w:hAnsi="Verdana" w:cs="Arial"/>
          <w:sz w:val="20"/>
          <w:szCs w:val="20"/>
          <w:lang w:val="es-MX"/>
        </w:rPr>
        <w:t xml:space="preserve">se </w:t>
      </w:r>
      <w:r w:rsidR="006F5B50">
        <w:rPr>
          <w:rFonts w:ascii="Verdana" w:hAnsi="Verdana" w:cs="Arial"/>
          <w:sz w:val="20"/>
          <w:szCs w:val="20"/>
          <w:lang w:val="es-MX"/>
        </w:rPr>
        <w:t>h</w:t>
      </w:r>
      <w:r w:rsidR="00997CF6">
        <w:rPr>
          <w:rFonts w:ascii="Verdana" w:hAnsi="Verdana" w:cs="Arial"/>
          <w:sz w:val="20"/>
          <w:szCs w:val="20"/>
          <w:lang w:val="es-MX"/>
        </w:rPr>
        <w:t>izo</w:t>
      </w:r>
      <w:r w:rsidR="006F5B50">
        <w:rPr>
          <w:rFonts w:ascii="Verdana" w:hAnsi="Verdana" w:cs="Arial"/>
          <w:sz w:val="20"/>
          <w:szCs w:val="20"/>
          <w:lang w:val="es-MX"/>
        </w:rPr>
        <w:t xml:space="preserve"> uso del mismo, y sus representantes solicitaron que </w:t>
      </w:r>
      <w:r w:rsidR="00997CF6">
        <w:rPr>
          <w:rFonts w:ascii="Verdana" w:hAnsi="Verdana" w:cs="Arial"/>
          <w:sz w:val="20"/>
          <w:szCs w:val="20"/>
          <w:lang w:val="es-MX"/>
        </w:rPr>
        <w:t xml:space="preserve">el Estado, </w:t>
      </w:r>
      <w:r w:rsidR="006F5B50">
        <w:rPr>
          <w:rFonts w:ascii="Verdana" w:hAnsi="Verdana" w:cs="Arial"/>
          <w:sz w:val="20"/>
          <w:szCs w:val="20"/>
          <w:lang w:val="es-MX"/>
        </w:rPr>
        <w:t>“</w:t>
      </w:r>
      <w:r w:rsidR="006F5B50" w:rsidRPr="006F5B50">
        <w:rPr>
          <w:rFonts w:ascii="Verdana" w:hAnsi="Verdana" w:cs="Arial"/>
          <w:sz w:val="20"/>
          <w:szCs w:val="20"/>
          <w:lang w:val="es-MX"/>
        </w:rPr>
        <w:t>en conjunto con las víctimas del presente caso, elabore un plan de atención en salud integral que cuente con un diagnóstico previo para la posterior determinación de los tratamientos requeridos, y que estos tratamientos y consultas puedan ser programados a través de un enlace en el Hospital que pueda darle la atención prioritaria a la familia Portugal</w:t>
      </w:r>
      <w:r w:rsidR="006F5B50">
        <w:rPr>
          <w:rFonts w:ascii="Verdana" w:hAnsi="Verdana" w:cs="Arial"/>
          <w:sz w:val="20"/>
          <w:szCs w:val="20"/>
          <w:lang w:val="es-MX"/>
        </w:rPr>
        <w:t>”.</w:t>
      </w:r>
      <w:bookmarkEnd w:id="17"/>
    </w:p>
    <w:p w14:paraId="3CE07F79" w14:textId="5AD5C5D4" w:rsidR="006F5B50" w:rsidRDefault="006F5B50" w:rsidP="006F5B50">
      <w:pPr>
        <w:pStyle w:val="ListParagraph"/>
        <w:numPr>
          <w:ilvl w:val="0"/>
          <w:numId w:val="3"/>
        </w:numPr>
        <w:tabs>
          <w:tab w:val="left" w:pos="0"/>
        </w:tabs>
        <w:spacing w:line="240" w:lineRule="auto"/>
        <w:ind w:left="0" w:firstLine="0"/>
        <w:jc w:val="both"/>
        <w:rPr>
          <w:rFonts w:ascii="Verdana" w:hAnsi="Verdana" w:cs="Arial"/>
          <w:sz w:val="20"/>
          <w:szCs w:val="20"/>
          <w:lang w:val="es-MX"/>
        </w:rPr>
      </w:pPr>
      <w:r>
        <w:rPr>
          <w:rFonts w:ascii="Verdana" w:hAnsi="Verdana" w:cs="Arial"/>
          <w:sz w:val="20"/>
          <w:szCs w:val="20"/>
          <w:lang w:val="es-MX"/>
        </w:rPr>
        <w:lastRenderedPageBreak/>
        <w:t xml:space="preserve">Más aún, en su escrito de octubre de 2015, los </w:t>
      </w:r>
      <w:r>
        <w:rPr>
          <w:rFonts w:ascii="Verdana" w:hAnsi="Verdana" w:cs="Arial"/>
          <w:i/>
          <w:sz w:val="20"/>
          <w:szCs w:val="20"/>
          <w:lang w:val="es-MX"/>
        </w:rPr>
        <w:t>representantes</w:t>
      </w:r>
      <w:r>
        <w:rPr>
          <w:rFonts w:ascii="Verdana" w:hAnsi="Verdana" w:cs="Arial"/>
          <w:sz w:val="20"/>
          <w:szCs w:val="20"/>
          <w:lang w:val="es-MX"/>
        </w:rPr>
        <w:t xml:space="preserve"> comunicaron del fallecimiento por causas naturales de la víctima Graciela </w:t>
      </w:r>
      <w:r w:rsidR="00516D93">
        <w:rPr>
          <w:rFonts w:ascii="Verdana" w:hAnsi="Verdana" w:cs="Arial"/>
          <w:sz w:val="20"/>
          <w:szCs w:val="20"/>
          <w:lang w:val="es-MX"/>
        </w:rPr>
        <w:t>D</w:t>
      </w:r>
      <w:r>
        <w:rPr>
          <w:rFonts w:ascii="Verdana" w:hAnsi="Verdana" w:cs="Arial"/>
          <w:sz w:val="20"/>
          <w:szCs w:val="20"/>
          <w:lang w:val="es-MX"/>
        </w:rPr>
        <w:t>e León</w:t>
      </w:r>
      <w:r w:rsidR="00DC58D0">
        <w:rPr>
          <w:rStyle w:val="FootnoteReference"/>
          <w:rFonts w:ascii="Verdana" w:hAnsi="Verdana" w:cs="Arial"/>
          <w:sz w:val="20"/>
          <w:szCs w:val="20"/>
          <w:lang w:val="es-MX"/>
        </w:rPr>
        <w:footnoteReference w:id="21"/>
      </w:r>
      <w:r>
        <w:rPr>
          <w:rFonts w:ascii="Verdana" w:hAnsi="Verdana" w:cs="Arial"/>
          <w:sz w:val="20"/>
          <w:szCs w:val="20"/>
          <w:lang w:val="es-MX"/>
        </w:rPr>
        <w:t xml:space="preserve">, por lo que requirieron que </w:t>
      </w:r>
      <w:r w:rsidR="00E47F46">
        <w:rPr>
          <w:rFonts w:ascii="Verdana" w:hAnsi="Verdana" w:cs="Arial"/>
          <w:sz w:val="20"/>
          <w:szCs w:val="20"/>
          <w:lang w:val="es-MX"/>
        </w:rPr>
        <w:t xml:space="preserve">el Tribunal </w:t>
      </w:r>
      <w:r>
        <w:rPr>
          <w:rFonts w:ascii="Verdana" w:hAnsi="Verdana" w:cs="Arial"/>
          <w:sz w:val="20"/>
          <w:szCs w:val="20"/>
          <w:lang w:val="es-MX"/>
        </w:rPr>
        <w:t xml:space="preserve">declarara que </w:t>
      </w:r>
      <w:r w:rsidRPr="006F5B50">
        <w:rPr>
          <w:rFonts w:ascii="Verdana" w:hAnsi="Verdana" w:cs="Arial"/>
          <w:sz w:val="20"/>
          <w:szCs w:val="20"/>
          <w:lang w:val="es-MX"/>
        </w:rPr>
        <w:t>Panamá incumplió “en su totalidad con la reparación ordenada por la Corte IDH en lo que respecta a la señora Graciela de León ya que podría haberse mejorado su esperanza de vida a través de un plan de atención en salud en virtud de la medida de r</w:t>
      </w:r>
      <w:r>
        <w:rPr>
          <w:rFonts w:ascii="Verdana" w:hAnsi="Verdana" w:cs="Arial"/>
          <w:sz w:val="20"/>
          <w:szCs w:val="20"/>
          <w:lang w:val="es-MX"/>
        </w:rPr>
        <w:t>ep</w:t>
      </w:r>
      <w:r w:rsidRPr="006F5B50">
        <w:rPr>
          <w:rFonts w:ascii="Verdana" w:hAnsi="Verdana" w:cs="Arial"/>
          <w:sz w:val="20"/>
          <w:szCs w:val="20"/>
          <w:lang w:val="es-MX"/>
        </w:rPr>
        <w:t>aración ordenada por el Tribunal Interamericano</w:t>
      </w:r>
      <w:r>
        <w:rPr>
          <w:rFonts w:ascii="Verdana" w:hAnsi="Verdana" w:cs="Arial"/>
          <w:sz w:val="20"/>
          <w:szCs w:val="20"/>
          <w:lang w:val="es-MX"/>
        </w:rPr>
        <w:t>”.</w:t>
      </w:r>
    </w:p>
    <w:p w14:paraId="0B8724B9" w14:textId="77777777" w:rsidR="006F5B50" w:rsidRPr="006F5B50" w:rsidRDefault="006F5B50" w:rsidP="006F5B50">
      <w:pPr>
        <w:pStyle w:val="ListParagraph"/>
        <w:rPr>
          <w:rFonts w:ascii="Verdana" w:hAnsi="Verdana" w:cs="Arial"/>
          <w:sz w:val="20"/>
          <w:szCs w:val="20"/>
          <w:lang w:val="es-MX"/>
        </w:rPr>
      </w:pPr>
    </w:p>
    <w:p w14:paraId="5A987691" w14:textId="3C728FF3" w:rsidR="006F5B50" w:rsidRDefault="00A20A3F" w:rsidP="006F5B50">
      <w:pPr>
        <w:pStyle w:val="ListParagraph"/>
        <w:numPr>
          <w:ilvl w:val="0"/>
          <w:numId w:val="3"/>
        </w:numPr>
        <w:tabs>
          <w:tab w:val="left" w:pos="0"/>
        </w:tabs>
        <w:spacing w:line="240" w:lineRule="auto"/>
        <w:ind w:left="0" w:firstLine="0"/>
        <w:jc w:val="both"/>
        <w:rPr>
          <w:rFonts w:ascii="Verdana" w:hAnsi="Verdana" w:cs="Arial"/>
          <w:sz w:val="20"/>
          <w:szCs w:val="20"/>
          <w:lang w:val="es-MX"/>
        </w:rPr>
      </w:pPr>
      <w:bookmarkStart w:id="18" w:name="_Ref498603577"/>
      <w:r>
        <w:rPr>
          <w:rFonts w:ascii="Verdana" w:hAnsi="Verdana" w:cs="Arial"/>
          <w:sz w:val="20"/>
          <w:szCs w:val="20"/>
          <w:lang w:val="es-MX"/>
        </w:rPr>
        <w:t>E</w:t>
      </w:r>
      <w:r w:rsidR="005846FA">
        <w:rPr>
          <w:rFonts w:ascii="Verdana" w:hAnsi="Verdana" w:cs="Arial"/>
          <w:sz w:val="20"/>
          <w:szCs w:val="20"/>
          <w:lang w:val="es-MX"/>
        </w:rPr>
        <w:t xml:space="preserve">n el presente año </w:t>
      </w:r>
      <w:r w:rsidR="006F5B50">
        <w:rPr>
          <w:rFonts w:ascii="Verdana" w:hAnsi="Verdana" w:cs="Arial"/>
          <w:sz w:val="20"/>
          <w:szCs w:val="20"/>
          <w:lang w:val="es-MX"/>
        </w:rPr>
        <w:t>las partes han coincidido</w:t>
      </w:r>
      <w:r w:rsidR="00FF2564">
        <w:rPr>
          <w:rFonts w:ascii="Verdana" w:hAnsi="Verdana" w:cs="Arial"/>
          <w:sz w:val="20"/>
          <w:szCs w:val="20"/>
          <w:lang w:val="es-MX"/>
        </w:rPr>
        <w:t xml:space="preserve"> en que</w:t>
      </w:r>
      <w:r w:rsidR="006F5B50">
        <w:rPr>
          <w:rFonts w:ascii="Verdana" w:hAnsi="Verdana" w:cs="Arial"/>
          <w:sz w:val="20"/>
          <w:szCs w:val="20"/>
          <w:lang w:val="es-MX"/>
        </w:rPr>
        <w:t xml:space="preserve"> “</w:t>
      </w:r>
      <w:r w:rsidR="006F5B50" w:rsidRPr="006F5B50">
        <w:rPr>
          <w:rFonts w:ascii="Verdana" w:hAnsi="Verdana" w:cs="Arial"/>
          <w:sz w:val="20"/>
          <w:szCs w:val="20"/>
          <w:lang w:val="es-MX"/>
        </w:rPr>
        <w:t>a partir del 10 de enero de 2017</w:t>
      </w:r>
      <w:r w:rsidR="00516D93">
        <w:rPr>
          <w:rFonts w:ascii="Verdana" w:hAnsi="Verdana" w:cs="Arial"/>
          <w:sz w:val="20"/>
          <w:szCs w:val="20"/>
          <w:lang w:val="es-MX"/>
        </w:rPr>
        <w:t xml:space="preserve"> se inició un proceso para garantizar la atención médica de las víctimas</w:t>
      </w:r>
      <w:r w:rsidR="001242DE">
        <w:rPr>
          <w:rFonts w:ascii="Verdana" w:hAnsi="Verdana" w:cs="Arial"/>
          <w:sz w:val="20"/>
          <w:szCs w:val="20"/>
          <w:lang w:val="es-MX"/>
        </w:rPr>
        <w:t>”</w:t>
      </w:r>
      <w:r w:rsidR="006F5B50" w:rsidRPr="006F5B50">
        <w:rPr>
          <w:rFonts w:ascii="Verdana" w:hAnsi="Verdana" w:cs="Arial"/>
          <w:sz w:val="20"/>
          <w:szCs w:val="20"/>
          <w:lang w:val="es-MX"/>
        </w:rPr>
        <w:t xml:space="preserve">. El señor Franklin Portugal fue atendido por un especialista en Medicina General. El día 17 de enero de 2017 </w:t>
      </w:r>
      <w:r w:rsidR="006F5B50">
        <w:rPr>
          <w:rFonts w:ascii="Verdana" w:hAnsi="Verdana" w:cs="Arial"/>
          <w:sz w:val="20"/>
          <w:szCs w:val="20"/>
          <w:lang w:val="es-MX"/>
        </w:rPr>
        <w:t>fue</w:t>
      </w:r>
      <w:r w:rsidR="006F5B50" w:rsidRPr="006F5B50">
        <w:rPr>
          <w:rFonts w:ascii="Verdana" w:hAnsi="Verdana" w:cs="Arial"/>
          <w:sz w:val="20"/>
          <w:szCs w:val="20"/>
          <w:lang w:val="es-MX"/>
        </w:rPr>
        <w:t xml:space="preserve"> atendida la señora Patria Portugal por el mismo </w:t>
      </w:r>
      <w:r w:rsidR="00437105">
        <w:rPr>
          <w:rFonts w:ascii="Verdana" w:hAnsi="Verdana" w:cs="Arial"/>
          <w:sz w:val="20"/>
          <w:szCs w:val="20"/>
          <w:lang w:val="es-MX"/>
        </w:rPr>
        <w:t>médico</w:t>
      </w:r>
      <w:r w:rsidR="006F5B50" w:rsidRPr="006F5B50">
        <w:rPr>
          <w:rFonts w:ascii="Verdana" w:hAnsi="Verdana" w:cs="Arial"/>
          <w:sz w:val="20"/>
          <w:szCs w:val="20"/>
          <w:lang w:val="es-MX"/>
        </w:rPr>
        <w:t>.</w:t>
      </w:r>
      <w:r w:rsidR="006F5B50">
        <w:rPr>
          <w:rFonts w:ascii="Verdana" w:hAnsi="Verdana" w:cs="Arial"/>
          <w:sz w:val="20"/>
          <w:szCs w:val="20"/>
          <w:lang w:val="es-MX"/>
        </w:rPr>
        <w:t xml:space="preserve"> Los representantes reconocieron en sus observaciones de mayo de 2017 “algunos avances en el proceso, así como la manifiesta buena voluntad de algunos de los funcionarios que han intervenido y sostenido diálogos con las víctimas”, destacando el compromiso de autoridades de la Dirección General de Asuntos Jurídicos y Tratados de la Cancillería de Panamá </w:t>
      </w:r>
      <w:r w:rsidR="00E91F73">
        <w:rPr>
          <w:rFonts w:ascii="Verdana" w:hAnsi="Verdana" w:cs="Arial"/>
          <w:sz w:val="20"/>
          <w:szCs w:val="20"/>
          <w:lang w:val="es-MX"/>
        </w:rPr>
        <w:t xml:space="preserve">en </w:t>
      </w:r>
      <w:r w:rsidR="006F5B50">
        <w:rPr>
          <w:rFonts w:ascii="Verdana" w:hAnsi="Verdana" w:cs="Arial"/>
          <w:sz w:val="20"/>
          <w:szCs w:val="20"/>
          <w:lang w:val="es-MX"/>
        </w:rPr>
        <w:t>“explorar la posibilidad de otorgarles a ambas víctimas un seguro médico privado”.</w:t>
      </w:r>
      <w:bookmarkEnd w:id="18"/>
      <w:r w:rsidR="006F5B50">
        <w:rPr>
          <w:rFonts w:ascii="Verdana" w:hAnsi="Verdana" w:cs="Arial"/>
          <w:sz w:val="20"/>
          <w:szCs w:val="20"/>
          <w:lang w:val="es-MX"/>
        </w:rPr>
        <w:t xml:space="preserve"> </w:t>
      </w:r>
    </w:p>
    <w:p w14:paraId="26097CB5" w14:textId="77777777" w:rsidR="006F5B50" w:rsidRPr="006F5B50" w:rsidRDefault="006F5B50" w:rsidP="006F5B50">
      <w:pPr>
        <w:pStyle w:val="ListParagraph"/>
        <w:rPr>
          <w:rFonts w:ascii="Verdana" w:hAnsi="Verdana" w:cs="Arial"/>
          <w:sz w:val="20"/>
          <w:szCs w:val="20"/>
          <w:lang w:val="es-MX"/>
        </w:rPr>
      </w:pPr>
    </w:p>
    <w:p w14:paraId="5501F209" w14:textId="1713EAF5" w:rsidR="006F5B50" w:rsidRDefault="006F5B50" w:rsidP="006F5B50">
      <w:pPr>
        <w:pStyle w:val="ListParagraph"/>
        <w:numPr>
          <w:ilvl w:val="0"/>
          <w:numId w:val="3"/>
        </w:numPr>
        <w:tabs>
          <w:tab w:val="left" w:pos="0"/>
        </w:tabs>
        <w:spacing w:line="240" w:lineRule="auto"/>
        <w:ind w:left="0" w:firstLine="0"/>
        <w:jc w:val="both"/>
        <w:rPr>
          <w:rFonts w:ascii="Verdana" w:hAnsi="Verdana" w:cs="Arial"/>
          <w:sz w:val="20"/>
          <w:szCs w:val="20"/>
          <w:lang w:val="es-MX"/>
        </w:rPr>
      </w:pPr>
      <w:bookmarkStart w:id="19" w:name="_Ref498603606"/>
      <w:r>
        <w:rPr>
          <w:rFonts w:ascii="Verdana" w:hAnsi="Verdana" w:cs="Arial"/>
          <w:sz w:val="20"/>
          <w:szCs w:val="20"/>
          <w:lang w:val="es-MX"/>
        </w:rPr>
        <w:t xml:space="preserve">Sin embargo, tanto los </w:t>
      </w:r>
      <w:r w:rsidRPr="006F5B50">
        <w:rPr>
          <w:rFonts w:ascii="Verdana" w:hAnsi="Verdana" w:cs="Arial"/>
          <w:i/>
          <w:sz w:val="20"/>
          <w:szCs w:val="20"/>
          <w:lang w:val="es-MX"/>
        </w:rPr>
        <w:t>representantes</w:t>
      </w:r>
      <w:r>
        <w:rPr>
          <w:rFonts w:ascii="Verdana" w:hAnsi="Verdana" w:cs="Arial"/>
          <w:sz w:val="20"/>
          <w:szCs w:val="20"/>
          <w:lang w:val="es-MX"/>
        </w:rPr>
        <w:t xml:space="preserve"> como la </w:t>
      </w:r>
      <w:r w:rsidRPr="006F5B50">
        <w:rPr>
          <w:rFonts w:ascii="Verdana" w:hAnsi="Verdana" w:cs="Arial"/>
          <w:i/>
          <w:sz w:val="20"/>
          <w:szCs w:val="20"/>
          <w:lang w:val="es-MX"/>
        </w:rPr>
        <w:t>Comisión</w:t>
      </w:r>
      <w:r>
        <w:rPr>
          <w:rFonts w:ascii="Verdana" w:hAnsi="Verdana" w:cs="Arial"/>
          <w:sz w:val="20"/>
          <w:szCs w:val="20"/>
          <w:lang w:val="es-MX"/>
        </w:rPr>
        <w:t xml:space="preserve"> hicieron notar que en cuanto al tratamiento psicológico de Franklin Portugal, </w:t>
      </w:r>
      <w:r w:rsidR="00593DB9">
        <w:rPr>
          <w:rFonts w:ascii="Verdana" w:hAnsi="Verdana" w:cs="Arial"/>
          <w:sz w:val="20"/>
          <w:szCs w:val="20"/>
          <w:lang w:val="es-MX"/>
        </w:rPr>
        <w:t>debido a que tuvo que buscar</w:t>
      </w:r>
      <w:r w:rsidR="00593DB9" w:rsidRPr="006F5B50">
        <w:rPr>
          <w:rFonts w:ascii="Verdana" w:hAnsi="Verdana" w:cs="Arial"/>
          <w:sz w:val="20"/>
          <w:szCs w:val="20"/>
          <w:lang w:val="es-MX"/>
        </w:rPr>
        <w:t xml:space="preserve"> asistencia profesional por su cuenta </w:t>
      </w:r>
      <w:r w:rsidR="00593DB9">
        <w:rPr>
          <w:rFonts w:ascii="Verdana" w:hAnsi="Verdana" w:cs="Arial"/>
          <w:sz w:val="20"/>
          <w:szCs w:val="20"/>
          <w:lang w:val="es-MX"/>
        </w:rPr>
        <w:t xml:space="preserve">ante </w:t>
      </w:r>
      <w:r w:rsidR="00593DB9" w:rsidRPr="006F5B50">
        <w:rPr>
          <w:rFonts w:ascii="Verdana" w:hAnsi="Verdana" w:cs="Arial"/>
          <w:sz w:val="20"/>
          <w:szCs w:val="20"/>
          <w:lang w:val="es-MX"/>
        </w:rPr>
        <w:t xml:space="preserve">la falta de acción del Estado para proveerle del tratamiento psiquiátrico requerido, </w:t>
      </w:r>
      <w:r w:rsidR="00593DB9">
        <w:rPr>
          <w:rFonts w:ascii="Verdana" w:hAnsi="Verdana" w:cs="Arial"/>
          <w:sz w:val="20"/>
          <w:szCs w:val="20"/>
          <w:lang w:val="es-MX"/>
        </w:rPr>
        <w:t>el Estado “</w:t>
      </w:r>
      <w:r w:rsidR="00593DB9" w:rsidRPr="006F5B50">
        <w:rPr>
          <w:rFonts w:ascii="Verdana" w:hAnsi="Verdana" w:cs="Arial"/>
          <w:sz w:val="20"/>
          <w:szCs w:val="20"/>
          <w:lang w:val="es-MX"/>
        </w:rPr>
        <w:t xml:space="preserve">debe </w:t>
      </w:r>
      <w:r w:rsidR="00CD14BE">
        <w:rPr>
          <w:rFonts w:ascii="Verdana" w:hAnsi="Verdana" w:cs="Arial"/>
          <w:sz w:val="20"/>
          <w:szCs w:val="20"/>
          <w:lang w:val="es-MX"/>
        </w:rPr>
        <w:t>[…]</w:t>
      </w:r>
      <w:r w:rsidR="00CD14BE" w:rsidRPr="006F5B50">
        <w:rPr>
          <w:rFonts w:ascii="Verdana" w:hAnsi="Verdana" w:cs="Arial"/>
          <w:sz w:val="20"/>
          <w:szCs w:val="20"/>
          <w:lang w:val="es-MX"/>
        </w:rPr>
        <w:t xml:space="preserve"> </w:t>
      </w:r>
      <w:r w:rsidR="00593DB9" w:rsidRPr="006F5B50">
        <w:rPr>
          <w:rFonts w:ascii="Verdana" w:hAnsi="Verdana" w:cs="Arial"/>
          <w:sz w:val="20"/>
          <w:szCs w:val="20"/>
          <w:lang w:val="es-MX"/>
        </w:rPr>
        <w:t>asumir los gastos pertinentes</w:t>
      </w:r>
      <w:r w:rsidR="00593DB9">
        <w:rPr>
          <w:rFonts w:ascii="Verdana" w:hAnsi="Verdana" w:cs="Arial"/>
          <w:sz w:val="20"/>
          <w:szCs w:val="20"/>
          <w:lang w:val="es-MX"/>
        </w:rPr>
        <w:t xml:space="preserve">”. Indicaron que la víctima </w:t>
      </w:r>
      <w:r>
        <w:rPr>
          <w:rFonts w:ascii="Verdana" w:hAnsi="Verdana" w:cs="Arial"/>
          <w:sz w:val="20"/>
          <w:szCs w:val="20"/>
          <w:lang w:val="es-MX"/>
        </w:rPr>
        <w:t>“</w:t>
      </w:r>
      <w:r w:rsidRPr="006F5B50">
        <w:rPr>
          <w:rFonts w:ascii="Verdana" w:hAnsi="Verdana" w:cs="Arial"/>
          <w:sz w:val="20"/>
          <w:szCs w:val="20"/>
          <w:lang w:val="es-MX"/>
        </w:rPr>
        <w:t>continúa pagando de sus propios ingresos la atención psiquiátrica que requiere, sin que las autoridades le haya</w:t>
      </w:r>
      <w:r>
        <w:rPr>
          <w:rFonts w:ascii="Verdana" w:hAnsi="Verdana" w:cs="Arial"/>
          <w:sz w:val="20"/>
          <w:szCs w:val="20"/>
          <w:lang w:val="es-MX"/>
        </w:rPr>
        <w:t>n</w:t>
      </w:r>
      <w:r w:rsidRPr="006F5B50">
        <w:rPr>
          <w:rFonts w:ascii="Verdana" w:hAnsi="Verdana" w:cs="Arial"/>
          <w:sz w:val="20"/>
          <w:szCs w:val="20"/>
          <w:lang w:val="es-MX"/>
        </w:rPr>
        <w:t xml:space="preserve"> habilitado los mecanismos para que le sean reembolsados los gastos hasta ahora realizados por servicios privados”</w:t>
      </w:r>
      <w:r w:rsidR="00593DB9">
        <w:rPr>
          <w:rFonts w:ascii="Verdana" w:hAnsi="Verdana" w:cs="Arial"/>
          <w:sz w:val="20"/>
          <w:szCs w:val="20"/>
          <w:lang w:val="es-MX"/>
        </w:rPr>
        <w:t>. Consideran</w:t>
      </w:r>
      <w:r>
        <w:rPr>
          <w:rFonts w:ascii="Verdana" w:hAnsi="Verdana" w:cs="Arial"/>
          <w:sz w:val="20"/>
          <w:szCs w:val="20"/>
          <w:lang w:val="es-MX"/>
        </w:rPr>
        <w:t xml:space="preserve"> </w:t>
      </w:r>
      <w:r w:rsidR="00670846">
        <w:rPr>
          <w:rFonts w:ascii="Verdana" w:hAnsi="Verdana" w:cs="Arial"/>
          <w:sz w:val="20"/>
          <w:szCs w:val="20"/>
          <w:lang w:val="es-MX"/>
        </w:rPr>
        <w:t xml:space="preserve">que </w:t>
      </w:r>
      <w:r w:rsidR="00593DB9">
        <w:rPr>
          <w:rFonts w:ascii="Verdana" w:hAnsi="Verdana" w:cs="Arial"/>
          <w:sz w:val="20"/>
          <w:szCs w:val="20"/>
          <w:lang w:val="es-MX"/>
        </w:rPr>
        <w:t xml:space="preserve">debido a que </w:t>
      </w:r>
      <w:r>
        <w:rPr>
          <w:rFonts w:ascii="Verdana" w:hAnsi="Verdana" w:cs="Arial"/>
          <w:sz w:val="20"/>
          <w:szCs w:val="20"/>
          <w:lang w:val="es-MX"/>
        </w:rPr>
        <w:t>había iniciado “</w:t>
      </w:r>
      <w:r w:rsidRPr="006F5B50">
        <w:rPr>
          <w:rFonts w:ascii="Verdana" w:hAnsi="Verdana" w:cs="Arial"/>
          <w:sz w:val="20"/>
          <w:szCs w:val="20"/>
          <w:lang w:val="es-MX"/>
        </w:rPr>
        <w:t>un proceso con un profesionista específico […] resultaría contraproducente cambiar de acompañamiento con una persona inédita”</w:t>
      </w:r>
      <w:r w:rsidR="00593DB9">
        <w:rPr>
          <w:rFonts w:ascii="Verdana" w:hAnsi="Verdana" w:cs="Arial"/>
          <w:sz w:val="20"/>
          <w:szCs w:val="20"/>
          <w:lang w:val="es-MX"/>
        </w:rPr>
        <w:t>.</w:t>
      </w:r>
      <w:r>
        <w:rPr>
          <w:rFonts w:ascii="Verdana" w:hAnsi="Verdana" w:cs="Arial"/>
          <w:sz w:val="20"/>
          <w:szCs w:val="20"/>
          <w:lang w:val="es-MX"/>
        </w:rPr>
        <w:t xml:space="preserve"> </w:t>
      </w:r>
      <w:r w:rsidR="00593DB9">
        <w:rPr>
          <w:rFonts w:ascii="Verdana" w:hAnsi="Verdana" w:cs="Arial"/>
          <w:sz w:val="20"/>
          <w:szCs w:val="20"/>
          <w:lang w:val="es-MX"/>
        </w:rPr>
        <w:t xml:space="preserve">También indicaron que, </w:t>
      </w:r>
      <w:r>
        <w:rPr>
          <w:rFonts w:ascii="Verdana" w:hAnsi="Verdana" w:cs="Arial"/>
          <w:sz w:val="20"/>
          <w:szCs w:val="20"/>
          <w:lang w:val="es-MX"/>
        </w:rPr>
        <w:t>en cuanto al tratamiento de salud física de las víctimas, existe “</w:t>
      </w:r>
      <w:r w:rsidRPr="006F5B50">
        <w:rPr>
          <w:rFonts w:ascii="Verdana" w:hAnsi="Verdana" w:cs="Arial"/>
          <w:sz w:val="20"/>
          <w:szCs w:val="20"/>
          <w:lang w:val="es-MX"/>
        </w:rPr>
        <w:t>falta de coordinación institucional y distintas omisiones por parte de las autoridades involucradas”</w:t>
      </w:r>
      <w:r w:rsidR="00A20A3F">
        <w:rPr>
          <w:rFonts w:ascii="Verdana" w:hAnsi="Verdana" w:cs="Arial"/>
          <w:sz w:val="20"/>
          <w:szCs w:val="20"/>
          <w:lang w:val="es-MX"/>
        </w:rPr>
        <w:t>,</w:t>
      </w:r>
      <w:r w:rsidRPr="006F5B50">
        <w:rPr>
          <w:rFonts w:ascii="Verdana" w:hAnsi="Verdana" w:cs="Arial"/>
          <w:sz w:val="20"/>
          <w:szCs w:val="20"/>
          <w:lang w:val="es-MX"/>
        </w:rPr>
        <w:t xml:space="preserve"> que tienen efectos en detrimento de la salud de las mismas</w:t>
      </w:r>
      <w:r>
        <w:rPr>
          <w:rStyle w:val="FootnoteReference"/>
          <w:rFonts w:ascii="Verdana" w:hAnsi="Verdana" w:cs="Arial"/>
          <w:sz w:val="20"/>
          <w:szCs w:val="20"/>
          <w:lang w:val="es-MX"/>
        </w:rPr>
        <w:footnoteReference w:id="22"/>
      </w:r>
      <w:r>
        <w:rPr>
          <w:rFonts w:ascii="Verdana" w:hAnsi="Verdana" w:cs="Arial"/>
          <w:sz w:val="20"/>
          <w:szCs w:val="20"/>
          <w:lang w:val="es-MX"/>
        </w:rPr>
        <w:t>, y que no se les ha brindado “un tratamiento diferenciado en relación con el trámite y procedimiento que debieran realizar para ser atendidos en los hospitales públicos”</w:t>
      </w:r>
      <w:r w:rsidR="00A20A3F">
        <w:rPr>
          <w:rFonts w:ascii="Verdana" w:hAnsi="Verdana" w:cs="Arial"/>
          <w:sz w:val="20"/>
          <w:szCs w:val="20"/>
          <w:lang w:val="es-MX"/>
        </w:rPr>
        <w:t>. E</w:t>
      </w:r>
      <w:r>
        <w:rPr>
          <w:rFonts w:ascii="Verdana" w:hAnsi="Verdana" w:cs="Arial"/>
          <w:sz w:val="20"/>
          <w:szCs w:val="20"/>
          <w:lang w:val="es-MX"/>
        </w:rPr>
        <w:t>n lo que respecta al suministro de medicamentos, indicaron que “no sólo no les han suministrado los medicamentos de manera gratuita, sino que el Estado no ha procedido a reembolsarles los que han tenido que adquirir a partir de sus propios ingresos”</w:t>
      </w:r>
      <w:r w:rsidR="00A20A3F">
        <w:rPr>
          <w:rFonts w:ascii="Verdana" w:hAnsi="Verdana" w:cs="Arial"/>
          <w:sz w:val="20"/>
          <w:szCs w:val="20"/>
          <w:lang w:val="es-MX"/>
        </w:rPr>
        <w:t>,</w:t>
      </w:r>
      <w:r>
        <w:rPr>
          <w:rFonts w:ascii="Verdana" w:hAnsi="Verdana" w:cs="Arial"/>
          <w:sz w:val="20"/>
          <w:szCs w:val="20"/>
          <w:lang w:val="es-MX"/>
        </w:rPr>
        <w:t xml:space="preserve"> por lo que solicitaron requerir al Estado “el procedimiento que se encuentra realizando en la actualidad para garantizar el suministro de medicinas gratuitas conforme a la sentencia; o en su defecto, las opciones pertinentes, eficaces y expeditas para requerir el reembolso de los gastos incurridos”.</w:t>
      </w:r>
      <w:bookmarkEnd w:id="19"/>
    </w:p>
    <w:p w14:paraId="46AF2BA5" w14:textId="77777777" w:rsidR="006F5B50" w:rsidRDefault="006F5B50" w:rsidP="006F5B50">
      <w:pPr>
        <w:pStyle w:val="ListParagraph"/>
        <w:tabs>
          <w:tab w:val="left" w:pos="0"/>
        </w:tabs>
        <w:spacing w:line="240" w:lineRule="auto"/>
        <w:ind w:left="0"/>
        <w:jc w:val="both"/>
        <w:rPr>
          <w:rFonts w:ascii="Verdana" w:hAnsi="Verdana" w:cs="Arial"/>
          <w:sz w:val="20"/>
          <w:szCs w:val="20"/>
          <w:lang w:val="es-MX"/>
        </w:rPr>
      </w:pPr>
    </w:p>
    <w:p w14:paraId="6FE972E6" w14:textId="140C3930" w:rsidR="00A545AB" w:rsidRDefault="006F5B50" w:rsidP="006E62E4">
      <w:pPr>
        <w:pStyle w:val="ListParagraph"/>
        <w:numPr>
          <w:ilvl w:val="0"/>
          <w:numId w:val="3"/>
        </w:numPr>
        <w:tabs>
          <w:tab w:val="left" w:pos="0"/>
        </w:tabs>
        <w:spacing w:line="240" w:lineRule="auto"/>
        <w:ind w:left="0" w:firstLine="0"/>
        <w:jc w:val="both"/>
        <w:rPr>
          <w:rFonts w:ascii="Verdana" w:hAnsi="Verdana" w:cs="Arial"/>
          <w:sz w:val="20"/>
          <w:szCs w:val="20"/>
          <w:lang w:val="es-MX"/>
        </w:rPr>
      </w:pPr>
      <w:bookmarkStart w:id="20" w:name="_Ref498607267"/>
      <w:r>
        <w:rPr>
          <w:rFonts w:ascii="Verdana" w:hAnsi="Verdana" w:cs="Arial"/>
          <w:sz w:val="20"/>
          <w:szCs w:val="20"/>
          <w:lang w:val="es-MX"/>
        </w:rPr>
        <w:t xml:space="preserve">En primer lugar, la Corte valora positivamente el restablecimiento, en enero de 2017, </w:t>
      </w:r>
      <w:r w:rsidR="00FF2564">
        <w:rPr>
          <w:rFonts w:ascii="Verdana" w:hAnsi="Verdana" w:cs="Arial"/>
          <w:sz w:val="20"/>
          <w:szCs w:val="20"/>
          <w:lang w:val="es-MX"/>
        </w:rPr>
        <w:t>de la comunicación entre las partes dirigida a avanzar en garantizar el</w:t>
      </w:r>
      <w:r>
        <w:rPr>
          <w:rFonts w:ascii="Verdana" w:hAnsi="Verdana" w:cs="Arial"/>
          <w:sz w:val="20"/>
          <w:szCs w:val="20"/>
          <w:lang w:val="es-MX"/>
        </w:rPr>
        <w:t xml:space="preserve"> tratamiento ordenado en la Sentencia (</w:t>
      </w:r>
      <w:r>
        <w:rPr>
          <w:rFonts w:ascii="Verdana" w:hAnsi="Verdana" w:cs="Arial"/>
          <w:i/>
          <w:sz w:val="20"/>
          <w:szCs w:val="20"/>
          <w:lang w:val="es-MX"/>
        </w:rPr>
        <w:t>supra</w:t>
      </w:r>
      <w:r>
        <w:rPr>
          <w:rFonts w:ascii="Verdana" w:hAnsi="Verdana" w:cs="Arial"/>
          <w:sz w:val="20"/>
          <w:szCs w:val="20"/>
          <w:lang w:val="es-MX"/>
        </w:rPr>
        <w:t xml:space="preserve"> Considerando </w:t>
      </w:r>
      <w:r w:rsidR="00FA3E11">
        <w:rPr>
          <w:rFonts w:ascii="Verdana" w:hAnsi="Verdana" w:cs="Arial"/>
          <w:sz w:val="20"/>
          <w:szCs w:val="20"/>
          <w:lang w:val="es-MX"/>
        </w:rPr>
        <w:fldChar w:fldCharType="begin"/>
      </w:r>
      <w:r w:rsidR="00FA3E11">
        <w:rPr>
          <w:rFonts w:ascii="Verdana" w:hAnsi="Verdana" w:cs="Arial"/>
          <w:sz w:val="20"/>
          <w:szCs w:val="20"/>
          <w:lang w:val="es-MX"/>
        </w:rPr>
        <w:instrText xml:space="preserve"> REF _Ref498603577 \r \h </w:instrText>
      </w:r>
      <w:r w:rsidR="00FA3E11">
        <w:rPr>
          <w:rFonts w:ascii="Verdana" w:hAnsi="Verdana" w:cs="Arial"/>
          <w:sz w:val="20"/>
          <w:szCs w:val="20"/>
          <w:lang w:val="es-MX"/>
        </w:rPr>
      </w:r>
      <w:r w:rsidR="00FA3E11">
        <w:rPr>
          <w:rFonts w:ascii="Verdana" w:hAnsi="Verdana" w:cs="Arial"/>
          <w:sz w:val="20"/>
          <w:szCs w:val="20"/>
          <w:lang w:val="es-MX"/>
        </w:rPr>
        <w:fldChar w:fldCharType="separate"/>
      </w:r>
      <w:r w:rsidR="00360B00">
        <w:rPr>
          <w:rFonts w:ascii="Verdana" w:hAnsi="Verdana" w:cs="Arial"/>
          <w:sz w:val="20"/>
          <w:szCs w:val="20"/>
          <w:lang w:val="es-MX"/>
        </w:rPr>
        <w:t>17</w:t>
      </w:r>
      <w:r w:rsidR="00FA3E11">
        <w:rPr>
          <w:rFonts w:ascii="Verdana" w:hAnsi="Verdana" w:cs="Arial"/>
          <w:sz w:val="20"/>
          <w:szCs w:val="20"/>
          <w:lang w:val="es-MX"/>
        </w:rPr>
        <w:fldChar w:fldCharType="end"/>
      </w:r>
      <w:r>
        <w:rPr>
          <w:rFonts w:ascii="Verdana" w:hAnsi="Verdana" w:cs="Arial"/>
          <w:sz w:val="20"/>
          <w:szCs w:val="20"/>
          <w:lang w:val="es-MX"/>
        </w:rPr>
        <w:t xml:space="preserve">). </w:t>
      </w:r>
      <w:r w:rsidR="00A00A2F">
        <w:rPr>
          <w:rFonts w:ascii="Verdana" w:hAnsi="Verdana" w:cs="Arial"/>
          <w:sz w:val="20"/>
          <w:szCs w:val="20"/>
          <w:lang w:val="es-MX"/>
        </w:rPr>
        <w:t>Sin embargo, d</w:t>
      </w:r>
      <w:r w:rsidR="000B692A">
        <w:rPr>
          <w:rFonts w:ascii="Verdana" w:hAnsi="Verdana" w:cs="Arial"/>
          <w:sz w:val="20"/>
          <w:szCs w:val="20"/>
          <w:lang w:val="es-MX"/>
        </w:rPr>
        <w:t xml:space="preserve">e la información aportada es posible constatar que durante el </w:t>
      </w:r>
      <w:r>
        <w:rPr>
          <w:rFonts w:ascii="Verdana" w:hAnsi="Verdana" w:cs="Arial"/>
          <w:sz w:val="20"/>
          <w:szCs w:val="20"/>
          <w:lang w:val="es-MX"/>
        </w:rPr>
        <w:t xml:space="preserve">período 2012 a 2016 las víctimas no se beneficiaron de un tratamiento médico y psicológico en los términos ordenados por la </w:t>
      </w:r>
      <w:r>
        <w:rPr>
          <w:rFonts w:ascii="Verdana" w:hAnsi="Verdana" w:cs="Arial"/>
          <w:sz w:val="20"/>
          <w:szCs w:val="20"/>
          <w:lang w:val="es-MX"/>
        </w:rPr>
        <w:lastRenderedPageBreak/>
        <w:t>Sentencia</w:t>
      </w:r>
      <w:r w:rsidR="000B692A">
        <w:rPr>
          <w:rFonts w:ascii="Verdana" w:hAnsi="Verdana" w:cs="Arial"/>
          <w:sz w:val="20"/>
          <w:szCs w:val="20"/>
          <w:lang w:val="es-MX"/>
        </w:rPr>
        <w:t xml:space="preserve">. </w:t>
      </w:r>
      <w:r>
        <w:rPr>
          <w:rFonts w:ascii="Verdana" w:hAnsi="Verdana" w:cs="Arial"/>
          <w:sz w:val="20"/>
          <w:szCs w:val="20"/>
          <w:lang w:val="es-MX"/>
        </w:rPr>
        <w:t xml:space="preserve"> </w:t>
      </w:r>
      <w:r w:rsidR="00A00A2F">
        <w:rPr>
          <w:rFonts w:ascii="Verdana" w:hAnsi="Verdana" w:cs="Arial"/>
          <w:sz w:val="20"/>
          <w:szCs w:val="20"/>
          <w:lang w:val="es-MX"/>
        </w:rPr>
        <w:t xml:space="preserve">En este sentido, la Corte considera de particular gravedad que la víctima Graciela </w:t>
      </w:r>
      <w:r w:rsidR="00121014">
        <w:rPr>
          <w:rFonts w:ascii="Verdana" w:hAnsi="Verdana" w:cs="Arial"/>
          <w:sz w:val="20"/>
          <w:szCs w:val="20"/>
          <w:lang w:val="es-MX"/>
        </w:rPr>
        <w:t>D</w:t>
      </w:r>
      <w:r w:rsidR="00A00A2F">
        <w:rPr>
          <w:rFonts w:ascii="Verdana" w:hAnsi="Verdana" w:cs="Arial"/>
          <w:sz w:val="20"/>
          <w:szCs w:val="20"/>
          <w:lang w:val="es-MX"/>
        </w:rPr>
        <w:t>e León haya fallecido en el 2015</w:t>
      </w:r>
      <w:r w:rsidR="00FF2564">
        <w:rPr>
          <w:rFonts w:ascii="Verdana" w:hAnsi="Verdana" w:cs="Arial"/>
          <w:sz w:val="20"/>
          <w:szCs w:val="20"/>
          <w:lang w:val="es-MX"/>
        </w:rPr>
        <w:t xml:space="preserve"> (</w:t>
      </w:r>
      <w:r w:rsidR="00FF2564">
        <w:rPr>
          <w:rFonts w:ascii="Verdana" w:hAnsi="Verdana" w:cs="Arial"/>
          <w:i/>
          <w:sz w:val="20"/>
          <w:szCs w:val="20"/>
          <w:lang w:val="es-MX"/>
        </w:rPr>
        <w:t>supra</w:t>
      </w:r>
      <w:r w:rsidR="00FF2564">
        <w:rPr>
          <w:rFonts w:ascii="Verdana" w:hAnsi="Verdana" w:cs="Arial"/>
          <w:sz w:val="20"/>
          <w:szCs w:val="20"/>
          <w:lang w:val="es-MX"/>
        </w:rPr>
        <w:t xml:space="preserve"> Considerando 16)</w:t>
      </w:r>
      <w:r w:rsidR="00A00A2F">
        <w:rPr>
          <w:rFonts w:ascii="Verdana" w:hAnsi="Verdana" w:cs="Arial"/>
          <w:sz w:val="20"/>
          <w:szCs w:val="20"/>
          <w:lang w:val="es-MX"/>
        </w:rPr>
        <w:t xml:space="preserve"> sin que el Estado hubiere adoptado medidas tendientes a garantizarle </w:t>
      </w:r>
      <w:r w:rsidR="00A6355B">
        <w:rPr>
          <w:rFonts w:ascii="Verdana" w:hAnsi="Verdana" w:cs="Arial"/>
          <w:sz w:val="20"/>
          <w:szCs w:val="20"/>
          <w:lang w:val="es-MX"/>
        </w:rPr>
        <w:t>dicho</w:t>
      </w:r>
      <w:r w:rsidR="00A00A2F">
        <w:rPr>
          <w:rFonts w:ascii="Verdana" w:hAnsi="Verdana" w:cs="Arial"/>
          <w:sz w:val="20"/>
          <w:szCs w:val="20"/>
          <w:lang w:val="es-MX"/>
        </w:rPr>
        <w:t xml:space="preserve"> tratamiento en las condiciones ordenadas en la Sentencia</w:t>
      </w:r>
      <w:r w:rsidR="00DC58D0">
        <w:rPr>
          <w:rFonts w:ascii="Verdana" w:hAnsi="Verdana" w:cs="Arial"/>
          <w:sz w:val="20"/>
          <w:szCs w:val="20"/>
          <w:lang w:val="es-MX"/>
        </w:rPr>
        <w:t xml:space="preserve"> ni que se hubiese realizado el diagnóstico inicial requerido por la Sentencia</w:t>
      </w:r>
      <w:r w:rsidR="00A00A2F">
        <w:rPr>
          <w:rFonts w:ascii="Verdana" w:hAnsi="Verdana" w:cs="Arial"/>
          <w:sz w:val="20"/>
          <w:szCs w:val="20"/>
          <w:lang w:val="es-MX"/>
        </w:rPr>
        <w:t>, configurándose un incumplimiento de esta reparación por parte de Panamá.</w:t>
      </w:r>
      <w:bookmarkEnd w:id="20"/>
      <w:r w:rsidR="00A00A2F">
        <w:rPr>
          <w:rFonts w:ascii="Verdana" w:hAnsi="Verdana" w:cs="Arial"/>
          <w:sz w:val="20"/>
          <w:szCs w:val="20"/>
          <w:lang w:val="es-MX"/>
        </w:rPr>
        <w:t xml:space="preserve"> </w:t>
      </w:r>
      <w:r w:rsidR="0074372D">
        <w:rPr>
          <w:rFonts w:ascii="Verdana" w:hAnsi="Verdana" w:cs="Arial"/>
          <w:sz w:val="20"/>
          <w:szCs w:val="20"/>
          <w:lang w:val="es-MX"/>
        </w:rPr>
        <w:t xml:space="preserve"> </w:t>
      </w:r>
    </w:p>
    <w:p w14:paraId="11490955" w14:textId="77777777" w:rsidR="00A00A2F" w:rsidRPr="00A00A2F" w:rsidRDefault="00A00A2F" w:rsidP="00A00A2F">
      <w:pPr>
        <w:pStyle w:val="ListParagraph"/>
        <w:tabs>
          <w:tab w:val="left" w:pos="0"/>
        </w:tabs>
        <w:spacing w:line="240" w:lineRule="auto"/>
        <w:ind w:left="0"/>
        <w:jc w:val="both"/>
        <w:rPr>
          <w:rFonts w:ascii="Verdana" w:hAnsi="Verdana" w:cs="Arial"/>
          <w:sz w:val="20"/>
          <w:szCs w:val="20"/>
          <w:lang w:val="es-MX"/>
        </w:rPr>
      </w:pPr>
    </w:p>
    <w:p w14:paraId="492A33C1" w14:textId="18E72C49" w:rsidR="006F5B50" w:rsidRDefault="00A00A2F" w:rsidP="006F5B50">
      <w:pPr>
        <w:pStyle w:val="ListParagraph"/>
        <w:numPr>
          <w:ilvl w:val="0"/>
          <w:numId w:val="3"/>
        </w:numPr>
        <w:tabs>
          <w:tab w:val="left" w:pos="0"/>
        </w:tabs>
        <w:spacing w:line="240" w:lineRule="auto"/>
        <w:ind w:left="0" w:firstLine="0"/>
        <w:jc w:val="both"/>
        <w:rPr>
          <w:rFonts w:ascii="Verdana" w:hAnsi="Verdana" w:cs="Arial"/>
          <w:sz w:val="20"/>
          <w:szCs w:val="20"/>
          <w:lang w:val="es-MX"/>
        </w:rPr>
      </w:pPr>
      <w:r>
        <w:rPr>
          <w:rFonts w:ascii="Verdana" w:hAnsi="Verdana" w:cs="Arial"/>
          <w:sz w:val="20"/>
          <w:szCs w:val="20"/>
          <w:lang w:val="es-MX"/>
        </w:rPr>
        <w:t>Por otra parte, a</w:t>
      </w:r>
      <w:r w:rsidR="007D5C28">
        <w:rPr>
          <w:rFonts w:ascii="Verdana" w:hAnsi="Verdana" w:cs="Arial"/>
          <w:sz w:val="20"/>
          <w:szCs w:val="20"/>
          <w:lang w:val="es-MX"/>
        </w:rPr>
        <w:t xml:space="preserve"> pesar de haber transcurrido nueve años desde la emisión de la Sentencia, Panamá no ha garantizado </w:t>
      </w:r>
      <w:r w:rsidR="006F5B50">
        <w:rPr>
          <w:rFonts w:ascii="Verdana" w:hAnsi="Verdana" w:cs="Arial"/>
          <w:sz w:val="20"/>
          <w:szCs w:val="20"/>
          <w:lang w:val="es-MX"/>
        </w:rPr>
        <w:t>el acceso a un tratamiento médico que at</w:t>
      </w:r>
      <w:r w:rsidR="007D5C28">
        <w:rPr>
          <w:rFonts w:ascii="Verdana" w:hAnsi="Verdana" w:cs="Arial"/>
          <w:sz w:val="20"/>
          <w:szCs w:val="20"/>
          <w:lang w:val="es-MX"/>
        </w:rPr>
        <w:t>i</w:t>
      </w:r>
      <w:r w:rsidR="006F5B50">
        <w:rPr>
          <w:rFonts w:ascii="Verdana" w:hAnsi="Verdana" w:cs="Arial"/>
          <w:sz w:val="20"/>
          <w:szCs w:val="20"/>
          <w:lang w:val="es-MX"/>
        </w:rPr>
        <w:t>end</w:t>
      </w:r>
      <w:r w:rsidR="007D5C28">
        <w:rPr>
          <w:rFonts w:ascii="Verdana" w:hAnsi="Verdana" w:cs="Arial"/>
          <w:sz w:val="20"/>
          <w:szCs w:val="20"/>
          <w:lang w:val="es-MX"/>
        </w:rPr>
        <w:t>a</w:t>
      </w:r>
      <w:r w:rsidR="006F5B50">
        <w:rPr>
          <w:rFonts w:ascii="Verdana" w:hAnsi="Verdana" w:cs="Arial"/>
          <w:sz w:val="20"/>
          <w:szCs w:val="20"/>
          <w:lang w:val="es-MX"/>
        </w:rPr>
        <w:t xml:space="preserve"> al mandato de la Corte de que sea “diferenciado en relación con el trámite y procedimiento que debieran realizar para ser atendidos en los hospitales públicos”</w:t>
      </w:r>
      <w:r w:rsidR="00FF2564">
        <w:rPr>
          <w:rFonts w:ascii="Verdana" w:hAnsi="Verdana" w:cs="Arial"/>
          <w:sz w:val="20"/>
          <w:szCs w:val="20"/>
          <w:lang w:val="es-MX"/>
        </w:rPr>
        <w:t xml:space="preserve"> y que incluya el suministro de medicamentos (</w:t>
      </w:r>
      <w:r w:rsidR="00FF2564">
        <w:rPr>
          <w:rFonts w:ascii="Verdana" w:hAnsi="Verdana" w:cs="Arial"/>
          <w:i/>
          <w:sz w:val="20"/>
          <w:szCs w:val="20"/>
          <w:lang w:val="es-MX"/>
        </w:rPr>
        <w:t>supra</w:t>
      </w:r>
      <w:r w:rsidR="00FF2564">
        <w:rPr>
          <w:rFonts w:ascii="Verdana" w:hAnsi="Verdana" w:cs="Arial"/>
          <w:sz w:val="20"/>
          <w:szCs w:val="20"/>
          <w:lang w:val="es-MX"/>
        </w:rPr>
        <w:t xml:space="preserve"> Considerando 11)</w:t>
      </w:r>
      <w:r w:rsidR="006F5B50">
        <w:rPr>
          <w:rFonts w:ascii="Verdana" w:hAnsi="Verdana" w:cs="Arial"/>
          <w:sz w:val="20"/>
          <w:szCs w:val="20"/>
          <w:lang w:val="es-MX"/>
        </w:rPr>
        <w:t>. La Corte reitera que “no puede confundirse la prestación de los servicios sociales que el Estado brinda a los individuos con las reparaciones a las que tienen derecho las víctimas de violaciones de derechos humanos, en razón del daño específico generado por la violación”</w:t>
      </w:r>
      <w:r w:rsidR="006F5B50">
        <w:rPr>
          <w:rStyle w:val="FootnoteReference"/>
          <w:rFonts w:ascii="Verdana" w:hAnsi="Verdana" w:cs="Arial"/>
          <w:sz w:val="20"/>
          <w:szCs w:val="20"/>
          <w:lang w:val="es-MX"/>
        </w:rPr>
        <w:footnoteReference w:id="23"/>
      </w:r>
      <w:r w:rsidR="006F5B50">
        <w:rPr>
          <w:rFonts w:ascii="Verdana" w:hAnsi="Verdana" w:cs="Arial"/>
          <w:sz w:val="20"/>
          <w:szCs w:val="20"/>
          <w:lang w:val="es-MX"/>
        </w:rPr>
        <w:t xml:space="preserve">. </w:t>
      </w:r>
    </w:p>
    <w:p w14:paraId="731052A5" w14:textId="77777777" w:rsidR="006F5B50" w:rsidRPr="006F5B50" w:rsidRDefault="006F5B50" w:rsidP="006F5B50">
      <w:pPr>
        <w:pStyle w:val="ListParagraph"/>
        <w:rPr>
          <w:rFonts w:ascii="Verdana" w:hAnsi="Verdana" w:cs="Arial"/>
          <w:sz w:val="20"/>
          <w:szCs w:val="20"/>
          <w:lang w:val="es-MX"/>
        </w:rPr>
      </w:pPr>
    </w:p>
    <w:p w14:paraId="1938B5FD" w14:textId="364442FC" w:rsidR="00051EE9" w:rsidRPr="00C759D7" w:rsidRDefault="00277397" w:rsidP="006F5B50">
      <w:pPr>
        <w:pStyle w:val="ListParagraph"/>
        <w:numPr>
          <w:ilvl w:val="0"/>
          <w:numId w:val="3"/>
        </w:numPr>
        <w:tabs>
          <w:tab w:val="left" w:pos="0"/>
        </w:tabs>
        <w:spacing w:line="240" w:lineRule="auto"/>
        <w:ind w:left="0" w:firstLine="0"/>
        <w:jc w:val="both"/>
        <w:rPr>
          <w:rFonts w:ascii="Verdana" w:hAnsi="Verdana" w:cs="Arial"/>
          <w:sz w:val="20"/>
          <w:szCs w:val="20"/>
          <w:lang w:val="es-MX"/>
        </w:rPr>
      </w:pPr>
      <w:bookmarkStart w:id="21" w:name="_Ref498615747"/>
      <w:r>
        <w:rPr>
          <w:rFonts w:ascii="Verdana" w:hAnsi="Verdana" w:cs="Arial"/>
          <w:sz w:val="20"/>
          <w:szCs w:val="20"/>
          <w:lang w:val="es-MX"/>
        </w:rPr>
        <w:t>D</w:t>
      </w:r>
      <w:r w:rsidR="006F5B50">
        <w:rPr>
          <w:rFonts w:ascii="Verdana" w:hAnsi="Verdana" w:cs="Arial"/>
          <w:sz w:val="20"/>
          <w:szCs w:val="20"/>
          <w:lang w:val="es-MX"/>
        </w:rPr>
        <w:t>adas las objeciones planteadas por los representantes y la Comisión (</w:t>
      </w:r>
      <w:r w:rsidR="006F5B50">
        <w:rPr>
          <w:rFonts w:ascii="Verdana" w:hAnsi="Verdana" w:cs="Arial"/>
          <w:i/>
          <w:sz w:val="20"/>
          <w:szCs w:val="20"/>
          <w:lang w:val="es-MX"/>
        </w:rPr>
        <w:t>supra</w:t>
      </w:r>
      <w:r w:rsidR="006F5B50">
        <w:rPr>
          <w:rFonts w:ascii="Verdana" w:hAnsi="Verdana" w:cs="Arial"/>
          <w:sz w:val="20"/>
          <w:szCs w:val="20"/>
          <w:lang w:val="es-MX"/>
        </w:rPr>
        <w:t xml:space="preserve"> Considerando</w:t>
      </w:r>
      <w:r w:rsidR="00051EE9">
        <w:rPr>
          <w:rFonts w:ascii="Verdana" w:hAnsi="Verdana" w:cs="Arial"/>
          <w:sz w:val="20"/>
          <w:szCs w:val="20"/>
          <w:lang w:val="es-MX"/>
        </w:rPr>
        <w:t xml:space="preserve">s </w:t>
      </w:r>
      <w:r w:rsidR="00051EE9">
        <w:rPr>
          <w:rFonts w:ascii="Verdana" w:hAnsi="Verdana" w:cs="Arial"/>
          <w:sz w:val="20"/>
          <w:szCs w:val="20"/>
          <w:lang w:val="es-MX"/>
        </w:rPr>
        <w:fldChar w:fldCharType="begin"/>
      </w:r>
      <w:r w:rsidR="00051EE9">
        <w:rPr>
          <w:rFonts w:ascii="Verdana" w:hAnsi="Verdana" w:cs="Arial"/>
          <w:sz w:val="20"/>
          <w:szCs w:val="20"/>
          <w:lang w:val="es-MX"/>
        </w:rPr>
        <w:instrText xml:space="preserve"> REF _Ref498603595 \r \h </w:instrText>
      </w:r>
      <w:r w:rsidR="00051EE9">
        <w:rPr>
          <w:rFonts w:ascii="Verdana" w:hAnsi="Verdana" w:cs="Arial"/>
          <w:sz w:val="20"/>
          <w:szCs w:val="20"/>
          <w:lang w:val="es-MX"/>
        </w:rPr>
      </w:r>
      <w:r w:rsidR="00051EE9">
        <w:rPr>
          <w:rFonts w:ascii="Verdana" w:hAnsi="Verdana" w:cs="Arial"/>
          <w:sz w:val="20"/>
          <w:szCs w:val="20"/>
          <w:lang w:val="es-MX"/>
        </w:rPr>
        <w:fldChar w:fldCharType="separate"/>
      </w:r>
      <w:r w:rsidR="00360B00">
        <w:rPr>
          <w:rFonts w:ascii="Verdana" w:hAnsi="Verdana" w:cs="Arial"/>
          <w:sz w:val="20"/>
          <w:szCs w:val="20"/>
          <w:lang w:val="es-MX"/>
        </w:rPr>
        <w:t>15</w:t>
      </w:r>
      <w:r w:rsidR="00051EE9">
        <w:rPr>
          <w:rFonts w:ascii="Verdana" w:hAnsi="Verdana" w:cs="Arial"/>
          <w:sz w:val="20"/>
          <w:szCs w:val="20"/>
          <w:lang w:val="es-MX"/>
        </w:rPr>
        <w:fldChar w:fldCharType="end"/>
      </w:r>
      <w:r w:rsidR="00051EE9">
        <w:rPr>
          <w:rFonts w:ascii="Verdana" w:hAnsi="Verdana" w:cs="Arial"/>
          <w:sz w:val="20"/>
          <w:szCs w:val="20"/>
          <w:lang w:val="es-MX"/>
        </w:rPr>
        <w:t xml:space="preserve"> y</w:t>
      </w:r>
      <w:r w:rsidR="006F5B50">
        <w:rPr>
          <w:rFonts w:ascii="Verdana" w:hAnsi="Verdana" w:cs="Arial"/>
          <w:sz w:val="20"/>
          <w:szCs w:val="20"/>
          <w:lang w:val="es-MX"/>
        </w:rPr>
        <w:t xml:space="preserve"> </w:t>
      </w:r>
      <w:r w:rsidR="00121014">
        <w:rPr>
          <w:rFonts w:ascii="Verdana" w:hAnsi="Verdana" w:cs="Arial"/>
          <w:sz w:val="20"/>
          <w:szCs w:val="20"/>
          <w:lang w:val="es-MX"/>
        </w:rPr>
        <w:fldChar w:fldCharType="begin"/>
      </w:r>
      <w:r w:rsidR="00121014">
        <w:rPr>
          <w:rFonts w:ascii="Verdana" w:hAnsi="Verdana" w:cs="Arial"/>
          <w:sz w:val="20"/>
          <w:szCs w:val="20"/>
          <w:lang w:val="es-MX"/>
        </w:rPr>
        <w:instrText xml:space="preserve"> REF _Ref498603606 \r \h </w:instrText>
      </w:r>
      <w:r w:rsidR="00121014">
        <w:rPr>
          <w:rFonts w:ascii="Verdana" w:hAnsi="Verdana" w:cs="Arial"/>
          <w:sz w:val="20"/>
          <w:szCs w:val="20"/>
          <w:lang w:val="es-MX"/>
        </w:rPr>
      </w:r>
      <w:r w:rsidR="00121014">
        <w:rPr>
          <w:rFonts w:ascii="Verdana" w:hAnsi="Verdana" w:cs="Arial"/>
          <w:sz w:val="20"/>
          <w:szCs w:val="20"/>
          <w:lang w:val="es-MX"/>
        </w:rPr>
        <w:fldChar w:fldCharType="separate"/>
      </w:r>
      <w:r w:rsidR="00360B00">
        <w:rPr>
          <w:rFonts w:ascii="Verdana" w:hAnsi="Verdana" w:cs="Arial"/>
          <w:sz w:val="20"/>
          <w:szCs w:val="20"/>
          <w:lang w:val="es-MX"/>
        </w:rPr>
        <w:t>18</w:t>
      </w:r>
      <w:r w:rsidR="00121014">
        <w:rPr>
          <w:rFonts w:ascii="Verdana" w:hAnsi="Verdana" w:cs="Arial"/>
          <w:sz w:val="20"/>
          <w:szCs w:val="20"/>
          <w:lang w:val="es-MX"/>
        </w:rPr>
        <w:fldChar w:fldCharType="end"/>
      </w:r>
      <w:r w:rsidR="006F5B50">
        <w:rPr>
          <w:rFonts w:ascii="Verdana" w:hAnsi="Verdana" w:cs="Arial"/>
          <w:sz w:val="20"/>
          <w:szCs w:val="20"/>
          <w:lang w:val="es-MX"/>
        </w:rPr>
        <w:t xml:space="preserve">) y que el Estado no ha </w:t>
      </w:r>
      <w:r w:rsidR="00B940B5">
        <w:rPr>
          <w:rFonts w:ascii="Verdana" w:hAnsi="Verdana" w:cs="Arial"/>
          <w:sz w:val="20"/>
          <w:szCs w:val="20"/>
          <w:lang w:val="es-MX"/>
        </w:rPr>
        <w:t>aportado</w:t>
      </w:r>
      <w:r w:rsidR="006F5B50">
        <w:rPr>
          <w:rFonts w:ascii="Verdana" w:hAnsi="Verdana" w:cs="Arial"/>
          <w:sz w:val="20"/>
          <w:szCs w:val="20"/>
          <w:lang w:val="es-MX"/>
        </w:rPr>
        <w:t xml:space="preserve"> información suficiente sobre las medidas que  ha adoptado para brindar el tratamiento médico y psicológico a favor de las víctimas en los términos indicados en la Sentencia, la Corte estima que la presente medida de reparación continúa pendiente de cumplimiento, y requiere información </w:t>
      </w:r>
      <w:r w:rsidR="007A4FCF">
        <w:rPr>
          <w:rFonts w:ascii="Verdana" w:hAnsi="Verdana" w:cs="Arial"/>
          <w:sz w:val="20"/>
          <w:szCs w:val="20"/>
          <w:lang w:val="es-MX"/>
        </w:rPr>
        <w:t xml:space="preserve">más clara y precisa </w:t>
      </w:r>
      <w:r w:rsidR="006F5B50">
        <w:rPr>
          <w:rFonts w:ascii="Verdana" w:hAnsi="Verdana" w:cs="Arial"/>
          <w:sz w:val="20"/>
          <w:szCs w:val="20"/>
          <w:lang w:val="es-MX"/>
        </w:rPr>
        <w:t xml:space="preserve">por parte del Estado respecto a cómo garantizará </w:t>
      </w:r>
      <w:r w:rsidR="00EE07C5">
        <w:rPr>
          <w:rFonts w:ascii="Verdana" w:hAnsi="Verdana" w:cs="Arial"/>
          <w:sz w:val="20"/>
          <w:szCs w:val="20"/>
          <w:lang w:val="es-MX"/>
        </w:rPr>
        <w:t>su cumplimiento</w:t>
      </w:r>
      <w:r w:rsidR="006F5B50">
        <w:rPr>
          <w:rFonts w:ascii="Verdana" w:hAnsi="Verdana" w:cs="Arial"/>
          <w:sz w:val="20"/>
          <w:szCs w:val="20"/>
          <w:lang w:val="es-MX"/>
        </w:rPr>
        <w:t xml:space="preserve">. En este sentido, es </w:t>
      </w:r>
      <w:r w:rsidR="00FF2564">
        <w:rPr>
          <w:rFonts w:ascii="Verdana" w:hAnsi="Verdana" w:cs="Arial"/>
          <w:sz w:val="20"/>
          <w:szCs w:val="20"/>
          <w:lang w:val="es-MX"/>
        </w:rPr>
        <w:t>necesario</w:t>
      </w:r>
      <w:r w:rsidR="006F5B50">
        <w:rPr>
          <w:rFonts w:ascii="Verdana" w:hAnsi="Verdana" w:cs="Arial"/>
          <w:sz w:val="20"/>
          <w:szCs w:val="20"/>
          <w:lang w:val="es-MX"/>
        </w:rPr>
        <w:t xml:space="preserve"> que el Estado se refiera a las objeciones </w:t>
      </w:r>
      <w:r w:rsidR="00460126">
        <w:rPr>
          <w:rFonts w:ascii="Verdana" w:hAnsi="Verdana" w:cs="Arial"/>
          <w:sz w:val="20"/>
          <w:szCs w:val="20"/>
          <w:lang w:val="es-MX"/>
        </w:rPr>
        <w:t xml:space="preserve">y solicitudes </w:t>
      </w:r>
      <w:r w:rsidR="006F5B50">
        <w:rPr>
          <w:rFonts w:ascii="Verdana" w:hAnsi="Verdana" w:cs="Arial"/>
          <w:sz w:val="20"/>
          <w:szCs w:val="20"/>
          <w:lang w:val="es-MX"/>
        </w:rPr>
        <w:t>planteadas por los representantes de las víctimas en su escrito de observaciones de mayo de 2017 (</w:t>
      </w:r>
      <w:r w:rsidR="006F5B50">
        <w:rPr>
          <w:rFonts w:ascii="Verdana" w:hAnsi="Verdana" w:cs="Arial"/>
          <w:i/>
          <w:sz w:val="20"/>
          <w:szCs w:val="20"/>
          <w:lang w:val="es-MX"/>
        </w:rPr>
        <w:t>supra</w:t>
      </w:r>
      <w:r w:rsidR="006F5B50">
        <w:rPr>
          <w:rFonts w:ascii="Verdana" w:hAnsi="Verdana" w:cs="Arial"/>
          <w:sz w:val="20"/>
          <w:szCs w:val="20"/>
          <w:lang w:val="es-MX"/>
        </w:rPr>
        <w:t xml:space="preserve"> Considerando </w:t>
      </w:r>
      <w:r w:rsidR="00121014">
        <w:rPr>
          <w:rFonts w:ascii="Verdana" w:hAnsi="Verdana" w:cs="Arial"/>
          <w:sz w:val="20"/>
          <w:szCs w:val="20"/>
          <w:lang w:val="es-MX"/>
        </w:rPr>
        <w:fldChar w:fldCharType="begin"/>
      </w:r>
      <w:r w:rsidR="00121014">
        <w:rPr>
          <w:rFonts w:ascii="Verdana" w:hAnsi="Verdana" w:cs="Arial"/>
          <w:sz w:val="20"/>
          <w:szCs w:val="20"/>
          <w:lang w:val="es-MX"/>
        </w:rPr>
        <w:instrText xml:space="preserve"> REF _Ref498603606 \r \h </w:instrText>
      </w:r>
      <w:r w:rsidR="00121014">
        <w:rPr>
          <w:rFonts w:ascii="Verdana" w:hAnsi="Verdana" w:cs="Arial"/>
          <w:sz w:val="20"/>
          <w:szCs w:val="20"/>
          <w:lang w:val="es-MX"/>
        </w:rPr>
      </w:r>
      <w:r w:rsidR="00121014">
        <w:rPr>
          <w:rFonts w:ascii="Verdana" w:hAnsi="Verdana" w:cs="Arial"/>
          <w:sz w:val="20"/>
          <w:szCs w:val="20"/>
          <w:lang w:val="es-MX"/>
        </w:rPr>
        <w:fldChar w:fldCharType="separate"/>
      </w:r>
      <w:r w:rsidR="00360B00">
        <w:rPr>
          <w:rFonts w:ascii="Verdana" w:hAnsi="Verdana" w:cs="Arial"/>
          <w:sz w:val="20"/>
          <w:szCs w:val="20"/>
          <w:lang w:val="es-MX"/>
        </w:rPr>
        <w:t>18</w:t>
      </w:r>
      <w:r w:rsidR="00121014">
        <w:rPr>
          <w:rFonts w:ascii="Verdana" w:hAnsi="Verdana" w:cs="Arial"/>
          <w:sz w:val="20"/>
          <w:szCs w:val="20"/>
          <w:lang w:val="es-MX"/>
        </w:rPr>
        <w:fldChar w:fldCharType="end"/>
      </w:r>
      <w:r w:rsidR="006F5B50">
        <w:rPr>
          <w:rFonts w:ascii="Verdana" w:hAnsi="Verdana" w:cs="Arial"/>
          <w:sz w:val="20"/>
          <w:szCs w:val="20"/>
          <w:lang w:val="es-MX"/>
        </w:rPr>
        <w:t>).</w:t>
      </w:r>
      <w:bookmarkEnd w:id="21"/>
    </w:p>
    <w:p w14:paraId="6C6611B9" w14:textId="77777777" w:rsidR="006F5B50" w:rsidRPr="006F5B50" w:rsidRDefault="006F5B50" w:rsidP="006F5B50">
      <w:pPr>
        <w:pStyle w:val="ListParagraph"/>
        <w:tabs>
          <w:tab w:val="left" w:pos="0"/>
          <w:tab w:val="left" w:pos="3148"/>
        </w:tabs>
        <w:spacing w:line="240" w:lineRule="auto"/>
        <w:ind w:left="0"/>
        <w:jc w:val="both"/>
        <w:rPr>
          <w:rFonts w:ascii="Verdana" w:hAnsi="Verdana" w:cs="Arial"/>
          <w:sz w:val="20"/>
          <w:szCs w:val="20"/>
          <w:lang w:val="es-MX"/>
        </w:rPr>
      </w:pPr>
      <w:r>
        <w:rPr>
          <w:rFonts w:ascii="Verdana" w:hAnsi="Verdana" w:cs="Arial"/>
          <w:sz w:val="20"/>
          <w:szCs w:val="20"/>
          <w:lang w:val="es-MX"/>
        </w:rPr>
        <w:tab/>
      </w:r>
    </w:p>
    <w:p w14:paraId="22C2E031" w14:textId="77777777" w:rsidR="00300529" w:rsidRDefault="00953186" w:rsidP="006F5B50">
      <w:pPr>
        <w:pStyle w:val="ListParagraph"/>
        <w:numPr>
          <w:ilvl w:val="0"/>
          <w:numId w:val="9"/>
        </w:numPr>
        <w:spacing w:before="120" w:after="120" w:line="240" w:lineRule="auto"/>
        <w:ind w:left="0" w:firstLine="0"/>
        <w:contextualSpacing w:val="0"/>
        <w:jc w:val="both"/>
        <w:outlineLvl w:val="0"/>
        <w:rPr>
          <w:rFonts w:ascii="Verdana" w:hAnsi="Verdana" w:cs="Arial"/>
          <w:b/>
          <w:i/>
          <w:sz w:val="20"/>
          <w:szCs w:val="20"/>
          <w:lang w:val="es-MX"/>
        </w:rPr>
      </w:pPr>
      <w:bookmarkStart w:id="22" w:name="_Toc493607396"/>
      <w:r>
        <w:rPr>
          <w:rFonts w:ascii="Verdana" w:hAnsi="Verdana" w:cs="Arial"/>
          <w:b/>
          <w:i/>
          <w:sz w:val="20"/>
          <w:szCs w:val="20"/>
          <w:lang w:val="es-MX"/>
        </w:rPr>
        <w:t>Adecuación de la t</w:t>
      </w:r>
      <w:r w:rsidR="0080027E" w:rsidRPr="00883AD6">
        <w:rPr>
          <w:rFonts w:ascii="Verdana" w:hAnsi="Verdana" w:cs="Arial"/>
          <w:b/>
          <w:i/>
          <w:sz w:val="20"/>
          <w:szCs w:val="20"/>
          <w:lang w:val="es-MX"/>
        </w:rPr>
        <w:t>ipifica</w:t>
      </w:r>
      <w:r w:rsidR="00CA1D68" w:rsidRPr="00883AD6">
        <w:rPr>
          <w:rFonts w:ascii="Verdana" w:hAnsi="Verdana" w:cs="Arial"/>
          <w:b/>
          <w:i/>
          <w:sz w:val="20"/>
          <w:szCs w:val="20"/>
          <w:lang w:val="es-MX"/>
        </w:rPr>
        <w:t>ción d</w:t>
      </w:r>
      <w:r w:rsidR="0080027E" w:rsidRPr="00883AD6">
        <w:rPr>
          <w:rFonts w:ascii="Verdana" w:hAnsi="Verdana" w:cs="Arial"/>
          <w:b/>
          <w:i/>
          <w:sz w:val="20"/>
          <w:szCs w:val="20"/>
          <w:lang w:val="es-MX"/>
        </w:rPr>
        <w:t>el delito</w:t>
      </w:r>
      <w:r w:rsidR="009B5BC3" w:rsidRPr="00883AD6">
        <w:rPr>
          <w:rFonts w:ascii="Verdana" w:hAnsi="Verdana" w:cs="Arial"/>
          <w:b/>
          <w:i/>
          <w:sz w:val="20"/>
          <w:szCs w:val="20"/>
          <w:lang w:val="es-MX"/>
        </w:rPr>
        <w:t xml:space="preserve"> de desaparición forzada</w:t>
      </w:r>
      <w:bookmarkEnd w:id="22"/>
    </w:p>
    <w:p w14:paraId="71E10D80" w14:textId="77777777" w:rsidR="00051EE9" w:rsidRPr="00051EE9" w:rsidRDefault="00051EE9" w:rsidP="00051EE9">
      <w:pPr>
        <w:spacing w:before="120" w:after="120" w:line="240" w:lineRule="auto"/>
        <w:jc w:val="both"/>
        <w:outlineLvl w:val="0"/>
        <w:rPr>
          <w:rFonts w:ascii="Verdana" w:hAnsi="Verdana" w:cs="Arial"/>
          <w:b/>
          <w:i/>
          <w:sz w:val="20"/>
          <w:szCs w:val="20"/>
          <w:lang w:val="es-MX"/>
        </w:rPr>
      </w:pPr>
    </w:p>
    <w:p w14:paraId="291F868D" w14:textId="43622DE3" w:rsidR="00287B1A" w:rsidRDefault="00734A1A" w:rsidP="00305922">
      <w:pPr>
        <w:pStyle w:val="ListParagraph"/>
        <w:spacing w:before="120" w:after="120" w:line="240" w:lineRule="auto"/>
        <w:ind w:left="0" w:firstLine="720"/>
        <w:contextualSpacing w:val="0"/>
        <w:jc w:val="both"/>
        <w:rPr>
          <w:rFonts w:ascii="Verdana" w:hAnsi="Verdana" w:cs="Arial"/>
          <w:i/>
          <w:sz w:val="20"/>
          <w:szCs w:val="20"/>
          <w:lang w:val="es-MX"/>
        </w:rPr>
      </w:pPr>
      <w:r>
        <w:rPr>
          <w:rFonts w:ascii="Verdana" w:hAnsi="Verdana" w:cs="Arial"/>
          <w:i/>
          <w:sz w:val="20"/>
          <w:szCs w:val="20"/>
          <w:lang w:val="es-MX"/>
        </w:rPr>
        <w:t>C</w:t>
      </w:r>
      <w:r w:rsidR="00393608" w:rsidRPr="00883AD6">
        <w:rPr>
          <w:rFonts w:ascii="Verdana" w:hAnsi="Verdana" w:cs="Arial"/>
          <w:i/>
          <w:sz w:val="20"/>
          <w:szCs w:val="20"/>
          <w:lang w:val="es-MX"/>
        </w:rPr>
        <w:t xml:space="preserve">.1 </w:t>
      </w:r>
      <w:r w:rsidR="00287B1A" w:rsidRPr="00883AD6">
        <w:rPr>
          <w:rFonts w:ascii="Verdana" w:hAnsi="Verdana" w:cs="Arial"/>
          <w:i/>
          <w:sz w:val="20"/>
          <w:szCs w:val="20"/>
          <w:lang w:val="es-MX"/>
        </w:rPr>
        <w:t>Medida ordenada por la Corte y supervisión realizada en resoluciones anteriores</w:t>
      </w:r>
    </w:p>
    <w:p w14:paraId="3979A564" w14:textId="3E19F991" w:rsidR="00883AD6" w:rsidRPr="000F3D87" w:rsidRDefault="00125D17" w:rsidP="00305922">
      <w:pPr>
        <w:pStyle w:val="ListParagraph"/>
        <w:numPr>
          <w:ilvl w:val="0"/>
          <w:numId w:val="3"/>
        </w:numPr>
        <w:tabs>
          <w:tab w:val="left" w:pos="0"/>
        </w:tabs>
        <w:spacing w:line="240" w:lineRule="auto"/>
        <w:ind w:left="0" w:firstLine="0"/>
        <w:jc w:val="both"/>
        <w:rPr>
          <w:rFonts w:ascii="Verdana" w:hAnsi="Verdana" w:cs="Arial"/>
          <w:b/>
          <w:sz w:val="20"/>
          <w:szCs w:val="20"/>
          <w:lang w:val="es-MX"/>
        </w:rPr>
      </w:pPr>
      <w:bookmarkStart w:id="23" w:name="_Ref498677690"/>
      <w:r w:rsidRPr="00883AD6">
        <w:rPr>
          <w:rFonts w:ascii="Verdana" w:hAnsi="Verdana" w:cs="Arial"/>
          <w:sz w:val="20"/>
          <w:szCs w:val="20"/>
          <w:lang w:val="es-MX"/>
        </w:rPr>
        <w:t>En el punto resolutivo décimo sexto y en los párrafos 181, 189, 192 a 207, 213 a 215, y 259 de la Sentencia, el Tribunal “</w:t>
      </w:r>
      <w:proofErr w:type="spellStart"/>
      <w:r w:rsidRPr="00883AD6">
        <w:rPr>
          <w:rFonts w:ascii="Verdana" w:hAnsi="Verdana" w:cs="Arial"/>
          <w:sz w:val="20"/>
          <w:szCs w:val="20"/>
          <w:lang w:val="es-MX"/>
        </w:rPr>
        <w:t>estim</w:t>
      </w:r>
      <w:proofErr w:type="spellEnd"/>
      <w:r w:rsidRPr="00883AD6">
        <w:rPr>
          <w:rFonts w:ascii="Verdana" w:hAnsi="Verdana" w:cs="Arial"/>
          <w:sz w:val="20"/>
          <w:szCs w:val="20"/>
          <w:lang w:val="es-MX"/>
        </w:rPr>
        <w:t>[</w:t>
      </w:r>
      <w:proofErr w:type="spellStart"/>
      <w:r w:rsidRPr="00883AD6">
        <w:rPr>
          <w:rFonts w:ascii="Verdana" w:hAnsi="Verdana" w:cs="Arial"/>
          <w:sz w:val="20"/>
          <w:szCs w:val="20"/>
          <w:lang w:val="es-MX"/>
        </w:rPr>
        <w:t>ó</w:t>
      </w:r>
      <w:proofErr w:type="spellEnd"/>
      <w:r w:rsidRPr="00883AD6">
        <w:rPr>
          <w:rFonts w:ascii="Verdana" w:hAnsi="Verdana" w:cs="Arial"/>
          <w:sz w:val="20"/>
          <w:szCs w:val="20"/>
          <w:lang w:val="es-MX"/>
        </w:rPr>
        <w:t xml:space="preserve">] pertinente ordenar al Estado que adecue en un plazo razonable su derecho interno y, al respecto, tipifique </w:t>
      </w:r>
      <w:r w:rsidR="0011373E">
        <w:rPr>
          <w:rFonts w:ascii="Verdana" w:hAnsi="Verdana" w:cs="Arial"/>
          <w:sz w:val="20"/>
          <w:szCs w:val="20"/>
          <w:lang w:val="es-MX"/>
        </w:rPr>
        <w:t xml:space="preserve">el </w:t>
      </w:r>
      <w:r w:rsidRPr="00883AD6">
        <w:rPr>
          <w:rFonts w:ascii="Verdana" w:hAnsi="Verdana" w:cs="Arial"/>
          <w:sz w:val="20"/>
          <w:szCs w:val="20"/>
          <w:lang w:val="es-MX"/>
        </w:rPr>
        <w:t>delito de desaparición forzada</w:t>
      </w:r>
      <w:r w:rsidR="00121014">
        <w:rPr>
          <w:rFonts w:ascii="Verdana" w:hAnsi="Verdana" w:cs="Arial"/>
          <w:sz w:val="20"/>
          <w:szCs w:val="20"/>
          <w:lang w:val="es-MX"/>
        </w:rPr>
        <w:t xml:space="preserve"> […]</w:t>
      </w:r>
      <w:r w:rsidR="00FF2564">
        <w:rPr>
          <w:rFonts w:ascii="Verdana" w:hAnsi="Verdana" w:cs="Arial"/>
          <w:sz w:val="20"/>
          <w:szCs w:val="20"/>
          <w:lang w:val="es-MX"/>
        </w:rPr>
        <w:t xml:space="preserve"> </w:t>
      </w:r>
      <w:r w:rsidRPr="00883AD6">
        <w:rPr>
          <w:rFonts w:ascii="Verdana" w:hAnsi="Verdana" w:cs="Arial"/>
          <w:sz w:val="20"/>
          <w:szCs w:val="20"/>
          <w:lang w:val="es-MX"/>
        </w:rPr>
        <w:t>en los términos y en cumplimiento de los compromisos asumidos en relación a la Convención sobre Desaparición Forzada”.</w:t>
      </w:r>
      <w:bookmarkEnd w:id="23"/>
      <w:r w:rsidRPr="00883AD6">
        <w:rPr>
          <w:rFonts w:ascii="Verdana" w:hAnsi="Verdana" w:cs="Arial"/>
          <w:sz w:val="20"/>
          <w:szCs w:val="20"/>
          <w:lang w:val="es-MX"/>
        </w:rPr>
        <w:t xml:space="preserve"> </w:t>
      </w:r>
    </w:p>
    <w:p w14:paraId="0ACAC2D3" w14:textId="77777777" w:rsidR="000F3D87" w:rsidRPr="000F3D87" w:rsidRDefault="000F3D87" w:rsidP="000F3D87">
      <w:pPr>
        <w:pStyle w:val="ListParagraph"/>
        <w:tabs>
          <w:tab w:val="left" w:pos="0"/>
        </w:tabs>
        <w:spacing w:line="240" w:lineRule="auto"/>
        <w:ind w:left="0"/>
        <w:jc w:val="both"/>
        <w:rPr>
          <w:rFonts w:ascii="Verdana" w:hAnsi="Verdana" w:cs="Arial"/>
          <w:b/>
          <w:sz w:val="20"/>
          <w:szCs w:val="20"/>
          <w:lang w:val="es-MX"/>
        </w:rPr>
      </w:pPr>
    </w:p>
    <w:p w14:paraId="1FA0D5CC" w14:textId="3B28B2E2" w:rsidR="000F3D87" w:rsidRPr="00883AD6" w:rsidRDefault="000F3D87" w:rsidP="00305922">
      <w:pPr>
        <w:pStyle w:val="ListParagraph"/>
        <w:numPr>
          <w:ilvl w:val="0"/>
          <w:numId w:val="3"/>
        </w:numPr>
        <w:tabs>
          <w:tab w:val="left" w:pos="0"/>
        </w:tabs>
        <w:spacing w:line="240" w:lineRule="auto"/>
        <w:ind w:left="0" w:firstLine="0"/>
        <w:jc w:val="both"/>
        <w:rPr>
          <w:rFonts w:ascii="Verdana" w:hAnsi="Verdana" w:cs="Arial"/>
          <w:b/>
          <w:sz w:val="20"/>
          <w:szCs w:val="20"/>
          <w:lang w:val="es-MX"/>
        </w:rPr>
      </w:pPr>
      <w:r>
        <w:rPr>
          <w:rFonts w:ascii="Verdana" w:hAnsi="Verdana" w:cs="Arial"/>
          <w:sz w:val="20"/>
          <w:szCs w:val="20"/>
          <w:lang w:val="es-MX"/>
        </w:rPr>
        <w:t xml:space="preserve">Al respecto, en </w:t>
      </w:r>
      <w:r w:rsidR="00953186">
        <w:rPr>
          <w:rFonts w:ascii="Verdana" w:hAnsi="Verdana" w:cs="Arial"/>
          <w:sz w:val="20"/>
          <w:szCs w:val="20"/>
          <w:lang w:val="es-MX"/>
        </w:rPr>
        <w:t>los</w:t>
      </w:r>
      <w:r>
        <w:rPr>
          <w:rFonts w:ascii="Verdana" w:hAnsi="Verdana" w:cs="Arial"/>
          <w:sz w:val="20"/>
          <w:szCs w:val="20"/>
          <w:lang w:val="es-MX"/>
        </w:rPr>
        <w:t xml:space="preserve"> párrafo</w:t>
      </w:r>
      <w:r w:rsidR="00953186">
        <w:rPr>
          <w:rFonts w:ascii="Verdana" w:hAnsi="Verdana" w:cs="Arial"/>
          <w:sz w:val="20"/>
          <w:szCs w:val="20"/>
          <w:lang w:val="es-MX"/>
        </w:rPr>
        <w:t>s</w:t>
      </w:r>
      <w:r>
        <w:rPr>
          <w:rFonts w:ascii="Verdana" w:hAnsi="Verdana" w:cs="Arial"/>
          <w:sz w:val="20"/>
          <w:szCs w:val="20"/>
          <w:lang w:val="es-MX"/>
        </w:rPr>
        <w:t xml:space="preserve"> </w:t>
      </w:r>
      <w:r w:rsidR="00953186">
        <w:rPr>
          <w:rFonts w:ascii="Verdana" w:hAnsi="Verdana" w:cs="Arial"/>
          <w:sz w:val="20"/>
          <w:szCs w:val="20"/>
          <w:lang w:val="es-MX"/>
        </w:rPr>
        <w:t>208 y 209</w:t>
      </w:r>
      <w:r>
        <w:rPr>
          <w:rFonts w:ascii="Verdana" w:hAnsi="Verdana" w:cs="Arial"/>
          <w:sz w:val="20"/>
          <w:szCs w:val="20"/>
          <w:lang w:val="es-MX"/>
        </w:rPr>
        <w:t xml:space="preserve"> de la Sentencia, la Corte determinó</w:t>
      </w:r>
      <w:r w:rsidR="00E137DA">
        <w:rPr>
          <w:rFonts w:ascii="Verdana" w:hAnsi="Verdana" w:cs="Arial"/>
          <w:sz w:val="20"/>
          <w:szCs w:val="20"/>
          <w:lang w:val="es-MX"/>
        </w:rPr>
        <w:t xml:space="preserve">, en lo que respecta a la tipificación del delito de desaparición forzada que entró en vigencia en </w:t>
      </w:r>
      <w:r w:rsidR="00773885">
        <w:rPr>
          <w:rFonts w:ascii="Verdana" w:hAnsi="Verdana" w:cs="Arial"/>
          <w:sz w:val="20"/>
          <w:szCs w:val="20"/>
          <w:lang w:val="es-MX"/>
        </w:rPr>
        <w:t xml:space="preserve">el </w:t>
      </w:r>
      <w:r w:rsidR="00E137DA">
        <w:rPr>
          <w:rFonts w:ascii="Verdana" w:hAnsi="Verdana" w:cs="Arial"/>
          <w:sz w:val="20"/>
          <w:szCs w:val="20"/>
          <w:lang w:val="es-MX"/>
        </w:rPr>
        <w:t>2007</w:t>
      </w:r>
      <w:r w:rsidR="00E137DA">
        <w:rPr>
          <w:rStyle w:val="FootnoteReference"/>
          <w:rFonts w:ascii="Verdana" w:hAnsi="Verdana" w:cs="Arial"/>
          <w:sz w:val="20"/>
          <w:szCs w:val="20"/>
          <w:lang w:val="es-MX"/>
        </w:rPr>
        <w:footnoteReference w:id="24"/>
      </w:r>
      <w:r w:rsidR="00E137DA">
        <w:rPr>
          <w:rFonts w:ascii="Verdana" w:hAnsi="Verdana" w:cs="Arial"/>
          <w:sz w:val="20"/>
          <w:szCs w:val="20"/>
          <w:lang w:val="es-MX"/>
        </w:rPr>
        <w:t>,</w:t>
      </w:r>
      <w:r>
        <w:rPr>
          <w:rFonts w:ascii="Verdana" w:hAnsi="Verdana" w:cs="Arial"/>
          <w:sz w:val="20"/>
          <w:szCs w:val="20"/>
          <w:lang w:val="es-MX"/>
        </w:rPr>
        <w:t xml:space="preserve"> que “</w:t>
      </w:r>
      <w:r w:rsidR="00953186" w:rsidRPr="00953186">
        <w:rPr>
          <w:rFonts w:ascii="Verdana" w:hAnsi="Verdana"/>
          <w:snapToGrid w:val="0"/>
          <w:sz w:val="20"/>
          <w:lang w:val="es-CR"/>
        </w:rPr>
        <w:t>la sustracción de elementos que se consideran irreductibles en la fórmula persecutoria establecida a nivel internacional, así como la introducción de modalidades que le resten sentido o eficacia, pueden llevar a la impunidad de conductas que los Estados están obligados a prevenir, erradicar y sancionar, de acuerdo con el Derecho Internacional</w:t>
      </w:r>
      <w:r w:rsidR="00953186">
        <w:rPr>
          <w:rFonts w:ascii="Verdana" w:hAnsi="Verdana"/>
          <w:snapToGrid w:val="0"/>
          <w:sz w:val="20"/>
          <w:lang w:val="es-CR"/>
        </w:rPr>
        <w:t>”</w:t>
      </w:r>
      <w:r w:rsidR="00690E3E">
        <w:rPr>
          <w:rFonts w:ascii="Verdana" w:hAnsi="Verdana"/>
          <w:snapToGrid w:val="0"/>
          <w:sz w:val="20"/>
          <w:lang w:val="es-CR"/>
        </w:rPr>
        <w:t xml:space="preserve">. En la Sentencia </w:t>
      </w:r>
      <w:r w:rsidR="00953186">
        <w:rPr>
          <w:rFonts w:ascii="Verdana" w:hAnsi="Verdana"/>
          <w:snapToGrid w:val="0"/>
          <w:sz w:val="20"/>
          <w:lang w:val="es-CR"/>
        </w:rPr>
        <w:t>determinó que “</w:t>
      </w:r>
      <w:r w:rsidR="00953186" w:rsidRPr="00953186">
        <w:rPr>
          <w:rFonts w:ascii="Verdana" w:hAnsi="Verdana"/>
          <w:snapToGrid w:val="0"/>
          <w:sz w:val="20"/>
          <w:lang w:val="es-CR"/>
        </w:rPr>
        <w:t xml:space="preserve">el Estado ha incumplido con su </w:t>
      </w:r>
      <w:r w:rsidR="00953186" w:rsidRPr="00953186">
        <w:rPr>
          <w:rFonts w:ascii="Verdana" w:hAnsi="Verdana"/>
          <w:bCs/>
          <w:snapToGrid w:val="0"/>
          <w:sz w:val="20"/>
          <w:lang w:val="es-CR"/>
        </w:rPr>
        <w:t>obligación</w:t>
      </w:r>
      <w:r w:rsidR="00953186" w:rsidRPr="00953186">
        <w:rPr>
          <w:rFonts w:ascii="Verdana" w:hAnsi="Verdana"/>
          <w:snapToGrid w:val="0"/>
          <w:sz w:val="20"/>
          <w:lang w:val="es-CR"/>
        </w:rPr>
        <w:t xml:space="preserve"> de tipificar el delito de desaparición forzada de conformidad con lo estipulado en los artículos II y III de la Convención Interamericana sobre Desaparición Forzada de Personas</w:t>
      </w:r>
      <w:r w:rsidR="00953186">
        <w:rPr>
          <w:rFonts w:ascii="Verdana" w:hAnsi="Verdana"/>
          <w:snapToGrid w:val="0"/>
          <w:sz w:val="20"/>
          <w:lang w:val="es-CR"/>
        </w:rPr>
        <w:t>”.</w:t>
      </w:r>
      <w:r w:rsidR="00E137DA">
        <w:rPr>
          <w:rFonts w:ascii="Verdana" w:hAnsi="Verdana"/>
          <w:snapToGrid w:val="0"/>
          <w:sz w:val="20"/>
          <w:lang w:val="es-CR"/>
        </w:rPr>
        <w:t xml:space="preserve"> En particular, en dicha Sentencia de 2008, la Corte identificó que</w:t>
      </w:r>
      <w:r w:rsidR="002336BD">
        <w:rPr>
          <w:rFonts w:ascii="Verdana" w:hAnsi="Verdana"/>
          <w:snapToGrid w:val="0"/>
          <w:sz w:val="20"/>
          <w:lang w:val="es-CR"/>
        </w:rPr>
        <w:t>:</w:t>
      </w:r>
      <w:r w:rsidR="00E137DA">
        <w:rPr>
          <w:rFonts w:ascii="Verdana" w:hAnsi="Verdana"/>
          <w:snapToGrid w:val="0"/>
          <w:sz w:val="20"/>
          <w:lang w:val="es-CR"/>
        </w:rPr>
        <w:t xml:space="preserve"> (i) existía una ambigüedad dentro del tipo </w:t>
      </w:r>
      <w:r w:rsidR="00E137DA">
        <w:rPr>
          <w:rFonts w:ascii="Verdana" w:hAnsi="Verdana"/>
          <w:snapToGrid w:val="0"/>
          <w:sz w:val="20"/>
          <w:lang w:val="es-CR"/>
        </w:rPr>
        <w:lastRenderedPageBreak/>
        <w:t>penal que “</w:t>
      </w:r>
      <w:r w:rsidR="00E137DA" w:rsidRPr="00E137DA">
        <w:rPr>
          <w:rFonts w:ascii="Verdana" w:hAnsi="Verdana"/>
          <w:snapToGrid w:val="0"/>
          <w:sz w:val="20"/>
          <w:lang w:val="es-CR"/>
        </w:rPr>
        <w:t>resulta en una tipificación menos comprehensiva que aquella estipulada en los artículos II y III de la Convención Interamericana sobre Desaparición Forzada de Personas</w:t>
      </w:r>
      <w:r w:rsidR="00E137DA">
        <w:rPr>
          <w:rFonts w:ascii="Verdana" w:hAnsi="Verdana"/>
          <w:snapToGrid w:val="0"/>
          <w:sz w:val="20"/>
          <w:lang w:val="es-CR"/>
        </w:rPr>
        <w:t>”; (ii) existía una “d</w:t>
      </w:r>
      <w:r w:rsidR="00E137DA" w:rsidRPr="00E137DA">
        <w:rPr>
          <w:rFonts w:ascii="Verdana" w:hAnsi="Verdana"/>
          <w:snapToGrid w:val="0"/>
          <w:sz w:val="20"/>
          <w:lang w:val="es-CR"/>
        </w:rPr>
        <w:t xml:space="preserve">isyuntiva entre los elementos de privación de la libertad y </w:t>
      </w:r>
      <w:r w:rsidR="002D1B7D">
        <w:rPr>
          <w:rFonts w:ascii="Verdana" w:hAnsi="Verdana"/>
          <w:snapToGrid w:val="0"/>
          <w:sz w:val="20"/>
          <w:lang w:val="es-CR"/>
        </w:rPr>
        <w:t xml:space="preserve">la </w:t>
      </w:r>
      <w:r w:rsidR="00E137DA" w:rsidRPr="00E137DA">
        <w:rPr>
          <w:rFonts w:ascii="Verdana" w:hAnsi="Verdana"/>
          <w:snapToGrid w:val="0"/>
          <w:sz w:val="20"/>
          <w:lang w:val="es-CR"/>
        </w:rPr>
        <w:t>negación de proporcionar información sobre el paradero del desaparecido</w:t>
      </w:r>
      <w:r w:rsidR="00E137DA">
        <w:rPr>
          <w:rFonts w:ascii="Verdana" w:hAnsi="Verdana"/>
          <w:snapToGrid w:val="0"/>
          <w:sz w:val="20"/>
          <w:lang w:val="es-CR"/>
        </w:rPr>
        <w:t>”; (iii) no se requería la negativa de reconocer una privación de libertad; y (iv) que no señalaba expresamente “</w:t>
      </w:r>
      <w:r w:rsidR="00E137DA" w:rsidRPr="00E137DA">
        <w:rPr>
          <w:rFonts w:ascii="Verdana" w:hAnsi="Verdana"/>
          <w:snapToGrid w:val="0"/>
          <w:sz w:val="20"/>
          <w:lang w:val="es-CR"/>
        </w:rPr>
        <w:t>que la acción penal por el delito de desaparición forzada es imprescriptible</w:t>
      </w:r>
      <w:r w:rsidR="00E137DA">
        <w:rPr>
          <w:rFonts w:ascii="Verdana" w:hAnsi="Verdana"/>
          <w:snapToGrid w:val="0"/>
          <w:sz w:val="20"/>
          <w:lang w:val="es-CR"/>
        </w:rPr>
        <w:t xml:space="preserve">” ni de “naturaleza continua”. </w:t>
      </w:r>
    </w:p>
    <w:p w14:paraId="7836AEF9" w14:textId="77777777" w:rsidR="00883AD6" w:rsidRPr="00883AD6" w:rsidRDefault="00883AD6" w:rsidP="00305922">
      <w:pPr>
        <w:pStyle w:val="ListParagraph"/>
        <w:tabs>
          <w:tab w:val="left" w:pos="0"/>
        </w:tabs>
        <w:spacing w:line="240" w:lineRule="auto"/>
        <w:ind w:left="0"/>
        <w:jc w:val="both"/>
        <w:rPr>
          <w:rFonts w:ascii="Verdana" w:hAnsi="Verdana" w:cs="Arial"/>
          <w:b/>
          <w:sz w:val="20"/>
          <w:szCs w:val="20"/>
          <w:lang w:val="es-MX"/>
        </w:rPr>
      </w:pPr>
    </w:p>
    <w:p w14:paraId="2FAA70D2" w14:textId="44A41CC7" w:rsidR="00051EE9" w:rsidRPr="00C759D7" w:rsidRDefault="00287B1A" w:rsidP="00051EE9">
      <w:pPr>
        <w:pStyle w:val="ListParagraph"/>
        <w:numPr>
          <w:ilvl w:val="0"/>
          <w:numId w:val="3"/>
        </w:numPr>
        <w:spacing w:line="240" w:lineRule="auto"/>
        <w:ind w:left="0" w:firstLine="0"/>
        <w:jc w:val="both"/>
        <w:rPr>
          <w:rFonts w:ascii="Verdana" w:hAnsi="Verdana" w:cs="Arial"/>
          <w:sz w:val="20"/>
          <w:szCs w:val="20"/>
          <w:lang w:val="es-MX"/>
        </w:rPr>
      </w:pPr>
      <w:r w:rsidRPr="00883AD6">
        <w:rPr>
          <w:rFonts w:ascii="Verdana" w:hAnsi="Verdana" w:cs="Arial"/>
          <w:sz w:val="20"/>
          <w:szCs w:val="20"/>
          <w:lang w:val="es-MX"/>
        </w:rPr>
        <w:t xml:space="preserve">En la resolución de supervisión de cumplimiento </w:t>
      </w:r>
      <w:r w:rsidR="004278B3">
        <w:rPr>
          <w:rFonts w:ascii="Verdana" w:hAnsi="Verdana" w:cs="Arial"/>
          <w:sz w:val="20"/>
          <w:szCs w:val="20"/>
          <w:lang w:val="es-MX"/>
        </w:rPr>
        <w:t xml:space="preserve">emitida en </w:t>
      </w:r>
      <w:r w:rsidR="00870413">
        <w:rPr>
          <w:rFonts w:ascii="Verdana" w:hAnsi="Verdana" w:cs="Arial"/>
          <w:sz w:val="20"/>
          <w:szCs w:val="20"/>
          <w:lang w:val="es-MX"/>
        </w:rPr>
        <w:t xml:space="preserve">junio de 2012 </w:t>
      </w:r>
      <w:r w:rsidRPr="00883AD6">
        <w:rPr>
          <w:rFonts w:ascii="Verdana" w:hAnsi="Verdana" w:cs="Arial"/>
          <w:sz w:val="20"/>
          <w:szCs w:val="20"/>
          <w:lang w:val="es-MX"/>
        </w:rPr>
        <w:t>(</w:t>
      </w:r>
      <w:r w:rsidRPr="00883AD6">
        <w:rPr>
          <w:rFonts w:ascii="Verdana" w:hAnsi="Verdana" w:cs="Arial"/>
          <w:i/>
          <w:sz w:val="20"/>
          <w:szCs w:val="20"/>
          <w:lang w:val="es-MX"/>
        </w:rPr>
        <w:t xml:space="preserve">supra </w:t>
      </w:r>
      <w:r w:rsidRPr="00883AD6">
        <w:rPr>
          <w:rFonts w:ascii="Verdana" w:hAnsi="Verdana" w:cs="Arial"/>
          <w:sz w:val="20"/>
          <w:szCs w:val="20"/>
          <w:lang w:val="es-MX"/>
        </w:rPr>
        <w:t xml:space="preserve">Visto </w:t>
      </w:r>
      <w:r w:rsidR="002D1B7D">
        <w:rPr>
          <w:rFonts w:ascii="Verdana" w:hAnsi="Verdana" w:cs="Arial"/>
          <w:sz w:val="20"/>
          <w:szCs w:val="20"/>
          <w:lang w:val="es-MX"/>
        </w:rPr>
        <w:fldChar w:fldCharType="begin"/>
      </w:r>
      <w:r w:rsidR="002D1B7D">
        <w:rPr>
          <w:rFonts w:ascii="Verdana" w:hAnsi="Verdana" w:cs="Arial"/>
          <w:sz w:val="20"/>
          <w:szCs w:val="20"/>
          <w:lang w:val="es-MX"/>
        </w:rPr>
        <w:instrText xml:space="preserve"> REF _Ref498603302 \r \h </w:instrText>
      </w:r>
      <w:r w:rsidR="002D1B7D">
        <w:rPr>
          <w:rFonts w:ascii="Verdana" w:hAnsi="Verdana" w:cs="Arial"/>
          <w:sz w:val="20"/>
          <w:szCs w:val="20"/>
          <w:lang w:val="es-MX"/>
        </w:rPr>
      </w:r>
      <w:r w:rsidR="002D1B7D">
        <w:rPr>
          <w:rFonts w:ascii="Verdana" w:hAnsi="Verdana" w:cs="Arial"/>
          <w:sz w:val="20"/>
          <w:szCs w:val="20"/>
          <w:lang w:val="es-MX"/>
        </w:rPr>
        <w:fldChar w:fldCharType="separate"/>
      </w:r>
      <w:r w:rsidR="00360B00">
        <w:rPr>
          <w:rFonts w:ascii="Verdana" w:hAnsi="Verdana" w:cs="Arial"/>
          <w:sz w:val="20"/>
          <w:szCs w:val="20"/>
          <w:lang w:val="es-MX"/>
        </w:rPr>
        <w:t>2</w:t>
      </w:r>
      <w:r w:rsidR="002D1B7D">
        <w:rPr>
          <w:rFonts w:ascii="Verdana" w:hAnsi="Verdana" w:cs="Arial"/>
          <w:sz w:val="20"/>
          <w:szCs w:val="20"/>
          <w:lang w:val="es-MX"/>
        </w:rPr>
        <w:fldChar w:fldCharType="end"/>
      </w:r>
      <w:r w:rsidRPr="00883AD6">
        <w:rPr>
          <w:rFonts w:ascii="Verdana" w:hAnsi="Verdana" w:cs="Arial"/>
          <w:sz w:val="20"/>
          <w:szCs w:val="20"/>
          <w:lang w:val="es-MX"/>
        </w:rPr>
        <w:t xml:space="preserve">), la Corte tomó nota </w:t>
      </w:r>
      <w:r w:rsidR="00D02C0B">
        <w:rPr>
          <w:rFonts w:ascii="Verdana" w:hAnsi="Verdana" w:cs="Arial"/>
          <w:sz w:val="20"/>
          <w:szCs w:val="20"/>
          <w:lang w:val="es-MX"/>
        </w:rPr>
        <w:t>de</w:t>
      </w:r>
      <w:r w:rsidRPr="00883AD6">
        <w:rPr>
          <w:rFonts w:ascii="Verdana" w:hAnsi="Verdana" w:cs="Arial"/>
          <w:sz w:val="20"/>
          <w:szCs w:val="20"/>
          <w:lang w:val="es-MX"/>
        </w:rPr>
        <w:t xml:space="preserve"> que</w:t>
      </w:r>
      <w:r w:rsidR="00953186">
        <w:rPr>
          <w:rFonts w:ascii="Verdana" w:hAnsi="Verdana" w:cs="Arial"/>
          <w:sz w:val="20"/>
          <w:szCs w:val="20"/>
          <w:lang w:val="es-MX"/>
        </w:rPr>
        <w:t xml:space="preserve"> el Estado</w:t>
      </w:r>
      <w:r w:rsidRPr="00883AD6">
        <w:rPr>
          <w:rFonts w:ascii="Verdana" w:hAnsi="Verdana" w:cs="Arial"/>
          <w:sz w:val="20"/>
          <w:szCs w:val="20"/>
          <w:lang w:val="es-MX"/>
        </w:rPr>
        <w:t xml:space="preserve"> había </w:t>
      </w:r>
      <w:r w:rsidR="00953186">
        <w:rPr>
          <w:rFonts w:ascii="Verdana" w:hAnsi="Verdana" w:cs="Arial"/>
          <w:sz w:val="20"/>
          <w:szCs w:val="20"/>
          <w:lang w:val="es-MX"/>
        </w:rPr>
        <w:t>reformado la tipificación del</w:t>
      </w:r>
      <w:r w:rsidRPr="00883AD6">
        <w:rPr>
          <w:rFonts w:ascii="Verdana" w:hAnsi="Verdana" w:cs="Arial"/>
          <w:sz w:val="20"/>
          <w:szCs w:val="20"/>
          <w:lang w:val="es-MX"/>
        </w:rPr>
        <w:t xml:space="preserve"> delito de </w:t>
      </w:r>
      <w:r w:rsidR="00393608" w:rsidRPr="00883AD6">
        <w:rPr>
          <w:rFonts w:ascii="Verdana" w:hAnsi="Verdana" w:cs="Arial"/>
          <w:sz w:val="20"/>
          <w:szCs w:val="20"/>
          <w:lang w:val="es-MX"/>
        </w:rPr>
        <w:t>desaparición</w:t>
      </w:r>
      <w:r w:rsidRPr="00883AD6">
        <w:rPr>
          <w:rFonts w:ascii="Verdana" w:hAnsi="Verdana" w:cs="Arial"/>
          <w:sz w:val="20"/>
          <w:szCs w:val="20"/>
          <w:lang w:val="es-MX"/>
        </w:rPr>
        <w:t xml:space="preserve"> forzada de personas mediante la expedición de la Ley No. 1 de 13 de enero de 2011</w:t>
      </w:r>
      <w:r w:rsidR="00AD768B">
        <w:rPr>
          <w:rFonts w:ascii="Verdana" w:hAnsi="Verdana" w:cs="Arial"/>
          <w:sz w:val="20"/>
          <w:szCs w:val="20"/>
          <w:lang w:val="es-MX"/>
        </w:rPr>
        <w:t>. El Tribunal</w:t>
      </w:r>
      <w:r w:rsidR="00362133">
        <w:rPr>
          <w:rFonts w:ascii="Verdana" w:hAnsi="Verdana" w:cs="Arial"/>
          <w:sz w:val="20"/>
          <w:szCs w:val="20"/>
          <w:lang w:val="es-MX"/>
        </w:rPr>
        <w:t xml:space="preserve"> </w:t>
      </w:r>
      <w:r w:rsidR="00AD768B">
        <w:rPr>
          <w:rFonts w:ascii="Verdana" w:hAnsi="Verdana" w:cs="Arial"/>
          <w:sz w:val="20"/>
          <w:szCs w:val="20"/>
          <w:lang w:val="es-MX"/>
        </w:rPr>
        <w:t>indicó</w:t>
      </w:r>
      <w:r w:rsidR="00B8080E">
        <w:rPr>
          <w:rFonts w:ascii="Verdana" w:hAnsi="Verdana" w:cs="Arial"/>
          <w:sz w:val="20"/>
          <w:szCs w:val="20"/>
          <w:lang w:val="es-MX"/>
        </w:rPr>
        <w:t xml:space="preserve"> los motivos por los cuales ello implicaba un cumplimiento parcial de esta reparación </w:t>
      </w:r>
      <w:r w:rsidR="00AD768B">
        <w:rPr>
          <w:rFonts w:ascii="Verdana" w:hAnsi="Verdana" w:cs="Arial"/>
          <w:sz w:val="20"/>
          <w:szCs w:val="20"/>
          <w:lang w:val="es-MX"/>
        </w:rPr>
        <w:t xml:space="preserve">y señaló que </w:t>
      </w:r>
      <w:r w:rsidR="00B8080E">
        <w:rPr>
          <w:rFonts w:ascii="Verdana" w:hAnsi="Verdana" w:cs="Arial"/>
          <w:sz w:val="20"/>
          <w:szCs w:val="20"/>
          <w:lang w:val="es-MX"/>
        </w:rPr>
        <w:t xml:space="preserve">permanecía pendiente </w:t>
      </w:r>
      <w:r w:rsidR="00362133">
        <w:rPr>
          <w:rFonts w:ascii="Verdana" w:hAnsi="Verdana" w:cs="Arial"/>
          <w:sz w:val="20"/>
          <w:szCs w:val="20"/>
          <w:lang w:val="es-MX"/>
        </w:rPr>
        <w:t>lo requerido por la Sentencia con respecto a la imprescriptibilidad y el carácter permanente del delito referido</w:t>
      </w:r>
      <w:r w:rsidR="00953186">
        <w:rPr>
          <w:rFonts w:ascii="Verdana" w:hAnsi="Verdana" w:cs="Arial"/>
          <w:sz w:val="20"/>
          <w:szCs w:val="20"/>
          <w:lang w:val="es-MX"/>
        </w:rPr>
        <w:t xml:space="preserve"> (</w:t>
      </w:r>
      <w:r w:rsidR="00953186">
        <w:rPr>
          <w:rFonts w:ascii="Verdana" w:hAnsi="Verdana" w:cs="Arial"/>
          <w:i/>
          <w:sz w:val="20"/>
          <w:szCs w:val="20"/>
          <w:lang w:val="es-MX"/>
        </w:rPr>
        <w:t>infra</w:t>
      </w:r>
      <w:r w:rsidR="00953186">
        <w:rPr>
          <w:rFonts w:ascii="Verdana" w:hAnsi="Verdana" w:cs="Arial"/>
          <w:sz w:val="20"/>
          <w:szCs w:val="20"/>
          <w:lang w:val="es-MX"/>
        </w:rPr>
        <w:t xml:space="preserve"> Considerando </w:t>
      </w:r>
      <w:r w:rsidR="009039F6">
        <w:rPr>
          <w:rFonts w:ascii="Verdana" w:hAnsi="Verdana" w:cs="Arial"/>
          <w:sz w:val="20"/>
          <w:szCs w:val="20"/>
          <w:lang w:val="es-MX"/>
        </w:rPr>
        <w:fldChar w:fldCharType="begin"/>
      </w:r>
      <w:r w:rsidR="009039F6">
        <w:rPr>
          <w:rFonts w:ascii="Verdana" w:hAnsi="Verdana" w:cs="Arial"/>
          <w:sz w:val="20"/>
          <w:szCs w:val="20"/>
          <w:lang w:val="es-MX"/>
        </w:rPr>
        <w:instrText xml:space="preserve"> REF _Ref498614921 \r \h </w:instrText>
      </w:r>
      <w:r w:rsidR="009039F6">
        <w:rPr>
          <w:rFonts w:ascii="Verdana" w:hAnsi="Verdana" w:cs="Arial"/>
          <w:sz w:val="20"/>
          <w:szCs w:val="20"/>
          <w:lang w:val="es-MX"/>
        </w:rPr>
      </w:r>
      <w:r w:rsidR="009039F6">
        <w:rPr>
          <w:rFonts w:ascii="Verdana" w:hAnsi="Verdana" w:cs="Arial"/>
          <w:sz w:val="20"/>
          <w:szCs w:val="20"/>
          <w:lang w:val="es-MX"/>
        </w:rPr>
        <w:fldChar w:fldCharType="separate"/>
      </w:r>
      <w:r w:rsidR="00360B00">
        <w:rPr>
          <w:rFonts w:ascii="Verdana" w:hAnsi="Verdana" w:cs="Arial"/>
          <w:sz w:val="20"/>
          <w:szCs w:val="20"/>
          <w:lang w:val="es-MX"/>
        </w:rPr>
        <w:t>27</w:t>
      </w:r>
      <w:r w:rsidR="009039F6">
        <w:rPr>
          <w:rFonts w:ascii="Verdana" w:hAnsi="Verdana" w:cs="Arial"/>
          <w:sz w:val="20"/>
          <w:szCs w:val="20"/>
          <w:lang w:val="es-MX"/>
        </w:rPr>
        <w:fldChar w:fldCharType="end"/>
      </w:r>
      <w:r w:rsidR="00953186">
        <w:rPr>
          <w:rFonts w:ascii="Verdana" w:hAnsi="Verdana" w:cs="Arial"/>
          <w:sz w:val="20"/>
          <w:szCs w:val="20"/>
          <w:lang w:val="es-MX"/>
        </w:rPr>
        <w:t>)</w:t>
      </w:r>
      <w:r w:rsidRPr="00883AD6">
        <w:rPr>
          <w:rFonts w:ascii="Verdana" w:hAnsi="Verdana" w:cs="Arial"/>
          <w:sz w:val="20"/>
          <w:szCs w:val="20"/>
          <w:lang w:val="es-MX"/>
        </w:rPr>
        <w:t>.</w:t>
      </w:r>
    </w:p>
    <w:p w14:paraId="08726A8E" w14:textId="77777777" w:rsidR="00883AD6" w:rsidRDefault="00734A1A" w:rsidP="00305922">
      <w:pPr>
        <w:spacing w:before="120" w:after="120" w:line="240" w:lineRule="auto"/>
        <w:ind w:firstLine="720"/>
        <w:jc w:val="both"/>
        <w:rPr>
          <w:rFonts w:ascii="Verdana" w:hAnsi="Verdana" w:cs="Arial"/>
          <w:i/>
          <w:sz w:val="20"/>
          <w:szCs w:val="20"/>
          <w:lang w:val="es-MX"/>
        </w:rPr>
      </w:pPr>
      <w:r>
        <w:rPr>
          <w:rFonts w:ascii="Verdana" w:hAnsi="Verdana" w:cs="Arial"/>
          <w:i/>
          <w:sz w:val="20"/>
          <w:szCs w:val="20"/>
          <w:lang w:val="es-MX"/>
        </w:rPr>
        <w:t>C</w:t>
      </w:r>
      <w:r w:rsidR="00393608" w:rsidRPr="00883AD6">
        <w:rPr>
          <w:rFonts w:ascii="Verdana" w:hAnsi="Verdana" w:cs="Arial"/>
          <w:i/>
          <w:sz w:val="20"/>
          <w:szCs w:val="20"/>
          <w:lang w:val="es-MX"/>
        </w:rPr>
        <w:t xml:space="preserve">.2 </w:t>
      </w:r>
      <w:r w:rsidR="00287B1A" w:rsidRPr="00883AD6">
        <w:rPr>
          <w:rFonts w:ascii="Verdana" w:hAnsi="Verdana" w:cs="Arial"/>
          <w:i/>
          <w:sz w:val="20"/>
          <w:szCs w:val="20"/>
          <w:lang w:val="es-MX"/>
        </w:rPr>
        <w:t>Consideraciones de la Corte</w:t>
      </w:r>
    </w:p>
    <w:p w14:paraId="286E82FC" w14:textId="51E78616" w:rsidR="00287B1A" w:rsidRDefault="00B036B7" w:rsidP="00305922">
      <w:pPr>
        <w:pStyle w:val="ListParagraph"/>
        <w:numPr>
          <w:ilvl w:val="0"/>
          <w:numId w:val="3"/>
        </w:numPr>
        <w:spacing w:before="120" w:after="120" w:line="240" w:lineRule="auto"/>
        <w:ind w:left="0" w:firstLine="0"/>
        <w:contextualSpacing w:val="0"/>
        <w:jc w:val="both"/>
        <w:rPr>
          <w:rFonts w:ascii="Verdana" w:hAnsi="Verdana" w:cs="Arial"/>
          <w:sz w:val="20"/>
          <w:szCs w:val="20"/>
          <w:lang w:val="es-MX"/>
        </w:rPr>
      </w:pPr>
      <w:r>
        <w:rPr>
          <w:rFonts w:ascii="Verdana" w:hAnsi="Verdana" w:cs="Arial"/>
          <w:sz w:val="20"/>
          <w:szCs w:val="20"/>
          <w:lang w:val="es-MX"/>
        </w:rPr>
        <w:t>C</w:t>
      </w:r>
      <w:r w:rsidR="00362133">
        <w:rPr>
          <w:rFonts w:ascii="Verdana" w:hAnsi="Verdana" w:cs="Arial"/>
          <w:sz w:val="20"/>
          <w:szCs w:val="20"/>
          <w:lang w:val="es-MX"/>
        </w:rPr>
        <w:t>on base en la información proporcionada por las partes</w:t>
      </w:r>
      <w:r w:rsidR="00DC58D0">
        <w:rPr>
          <w:rStyle w:val="FootnoteReference"/>
          <w:rFonts w:ascii="Verdana" w:hAnsi="Verdana" w:cs="Arial"/>
          <w:sz w:val="20"/>
          <w:szCs w:val="20"/>
          <w:lang w:val="es-MX"/>
        </w:rPr>
        <w:footnoteReference w:id="25"/>
      </w:r>
      <w:r w:rsidR="00362133">
        <w:rPr>
          <w:rFonts w:ascii="Verdana" w:hAnsi="Verdana" w:cs="Arial"/>
          <w:sz w:val="20"/>
          <w:szCs w:val="20"/>
          <w:lang w:val="es-MX"/>
        </w:rPr>
        <w:t xml:space="preserve"> y la Comisión</w:t>
      </w:r>
      <w:r w:rsidR="004D0C86" w:rsidRPr="00C83BEA">
        <w:rPr>
          <w:rFonts w:ascii="Verdana" w:hAnsi="Verdana" w:cs="Arial"/>
          <w:sz w:val="20"/>
          <w:szCs w:val="20"/>
          <w:lang w:val="es-MX"/>
        </w:rPr>
        <w:t xml:space="preserve">, </w:t>
      </w:r>
      <w:r>
        <w:rPr>
          <w:rFonts w:ascii="Verdana" w:hAnsi="Verdana" w:cs="Arial"/>
          <w:sz w:val="20"/>
          <w:szCs w:val="20"/>
          <w:lang w:val="es-MX"/>
        </w:rPr>
        <w:t>l</w:t>
      </w:r>
      <w:r w:rsidRPr="00C83BEA">
        <w:rPr>
          <w:rFonts w:ascii="Verdana" w:hAnsi="Verdana" w:cs="Arial"/>
          <w:sz w:val="20"/>
          <w:szCs w:val="20"/>
          <w:lang w:val="es-MX"/>
        </w:rPr>
        <w:t xml:space="preserve">a Corte </w:t>
      </w:r>
      <w:r>
        <w:rPr>
          <w:rFonts w:ascii="Verdana" w:hAnsi="Verdana" w:cs="Arial"/>
          <w:sz w:val="20"/>
          <w:szCs w:val="20"/>
          <w:lang w:val="es-MX"/>
        </w:rPr>
        <w:t>observa</w:t>
      </w:r>
      <w:r w:rsidRPr="00C83BEA">
        <w:rPr>
          <w:rFonts w:ascii="Verdana" w:hAnsi="Verdana" w:cs="Arial"/>
          <w:sz w:val="20"/>
          <w:szCs w:val="20"/>
          <w:lang w:val="es-MX"/>
        </w:rPr>
        <w:t xml:space="preserve"> </w:t>
      </w:r>
      <w:r w:rsidR="00AB0DB9">
        <w:rPr>
          <w:rFonts w:ascii="Verdana" w:hAnsi="Verdana" w:cs="Arial"/>
          <w:sz w:val="20"/>
          <w:szCs w:val="20"/>
          <w:lang w:val="es-MX"/>
        </w:rPr>
        <w:t>que</w:t>
      </w:r>
      <w:r w:rsidR="00DD132F">
        <w:rPr>
          <w:rFonts w:ascii="Verdana" w:hAnsi="Verdana" w:cs="Arial"/>
          <w:sz w:val="20"/>
          <w:szCs w:val="20"/>
          <w:lang w:val="es-MX"/>
        </w:rPr>
        <w:t>,</w:t>
      </w:r>
      <w:r w:rsidR="00AB0DB9">
        <w:rPr>
          <w:rFonts w:ascii="Verdana" w:hAnsi="Verdana" w:cs="Arial"/>
          <w:sz w:val="20"/>
          <w:szCs w:val="20"/>
          <w:lang w:val="es-MX"/>
        </w:rPr>
        <w:t xml:space="preserve"> </w:t>
      </w:r>
      <w:r w:rsidR="002B3120">
        <w:rPr>
          <w:rFonts w:ascii="Verdana" w:hAnsi="Verdana" w:cs="Arial"/>
          <w:sz w:val="20"/>
          <w:szCs w:val="20"/>
          <w:lang w:val="es-MX"/>
        </w:rPr>
        <w:t>el 29 de septiembre de 2016, la Asamblea Nacional</w:t>
      </w:r>
      <w:r w:rsidR="00B06619">
        <w:rPr>
          <w:rFonts w:ascii="Verdana" w:hAnsi="Verdana" w:cs="Arial"/>
          <w:sz w:val="20"/>
          <w:szCs w:val="20"/>
          <w:lang w:val="es-MX"/>
        </w:rPr>
        <w:t xml:space="preserve"> de Panamá</w:t>
      </w:r>
      <w:r w:rsidR="002B3120">
        <w:rPr>
          <w:rFonts w:ascii="Verdana" w:hAnsi="Verdana" w:cs="Arial"/>
          <w:sz w:val="20"/>
          <w:szCs w:val="20"/>
          <w:lang w:val="es-MX"/>
        </w:rPr>
        <w:t xml:space="preserve"> aprobó el proyecto de ley </w:t>
      </w:r>
      <w:r w:rsidR="00B06619">
        <w:rPr>
          <w:rFonts w:ascii="Verdana" w:hAnsi="Verdana" w:cs="Arial"/>
          <w:sz w:val="20"/>
          <w:szCs w:val="20"/>
          <w:lang w:val="es-MX"/>
        </w:rPr>
        <w:t xml:space="preserve">número </w:t>
      </w:r>
      <w:r w:rsidR="002B3120">
        <w:rPr>
          <w:rFonts w:ascii="Verdana" w:hAnsi="Verdana" w:cs="Arial"/>
          <w:sz w:val="20"/>
          <w:szCs w:val="20"/>
          <w:lang w:val="es-MX"/>
        </w:rPr>
        <w:t xml:space="preserve">259, que </w:t>
      </w:r>
      <w:r w:rsidR="00514335">
        <w:rPr>
          <w:rFonts w:ascii="Verdana" w:hAnsi="Verdana" w:cs="Arial"/>
          <w:sz w:val="20"/>
          <w:szCs w:val="20"/>
          <w:lang w:val="es-MX"/>
        </w:rPr>
        <w:t>reforma</w:t>
      </w:r>
      <w:r w:rsidR="002B3120">
        <w:rPr>
          <w:rFonts w:ascii="Verdana" w:hAnsi="Verdana" w:cs="Arial"/>
          <w:sz w:val="20"/>
          <w:szCs w:val="20"/>
          <w:lang w:val="es-MX"/>
        </w:rPr>
        <w:t xml:space="preserve"> el artículo 152 del Código Penal panameño, </w:t>
      </w:r>
      <w:r w:rsidR="00C43FE4">
        <w:rPr>
          <w:rFonts w:ascii="Verdana" w:hAnsi="Verdana" w:cs="Arial"/>
          <w:sz w:val="20"/>
          <w:szCs w:val="20"/>
          <w:lang w:val="es-MX"/>
        </w:rPr>
        <w:t>que tipifica el</w:t>
      </w:r>
      <w:r w:rsidR="00AE497B">
        <w:rPr>
          <w:rFonts w:ascii="Verdana" w:hAnsi="Verdana" w:cs="Arial"/>
          <w:sz w:val="20"/>
          <w:szCs w:val="20"/>
          <w:lang w:val="es-MX"/>
        </w:rPr>
        <w:t xml:space="preserve"> delito de desapari</w:t>
      </w:r>
      <w:r w:rsidR="00362133">
        <w:rPr>
          <w:rFonts w:ascii="Verdana" w:hAnsi="Verdana" w:cs="Arial"/>
          <w:sz w:val="20"/>
          <w:szCs w:val="20"/>
          <w:lang w:val="es-MX"/>
        </w:rPr>
        <w:t>ción forzada</w:t>
      </w:r>
      <w:r w:rsidR="00051EE9">
        <w:rPr>
          <w:rFonts w:ascii="Verdana" w:hAnsi="Verdana" w:cs="Arial"/>
          <w:sz w:val="20"/>
          <w:szCs w:val="20"/>
          <w:lang w:val="es-MX"/>
        </w:rPr>
        <w:t xml:space="preserve"> (</w:t>
      </w:r>
      <w:r w:rsidR="00051EE9">
        <w:rPr>
          <w:rFonts w:ascii="Verdana" w:hAnsi="Verdana" w:cs="Arial"/>
          <w:i/>
          <w:sz w:val="20"/>
          <w:szCs w:val="20"/>
          <w:lang w:val="es-MX"/>
        </w:rPr>
        <w:t>infra</w:t>
      </w:r>
      <w:r w:rsidR="00051EE9">
        <w:rPr>
          <w:rFonts w:ascii="Verdana" w:hAnsi="Verdana" w:cs="Arial"/>
          <w:sz w:val="20"/>
          <w:szCs w:val="20"/>
          <w:lang w:val="es-MX"/>
        </w:rPr>
        <w:t xml:space="preserve"> Considerando </w:t>
      </w:r>
      <w:r w:rsidR="00051EE9">
        <w:rPr>
          <w:rFonts w:ascii="Verdana" w:hAnsi="Verdana" w:cs="Arial"/>
          <w:sz w:val="20"/>
          <w:szCs w:val="20"/>
          <w:lang w:val="es-MX"/>
        </w:rPr>
        <w:fldChar w:fldCharType="begin"/>
      </w:r>
      <w:r w:rsidR="00051EE9">
        <w:rPr>
          <w:rFonts w:ascii="Verdana" w:hAnsi="Verdana" w:cs="Arial"/>
          <w:sz w:val="20"/>
          <w:szCs w:val="20"/>
          <w:lang w:val="es-MX"/>
        </w:rPr>
        <w:instrText xml:space="preserve"> REF _Ref498682785 \r \h </w:instrText>
      </w:r>
      <w:r w:rsidR="00051EE9">
        <w:rPr>
          <w:rFonts w:ascii="Verdana" w:hAnsi="Verdana" w:cs="Arial"/>
          <w:sz w:val="20"/>
          <w:szCs w:val="20"/>
          <w:lang w:val="es-MX"/>
        </w:rPr>
      </w:r>
      <w:r w:rsidR="00051EE9">
        <w:rPr>
          <w:rFonts w:ascii="Verdana" w:hAnsi="Verdana" w:cs="Arial"/>
          <w:sz w:val="20"/>
          <w:szCs w:val="20"/>
          <w:lang w:val="es-MX"/>
        </w:rPr>
        <w:fldChar w:fldCharType="separate"/>
      </w:r>
      <w:r w:rsidR="00360B00">
        <w:rPr>
          <w:rFonts w:ascii="Verdana" w:hAnsi="Verdana" w:cs="Arial"/>
          <w:sz w:val="20"/>
          <w:szCs w:val="20"/>
          <w:lang w:val="es-MX"/>
        </w:rPr>
        <w:t>30</w:t>
      </w:r>
      <w:r w:rsidR="00051EE9">
        <w:rPr>
          <w:rFonts w:ascii="Verdana" w:hAnsi="Verdana" w:cs="Arial"/>
          <w:sz w:val="20"/>
          <w:szCs w:val="20"/>
          <w:lang w:val="es-MX"/>
        </w:rPr>
        <w:fldChar w:fldCharType="end"/>
      </w:r>
      <w:r w:rsidR="00051EE9">
        <w:rPr>
          <w:rFonts w:ascii="Verdana" w:hAnsi="Verdana" w:cs="Arial"/>
          <w:sz w:val="20"/>
          <w:szCs w:val="20"/>
          <w:lang w:val="es-MX"/>
        </w:rPr>
        <w:t>)</w:t>
      </w:r>
      <w:r w:rsidR="00876C5B">
        <w:rPr>
          <w:rFonts w:ascii="Verdana" w:hAnsi="Verdana" w:cs="Arial"/>
          <w:sz w:val="20"/>
          <w:szCs w:val="20"/>
          <w:lang w:val="es-MX"/>
        </w:rPr>
        <w:t>.</w:t>
      </w:r>
      <w:r w:rsidR="00362133">
        <w:rPr>
          <w:rFonts w:ascii="Verdana" w:hAnsi="Verdana" w:cs="Arial"/>
          <w:sz w:val="20"/>
          <w:szCs w:val="20"/>
          <w:lang w:val="es-MX"/>
        </w:rPr>
        <w:t xml:space="preserve"> </w:t>
      </w:r>
    </w:p>
    <w:p w14:paraId="32A3B645" w14:textId="7397C3AA" w:rsidR="001E48D3" w:rsidRPr="005867D9" w:rsidRDefault="002B1DCE" w:rsidP="00305922">
      <w:pPr>
        <w:pStyle w:val="ListParagraph"/>
        <w:numPr>
          <w:ilvl w:val="0"/>
          <w:numId w:val="3"/>
        </w:numPr>
        <w:spacing w:before="120" w:after="120" w:line="240" w:lineRule="auto"/>
        <w:ind w:left="0" w:firstLine="0"/>
        <w:contextualSpacing w:val="0"/>
        <w:jc w:val="both"/>
        <w:rPr>
          <w:rFonts w:ascii="Verdana" w:hAnsi="Verdana"/>
          <w:sz w:val="20"/>
          <w:szCs w:val="20"/>
          <w:lang w:val="es-MX"/>
        </w:rPr>
      </w:pPr>
      <w:r>
        <w:rPr>
          <w:rFonts w:ascii="Verdana" w:hAnsi="Verdana" w:cs="Arial"/>
          <w:sz w:val="20"/>
          <w:szCs w:val="20"/>
          <w:lang w:val="es-MX"/>
        </w:rPr>
        <w:t>A partir de la Ley No.</w:t>
      </w:r>
      <w:r w:rsidR="00A00A2F">
        <w:rPr>
          <w:rFonts w:ascii="Verdana" w:hAnsi="Verdana" w:cs="Arial"/>
          <w:sz w:val="20"/>
          <w:szCs w:val="20"/>
          <w:lang w:val="es-MX"/>
        </w:rPr>
        <w:t xml:space="preserve"> </w:t>
      </w:r>
      <w:r>
        <w:rPr>
          <w:rFonts w:ascii="Verdana" w:hAnsi="Verdana" w:cs="Arial"/>
          <w:sz w:val="20"/>
          <w:szCs w:val="20"/>
          <w:lang w:val="es-MX"/>
        </w:rPr>
        <w:t>1 de 2011 h</w:t>
      </w:r>
      <w:r w:rsidR="001E48D3">
        <w:rPr>
          <w:rFonts w:ascii="Verdana" w:hAnsi="Verdana" w:cs="Arial"/>
          <w:sz w:val="20"/>
          <w:szCs w:val="20"/>
          <w:lang w:val="es-MX"/>
        </w:rPr>
        <w:t xml:space="preserve">asta la </w:t>
      </w:r>
      <w:r w:rsidR="00362133">
        <w:rPr>
          <w:rFonts w:ascii="Verdana" w:hAnsi="Verdana" w:cs="Arial"/>
          <w:sz w:val="20"/>
          <w:szCs w:val="20"/>
          <w:lang w:val="es-MX"/>
        </w:rPr>
        <w:t xml:space="preserve">referida </w:t>
      </w:r>
      <w:r w:rsidR="001E48D3">
        <w:rPr>
          <w:rFonts w:ascii="Verdana" w:hAnsi="Verdana" w:cs="Arial"/>
          <w:sz w:val="20"/>
          <w:szCs w:val="20"/>
          <w:lang w:val="es-MX"/>
        </w:rPr>
        <w:t>reforma</w:t>
      </w:r>
      <w:r w:rsidR="00D068B4">
        <w:rPr>
          <w:rFonts w:ascii="Verdana" w:hAnsi="Verdana" w:cs="Arial"/>
          <w:sz w:val="20"/>
          <w:szCs w:val="20"/>
          <w:lang w:val="es-MX"/>
        </w:rPr>
        <w:t xml:space="preserve"> de septiembre de 2016</w:t>
      </w:r>
      <w:r w:rsidR="001E48D3">
        <w:rPr>
          <w:rFonts w:ascii="Verdana" w:hAnsi="Verdana" w:cs="Arial"/>
          <w:sz w:val="20"/>
          <w:szCs w:val="20"/>
          <w:lang w:val="es-MX"/>
        </w:rPr>
        <w:t xml:space="preserve">, </w:t>
      </w:r>
      <w:r w:rsidR="00806687">
        <w:rPr>
          <w:rFonts w:ascii="Verdana" w:hAnsi="Verdana" w:cs="Arial"/>
          <w:sz w:val="20"/>
          <w:szCs w:val="20"/>
          <w:lang w:val="es-MX"/>
        </w:rPr>
        <w:t xml:space="preserve">el artículo 152 </w:t>
      </w:r>
      <w:r w:rsidR="00D068B4">
        <w:rPr>
          <w:rFonts w:ascii="Verdana" w:hAnsi="Verdana" w:cs="Arial"/>
          <w:sz w:val="20"/>
          <w:szCs w:val="20"/>
          <w:lang w:val="es-MX"/>
        </w:rPr>
        <w:t>del Código Penal de Panamá</w:t>
      </w:r>
      <w:r>
        <w:rPr>
          <w:rFonts w:ascii="Verdana" w:hAnsi="Verdana" w:cs="Arial"/>
          <w:sz w:val="20"/>
          <w:szCs w:val="20"/>
          <w:lang w:val="es-MX"/>
        </w:rPr>
        <w:t xml:space="preserve"> </w:t>
      </w:r>
      <w:r w:rsidR="00806687">
        <w:rPr>
          <w:rFonts w:ascii="Verdana" w:hAnsi="Verdana" w:cs="Arial"/>
          <w:sz w:val="20"/>
          <w:szCs w:val="20"/>
          <w:lang w:val="es-MX"/>
        </w:rPr>
        <w:t xml:space="preserve">tipificaba el delito de </w:t>
      </w:r>
      <w:r w:rsidR="001E48D3">
        <w:rPr>
          <w:rFonts w:ascii="Verdana" w:hAnsi="Verdana"/>
          <w:sz w:val="20"/>
          <w:szCs w:val="20"/>
          <w:lang w:val="es-MX"/>
        </w:rPr>
        <w:t xml:space="preserve">desaparición </w:t>
      </w:r>
      <w:r w:rsidR="00806687">
        <w:rPr>
          <w:rFonts w:ascii="Verdana" w:hAnsi="Verdana"/>
          <w:sz w:val="20"/>
          <w:szCs w:val="20"/>
          <w:lang w:val="es-MX"/>
        </w:rPr>
        <w:t xml:space="preserve">forzada </w:t>
      </w:r>
      <w:r w:rsidR="001E48D3">
        <w:rPr>
          <w:rFonts w:ascii="Verdana" w:hAnsi="Verdana"/>
          <w:sz w:val="20"/>
          <w:szCs w:val="20"/>
          <w:lang w:val="es-MX"/>
        </w:rPr>
        <w:t>de personas de la siguiente manera:</w:t>
      </w:r>
    </w:p>
    <w:p w14:paraId="4D943BCC" w14:textId="77777777" w:rsidR="00362133" w:rsidRDefault="00483732" w:rsidP="00362133">
      <w:pPr>
        <w:pStyle w:val="ListParagraph"/>
        <w:spacing w:before="120" w:after="120" w:line="240" w:lineRule="auto"/>
        <w:ind w:right="571"/>
        <w:jc w:val="both"/>
        <w:rPr>
          <w:rFonts w:ascii="Verdana" w:hAnsi="Verdana" w:cs="Arial"/>
          <w:sz w:val="16"/>
          <w:szCs w:val="16"/>
          <w:lang w:val="es-MX"/>
        </w:rPr>
      </w:pPr>
      <w:r>
        <w:rPr>
          <w:rFonts w:ascii="Verdana" w:hAnsi="Verdana" w:cs="Arial"/>
          <w:sz w:val="16"/>
          <w:szCs w:val="16"/>
          <w:lang w:val="es-MX"/>
        </w:rPr>
        <w:t xml:space="preserve">La privación de libertad de una o más personas, cualquiera que sea su forma, cometida por Agentes del Estado o por personas o grupos de personas que actúen con la autorización, el apoyo o la aquiescencia </w:t>
      </w:r>
      <w:r w:rsidR="0078484F">
        <w:rPr>
          <w:rFonts w:ascii="Verdana" w:hAnsi="Verdana" w:cs="Arial"/>
          <w:sz w:val="16"/>
          <w:szCs w:val="16"/>
          <w:lang w:val="es-MX"/>
        </w:rPr>
        <w:t>del Estado, seguida de la falta de información o de la negativa a reconocer dicha privación de libertad o de informar sobre el paradero de la persona, con la cual se impide el ejercicio de los recursos o de las garantías procesales pertinentes, será sancionado con prisión de quince a veinte años.</w:t>
      </w:r>
    </w:p>
    <w:p w14:paraId="4AC6ECEE" w14:textId="77777777" w:rsidR="00362133" w:rsidRPr="00362133" w:rsidRDefault="00362133" w:rsidP="00362133">
      <w:pPr>
        <w:pStyle w:val="ListParagraph"/>
        <w:spacing w:before="120" w:after="120" w:line="240" w:lineRule="auto"/>
        <w:ind w:right="571"/>
        <w:jc w:val="both"/>
        <w:rPr>
          <w:rFonts w:ascii="Verdana" w:hAnsi="Verdana" w:cs="Arial"/>
          <w:sz w:val="16"/>
          <w:szCs w:val="16"/>
          <w:lang w:val="es-MX"/>
        </w:rPr>
      </w:pPr>
    </w:p>
    <w:p w14:paraId="4C7C4EE9" w14:textId="6FF2B21F" w:rsidR="00362133" w:rsidRPr="00DC58D0" w:rsidRDefault="00051EE9" w:rsidP="00305922">
      <w:pPr>
        <w:pStyle w:val="ListParagraph"/>
        <w:numPr>
          <w:ilvl w:val="0"/>
          <w:numId w:val="3"/>
        </w:numPr>
        <w:spacing w:before="120" w:after="120" w:line="240" w:lineRule="auto"/>
        <w:ind w:left="0" w:firstLine="0"/>
        <w:contextualSpacing w:val="0"/>
        <w:jc w:val="both"/>
        <w:rPr>
          <w:rFonts w:ascii="Verdana" w:hAnsi="Verdana"/>
          <w:b/>
          <w:color w:val="00B050"/>
          <w:sz w:val="16"/>
          <w:szCs w:val="16"/>
          <w:lang w:val="es-MX"/>
        </w:rPr>
      </w:pPr>
      <w:bookmarkStart w:id="24" w:name="_Ref498614921"/>
      <w:r>
        <w:rPr>
          <w:rFonts w:ascii="Verdana" w:hAnsi="Verdana"/>
          <w:sz w:val="20"/>
          <w:szCs w:val="20"/>
          <w:lang w:val="es-MX"/>
        </w:rPr>
        <w:t>En su Resolución de 2012</w:t>
      </w:r>
      <w:r w:rsidR="00362133">
        <w:rPr>
          <w:rFonts w:ascii="Verdana" w:hAnsi="Verdana"/>
          <w:sz w:val="20"/>
          <w:szCs w:val="20"/>
          <w:lang w:val="es-MX"/>
        </w:rPr>
        <w:t xml:space="preserve">, </w:t>
      </w:r>
      <w:r>
        <w:rPr>
          <w:rFonts w:ascii="Verdana" w:hAnsi="Verdana"/>
          <w:sz w:val="20"/>
          <w:szCs w:val="20"/>
          <w:lang w:val="es-MX"/>
        </w:rPr>
        <w:t>la Corte</w:t>
      </w:r>
      <w:r w:rsidR="003055E8">
        <w:rPr>
          <w:rFonts w:ascii="Verdana" w:hAnsi="Verdana"/>
          <w:sz w:val="20"/>
          <w:szCs w:val="20"/>
          <w:lang w:val="es-MX"/>
        </w:rPr>
        <w:t xml:space="preserve"> </w:t>
      </w:r>
      <w:r w:rsidR="00362133">
        <w:rPr>
          <w:rFonts w:ascii="Verdana" w:hAnsi="Verdana"/>
          <w:sz w:val="20"/>
          <w:szCs w:val="20"/>
          <w:lang w:val="es-MX"/>
        </w:rPr>
        <w:t xml:space="preserve">reconoció que la referida tipificación “transcribe la definición de desaparición forzada establecida en el artículo II de la Convención Interamericana sobre Desaparición Forzada de Personas”, por lo que consideró que con ello “dio cumplimiento a su obligación de tipificar la desaparición forzada conforme a sus obligaciones internacionales”. Sin embargo, </w:t>
      </w:r>
      <w:r w:rsidR="00DC5372">
        <w:rPr>
          <w:rFonts w:ascii="Verdana" w:hAnsi="Verdana"/>
          <w:sz w:val="20"/>
          <w:szCs w:val="20"/>
          <w:lang w:val="es-MX"/>
        </w:rPr>
        <w:t xml:space="preserve">debido a </w:t>
      </w:r>
      <w:r w:rsidR="009039F6">
        <w:rPr>
          <w:rFonts w:ascii="Verdana" w:hAnsi="Verdana"/>
          <w:sz w:val="20"/>
          <w:szCs w:val="20"/>
          <w:lang w:val="es-MX"/>
        </w:rPr>
        <w:t xml:space="preserve">que </w:t>
      </w:r>
      <w:r w:rsidR="00362133">
        <w:rPr>
          <w:rFonts w:ascii="Verdana" w:hAnsi="Verdana" w:cs="Arial"/>
          <w:sz w:val="20"/>
          <w:szCs w:val="20"/>
          <w:lang w:val="es-MX"/>
        </w:rPr>
        <w:t>“</w:t>
      </w:r>
      <w:proofErr w:type="spellStart"/>
      <w:r w:rsidR="00362133">
        <w:rPr>
          <w:rFonts w:ascii="Verdana" w:hAnsi="Verdana" w:cs="Arial"/>
          <w:sz w:val="20"/>
          <w:szCs w:val="20"/>
          <w:lang w:val="es-MX"/>
        </w:rPr>
        <w:t>not</w:t>
      </w:r>
      <w:proofErr w:type="spellEnd"/>
      <w:r w:rsidR="00362133">
        <w:rPr>
          <w:rFonts w:ascii="Verdana" w:hAnsi="Verdana" w:cs="Arial"/>
          <w:sz w:val="20"/>
          <w:szCs w:val="20"/>
          <w:lang w:val="es-MX"/>
        </w:rPr>
        <w:t>[</w:t>
      </w:r>
      <w:proofErr w:type="spellStart"/>
      <w:r w:rsidR="00362133">
        <w:rPr>
          <w:rFonts w:ascii="Verdana" w:hAnsi="Verdana" w:cs="Arial"/>
          <w:sz w:val="20"/>
          <w:szCs w:val="20"/>
          <w:lang w:val="es-MX"/>
        </w:rPr>
        <w:t>ó</w:t>
      </w:r>
      <w:proofErr w:type="spellEnd"/>
      <w:r w:rsidR="00362133">
        <w:rPr>
          <w:rFonts w:ascii="Verdana" w:hAnsi="Verdana" w:cs="Arial"/>
          <w:sz w:val="20"/>
          <w:szCs w:val="20"/>
          <w:lang w:val="es-MX"/>
        </w:rPr>
        <w:t>]</w:t>
      </w:r>
      <w:r w:rsidR="00362133" w:rsidRPr="00883AD6">
        <w:rPr>
          <w:rFonts w:ascii="Verdana" w:hAnsi="Verdana" w:cs="Arial"/>
          <w:sz w:val="20"/>
          <w:szCs w:val="20"/>
          <w:lang w:val="es-MX"/>
        </w:rPr>
        <w:t xml:space="preserve"> que en dicha regulación no se</w:t>
      </w:r>
      <w:r w:rsidR="009039F6">
        <w:rPr>
          <w:rFonts w:ascii="Verdana" w:hAnsi="Verdana" w:cs="Arial"/>
          <w:sz w:val="20"/>
          <w:szCs w:val="20"/>
          <w:lang w:val="es-MX"/>
        </w:rPr>
        <w:t xml:space="preserve"> […]</w:t>
      </w:r>
      <w:r w:rsidR="00362133" w:rsidRPr="00883AD6">
        <w:rPr>
          <w:rFonts w:ascii="Verdana" w:hAnsi="Verdana" w:cs="Arial"/>
          <w:sz w:val="20"/>
          <w:szCs w:val="20"/>
          <w:lang w:val="es-MX"/>
        </w:rPr>
        <w:t xml:space="preserve"> </w:t>
      </w:r>
      <w:proofErr w:type="spellStart"/>
      <w:proofErr w:type="gramStart"/>
      <w:r w:rsidR="00362133" w:rsidRPr="00883AD6">
        <w:rPr>
          <w:rFonts w:ascii="Verdana" w:hAnsi="Verdana" w:cs="Arial"/>
          <w:sz w:val="20"/>
          <w:szCs w:val="20"/>
          <w:lang w:val="es-MX"/>
        </w:rPr>
        <w:t>inclu</w:t>
      </w:r>
      <w:proofErr w:type="spellEnd"/>
      <w:r w:rsidR="009039F6">
        <w:rPr>
          <w:rFonts w:ascii="Verdana" w:hAnsi="Verdana" w:cs="Arial"/>
          <w:sz w:val="20"/>
          <w:szCs w:val="20"/>
          <w:lang w:val="es-MX"/>
        </w:rPr>
        <w:t>[</w:t>
      </w:r>
      <w:proofErr w:type="spellStart"/>
      <w:proofErr w:type="gramEnd"/>
      <w:r w:rsidR="00362133" w:rsidRPr="00883AD6">
        <w:rPr>
          <w:rFonts w:ascii="Verdana" w:hAnsi="Verdana" w:cs="Arial"/>
          <w:sz w:val="20"/>
          <w:szCs w:val="20"/>
          <w:lang w:val="es-MX"/>
        </w:rPr>
        <w:t>yó</w:t>
      </w:r>
      <w:proofErr w:type="spellEnd"/>
      <w:r w:rsidR="00362133" w:rsidRPr="00883AD6">
        <w:rPr>
          <w:rFonts w:ascii="Verdana" w:hAnsi="Verdana" w:cs="Arial"/>
          <w:sz w:val="20"/>
          <w:szCs w:val="20"/>
          <w:lang w:val="es-MX"/>
        </w:rPr>
        <w:t xml:space="preserve">] la naturaleza continuada o permanente del delito ni referencias sobre la </w:t>
      </w:r>
      <w:proofErr w:type="spellStart"/>
      <w:r w:rsidR="00362133" w:rsidRPr="00883AD6">
        <w:rPr>
          <w:rFonts w:ascii="Verdana" w:hAnsi="Verdana" w:cs="Arial"/>
          <w:sz w:val="20"/>
          <w:szCs w:val="20"/>
          <w:lang w:val="es-MX"/>
        </w:rPr>
        <w:t>imprescribitibilidad</w:t>
      </w:r>
      <w:proofErr w:type="spellEnd"/>
      <w:r w:rsidR="00362133" w:rsidRPr="00883AD6">
        <w:rPr>
          <w:rFonts w:ascii="Verdana" w:hAnsi="Verdana" w:cs="Arial"/>
          <w:sz w:val="20"/>
          <w:szCs w:val="20"/>
          <w:lang w:val="es-MX"/>
        </w:rPr>
        <w:t xml:space="preserve"> de la acción penal derivada de la desaparición forzada de personas”</w:t>
      </w:r>
      <w:r w:rsidR="00362133">
        <w:rPr>
          <w:rFonts w:ascii="Verdana" w:hAnsi="Verdana" w:cs="Arial"/>
          <w:sz w:val="20"/>
          <w:szCs w:val="20"/>
          <w:lang w:val="es-MX"/>
        </w:rPr>
        <w:t>,</w:t>
      </w:r>
      <w:r w:rsidR="00362133" w:rsidRPr="00883AD6">
        <w:rPr>
          <w:rFonts w:ascii="Verdana" w:hAnsi="Verdana" w:cs="Arial"/>
          <w:sz w:val="20"/>
          <w:szCs w:val="20"/>
          <w:lang w:val="es-MX"/>
        </w:rPr>
        <w:t xml:space="preserve"> </w:t>
      </w:r>
      <w:r w:rsidR="00362133">
        <w:rPr>
          <w:rFonts w:ascii="Verdana" w:hAnsi="Verdana" w:cs="Arial"/>
          <w:sz w:val="20"/>
          <w:szCs w:val="20"/>
          <w:lang w:val="es-MX"/>
        </w:rPr>
        <w:t>“</w:t>
      </w:r>
      <w:proofErr w:type="spellStart"/>
      <w:r w:rsidR="00362133" w:rsidRPr="00883AD6">
        <w:rPr>
          <w:rFonts w:ascii="Verdana" w:hAnsi="Verdana" w:cs="Arial"/>
          <w:sz w:val="20"/>
          <w:szCs w:val="20"/>
          <w:lang w:val="es-MX"/>
        </w:rPr>
        <w:t>consider</w:t>
      </w:r>
      <w:proofErr w:type="spellEnd"/>
      <w:r w:rsidR="00362133" w:rsidRPr="00883AD6">
        <w:rPr>
          <w:rFonts w:ascii="Verdana" w:hAnsi="Verdana" w:cs="Arial"/>
          <w:sz w:val="20"/>
          <w:szCs w:val="20"/>
          <w:lang w:val="es-MX"/>
        </w:rPr>
        <w:t>[</w:t>
      </w:r>
      <w:proofErr w:type="spellStart"/>
      <w:r w:rsidR="00362133" w:rsidRPr="00883AD6">
        <w:rPr>
          <w:rFonts w:ascii="Verdana" w:hAnsi="Verdana" w:cs="Arial"/>
          <w:sz w:val="20"/>
          <w:szCs w:val="20"/>
          <w:lang w:val="es-MX"/>
        </w:rPr>
        <w:t>ó</w:t>
      </w:r>
      <w:proofErr w:type="spellEnd"/>
      <w:r w:rsidR="00362133" w:rsidRPr="00883AD6">
        <w:rPr>
          <w:rFonts w:ascii="Verdana" w:hAnsi="Verdana" w:cs="Arial"/>
          <w:sz w:val="20"/>
          <w:szCs w:val="20"/>
          <w:lang w:val="es-MX"/>
        </w:rPr>
        <w:t>] que la tipificación mencionada</w:t>
      </w:r>
      <w:r w:rsidR="00362133">
        <w:rPr>
          <w:rFonts w:ascii="Verdana" w:hAnsi="Verdana" w:cs="Arial"/>
          <w:sz w:val="20"/>
          <w:szCs w:val="20"/>
          <w:lang w:val="es-MX"/>
        </w:rPr>
        <w:t xml:space="preserve"> </w:t>
      </w:r>
      <w:proofErr w:type="spellStart"/>
      <w:r w:rsidR="00362133">
        <w:rPr>
          <w:rFonts w:ascii="Verdana" w:hAnsi="Verdana" w:cs="Arial"/>
          <w:sz w:val="20"/>
          <w:szCs w:val="20"/>
          <w:lang w:val="es-MX"/>
        </w:rPr>
        <w:t>cumpl</w:t>
      </w:r>
      <w:proofErr w:type="spellEnd"/>
      <w:r w:rsidR="00362133">
        <w:rPr>
          <w:rFonts w:ascii="Verdana" w:hAnsi="Verdana" w:cs="Arial"/>
          <w:sz w:val="20"/>
          <w:szCs w:val="20"/>
          <w:lang w:val="es-MX"/>
        </w:rPr>
        <w:t>[</w:t>
      </w:r>
      <w:proofErr w:type="spellStart"/>
      <w:r w:rsidR="00362133">
        <w:rPr>
          <w:rFonts w:ascii="Verdana" w:hAnsi="Verdana" w:cs="Arial"/>
          <w:sz w:val="20"/>
          <w:szCs w:val="20"/>
          <w:lang w:val="es-MX"/>
        </w:rPr>
        <w:t>ía</w:t>
      </w:r>
      <w:proofErr w:type="spellEnd"/>
      <w:r w:rsidR="00362133">
        <w:rPr>
          <w:rFonts w:ascii="Verdana" w:hAnsi="Verdana" w:cs="Arial"/>
          <w:sz w:val="20"/>
          <w:szCs w:val="20"/>
          <w:lang w:val="es-MX"/>
        </w:rPr>
        <w:t>]</w:t>
      </w:r>
      <w:r w:rsidR="00362133" w:rsidRPr="00883AD6">
        <w:rPr>
          <w:rFonts w:ascii="Verdana" w:hAnsi="Verdana" w:cs="Arial"/>
          <w:sz w:val="20"/>
          <w:szCs w:val="20"/>
          <w:lang w:val="es-MX"/>
        </w:rPr>
        <w:t xml:space="preserve"> parcialmente con los requisitos previstos en la Convención Interamericana sobre  Desaparición Forzada de Personas y ordenados en la Sentencia</w:t>
      </w:r>
      <w:r w:rsidR="00DC5372">
        <w:rPr>
          <w:rFonts w:ascii="Verdana" w:hAnsi="Verdana" w:cs="Arial"/>
          <w:sz w:val="20"/>
          <w:szCs w:val="20"/>
          <w:lang w:val="es-MX"/>
        </w:rPr>
        <w:t>”. Al respecto, ordenó</w:t>
      </w:r>
      <w:r w:rsidR="00362133" w:rsidRPr="00883AD6">
        <w:rPr>
          <w:rFonts w:ascii="Verdana" w:hAnsi="Verdana" w:cs="Arial"/>
          <w:sz w:val="20"/>
          <w:szCs w:val="20"/>
          <w:lang w:val="es-MX"/>
        </w:rPr>
        <w:t xml:space="preserve">  al Estado</w:t>
      </w:r>
      <w:r w:rsidR="00DC5372">
        <w:rPr>
          <w:rFonts w:ascii="Verdana" w:hAnsi="Verdana" w:cs="Arial"/>
          <w:sz w:val="20"/>
          <w:szCs w:val="20"/>
          <w:lang w:val="es-MX"/>
        </w:rPr>
        <w:t xml:space="preserve"> “</w:t>
      </w:r>
      <w:r w:rsidR="00362133" w:rsidRPr="00883AD6">
        <w:rPr>
          <w:rFonts w:ascii="Verdana" w:hAnsi="Verdana" w:cs="Arial"/>
          <w:sz w:val="20"/>
          <w:szCs w:val="20"/>
          <w:lang w:val="es-MX"/>
        </w:rPr>
        <w:t>adopt</w:t>
      </w:r>
      <w:r w:rsidR="00362133">
        <w:rPr>
          <w:rFonts w:ascii="Verdana" w:hAnsi="Verdana" w:cs="Arial"/>
          <w:sz w:val="20"/>
          <w:szCs w:val="20"/>
          <w:lang w:val="es-MX"/>
        </w:rPr>
        <w:t>ar</w:t>
      </w:r>
      <w:r w:rsidR="00362133" w:rsidRPr="00883AD6">
        <w:rPr>
          <w:rFonts w:ascii="Verdana" w:hAnsi="Verdana" w:cs="Arial"/>
          <w:sz w:val="20"/>
          <w:szCs w:val="20"/>
          <w:lang w:val="es-MX"/>
        </w:rPr>
        <w:t xml:space="preserve"> las medidas necesarias a fin de adecuar, en un plazo razonable, su derecho interno en relación con la naturaleza continuada y permanente del delito de desaparición forzada y a la imprescriptibilidad de la acción penal por dicho delito”</w:t>
      </w:r>
      <w:r w:rsidR="00362133">
        <w:rPr>
          <w:rFonts w:ascii="Verdana" w:hAnsi="Verdana" w:cs="Arial"/>
          <w:sz w:val="20"/>
          <w:szCs w:val="20"/>
          <w:lang w:val="es-MX"/>
        </w:rPr>
        <w:t>.</w:t>
      </w:r>
      <w:r w:rsidR="00294074">
        <w:rPr>
          <w:rFonts w:ascii="Verdana" w:hAnsi="Verdana" w:cs="Arial"/>
          <w:sz w:val="20"/>
          <w:szCs w:val="20"/>
          <w:lang w:val="es-MX"/>
        </w:rPr>
        <w:t xml:space="preserve"> </w:t>
      </w:r>
      <w:bookmarkEnd w:id="24"/>
    </w:p>
    <w:p w14:paraId="57EC226D" w14:textId="4B678CE8" w:rsidR="00D068B4" w:rsidRDefault="00B618BF" w:rsidP="00305922">
      <w:pPr>
        <w:pStyle w:val="ListParagraph"/>
        <w:numPr>
          <w:ilvl w:val="0"/>
          <w:numId w:val="3"/>
        </w:numPr>
        <w:spacing w:before="120" w:after="120" w:line="240" w:lineRule="auto"/>
        <w:ind w:left="0" w:firstLine="0"/>
        <w:contextualSpacing w:val="0"/>
        <w:jc w:val="both"/>
        <w:rPr>
          <w:rFonts w:ascii="Verdana" w:hAnsi="Verdana"/>
          <w:sz w:val="20"/>
          <w:szCs w:val="20"/>
          <w:lang w:val="es-MX"/>
        </w:rPr>
      </w:pPr>
      <w:r>
        <w:rPr>
          <w:rFonts w:ascii="Verdana" w:hAnsi="Verdana"/>
          <w:sz w:val="20"/>
          <w:szCs w:val="20"/>
          <w:lang w:val="es-MX"/>
        </w:rPr>
        <w:t>L</w:t>
      </w:r>
      <w:r w:rsidR="00D068B4">
        <w:rPr>
          <w:rFonts w:ascii="Verdana" w:hAnsi="Verdana"/>
          <w:sz w:val="20"/>
          <w:szCs w:val="20"/>
          <w:lang w:val="es-MX"/>
        </w:rPr>
        <w:t>a Convención Interamericana sobre Desaparición Forzada define la desaparición forzada en su artículo II como:</w:t>
      </w:r>
    </w:p>
    <w:p w14:paraId="18F18B03" w14:textId="77777777" w:rsidR="00D068B4" w:rsidRDefault="00D068B4" w:rsidP="00305922">
      <w:pPr>
        <w:pStyle w:val="ListParagraph"/>
        <w:spacing w:line="240" w:lineRule="auto"/>
        <w:ind w:left="0"/>
        <w:jc w:val="both"/>
        <w:rPr>
          <w:rFonts w:ascii="Verdana" w:hAnsi="Verdana"/>
          <w:sz w:val="20"/>
          <w:szCs w:val="20"/>
          <w:lang w:val="es-MX"/>
        </w:rPr>
      </w:pPr>
    </w:p>
    <w:p w14:paraId="056EBCA6" w14:textId="4CA84918" w:rsidR="00D068B4" w:rsidRDefault="00D068B4" w:rsidP="00362133">
      <w:pPr>
        <w:pStyle w:val="ListParagraph"/>
        <w:spacing w:before="120" w:after="120" w:line="240" w:lineRule="auto"/>
        <w:ind w:right="571"/>
        <w:jc w:val="both"/>
        <w:rPr>
          <w:rFonts w:ascii="Verdana" w:hAnsi="Verdana"/>
          <w:sz w:val="16"/>
          <w:szCs w:val="16"/>
          <w:lang w:val="es-MX"/>
        </w:rPr>
      </w:pPr>
      <w:r w:rsidRPr="00F016A1">
        <w:rPr>
          <w:rFonts w:ascii="Verdana" w:hAnsi="Verdana"/>
          <w:sz w:val="16"/>
          <w:szCs w:val="16"/>
          <w:lang w:val="es-MX"/>
        </w:rPr>
        <w:t>[</w:t>
      </w:r>
      <w:r>
        <w:rPr>
          <w:rFonts w:ascii="Verdana" w:hAnsi="Verdana"/>
          <w:sz w:val="16"/>
          <w:szCs w:val="16"/>
          <w:lang w:val="es-MX"/>
        </w:rPr>
        <w:t>…</w:t>
      </w:r>
      <w:proofErr w:type="gramStart"/>
      <w:r w:rsidRPr="00F016A1">
        <w:rPr>
          <w:rFonts w:ascii="Verdana" w:hAnsi="Verdana"/>
          <w:sz w:val="16"/>
          <w:szCs w:val="16"/>
          <w:lang w:val="es-MX"/>
        </w:rPr>
        <w:t>]</w:t>
      </w:r>
      <w:r>
        <w:rPr>
          <w:rFonts w:ascii="Verdana" w:hAnsi="Verdana"/>
          <w:sz w:val="16"/>
          <w:szCs w:val="16"/>
          <w:lang w:val="es-MX"/>
        </w:rPr>
        <w:t>l</w:t>
      </w:r>
      <w:r w:rsidRPr="00F016A1">
        <w:rPr>
          <w:rFonts w:ascii="Verdana" w:hAnsi="Verdana"/>
          <w:sz w:val="16"/>
          <w:szCs w:val="16"/>
          <w:lang w:val="es-MX"/>
        </w:rPr>
        <w:t>a</w:t>
      </w:r>
      <w:proofErr w:type="gramEnd"/>
      <w:r w:rsidRPr="00F016A1">
        <w:rPr>
          <w:rFonts w:ascii="Verdana" w:hAnsi="Verdana"/>
          <w:sz w:val="16"/>
          <w:szCs w:val="16"/>
          <w:lang w:val="es-MX"/>
        </w:rPr>
        <w:t xml:space="preserve"> privación de la libertad a una o más personas, cualquiera que fuere su forma, cometida por agentes del Estado o por </w:t>
      </w:r>
      <w:r w:rsidRPr="00362133">
        <w:rPr>
          <w:rFonts w:ascii="Verdana" w:hAnsi="Verdana" w:cs="Arial"/>
          <w:sz w:val="16"/>
          <w:szCs w:val="16"/>
          <w:lang w:val="es-MX"/>
        </w:rPr>
        <w:t>personas</w:t>
      </w:r>
      <w:r w:rsidRPr="00F016A1">
        <w:rPr>
          <w:rFonts w:ascii="Verdana" w:hAnsi="Verdana"/>
          <w:sz w:val="16"/>
          <w:szCs w:val="16"/>
          <w:lang w:val="es-MX"/>
        </w:rPr>
        <w:t xml:space="preserve"> o grupos de personas que actúen con la autorización</w:t>
      </w:r>
      <w:r w:rsidR="009039F6">
        <w:rPr>
          <w:rFonts w:ascii="Verdana" w:hAnsi="Verdana"/>
          <w:sz w:val="16"/>
          <w:szCs w:val="16"/>
          <w:lang w:val="es-MX"/>
        </w:rPr>
        <w:t>,</w:t>
      </w:r>
      <w:r w:rsidRPr="00F016A1">
        <w:rPr>
          <w:rFonts w:ascii="Verdana" w:hAnsi="Verdana"/>
          <w:sz w:val="16"/>
          <w:szCs w:val="16"/>
          <w:lang w:val="es-MX"/>
        </w:rPr>
        <w:t xml:space="preserve"> el apoyo o </w:t>
      </w:r>
      <w:r w:rsidRPr="00F016A1">
        <w:rPr>
          <w:rFonts w:ascii="Verdana" w:hAnsi="Verdana"/>
          <w:sz w:val="16"/>
          <w:szCs w:val="16"/>
          <w:lang w:val="es-MX"/>
        </w:rPr>
        <w:lastRenderedPageBreak/>
        <w:t xml:space="preserve">la aquiescencia del Estado, seguida de la falta de información o de la negativa a reconocer dicha privación de libertad o de </w:t>
      </w:r>
      <w:r w:rsidRPr="008C3329">
        <w:rPr>
          <w:rFonts w:ascii="Verdana" w:hAnsi="Verdana"/>
          <w:sz w:val="16"/>
          <w:szCs w:val="16"/>
          <w:lang w:val="es-MX"/>
        </w:rPr>
        <w:t>informar sob</w:t>
      </w:r>
      <w:r>
        <w:rPr>
          <w:rFonts w:ascii="Verdana" w:hAnsi="Verdana"/>
          <w:sz w:val="16"/>
          <w:szCs w:val="16"/>
          <w:lang w:val="es-MX"/>
        </w:rPr>
        <w:t>r</w:t>
      </w:r>
      <w:r w:rsidRPr="008C3329">
        <w:rPr>
          <w:rFonts w:ascii="Verdana" w:hAnsi="Verdana"/>
          <w:sz w:val="16"/>
          <w:szCs w:val="16"/>
          <w:lang w:val="es-MX"/>
        </w:rPr>
        <w:t>e el paradero de la persona, con lo cual se impide el ejercicio de los recursos legales y de las garantías procesales pertinentes</w:t>
      </w:r>
      <w:r>
        <w:rPr>
          <w:rFonts w:ascii="Verdana" w:hAnsi="Verdana"/>
          <w:sz w:val="16"/>
          <w:szCs w:val="16"/>
          <w:lang w:val="es-MX"/>
        </w:rPr>
        <w:t>.</w:t>
      </w:r>
    </w:p>
    <w:p w14:paraId="0447D585" w14:textId="77777777" w:rsidR="00D068B4" w:rsidRDefault="00D068B4" w:rsidP="00305922">
      <w:pPr>
        <w:pStyle w:val="ListParagraph"/>
        <w:spacing w:line="240" w:lineRule="auto"/>
        <w:ind w:left="0"/>
        <w:jc w:val="both"/>
        <w:rPr>
          <w:rFonts w:ascii="Verdana" w:hAnsi="Verdana"/>
          <w:sz w:val="20"/>
          <w:szCs w:val="20"/>
          <w:lang w:val="es-MX"/>
        </w:rPr>
      </w:pPr>
    </w:p>
    <w:p w14:paraId="52D6FF0B" w14:textId="480DA39A" w:rsidR="00D068B4" w:rsidRDefault="00D068B4" w:rsidP="00305922">
      <w:pPr>
        <w:pStyle w:val="ListParagraph"/>
        <w:numPr>
          <w:ilvl w:val="0"/>
          <w:numId w:val="3"/>
        </w:numPr>
        <w:spacing w:before="120" w:after="120" w:line="240" w:lineRule="auto"/>
        <w:ind w:left="0" w:firstLine="0"/>
        <w:contextualSpacing w:val="0"/>
        <w:jc w:val="both"/>
        <w:rPr>
          <w:rFonts w:ascii="Verdana" w:hAnsi="Verdana"/>
          <w:sz w:val="20"/>
          <w:szCs w:val="20"/>
          <w:lang w:val="es-MX"/>
        </w:rPr>
      </w:pPr>
      <w:r>
        <w:rPr>
          <w:rFonts w:ascii="Verdana" w:hAnsi="Verdana"/>
          <w:sz w:val="20"/>
          <w:szCs w:val="20"/>
          <w:lang w:val="es-MX"/>
        </w:rPr>
        <w:t>En este sentido, siguiendo la reiterada jurisprudencia de la Corte, la desaparición forzada de personas cuenta con los siguientes elementos concurrentes y constitutivos: “a) la privación de la libertad; b) la intervención directa de agentes de estatales o la aqui</w:t>
      </w:r>
      <w:r w:rsidRPr="00D25A7A">
        <w:rPr>
          <w:rFonts w:ascii="Verdana" w:hAnsi="Verdana"/>
          <w:sz w:val="20"/>
          <w:szCs w:val="20"/>
          <w:lang w:val="es-MX"/>
        </w:rPr>
        <w:t>escencia de éstos, y c)</w:t>
      </w:r>
      <w:r>
        <w:rPr>
          <w:rFonts w:ascii="Verdana" w:hAnsi="Verdana"/>
          <w:sz w:val="20"/>
          <w:szCs w:val="20"/>
          <w:lang w:val="es-MX"/>
        </w:rPr>
        <w:t xml:space="preserve"> </w:t>
      </w:r>
      <w:r w:rsidRPr="00D25A7A">
        <w:rPr>
          <w:rFonts w:ascii="Verdana" w:hAnsi="Verdana"/>
          <w:sz w:val="20"/>
          <w:szCs w:val="20"/>
          <w:lang w:val="es-MX"/>
        </w:rPr>
        <w:t xml:space="preserve">la negativa de reconocer la detención y </w:t>
      </w:r>
      <w:r w:rsidR="00152C6D">
        <w:rPr>
          <w:rFonts w:ascii="Verdana" w:hAnsi="Verdana"/>
          <w:sz w:val="20"/>
          <w:szCs w:val="20"/>
          <w:lang w:val="es-MX"/>
        </w:rPr>
        <w:t xml:space="preserve">de </w:t>
      </w:r>
      <w:r w:rsidRPr="00D25A7A">
        <w:rPr>
          <w:rFonts w:ascii="Verdana" w:hAnsi="Verdana"/>
          <w:sz w:val="20"/>
          <w:szCs w:val="20"/>
          <w:lang w:val="es-MX"/>
        </w:rPr>
        <w:t xml:space="preserve">revelar la suerte o </w:t>
      </w:r>
      <w:r w:rsidR="00152C6D">
        <w:rPr>
          <w:rFonts w:ascii="Verdana" w:hAnsi="Verdana"/>
          <w:sz w:val="20"/>
          <w:szCs w:val="20"/>
          <w:lang w:val="es-MX"/>
        </w:rPr>
        <w:t xml:space="preserve">el </w:t>
      </w:r>
      <w:r w:rsidRPr="00D25A7A">
        <w:rPr>
          <w:rFonts w:ascii="Verdana" w:hAnsi="Verdana"/>
          <w:sz w:val="20"/>
          <w:szCs w:val="20"/>
          <w:lang w:val="es-MX"/>
        </w:rPr>
        <w:t>paradero de la persona interesada”</w:t>
      </w:r>
      <w:r>
        <w:rPr>
          <w:rStyle w:val="FootnoteReference"/>
          <w:rFonts w:ascii="Verdana" w:hAnsi="Verdana"/>
          <w:sz w:val="20"/>
          <w:szCs w:val="20"/>
          <w:lang w:val="es-MX"/>
        </w:rPr>
        <w:footnoteReference w:id="26"/>
      </w:r>
      <w:r w:rsidRPr="00D25A7A">
        <w:rPr>
          <w:rFonts w:ascii="Verdana" w:hAnsi="Verdana"/>
          <w:sz w:val="20"/>
          <w:szCs w:val="20"/>
          <w:lang w:val="es-MX"/>
        </w:rPr>
        <w:t xml:space="preserve">. </w:t>
      </w:r>
    </w:p>
    <w:p w14:paraId="1D033DE3" w14:textId="77777777" w:rsidR="00D068B4" w:rsidRDefault="00D068B4" w:rsidP="00305922">
      <w:pPr>
        <w:pStyle w:val="ListParagraph"/>
        <w:spacing w:line="240" w:lineRule="auto"/>
        <w:ind w:left="0"/>
        <w:jc w:val="both"/>
        <w:rPr>
          <w:rFonts w:ascii="Verdana" w:hAnsi="Verdana"/>
          <w:sz w:val="20"/>
          <w:szCs w:val="20"/>
          <w:lang w:val="es-MX"/>
        </w:rPr>
      </w:pPr>
    </w:p>
    <w:p w14:paraId="2069EEBB" w14:textId="70BD02F2" w:rsidR="00D068B4" w:rsidRDefault="00D068B4" w:rsidP="00305922">
      <w:pPr>
        <w:pStyle w:val="ListParagraph"/>
        <w:numPr>
          <w:ilvl w:val="0"/>
          <w:numId w:val="3"/>
        </w:numPr>
        <w:spacing w:before="120" w:after="120" w:line="240" w:lineRule="auto"/>
        <w:ind w:left="0" w:firstLine="0"/>
        <w:contextualSpacing w:val="0"/>
        <w:jc w:val="both"/>
        <w:rPr>
          <w:rFonts w:ascii="Verdana" w:hAnsi="Verdana"/>
          <w:sz w:val="20"/>
          <w:szCs w:val="20"/>
          <w:lang w:val="es-MX"/>
        </w:rPr>
      </w:pPr>
      <w:bookmarkStart w:id="25" w:name="_Ref498682785"/>
      <w:r>
        <w:rPr>
          <w:rFonts w:ascii="Verdana" w:hAnsi="Verdana"/>
          <w:sz w:val="20"/>
          <w:szCs w:val="20"/>
          <w:lang w:val="es-MX"/>
        </w:rPr>
        <w:t>Actualmente</w:t>
      </w:r>
      <w:r w:rsidR="00B618BF">
        <w:rPr>
          <w:rFonts w:ascii="Verdana" w:hAnsi="Verdana"/>
          <w:sz w:val="20"/>
          <w:szCs w:val="20"/>
          <w:lang w:val="es-MX"/>
        </w:rPr>
        <w:t>,</w:t>
      </w:r>
      <w:r>
        <w:rPr>
          <w:rFonts w:ascii="Verdana" w:hAnsi="Verdana"/>
          <w:sz w:val="20"/>
          <w:szCs w:val="20"/>
          <w:lang w:val="es-MX"/>
        </w:rPr>
        <w:t xml:space="preserve"> </w:t>
      </w:r>
      <w:r w:rsidRPr="009B7FED">
        <w:rPr>
          <w:rFonts w:ascii="Verdana" w:hAnsi="Verdana"/>
          <w:sz w:val="20"/>
          <w:szCs w:val="20"/>
          <w:lang w:val="es-MX"/>
        </w:rPr>
        <w:t xml:space="preserve">el artículo </w:t>
      </w:r>
      <w:r w:rsidR="003A4412">
        <w:rPr>
          <w:rFonts w:ascii="Verdana" w:hAnsi="Verdana"/>
          <w:sz w:val="20"/>
          <w:szCs w:val="20"/>
          <w:lang w:val="es-MX"/>
        </w:rPr>
        <w:t>152</w:t>
      </w:r>
      <w:r w:rsidRPr="009B7FED">
        <w:rPr>
          <w:rFonts w:ascii="Verdana" w:hAnsi="Verdana"/>
          <w:sz w:val="20"/>
          <w:szCs w:val="20"/>
          <w:lang w:val="es-MX"/>
        </w:rPr>
        <w:t xml:space="preserve"> del Código Penal</w:t>
      </w:r>
      <w:r w:rsidR="003A4412">
        <w:rPr>
          <w:rFonts w:ascii="Verdana" w:hAnsi="Verdana"/>
          <w:sz w:val="20"/>
          <w:szCs w:val="20"/>
          <w:lang w:val="es-MX"/>
        </w:rPr>
        <w:t xml:space="preserve"> </w:t>
      </w:r>
      <w:r w:rsidR="006069D1">
        <w:rPr>
          <w:rFonts w:ascii="Verdana" w:hAnsi="Verdana"/>
          <w:sz w:val="20"/>
          <w:szCs w:val="20"/>
          <w:lang w:val="es-MX"/>
        </w:rPr>
        <w:t>de Panamá</w:t>
      </w:r>
      <w:r w:rsidR="003A4412">
        <w:rPr>
          <w:rFonts w:ascii="Verdana" w:hAnsi="Verdana"/>
          <w:sz w:val="20"/>
          <w:szCs w:val="20"/>
          <w:lang w:val="es-MX"/>
        </w:rPr>
        <w:t xml:space="preserve"> tipifica la desaparición  forzada de personas </w:t>
      </w:r>
      <w:r w:rsidRPr="009B7FED">
        <w:rPr>
          <w:rFonts w:ascii="Verdana" w:hAnsi="Verdana"/>
          <w:sz w:val="20"/>
          <w:szCs w:val="20"/>
          <w:lang w:val="es-MX"/>
        </w:rPr>
        <w:t>de la siguiente manera:</w:t>
      </w:r>
      <w:bookmarkEnd w:id="25"/>
    </w:p>
    <w:p w14:paraId="1AF8376E" w14:textId="77777777" w:rsidR="006069D1" w:rsidRPr="006069D1" w:rsidRDefault="006069D1" w:rsidP="00305922">
      <w:pPr>
        <w:pStyle w:val="ListParagraph"/>
        <w:spacing w:line="240" w:lineRule="auto"/>
        <w:ind w:left="0"/>
        <w:jc w:val="both"/>
        <w:rPr>
          <w:rFonts w:ascii="Verdana" w:hAnsi="Verdana"/>
          <w:sz w:val="20"/>
          <w:szCs w:val="20"/>
          <w:lang w:val="es-MX"/>
        </w:rPr>
      </w:pPr>
    </w:p>
    <w:p w14:paraId="3F7332FB" w14:textId="0587FE0E" w:rsidR="00D068B4" w:rsidRPr="00F828BA" w:rsidRDefault="002A1A3C" w:rsidP="00763E6A">
      <w:pPr>
        <w:pStyle w:val="ListParagraph"/>
        <w:spacing w:before="120" w:after="120" w:line="240" w:lineRule="auto"/>
        <w:ind w:right="571"/>
        <w:jc w:val="both"/>
        <w:rPr>
          <w:rFonts w:ascii="Verdana" w:hAnsi="Verdana" w:cs="Arial"/>
          <w:b/>
          <w:sz w:val="16"/>
          <w:szCs w:val="16"/>
          <w:lang w:val="es-CR"/>
        </w:rPr>
      </w:pPr>
      <w:r w:rsidRPr="002A1A3C">
        <w:rPr>
          <w:rFonts w:ascii="Verdana" w:hAnsi="Verdana"/>
          <w:sz w:val="16"/>
          <w:szCs w:val="16"/>
          <w:lang w:val="es-CR"/>
        </w:rPr>
        <w:t xml:space="preserve">La privación de la libertad de una o más personas, cualquiera que sea su forma, cometida por agentes del Estado o por personas o </w:t>
      </w:r>
      <w:r w:rsidRPr="00763E6A">
        <w:rPr>
          <w:rFonts w:ascii="Verdana" w:hAnsi="Verdana"/>
          <w:sz w:val="16"/>
          <w:szCs w:val="16"/>
          <w:lang w:val="es-MX"/>
        </w:rPr>
        <w:t>grupos</w:t>
      </w:r>
      <w:r w:rsidRPr="002A1A3C">
        <w:rPr>
          <w:rFonts w:ascii="Verdana" w:hAnsi="Verdana"/>
          <w:sz w:val="16"/>
          <w:szCs w:val="16"/>
          <w:lang w:val="es-CR"/>
        </w:rPr>
        <w:t xml:space="preserve"> de personas que actúen con la autorización, el apoyo, directo o indirecto, o la aquiescencia del Estado, seguida de la falta de información o de la negativa a reconocer dicha privación de libertad o de informar sobre el paradero de la persona, con la cual se impide el ejercicio de los recursos legales o de las garantías procesales pertinentes, será sancionado con prisión de quince a veinte años. Este delito será considerado como continuado o permanente mientras no se establezca el destino o paradero de la víctima. La acción penal derivada de la desaparición forzada de personas y la pena impuesta judicialmente al responsable de la misma serán imprescriptibles.</w:t>
      </w:r>
      <w:r w:rsidR="00F828BA">
        <w:rPr>
          <w:rFonts w:ascii="Verdana" w:hAnsi="Verdana"/>
          <w:sz w:val="16"/>
          <w:szCs w:val="16"/>
          <w:lang w:val="es-CR"/>
        </w:rPr>
        <w:t xml:space="preserve"> </w:t>
      </w:r>
    </w:p>
    <w:p w14:paraId="41778D9E" w14:textId="77777777" w:rsidR="00954493" w:rsidRPr="00954493" w:rsidRDefault="00954493" w:rsidP="00305922">
      <w:pPr>
        <w:spacing w:before="120" w:after="120" w:line="240" w:lineRule="auto"/>
        <w:jc w:val="both"/>
        <w:rPr>
          <w:rFonts w:ascii="Verdana" w:hAnsi="Verdana" w:cs="Arial"/>
          <w:sz w:val="20"/>
          <w:szCs w:val="20"/>
          <w:lang w:val="es-MX"/>
        </w:rPr>
      </w:pPr>
    </w:p>
    <w:p w14:paraId="3A3103EB" w14:textId="5BB3BBCE" w:rsidR="00D13641" w:rsidRPr="00051EE9" w:rsidRDefault="002A1A3C" w:rsidP="00DC58D0">
      <w:pPr>
        <w:pStyle w:val="ListParagraph"/>
        <w:numPr>
          <w:ilvl w:val="0"/>
          <w:numId w:val="3"/>
        </w:numPr>
        <w:spacing w:before="120" w:after="120" w:line="240" w:lineRule="auto"/>
        <w:ind w:left="0" w:firstLine="0"/>
        <w:contextualSpacing w:val="0"/>
        <w:jc w:val="both"/>
        <w:rPr>
          <w:rFonts w:ascii="Verdana" w:hAnsi="Verdana" w:cs="Arial"/>
          <w:sz w:val="20"/>
          <w:szCs w:val="20"/>
          <w:lang w:val="es-MX"/>
        </w:rPr>
      </w:pPr>
      <w:bookmarkStart w:id="26" w:name="_Ref498615762"/>
      <w:r w:rsidRPr="00B64770">
        <w:rPr>
          <w:rFonts w:ascii="Verdana" w:hAnsi="Verdana"/>
          <w:sz w:val="20"/>
          <w:szCs w:val="20"/>
          <w:lang w:val="es-MX"/>
        </w:rPr>
        <w:t xml:space="preserve">La Corte observa que la </w:t>
      </w:r>
      <w:r w:rsidR="002B1DCE">
        <w:rPr>
          <w:rFonts w:ascii="Verdana" w:hAnsi="Verdana"/>
          <w:sz w:val="20"/>
          <w:szCs w:val="20"/>
          <w:lang w:val="es-MX"/>
        </w:rPr>
        <w:t xml:space="preserve">adecuación al tipo penal </w:t>
      </w:r>
      <w:r w:rsidRPr="00B64770">
        <w:rPr>
          <w:rFonts w:ascii="Verdana" w:hAnsi="Verdana"/>
          <w:sz w:val="20"/>
          <w:szCs w:val="20"/>
          <w:lang w:val="es-MX"/>
        </w:rPr>
        <w:t xml:space="preserve">de desaparición </w:t>
      </w:r>
      <w:r w:rsidR="00B00473">
        <w:rPr>
          <w:rFonts w:ascii="Verdana" w:hAnsi="Verdana"/>
          <w:sz w:val="20"/>
          <w:szCs w:val="20"/>
          <w:lang w:val="es-MX"/>
        </w:rPr>
        <w:t>forzada</w:t>
      </w:r>
      <w:r w:rsidRPr="00B64770">
        <w:rPr>
          <w:rFonts w:ascii="Verdana" w:hAnsi="Verdana"/>
          <w:sz w:val="20"/>
          <w:szCs w:val="20"/>
          <w:lang w:val="es-MX"/>
        </w:rPr>
        <w:t xml:space="preserve"> </w:t>
      </w:r>
      <w:r w:rsidR="002B1DCE">
        <w:rPr>
          <w:rFonts w:ascii="Verdana" w:hAnsi="Verdana"/>
          <w:sz w:val="20"/>
          <w:szCs w:val="20"/>
          <w:lang w:val="es-MX"/>
        </w:rPr>
        <w:t xml:space="preserve">se mantiene en los mismos términos que ya habían sido valorados positivamente en la Resolución de 2012, y </w:t>
      </w:r>
      <w:r w:rsidRPr="00B64770">
        <w:rPr>
          <w:rFonts w:ascii="Verdana" w:hAnsi="Verdana"/>
          <w:sz w:val="20"/>
          <w:szCs w:val="20"/>
          <w:lang w:val="es-MX"/>
        </w:rPr>
        <w:t>adopta la totalida</w:t>
      </w:r>
      <w:r w:rsidR="00B64770" w:rsidRPr="00B64770">
        <w:rPr>
          <w:rFonts w:ascii="Verdana" w:hAnsi="Verdana"/>
          <w:sz w:val="20"/>
          <w:szCs w:val="20"/>
          <w:lang w:val="es-MX"/>
        </w:rPr>
        <w:t>d de los elementos incluidos en</w:t>
      </w:r>
      <w:r w:rsidR="00B64770" w:rsidRPr="00B64770">
        <w:rPr>
          <w:rFonts w:ascii="Verdana" w:hAnsi="Verdana" w:cs="Arial"/>
          <w:sz w:val="20"/>
          <w:szCs w:val="20"/>
          <w:lang w:val="es-MX"/>
        </w:rPr>
        <w:t xml:space="preserve"> la Convención Interamericana sobre Desaparición Forzada de Personas y ordenados en la Sentencia</w:t>
      </w:r>
      <w:r w:rsidR="00B64770">
        <w:rPr>
          <w:rFonts w:ascii="Verdana" w:hAnsi="Verdana" w:cs="Arial"/>
          <w:sz w:val="20"/>
          <w:szCs w:val="20"/>
          <w:lang w:val="es-MX"/>
        </w:rPr>
        <w:t>.</w:t>
      </w:r>
      <w:r w:rsidR="002B1DCE">
        <w:rPr>
          <w:rFonts w:ascii="Verdana" w:hAnsi="Verdana" w:cs="Arial"/>
          <w:sz w:val="20"/>
          <w:szCs w:val="20"/>
          <w:lang w:val="es-MX"/>
        </w:rPr>
        <w:t xml:space="preserve"> Además, la </w:t>
      </w:r>
      <w:r w:rsidR="002B1DCE" w:rsidRPr="00DC58D0">
        <w:rPr>
          <w:rFonts w:ascii="Verdana" w:hAnsi="Verdana"/>
          <w:sz w:val="20"/>
          <w:szCs w:val="20"/>
          <w:lang w:val="es-MX"/>
        </w:rPr>
        <w:t>modificación</w:t>
      </w:r>
      <w:r w:rsidR="002B1DCE">
        <w:rPr>
          <w:rFonts w:ascii="Verdana" w:hAnsi="Verdana" w:cs="Arial"/>
          <w:sz w:val="20"/>
          <w:szCs w:val="20"/>
          <w:lang w:val="es-MX"/>
        </w:rPr>
        <w:t xml:space="preserve"> legislativa de </w:t>
      </w:r>
      <w:r w:rsidR="00B618BF">
        <w:rPr>
          <w:rFonts w:ascii="Verdana" w:hAnsi="Verdana" w:cs="Arial"/>
          <w:sz w:val="20"/>
          <w:szCs w:val="20"/>
          <w:lang w:val="es-MX"/>
        </w:rPr>
        <w:t>2016</w:t>
      </w:r>
      <w:r w:rsidR="0080600D">
        <w:rPr>
          <w:rFonts w:ascii="Verdana" w:hAnsi="Verdana" w:cs="Arial"/>
          <w:sz w:val="20"/>
          <w:szCs w:val="20"/>
          <w:lang w:val="es-MX"/>
        </w:rPr>
        <w:t xml:space="preserve"> </w:t>
      </w:r>
      <w:r w:rsidR="002B1DCE">
        <w:rPr>
          <w:rFonts w:ascii="Verdana" w:hAnsi="Verdana" w:cs="Arial"/>
          <w:sz w:val="20"/>
          <w:szCs w:val="20"/>
          <w:lang w:val="es-MX"/>
        </w:rPr>
        <w:t xml:space="preserve">incorpora de forma expresa dentro de la previsión el carácter “continuado o permanente” del delito, al igual que su carácter imprescriptible, en atención a lo </w:t>
      </w:r>
      <w:r w:rsidR="00B618BF">
        <w:rPr>
          <w:rFonts w:ascii="Verdana" w:hAnsi="Verdana" w:cs="Arial"/>
          <w:sz w:val="20"/>
          <w:szCs w:val="20"/>
          <w:lang w:val="es-MX"/>
        </w:rPr>
        <w:t>indicado</w:t>
      </w:r>
      <w:r w:rsidR="002B1DCE">
        <w:rPr>
          <w:rFonts w:ascii="Verdana" w:hAnsi="Verdana" w:cs="Arial"/>
          <w:sz w:val="20"/>
          <w:szCs w:val="20"/>
          <w:lang w:val="es-MX"/>
        </w:rPr>
        <w:t xml:space="preserve"> por la Corte en su Resolución de 2012. </w:t>
      </w:r>
      <w:r w:rsidR="009445F5" w:rsidRPr="00051EE9">
        <w:rPr>
          <w:rFonts w:ascii="Verdana" w:hAnsi="Verdana" w:cs="Arial"/>
          <w:sz w:val="20"/>
          <w:szCs w:val="20"/>
          <w:lang w:val="es-MX"/>
        </w:rPr>
        <w:t xml:space="preserve">La Corte también hace notar que en </w:t>
      </w:r>
      <w:r w:rsidR="00051EE9">
        <w:rPr>
          <w:rFonts w:ascii="Verdana" w:hAnsi="Verdana" w:cs="Arial"/>
          <w:sz w:val="20"/>
          <w:szCs w:val="20"/>
          <w:lang w:val="es-MX"/>
        </w:rPr>
        <w:t>decisiones</w:t>
      </w:r>
      <w:r w:rsidR="009445F5" w:rsidRPr="00051EE9">
        <w:rPr>
          <w:rFonts w:ascii="Verdana" w:hAnsi="Verdana" w:cs="Arial"/>
          <w:sz w:val="20"/>
          <w:szCs w:val="20"/>
          <w:lang w:val="es-MX"/>
        </w:rPr>
        <w:t xml:space="preserve"> recientes ha sostenido que </w:t>
      </w:r>
      <w:r w:rsidR="00DC58D0" w:rsidRPr="00051EE9">
        <w:rPr>
          <w:rFonts w:ascii="Verdana" w:hAnsi="Verdana" w:cs="Arial"/>
          <w:sz w:val="20"/>
          <w:szCs w:val="20"/>
          <w:lang w:val="es-MX"/>
        </w:rPr>
        <w:t>“es pacífico el entendimiento de que cualquier privación de libertad y, con más razón la desaparición forzada, son delitos continuos”</w:t>
      </w:r>
      <w:r w:rsidR="006C7E8F" w:rsidRPr="00051EE9">
        <w:rPr>
          <w:rStyle w:val="FootnoteReference"/>
          <w:rFonts w:ascii="Verdana" w:hAnsi="Verdana" w:cs="Arial"/>
          <w:sz w:val="20"/>
          <w:szCs w:val="20"/>
          <w:lang w:val="es-MX"/>
        </w:rPr>
        <w:footnoteReference w:id="27"/>
      </w:r>
      <w:r w:rsidR="009445F5" w:rsidRPr="00051EE9">
        <w:rPr>
          <w:rFonts w:ascii="Verdana" w:hAnsi="Verdana" w:cs="Arial"/>
          <w:sz w:val="20"/>
          <w:szCs w:val="20"/>
          <w:lang w:val="es-MX"/>
        </w:rPr>
        <w:t xml:space="preserve">. </w:t>
      </w:r>
      <w:bookmarkEnd w:id="26"/>
    </w:p>
    <w:p w14:paraId="74CCB76A" w14:textId="057018EE" w:rsidR="00B618BF" w:rsidRPr="00B618BF" w:rsidRDefault="00B64770" w:rsidP="00305922">
      <w:pPr>
        <w:pStyle w:val="ListParagraph"/>
        <w:numPr>
          <w:ilvl w:val="0"/>
          <w:numId w:val="3"/>
        </w:numPr>
        <w:spacing w:before="120" w:after="120" w:line="240" w:lineRule="auto"/>
        <w:ind w:left="0" w:firstLine="0"/>
        <w:contextualSpacing w:val="0"/>
        <w:jc w:val="both"/>
        <w:rPr>
          <w:rFonts w:ascii="Verdana" w:hAnsi="Verdana" w:cs="Arial"/>
          <w:sz w:val="20"/>
          <w:szCs w:val="20"/>
          <w:lang w:val="es-MX"/>
        </w:rPr>
      </w:pPr>
      <w:r w:rsidRPr="00B64770">
        <w:rPr>
          <w:rFonts w:ascii="Verdana" w:hAnsi="Verdana"/>
          <w:sz w:val="20"/>
          <w:szCs w:val="20"/>
          <w:lang w:val="es-MX"/>
        </w:rPr>
        <w:t xml:space="preserve"> </w:t>
      </w:r>
      <w:r w:rsidR="002B1DCE">
        <w:rPr>
          <w:rFonts w:ascii="Verdana" w:hAnsi="Verdana"/>
          <w:sz w:val="20"/>
          <w:szCs w:val="20"/>
          <w:lang w:val="es-MX"/>
        </w:rPr>
        <w:t xml:space="preserve">Aunado a ello, tanto los representantes como la Comisión consideran que se encuentra cumplida la medida de reparación. </w:t>
      </w:r>
    </w:p>
    <w:p w14:paraId="6E4511F5" w14:textId="4FCBE6AC" w:rsidR="00B86500" w:rsidRPr="00C759D7" w:rsidRDefault="00B618BF" w:rsidP="00305922">
      <w:pPr>
        <w:pStyle w:val="ListParagraph"/>
        <w:numPr>
          <w:ilvl w:val="0"/>
          <w:numId w:val="3"/>
        </w:numPr>
        <w:spacing w:before="120" w:after="120" w:line="240" w:lineRule="auto"/>
        <w:ind w:left="0" w:firstLine="0"/>
        <w:contextualSpacing w:val="0"/>
        <w:jc w:val="both"/>
        <w:rPr>
          <w:rFonts w:ascii="Verdana" w:hAnsi="Verdana" w:cs="Arial"/>
          <w:sz w:val="20"/>
          <w:szCs w:val="20"/>
          <w:lang w:val="es-MX"/>
        </w:rPr>
      </w:pPr>
      <w:bookmarkStart w:id="27" w:name="_Ref498615778"/>
      <w:r>
        <w:rPr>
          <w:rFonts w:ascii="Verdana" w:hAnsi="Verdana" w:cs="Arial"/>
          <w:sz w:val="20"/>
          <w:szCs w:val="20"/>
          <w:lang w:val="es-MX"/>
        </w:rPr>
        <w:t>E</w:t>
      </w:r>
      <w:r w:rsidR="0001736F" w:rsidRPr="00B64770">
        <w:rPr>
          <w:rFonts w:ascii="Verdana" w:hAnsi="Verdana" w:cs="Arial"/>
          <w:sz w:val="20"/>
          <w:szCs w:val="20"/>
          <w:lang w:val="es-MX"/>
        </w:rPr>
        <w:t xml:space="preserve">l Tribunal </w:t>
      </w:r>
      <w:r>
        <w:rPr>
          <w:rFonts w:ascii="Verdana" w:hAnsi="Verdana" w:cs="Arial"/>
          <w:sz w:val="20"/>
          <w:szCs w:val="20"/>
          <w:lang w:val="es-MX"/>
        </w:rPr>
        <w:t xml:space="preserve">considera que con las referidas reformas de la normativa penal </w:t>
      </w:r>
      <w:r w:rsidR="0001736F" w:rsidRPr="00B64770">
        <w:rPr>
          <w:rFonts w:ascii="Verdana" w:hAnsi="Verdana" w:cs="Arial"/>
          <w:sz w:val="20"/>
          <w:szCs w:val="20"/>
          <w:lang w:val="es-MX"/>
        </w:rPr>
        <w:t xml:space="preserve">el Estado ha dado cumplimiento total a la obligación de </w:t>
      </w:r>
      <w:r w:rsidR="002B1DCE">
        <w:rPr>
          <w:rFonts w:ascii="Verdana" w:hAnsi="Verdana" w:cs="Arial"/>
          <w:sz w:val="20"/>
          <w:szCs w:val="20"/>
          <w:lang w:val="es-MX"/>
        </w:rPr>
        <w:t xml:space="preserve">adecuar la </w:t>
      </w:r>
      <w:r w:rsidR="0001736F" w:rsidRPr="00B64770">
        <w:rPr>
          <w:rFonts w:ascii="Verdana" w:hAnsi="Verdana" w:cs="Arial"/>
          <w:sz w:val="20"/>
          <w:szCs w:val="20"/>
          <w:lang w:val="es-MX"/>
        </w:rPr>
        <w:t>tipific</w:t>
      </w:r>
      <w:r w:rsidR="002B1DCE">
        <w:rPr>
          <w:rFonts w:ascii="Verdana" w:hAnsi="Verdana" w:cs="Arial"/>
          <w:sz w:val="20"/>
          <w:szCs w:val="20"/>
          <w:lang w:val="es-MX"/>
        </w:rPr>
        <w:t>ación</w:t>
      </w:r>
      <w:r w:rsidR="0001736F" w:rsidRPr="00B64770">
        <w:rPr>
          <w:rFonts w:ascii="Verdana" w:hAnsi="Verdana" w:cs="Arial"/>
          <w:sz w:val="20"/>
          <w:szCs w:val="20"/>
          <w:lang w:val="es-MX"/>
        </w:rPr>
        <w:t xml:space="preserve"> </w:t>
      </w:r>
      <w:r w:rsidR="002B1DCE">
        <w:rPr>
          <w:rFonts w:ascii="Verdana" w:hAnsi="Verdana" w:cs="Arial"/>
          <w:sz w:val="20"/>
          <w:szCs w:val="20"/>
          <w:lang w:val="es-MX"/>
        </w:rPr>
        <w:t>d</w:t>
      </w:r>
      <w:r w:rsidR="0001736F" w:rsidRPr="00B64770">
        <w:rPr>
          <w:rFonts w:ascii="Verdana" w:hAnsi="Verdana" w:cs="Arial"/>
          <w:sz w:val="20"/>
          <w:szCs w:val="20"/>
          <w:lang w:val="es-MX"/>
        </w:rPr>
        <w:t>el delito de desaparición forzada en su derecho interno</w:t>
      </w:r>
      <w:r w:rsidR="002B1DCE">
        <w:rPr>
          <w:rFonts w:ascii="Verdana" w:hAnsi="Verdana" w:cs="Arial"/>
          <w:sz w:val="20"/>
          <w:szCs w:val="20"/>
          <w:lang w:val="es-MX"/>
        </w:rPr>
        <w:t xml:space="preserve"> al derecho internacional de los derechos humanos, ordenada en el punto resolutivo décimo sexto de la Sentencia</w:t>
      </w:r>
      <w:r w:rsidR="0001736F" w:rsidRPr="00B64770">
        <w:rPr>
          <w:rFonts w:ascii="Verdana" w:hAnsi="Verdana" w:cs="Arial"/>
          <w:sz w:val="20"/>
          <w:szCs w:val="20"/>
          <w:lang w:val="es-MX"/>
        </w:rPr>
        <w:t>.</w:t>
      </w:r>
      <w:bookmarkEnd w:id="27"/>
    </w:p>
    <w:p w14:paraId="23C46ED7" w14:textId="77777777" w:rsidR="00051EE9" w:rsidRDefault="00051EE9" w:rsidP="00305922">
      <w:pPr>
        <w:pStyle w:val="ListParagraph"/>
        <w:spacing w:line="240" w:lineRule="auto"/>
        <w:ind w:left="0"/>
        <w:jc w:val="both"/>
        <w:rPr>
          <w:rFonts w:ascii="Verdana" w:hAnsi="Verdana" w:cs="Arial"/>
          <w:sz w:val="20"/>
          <w:szCs w:val="20"/>
          <w:lang w:val="es-MX"/>
        </w:rPr>
      </w:pPr>
    </w:p>
    <w:p w14:paraId="3BBBD7AF" w14:textId="77777777" w:rsidR="00C759D7" w:rsidRDefault="00C759D7" w:rsidP="00305922">
      <w:pPr>
        <w:pStyle w:val="ListParagraph"/>
        <w:spacing w:line="240" w:lineRule="auto"/>
        <w:ind w:left="0"/>
        <w:jc w:val="both"/>
        <w:rPr>
          <w:rFonts w:ascii="Verdana" w:hAnsi="Verdana" w:cs="Arial"/>
          <w:sz w:val="20"/>
          <w:szCs w:val="20"/>
          <w:lang w:val="es-MX"/>
        </w:rPr>
      </w:pPr>
    </w:p>
    <w:p w14:paraId="304E2054" w14:textId="77777777" w:rsidR="00C759D7" w:rsidRDefault="00C759D7" w:rsidP="00305922">
      <w:pPr>
        <w:pStyle w:val="ListParagraph"/>
        <w:spacing w:line="240" w:lineRule="auto"/>
        <w:ind w:left="0"/>
        <w:jc w:val="both"/>
        <w:rPr>
          <w:rFonts w:ascii="Verdana" w:hAnsi="Verdana" w:cs="Arial"/>
          <w:sz w:val="20"/>
          <w:szCs w:val="20"/>
          <w:lang w:val="es-MX"/>
        </w:rPr>
      </w:pPr>
    </w:p>
    <w:p w14:paraId="403B027E" w14:textId="77777777" w:rsidR="00C759D7" w:rsidRDefault="00C759D7" w:rsidP="00305922">
      <w:pPr>
        <w:pStyle w:val="ListParagraph"/>
        <w:spacing w:line="240" w:lineRule="auto"/>
        <w:ind w:left="0"/>
        <w:jc w:val="both"/>
        <w:rPr>
          <w:rFonts w:ascii="Verdana" w:hAnsi="Verdana" w:cs="Arial"/>
          <w:sz w:val="20"/>
          <w:szCs w:val="20"/>
          <w:lang w:val="es-MX"/>
        </w:rPr>
      </w:pPr>
    </w:p>
    <w:p w14:paraId="32DB7CA8" w14:textId="77777777" w:rsidR="00C759D7" w:rsidRDefault="00C759D7" w:rsidP="00305922">
      <w:pPr>
        <w:pStyle w:val="ListParagraph"/>
        <w:spacing w:line="240" w:lineRule="auto"/>
        <w:ind w:left="0"/>
        <w:jc w:val="both"/>
        <w:rPr>
          <w:rFonts w:ascii="Verdana" w:hAnsi="Verdana" w:cs="Arial"/>
          <w:sz w:val="20"/>
          <w:szCs w:val="20"/>
          <w:lang w:val="es-MX"/>
        </w:rPr>
      </w:pPr>
    </w:p>
    <w:p w14:paraId="294A0D8D" w14:textId="77777777" w:rsidR="00C759D7" w:rsidRPr="00883AD6" w:rsidRDefault="00C759D7" w:rsidP="00305922">
      <w:pPr>
        <w:pStyle w:val="ListParagraph"/>
        <w:spacing w:line="240" w:lineRule="auto"/>
        <w:ind w:left="0"/>
        <w:jc w:val="both"/>
        <w:rPr>
          <w:rFonts w:ascii="Verdana" w:hAnsi="Verdana" w:cs="Arial"/>
          <w:sz w:val="20"/>
          <w:szCs w:val="20"/>
          <w:lang w:val="es-MX"/>
        </w:rPr>
      </w:pPr>
    </w:p>
    <w:p w14:paraId="3D0CEC34" w14:textId="77777777" w:rsidR="00287B1A" w:rsidRPr="006F5B50" w:rsidRDefault="00287B1A" w:rsidP="00305922">
      <w:pPr>
        <w:pStyle w:val="ListParagraph"/>
        <w:spacing w:line="240" w:lineRule="auto"/>
        <w:ind w:left="0"/>
        <w:jc w:val="both"/>
        <w:rPr>
          <w:rFonts w:ascii="Verdana" w:hAnsi="Verdana" w:cs="Arial"/>
          <w:b/>
          <w:sz w:val="20"/>
          <w:szCs w:val="20"/>
          <w:lang w:val="es-MX"/>
        </w:rPr>
      </w:pPr>
      <w:r w:rsidRPr="006F5B50">
        <w:rPr>
          <w:rFonts w:ascii="Verdana" w:hAnsi="Verdana" w:cs="Arial"/>
          <w:b/>
          <w:sz w:val="20"/>
          <w:szCs w:val="20"/>
          <w:lang w:val="es-MX"/>
        </w:rPr>
        <w:lastRenderedPageBreak/>
        <w:t>POR TANTO:</w:t>
      </w:r>
    </w:p>
    <w:p w14:paraId="33CE4A07" w14:textId="77777777" w:rsidR="006F5B50" w:rsidRPr="006F5B50" w:rsidRDefault="006F5B50" w:rsidP="00305922">
      <w:pPr>
        <w:pStyle w:val="ListParagraph"/>
        <w:spacing w:line="240" w:lineRule="auto"/>
        <w:ind w:left="0"/>
        <w:jc w:val="both"/>
        <w:rPr>
          <w:rFonts w:ascii="Verdana" w:hAnsi="Verdana" w:cs="Arial"/>
          <w:b/>
          <w:sz w:val="20"/>
          <w:szCs w:val="20"/>
          <w:lang w:val="es-MX"/>
        </w:rPr>
      </w:pPr>
    </w:p>
    <w:p w14:paraId="0BFABECB" w14:textId="77777777" w:rsidR="00287B1A" w:rsidRPr="006F5B50" w:rsidRDefault="00287B1A" w:rsidP="00305922">
      <w:pPr>
        <w:pStyle w:val="ListParagraph"/>
        <w:spacing w:line="240" w:lineRule="auto"/>
        <w:ind w:left="0"/>
        <w:jc w:val="both"/>
        <w:rPr>
          <w:rFonts w:ascii="Verdana" w:hAnsi="Verdana" w:cs="Arial"/>
          <w:b/>
          <w:sz w:val="20"/>
          <w:szCs w:val="20"/>
          <w:lang w:val="es-MX"/>
        </w:rPr>
      </w:pPr>
      <w:r w:rsidRPr="006F5B50">
        <w:rPr>
          <w:rFonts w:ascii="Verdana" w:hAnsi="Verdana" w:cs="Arial"/>
          <w:b/>
          <w:sz w:val="20"/>
          <w:szCs w:val="20"/>
          <w:lang w:val="es-MX"/>
        </w:rPr>
        <w:t xml:space="preserve">LA CORTE INTERAMERICANA DE DERECHOS HUMANOS, </w:t>
      </w:r>
    </w:p>
    <w:p w14:paraId="2D7639D4" w14:textId="7BC2EAC7" w:rsidR="00287B1A" w:rsidRPr="006F5B50" w:rsidRDefault="00E66594" w:rsidP="00305922">
      <w:pPr>
        <w:tabs>
          <w:tab w:val="left" w:pos="567"/>
        </w:tabs>
        <w:spacing w:before="60" w:after="60" w:line="240" w:lineRule="auto"/>
        <w:jc w:val="both"/>
        <w:rPr>
          <w:rFonts w:ascii="Verdana" w:hAnsi="Verdana" w:cs="Arial"/>
          <w:sz w:val="20"/>
          <w:szCs w:val="20"/>
          <w:lang w:val="es-CR"/>
        </w:rPr>
      </w:pPr>
      <w:proofErr w:type="gramStart"/>
      <w:r>
        <w:rPr>
          <w:rFonts w:ascii="Verdana" w:hAnsi="Verdana" w:cs="Arial"/>
          <w:sz w:val="20"/>
          <w:szCs w:val="20"/>
          <w:lang w:val="es-CR"/>
        </w:rPr>
        <w:t>e</w:t>
      </w:r>
      <w:r w:rsidR="00287B1A" w:rsidRPr="006F5B50">
        <w:rPr>
          <w:rFonts w:ascii="Verdana" w:hAnsi="Verdana" w:cs="Arial"/>
          <w:sz w:val="20"/>
          <w:szCs w:val="20"/>
          <w:lang w:val="es-CR"/>
        </w:rPr>
        <w:t>n</w:t>
      </w:r>
      <w:proofErr w:type="gramEnd"/>
      <w:r w:rsidR="00287B1A" w:rsidRPr="006F5B50">
        <w:rPr>
          <w:rFonts w:ascii="Verdana" w:hAnsi="Verdana" w:cs="Arial"/>
          <w:sz w:val="20"/>
          <w:szCs w:val="20"/>
          <w:lang w:val="es-CR"/>
        </w:rPr>
        <w:t xml:space="preserve"> el ejercicio de sus atribuciones de supervisión del cumplimiento de sus decisiones, de conformidad con los artículos 33, 62.1, 62.3, 65, 67 y 68.1 de la Convención Americana sobre Derechos Humanos, 24, 25 y 30 del Estatuto, y 31.2 y 69 de su Reglamento,</w:t>
      </w:r>
    </w:p>
    <w:p w14:paraId="4279C84C" w14:textId="77777777" w:rsidR="00051EE9" w:rsidRDefault="00051EE9" w:rsidP="00305922">
      <w:pPr>
        <w:spacing w:line="240" w:lineRule="auto"/>
        <w:jc w:val="both"/>
        <w:rPr>
          <w:rFonts w:ascii="Verdana" w:hAnsi="Verdana" w:cs="Arial"/>
          <w:b/>
          <w:sz w:val="20"/>
          <w:szCs w:val="20"/>
          <w:lang w:val="es-CR"/>
        </w:rPr>
      </w:pPr>
    </w:p>
    <w:p w14:paraId="193D9B90" w14:textId="77777777" w:rsidR="00287B1A" w:rsidRPr="006F5B50" w:rsidRDefault="00287B1A" w:rsidP="00305922">
      <w:pPr>
        <w:spacing w:line="240" w:lineRule="auto"/>
        <w:jc w:val="both"/>
        <w:rPr>
          <w:rFonts w:ascii="Verdana" w:hAnsi="Verdana" w:cs="Arial"/>
          <w:b/>
          <w:sz w:val="20"/>
          <w:szCs w:val="20"/>
          <w:lang w:val="es-CR"/>
        </w:rPr>
      </w:pPr>
      <w:r w:rsidRPr="006F5B50">
        <w:rPr>
          <w:rFonts w:ascii="Verdana" w:hAnsi="Verdana" w:cs="Arial"/>
          <w:b/>
          <w:sz w:val="20"/>
          <w:szCs w:val="20"/>
          <w:lang w:val="es-CR"/>
        </w:rPr>
        <w:t>RESUELVE:</w:t>
      </w:r>
    </w:p>
    <w:p w14:paraId="6B85A579" w14:textId="3C977802" w:rsidR="00287B1A" w:rsidRDefault="00287B1A" w:rsidP="00305922">
      <w:pPr>
        <w:pStyle w:val="ListParagraph"/>
        <w:numPr>
          <w:ilvl w:val="0"/>
          <w:numId w:val="6"/>
        </w:numPr>
        <w:spacing w:line="240" w:lineRule="auto"/>
        <w:ind w:left="0" w:firstLine="0"/>
        <w:jc w:val="both"/>
        <w:rPr>
          <w:rFonts w:ascii="Verdana" w:hAnsi="Verdana" w:cs="Arial"/>
          <w:sz w:val="20"/>
          <w:szCs w:val="20"/>
          <w:lang w:val="es-CR"/>
        </w:rPr>
      </w:pPr>
      <w:r w:rsidRPr="006F5B50">
        <w:rPr>
          <w:rFonts w:ascii="Verdana" w:hAnsi="Verdana" w:cs="Arial"/>
          <w:sz w:val="20"/>
          <w:szCs w:val="20"/>
          <w:lang w:val="es-CR"/>
        </w:rPr>
        <w:t>Declarar, de conformidad con lo señalado en</w:t>
      </w:r>
      <w:r w:rsidR="00883AD6" w:rsidRPr="006F5B50">
        <w:rPr>
          <w:rFonts w:ascii="Verdana" w:hAnsi="Verdana" w:cs="Arial"/>
          <w:sz w:val="20"/>
          <w:szCs w:val="20"/>
          <w:lang w:val="es-CR"/>
        </w:rPr>
        <w:t xml:space="preserve"> </w:t>
      </w:r>
      <w:r w:rsidR="00A6355B">
        <w:rPr>
          <w:rFonts w:ascii="Verdana" w:hAnsi="Verdana" w:cs="Arial"/>
          <w:sz w:val="20"/>
          <w:szCs w:val="20"/>
          <w:lang w:val="es-CR"/>
        </w:rPr>
        <w:t>los</w:t>
      </w:r>
      <w:r w:rsidR="00883AD6" w:rsidRPr="006F5B50">
        <w:rPr>
          <w:rFonts w:ascii="Verdana" w:hAnsi="Verdana" w:cs="Arial"/>
          <w:sz w:val="20"/>
          <w:szCs w:val="20"/>
          <w:lang w:val="es-CR"/>
        </w:rPr>
        <w:t xml:space="preserve"> Considerando</w:t>
      </w:r>
      <w:r w:rsidR="00A6355B">
        <w:rPr>
          <w:rFonts w:ascii="Verdana" w:hAnsi="Verdana" w:cs="Arial"/>
          <w:sz w:val="20"/>
          <w:szCs w:val="20"/>
          <w:lang w:val="es-CR"/>
        </w:rPr>
        <w:t>s</w:t>
      </w:r>
      <w:r w:rsidR="00883AD6" w:rsidRPr="006F5B50">
        <w:rPr>
          <w:rFonts w:ascii="Verdana" w:hAnsi="Verdana" w:cs="Arial"/>
          <w:sz w:val="20"/>
          <w:szCs w:val="20"/>
          <w:lang w:val="es-CR"/>
        </w:rPr>
        <w:t xml:space="preserve"> </w:t>
      </w:r>
      <w:r w:rsidR="00FF2564">
        <w:rPr>
          <w:rFonts w:ascii="Verdana" w:hAnsi="Verdana" w:cs="Arial"/>
          <w:sz w:val="20"/>
          <w:szCs w:val="20"/>
          <w:lang w:val="es-CR"/>
        </w:rPr>
        <w:t>25</w:t>
      </w:r>
      <w:r w:rsidR="00A6355B">
        <w:rPr>
          <w:rFonts w:ascii="Verdana" w:hAnsi="Verdana" w:cs="Arial"/>
          <w:sz w:val="20"/>
          <w:szCs w:val="20"/>
          <w:lang w:val="es-CR"/>
        </w:rPr>
        <w:t xml:space="preserve"> a </w:t>
      </w:r>
      <w:r w:rsidR="00C97EE3">
        <w:rPr>
          <w:rFonts w:ascii="Verdana" w:hAnsi="Verdana" w:cs="Arial"/>
          <w:sz w:val="20"/>
          <w:szCs w:val="20"/>
          <w:lang w:val="es-CR"/>
        </w:rPr>
        <w:fldChar w:fldCharType="begin"/>
      </w:r>
      <w:r w:rsidR="00C97EE3">
        <w:rPr>
          <w:rFonts w:ascii="Verdana" w:hAnsi="Verdana" w:cs="Arial"/>
          <w:sz w:val="20"/>
          <w:szCs w:val="20"/>
          <w:lang w:val="es-CR"/>
        </w:rPr>
        <w:instrText xml:space="preserve"> REF _Ref498615778 \r \h </w:instrText>
      </w:r>
      <w:r w:rsidR="00C97EE3">
        <w:rPr>
          <w:rFonts w:ascii="Verdana" w:hAnsi="Verdana" w:cs="Arial"/>
          <w:sz w:val="20"/>
          <w:szCs w:val="20"/>
          <w:lang w:val="es-CR"/>
        </w:rPr>
      </w:r>
      <w:r w:rsidR="00C97EE3">
        <w:rPr>
          <w:rFonts w:ascii="Verdana" w:hAnsi="Verdana" w:cs="Arial"/>
          <w:sz w:val="20"/>
          <w:szCs w:val="20"/>
          <w:lang w:val="es-CR"/>
        </w:rPr>
        <w:fldChar w:fldCharType="separate"/>
      </w:r>
      <w:r w:rsidR="00360B00">
        <w:rPr>
          <w:rFonts w:ascii="Verdana" w:hAnsi="Verdana" w:cs="Arial"/>
          <w:sz w:val="20"/>
          <w:szCs w:val="20"/>
          <w:lang w:val="es-CR"/>
        </w:rPr>
        <w:t>33</w:t>
      </w:r>
      <w:r w:rsidR="00C97EE3">
        <w:rPr>
          <w:rFonts w:ascii="Verdana" w:hAnsi="Verdana" w:cs="Arial"/>
          <w:sz w:val="20"/>
          <w:szCs w:val="20"/>
          <w:lang w:val="es-CR"/>
        </w:rPr>
        <w:fldChar w:fldCharType="end"/>
      </w:r>
      <w:r w:rsidR="00883AD6" w:rsidRPr="006F5B50">
        <w:rPr>
          <w:rFonts w:ascii="Verdana" w:hAnsi="Verdana" w:cs="Arial"/>
          <w:sz w:val="20"/>
          <w:szCs w:val="20"/>
          <w:lang w:val="es-CR"/>
        </w:rPr>
        <w:t xml:space="preserve"> de </w:t>
      </w:r>
      <w:r w:rsidRPr="006F5B50">
        <w:rPr>
          <w:rFonts w:ascii="Verdana" w:hAnsi="Verdana" w:cs="Arial"/>
          <w:sz w:val="20"/>
          <w:szCs w:val="20"/>
          <w:lang w:val="es-CR"/>
        </w:rPr>
        <w:t xml:space="preserve">la presente Resolución, que el Estado ha dado cumplimiento total a la medida de reparación relativa a </w:t>
      </w:r>
      <w:r w:rsidR="006F5B50" w:rsidRPr="006F5B50">
        <w:rPr>
          <w:rFonts w:ascii="Verdana" w:hAnsi="Verdana" w:cs="Arial"/>
          <w:sz w:val="20"/>
          <w:szCs w:val="20"/>
          <w:lang w:val="es-CR"/>
        </w:rPr>
        <w:t>adecuar la tipificación</w:t>
      </w:r>
      <w:r w:rsidRPr="006F5B50">
        <w:rPr>
          <w:rFonts w:ascii="Verdana" w:hAnsi="Verdana" w:cs="Arial"/>
          <w:sz w:val="20"/>
          <w:szCs w:val="20"/>
          <w:lang w:val="es-CR"/>
        </w:rPr>
        <w:t xml:space="preserve"> </w:t>
      </w:r>
      <w:r w:rsidR="006F5B50" w:rsidRPr="006F5B50">
        <w:rPr>
          <w:rFonts w:ascii="Verdana" w:hAnsi="Verdana" w:cs="Arial"/>
          <w:sz w:val="20"/>
          <w:szCs w:val="20"/>
          <w:lang w:val="es-CR"/>
        </w:rPr>
        <w:t>d</w:t>
      </w:r>
      <w:r w:rsidRPr="006F5B50">
        <w:rPr>
          <w:rFonts w:ascii="Verdana" w:hAnsi="Verdana" w:cs="Arial"/>
          <w:sz w:val="20"/>
          <w:szCs w:val="20"/>
          <w:lang w:val="es-CR"/>
        </w:rPr>
        <w:t xml:space="preserve">el delito de desaparición forzada </w:t>
      </w:r>
      <w:r w:rsidRPr="006F5B50">
        <w:rPr>
          <w:rFonts w:ascii="Verdana" w:hAnsi="Verdana" w:cs="Arial"/>
          <w:i/>
          <w:sz w:val="20"/>
          <w:szCs w:val="20"/>
          <w:lang w:val="es-CR"/>
        </w:rPr>
        <w:t xml:space="preserve">(punto resolutivo </w:t>
      </w:r>
      <w:r w:rsidR="003D07C0" w:rsidRPr="006F5B50">
        <w:rPr>
          <w:rFonts w:ascii="Verdana" w:hAnsi="Verdana" w:cs="Arial"/>
          <w:i/>
          <w:sz w:val="20"/>
          <w:szCs w:val="20"/>
          <w:lang w:val="es-CR"/>
        </w:rPr>
        <w:t>décimo</w:t>
      </w:r>
      <w:r w:rsidRPr="006F5B50">
        <w:rPr>
          <w:rFonts w:ascii="Verdana" w:hAnsi="Verdana" w:cs="Arial"/>
          <w:i/>
          <w:sz w:val="20"/>
          <w:szCs w:val="20"/>
          <w:lang w:val="es-CR"/>
        </w:rPr>
        <w:t xml:space="preserve"> sexto de la Sentencia</w:t>
      </w:r>
      <w:r w:rsidRPr="006F5B50">
        <w:rPr>
          <w:rFonts w:ascii="Verdana" w:hAnsi="Verdana" w:cs="Arial"/>
          <w:sz w:val="20"/>
          <w:szCs w:val="20"/>
          <w:lang w:val="es-CR"/>
        </w:rPr>
        <w:t>)</w:t>
      </w:r>
      <w:r w:rsidR="000D7D49">
        <w:rPr>
          <w:rFonts w:ascii="Verdana" w:hAnsi="Verdana" w:cs="Arial"/>
          <w:sz w:val="20"/>
          <w:szCs w:val="20"/>
          <w:lang w:val="es-CR"/>
        </w:rPr>
        <w:t>.</w:t>
      </w:r>
    </w:p>
    <w:p w14:paraId="2EE5DAA5" w14:textId="77777777" w:rsidR="00DC58D0" w:rsidRDefault="00DC58D0" w:rsidP="00DC58D0">
      <w:pPr>
        <w:pStyle w:val="ListParagraph"/>
        <w:spacing w:line="240" w:lineRule="auto"/>
        <w:ind w:left="0"/>
        <w:jc w:val="both"/>
        <w:rPr>
          <w:rFonts w:ascii="Verdana" w:hAnsi="Verdana" w:cs="Arial"/>
          <w:sz w:val="20"/>
          <w:szCs w:val="20"/>
          <w:lang w:val="es-CR"/>
        </w:rPr>
      </w:pPr>
    </w:p>
    <w:p w14:paraId="6ACEC5DC" w14:textId="77777777" w:rsidR="00B86500" w:rsidRDefault="00B86500" w:rsidP="00DC58D0">
      <w:pPr>
        <w:pStyle w:val="ListParagraph"/>
        <w:spacing w:line="240" w:lineRule="auto"/>
        <w:ind w:left="0"/>
        <w:jc w:val="both"/>
        <w:rPr>
          <w:rFonts w:ascii="Verdana" w:hAnsi="Verdana" w:cs="Arial"/>
          <w:sz w:val="20"/>
          <w:szCs w:val="20"/>
          <w:lang w:val="es-CR"/>
        </w:rPr>
      </w:pPr>
    </w:p>
    <w:p w14:paraId="42AA2632" w14:textId="33314E1D" w:rsidR="006F5B50" w:rsidRPr="006F5B50" w:rsidRDefault="006F5B50" w:rsidP="00305922">
      <w:pPr>
        <w:pStyle w:val="ListParagraph"/>
        <w:numPr>
          <w:ilvl w:val="0"/>
          <w:numId w:val="6"/>
        </w:numPr>
        <w:spacing w:line="240" w:lineRule="auto"/>
        <w:ind w:left="0" w:firstLine="0"/>
        <w:jc w:val="both"/>
        <w:rPr>
          <w:rFonts w:ascii="Verdana" w:hAnsi="Verdana" w:cs="Arial"/>
          <w:sz w:val="20"/>
          <w:szCs w:val="20"/>
          <w:lang w:val="es-CR"/>
        </w:rPr>
      </w:pPr>
      <w:r>
        <w:rPr>
          <w:rFonts w:ascii="Verdana" w:hAnsi="Verdana" w:cs="Arial"/>
          <w:sz w:val="20"/>
          <w:szCs w:val="20"/>
          <w:lang w:val="es-CR"/>
        </w:rPr>
        <w:t xml:space="preserve">Declarar, de conformidad con lo señalado en el Considerando </w:t>
      </w:r>
      <w:r w:rsidR="00051EE9">
        <w:rPr>
          <w:rFonts w:ascii="Verdana" w:hAnsi="Verdana" w:cs="Arial"/>
          <w:sz w:val="20"/>
          <w:szCs w:val="20"/>
          <w:lang w:val="es-CR"/>
        </w:rPr>
        <w:fldChar w:fldCharType="begin"/>
      </w:r>
      <w:r w:rsidR="00051EE9">
        <w:rPr>
          <w:rFonts w:ascii="Verdana" w:hAnsi="Verdana" w:cs="Arial"/>
          <w:sz w:val="20"/>
          <w:szCs w:val="20"/>
          <w:lang w:val="es-CR"/>
        </w:rPr>
        <w:instrText xml:space="preserve"> REF _Ref498607267 \r \h </w:instrText>
      </w:r>
      <w:r w:rsidR="00051EE9">
        <w:rPr>
          <w:rFonts w:ascii="Verdana" w:hAnsi="Verdana" w:cs="Arial"/>
          <w:sz w:val="20"/>
          <w:szCs w:val="20"/>
          <w:lang w:val="es-CR"/>
        </w:rPr>
      </w:r>
      <w:r w:rsidR="00051EE9">
        <w:rPr>
          <w:rFonts w:ascii="Verdana" w:hAnsi="Verdana" w:cs="Arial"/>
          <w:sz w:val="20"/>
          <w:szCs w:val="20"/>
          <w:lang w:val="es-CR"/>
        </w:rPr>
        <w:fldChar w:fldCharType="separate"/>
      </w:r>
      <w:r w:rsidR="00360B00">
        <w:rPr>
          <w:rFonts w:ascii="Verdana" w:hAnsi="Verdana" w:cs="Arial"/>
          <w:sz w:val="20"/>
          <w:szCs w:val="20"/>
          <w:lang w:val="es-CR"/>
        </w:rPr>
        <w:t>19</w:t>
      </w:r>
      <w:r w:rsidR="00051EE9">
        <w:rPr>
          <w:rFonts w:ascii="Verdana" w:hAnsi="Verdana" w:cs="Arial"/>
          <w:sz w:val="20"/>
          <w:szCs w:val="20"/>
          <w:lang w:val="es-CR"/>
        </w:rPr>
        <w:fldChar w:fldCharType="end"/>
      </w:r>
      <w:r>
        <w:rPr>
          <w:rFonts w:ascii="Verdana" w:hAnsi="Verdana" w:cs="Arial"/>
          <w:sz w:val="20"/>
          <w:szCs w:val="20"/>
          <w:lang w:val="es-CR"/>
        </w:rPr>
        <w:t xml:space="preserve"> de la presente Resolución, </w:t>
      </w:r>
      <w:r w:rsidR="00DC58D0">
        <w:rPr>
          <w:rFonts w:ascii="Verdana" w:hAnsi="Verdana" w:cs="Arial"/>
          <w:sz w:val="20"/>
          <w:szCs w:val="20"/>
          <w:lang w:val="es-CR"/>
        </w:rPr>
        <w:t xml:space="preserve">que el Estado </w:t>
      </w:r>
      <w:r w:rsidR="008E5EFA">
        <w:rPr>
          <w:rFonts w:ascii="Verdana" w:hAnsi="Verdana" w:cs="Arial"/>
          <w:sz w:val="20"/>
          <w:szCs w:val="20"/>
          <w:lang w:val="es-CR"/>
        </w:rPr>
        <w:t xml:space="preserve">no dio cumplimiento a </w:t>
      </w:r>
      <w:r>
        <w:rPr>
          <w:rFonts w:ascii="Verdana" w:hAnsi="Verdana" w:cs="Arial"/>
          <w:sz w:val="20"/>
          <w:szCs w:val="20"/>
          <w:lang w:val="es-CR"/>
        </w:rPr>
        <w:t xml:space="preserve">la medida relativa a brindar tratamiento médico y psicológico a favor de </w:t>
      </w:r>
      <w:r w:rsidR="008E5EFA">
        <w:rPr>
          <w:rFonts w:ascii="Verdana" w:hAnsi="Verdana" w:cs="Arial"/>
          <w:sz w:val="20"/>
          <w:szCs w:val="20"/>
          <w:lang w:val="es-CR"/>
        </w:rPr>
        <w:t xml:space="preserve">la víctima </w:t>
      </w:r>
      <w:r>
        <w:rPr>
          <w:rFonts w:ascii="Verdana" w:hAnsi="Verdana" w:cs="Arial"/>
          <w:sz w:val="20"/>
          <w:szCs w:val="20"/>
          <w:lang w:val="es-CR"/>
        </w:rPr>
        <w:t xml:space="preserve">Graciela de </w:t>
      </w:r>
      <w:proofErr w:type="spellStart"/>
      <w:r>
        <w:rPr>
          <w:rFonts w:ascii="Verdana" w:hAnsi="Verdana" w:cs="Arial"/>
          <w:sz w:val="20"/>
          <w:szCs w:val="20"/>
          <w:lang w:val="es-CR"/>
        </w:rPr>
        <w:t>Leon</w:t>
      </w:r>
      <w:proofErr w:type="spellEnd"/>
      <w:r w:rsidR="00DC58D0">
        <w:rPr>
          <w:rFonts w:ascii="Verdana" w:hAnsi="Verdana" w:cs="Arial"/>
          <w:sz w:val="20"/>
          <w:szCs w:val="20"/>
          <w:lang w:val="es-CR"/>
        </w:rPr>
        <w:t xml:space="preserve"> (</w:t>
      </w:r>
      <w:r w:rsidR="00DC58D0">
        <w:rPr>
          <w:rFonts w:ascii="Verdana" w:hAnsi="Verdana" w:cs="Arial"/>
          <w:i/>
          <w:sz w:val="20"/>
          <w:szCs w:val="20"/>
          <w:lang w:val="es-CR"/>
        </w:rPr>
        <w:t xml:space="preserve">punto resolutivo décimo </w:t>
      </w:r>
      <w:r w:rsidR="000D37E2">
        <w:rPr>
          <w:rFonts w:ascii="Verdana" w:hAnsi="Verdana" w:cs="Arial"/>
          <w:i/>
          <w:sz w:val="20"/>
          <w:szCs w:val="20"/>
          <w:lang w:val="es-CR"/>
        </w:rPr>
        <w:t xml:space="preserve">quinto </w:t>
      </w:r>
      <w:r w:rsidR="00DC58D0">
        <w:rPr>
          <w:rFonts w:ascii="Verdana" w:hAnsi="Verdana" w:cs="Arial"/>
          <w:i/>
          <w:sz w:val="20"/>
          <w:szCs w:val="20"/>
          <w:lang w:val="es-CR"/>
        </w:rPr>
        <w:t>de la Sentencia</w:t>
      </w:r>
      <w:r w:rsidR="00DC58D0">
        <w:rPr>
          <w:rFonts w:ascii="Verdana" w:hAnsi="Verdana" w:cs="Arial"/>
          <w:sz w:val="20"/>
          <w:szCs w:val="20"/>
          <w:lang w:val="es-CR"/>
        </w:rPr>
        <w:t>)</w:t>
      </w:r>
      <w:r w:rsidR="008E5EFA">
        <w:rPr>
          <w:rFonts w:ascii="Verdana" w:hAnsi="Verdana" w:cs="Arial"/>
          <w:sz w:val="20"/>
          <w:szCs w:val="20"/>
          <w:lang w:val="es-CR"/>
        </w:rPr>
        <w:t>.</w:t>
      </w:r>
    </w:p>
    <w:p w14:paraId="14882508" w14:textId="77777777" w:rsidR="00287B1A" w:rsidRDefault="00287B1A" w:rsidP="00305922">
      <w:pPr>
        <w:pStyle w:val="ListParagraph"/>
        <w:spacing w:line="240" w:lineRule="auto"/>
        <w:ind w:left="0"/>
        <w:jc w:val="both"/>
        <w:rPr>
          <w:rFonts w:ascii="Verdana" w:hAnsi="Verdana" w:cs="Arial"/>
          <w:sz w:val="20"/>
          <w:szCs w:val="20"/>
          <w:highlight w:val="yellow"/>
          <w:lang w:val="es-CR"/>
        </w:rPr>
      </w:pPr>
    </w:p>
    <w:p w14:paraId="19896B4E" w14:textId="77777777" w:rsidR="00B86500" w:rsidRPr="00E137DA" w:rsidRDefault="00B86500" w:rsidP="00305922">
      <w:pPr>
        <w:pStyle w:val="ListParagraph"/>
        <w:spacing w:line="240" w:lineRule="auto"/>
        <w:ind w:left="0"/>
        <w:jc w:val="both"/>
        <w:rPr>
          <w:rFonts w:ascii="Verdana" w:hAnsi="Verdana" w:cs="Arial"/>
          <w:sz w:val="20"/>
          <w:szCs w:val="20"/>
          <w:highlight w:val="yellow"/>
          <w:lang w:val="es-CR"/>
        </w:rPr>
      </w:pPr>
    </w:p>
    <w:p w14:paraId="4601732E" w14:textId="77777777" w:rsidR="00287B1A" w:rsidRPr="006F5B50" w:rsidRDefault="00287B1A" w:rsidP="00305922">
      <w:pPr>
        <w:pStyle w:val="ListParagraph"/>
        <w:numPr>
          <w:ilvl w:val="0"/>
          <w:numId w:val="6"/>
        </w:numPr>
        <w:spacing w:line="240" w:lineRule="auto"/>
        <w:ind w:left="0" w:firstLine="0"/>
        <w:jc w:val="both"/>
        <w:rPr>
          <w:rFonts w:ascii="Verdana" w:hAnsi="Verdana" w:cs="Arial"/>
          <w:sz w:val="20"/>
          <w:szCs w:val="20"/>
          <w:lang w:val="es-CR"/>
        </w:rPr>
      </w:pPr>
      <w:r w:rsidRPr="006F5B50">
        <w:rPr>
          <w:rFonts w:ascii="Verdana" w:hAnsi="Verdana" w:cs="Arial"/>
          <w:sz w:val="20"/>
          <w:szCs w:val="20"/>
          <w:lang w:val="es-CR"/>
        </w:rPr>
        <w:t xml:space="preserve">Mantener abierto el procedimiento de supervisión de cumplimiento </w:t>
      </w:r>
      <w:r w:rsidR="006F5B50" w:rsidRPr="006F5B50">
        <w:rPr>
          <w:rFonts w:ascii="Verdana" w:hAnsi="Verdana" w:cs="Arial"/>
          <w:sz w:val="20"/>
          <w:szCs w:val="20"/>
          <w:lang w:val="es-CR"/>
        </w:rPr>
        <w:t>de las siguientes medidas de reparación:</w:t>
      </w:r>
      <w:r w:rsidRPr="006F5B50">
        <w:rPr>
          <w:rFonts w:ascii="Verdana" w:hAnsi="Verdana" w:cs="Arial"/>
          <w:sz w:val="20"/>
          <w:szCs w:val="20"/>
          <w:lang w:val="es-CR"/>
        </w:rPr>
        <w:t xml:space="preserve"> </w:t>
      </w:r>
    </w:p>
    <w:p w14:paraId="40AC8C4B" w14:textId="77777777" w:rsidR="00287B1A" w:rsidRPr="00E137DA" w:rsidRDefault="00287B1A" w:rsidP="00305922">
      <w:pPr>
        <w:pStyle w:val="ListParagraph"/>
        <w:spacing w:line="240" w:lineRule="auto"/>
        <w:ind w:left="0"/>
        <w:jc w:val="both"/>
        <w:rPr>
          <w:rFonts w:ascii="Verdana" w:hAnsi="Verdana" w:cs="Arial"/>
          <w:sz w:val="20"/>
          <w:szCs w:val="20"/>
          <w:highlight w:val="yellow"/>
          <w:lang w:val="es-MX"/>
        </w:rPr>
      </w:pPr>
    </w:p>
    <w:p w14:paraId="368EF842" w14:textId="77777777" w:rsidR="003D07C0" w:rsidRPr="006F5B50" w:rsidRDefault="003D07C0" w:rsidP="006F5B50">
      <w:pPr>
        <w:pStyle w:val="ListParagraph"/>
        <w:numPr>
          <w:ilvl w:val="0"/>
          <w:numId w:val="7"/>
        </w:numPr>
        <w:tabs>
          <w:tab w:val="left" w:pos="142"/>
        </w:tabs>
        <w:spacing w:before="120" w:after="120" w:line="240" w:lineRule="auto"/>
        <w:ind w:left="426" w:right="571" w:firstLine="0"/>
        <w:jc w:val="both"/>
        <w:rPr>
          <w:rFonts w:ascii="Verdana" w:hAnsi="Verdana" w:cs="Arial"/>
          <w:sz w:val="20"/>
          <w:szCs w:val="20"/>
          <w:lang w:val="es-MX"/>
        </w:rPr>
      </w:pPr>
      <w:r w:rsidRPr="006F5B50">
        <w:rPr>
          <w:rFonts w:ascii="Verdana" w:hAnsi="Verdana" w:cs="Arial"/>
          <w:sz w:val="20"/>
          <w:szCs w:val="20"/>
          <w:lang w:val="es-MX"/>
        </w:rPr>
        <w:t xml:space="preserve">investigar los hechos que generaron las violaciones del </w:t>
      </w:r>
      <w:r w:rsidR="00883AD6" w:rsidRPr="006F5B50">
        <w:rPr>
          <w:rFonts w:ascii="Verdana" w:hAnsi="Verdana" w:cs="Arial"/>
          <w:sz w:val="20"/>
          <w:szCs w:val="20"/>
          <w:lang w:val="es-MX"/>
        </w:rPr>
        <w:t>presente</w:t>
      </w:r>
      <w:r w:rsidRPr="006F5B50">
        <w:rPr>
          <w:rFonts w:ascii="Verdana" w:hAnsi="Verdana" w:cs="Arial"/>
          <w:sz w:val="20"/>
          <w:szCs w:val="20"/>
          <w:lang w:val="es-MX"/>
        </w:rPr>
        <w:t xml:space="preserve"> caso, e identificar, juzgar y, en su caso, sancionar a </w:t>
      </w:r>
      <w:r w:rsidR="00883AD6" w:rsidRPr="006F5B50">
        <w:rPr>
          <w:rFonts w:ascii="Verdana" w:hAnsi="Verdana" w:cs="Arial"/>
          <w:sz w:val="20"/>
          <w:szCs w:val="20"/>
          <w:lang w:val="es-MX"/>
        </w:rPr>
        <w:t>los</w:t>
      </w:r>
      <w:r w:rsidRPr="006F5B50">
        <w:rPr>
          <w:rFonts w:ascii="Verdana" w:hAnsi="Verdana" w:cs="Arial"/>
          <w:sz w:val="20"/>
          <w:szCs w:val="20"/>
          <w:lang w:val="es-MX"/>
        </w:rPr>
        <w:t xml:space="preserve"> </w:t>
      </w:r>
      <w:r w:rsidR="00883AD6" w:rsidRPr="006F5B50">
        <w:rPr>
          <w:rFonts w:ascii="Verdana" w:hAnsi="Verdana" w:cs="Arial"/>
          <w:sz w:val="20"/>
          <w:szCs w:val="20"/>
          <w:lang w:val="es-MX"/>
        </w:rPr>
        <w:t>responsables</w:t>
      </w:r>
      <w:r w:rsidR="006F5B50" w:rsidRPr="006F5B50">
        <w:rPr>
          <w:rFonts w:ascii="Verdana" w:hAnsi="Verdana" w:cs="Arial"/>
          <w:sz w:val="20"/>
          <w:szCs w:val="20"/>
          <w:lang w:val="es-MX"/>
        </w:rPr>
        <w:t xml:space="preserve"> </w:t>
      </w:r>
      <w:r w:rsidRPr="006F5B50">
        <w:rPr>
          <w:rFonts w:ascii="Verdana" w:hAnsi="Verdana" w:cs="Arial"/>
          <w:sz w:val="20"/>
          <w:szCs w:val="20"/>
          <w:lang w:val="es-MX"/>
        </w:rPr>
        <w:t>(</w:t>
      </w:r>
      <w:r w:rsidRPr="006F5B50">
        <w:rPr>
          <w:rFonts w:ascii="Verdana" w:hAnsi="Verdana" w:cs="Arial"/>
          <w:i/>
          <w:sz w:val="20"/>
          <w:szCs w:val="20"/>
          <w:lang w:val="es-MX"/>
        </w:rPr>
        <w:t xml:space="preserve">punto resolutivo </w:t>
      </w:r>
      <w:r w:rsidR="006F5B50" w:rsidRPr="006F5B50">
        <w:rPr>
          <w:rFonts w:ascii="Verdana" w:hAnsi="Verdana" w:cs="Arial"/>
          <w:i/>
          <w:sz w:val="20"/>
          <w:szCs w:val="20"/>
          <w:lang w:val="es-CR"/>
        </w:rPr>
        <w:t>décimo segundo</w:t>
      </w:r>
      <w:r w:rsidRPr="006F5B50">
        <w:rPr>
          <w:rFonts w:ascii="Verdana" w:hAnsi="Verdana" w:cs="Arial"/>
          <w:i/>
          <w:sz w:val="20"/>
          <w:szCs w:val="20"/>
          <w:lang w:val="es-MX"/>
        </w:rPr>
        <w:t xml:space="preserve"> de la Sentencia</w:t>
      </w:r>
      <w:r w:rsidRPr="006F5B50">
        <w:rPr>
          <w:rFonts w:ascii="Verdana" w:hAnsi="Verdana" w:cs="Arial"/>
          <w:sz w:val="20"/>
          <w:szCs w:val="20"/>
          <w:lang w:val="es-MX"/>
        </w:rPr>
        <w:t>)</w:t>
      </w:r>
      <w:r w:rsidR="006F5B50" w:rsidRPr="006F5B50">
        <w:rPr>
          <w:rFonts w:ascii="Verdana" w:hAnsi="Verdana" w:cs="Arial"/>
          <w:sz w:val="20"/>
          <w:szCs w:val="20"/>
          <w:lang w:val="es-MX"/>
        </w:rPr>
        <w:t>, y</w:t>
      </w:r>
    </w:p>
    <w:p w14:paraId="25D6BBBE" w14:textId="058E8E39" w:rsidR="003D07C0" w:rsidRPr="006F5B50" w:rsidRDefault="003D07C0" w:rsidP="006F5B50">
      <w:pPr>
        <w:pStyle w:val="ListParagraph"/>
        <w:numPr>
          <w:ilvl w:val="0"/>
          <w:numId w:val="7"/>
        </w:numPr>
        <w:tabs>
          <w:tab w:val="left" w:pos="142"/>
        </w:tabs>
        <w:spacing w:before="120" w:after="120" w:line="240" w:lineRule="auto"/>
        <w:ind w:left="426" w:right="571" w:firstLine="0"/>
        <w:jc w:val="both"/>
        <w:rPr>
          <w:rFonts w:ascii="Verdana" w:hAnsi="Verdana" w:cs="Arial"/>
          <w:sz w:val="20"/>
          <w:szCs w:val="20"/>
          <w:lang w:val="es-MX"/>
        </w:rPr>
      </w:pPr>
      <w:r w:rsidRPr="006F5B50">
        <w:rPr>
          <w:rFonts w:ascii="Verdana" w:hAnsi="Verdana" w:cs="Arial"/>
          <w:sz w:val="20"/>
          <w:szCs w:val="20"/>
          <w:lang w:val="es-MX"/>
        </w:rPr>
        <w:t>brindar gratuitamente y de forma inmediata, a través de sus instituciones de salud especializadas, el tratamiento médico y psicológico requerido por Patria Portugal y Franklin Portugal (</w:t>
      </w:r>
      <w:r w:rsidRPr="006F5B50">
        <w:rPr>
          <w:rFonts w:ascii="Verdana" w:hAnsi="Verdana" w:cs="Arial"/>
          <w:i/>
          <w:sz w:val="20"/>
          <w:szCs w:val="20"/>
          <w:lang w:val="es-MX"/>
        </w:rPr>
        <w:t xml:space="preserve">punto resolutivo décimo </w:t>
      </w:r>
      <w:r w:rsidR="000D37E2">
        <w:rPr>
          <w:rFonts w:ascii="Verdana" w:hAnsi="Verdana" w:cs="Arial"/>
          <w:i/>
          <w:sz w:val="20"/>
          <w:szCs w:val="20"/>
          <w:lang w:val="es-MX"/>
        </w:rPr>
        <w:t>quinto</w:t>
      </w:r>
      <w:r w:rsidR="000D37E2" w:rsidRPr="006F5B50">
        <w:rPr>
          <w:rFonts w:ascii="Verdana" w:hAnsi="Verdana" w:cs="Arial"/>
          <w:i/>
          <w:sz w:val="20"/>
          <w:szCs w:val="20"/>
          <w:lang w:val="es-MX"/>
        </w:rPr>
        <w:t xml:space="preserve"> </w:t>
      </w:r>
      <w:r w:rsidRPr="006F5B50">
        <w:rPr>
          <w:rFonts w:ascii="Verdana" w:hAnsi="Verdana" w:cs="Arial"/>
          <w:i/>
          <w:sz w:val="20"/>
          <w:szCs w:val="20"/>
          <w:lang w:val="es-MX"/>
        </w:rPr>
        <w:t>de la Sentencia</w:t>
      </w:r>
      <w:r w:rsidRPr="006F5B50">
        <w:rPr>
          <w:rFonts w:ascii="Verdana" w:hAnsi="Verdana" w:cs="Arial"/>
          <w:sz w:val="20"/>
          <w:szCs w:val="20"/>
          <w:lang w:val="es-MX"/>
        </w:rPr>
        <w:t>)</w:t>
      </w:r>
      <w:r w:rsidR="008E08BD">
        <w:rPr>
          <w:rFonts w:ascii="Verdana" w:hAnsi="Verdana" w:cs="Arial"/>
          <w:sz w:val="20"/>
          <w:szCs w:val="20"/>
          <w:lang w:val="es-MX"/>
        </w:rPr>
        <w:t>.</w:t>
      </w:r>
    </w:p>
    <w:p w14:paraId="39ED319B" w14:textId="77777777" w:rsidR="00287B1A" w:rsidRDefault="00287B1A" w:rsidP="00305922">
      <w:pPr>
        <w:pStyle w:val="ListParagraph"/>
        <w:spacing w:line="240" w:lineRule="auto"/>
        <w:ind w:left="0"/>
        <w:jc w:val="both"/>
        <w:rPr>
          <w:rFonts w:ascii="Verdana" w:hAnsi="Verdana" w:cs="Arial"/>
          <w:sz w:val="20"/>
          <w:szCs w:val="20"/>
          <w:lang w:val="es-MX"/>
        </w:rPr>
      </w:pPr>
    </w:p>
    <w:p w14:paraId="47E655D8" w14:textId="77777777" w:rsidR="00B86500" w:rsidRPr="006F5B50" w:rsidRDefault="00B86500" w:rsidP="00305922">
      <w:pPr>
        <w:pStyle w:val="ListParagraph"/>
        <w:spacing w:line="240" w:lineRule="auto"/>
        <w:ind w:left="0"/>
        <w:jc w:val="both"/>
        <w:rPr>
          <w:rFonts w:ascii="Verdana" w:hAnsi="Verdana" w:cs="Arial"/>
          <w:sz w:val="20"/>
          <w:szCs w:val="20"/>
          <w:lang w:val="es-MX"/>
        </w:rPr>
      </w:pPr>
    </w:p>
    <w:p w14:paraId="199FC5C3" w14:textId="3C49FCA4" w:rsidR="00FF2564" w:rsidRPr="00FF2564" w:rsidRDefault="00FF2564" w:rsidP="00FF2564">
      <w:pPr>
        <w:pStyle w:val="ListParagraph"/>
        <w:numPr>
          <w:ilvl w:val="0"/>
          <w:numId w:val="6"/>
        </w:numPr>
        <w:spacing w:line="240" w:lineRule="auto"/>
        <w:ind w:left="0" w:firstLine="0"/>
        <w:jc w:val="both"/>
        <w:rPr>
          <w:rFonts w:ascii="Verdana" w:hAnsi="Verdana" w:cs="Arial"/>
          <w:sz w:val="20"/>
          <w:szCs w:val="20"/>
          <w:lang w:val="es-CR"/>
        </w:rPr>
      </w:pPr>
      <w:r w:rsidRPr="00FF2564">
        <w:rPr>
          <w:rFonts w:ascii="Verdana" w:hAnsi="Verdana" w:cs="Arial"/>
          <w:sz w:val="20"/>
          <w:szCs w:val="20"/>
          <w:lang w:val="es-CR"/>
        </w:rPr>
        <w:t xml:space="preserve">Disponer que el Estado adopte, en definitiva y a la mayor brevedad, las medidas que sean necesarias para dar efectivo y pronto cumplimiento </w:t>
      </w:r>
      <w:r w:rsidR="00737311">
        <w:rPr>
          <w:rFonts w:ascii="Verdana" w:hAnsi="Verdana" w:cs="Arial"/>
          <w:sz w:val="20"/>
          <w:szCs w:val="20"/>
          <w:lang w:val="es-CR"/>
        </w:rPr>
        <w:t>a los puntos pendientes de cumplimiento</w:t>
      </w:r>
      <w:r w:rsidRPr="00FF2564">
        <w:rPr>
          <w:rFonts w:ascii="Verdana" w:hAnsi="Verdana" w:cs="Arial"/>
          <w:sz w:val="20"/>
          <w:szCs w:val="20"/>
          <w:lang w:val="es-CR"/>
        </w:rPr>
        <w:t xml:space="preserve"> de la Sentencia, de acuerdo con lo considerado en la presente Resolución, y con lo estipulado en el artículo 68.1 de la Convención Americana sobre Derechos Humanos.</w:t>
      </w:r>
    </w:p>
    <w:p w14:paraId="0B497E66" w14:textId="77777777" w:rsidR="00FF2564" w:rsidRDefault="00FF2564" w:rsidP="00FF2564">
      <w:pPr>
        <w:pStyle w:val="ListParagraph"/>
        <w:spacing w:line="240" w:lineRule="auto"/>
        <w:ind w:left="0"/>
        <w:jc w:val="both"/>
        <w:rPr>
          <w:rFonts w:ascii="Verdana" w:hAnsi="Verdana" w:cs="Arial"/>
          <w:sz w:val="20"/>
          <w:szCs w:val="20"/>
          <w:lang w:val="es-CR"/>
        </w:rPr>
      </w:pPr>
    </w:p>
    <w:p w14:paraId="5B94C905" w14:textId="57274C1C" w:rsidR="00CE4EA7" w:rsidRPr="006F5B50" w:rsidRDefault="00287B1A" w:rsidP="00305922">
      <w:pPr>
        <w:pStyle w:val="ListParagraph"/>
        <w:numPr>
          <w:ilvl w:val="0"/>
          <w:numId w:val="6"/>
        </w:numPr>
        <w:spacing w:line="240" w:lineRule="auto"/>
        <w:ind w:left="0" w:firstLine="0"/>
        <w:jc w:val="both"/>
        <w:rPr>
          <w:rFonts w:ascii="Verdana" w:hAnsi="Verdana" w:cs="Arial"/>
          <w:sz w:val="20"/>
          <w:szCs w:val="20"/>
          <w:lang w:val="es-CR"/>
        </w:rPr>
      </w:pPr>
      <w:r w:rsidRPr="006F5B50">
        <w:rPr>
          <w:rFonts w:ascii="Verdana" w:hAnsi="Verdana" w:cs="Arial"/>
          <w:sz w:val="20"/>
          <w:szCs w:val="20"/>
          <w:lang w:val="es-CR"/>
        </w:rPr>
        <w:t xml:space="preserve">Disponer que el Estado </w:t>
      </w:r>
      <w:r w:rsidR="000D37E2">
        <w:rPr>
          <w:rFonts w:ascii="Verdana" w:hAnsi="Verdana" w:cs="Arial"/>
          <w:sz w:val="20"/>
          <w:szCs w:val="20"/>
          <w:lang w:val="es-CR"/>
        </w:rPr>
        <w:t xml:space="preserve">de Panamá </w:t>
      </w:r>
      <w:r w:rsidRPr="006F5B50">
        <w:rPr>
          <w:rFonts w:ascii="Verdana" w:hAnsi="Verdana" w:cs="Arial"/>
          <w:sz w:val="20"/>
          <w:szCs w:val="20"/>
          <w:lang w:val="es-CR"/>
        </w:rPr>
        <w:t>presente a la Corte Interamericana de De</w:t>
      </w:r>
      <w:r w:rsidR="006F5B50">
        <w:rPr>
          <w:rFonts w:ascii="Verdana" w:hAnsi="Verdana" w:cs="Arial"/>
          <w:sz w:val="20"/>
          <w:szCs w:val="20"/>
          <w:lang w:val="es-CR"/>
        </w:rPr>
        <w:t>rechos Humanos</w:t>
      </w:r>
      <w:r w:rsidR="00D75AB3">
        <w:rPr>
          <w:rFonts w:ascii="Verdana" w:hAnsi="Verdana" w:cs="Arial"/>
          <w:sz w:val="20"/>
          <w:szCs w:val="20"/>
          <w:lang w:val="es-CR"/>
        </w:rPr>
        <w:t>,</w:t>
      </w:r>
      <w:r w:rsidR="006F5B50">
        <w:rPr>
          <w:rFonts w:ascii="Verdana" w:hAnsi="Verdana" w:cs="Arial"/>
          <w:sz w:val="20"/>
          <w:szCs w:val="20"/>
          <w:lang w:val="es-CR"/>
        </w:rPr>
        <w:t xml:space="preserve"> a más tardar el </w:t>
      </w:r>
      <w:r w:rsidR="00FF2564">
        <w:rPr>
          <w:rFonts w:ascii="Verdana" w:hAnsi="Verdana" w:cs="Arial"/>
          <w:sz w:val="20"/>
          <w:szCs w:val="20"/>
          <w:lang w:val="es-CR"/>
        </w:rPr>
        <w:t>16</w:t>
      </w:r>
      <w:r w:rsidR="000D37E2">
        <w:rPr>
          <w:rFonts w:ascii="Verdana" w:hAnsi="Verdana" w:cs="Arial"/>
          <w:sz w:val="20"/>
          <w:szCs w:val="20"/>
          <w:lang w:val="es-CR"/>
        </w:rPr>
        <w:t xml:space="preserve"> </w:t>
      </w:r>
      <w:r w:rsidRPr="006F5B50">
        <w:rPr>
          <w:rFonts w:ascii="Verdana" w:hAnsi="Verdana" w:cs="Arial"/>
          <w:sz w:val="20"/>
          <w:szCs w:val="20"/>
          <w:lang w:val="es-CR"/>
        </w:rPr>
        <w:t xml:space="preserve">de </w:t>
      </w:r>
      <w:r w:rsidR="00FF2564">
        <w:rPr>
          <w:rFonts w:ascii="Verdana" w:hAnsi="Verdana" w:cs="Arial"/>
          <w:sz w:val="20"/>
          <w:szCs w:val="20"/>
          <w:lang w:val="es-CR"/>
        </w:rPr>
        <w:t>marzo</w:t>
      </w:r>
      <w:r w:rsidR="000D37E2" w:rsidRPr="006F5B50">
        <w:rPr>
          <w:rFonts w:ascii="Verdana" w:hAnsi="Verdana" w:cs="Arial"/>
          <w:sz w:val="20"/>
          <w:szCs w:val="20"/>
          <w:lang w:val="es-CR"/>
        </w:rPr>
        <w:t xml:space="preserve"> </w:t>
      </w:r>
      <w:r w:rsidRPr="006F5B50">
        <w:rPr>
          <w:rFonts w:ascii="Verdana" w:hAnsi="Verdana" w:cs="Arial"/>
          <w:sz w:val="20"/>
          <w:szCs w:val="20"/>
          <w:lang w:val="es-CR"/>
        </w:rPr>
        <w:t xml:space="preserve">de </w:t>
      </w:r>
      <w:r w:rsidR="000D37E2">
        <w:rPr>
          <w:rFonts w:ascii="Verdana" w:hAnsi="Verdana" w:cs="Arial"/>
          <w:sz w:val="20"/>
          <w:szCs w:val="20"/>
          <w:lang w:val="es-CR"/>
        </w:rPr>
        <w:t>201</w:t>
      </w:r>
      <w:r w:rsidR="00FF2564">
        <w:rPr>
          <w:rFonts w:ascii="Verdana" w:hAnsi="Verdana" w:cs="Arial"/>
          <w:sz w:val="20"/>
          <w:szCs w:val="20"/>
          <w:lang w:val="es-CR"/>
        </w:rPr>
        <w:t>8</w:t>
      </w:r>
      <w:r w:rsidR="00D75AB3">
        <w:rPr>
          <w:rFonts w:ascii="Verdana" w:hAnsi="Verdana" w:cs="Arial"/>
          <w:sz w:val="20"/>
          <w:szCs w:val="20"/>
          <w:lang w:val="es-CR"/>
        </w:rPr>
        <w:t>,</w:t>
      </w:r>
      <w:r w:rsidRPr="006F5B50">
        <w:rPr>
          <w:rFonts w:ascii="Verdana" w:hAnsi="Verdana" w:cs="Arial"/>
          <w:sz w:val="20"/>
          <w:szCs w:val="20"/>
          <w:lang w:val="es-CR"/>
        </w:rPr>
        <w:t xml:space="preserve"> un informe sobre el cumplimiento de </w:t>
      </w:r>
      <w:r w:rsidR="006F5B50">
        <w:rPr>
          <w:rFonts w:ascii="Verdana" w:hAnsi="Verdana" w:cs="Arial"/>
          <w:sz w:val="20"/>
          <w:szCs w:val="20"/>
          <w:lang w:val="es-CR"/>
        </w:rPr>
        <w:t>la Sentencia, en el cual se refiera a las reparaciones pendientes de cumplimiento</w:t>
      </w:r>
      <w:r w:rsidR="00D75AB3">
        <w:rPr>
          <w:rFonts w:ascii="Verdana" w:hAnsi="Verdana" w:cs="Arial"/>
          <w:sz w:val="20"/>
          <w:szCs w:val="20"/>
          <w:lang w:val="es-CR"/>
        </w:rPr>
        <w:t>.</w:t>
      </w:r>
    </w:p>
    <w:p w14:paraId="75F0AA1E" w14:textId="77777777" w:rsidR="00CE4EA7" w:rsidRDefault="00CE4EA7" w:rsidP="00305922">
      <w:pPr>
        <w:pStyle w:val="ListParagraph"/>
        <w:spacing w:line="240" w:lineRule="auto"/>
        <w:ind w:left="0"/>
        <w:jc w:val="both"/>
        <w:rPr>
          <w:rFonts w:ascii="Verdana" w:hAnsi="Verdana" w:cs="Arial"/>
          <w:sz w:val="20"/>
          <w:szCs w:val="20"/>
          <w:lang w:val="es-CR"/>
        </w:rPr>
      </w:pPr>
    </w:p>
    <w:p w14:paraId="6A781662" w14:textId="77777777" w:rsidR="00B86500" w:rsidRPr="006F5B50" w:rsidRDefault="00B86500" w:rsidP="00305922">
      <w:pPr>
        <w:pStyle w:val="ListParagraph"/>
        <w:spacing w:line="240" w:lineRule="auto"/>
        <w:ind w:left="0"/>
        <w:jc w:val="both"/>
        <w:rPr>
          <w:rFonts w:ascii="Verdana" w:hAnsi="Verdana" w:cs="Arial"/>
          <w:sz w:val="20"/>
          <w:szCs w:val="20"/>
          <w:lang w:val="es-CR"/>
        </w:rPr>
      </w:pPr>
    </w:p>
    <w:p w14:paraId="2CBB30EB" w14:textId="3F1A0B39" w:rsidR="00CE4EA7" w:rsidRPr="006F5B50" w:rsidRDefault="006F5B50" w:rsidP="00305922">
      <w:pPr>
        <w:pStyle w:val="ListParagraph"/>
        <w:numPr>
          <w:ilvl w:val="0"/>
          <w:numId w:val="6"/>
        </w:numPr>
        <w:spacing w:line="240" w:lineRule="auto"/>
        <w:ind w:left="0" w:firstLine="0"/>
        <w:jc w:val="both"/>
        <w:rPr>
          <w:rFonts w:ascii="Verdana" w:hAnsi="Verdana" w:cs="Arial"/>
          <w:sz w:val="20"/>
          <w:szCs w:val="20"/>
          <w:lang w:val="es-CR"/>
        </w:rPr>
      </w:pPr>
      <w:r>
        <w:rPr>
          <w:rFonts w:ascii="Verdana" w:hAnsi="Verdana" w:cs="Arial"/>
          <w:sz w:val="20"/>
          <w:szCs w:val="20"/>
          <w:lang w:val="es-CR"/>
        </w:rPr>
        <w:t>Requerir a</w:t>
      </w:r>
      <w:r w:rsidR="00CE4EA7" w:rsidRPr="006F5B50">
        <w:rPr>
          <w:rFonts w:ascii="Verdana" w:hAnsi="Verdana" w:cs="Arial"/>
          <w:sz w:val="20"/>
          <w:szCs w:val="20"/>
          <w:lang w:val="es-CR"/>
        </w:rPr>
        <w:t xml:space="preserve"> los representantes de la</w:t>
      </w:r>
      <w:r>
        <w:rPr>
          <w:rFonts w:ascii="Verdana" w:hAnsi="Verdana" w:cs="Arial"/>
          <w:sz w:val="20"/>
          <w:szCs w:val="20"/>
          <w:lang w:val="es-CR"/>
        </w:rPr>
        <w:t>s</w:t>
      </w:r>
      <w:r w:rsidR="00A44715" w:rsidRPr="006F5B50">
        <w:rPr>
          <w:rFonts w:ascii="Verdana" w:hAnsi="Verdana" w:cs="Arial"/>
          <w:sz w:val="20"/>
          <w:szCs w:val="20"/>
          <w:lang w:val="es-CR"/>
        </w:rPr>
        <w:t xml:space="preserve"> víctima</w:t>
      </w:r>
      <w:r>
        <w:rPr>
          <w:rFonts w:ascii="Verdana" w:hAnsi="Verdana" w:cs="Arial"/>
          <w:sz w:val="20"/>
          <w:szCs w:val="20"/>
          <w:lang w:val="es-CR"/>
        </w:rPr>
        <w:t>s</w:t>
      </w:r>
      <w:r w:rsidR="00CE4EA7" w:rsidRPr="006F5B50">
        <w:rPr>
          <w:rFonts w:ascii="Verdana" w:hAnsi="Verdana" w:cs="Arial"/>
          <w:sz w:val="20"/>
          <w:szCs w:val="20"/>
          <w:lang w:val="es-CR"/>
        </w:rPr>
        <w:t xml:space="preserve"> y </w:t>
      </w:r>
      <w:r w:rsidR="000D37E2">
        <w:rPr>
          <w:rFonts w:ascii="Verdana" w:hAnsi="Verdana" w:cs="Arial"/>
          <w:sz w:val="20"/>
          <w:szCs w:val="20"/>
          <w:lang w:val="es-CR"/>
        </w:rPr>
        <w:t xml:space="preserve">a </w:t>
      </w:r>
      <w:r w:rsidR="00CE4EA7" w:rsidRPr="006F5B50">
        <w:rPr>
          <w:rFonts w:ascii="Verdana" w:hAnsi="Verdana" w:cs="Arial"/>
          <w:sz w:val="20"/>
          <w:szCs w:val="20"/>
          <w:lang w:val="es-CR"/>
        </w:rPr>
        <w:t>la Comisión Interamericana de Derechos Humanos</w:t>
      </w:r>
      <w:r>
        <w:rPr>
          <w:rFonts w:ascii="Verdana" w:hAnsi="Verdana" w:cs="Arial"/>
          <w:sz w:val="20"/>
          <w:szCs w:val="20"/>
          <w:lang w:val="es-CR"/>
        </w:rPr>
        <w:t xml:space="preserve"> que</w:t>
      </w:r>
      <w:r w:rsidR="00CE4EA7" w:rsidRPr="006F5B50">
        <w:rPr>
          <w:rFonts w:ascii="Verdana" w:hAnsi="Verdana" w:cs="Arial"/>
          <w:sz w:val="20"/>
          <w:szCs w:val="20"/>
          <w:lang w:val="es-CR"/>
        </w:rPr>
        <w:t xml:space="preserve"> presenten observaciones al informe del Estado mencionado en el punto resolutivo anterior, en los plazos de cuatro y seis semanas, respectivamente, contados a partir de la recepción del informe.</w:t>
      </w:r>
    </w:p>
    <w:p w14:paraId="24507021" w14:textId="77777777" w:rsidR="00CE4EA7" w:rsidRDefault="00CE4EA7" w:rsidP="00305922">
      <w:pPr>
        <w:pStyle w:val="ListParagraph"/>
        <w:spacing w:line="240" w:lineRule="auto"/>
        <w:ind w:left="0"/>
        <w:jc w:val="both"/>
        <w:rPr>
          <w:rFonts w:ascii="Verdana" w:hAnsi="Verdana" w:cs="Arial"/>
          <w:sz w:val="20"/>
          <w:szCs w:val="20"/>
          <w:lang w:val="es-CR"/>
        </w:rPr>
      </w:pPr>
    </w:p>
    <w:p w14:paraId="1BFFA26B" w14:textId="77777777" w:rsidR="00B86500" w:rsidRPr="006F5B50" w:rsidRDefault="00B86500" w:rsidP="00305922">
      <w:pPr>
        <w:pStyle w:val="ListParagraph"/>
        <w:spacing w:line="240" w:lineRule="auto"/>
        <w:ind w:left="0"/>
        <w:jc w:val="both"/>
        <w:rPr>
          <w:rFonts w:ascii="Verdana" w:hAnsi="Verdana" w:cs="Arial"/>
          <w:sz w:val="20"/>
          <w:szCs w:val="20"/>
          <w:lang w:val="es-CR"/>
        </w:rPr>
      </w:pPr>
    </w:p>
    <w:p w14:paraId="083C836E" w14:textId="677E8805" w:rsidR="00535381" w:rsidRDefault="00CE4EA7" w:rsidP="00305922">
      <w:pPr>
        <w:pStyle w:val="ListParagraph"/>
        <w:numPr>
          <w:ilvl w:val="0"/>
          <w:numId w:val="6"/>
        </w:numPr>
        <w:spacing w:line="240" w:lineRule="auto"/>
        <w:ind w:left="0" w:firstLine="0"/>
        <w:jc w:val="both"/>
        <w:rPr>
          <w:rFonts w:ascii="Verdana" w:hAnsi="Verdana" w:cs="Arial"/>
          <w:sz w:val="20"/>
          <w:szCs w:val="20"/>
          <w:lang w:val="es-CR"/>
        </w:rPr>
      </w:pPr>
      <w:r w:rsidRPr="006F5B50">
        <w:rPr>
          <w:rFonts w:ascii="Verdana" w:hAnsi="Verdana" w:cs="Arial"/>
          <w:sz w:val="20"/>
          <w:szCs w:val="20"/>
          <w:lang w:val="es-CR"/>
        </w:rPr>
        <w:t>Disponer que la Secretaría de la Corte notifique la presente Resolución al Estado, a los representantes de la</w:t>
      </w:r>
      <w:r w:rsidR="006F5B50">
        <w:rPr>
          <w:rFonts w:ascii="Verdana" w:hAnsi="Verdana" w:cs="Arial"/>
          <w:sz w:val="20"/>
          <w:szCs w:val="20"/>
          <w:lang w:val="es-CR"/>
        </w:rPr>
        <w:t>s</w:t>
      </w:r>
      <w:r w:rsidRPr="006F5B50">
        <w:rPr>
          <w:rFonts w:ascii="Verdana" w:hAnsi="Verdana" w:cs="Arial"/>
          <w:sz w:val="20"/>
          <w:szCs w:val="20"/>
          <w:lang w:val="es-CR"/>
        </w:rPr>
        <w:t xml:space="preserve"> víctima</w:t>
      </w:r>
      <w:r w:rsidR="006F5B50">
        <w:rPr>
          <w:rFonts w:ascii="Verdana" w:hAnsi="Verdana" w:cs="Arial"/>
          <w:sz w:val="20"/>
          <w:szCs w:val="20"/>
          <w:lang w:val="es-CR"/>
        </w:rPr>
        <w:t>s</w:t>
      </w:r>
      <w:r w:rsidRPr="006F5B50">
        <w:rPr>
          <w:rFonts w:ascii="Verdana" w:hAnsi="Verdana" w:cs="Arial"/>
          <w:sz w:val="20"/>
          <w:szCs w:val="20"/>
          <w:lang w:val="es-CR"/>
        </w:rPr>
        <w:t xml:space="preserve"> y a la Comisión Interamericana de Derechos Humanos.</w:t>
      </w:r>
    </w:p>
    <w:p w14:paraId="689ADE2F" w14:textId="313CBEC5" w:rsidR="00107D30" w:rsidRPr="008F69D4" w:rsidRDefault="00107D30" w:rsidP="00107D30">
      <w:pPr>
        <w:keepNext/>
        <w:jc w:val="both"/>
        <w:outlineLvl w:val="0"/>
        <w:rPr>
          <w:rFonts w:ascii="Verdana" w:hAnsi="Verdana" w:cs="Verdana"/>
          <w:b/>
          <w:bCs/>
          <w:sz w:val="20"/>
          <w:lang w:val="es-ES"/>
        </w:rPr>
      </w:pPr>
      <w:r>
        <w:rPr>
          <w:rFonts w:ascii="Verdana" w:hAnsi="Verdana" w:cs="Courier New"/>
          <w:noProof/>
          <w:sz w:val="20"/>
          <w:lang w:val="es-AR"/>
        </w:rPr>
        <w:lastRenderedPageBreak/>
        <w:t>C</w:t>
      </w:r>
      <w:r w:rsidRPr="008F69D4">
        <w:rPr>
          <w:rFonts w:ascii="Verdana" w:hAnsi="Verdana" w:cs="Courier New"/>
          <w:noProof/>
          <w:sz w:val="20"/>
          <w:lang w:val="es-AR"/>
        </w:rPr>
        <w:t xml:space="preserve">orte IDH. </w:t>
      </w:r>
      <w:r w:rsidRPr="008F69D4">
        <w:rPr>
          <w:rFonts w:ascii="Verdana" w:hAnsi="Verdana"/>
          <w:bCs/>
          <w:i/>
          <w:sz w:val="20"/>
          <w:lang w:val="es-CR"/>
        </w:rPr>
        <w:t xml:space="preserve">Caso </w:t>
      </w:r>
      <w:r>
        <w:rPr>
          <w:rFonts w:ascii="Verdana" w:hAnsi="Verdana"/>
          <w:bCs/>
          <w:i/>
          <w:sz w:val="20"/>
          <w:lang w:val="es-CR"/>
        </w:rPr>
        <w:t>Heliodoro Portugal</w:t>
      </w:r>
      <w:r w:rsidRPr="008F69D4">
        <w:rPr>
          <w:rFonts w:ascii="Verdana" w:hAnsi="Verdana"/>
          <w:bCs/>
          <w:i/>
          <w:sz w:val="20"/>
          <w:lang w:val="es-CR"/>
        </w:rPr>
        <w:t xml:space="preserve"> Vs. Panamá</w:t>
      </w:r>
      <w:r w:rsidRPr="008F69D4">
        <w:rPr>
          <w:rFonts w:ascii="Verdana" w:hAnsi="Verdana"/>
          <w:i/>
          <w:sz w:val="20"/>
          <w:lang w:val="es-ES"/>
        </w:rPr>
        <w:t>.</w:t>
      </w:r>
      <w:r w:rsidRPr="008F69D4">
        <w:rPr>
          <w:rFonts w:ascii="Verdana" w:hAnsi="Verdana" w:cs="Arial"/>
          <w:i/>
          <w:sz w:val="20"/>
          <w:lang w:val="es-CR"/>
        </w:rPr>
        <w:t xml:space="preserve"> </w:t>
      </w:r>
      <w:r w:rsidRPr="008F69D4">
        <w:rPr>
          <w:rFonts w:ascii="Verdana" w:hAnsi="Verdana"/>
          <w:sz w:val="20"/>
          <w:lang w:val="es-CR"/>
        </w:rPr>
        <w:t xml:space="preserve">Supervisión de cumplimiento de sentencia. </w:t>
      </w:r>
      <w:r w:rsidRPr="008F69D4">
        <w:rPr>
          <w:rFonts w:ascii="Verdana" w:hAnsi="Verdana"/>
          <w:sz w:val="20"/>
          <w:lang w:val="es-ES"/>
        </w:rPr>
        <w:t xml:space="preserve">Resolución de la Corte Interamericana de Derechos Humanos de </w:t>
      </w:r>
      <w:r>
        <w:rPr>
          <w:rFonts w:ascii="Verdana" w:hAnsi="Verdana"/>
          <w:sz w:val="20"/>
          <w:lang w:val="es-CR"/>
        </w:rPr>
        <w:t>14</w:t>
      </w:r>
      <w:r w:rsidRPr="008F69D4">
        <w:rPr>
          <w:rFonts w:ascii="Verdana" w:hAnsi="Verdana"/>
          <w:sz w:val="20"/>
          <w:lang w:val="es-CR"/>
        </w:rPr>
        <w:t xml:space="preserve"> de </w:t>
      </w:r>
      <w:r>
        <w:rPr>
          <w:rFonts w:ascii="Verdana" w:hAnsi="Verdana"/>
          <w:sz w:val="20"/>
          <w:lang w:val="es-CR"/>
        </w:rPr>
        <w:t>noviembre</w:t>
      </w:r>
      <w:r w:rsidRPr="008F69D4">
        <w:rPr>
          <w:rFonts w:ascii="Verdana" w:hAnsi="Verdana"/>
          <w:sz w:val="20"/>
          <w:lang w:val="es-CR"/>
        </w:rPr>
        <w:t xml:space="preserve"> de 2017</w:t>
      </w:r>
      <w:r w:rsidRPr="008F69D4">
        <w:rPr>
          <w:rFonts w:ascii="Verdana" w:hAnsi="Verdana"/>
          <w:sz w:val="20"/>
          <w:lang w:val="es-ES"/>
        </w:rPr>
        <w:t xml:space="preserve">. </w:t>
      </w:r>
    </w:p>
    <w:p w14:paraId="184A93E8" w14:textId="77777777" w:rsidR="00107D30" w:rsidRDefault="00107D30" w:rsidP="00107D30">
      <w:pPr>
        <w:jc w:val="center"/>
        <w:rPr>
          <w:rFonts w:ascii="Verdana" w:hAnsi="Verdana"/>
          <w:sz w:val="20"/>
          <w:lang w:val="es-ES"/>
        </w:rPr>
      </w:pPr>
    </w:p>
    <w:p w14:paraId="5882037B" w14:textId="77777777" w:rsidR="00107D30" w:rsidRDefault="00107D30" w:rsidP="00107D30">
      <w:pPr>
        <w:spacing w:after="0" w:line="240" w:lineRule="auto"/>
        <w:rPr>
          <w:rFonts w:ascii="Verdana" w:hAnsi="Verdana"/>
          <w:b/>
          <w:i/>
          <w:sz w:val="20"/>
          <w:lang w:val="es-CR"/>
        </w:rPr>
      </w:pPr>
    </w:p>
    <w:p w14:paraId="0ECC5A82" w14:textId="77777777" w:rsidR="00107D30" w:rsidRPr="00EA2C27" w:rsidRDefault="00107D30" w:rsidP="00107D30">
      <w:pPr>
        <w:spacing w:after="0" w:line="240" w:lineRule="auto"/>
        <w:rPr>
          <w:rFonts w:ascii="Verdana" w:hAnsi="Verdana"/>
          <w:sz w:val="20"/>
          <w:lang w:val="es-MX"/>
        </w:rPr>
      </w:pPr>
    </w:p>
    <w:p w14:paraId="50B8DFA7" w14:textId="77777777" w:rsidR="00107D30" w:rsidRDefault="00107D30" w:rsidP="00107D30">
      <w:pPr>
        <w:spacing w:after="0" w:line="240" w:lineRule="auto"/>
        <w:jc w:val="center"/>
        <w:rPr>
          <w:rFonts w:ascii="Verdana" w:hAnsi="Verdana"/>
          <w:sz w:val="20"/>
          <w:lang w:val="es-ES"/>
        </w:rPr>
      </w:pPr>
    </w:p>
    <w:p w14:paraId="5F68ECDF" w14:textId="77777777" w:rsidR="00107D30" w:rsidRPr="004B7A1D" w:rsidRDefault="00107D30" w:rsidP="00107D30">
      <w:pPr>
        <w:spacing w:after="0" w:line="240" w:lineRule="auto"/>
        <w:jc w:val="center"/>
        <w:rPr>
          <w:rFonts w:ascii="Verdana" w:hAnsi="Verdana"/>
          <w:sz w:val="20"/>
          <w:lang w:val="es-ES"/>
        </w:rPr>
      </w:pPr>
      <w:r>
        <w:rPr>
          <w:rFonts w:ascii="Verdana" w:hAnsi="Verdana"/>
          <w:sz w:val="20"/>
          <w:lang w:val="es-ES"/>
        </w:rPr>
        <w:t>Roberto F. Caldas</w:t>
      </w:r>
    </w:p>
    <w:p w14:paraId="575413BB" w14:textId="77777777" w:rsidR="00107D30" w:rsidRPr="004B7A1D" w:rsidRDefault="00107D30" w:rsidP="00107D30">
      <w:pPr>
        <w:spacing w:after="0" w:line="240" w:lineRule="auto"/>
        <w:jc w:val="center"/>
        <w:rPr>
          <w:rFonts w:ascii="Verdana" w:hAnsi="Verdana"/>
          <w:sz w:val="20"/>
          <w:lang w:val="es-ES"/>
        </w:rPr>
      </w:pPr>
      <w:r w:rsidRPr="004B7A1D">
        <w:rPr>
          <w:rFonts w:ascii="Verdana" w:hAnsi="Verdana"/>
          <w:sz w:val="20"/>
          <w:lang w:val="es-ES"/>
        </w:rPr>
        <w:t xml:space="preserve">Presidente </w:t>
      </w:r>
    </w:p>
    <w:p w14:paraId="4F85DC47" w14:textId="77777777" w:rsidR="00107D30" w:rsidRPr="004B7A1D" w:rsidRDefault="00107D30" w:rsidP="00107D30">
      <w:pPr>
        <w:spacing w:after="0" w:line="240" w:lineRule="auto"/>
        <w:jc w:val="both"/>
        <w:rPr>
          <w:rFonts w:ascii="Verdana" w:hAnsi="Verdana"/>
          <w:sz w:val="20"/>
          <w:lang w:val="es-ES"/>
        </w:rPr>
      </w:pPr>
    </w:p>
    <w:p w14:paraId="5D60667C" w14:textId="77777777" w:rsidR="00107D30" w:rsidRPr="004B7A1D" w:rsidRDefault="00107D30" w:rsidP="00107D30">
      <w:pPr>
        <w:tabs>
          <w:tab w:val="left" w:pos="1485"/>
        </w:tabs>
        <w:spacing w:after="0" w:line="240" w:lineRule="auto"/>
        <w:jc w:val="both"/>
        <w:rPr>
          <w:rFonts w:ascii="Verdana" w:hAnsi="Verdana"/>
          <w:sz w:val="20"/>
          <w:lang w:val="es-ES"/>
        </w:rPr>
      </w:pPr>
      <w:r>
        <w:rPr>
          <w:rFonts w:ascii="Verdana" w:hAnsi="Verdana"/>
          <w:sz w:val="20"/>
          <w:lang w:val="es-ES"/>
        </w:rPr>
        <w:tab/>
      </w:r>
    </w:p>
    <w:p w14:paraId="564882F4" w14:textId="77777777" w:rsidR="00107D30" w:rsidRPr="004B7A1D" w:rsidRDefault="00107D30" w:rsidP="00107D30">
      <w:pPr>
        <w:spacing w:after="0" w:line="240" w:lineRule="auto"/>
        <w:jc w:val="both"/>
        <w:rPr>
          <w:rFonts w:ascii="Verdana" w:hAnsi="Verdana"/>
          <w:sz w:val="20"/>
          <w:lang w:val="es-ES"/>
        </w:rPr>
      </w:pPr>
    </w:p>
    <w:p w14:paraId="1996B340" w14:textId="77777777" w:rsidR="00107D30" w:rsidRPr="004B7A1D" w:rsidRDefault="00107D30" w:rsidP="00107D30">
      <w:pPr>
        <w:spacing w:after="0" w:line="240" w:lineRule="auto"/>
        <w:jc w:val="both"/>
        <w:rPr>
          <w:rFonts w:ascii="Verdana" w:hAnsi="Verdana"/>
          <w:sz w:val="20"/>
          <w:lang w:val="es-ES"/>
        </w:rPr>
      </w:pPr>
    </w:p>
    <w:p w14:paraId="45676475" w14:textId="77777777" w:rsidR="00107D30" w:rsidRPr="004B7A1D" w:rsidRDefault="00107D30" w:rsidP="00107D30">
      <w:pPr>
        <w:spacing w:after="0" w:line="240" w:lineRule="auto"/>
        <w:jc w:val="both"/>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Pr>
          <w:rFonts w:ascii="Verdana" w:hAnsi="Verdana"/>
          <w:sz w:val="20"/>
          <w:lang w:val="es-ES"/>
        </w:rPr>
        <w:t xml:space="preserve">       Eduardo Vio Grossi</w:t>
      </w:r>
    </w:p>
    <w:p w14:paraId="2A85BDEA" w14:textId="77777777" w:rsidR="00107D30" w:rsidRPr="004B7A1D" w:rsidRDefault="00107D30" w:rsidP="00107D30">
      <w:pPr>
        <w:spacing w:after="0" w:line="240" w:lineRule="auto"/>
        <w:jc w:val="both"/>
        <w:rPr>
          <w:rFonts w:ascii="Verdana" w:hAnsi="Verdana"/>
          <w:sz w:val="20"/>
          <w:lang w:val="es-ES"/>
        </w:rPr>
      </w:pPr>
    </w:p>
    <w:p w14:paraId="67D37294" w14:textId="77777777" w:rsidR="00107D30" w:rsidRPr="004B7A1D" w:rsidRDefault="00107D30" w:rsidP="00107D30">
      <w:pPr>
        <w:spacing w:after="0" w:line="240" w:lineRule="auto"/>
        <w:jc w:val="both"/>
        <w:rPr>
          <w:rFonts w:ascii="Verdana" w:hAnsi="Verdana"/>
          <w:sz w:val="20"/>
          <w:lang w:val="es-ES"/>
        </w:rPr>
      </w:pPr>
    </w:p>
    <w:p w14:paraId="35DF76ED" w14:textId="77777777" w:rsidR="00107D30" w:rsidRPr="004B7A1D" w:rsidRDefault="00107D30" w:rsidP="00107D30">
      <w:pPr>
        <w:spacing w:after="0" w:line="240" w:lineRule="auto"/>
        <w:jc w:val="both"/>
        <w:rPr>
          <w:rFonts w:ascii="Verdana" w:hAnsi="Verdana"/>
          <w:sz w:val="20"/>
          <w:lang w:val="es-ES"/>
        </w:rPr>
      </w:pPr>
    </w:p>
    <w:p w14:paraId="58E22FCC" w14:textId="77777777" w:rsidR="00107D30" w:rsidRPr="004B7A1D" w:rsidRDefault="00107D30" w:rsidP="00107D30">
      <w:pPr>
        <w:spacing w:after="0" w:line="240" w:lineRule="auto"/>
        <w:jc w:val="both"/>
        <w:rPr>
          <w:rFonts w:ascii="Verdana" w:hAnsi="Verdana"/>
          <w:sz w:val="20"/>
          <w:lang w:val="es-ES"/>
        </w:rPr>
      </w:pPr>
    </w:p>
    <w:p w14:paraId="78508CCF" w14:textId="77777777" w:rsidR="00107D30" w:rsidRPr="004B7A1D" w:rsidRDefault="00107D30" w:rsidP="00107D30">
      <w:pPr>
        <w:spacing w:after="0" w:line="240" w:lineRule="auto"/>
        <w:jc w:val="both"/>
        <w:rPr>
          <w:rFonts w:ascii="Verdana" w:hAnsi="Verdana"/>
          <w:sz w:val="20"/>
          <w:lang w:val="es-ES"/>
        </w:rPr>
      </w:pPr>
    </w:p>
    <w:p w14:paraId="4536CA06" w14:textId="77777777" w:rsidR="00107D30" w:rsidRPr="004B7A1D" w:rsidRDefault="00107D30" w:rsidP="00107D30">
      <w:pPr>
        <w:spacing w:after="0" w:line="240" w:lineRule="auto"/>
        <w:jc w:val="both"/>
        <w:rPr>
          <w:rFonts w:ascii="Verdana" w:hAnsi="Verdana"/>
          <w:sz w:val="20"/>
          <w:lang w:val="es-ES"/>
        </w:rPr>
      </w:pPr>
      <w:r>
        <w:rPr>
          <w:rFonts w:ascii="Verdana" w:hAnsi="Verdana"/>
          <w:sz w:val="20"/>
          <w:lang w:val="es-ES"/>
        </w:rPr>
        <w:t>Humberto Antonio Sierra Porto</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Elizabeth Odio Benito</w:t>
      </w:r>
      <w:r w:rsidRPr="004B7A1D">
        <w:rPr>
          <w:rFonts w:ascii="Verdana" w:hAnsi="Verdana"/>
          <w:sz w:val="20"/>
          <w:lang w:val="es-ES"/>
        </w:rPr>
        <w:t xml:space="preserve"> </w:t>
      </w:r>
    </w:p>
    <w:p w14:paraId="61F12683" w14:textId="77777777" w:rsidR="00107D30" w:rsidRPr="004B7A1D" w:rsidRDefault="00107D30" w:rsidP="00107D30">
      <w:pPr>
        <w:spacing w:after="0" w:line="240" w:lineRule="auto"/>
        <w:jc w:val="both"/>
        <w:rPr>
          <w:rFonts w:ascii="Verdana" w:hAnsi="Verdana"/>
          <w:sz w:val="20"/>
          <w:lang w:val="es-ES"/>
        </w:rPr>
      </w:pPr>
    </w:p>
    <w:p w14:paraId="7B5F63BA" w14:textId="77777777" w:rsidR="00107D30" w:rsidRPr="004B7A1D" w:rsidRDefault="00107D30" w:rsidP="00107D30">
      <w:pPr>
        <w:spacing w:after="0" w:line="240" w:lineRule="auto"/>
        <w:jc w:val="both"/>
        <w:rPr>
          <w:rFonts w:ascii="Verdana" w:hAnsi="Verdana"/>
          <w:sz w:val="20"/>
          <w:lang w:val="es-ES"/>
        </w:rPr>
      </w:pPr>
    </w:p>
    <w:p w14:paraId="1581C53E" w14:textId="77777777" w:rsidR="00107D30" w:rsidRPr="004B7A1D" w:rsidRDefault="00107D30" w:rsidP="00107D30">
      <w:pPr>
        <w:spacing w:after="0" w:line="240" w:lineRule="auto"/>
        <w:jc w:val="both"/>
        <w:rPr>
          <w:rFonts w:ascii="Verdana" w:hAnsi="Verdana"/>
          <w:sz w:val="20"/>
          <w:lang w:val="es-ES"/>
        </w:rPr>
      </w:pPr>
    </w:p>
    <w:p w14:paraId="63B671CA" w14:textId="77777777" w:rsidR="00107D30" w:rsidRPr="004B7A1D" w:rsidRDefault="00107D30" w:rsidP="00107D30">
      <w:pPr>
        <w:spacing w:after="0" w:line="240" w:lineRule="auto"/>
        <w:jc w:val="both"/>
        <w:rPr>
          <w:rFonts w:ascii="Verdana" w:hAnsi="Verdana"/>
          <w:sz w:val="20"/>
          <w:lang w:val="es-ES"/>
        </w:rPr>
      </w:pPr>
    </w:p>
    <w:p w14:paraId="693837E9" w14:textId="77777777" w:rsidR="00107D30" w:rsidRPr="004B7A1D" w:rsidRDefault="00107D30" w:rsidP="00107D30">
      <w:pPr>
        <w:spacing w:after="0" w:line="240" w:lineRule="auto"/>
        <w:rPr>
          <w:rFonts w:ascii="Verdana" w:hAnsi="Verdana"/>
          <w:sz w:val="20"/>
          <w:lang w:val="es-ES"/>
        </w:rPr>
      </w:pPr>
      <w:r>
        <w:rPr>
          <w:rFonts w:ascii="Verdana" w:hAnsi="Verdana"/>
          <w:sz w:val="20"/>
          <w:lang w:val="es-ES"/>
        </w:rPr>
        <w:t xml:space="preserve">Eugenio Raúl </w:t>
      </w:r>
      <w:proofErr w:type="spellStart"/>
      <w:r>
        <w:rPr>
          <w:rFonts w:ascii="Verdana" w:hAnsi="Verdana"/>
          <w:sz w:val="20"/>
          <w:lang w:val="es-ES"/>
        </w:rPr>
        <w:t>Zaffaroni</w:t>
      </w:r>
      <w:proofErr w:type="spellEnd"/>
      <w:r w:rsidRPr="004B7A1D">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L. Patricio Pazmiño Freire</w:t>
      </w:r>
    </w:p>
    <w:p w14:paraId="2CC5C435" w14:textId="77777777" w:rsidR="00107D30" w:rsidRPr="004B7A1D" w:rsidRDefault="00107D30" w:rsidP="00107D30">
      <w:pPr>
        <w:spacing w:after="0" w:line="240" w:lineRule="auto"/>
        <w:jc w:val="both"/>
        <w:rPr>
          <w:rFonts w:ascii="Verdana" w:hAnsi="Verdana"/>
          <w:sz w:val="20"/>
          <w:lang w:val="es-ES"/>
        </w:rPr>
      </w:pPr>
    </w:p>
    <w:p w14:paraId="3A04E192" w14:textId="77777777" w:rsidR="00107D30" w:rsidRPr="004B7A1D" w:rsidRDefault="00107D30" w:rsidP="00107D30">
      <w:pPr>
        <w:spacing w:after="0" w:line="240" w:lineRule="auto"/>
        <w:jc w:val="both"/>
        <w:rPr>
          <w:rFonts w:ascii="Verdana" w:hAnsi="Verdana"/>
          <w:sz w:val="20"/>
          <w:lang w:val="es-ES"/>
        </w:rPr>
      </w:pPr>
    </w:p>
    <w:p w14:paraId="684E8058" w14:textId="77777777" w:rsidR="00107D30" w:rsidRPr="004B7A1D" w:rsidRDefault="00107D30" w:rsidP="00107D30">
      <w:pPr>
        <w:spacing w:after="0" w:line="240" w:lineRule="auto"/>
        <w:jc w:val="both"/>
        <w:rPr>
          <w:rFonts w:ascii="Verdana" w:hAnsi="Verdana"/>
          <w:sz w:val="20"/>
          <w:lang w:val="es-ES"/>
        </w:rPr>
      </w:pPr>
    </w:p>
    <w:p w14:paraId="2CE5872E" w14:textId="77777777" w:rsidR="00107D30" w:rsidRPr="004B7A1D" w:rsidRDefault="00107D30" w:rsidP="00107D30">
      <w:pPr>
        <w:spacing w:after="0" w:line="240" w:lineRule="auto"/>
        <w:jc w:val="both"/>
        <w:rPr>
          <w:rFonts w:ascii="Verdana" w:hAnsi="Verdana"/>
          <w:sz w:val="20"/>
          <w:lang w:val="es-ES"/>
        </w:rPr>
      </w:pPr>
    </w:p>
    <w:p w14:paraId="7C7FC1E7" w14:textId="77777777" w:rsidR="00107D30" w:rsidRPr="004B7A1D" w:rsidRDefault="00107D30" w:rsidP="00107D30">
      <w:pPr>
        <w:spacing w:after="0" w:line="240" w:lineRule="auto"/>
        <w:jc w:val="center"/>
        <w:rPr>
          <w:rFonts w:ascii="Verdana" w:hAnsi="Verdana"/>
          <w:sz w:val="20"/>
          <w:lang w:val="es-ES"/>
        </w:rPr>
      </w:pPr>
      <w:r w:rsidRPr="004B7A1D">
        <w:rPr>
          <w:rFonts w:ascii="Verdana" w:hAnsi="Verdana"/>
          <w:sz w:val="20"/>
          <w:lang w:val="es-ES"/>
        </w:rPr>
        <w:t>Pablo Saavedra Alessandri</w:t>
      </w:r>
    </w:p>
    <w:p w14:paraId="4C3EC516" w14:textId="77777777" w:rsidR="00107D30" w:rsidRPr="004B7A1D" w:rsidRDefault="00107D30" w:rsidP="00107D30">
      <w:pPr>
        <w:spacing w:after="0" w:line="240" w:lineRule="auto"/>
        <w:jc w:val="center"/>
        <w:rPr>
          <w:rFonts w:ascii="Verdana" w:hAnsi="Verdana"/>
          <w:sz w:val="20"/>
          <w:lang w:val="es-ES"/>
        </w:rPr>
      </w:pPr>
      <w:r w:rsidRPr="004B7A1D">
        <w:rPr>
          <w:rFonts w:ascii="Verdana" w:hAnsi="Verdana"/>
          <w:sz w:val="20"/>
          <w:lang w:val="es-ES"/>
        </w:rPr>
        <w:t>Secretario</w:t>
      </w:r>
    </w:p>
    <w:p w14:paraId="1F1BB4BC" w14:textId="77777777" w:rsidR="00107D30" w:rsidRPr="004B7A1D" w:rsidRDefault="00107D30" w:rsidP="00107D30">
      <w:pPr>
        <w:spacing w:after="0" w:line="240" w:lineRule="auto"/>
        <w:rPr>
          <w:rFonts w:ascii="Verdana" w:hAnsi="Verdana"/>
          <w:sz w:val="20"/>
          <w:lang w:val="es-ES"/>
        </w:rPr>
      </w:pPr>
    </w:p>
    <w:p w14:paraId="04F15EAD" w14:textId="77777777" w:rsidR="00107D30" w:rsidRPr="004B7A1D" w:rsidRDefault="00107D30" w:rsidP="00107D30">
      <w:pPr>
        <w:pStyle w:val="FootnoteText"/>
        <w:rPr>
          <w:rFonts w:ascii="Verdana" w:hAnsi="Verdana"/>
          <w:lang w:val="es-ES"/>
        </w:rPr>
      </w:pPr>
    </w:p>
    <w:p w14:paraId="3AC9C62D" w14:textId="77777777" w:rsidR="00107D30" w:rsidRPr="004B7A1D" w:rsidRDefault="00107D30" w:rsidP="00107D30">
      <w:pPr>
        <w:pStyle w:val="FootnoteText"/>
        <w:rPr>
          <w:rFonts w:ascii="Verdana" w:hAnsi="Verdana"/>
          <w:lang w:val="es-ES"/>
        </w:rPr>
      </w:pPr>
    </w:p>
    <w:p w14:paraId="69C47015" w14:textId="77777777" w:rsidR="00107D30" w:rsidRPr="004B7A1D" w:rsidRDefault="00107D30" w:rsidP="00107D30">
      <w:pPr>
        <w:pStyle w:val="FootnoteText"/>
        <w:rPr>
          <w:rFonts w:ascii="Verdana" w:hAnsi="Verdana"/>
          <w:lang w:val="es-ES"/>
        </w:rPr>
      </w:pPr>
    </w:p>
    <w:p w14:paraId="300CB743" w14:textId="77777777" w:rsidR="00107D30" w:rsidRPr="004B7A1D" w:rsidRDefault="00107D30" w:rsidP="00107D30">
      <w:pPr>
        <w:spacing w:after="0" w:line="240" w:lineRule="auto"/>
        <w:jc w:val="both"/>
        <w:rPr>
          <w:rFonts w:ascii="Verdana" w:hAnsi="Verdana"/>
          <w:sz w:val="20"/>
          <w:lang w:val="es-ES"/>
        </w:rPr>
      </w:pPr>
      <w:r w:rsidRPr="004B7A1D">
        <w:rPr>
          <w:rFonts w:ascii="Verdana" w:hAnsi="Verdana"/>
          <w:sz w:val="20"/>
          <w:lang w:val="es-ES"/>
        </w:rPr>
        <w:t>Comuníquese y ejecútese,</w:t>
      </w:r>
    </w:p>
    <w:p w14:paraId="72DF52D0" w14:textId="77777777" w:rsidR="00107D30" w:rsidRPr="004B7A1D" w:rsidRDefault="00107D30" w:rsidP="00107D30">
      <w:pPr>
        <w:spacing w:after="0" w:line="240" w:lineRule="auto"/>
        <w:jc w:val="both"/>
        <w:rPr>
          <w:rFonts w:ascii="Verdana" w:hAnsi="Verdana"/>
          <w:sz w:val="20"/>
          <w:lang w:val="es-ES"/>
        </w:rPr>
      </w:pPr>
    </w:p>
    <w:p w14:paraId="7C78EEB8" w14:textId="77777777" w:rsidR="00107D30" w:rsidRPr="004B7A1D" w:rsidRDefault="00107D30" w:rsidP="00107D30">
      <w:pPr>
        <w:spacing w:after="0" w:line="240" w:lineRule="auto"/>
        <w:jc w:val="both"/>
        <w:rPr>
          <w:rFonts w:ascii="Verdana" w:hAnsi="Verdana"/>
          <w:sz w:val="20"/>
          <w:lang w:val="es-ES"/>
        </w:rPr>
      </w:pPr>
    </w:p>
    <w:p w14:paraId="466AFE1B" w14:textId="77777777" w:rsidR="00107D30" w:rsidRDefault="00107D30" w:rsidP="00107D30">
      <w:pPr>
        <w:spacing w:after="0" w:line="240" w:lineRule="auto"/>
        <w:jc w:val="both"/>
        <w:rPr>
          <w:rFonts w:ascii="Verdana" w:hAnsi="Verdana"/>
          <w:sz w:val="20"/>
          <w:lang w:val="es-ES"/>
        </w:rPr>
      </w:pPr>
    </w:p>
    <w:p w14:paraId="11A335FE" w14:textId="77777777" w:rsidR="00107D30" w:rsidRPr="004B7A1D" w:rsidRDefault="00107D30" w:rsidP="00107D30">
      <w:pPr>
        <w:spacing w:after="0" w:line="240" w:lineRule="auto"/>
        <w:jc w:val="both"/>
        <w:rPr>
          <w:rFonts w:ascii="Verdana" w:hAnsi="Verdana"/>
          <w:sz w:val="20"/>
          <w:lang w:val="es-ES"/>
        </w:rPr>
      </w:pPr>
      <w:r>
        <w:rPr>
          <w:rFonts w:ascii="Verdana" w:hAnsi="Verdana"/>
          <w:sz w:val="20"/>
          <w:lang w:val="es-ES"/>
        </w:rPr>
        <w:t xml:space="preserve"> </w:t>
      </w:r>
    </w:p>
    <w:p w14:paraId="3D5AFF21" w14:textId="77777777" w:rsidR="00107D30" w:rsidRPr="004B7A1D" w:rsidRDefault="00107D30" w:rsidP="00107D30">
      <w:pPr>
        <w:spacing w:after="0" w:line="240" w:lineRule="auto"/>
        <w:jc w:val="both"/>
        <w:rPr>
          <w:rFonts w:ascii="Verdana" w:hAnsi="Verdana"/>
          <w:sz w:val="20"/>
          <w:lang w:val="es-ES"/>
        </w:rPr>
      </w:pPr>
    </w:p>
    <w:p w14:paraId="66FA751F" w14:textId="77777777" w:rsidR="00107D30" w:rsidRPr="004B7A1D" w:rsidRDefault="00107D30" w:rsidP="00107D30">
      <w:pPr>
        <w:spacing w:after="0" w:line="240" w:lineRule="auto"/>
        <w:ind w:left="4956" w:firstLine="708"/>
        <w:jc w:val="center"/>
        <w:rPr>
          <w:rFonts w:ascii="Verdana" w:hAnsi="Verdana"/>
          <w:sz w:val="20"/>
          <w:lang w:val="es-ES"/>
        </w:rPr>
      </w:pPr>
      <w:r>
        <w:rPr>
          <w:rFonts w:ascii="Verdana" w:hAnsi="Verdana"/>
          <w:sz w:val="20"/>
          <w:lang w:val="es-ES"/>
        </w:rPr>
        <w:t>Roberto F. Caldas</w:t>
      </w:r>
    </w:p>
    <w:p w14:paraId="316C01D3" w14:textId="77777777" w:rsidR="00107D30" w:rsidRPr="004B7A1D" w:rsidRDefault="00107D30" w:rsidP="00107D30">
      <w:pPr>
        <w:spacing w:after="0" w:line="240" w:lineRule="auto"/>
        <w:ind w:left="4956" w:firstLine="708"/>
        <w:jc w:val="center"/>
        <w:rPr>
          <w:rFonts w:ascii="Verdana" w:hAnsi="Verdana"/>
          <w:sz w:val="20"/>
          <w:lang w:val="es-ES"/>
        </w:rPr>
      </w:pPr>
      <w:r w:rsidRPr="004B7A1D">
        <w:rPr>
          <w:rFonts w:ascii="Verdana" w:hAnsi="Verdana"/>
          <w:sz w:val="20"/>
          <w:lang w:val="es-ES"/>
        </w:rPr>
        <w:t xml:space="preserve">Presidente </w:t>
      </w:r>
    </w:p>
    <w:p w14:paraId="178ED425" w14:textId="77777777" w:rsidR="00107D30" w:rsidRPr="004B7A1D" w:rsidRDefault="00107D30" w:rsidP="00107D30">
      <w:pPr>
        <w:spacing w:after="0" w:line="240" w:lineRule="auto"/>
        <w:jc w:val="both"/>
        <w:rPr>
          <w:rFonts w:ascii="Verdana" w:hAnsi="Verdana"/>
          <w:sz w:val="20"/>
          <w:lang w:val="es-ES"/>
        </w:rPr>
      </w:pPr>
    </w:p>
    <w:p w14:paraId="5D6D56C6" w14:textId="77777777" w:rsidR="00107D30" w:rsidRPr="004B7A1D" w:rsidRDefault="00107D30" w:rsidP="00107D30">
      <w:pPr>
        <w:spacing w:after="0" w:line="240" w:lineRule="auto"/>
        <w:jc w:val="both"/>
        <w:rPr>
          <w:rFonts w:ascii="Verdana" w:hAnsi="Verdana"/>
          <w:sz w:val="20"/>
          <w:lang w:val="es-ES"/>
        </w:rPr>
      </w:pPr>
    </w:p>
    <w:p w14:paraId="46A6C0C6" w14:textId="77777777" w:rsidR="00107D30" w:rsidRPr="004B7A1D" w:rsidRDefault="00107D30" w:rsidP="00107D30">
      <w:pPr>
        <w:spacing w:after="0" w:line="240" w:lineRule="auto"/>
        <w:jc w:val="both"/>
        <w:rPr>
          <w:rFonts w:ascii="Verdana" w:hAnsi="Verdana"/>
          <w:sz w:val="20"/>
          <w:lang w:val="es-ES"/>
        </w:rPr>
      </w:pPr>
    </w:p>
    <w:p w14:paraId="063E336A" w14:textId="77777777" w:rsidR="00107D30" w:rsidRPr="004B7A1D" w:rsidRDefault="00107D30" w:rsidP="00107D30">
      <w:pPr>
        <w:spacing w:after="0" w:line="240" w:lineRule="auto"/>
        <w:jc w:val="both"/>
        <w:rPr>
          <w:rFonts w:ascii="Verdana" w:hAnsi="Verdana"/>
          <w:sz w:val="20"/>
          <w:lang w:val="es-ES"/>
        </w:rPr>
      </w:pPr>
    </w:p>
    <w:p w14:paraId="1B4727ED" w14:textId="77777777" w:rsidR="00107D30" w:rsidRPr="004B7A1D" w:rsidRDefault="00107D30" w:rsidP="00107D30">
      <w:pPr>
        <w:spacing w:after="0" w:line="240" w:lineRule="auto"/>
        <w:jc w:val="both"/>
        <w:rPr>
          <w:rFonts w:ascii="Verdana" w:hAnsi="Verdana"/>
          <w:sz w:val="20"/>
          <w:lang w:val="es-ES"/>
        </w:rPr>
      </w:pPr>
      <w:r w:rsidRPr="004B7A1D">
        <w:rPr>
          <w:rFonts w:ascii="Verdana" w:hAnsi="Verdana"/>
          <w:sz w:val="20"/>
          <w:lang w:val="es-ES"/>
        </w:rPr>
        <w:t>Pablo Saavedra Alessandri</w:t>
      </w:r>
    </w:p>
    <w:p w14:paraId="13D36E57" w14:textId="77777777" w:rsidR="00107D30" w:rsidRPr="004B7A1D" w:rsidRDefault="00107D30" w:rsidP="00107D30">
      <w:pPr>
        <w:spacing w:after="0" w:line="240" w:lineRule="auto"/>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p w14:paraId="57DD91BD" w14:textId="77777777" w:rsidR="00107D30" w:rsidRPr="00107D30" w:rsidRDefault="00107D30" w:rsidP="00107D30">
      <w:pPr>
        <w:spacing w:after="0" w:line="240" w:lineRule="auto"/>
        <w:jc w:val="both"/>
        <w:rPr>
          <w:rFonts w:ascii="Verdana" w:hAnsi="Verdana" w:cs="Arial"/>
          <w:sz w:val="20"/>
          <w:szCs w:val="20"/>
          <w:lang w:val="es-CR"/>
        </w:rPr>
      </w:pPr>
    </w:p>
    <w:sectPr w:rsidR="00107D30" w:rsidRPr="00107D30" w:rsidSect="00FF2564">
      <w:headerReference w:type="even" r:id="rId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2F48D" w14:textId="77777777" w:rsidR="00FF2564" w:rsidRDefault="00FF2564" w:rsidP="00210443">
      <w:pPr>
        <w:spacing w:after="0" w:line="240" w:lineRule="auto"/>
      </w:pPr>
      <w:r>
        <w:separator/>
      </w:r>
    </w:p>
  </w:endnote>
  <w:endnote w:type="continuationSeparator" w:id="0">
    <w:p w14:paraId="757AABA0" w14:textId="77777777" w:rsidR="00FF2564" w:rsidRDefault="00FF2564" w:rsidP="0021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1034" w14:textId="3E7EB408" w:rsidR="00FF2564" w:rsidRDefault="00FF2564">
    <w:pPr>
      <w:pStyle w:val="Footer"/>
      <w:jc w:val="right"/>
    </w:pPr>
  </w:p>
  <w:p w14:paraId="6D37A282" w14:textId="77777777" w:rsidR="00FF2564" w:rsidRDefault="00FF2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F54E" w14:textId="77777777" w:rsidR="00FF2564" w:rsidRDefault="00FF2564" w:rsidP="00210443">
      <w:pPr>
        <w:spacing w:after="0" w:line="240" w:lineRule="auto"/>
      </w:pPr>
      <w:r>
        <w:separator/>
      </w:r>
    </w:p>
  </w:footnote>
  <w:footnote w:type="continuationSeparator" w:id="0">
    <w:p w14:paraId="543527D9" w14:textId="77777777" w:rsidR="00FF2564" w:rsidRDefault="00FF2564" w:rsidP="00210443">
      <w:pPr>
        <w:spacing w:after="0" w:line="240" w:lineRule="auto"/>
      </w:pPr>
      <w:r>
        <w:continuationSeparator/>
      </w:r>
    </w:p>
  </w:footnote>
  <w:footnote w:id="1">
    <w:p w14:paraId="0148BACD" w14:textId="77777777" w:rsidR="00FF2564" w:rsidRPr="003A573F" w:rsidRDefault="00FF2564" w:rsidP="00953186">
      <w:pPr>
        <w:pStyle w:val="FootnoteText"/>
        <w:suppressLineNumbers/>
        <w:tabs>
          <w:tab w:val="left" w:pos="426"/>
        </w:tabs>
        <w:jc w:val="both"/>
        <w:rPr>
          <w:rFonts w:ascii="Verdana" w:hAnsi="Verdana"/>
          <w:sz w:val="16"/>
          <w:szCs w:val="16"/>
          <w:lang w:val="es-CR"/>
        </w:rPr>
      </w:pPr>
    </w:p>
  </w:footnote>
  <w:footnote w:id="2">
    <w:p w14:paraId="4C7812CB" w14:textId="15F32819" w:rsidR="00FF2564" w:rsidRPr="00107D30" w:rsidRDefault="00FF2564" w:rsidP="00FF2564">
      <w:pPr>
        <w:pStyle w:val="FootnoteText"/>
        <w:jc w:val="both"/>
        <w:rPr>
          <w:rFonts w:ascii="Verdana" w:hAnsi="Verdana"/>
          <w:sz w:val="16"/>
          <w:szCs w:val="16"/>
          <w:lang w:val="es-CR"/>
        </w:rPr>
      </w:pPr>
      <w:r w:rsidRPr="00FF2564">
        <w:rPr>
          <w:rStyle w:val="FootnoteReference"/>
          <w:rFonts w:ascii="Verdana" w:hAnsi="Verdana"/>
          <w:sz w:val="16"/>
          <w:szCs w:val="16"/>
        </w:rPr>
        <w:footnoteRef/>
      </w:r>
      <w:r w:rsidRPr="00A97ED9">
        <w:rPr>
          <w:rFonts w:ascii="Verdana" w:hAnsi="Verdana"/>
          <w:sz w:val="16"/>
          <w:szCs w:val="16"/>
          <w:lang w:val="es-CR"/>
        </w:rPr>
        <w:t xml:space="preserve"> </w:t>
      </w:r>
      <w:r w:rsidRPr="00A97ED9">
        <w:rPr>
          <w:rFonts w:ascii="Verdana" w:hAnsi="Verdana"/>
          <w:sz w:val="16"/>
          <w:szCs w:val="16"/>
          <w:lang w:val="es-CR"/>
        </w:rPr>
        <w:tab/>
      </w:r>
      <w:r w:rsidRPr="00A97ED9">
        <w:rPr>
          <w:rFonts w:ascii="Verdana" w:hAnsi="Verdana"/>
          <w:i/>
          <w:sz w:val="16"/>
          <w:szCs w:val="16"/>
          <w:lang w:val="es-CR"/>
        </w:rPr>
        <w:t xml:space="preserve">Cfr. Caso Heliodoro Portugal Vs. </w:t>
      </w:r>
      <w:r w:rsidRPr="00107D30">
        <w:rPr>
          <w:rFonts w:ascii="Verdana" w:hAnsi="Verdana"/>
          <w:i/>
          <w:sz w:val="16"/>
          <w:szCs w:val="16"/>
          <w:lang w:val="es-CR"/>
        </w:rPr>
        <w:t xml:space="preserve">Panamá. </w:t>
      </w:r>
      <w:r w:rsidRPr="00A97ED9">
        <w:rPr>
          <w:rFonts w:ascii="Verdana" w:hAnsi="Verdana"/>
          <w:i/>
          <w:sz w:val="16"/>
          <w:szCs w:val="16"/>
          <w:lang w:val="es-CR"/>
        </w:rPr>
        <w:t>Excepciones Preliminares, Fondo, Reparaciones y Costas</w:t>
      </w:r>
      <w:r w:rsidRPr="00A97ED9">
        <w:rPr>
          <w:rFonts w:ascii="Verdana" w:hAnsi="Verdana"/>
          <w:sz w:val="16"/>
          <w:szCs w:val="16"/>
          <w:lang w:val="es-CR"/>
        </w:rPr>
        <w:t xml:space="preserve">. Sentencia de 12 de agosto de 2008. Serie C No. 186, disponible en: </w:t>
      </w:r>
      <w:hyperlink r:id="rId1" w:history="1">
        <w:r w:rsidRPr="00A97ED9">
          <w:rPr>
            <w:rStyle w:val="Hyperlink"/>
            <w:rFonts w:ascii="Verdana" w:hAnsi="Verdana"/>
            <w:sz w:val="16"/>
            <w:szCs w:val="16"/>
            <w:lang w:val="es-CR"/>
          </w:rPr>
          <w:t>http://www.corteidh.or.cr/docs/casos/articulos/seriec_186_esp.pdf</w:t>
        </w:r>
      </w:hyperlink>
      <w:r w:rsidRPr="00A97ED9">
        <w:rPr>
          <w:rFonts w:ascii="Verdana" w:hAnsi="Verdana"/>
          <w:sz w:val="16"/>
          <w:szCs w:val="16"/>
          <w:lang w:val="es-CR"/>
        </w:rPr>
        <w:t xml:space="preserve">. </w:t>
      </w:r>
      <w:r w:rsidRPr="00107D30">
        <w:rPr>
          <w:rFonts w:ascii="Verdana" w:hAnsi="Verdana"/>
          <w:sz w:val="16"/>
          <w:szCs w:val="16"/>
          <w:lang w:val="es-CR"/>
        </w:rPr>
        <w:t xml:space="preserve">La Sentencia fue notificada el </w:t>
      </w:r>
      <w:r w:rsidR="00A97ED9" w:rsidRPr="00107D30">
        <w:rPr>
          <w:rFonts w:ascii="Verdana" w:hAnsi="Verdana"/>
          <w:sz w:val="16"/>
          <w:szCs w:val="16"/>
          <w:lang w:val="es-CR"/>
        </w:rPr>
        <w:t>12</w:t>
      </w:r>
      <w:r w:rsidRPr="00107D30">
        <w:rPr>
          <w:rFonts w:ascii="Verdana" w:hAnsi="Verdana"/>
          <w:sz w:val="16"/>
          <w:szCs w:val="16"/>
          <w:lang w:val="es-CR"/>
        </w:rPr>
        <w:t xml:space="preserve"> de </w:t>
      </w:r>
      <w:r w:rsidR="00A97ED9" w:rsidRPr="00107D30">
        <w:rPr>
          <w:rFonts w:ascii="Verdana" w:hAnsi="Verdana"/>
          <w:sz w:val="16"/>
          <w:szCs w:val="16"/>
          <w:lang w:val="es-CR"/>
        </w:rPr>
        <w:t>septiembre</w:t>
      </w:r>
      <w:r w:rsidRPr="00107D30">
        <w:rPr>
          <w:rFonts w:ascii="Verdana" w:hAnsi="Verdana"/>
          <w:sz w:val="16"/>
          <w:szCs w:val="16"/>
          <w:lang w:val="es-CR"/>
        </w:rPr>
        <w:t xml:space="preserve"> de </w:t>
      </w:r>
      <w:r w:rsidR="00A97ED9" w:rsidRPr="00107D30">
        <w:rPr>
          <w:rFonts w:ascii="Verdana" w:hAnsi="Verdana"/>
          <w:sz w:val="16"/>
          <w:szCs w:val="16"/>
          <w:lang w:val="es-CR"/>
        </w:rPr>
        <w:t>2008</w:t>
      </w:r>
      <w:r w:rsidRPr="00107D30">
        <w:rPr>
          <w:rFonts w:ascii="Verdana" w:hAnsi="Verdana"/>
          <w:sz w:val="16"/>
          <w:szCs w:val="16"/>
          <w:lang w:val="es-CR"/>
        </w:rPr>
        <w:t>.</w:t>
      </w:r>
    </w:p>
  </w:footnote>
  <w:footnote w:id="3">
    <w:p w14:paraId="5E32E944" w14:textId="77777777" w:rsidR="00FF2564" w:rsidRPr="003A573F" w:rsidRDefault="00FF2564" w:rsidP="00953186">
      <w:pPr>
        <w:pStyle w:val="FootnoteText"/>
        <w:jc w:val="both"/>
        <w:rPr>
          <w:rFonts w:ascii="Verdana" w:hAnsi="Verdana"/>
          <w:sz w:val="16"/>
          <w:szCs w:val="16"/>
          <w:lang w:val="es-MX"/>
        </w:rPr>
      </w:pPr>
      <w:r w:rsidRPr="00712DBB">
        <w:rPr>
          <w:rStyle w:val="FootnoteReference"/>
          <w:rFonts w:ascii="Verdana" w:hAnsi="Verdana"/>
          <w:sz w:val="16"/>
          <w:szCs w:val="16"/>
        </w:rPr>
        <w:footnoteRef/>
      </w:r>
      <w:r w:rsidRPr="00712DBB">
        <w:rPr>
          <w:rFonts w:ascii="Verdana" w:hAnsi="Verdana"/>
          <w:sz w:val="16"/>
          <w:szCs w:val="16"/>
          <w:lang w:val="es-MX"/>
        </w:rPr>
        <w:t xml:space="preserve"> </w:t>
      </w:r>
      <w:r w:rsidRPr="00712DBB">
        <w:rPr>
          <w:rFonts w:ascii="Verdana" w:hAnsi="Verdana"/>
          <w:sz w:val="16"/>
          <w:szCs w:val="16"/>
          <w:lang w:val="es-MX"/>
        </w:rPr>
        <w:tab/>
      </w:r>
      <w:r w:rsidRPr="00712DBB">
        <w:rPr>
          <w:rFonts w:ascii="Verdana" w:hAnsi="Verdana"/>
          <w:i/>
          <w:sz w:val="16"/>
          <w:szCs w:val="16"/>
          <w:lang w:val="es-MX"/>
        </w:rPr>
        <w:t>Cfr</w:t>
      </w:r>
      <w:r w:rsidRPr="00FF2564">
        <w:rPr>
          <w:rFonts w:ascii="Verdana" w:hAnsi="Verdana"/>
          <w:i/>
          <w:sz w:val="16"/>
          <w:szCs w:val="16"/>
          <w:lang w:val="es-MX"/>
        </w:rPr>
        <w:t>.</w:t>
      </w:r>
      <w:r w:rsidRPr="003A573F">
        <w:rPr>
          <w:rFonts w:ascii="Verdana" w:hAnsi="Verdana"/>
          <w:b/>
          <w:i/>
          <w:sz w:val="16"/>
          <w:szCs w:val="16"/>
          <w:lang w:val="es-MX"/>
        </w:rPr>
        <w:t xml:space="preserve"> </w:t>
      </w:r>
      <w:r w:rsidRPr="003A573F">
        <w:rPr>
          <w:rStyle w:val="Strong"/>
          <w:rFonts w:ascii="Verdana" w:hAnsi="Verdana"/>
          <w:b w:val="0"/>
          <w:i/>
          <w:color w:val="000000"/>
          <w:sz w:val="16"/>
          <w:szCs w:val="16"/>
          <w:shd w:val="clear" w:color="auto" w:fill="FFFFFF"/>
          <w:lang w:val="es-MX"/>
        </w:rPr>
        <w:t>Caso Heliodoro Portugal Vs. Panamá. Supervisión de Cumplimiento de Sentencia</w:t>
      </w:r>
      <w:r w:rsidRPr="003A573F">
        <w:rPr>
          <w:rStyle w:val="Strong"/>
          <w:rFonts w:ascii="Verdana" w:hAnsi="Verdana"/>
          <w:b w:val="0"/>
          <w:color w:val="000000"/>
          <w:sz w:val="16"/>
          <w:szCs w:val="16"/>
          <w:shd w:val="clear" w:color="auto" w:fill="FFFFFF"/>
          <w:lang w:val="es-MX"/>
        </w:rPr>
        <w:t>. Resolución de la Corte Interamericana de Derechos Humanos de 28 de mayo de 2010, disponible en http://www.corteidh.or.cr/docs/supervisiones/portugal_28_05_10.pdf</w:t>
      </w:r>
    </w:p>
  </w:footnote>
  <w:footnote w:id="4">
    <w:p w14:paraId="622BC8A4" w14:textId="77777777" w:rsidR="00FF2564" w:rsidRPr="000D5DC8" w:rsidRDefault="00FF2564" w:rsidP="000D5DC8">
      <w:pPr>
        <w:pStyle w:val="FootnoteText"/>
        <w:jc w:val="both"/>
        <w:rPr>
          <w:rFonts w:ascii="Verdana" w:hAnsi="Verdana"/>
          <w:b/>
          <w:sz w:val="16"/>
          <w:szCs w:val="16"/>
          <w:lang w:val="es-MX"/>
        </w:rPr>
      </w:pPr>
      <w:r w:rsidRPr="003A573F">
        <w:rPr>
          <w:rStyle w:val="FootnoteReference"/>
          <w:rFonts w:ascii="Verdana" w:hAnsi="Verdana"/>
          <w:sz w:val="16"/>
          <w:szCs w:val="16"/>
        </w:rPr>
        <w:footnoteRef/>
      </w:r>
      <w:r w:rsidRPr="003A573F">
        <w:rPr>
          <w:rFonts w:ascii="Verdana" w:hAnsi="Verdana"/>
          <w:i/>
          <w:sz w:val="16"/>
          <w:szCs w:val="16"/>
          <w:lang w:val="es-MX"/>
        </w:rPr>
        <w:t xml:space="preserve"> </w:t>
      </w:r>
      <w:r w:rsidRPr="003A573F">
        <w:rPr>
          <w:rFonts w:ascii="Verdana" w:hAnsi="Verdana"/>
          <w:i/>
          <w:sz w:val="16"/>
          <w:szCs w:val="16"/>
          <w:lang w:val="es-MX"/>
        </w:rPr>
        <w:tab/>
        <w:t xml:space="preserve">Cfr. </w:t>
      </w:r>
      <w:r w:rsidRPr="003A573F">
        <w:rPr>
          <w:rStyle w:val="Strong"/>
          <w:rFonts w:ascii="Verdana" w:hAnsi="Verdana"/>
          <w:b w:val="0"/>
          <w:i/>
          <w:color w:val="000000"/>
          <w:sz w:val="16"/>
          <w:szCs w:val="16"/>
          <w:shd w:val="clear" w:color="auto" w:fill="FFFFFF"/>
          <w:lang w:val="es-MX"/>
        </w:rPr>
        <w:t xml:space="preserve">Caso Heliodoro Portugal Vs. Panamá. Supervisión de Cumplimiento de Sentencia. </w:t>
      </w:r>
      <w:r w:rsidRPr="003A573F">
        <w:rPr>
          <w:rStyle w:val="Strong"/>
          <w:rFonts w:ascii="Verdana" w:hAnsi="Verdana"/>
          <w:b w:val="0"/>
          <w:color w:val="000000"/>
          <w:sz w:val="16"/>
          <w:szCs w:val="16"/>
          <w:shd w:val="clear" w:color="auto" w:fill="FFFFFF"/>
          <w:lang w:val="es-MX"/>
        </w:rPr>
        <w:t xml:space="preserve">Resolución de la </w:t>
      </w:r>
      <w:r w:rsidRPr="000D5DC8">
        <w:rPr>
          <w:rStyle w:val="Strong"/>
          <w:rFonts w:ascii="Verdana" w:hAnsi="Verdana"/>
          <w:b w:val="0"/>
          <w:color w:val="000000"/>
          <w:sz w:val="16"/>
          <w:szCs w:val="16"/>
          <w:shd w:val="clear" w:color="auto" w:fill="FFFFFF"/>
          <w:lang w:val="es-MX"/>
        </w:rPr>
        <w:t>Corte Interamericana de Derechos Humanos 19 de junio de 2012,</w:t>
      </w:r>
      <w:r w:rsidRPr="000D5DC8">
        <w:rPr>
          <w:rStyle w:val="Strong"/>
          <w:rFonts w:ascii="Verdana" w:hAnsi="Verdana"/>
          <w:color w:val="000000"/>
          <w:sz w:val="16"/>
          <w:szCs w:val="16"/>
          <w:shd w:val="clear" w:color="auto" w:fill="FFFFFF"/>
          <w:lang w:val="es-MX"/>
        </w:rPr>
        <w:t xml:space="preserve"> </w:t>
      </w:r>
      <w:r w:rsidRPr="000D5DC8">
        <w:rPr>
          <w:rStyle w:val="Strong"/>
          <w:rFonts w:ascii="Verdana" w:hAnsi="Verdana"/>
          <w:b w:val="0"/>
          <w:color w:val="000000"/>
          <w:sz w:val="16"/>
          <w:szCs w:val="16"/>
          <w:shd w:val="clear" w:color="auto" w:fill="FFFFFF"/>
          <w:lang w:val="es-MX"/>
        </w:rPr>
        <w:t>disponible en http://www.corteidh.or.cr/docs/supervisiones/portugal_19_06_12.pdf</w:t>
      </w:r>
    </w:p>
  </w:footnote>
  <w:footnote w:id="5">
    <w:p w14:paraId="5D211F9D" w14:textId="09983E5A" w:rsidR="00FF2564" w:rsidRPr="00612D4B" w:rsidRDefault="00FF2564" w:rsidP="00612D4B">
      <w:pPr>
        <w:pStyle w:val="FootnoteText"/>
        <w:jc w:val="both"/>
        <w:rPr>
          <w:rFonts w:ascii="Verdana" w:hAnsi="Verdana"/>
          <w:sz w:val="16"/>
          <w:szCs w:val="16"/>
          <w:lang w:val="es-CR"/>
        </w:rPr>
      </w:pPr>
      <w:r w:rsidRPr="00612D4B">
        <w:rPr>
          <w:rStyle w:val="FootnoteReference"/>
          <w:rFonts w:ascii="Verdana" w:hAnsi="Verdana"/>
          <w:sz w:val="16"/>
          <w:szCs w:val="16"/>
        </w:rPr>
        <w:footnoteRef/>
      </w:r>
      <w:r w:rsidRPr="00612D4B">
        <w:rPr>
          <w:rFonts w:ascii="Verdana" w:hAnsi="Verdana"/>
          <w:sz w:val="16"/>
          <w:szCs w:val="16"/>
          <w:lang w:val="es-CR"/>
        </w:rPr>
        <w:t xml:space="preserve"> </w:t>
      </w:r>
      <w:r w:rsidRPr="00612D4B">
        <w:rPr>
          <w:rFonts w:ascii="Verdana" w:hAnsi="Verdana"/>
          <w:sz w:val="16"/>
          <w:szCs w:val="16"/>
          <w:lang w:val="es-CR"/>
        </w:rPr>
        <w:tab/>
        <w:t>Escritos de 31 de octubre de 2013, 2 de septiembre de 2015, 16 de enero y 2 de marzo de 2017.</w:t>
      </w:r>
    </w:p>
  </w:footnote>
  <w:footnote w:id="6">
    <w:p w14:paraId="44BD394F" w14:textId="77777777" w:rsidR="00FF2564" w:rsidRPr="003A573F" w:rsidRDefault="00FF2564" w:rsidP="00953186">
      <w:pPr>
        <w:pStyle w:val="FootnoteText"/>
        <w:jc w:val="both"/>
        <w:rPr>
          <w:rFonts w:ascii="Verdana" w:hAnsi="Verdana"/>
          <w:sz w:val="16"/>
          <w:szCs w:val="16"/>
          <w:lang w:val="es-MX"/>
        </w:rPr>
      </w:pPr>
      <w:r w:rsidRPr="003A573F">
        <w:rPr>
          <w:rStyle w:val="FootnoteReference"/>
          <w:rFonts w:ascii="Verdana" w:hAnsi="Verdana"/>
          <w:sz w:val="16"/>
          <w:szCs w:val="16"/>
        </w:rPr>
        <w:footnoteRef/>
      </w:r>
      <w:r w:rsidRPr="003A573F">
        <w:rPr>
          <w:rFonts w:ascii="Verdana" w:hAnsi="Verdana"/>
          <w:sz w:val="16"/>
          <w:szCs w:val="16"/>
          <w:lang w:val="es-MX"/>
        </w:rPr>
        <w:t xml:space="preserve"> </w:t>
      </w:r>
      <w:r w:rsidRPr="003A573F">
        <w:rPr>
          <w:rFonts w:ascii="Verdana" w:hAnsi="Verdana"/>
          <w:sz w:val="16"/>
          <w:szCs w:val="16"/>
          <w:lang w:val="es-MX"/>
        </w:rPr>
        <w:tab/>
      </w:r>
      <w:r>
        <w:rPr>
          <w:rFonts w:ascii="Verdana" w:hAnsi="Verdana"/>
          <w:sz w:val="16"/>
          <w:szCs w:val="16"/>
          <w:lang w:val="es-MX"/>
        </w:rPr>
        <w:t>Las víctimas son representadas por el Centro por la Justicia y el Derecho Internacional (CEJIL).</w:t>
      </w:r>
    </w:p>
  </w:footnote>
  <w:footnote w:id="7">
    <w:p w14:paraId="2A4C5D99" w14:textId="18D1B2F9" w:rsidR="00FF2564" w:rsidRPr="003A573F" w:rsidRDefault="00FF2564" w:rsidP="00953186">
      <w:pPr>
        <w:spacing w:after="0" w:line="240" w:lineRule="auto"/>
        <w:jc w:val="both"/>
        <w:rPr>
          <w:rFonts w:ascii="Verdana" w:hAnsi="Verdana"/>
          <w:sz w:val="16"/>
          <w:szCs w:val="16"/>
          <w:lang w:val="es-CR"/>
        </w:rPr>
      </w:pPr>
      <w:r w:rsidRPr="003A573F">
        <w:rPr>
          <w:rStyle w:val="FootnoteReference"/>
          <w:rFonts w:ascii="Verdana" w:hAnsi="Verdana"/>
          <w:sz w:val="16"/>
          <w:szCs w:val="16"/>
        </w:rPr>
        <w:footnoteRef/>
      </w:r>
      <w:r w:rsidRPr="003A573F">
        <w:rPr>
          <w:rFonts w:ascii="Verdana" w:hAnsi="Verdana"/>
          <w:sz w:val="16"/>
          <w:szCs w:val="16"/>
          <w:lang w:val="es-CR"/>
        </w:rPr>
        <w:t xml:space="preserve"> </w:t>
      </w:r>
      <w:r w:rsidRPr="003A573F">
        <w:rPr>
          <w:rFonts w:ascii="Verdana" w:hAnsi="Verdana"/>
          <w:sz w:val="16"/>
          <w:szCs w:val="16"/>
          <w:lang w:val="es-CR"/>
        </w:rPr>
        <w:tab/>
        <w:t>Escritos de 2 de enero de 2014; 26 de mayo de 2015; 6 de octubre de 2015 y 26 de mayo de 2017.</w:t>
      </w:r>
    </w:p>
    <w:p w14:paraId="4EAF7E83" w14:textId="77777777" w:rsidR="00FF2564" w:rsidRPr="003A573F" w:rsidRDefault="00FF2564" w:rsidP="00953186">
      <w:pPr>
        <w:pStyle w:val="FootnoteText"/>
        <w:rPr>
          <w:rFonts w:ascii="Verdana" w:hAnsi="Verdana"/>
          <w:sz w:val="16"/>
          <w:szCs w:val="16"/>
          <w:lang w:val="es-CR"/>
        </w:rPr>
      </w:pPr>
    </w:p>
  </w:footnote>
  <w:footnote w:id="8">
    <w:p w14:paraId="09A90945" w14:textId="5B52049C" w:rsidR="00FF2564" w:rsidRPr="00612D4B" w:rsidRDefault="00FF2564" w:rsidP="00612D4B">
      <w:pPr>
        <w:pStyle w:val="FootnoteText"/>
        <w:jc w:val="both"/>
        <w:rPr>
          <w:rFonts w:ascii="Verdana" w:hAnsi="Verdana"/>
          <w:sz w:val="16"/>
          <w:szCs w:val="16"/>
          <w:lang w:val="es-CR"/>
        </w:rPr>
      </w:pPr>
      <w:r w:rsidRPr="00612D4B">
        <w:rPr>
          <w:rStyle w:val="FootnoteReference"/>
          <w:rFonts w:ascii="Verdana" w:hAnsi="Verdana"/>
          <w:sz w:val="16"/>
          <w:szCs w:val="16"/>
        </w:rPr>
        <w:footnoteRef/>
      </w:r>
      <w:r w:rsidRPr="00612D4B">
        <w:rPr>
          <w:rFonts w:ascii="Verdana" w:hAnsi="Verdana"/>
          <w:sz w:val="16"/>
          <w:szCs w:val="16"/>
          <w:lang w:val="es-CR"/>
        </w:rPr>
        <w:t xml:space="preserve"> </w:t>
      </w:r>
      <w:r w:rsidRPr="00612D4B">
        <w:rPr>
          <w:rFonts w:ascii="Verdana" w:hAnsi="Verdana"/>
          <w:sz w:val="16"/>
          <w:szCs w:val="16"/>
          <w:lang w:val="es-CR"/>
        </w:rPr>
        <w:tab/>
        <w:t>Escritos de 3 de febrero de 2014, 4 de noviembre de 2015 y 3 de septiembre de 2017.</w:t>
      </w:r>
    </w:p>
  </w:footnote>
  <w:footnote w:id="9">
    <w:p w14:paraId="3D954FD1" w14:textId="77777777" w:rsidR="00FF2564" w:rsidRPr="003A573F" w:rsidRDefault="00FF2564" w:rsidP="00953186">
      <w:pPr>
        <w:pStyle w:val="FootnoteText"/>
        <w:tabs>
          <w:tab w:val="left" w:pos="426"/>
        </w:tabs>
        <w:jc w:val="both"/>
        <w:rPr>
          <w:rFonts w:ascii="Verdana" w:hAnsi="Verdana"/>
          <w:sz w:val="16"/>
          <w:szCs w:val="16"/>
          <w:lang w:val="es-CR"/>
        </w:rPr>
      </w:pPr>
      <w:r w:rsidRPr="003A573F">
        <w:rPr>
          <w:rStyle w:val="FootnoteReference"/>
          <w:rFonts w:ascii="Verdana" w:hAnsi="Verdana"/>
          <w:sz w:val="16"/>
          <w:szCs w:val="16"/>
        </w:rPr>
        <w:footnoteRef/>
      </w:r>
      <w:r w:rsidRPr="003A573F">
        <w:rPr>
          <w:rFonts w:ascii="Verdana" w:hAnsi="Verdana"/>
          <w:sz w:val="16"/>
          <w:szCs w:val="16"/>
          <w:lang w:val="es-CR"/>
        </w:rPr>
        <w:t xml:space="preserve"> </w:t>
      </w:r>
      <w:r w:rsidRPr="003A573F">
        <w:rPr>
          <w:rFonts w:ascii="Verdana" w:hAnsi="Verdana"/>
          <w:sz w:val="16"/>
          <w:szCs w:val="16"/>
          <w:lang w:val="es-CR"/>
        </w:rPr>
        <w:tab/>
      </w:r>
      <w:r w:rsidRPr="003A573F">
        <w:rPr>
          <w:rFonts w:ascii="Verdana" w:hAnsi="Verdana"/>
          <w:sz w:val="16"/>
          <w:szCs w:val="16"/>
          <w:lang w:val="es-CR"/>
        </w:rPr>
        <w:tab/>
        <w:t xml:space="preserve">Facultad que además </w:t>
      </w:r>
      <w:r w:rsidRPr="003A573F">
        <w:rPr>
          <w:rFonts w:ascii="Verdana" w:hAnsi="Verdana"/>
          <w:sz w:val="16"/>
          <w:szCs w:val="16"/>
          <w:lang w:val="es-ES"/>
        </w:rPr>
        <w:t xml:space="preserve">se desprende de lo dispuesto en los artículos 33, 62.1, 62.3 y 65 de la Convención Americana y </w:t>
      </w:r>
      <w:r w:rsidRPr="003A573F">
        <w:rPr>
          <w:rFonts w:ascii="Verdana" w:hAnsi="Verdana"/>
          <w:sz w:val="16"/>
          <w:szCs w:val="16"/>
          <w:lang w:val="es-CR"/>
        </w:rPr>
        <w:t>30 de su Estatuto y se encuentra regulada en el artículo 69 de su Reglamento.</w:t>
      </w:r>
    </w:p>
  </w:footnote>
  <w:footnote w:id="10">
    <w:p w14:paraId="2423D1CE" w14:textId="7526BC21" w:rsidR="00FF2564" w:rsidRPr="000A642D" w:rsidRDefault="00FF2564" w:rsidP="00953186">
      <w:pPr>
        <w:pStyle w:val="FootnoteText"/>
        <w:jc w:val="both"/>
        <w:rPr>
          <w:rFonts w:ascii="Verdana" w:hAnsi="Verdana"/>
          <w:sz w:val="16"/>
          <w:szCs w:val="16"/>
          <w:lang w:val="es-MX"/>
        </w:rPr>
      </w:pPr>
      <w:r w:rsidRPr="003A573F">
        <w:rPr>
          <w:rStyle w:val="FootnoteReference"/>
          <w:rFonts w:ascii="Verdana" w:hAnsi="Verdana"/>
          <w:sz w:val="16"/>
          <w:szCs w:val="16"/>
        </w:rPr>
        <w:footnoteRef/>
      </w:r>
      <w:r w:rsidRPr="003A573F">
        <w:rPr>
          <w:rFonts w:ascii="Verdana" w:hAnsi="Verdana"/>
          <w:sz w:val="16"/>
          <w:szCs w:val="16"/>
          <w:lang w:val="es-MX"/>
        </w:rPr>
        <w:t xml:space="preserve"> </w:t>
      </w:r>
      <w:r>
        <w:rPr>
          <w:rFonts w:ascii="Verdana" w:hAnsi="Verdana"/>
          <w:sz w:val="16"/>
          <w:szCs w:val="16"/>
          <w:lang w:val="es-MX"/>
        </w:rPr>
        <w:tab/>
      </w:r>
      <w:r w:rsidRPr="003A573F">
        <w:rPr>
          <w:rFonts w:ascii="Verdana" w:hAnsi="Verdana"/>
          <w:sz w:val="16"/>
          <w:szCs w:val="16"/>
          <w:lang w:val="es-MX"/>
        </w:rPr>
        <w:t>Reparaciones relativas a</w:t>
      </w:r>
      <w:r>
        <w:rPr>
          <w:rFonts w:ascii="Verdana" w:hAnsi="Verdana"/>
          <w:sz w:val="16"/>
          <w:szCs w:val="16"/>
          <w:lang w:val="es-MX"/>
        </w:rPr>
        <w:t>:</w:t>
      </w:r>
      <w:r w:rsidRPr="003A573F">
        <w:rPr>
          <w:rFonts w:ascii="Verdana" w:hAnsi="Verdana"/>
          <w:sz w:val="16"/>
          <w:szCs w:val="16"/>
          <w:lang w:val="es-MX"/>
        </w:rPr>
        <w:t xml:space="preserve"> i) pagar a Graciela de León, Patricia Portugal y Franklin Portugal las cantidades fijadas en la sentencia por concepto de indemnización por daño material e inmaterial (</w:t>
      </w:r>
      <w:r w:rsidRPr="00190873">
        <w:rPr>
          <w:rFonts w:ascii="Verdana" w:hAnsi="Verdana"/>
          <w:i/>
          <w:sz w:val="16"/>
          <w:szCs w:val="16"/>
          <w:lang w:val="es-MX"/>
        </w:rPr>
        <w:t xml:space="preserve">puntos resolutivos décimo y </w:t>
      </w:r>
      <w:r>
        <w:rPr>
          <w:rFonts w:ascii="Verdana" w:hAnsi="Verdana"/>
          <w:i/>
          <w:sz w:val="16"/>
          <w:szCs w:val="16"/>
          <w:lang w:val="es-MX"/>
        </w:rPr>
        <w:t>décimo primero</w:t>
      </w:r>
      <w:r w:rsidRPr="00190873">
        <w:rPr>
          <w:rFonts w:ascii="Verdana" w:hAnsi="Verdana"/>
          <w:i/>
          <w:sz w:val="16"/>
          <w:szCs w:val="16"/>
          <w:lang w:val="es-MX"/>
        </w:rPr>
        <w:t xml:space="preserve"> de la Sentencia</w:t>
      </w:r>
      <w:r w:rsidRPr="003A573F">
        <w:rPr>
          <w:rFonts w:ascii="Verdana" w:hAnsi="Verdana"/>
          <w:sz w:val="16"/>
          <w:szCs w:val="16"/>
          <w:lang w:val="es-MX"/>
        </w:rPr>
        <w:t>); ii)</w:t>
      </w:r>
      <w:r>
        <w:rPr>
          <w:rFonts w:ascii="Verdana" w:hAnsi="Verdana"/>
          <w:sz w:val="16"/>
          <w:szCs w:val="16"/>
          <w:lang w:val="es-MX"/>
        </w:rPr>
        <w:t xml:space="preserve"> </w:t>
      </w:r>
      <w:r w:rsidRPr="003A573F">
        <w:rPr>
          <w:rFonts w:ascii="Verdana" w:hAnsi="Verdana"/>
          <w:sz w:val="16"/>
          <w:szCs w:val="16"/>
          <w:lang w:val="es-MX"/>
        </w:rPr>
        <w:t xml:space="preserve">publicar en el Diario Oficial y en otro de amplia circulación nacional </w:t>
      </w:r>
      <w:r>
        <w:rPr>
          <w:rFonts w:ascii="Verdana" w:hAnsi="Verdana"/>
          <w:sz w:val="16"/>
          <w:szCs w:val="16"/>
          <w:lang w:val="es-MX"/>
        </w:rPr>
        <w:t>determinados</w:t>
      </w:r>
      <w:r w:rsidRPr="003A573F">
        <w:rPr>
          <w:rFonts w:ascii="Verdana" w:hAnsi="Verdana"/>
          <w:sz w:val="16"/>
          <w:szCs w:val="16"/>
          <w:lang w:val="es-MX"/>
        </w:rPr>
        <w:t xml:space="preserve"> capítulos de la Sentencia (</w:t>
      </w:r>
      <w:r w:rsidRPr="00190873">
        <w:rPr>
          <w:rFonts w:ascii="Verdana" w:hAnsi="Verdana"/>
          <w:i/>
          <w:sz w:val="16"/>
          <w:szCs w:val="16"/>
          <w:lang w:val="es-MX"/>
        </w:rPr>
        <w:t>punto resolutivo décimo tercero de la Sentencia</w:t>
      </w:r>
      <w:r w:rsidRPr="003A573F">
        <w:rPr>
          <w:rFonts w:ascii="Verdana" w:hAnsi="Verdana"/>
          <w:sz w:val="16"/>
          <w:szCs w:val="16"/>
          <w:lang w:val="es-MX"/>
        </w:rPr>
        <w:t>); iii)</w:t>
      </w:r>
      <w:r>
        <w:rPr>
          <w:rFonts w:ascii="Verdana" w:hAnsi="Verdana"/>
          <w:sz w:val="16"/>
          <w:szCs w:val="16"/>
          <w:lang w:val="es-MX"/>
        </w:rPr>
        <w:t xml:space="preserve"> </w:t>
      </w:r>
      <w:r w:rsidRPr="003A573F">
        <w:rPr>
          <w:rFonts w:ascii="Verdana" w:hAnsi="Verdana"/>
          <w:sz w:val="16"/>
          <w:szCs w:val="16"/>
          <w:lang w:val="es-MX"/>
        </w:rPr>
        <w:t>realizar un acto público de reconocimiento de su responsabilidad internacional (</w:t>
      </w:r>
      <w:r w:rsidRPr="00190873">
        <w:rPr>
          <w:rFonts w:ascii="Verdana" w:hAnsi="Verdana"/>
          <w:i/>
          <w:sz w:val="16"/>
          <w:szCs w:val="16"/>
          <w:lang w:val="es-MX"/>
        </w:rPr>
        <w:t>punto resolutivo décimo cuarto de la Sentencia</w:t>
      </w:r>
      <w:r w:rsidRPr="003A573F">
        <w:rPr>
          <w:rFonts w:ascii="Verdana" w:hAnsi="Verdana"/>
          <w:sz w:val="16"/>
          <w:szCs w:val="16"/>
          <w:lang w:val="es-MX"/>
        </w:rPr>
        <w:t xml:space="preserve">); iv) </w:t>
      </w:r>
      <w:r w:rsidRPr="000A642D">
        <w:rPr>
          <w:rFonts w:ascii="Verdana" w:hAnsi="Verdana"/>
          <w:sz w:val="16"/>
          <w:szCs w:val="16"/>
          <w:lang w:val="es-MX"/>
        </w:rPr>
        <w:t>efectuar el reintegro de costas y gastos (</w:t>
      </w:r>
      <w:r w:rsidRPr="000A642D">
        <w:rPr>
          <w:rFonts w:ascii="Verdana" w:hAnsi="Verdana"/>
          <w:i/>
          <w:sz w:val="16"/>
          <w:szCs w:val="16"/>
          <w:lang w:val="es-MX"/>
        </w:rPr>
        <w:t>punto resolutivo décimo séptimo de la Sentencia</w:t>
      </w:r>
      <w:r w:rsidRPr="000A642D">
        <w:rPr>
          <w:rFonts w:ascii="Verdana" w:hAnsi="Verdana"/>
          <w:sz w:val="16"/>
          <w:szCs w:val="16"/>
          <w:lang w:val="es-MX"/>
        </w:rPr>
        <w:t>), y v) tipificar el delito de tortura (</w:t>
      </w:r>
      <w:r w:rsidRPr="000A642D">
        <w:rPr>
          <w:rFonts w:ascii="Verdana" w:hAnsi="Verdana"/>
          <w:i/>
          <w:sz w:val="16"/>
          <w:szCs w:val="16"/>
          <w:lang w:val="es-MX"/>
        </w:rPr>
        <w:t>punto resolutivo décimo sexto de la Sentencia</w:t>
      </w:r>
      <w:r w:rsidRPr="000A642D">
        <w:rPr>
          <w:rFonts w:ascii="Verdana" w:hAnsi="Verdana"/>
          <w:sz w:val="16"/>
          <w:szCs w:val="16"/>
          <w:lang w:val="es-MX"/>
        </w:rPr>
        <w:t xml:space="preserve">). </w:t>
      </w:r>
    </w:p>
  </w:footnote>
  <w:footnote w:id="11">
    <w:p w14:paraId="0D348D40" w14:textId="75D5F433" w:rsidR="00FF2564" w:rsidRPr="000A642D" w:rsidRDefault="00FF2564" w:rsidP="00953186">
      <w:pPr>
        <w:pStyle w:val="FootnoteText"/>
        <w:jc w:val="both"/>
        <w:rPr>
          <w:rFonts w:ascii="Verdana" w:hAnsi="Verdana"/>
          <w:sz w:val="16"/>
          <w:szCs w:val="16"/>
          <w:lang w:val="es-MX"/>
        </w:rPr>
      </w:pPr>
      <w:r w:rsidRPr="000A642D">
        <w:rPr>
          <w:rStyle w:val="FootnoteReference"/>
          <w:rFonts w:ascii="Verdana" w:hAnsi="Verdana"/>
          <w:sz w:val="16"/>
          <w:szCs w:val="16"/>
        </w:rPr>
        <w:footnoteRef/>
      </w:r>
      <w:r w:rsidRPr="000A642D">
        <w:rPr>
          <w:rFonts w:ascii="Verdana" w:hAnsi="Verdana"/>
          <w:sz w:val="16"/>
          <w:szCs w:val="16"/>
          <w:lang w:val="es-MX"/>
        </w:rPr>
        <w:t xml:space="preserve"> </w:t>
      </w:r>
      <w:r w:rsidRPr="000A642D">
        <w:rPr>
          <w:rFonts w:ascii="Verdana" w:hAnsi="Verdana"/>
          <w:sz w:val="16"/>
          <w:szCs w:val="16"/>
          <w:lang w:val="es-MX"/>
        </w:rPr>
        <w:tab/>
        <w:t xml:space="preserve">Reparación relativa a </w:t>
      </w:r>
      <w:r>
        <w:rPr>
          <w:rFonts w:ascii="Verdana" w:hAnsi="Verdana"/>
          <w:sz w:val="16"/>
          <w:szCs w:val="16"/>
          <w:lang w:val="es-MX"/>
        </w:rPr>
        <w:t>adecuar la tipificación d</w:t>
      </w:r>
      <w:r w:rsidRPr="000A642D">
        <w:rPr>
          <w:rFonts w:ascii="Verdana" w:hAnsi="Verdana"/>
          <w:sz w:val="16"/>
          <w:szCs w:val="16"/>
          <w:lang w:val="es-MX"/>
        </w:rPr>
        <w:t>el delito de desaparición forzada (</w:t>
      </w:r>
      <w:r w:rsidRPr="000A642D">
        <w:rPr>
          <w:rFonts w:ascii="Verdana" w:hAnsi="Verdana"/>
          <w:i/>
          <w:sz w:val="16"/>
          <w:szCs w:val="16"/>
          <w:lang w:val="es-MX"/>
        </w:rPr>
        <w:t>infra</w:t>
      </w:r>
      <w:r w:rsidRPr="000A642D">
        <w:rPr>
          <w:rFonts w:ascii="Verdana" w:hAnsi="Verdana"/>
          <w:sz w:val="16"/>
          <w:szCs w:val="16"/>
          <w:lang w:val="es-MX"/>
        </w:rPr>
        <w:t xml:space="preserve"> Considerando </w:t>
      </w:r>
      <w:r>
        <w:rPr>
          <w:rFonts w:ascii="Verdana" w:hAnsi="Verdana"/>
          <w:sz w:val="16"/>
          <w:szCs w:val="16"/>
          <w:lang w:val="es-MX"/>
        </w:rPr>
        <w:fldChar w:fldCharType="begin"/>
      </w:r>
      <w:r>
        <w:rPr>
          <w:rFonts w:ascii="Verdana" w:hAnsi="Verdana"/>
          <w:sz w:val="16"/>
          <w:szCs w:val="16"/>
          <w:lang w:val="es-MX"/>
        </w:rPr>
        <w:instrText xml:space="preserve"> REF _Ref498677690 \r \h </w:instrText>
      </w:r>
      <w:r>
        <w:rPr>
          <w:rFonts w:ascii="Verdana" w:hAnsi="Verdana"/>
          <w:sz w:val="16"/>
          <w:szCs w:val="16"/>
          <w:lang w:val="es-MX"/>
        </w:rPr>
      </w:r>
      <w:r>
        <w:rPr>
          <w:rFonts w:ascii="Verdana" w:hAnsi="Verdana"/>
          <w:sz w:val="16"/>
          <w:szCs w:val="16"/>
          <w:lang w:val="es-MX"/>
        </w:rPr>
        <w:fldChar w:fldCharType="separate"/>
      </w:r>
      <w:r w:rsidR="00360B00">
        <w:rPr>
          <w:rFonts w:ascii="Verdana" w:hAnsi="Verdana"/>
          <w:sz w:val="16"/>
          <w:szCs w:val="16"/>
          <w:lang w:val="es-MX"/>
        </w:rPr>
        <w:t>22</w:t>
      </w:r>
      <w:r>
        <w:rPr>
          <w:rFonts w:ascii="Verdana" w:hAnsi="Verdana"/>
          <w:sz w:val="16"/>
          <w:szCs w:val="16"/>
          <w:lang w:val="es-MX"/>
        </w:rPr>
        <w:fldChar w:fldCharType="end"/>
      </w:r>
      <w:r w:rsidRPr="000A642D">
        <w:rPr>
          <w:rFonts w:ascii="Verdana" w:hAnsi="Verdana"/>
          <w:sz w:val="16"/>
          <w:szCs w:val="16"/>
          <w:lang w:val="es-MX"/>
        </w:rPr>
        <w:t>)</w:t>
      </w:r>
      <w:r>
        <w:rPr>
          <w:rFonts w:ascii="Verdana" w:hAnsi="Verdana"/>
          <w:sz w:val="16"/>
          <w:szCs w:val="16"/>
          <w:lang w:val="es-MX"/>
        </w:rPr>
        <w:t>.</w:t>
      </w:r>
    </w:p>
  </w:footnote>
  <w:footnote w:id="12">
    <w:p w14:paraId="341B99AE" w14:textId="550B44B9" w:rsidR="00FF2564" w:rsidRPr="000A642D" w:rsidRDefault="00FF2564" w:rsidP="00953186">
      <w:pPr>
        <w:pStyle w:val="FootnoteText"/>
        <w:jc w:val="both"/>
        <w:rPr>
          <w:lang w:val="es-CR"/>
        </w:rPr>
      </w:pPr>
      <w:r w:rsidRPr="000A642D">
        <w:rPr>
          <w:rStyle w:val="FootnoteReference"/>
          <w:rFonts w:ascii="Verdana" w:hAnsi="Verdana"/>
          <w:sz w:val="16"/>
          <w:szCs w:val="16"/>
        </w:rPr>
        <w:footnoteRef/>
      </w:r>
      <w:r w:rsidRPr="000A642D">
        <w:rPr>
          <w:rFonts w:ascii="Verdana" w:hAnsi="Verdana"/>
          <w:sz w:val="16"/>
          <w:szCs w:val="16"/>
          <w:lang w:val="es-CR"/>
        </w:rPr>
        <w:t xml:space="preserve"> </w:t>
      </w:r>
      <w:r w:rsidRPr="000A642D">
        <w:rPr>
          <w:rFonts w:ascii="Verdana" w:hAnsi="Verdana"/>
          <w:sz w:val="16"/>
          <w:szCs w:val="16"/>
          <w:lang w:val="es-CR"/>
        </w:rPr>
        <w:tab/>
        <w:t>Las reparaciones pendientes de cumplimiento son: i) Investigar los hechos que generaron las violaciones del presente caso, e identificar, juzgar y, en su caso, sancionar a los responsables</w:t>
      </w:r>
      <w:r>
        <w:rPr>
          <w:rFonts w:ascii="Verdana" w:hAnsi="Verdana"/>
          <w:sz w:val="16"/>
          <w:szCs w:val="16"/>
          <w:lang w:val="es-CR"/>
        </w:rPr>
        <w:t xml:space="preserve"> (</w:t>
      </w:r>
      <w:r>
        <w:rPr>
          <w:rFonts w:ascii="Verdana" w:hAnsi="Verdana"/>
          <w:i/>
          <w:sz w:val="16"/>
          <w:szCs w:val="16"/>
          <w:lang w:val="es-CR"/>
        </w:rPr>
        <w:t>infra</w:t>
      </w:r>
      <w:r>
        <w:rPr>
          <w:rFonts w:ascii="Verdana" w:hAnsi="Verdana"/>
          <w:sz w:val="16"/>
          <w:szCs w:val="16"/>
          <w:lang w:val="es-CR"/>
        </w:rPr>
        <w:t xml:space="preserve"> Considerando </w:t>
      </w:r>
      <w:r>
        <w:rPr>
          <w:rFonts w:ascii="Verdana" w:hAnsi="Verdana"/>
          <w:sz w:val="16"/>
          <w:szCs w:val="16"/>
          <w:lang w:val="es-CR"/>
        </w:rPr>
        <w:fldChar w:fldCharType="begin"/>
      </w:r>
      <w:r>
        <w:rPr>
          <w:rFonts w:ascii="Verdana" w:hAnsi="Verdana"/>
          <w:sz w:val="16"/>
          <w:szCs w:val="16"/>
          <w:lang w:val="es-CR"/>
        </w:rPr>
        <w:instrText xml:space="preserve"> REF _Ref498677718 \r \h </w:instrText>
      </w:r>
      <w:r>
        <w:rPr>
          <w:rFonts w:ascii="Verdana" w:hAnsi="Verdana"/>
          <w:sz w:val="16"/>
          <w:szCs w:val="16"/>
          <w:lang w:val="es-CR"/>
        </w:rPr>
      </w:r>
      <w:r>
        <w:rPr>
          <w:rFonts w:ascii="Verdana" w:hAnsi="Verdana"/>
          <w:sz w:val="16"/>
          <w:szCs w:val="16"/>
          <w:lang w:val="es-CR"/>
        </w:rPr>
        <w:fldChar w:fldCharType="separate"/>
      </w:r>
      <w:r w:rsidR="00360B00">
        <w:rPr>
          <w:rFonts w:ascii="Verdana" w:hAnsi="Verdana"/>
          <w:sz w:val="16"/>
          <w:szCs w:val="16"/>
          <w:lang w:val="es-CR"/>
        </w:rPr>
        <w:t>4</w:t>
      </w:r>
      <w:r>
        <w:rPr>
          <w:rFonts w:ascii="Verdana" w:hAnsi="Verdana"/>
          <w:sz w:val="16"/>
          <w:szCs w:val="16"/>
          <w:lang w:val="es-CR"/>
        </w:rPr>
        <w:fldChar w:fldCharType="end"/>
      </w:r>
      <w:r>
        <w:rPr>
          <w:rFonts w:ascii="Verdana" w:hAnsi="Verdana"/>
          <w:sz w:val="16"/>
          <w:szCs w:val="16"/>
          <w:lang w:val="es-CR"/>
        </w:rPr>
        <w:t>)</w:t>
      </w:r>
      <w:r w:rsidRPr="000A642D">
        <w:rPr>
          <w:rFonts w:ascii="Verdana" w:hAnsi="Verdana"/>
          <w:sz w:val="16"/>
          <w:szCs w:val="16"/>
          <w:lang w:val="es-CR"/>
        </w:rPr>
        <w:t>; ii) brindar gratuitamente y de forma inmediata el tratamiento médico y psicológico a determinadas víctimas (</w:t>
      </w:r>
      <w:r>
        <w:rPr>
          <w:rFonts w:ascii="Verdana" w:hAnsi="Verdana"/>
          <w:i/>
          <w:sz w:val="16"/>
          <w:szCs w:val="16"/>
          <w:lang w:val="es-CR"/>
        </w:rPr>
        <w:t xml:space="preserve">infra </w:t>
      </w:r>
      <w:r>
        <w:rPr>
          <w:rFonts w:ascii="Verdana" w:hAnsi="Verdana"/>
          <w:sz w:val="16"/>
          <w:szCs w:val="16"/>
          <w:lang w:val="es-CR"/>
        </w:rPr>
        <w:t xml:space="preserve">Considerando </w:t>
      </w:r>
      <w:r>
        <w:rPr>
          <w:rFonts w:ascii="Verdana" w:hAnsi="Verdana"/>
          <w:sz w:val="16"/>
          <w:szCs w:val="16"/>
          <w:lang w:val="es-CR"/>
        </w:rPr>
        <w:fldChar w:fldCharType="begin"/>
      </w:r>
      <w:r>
        <w:rPr>
          <w:rFonts w:ascii="Verdana" w:hAnsi="Verdana"/>
          <w:sz w:val="16"/>
          <w:szCs w:val="16"/>
          <w:lang w:val="es-CR"/>
        </w:rPr>
        <w:instrText xml:space="preserve"> REF _Ref498611967 \r \h </w:instrText>
      </w:r>
      <w:r>
        <w:rPr>
          <w:rFonts w:ascii="Verdana" w:hAnsi="Verdana"/>
          <w:sz w:val="16"/>
          <w:szCs w:val="16"/>
          <w:lang w:val="es-CR"/>
        </w:rPr>
      </w:r>
      <w:r>
        <w:rPr>
          <w:rFonts w:ascii="Verdana" w:hAnsi="Verdana"/>
          <w:sz w:val="16"/>
          <w:szCs w:val="16"/>
          <w:lang w:val="es-CR"/>
        </w:rPr>
        <w:fldChar w:fldCharType="separate"/>
      </w:r>
      <w:r w:rsidR="00360B00">
        <w:rPr>
          <w:rFonts w:ascii="Verdana" w:hAnsi="Verdana"/>
          <w:sz w:val="16"/>
          <w:szCs w:val="16"/>
          <w:lang w:val="es-CR"/>
        </w:rPr>
        <w:t>11</w:t>
      </w:r>
      <w:r>
        <w:rPr>
          <w:rFonts w:ascii="Verdana" w:hAnsi="Verdana"/>
          <w:sz w:val="16"/>
          <w:szCs w:val="16"/>
          <w:lang w:val="es-CR"/>
        </w:rPr>
        <w:fldChar w:fldCharType="end"/>
      </w:r>
      <w:r w:rsidRPr="000A642D">
        <w:rPr>
          <w:rFonts w:ascii="Verdana" w:hAnsi="Verdana"/>
          <w:sz w:val="16"/>
          <w:szCs w:val="16"/>
          <w:lang w:val="es-CR"/>
        </w:rPr>
        <w:t>), y iii) tipificar el delito de desaparición forzada (</w:t>
      </w:r>
      <w:r w:rsidRPr="000A642D">
        <w:rPr>
          <w:rFonts w:ascii="Verdana" w:hAnsi="Verdana"/>
          <w:i/>
          <w:sz w:val="16"/>
          <w:szCs w:val="16"/>
          <w:lang w:val="es-CR"/>
        </w:rPr>
        <w:t>infra</w:t>
      </w:r>
      <w:r w:rsidRPr="000A642D">
        <w:rPr>
          <w:rFonts w:ascii="Verdana" w:hAnsi="Verdana"/>
          <w:sz w:val="16"/>
          <w:szCs w:val="16"/>
          <w:lang w:val="es-CR"/>
        </w:rPr>
        <w:t xml:space="preserve"> Considerando </w:t>
      </w:r>
      <w:r>
        <w:rPr>
          <w:rFonts w:ascii="Verdana" w:hAnsi="Verdana"/>
          <w:sz w:val="16"/>
          <w:szCs w:val="16"/>
          <w:lang w:val="es-CR"/>
        </w:rPr>
        <w:fldChar w:fldCharType="begin"/>
      </w:r>
      <w:r>
        <w:rPr>
          <w:rFonts w:ascii="Verdana" w:hAnsi="Verdana"/>
          <w:sz w:val="16"/>
          <w:szCs w:val="16"/>
          <w:lang w:val="es-CR"/>
        </w:rPr>
        <w:instrText xml:space="preserve"> REF _Ref498677690 \r \h </w:instrText>
      </w:r>
      <w:r>
        <w:rPr>
          <w:rFonts w:ascii="Verdana" w:hAnsi="Verdana"/>
          <w:sz w:val="16"/>
          <w:szCs w:val="16"/>
          <w:lang w:val="es-CR"/>
        </w:rPr>
      </w:r>
      <w:r>
        <w:rPr>
          <w:rFonts w:ascii="Verdana" w:hAnsi="Verdana"/>
          <w:sz w:val="16"/>
          <w:szCs w:val="16"/>
          <w:lang w:val="es-CR"/>
        </w:rPr>
        <w:fldChar w:fldCharType="separate"/>
      </w:r>
      <w:r w:rsidR="00360B00">
        <w:rPr>
          <w:rFonts w:ascii="Verdana" w:hAnsi="Verdana"/>
          <w:sz w:val="16"/>
          <w:szCs w:val="16"/>
          <w:lang w:val="es-CR"/>
        </w:rPr>
        <w:t>22</w:t>
      </w:r>
      <w:r>
        <w:rPr>
          <w:rFonts w:ascii="Verdana" w:hAnsi="Verdana"/>
          <w:sz w:val="16"/>
          <w:szCs w:val="16"/>
          <w:lang w:val="es-CR"/>
        </w:rPr>
        <w:fldChar w:fldCharType="end"/>
      </w:r>
      <w:r w:rsidRPr="000A642D">
        <w:rPr>
          <w:rFonts w:ascii="Verdana" w:hAnsi="Verdana"/>
          <w:sz w:val="16"/>
          <w:szCs w:val="16"/>
          <w:lang w:val="es-CR"/>
        </w:rPr>
        <w:t>).</w:t>
      </w:r>
    </w:p>
  </w:footnote>
  <w:footnote w:id="13">
    <w:p w14:paraId="21E3825A" w14:textId="37D5807A" w:rsidR="00FF2564" w:rsidRDefault="00FF2564" w:rsidP="00953186">
      <w:pPr>
        <w:pStyle w:val="FootnoteText"/>
        <w:jc w:val="both"/>
        <w:rPr>
          <w:rFonts w:ascii="Verdana" w:hAnsi="Verdana"/>
          <w:sz w:val="16"/>
          <w:szCs w:val="16"/>
          <w:lang w:val="es-CR"/>
        </w:rPr>
      </w:pPr>
      <w:r>
        <w:rPr>
          <w:rStyle w:val="FootnoteReference"/>
          <w:rFonts w:ascii="Verdana" w:hAnsi="Verdana"/>
          <w:sz w:val="16"/>
          <w:szCs w:val="16"/>
        </w:rPr>
        <w:footnoteRef/>
      </w:r>
      <w:r w:rsidRPr="00E464F3">
        <w:rPr>
          <w:rFonts w:ascii="Verdana" w:hAnsi="Verdana"/>
          <w:sz w:val="16"/>
          <w:szCs w:val="16"/>
          <w:lang w:val="es-CR"/>
        </w:rPr>
        <w:t xml:space="preserve"> </w:t>
      </w:r>
      <w:r>
        <w:rPr>
          <w:rFonts w:ascii="Verdana" w:hAnsi="Verdana"/>
          <w:sz w:val="16"/>
          <w:szCs w:val="16"/>
          <w:lang w:val="es-CR"/>
        </w:rPr>
        <w:tab/>
      </w:r>
      <w:r w:rsidRPr="00E464F3">
        <w:rPr>
          <w:rFonts w:ascii="Verdana" w:hAnsi="Verdana"/>
          <w:i/>
          <w:sz w:val="16"/>
          <w:szCs w:val="16"/>
          <w:lang w:val="es-CR"/>
        </w:rPr>
        <w:t xml:space="preserve">Cfr. Caso Cinco Pensionistas Vs. Perú. Supervisión de Cumplimiento de Sentencia. </w:t>
      </w:r>
      <w:r w:rsidRPr="00E464F3">
        <w:rPr>
          <w:rFonts w:ascii="Verdana" w:hAnsi="Verdana"/>
          <w:sz w:val="16"/>
          <w:szCs w:val="16"/>
          <w:lang w:val="es-CR"/>
        </w:rPr>
        <w:t xml:space="preserve">Resolución de la Corte Interamericana de Derechos Humanos de 17 noviembre de 2004, Considerando 5, y </w:t>
      </w:r>
      <w:r w:rsidRPr="00E464F3">
        <w:rPr>
          <w:rFonts w:ascii="Verdana" w:hAnsi="Verdana"/>
          <w:i/>
          <w:sz w:val="16"/>
          <w:szCs w:val="16"/>
          <w:lang w:val="es-CR"/>
        </w:rPr>
        <w:t>Caso Masacre</w:t>
      </w:r>
      <w:r>
        <w:rPr>
          <w:rFonts w:ascii="Verdana" w:hAnsi="Verdana"/>
          <w:i/>
          <w:sz w:val="16"/>
          <w:szCs w:val="16"/>
          <w:lang w:val="es-CR"/>
        </w:rPr>
        <w:t>s</w:t>
      </w:r>
      <w:r w:rsidRPr="00E464F3">
        <w:rPr>
          <w:rFonts w:ascii="Verdana" w:hAnsi="Verdana"/>
          <w:i/>
          <w:sz w:val="16"/>
          <w:szCs w:val="16"/>
          <w:lang w:val="es-CR"/>
        </w:rPr>
        <w:t xml:space="preserve"> de </w:t>
      </w:r>
      <w:r>
        <w:rPr>
          <w:rFonts w:ascii="Verdana" w:hAnsi="Verdana"/>
          <w:i/>
          <w:sz w:val="16"/>
          <w:szCs w:val="16"/>
          <w:lang w:val="es-CR"/>
        </w:rPr>
        <w:t>El Mozote y lugares aledaños</w:t>
      </w:r>
      <w:r w:rsidRPr="00E464F3">
        <w:rPr>
          <w:rFonts w:ascii="Verdana" w:hAnsi="Verdana"/>
          <w:i/>
          <w:sz w:val="16"/>
          <w:szCs w:val="16"/>
          <w:lang w:val="es-CR"/>
        </w:rPr>
        <w:t xml:space="preserve"> Vs. </w:t>
      </w:r>
      <w:r>
        <w:rPr>
          <w:rFonts w:ascii="Verdana" w:hAnsi="Verdana"/>
          <w:i/>
          <w:sz w:val="16"/>
          <w:szCs w:val="16"/>
          <w:lang w:val="es-CR"/>
        </w:rPr>
        <w:t>El Salvador</w:t>
      </w:r>
      <w:r w:rsidRPr="00E464F3">
        <w:rPr>
          <w:rFonts w:ascii="Verdana" w:hAnsi="Verdana"/>
          <w:i/>
          <w:sz w:val="16"/>
          <w:szCs w:val="16"/>
          <w:lang w:val="es-CR"/>
        </w:rPr>
        <w:t xml:space="preserve">. Supervisión de Cumplimiento de Sentencia. </w:t>
      </w:r>
      <w:r w:rsidRPr="00E464F3">
        <w:rPr>
          <w:rFonts w:ascii="Verdana" w:hAnsi="Verdana"/>
          <w:sz w:val="16"/>
          <w:szCs w:val="16"/>
          <w:lang w:val="es-CR"/>
        </w:rPr>
        <w:t xml:space="preserve">Resolución de la Corte Interamericana de Derechos Humanos </w:t>
      </w:r>
      <w:r>
        <w:rPr>
          <w:rFonts w:ascii="Verdana" w:hAnsi="Verdana"/>
          <w:sz w:val="16"/>
          <w:szCs w:val="16"/>
          <w:lang w:val="es-CR"/>
        </w:rPr>
        <w:t>31</w:t>
      </w:r>
      <w:r w:rsidRPr="00E464F3">
        <w:rPr>
          <w:rFonts w:ascii="Verdana" w:hAnsi="Verdana"/>
          <w:sz w:val="16"/>
          <w:szCs w:val="16"/>
          <w:lang w:val="es-CR"/>
        </w:rPr>
        <w:t xml:space="preserve"> de </w:t>
      </w:r>
      <w:r>
        <w:rPr>
          <w:rFonts w:ascii="Verdana" w:hAnsi="Verdana"/>
          <w:sz w:val="16"/>
          <w:szCs w:val="16"/>
          <w:lang w:val="es-CR"/>
        </w:rPr>
        <w:t>agosto</w:t>
      </w:r>
      <w:r w:rsidRPr="00E464F3">
        <w:rPr>
          <w:rFonts w:ascii="Verdana" w:hAnsi="Verdana"/>
          <w:sz w:val="16"/>
          <w:szCs w:val="16"/>
          <w:lang w:val="es-CR"/>
        </w:rPr>
        <w:t xml:space="preserve"> de 2017,</w:t>
      </w:r>
      <w:r>
        <w:rPr>
          <w:rStyle w:val="Strong"/>
          <w:rFonts w:ascii="Verdana" w:hAnsi="Verdana"/>
          <w:color w:val="000000"/>
          <w:shd w:val="clear" w:color="auto" w:fill="FFFFFF"/>
          <w:lang w:val="es-CR"/>
        </w:rPr>
        <w:t xml:space="preserve"> </w:t>
      </w:r>
      <w:r w:rsidRPr="00E464F3">
        <w:rPr>
          <w:rFonts w:ascii="Verdana" w:hAnsi="Verdana"/>
          <w:sz w:val="16"/>
          <w:szCs w:val="16"/>
          <w:lang w:val="es-CR"/>
        </w:rPr>
        <w:t>Considerando 2.</w:t>
      </w:r>
    </w:p>
  </w:footnote>
  <w:footnote w:id="14">
    <w:p w14:paraId="300C7DE1" w14:textId="12F255E5" w:rsidR="00FF2564" w:rsidRDefault="00FF2564" w:rsidP="00953186">
      <w:pPr>
        <w:pStyle w:val="FootnoteText"/>
        <w:jc w:val="both"/>
        <w:rPr>
          <w:rFonts w:ascii="Verdana" w:hAnsi="Verdana"/>
          <w:b/>
          <w:bCs/>
          <w:color w:val="000000"/>
          <w:sz w:val="16"/>
          <w:szCs w:val="16"/>
          <w:shd w:val="clear" w:color="auto" w:fill="FFFFFF"/>
          <w:lang w:val="es-CR"/>
        </w:rPr>
      </w:pPr>
      <w:r>
        <w:rPr>
          <w:rStyle w:val="FootnoteReference"/>
          <w:rFonts w:ascii="Verdana" w:hAnsi="Verdana"/>
          <w:sz w:val="16"/>
          <w:szCs w:val="16"/>
        </w:rPr>
        <w:footnoteRef/>
      </w:r>
      <w:r w:rsidRPr="00E464F3">
        <w:rPr>
          <w:rFonts w:ascii="Verdana" w:hAnsi="Verdana"/>
          <w:b/>
          <w:sz w:val="16"/>
          <w:szCs w:val="16"/>
          <w:lang w:val="es-CR"/>
        </w:rPr>
        <w:t xml:space="preserve"> </w:t>
      </w:r>
      <w:r w:rsidRPr="00E464F3">
        <w:rPr>
          <w:rFonts w:ascii="Verdana" w:hAnsi="Verdana"/>
          <w:b/>
          <w:sz w:val="16"/>
          <w:szCs w:val="16"/>
          <w:lang w:val="es-CR"/>
        </w:rPr>
        <w:tab/>
      </w:r>
      <w:r w:rsidRPr="00E464F3">
        <w:rPr>
          <w:rFonts w:ascii="Verdana" w:hAnsi="Verdana"/>
          <w:i/>
          <w:sz w:val="16"/>
          <w:szCs w:val="16"/>
          <w:lang w:val="es-CR"/>
        </w:rPr>
        <w:t xml:space="preserve">Cfr. Caso </w:t>
      </w:r>
      <w:proofErr w:type="spellStart"/>
      <w:r w:rsidRPr="00E464F3">
        <w:rPr>
          <w:rFonts w:ascii="Verdana" w:hAnsi="Verdana"/>
          <w:i/>
          <w:sz w:val="16"/>
          <w:szCs w:val="16"/>
          <w:lang w:val="es-CR"/>
        </w:rPr>
        <w:t>Ivcher</w:t>
      </w:r>
      <w:proofErr w:type="spellEnd"/>
      <w:r w:rsidRPr="00E464F3">
        <w:rPr>
          <w:rFonts w:ascii="Verdana" w:hAnsi="Verdana"/>
          <w:i/>
          <w:sz w:val="16"/>
          <w:szCs w:val="16"/>
          <w:lang w:val="es-CR"/>
        </w:rPr>
        <w:t xml:space="preserve"> </w:t>
      </w:r>
      <w:proofErr w:type="spellStart"/>
      <w:r w:rsidRPr="00E464F3">
        <w:rPr>
          <w:rFonts w:ascii="Verdana" w:hAnsi="Verdana"/>
          <w:i/>
          <w:sz w:val="16"/>
          <w:szCs w:val="16"/>
          <w:lang w:val="es-CR"/>
        </w:rPr>
        <w:t>Bronstein</w:t>
      </w:r>
      <w:proofErr w:type="spellEnd"/>
      <w:r w:rsidRPr="00E464F3">
        <w:rPr>
          <w:rFonts w:ascii="Verdana" w:hAnsi="Verdana"/>
          <w:i/>
          <w:sz w:val="16"/>
          <w:szCs w:val="16"/>
          <w:lang w:val="es-CR"/>
        </w:rPr>
        <w:t xml:space="preserve"> Vs. Perú. Competencia.</w:t>
      </w:r>
      <w:r w:rsidRPr="00E464F3">
        <w:rPr>
          <w:rFonts w:ascii="Verdana" w:hAnsi="Verdana"/>
          <w:sz w:val="16"/>
          <w:szCs w:val="16"/>
          <w:lang w:val="es-CR"/>
        </w:rPr>
        <w:t xml:space="preserve"> Sentencia de la Corte Interamericana de Derechos Humanos de 24 de septiembre de 1999. Serie C No. 54, párr. 37, y </w:t>
      </w:r>
      <w:r w:rsidRPr="00E464F3">
        <w:rPr>
          <w:rFonts w:ascii="Verdana" w:hAnsi="Verdana"/>
          <w:i/>
          <w:sz w:val="16"/>
          <w:szCs w:val="16"/>
          <w:lang w:val="es-CR"/>
        </w:rPr>
        <w:t>Caso Masacre</w:t>
      </w:r>
      <w:r>
        <w:rPr>
          <w:rFonts w:ascii="Verdana" w:hAnsi="Verdana"/>
          <w:i/>
          <w:sz w:val="16"/>
          <w:szCs w:val="16"/>
          <w:lang w:val="es-CR"/>
        </w:rPr>
        <w:t>s</w:t>
      </w:r>
      <w:r w:rsidRPr="00E464F3">
        <w:rPr>
          <w:rFonts w:ascii="Verdana" w:hAnsi="Verdana"/>
          <w:i/>
          <w:sz w:val="16"/>
          <w:szCs w:val="16"/>
          <w:lang w:val="es-CR"/>
        </w:rPr>
        <w:t xml:space="preserve"> de </w:t>
      </w:r>
      <w:r>
        <w:rPr>
          <w:rFonts w:ascii="Verdana" w:hAnsi="Verdana"/>
          <w:i/>
          <w:sz w:val="16"/>
          <w:szCs w:val="16"/>
          <w:lang w:val="es-CR"/>
        </w:rPr>
        <w:t>El Mozote y lugares aledaños</w:t>
      </w:r>
      <w:r w:rsidRPr="00E464F3">
        <w:rPr>
          <w:rFonts w:ascii="Verdana" w:hAnsi="Verdana"/>
          <w:i/>
          <w:sz w:val="16"/>
          <w:szCs w:val="16"/>
          <w:lang w:val="es-CR"/>
        </w:rPr>
        <w:t xml:space="preserve"> Vs. </w:t>
      </w:r>
      <w:r>
        <w:rPr>
          <w:rFonts w:ascii="Verdana" w:hAnsi="Verdana"/>
          <w:i/>
          <w:sz w:val="16"/>
          <w:szCs w:val="16"/>
          <w:lang w:val="es-CR"/>
        </w:rPr>
        <w:t>El Salvador</w:t>
      </w:r>
      <w:r>
        <w:rPr>
          <w:rFonts w:ascii="Verdana" w:hAnsi="Verdana"/>
          <w:sz w:val="16"/>
          <w:szCs w:val="16"/>
          <w:lang w:val="es-CR"/>
        </w:rPr>
        <w:t xml:space="preserve">, </w:t>
      </w:r>
      <w:r>
        <w:rPr>
          <w:rFonts w:ascii="Verdana" w:hAnsi="Verdana"/>
          <w:i/>
          <w:sz w:val="16"/>
          <w:szCs w:val="16"/>
          <w:lang w:val="es-CR"/>
        </w:rPr>
        <w:t xml:space="preserve">supra </w:t>
      </w:r>
      <w:r>
        <w:rPr>
          <w:rFonts w:ascii="Verdana" w:hAnsi="Verdana"/>
          <w:sz w:val="16"/>
          <w:szCs w:val="16"/>
          <w:lang w:val="es-CR"/>
        </w:rPr>
        <w:t>nota 12</w:t>
      </w:r>
      <w:r w:rsidRPr="00E464F3">
        <w:rPr>
          <w:rFonts w:ascii="Verdana" w:hAnsi="Verdana"/>
          <w:sz w:val="16"/>
          <w:szCs w:val="16"/>
          <w:lang w:val="es-CR"/>
        </w:rPr>
        <w:t>,</w:t>
      </w:r>
      <w:r>
        <w:rPr>
          <w:rStyle w:val="Strong"/>
          <w:rFonts w:ascii="Verdana" w:hAnsi="Verdana"/>
          <w:color w:val="000000"/>
          <w:shd w:val="clear" w:color="auto" w:fill="FFFFFF"/>
          <w:lang w:val="es-CR"/>
        </w:rPr>
        <w:t xml:space="preserve"> </w:t>
      </w:r>
      <w:r w:rsidRPr="00E464F3">
        <w:rPr>
          <w:rFonts w:ascii="Verdana" w:hAnsi="Verdana"/>
          <w:sz w:val="16"/>
          <w:szCs w:val="16"/>
          <w:lang w:val="es-CR"/>
        </w:rPr>
        <w:t>Considerando 2.</w:t>
      </w:r>
    </w:p>
  </w:footnote>
  <w:footnote w:id="15">
    <w:p w14:paraId="6A45E9A4" w14:textId="10B127B7" w:rsidR="00FF2564" w:rsidRPr="00AE2D23" w:rsidRDefault="00FF2564" w:rsidP="00AE2D23">
      <w:pPr>
        <w:pStyle w:val="FootnoteText"/>
        <w:jc w:val="both"/>
        <w:rPr>
          <w:rFonts w:ascii="Verdana" w:hAnsi="Verdana"/>
          <w:sz w:val="16"/>
          <w:szCs w:val="16"/>
          <w:lang w:val="es-CR"/>
        </w:rPr>
      </w:pPr>
      <w:r w:rsidRPr="00AE2D23">
        <w:rPr>
          <w:rStyle w:val="FootnoteReference"/>
          <w:rFonts w:ascii="Verdana" w:hAnsi="Verdana"/>
          <w:sz w:val="16"/>
          <w:szCs w:val="16"/>
        </w:rPr>
        <w:footnoteRef/>
      </w:r>
      <w:r w:rsidRPr="00AE2D23">
        <w:rPr>
          <w:rFonts w:ascii="Verdana" w:hAnsi="Verdana"/>
          <w:sz w:val="16"/>
          <w:szCs w:val="16"/>
          <w:lang w:val="es-CR"/>
        </w:rPr>
        <w:t xml:space="preserve"> </w:t>
      </w:r>
      <w:r w:rsidRPr="00AE2D23">
        <w:rPr>
          <w:rFonts w:ascii="Verdana" w:hAnsi="Verdana"/>
          <w:sz w:val="16"/>
          <w:szCs w:val="16"/>
          <w:lang w:val="es-CR"/>
        </w:rPr>
        <w:tab/>
        <w:t xml:space="preserve">En esa oportunidad, los representantes </w:t>
      </w:r>
      <w:r>
        <w:rPr>
          <w:rFonts w:ascii="Verdana" w:hAnsi="Verdana"/>
          <w:sz w:val="16"/>
          <w:szCs w:val="16"/>
          <w:lang w:val="es-CR"/>
        </w:rPr>
        <w:t>“</w:t>
      </w:r>
      <w:r w:rsidRPr="00AE2D23">
        <w:rPr>
          <w:rFonts w:ascii="Verdana" w:hAnsi="Verdana"/>
          <w:sz w:val="16"/>
          <w:szCs w:val="16"/>
          <w:lang w:val="es-CR"/>
        </w:rPr>
        <w:t>cuestionaron la falta de avances sustanciales en la investigación de los hechos. Además, entre otros argumentos, señalaron que los hechos del caso est</w:t>
      </w:r>
      <w:r>
        <w:rPr>
          <w:rFonts w:ascii="Verdana" w:hAnsi="Verdana"/>
          <w:sz w:val="16"/>
          <w:szCs w:val="16"/>
          <w:lang w:val="es-CR"/>
        </w:rPr>
        <w:t>aban</w:t>
      </w:r>
      <w:r w:rsidRPr="00AE2D23">
        <w:rPr>
          <w:rFonts w:ascii="Verdana" w:hAnsi="Verdana"/>
          <w:sz w:val="16"/>
          <w:szCs w:val="16"/>
          <w:lang w:val="es-CR"/>
        </w:rPr>
        <w:t xml:space="preserve"> siendo investigados bajo el tipo penal de homicidio, lo cual excluye la investigación, procesamiento y sanción de varias de las conductas que conforman la desaparición forzada de personas, entre ellas, la tortura que sufrió el señor Portugal. Observaron que el Estado no </w:t>
      </w:r>
      <w:proofErr w:type="gramStart"/>
      <w:r w:rsidRPr="00AE2D23">
        <w:rPr>
          <w:rFonts w:ascii="Verdana" w:hAnsi="Verdana"/>
          <w:sz w:val="16"/>
          <w:szCs w:val="16"/>
          <w:lang w:val="es-CR"/>
        </w:rPr>
        <w:t>ha</w:t>
      </w:r>
      <w:r>
        <w:rPr>
          <w:rFonts w:ascii="Verdana" w:hAnsi="Verdana"/>
          <w:sz w:val="16"/>
          <w:szCs w:val="16"/>
          <w:lang w:val="es-CR"/>
        </w:rPr>
        <w:t>[</w:t>
      </w:r>
      <w:proofErr w:type="spellStart"/>
      <w:proofErr w:type="gramEnd"/>
      <w:r>
        <w:rPr>
          <w:rFonts w:ascii="Verdana" w:hAnsi="Verdana"/>
          <w:sz w:val="16"/>
          <w:szCs w:val="16"/>
          <w:lang w:val="es-CR"/>
        </w:rPr>
        <w:t>bía</w:t>
      </w:r>
      <w:proofErr w:type="spellEnd"/>
      <w:r>
        <w:rPr>
          <w:rFonts w:ascii="Verdana" w:hAnsi="Verdana"/>
          <w:sz w:val="16"/>
          <w:szCs w:val="16"/>
          <w:lang w:val="es-CR"/>
        </w:rPr>
        <w:t>]</w:t>
      </w:r>
      <w:r w:rsidRPr="00AE2D23">
        <w:rPr>
          <w:rFonts w:ascii="Verdana" w:hAnsi="Verdana"/>
          <w:sz w:val="16"/>
          <w:szCs w:val="16"/>
          <w:lang w:val="es-CR"/>
        </w:rPr>
        <w:t xml:space="preserve"> remitido las copias de las diligencias de investigación realizadas, tal como fue ordenado en la resolución, ni se ha referido a la existencia de líneas de investigación en el proceso que se sigue a nivel interno. Asimismo, destacaron que </w:t>
      </w:r>
      <w:r>
        <w:rPr>
          <w:rFonts w:ascii="Verdana" w:hAnsi="Verdana"/>
          <w:sz w:val="16"/>
          <w:szCs w:val="16"/>
          <w:lang w:val="es-CR"/>
        </w:rPr>
        <w:t>’</w:t>
      </w:r>
      <w:r w:rsidRPr="00AE2D23">
        <w:rPr>
          <w:rFonts w:ascii="Verdana" w:hAnsi="Verdana"/>
          <w:sz w:val="16"/>
          <w:szCs w:val="16"/>
          <w:lang w:val="es-CR"/>
        </w:rPr>
        <w:t>la audiencia que había sido fijada para el 29 de junio de 2011 [no] se llevó a cabo</w:t>
      </w:r>
      <w:r>
        <w:rPr>
          <w:rFonts w:ascii="Verdana" w:hAnsi="Verdana"/>
          <w:sz w:val="16"/>
          <w:szCs w:val="16"/>
          <w:lang w:val="es-CR"/>
        </w:rPr>
        <w:t>’</w:t>
      </w:r>
      <w:r w:rsidRPr="00AE2D23">
        <w:rPr>
          <w:rFonts w:ascii="Verdana" w:hAnsi="Verdana"/>
          <w:sz w:val="16"/>
          <w:szCs w:val="16"/>
          <w:lang w:val="es-CR"/>
        </w:rPr>
        <w:t xml:space="preserve"> y que el proceso de extradición de uno de los imputados ha tenido inconvenientes, puesto que determinada </w:t>
      </w:r>
      <w:r>
        <w:rPr>
          <w:rFonts w:ascii="Verdana" w:hAnsi="Verdana"/>
          <w:sz w:val="16"/>
          <w:szCs w:val="16"/>
          <w:lang w:val="es-CR"/>
        </w:rPr>
        <w:t>’</w:t>
      </w:r>
      <w:r w:rsidRPr="00AE2D23">
        <w:rPr>
          <w:rFonts w:ascii="Verdana" w:hAnsi="Verdana"/>
          <w:sz w:val="16"/>
          <w:szCs w:val="16"/>
          <w:lang w:val="es-CR"/>
        </w:rPr>
        <w:t xml:space="preserve">documentación relativa [al mismo] </w:t>
      </w:r>
      <w:proofErr w:type="spellStart"/>
      <w:proofErr w:type="gramStart"/>
      <w:r w:rsidRPr="00AE2D23">
        <w:rPr>
          <w:rFonts w:ascii="Verdana" w:hAnsi="Verdana"/>
          <w:sz w:val="16"/>
          <w:szCs w:val="16"/>
          <w:lang w:val="es-CR"/>
        </w:rPr>
        <w:t>deb</w:t>
      </w:r>
      <w:proofErr w:type="spellEnd"/>
      <w:r w:rsidRPr="00AE2D23">
        <w:rPr>
          <w:rFonts w:ascii="Verdana" w:hAnsi="Verdana"/>
          <w:sz w:val="16"/>
          <w:szCs w:val="16"/>
          <w:lang w:val="es-CR"/>
        </w:rPr>
        <w:t>[</w:t>
      </w:r>
      <w:proofErr w:type="spellStart"/>
      <w:proofErr w:type="gramEnd"/>
      <w:r w:rsidRPr="00AE2D23">
        <w:rPr>
          <w:rFonts w:ascii="Verdana" w:hAnsi="Verdana"/>
          <w:sz w:val="16"/>
          <w:szCs w:val="16"/>
          <w:lang w:val="es-CR"/>
        </w:rPr>
        <w:t>ió</w:t>
      </w:r>
      <w:proofErr w:type="spellEnd"/>
      <w:r w:rsidRPr="00AE2D23">
        <w:rPr>
          <w:rFonts w:ascii="Verdana" w:hAnsi="Verdana"/>
          <w:sz w:val="16"/>
          <w:szCs w:val="16"/>
          <w:lang w:val="es-CR"/>
        </w:rPr>
        <w:t>] ser devuelta a Francia por omisiones en la traducción, lo que implica […] un nuevo retardo</w:t>
      </w:r>
      <w:r>
        <w:rPr>
          <w:rFonts w:ascii="Verdana" w:hAnsi="Verdana"/>
          <w:sz w:val="16"/>
          <w:szCs w:val="16"/>
          <w:lang w:val="es-CR"/>
        </w:rPr>
        <w:t>’</w:t>
      </w:r>
      <w:r w:rsidRPr="00AE2D23">
        <w:rPr>
          <w:rFonts w:ascii="Verdana" w:hAnsi="Verdana"/>
          <w:sz w:val="16"/>
          <w:szCs w:val="16"/>
          <w:lang w:val="es-CR"/>
        </w:rPr>
        <w:t xml:space="preserve">. Adicionalmente, señalaron que resulta irrazonable el retardo de un año para celebrar una audiencia debido a la falta de notificación a las partes. Finalmente, indicaron que </w:t>
      </w:r>
      <w:r>
        <w:rPr>
          <w:rFonts w:ascii="Verdana" w:hAnsi="Verdana"/>
          <w:sz w:val="16"/>
          <w:szCs w:val="16"/>
          <w:lang w:val="es-CR"/>
        </w:rPr>
        <w:t>’</w:t>
      </w:r>
      <w:r w:rsidRPr="00AE2D23">
        <w:rPr>
          <w:rFonts w:ascii="Verdana" w:hAnsi="Verdana"/>
          <w:sz w:val="16"/>
          <w:szCs w:val="16"/>
          <w:lang w:val="es-CR"/>
        </w:rPr>
        <w:t>los familiares de la víctima no han tenido acceso a las diligencias ni han sido informados de las gestiones que se estarían llevando adelante</w:t>
      </w:r>
      <w:r>
        <w:rPr>
          <w:rFonts w:ascii="Verdana" w:hAnsi="Verdana"/>
          <w:sz w:val="16"/>
          <w:szCs w:val="16"/>
          <w:lang w:val="es-CR"/>
        </w:rPr>
        <w:t>’</w:t>
      </w:r>
      <w:r w:rsidRPr="00AE2D23">
        <w:rPr>
          <w:rFonts w:ascii="Verdana" w:hAnsi="Verdana"/>
          <w:sz w:val="16"/>
          <w:szCs w:val="16"/>
          <w:lang w:val="es-CR"/>
        </w:rPr>
        <w:t>”.</w:t>
      </w:r>
      <w:r>
        <w:rPr>
          <w:rFonts w:ascii="Verdana" w:hAnsi="Verdana"/>
          <w:sz w:val="16"/>
          <w:szCs w:val="16"/>
          <w:lang w:val="es-CR"/>
        </w:rPr>
        <w:t xml:space="preserve"> Por su parte, la Comisión “</w:t>
      </w:r>
      <w:r w:rsidRPr="00AE2D23">
        <w:rPr>
          <w:rFonts w:ascii="Verdana" w:hAnsi="Verdana"/>
          <w:sz w:val="16"/>
          <w:szCs w:val="16"/>
          <w:lang w:val="es-CR"/>
        </w:rPr>
        <w:t xml:space="preserve">hizo observaciones en sentido similar a las de las representantes y, entre otras cuestiones, notó la falta de avances en la investigación y que pasados más de 18 meses de la emisión del auto de 8 de marzo de 2010, el Estado </w:t>
      </w:r>
      <w:proofErr w:type="spellStart"/>
      <w:proofErr w:type="gramStart"/>
      <w:r w:rsidRPr="00AE2D23">
        <w:rPr>
          <w:rFonts w:ascii="Verdana" w:hAnsi="Verdana"/>
          <w:sz w:val="16"/>
          <w:szCs w:val="16"/>
          <w:lang w:val="es-CR"/>
        </w:rPr>
        <w:t>contin</w:t>
      </w:r>
      <w:proofErr w:type="spellEnd"/>
      <w:r>
        <w:rPr>
          <w:rFonts w:ascii="Verdana" w:hAnsi="Verdana"/>
          <w:sz w:val="16"/>
          <w:szCs w:val="16"/>
          <w:lang w:val="es-CR"/>
        </w:rPr>
        <w:t>[</w:t>
      </w:r>
      <w:proofErr w:type="spellStart"/>
      <w:proofErr w:type="gramEnd"/>
      <w:r>
        <w:rPr>
          <w:rFonts w:ascii="Verdana" w:hAnsi="Verdana"/>
          <w:sz w:val="16"/>
          <w:szCs w:val="16"/>
          <w:lang w:val="es-CR"/>
        </w:rPr>
        <w:t>uaba</w:t>
      </w:r>
      <w:proofErr w:type="spellEnd"/>
      <w:r>
        <w:rPr>
          <w:rFonts w:ascii="Verdana" w:hAnsi="Verdana"/>
          <w:sz w:val="16"/>
          <w:szCs w:val="16"/>
          <w:lang w:val="es-CR"/>
        </w:rPr>
        <w:t>]</w:t>
      </w:r>
      <w:r w:rsidRPr="00AE2D23">
        <w:rPr>
          <w:rFonts w:ascii="Verdana" w:hAnsi="Verdana"/>
          <w:sz w:val="16"/>
          <w:szCs w:val="16"/>
          <w:lang w:val="es-CR"/>
        </w:rPr>
        <w:t xml:space="preserve"> informando que no ha</w:t>
      </w:r>
      <w:r>
        <w:rPr>
          <w:rFonts w:ascii="Verdana" w:hAnsi="Verdana"/>
          <w:sz w:val="16"/>
          <w:szCs w:val="16"/>
          <w:lang w:val="es-CR"/>
        </w:rPr>
        <w:t>[</w:t>
      </w:r>
      <w:proofErr w:type="spellStart"/>
      <w:r>
        <w:rPr>
          <w:rFonts w:ascii="Verdana" w:hAnsi="Verdana"/>
          <w:sz w:val="16"/>
          <w:szCs w:val="16"/>
          <w:lang w:val="es-CR"/>
        </w:rPr>
        <w:t>bía</w:t>
      </w:r>
      <w:proofErr w:type="spellEnd"/>
      <w:r>
        <w:rPr>
          <w:rFonts w:ascii="Verdana" w:hAnsi="Verdana"/>
          <w:sz w:val="16"/>
          <w:szCs w:val="16"/>
          <w:lang w:val="es-CR"/>
        </w:rPr>
        <w:t>]</w:t>
      </w:r>
      <w:r w:rsidRPr="00AE2D23">
        <w:rPr>
          <w:rFonts w:ascii="Verdana" w:hAnsi="Verdana"/>
          <w:sz w:val="16"/>
          <w:szCs w:val="16"/>
          <w:lang w:val="es-CR"/>
        </w:rPr>
        <w:t xml:space="preserve"> sido posible comunicarlo a todos los sujetos procesales. La Comisión </w:t>
      </w:r>
      <w:r>
        <w:rPr>
          <w:rFonts w:ascii="Verdana" w:hAnsi="Verdana"/>
          <w:sz w:val="16"/>
          <w:szCs w:val="16"/>
          <w:lang w:val="es-CR"/>
        </w:rPr>
        <w:t>’</w:t>
      </w:r>
      <w:proofErr w:type="spellStart"/>
      <w:r w:rsidRPr="00AE2D23">
        <w:rPr>
          <w:rFonts w:ascii="Verdana" w:hAnsi="Verdana"/>
          <w:sz w:val="16"/>
          <w:szCs w:val="16"/>
          <w:lang w:val="es-CR"/>
        </w:rPr>
        <w:t>estim</w:t>
      </w:r>
      <w:proofErr w:type="spellEnd"/>
      <w:r w:rsidRPr="00AE2D23">
        <w:rPr>
          <w:rFonts w:ascii="Verdana" w:hAnsi="Verdana"/>
          <w:sz w:val="16"/>
          <w:szCs w:val="16"/>
          <w:lang w:val="es-CR"/>
        </w:rPr>
        <w:t>[</w:t>
      </w:r>
      <w:proofErr w:type="spellStart"/>
      <w:r w:rsidRPr="00AE2D23">
        <w:rPr>
          <w:rFonts w:ascii="Verdana" w:hAnsi="Verdana"/>
          <w:sz w:val="16"/>
          <w:szCs w:val="16"/>
          <w:lang w:val="es-CR"/>
        </w:rPr>
        <w:t>ó</w:t>
      </w:r>
      <w:proofErr w:type="spellEnd"/>
      <w:r w:rsidRPr="00AE2D23">
        <w:rPr>
          <w:rFonts w:ascii="Verdana" w:hAnsi="Verdana"/>
          <w:sz w:val="16"/>
          <w:szCs w:val="16"/>
          <w:lang w:val="es-CR"/>
        </w:rPr>
        <w:t>] necesario que el Estado […] explique las razones por las cuales los problemas procesales de notificación o de otra índole impiden el avance de las causas</w:t>
      </w:r>
      <w:r>
        <w:rPr>
          <w:rFonts w:ascii="Verdana" w:hAnsi="Verdana"/>
          <w:sz w:val="16"/>
          <w:szCs w:val="16"/>
          <w:lang w:val="es-CR"/>
        </w:rPr>
        <w:t>’</w:t>
      </w:r>
      <w:r w:rsidRPr="00AE2D23">
        <w:rPr>
          <w:rFonts w:ascii="Verdana" w:hAnsi="Verdana"/>
          <w:sz w:val="16"/>
          <w:szCs w:val="16"/>
          <w:lang w:val="es-CR"/>
        </w:rPr>
        <w:t xml:space="preserve">. Asimismo, señaló que “el Estado […] se abstuvo de informar sobre las razones por las cuales la investigación se limita al delito de homicidio y no se han explorado otras alternativas para que las responsabilidades que eventualmente se establezcan sean acordes con el carácter </w:t>
      </w:r>
      <w:proofErr w:type="spellStart"/>
      <w:r w:rsidRPr="00AE2D23">
        <w:rPr>
          <w:rFonts w:ascii="Verdana" w:hAnsi="Verdana"/>
          <w:sz w:val="16"/>
          <w:szCs w:val="16"/>
          <w:lang w:val="es-CR"/>
        </w:rPr>
        <w:t>pluriofensivo</w:t>
      </w:r>
      <w:proofErr w:type="spellEnd"/>
      <w:r w:rsidRPr="00AE2D23">
        <w:rPr>
          <w:rFonts w:ascii="Verdana" w:hAnsi="Verdana"/>
          <w:sz w:val="16"/>
          <w:szCs w:val="16"/>
          <w:lang w:val="es-CR"/>
        </w:rPr>
        <w:t xml:space="preserve"> y continuado durante décadas de desaparición forzada del señor Portugal</w:t>
      </w:r>
      <w:r>
        <w:rPr>
          <w:rFonts w:ascii="Verdana" w:hAnsi="Verdana"/>
          <w:sz w:val="16"/>
          <w:szCs w:val="16"/>
          <w:lang w:val="es-CR"/>
        </w:rPr>
        <w:t>’</w:t>
      </w:r>
      <w:r w:rsidRPr="00AE2D23">
        <w:rPr>
          <w:rFonts w:ascii="Verdana" w:hAnsi="Verdana"/>
          <w:sz w:val="16"/>
          <w:szCs w:val="16"/>
          <w:lang w:val="es-CR"/>
        </w:rPr>
        <w:t xml:space="preserve">. La Comisión </w:t>
      </w:r>
      <w:r>
        <w:rPr>
          <w:rFonts w:ascii="Verdana" w:hAnsi="Verdana"/>
          <w:sz w:val="16"/>
          <w:szCs w:val="16"/>
          <w:lang w:val="es-CR"/>
        </w:rPr>
        <w:t xml:space="preserve">sostuvo </w:t>
      </w:r>
      <w:r w:rsidRPr="00AE2D23">
        <w:rPr>
          <w:rFonts w:ascii="Verdana" w:hAnsi="Verdana"/>
          <w:sz w:val="16"/>
          <w:szCs w:val="16"/>
          <w:lang w:val="es-CR"/>
        </w:rPr>
        <w:t xml:space="preserve">que </w:t>
      </w:r>
      <w:r>
        <w:rPr>
          <w:rFonts w:ascii="Verdana" w:hAnsi="Verdana"/>
          <w:sz w:val="16"/>
          <w:szCs w:val="16"/>
          <w:lang w:val="es-CR"/>
        </w:rPr>
        <w:t>’</w:t>
      </w:r>
      <w:r w:rsidRPr="00AE2D23">
        <w:rPr>
          <w:rFonts w:ascii="Verdana" w:hAnsi="Verdana"/>
          <w:sz w:val="16"/>
          <w:szCs w:val="16"/>
          <w:lang w:val="es-CR"/>
        </w:rPr>
        <w:t>el Estado no está dando cumplimiento a este extremo de la Sentencia con la diligencia necesaria para esclarecer adecuadamente los hechos y establecer las responsabilidades que correspondan</w:t>
      </w:r>
      <w:r>
        <w:rPr>
          <w:rFonts w:ascii="Verdana" w:hAnsi="Verdana"/>
          <w:sz w:val="16"/>
          <w:szCs w:val="16"/>
          <w:lang w:val="es-CR"/>
        </w:rPr>
        <w:t>’</w:t>
      </w:r>
      <w:r w:rsidRPr="00AE2D23">
        <w:rPr>
          <w:rFonts w:ascii="Verdana" w:hAnsi="Verdana"/>
          <w:sz w:val="16"/>
          <w:szCs w:val="16"/>
          <w:lang w:val="es-CR"/>
        </w:rPr>
        <w:t>”</w:t>
      </w:r>
      <w:r>
        <w:rPr>
          <w:rFonts w:ascii="Verdana" w:hAnsi="Verdana"/>
          <w:sz w:val="16"/>
          <w:szCs w:val="16"/>
          <w:lang w:val="es-CR"/>
        </w:rPr>
        <w:t>.</w:t>
      </w:r>
    </w:p>
  </w:footnote>
  <w:footnote w:id="16">
    <w:p w14:paraId="17212EAB" w14:textId="1AF803D2" w:rsidR="00FF2564" w:rsidRPr="001E6510" w:rsidRDefault="00FF2564" w:rsidP="001E6510">
      <w:pPr>
        <w:pStyle w:val="FootnoteText"/>
        <w:jc w:val="both"/>
        <w:rPr>
          <w:rFonts w:ascii="Verdana" w:hAnsi="Verdana"/>
          <w:sz w:val="16"/>
          <w:szCs w:val="16"/>
          <w:lang w:val="es-CR"/>
        </w:rPr>
      </w:pPr>
      <w:r w:rsidRPr="001E6510">
        <w:rPr>
          <w:rStyle w:val="FootnoteReference"/>
          <w:rFonts w:ascii="Verdana" w:hAnsi="Verdana"/>
          <w:sz w:val="16"/>
          <w:szCs w:val="16"/>
        </w:rPr>
        <w:footnoteRef/>
      </w:r>
      <w:r w:rsidRPr="001E6510">
        <w:rPr>
          <w:rFonts w:ascii="Verdana" w:hAnsi="Verdana"/>
          <w:sz w:val="16"/>
          <w:szCs w:val="16"/>
          <w:lang w:val="es-CR"/>
        </w:rPr>
        <w:t xml:space="preserve"> </w:t>
      </w:r>
      <w:r w:rsidRPr="001E6510">
        <w:rPr>
          <w:rFonts w:ascii="Verdana" w:hAnsi="Verdana"/>
          <w:sz w:val="16"/>
          <w:szCs w:val="16"/>
          <w:lang w:val="es-CR"/>
        </w:rPr>
        <w:tab/>
        <w:t xml:space="preserve">La audiencia habría estado pautada para el 21 de mayo de 2015, para el 4 de julio de 2016, y finalmente para el 17 de noviembre de 2017. </w:t>
      </w:r>
      <w:r>
        <w:rPr>
          <w:rFonts w:ascii="Verdana" w:hAnsi="Verdana"/>
          <w:sz w:val="16"/>
          <w:szCs w:val="16"/>
          <w:lang w:val="es-CR"/>
        </w:rPr>
        <w:t xml:space="preserve"> </w:t>
      </w:r>
      <w:r w:rsidRPr="001E6510">
        <w:rPr>
          <w:rFonts w:ascii="Verdana" w:hAnsi="Verdana"/>
          <w:sz w:val="16"/>
          <w:szCs w:val="16"/>
          <w:lang w:val="es-CR"/>
        </w:rPr>
        <w:t xml:space="preserve">En septiembre de 2015, el Estado informó que estaba pendiente de resolver un incidente “por falta de jurisdicción y competencia”, por el cual </w:t>
      </w:r>
      <w:r>
        <w:rPr>
          <w:rFonts w:ascii="Verdana" w:hAnsi="Verdana"/>
          <w:sz w:val="16"/>
          <w:szCs w:val="16"/>
          <w:lang w:val="es-CR"/>
        </w:rPr>
        <w:t xml:space="preserve">se </w:t>
      </w:r>
      <w:r w:rsidRPr="001E6510">
        <w:rPr>
          <w:rFonts w:ascii="Verdana" w:hAnsi="Verdana"/>
          <w:sz w:val="16"/>
          <w:szCs w:val="16"/>
          <w:lang w:val="es-CR"/>
        </w:rPr>
        <w:t xml:space="preserve">solicitaba la nulidad del proceso </w:t>
      </w:r>
      <w:r>
        <w:rPr>
          <w:rFonts w:ascii="Verdana" w:hAnsi="Verdana"/>
          <w:sz w:val="16"/>
          <w:szCs w:val="16"/>
          <w:lang w:val="es-CR"/>
        </w:rPr>
        <w:t xml:space="preserve">con base en que </w:t>
      </w:r>
      <w:r w:rsidRPr="001E6510">
        <w:rPr>
          <w:rFonts w:ascii="Verdana" w:hAnsi="Verdana"/>
          <w:sz w:val="16"/>
          <w:szCs w:val="16"/>
          <w:lang w:val="es-CR"/>
        </w:rPr>
        <w:t xml:space="preserve">Panamá no podría ejercer jurisdicción sobre el señor Noriega ya que es un caso distinto </w:t>
      </w:r>
      <w:r>
        <w:rPr>
          <w:rFonts w:ascii="Verdana" w:hAnsi="Verdana"/>
          <w:sz w:val="16"/>
          <w:szCs w:val="16"/>
          <w:lang w:val="es-CR"/>
        </w:rPr>
        <w:t xml:space="preserve">al caso por </w:t>
      </w:r>
      <w:r w:rsidRPr="001E6510">
        <w:rPr>
          <w:rFonts w:ascii="Verdana" w:hAnsi="Verdana"/>
          <w:sz w:val="16"/>
          <w:szCs w:val="16"/>
          <w:lang w:val="es-CR"/>
        </w:rPr>
        <w:t xml:space="preserve">el cual </w:t>
      </w:r>
      <w:r>
        <w:rPr>
          <w:rFonts w:ascii="Verdana" w:hAnsi="Verdana"/>
          <w:sz w:val="16"/>
          <w:szCs w:val="16"/>
          <w:lang w:val="es-CR"/>
        </w:rPr>
        <w:t xml:space="preserve">se solicitó </w:t>
      </w:r>
      <w:r w:rsidRPr="001E6510">
        <w:rPr>
          <w:rFonts w:ascii="Verdana" w:hAnsi="Verdana"/>
          <w:sz w:val="16"/>
          <w:szCs w:val="16"/>
          <w:lang w:val="es-CR"/>
        </w:rPr>
        <w:t>su extradición a Francia.</w:t>
      </w:r>
      <w:r>
        <w:rPr>
          <w:rFonts w:ascii="Verdana" w:hAnsi="Verdana"/>
          <w:sz w:val="16"/>
          <w:szCs w:val="16"/>
          <w:lang w:val="es-CR"/>
        </w:rPr>
        <w:t xml:space="preserve"> Según el Estado, por esta razón se suspendió la audiencia del 21 de mayo de 2015. En lo que respecta al diferimiento de la audiencia del 4 de julio, los representantes afirmaron que no conocían las razones del diferimiento, sin que dicha afirmación haya sido controvertida por el Estado posteriormente. </w:t>
      </w:r>
    </w:p>
  </w:footnote>
  <w:footnote w:id="17">
    <w:p w14:paraId="6F0813C9" w14:textId="47956647" w:rsidR="00FF2564" w:rsidRPr="000C4186" w:rsidRDefault="00FF2564" w:rsidP="000C4186">
      <w:pPr>
        <w:pStyle w:val="FootnoteText"/>
        <w:jc w:val="both"/>
        <w:rPr>
          <w:rFonts w:ascii="Verdana" w:hAnsi="Verdana"/>
          <w:sz w:val="16"/>
          <w:szCs w:val="16"/>
          <w:lang w:val="es-CR"/>
        </w:rPr>
      </w:pPr>
      <w:r w:rsidRPr="000C4186">
        <w:rPr>
          <w:rStyle w:val="FootnoteReference"/>
          <w:rFonts w:ascii="Verdana" w:hAnsi="Verdana"/>
          <w:sz w:val="16"/>
          <w:szCs w:val="16"/>
        </w:rPr>
        <w:footnoteRef/>
      </w:r>
      <w:r w:rsidRPr="000C4186">
        <w:rPr>
          <w:rFonts w:ascii="Verdana" w:hAnsi="Verdana"/>
          <w:sz w:val="16"/>
          <w:szCs w:val="16"/>
          <w:lang w:val="es-CR"/>
        </w:rPr>
        <w:t xml:space="preserve"> </w:t>
      </w:r>
      <w:r w:rsidRPr="000C4186">
        <w:rPr>
          <w:rFonts w:ascii="Verdana" w:hAnsi="Verdana"/>
          <w:sz w:val="16"/>
          <w:szCs w:val="16"/>
          <w:lang w:val="es-CR"/>
        </w:rPr>
        <w:tab/>
        <w:t>Además del incidente de “falta de jurisdicción y competencia” (</w:t>
      </w:r>
      <w:r w:rsidRPr="000C4186">
        <w:rPr>
          <w:rFonts w:ascii="Verdana" w:hAnsi="Verdana"/>
          <w:i/>
          <w:sz w:val="16"/>
          <w:szCs w:val="16"/>
          <w:lang w:val="es-CR"/>
        </w:rPr>
        <w:t>supra</w:t>
      </w:r>
      <w:r w:rsidRPr="000C4186">
        <w:rPr>
          <w:rFonts w:ascii="Verdana" w:hAnsi="Verdana"/>
          <w:sz w:val="16"/>
          <w:szCs w:val="16"/>
          <w:lang w:val="es-CR"/>
        </w:rPr>
        <w:t xml:space="preserve"> nota </w:t>
      </w:r>
      <w:r>
        <w:rPr>
          <w:rFonts w:ascii="Verdana" w:hAnsi="Verdana"/>
          <w:sz w:val="16"/>
          <w:szCs w:val="16"/>
          <w:lang w:val="es-CR"/>
        </w:rPr>
        <w:fldChar w:fldCharType="begin"/>
      </w:r>
      <w:r>
        <w:rPr>
          <w:rFonts w:ascii="Verdana" w:hAnsi="Verdana"/>
          <w:sz w:val="16"/>
          <w:szCs w:val="16"/>
          <w:lang w:val="es-CR"/>
        </w:rPr>
        <w:instrText xml:space="preserve"> NOTEREF _Ref498680845 \h </w:instrText>
      </w:r>
      <w:r>
        <w:rPr>
          <w:rFonts w:ascii="Verdana" w:hAnsi="Verdana"/>
          <w:sz w:val="16"/>
          <w:szCs w:val="16"/>
          <w:lang w:val="es-CR"/>
        </w:rPr>
      </w:r>
      <w:r>
        <w:rPr>
          <w:rFonts w:ascii="Verdana" w:hAnsi="Verdana"/>
          <w:sz w:val="16"/>
          <w:szCs w:val="16"/>
          <w:lang w:val="es-CR"/>
        </w:rPr>
        <w:fldChar w:fldCharType="separate"/>
      </w:r>
      <w:r w:rsidR="00360B00">
        <w:rPr>
          <w:rFonts w:ascii="Verdana" w:hAnsi="Verdana"/>
          <w:sz w:val="16"/>
          <w:szCs w:val="16"/>
          <w:lang w:val="es-CR"/>
        </w:rPr>
        <w:t>15</w:t>
      </w:r>
      <w:r>
        <w:rPr>
          <w:rFonts w:ascii="Verdana" w:hAnsi="Verdana"/>
          <w:sz w:val="16"/>
          <w:szCs w:val="16"/>
          <w:lang w:val="es-CR"/>
        </w:rPr>
        <w:fldChar w:fldCharType="end"/>
      </w:r>
      <w:r w:rsidRPr="000C4186">
        <w:rPr>
          <w:rFonts w:ascii="Verdana" w:hAnsi="Verdana"/>
          <w:sz w:val="16"/>
          <w:szCs w:val="16"/>
          <w:lang w:val="es-CR"/>
        </w:rPr>
        <w:t xml:space="preserve">), entre 2013 y </w:t>
      </w:r>
      <w:r>
        <w:rPr>
          <w:rFonts w:ascii="Verdana" w:hAnsi="Verdana"/>
          <w:sz w:val="16"/>
          <w:szCs w:val="16"/>
          <w:lang w:val="es-CR"/>
        </w:rPr>
        <w:t>2016</w:t>
      </w:r>
      <w:r w:rsidRPr="000C4186">
        <w:rPr>
          <w:rFonts w:ascii="Verdana" w:hAnsi="Verdana"/>
          <w:sz w:val="16"/>
          <w:szCs w:val="16"/>
          <w:lang w:val="es-CR"/>
        </w:rPr>
        <w:t xml:space="preserve"> la representación legal del señor Noriega habría ejercido al menos cinco recursos mediante los cuales solicitó la sustitución de su medida privativa de libertad por otra medida menos severa. </w:t>
      </w:r>
      <w:r>
        <w:rPr>
          <w:rFonts w:ascii="Verdana" w:hAnsi="Verdana"/>
          <w:sz w:val="16"/>
          <w:szCs w:val="16"/>
          <w:lang w:val="es-CR"/>
        </w:rPr>
        <w:t xml:space="preserve">En la última oportunidad, mediante resolución de 6 de enero de 2017, se concedió arresto domiciliario al señor Noriega por tres semanas antes de una operación que tendría pautada para febrero de 2017. Finalmente, la defensa legal del señor Noriega también ejerció recursos de apelación en contra de un auto de 26 de septiembre de 2016 mediante el cual el tribunal que conocía la causa se pronunció sobre determinadas pruebas. </w:t>
      </w:r>
    </w:p>
  </w:footnote>
  <w:footnote w:id="18">
    <w:p w14:paraId="23EBF2AB" w14:textId="3BAF5AF8" w:rsidR="00FF2564" w:rsidRPr="00772A2D" w:rsidRDefault="00FF2564" w:rsidP="00DE2FA4">
      <w:pPr>
        <w:pStyle w:val="FootnoteText"/>
        <w:jc w:val="both"/>
        <w:rPr>
          <w:rFonts w:ascii="Verdana" w:hAnsi="Verdana"/>
          <w:sz w:val="16"/>
          <w:szCs w:val="16"/>
          <w:lang w:val="es-CR"/>
        </w:rPr>
      </w:pPr>
      <w:r>
        <w:rPr>
          <w:rStyle w:val="FootnoteReference"/>
          <w:rFonts w:ascii="Verdana" w:hAnsi="Verdana"/>
          <w:sz w:val="16"/>
          <w:szCs w:val="16"/>
        </w:rPr>
        <w:footnoteRef/>
      </w:r>
      <w:r w:rsidRPr="00DE2FA4">
        <w:rPr>
          <w:rFonts w:ascii="Verdana" w:hAnsi="Verdana"/>
          <w:sz w:val="16"/>
          <w:szCs w:val="16"/>
          <w:lang w:val="es-CR"/>
        </w:rPr>
        <w:t xml:space="preserve"> </w:t>
      </w:r>
      <w:r w:rsidRPr="00DE2FA4">
        <w:rPr>
          <w:rFonts w:ascii="Verdana" w:hAnsi="Verdana"/>
          <w:sz w:val="16"/>
          <w:szCs w:val="16"/>
          <w:lang w:val="es-CR"/>
        </w:rPr>
        <w:tab/>
      </w:r>
      <w:r>
        <w:rPr>
          <w:rFonts w:ascii="Verdana" w:hAnsi="Verdana"/>
          <w:i/>
          <w:sz w:val="16"/>
          <w:szCs w:val="16"/>
          <w:lang w:val="es-CR"/>
        </w:rPr>
        <w:t xml:space="preserve">Cfr. </w:t>
      </w:r>
      <w:r>
        <w:rPr>
          <w:rFonts w:ascii="Verdana" w:hAnsi="Verdana"/>
          <w:bCs/>
          <w:i/>
          <w:sz w:val="16"/>
          <w:szCs w:val="16"/>
          <w:lang w:val="es-UY"/>
        </w:rPr>
        <w:t xml:space="preserve">Caso </w:t>
      </w:r>
      <w:proofErr w:type="spellStart"/>
      <w:r>
        <w:rPr>
          <w:rFonts w:ascii="Verdana" w:hAnsi="Verdana"/>
          <w:bCs/>
          <w:i/>
          <w:sz w:val="16"/>
          <w:szCs w:val="16"/>
          <w:lang w:val="es-UY"/>
        </w:rPr>
        <w:t>Chitay</w:t>
      </w:r>
      <w:proofErr w:type="spellEnd"/>
      <w:r>
        <w:rPr>
          <w:rFonts w:ascii="Verdana" w:hAnsi="Verdana"/>
          <w:bCs/>
          <w:i/>
          <w:sz w:val="16"/>
          <w:szCs w:val="16"/>
          <w:lang w:val="es-UY"/>
        </w:rPr>
        <w:t xml:space="preserve"> </w:t>
      </w:r>
      <w:proofErr w:type="spellStart"/>
      <w:r>
        <w:rPr>
          <w:rFonts w:ascii="Verdana" w:hAnsi="Verdana"/>
          <w:bCs/>
          <w:i/>
          <w:sz w:val="16"/>
          <w:szCs w:val="16"/>
          <w:lang w:val="es-UY"/>
        </w:rPr>
        <w:t>Nech</w:t>
      </w:r>
      <w:proofErr w:type="spellEnd"/>
      <w:r>
        <w:rPr>
          <w:rFonts w:ascii="Verdana" w:hAnsi="Verdana"/>
          <w:bCs/>
          <w:i/>
          <w:sz w:val="16"/>
          <w:szCs w:val="16"/>
          <w:lang w:val="es-UY"/>
        </w:rPr>
        <w:t xml:space="preserve"> y otros Vs. Guatemala. Excepciones Preliminares, Fondo, Reparaciones y Costas. </w:t>
      </w:r>
      <w:r w:rsidRPr="00DE2FA4">
        <w:rPr>
          <w:rFonts w:ascii="Verdana" w:hAnsi="Verdana"/>
          <w:sz w:val="16"/>
          <w:szCs w:val="16"/>
          <w:lang w:val="es-CR"/>
        </w:rPr>
        <w:t>Sentencia</w:t>
      </w:r>
      <w:r>
        <w:rPr>
          <w:rFonts w:ascii="Verdana" w:hAnsi="Verdana"/>
          <w:bCs/>
          <w:sz w:val="16"/>
          <w:szCs w:val="16"/>
          <w:lang w:val="es-UY"/>
        </w:rPr>
        <w:t xml:space="preserve"> de 25 de mayo de 2010. Serie C No. 212, párr. 196</w:t>
      </w:r>
      <w:r>
        <w:rPr>
          <w:rFonts w:ascii="Verdana" w:hAnsi="Verdana"/>
          <w:sz w:val="16"/>
          <w:szCs w:val="16"/>
          <w:lang w:val="es-CR"/>
        </w:rPr>
        <w:t xml:space="preserve">, y </w:t>
      </w:r>
      <w:r w:rsidRPr="00772A2D">
        <w:rPr>
          <w:rFonts w:ascii="Verdana" w:hAnsi="Verdana"/>
          <w:i/>
          <w:sz w:val="16"/>
          <w:szCs w:val="16"/>
          <w:lang w:val="es-CR"/>
        </w:rPr>
        <w:t>12 Casos Guatemaltecos Vs. Guatemala</w:t>
      </w:r>
      <w:r w:rsidRPr="00772A2D">
        <w:rPr>
          <w:rFonts w:ascii="Verdana" w:hAnsi="Verdana"/>
          <w:sz w:val="16"/>
          <w:szCs w:val="16"/>
          <w:lang w:val="es-CR"/>
        </w:rPr>
        <w:t xml:space="preserve">. </w:t>
      </w:r>
      <w:r w:rsidRPr="002D69E1">
        <w:rPr>
          <w:rFonts w:ascii="Verdana" w:hAnsi="Verdana"/>
          <w:i/>
          <w:sz w:val="16"/>
          <w:szCs w:val="16"/>
          <w:lang w:val="es-CR"/>
        </w:rPr>
        <w:t>Supervisión de Cumplimiento de Sentencia</w:t>
      </w:r>
      <w:r w:rsidRPr="00772A2D">
        <w:rPr>
          <w:rFonts w:ascii="Verdana" w:hAnsi="Verdana"/>
          <w:sz w:val="16"/>
          <w:szCs w:val="16"/>
          <w:lang w:val="es-CR"/>
        </w:rPr>
        <w:t>. Resolución de la Corte Interamericana de Derechos Humanos de 24 de noviembre de 2015</w:t>
      </w:r>
      <w:r>
        <w:rPr>
          <w:rFonts w:ascii="Verdana" w:hAnsi="Verdana"/>
          <w:sz w:val="16"/>
          <w:szCs w:val="16"/>
          <w:lang w:val="es-CR"/>
        </w:rPr>
        <w:t>, Considerando 172.</w:t>
      </w:r>
    </w:p>
  </w:footnote>
  <w:footnote w:id="19">
    <w:p w14:paraId="0E1F9FD5" w14:textId="75FC83D5" w:rsidR="00FF2564" w:rsidRPr="00994648" w:rsidRDefault="00FF2564" w:rsidP="006E1FAB">
      <w:pPr>
        <w:pStyle w:val="FootnoteText"/>
        <w:jc w:val="both"/>
        <w:rPr>
          <w:rFonts w:ascii="Verdana" w:hAnsi="Verdana"/>
          <w:sz w:val="16"/>
          <w:szCs w:val="16"/>
          <w:lang w:val="es-CR"/>
        </w:rPr>
      </w:pPr>
      <w:r w:rsidRPr="00994648">
        <w:rPr>
          <w:rStyle w:val="FootnoteReference"/>
          <w:rFonts w:ascii="Verdana" w:hAnsi="Verdana"/>
          <w:sz w:val="16"/>
          <w:szCs w:val="16"/>
        </w:rPr>
        <w:footnoteRef/>
      </w:r>
      <w:r w:rsidRPr="00994648">
        <w:rPr>
          <w:rFonts w:ascii="Verdana" w:hAnsi="Verdana"/>
          <w:sz w:val="16"/>
          <w:szCs w:val="16"/>
          <w:lang w:val="es-CR"/>
        </w:rPr>
        <w:t xml:space="preserve"> </w:t>
      </w:r>
      <w:r w:rsidRPr="00994648">
        <w:rPr>
          <w:rFonts w:ascii="Verdana" w:hAnsi="Verdana"/>
          <w:sz w:val="16"/>
          <w:szCs w:val="16"/>
          <w:lang w:val="es-CR"/>
        </w:rPr>
        <w:tab/>
      </w:r>
      <w:r>
        <w:rPr>
          <w:rFonts w:ascii="Verdana" w:hAnsi="Verdana"/>
          <w:sz w:val="16"/>
          <w:szCs w:val="16"/>
          <w:lang w:val="es-CR"/>
        </w:rPr>
        <w:t>Al respecto, en su Resolución de 2010, la Corte tomó en consideración “una nota de la Ministra de Salud de 2009, en la que se indicó que el Estado ’</w:t>
      </w:r>
      <w:r w:rsidRPr="006E1FAB">
        <w:rPr>
          <w:rFonts w:ascii="Verdana" w:hAnsi="Verdana"/>
          <w:sz w:val="16"/>
          <w:szCs w:val="16"/>
          <w:lang w:val="es-CR"/>
        </w:rPr>
        <w:t>no tiene un sistema de Consulta Externa y no cuenta con personal</w:t>
      </w:r>
      <w:r>
        <w:rPr>
          <w:rFonts w:ascii="Verdana" w:hAnsi="Verdana"/>
          <w:sz w:val="16"/>
          <w:szCs w:val="16"/>
          <w:lang w:val="es-CR"/>
        </w:rPr>
        <w:t xml:space="preserve"> </w:t>
      </w:r>
      <w:r w:rsidRPr="006E1FAB">
        <w:rPr>
          <w:rFonts w:ascii="Verdana" w:hAnsi="Verdana"/>
          <w:sz w:val="16"/>
          <w:szCs w:val="16"/>
          <w:lang w:val="es-CR"/>
        </w:rPr>
        <w:t>entrenado y especializado en víctimas de graves violaciones de derechos humanos para</w:t>
      </w:r>
      <w:r>
        <w:rPr>
          <w:rFonts w:ascii="Verdana" w:hAnsi="Verdana"/>
          <w:sz w:val="16"/>
          <w:szCs w:val="16"/>
          <w:lang w:val="es-CR"/>
        </w:rPr>
        <w:t xml:space="preserve"> </w:t>
      </w:r>
      <w:r w:rsidRPr="006E1FAB">
        <w:rPr>
          <w:rFonts w:ascii="Verdana" w:hAnsi="Verdana"/>
          <w:sz w:val="16"/>
          <w:szCs w:val="16"/>
          <w:lang w:val="es-CR"/>
        </w:rPr>
        <w:t>ofrecer los servicios tal como recomienda la Corte</w:t>
      </w:r>
      <w:r>
        <w:rPr>
          <w:rFonts w:ascii="Verdana" w:hAnsi="Verdana"/>
          <w:sz w:val="16"/>
          <w:szCs w:val="16"/>
          <w:lang w:val="es-CR"/>
        </w:rPr>
        <w:t>’</w:t>
      </w:r>
      <w:r w:rsidRPr="006E1FAB">
        <w:rPr>
          <w:rFonts w:ascii="Verdana" w:hAnsi="Verdana"/>
          <w:sz w:val="16"/>
          <w:szCs w:val="16"/>
          <w:lang w:val="es-CR"/>
        </w:rPr>
        <w:t xml:space="preserve"> y que al consultar a la Organización</w:t>
      </w:r>
      <w:r>
        <w:rPr>
          <w:rFonts w:ascii="Verdana" w:hAnsi="Verdana"/>
          <w:sz w:val="16"/>
          <w:szCs w:val="16"/>
          <w:lang w:val="es-CR"/>
        </w:rPr>
        <w:t xml:space="preserve"> </w:t>
      </w:r>
      <w:r w:rsidRPr="006E1FAB">
        <w:rPr>
          <w:rFonts w:ascii="Verdana" w:hAnsi="Verdana"/>
          <w:sz w:val="16"/>
          <w:szCs w:val="16"/>
          <w:lang w:val="es-CR"/>
        </w:rPr>
        <w:t>Panamericana de la Salud</w:t>
      </w:r>
      <w:r>
        <w:rPr>
          <w:rFonts w:ascii="Verdana" w:hAnsi="Verdana"/>
          <w:sz w:val="16"/>
          <w:szCs w:val="16"/>
          <w:lang w:val="es-CR"/>
        </w:rPr>
        <w:t xml:space="preserve"> [OPS]</w:t>
      </w:r>
      <w:r w:rsidRPr="006E1FAB">
        <w:rPr>
          <w:rFonts w:ascii="Verdana" w:hAnsi="Verdana"/>
          <w:sz w:val="16"/>
          <w:szCs w:val="16"/>
          <w:lang w:val="es-CR"/>
        </w:rPr>
        <w:t xml:space="preserve">, el Estado habría recibido como respuesta que </w:t>
      </w:r>
      <w:r>
        <w:rPr>
          <w:rFonts w:ascii="Verdana" w:hAnsi="Verdana"/>
          <w:sz w:val="16"/>
          <w:szCs w:val="16"/>
          <w:lang w:val="es-CR"/>
        </w:rPr>
        <w:t>’</w:t>
      </w:r>
      <w:r w:rsidRPr="006E1FAB">
        <w:rPr>
          <w:rFonts w:ascii="Verdana" w:hAnsi="Verdana"/>
          <w:sz w:val="16"/>
          <w:szCs w:val="16"/>
          <w:lang w:val="es-CR"/>
        </w:rPr>
        <w:t>las personas</w:t>
      </w:r>
      <w:r>
        <w:rPr>
          <w:rFonts w:ascii="Verdana" w:hAnsi="Verdana"/>
          <w:sz w:val="16"/>
          <w:szCs w:val="16"/>
          <w:lang w:val="es-CR"/>
        </w:rPr>
        <w:t xml:space="preserve"> </w:t>
      </w:r>
      <w:r w:rsidRPr="006E1FAB">
        <w:rPr>
          <w:rFonts w:ascii="Verdana" w:hAnsi="Verdana"/>
          <w:sz w:val="16"/>
          <w:szCs w:val="16"/>
          <w:lang w:val="es-CR"/>
        </w:rPr>
        <w:t>que han sufrido violencia en diferentes modalidades, [podrían] se[r] atendidas en el</w:t>
      </w:r>
      <w:r>
        <w:rPr>
          <w:rFonts w:ascii="Verdana" w:hAnsi="Verdana"/>
          <w:sz w:val="16"/>
          <w:szCs w:val="16"/>
          <w:lang w:val="es-CR"/>
        </w:rPr>
        <w:t xml:space="preserve"> </w:t>
      </w:r>
      <w:r w:rsidRPr="006E1FAB">
        <w:rPr>
          <w:rFonts w:ascii="Verdana" w:hAnsi="Verdana"/>
          <w:sz w:val="16"/>
          <w:szCs w:val="16"/>
          <w:lang w:val="es-CR"/>
        </w:rPr>
        <w:t>marco del sistema de salud en los servicios de salud mental y acorde con el programa</w:t>
      </w:r>
      <w:r>
        <w:rPr>
          <w:rFonts w:ascii="Verdana" w:hAnsi="Verdana"/>
          <w:sz w:val="16"/>
          <w:szCs w:val="16"/>
          <w:lang w:val="es-CR"/>
        </w:rPr>
        <w:t xml:space="preserve"> </w:t>
      </w:r>
      <w:r w:rsidRPr="006E1FAB">
        <w:rPr>
          <w:rFonts w:ascii="Verdana" w:hAnsi="Verdana"/>
          <w:sz w:val="16"/>
          <w:szCs w:val="16"/>
          <w:lang w:val="es-CR"/>
        </w:rPr>
        <w:t>regional de salud mental de la [OPS]</w:t>
      </w:r>
      <w:r>
        <w:rPr>
          <w:rFonts w:ascii="Verdana" w:hAnsi="Verdana"/>
          <w:sz w:val="16"/>
          <w:szCs w:val="16"/>
          <w:lang w:val="es-CR"/>
        </w:rPr>
        <w:t xml:space="preserve">’”. Con base en ello, la Corte requirió en esa oportunidad “mayor detalle con relación a lo informado […] en cuanto a la viabilidad de lo indicado por la Organización Panamericana de la Salud”. El Estado, con posterioridad a la Resolución de 2010, no presentó información al respecto, por lo que la Corte reiteró dicha solicitud en su Resolución de 2012. </w:t>
      </w:r>
    </w:p>
  </w:footnote>
  <w:footnote w:id="20">
    <w:p w14:paraId="3B5FF193" w14:textId="4DCD2399" w:rsidR="00FF2564" w:rsidRPr="006F5B50" w:rsidRDefault="00FF2564" w:rsidP="006F5B50">
      <w:pPr>
        <w:pStyle w:val="FootnoteText"/>
        <w:jc w:val="both"/>
        <w:rPr>
          <w:rFonts w:ascii="Verdana" w:hAnsi="Verdana"/>
          <w:sz w:val="16"/>
          <w:szCs w:val="16"/>
          <w:lang w:val="es-CR"/>
        </w:rPr>
      </w:pPr>
      <w:r w:rsidRPr="006F5B50">
        <w:rPr>
          <w:rStyle w:val="FootnoteReference"/>
          <w:rFonts w:ascii="Verdana" w:hAnsi="Verdana"/>
          <w:sz w:val="16"/>
          <w:szCs w:val="16"/>
        </w:rPr>
        <w:footnoteRef/>
      </w:r>
      <w:r w:rsidRPr="006F5B50">
        <w:rPr>
          <w:rFonts w:ascii="Verdana" w:hAnsi="Verdana"/>
          <w:sz w:val="16"/>
          <w:szCs w:val="16"/>
          <w:lang w:val="es-CR"/>
        </w:rPr>
        <w:t xml:space="preserve"> </w:t>
      </w:r>
      <w:r w:rsidRPr="006F5B50">
        <w:rPr>
          <w:rFonts w:ascii="Verdana" w:hAnsi="Verdana"/>
          <w:sz w:val="16"/>
          <w:szCs w:val="16"/>
          <w:lang w:val="es-CR"/>
        </w:rPr>
        <w:tab/>
        <w:t>El Estado igualmente informó sobre otras citas</w:t>
      </w:r>
      <w:r>
        <w:rPr>
          <w:rFonts w:ascii="Verdana" w:hAnsi="Verdana"/>
          <w:sz w:val="16"/>
          <w:szCs w:val="16"/>
          <w:lang w:val="es-CR"/>
        </w:rPr>
        <w:t xml:space="preserve"> </w:t>
      </w:r>
      <w:r w:rsidRPr="006F5B50">
        <w:rPr>
          <w:rFonts w:ascii="Verdana" w:hAnsi="Verdana"/>
          <w:sz w:val="16"/>
          <w:szCs w:val="16"/>
          <w:lang w:val="es-CR"/>
        </w:rPr>
        <w:t xml:space="preserve">médicas </w:t>
      </w:r>
      <w:r>
        <w:rPr>
          <w:rFonts w:ascii="Verdana" w:hAnsi="Verdana"/>
          <w:sz w:val="16"/>
          <w:szCs w:val="16"/>
          <w:lang w:val="es-CR"/>
        </w:rPr>
        <w:t>a las que acudieron</w:t>
      </w:r>
      <w:r w:rsidRPr="006F5B50">
        <w:rPr>
          <w:rFonts w:ascii="Verdana" w:hAnsi="Verdana"/>
          <w:sz w:val="16"/>
          <w:szCs w:val="16"/>
          <w:lang w:val="es-CR"/>
        </w:rPr>
        <w:t xml:space="preserve"> </w:t>
      </w:r>
      <w:r>
        <w:rPr>
          <w:rFonts w:ascii="Verdana" w:hAnsi="Verdana"/>
          <w:sz w:val="16"/>
          <w:szCs w:val="16"/>
          <w:lang w:val="es-CR"/>
        </w:rPr>
        <w:t>Patria Portugal, Graciela de León y Franklin Portugal</w:t>
      </w:r>
      <w:r w:rsidRPr="006F5B50">
        <w:rPr>
          <w:rFonts w:ascii="Verdana" w:hAnsi="Verdana"/>
          <w:sz w:val="16"/>
          <w:szCs w:val="16"/>
          <w:lang w:val="es-CR"/>
        </w:rPr>
        <w:t xml:space="preserve"> celebradas entre 2010 y 2012, previo a la Resolución de 2012 de la Corte</w:t>
      </w:r>
      <w:r>
        <w:rPr>
          <w:rFonts w:ascii="Verdana" w:hAnsi="Verdana"/>
          <w:sz w:val="16"/>
          <w:szCs w:val="16"/>
          <w:lang w:val="es-CR"/>
        </w:rPr>
        <w:t>.</w:t>
      </w:r>
    </w:p>
  </w:footnote>
  <w:footnote w:id="21">
    <w:p w14:paraId="16EFDB5C" w14:textId="1AEB26BF" w:rsidR="00FF2564" w:rsidRPr="00DC58D0" w:rsidRDefault="00FF2564" w:rsidP="00DC58D0">
      <w:pPr>
        <w:pStyle w:val="FootnoteText"/>
        <w:jc w:val="both"/>
        <w:rPr>
          <w:rFonts w:ascii="Verdana" w:hAnsi="Verdana"/>
          <w:sz w:val="16"/>
          <w:szCs w:val="16"/>
          <w:lang w:val="es-CR"/>
        </w:rPr>
      </w:pPr>
      <w:r w:rsidRPr="00DC58D0">
        <w:rPr>
          <w:rStyle w:val="FootnoteReference"/>
          <w:rFonts w:ascii="Verdana" w:hAnsi="Verdana"/>
          <w:sz w:val="16"/>
          <w:szCs w:val="16"/>
        </w:rPr>
        <w:footnoteRef/>
      </w:r>
      <w:r w:rsidRPr="00DC58D0">
        <w:rPr>
          <w:rFonts w:ascii="Verdana" w:hAnsi="Verdana"/>
          <w:sz w:val="16"/>
          <w:szCs w:val="16"/>
          <w:lang w:val="es-CR"/>
        </w:rPr>
        <w:t xml:space="preserve"> </w:t>
      </w:r>
      <w:r w:rsidRPr="00DC58D0">
        <w:rPr>
          <w:rFonts w:ascii="Verdana" w:hAnsi="Verdana"/>
          <w:sz w:val="16"/>
          <w:szCs w:val="16"/>
          <w:lang w:val="es-CR"/>
        </w:rPr>
        <w:tab/>
        <w:t xml:space="preserve">Los representantes no  precisaron </w:t>
      </w:r>
      <w:r w:rsidRPr="00DC58D0">
        <w:rPr>
          <w:rFonts w:ascii="Verdana" w:hAnsi="Verdana" w:cs="Arial"/>
          <w:sz w:val="16"/>
          <w:szCs w:val="16"/>
          <w:lang w:val="es-MX"/>
        </w:rPr>
        <w:t xml:space="preserve">la causa de su muerte. Los representantes indicaron que su muerte fue un “hecho natural” pero que “no se puede dejar pasar por alto que la señora De León falleció sin habérsele realizado el diagnóstico referido anteriormente, que pudieran indicar tratamientos integrales para mejorar su salud”. </w:t>
      </w:r>
    </w:p>
  </w:footnote>
  <w:footnote w:id="22">
    <w:p w14:paraId="6AC35F54" w14:textId="77777777" w:rsidR="00FF2564" w:rsidRPr="006F5B50" w:rsidRDefault="00FF2564" w:rsidP="006F5B50">
      <w:pPr>
        <w:pStyle w:val="FootnoteText"/>
        <w:jc w:val="both"/>
        <w:rPr>
          <w:rFonts w:ascii="Verdana" w:hAnsi="Verdana"/>
          <w:sz w:val="16"/>
          <w:szCs w:val="16"/>
          <w:lang w:val="es-CR"/>
        </w:rPr>
      </w:pPr>
      <w:r w:rsidRPr="006F5B50">
        <w:rPr>
          <w:rStyle w:val="FootnoteReference"/>
          <w:rFonts w:ascii="Verdana" w:hAnsi="Verdana"/>
          <w:sz w:val="16"/>
          <w:szCs w:val="16"/>
        </w:rPr>
        <w:footnoteRef/>
      </w:r>
      <w:r w:rsidRPr="006F5B50">
        <w:rPr>
          <w:rFonts w:ascii="Verdana" w:hAnsi="Verdana"/>
          <w:sz w:val="16"/>
          <w:szCs w:val="16"/>
          <w:lang w:val="es-CR"/>
        </w:rPr>
        <w:t xml:space="preserve"> </w:t>
      </w:r>
      <w:r w:rsidRPr="006F5B50">
        <w:rPr>
          <w:rFonts w:ascii="Verdana" w:hAnsi="Verdana"/>
          <w:sz w:val="16"/>
          <w:szCs w:val="16"/>
          <w:lang w:val="es-CR"/>
        </w:rPr>
        <w:tab/>
        <w:t xml:space="preserve">Destacaron el caso de Franklin Portugal, con relación a quien se determinó la necesidad de practicarle un </w:t>
      </w:r>
      <w:proofErr w:type="spellStart"/>
      <w:r w:rsidRPr="006F5B50">
        <w:rPr>
          <w:rFonts w:ascii="Verdana" w:hAnsi="Verdana"/>
          <w:sz w:val="16"/>
          <w:szCs w:val="16"/>
          <w:lang w:val="es-CR"/>
        </w:rPr>
        <w:t>holter</w:t>
      </w:r>
      <w:proofErr w:type="spellEnd"/>
      <w:r w:rsidRPr="006F5B50">
        <w:rPr>
          <w:rFonts w:ascii="Verdana" w:hAnsi="Verdana"/>
          <w:sz w:val="16"/>
          <w:szCs w:val="16"/>
          <w:lang w:val="es-CR"/>
        </w:rPr>
        <w:t xml:space="preserve"> cardíaco en 2016, y que hasta la fecha no ha podido realizarse porque el Hospital Santo Tomás no practica dicho examen, y que no se puede realizar el mismo en otra institución hasta que “se recibiese un oficio del Hospital Santo Tomás en el que las autoridades de dicha institución declarasen que no ofrecen estudios de esta naturaleza como parte de sus servicios”. Igualmente, </w:t>
      </w:r>
      <w:r>
        <w:rPr>
          <w:rFonts w:ascii="Verdana" w:hAnsi="Verdana"/>
          <w:sz w:val="16"/>
          <w:szCs w:val="16"/>
          <w:lang w:val="es-CR"/>
        </w:rPr>
        <w:t>se refirieron</w:t>
      </w:r>
      <w:r w:rsidRPr="006F5B50">
        <w:rPr>
          <w:rFonts w:ascii="Verdana" w:hAnsi="Verdana"/>
          <w:sz w:val="16"/>
          <w:szCs w:val="16"/>
          <w:lang w:val="es-CR"/>
        </w:rPr>
        <w:t xml:space="preserve">, con </w:t>
      </w:r>
      <w:r>
        <w:rPr>
          <w:rFonts w:ascii="Verdana" w:hAnsi="Verdana"/>
          <w:sz w:val="16"/>
          <w:szCs w:val="16"/>
          <w:lang w:val="es-CR"/>
        </w:rPr>
        <w:t>relación a Patria Portugal, a la no realización de una resonancia magnética requerida por un doctor por “la falta de una firma”.</w:t>
      </w:r>
    </w:p>
  </w:footnote>
  <w:footnote w:id="23">
    <w:p w14:paraId="642D0BEE" w14:textId="7A0EF563" w:rsidR="00FF2564" w:rsidRPr="006F5B50" w:rsidRDefault="00FF2564" w:rsidP="00FF2564">
      <w:pPr>
        <w:pStyle w:val="FootnoteText"/>
        <w:jc w:val="both"/>
        <w:rPr>
          <w:rFonts w:ascii="Verdana" w:hAnsi="Verdana"/>
          <w:sz w:val="16"/>
          <w:szCs w:val="16"/>
          <w:lang w:val="es-CR"/>
        </w:rPr>
      </w:pPr>
      <w:r w:rsidRPr="006F5B50">
        <w:rPr>
          <w:rStyle w:val="FootnoteReference"/>
          <w:rFonts w:ascii="Verdana" w:hAnsi="Verdana"/>
          <w:sz w:val="16"/>
          <w:szCs w:val="16"/>
        </w:rPr>
        <w:footnoteRef/>
      </w:r>
      <w:r w:rsidRPr="006F5B50">
        <w:rPr>
          <w:rFonts w:ascii="Verdana" w:hAnsi="Verdana"/>
          <w:sz w:val="16"/>
          <w:szCs w:val="16"/>
          <w:lang w:val="es-CR"/>
        </w:rPr>
        <w:t xml:space="preserve"> </w:t>
      </w:r>
      <w:r w:rsidRPr="006F5B50">
        <w:rPr>
          <w:rFonts w:ascii="Verdana" w:hAnsi="Verdana"/>
          <w:sz w:val="16"/>
          <w:szCs w:val="16"/>
          <w:lang w:val="es-CR"/>
        </w:rPr>
        <w:tab/>
      </w:r>
      <w:r>
        <w:rPr>
          <w:rFonts w:ascii="Verdana" w:hAnsi="Verdana"/>
          <w:i/>
          <w:sz w:val="16"/>
          <w:szCs w:val="16"/>
          <w:lang w:val="es-CR"/>
        </w:rPr>
        <w:t xml:space="preserve">Cfr. </w:t>
      </w:r>
      <w:r w:rsidRPr="00FA3E11">
        <w:rPr>
          <w:rFonts w:ascii="Verdana" w:hAnsi="Verdana"/>
          <w:i/>
          <w:sz w:val="16"/>
          <w:szCs w:val="16"/>
          <w:lang w:val="es-CR"/>
        </w:rPr>
        <w:t>Caso Heliodoro Portugal Vs. Panamá. Supervisión de Cumplimiento de Sentencia.</w:t>
      </w:r>
      <w:r>
        <w:rPr>
          <w:rFonts w:ascii="Verdana" w:hAnsi="Verdana"/>
          <w:sz w:val="16"/>
          <w:szCs w:val="16"/>
          <w:lang w:val="es-CR"/>
        </w:rPr>
        <w:t xml:space="preserve"> </w:t>
      </w:r>
      <w:r w:rsidRPr="006F5B50">
        <w:rPr>
          <w:rFonts w:ascii="Verdana" w:hAnsi="Verdana"/>
          <w:sz w:val="16"/>
          <w:szCs w:val="16"/>
          <w:lang w:val="es-CR"/>
        </w:rPr>
        <w:t xml:space="preserve">Resolución de </w:t>
      </w:r>
      <w:r>
        <w:rPr>
          <w:rFonts w:ascii="Verdana" w:hAnsi="Verdana"/>
          <w:sz w:val="16"/>
          <w:szCs w:val="16"/>
          <w:lang w:val="es-CR"/>
        </w:rPr>
        <w:t xml:space="preserve">la Corte Interamericana de Derechos Humanos de 28 de mayo de </w:t>
      </w:r>
      <w:r w:rsidRPr="006F5B50">
        <w:rPr>
          <w:rFonts w:ascii="Verdana" w:hAnsi="Verdana"/>
          <w:sz w:val="16"/>
          <w:szCs w:val="16"/>
          <w:lang w:val="es-CR"/>
        </w:rPr>
        <w:t>2010, Cons</w:t>
      </w:r>
      <w:r>
        <w:rPr>
          <w:rFonts w:ascii="Verdana" w:hAnsi="Verdana"/>
          <w:sz w:val="16"/>
          <w:szCs w:val="16"/>
          <w:lang w:val="es-CR"/>
        </w:rPr>
        <w:t>iderando</w:t>
      </w:r>
      <w:r w:rsidRPr="006F5B50">
        <w:rPr>
          <w:rFonts w:ascii="Verdana" w:hAnsi="Verdana"/>
          <w:sz w:val="16"/>
          <w:szCs w:val="16"/>
          <w:lang w:val="es-CR"/>
        </w:rPr>
        <w:t xml:space="preserve"> 28.</w:t>
      </w:r>
    </w:p>
  </w:footnote>
  <w:footnote w:id="24">
    <w:p w14:paraId="2F2F9150" w14:textId="77777777" w:rsidR="00FF2564" w:rsidRPr="00E137DA" w:rsidRDefault="00FF2564" w:rsidP="00E137DA">
      <w:pPr>
        <w:pStyle w:val="FootnoteText"/>
        <w:jc w:val="both"/>
        <w:rPr>
          <w:rFonts w:ascii="Verdana" w:hAnsi="Verdana"/>
          <w:sz w:val="16"/>
          <w:szCs w:val="16"/>
          <w:lang w:val="es-CR"/>
        </w:rPr>
      </w:pPr>
      <w:r w:rsidRPr="00E137DA">
        <w:rPr>
          <w:rStyle w:val="FootnoteReference"/>
          <w:rFonts w:ascii="Verdana" w:hAnsi="Verdana"/>
          <w:sz w:val="16"/>
          <w:szCs w:val="16"/>
        </w:rPr>
        <w:footnoteRef/>
      </w:r>
      <w:r w:rsidRPr="00E137DA">
        <w:rPr>
          <w:rFonts w:ascii="Verdana" w:hAnsi="Verdana"/>
          <w:sz w:val="16"/>
          <w:szCs w:val="16"/>
          <w:lang w:val="es-CR"/>
        </w:rPr>
        <w:t xml:space="preserve"> </w:t>
      </w:r>
      <w:r w:rsidRPr="00E137DA">
        <w:rPr>
          <w:rFonts w:ascii="Verdana" w:hAnsi="Verdana"/>
          <w:sz w:val="16"/>
          <w:szCs w:val="16"/>
          <w:lang w:val="es-CR"/>
        </w:rPr>
        <w:tab/>
        <w:t>El Estado tipificó por primera vez el delito de desaparición forzada en el artículo 150 del Código Penal de 2007 en los siguientes términos: “[e]l servidor público que, con abuso de sus funciones o en infracción de las formalidades legales, prive de cualquier forma a una persona o más personas de su libertad corporal, o conociendo su paradero niegue proporcionar esta información cuando así se le requiere, será sancionado con prisión de tres a cinco años. Igual sanción se aplicará a los particulares que actúen con autorización o apoyo de los servidores públicos.  Si la desaparición forzada es por más de un año, la pena será de diez a quince años de prisión.”</w:t>
      </w:r>
    </w:p>
  </w:footnote>
  <w:footnote w:id="25">
    <w:p w14:paraId="64F09193" w14:textId="6F0904E4" w:rsidR="00FF2564" w:rsidRPr="00DC58D0" w:rsidRDefault="00FF2564" w:rsidP="00DC58D0">
      <w:pPr>
        <w:pStyle w:val="FootnoteText"/>
        <w:jc w:val="both"/>
        <w:rPr>
          <w:rFonts w:ascii="Verdana" w:hAnsi="Verdana"/>
          <w:sz w:val="16"/>
          <w:szCs w:val="16"/>
          <w:lang w:val="es-CR"/>
        </w:rPr>
      </w:pPr>
      <w:r w:rsidRPr="00DC58D0">
        <w:rPr>
          <w:rStyle w:val="FootnoteReference"/>
          <w:rFonts w:ascii="Verdana" w:hAnsi="Verdana"/>
          <w:sz w:val="16"/>
          <w:szCs w:val="16"/>
        </w:rPr>
        <w:footnoteRef/>
      </w:r>
      <w:r w:rsidRPr="00DC58D0">
        <w:rPr>
          <w:rFonts w:ascii="Verdana" w:hAnsi="Verdana"/>
          <w:sz w:val="16"/>
          <w:szCs w:val="16"/>
          <w:lang w:val="es-CR"/>
        </w:rPr>
        <w:t xml:space="preserve"> </w:t>
      </w:r>
      <w:r w:rsidRPr="00DC58D0">
        <w:rPr>
          <w:rFonts w:ascii="Verdana" w:hAnsi="Verdana"/>
          <w:sz w:val="16"/>
          <w:szCs w:val="16"/>
          <w:lang w:val="es-CR"/>
        </w:rPr>
        <w:tab/>
        <w:t>El Estado solo indicó, en su informe de enero de 2017, que el tipo penal “fue configurado de acuerdo a los estándares internacionales de derechos humanos y desde el 1 de diciembre de 2016 la tipificación del referido delito pertenece al derecho positivo penal vigente”.</w:t>
      </w:r>
      <w:r>
        <w:rPr>
          <w:rFonts w:ascii="Verdana" w:hAnsi="Verdana"/>
          <w:sz w:val="16"/>
          <w:szCs w:val="16"/>
          <w:lang w:val="es-CR"/>
        </w:rPr>
        <w:t xml:space="preserve"> </w:t>
      </w:r>
    </w:p>
  </w:footnote>
  <w:footnote w:id="26">
    <w:p w14:paraId="4EE67A76" w14:textId="77777777" w:rsidR="00FF2564" w:rsidRPr="006451B7" w:rsidRDefault="00FF2564" w:rsidP="00953186">
      <w:pPr>
        <w:pStyle w:val="FootnoteText"/>
        <w:jc w:val="both"/>
        <w:rPr>
          <w:rFonts w:ascii="Verdana" w:hAnsi="Verdana"/>
          <w:sz w:val="16"/>
          <w:szCs w:val="16"/>
          <w:lang w:val="es-MX"/>
        </w:rPr>
      </w:pPr>
      <w:r w:rsidRPr="00F25517">
        <w:rPr>
          <w:rStyle w:val="FootnoteReference"/>
          <w:rFonts w:ascii="Verdana" w:hAnsi="Verdana"/>
          <w:sz w:val="16"/>
          <w:szCs w:val="16"/>
        </w:rPr>
        <w:footnoteRef/>
      </w:r>
      <w:r w:rsidRPr="00F25517">
        <w:rPr>
          <w:rFonts w:ascii="Verdana" w:hAnsi="Verdana"/>
          <w:sz w:val="16"/>
          <w:szCs w:val="16"/>
          <w:lang w:val="es-MX"/>
        </w:rPr>
        <w:t xml:space="preserve"> </w:t>
      </w:r>
      <w:r w:rsidRPr="00F25517">
        <w:rPr>
          <w:rFonts w:ascii="Verdana" w:hAnsi="Verdana"/>
          <w:sz w:val="16"/>
          <w:szCs w:val="16"/>
          <w:lang w:val="es-MX"/>
        </w:rPr>
        <w:tab/>
      </w:r>
      <w:r w:rsidRPr="00F25517">
        <w:rPr>
          <w:rFonts w:ascii="Verdana" w:hAnsi="Verdana"/>
          <w:i/>
          <w:sz w:val="16"/>
          <w:szCs w:val="16"/>
          <w:lang w:val="es-MX"/>
        </w:rPr>
        <w:t>Cfr</w:t>
      </w:r>
      <w:r w:rsidRPr="00F25517">
        <w:rPr>
          <w:rFonts w:ascii="Verdana" w:hAnsi="Verdana"/>
          <w:sz w:val="16"/>
          <w:szCs w:val="16"/>
          <w:lang w:val="es-MX"/>
        </w:rPr>
        <w:t xml:space="preserve">. </w:t>
      </w:r>
      <w:r w:rsidRPr="00F25517">
        <w:rPr>
          <w:rFonts w:ascii="Verdana" w:hAnsi="Verdana"/>
          <w:i/>
          <w:sz w:val="16"/>
          <w:szCs w:val="16"/>
          <w:lang w:val="es-MX"/>
        </w:rPr>
        <w:t>Caso Gómez Palomino Vs. Perú.</w:t>
      </w:r>
      <w:r w:rsidRPr="00F25517">
        <w:rPr>
          <w:rFonts w:ascii="Verdana" w:hAnsi="Verdana"/>
          <w:sz w:val="16"/>
          <w:szCs w:val="16"/>
          <w:lang w:val="es-MX"/>
        </w:rPr>
        <w:t xml:space="preserve"> Fondo, Reparaciones y Costas. Sentencia de 22 de noviembre de 2005. </w:t>
      </w:r>
      <w:r w:rsidRPr="00905E33">
        <w:rPr>
          <w:rFonts w:ascii="Verdana" w:hAnsi="Verdana"/>
          <w:sz w:val="16"/>
          <w:szCs w:val="16"/>
          <w:lang w:val="es-MX"/>
        </w:rPr>
        <w:t>Serie C No. 136. párr. 97</w:t>
      </w:r>
      <w:r w:rsidRPr="00E92543">
        <w:rPr>
          <w:rFonts w:ascii="Verdana" w:hAnsi="Verdana"/>
          <w:sz w:val="16"/>
          <w:szCs w:val="16"/>
          <w:lang w:val="es-MX"/>
        </w:rPr>
        <w:t>;</w:t>
      </w:r>
      <w:r w:rsidRPr="006451B7">
        <w:rPr>
          <w:rFonts w:ascii="Verdana" w:hAnsi="Verdana"/>
          <w:b/>
          <w:sz w:val="16"/>
          <w:szCs w:val="16"/>
          <w:lang w:val="es-MX"/>
        </w:rPr>
        <w:t xml:space="preserve"> </w:t>
      </w:r>
      <w:r w:rsidRPr="00905E33">
        <w:rPr>
          <w:rStyle w:val="Strong"/>
          <w:rFonts w:ascii="Verdana" w:hAnsi="Verdana"/>
          <w:b w:val="0"/>
          <w:i/>
          <w:sz w:val="16"/>
          <w:szCs w:val="16"/>
          <w:shd w:val="clear" w:color="auto" w:fill="FFFFFF"/>
          <w:lang w:val="es-MX"/>
        </w:rPr>
        <w:t xml:space="preserve">Caso </w:t>
      </w:r>
      <w:proofErr w:type="spellStart"/>
      <w:r w:rsidRPr="00905E33">
        <w:rPr>
          <w:rStyle w:val="Strong"/>
          <w:rFonts w:ascii="Verdana" w:hAnsi="Verdana"/>
          <w:b w:val="0"/>
          <w:i/>
          <w:sz w:val="16"/>
          <w:szCs w:val="16"/>
          <w:shd w:val="clear" w:color="auto" w:fill="FFFFFF"/>
          <w:lang w:val="es-MX"/>
        </w:rPr>
        <w:t>Ticona</w:t>
      </w:r>
      <w:proofErr w:type="spellEnd"/>
      <w:r w:rsidRPr="00905E33">
        <w:rPr>
          <w:rStyle w:val="Strong"/>
          <w:rFonts w:ascii="Verdana" w:hAnsi="Verdana"/>
          <w:b w:val="0"/>
          <w:i/>
          <w:sz w:val="16"/>
          <w:szCs w:val="16"/>
          <w:shd w:val="clear" w:color="auto" w:fill="FFFFFF"/>
          <w:lang w:val="es-MX"/>
        </w:rPr>
        <w:t xml:space="preserve"> Estrada y otros Vs. Bolivia</w:t>
      </w:r>
      <w:r w:rsidRPr="006451B7">
        <w:rPr>
          <w:rStyle w:val="Strong"/>
          <w:rFonts w:ascii="Verdana" w:hAnsi="Verdana"/>
          <w:b w:val="0"/>
          <w:sz w:val="16"/>
          <w:szCs w:val="16"/>
          <w:shd w:val="clear" w:color="auto" w:fill="FFFFFF"/>
          <w:lang w:val="es-MX"/>
        </w:rPr>
        <w:t xml:space="preserve">. Fondo, Reparaciones y Costas. Sentencia de 27 de noviembre de 2008. Serie C No. 191, párr. 55 y </w:t>
      </w:r>
      <w:r w:rsidRPr="00905E33">
        <w:rPr>
          <w:rStyle w:val="Strong"/>
          <w:rFonts w:ascii="Verdana" w:hAnsi="Verdana"/>
          <w:b w:val="0"/>
          <w:i/>
          <w:sz w:val="16"/>
          <w:szCs w:val="16"/>
          <w:shd w:val="clear" w:color="auto" w:fill="FFFFFF"/>
          <w:lang w:val="es-MX"/>
        </w:rPr>
        <w:t xml:space="preserve">Caso </w:t>
      </w:r>
      <w:r w:rsidRPr="00D51417">
        <w:rPr>
          <w:rFonts w:ascii="Verdana" w:hAnsi="Verdana"/>
          <w:i/>
          <w:sz w:val="16"/>
          <w:szCs w:val="16"/>
          <w:lang w:val="es-CR"/>
        </w:rPr>
        <w:t>Vásquez Durand</w:t>
      </w:r>
      <w:r>
        <w:rPr>
          <w:rFonts w:ascii="Verdana" w:hAnsi="Verdana"/>
          <w:i/>
          <w:sz w:val="16"/>
          <w:szCs w:val="16"/>
          <w:lang w:val="es-CR"/>
        </w:rPr>
        <w:t xml:space="preserve"> y otros Vs. Ecuador. Excepciones Preliminares, Fondo, Reparaciones y Costas. </w:t>
      </w:r>
      <w:r>
        <w:rPr>
          <w:rFonts w:ascii="Verdana" w:hAnsi="Verdana"/>
          <w:sz w:val="16"/>
          <w:szCs w:val="16"/>
          <w:lang w:val="es-CR"/>
        </w:rPr>
        <w:t>Sentencia de 15 de febrero de 2017. Serie C No. 332, párr. 178</w:t>
      </w:r>
      <w:r w:rsidRPr="006451B7">
        <w:rPr>
          <w:rFonts w:ascii="Verdana" w:hAnsi="Verdana"/>
          <w:sz w:val="16"/>
          <w:szCs w:val="16"/>
          <w:lang w:val="es-CR"/>
        </w:rPr>
        <w:t>.</w:t>
      </w:r>
    </w:p>
  </w:footnote>
  <w:footnote w:id="27">
    <w:p w14:paraId="767CEE8F" w14:textId="6211303E" w:rsidR="00FF2564" w:rsidRPr="000E3E34" w:rsidRDefault="00FF2564">
      <w:pPr>
        <w:pStyle w:val="FootnoteText"/>
        <w:rPr>
          <w:lang w:val="es-CR"/>
        </w:rPr>
      </w:pPr>
      <w:r>
        <w:rPr>
          <w:rStyle w:val="FootnoteReference"/>
        </w:rPr>
        <w:footnoteRef/>
      </w:r>
      <w:r w:rsidRPr="000E3E34">
        <w:rPr>
          <w:lang w:val="es-CR"/>
        </w:rPr>
        <w:t xml:space="preserve"> </w:t>
      </w:r>
      <w:r>
        <w:rPr>
          <w:lang w:val="es-CR"/>
        </w:rPr>
        <w:tab/>
      </w:r>
      <w:r w:rsidRPr="00905E33">
        <w:rPr>
          <w:rStyle w:val="Strong"/>
          <w:rFonts w:ascii="Verdana" w:hAnsi="Verdana"/>
          <w:b w:val="0"/>
          <w:i/>
          <w:sz w:val="16"/>
          <w:szCs w:val="16"/>
          <w:shd w:val="clear" w:color="auto" w:fill="FFFFFF"/>
          <w:lang w:val="es-MX"/>
        </w:rPr>
        <w:t xml:space="preserve">Caso </w:t>
      </w:r>
      <w:r w:rsidRPr="00D51417">
        <w:rPr>
          <w:rFonts w:ascii="Verdana" w:hAnsi="Verdana"/>
          <w:i/>
          <w:sz w:val="16"/>
          <w:szCs w:val="16"/>
          <w:lang w:val="es-CR"/>
        </w:rPr>
        <w:t>Vásquez Durand</w:t>
      </w:r>
      <w:r>
        <w:rPr>
          <w:rFonts w:ascii="Verdana" w:hAnsi="Verdana"/>
          <w:i/>
          <w:sz w:val="16"/>
          <w:szCs w:val="16"/>
          <w:lang w:val="es-CR"/>
        </w:rPr>
        <w:t xml:space="preserve"> y otros Vs. Ecuador, </w:t>
      </w:r>
      <w:r w:rsidRPr="000E3E34">
        <w:rPr>
          <w:rFonts w:ascii="Verdana" w:hAnsi="Verdana"/>
          <w:i/>
          <w:sz w:val="16"/>
          <w:szCs w:val="16"/>
          <w:lang w:val="es-CR"/>
        </w:rPr>
        <w:t>supra</w:t>
      </w:r>
      <w:r>
        <w:rPr>
          <w:rFonts w:ascii="Verdana" w:hAnsi="Verdana"/>
          <w:sz w:val="16"/>
          <w:szCs w:val="16"/>
          <w:lang w:val="es-CR"/>
        </w:rPr>
        <w:t xml:space="preserve"> nota 25, </w:t>
      </w:r>
      <w:r w:rsidRPr="000E3E34">
        <w:rPr>
          <w:rFonts w:ascii="Verdana" w:hAnsi="Verdana"/>
          <w:sz w:val="16"/>
          <w:szCs w:val="16"/>
          <w:lang w:val="es-CR"/>
        </w:rPr>
        <w:t>párr</w:t>
      </w:r>
      <w:r>
        <w:rPr>
          <w:rFonts w:ascii="Verdana" w:hAnsi="Verdana"/>
          <w:sz w:val="16"/>
          <w:szCs w:val="16"/>
          <w:lang w:val="es-CR"/>
        </w:rPr>
        <w:t xml:space="preserve">. 178, y </w:t>
      </w:r>
      <w:r w:rsidRPr="00051EE9">
        <w:rPr>
          <w:rFonts w:ascii="Verdana" w:hAnsi="Verdana"/>
          <w:i/>
          <w:sz w:val="16"/>
          <w:szCs w:val="16"/>
          <w:lang w:val="es-CR"/>
        </w:rPr>
        <w:t xml:space="preserve">Caso </w:t>
      </w:r>
      <w:proofErr w:type="spellStart"/>
      <w:r w:rsidRPr="00051EE9">
        <w:rPr>
          <w:rFonts w:ascii="Verdana" w:hAnsi="Verdana"/>
          <w:i/>
          <w:sz w:val="16"/>
          <w:szCs w:val="16"/>
          <w:lang w:val="es-CR"/>
        </w:rPr>
        <w:t>Goiburú</w:t>
      </w:r>
      <w:proofErr w:type="spellEnd"/>
      <w:r w:rsidRPr="00051EE9">
        <w:rPr>
          <w:rFonts w:ascii="Verdana" w:hAnsi="Verdana"/>
          <w:i/>
          <w:sz w:val="16"/>
          <w:szCs w:val="16"/>
          <w:lang w:val="es-CR"/>
        </w:rPr>
        <w:t xml:space="preserve"> y otros Vs. Paraguay. Supervisión de Cumplimiento de Sentencia</w:t>
      </w:r>
      <w:r w:rsidRPr="00051EE9">
        <w:rPr>
          <w:rFonts w:ascii="Verdana" w:hAnsi="Verdana"/>
          <w:sz w:val="16"/>
          <w:szCs w:val="16"/>
          <w:lang w:val="es-CR"/>
        </w:rPr>
        <w:t>. Resolución de la Corte Interamericana de Derecho</w:t>
      </w:r>
      <w:r>
        <w:rPr>
          <w:rFonts w:ascii="Verdana" w:hAnsi="Verdana"/>
          <w:sz w:val="16"/>
          <w:szCs w:val="16"/>
          <w:lang w:val="es-CR"/>
        </w:rPr>
        <w:t>s Humanos de 23 de mayo de 2017, Considerando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7D8D" w14:textId="77777777" w:rsidR="00FF2564" w:rsidRDefault="00FF2564" w:rsidP="00FF25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81961" w14:textId="77777777" w:rsidR="00FF2564" w:rsidRDefault="00FF2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3F80" w14:textId="77777777" w:rsidR="00FF2564" w:rsidRDefault="00FF2564" w:rsidP="00FF25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B00">
      <w:rPr>
        <w:rStyle w:val="PageNumber"/>
        <w:noProof/>
      </w:rPr>
      <w:t>7</w:t>
    </w:r>
    <w:r>
      <w:rPr>
        <w:rStyle w:val="PageNumber"/>
      </w:rPr>
      <w:fldChar w:fldCharType="end"/>
    </w:r>
  </w:p>
  <w:p w14:paraId="3664CA7D" w14:textId="79752342" w:rsidR="00FF2564" w:rsidRPr="00305922" w:rsidRDefault="00FF2564" w:rsidP="00305922">
    <w:pPr>
      <w:pStyle w:val="Header"/>
      <w:jc w:val="right"/>
      <w:rPr>
        <w:b/>
        <w:i/>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4B11"/>
    <w:multiLevelType w:val="hybridMultilevel"/>
    <w:tmpl w:val="32F8AC4E"/>
    <w:lvl w:ilvl="0" w:tplc="D30ABD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66501"/>
    <w:multiLevelType w:val="hybridMultilevel"/>
    <w:tmpl w:val="8EAE3B1E"/>
    <w:lvl w:ilvl="0" w:tplc="74460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212C9"/>
    <w:multiLevelType w:val="hybridMultilevel"/>
    <w:tmpl w:val="27C2B366"/>
    <w:lvl w:ilvl="0" w:tplc="B4BE5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1336B1"/>
    <w:multiLevelType w:val="hybridMultilevel"/>
    <w:tmpl w:val="32F8AC4E"/>
    <w:lvl w:ilvl="0" w:tplc="D30ABD54">
      <w:start w:val="1"/>
      <w:numFmt w:val="lowerLetter"/>
      <w:lvlText w:val="%1)"/>
      <w:lvlJc w:val="left"/>
      <w:pPr>
        <w:ind w:left="1790" w:hanging="360"/>
      </w:pPr>
      <w:rPr>
        <w:rFonts w:hint="default"/>
        <w:b w:val="0"/>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
    <w:nsid w:val="393014FD"/>
    <w:multiLevelType w:val="hybridMultilevel"/>
    <w:tmpl w:val="7B561A5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BBE0E90"/>
    <w:multiLevelType w:val="hybridMultilevel"/>
    <w:tmpl w:val="A3B2674C"/>
    <w:lvl w:ilvl="0" w:tplc="67F0D9BC">
      <w:start w:val="1"/>
      <w:numFmt w:val="decimal"/>
      <w:lvlText w:val="%1."/>
      <w:lvlJc w:val="left"/>
      <w:pPr>
        <w:ind w:left="720" w:hanging="360"/>
      </w:pPr>
      <w:rPr>
        <w:rFonts w:hint="default"/>
        <w:b w:val="0"/>
        <w:color w:val="auto"/>
        <w:sz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55986B5B"/>
    <w:multiLevelType w:val="hybridMultilevel"/>
    <w:tmpl w:val="44D0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B3410"/>
    <w:multiLevelType w:val="hybridMultilevel"/>
    <w:tmpl w:val="C3ECC078"/>
    <w:lvl w:ilvl="0" w:tplc="40E0634C">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3635B"/>
    <w:multiLevelType w:val="hybridMultilevel"/>
    <w:tmpl w:val="87B0CF40"/>
    <w:lvl w:ilvl="0" w:tplc="7F5A2206">
      <w:start w:val="1"/>
      <w:numFmt w:val="decimal"/>
      <w:lvlText w:val="%1."/>
      <w:lvlJc w:val="left"/>
      <w:pPr>
        <w:ind w:left="4046" w:hanging="360"/>
      </w:pPr>
      <w:rPr>
        <w:rFonts w:ascii="Verdana" w:hAnsi="Verdana" w:hint="default"/>
        <w:b w:val="0"/>
        <w:i w:val="0"/>
        <w:strike w:val="0"/>
        <w:dstrike w:val="0"/>
        <w:color w:val="auto"/>
        <w:sz w:val="20"/>
        <w:szCs w:val="20"/>
        <w:u w:val="none"/>
        <w:effect w:val="none"/>
      </w:rPr>
    </w:lvl>
    <w:lvl w:ilvl="1" w:tplc="140A0019">
      <w:start w:val="1"/>
      <w:numFmt w:val="lowerLetter"/>
      <w:lvlText w:val="%2."/>
      <w:lvlJc w:val="left"/>
      <w:pPr>
        <w:ind w:left="-7916" w:hanging="360"/>
      </w:pPr>
    </w:lvl>
    <w:lvl w:ilvl="2" w:tplc="140A001B">
      <w:start w:val="1"/>
      <w:numFmt w:val="lowerRoman"/>
      <w:lvlText w:val="%3."/>
      <w:lvlJc w:val="right"/>
      <w:pPr>
        <w:ind w:left="-7196" w:hanging="180"/>
      </w:pPr>
    </w:lvl>
    <w:lvl w:ilvl="3" w:tplc="140A000F">
      <w:start w:val="1"/>
      <w:numFmt w:val="decimal"/>
      <w:lvlText w:val="%4."/>
      <w:lvlJc w:val="left"/>
      <w:pPr>
        <w:ind w:left="-6476" w:hanging="360"/>
      </w:pPr>
    </w:lvl>
    <w:lvl w:ilvl="4" w:tplc="140A0019">
      <w:start w:val="1"/>
      <w:numFmt w:val="lowerLetter"/>
      <w:lvlText w:val="%5."/>
      <w:lvlJc w:val="left"/>
      <w:pPr>
        <w:ind w:left="-5756" w:hanging="360"/>
      </w:pPr>
    </w:lvl>
    <w:lvl w:ilvl="5" w:tplc="140A001B">
      <w:start w:val="1"/>
      <w:numFmt w:val="lowerRoman"/>
      <w:lvlText w:val="%6."/>
      <w:lvlJc w:val="right"/>
      <w:pPr>
        <w:ind w:left="-5036" w:hanging="180"/>
      </w:pPr>
    </w:lvl>
    <w:lvl w:ilvl="6" w:tplc="140A000F">
      <w:start w:val="1"/>
      <w:numFmt w:val="decimal"/>
      <w:lvlText w:val="%7."/>
      <w:lvlJc w:val="left"/>
      <w:pPr>
        <w:ind w:left="-4316" w:hanging="360"/>
      </w:pPr>
    </w:lvl>
    <w:lvl w:ilvl="7" w:tplc="140A0019">
      <w:start w:val="1"/>
      <w:numFmt w:val="lowerLetter"/>
      <w:lvlText w:val="%8."/>
      <w:lvlJc w:val="left"/>
      <w:pPr>
        <w:ind w:left="-3596" w:hanging="360"/>
      </w:pPr>
    </w:lvl>
    <w:lvl w:ilvl="8" w:tplc="140A001B">
      <w:start w:val="1"/>
      <w:numFmt w:val="lowerRoman"/>
      <w:lvlText w:val="%9."/>
      <w:lvlJc w:val="right"/>
      <w:pPr>
        <w:ind w:left="-2876" w:hanging="180"/>
      </w:pPr>
    </w:lvl>
  </w:abstractNum>
  <w:abstractNum w:abstractNumId="9">
    <w:nsid w:val="7D091A98"/>
    <w:multiLevelType w:val="hybridMultilevel"/>
    <w:tmpl w:val="F006B7D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nsid w:val="7F095851"/>
    <w:multiLevelType w:val="hybridMultilevel"/>
    <w:tmpl w:val="D75EEFE6"/>
    <w:lvl w:ilvl="0" w:tplc="E8884A52">
      <w:start w:val="1"/>
      <w:numFmt w:val="decimal"/>
      <w:lvlText w:val="%1."/>
      <w:lvlJc w:val="left"/>
      <w:pPr>
        <w:ind w:left="720" w:hanging="360"/>
      </w:pPr>
      <w:rPr>
        <w:rFonts w:hint="default"/>
        <w:b w:val="0"/>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10"/>
  </w:num>
  <w:num w:numId="6">
    <w:abstractNumId w:val="1"/>
  </w:num>
  <w:num w:numId="7">
    <w:abstractNumId w:val="3"/>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43"/>
    <w:rsid w:val="00000F87"/>
    <w:rsid w:val="00006C90"/>
    <w:rsid w:val="00006D54"/>
    <w:rsid w:val="0001261E"/>
    <w:rsid w:val="0001736F"/>
    <w:rsid w:val="000205B7"/>
    <w:rsid w:val="00026ECF"/>
    <w:rsid w:val="00032C24"/>
    <w:rsid w:val="00033859"/>
    <w:rsid w:val="000353F8"/>
    <w:rsid w:val="000511DC"/>
    <w:rsid w:val="00051EE9"/>
    <w:rsid w:val="0005777C"/>
    <w:rsid w:val="00065D61"/>
    <w:rsid w:val="000678DE"/>
    <w:rsid w:val="0007758B"/>
    <w:rsid w:val="00087EDF"/>
    <w:rsid w:val="000A29BB"/>
    <w:rsid w:val="000A642D"/>
    <w:rsid w:val="000B12B3"/>
    <w:rsid w:val="000B4AB6"/>
    <w:rsid w:val="000B6679"/>
    <w:rsid w:val="000B692A"/>
    <w:rsid w:val="000B7E73"/>
    <w:rsid w:val="000C1911"/>
    <w:rsid w:val="000C4186"/>
    <w:rsid w:val="000D37E2"/>
    <w:rsid w:val="000D5DC8"/>
    <w:rsid w:val="000D7D49"/>
    <w:rsid w:val="000E11CB"/>
    <w:rsid w:val="000E3E34"/>
    <w:rsid w:val="000E7CC0"/>
    <w:rsid w:val="000F0869"/>
    <w:rsid w:val="000F3D87"/>
    <w:rsid w:val="0010045A"/>
    <w:rsid w:val="00107447"/>
    <w:rsid w:val="00107D30"/>
    <w:rsid w:val="001136AE"/>
    <w:rsid w:val="0011373E"/>
    <w:rsid w:val="00116894"/>
    <w:rsid w:val="001169F8"/>
    <w:rsid w:val="00121014"/>
    <w:rsid w:val="001242DE"/>
    <w:rsid w:val="001256DB"/>
    <w:rsid w:val="001258E7"/>
    <w:rsid w:val="00125D17"/>
    <w:rsid w:val="001352DF"/>
    <w:rsid w:val="00141D69"/>
    <w:rsid w:val="001430BF"/>
    <w:rsid w:val="00150E1D"/>
    <w:rsid w:val="00152C6D"/>
    <w:rsid w:val="001534B2"/>
    <w:rsid w:val="00167D33"/>
    <w:rsid w:val="001720D2"/>
    <w:rsid w:val="00175F0F"/>
    <w:rsid w:val="00177E04"/>
    <w:rsid w:val="00182066"/>
    <w:rsid w:val="001873C3"/>
    <w:rsid w:val="00190873"/>
    <w:rsid w:val="001908CD"/>
    <w:rsid w:val="00196223"/>
    <w:rsid w:val="001A5613"/>
    <w:rsid w:val="001C0F6B"/>
    <w:rsid w:val="001C23A6"/>
    <w:rsid w:val="001C28CE"/>
    <w:rsid w:val="001C55C9"/>
    <w:rsid w:val="001E48D3"/>
    <w:rsid w:val="001E6510"/>
    <w:rsid w:val="001F18E0"/>
    <w:rsid w:val="001F6335"/>
    <w:rsid w:val="00203A02"/>
    <w:rsid w:val="002063DE"/>
    <w:rsid w:val="00210443"/>
    <w:rsid w:val="00212ADF"/>
    <w:rsid w:val="0021760B"/>
    <w:rsid w:val="00224350"/>
    <w:rsid w:val="002336BD"/>
    <w:rsid w:val="00246E7F"/>
    <w:rsid w:val="00250464"/>
    <w:rsid w:val="00250E88"/>
    <w:rsid w:val="0025473D"/>
    <w:rsid w:val="002666EA"/>
    <w:rsid w:val="00267110"/>
    <w:rsid w:val="00275A11"/>
    <w:rsid w:val="00277397"/>
    <w:rsid w:val="00287B1A"/>
    <w:rsid w:val="00294074"/>
    <w:rsid w:val="002A1A3C"/>
    <w:rsid w:val="002A5658"/>
    <w:rsid w:val="002A6C73"/>
    <w:rsid w:val="002B0ACB"/>
    <w:rsid w:val="002B1DCE"/>
    <w:rsid w:val="002B3120"/>
    <w:rsid w:val="002B42F5"/>
    <w:rsid w:val="002C6DED"/>
    <w:rsid w:val="002D1B7D"/>
    <w:rsid w:val="002D2DF6"/>
    <w:rsid w:val="002D40ED"/>
    <w:rsid w:val="002D69E1"/>
    <w:rsid w:val="002E378F"/>
    <w:rsid w:val="002E4240"/>
    <w:rsid w:val="002E5907"/>
    <w:rsid w:val="00300529"/>
    <w:rsid w:val="00300A1A"/>
    <w:rsid w:val="0030540D"/>
    <w:rsid w:val="003055E8"/>
    <w:rsid w:val="00305922"/>
    <w:rsid w:val="00306A41"/>
    <w:rsid w:val="00314A2D"/>
    <w:rsid w:val="00326B63"/>
    <w:rsid w:val="00331289"/>
    <w:rsid w:val="00340BBB"/>
    <w:rsid w:val="00354D4D"/>
    <w:rsid w:val="00360B00"/>
    <w:rsid w:val="00362133"/>
    <w:rsid w:val="00375BDE"/>
    <w:rsid w:val="00385701"/>
    <w:rsid w:val="00393608"/>
    <w:rsid w:val="0039363E"/>
    <w:rsid w:val="003A1CD1"/>
    <w:rsid w:val="003A4412"/>
    <w:rsid w:val="003A573F"/>
    <w:rsid w:val="003C1048"/>
    <w:rsid w:val="003C1BEC"/>
    <w:rsid w:val="003D07C0"/>
    <w:rsid w:val="003D3F48"/>
    <w:rsid w:val="003E38B6"/>
    <w:rsid w:val="003F501B"/>
    <w:rsid w:val="0040708C"/>
    <w:rsid w:val="00417EE0"/>
    <w:rsid w:val="004219A5"/>
    <w:rsid w:val="004278B3"/>
    <w:rsid w:val="00437105"/>
    <w:rsid w:val="00451F7C"/>
    <w:rsid w:val="00460126"/>
    <w:rsid w:val="00460E73"/>
    <w:rsid w:val="00463E0C"/>
    <w:rsid w:val="004665E8"/>
    <w:rsid w:val="004670BF"/>
    <w:rsid w:val="00480577"/>
    <w:rsid w:val="00483732"/>
    <w:rsid w:val="0048452B"/>
    <w:rsid w:val="00487302"/>
    <w:rsid w:val="00491FCA"/>
    <w:rsid w:val="00494847"/>
    <w:rsid w:val="004A1F05"/>
    <w:rsid w:val="004A7300"/>
    <w:rsid w:val="004C2AC4"/>
    <w:rsid w:val="004D0C86"/>
    <w:rsid w:val="004D1369"/>
    <w:rsid w:val="004D1F8F"/>
    <w:rsid w:val="004D7BAB"/>
    <w:rsid w:val="00506E1E"/>
    <w:rsid w:val="00510BF0"/>
    <w:rsid w:val="00512C44"/>
    <w:rsid w:val="00514335"/>
    <w:rsid w:val="00516D93"/>
    <w:rsid w:val="0052405D"/>
    <w:rsid w:val="00530816"/>
    <w:rsid w:val="00535381"/>
    <w:rsid w:val="00547A87"/>
    <w:rsid w:val="00551581"/>
    <w:rsid w:val="00561C15"/>
    <w:rsid w:val="00566751"/>
    <w:rsid w:val="005668E7"/>
    <w:rsid w:val="00566D68"/>
    <w:rsid w:val="005736DE"/>
    <w:rsid w:val="00573FF9"/>
    <w:rsid w:val="00582B67"/>
    <w:rsid w:val="005845D9"/>
    <w:rsid w:val="005846FA"/>
    <w:rsid w:val="00593DB9"/>
    <w:rsid w:val="0059707C"/>
    <w:rsid w:val="005B2391"/>
    <w:rsid w:val="005B410E"/>
    <w:rsid w:val="005C3146"/>
    <w:rsid w:val="005E5110"/>
    <w:rsid w:val="005F1316"/>
    <w:rsid w:val="005F4768"/>
    <w:rsid w:val="00602995"/>
    <w:rsid w:val="00605C66"/>
    <w:rsid w:val="006067C0"/>
    <w:rsid w:val="006069D1"/>
    <w:rsid w:val="0060701C"/>
    <w:rsid w:val="00612D4B"/>
    <w:rsid w:val="00616413"/>
    <w:rsid w:val="00621A24"/>
    <w:rsid w:val="0062439E"/>
    <w:rsid w:val="00631564"/>
    <w:rsid w:val="0063512D"/>
    <w:rsid w:val="00642D49"/>
    <w:rsid w:val="00665CD5"/>
    <w:rsid w:val="00670846"/>
    <w:rsid w:val="006817BA"/>
    <w:rsid w:val="0068284B"/>
    <w:rsid w:val="00683114"/>
    <w:rsid w:val="00687FF6"/>
    <w:rsid w:val="00690E3E"/>
    <w:rsid w:val="00693D15"/>
    <w:rsid w:val="006956C5"/>
    <w:rsid w:val="006A34FC"/>
    <w:rsid w:val="006A7136"/>
    <w:rsid w:val="006A767A"/>
    <w:rsid w:val="006B1583"/>
    <w:rsid w:val="006C6974"/>
    <w:rsid w:val="006C7E8F"/>
    <w:rsid w:val="006D19B3"/>
    <w:rsid w:val="006D523A"/>
    <w:rsid w:val="006E04D6"/>
    <w:rsid w:val="006E1FAB"/>
    <w:rsid w:val="006E25DC"/>
    <w:rsid w:val="006E62E4"/>
    <w:rsid w:val="006E6BE9"/>
    <w:rsid w:val="006F5B50"/>
    <w:rsid w:val="006F77EB"/>
    <w:rsid w:val="00712DBB"/>
    <w:rsid w:val="00734A1A"/>
    <w:rsid w:val="00737311"/>
    <w:rsid w:val="0074372D"/>
    <w:rsid w:val="007566E5"/>
    <w:rsid w:val="00763E6A"/>
    <w:rsid w:val="007650BF"/>
    <w:rsid w:val="007668B2"/>
    <w:rsid w:val="00770BF3"/>
    <w:rsid w:val="00772A2D"/>
    <w:rsid w:val="00773885"/>
    <w:rsid w:val="0078484F"/>
    <w:rsid w:val="00786A30"/>
    <w:rsid w:val="00790BB2"/>
    <w:rsid w:val="007A4FCF"/>
    <w:rsid w:val="007B1A3A"/>
    <w:rsid w:val="007B3C7F"/>
    <w:rsid w:val="007C0080"/>
    <w:rsid w:val="007C354F"/>
    <w:rsid w:val="007C7692"/>
    <w:rsid w:val="007D5490"/>
    <w:rsid w:val="007D5C28"/>
    <w:rsid w:val="007E04E1"/>
    <w:rsid w:val="007E609A"/>
    <w:rsid w:val="007F5418"/>
    <w:rsid w:val="007F6FD1"/>
    <w:rsid w:val="0080027E"/>
    <w:rsid w:val="00803F1A"/>
    <w:rsid w:val="0080600D"/>
    <w:rsid w:val="00806687"/>
    <w:rsid w:val="00814F78"/>
    <w:rsid w:val="00821910"/>
    <w:rsid w:val="0082733B"/>
    <w:rsid w:val="00834660"/>
    <w:rsid w:val="0084133A"/>
    <w:rsid w:val="00842F65"/>
    <w:rsid w:val="008456A7"/>
    <w:rsid w:val="00856C39"/>
    <w:rsid w:val="00870413"/>
    <w:rsid w:val="00873B35"/>
    <w:rsid w:val="0087674A"/>
    <w:rsid w:val="00876C5B"/>
    <w:rsid w:val="00876D00"/>
    <w:rsid w:val="00883AD6"/>
    <w:rsid w:val="008B659D"/>
    <w:rsid w:val="008B7A7F"/>
    <w:rsid w:val="008C79AB"/>
    <w:rsid w:val="008E08BD"/>
    <w:rsid w:val="008E5EFA"/>
    <w:rsid w:val="008F1959"/>
    <w:rsid w:val="008F491E"/>
    <w:rsid w:val="009021C7"/>
    <w:rsid w:val="009039F6"/>
    <w:rsid w:val="00923AB7"/>
    <w:rsid w:val="00931D55"/>
    <w:rsid w:val="00940F38"/>
    <w:rsid w:val="009445F5"/>
    <w:rsid w:val="00952925"/>
    <w:rsid w:val="00953186"/>
    <w:rsid w:val="00954493"/>
    <w:rsid w:val="00961378"/>
    <w:rsid w:val="0096264B"/>
    <w:rsid w:val="00965D0E"/>
    <w:rsid w:val="0097419F"/>
    <w:rsid w:val="009830E3"/>
    <w:rsid w:val="00985810"/>
    <w:rsid w:val="00987478"/>
    <w:rsid w:val="00994648"/>
    <w:rsid w:val="009965BE"/>
    <w:rsid w:val="009966B5"/>
    <w:rsid w:val="00997CF6"/>
    <w:rsid w:val="009A0D40"/>
    <w:rsid w:val="009B5BC3"/>
    <w:rsid w:val="009C289A"/>
    <w:rsid w:val="009D5922"/>
    <w:rsid w:val="009D66BC"/>
    <w:rsid w:val="009D7F49"/>
    <w:rsid w:val="009E1732"/>
    <w:rsid w:val="009E303C"/>
    <w:rsid w:val="009E33D1"/>
    <w:rsid w:val="00A00A2F"/>
    <w:rsid w:val="00A05E7F"/>
    <w:rsid w:val="00A07985"/>
    <w:rsid w:val="00A161BF"/>
    <w:rsid w:val="00A20A3F"/>
    <w:rsid w:val="00A2243F"/>
    <w:rsid w:val="00A44715"/>
    <w:rsid w:val="00A4580C"/>
    <w:rsid w:val="00A46A49"/>
    <w:rsid w:val="00A51581"/>
    <w:rsid w:val="00A51A50"/>
    <w:rsid w:val="00A534EA"/>
    <w:rsid w:val="00A545AB"/>
    <w:rsid w:val="00A56CB3"/>
    <w:rsid w:val="00A6355B"/>
    <w:rsid w:val="00A671F4"/>
    <w:rsid w:val="00A7099D"/>
    <w:rsid w:val="00A8115E"/>
    <w:rsid w:val="00A82E62"/>
    <w:rsid w:val="00A963E1"/>
    <w:rsid w:val="00A97603"/>
    <w:rsid w:val="00A97ED9"/>
    <w:rsid w:val="00AA61EE"/>
    <w:rsid w:val="00AB0DB9"/>
    <w:rsid w:val="00AB599A"/>
    <w:rsid w:val="00AC2AEB"/>
    <w:rsid w:val="00AC6813"/>
    <w:rsid w:val="00AD768B"/>
    <w:rsid w:val="00AE2D23"/>
    <w:rsid w:val="00AE3BB9"/>
    <w:rsid w:val="00AE497B"/>
    <w:rsid w:val="00AF5E09"/>
    <w:rsid w:val="00AF76C6"/>
    <w:rsid w:val="00B00473"/>
    <w:rsid w:val="00B030BF"/>
    <w:rsid w:val="00B036B7"/>
    <w:rsid w:val="00B03988"/>
    <w:rsid w:val="00B06619"/>
    <w:rsid w:val="00B07A07"/>
    <w:rsid w:val="00B150EC"/>
    <w:rsid w:val="00B21414"/>
    <w:rsid w:val="00B24807"/>
    <w:rsid w:val="00B2609A"/>
    <w:rsid w:val="00B277D5"/>
    <w:rsid w:val="00B314AC"/>
    <w:rsid w:val="00B4166C"/>
    <w:rsid w:val="00B41CA5"/>
    <w:rsid w:val="00B43CA3"/>
    <w:rsid w:val="00B4484D"/>
    <w:rsid w:val="00B47E61"/>
    <w:rsid w:val="00B618BF"/>
    <w:rsid w:val="00B64770"/>
    <w:rsid w:val="00B8080E"/>
    <w:rsid w:val="00B809CD"/>
    <w:rsid w:val="00B82D42"/>
    <w:rsid w:val="00B86500"/>
    <w:rsid w:val="00B940B5"/>
    <w:rsid w:val="00B95B94"/>
    <w:rsid w:val="00BA2FF3"/>
    <w:rsid w:val="00BA60BA"/>
    <w:rsid w:val="00BB14CF"/>
    <w:rsid w:val="00BB2553"/>
    <w:rsid w:val="00BB4536"/>
    <w:rsid w:val="00BC7DD2"/>
    <w:rsid w:val="00BD6BC0"/>
    <w:rsid w:val="00BE09D8"/>
    <w:rsid w:val="00BE1D1F"/>
    <w:rsid w:val="00BE62C8"/>
    <w:rsid w:val="00BF18B8"/>
    <w:rsid w:val="00BF2100"/>
    <w:rsid w:val="00BF3CDA"/>
    <w:rsid w:val="00C0704D"/>
    <w:rsid w:val="00C07C66"/>
    <w:rsid w:val="00C16F94"/>
    <w:rsid w:val="00C23E34"/>
    <w:rsid w:val="00C41E58"/>
    <w:rsid w:val="00C422AF"/>
    <w:rsid w:val="00C42E6B"/>
    <w:rsid w:val="00C43FE4"/>
    <w:rsid w:val="00C47E5C"/>
    <w:rsid w:val="00C5318E"/>
    <w:rsid w:val="00C67182"/>
    <w:rsid w:val="00C678E2"/>
    <w:rsid w:val="00C71D64"/>
    <w:rsid w:val="00C759D7"/>
    <w:rsid w:val="00C81840"/>
    <w:rsid w:val="00C83BEA"/>
    <w:rsid w:val="00C905C1"/>
    <w:rsid w:val="00C90F2B"/>
    <w:rsid w:val="00C94636"/>
    <w:rsid w:val="00C96B1D"/>
    <w:rsid w:val="00C97EE3"/>
    <w:rsid w:val="00CA0356"/>
    <w:rsid w:val="00CA1D68"/>
    <w:rsid w:val="00CA38B3"/>
    <w:rsid w:val="00CA5558"/>
    <w:rsid w:val="00CA64FA"/>
    <w:rsid w:val="00CB5D57"/>
    <w:rsid w:val="00CC0B49"/>
    <w:rsid w:val="00CD14BE"/>
    <w:rsid w:val="00CD5D52"/>
    <w:rsid w:val="00CD6D22"/>
    <w:rsid w:val="00CE4914"/>
    <w:rsid w:val="00CE4EA7"/>
    <w:rsid w:val="00CE6264"/>
    <w:rsid w:val="00CF1578"/>
    <w:rsid w:val="00CF6A91"/>
    <w:rsid w:val="00D01784"/>
    <w:rsid w:val="00D02C0B"/>
    <w:rsid w:val="00D02FB7"/>
    <w:rsid w:val="00D068B4"/>
    <w:rsid w:val="00D12B52"/>
    <w:rsid w:val="00D13641"/>
    <w:rsid w:val="00D16E03"/>
    <w:rsid w:val="00D666BC"/>
    <w:rsid w:val="00D66D18"/>
    <w:rsid w:val="00D73797"/>
    <w:rsid w:val="00D757DB"/>
    <w:rsid w:val="00D75AB3"/>
    <w:rsid w:val="00D7617E"/>
    <w:rsid w:val="00D87E7C"/>
    <w:rsid w:val="00D9298C"/>
    <w:rsid w:val="00D95050"/>
    <w:rsid w:val="00DA3692"/>
    <w:rsid w:val="00DA3905"/>
    <w:rsid w:val="00DA7A37"/>
    <w:rsid w:val="00DB0BF1"/>
    <w:rsid w:val="00DB72EE"/>
    <w:rsid w:val="00DC5372"/>
    <w:rsid w:val="00DC58D0"/>
    <w:rsid w:val="00DD132F"/>
    <w:rsid w:val="00DE2FA4"/>
    <w:rsid w:val="00DF18D3"/>
    <w:rsid w:val="00DF1C37"/>
    <w:rsid w:val="00DF20F7"/>
    <w:rsid w:val="00DF21B5"/>
    <w:rsid w:val="00DF2FA6"/>
    <w:rsid w:val="00E01D03"/>
    <w:rsid w:val="00E137DA"/>
    <w:rsid w:val="00E155BD"/>
    <w:rsid w:val="00E20749"/>
    <w:rsid w:val="00E21BB1"/>
    <w:rsid w:val="00E23D0E"/>
    <w:rsid w:val="00E341DB"/>
    <w:rsid w:val="00E34F7A"/>
    <w:rsid w:val="00E35FA7"/>
    <w:rsid w:val="00E4230B"/>
    <w:rsid w:val="00E42D90"/>
    <w:rsid w:val="00E464F3"/>
    <w:rsid w:val="00E47F46"/>
    <w:rsid w:val="00E64AC8"/>
    <w:rsid w:val="00E66594"/>
    <w:rsid w:val="00E66C5C"/>
    <w:rsid w:val="00E77CAA"/>
    <w:rsid w:val="00E91F73"/>
    <w:rsid w:val="00E9547E"/>
    <w:rsid w:val="00EA17A5"/>
    <w:rsid w:val="00EA4EB5"/>
    <w:rsid w:val="00EB1291"/>
    <w:rsid w:val="00EB7925"/>
    <w:rsid w:val="00EC5C10"/>
    <w:rsid w:val="00ED6BED"/>
    <w:rsid w:val="00EE07C5"/>
    <w:rsid w:val="00EF412F"/>
    <w:rsid w:val="00F02D8C"/>
    <w:rsid w:val="00F1526B"/>
    <w:rsid w:val="00F25922"/>
    <w:rsid w:val="00F26164"/>
    <w:rsid w:val="00F34D2E"/>
    <w:rsid w:val="00F3564D"/>
    <w:rsid w:val="00F3606C"/>
    <w:rsid w:val="00F43436"/>
    <w:rsid w:val="00F4350A"/>
    <w:rsid w:val="00F54E09"/>
    <w:rsid w:val="00F57DBF"/>
    <w:rsid w:val="00F61451"/>
    <w:rsid w:val="00F655B2"/>
    <w:rsid w:val="00F67786"/>
    <w:rsid w:val="00F72E87"/>
    <w:rsid w:val="00F828BA"/>
    <w:rsid w:val="00F87DA1"/>
    <w:rsid w:val="00F93827"/>
    <w:rsid w:val="00FA311D"/>
    <w:rsid w:val="00FA3E11"/>
    <w:rsid w:val="00FA58F5"/>
    <w:rsid w:val="00FB0BFD"/>
    <w:rsid w:val="00FB630A"/>
    <w:rsid w:val="00FB65AB"/>
    <w:rsid w:val="00FC2261"/>
    <w:rsid w:val="00FC5261"/>
    <w:rsid w:val="00FD12E5"/>
    <w:rsid w:val="00FD1709"/>
    <w:rsid w:val="00FD21D7"/>
    <w:rsid w:val="00FD625E"/>
    <w:rsid w:val="00FE2486"/>
    <w:rsid w:val="00FE4558"/>
    <w:rsid w:val="00FF2564"/>
    <w:rsid w:val="00FF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F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43"/>
    <w:rPr>
      <w:rFonts w:ascii="Calibri" w:eastAsia="Calibri" w:hAnsi="Calibri" w:cs="Times New Roman"/>
    </w:rPr>
  </w:style>
  <w:style w:type="paragraph" w:styleId="Heading1">
    <w:name w:val="heading 1"/>
    <w:basedOn w:val="Normal"/>
    <w:next w:val="Normal"/>
    <w:link w:val="Heading1Char"/>
    <w:uiPriority w:val="9"/>
    <w:qFormat/>
    <w:rsid w:val="006F5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210443"/>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210443"/>
    <w:rPr>
      <w:rFonts w:ascii="Calibri" w:eastAsia="Calibri" w:hAnsi="Calibri" w:cs="Times New Roman"/>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210443"/>
    <w:rPr>
      <w:vertAlign w:val="superscript"/>
    </w:rPr>
  </w:style>
  <w:style w:type="paragraph" w:styleId="ListParagraph">
    <w:name w:val="List Paragraph"/>
    <w:aliases w:val="Footnote,Párrafo de lista1"/>
    <w:basedOn w:val="Normal"/>
    <w:link w:val="ListParagraphChar"/>
    <w:uiPriority w:val="34"/>
    <w:qFormat/>
    <w:rsid w:val="00210443"/>
    <w:pPr>
      <w:ind w:left="720"/>
      <w:contextualSpacing/>
    </w:pPr>
  </w:style>
  <w:style w:type="character" w:styleId="Strong">
    <w:name w:val="Strong"/>
    <w:basedOn w:val="DefaultParagraphFont"/>
    <w:uiPriority w:val="22"/>
    <w:qFormat/>
    <w:rsid w:val="003E38B6"/>
    <w:rPr>
      <w:b/>
      <w:bCs/>
    </w:rPr>
  </w:style>
  <w:style w:type="character" w:customStyle="1" w:styleId="ListParagraphChar">
    <w:name w:val="List Paragraph Char"/>
    <w:aliases w:val="Footnote Char,Párrafo de lista1 Char"/>
    <w:link w:val="ListParagraph"/>
    <w:uiPriority w:val="34"/>
    <w:locked/>
    <w:rsid w:val="00535381"/>
    <w:rPr>
      <w:rFonts w:ascii="Calibri" w:eastAsia="Calibri" w:hAnsi="Calibri" w:cs="Times New Roman"/>
    </w:rPr>
  </w:style>
  <w:style w:type="character" w:styleId="CommentReference">
    <w:name w:val="annotation reference"/>
    <w:basedOn w:val="DefaultParagraphFont"/>
    <w:uiPriority w:val="99"/>
    <w:semiHidden/>
    <w:unhideWhenUsed/>
    <w:rsid w:val="00B06619"/>
    <w:rPr>
      <w:sz w:val="16"/>
      <w:szCs w:val="16"/>
    </w:rPr>
  </w:style>
  <w:style w:type="paragraph" w:styleId="CommentText">
    <w:name w:val="annotation text"/>
    <w:basedOn w:val="Normal"/>
    <w:link w:val="CommentTextChar"/>
    <w:uiPriority w:val="99"/>
    <w:semiHidden/>
    <w:unhideWhenUsed/>
    <w:rsid w:val="00B06619"/>
    <w:pPr>
      <w:spacing w:line="240" w:lineRule="auto"/>
    </w:pPr>
    <w:rPr>
      <w:sz w:val="20"/>
      <w:szCs w:val="20"/>
    </w:rPr>
  </w:style>
  <w:style w:type="character" w:customStyle="1" w:styleId="CommentTextChar">
    <w:name w:val="Comment Text Char"/>
    <w:basedOn w:val="DefaultParagraphFont"/>
    <w:link w:val="CommentText"/>
    <w:uiPriority w:val="99"/>
    <w:semiHidden/>
    <w:rsid w:val="00B066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6619"/>
    <w:rPr>
      <w:b/>
      <w:bCs/>
    </w:rPr>
  </w:style>
  <w:style w:type="character" w:customStyle="1" w:styleId="CommentSubjectChar">
    <w:name w:val="Comment Subject Char"/>
    <w:basedOn w:val="CommentTextChar"/>
    <w:link w:val="CommentSubject"/>
    <w:uiPriority w:val="99"/>
    <w:semiHidden/>
    <w:rsid w:val="00B0661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0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19"/>
    <w:rPr>
      <w:rFonts w:ascii="Tahoma" w:eastAsia="Calibri" w:hAnsi="Tahoma" w:cs="Tahoma"/>
      <w:sz w:val="16"/>
      <w:szCs w:val="16"/>
    </w:rPr>
  </w:style>
  <w:style w:type="character" w:styleId="LineNumber">
    <w:name w:val="line number"/>
    <w:basedOn w:val="DefaultParagraphFont"/>
    <w:uiPriority w:val="99"/>
    <w:semiHidden/>
    <w:unhideWhenUsed/>
    <w:rsid w:val="00FA58F5"/>
  </w:style>
  <w:style w:type="paragraph" w:styleId="Header">
    <w:name w:val="header"/>
    <w:basedOn w:val="Normal"/>
    <w:link w:val="HeaderChar"/>
    <w:uiPriority w:val="99"/>
    <w:unhideWhenUsed/>
    <w:rsid w:val="00305922"/>
    <w:pPr>
      <w:tabs>
        <w:tab w:val="center" w:pos="4419"/>
        <w:tab w:val="right" w:pos="8838"/>
      </w:tabs>
      <w:spacing w:after="0" w:line="240" w:lineRule="auto"/>
    </w:pPr>
  </w:style>
  <w:style w:type="character" w:customStyle="1" w:styleId="HeaderChar">
    <w:name w:val="Header Char"/>
    <w:basedOn w:val="DefaultParagraphFont"/>
    <w:link w:val="Header"/>
    <w:uiPriority w:val="99"/>
    <w:rsid w:val="00305922"/>
    <w:rPr>
      <w:rFonts w:ascii="Calibri" w:eastAsia="Calibri" w:hAnsi="Calibri" w:cs="Times New Roman"/>
    </w:rPr>
  </w:style>
  <w:style w:type="paragraph" w:styleId="Footer">
    <w:name w:val="footer"/>
    <w:basedOn w:val="Normal"/>
    <w:link w:val="FooterChar"/>
    <w:uiPriority w:val="99"/>
    <w:unhideWhenUsed/>
    <w:rsid w:val="00305922"/>
    <w:pPr>
      <w:tabs>
        <w:tab w:val="center" w:pos="4419"/>
        <w:tab w:val="right" w:pos="8838"/>
      </w:tabs>
      <w:spacing w:after="0" w:line="240" w:lineRule="auto"/>
    </w:pPr>
  </w:style>
  <w:style w:type="character" w:customStyle="1" w:styleId="FooterChar">
    <w:name w:val="Footer Char"/>
    <w:basedOn w:val="DefaultParagraphFont"/>
    <w:link w:val="Footer"/>
    <w:uiPriority w:val="99"/>
    <w:rsid w:val="00305922"/>
    <w:rPr>
      <w:rFonts w:ascii="Calibri" w:eastAsia="Calibri" w:hAnsi="Calibri" w:cs="Times New Roman"/>
    </w:rPr>
  </w:style>
  <w:style w:type="character" w:customStyle="1" w:styleId="Heading1Char">
    <w:name w:val="Heading 1 Char"/>
    <w:basedOn w:val="DefaultParagraphFont"/>
    <w:link w:val="Heading1"/>
    <w:uiPriority w:val="9"/>
    <w:rsid w:val="006F5B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5B50"/>
    <w:pPr>
      <w:outlineLvl w:val="9"/>
    </w:pPr>
    <w:rPr>
      <w:lang w:eastAsia="ja-JP"/>
    </w:rPr>
  </w:style>
  <w:style w:type="paragraph" w:styleId="TOC1">
    <w:name w:val="toc 1"/>
    <w:basedOn w:val="Normal"/>
    <w:next w:val="Normal"/>
    <w:autoRedefine/>
    <w:uiPriority w:val="39"/>
    <w:unhideWhenUsed/>
    <w:rsid w:val="006F5B50"/>
    <w:pPr>
      <w:spacing w:after="100"/>
    </w:pPr>
  </w:style>
  <w:style w:type="character" w:styleId="Hyperlink">
    <w:name w:val="Hyperlink"/>
    <w:basedOn w:val="DefaultParagraphFont"/>
    <w:uiPriority w:val="99"/>
    <w:unhideWhenUsed/>
    <w:rsid w:val="006F5B50"/>
    <w:rPr>
      <w:color w:val="0000FF" w:themeColor="hyperlink"/>
      <w:u w:val="single"/>
    </w:rPr>
  </w:style>
  <w:style w:type="paragraph" w:styleId="Revision">
    <w:name w:val="Revision"/>
    <w:hidden/>
    <w:uiPriority w:val="99"/>
    <w:semiHidden/>
    <w:rsid w:val="0087674A"/>
    <w:pPr>
      <w:spacing w:after="0" w:line="240" w:lineRule="auto"/>
    </w:pPr>
    <w:rPr>
      <w:rFonts w:ascii="Calibri" w:eastAsia="Calibri" w:hAnsi="Calibri" w:cs="Times New Roman"/>
    </w:rPr>
  </w:style>
  <w:style w:type="character" w:styleId="PageNumber">
    <w:name w:val="page number"/>
    <w:basedOn w:val="DefaultParagraphFont"/>
    <w:uiPriority w:val="99"/>
    <w:semiHidden/>
    <w:unhideWhenUsed/>
    <w:rsid w:val="00FF2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43"/>
    <w:rPr>
      <w:rFonts w:ascii="Calibri" w:eastAsia="Calibri" w:hAnsi="Calibri" w:cs="Times New Roman"/>
    </w:rPr>
  </w:style>
  <w:style w:type="paragraph" w:styleId="Heading1">
    <w:name w:val="heading 1"/>
    <w:basedOn w:val="Normal"/>
    <w:next w:val="Normal"/>
    <w:link w:val="Heading1Char"/>
    <w:uiPriority w:val="9"/>
    <w:qFormat/>
    <w:rsid w:val="006F5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210443"/>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210443"/>
    <w:rPr>
      <w:rFonts w:ascii="Calibri" w:eastAsia="Calibri" w:hAnsi="Calibri" w:cs="Times New Roman"/>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210443"/>
    <w:rPr>
      <w:vertAlign w:val="superscript"/>
    </w:rPr>
  </w:style>
  <w:style w:type="paragraph" w:styleId="ListParagraph">
    <w:name w:val="List Paragraph"/>
    <w:aliases w:val="Footnote,Párrafo de lista1"/>
    <w:basedOn w:val="Normal"/>
    <w:link w:val="ListParagraphChar"/>
    <w:uiPriority w:val="34"/>
    <w:qFormat/>
    <w:rsid w:val="00210443"/>
    <w:pPr>
      <w:ind w:left="720"/>
      <w:contextualSpacing/>
    </w:pPr>
  </w:style>
  <w:style w:type="character" w:styleId="Strong">
    <w:name w:val="Strong"/>
    <w:basedOn w:val="DefaultParagraphFont"/>
    <w:uiPriority w:val="22"/>
    <w:qFormat/>
    <w:rsid w:val="003E38B6"/>
    <w:rPr>
      <w:b/>
      <w:bCs/>
    </w:rPr>
  </w:style>
  <w:style w:type="character" w:customStyle="1" w:styleId="ListParagraphChar">
    <w:name w:val="List Paragraph Char"/>
    <w:aliases w:val="Footnote Char,Párrafo de lista1 Char"/>
    <w:link w:val="ListParagraph"/>
    <w:uiPriority w:val="34"/>
    <w:locked/>
    <w:rsid w:val="00535381"/>
    <w:rPr>
      <w:rFonts w:ascii="Calibri" w:eastAsia="Calibri" w:hAnsi="Calibri" w:cs="Times New Roman"/>
    </w:rPr>
  </w:style>
  <w:style w:type="character" w:styleId="CommentReference">
    <w:name w:val="annotation reference"/>
    <w:basedOn w:val="DefaultParagraphFont"/>
    <w:uiPriority w:val="99"/>
    <w:semiHidden/>
    <w:unhideWhenUsed/>
    <w:rsid w:val="00B06619"/>
    <w:rPr>
      <w:sz w:val="16"/>
      <w:szCs w:val="16"/>
    </w:rPr>
  </w:style>
  <w:style w:type="paragraph" w:styleId="CommentText">
    <w:name w:val="annotation text"/>
    <w:basedOn w:val="Normal"/>
    <w:link w:val="CommentTextChar"/>
    <w:uiPriority w:val="99"/>
    <w:semiHidden/>
    <w:unhideWhenUsed/>
    <w:rsid w:val="00B06619"/>
    <w:pPr>
      <w:spacing w:line="240" w:lineRule="auto"/>
    </w:pPr>
    <w:rPr>
      <w:sz w:val="20"/>
      <w:szCs w:val="20"/>
    </w:rPr>
  </w:style>
  <w:style w:type="character" w:customStyle="1" w:styleId="CommentTextChar">
    <w:name w:val="Comment Text Char"/>
    <w:basedOn w:val="DefaultParagraphFont"/>
    <w:link w:val="CommentText"/>
    <w:uiPriority w:val="99"/>
    <w:semiHidden/>
    <w:rsid w:val="00B066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6619"/>
    <w:rPr>
      <w:b/>
      <w:bCs/>
    </w:rPr>
  </w:style>
  <w:style w:type="character" w:customStyle="1" w:styleId="CommentSubjectChar">
    <w:name w:val="Comment Subject Char"/>
    <w:basedOn w:val="CommentTextChar"/>
    <w:link w:val="CommentSubject"/>
    <w:uiPriority w:val="99"/>
    <w:semiHidden/>
    <w:rsid w:val="00B0661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0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19"/>
    <w:rPr>
      <w:rFonts w:ascii="Tahoma" w:eastAsia="Calibri" w:hAnsi="Tahoma" w:cs="Tahoma"/>
      <w:sz w:val="16"/>
      <w:szCs w:val="16"/>
    </w:rPr>
  </w:style>
  <w:style w:type="character" w:styleId="LineNumber">
    <w:name w:val="line number"/>
    <w:basedOn w:val="DefaultParagraphFont"/>
    <w:uiPriority w:val="99"/>
    <w:semiHidden/>
    <w:unhideWhenUsed/>
    <w:rsid w:val="00FA58F5"/>
  </w:style>
  <w:style w:type="paragraph" w:styleId="Header">
    <w:name w:val="header"/>
    <w:basedOn w:val="Normal"/>
    <w:link w:val="HeaderChar"/>
    <w:uiPriority w:val="99"/>
    <w:unhideWhenUsed/>
    <w:rsid w:val="00305922"/>
    <w:pPr>
      <w:tabs>
        <w:tab w:val="center" w:pos="4419"/>
        <w:tab w:val="right" w:pos="8838"/>
      </w:tabs>
      <w:spacing w:after="0" w:line="240" w:lineRule="auto"/>
    </w:pPr>
  </w:style>
  <w:style w:type="character" w:customStyle="1" w:styleId="HeaderChar">
    <w:name w:val="Header Char"/>
    <w:basedOn w:val="DefaultParagraphFont"/>
    <w:link w:val="Header"/>
    <w:uiPriority w:val="99"/>
    <w:rsid w:val="00305922"/>
    <w:rPr>
      <w:rFonts w:ascii="Calibri" w:eastAsia="Calibri" w:hAnsi="Calibri" w:cs="Times New Roman"/>
    </w:rPr>
  </w:style>
  <w:style w:type="paragraph" w:styleId="Footer">
    <w:name w:val="footer"/>
    <w:basedOn w:val="Normal"/>
    <w:link w:val="FooterChar"/>
    <w:uiPriority w:val="99"/>
    <w:unhideWhenUsed/>
    <w:rsid w:val="00305922"/>
    <w:pPr>
      <w:tabs>
        <w:tab w:val="center" w:pos="4419"/>
        <w:tab w:val="right" w:pos="8838"/>
      </w:tabs>
      <w:spacing w:after="0" w:line="240" w:lineRule="auto"/>
    </w:pPr>
  </w:style>
  <w:style w:type="character" w:customStyle="1" w:styleId="FooterChar">
    <w:name w:val="Footer Char"/>
    <w:basedOn w:val="DefaultParagraphFont"/>
    <w:link w:val="Footer"/>
    <w:uiPriority w:val="99"/>
    <w:rsid w:val="00305922"/>
    <w:rPr>
      <w:rFonts w:ascii="Calibri" w:eastAsia="Calibri" w:hAnsi="Calibri" w:cs="Times New Roman"/>
    </w:rPr>
  </w:style>
  <w:style w:type="character" w:customStyle="1" w:styleId="Heading1Char">
    <w:name w:val="Heading 1 Char"/>
    <w:basedOn w:val="DefaultParagraphFont"/>
    <w:link w:val="Heading1"/>
    <w:uiPriority w:val="9"/>
    <w:rsid w:val="006F5B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5B50"/>
    <w:pPr>
      <w:outlineLvl w:val="9"/>
    </w:pPr>
    <w:rPr>
      <w:lang w:eastAsia="ja-JP"/>
    </w:rPr>
  </w:style>
  <w:style w:type="paragraph" w:styleId="TOC1">
    <w:name w:val="toc 1"/>
    <w:basedOn w:val="Normal"/>
    <w:next w:val="Normal"/>
    <w:autoRedefine/>
    <w:uiPriority w:val="39"/>
    <w:unhideWhenUsed/>
    <w:rsid w:val="006F5B50"/>
    <w:pPr>
      <w:spacing w:after="100"/>
    </w:pPr>
  </w:style>
  <w:style w:type="character" w:styleId="Hyperlink">
    <w:name w:val="Hyperlink"/>
    <w:basedOn w:val="DefaultParagraphFont"/>
    <w:uiPriority w:val="99"/>
    <w:unhideWhenUsed/>
    <w:rsid w:val="006F5B50"/>
    <w:rPr>
      <w:color w:val="0000FF" w:themeColor="hyperlink"/>
      <w:u w:val="single"/>
    </w:rPr>
  </w:style>
  <w:style w:type="paragraph" w:styleId="Revision">
    <w:name w:val="Revision"/>
    <w:hidden/>
    <w:uiPriority w:val="99"/>
    <w:semiHidden/>
    <w:rsid w:val="0087674A"/>
    <w:pPr>
      <w:spacing w:after="0" w:line="240" w:lineRule="auto"/>
    </w:pPr>
    <w:rPr>
      <w:rFonts w:ascii="Calibri" w:eastAsia="Calibri" w:hAnsi="Calibri" w:cs="Times New Roman"/>
    </w:rPr>
  </w:style>
  <w:style w:type="character" w:styleId="PageNumber">
    <w:name w:val="page number"/>
    <w:basedOn w:val="DefaultParagraphFont"/>
    <w:uiPriority w:val="99"/>
    <w:semiHidden/>
    <w:unhideWhenUsed/>
    <w:rsid w:val="00FF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24040">
      <w:bodyDiv w:val="1"/>
      <w:marLeft w:val="0"/>
      <w:marRight w:val="0"/>
      <w:marTop w:val="0"/>
      <w:marBottom w:val="0"/>
      <w:divBdr>
        <w:top w:val="none" w:sz="0" w:space="0" w:color="auto"/>
        <w:left w:val="none" w:sz="0" w:space="0" w:color="auto"/>
        <w:bottom w:val="none" w:sz="0" w:space="0" w:color="auto"/>
        <w:right w:val="none" w:sz="0" w:space="0" w:color="auto"/>
      </w:divBdr>
    </w:div>
    <w:div w:id="1726221504">
      <w:bodyDiv w:val="1"/>
      <w:marLeft w:val="0"/>
      <w:marRight w:val="0"/>
      <w:marTop w:val="0"/>
      <w:marBottom w:val="0"/>
      <w:divBdr>
        <w:top w:val="none" w:sz="0" w:space="0" w:color="auto"/>
        <w:left w:val="none" w:sz="0" w:space="0" w:color="auto"/>
        <w:bottom w:val="none" w:sz="0" w:space="0" w:color="auto"/>
        <w:right w:val="none" w:sz="0" w:space="0" w:color="auto"/>
      </w:divBdr>
    </w:div>
    <w:div w:id="1924533252">
      <w:bodyDiv w:val="1"/>
      <w:marLeft w:val="0"/>
      <w:marRight w:val="0"/>
      <w:marTop w:val="0"/>
      <w:marBottom w:val="0"/>
      <w:divBdr>
        <w:top w:val="none" w:sz="0" w:space="0" w:color="auto"/>
        <w:left w:val="none" w:sz="0" w:space="0" w:color="auto"/>
        <w:bottom w:val="none" w:sz="0" w:space="0" w:color="auto"/>
        <w:right w:val="none" w:sz="0" w:space="0" w:color="auto"/>
      </w:divBdr>
    </w:div>
    <w:div w:id="20659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186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007C-2DF0-469C-A849-6EBBBA4B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5620</Words>
  <Characters>30916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2017-12-20T22:17:00Z</cp:lastPrinted>
  <dcterms:created xsi:type="dcterms:W3CDTF">2017-12-20T22:08:00Z</dcterms:created>
  <dcterms:modified xsi:type="dcterms:W3CDTF">2017-12-20T22:21:00Z</dcterms:modified>
</cp:coreProperties>
</file>