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64F7" w14:textId="77777777" w:rsidR="00C1515A" w:rsidRDefault="00C1515A" w:rsidP="00C1515A">
      <w:pPr>
        <w:jc w:val="center"/>
        <w:rPr>
          <w:lang w:val="es-CR"/>
        </w:rPr>
      </w:pPr>
      <w:bookmarkStart w:id="0" w:name="_GoBack"/>
      <w:bookmarkEnd w:id="0"/>
    </w:p>
    <w:p w14:paraId="27C8330D" w14:textId="77777777" w:rsidR="00BF3540" w:rsidRDefault="00BF3540" w:rsidP="00C1515A">
      <w:pPr>
        <w:jc w:val="center"/>
        <w:rPr>
          <w:lang w:val="es-CR"/>
        </w:rPr>
      </w:pPr>
      <w:bookmarkStart w:id="1" w:name="_Ref406134493"/>
      <w:bookmarkEnd w:id="1"/>
    </w:p>
    <w:p w14:paraId="045D43A2" w14:textId="77777777" w:rsidR="00C1515A" w:rsidRDefault="00C1515A" w:rsidP="00C1515A">
      <w:pPr>
        <w:jc w:val="center"/>
        <w:rPr>
          <w:lang w:val="es-CR"/>
        </w:rPr>
      </w:pPr>
    </w:p>
    <w:p w14:paraId="1D7EA8BC" w14:textId="77777777" w:rsidR="007F0094" w:rsidRDefault="007F0094" w:rsidP="00C1515A">
      <w:pPr>
        <w:jc w:val="center"/>
        <w:rPr>
          <w:lang w:val="es-CR"/>
        </w:rPr>
      </w:pPr>
    </w:p>
    <w:p w14:paraId="6240E0E4" w14:textId="77777777" w:rsidR="001B3891" w:rsidRDefault="001B3891" w:rsidP="00C1515A">
      <w:pPr>
        <w:jc w:val="center"/>
        <w:rPr>
          <w:lang w:val="es-CR"/>
        </w:rPr>
      </w:pPr>
    </w:p>
    <w:p w14:paraId="6E007D17" w14:textId="77777777" w:rsidR="001B3891" w:rsidRDefault="001B3891" w:rsidP="00C1515A">
      <w:pPr>
        <w:jc w:val="center"/>
        <w:rPr>
          <w:lang w:val="es-CR"/>
        </w:rPr>
      </w:pPr>
    </w:p>
    <w:p w14:paraId="08F8408C"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RESOLUCIÓN DE LA </w:t>
      </w:r>
    </w:p>
    <w:p w14:paraId="36D0F228" w14:textId="77777777" w:rsidR="00C1515A" w:rsidRDefault="00C1515A" w:rsidP="00C1515A">
      <w:pPr>
        <w:spacing w:after="0" w:line="240" w:lineRule="auto"/>
        <w:jc w:val="center"/>
        <w:rPr>
          <w:rFonts w:ascii="Verdana" w:hAnsi="Verdana"/>
          <w:b/>
          <w:sz w:val="20"/>
          <w:szCs w:val="20"/>
          <w:lang w:val="es-CR"/>
        </w:rPr>
      </w:pPr>
    </w:p>
    <w:p w14:paraId="08E6C452" w14:textId="26093004"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BF3540">
        <w:rPr>
          <w:rStyle w:val="FootnoteReference"/>
          <w:rFonts w:ascii="Verdana" w:hAnsi="Verdana"/>
          <w:b/>
          <w:sz w:val="20"/>
          <w:szCs w:val="20"/>
          <w:lang w:val="es-CR"/>
        </w:rPr>
        <w:footnoteReference w:customMarkFollows="1" w:id="1"/>
        <w:t>*</w:t>
      </w:r>
    </w:p>
    <w:p w14:paraId="180644D3" w14:textId="77777777" w:rsidR="00C1515A" w:rsidRDefault="00C1515A" w:rsidP="00C1515A">
      <w:pPr>
        <w:spacing w:after="0" w:line="240" w:lineRule="auto"/>
        <w:jc w:val="center"/>
        <w:rPr>
          <w:rFonts w:ascii="Verdana" w:hAnsi="Verdana"/>
          <w:b/>
          <w:sz w:val="20"/>
          <w:szCs w:val="20"/>
          <w:lang w:val="es-CR"/>
        </w:rPr>
      </w:pPr>
    </w:p>
    <w:p w14:paraId="438B0D9F" w14:textId="46F9ADF1"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BF3540">
        <w:rPr>
          <w:rFonts w:ascii="Verdana" w:hAnsi="Verdana"/>
          <w:b/>
          <w:sz w:val="20"/>
          <w:szCs w:val="20"/>
          <w:lang w:val="es-CR"/>
        </w:rPr>
        <w:t>21</w:t>
      </w:r>
      <w:r>
        <w:rPr>
          <w:rFonts w:ascii="Verdana" w:hAnsi="Verdana"/>
          <w:b/>
          <w:sz w:val="20"/>
          <w:szCs w:val="20"/>
          <w:lang w:val="es-CR"/>
        </w:rPr>
        <w:t xml:space="preserve"> DE </w:t>
      </w:r>
      <w:r w:rsidR="00F63DE7">
        <w:rPr>
          <w:rFonts w:ascii="Verdana" w:hAnsi="Verdana"/>
          <w:b/>
          <w:sz w:val="20"/>
          <w:szCs w:val="20"/>
          <w:lang w:val="es-CR"/>
        </w:rPr>
        <w:t>NOVIEMBRE</w:t>
      </w:r>
      <w:r>
        <w:rPr>
          <w:rFonts w:ascii="Verdana" w:hAnsi="Verdana"/>
          <w:b/>
          <w:sz w:val="20"/>
          <w:szCs w:val="20"/>
          <w:lang w:val="es-CR"/>
        </w:rPr>
        <w:t xml:space="preserve"> DE 2018</w:t>
      </w:r>
    </w:p>
    <w:p w14:paraId="489664BA" w14:textId="77777777" w:rsidR="00C1515A" w:rsidRDefault="00C1515A" w:rsidP="00C1515A">
      <w:pPr>
        <w:spacing w:after="0" w:line="240" w:lineRule="auto"/>
        <w:jc w:val="center"/>
        <w:rPr>
          <w:rFonts w:ascii="Verdana" w:hAnsi="Verdana"/>
          <w:b/>
          <w:sz w:val="20"/>
          <w:szCs w:val="20"/>
          <w:lang w:val="es-CR"/>
        </w:rPr>
      </w:pPr>
    </w:p>
    <w:p w14:paraId="4CA316DA"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A65CFA">
        <w:rPr>
          <w:rFonts w:ascii="Verdana" w:hAnsi="Verdana"/>
          <w:b/>
          <w:sz w:val="20"/>
          <w:szCs w:val="20"/>
          <w:lang w:val="es-CR"/>
        </w:rPr>
        <w:t>I.V. VS. BOLIVIA</w:t>
      </w:r>
    </w:p>
    <w:p w14:paraId="27B07686" w14:textId="77777777" w:rsidR="00C1515A" w:rsidRDefault="00C1515A" w:rsidP="00C1515A">
      <w:pPr>
        <w:spacing w:after="0" w:line="240" w:lineRule="auto"/>
        <w:jc w:val="center"/>
        <w:rPr>
          <w:rFonts w:ascii="Verdana" w:hAnsi="Verdana"/>
          <w:b/>
          <w:sz w:val="20"/>
          <w:szCs w:val="20"/>
          <w:lang w:val="es-CR"/>
        </w:rPr>
      </w:pPr>
    </w:p>
    <w:p w14:paraId="37BFB78A"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50F10033" w14:textId="77777777" w:rsidR="00C1515A" w:rsidRDefault="00C1515A" w:rsidP="00C1515A">
      <w:pPr>
        <w:spacing w:after="0" w:line="240" w:lineRule="auto"/>
        <w:rPr>
          <w:rFonts w:ascii="Verdana" w:hAnsi="Verdana"/>
          <w:b/>
          <w:sz w:val="20"/>
          <w:szCs w:val="20"/>
          <w:lang w:val="es-CR"/>
        </w:rPr>
      </w:pPr>
    </w:p>
    <w:p w14:paraId="48A180EA" w14:textId="77777777" w:rsidR="00C1515A" w:rsidRDefault="00C1515A" w:rsidP="00C1515A">
      <w:pPr>
        <w:spacing w:after="0" w:line="240" w:lineRule="auto"/>
        <w:rPr>
          <w:rFonts w:ascii="Verdana" w:hAnsi="Verdana"/>
          <w:b/>
          <w:sz w:val="20"/>
          <w:szCs w:val="20"/>
          <w:lang w:val="es-CR"/>
        </w:rPr>
      </w:pPr>
      <w:r>
        <w:rPr>
          <w:rFonts w:ascii="Verdana" w:hAnsi="Verdana"/>
          <w:b/>
          <w:sz w:val="20"/>
          <w:szCs w:val="20"/>
          <w:lang w:val="es-CR"/>
        </w:rPr>
        <w:t xml:space="preserve">VISTO: </w:t>
      </w:r>
    </w:p>
    <w:p w14:paraId="76DB696C" w14:textId="77777777" w:rsidR="00C1515A" w:rsidRDefault="00C1515A" w:rsidP="00C1515A">
      <w:pPr>
        <w:spacing w:after="0" w:line="240" w:lineRule="auto"/>
        <w:rPr>
          <w:rFonts w:ascii="Verdana" w:hAnsi="Verdana"/>
          <w:sz w:val="20"/>
          <w:szCs w:val="20"/>
          <w:lang w:val="es-CR"/>
        </w:rPr>
      </w:pPr>
    </w:p>
    <w:p w14:paraId="5A683AF6" w14:textId="6CAD9D89" w:rsidR="00A65CFA" w:rsidRPr="00A65CFA" w:rsidRDefault="00A65CFA" w:rsidP="00A65CFA">
      <w:pPr>
        <w:pStyle w:val="ListParagraph"/>
        <w:numPr>
          <w:ilvl w:val="0"/>
          <w:numId w:val="1"/>
        </w:numPr>
        <w:spacing w:after="0" w:line="240" w:lineRule="auto"/>
        <w:ind w:left="0" w:firstLine="0"/>
        <w:jc w:val="both"/>
        <w:rPr>
          <w:rFonts w:eastAsia="Calibri"/>
          <w:sz w:val="20"/>
          <w:szCs w:val="20"/>
          <w:lang w:val="es-CR" w:eastAsia="es-CR"/>
        </w:rPr>
      </w:pPr>
      <w:bookmarkStart w:id="2" w:name="_Ref530404017"/>
      <w:r w:rsidRPr="00A65CFA">
        <w:rPr>
          <w:rFonts w:ascii="Verdana" w:hAnsi="Verdana"/>
          <w:sz w:val="20"/>
          <w:szCs w:val="20"/>
          <w:lang w:val="es-CR"/>
        </w:rPr>
        <w:t xml:space="preserve">La Sentencia de excepciones preliminares, </w:t>
      </w:r>
      <w:r w:rsidRPr="00A65CFA">
        <w:rPr>
          <w:rStyle w:val="Strong"/>
          <w:rFonts w:ascii="Verdana" w:hAnsi="Verdana"/>
          <w:b w:val="0"/>
          <w:color w:val="000000"/>
          <w:sz w:val="20"/>
          <w:szCs w:val="20"/>
          <w:shd w:val="clear" w:color="auto" w:fill="FFFFFF"/>
          <w:lang w:val="es-CR"/>
        </w:rPr>
        <w:t>fondo, reparaciones y costas</w:t>
      </w:r>
      <w:r w:rsidRPr="00A65CFA">
        <w:rPr>
          <w:rStyle w:val="Strong"/>
          <w:rFonts w:ascii="Verdana" w:hAnsi="Verdana"/>
          <w:color w:val="000000"/>
          <w:sz w:val="20"/>
          <w:szCs w:val="20"/>
          <w:shd w:val="clear" w:color="auto" w:fill="FFFFFF"/>
          <w:lang w:val="es-CR"/>
        </w:rPr>
        <w:t xml:space="preserve"> </w:t>
      </w:r>
      <w:r w:rsidRPr="00A65CFA">
        <w:rPr>
          <w:rFonts w:ascii="Verdana" w:hAnsi="Verdana"/>
          <w:sz w:val="20"/>
          <w:szCs w:val="20"/>
          <w:lang w:val="es-CR"/>
        </w:rPr>
        <w:t>(en adelante “la Sentencia” o “el Fallo”) dictada por la Corte Interamericana de Derechos Humanos (en adelante “la Corte”, “la Corte Interamericana” o “el Tribunal”) el 30 de noviembre de 2016</w:t>
      </w:r>
      <w:r w:rsidRPr="00A65CFA">
        <w:rPr>
          <w:rStyle w:val="FootnoteReference"/>
          <w:rFonts w:ascii="Verdana" w:hAnsi="Verdana"/>
          <w:sz w:val="20"/>
          <w:szCs w:val="20"/>
        </w:rPr>
        <w:footnoteReference w:id="2"/>
      </w:r>
      <w:r w:rsidRPr="00A65CFA">
        <w:rPr>
          <w:rFonts w:ascii="Verdana" w:hAnsi="Verdana"/>
          <w:sz w:val="20"/>
          <w:szCs w:val="20"/>
          <w:lang w:val="es-CR"/>
        </w:rPr>
        <w:t>. Los hechos del caso se refieren a la esterilización no consentida realizada a la señora I.V. en un hospital público en Bolivia el 1 de julio de 2000, durante una cesárea. La Corte determinó que el Estado Plurinacional de Bolivia (en adelante “el Estado” o “Bolivia”) incurrió en responsabilidad internacional por la violación a los derechos a la integridad personal, a la libertad personal, la dignidad, la vida privada y familiar, al acceso a la información y a fundar una familia</w:t>
      </w:r>
      <w:r w:rsidRPr="00A65CFA">
        <w:rPr>
          <w:rFonts w:ascii="Verdana" w:hAnsi="Verdana"/>
          <w:bCs/>
          <w:color w:val="000000"/>
          <w:sz w:val="20"/>
          <w:szCs w:val="20"/>
          <w:shd w:val="clear" w:color="auto" w:fill="FFFFFF"/>
          <w:lang w:val="es-CR"/>
        </w:rPr>
        <w:t xml:space="preserve"> </w:t>
      </w:r>
      <w:r w:rsidRPr="00A65CFA">
        <w:rPr>
          <w:rFonts w:ascii="Verdana" w:hAnsi="Verdana"/>
          <w:sz w:val="20"/>
          <w:szCs w:val="20"/>
          <w:lang w:val="es-CR"/>
        </w:rPr>
        <w:t>por cuanto no adoptó medidas de prevención suficientes para garantizar a la señora I.V. su derecho a tomar sus propias decisiones sobre su salud reproductiva y los métodos anticonceptivos que mejor se ajustaban a su proyecto de vida, de modo tal que no fuera sometida a una esterilización sin su consentimiento previo, libre, pleno e informado. Igualmente, determinó que la esterilización no consentida o involuntaria a la que fue sometida la señora I.V. constituyó un trato cruel, inhumano y degradante. La Corte también consideró que existió un tratamiento discriminatorio en contra de I.V. por ser mujer, ya que el médico actuó con base en estereotipos de género motivado en una lógica de cuidado paternalista y bajo la pre-concepción de que la esterilización debía realizarse mientras I.V. se encontraba en el transoperatorio de una cesárea, a pesar de que su caso no era una urgen</w:t>
      </w:r>
      <w:r w:rsidR="008E42B1">
        <w:rPr>
          <w:rFonts w:ascii="Verdana" w:hAnsi="Verdana"/>
          <w:sz w:val="20"/>
          <w:szCs w:val="20"/>
          <w:lang w:val="es-CR"/>
        </w:rPr>
        <w:t>cia o emergencia médica</w:t>
      </w:r>
      <w:r w:rsidR="00292FF8">
        <w:rPr>
          <w:rFonts w:ascii="Verdana" w:hAnsi="Verdana"/>
          <w:sz w:val="20"/>
          <w:szCs w:val="20"/>
          <w:lang w:val="es-CR"/>
        </w:rPr>
        <w:t>, debido a que s</w:t>
      </w:r>
      <w:r w:rsidR="008E42B1">
        <w:rPr>
          <w:rFonts w:ascii="Verdana" w:hAnsi="Verdana"/>
          <w:sz w:val="20"/>
          <w:szCs w:val="20"/>
          <w:lang w:val="es-CR"/>
        </w:rPr>
        <w:t>e part</w:t>
      </w:r>
      <w:r w:rsidR="00292FF8">
        <w:rPr>
          <w:rFonts w:ascii="Verdana" w:hAnsi="Verdana"/>
          <w:sz w:val="20"/>
          <w:szCs w:val="20"/>
          <w:lang w:val="es-CR"/>
        </w:rPr>
        <w:t>ía</w:t>
      </w:r>
      <w:r w:rsidRPr="00A65CFA">
        <w:rPr>
          <w:rFonts w:ascii="Verdana" w:hAnsi="Verdana"/>
          <w:sz w:val="20"/>
          <w:szCs w:val="20"/>
          <w:lang w:val="es-CR"/>
        </w:rPr>
        <w:t xml:space="preserve"> de la idea de que ella no tomaría decisiones confiables en el futuro para evitar un nuevo embarazo y de que era la única responsable de la anticoncepción de la pareja. Finalmente, se determinó la existencia de una violación al derecho de acceso a la justicia, por la ineficacia judicial frente al caso de </w:t>
      </w:r>
      <w:r w:rsidRPr="00A65CFA">
        <w:rPr>
          <w:rFonts w:ascii="Verdana" w:hAnsi="Verdana"/>
          <w:sz w:val="20"/>
          <w:szCs w:val="20"/>
          <w:lang w:val="es-CR"/>
        </w:rPr>
        <w:lastRenderedPageBreak/>
        <w:t xml:space="preserve">violencia contra la mujer perpetrada en perjuicio de I.V. </w:t>
      </w:r>
      <w:r w:rsidR="00C563B2" w:rsidRPr="00B8038F">
        <w:rPr>
          <w:rFonts w:ascii="Verdana" w:hAnsi="Verdana"/>
          <w:sz w:val="20"/>
          <w:szCs w:val="20"/>
          <w:lang w:val="es-CR"/>
        </w:rPr>
        <w:t xml:space="preserve">El Tribunal estableció que su Sentencia constituía por sí misma una forma de reparación y, adicionalmente, ordenó al Estado </w:t>
      </w:r>
      <w:r w:rsidR="00C563B2">
        <w:rPr>
          <w:rFonts w:ascii="Verdana" w:hAnsi="Verdana"/>
          <w:sz w:val="20"/>
          <w:szCs w:val="20"/>
          <w:lang w:val="es-CR"/>
        </w:rPr>
        <w:t xml:space="preserve">la adopción de </w:t>
      </w:r>
      <w:r w:rsidR="00C563B2" w:rsidRPr="00B8038F">
        <w:rPr>
          <w:rFonts w:ascii="Verdana" w:hAnsi="Verdana"/>
          <w:sz w:val="20"/>
          <w:szCs w:val="20"/>
          <w:lang w:val="es-CR"/>
        </w:rPr>
        <w:t xml:space="preserve">medidas </w:t>
      </w:r>
      <w:r w:rsidR="00C563B2">
        <w:rPr>
          <w:rFonts w:ascii="Verdana" w:hAnsi="Verdana"/>
          <w:sz w:val="20"/>
          <w:szCs w:val="20"/>
          <w:lang w:val="es-CR"/>
        </w:rPr>
        <w:t xml:space="preserve">adicionales </w:t>
      </w:r>
      <w:r w:rsidR="00C563B2" w:rsidRPr="00B8038F">
        <w:rPr>
          <w:rFonts w:ascii="Verdana" w:hAnsi="Verdana"/>
          <w:sz w:val="20"/>
          <w:szCs w:val="20"/>
          <w:lang w:val="es-CR"/>
        </w:rPr>
        <w:t>de reparación (</w:t>
      </w:r>
      <w:r w:rsidR="00C563B2" w:rsidRPr="00B8038F">
        <w:rPr>
          <w:rFonts w:ascii="Verdana" w:hAnsi="Verdana"/>
          <w:i/>
          <w:sz w:val="20"/>
          <w:szCs w:val="20"/>
          <w:lang w:val="es-CR"/>
        </w:rPr>
        <w:t xml:space="preserve">infra </w:t>
      </w:r>
      <w:r w:rsidR="00C563B2" w:rsidRPr="00B8038F">
        <w:rPr>
          <w:rFonts w:ascii="Verdana" w:hAnsi="Verdana"/>
          <w:sz w:val="20"/>
          <w:szCs w:val="20"/>
          <w:lang w:val="es-CR"/>
        </w:rPr>
        <w:t xml:space="preserve">Considerando </w:t>
      </w:r>
      <w:r w:rsidR="00BF3540">
        <w:rPr>
          <w:rFonts w:ascii="Verdana" w:hAnsi="Verdana"/>
          <w:sz w:val="20"/>
          <w:szCs w:val="20"/>
          <w:lang w:val="es-CR"/>
        </w:rPr>
        <w:fldChar w:fldCharType="begin"/>
      </w:r>
      <w:r w:rsidR="00BF3540">
        <w:rPr>
          <w:rFonts w:ascii="Verdana" w:hAnsi="Verdana"/>
          <w:sz w:val="20"/>
          <w:szCs w:val="20"/>
          <w:lang w:val="es-CR"/>
        </w:rPr>
        <w:instrText xml:space="preserve"> REF _Ref406134495 \r \h </w:instrText>
      </w:r>
      <w:r w:rsidR="00BF3540">
        <w:rPr>
          <w:rFonts w:ascii="Verdana" w:hAnsi="Verdana"/>
          <w:sz w:val="20"/>
          <w:szCs w:val="20"/>
          <w:lang w:val="es-CR"/>
        </w:rPr>
      </w:r>
      <w:r w:rsidR="00BF3540">
        <w:rPr>
          <w:rFonts w:ascii="Verdana" w:hAnsi="Verdana"/>
          <w:sz w:val="20"/>
          <w:szCs w:val="20"/>
          <w:lang w:val="es-CR"/>
        </w:rPr>
        <w:fldChar w:fldCharType="separate"/>
      </w:r>
      <w:r w:rsidR="00AE1507">
        <w:rPr>
          <w:rFonts w:ascii="Verdana" w:hAnsi="Verdana"/>
          <w:sz w:val="20"/>
          <w:szCs w:val="20"/>
          <w:lang w:val="es-CR"/>
        </w:rPr>
        <w:t>1</w:t>
      </w:r>
      <w:r w:rsidR="00BF3540">
        <w:rPr>
          <w:rFonts w:ascii="Verdana" w:hAnsi="Verdana"/>
          <w:sz w:val="20"/>
          <w:szCs w:val="20"/>
          <w:lang w:val="es-CR"/>
        </w:rPr>
        <w:fldChar w:fldCharType="end"/>
      </w:r>
      <w:r w:rsidR="00C563B2" w:rsidRPr="00B8038F">
        <w:rPr>
          <w:rFonts w:ascii="Verdana" w:hAnsi="Verdana"/>
          <w:sz w:val="20"/>
          <w:szCs w:val="20"/>
          <w:lang w:val="es-CR"/>
        </w:rPr>
        <w:t>).</w:t>
      </w:r>
      <w:bookmarkEnd w:id="2"/>
    </w:p>
    <w:p w14:paraId="6BAACA67" w14:textId="77777777" w:rsidR="00E71CBC" w:rsidRDefault="00E71CBC" w:rsidP="00E71CBC">
      <w:pPr>
        <w:pStyle w:val="ListParagraph"/>
        <w:spacing w:after="0" w:line="240" w:lineRule="auto"/>
        <w:ind w:left="0"/>
        <w:jc w:val="both"/>
        <w:rPr>
          <w:rFonts w:ascii="Verdana" w:hAnsi="Verdana"/>
          <w:sz w:val="20"/>
          <w:szCs w:val="20"/>
          <w:lang w:val="es-CR"/>
        </w:rPr>
      </w:pPr>
    </w:p>
    <w:p w14:paraId="1223C5DC" w14:textId="77777777" w:rsidR="00E71CBC" w:rsidRDefault="00E71CBC" w:rsidP="00C1515A">
      <w:pPr>
        <w:pStyle w:val="ListParagraph"/>
        <w:numPr>
          <w:ilvl w:val="0"/>
          <w:numId w:val="1"/>
        </w:numPr>
        <w:spacing w:after="0" w:line="240" w:lineRule="auto"/>
        <w:ind w:left="0" w:firstLine="0"/>
        <w:jc w:val="both"/>
        <w:rPr>
          <w:rFonts w:ascii="Verdana" w:hAnsi="Verdana"/>
          <w:sz w:val="20"/>
          <w:szCs w:val="20"/>
          <w:lang w:val="es-CR"/>
        </w:rPr>
      </w:pPr>
      <w:bookmarkStart w:id="3" w:name="_Ref530405900"/>
      <w:r>
        <w:rPr>
          <w:rFonts w:ascii="Verdana" w:hAnsi="Verdana"/>
          <w:sz w:val="20"/>
          <w:szCs w:val="20"/>
          <w:lang w:val="es-CR"/>
        </w:rPr>
        <w:t>La Resoluci</w:t>
      </w:r>
      <w:r w:rsidR="00A65CFA">
        <w:rPr>
          <w:rFonts w:ascii="Verdana" w:hAnsi="Verdana"/>
          <w:sz w:val="20"/>
          <w:szCs w:val="20"/>
          <w:lang w:val="es-CR"/>
        </w:rPr>
        <w:t>ón</w:t>
      </w:r>
      <w:r>
        <w:rPr>
          <w:rFonts w:ascii="Verdana" w:hAnsi="Verdana"/>
          <w:sz w:val="20"/>
          <w:szCs w:val="20"/>
          <w:lang w:val="es-CR"/>
        </w:rPr>
        <w:t xml:space="preserve"> de supervisión de cumplimiento de Sentencia emitida por la Corte Interamericana el</w:t>
      </w:r>
      <w:r w:rsidR="00A65CFA">
        <w:rPr>
          <w:rFonts w:ascii="Verdana" w:hAnsi="Verdana"/>
          <w:sz w:val="20"/>
          <w:szCs w:val="20"/>
          <w:lang w:val="es-CR"/>
        </w:rPr>
        <w:t xml:space="preserve"> 14 de noviembre de 2017</w:t>
      </w:r>
      <w:r w:rsidR="00417C29">
        <w:rPr>
          <w:rStyle w:val="FootnoteReference"/>
          <w:rFonts w:ascii="Verdana" w:hAnsi="Verdana"/>
          <w:sz w:val="20"/>
          <w:szCs w:val="20"/>
          <w:lang w:val="es-CR"/>
        </w:rPr>
        <w:footnoteReference w:id="3"/>
      </w:r>
      <w:r>
        <w:rPr>
          <w:rFonts w:ascii="Verdana" w:hAnsi="Verdana"/>
          <w:sz w:val="20"/>
          <w:szCs w:val="20"/>
          <w:lang w:val="es-CR"/>
        </w:rPr>
        <w:t>.</w:t>
      </w:r>
      <w:bookmarkEnd w:id="3"/>
    </w:p>
    <w:p w14:paraId="016A46E4" w14:textId="77777777" w:rsidR="008109D5" w:rsidRPr="008109D5" w:rsidRDefault="008109D5" w:rsidP="008109D5">
      <w:pPr>
        <w:pStyle w:val="ListParagraph"/>
        <w:rPr>
          <w:rFonts w:ascii="Verdana" w:hAnsi="Verdana"/>
          <w:sz w:val="20"/>
          <w:szCs w:val="20"/>
          <w:lang w:val="es-CR"/>
        </w:rPr>
      </w:pPr>
    </w:p>
    <w:p w14:paraId="652E549E" w14:textId="63B432D8" w:rsidR="008109D5" w:rsidRDefault="008109D5" w:rsidP="00C1515A">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3D12CF">
        <w:rPr>
          <w:rFonts w:ascii="Verdana" w:hAnsi="Verdana"/>
          <w:sz w:val="20"/>
          <w:szCs w:val="20"/>
          <w:lang w:val="es-CR"/>
        </w:rPr>
        <w:t>nueve</w:t>
      </w:r>
      <w:r w:rsidR="0094694E">
        <w:rPr>
          <w:rFonts w:ascii="Verdana" w:hAnsi="Verdana"/>
          <w:sz w:val="20"/>
          <w:szCs w:val="20"/>
          <w:lang w:val="es-CR"/>
        </w:rPr>
        <w:t xml:space="preserve"> </w:t>
      </w:r>
      <w:r>
        <w:rPr>
          <w:rFonts w:ascii="Verdana" w:hAnsi="Verdana"/>
          <w:sz w:val="20"/>
          <w:szCs w:val="20"/>
          <w:lang w:val="es-CR"/>
        </w:rPr>
        <w:t xml:space="preserve">informes presentados por el Estado de </w:t>
      </w:r>
      <w:r w:rsidR="00A65CFA">
        <w:rPr>
          <w:rFonts w:ascii="Verdana" w:hAnsi="Verdana"/>
          <w:sz w:val="20"/>
          <w:szCs w:val="20"/>
          <w:lang w:val="es-CR"/>
        </w:rPr>
        <w:t>Bolivia</w:t>
      </w:r>
      <w:r>
        <w:rPr>
          <w:rFonts w:ascii="Verdana" w:hAnsi="Verdana"/>
          <w:sz w:val="20"/>
          <w:szCs w:val="20"/>
          <w:lang w:val="es-CR"/>
        </w:rPr>
        <w:t xml:space="preserve"> entre </w:t>
      </w:r>
      <w:r w:rsidR="00A65CFA">
        <w:rPr>
          <w:rFonts w:ascii="Verdana" w:hAnsi="Verdana"/>
          <w:sz w:val="20"/>
          <w:szCs w:val="20"/>
          <w:lang w:val="es-CR"/>
        </w:rPr>
        <w:t>abril</w:t>
      </w:r>
      <w:r>
        <w:rPr>
          <w:rFonts w:ascii="Verdana" w:hAnsi="Verdana"/>
          <w:sz w:val="20"/>
          <w:szCs w:val="20"/>
          <w:lang w:val="es-CR"/>
        </w:rPr>
        <w:t xml:space="preserve"> de 201</w:t>
      </w:r>
      <w:r w:rsidR="00A65CFA">
        <w:rPr>
          <w:rFonts w:ascii="Verdana" w:hAnsi="Verdana"/>
          <w:sz w:val="20"/>
          <w:szCs w:val="20"/>
          <w:lang w:val="es-CR"/>
        </w:rPr>
        <w:t xml:space="preserve">7 y </w:t>
      </w:r>
      <w:r w:rsidR="00BD20B0">
        <w:rPr>
          <w:rFonts w:ascii="Verdana" w:hAnsi="Verdana"/>
          <w:sz w:val="20"/>
          <w:szCs w:val="20"/>
          <w:lang w:val="es-CR"/>
        </w:rPr>
        <w:t xml:space="preserve">agosto </w:t>
      </w:r>
      <w:r w:rsidR="00A65CFA">
        <w:rPr>
          <w:rFonts w:ascii="Verdana" w:hAnsi="Verdana"/>
          <w:sz w:val="20"/>
          <w:szCs w:val="20"/>
          <w:lang w:val="es-CR"/>
        </w:rPr>
        <w:t>de 2018</w:t>
      </w:r>
      <w:r w:rsidR="002A750C">
        <w:rPr>
          <w:rStyle w:val="FootnoteReference"/>
          <w:rFonts w:ascii="Verdana" w:hAnsi="Verdana"/>
          <w:sz w:val="20"/>
          <w:szCs w:val="20"/>
          <w:lang w:val="es-CR"/>
        </w:rPr>
        <w:footnoteReference w:id="4"/>
      </w:r>
      <w:r>
        <w:rPr>
          <w:rFonts w:ascii="Verdana" w:hAnsi="Verdana"/>
          <w:sz w:val="20"/>
          <w:szCs w:val="20"/>
          <w:lang w:val="es-CR"/>
        </w:rPr>
        <w:t>.</w:t>
      </w:r>
    </w:p>
    <w:p w14:paraId="3D712FA7" w14:textId="77777777" w:rsidR="00F94BC4" w:rsidRPr="00F94BC4" w:rsidRDefault="00F94BC4" w:rsidP="00F94BC4">
      <w:pPr>
        <w:pStyle w:val="ListParagraph"/>
        <w:rPr>
          <w:rFonts w:ascii="Verdana" w:hAnsi="Verdana"/>
          <w:sz w:val="20"/>
          <w:szCs w:val="20"/>
          <w:lang w:val="es-CR"/>
        </w:rPr>
      </w:pPr>
    </w:p>
    <w:p w14:paraId="3A3E0172" w14:textId="77777777" w:rsidR="00F94BC4" w:rsidRDefault="00F94BC4" w:rsidP="00C1515A">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BD20B0">
        <w:rPr>
          <w:rFonts w:ascii="Verdana" w:hAnsi="Verdana"/>
          <w:sz w:val="20"/>
          <w:szCs w:val="20"/>
          <w:lang w:val="es-CR"/>
        </w:rPr>
        <w:t xml:space="preserve">nueve </w:t>
      </w:r>
      <w:r>
        <w:rPr>
          <w:rFonts w:ascii="Verdana" w:hAnsi="Verdana"/>
          <w:sz w:val="20"/>
          <w:szCs w:val="20"/>
          <w:lang w:val="es-CR"/>
        </w:rPr>
        <w:t>escritos de observaciones presentados por los representantes de las víctimas</w:t>
      </w:r>
      <w:r w:rsidR="002A750C">
        <w:rPr>
          <w:rStyle w:val="FootnoteReference"/>
          <w:rFonts w:ascii="Verdana" w:hAnsi="Verdana"/>
          <w:sz w:val="20"/>
          <w:szCs w:val="20"/>
          <w:lang w:val="es-CR"/>
        </w:rPr>
        <w:footnoteReference w:id="5"/>
      </w:r>
      <w:r>
        <w:rPr>
          <w:rFonts w:ascii="Verdana" w:hAnsi="Verdana"/>
          <w:sz w:val="20"/>
          <w:szCs w:val="20"/>
          <w:lang w:val="es-CR"/>
        </w:rPr>
        <w:t xml:space="preserve"> (en adelante “los representantes”) entre </w:t>
      </w:r>
      <w:r w:rsidR="00A65CFA">
        <w:rPr>
          <w:rFonts w:ascii="Verdana" w:hAnsi="Verdana"/>
          <w:sz w:val="20"/>
          <w:szCs w:val="20"/>
          <w:lang w:val="es-CR"/>
        </w:rPr>
        <w:t>mayo</w:t>
      </w:r>
      <w:r>
        <w:rPr>
          <w:rFonts w:ascii="Verdana" w:hAnsi="Verdana"/>
          <w:sz w:val="20"/>
          <w:szCs w:val="20"/>
          <w:lang w:val="es-CR"/>
        </w:rPr>
        <w:t xml:space="preserve"> </w:t>
      </w:r>
      <w:r w:rsidR="00C9695B">
        <w:rPr>
          <w:rFonts w:ascii="Verdana" w:hAnsi="Verdana"/>
          <w:sz w:val="20"/>
          <w:szCs w:val="20"/>
          <w:lang w:val="es-CR"/>
        </w:rPr>
        <w:t>d</w:t>
      </w:r>
      <w:r>
        <w:rPr>
          <w:rFonts w:ascii="Verdana" w:hAnsi="Verdana"/>
          <w:sz w:val="20"/>
          <w:szCs w:val="20"/>
          <w:lang w:val="es-CR"/>
        </w:rPr>
        <w:t>e 2017</w:t>
      </w:r>
      <w:r w:rsidR="00C9695B">
        <w:rPr>
          <w:rFonts w:ascii="Verdana" w:hAnsi="Verdana"/>
          <w:sz w:val="20"/>
          <w:szCs w:val="20"/>
          <w:lang w:val="es-CR"/>
        </w:rPr>
        <w:t xml:space="preserve"> y </w:t>
      </w:r>
      <w:r w:rsidR="00BD20B0">
        <w:rPr>
          <w:rFonts w:ascii="Verdana" w:hAnsi="Verdana"/>
          <w:sz w:val="20"/>
          <w:szCs w:val="20"/>
          <w:lang w:val="es-CR"/>
        </w:rPr>
        <w:t xml:space="preserve">julio </w:t>
      </w:r>
      <w:r w:rsidR="00C9695B">
        <w:rPr>
          <w:rFonts w:ascii="Verdana" w:hAnsi="Verdana"/>
          <w:sz w:val="20"/>
          <w:szCs w:val="20"/>
          <w:lang w:val="es-CR"/>
        </w:rPr>
        <w:t>de 2018</w:t>
      </w:r>
      <w:r w:rsidR="002A750C">
        <w:rPr>
          <w:rStyle w:val="FootnoteReference"/>
          <w:rFonts w:ascii="Verdana" w:hAnsi="Verdana"/>
          <w:sz w:val="20"/>
          <w:szCs w:val="20"/>
          <w:lang w:val="es-CR"/>
        </w:rPr>
        <w:footnoteReference w:id="6"/>
      </w:r>
      <w:r>
        <w:rPr>
          <w:rFonts w:ascii="Verdana" w:hAnsi="Verdana"/>
          <w:sz w:val="20"/>
          <w:szCs w:val="20"/>
          <w:lang w:val="es-CR"/>
        </w:rPr>
        <w:t>.</w:t>
      </w:r>
      <w:r w:rsidR="006B7B2A">
        <w:rPr>
          <w:rFonts w:ascii="Verdana" w:hAnsi="Verdana"/>
          <w:sz w:val="20"/>
          <w:szCs w:val="20"/>
          <w:lang w:val="es-CR"/>
        </w:rPr>
        <w:t xml:space="preserve"> </w:t>
      </w:r>
    </w:p>
    <w:p w14:paraId="77CA3BD7" w14:textId="77777777" w:rsidR="008109D5" w:rsidRPr="008109D5" w:rsidRDefault="008109D5" w:rsidP="008109D5">
      <w:pPr>
        <w:pStyle w:val="ListParagraph"/>
        <w:rPr>
          <w:rFonts w:ascii="Verdana" w:hAnsi="Verdana"/>
          <w:sz w:val="20"/>
          <w:szCs w:val="20"/>
          <w:lang w:val="es-CR"/>
        </w:rPr>
      </w:pPr>
    </w:p>
    <w:p w14:paraId="2466A79C" w14:textId="77777777" w:rsidR="008109D5" w:rsidRDefault="00BD20B0" w:rsidP="00C1515A">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Los dos</w:t>
      </w:r>
      <w:r w:rsidR="008109D5">
        <w:rPr>
          <w:rFonts w:ascii="Verdana" w:hAnsi="Verdana"/>
          <w:sz w:val="20"/>
          <w:szCs w:val="20"/>
          <w:lang w:val="es-CR"/>
        </w:rPr>
        <w:t xml:space="preserve"> escritos de observaciones presentado</w:t>
      </w:r>
      <w:r>
        <w:rPr>
          <w:rFonts w:ascii="Verdana" w:hAnsi="Verdana"/>
          <w:sz w:val="20"/>
          <w:szCs w:val="20"/>
          <w:lang w:val="es-CR"/>
        </w:rPr>
        <w:t>s</w:t>
      </w:r>
      <w:r w:rsidR="008109D5">
        <w:rPr>
          <w:rFonts w:ascii="Verdana" w:hAnsi="Verdana"/>
          <w:sz w:val="20"/>
          <w:szCs w:val="20"/>
          <w:lang w:val="es-CR"/>
        </w:rPr>
        <w:t xml:space="preserve"> por la Comisión Interamericana de Derechos Humanos (en adelante “la Comisión Interamericana” o “la Comisión”) e</w:t>
      </w:r>
      <w:r w:rsidR="00A65CFA">
        <w:rPr>
          <w:rFonts w:ascii="Verdana" w:hAnsi="Verdana"/>
          <w:sz w:val="20"/>
          <w:szCs w:val="20"/>
          <w:lang w:val="es-CR"/>
        </w:rPr>
        <w:t>l 19 de julio de 2017</w:t>
      </w:r>
      <w:r>
        <w:rPr>
          <w:rFonts w:ascii="Verdana" w:hAnsi="Verdana"/>
          <w:sz w:val="20"/>
          <w:szCs w:val="20"/>
          <w:lang w:val="es-CR"/>
        </w:rPr>
        <w:t xml:space="preserve"> y el 26 de julio de 2018</w:t>
      </w:r>
      <w:r w:rsidR="00A65CFA">
        <w:rPr>
          <w:rFonts w:ascii="Verdana" w:hAnsi="Verdana"/>
          <w:sz w:val="20"/>
          <w:szCs w:val="20"/>
          <w:lang w:val="es-CR"/>
        </w:rPr>
        <w:t>.</w:t>
      </w:r>
      <w:r w:rsidR="008109D5">
        <w:rPr>
          <w:rFonts w:ascii="Verdana" w:hAnsi="Verdana"/>
          <w:sz w:val="20"/>
          <w:szCs w:val="20"/>
          <w:lang w:val="es-CR"/>
        </w:rPr>
        <w:t xml:space="preserve"> </w:t>
      </w:r>
    </w:p>
    <w:p w14:paraId="1138D2EF" w14:textId="77777777" w:rsidR="00C15C7E" w:rsidRDefault="00C15C7E" w:rsidP="00C15C7E">
      <w:pPr>
        <w:spacing w:after="0" w:line="240" w:lineRule="auto"/>
        <w:jc w:val="both"/>
        <w:rPr>
          <w:rFonts w:ascii="Verdana" w:hAnsi="Verdana"/>
          <w:sz w:val="20"/>
          <w:szCs w:val="20"/>
          <w:lang w:val="es-CR"/>
        </w:rPr>
      </w:pPr>
    </w:p>
    <w:p w14:paraId="4C00C456" w14:textId="77777777" w:rsidR="00C15C7E" w:rsidRDefault="00C15C7E" w:rsidP="00C15C7E">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5478E2D8" w14:textId="77777777" w:rsidR="00C15C7E" w:rsidRDefault="00C15C7E" w:rsidP="00C15C7E">
      <w:pPr>
        <w:spacing w:after="0" w:line="240" w:lineRule="auto"/>
        <w:jc w:val="both"/>
        <w:rPr>
          <w:rFonts w:ascii="Verdana" w:hAnsi="Verdana"/>
          <w:b/>
          <w:sz w:val="20"/>
          <w:szCs w:val="20"/>
          <w:lang w:val="es-CR"/>
        </w:rPr>
      </w:pPr>
    </w:p>
    <w:p w14:paraId="3CA35CE0" w14:textId="57A036A7" w:rsidR="00C15C7E" w:rsidRDefault="00C15C7E" w:rsidP="00C15C7E">
      <w:pPr>
        <w:pStyle w:val="ListParagraph"/>
        <w:numPr>
          <w:ilvl w:val="0"/>
          <w:numId w:val="2"/>
        </w:numPr>
        <w:spacing w:after="0" w:line="240" w:lineRule="auto"/>
        <w:ind w:left="0" w:firstLine="0"/>
        <w:jc w:val="both"/>
        <w:rPr>
          <w:rFonts w:ascii="Verdana" w:hAnsi="Verdana"/>
          <w:sz w:val="20"/>
          <w:szCs w:val="20"/>
          <w:lang w:val="es-CR"/>
        </w:rPr>
      </w:pPr>
      <w:bookmarkStart w:id="4" w:name="_Ref406134495"/>
      <w:r w:rsidRPr="00C15C7E">
        <w:rPr>
          <w:rFonts w:ascii="Verdana" w:hAnsi="Verdana"/>
          <w:sz w:val="20"/>
          <w:szCs w:val="20"/>
          <w:lang w:val="es-CR"/>
        </w:rPr>
        <w:t>En el ejercicio de su función jurisdiccional de supervisar el cumplimiento de sus decisiones</w:t>
      </w:r>
      <w:r>
        <w:rPr>
          <w:rStyle w:val="FootnoteReference"/>
          <w:rFonts w:ascii="Verdana" w:hAnsi="Verdana"/>
          <w:sz w:val="20"/>
          <w:szCs w:val="20"/>
          <w:lang w:val="es-CR"/>
        </w:rPr>
        <w:footnoteReference w:id="7"/>
      </w:r>
      <w:r w:rsidRPr="00C15C7E">
        <w:rPr>
          <w:rFonts w:ascii="Verdana" w:hAnsi="Verdana"/>
          <w:sz w:val="20"/>
          <w:szCs w:val="20"/>
          <w:lang w:val="es-CR"/>
        </w:rPr>
        <w:t xml:space="preserve">, la Corte ha venido supervisando la ejecución de la Sentencia emitida en el presente caso </w:t>
      </w:r>
      <w:r w:rsidR="00F3681C">
        <w:rPr>
          <w:rFonts w:ascii="Verdana" w:hAnsi="Verdana"/>
          <w:sz w:val="20"/>
          <w:szCs w:val="20"/>
          <w:lang w:val="es-CR"/>
        </w:rPr>
        <w:t>en el 2016</w:t>
      </w:r>
      <w:r w:rsidRPr="00C15C7E">
        <w:rPr>
          <w:rFonts w:ascii="Verdana" w:hAnsi="Verdana"/>
          <w:sz w:val="20"/>
          <w:szCs w:val="20"/>
          <w:lang w:val="es-CR"/>
        </w:rPr>
        <w:t xml:space="preserve"> (</w:t>
      </w:r>
      <w:r w:rsidRPr="00C8234D">
        <w:rPr>
          <w:rFonts w:ascii="Verdana" w:hAnsi="Verdana"/>
          <w:i/>
          <w:sz w:val="20"/>
          <w:szCs w:val="20"/>
          <w:lang w:val="es-CR"/>
        </w:rPr>
        <w:t>supra</w:t>
      </w:r>
      <w:r w:rsidRPr="00C15C7E">
        <w:rPr>
          <w:rFonts w:ascii="Verdana" w:hAnsi="Verdana"/>
          <w:sz w:val="20"/>
          <w:szCs w:val="20"/>
          <w:lang w:val="es-CR"/>
        </w:rPr>
        <w:t xml:space="preserve"> Visto </w:t>
      </w:r>
      <w:r w:rsidR="0094694E">
        <w:rPr>
          <w:rFonts w:ascii="Verdana" w:hAnsi="Verdana"/>
          <w:sz w:val="20"/>
          <w:szCs w:val="20"/>
          <w:lang w:val="es-CR"/>
        </w:rPr>
        <w:fldChar w:fldCharType="begin"/>
      </w:r>
      <w:r w:rsidR="0094694E">
        <w:rPr>
          <w:rFonts w:ascii="Verdana" w:hAnsi="Verdana"/>
          <w:sz w:val="20"/>
          <w:szCs w:val="20"/>
          <w:lang w:val="es-CR"/>
        </w:rPr>
        <w:instrText xml:space="preserve"> REF _Ref530404017 \r \h </w:instrText>
      </w:r>
      <w:r w:rsidR="0094694E">
        <w:rPr>
          <w:rFonts w:ascii="Verdana" w:hAnsi="Verdana"/>
          <w:sz w:val="20"/>
          <w:szCs w:val="20"/>
          <w:lang w:val="es-CR"/>
        </w:rPr>
      </w:r>
      <w:r w:rsidR="0094694E">
        <w:rPr>
          <w:rFonts w:ascii="Verdana" w:hAnsi="Verdana"/>
          <w:sz w:val="20"/>
          <w:szCs w:val="20"/>
          <w:lang w:val="es-CR"/>
        </w:rPr>
        <w:fldChar w:fldCharType="separate"/>
      </w:r>
      <w:r w:rsidR="00AE1507">
        <w:rPr>
          <w:rFonts w:ascii="Verdana" w:hAnsi="Verdana"/>
          <w:sz w:val="20"/>
          <w:szCs w:val="20"/>
          <w:lang w:val="es-CR"/>
        </w:rPr>
        <w:t>1</w:t>
      </w:r>
      <w:r w:rsidR="0094694E">
        <w:rPr>
          <w:rFonts w:ascii="Verdana" w:hAnsi="Verdana"/>
          <w:sz w:val="20"/>
          <w:szCs w:val="20"/>
          <w:lang w:val="es-CR"/>
        </w:rPr>
        <w:fldChar w:fldCharType="end"/>
      </w:r>
      <w:r w:rsidRPr="00C15C7E">
        <w:rPr>
          <w:rFonts w:ascii="Verdana" w:hAnsi="Verdana"/>
          <w:sz w:val="20"/>
          <w:szCs w:val="20"/>
          <w:lang w:val="es-CR"/>
        </w:rPr>
        <w:t xml:space="preserve">). El Tribunal emitió </w:t>
      </w:r>
      <w:r w:rsidR="00F3681C">
        <w:rPr>
          <w:rFonts w:ascii="Verdana" w:hAnsi="Verdana"/>
          <w:sz w:val="20"/>
          <w:szCs w:val="20"/>
          <w:lang w:val="es-CR"/>
        </w:rPr>
        <w:t>una</w:t>
      </w:r>
      <w:r w:rsidRPr="00C15C7E">
        <w:rPr>
          <w:rFonts w:ascii="Verdana" w:hAnsi="Verdana"/>
          <w:sz w:val="20"/>
          <w:szCs w:val="20"/>
          <w:lang w:val="es-CR"/>
        </w:rPr>
        <w:t xml:space="preserve"> Resoluci</w:t>
      </w:r>
      <w:r w:rsidR="00F3681C">
        <w:rPr>
          <w:rFonts w:ascii="Verdana" w:hAnsi="Verdana"/>
          <w:sz w:val="20"/>
          <w:szCs w:val="20"/>
          <w:lang w:val="es-CR"/>
        </w:rPr>
        <w:t>ón</w:t>
      </w:r>
      <w:r w:rsidRPr="00C15C7E">
        <w:rPr>
          <w:rFonts w:ascii="Verdana" w:hAnsi="Verdana"/>
          <w:sz w:val="20"/>
          <w:szCs w:val="20"/>
          <w:lang w:val="es-CR"/>
        </w:rPr>
        <w:t xml:space="preserve"> de supervisión de cumplimiento en </w:t>
      </w:r>
      <w:r w:rsidR="00F3681C">
        <w:rPr>
          <w:rFonts w:ascii="Verdana" w:hAnsi="Verdana"/>
          <w:sz w:val="20"/>
          <w:szCs w:val="20"/>
          <w:lang w:val="es-CR"/>
        </w:rPr>
        <w:t xml:space="preserve">noviembre de 2017 </w:t>
      </w:r>
      <w:r w:rsidRPr="00C15C7E">
        <w:rPr>
          <w:rFonts w:ascii="Verdana" w:hAnsi="Verdana"/>
          <w:sz w:val="20"/>
          <w:szCs w:val="20"/>
          <w:lang w:val="es-CR"/>
        </w:rPr>
        <w:t>(</w:t>
      </w:r>
      <w:r w:rsidRPr="00C8234D">
        <w:rPr>
          <w:rFonts w:ascii="Verdana" w:hAnsi="Verdana"/>
          <w:i/>
          <w:sz w:val="20"/>
          <w:szCs w:val="20"/>
          <w:lang w:val="es-CR"/>
        </w:rPr>
        <w:t>supra</w:t>
      </w:r>
      <w:r w:rsidRPr="00C15C7E">
        <w:rPr>
          <w:rFonts w:ascii="Verdana" w:hAnsi="Verdana"/>
          <w:sz w:val="20"/>
          <w:szCs w:val="20"/>
          <w:lang w:val="es-CR"/>
        </w:rPr>
        <w:t xml:space="preserve"> Visto </w:t>
      </w:r>
      <w:r w:rsidR="00B215E8">
        <w:rPr>
          <w:rFonts w:ascii="Verdana" w:hAnsi="Verdana"/>
          <w:sz w:val="20"/>
          <w:szCs w:val="20"/>
          <w:lang w:val="es-CR"/>
        </w:rPr>
        <w:fldChar w:fldCharType="begin"/>
      </w:r>
      <w:r w:rsidR="00B215E8">
        <w:rPr>
          <w:rFonts w:ascii="Verdana" w:hAnsi="Verdana"/>
          <w:sz w:val="20"/>
          <w:szCs w:val="20"/>
          <w:lang w:val="es-CR"/>
        </w:rPr>
        <w:instrText xml:space="preserve"> REF _Ref530405900 \r \h </w:instrText>
      </w:r>
      <w:r w:rsidR="00B215E8">
        <w:rPr>
          <w:rFonts w:ascii="Verdana" w:hAnsi="Verdana"/>
          <w:sz w:val="20"/>
          <w:szCs w:val="20"/>
          <w:lang w:val="es-CR"/>
        </w:rPr>
      </w:r>
      <w:r w:rsidR="00B215E8">
        <w:rPr>
          <w:rFonts w:ascii="Verdana" w:hAnsi="Verdana"/>
          <w:sz w:val="20"/>
          <w:szCs w:val="20"/>
          <w:lang w:val="es-CR"/>
        </w:rPr>
        <w:fldChar w:fldCharType="separate"/>
      </w:r>
      <w:r w:rsidR="00AE1507">
        <w:rPr>
          <w:rFonts w:ascii="Verdana" w:hAnsi="Verdana"/>
          <w:sz w:val="20"/>
          <w:szCs w:val="20"/>
          <w:lang w:val="es-CR"/>
        </w:rPr>
        <w:t>2</w:t>
      </w:r>
      <w:r w:rsidR="00B215E8">
        <w:rPr>
          <w:rFonts w:ascii="Verdana" w:hAnsi="Verdana"/>
          <w:sz w:val="20"/>
          <w:szCs w:val="20"/>
          <w:lang w:val="es-CR"/>
        </w:rPr>
        <w:fldChar w:fldCharType="end"/>
      </w:r>
      <w:r w:rsidRPr="00C15C7E">
        <w:rPr>
          <w:rFonts w:ascii="Verdana" w:hAnsi="Verdana"/>
          <w:sz w:val="20"/>
          <w:szCs w:val="20"/>
          <w:lang w:val="es-CR"/>
        </w:rPr>
        <w:t>), en la cual</w:t>
      </w:r>
      <w:r>
        <w:rPr>
          <w:rFonts w:ascii="Verdana" w:hAnsi="Verdana"/>
          <w:sz w:val="20"/>
          <w:szCs w:val="20"/>
          <w:lang w:val="es-CR"/>
        </w:rPr>
        <w:t xml:space="preserve"> </w:t>
      </w:r>
      <w:r w:rsidRPr="00C15C7E">
        <w:rPr>
          <w:rFonts w:ascii="Verdana" w:hAnsi="Verdana"/>
          <w:sz w:val="20"/>
          <w:szCs w:val="20"/>
          <w:lang w:val="es-CR"/>
        </w:rPr>
        <w:t xml:space="preserve">declaró que el Estado de </w:t>
      </w:r>
      <w:r w:rsidR="00F3681C">
        <w:rPr>
          <w:rFonts w:ascii="Verdana" w:hAnsi="Verdana"/>
          <w:sz w:val="20"/>
          <w:szCs w:val="20"/>
          <w:lang w:val="es-CR"/>
        </w:rPr>
        <w:t>Bolivia</w:t>
      </w:r>
      <w:r w:rsidRPr="00C15C7E">
        <w:rPr>
          <w:rFonts w:ascii="Verdana" w:hAnsi="Verdana"/>
          <w:sz w:val="20"/>
          <w:szCs w:val="20"/>
          <w:lang w:val="es-CR"/>
        </w:rPr>
        <w:t xml:space="preserve"> dio cumplimiento total a </w:t>
      </w:r>
      <w:r w:rsidR="00BF3540">
        <w:rPr>
          <w:rFonts w:ascii="Verdana" w:hAnsi="Verdana"/>
          <w:sz w:val="20"/>
          <w:szCs w:val="20"/>
          <w:lang w:val="es-CR"/>
        </w:rPr>
        <w:t>cuatro</w:t>
      </w:r>
      <w:r w:rsidR="00B215E8" w:rsidRPr="00C15C7E">
        <w:rPr>
          <w:rFonts w:ascii="Verdana" w:hAnsi="Verdana"/>
          <w:sz w:val="20"/>
          <w:szCs w:val="20"/>
          <w:lang w:val="es-CR"/>
        </w:rPr>
        <w:t xml:space="preserve"> </w:t>
      </w:r>
      <w:r w:rsidRPr="00C15C7E">
        <w:rPr>
          <w:rFonts w:ascii="Verdana" w:hAnsi="Verdana"/>
          <w:sz w:val="20"/>
          <w:szCs w:val="20"/>
          <w:lang w:val="es-CR"/>
        </w:rPr>
        <w:t>medida</w:t>
      </w:r>
      <w:r>
        <w:rPr>
          <w:rFonts w:ascii="Verdana" w:hAnsi="Verdana"/>
          <w:sz w:val="20"/>
          <w:szCs w:val="20"/>
          <w:lang w:val="es-CR"/>
        </w:rPr>
        <w:t>s</w:t>
      </w:r>
      <w:r w:rsidRPr="00C15C7E">
        <w:rPr>
          <w:rFonts w:ascii="Verdana" w:hAnsi="Verdana"/>
          <w:sz w:val="20"/>
          <w:szCs w:val="20"/>
          <w:lang w:val="es-CR"/>
        </w:rPr>
        <w:t xml:space="preserve"> de reparación</w:t>
      </w:r>
      <w:r>
        <w:rPr>
          <w:rStyle w:val="FootnoteReference"/>
          <w:rFonts w:ascii="Verdana" w:hAnsi="Verdana"/>
          <w:sz w:val="20"/>
          <w:szCs w:val="20"/>
          <w:lang w:val="es-CR"/>
        </w:rPr>
        <w:footnoteReference w:id="8"/>
      </w:r>
      <w:r w:rsidRPr="00C15C7E">
        <w:rPr>
          <w:rFonts w:ascii="Verdana" w:hAnsi="Verdana"/>
          <w:sz w:val="20"/>
          <w:szCs w:val="20"/>
          <w:lang w:val="es-CR"/>
        </w:rPr>
        <w:t xml:space="preserve"> </w:t>
      </w:r>
      <w:r w:rsidR="00727A2C">
        <w:rPr>
          <w:rFonts w:ascii="Verdana" w:hAnsi="Verdana"/>
          <w:sz w:val="20"/>
          <w:szCs w:val="20"/>
          <w:lang w:val="es-CR"/>
        </w:rPr>
        <w:t xml:space="preserve">y al reintegro al Fondo de Asistencia Legal de Víctimas de la Corte, </w:t>
      </w:r>
      <w:r w:rsidRPr="00C15C7E">
        <w:rPr>
          <w:rFonts w:ascii="Verdana" w:hAnsi="Verdana"/>
          <w:sz w:val="20"/>
          <w:szCs w:val="20"/>
          <w:lang w:val="es-CR"/>
        </w:rPr>
        <w:t xml:space="preserve">y </w:t>
      </w:r>
      <w:r w:rsidR="00727A2C">
        <w:rPr>
          <w:rFonts w:ascii="Verdana" w:hAnsi="Verdana"/>
          <w:sz w:val="20"/>
          <w:szCs w:val="20"/>
          <w:lang w:val="es-CR"/>
        </w:rPr>
        <w:t xml:space="preserve">determinó </w:t>
      </w:r>
      <w:r w:rsidRPr="00C15C7E">
        <w:rPr>
          <w:rFonts w:ascii="Verdana" w:hAnsi="Verdana"/>
          <w:sz w:val="20"/>
          <w:szCs w:val="20"/>
          <w:lang w:val="es-CR"/>
        </w:rPr>
        <w:t xml:space="preserve">que se encontraban pendientes de cumplimiento </w:t>
      </w:r>
      <w:r w:rsidR="00F3681C">
        <w:rPr>
          <w:rFonts w:ascii="Verdana" w:hAnsi="Verdana"/>
          <w:sz w:val="20"/>
          <w:szCs w:val="20"/>
          <w:lang w:val="es-CR"/>
        </w:rPr>
        <w:t>tres</w:t>
      </w:r>
      <w:r w:rsidRPr="00C15C7E">
        <w:rPr>
          <w:rFonts w:ascii="Verdana" w:hAnsi="Verdana"/>
          <w:sz w:val="20"/>
          <w:szCs w:val="20"/>
          <w:lang w:val="es-CR"/>
        </w:rPr>
        <w:t xml:space="preserve"> medidas</w:t>
      </w:r>
      <w:r w:rsidR="00727A2C">
        <w:rPr>
          <w:rFonts w:ascii="Verdana" w:hAnsi="Verdana"/>
          <w:sz w:val="20"/>
          <w:szCs w:val="20"/>
          <w:lang w:val="es-CR"/>
        </w:rPr>
        <w:t xml:space="preserve"> (</w:t>
      </w:r>
      <w:r w:rsidR="00727A2C" w:rsidRPr="00C2032E">
        <w:rPr>
          <w:rFonts w:ascii="Verdana" w:hAnsi="Verdana"/>
          <w:i/>
          <w:sz w:val="20"/>
          <w:szCs w:val="20"/>
          <w:lang w:val="es-CR"/>
        </w:rPr>
        <w:t>infra</w:t>
      </w:r>
      <w:r w:rsidR="00727A2C">
        <w:rPr>
          <w:rFonts w:ascii="Verdana" w:hAnsi="Verdana"/>
          <w:sz w:val="20"/>
          <w:szCs w:val="20"/>
          <w:lang w:val="es-CR"/>
        </w:rPr>
        <w:t xml:space="preserve"> Considerandos</w:t>
      </w:r>
      <w:r w:rsidR="00D24F46">
        <w:rPr>
          <w:rFonts w:ascii="Verdana" w:hAnsi="Verdana"/>
          <w:sz w:val="20"/>
          <w:szCs w:val="20"/>
          <w:lang w:val="es-CR"/>
        </w:rPr>
        <w:t xml:space="preserve"> </w:t>
      </w:r>
      <w:r w:rsidR="00B215E8">
        <w:rPr>
          <w:rFonts w:ascii="Verdana" w:hAnsi="Verdana"/>
          <w:sz w:val="20"/>
          <w:szCs w:val="20"/>
          <w:lang w:val="es-CR"/>
        </w:rPr>
        <w:fldChar w:fldCharType="begin"/>
      </w:r>
      <w:r w:rsidR="00B215E8">
        <w:rPr>
          <w:rFonts w:ascii="Verdana" w:hAnsi="Verdana"/>
          <w:sz w:val="20"/>
          <w:szCs w:val="20"/>
          <w:lang w:val="es-CR"/>
        </w:rPr>
        <w:instrText xml:space="preserve"> REF _Ref530405974 \r \h </w:instrText>
      </w:r>
      <w:r w:rsidR="00B215E8">
        <w:rPr>
          <w:rFonts w:ascii="Verdana" w:hAnsi="Verdana"/>
          <w:sz w:val="20"/>
          <w:szCs w:val="20"/>
          <w:lang w:val="es-CR"/>
        </w:rPr>
      </w:r>
      <w:r w:rsidR="00B215E8">
        <w:rPr>
          <w:rFonts w:ascii="Verdana" w:hAnsi="Verdana"/>
          <w:sz w:val="20"/>
          <w:szCs w:val="20"/>
          <w:lang w:val="es-CR"/>
        </w:rPr>
        <w:fldChar w:fldCharType="separate"/>
      </w:r>
      <w:r w:rsidR="00AE1507">
        <w:rPr>
          <w:rFonts w:ascii="Verdana" w:hAnsi="Verdana"/>
          <w:sz w:val="20"/>
          <w:szCs w:val="20"/>
          <w:lang w:val="es-CR"/>
        </w:rPr>
        <w:t>4</w:t>
      </w:r>
      <w:r w:rsidR="00B215E8">
        <w:rPr>
          <w:rFonts w:ascii="Verdana" w:hAnsi="Verdana"/>
          <w:sz w:val="20"/>
          <w:szCs w:val="20"/>
          <w:lang w:val="es-CR"/>
        </w:rPr>
        <w:fldChar w:fldCharType="end"/>
      </w:r>
      <w:r w:rsidR="00B215E8">
        <w:rPr>
          <w:rFonts w:ascii="Verdana" w:hAnsi="Verdana"/>
          <w:sz w:val="20"/>
          <w:szCs w:val="20"/>
          <w:lang w:val="es-CR"/>
        </w:rPr>
        <w:t xml:space="preserve">, </w:t>
      </w:r>
      <w:r w:rsidR="00B215E8">
        <w:rPr>
          <w:rFonts w:ascii="Verdana" w:hAnsi="Verdana"/>
          <w:sz w:val="20"/>
          <w:szCs w:val="20"/>
          <w:lang w:val="es-CR"/>
        </w:rPr>
        <w:fldChar w:fldCharType="begin"/>
      </w:r>
      <w:r w:rsidR="00B215E8">
        <w:rPr>
          <w:rFonts w:ascii="Verdana" w:hAnsi="Verdana"/>
          <w:sz w:val="20"/>
          <w:szCs w:val="20"/>
          <w:lang w:val="es-CR"/>
        </w:rPr>
        <w:instrText xml:space="preserve"> REF _Ref530405982 \r \h </w:instrText>
      </w:r>
      <w:r w:rsidR="00B215E8">
        <w:rPr>
          <w:rFonts w:ascii="Verdana" w:hAnsi="Verdana"/>
          <w:sz w:val="20"/>
          <w:szCs w:val="20"/>
          <w:lang w:val="es-CR"/>
        </w:rPr>
      </w:r>
      <w:r w:rsidR="00B215E8">
        <w:rPr>
          <w:rFonts w:ascii="Verdana" w:hAnsi="Verdana"/>
          <w:sz w:val="20"/>
          <w:szCs w:val="20"/>
          <w:lang w:val="es-CR"/>
        </w:rPr>
        <w:fldChar w:fldCharType="separate"/>
      </w:r>
      <w:r w:rsidR="00AE1507">
        <w:rPr>
          <w:rFonts w:ascii="Verdana" w:hAnsi="Verdana"/>
          <w:sz w:val="20"/>
          <w:szCs w:val="20"/>
          <w:lang w:val="es-CR"/>
        </w:rPr>
        <w:t>16</w:t>
      </w:r>
      <w:r w:rsidR="00B215E8">
        <w:rPr>
          <w:rFonts w:ascii="Verdana" w:hAnsi="Verdana"/>
          <w:sz w:val="20"/>
          <w:szCs w:val="20"/>
          <w:lang w:val="es-CR"/>
        </w:rPr>
        <w:fldChar w:fldCharType="end"/>
      </w:r>
      <w:r w:rsidR="00B215E8">
        <w:rPr>
          <w:rFonts w:ascii="Verdana" w:hAnsi="Verdana"/>
          <w:sz w:val="20"/>
          <w:szCs w:val="20"/>
          <w:lang w:val="es-CR"/>
        </w:rPr>
        <w:t xml:space="preserve"> y </w:t>
      </w:r>
      <w:r w:rsidR="00B215E8">
        <w:rPr>
          <w:rFonts w:ascii="Verdana" w:hAnsi="Verdana"/>
          <w:sz w:val="20"/>
          <w:szCs w:val="20"/>
          <w:lang w:val="es-CR"/>
        </w:rPr>
        <w:fldChar w:fldCharType="begin"/>
      </w:r>
      <w:r w:rsidR="00B215E8">
        <w:rPr>
          <w:rFonts w:ascii="Verdana" w:hAnsi="Verdana"/>
          <w:sz w:val="20"/>
          <w:szCs w:val="20"/>
          <w:lang w:val="es-CR"/>
        </w:rPr>
        <w:instrText xml:space="preserve"> REF _Ref530405986 \r \h </w:instrText>
      </w:r>
      <w:r w:rsidR="00B215E8">
        <w:rPr>
          <w:rFonts w:ascii="Verdana" w:hAnsi="Verdana"/>
          <w:sz w:val="20"/>
          <w:szCs w:val="20"/>
          <w:lang w:val="es-CR"/>
        </w:rPr>
      </w:r>
      <w:r w:rsidR="00B215E8">
        <w:rPr>
          <w:rFonts w:ascii="Verdana" w:hAnsi="Verdana"/>
          <w:sz w:val="20"/>
          <w:szCs w:val="20"/>
          <w:lang w:val="es-CR"/>
        </w:rPr>
        <w:fldChar w:fldCharType="separate"/>
      </w:r>
      <w:r w:rsidR="00AE1507">
        <w:rPr>
          <w:rFonts w:ascii="Verdana" w:hAnsi="Verdana"/>
          <w:sz w:val="20"/>
          <w:szCs w:val="20"/>
          <w:lang w:val="es-CR"/>
        </w:rPr>
        <w:t>23</w:t>
      </w:r>
      <w:r w:rsidR="00B215E8">
        <w:rPr>
          <w:rFonts w:ascii="Verdana" w:hAnsi="Verdana"/>
          <w:sz w:val="20"/>
          <w:szCs w:val="20"/>
          <w:lang w:val="es-CR"/>
        </w:rPr>
        <w:fldChar w:fldCharType="end"/>
      </w:r>
      <w:r w:rsidR="00727A2C">
        <w:rPr>
          <w:rFonts w:ascii="Verdana" w:hAnsi="Verdana"/>
          <w:sz w:val="20"/>
          <w:szCs w:val="20"/>
          <w:lang w:val="es-CR"/>
        </w:rPr>
        <w:t>)</w:t>
      </w:r>
      <w:r w:rsidRPr="00C15C7E">
        <w:rPr>
          <w:rFonts w:ascii="Verdana" w:hAnsi="Verdana"/>
          <w:sz w:val="20"/>
          <w:szCs w:val="20"/>
          <w:lang w:val="es-CR"/>
        </w:rPr>
        <w:t>.</w:t>
      </w:r>
      <w:bookmarkEnd w:id="4"/>
    </w:p>
    <w:p w14:paraId="622EC022" w14:textId="77777777" w:rsidR="00226C10" w:rsidRDefault="00226C10" w:rsidP="00226C10">
      <w:pPr>
        <w:pStyle w:val="ListParagraph"/>
        <w:spacing w:after="0" w:line="240" w:lineRule="auto"/>
        <w:ind w:left="0"/>
        <w:jc w:val="both"/>
        <w:rPr>
          <w:rFonts w:ascii="Verdana" w:hAnsi="Verdana"/>
          <w:sz w:val="20"/>
          <w:szCs w:val="20"/>
          <w:lang w:val="es-CR"/>
        </w:rPr>
      </w:pPr>
    </w:p>
    <w:p w14:paraId="368DD27C" w14:textId="77777777" w:rsidR="00226C10" w:rsidRDefault="00226C10" w:rsidP="00226C10">
      <w:pPr>
        <w:pStyle w:val="ListParagraph"/>
        <w:numPr>
          <w:ilvl w:val="0"/>
          <w:numId w:val="2"/>
        </w:numPr>
        <w:spacing w:after="0" w:line="240" w:lineRule="auto"/>
        <w:ind w:left="0" w:firstLine="0"/>
        <w:jc w:val="both"/>
        <w:rPr>
          <w:rFonts w:ascii="Verdana" w:hAnsi="Verdana"/>
          <w:sz w:val="20"/>
          <w:szCs w:val="20"/>
          <w:lang w:val="es-CR"/>
        </w:rPr>
      </w:pPr>
      <w:r w:rsidRPr="00226C10">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szCs w:val="20"/>
          <w:lang w:val="es-CR"/>
        </w:rPr>
        <w:footnoteReference w:id="9"/>
      </w:r>
      <w:r w:rsidRPr="00226C10">
        <w:rPr>
          <w:rFonts w:ascii="Verdana" w:hAnsi="Verdana"/>
          <w:sz w:val="20"/>
          <w:szCs w:val="20"/>
          <w:lang w:val="es-CR"/>
        </w:rPr>
        <w:t>. Los Estados Parte en la Convención deben garantizar el cumplimiento de las disposiciones convencionales y sus efectos propios (</w:t>
      </w:r>
      <w:r w:rsidRPr="00226C10">
        <w:rPr>
          <w:rFonts w:ascii="Verdana" w:hAnsi="Verdana"/>
          <w:i/>
          <w:sz w:val="20"/>
          <w:szCs w:val="20"/>
          <w:lang w:val="es-CR"/>
        </w:rPr>
        <w:t>effet utile</w:t>
      </w:r>
      <w:r w:rsidRPr="00226C10">
        <w:rPr>
          <w:rFonts w:ascii="Verdana" w:hAnsi="Verdana"/>
          <w:sz w:val="20"/>
          <w:szCs w:val="20"/>
          <w:lang w:val="es-CR"/>
        </w:rPr>
        <w:t xml:space="preserve">) en el plano de sus respectivos derechos internos. Estas obligaciones deben ser interpretadas y aplicadas de manera que la garantía </w:t>
      </w:r>
      <w:r w:rsidRPr="00226C10">
        <w:rPr>
          <w:rFonts w:ascii="Verdana" w:hAnsi="Verdana"/>
          <w:sz w:val="20"/>
          <w:szCs w:val="20"/>
          <w:lang w:val="es-CR"/>
        </w:rPr>
        <w:lastRenderedPageBreak/>
        <w:t>protegida sea verdaderamente práctica y eficaz, teniendo presente la naturaleza especial de los tratados de derechos humanos</w:t>
      </w:r>
      <w:r>
        <w:rPr>
          <w:rStyle w:val="FootnoteReference"/>
          <w:rFonts w:ascii="Verdana" w:hAnsi="Verdana"/>
          <w:sz w:val="20"/>
          <w:szCs w:val="20"/>
          <w:lang w:val="es-CR"/>
        </w:rPr>
        <w:footnoteReference w:id="10"/>
      </w:r>
      <w:r>
        <w:rPr>
          <w:rFonts w:ascii="Verdana" w:hAnsi="Verdana"/>
          <w:sz w:val="20"/>
          <w:szCs w:val="20"/>
          <w:lang w:val="es-CR"/>
        </w:rPr>
        <w:t>.</w:t>
      </w:r>
    </w:p>
    <w:p w14:paraId="79D0BBBB" w14:textId="77777777" w:rsidR="00806AE5" w:rsidRPr="00806AE5" w:rsidRDefault="00806AE5" w:rsidP="00806AE5">
      <w:pPr>
        <w:pStyle w:val="ListParagraph"/>
        <w:rPr>
          <w:rFonts w:ascii="Verdana" w:hAnsi="Verdana"/>
          <w:sz w:val="20"/>
          <w:szCs w:val="20"/>
          <w:lang w:val="es-CR"/>
        </w:rPr>
      </w:pPr>
    </w:p>
    <w:p w14:paraId="57BEE939" w14:textId="77777777" w:rsidR="00F3681C" w:rsidRDefault="00806AE5" w:rsidP="00226C10">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La Corte </w:t>
      </w:r>
      <w:r w:rsidR="00F3681C">
        <w:rPr>
          <w:rFonts w:ascii="Verdana" w:hAnsi="Verdana"/>
          <w:sz w:val="20"/>
          <w:szCs w:val="20"/>
          <w:lang w:val="es-CR"/>
        </w:rPr>
        <w:t>valorará la información presentada por las partes respecto de las tres medidas de reparación pendientes de cumplimiento ordenadas en este caso, y determinará el grado de cumplimiento por parte del Estado, el cual solicitó que se declare el cumplimiento de todas las medidas dispuestas en la Sentencia y el archivo del caso. El Tribunal estructurará sus consideraciones en el siguiente orden:</w:t>
      </w:r>
    </w:p>
    <w:p w14:paraId="520605F3" w14:textId="77777777" w:rsidR="006B7B2A" w:rsidRPr="006B7B2A" w:rsidRDefault="006B7B2A" w:rsidP="006B7B2A">
      <w:pPr>
        <w:pStyle w:val="ListParagraph"/>
        <w:rPr>
          <w:rFonts w:ascii="Verdana" w:hAnsi="Verdana"/>
          <w:sz w:val="20"/>
          <w:szCs w:val="20"/>
          <w:lang w:val="es-CR"/>
        </w:rPr>
      </w:pPr>
    </w:p>
    <w:p w14:paraId="6179C704" w14:textId="4266DC7C" w:rsidR="00480FF8" w:rsidRPr="00BF3540" w:rsidRDefault="00480FF8" w:rsidP="00BF3540">
      <w:pPr>
        <w:pStyle w:val="TOC1"/>
        <w:tabs>
          <w:tab w:val="left" w:pos="660"/>
          <w:tab w:val="right" w:leader="dot" w:pos="8505"/>
        </w:tabs>
        <w:spacing w:after="0" w:line="240" w:lineRule="auto"/>
        <w:ind w:left="567" w:right="713"/>
        <w:rPr>
          <w:rFonts w:ascii="Verdana" w:eastAsiaTheme="minorEastAsia" w:hAnsi="Verdana"/>
          <w:i/>
          <w:noProof/>
          <w:sz w:val="16"/>
          <w:szCs w:val="16"/>
          <w:lang w:val="es-CR" w:eastAsia="es-CR"/>
        </w:rPr>
      </w:pPr>
      <w:r>
        <w:rPr>
          <w:rFonts w:ascii="Verdana" w:hAnsi="Verdana"/>
          <w:i/>
          <w:sz w:val="16"/>
          <w:szCs w:val="16"/>
          <w:lang w:val="es-CR"/>
        </w:rPr>
        <w:fldChar w:fldCharType="begin"/>
      </w:r>
      <w:r>
        <w:rPr>
          <w:rFonts w:ascii="Verdana" w:hAnsi="Verdana"/>
          <w:i/>
          <w:sz w:val="16"/>
          <w:szCs w:val="16"/>
          <w:lang w:val="es-CR"/>
        </w:rPr>
        <w:instrText xml:space="preserve"> TOC \o "1-3" \h \z \u </w:instrText>
      </w:r>
      <w:r>
        <w:rPr>
          <w:rFonts w:ascii="Verdana" w:hAnsi="Verdana"/>
          <w:i/>
          <w:sz w:val="16"/>
          <w:szCs w:val="16"/>
          <w:lang w:val="es-CR"/>
        </w:rPr>
        <w:fldChar w:fldCharType="separate"/>
      </w:r>
      <w:hyperlink w:anchor="_Toc530407693" w:history="1">
        <w:r w:rsidRPr="00BF3540">
          <w:rPr>
            <w:rStyle w:val="Hyperlink"/>
            <w:rFonts w:ascii="Verdana" w:hAnsi="Verdana"/>
            <w:i/>
            <w:noProof/>
            <w:sz w:val="16"/>
            <w:szCs w:val="16"/>
            <w:lang w:val="es-CR"/>
          </w:rPr>
          <w:t>A.Tratamiento médico y psicológico/psiquiátrico</w:t>
        </w:r>
        <w:r w:rsidRPr="00BF3540">
          <w:rPr>
            <w:rFonts w:ascii="Verdana" w:hAnsi="Verdana"/>
            <w:i/>
            <w:noProof/>
            <w:webHidden/>
            <w:sz w:val="16"/>
            <w:szCs w:val="16"/>
          </w:rPr>
          <w:tab/>
        </w:r>
        <w:r w:rsidRPr="00BF3540">
          <w:rPr>
            <w:rFonts w:ascii="Verdana" w:hAnsi="Verdana"/>
            <w:i/>
            <w:noProof/>
            <w:webHidden/>
            <w:sz w:val="16"/>
            <w:szCs w:val="16"/>
          </w:rPr>
          <w:fldChar w:fldCharType="begin"/>
        </w:r>
        <w:r w:rsidRPr="00BF3540">
          <w:rPr>
            <w:rFonts w:ascii="Verdana" w:hAnsi="Verdana"/>
            <w:i/>
            <w:noProof/>
            <w:webHidden/>
            <w:sz w:val="16"/>
            <w:szCs w:val="16"/>
          </w:rPr>
          <w:instrText xml:space="preserve"> PAGEREF _Toc530407693 \h </w:instrText>
        </w:r>
        <w:r w:rsidRPr="00BF3540">
          <w:rPr>
            <w:rFonts w:ascii="Verdana" w:hAnsi="Verdana"/>
            <w:i/>
            <w:noProof/>
            <w:webHidden/>
            <w:sz w:val="16"/>
            <w:szCs w:val="16"/>
          </w:rPr>
        </w:r>
        <w:r w:rsidRPr="00BF3540">
          <w:rPr>
            <w:rFonts w:ascii="Verdana" w:hAnsi="Verdana"/>
            <w:i/>
            <w:noProof/>
            <w:webHidden/>
            <w:sz w:val="16"/>
            <w:szCs w:val="16"/>
          </w:rPr>
          <w:fldChar w:fldCharType="separate"/>
        </w:r>
        <w:r w:rsidR="00AE1507">
          <w:rPr>
            <w:rFonts w:ascii="Verdana" w:hAnsi="Verdana"/>
            <w:i/>
            <w:noProof/>
            <w:webHidden/>
            <w:sz w:val="16"/>
            <w:szCs w:val="16"/>
          </w:rPr>
          <w:t>3</w:t>
        </w:r>
        <w:r w:rsidRPr="00BF3540">
          <w:rPr>
            <w:rFonts w:ascii="Verdana" w:hAnsi="Verdana"/>
            <w:i/>
            <w:noProof/>
            <w:webHidden/>
            <w:sz w:val="16"/>
            <w:szCs w:val="16"/>
          </w:rPr>
          <w:fldChar w:fldCharType="end"/>
        </w:r>
      </w:hyperlink>
    </w:p>
    <w:p w14:paraId="17D4DD2A" w14:textId="7F2553C4" w:rsidR="00480FF8" w:rsidRPr="00BF3540" w:rsidRDefault="00AD021D" w:rsidP="00BF3540">
      <w:pPr>
        <w:pStyle w:val="TOC1"/>
        <w:tabs>
          <w:tab w:val="left" w:pos="660"/>
          <w:tab w:val="right" w:leader="dot" w:pos="8505"/>
        </w:tabs>
        <w:spacing w:after="0" w:line="240" w:lineRule="auto"/>
        <w:ind w:left="567" w:right="713"/>
        <w:rPr>
          <w:rFonts w:ascii="Verdana" w:eastAsiaTheme="minorEastAsia" w:hAnsi="Verdana"/>
          <w:i/>
          <w:noProof/>
          <w:sz w:val="16"/>
          <w:szCs w:val="16"/>
          <w:lang w:val="es-CR" w:eastAsia="es-CR"/>
        </w:rPr>
      </w:pPr>
      <w:hyperlink w:anchor="_Toc530407694" w:history="1">
        <w:r w:rsidR="00480FF8" w:rsidRPr="00BF3540">
          <w:rPr>
            <w:rStyle w:val="Hyperlink"/>
            <w:rFonts w:ascii="Verdana" w:hAnsi="Verdana"/>
            <w:i/>
            <w:noProof/>
            <w:sz w:val="16"/>
            <w:szCs w:val="16"/>
            <w:lang w:val="es-CR"/>
          </w:rPr>
          <w:t>B.Publicación o cartilla que desarrolle los derechos de las mujeres en cuanto a su salud sexual y reproductiva</w:t>
        </w:r>
        <w:r w:rsidR="00480FF8" w:rsidRPr="00BF3540">
          <w:rPr>
            <w:rFonts w:ascii="Verdana" w:hAnsi="Verdana"/>
            <w:i/>
            <w:noProof/>
            <w:webHidden/>
            <w:sz w:val="16"/>
            <w:szCs w:val="16"/>
          </w:rPr>
          <w:tab/>
        </w:r>
        <w:r w:rsidR="00480FF8" w:rsidRPr="00BF3540">
          <w:rPr>
            <w:rFonts w:ascii="Verdana" w:hAnsi="Verdana"/>
            <w:i/>
            <w:noProof/>
            <w:webHidden/>
            <w:sz w:val="16"/>
            <w:szCs w:val="16"/>
          </w:rPr>
          <w:fldChar w:fldCharType="begin"/>
        </w:r>
        <w:r w:rsidR="00480FF8" w:rsidRPr="00BF3540">
          <w:rPr>
            <w:rFonts w:ascii="Verdana" w:hAnsi="Verdana"/>
            <w:i/>
            <w:noProof/>
            <w:webHidden/>
            <w:sz w:val="16"/>
            <w:szCs w:val="16"/>
          </w:rPr>
          <w:instrText xml:space="preserve"> PAGEREF _Toc530407694 \h </w:instrText>
        </w:r>
        <w:r w:rsidR="00480FF8" w:rsidRPr="00BF3540">
          <w:rPr>
            <w:rFonts w:ascii="Verdana" w:hAnsi="Verdana"/>
            <w:i/>
            <w:noProof/>
            <w:webHidden/>
            <w:sz w:val="16"/>
            <w:szCs w:val="16"/>
          </w:rPr>
        </w:r>
        <w:r w:rsidR="00480FF8" w:rsidRPr="00BF3540">
          <w:rPr>
            <w:rFonts w:ascii="Verdana" w:hAnsi="Verdana"/>
            <w:i/>
            <w:noProof/>
            <w:webHidden/>
            <w:sz w:val="16"/>
            <w:szCs w:val="16"/>
          </w:rPr>
          <w:fldChar w:fldCharType="separate"/>
        </w:r>
        <w:r w:rsidR="00AE1507">
          <w:rPr>
            <w:rFonts w:ascii="Verdana" w:hAnsi="Verdana"/>
            <w:i/>
            <w:noProof/>
            <w:webHidden/>
            <w:sz w:val="16"/>
            <w:szCs w:val="16"/>
          </w:rPr>
          <w:t>7</w:t>
        </w:r>
        <w:r w:rsidR="00480FF8" w:rsidRPr="00BF3540">
          <w:rPr>
            <w:rFonts w:ascii="Verdana" w:hAnsi="Verdana"/>
            <w:i/>
            <w:noProof/>
            <w:webHidden/>
            <w:sz w:val="16"/>
            <w:szCs w:val="16"/>
          </w:rPr>
          <w:fldChar w:fldCharType="end"/>
        </w:r>
      </w:hyperlink>
    </w:p>
    <w:p w14:paraId="5C355FA2" w14:textId="560B746C" w:rsidR="00480FF8" w:rsidRPr="00BF3540" w:rsidRDefault="00AD021D" w:rsidP="00BF3540">
      <w:pPr>
        <w:pStyle w:val="TOC1"/>
        <w:tabs>
          <w:tab w:val="left" w:pos="660"/>
          <w:tab w:val="right" w:leader="dot" w:pos="8505"/>
        </w:tabs>
        <w:spacing w:after="0" w:line="240" w:lineRule="auto"/>
        <w:ind w:left="567" w:right="713"/>
        <w:rPr>
          <w:rFonts w:ascii="Verdana" w:eastAsiaTheme="minorEastAsia" w:hAnsi="Verdana"/>
          <w:i/>
          <w:noProof/>
          <w:sz w:val="16"/>
          <w:szCs w:val="16"/>
          <w:lang w:val="es-CR" w:eastAsia="es-CR"/>
        </w:rPr>
      </w:pPr>
      <w:hyperlink w:anchor="_Toc530407695" w:history="1">
        <w:r w:rsidR="00480FF8" w:rsidRPr="00BF3540">
          <w:rPr>
            <w:rStyle w:val="Hyperlink"/>
            <w:rFonts w:ascii="Verdana" w:hAnsi="Verdana"/>
            <w:i/>
            <w:noProof/>
            <w:sz w:val="16"/>
            <w:szCs w:val="16"/>
            <w:lang w:val="es-CR"/>
          </w:rPr>
          <w:t>C.Programas de educación y formación dirigidos a profesionales del sistema de salud y seguridad social</w:t>
        </w:r>
        <w:r w:rsidR="00480FF8" w:rsidRPr="00BF3540">
          <w:rPr>
            <w:rFonts w:ascii="Verdana" w:hAnsi="Verdana"/>
            <w:i/>
            <w:noProof/>
            <w:webHidden/>
            <w:sz w:val="16"/>
            <w:szCs w:val="16"/>
          </w:rPr>
          <w:tab/>
        </w:r>
        <w:r w:rsidR="00480FF8" w:rsidRPr="00BF3540">
          <w:rPr>
            <w:rFonts w:ascii="Verdana" w:hAnsi="Verdana"/>
            <w:i/>
            <w:noProof/>
            <w:webHidden/>
            <w:sz w:val="16"/>
            <w:szCs w:val="16"/>
          </w:rPr>
          <w:fldChar w:fldCharType="begin"/>
        </w:r>
        <w:r w:rsidR="00480FF8" w:rsidRPr="00BF3540">
          <w:rPr>
            <w:rFonts w:ascii="Verdana" w:hAnsi="Verdana"/>
            <w:i/>
            <w:noProof/>
            <w:webHidden/>
            <w:sz w:val="16"/>
            <w:szCs w:val="16"/>
          </w:rPr>
          <w:instrText xml:space="preserve"> PAGEREF _Toc530407695 \h </w:instrText>
        </w:r>
        <w:r w:rsidR="00480FF8" w:rsidRPr="00BF3540">
          <w:rPr>
            <w:rFonts w:ascii="Verdana" w:hAnsi="Verdana"/>
            <w:i/>
            <w:noProof/>
            <w:webHidden/>
            <w:sz w:val="16"/>
            <w:szCs w:val="16"/>
          </w:rPr>
        </w:r>
        <w:r w:rsidR="00480FF8" w:rsidRPr="00BF3540">
          <w:rPr>
            <w:rFonts w:ascii="Verdana" w:hAnsi="Verdana"/>
            <w:i/>
            <w:noProof/>
            <w:webHidden/>
            <w:sz w:val="16"/>
            <w:szCs w:val="16"/>
          </w:rPr>
          <w:fldChar w:fldCharType="separate"/>
        </w:r>
        <w:r w:rsidR="00AE1507">
          <w:rPr>
            <w:rFonts w:ascii="Verdana" w:hAnsi="Verdana"/>
            <w:i/>
            <w:noProof/>
            <w:webHidden/>
            <w:sz w:val="16"/>
            <w:szCs w:val="16"/>
          </w:rPr>
          <w:t>10</w:t>
        </w:r>
        <w:r w:rsidR="00480FF8" w:rsidRPr="00BF3540">
          <w:rPr>
            <w:rFonts w:ascii="Verdana" w:hAnsi="Verdana"/>
            <w:i/>
            <w:noProof/>
            <w:webHidden/>
            <w:sz w:val="16"/>
            <w:szCs w:val="16"/>
          </w:rPr>
          <w:fldChar w:fldCharType="end"/>
        </w:r>
      </w:hyperlink>
    </w:p>
    <w:p w14:paraId="5E710C48" w14:textId="1BBD25FB" w:rsidR="006B7B2A" w:rsidRPr="006B7B2A" w:rsidRDefault="00480FF8" w:rsidP="00BF3540">
      <w:pPr>
        <w:tabs>
          <w:tab w:val="right" w:leader="dot" w:pos="8505"/>
        </w:tabs>
        <w:spacing w:after="0" w:line="240" w:lineRule="auto"/>
        <w:ind w:left="567" w:right="713"/>
        <w:jc w:val="both"/>
        <w:rPr>
          <w:rFonts w:ascii="Verdana" w:hAnsi="Verdana"/>
          <w:sz w:val="20"/>
          <w:szCs w:val="20"/>
          <w:lang w:val="es-CR"/>
        </w:rPr>
      </w:pPr>
      <w:r>
        <w:rPr>
          <w:rFonts w:ascii="Verdana" w:hAnsi="Verdana"/>
          <w:i/>
          <w:sz w:val="16"/>
          <w:szCs w:val="16"/>
          <w:lang w:val="es-CR"/>
        </w:rPr>
        <w:fldChar w:fldCharType="end"/>
      </w:r>
    </w:p>
    <w:p w14:paraId="31F1102E" w14:textId="77777777" w:rsidR="003D003B" w:rsidRPr="00F3681C" w:rsidRDefault="00D8760A" w:rsidP="003D003B">
      <w:pPr>
        <w:pStyle w:val="Heading1"/>
        <w:numPr>
          <w:ilvl w:val="0"/>
          <w:numId w:val="3"/>
        </w:numPr>
        <w:spacing w:before="0" w:line="240" w:lineRule="auto"/>
        <w:jc w:val="both"/>
        <w:rPr>
          <w:rFonts w:ascii="Verdana" w:hAnsi="Verdana"/>
          <w:color w:val="auto"/>
          <w:sz w:val="20"/>
          <w:szCs w:val="20"/>
          <w:lang w:val="es-CR"/>
        </w:rPr>
      </w:pPr>
      <w:bookmarkStart w:id="5" w:name="_Toc530407693"/>
      <w:r>
        <w:rPr>
          <w:rFonts w:ascii="Verdana" w:hAnsi="Verdana"/>
          <w:color w:val="auto"/>
          <w:sz w:val="20"/>
          <w:szCs w:val="20"/>
          <w:lang w:val="es-CR"/>
        </w:rPr>
        <w:t>T</w:t>
      </w:r>
      <w:r w:rsidR="003D003B" w:rsidRPr="00F3681C">
        <w:rPr>
          <w:rFonts w:ascii="Verdana" w:hAnsi="Verdana"/>
          <w:color w:val="auto"/>
          <w:sz w:val="20"/>
          <w:szCs w:val="20"/>
          <w:lang w:val="es-CR"/>
        </w:rPr>
        <w:t>ratamiento médico y psicológico/psiquiátrico</w:t>
      </w:r>
      <w:bookmarkEnd w:id="5"/>
      <w:r w:rsidR="003D003B" w:rsidRPr="00F3681C">
        <w:rPr>
          <w:rFonts w:ascii="Verdana" w:hAnsi="Verdana"/>
          <w:color w:val="auto"/>
          <w:sz w:val="20"/>
          <w:szCs w:val="20"/>
          <w:lang w:val="es-CR"/>
        </w:rPr>
        <w:t xml:space="preserve">  </w:t>
      </w:r>
    </w:p>
    <w:p w14:paraId="08068F61" w14:textId="77777777" w:rsidR="003D003B" w:rsidRPr="00F3681C" w:rsidRDefault="003D003B" w:rsidP="003D003B">
      <w:pPr>
        <w:spacing w:line="240" w:lineRule="auto"/>
        <w:jc w:val="both"/>
        <w:rPr>
          <w:rFonts w:ascii="Verdana" w:hAnsi="Verdana"/>
          <w:i/>
          <w:sz w:val="20"/>
          <w:szCs w:val="20"/>
          <w:lang w:val="es-CR"/>
        </w:rPr>
      </w:pPr>
    </w:p>
    <w:p w14:paraId="7EB72778" w14:textId="77777777" w:rsidR="003D003B" w:rsidRDefault="003D003B" w:rsidP="003D003B">
      <w:pPr>
        <w:spacing w:line="240" w:lineRule="auto"/>
        <w:ind w:firstLine="720"/>
        <w:jc w:val="both"/>
        <w:rPr>
          <w:rFonts w:ascii="Verdana" w:hAnsi="Verdana"/>
          <w:i/>
          <w:sz w:val="20"/>
          <w:szCs w:val="20"/>
          <w:lang w:val="es-CR"/>
        </w:rPr>
      </w:pPr>
      <w:r w:rsidRPr="00F3681C">
        <w:rPr>
          <w:rFonts w:ascii="Verdana" w:hAnsi="Verdana"/>
          <w:i/>
          <w:sz w:val="20"/>
          <w:szCs w:val="20"/>
          <w:lang w:val="es-CR"/>
        </w:rPr>
        <w:t xml:space="preserve">A.1. Medida ordenada por la Corte  </w:t>
      </w:r>
    </w:p>
    <w:p w14:paraId="53721F61" w14:textId="5DFA8E4C" w:rsidR="00F3681C" w:rsidRDefault="00F3681C" w:rsidP="003D003B">
      <w:pPr>
        <w:pStyle w:val="ListParagraph"/>
        <w:numPr>
          <w:ilvl w:val="0"/>
          <w:numId w:val="2"/>
        </w:numPr>
        <w:spacing w:after="0" w:line="240" w:lineRule="auto"/>
        <w:ind w:left="0" w:firstLine="0"/>
        <w:jc w:val="both"/>
        <w:rPr>
          <w:rFonts w:ascii="Verdana" w:hAnsi="Verdana"/>
          <w:sz w:val="20"/>
          <w:szCs w:val="20"/>
          <w:lang w:val="es-CR"/>
        </w:rPr>
      </w:pPr>
      <w:bookmarkStart w:id="6" w:name="_Ref530405974"/>
      <w:r w:rsidRPr="003D003B">
        <w:rPr>
          <w:rFonts w:ascii="Verdana" w:hAnsi="Verdana"/>
          <w:sz w:val="20"/>
          <w:szCs w:val="20"/>
          <w:lang w:val="es-CR"/>
        </w:rPr>
        <w:t xml:space="preserve">En el punto resolutivo octavo y en </w:t>
      </w:r>
      <w:r w:rsidR="003D003B" w:rsidRPr="003D003B">
        <w:rPr>
          <w:rFonts w:ascii="Verdana" w:hAnsi="Verdana"/>
          <w:sz w:val="20"/>
          <w:szCs w:val="20"/>
          <w:lang w:val="es-CR"/>
        </w:rPr>
        <w:t>el</w:t>
      </w:r>
      <w:r w:rsidRPr="003D003B">
        <w:rPr>
          <w:rFonts w:ascii="Verdana" w:hAnsi="Verdana"/>
          <w:sz w:val="20"/>
          <w:szCs w:val="20"/>
          <w:lang w:val="es-CR"/>
        </w:rPr>
        <w:t xml:space="preserve"> párrafo</w:t>
      </w:r>
      <w:r w:rsidR="003D003B" w:rsidRPr="003D003B">
        <w:rPr>
          <w:rFonts w:ascii="Verdana" w:hAnsi="Verdana"/>
          <w:sz w:val="20"/>
          <w:szCs w:val="20"/>
          <w:lang w:val="es-CR"/>
        </w:rPr>
        <w:t xml:space="preserve"> 332</w:t>
      </w:r>
      <w:r w:rsidRPr="003D003B">
        <w:rPr>
          <w:rFonts w:ascii="Verdana" w:hAnsi="Verdana"/>
          <w:sz w:val="20"/>
          <w:szCs w:val="20"/>
          <w:lang w:val="es-CR"/>
        </w:rPr>
        <w:t xml:space="preserve"> </w:t>
      </w:r>
      <w:r w:rsidR="003D003B" w:rsidRPr="003D003B">
        <w:rPr>
          <w:rFonts w:ascii="Verdana" w:hAnsi="Verdana"/>
          <w:sz w:val="20"/>
          <w:szCs w:val="20"/>
          <w:lang w:val="es-CR"/>
        </w:rPr>
        <w:t>de la Sentencia, la Corte dispuso que el Estado debía “brindar gratuitamente, a través de sus instituciones de salud especializadas, y de forma inmediata, adecuada y efectiva, el tratamiento médico y, específicamente en salud sexual y reproductiva, así como tratamiento psicológico y/o psiquiátrico, a la señora I.V</w:t>
      </w:r>
      <w:r w:rsidR="00924E39">
        <w:rPr>
          <w:rFonts w:ascii="Verdana" w:hAnsi="Verdana"/>
          <w:sz w:val="20"/>
          <w:szCs w:val="20"/>
          <w:lang w:val="es-CR"/>
        </w:rPr>
        <w:t>., incluyendo el suministro gratuito de los medicamentos que eventualmente se requiera, tomando en consideración sus padecimientos</w:t>
      </w:r>
      <w:r w:rsidR="003D003B">
        <w:rPr>
          <w:rFonts w:ascii="Verdana" w:hAnsi="Verdana"/>
          <w:sz w:val="20"/>
          <w:szCs w:val="20"/>
          <w:lang w:val="es-CR"/>
        </w:rPr>
        <w:t>”</w:t>
      </w:r>
      <w:r w:rsidR="003D003B" w:rsidRPr="003D003B">
        <w:rPr>
          <w:rFonts w:ascii="Verdana" w:hAnsi="Verdana"/>
          <w:sz w:val="20"/>
          <w:szCs w:val="20"/>
          <w:lang w:val="es-CR"/>
        </w:rPr>
        <w:t>.</w:t>
      </w:r>
      <w:r w:rsidR="00C51121">
        <w:rPr>
          <w:rFonts w:ascii="Verdana" w:hAnsi="Verdana"/>
          <w:sz w:val="20"/>
          <w:szCs w:val="20"/>
          <w:lang w:val="es-CR"/>
        </w:rPr>
        <w:t xml:space="preserve"> Respecto a la atención psicológica y/</w:t>
      </w:r>
      <w:r w:rsidR="00480FF8">
        <w:rPr>
          <w:rFonts w:ascii="Verdana" w:hAnsi="Verdana"/>
          <w:sz w:val="20"/>
          <w:szCs w:val="20"/>
          <w:lang w:val="es-CR"/>
        </w:rPr>
        <w:t>o</w:t>
      </w:r>
      <w:r w:rsidR="00C51121">
        <w:rPr>
          <w:rFonts w:ascii="Verdana" w:hAnsi="Verdana"/>
          <w:sz w:val="20"/>
          <w:szCs w:val="20"/>
          <w:lang w:val="es-CR"/>
        </w:rPr>
        <w:t xml:space="preserve"> psiquiátrica, la Corte determinó que la víctima tenía un plazo de seis meses a partir de la notificación de la Sentencia para dar a conocer al Estado su intención de recibirla.</w:t>
      </w:r>
      <w:bookmarkEnd w:id="6"/>
    </w:p>
    <w:p w14:paraId="5C2A9E95" w14:textId="77777777" w:rsidR="003D003B" w:rsidRDefault="003D003B" w:rsidP="003D003B">
      <w:pPr>
        <w:spacing w:after="0" w:line="240" w:lineRule="auto"/>
        <w:jc w:val="both"/>
        <w:rPr>
          <w:rFonts w:ascii="Verdana" w:hAnsi="Verdana"/>
          <w:sz w:val="20"/>
          <w:szCs w:val="20"/>
          <w:lang w:val="es-CR"/>
        </w:rPr>
      </w:pPr>
    </w:p>
    <w:p w14:paraId="1C0A68F4" w14:textId="77777777" w:rsidR="00EE47C9" w:rsidRDefault="00EE47C9" w:rsidP="003D003B">
      <w:pPr>
        <w:spacing w:after="0" w:line="240" w:lineRule="auto"/>
        <w:jc w:val="both"/>
        <w:rPr>
          <w:rFonts w:ascii="Verdana" w:hAnsi="Verdana"/>
          <w:sz w:val="20"/>
          <w:szCs w:val="20"/>
          <w:lang w:val="es-CR"/>
        </w:rPr>
      </w:pPr>
    </w:p>
    <w:p w14:paraId="6A12ABDE" w14:textId="77777777" w:rsidR="003D003B" w:rsidRDefault="003D003B" w:rsidP="003D003B">
      <w:pPr>
        <w:spacing w:after="0" w:line="240" w:lineRule="auto"/>
        <w:ind w:firstLine="720"/>
        <w:jc w:val="both"/>
        <w:rPr>
          <w:rFonts w:ascii="Verdana" w:hAnsi="Verdana"/>
          <w:i/>
          <w:sz w:val="20"/>
          <w:szCs w:val="20"/>
          <w:lang w:val="es-CR"/>
        </w:rPr>
      </w:pPr>
      <w:r>
        <w:rPr>
          <w:rFonts w:ascii="Verdana" w:hAnsi="Verdana"/>
          <w:i/>
          <w:sz w:val="20"/>
          <w:szCs w:val="20"/>
          <w:lang w:val="es-CR"/>
        </w:rPr>
        <w:t>A.2. Consideraciones de la Corte</w:t>
      </w:r>
    </w:p>
    <w:p w14:paraId="69585982" w14:textId="77777777" w:rsidR="003D003B" w:rsidRDefault="003D003B" w:rsidP="003D003B">
      <w:pPr>
        <w:pStyle w:val="ListParagraph"/>
        <w:spacing w:after="0" w:line="240" w:lineRule="auto"/>
        <w:ind w:left="0"/>
        <w:jc w:val="both"/>
        <w:rPr>
          <w:rFonts w:ascii="Verdana" w:hAnsi="Verdana"/>
          <w:sz w:val="20"/>
          <w:szCs w:val="20"/>
          <w:lang w:val="es-CR"/>
        </w:rPr>
      </w:pPr>
    </w:p>
    <w:p w14:paraId="7D6EC5B6" w14:textId="107E3492" w:rsidR="00280177" w:rsidRDefault="002E77BF" w:rsidP="002E77BF">
      <w:pPr>
        <w:pStyle w:val="ListParagraph"/>
        <w:numPr>
          <w:ilvl w:val="0"/>
          <w:numId w:val="2"/>
        </w:numPr>
        <w:spacing w:after="0" w:line="240" w:lineRule="auto"/>
        <w:ind w:left="0" w:firstLine="0"/>
        <w:jc w:val="both"/>
        <w:rPr>
          <w:rFonts w:ascii="Verdana" w:hAnsi="Verdana"/>
          <w:sz w:val="20"/>
          <w:szCs w:val="20"/>
          <w:lang w:val="es-CR"/>
        </w:rPr>
      </w:pPr>
      <w:bookmarkStart w:id="7" w:name="_Ref530477692"/>
      <w:r>
        <w:rPr>
          <w:rFonts w:ascii="Verdana" w:hAnsi="Verdana"/>
          <w:sz w:val="20"/>
          <w:szCs w:val="20"/>
          <w:lang w:val="es-CR"/>
        </w:rPr>
        <w:t>La Corte constata, con base en la información y la prueba aportada</w:t>
      </w:r>
      <w:r w:rsidR="009C71C8">
        <w:rPr>
          <w:rStyle w:val="FootnoteReference"/>
          <w:rFonts w:ascii="Verdana" w:hAnsi="Verdana"/>
          <w:sz w:val="20"/>
          <w:szCs w:val="20"/>
          <w:lang w:val="es-CR"/>
        </w:rPr>
        <w:footnoteReference w:id="11"/>
      </w:r>
      <w:r w:rsidR="00E50E4D">
        <w:rPr>
          <w:rFonts w:ascii="Verdana" w:hAnsi="Verdana"/>
          <w:sz w:val="20"/>
          <w:szCs w:val="20"/>
          <w:lang w:val="es-CR"/>
        </w:rPr>
        <w:t xml:space="preserve"> que</w:t>
      </w:r>
      <w:r w:rsidR="00452E03">
        <w:rPr>
          <w:rFonts w:ascii="Verdana" w:hAnsi="Verdana"/>
          <w:sz w:val="20"/>
          <w:szCs w:val="20"/>
          <w:lang w:val="es-CR"/>
        </w:rPr>
        <w:t>, con posterioridad a que la víctima manifestó su interés de beneficiarse de esta medida,</w:t>
      </w:r>
      <w:r w:rsidR="00E50E4D">
        <w:rPr>
          <w:rFonts w:ascii="Verdana" w:hAnsi="Verdana"/>
          <w:sz w:val="20"/>
          <w:szCs w:val="20"/>
          <w:lang w:val="es-CR"/>
        </w:rPr>
        <w:t xml:space="preserve"> Bolivia ha adoptado las siguientes medidas para dar cumplimiento a la presente reparación:</w:t>
      </w:r>
      <w:bookmarkEnd w:id="7"/>
      <w:r w:rsidR="00E50E4D">
        <w:rPr>
          <w:rFonts w:ascii="Verdana" w:hAnsi="Verdana"/>
          <w:sz w:val="20"/>
          <w:szCs w:val="20"/>
          <w:lang w:val="es-CR"/>
        </w:rPr>
        <w:t xml:space="preserve"> </w:t>
      </w:r>
    </w:p>
    <w:p w14:paraId="1DA3D021" w14:textId="77777777" w:rsidR="00280177" w:rsidRDefault="00280177" w:rsidP="00280177">
      <w:pPr>
        <w:pStyle w:val="ListParagraph"/>
        <w:spacing w:after="0" w:line="240" w:lineRule="auto"/>
        <w:ind w:left="0"/>
        <w:jc w:val="both"/>
        <w:rPr>
          <w:rFonts w:ascii="Verdana" w:hAnsi="Verdana"/>
          <w:sz w:val="20"/>
          <w:szCs w:val="20"/>
          <w:lang w:val="es-CR"/>
        </w:rPr>
      </w:pPr>
    </w:p>
    <w:p w14:paraId="307442F4" w14:textId="425F5C24" w:rsidR="00280177" w:rsidRDefault="00BE4812" w:rsidP="00280177">
      <w:pPr>
        <w:pStyle w:val="ListParagraph"/>
        <w:numPr>
          <w:ilvl w:val="1"/>
          <w:numId w:val="2"/>
        </w:numPr>
        <w:spacing w:after="0" w:line="240" w:lineRule="auto"/>
        <w:jc w:val="both"/>
        <w:rPr>
          <w:rFonts w:ascii="Verdana" w:hAnsi="Verdana"/>
          <w:sz w:val="20"/>
          <w:szCs w:val="20"/>
          <w:lang w:val="es-CR"/>
        </w:rPr>
      </w:pPr>
      <w:r>
        <w:rPr>
          <w:rFonts w:ascii="Verdana" w:hAnsi="Verdana"/>
          <w:sz w:val="20"/>
          <w:szCs w:val="20"/>
          <w:lang w:val="es-CR"/>
        </w:rPr>
        <w:t xml:space="preserve">emitió </w:t>
      </w:r>
      <w:r w:rsidR="00E50E4D">
        <w:rPr>
          <w:rFonts w:ascii="Verdana" w:hAnsi="Verdana"/>
          <w:sz w:val="20"/>
          <w:szCs w:val="20"/>
          <w:lang w:val="es-CR"/>
        </w:rPr>
        <w:t xml:space="preserve">la Ley No. 971 de 16 de agosto de 2017 (en adelante, </w:t>
      </w:r>
      <w:r w:rsidR="00283B6C">
        <w:rPr>
          <w:rFonts w:ascii="Verdana" w:hAnsi="Verdana"/>
          <w:sz w:val="20"/>
          <w:szCs w:val="20"/>
          <w:lang w:val="es-CR"/>
        </w:rPr>
        <w:t>“</w:t>
      </w:r>
      <w:r w:rsidR="00E50E4D">
        <w:rPr>
          <w:rFonts w:ascii="Verdana" w:hAnsi="Verdana"/>
          <w:sz w:val="20"/>
          <w:szCs w:val="20"/>
          <w:lang w:val="es-CR"/>
        </w:rPr>
        <w:t>Ley 971</w:t>
      </w:r>
      <w:r w:rsidR="00283B6C">
        <w:rPr>
          <w:rFonts w:ascii="Verdana" w:hAnsi="Verdana"/>
          <w:sz w:val="20"/>
          <w:szCs w:val="20"/>
          <w:lang w:val="es-CR"/>
        </w:rPr>
        <w:t>”</w:t>
      </w:r>
      <w:r w:rsidR="00E50E4D">
        <w:rPr>
          <w:rFonts w:ascii="Verdana" w:hAnsi="Verdana"/>
          <w:sz w:val="20"/>
          <w:szCs w:val="20"/>
          <w:lang w:val="es-CR"/>
        </w:rPr>
        <w:t>)</w:t>
      </w:r>
      <w:r w:rsidR="00280177">
        <w:rPr>
          <w:rFonts w:ascii="Verdana" w:hAnsi="Verdana"/>
          <w:sz w:val="20"/>
          <w:szCs w:val="20"/>
          <w:lang w:val="es-CR"/>
        </w:rPr>
        <w:t>, que</w:t>
      </w:r>
      <w:r w:rsidR="00280177" w:rsidRPr="00280177">
        <w:rPr>
          <w:rFonts w:ascii="Verdana" w:hAnsi="Verdana"/>
          <w:sz w:val="20"/>
          <w:szCs w:val="20"/>
          <w:lang w:val="es-CR"/>
        </w:rPr>
        <w:t xml:space="preserve"> </w:t>
      </w:r>
      <w:r w:rsidR="00280177">
        <w:rPr>
          <w:rFonts w:ascii="Verdana" w:hAnsi="Verdana"/>
          <w:sz w:val="20"/>
          <w:szCs w:val="20"/>
          <w:lang w:val="es-CR"/>
        </w:rPr>
        <w:t>“autoriza al Ministerio de Economía y Finanzas Públicas […] realizar el traspaso presupuestario interinstitucional de forma anual al Ministerio de Salud, para cubrir el costo de la prestación de servicios de salud de la [víctima y sus familiares]”</w:t>
      </w:r>
      <w:r w:rsidR="00280177">
        <w:rPr>
          <w:rStyle w:val="FootnoteReference"/>
          <w:rFonts w:ascii="Verdana" w:hAnsi="Verdana"/>
          <w:sz w:val="20"/>
          <w:szCs w:val="20"/>
          <w:lang w:val="es-CR"/>
        </w:rPr>
        <w:footnoteReference w:id="12"/>
      </w:r>
      <w:r w:rsidR="00E50E4D">
        <w:rPr>
          <w:rFonts w:ascii="Verdana" w:hAnsi="Verdana"/>
          <w:sz w:val="20"/>
          <w:szCs w:val="20"/>
          <w:lang w:val="es-CR"/>
        </w:rPr>
        <w:t xml:space="preserve">; </w:t>
      </w:r>
    </w:p>
    <w:p w14:paraId="0C9568DE" w14:textId="29F99980" w:rsidR="00D24F46" w:rsidRDefault="00D24F46" w:rsidP="00D24F46">
      <w:pPr>
        <w:pStyle w:val="ListParagraph"/>
        <w:numPr>
          <w:ilvl w:val="1"/>
          <w:numId w:val="2"/>
        </w:numPr>
        <w:spacing w:after="0" w:line="240" w:lineRule="auto"/>
        <w:jc w:val="both"/>
        <w:rPr>
          <w:rFonts w:ascii="Verdana" w:hAnsi="Verdana"/>
          <w:sz w:val="20"/>
          <w:szCs w:val="20"/>
          <w:lang w:val="es-CR"/>
        </w:rPr>
      </w:pPr>
      <w:bookmarkStart w:id="8" w:name="_Ref530411927"/>
      <w:r w:rsidRPr="003D6466">
        <w:rPr>
          <w:rFonts w:ascii="Verdana" w:hAnsi="Verdana"/>
          <w:sz w:val="20"/>
          <w:szCs w:val="20"/>
          <w:lang w:val="es-CR"/>
        </w:rPr>
        <w:t xml:space="preserve">en lo que respecta al tratamiento médico y correspondientes medicamentos, </w:t>
      </w:r>
      <w:r>
        <w:rPr>
          <w:rFonts w:ascii="Verdana" w:hAnsi="Verdana"/>
          <w:sz w:val="20"/>
          <w:szCs w:val="20"/>
          <w:lang w:val="es-CR"/>
        </w:rPr>
        <w:t xml:space="preserve">suscribió un convenio el 5 de diciembre de 2017 entre el Ministerio de Salud y la Caja Petrolera de Salud, que tiene por objeto la “prestación de servicios de salud por la Caja Petrolera de Salud en el Seguro Social de Corto Plazo bajo la </w:t>
      </w:r>
      <w:r>
        <w:rPr>
          <w:rFonts w:ascii="Verdana" w:hAnsi="Verdana"/>
          <w:sz w:val="20"/>
          <w:szCs w:val="20"/>
          <w:lang w:val="es-CR"/>
        </w:rPr>
        <w:lastRenderedPageBreak/>
        <w:t>modalidad que corresponda, en favor de la [víctima y sus familiares]” así como también “</w:t>
      </w:r>
      <w:r w:rsidR="00D81F97">
        <w:rPr>
          <w:rFonts w:ascii="Verdana" w:hAnsi="Verdana"/>
          <w:sz w:val="20"/>
          <w:szCs w:val="20"/>
          <w:lang w:val="es-CR"/>
        </w:rPr>
        <w:t>[</w:t>
      </w:r>
      <w:r>
        <w:rPr>
          <w:rFonts w:ascii="Verdana" w:hAnsi="Verdana"/>
          <w:sz w:val="20"/>
          <w:szCs w:val="20"/>
          <w:lang w:val="es-CR"/>
        </w:rPr>
        <w:t>e</w:t>
      </w:r>
      <w:r w:rsidR="00D81F97">
        <w:rPr>
          <w:rFonts w:ascii="Verdana" w:hAnsi="Verdana"/>
          <w:sz w:val="20"/>
          <w:szCs w:val="20"/>
          <w:lang w:val="es-CR"/>
        </w:rPr>
        <w:t>]</w:t>
      </w:r>
      <w:r>
        <w:rPr>
          <w:rFonts w:ascii="Verdana" w:hAnsi="Verdana"/>
          <w:sz w:val="20"/>
          <w:szCs w:val="20"/>
          <w:lang w:val="es-CR"/>
        </w:rPr>
        <w:t>stablecer los mecanismos que permita al acceso pleno de [</w:t>
      </w:r>
      <w:r w:rsidR="00D81F97">
        <w:rPr>
          <w:rFonts w:ascii="Verdana" w:hAnsi="Verdana"/>
          <w:sz w:val="20"/>
          <w:szCs w:val="20"/>
          <w:lang w:val="es-CR"/>
        </w:rPr>
        <w:t>l</w:t>
      </w:r>
      <w:r>
        <w:rPr>
          <w:rFonts w:ascii="Verdana" w:hAnsi="Verdana"/>
          <w:sz w:val="20"/>
          <w:szCs w:val="20"/>
          <w:lang w:val="es-CR"/>
        </w:rPr>
        <w:t>a víctima y sus familiares] a los servicios de salud”</w:t>
      </w:r>
      <w:r>
        <w:rPr>
          <w:rStyle w:val="FootnoteReference"/>
          <w:rFonts w:ascii="Verdana" w:hAnsi="Verdana"/>
          <w:sz w:val="20"/>
          <w:szCs w:val="20"/>
          <w:lang w:val="es-CR"/>
        </w:rPr>
        <w:footnoteReference w:id="13"/>
      </w:r>
      <w:r w:rsidR="00EE5C7F">
        <w:rPr>
          <w:rFonts w:ascii="Verdana" w:hAnsi="Verdana"/>
          <w:sz w:val="20"/>
          <w:szCs w:val="20"/>
          <w:lang w:val="es-CR"/>
        </w:rPr>
        <w:t>, y</w:t>
      </w:r>
      <w:bookmarkEnd w:id="8"/>
      <w:r>
        <w:rPr>
          <w:rFonts w:ascii="Verdana" w:hAnsi="Verdana"/>
          <w:sz w:val="20"/>
          <w:szCs w:val="20"/>
          <w:lang w:val="es-CR"/>
        </w:rPr>
        <w:t xml:space="preserve"> </w:t>
      </w:r>
    </w:p>
    <w:p w14:paraId="7739509F" w14:textId="167AF83A" w:rsidR="00280177" w:rsidRDefault="003D6466" w:rsidP="00280177">
      <w:pPr>
        <w:pStyle w:val="ListParagraph"/>
        <w:numPr>
          <w:ilvl w:val="1"/>
          <w:numId w:val="2"/>
        </w:numPr>
        <w:spacing w:after="0" w:line="240" w:lineRule="auto"/>
        <w:jc w:val="both"/>
        <w:rPr>
          <w:rFonts w:ascii="Verdana" w:hAnsi="Verdana"/>
          <w:sz w:val="20"/>
          <w:szCs w:val="20"/>
          <w:lang w:val="es-CR"/>
        </w:rPr>
      </w:pPr>
      <w:r w:rsidRPr="003D6466">
        <w:rPr>
          <w:rFonts w:ascii="Verdana" w:hAnsi="Verdana"/>
          <w:sz w:val="20"/>
          <w:szCs w:val="20"/>
          <w:lang w:val="es-CR"/>
        </w:rPr>
        <w:t xml:space="preserve">en lo que respecta a la atención en salud mental psicológica o psiquiátrica, </w:t>
      </w:r>
      <w:r w:rsidR="002D6E64" w:rsidRPr="003D6466">
        <w:rPr>
          <w:rFonts w:ascii="Verdana" w:hAnsi="Verdana"/>
          <w:sz w:val="20"/>
          <w:szCs w:val="20"/>
          <w:lang w:val="es-CR"/>
        </w:rPr>
        <w:t>suscribió un</w:t>
      </w:r>
      <w:r w:rsidR="002D6E64">
        <w:rPr>
          <w:rFonts w:ascii="Verdana" w:hAnsi="Verdana"/>
          <w:sz w:val="20"/>
          <w:szCs w:val="20"/>
          <w:lang w:val="es-CR"/>
        </w:rPr>
        <w:t xml:space="preserve"> </w:t>
      </w:r>
      <w:r w:rsidR="00E50E4D">
        <w:rPr>
          <w:rFonts w:ascii="Verdana" w:hAnsi="Verdana"/>
          <w:sz w:val="20"/>
          <w:szCs w:val="20"/>
          <w:lang w:val="es-CR"/>
        </w:rPr>
        <w:t xml:space="preserve"> </w:t>
      </w:r>
      <w:r>
        <w:rPr>
          <w:rFonts w:ascii="Verdana" w:hAnsi="Verdana"/>
          <w:sz w:val="20"/>
          <w:szCs w:val="20"/>
          <w:lang w:val="es-CR"/>
        </w:rPr>
        <w:t>c</w:t>
      </w:r>
      <w:r w:rsidR="00E50E4D">
        <w:rPr>
          <w:rFonts w:ascii="Verdana" w:hAnsi="Verdana"/>
          <w:sz w:val="20"/>
          <w:szCs w:val="20"/>
          <w:lang w:val="es-CR"/>
        </w:rPr>
        <w:t xml:space="preserve">onvenio </w:t>
      </w:r>
      <w:r w:rsidR="002D6E64">
        <w:rPr>
          <w:rFonts w:ascii="Verdana" w:hAnsi="Verdana"/>
          <w:sz w:val="20"/>
          <w:szCs w:val="20"/>
          <w:lang w:val="es-CR"/>
        </w:rPr>
        <w:t>el</w:t>
      </w:r>
      <w:r w:rsidR="00C80D68">
        <w:rPr>
          <w:rFonts w:ascii="Verdana" w:hAnsi="Verdana"/>
          <w:sz w:val="20"/>
          <w:szCs w:val="20"/>
          <w:lang w:val="es-CR"/>
        </w:rPr>
        <w:t xml:space="preserve"> 6 de diciembre de 2017 </w:t>
      </w:r>
      <w:r w:rsidR="007001E9">
        <w:rPr>
          <w:rFonts w:ascii="Verdana" w:hAnsi="Verdana"/>
          <w:sz w:val="20"/>
          <w:szCs w:val="20"/>
          <w:lang w:val="es-CR"/>
        </w:rPr>
        <w:t>entre el Ministerio de Salud y el Centro de Rehabilitación y Salud Mental San Juan de Dios</w:t>
      </w:r>
      <w:r w:rsidR="00280177">
        <w:rPr>
          <w:rFonts w:ascii="Verdana" w:hAnsi="Verdana"/>
          <w:sz w:val="20"/>
          <w:szCs w:val="20"/>
          <w:lang w:val="es-CR"/>
        </w:rPr>
        <w:t>, que</w:t>
      </w:r>
      <w:r w:rsidR="00280177" w:rsidRPr="00280177">
        <w:rPr>
          <w:rFonts w:ascii="Verdana" w:hAnsi="Verdana"/>
          <w:sz w:val="20"/>
          <w:szCs w:val="20"/>
          <w:lang w:val="es-CR"/>
        </w:rPr>
        <w:t xml:space="preserve"> </w:t>
      </w:r>
      <w:r w:rsidR="00280177">
        <w:rPr>
          <w:rFonts w:ascii="Verdana" w:hAnsi="Verdana"/>
          <w:sz w:val="20"/>
          <w:szCs w:val="20"/>
          <w:lang w:val="es-CR"/>
        </w:rPr>
        <w:t>tiene como objeto la “prestación de servicios de salud mental, análisis clínicos, hospitalización y dosificación de medicamentos prescritos en favor de [la víctima y sus familiares]”</w:t>
      </w:r>
      <w:r w:rsidR="00280177">
        <w:rPr>
          <w:rStyle w:val="FootnoteReference"/>
          <w:rFonts w:ascii="Verdana" w:hAnsi="Verdana"/>
          <w:sz w:val="20"/>
          <w:szCs w:val="20"/>
          <w:lang w:val="es-CR"/>
        </w:rPr>
        <w:footnoteReference w:id="14"/>
      </w:r>
      <w:r w:rsidR="0029175D">
        <w:rPr>
          <w:rFonts w:ascii="Verdana" w:hAnsi="Verdana"/>
          <w:sz w:val="20"/>
          <w:szCs w:val="20"/>
          <w:lang w:val="es-CR"/>
        </w:rPr>
        <w:t>. Bolivia explicó</w:t>
      </w:r>
      <w:r w:rsidR="0029175D">
        <w:rPr>
          <w:rStyle w:val="FootnoteReference"/>
          <w:rFonts w:ascii="Verdana" w:hAnsi="Verdana"/>
          <w:sz w:val="20"/>
          <w:szCs w:val="20"/>
          <w:lang w:val="es-CR"/>
        </w:rPr>
        <w:footnoteReference w:id="15"/>
      </w:r>
      <w:r w:rsidR="0029175D">
        <w:rPr>
          <w:rFonts w:ascii="Verdana" w:hAnsi="Verdana"/>
          <w:sz w:val="20"/>
          <w:szCs w:val="20"/>
          <w:lang w:val="es-CR"/>
        </w:rPr>
        <w:t xml:space="preserve"> que </w:t>
      </w:r>
      <w:r w:rsidR="00554A85">
        <w:rPr>
          <w:rFonts w:ascii="Verdana" w:hAnsi="Verdana"/>
          <w:sz w:val="20"/>
          <w:szCs w:val="20"/>
          <w:lang w:val="es-CR"/>
        </w:rPr>
        <w:t xml:space="preserve">dicho </w:t>
      </w:r>
      <w:r w:rsidR="0029175D">
        <w:rPr>
          <w:rFonts w:ascii="Verdana" w:hAnsi="Verdana"/>
          <w:sz w:val="20"/>
          <w:szCs w:val="20"/>
          <w:lang w:val="es-CR"/>
        </w:rPr>
        <w:t>centro fue elegido por “</w:t>
      </w:r>
      <w:r w:rsidR="0029175D" w:rsidRPr="00146AC7">
        <w:rPr>
          <w:rFonts w:ascii="Verdana" w:hAnsi="Verdana"/>
          <w:sz w:val="20"/>
          <w:szCs w:val="20"/>
          <w:lang w:val="es-CR"/>
        </w:rPr>
        <w:t xml:space="preserve">la víctima </w:t>
      </w:r>
      <w:r w:rsidR="0029175D">
        <w:rPr>
          <w:rFonts w:ascii="Verdana" w:hAnsi="Verdana"/>
          <w:sz w:val="20"/>
          <w:szCs w:val="20"/>
          <w:lang w:val="es-CR"/>
        </w:rPr>
        <w:t xml:space="preserve">[por cuanto ahí] </w:t>
      </w:r>
      <w:r w:rsidR="0029175D" w:rsidRPr="00146AC7">
        <w:rPr>
          <w:rFonts w:ascii="Verdana" w:hAnsi="Verdana"/>
          <w:sz w:val="20"/>
          <w:szCs w:val="20"/>
          <w:lang w:val="es-CR"/>
        </w:rPr>
        <w:t xml:space="preserve">recibió anteriormente atención </w:t>
      </w:r>
      <w:r w:rsidR="0029175D">
        <w:rPr>
          <w:rFonts w:ascii="Verdana" w:hAnsi="Verdana"/>
          <w:sz w:val="20"/>
          <w:szCs w:val="20"/>
          <w:lang w:val="es-CR"/>
        </w:rPr>
        <w:t>[…</w:t>
      </w:r>
      <w:r w:rsidR="00554A85">
        <w:rPr>
          <w:rFonts w:ascii="Verdana" w:hAnsi="Verdana"/>
          <w:sz w:val="20"/>
          <w:szCs w:val="20"/>
          <w:lang w:val="es-CR"/>
        </w:rPr>
        <w:t xml:space="preserve"> y</w:t>
      </w:r>
      <w:r w:rsidR="0029175D">
        <w:rPr>
          <w:rFonts w:ascii="Verdana" w:hAnsi="Verdana"/>
          <w:sz w:val="20"/>
          <w:szCs w:val="20"/>
          <w:lang w:val="es-CR"/>
        </w:rPr>
        <w:t>]</w:t>
      </w:r>
      <w:r w:rsidR="0029175D" w:rsidRPr="00146AC7">
        <w:rPr>
          <w:rFonts w:ascii="Verdana" w:hAnsi="Verdana"/>
          <w:sz w:val="20"/>
          <w:szCs w:val="20"/>
          <w:lang w:val="es-CR"/>
        </w:rPr>
        <w:t xml:space="preserve"> se siente cómoda y confía”</w:t>
      </w:r>
      <w:r w:rsidR="00EE5C7F">
        <w:rPr>
          <w:rFonts w:ascii="Verdana" w:hAnsi="Verdana"/>
          <w:sz w:val="20"/>
          <w:szCs w:val="20"/>
          <w:lang w:val="es-CR"/>
        </w:rPr>
        <w:t>.</w:t>
      </w:r>
      <w:r w:rsidR="00E50E4D">
        <w:rPr>
          <w:rFonts w:ascii="Verdana" w:hAnsi="Verdana"/>
          <w:sz w:val="20"/>
          <w:szCs w:val="20"/>
          <w:lang w:val="es-CR"/>
        </w:rPr>
        <w:t xml:space="preserve"> </w:t>
      </w:r>
    </w:p>
    <w:p w14:paraId="08F4A380" w14:textId="77777777" w:rsidR="0006593F" w:rsidRDefault="0006593F" w:rsidP="0006593F">
      <w:pPr>
        <w:pStyle w:val="ListParagraph"/>
        <w:spacing w:after="0" w:line="240" w:lineRule="auto"/>
        <w:ind w:left="0"/>
        <w:jc w:val="both"/>
        <w:rPr>
          <w:rFonts w:ascii="Verdana" w:hAnsi="Verdana"/>
          <w:sz w:val="20"/>
          <w:szCs w:val="20"/>
          <w:lang w:val="es-CR"/>
        </w:rPr>
      </w:pPr>
    </w:p>
    <w:p w14:paraId="2C312437" w14:textId="64EE7588" w:rsidR="00C51121" w:rsidRPr="00146AC7" w:rsidRDefault="0006593F" w:rsidP="00146AC7">
      <w:pPr>
        <w:pStyle w:val="ListParagraph"/>
        <w:numPr>
          <w:ilvl w:val="0"/>
          <w:numId w:val="2"/>
        </w:numPr>
        <w:spacing w:after="0" w:line="240" w:lineRule="auto"/>
        <w:ind w:left="0" w:firstLine="0"/>
        <w:jc w:val="both"/>
        <w:rPr>
          <w:rFonts w:ascii="Verdana" w:hAnsi="Verdana"/>
          <w:sz w:val="20"/>
          <w:szCs w:val="20"/>
          <w:lang w:val="es-CR"/>
        </w:rPr>
      </w:pPr>
      <w:bookmarkStart w:id="9" w:name="_Ref530477694"/>
      <w:r>
        <w:rPr>
          <w:rFonts w:ascii="Verdana" w:hAnsi="Verdana"/>
          <w:sz w:val="20"/>
          <w:szCs w:val="20"/>
          <w:lang w:val="es-CR"/>
        </w:rPr>
        <w:t xml:space="preserve">Además, el Estado presentó informes relativos a la atención psicológica de la víctima, de </w:t>
      </w:r>
      <w:r w:rsidR="00655CE9">
        <w:rPr>
          <w:rFonts w:ascii="Verdana" w:hAnsi="Verdana"/>
          <w:sz w:val="20"/>
          <w:szCs w:val="20"/>
          <w:lang w:val="es-CR"/>
        </w:rPr>
        <w:t>los</w:t>
      </w:r>
      <w:r>
        <w:rPr>
          <w:rFonts w:ascii="Verdana" w:hAnsi="Verdana"/>
          <w:sz w:val="20"/>
          <w:szCs w:val="20"/>
          <w:lang w:val="es-CR"/>
        </w:rPr>
        <w:t xml:space="preserve"> </w:t>
      </w:r>
      <w:r w:rsidR="00655CE9">
        <w:rPr>
          <w:rFonts w:ascii="Verdana" w:hAnsi="Verdana"/>
          <w:sz w:val="20"/>
          <w:szCs w:val="20"/>
          <w:lang w:val="es-CR"/>
        </w:rPr>
        <w:t xml:space="preserve">que </w:t>
      </w:r>
      <w:r>
        <w:rPr>
          <w:rFonts w:ascii="Verdana" w:hAnsi="Verdana"/>
          <w:sz w:val="20"/>
          <w:szCs w:val="20"/>
          <w:lang w:val="es-CR"/>
        </w:rPr>
        <w:t xml:space="preserve">se desprende que </w:t>
      </w:r>
      <w:r w:rsidR="0055496F">
        <w:rPr>
          <w:rFonts w:ascii="Verdana" w:hAnsi="Verdana"/>
          <w:sz w:val="20"/>
          <w:szCs w:val="20"/>
          <w:lang w:val="es-CR"/>
        </w:rPr>
        <w:t>ésta ha recibido</w:t>
      </w:r>
      <w:r>
        <w:rPr>
          <w:rFonts w:ascii="Verdana" w:hAnsi="Verdana"/>
          <w:sz w:val="20"/>
          <w:szCs w:val="20"/>
          <w:lang w:val="es-CR"/>
        </w:rPr>
        <w:t xml:space="preserve"> atenci</w:t>
      </w:r>
      <w:r w:rsidR="0055496F">
        <w:rPr>
          <w:rFonts w:ascii="Verdana" w:hAnsi="Verdana"/>
          <w:sz w:val="20"/>
          <w:szCs w:val="20"/>
          <w:lang w:val="es-CR"/>
        </w:rPr>
        <w:t xml:space="preserve">ón </w:t>
      </w:r>
      <w:r w:rsidR="00283B6C">
        <w:rPr>
          <w:rFonts w:ascii="Verdana" w:hAnsi="Verdana"/>
          <w:sz w:val="20"/>
          <w:szCs w:val="20"/>
          <w:lang w:val="es-CR"/>
        </w:rPr>
        <w:t xml:space="preserve">en </w:t>
      </w:r>
      <w:r w:rsidR="002C20E8">
        <w:rPr>
          <w:rFonts w:ascii="Verdana" w:hAnsi="Verdana"/>
          <w:sz w:val="20"/>
          <w:szCs w:val="20"/>
          <w:lang w:val="es-CR"/>
        </w:rPr>
        <w:t>reiteradas</w:t>
      </w:r>
      <w:r w:rsidR="00BD20B0">
        <w:rPr>
          <w:rFonts w:ascii="Verdana" w:hAnsi="Verdana"/>
          <w:sz w:val="20"/>
          <w:szCs w:val="20"/>
          <w:lang w:val="es-CR"/>
        </w:rPr>
        <w:t xml:space="preserve"> ocasiones</w:t>
      </w:r>
      <w:r w:rsidR="00283B6C">
        <w:rPr>
          <w:rFonts w:ascii="Verdana" w:hAnsi="Verdana"/>
          <w:sz w:val="20"/>
          <w:szCs w:val="20"/>
          <w:lang w:val="es-CR"/>
        </w:rPr>
        <w:t xml:space="preserve">, </w:t>
      </w:r>
      <w:r w:rsidR="0055496F">
        <w:rPr>
          <w:rFonts w:ascii="Verdana" w:hAnsi="Verdana"/>
          <w:sz w:val="20"/>
          <w:szCs w:val="20"/>
          <w:lang w:val="es-CR"/>
        </w:rPr>
        <w:t>e</w:t>
      </w:r>
      <w:r w:rsidR="00BD20B0">
        <w:rPr>
          <w:rFonts w:ascii="Verdana" w:hAnsi="Verdana"/>
          <w:sz w:val="20"/>
          <w:szCs w:val="20"/>
          <w:lang w:val="es-CR"/>
        </w:rPr>
        <w:t>ntre</w:t>
      </w:r>
      <w:r w:rsidR="0055496F">
        <w:rPr>
          <w:rFonts w:ascii="Verdana" w:hAnsi="Verdana"/>
          <w:sz w:val="20"/>
          <w:szCs w:val="20"/>
          <w:lang w:val="es-CR"/>
        </w:rPr>
        <w:t xml:space="preserve"> septiembre</w:t>
      </w:r>
      <w:r w:rsidR="00BD20B0">
        <w:rPr>
          <w:rFonts w:ascii="Verdana" w:hAnsi="Verdana"/>
          <w:sz w:val="20"/>
          <w:szCs w:val="20"/>
          <w:lang w:val="es-CR"/>
        </w:rPr>
        <w:t xml:space="preserve"> de 2017 y julio de </w:t>
      </w:r>
      <w:r w:rsidR="00BD20B0" w:rsidRPr="002D0921">
        <w:rPr>
          <w:rFonts w:ascii="Verdana" w:hAnsi="Verdana"/>
          <w:sz w:val="20"/>
          <w:szCs w:val="20"/>
          <w:lang w:val="es-CR"/>
        </w:rPr>
        <w:t>2018</w:t>
      </w:r>
      <w:r w:rsidR="0055496F" w:rsidRPr="002D0921">
        <w:rPr>
          <w:rStyle w:val="FootnoteReference"/>
          <w:rFonts w:ascii="Verdana" w:hAnsi="Verdana"/>
          <w:sz w:val="20"/>
          <w:szCs w:val="20"/>
          <w:lang w:val="es-CR"/>
        </w:rPr>
        <w:footnoteReference w:id="16"/>
      </w:r>
      <w:r w:rsidR="006B11F2" w:rsidRPr="002D0921">
        <w:rPr>
          <w:rFonts w:ascii="Verdana" w:hAnsi="Verdana"/>
          <w:sz w:val="20"/>
          <w:szCs w:val="20"/>
          <w:lang w:val="es-CR"/>
        </w:rPr>
        <w:t>.</w:t>
      </w:r>
      <w:r w:rsidR="0055496F">
        <w:rPr>
          <w:rFonts w:ascii="Verdana" w:hAnsi="Verdana"/>
          <w:sz w:val="20"/>
          <w:szCs w:val="20"/>
          <w:lang w:val="es-CR"/>
        </w:rPr>
        <w:t xml:space="preserve"> </w:t>
      </w:r>
      <w:r w:rsidR="003D003B">
        <w:rPr>
          <w:rFonts w:ascii="Verdana" w:hAnsi="Verdana"/>
          <w:sz w:val="20"/>
          <w:szCs w:val="20"/>
          <w:lang w:val="es-CR"/>
        </w:rPr>
        <w:t xml:space="preserve">En ese sentido, </w:t>
      </w:r>
      <w:r w:rsidR="00655CE9">
        <w:rPr>
          <w:rFonts w:ascii="Verdana" w:hAnsi="Verdana"/>
          <w:sz w:val="20"/>
          <w:szCs w:val="20"/>
          <w:lang w:val="es-CR"/>
        </w:rPr>
        <w:t xml:space="preserve">en su informe de enero de 2018, </w:t>
      </w:r>
      <w:r w:rsidR="006B11F2">
        <w:rPr>
          <w:rFonts w:ascii="Verdana" w:hAnsi="Verdana"/>
          <w:sz w:val="20"/>
          <w:szCs w:val="20"/>
          <w:lang w:val="es-CR"/>
        </w:rPr>
        <w:t>el Estado indicó que “</w:t>
      </w:r>
      <w:r w:rsidR="003D003B">
        <w:rPr>
          <w:rFonts w:ascii="Verdana" w:hAnsi="Verdana"/>
          <w:sz w:val="20"/>
          <w:szCs w:val="20"/>
          <w:lang w:val="es-CR"/>
        </w:rPr>
        <w:t xml:space="preserve">la </w:t>
      </w:r>
      <w:r w:rsidR="00A0756D">
        <w:rPr>
          <w:rFonts w:ascii="Verdana" w:hAnsi="Verdana"/>
          <w:sz w:val="20"/>
          <w:szCs w:val="20"/>
          <w:lang w:val="es-CR"/>
        </w:rPr>
        <w:t>[</w:t>
      </w:r>
      <w:r w:rsidR="003D003B">
        <w:rPr>
          <w:rFonts w:ascii="Verdana" w:hAnsi="Verdana"/>
          <w:sz w:val="20"/>
          <w:szCs w:val="20"/>
          <w:lang w:val="es-CR"/>
        </w:rPr>
        <w:t>víctima</w:t>
      </w:r>
      <w:r w:rsidR="00A0756D">
        <w:rPr>
          <w:rFonts w:ascii="Verdana" w:hAnsi="Verdana"/>
          <w:sz w:val="20"/>
          <w:szCs w:val="20"/>
          <w:lang w:val="es-CR"/>
        </w:rPr>
        <w:t>]</w:t>
      </w:r>
      <w:r w:rsidR="003D003B">
        <w:rPr>
          <w:rFonts w:ascii="Verdana" w:hAnsi="Verdana"/>
          <w:sz w:val="20"/>
          <w:szCs w:val="20"/>
          <w:lang w:val="es-CR"/>
        </w:rPr>
        <w:t xml:space="preserve"> </w:t>
      </w:r>
      <w:r w:rsidR="00A0756D">
        <w:rPr>
          <w:rFonts w:ascii="Verdana" w:hAnsi="Verdana"/>
          <w:sz w:val="20"/>
          <w:szCs w:val="20"/>
          <w:lang w:val="es-CR"/>
        </w:rPr>
        <w:t xml:space="preserve">y </w:t>
      </w:r>
      <w:r w:rsidR="003D003B">
        <w:rPr>
          <w:rFonts w:ascii="Verdana" w:hAnsi="Verdana"/>
          <w:sz w:val="20"/>
          <w:szCs w:val="20"/>
          <w:lang w:val="es-CR"/>
        </w:rPr>
        <w:t>su familia</w:t>
      </w:r>
      <w:r w:rsidR="00D5333D">
        <w:rPr>
          <w:rFonts w:ascii="Verdana" w:hAnsi="Verdana"/>
          <w:sz w:val="20"/>
          <w:szCs w:val="20"/>
          <w:lang w:val="es-CR"/>
        </w:rPr>
        <w:t xml:space="preserve"> </w:t>
      </w:r>
      <w:r w:rsidR="008249C7">
        <w:rPr>
          <w:rFonts w:ascii="Verdana" w:hAnsi="Verdana"/>
          <w:sz w:val="20"/>
          <w:szCs w:val="20"/>
          <w:lang w:val="es-CR"/>
        </w:rPr>
        <w:t>reciben atención</w:t>
      </w:r>
      <w:r w:rsidR="0004601F">
        <w:rPr>
          <w:rFonts w:ascii="Verdana" w:hAnsi="Verdana"/>
          <w:sz w:val="20"/>
          <w:szCs w:val="20"/>
          <w:lang w:val="es-CR"/>
        </w:rPr>
        <w:t xml:space="preserve"> médica y tratamiento psicológico y/o psiquiátrico en la Caja Petrolera de Salud y Centro de Rehabilitación y Salud Mental ‘San Juan de Dios’”</w:t>
      </w:r>
      <w:r w:rsidR="00C57380">
        <w:rPr>
          <w:rFonts w:ascii="Verdana" w:hAnsi="Verdana"/>
          <w:sz w:val="20"/>
          <w:szCs w:val="20"/>
          <w:lang w:val="es-CR"/>
        </w:rPr>
        <w:t>.</w:t>
      </w:r>
      <w:r w:rsidR="00897056">
        <w:rPr>
          <w:rFonts w:ascii="Verdana" w:hAnsi="Verdana"/>
          <w:sz w:val="20"/>
          <w:szCs w:val="20"/>
          <w:lang w:val="es-CR"/>
        </w:rPr>
        <w:t xml:space="preserve"> </w:t>
      </w:r>
      <w:r w:rsidR="00C57380">
        <w:rPr>
          <w:rFonts w:ascii="Verdana" w:hAnsi="Verdana"/>
          <w:sz w:val="20"/>
          <w:szCs w:val="20"/>
          <w:lang w:val="es-CR"/>
        </w:rPr>
        <w:t xml:space="preserve">Todo lo anteriormente indicado </w:t>
      </w:r>
      <w:r w:rsidR="00897056">
        <w:rPr>
          <w:rFonts w:ascii="Verdana" w:hAnsi="Verdana"/>
          <w:sz w:val="20"/>
          <w:szCs w:val="20"/>
          <w:lang w:val="es-CR"/>
        </w:rPr>
        <w:t>no fue controvertido por los representantes</w:t>
      </w:r>
      <w:r w:rsidR="0004601F">
        <w:rPr>
          <w:rFonts w:ascii="Verdana" w:hAnsi="Verdana"/>
          <w:sz w:val="20"/>
          <w:szCs w:val="20"/>
          <w:lang w:val="es-CR"/>
        </w:rPr>
        <w:t>.</w:t>
      </w:r>
      <w:bookmarkEnd w:id="9"/>
      <w:r w:rsidR="0004601F">
        <w:rPr>
          <w:rFonts w:ascii="Verdana" w:hAnsi="Verdana"/>
          <w:sz w:val="20"/>
          <w:szCs w:val="20"/>
          <w:lang w:val="es-CR"/>
        </w:rPr>
        <w:t xml:space="preserve"> </w:t>
      </w:r>
      <w:r w:rsidR="00737DF1" w:rsidRPr="00146AC7">
        <w:rPr>
          <w:rFonts w:ascii="Verdana" w:hAnsi="Verdana"/>
          <w:sz w:val="20"/>
          <w:szCs w:val="20"/>
          <w:lang w:val="es-CR"/>
        </w:rPr>
        <w:t xml:space="preserve"> </w:t>
      </w:r>
    </w:p>
    <w:p w14:paraId="74472D17" w14:textId="77777777" w:rsidR="00C51121" w:rsidRPr="00146AC7" w:rsidRDefault="00C51121" w:rsidP="00146AC7">
      <w:pPr>
        <w:pStyle w:val="ListParagraph"/>
        <w:rPr>
          <w:rFonts w:ascii="Verdana" w:hAnsi="Verdana"/>
          <w:sz w:val="20"/>
          <w:szCs w:val="20"/>
          <w:lang w:val="es-CR"/>
        </w:rPr>
      </w:pPr>
    </w:p>
    <w:p w14:paraId="6999C6C3" w14:textId="30051706" w:rsidR="001A15C3" w:rsidRDefault="00DA6E08" w:rsidP="00146AC7">
      <w:pPr>
        <w:pStyle w:val="ListParagraph"/>
        <w:numPr>
          <w:ilvl w:val="0"/>
          <w:numId w:val="2"/>
        </w:numPr>
        <w:spacing w:after="0" w:line="240" w:lineRule="auto"/>
        <w:ind w:left="0" w:firstLine="0"/>
        <w:jc w:val="both"/>
        <w:rPr>
          <w:rFonts w:ascii="Verdana" w:hAnsi="Verdana"/>
          <w:sz w:val="20"/>
          <w:szCs w:val="20"/>
          <w:lang w:val="es-CR"/>
        </w:rPr>
      </w:pPr>
      <w:bookmarkStart w:id="10" w:name="_Ref530477220"/>
      <w:r>
        <w:rPr>
          <w:rFonts w:ascii="Verdana" w:hAnsi="Verdana"/>
          <w:sz w:val="20"/>
          <w:szCs w:val="20"/>
          <w:lang w:val="es-CR"/>
        </w:rPr>
        <w:t>El Estado</w:t>
      </w:r>
      <w:r w:rsidR="00C57380">
        <w:rPr>
          <w:rFonts w:ascii="Verdana" w:hAnsi="Verdana"/>
          <w:sz w:val="20"/>
          <w:szCs w:val="20"/>
          <w:lang w:val="es-CR"/>
        </w:rPr>
        <w:t xml:space="preserve"> </w:t>
      </w:r>
      <w:r>
        <w:rPr>
          <w:rFonts w:ascii="Verdana" w:hAnsi="Verdana"/>
          <w:sz w:val="20"/>
          <w:szCs w:val="20"/>
          <w:lang w:val="es-CR"/>
        </w:rPr>
        <w:t>solicitó se declare el cumplimiento de la medida por cuanto “ha realizado todas las gestiones para que la víctima cuente con un tratamiento psicológico y/o psiquiátrico en un Centro de Salud Mental privado” y por cuanto “actualmente cuenta con un seguro médico”. Por su parte, l</w:t>
      </w:r>
      <w:r w:rsidR="007C6505">
        <w:rPr>
          <w:rFonts w:ascii="Verdana" w:hAnsi="Verdana"/>
          <w:sz w:val="20"/>
          <w:szCs w:val="20"/>
          <w:lang w:val="es-CR"/>
        </w:rPr>
        <w:t xml:space="preserve">os representantes consideraron que el Estado “ha adoptado medidas conducentes a cumplir con la medida de reparación establecida en el </w:t>
      </w:r>
      <w:r w:rsidR="007C6505">
        <w:rPr>
          <w:rFonts w:ascii="Verdana" w:hAnsi="Verdana"/>
          <w:sz w:val="20"/>
          <w:szCs w:val="20"/>
          <w:lang w:val="es-CR"/>
        </w:rPr>
        <w:lastRenderedPageBreak/>
        <w:t>punto [octavo] de la [S]entencia</w:t>
      </w:r>
      <w:r w:rsidR="0089056C">
        <w:rPr>
          <w:rFonts w:ascii="Verdana" w:hAnsi="Verdana"/>
          <w:sz w:val="20"/>
          <w:szCs w:val="20"/>
          <w:lang w:val="es-CR"/>
        </w:rPr>
        <w:t xml:space="preserve">”. No </w:t>
      </w:r>
      <w:r w:rsidR="007C6505">
        <w:rPr>
          <w:rFonts w:ascii="Verdana" w:hAnsi="Verdana"/>
          <w:sz w:val="20"/>
          <w:szCs w:val="20"/>
          <w:lang w:val="es-CR"/>
        </w:rPr>
        <w:t xml:space="preserve">obstante, </w:t>
      </w:r>
      <w:r w:rsidR="00C57380">
        <w:rPr>
          <w:rFonts w:ascii="Verdana" w:hAnsi="Verdana"/>
          <w:sz w:val="20"/>
          <w:szCs w:val="20"/>
          <w:lang w:val="es-CR"/>
        </w:rPr>
        <w:t>solicitaron a la Corte “dejar abierta la supervisión de este punto por un mayor tiempo</w:t>
      </w:r>
      <w:r w:rsidR="00D5333D">
        <w:rPr>
          <w:rFonts w:ascii="Verdana" w:hAnsi="Verdana"/>
          <w:sz w:val="20"/>
          <w:szCs w:val="20"/>
          <w:lang w:val="es-CR"/>
        </w:rPr>
        <w:t xml:space="preserve"> […] </w:t>
      </w:r>
      <w:r w:rsidR="007C6505">
        <w:rPr>
          <w:rFonts w:ascii="Verdana" w:hAnsi="Verdana"/>
          <w:sz w:val="20"/>
          <w:szCs w:val="20"/>
          <w:lang w:val="es-CR"/>
        </w:rPr>
        <w:t xml:space="preserve">dado que el cumplimiento efectivo de esta medida no tiene un plazo determinado […], pudiendo extenderse hasta que I.V. y su grupo familiar recuperen su estado de salud”. </w:t>
      </w:r>
      <w:r w:rsidR="0089056C">
        <w:rPr>
          <w:rFonts w:ascii="Verdana" w:hAnsi="Verdana"/>
          <w:sz w:val="20"/>
          <w:szCs w:val="20"/>
          <w:lang w:val="es-CR"/>
        </w:rPr>
        <w:t xml:space="preserve"> </w:t>
      </w:r>
      <w:r w:rsidR="002738AF">
        <w:rPr>
          <w:rFonts w:ascii="Verdana" w:hAnsi="Verdana"/>
          <w:sz w:val="20"/>
          <w:szCs w:val="20"/>
          <w:lang w:val="es-CR"/>
        </w:rPr>
        <w:t xml:space="preserve">Por su parte, la Comisión </w:t>
      </w:r>
      <w:r w:rsidR="002738AF" w:rsidRPr="00B16B18">
        <w:rPr>
          <w:rFonts w:ascii="Verdana" w:hAnsi="Verdana"/>
          <w:sz w:val="20"/>
          <w:szCs w:val="20"/>
          <w:lang w:val="es-CR"/>
        </w:rPr>
        <w:t>observó “con satisfacción lo reportado”</w:t>
      </w:r>
      <w:r w:rsidR="002738AF">
        <w:rPr>
          <w:rFonts w:ascii="Verdana" w:hAnsi="Verdana"/>
          <w:sz w:val="20"/>
          <w:szCs w:val="20"/>
          <w:lang w:val="es-CR"/>
        </w:rPr>
        <w:t xml:space="preserve"> por el Estado</w:t>
      </w:r>
      <w:r w:rsidR="002738AF" w:rsidRPr="00B16B18">
        <w:rPr>
          <w:rFonts w:ascii="Verdana" w:hAnsi="Verdana"/>
          <w:sz w:val="20"/>
          <w:szCs w:val="20"/>
          <w:lang w:val="es-CR"/>
        </w:rPr>
        <w:t xml:space="preserve"> sobre esta reparación, pero</w:t>
      </w:r>
      <w:r w:rsidR="002738AF" w:rsidRPr="00801669">
        <w:rPr>
          <w:rFonts w:ascii="Verdana" w:hAnsi="Verdana"/>
          <w:sz w:val="16"/>
          <w:szCs w:val="16"/>
          <w:lang w:val="es-CR"/>
        </w:rPr>
        <w:t xml:space="preserve"> </w:t>
      </w:r>
      <w:r w:rsidR="002738AF">
        <w:rPr>
          <w:rFonts w:ascii="Verdana" w:hAnsi="Verdana"/>
          <w:sz w:val="20"/>
          <w:szCs w:val="20"/>
          <w:lang w:val="es-CR"/>
        </w:rPr>
        <w:t>consideró “razonable la solicitud de los representantes de las víctimas, a fin de que la Corte continúe supervisando la debida continuidad y calidad en la implementación de esta medida durante un periodo prudencial”</w:t>
      </w:r>
      <w:r w:rsidR="002738AF">
        <w:rPr>
          <w:rStyle w:val="FootnoteReference"/>
          <w:rFonts w:ascii="Verdana" w:hAnsi="Verdana"/>
          <w:sz w:val="20"/>
          <w:szCs w:val="20"/>
          <w:lang w:val="es-CR"/>
        </w:rPr>
        <w:footnoteReference w:id="17"/>
      </w:r>
      <w:r w:rsidR="002738AF">
        <w:rPr>
          <w:rFonts w:ascii="Verdana" w:hAnsi="Verdana"/>
          <w:sz w:val="20"/>
          <w:szCs w:val="20"/>
          <w:lang w:val="es-CR"/>
        </w:rPr>
        <w:t xml:space="preserve">. </w:t>
      </w:r>
      <w:bookmarkEnd w:id="10"/>
    </w:p>
    <w:p w14:paraId="4CFF04CB" w14:textId="77777777" w:rsidR="00096F47" w:rsidRPr="00096F47" w:rsidRDefault="00096F47" w:rsidP="00096F47">
      <w:pPr>
        <w:pStyle w:val="ListParagraph"/>
        <w:rPr>
          <w:rFonts w:ascii="Verdana" w:hAnsi="Verdana"/>
          <w:sz w:val="20"/>
          <w:szCs w:val="20"/>
          <w:lang w:val="es-CR"/>
        </w:rPr>
      </w:pPr>
    </w:p>
    <w:p w14:paraId="23BCD74F" w14:textId="5C9DBD63" w:rsidR="00452316" w:rsidRPr="00096F47" w:rsidRDefault="00E7519B" w:rsidP="00096F47">
      <w:pPr>
        <w:pStyle w:val="ListParagraph"/>
        <w:numPr>
          <w:ilvl w:val="0"/>
          <w:numId w:val="2"/>
        </w:numPr>
        <w:spacing w:after="0" w:line="240" w:lineRule="auto"/>
        <w:ind w:left="0" w:firstLine="0"/>
        <w:jc w:val="both"/>
        <w:rPr>
          <w:rFonts w:ascii="Verdana" w:hAnsi="Verdana"/>
          <w:sz w:val="20"/>
          <w:szCs w:val="20"/>
          <w:lang w:val="es-CR"/>
        </w:rPr>
      </w:pPr>
      <w:bookmarkStart w:id="11" w:name="_Ref530411789"/>
      <w:r>
        <w:rPr>
          <w:rFonts w:ascii="Verdana" w:hAnsi="Verdana"/>
          <w:sz w:val="20"/>
          <w:szCs w:val="20"/>
          <w:lang w:val="es-CR"/>
        </w:rPr>
        <w:t>Posteriormente</w:t>
      </w:r>
      <w:r w:rsidR="003A4C6D">
        <w:rPr>
          <w:rFonts w:ascii="Verdana" w:hAnsi="Verdana"/>
          <w:sz w:val="20"/>
          <w:szCs w:val="20"/>
          <w:lang w:val="es-CR"/>
        </w:rPr>
        <w:t xml:space="preserve">, </w:t>
      </w:r>
      <w:r w:rsidR="00B05FB6">
        <w:rPr>
          <w:rFonts w:ascii="Verdana" w:hAnsi="Verdana"/>
          <w:sz w:val="20"/>
          <w:szCs w:val="20"/>
          <w:lang w:val="es-CR"/>
        </w:rPr>
        <w:t xml:space="preserve">mediante </w:t>
      </w:r>
      <w:r w:rsidR="00B05FB6" w:rsidRPr="00D5333D">
        <w:rPr>
          <w:rFonts w:ascii="Verdana" w:hAnsi="Verdana"/>
          <w:sz w:val="20"/>
          <w:szCs w:val="20"/>
          <w:lang w:val="es-CR"/>
        </w:rPr>
        <w:t xml:space="preserve">escrito de </w:t>
      </w:r>
      <w:r w:rsidR="00D5333D" w:rsidRPr="00D5333D">
        <w:rPr>
          <w:rFonts w:ascii="Verdana" w:hAnsi="Verdana"/>
          <w:sz w:val="20"/>
          <w:szCs w:val="20"/>
          <w:lang w:val="es-CR"/>
        </w:rPr>
        <w:t>julio</w:t>
      </w:r>
      <w:r w:rsidR="00B05FB6" w:rsidRPr="00D5333D">
        <w:rPr>
          <w:rFonts w:ascii="Verdana" w:hAnsi="Verdana"/>
          <w:sz w:val="20"/>
          <w:szCs w:val="20"/>
          <w:lang w:val="es-CR"/>
        </w:rPr>
        <w:t xml:space="preserve"> </w:t>
      </w:r>
      <w:r w:rsidR="00D5333D" w:rsidRPr="00D5333D">
        <w:rPr>
          <w:rFonts w:ascii="Verdana" w:hAnsi="Verdana"/>
          <w:sz w:val="20"/>
          <w:szCs w:val="20"/>
          <w:lang w:val="es-CR"/>
        </w:rPr>
        <w:t>de 2018</w:t>
      </w:r>
      <w:r w:rsidR="00B05FB6" w:rsidRPr="00D5333D">
        <w:rPr>
          <w:rFonts w:ascii="Verdana" w:hAnsi="Verdana"/>
          <w:sz w:val="20"/>
          <w:szCs w:val="20"/>
          <w:lang w:val="es-CR"/>
        </w:rPr>
        <w:t xml:space="preserve">, </w:t>
      </w:r>
      <w:r w:rsidR="001A15C3" w:rsidRPr="00D5333D">
        <w:rPr>
          <w:rFonts w:ascii="Verdana" w:hAnsi="Verdana"/>
          <w:sz w:val="20"/>
          <w:szCs w:val="20"/>
          <w:lang w:val="es-CR"/>
        </w:rPr>
        <w:t xml:space="preserve">los representantes </w:t>
      </w:r>
      <w:r w:rsidR="003A4C6D" w:rsidRPr="00D5333D">
        <w:rPr>
          <w:rFonts w:ascii="Verdana" w:hAnsi="Verdana"/>
          <w:sz w:val="20"/>
          <w:szCs w:val="20"/>
          <w:lang w:val="es-CR"/>
        </w:rPr>
        <w:t xml:space="preserve">manifestaron </w:t>
      </w:r>
      <w:r w:rsidR="00B05FB6" w:rsidRPr="00D5333D">
        <w:rPr>
          <w:rFonts w:ascii="Verdana" w:hAnsi="Verdana"/>
          <w:sz w:val="20"/>
          <w:szCs w:val="20"/>
          <w:lang w:val="es-CR"/>
        </w:rPr>
        <w:t xml:space="preserve">varias preocupaciones. Se refirieron al </w:t>
      </w:r>
      <w:r w:rsidR="003A4C6D" w:rsidRPr="00D5333D">
        <w:rPr>
          <w:rFonts w:ascii="Verdana" w:hAnsi="Verdana"/>
          <w:sz w:val="20"/>
          <w:szCs w:val="20"/>
          <w:lang w:val="es-CR"/>
        </w:rPr>
        <w:t>“riesgo</w:t>
      </w:r>
      <w:r w:rsidR="003A4C6D">
        <w:rPr>
          <w:rFonts w:ascii="Verdana" w:hAnsi="Verdana"/>
          <w:sz w:val="20"/>
          <w:szCs w:val="20"/>
          <w:lang w:val="es-CR"/>
        </w:rPr>
        <w:t xml:space="preserve"> de que los servicios de salud en favor de I.V. puedan ser suspendidos o interrumpidos por parte del Centro de Rehabilitación y Salud Mental San Juan de Dios […] debido a la falta de pago de parte del Ministerio de Salud por los servicios que se prestan a la víctima”</w:t>
      </w:r>
      <w:r w:rsidR="001A15C3">
        <w:rPr>
          <w:rStyle w:val="FootnoteReference"/>
          <w:rFonts w:ascii="Verdana" w:hAnsi="Verdana"/>
          <w:sz w:val="20"/>
          <w:szCs w:val="20"/>
          <w:lang w:val="es-CR"/>
        </w:rPr>
        <w:footnoteReference w:id="18"/>
      </w:r>
      <w:r w:rsidR="003A4C6D">
        <w:rPr>
          <w:rFonts w:ascii="Verdana" w:hAnsi="Verdana"/>
          <w:sz w:val="20"/>
          <w:szCs w:val="20"/>
          <w:lang w:val="es-CR"/>
        </w:rPr>
        <w:t>.</w:t>
      </w:r>
      <w:r w:rsidR="0081085C">
        <w:rPr>
          <w:rFonts w:ascii="Verdana" w:hAnsi="Verdana"/>
          <w:sz w:val="20"/>
          <w:szCs w:val="20"/>
          <w:lang w:val="es-CR"/>
        </w:rPr>
        <w:t xml:space="preserve"> </w:t>
      </w:r>
      <w:r w:rsidR="00010149">
        <w:rPr>
          <w:rFonts w:ascii="Verdana" w:hAnsi="Verdana"/>
          <w:sz w:val="20"/>
          <w:szCs w:val="20"/>
          <w:lang w:val="es-CR"/>
        </w:rPr>
        <w:t xml:space="preserve">También </w:t>
      </w:r>
      <w:r w:rsidR="00C40E8B">
        <w:rPr>
          <w:rFonts w:ascii="Verdana" w:hAnsi="Verdana"/>
          <w:sz w:val="20"/>
          <w:szCs w:val="20"/>
          <w:lang w:val="es-CR"/>
        </w:rPr>
        <w:t>explicaron que a I.</w:t>
      </w:r>
      <w:r w:rsidR="008E600A">
        <w:rPr>
          <w:rFonts w:ascii="Verdana" w:hAnsi="Verdana"/>
          <w:sz w:val="20"/>
          <w:szCs w:val="20"/>
          <w:lang w:val="es-CR"/>
        </w:rPr>
        <w:t xml:space="preserve">V. no le fue </w:t>
      </w:r>
      <w:r w:rsidR="00FB2366">
        <w:rPr>
          <w:rFonts w:ascii="Verdana" w:hAnsi="Verdana"/>
          <w:sz w:val="20"/>
          <w:szCs w:val="20"/>
          <w:lang w:val="es-CR"/>
        </w:rPr>
        <w:t>proporcionado un medicamento</w:t>
      </w:r>
      <w:r w:rsidR="008E600A">
        <w:rPr>
          <w:rFonts w:ascii="Verdana" w:hAnsi="Verdana"/>
          <w:sz w:val="20"/>
          <w:szCs w:val="20"/>
          <w:lang w:val="es-CR"/>
        </w:rPr>
        <w:t xml:space="preserve"> que le había sido prescrito por la médica del referido hospital porque,</w:t>
      </w:r>
      <w:r w:rsidR="00D5333D">
        <w:rPr>
          <w:rFonts w:ascii="Verdana" w:hAnsi="Verdana"/>
          <w:sz w:val="20"/>
          <w:szCs w:val="20"/>
          <w:lang w:val="es-CR"/>
        </w:rPr>
        <w:t xml:space="preserve"> según afirmaron sus representantes,</w:t>
      </w:r>
      <w:r w:rsidR="008E600A">
        <w:rPr>
          <w:rFonts w:ascii="Verdana" w:hAnsi="Verdana"/>
          <w:sz w:val="20"/>
          <w:szCs w:val="20"/>
          <w:lang w:val="es-CR"/>
        </w:rPr>
        <w:t xml:space="preserve"> la administración del mismo</w:t>
      </w:r>
      <w:r w:rsidR="00D5333D">
        <w:rPr>
          <w:rFonts w:ascii="Verdana" w:hAnsi="Verdana"/>
          <w:sz w:val="20"/>
          <w:szCs w:val="20"/>
          <w:lang w:val="es-CR"/>
        </w:rPr>
        <w:t xml:space="preserve"> </w:t>
      </w:r>
      <w:r w:rsidR="00C2032E">
        <w:rPr>
          <w:rFonts w:ascii="Verdana" w:hAnsi="Verdana"/>
          <w:sz w:val="20"/>
          <w:szCs w:val="20"/>
          <w:lang w:val="es-CR"/>
        </w:rPr>
        <w:t>sostuvo</w:t>
      </w:r>
      <w:r w:rsidR="00D5333D">
        <w:rPr>
          <w:rFonts w:ascii="Verdana" w:hAnsi="Verdana"/>
          <w:sz w:val="20"/>
          <w:szCs w:val="20"/>
          <w:lang w:val="es-CR"/>
        </w:rPr>
        <w:t xml:space="preserve"> que</w:t>
      </w:r>
      <w:r w:rsidR="008E600A">
        <w:rPr>
          <w:rFonts w:ascii="Verdana" w:hAnsi="Verdana"/>
          <w:sz w:val="20"/>
          <w:szCs w:val="20"/>
          <w:lang w:val="es-CR"/>
        </w:rPr>
        <w:t xml:space="preserve"> el medicamento </w:t>
      </w:r>
      <w:r w:rsidR="0081085C" w:rsidRPr="0081085C">
        <w:rPr>
          <w:rFonts w:ascii="Verdana" w:hAnsi="Verdana"/>
          <w:sz w:val="20"/>
          <w:szCs w:val="20"/>
          <w:lang w:val="es-CR"/>
        </w:rPr>
        <w:t xml:space="preserve">no está comprendido en el marco del Convenio Interinstitucional suscrito con el </w:t>
      </w:r>
      <w:r w:rsidR="008E600A">
        <w:rPr>
          <w:rFonts w:ascii="Verdana" w:hAnsi="Verdana"/>
          <w:sz w:val="20"/>
          <w:szCs w:val="20"/>
          <w:lang w:val="es-CR"/>
        </w:rPr>
        <w:t>M</w:t>
      </w:r>
      <w:r w:rsidR="0081085C" w:rsidRPr="0081085C">
        <w:rPr>
          <w:rFonts w:ascii="Verdana" w:hAnsi="Verdana"/>
          <w:sz w:val="20"/>
          <w:szCs w:val="20"/>
          <w:lang w:val="es-CR"/>
        </w:rPr>
        <w:t>inisterio</w:t>
      </w:r>
      <w:r w:rsidR="008E600A">
        <w:rPr>
          <w:rFonts w:ascii="Verdana" w:hAnsi="Verdana"/>
          <w:sz w:val="20"/>
          <w:szCs w:val="20"/>
          <w:lang w:val="es-CR"/>
        </w:rPr>
        <w:t xml:space="preserve"> de Salud</w:t>
      </w:r>
      <w:r w:rsidR="0081085C">
        <w:rPr>
          <w:rStyle w:val="FootnoteReference"/>
          <w:rFonts w:ascii="Verdana" w:hAnsi="Verdana"/>
          <w:sz w:val="20"/>
          <w:szCs w:val="20"/>
          <w:lang w:val="es-CR"/>
        </w:rPr>
        <w:footnoteReference w:id="19"/>
      </w:r>
      <w:r w:rsidR="0081085C" w:rsidRPr="0081085C">
        <w:rPr>
          <w:rFonts w:ascii="Verdana" w:hAnsi="Verdana"/>
          <w:sz w:val="20"/>
          <w:szCs w:val="20"/>
          <w:lang w:val="es-CR"/>
        </w:rPr>
        <w:t>.</w:t>
      </w:r>
      <w:r w:rsidR="0081085C">
        <w:rPr>
          <w:rFonts w:ascii="Verdana" w:hAnsi="Verdana"/>
          <w:sz w:val="16"/>
          <w:szCs w:val="16"/>
          <w:lang w:val="es-CR"/>
        </w:rPr>
        <w:t xml:space="preserve"> </w:t>
      </w:r>
      <w:r w:rsidR="003A4C6D">
        <w:rPr>
          <w:rFonts w:ascii="Verdana" w:hAnsi="Verdana"/>
          <w:sz w:val="20"/>
          <w:szCs w:val="20"/>
          <w:lang w:val="es-CR"/>
        </w:rPr>
        <w:t xml:space="preserve"> </w:t>
      </w:r>
      <w:bookmarkEnd w:id="11"/>
      <w:r w:rsidR="00BC4BEF">
        <w:rPr>
          <w:rFonts w:ascii="Verdana" w:hAnsi="Verdana"/>
          <w:sz w:val="20"/>
          <w:szCs w:val="20"/>
          <w:lang w:val="es-CR"/>
        </w:rPr>
        <w:t xml:space="preserve"> </w:t>
      </w:r>
      <w:r w:rsidR="00096F47">
        <w:rPr>
          <w:rFonts w:ascii="Verdana" w:hAnsi="Verdana"/>
          <w:sz w:val="20"/>
          <w:szCs w:val="20"/>
          <w:lang w:val="es-CR"/>
        </w:rPr>
        <w:t xml:space="preserve"> </w:t>
      </w:r>
    </w:p>
    <w:p w14:paraId="330D637B" w14:textId="77777777" w:rsidR="009049B2" w:rsidRDefault="009049B2" w:rsidP="009049B2">
      <w:pPr>
        <w:pStyle w:val="ListParagraph"/>
        <w:spacing w:after="0" w:line="240" w:lineRule="auto"/>
        <w:ind w:left="0"/>
        <w:jc w:val="both"/>
        <w:rPr>
          <w:rFonts w:ascii="Verdana" w:hAnsi="Verdana"/>
          <w:sz w:val="20"/>
          <w:szCs w:val="20"/>
          <w:lang w:val="es-CR"/>
        </w:rPr>
      </w:pPr>
    </w:p>
    <w:p w14:paraId="63F75A04" w14:textId="7B063F69" w:rsidR="00C262B0" w:rsidRDefault="002C20E8" w:rsidP="002C20E8">
      <w:pPr>
        <w:pStyle w:val="ListParagraph"/>
        <w:numPr>
          <w:ilvl w:val="0"/>
          <w:numId w:val="2"/>
        </w:numPr>
        <w:spacing w:after="0" w:line="240" w:lineRule="auto"/>
        <w:ind w:left="0" w:firstLine="0"/>
        <w:jc w:val="both"/>
        <w:rPr>
          <w:rFonts w:ascii="Verdana" w:hAnsi="Verdana"/>
          <w:sz w:val="20"/>
          <w:szCs w:val="20"/>
          <w:lang w:val="es-CR"/>
        </w:rPr>
      </w:pPr>
      <w:bookmarkStart w:id="12" w:name="_Ref530477696"/>
      <w:r>
        <w:rPr>
          <w:rFonts w:ascii="Verdana" w:hAnsi="Verdana"/>
          <w:sz w:val="20"/>
          <w:szCs w:val="20"/>
          <w:lang w:val="es-CR"/>
        </w:rPr>
        <w:t>En respuesta</w:t>
      </w:r>
      <w:r w:rsidR="00452316">
        <w:rPr>
          <w:rFonts w:ascii="Verdana" w:hAnsi="Verdana"/>
          <w:sz w:val="20"/>
          <w:szCs w:val="20"/>
          <w:lang w:val="es-CR"/>
        </w:rPr>
        <w:t xml:space="preserve"> a tales preocupaciones</w:t>
      </w:r>
      <w:r>
        <w:rPr>
          <w:rFonts w:ascii="Verdana" w:hAnsi="Verdana"/>
          <w:sz w:val="20"/>
          <w:szCs w:val="20"/>
          <w:lang w:val="es-CR"/>
        </w:rPr>
        <w:t>, en agosto de 2018</w:t>
      </w:r>
      <w:r w:rsidR="00C40E8B">
        <w:rPr>
          <w:rFonts w:ascii="Verdana" w:hAnsi="Verdana"/>
          <w:sz w:val="20"/>
          <w:szCs w:val="20"/>
          <w:lang w:val="es-CR"/>
        </w:rPr>
        <w:t>,</w:t>
      </w:r>
      <w:r>
        <w:rPr>
          <w:rFonts w:ascii="Verdana" w:hAnsi="Verdana"/>
          <w:sz w:val="20"/>
          <w:szCs w:val="20"/>
          <w:lang w:val="es-CR"/>
        </w:rPr>
        <w:t xml:space="preserve"> </w:t>
      </w:r>
      <w:r w:rsidR="00452316">
        <w:rPr>
          <w:rFonts w:ascii="Verdana" w:hAnsi="Verdana"/>
          <w:sz w:val="20"/>
          <w:szCs w:val="20"/>
          <w:lang w:val="es-CR"/>
        </w:rPr>
        <w:t xml:space="preserve">el Estado remitió </w:t>
      </w:r>
      <w:r>
        <w:rPr>
          <w:rFonts w:ascii="Verdana" w:hAnsi="Verdana"/>
          <w:sz w:val="20"/>
          <w:szCs w:val="20"/>
          <w:lang w:val="es-CR"/>
        </w:rPr>
        <w:t xml:space="preserve">un informe </w:t>
      </w:r>
      <w:r w:rsidR="00C262B0">
        <w:rPr>
          <w:rFonts w:ascii="Verdana" w:hAnsi="Verdana"/>
          <w:sz w:val="20"/>
          <w:szCs w:val="20"/>
          <w:lang w:val="es-CR"/>
        </w:rPr>
        <w:t xml:space="preserve">que </w:t>
      </w:r>
      <w:r w:rsidR="00E7519B">
        <w:rPr>
          <w:rFonts w:ascii="Verdana" w:hAnsi="Verdana"/>
          <w:sz w:val="20"/>
          <w:szCs w:val="20"/>
          <w:lang w:val="es-CR"/>
        </w:rPr>
        <w:t xml:space="preserve">esta Corte considera que </w:t>
      </w:r>
      <w:r w:rsidR="00452316">
        <w:rPr>
          <w:rFonts w:ascii="Verdana" w:hAnsi="Verdana"/>
          <w:sz w:val="20"/>
          <w:szCs w:val="20"/>
          <w:lang w:val="es-CR"/>
        </w:rPr>
        <w:t xml:space="preserve">da cuenta que </w:t>
      </w:r>
      <w:r w:rsidR="00C262B0">
        <w:rPr>
          <w:rFonts w:ascii="Verdana" w:hAnsi="Verdana"/>
          <w:sz w:val="20"/>
          <w:szCs w:val="20"/>
          <w:lang w:val="es-CR"/>
        </w:rPr>
        <w:t xml:space="preserve">ha adoptado </w:t>
      </w:r>
      <w:r>
        <w:rPr>
          <w:rFonts w:ascii="Verdana" w:hAnsi="Verdana"/>
          <w:sz w:val="20"/>
          <w:szCs w:val="20"/>
          <w:lang w:val="es-CR"/>
        </w:rPr>
        <w:t>determinadas</w:t>
      </w:r>
      <w:r w:rsidR="00C262B0">
        <w:rPr>
          <w:rFonts w:ascii="Verdana" w:hAnsi="Verdana"/>
          <w:sz w:val="20"/>
          <w:szCs w:val="20"/>
          <w:lang w:val="es-CR"/>
        </w:rPr>
        <w:t xml:space="preserve"> medidas con el fin de garantizar la continuidad y no interrupción de la presente medida</w:t>
      </w:r>
      <w:r w:rsidR="003233EF">
        <w:rPr>
          <w:rFonts w:ascii="Verdana" w:hAnsi="Verdana"/>
          <w:sz w:val="20"/>
          <w:szCs w:val="20"/>
          <w:lang w:val="es-CR"/>
        </w:rPr>
        <w:t>. Por un lado, en cuanto a la alegada posibilidad de que fueran suspendidos los servicios de atención psicológica (</w:t>
      </w:r>
      <w:r w:rsidR="003233EF" w:rsidRPr="00B2131B">
        <w:rPr>
          <w:rFonts w:ascii="Verdana" w:hAnsi="Verdana"/>
          <w:i/>
          <w:sz w:val="20"/>
          <w:szCs w:val="20"/>
          <w:lang w:val="es-CR"/>
        </w:rPr>
        <w:t>supra</w:t>
      </w:r>
      <w:r w:rsidR="003233EF">
        <w:rPr>
          <w:rFonts w:ascii="Verdana" w:hAnsi="Verdana"/>
          <w:sz w:val="20"/>
          <w:szCs w:val="20"/>
          <w:lang w:val="es-CR"/>
        </w:rPr>
        <w:t xml:space="preserve"> Considerando </w:t>
      </w:r>
      <w:r w:rsidR="004447B0">
        <w:rPr>
          <w:rFonts w:ascii="Verdana" w:hAnsi="Verdana"/>
          <w:sz w:val="20"/>
          <w:szCs w:val="20"/>
          <w:lang w:val="es-CR"/>
        </w:rPr>
        <w:fldChar w:fldCharType="begin"/>
      </w:r>
      <w:r w:rsidR="004447B0">
        <w:rPr>
          <w:rFonts w:ascii="Verdana" w:hAnsi="Verdana"/>
          <w:sz w:val="20"/>
          <w:szCs w:val="20"/>
          <w:lang w:val="es-CR"/>
        </w:rPr>
        <w:instrText xml:space="preserve"> REF _Ref530411789 \r \h </w:instrText>
      </w:r>
      <w:r w:rsidR="004447B0">
        <w:rPr>
          <w:rFonts w:ascii="Verdana" w:hAnsi="Verdana"/>
          <w:sz w:val="20"/>
          <w:szCs w:val="20"/>
          <w:lang w:val="es-CR"/>
        </w:rPr>
      </w:r>
      <w:r w:rsidR="004447B0">
        <w:rPr>
          <w:rFonts w:ascii="Verdana" w:hAnsi="Verdana"/>
          <w:sz w:val="20"/>
          <w:szCs w:val="20"/>
          <w:lang w:val="es-CR"/>
        </w:rPr>
        <w:fldChar w:fldCharType="separate"/>
      </w:r>
      <w:r w:rsidR="00AE1507">
        <w:rPr>
          <w:rFonts w:ascii="Verdana" w:hAnsi="Verdana"/>
          <w:sz w:val="20"/>
          <w:szCs w:val="20"/>
          <w:lang w:val="es-CR"/>
        </w:rPr>
        <w:t>8</w:t>
      </w:r>
      <w:r w:rsidR="004447B0">
        <w:rPr>
          <w:rFonts w:ascii="Verdana" w:hAnsi="Verdana"/>
          <w:sz w:val="20"/>
          <w:szCs w:val="20"/>
          <w:lang w:val="es-CR"/>
        </w:rPr>
        <w:fldChar w:fldCharType="end"/>
      </w:r>
      <w:r w:rsidR="003233EF">
        <w:rPr>
          <w:rFonts w:ascii="Verdana" w:hAnsi="Verdana"/>
          <w:sz w:val="20"/>
          <w:szCs w:val="20"/>
          <w:lang w:val="es-CR"/>
        </w:rPr>
        <w:t xml:space="preserve">), se demuestra que la señora I.V. ha continuado asistiendo a sus consultas sin que </w:t>
      </w:r>
      <w:r w:rsidR="003233EF" w:rsidRPr="003233EF">
        <w:rPr>
          <w:rFonts w:ascii="Verdana" w:hAnsi="Verdana"/>
          <w:sz w:val="20"/>
          <w:szCs w:val="20"/>
          <w:lang w:val="es-CR"/>
        </w:rPr>
        <w:t>hubiese sido interrumpida la disponibilidad</w:t>
      </w:r>
      <w:r w:rsidR="003233EF">
        <w:rPr>
          <w:rFonts w:ascii="Verdana" w:hAnsi="Verdana"/>
          <w:sz w:val="20"/>
          <w:szCs w:val="20"/>
          <w:lang w:val="es-CR"/>
        </w:rPr>
        <w:t xml:space="preserve"> de atención a su favor</w:t>
      </w:r>
      <w:r w:rsidR="005E261F">
        <w:rPr>
          <w:rStyle w:val="FootnoteReference"/>
          <w:rFonts w:ascii="Verdana" w:hAnsi="Verdana"/>
          <w:sz w:val="20"/>
          <w:szCs w:val="20"/>
          <w:lang w:val="es-CR"/>
        </w:rPr>
        <w:footnoteReference w:id="20"/>
      </w:r>
      <w:r w:rsidR="005E261F">
        <w:rPr>
          <w:rFonts w:ascii="Verdana" w:hAnsi="Verdana"/>
          <w:sz w:val="20"/>
          <w:szCs w:val="20"/>
          <w:lang w:val="es-CR"/>
        </w:rPr>
        <w:t>.</w:t>
      </w:r>
      <w:r w:rsidR="003D3930">
        <w:rPr>
          <w:rFonts w:ascii="Verdana" w:hAnsi="Verdana"/>
          <w:sz w:val="20"/>
          <w:szCs w:val="20"/>
          <w:lang w:val="es-CR"/>
        </w:rPr>
        <w:t xml:space="preserve"> En lo que respecta</w:t>
      </w:r>
      <w:r w:rsidR="00286BA5">
        <w:rPr>
          <w:rFonts w:ascii="Verdana" w:hAnsi="Verdana"/>
          <w:sz w:val="20"/>
          <w:szCs w:val="20"/>
          <w:lang w:val="es-CR"/>
        </w:rPr>
        <w:t xml:space="preserve"> </w:t>
      </w:r>
      <w:r w:rsidR="00DB5F24">
        <w:rPr>
          <w:rFonts w:ascii="Verdana" w:hAnsi="Verdana"/>
          <w:sz w:val="20"/>
          <w:szCs w:val="20"/>
          <w:lang w:val="es-CR"/>
        </w:rPr>
        <w:t>al pago que el Ministerio de Salud debe efectuar al Centro San Juan de Dios para que se brinden dichos servicios de atención psicológica (</w:t>
      </w:r>
      <w:r w:rsidR="00DB5F24" w:rsidRPr="00B2131B">
        <w:rPr>
          <w:rFonts w:ascii="Verdana" w:hAnsi="Verdana"/>
          <w:i/>
          <w:sz w:val="20"/>
          <w:szCs w:val="20"/>
          <w:lang w:val="es-CR"/>
        </w:rPr>
        <w:t>supra</w:t>
      </w:r>
      <w:r w:rsidR="00DB5F24">
        <w:rPr>
          <w:rFonts w:ascii="Verdana" w:hAnsi="Verdana"/>
          <w:sz w:val="20"/>
          <w:szCs w:val="20"/>
          <w:lang w:val="es-CR"/>
        </w:rPr>
        <w:t xml:space="preserve"> Considerandos </w:t>
      </w:r>
      <w:r w:rsidR="004447B0">
        <w:rPr>
          <w:rFonts w:ascii="Verdana" w:hAnsi="Verdana"/>
          <w:sz w:val="20"/>
          <w:szCs w:val="20"/>
          <w:lang w:val="es-CR"/>
        </w:rPr>
        <w:fldChar w:fldCharType="begin"/>
      </w:r>
      <w:r w:rsidR="004447B0">
        <w:rPr>
          <w:rFonts w:ascii="Verdana" w:hAnsi="Verdana"/>
          <w:sz w:val="20"/>
          <w:szCs w:val="20"/>
          <w:lang w:val="es-CR"/>
        </w:rPr>
        <w:instrText xml:space="preserve"> REF _Ref530411927 \r \h </w:instrText>
      </w:r>
      <w:r w:rsidR="004447B0">
        <w:rPr>
          <w:rFonts w:ascii="Verdana" w:hAnsi="Verdana"/>
          <w:sz w:val="20"/>
          <w:szCs w:val="20"/>
          <w:lang w:val="es-CR"/>
        </w:rPr>
      </w:r>
      <w:r w:rsidR="004447B0">
        <w:rPr>
          <w:rFonts w:ascii="Verdana" w:hAnsi="Verdana"/>
          <w:sz w:val="20"/>
          <w:szCs w:val="20"/>
          <w:lang w:val="es-CR"/>
        </w:rPr>
        <w:fldChar w:fldCharType="separate"/>
      </w:r>
      <w:r w:rsidR="00AE1507">
        <w:rPr>
          <w:rFonts w:ascii="Verdana" w:hAnsi="Verdana"/>
          <w:sz w:val="20"/>
          <w:szCs w:val="20"/>
          <w:lang w:val="es-CR"/>
        </w:rPr>
        <w:t>5.b)</w:t>
      </w:r>
      <w:r w:rsidR="004447B0">
        <w:rPr>
          <w:rFonts w:ascii="Verdana" w:hAnsi="Verdana"/>
          <w:sz w:val="20"/>
          <w:szCs w:val="20"/>
          <w:lang w:val="es-CR"/>
        </w:rPr>
        <w:fldChar w:fldCharType="end"/>
      </w:r>
      <w:r w:rsidR="00C40E8B">
        <w:rPr>
          <w:rFonts w:ascii="Verdana" w:hAnsi="Verdana"/>
          <w:sz w:val="20"/>
          <w:szCs w:val="20"/>
          <w:lang w:val="es-CR"/>
        </w:rPr>
        <w:t xml:space="preserve"> </w:t>
      </w:r>
      <w:r w:rsidR="00DB5F24">
        <w:rPr>
          <w:rFonts w:ascii="Verdana" w:hAnsi="Verdana"/>
          <w:sz w:val="20"/>
          <w:szCs w:val="20"/>
          <w:lang w:val="es-CR"/>
        </w:rPr>
        <w:t xml:space="preserve">y </w:t>
      </w:r>
      <w:r w:rsidR="004447B0">
        <w:rPr>
          <w:rFonts w:ascii="Verdana" w:hAnsi="Verdana"/>
          <w:sz w:val="20"/>
          <w:szCs w:val="20"/>
          <w:lang w:val="es-CR"/>
        </w:rPr>
        <w:fldChar w:fldCharType="begin"/>
      </w:r>
      <w:r w:rsidR="004447B0">
        <w:rPr>
          <w:rFonts w:ascii="Verdana" w:hAnsi="Verdana"/>
          <w:sz w:val="20"/>
          <w:szCs w:val="20"/>
          <w:lang w:val="es-CR"/>
        </w:rPr>
        <w:instrText xml:space="preserve"> REF _Ref530411789 \r \h </w:instrText>
      </w:r>
      <w:r w:rsidR="004447B0">
        <w:rPr>
          <w:rFonts w:ascii="Verdana" w:hAnsi="Verdana"/>
          <w:sz w:val="20"/>
          <w:szCs w:val="20"/>
          <w:lang w:val="es-CR"/>
        </w:rPr>
      </w:r>
      <w:r w:rsidR="004447B0">
        <w:rPr>
          <w:rFonts w:ascii="Verdana" w:hAnsi="Verdana"/>
          <w:sz w:val="20"/>
          <w:szCs w:val="20"/>
          <w:lang w:val="es-CR"/>
        </w:rPr>
        <w:fldChar w:fldCharType="separate"/>
      </w:r>
      <w:r w:rsidR="00AE1507">
        <w:rPr>
          <w:rFonts w:ascii="Verdana" w:hAnsi="Verdana"/>
          <w:sz w:val="20"/>
          <w:szCs w:val="20"/>
          <w:lang w:val="es-CR"/>
        </w:rPr>
        <w:t>8</w:t>
      </w:r>
      <w:r w:rsidR="004447B0">
        <w:rPr>
          <w:rFonts w:ascii="Verdana" w:hAnsi="Verdana"/>
          <w:sz w:val="20"/>
          <w:szCs w:val="20"/>
          <w:lang w:val="es-CR"/>
        </w:rPr>
        <w:fldChar w:fldCharType="end"/>
      </w:r>
      <w:r w:rsidR="00DB5F24">
        <w:rPr>
          <w:rFonts w:ascii="Verdana" w:hAnsi="Verdana"/>
          <w:sz w:val="20"/>
          <w:szCs w:val="20"/>
          <w:lang w:val="es-CR"/>
        </w:rPr>
        <w:t>)</w:t>
      </w:r>
      <w:r w:rsidR="00E621D9">
        <w:rPr>
          <w:rFonts w:ascii="Verdana" w:hAnsi="Verdana"/>
          <w:sz w:val="20"/>
          <w:szCs w:val="20"/>
          <w:lang w:val="es-CR"/>
        </w:rPr>
        <w:t>,</w:t>
      </w:r>
      <w:r w:rsidR="00DB5F24">
        <w:rPr>
          <w:rFonts w:ascii="Verdana" w:hAnsi="Verdana"/>
          <w:sz w:val="20"/>
          <w:szCs w:val="20"/>
          <w:lang w:val="es-CR"/>
        </w:rPr>
        <w:t xml:space="preserve"> las correspondientes autoridades del referido Ministerio </w:t>
      </w:r>
      <w:r w:rsidR="00DB5F24" w:rsidRPr="00EF76F4">
        <w:rPr>
          <w:rFonts w:ascii="Verdana" w:hAnsi="Verdana"/>
          <w:sz w:val="20"/>
          <w:szCs w:val="20"/>
          <w:lang w:val="es-CR"/>
        </w:rPr>
        <w:t xml:space="preserve">han tomado medidas para </w:t>
      </w:r>
      <w:r w:rsidR="004C6C9A">
        <w:rPr>
          <w:rFonts w:ascii="Verdana" w:hAnsi="Verdana"/>
          <w:sz w:val="20"/>
          <w:szCs w:val="20"/>
          <w:lang w:val="es-CR"/>
        </w:rPr>
        <w:t xml:space="preserve">cancelar </w:t>
      </w:r>
      <w:r w:rsidR="00DB5F24" w:rsidRPr="00EF76F4">
        <w:rPr>
          <w:rFonts w:ascii="Verdana" w:hAnsi="Verdana"/>
          <w:sz w:val="20"/>
          <w:szCs w:val="20"/>
          <w:lang w:val="es-CR"/>
        </w:rPr>
        <w:t>el pago adeudado</w:t>
      </w:r>
      <w:r w:rsidR="00554CA0">
        <w:rPr>
          <w:rFonts w:ascii="Verdana" w:hAnsi="Verdana"/>
          <w:sz w:val="20"/>
          <w:szCs w:val="20"/>
          <w:lang w:val="es-CR"/>
        </w:rPr>
        <w:t>, así como</w:t>
      </w:r>
      <w:r w:rsidR="00DB5F24" w:rsidRPr="00EF76F4">
        <w:rPr>
          <w:rFonts w:ascii="Verdana" w:hAnsi="Verdana"/>
          <w:sz w:val="20"/>
          <w:szCs w:val="20"/>
          <w:lang w:val="es-CR"/>
        </w:rPr>
        <w:t xml:space="preserve"> para </w:t>
      </w:r>
      <w:r w:rsidR="00554CA0">
        <w:rPr>
          <w:rFonts w:ascii="Verdana" w:hAnsi="Verdana"/>
          <w:sz w:val="20"/>
          <w:szCs w:val="20"/>
          <w:lang w:val="es-CR"/>
        </w:rPr>
        <w:t xml:space="preserve">establecer y </w:t>
      </w:r>
      <w:r w:rsidR="00DB5F24" w:rsidRPr="00EF76F4">
        <w:rPr>
          <w:rFonts w:ascii="Verdana" w:hAnsi="Verdana"/>
          <w:sz w:val="20"/>
          <w:szCs w:val="20"/>
          <w:lang w:val="es-CR"/>
        </w:rPr>
        <w:t xml:space="preserve">coordinar que, cada año, dicho pago </w:t>
      </w:r>
      <w:r w:rsidR="00554CA0">
        <w:rPr>
          <w:rFonts w:ascii="Verdana" w:hAnsi="Verdana"/>
          <w:sz w:val="20"/>
          <w:szCs w:val="20"/>
          <w:lang w:val="es-CR"/>
        </w:rPr>
        <w:t xml:space="preserve">al Centro San Juan de Dios </w:t>
      </w:r>
      <w:r w:rsidR="00DB5F24" w:rsidRPr="00EF76F4">
        <w:rPr>
          <w:rFonts w:ascii="Verdana" w:hAnsi="Verdana"/>
          <w:sz w:val="20"/>
          <w:szCs w:val="20"/>
          <w:lang w:val="es-CR"/>
        </w:rPr>
        <w:t>se reali</w:t>
      </w:r>
      <w:r w:rsidR="00410D5E">
        <w:rPr>
          <w:rFonts w:ascii="Verdana" w:hAnsi="Verdana"/>
          <w:sz w:val="20"/>
          <w:szCs w:val="20"/>
          <w:lang w:val="es-CR"/>
        </w:rPr>
        <w:t>ce</w:t>
      </w:r>
      <w:r w:rsidR="00DB5F24">
        <w:rPr>
          <w:rFonts w:ascii="Verdana" w:hAnsi="Verdana"/>
          <w:sz w:val="20"/>
          <w:szCs w:val="20"/>
          <w:lang w:val="es-CR"/>
        </w:rPr>
        <w:t xml:space="preserve"> “</w:t>
      </w:r>
      <w:r w:rsidR="00DB5F24" w:rsidRPr="00801669">
        <w:rPr>
          <w:rFonts w:ascii="Verdana" w:hAnsi="Verdana"/>
          <w:sz w:val="20"/>
          <w:szCs w:val="20"/>
          <w:lang w:val="es-CR"/>
        </w:rPr>
        <w:t>después de la conclusión de cada gestión fiscal conforme a la Ley N° 971”</w:t>
      </w:r>
      <w:r w:rsidR="00DB5F24">
        <w:rPr>
          <w:rFonts w:ascii="Verdana" w:hAnsi="Verdana"/>
          <w:sz w:val="20"/>
          <w:szCs w:val="20"/>
          <w:lang w:val="es-CR"/>
        </w:rPr>
        <w:t xml:space="preserve">, ya que el </w:t>
      </w:r>
      <w:r w:rsidR="004C6C9A">
        <w:rPr>
          <w:rFonts w:ascii="Verdana" w:hAnsi="Verdana"/>
          <w:sz w:val="20"/>
          <w:szCs w:val="20"/>
          <w:lang w:val="es-CR"/>
        </w:rPr>
        <w:t xml:space="preserve">cálculo y </w:t>
      </w:r>
      <w:r w:rsidR="00DB5F24">
        <w:rPr>
          <w:rFonts w:ascii="Verdana" w:hAnsi="Verdana"/>
          <w:sz w:val="20"/>
          <w:szCs w:val="20"/>
          <w:lang w:val="es-CR"/>
        </w:rPr>
        <w:t>pago no se puede</w:t>
      </w:r>
      <w:r w:rsidR="004C6C9A">
        <w:rPr>
          <w:rFonts w:ascii="Verdana" w:hAnsi="Verdana"/>
          <w:sz w:val="20"/>
          <w:szCs w:val="20"/>
          <w:lang w:val="es-CR"/>
        </w:rPr>
        <w:t>n</w:t>
      </w:r>
      <w:r w:rsidR="00DB5F24">
        <w:rPr>
          <w:rFonts w:ascii="Verdana" w:hAnsi="Verdana"/>
          <w:sz w:val="20"/>
          <w:szCs w:val="20"/>
          <w:lang w:val="es-CR"/>
        </w:rPr>
        <w:t xml:space="preserve"> realizar anticipadamente</w:t>
      </w:r>
      <w:r w:rsidR="004C6C9A">
        <w:rPr>
          <w:rStyle w:val="FootnoteReference"/>
          <w:rFonts w:ascii="Verdana" w:hAnsi="Verdana"/>
          <w:sz w:val="20"/>
          <w:szCs w:val="20"/>
          <w:lang w:val="es-CR"/>
        </w:rPr>
        <w:footnoteReference w:id="21"/>
      </w:r>
      <w:r w:rsidR="00DB5F24">
        <w:rPr>
          <w:rFonts w:ascii="Verdana" w:hAnsi="Verdana"/>
          <w:sz w:val="20"/>
          <w:szCs w:val="20"/>
          <w:lang w:val="es-CR"/>
        </w:rPr>
        <w:t>.</w:t>
      </w:r>
      <w:bookmarkEnd w:id="12"/>
    </w:p>
    <w:p w14:paraId="43E10FE6" w14:textId="77777777" w:rsidR="00EF76F4" w:rsidRPr="00EF76F4" w:rsidRDefault="00EF76F4" w:rsidP="00EF76F4">
      <w:pPr>
        <w:pStyle w:val="ListParagraph"/>
        <w:rPr>
          <w:rFonts w:ascii="Verdana" w:hAnsi="Verdana"/>
          <w:sz w:val="20"/>
          <w:szCs w:val="20"/>
          <w:lang w:val="es-CR"/>
        </w:rPr>
      </w:pPr>
    </w:p>
    <w:p w14:paraId="6511AB38" w14:textId="39193DB6" w:rsidR="00801669" w:rsidRDefault="00030CB3" w:rsidP="00801669">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Posteriormente a que el Estado remitiera esa información, l</w:t>
      </w:r>
      <w:r w:rsidR="0081085C">
        <w:rPr>
          <w:rFonts w:ascii="Verdana" w:hAnsi="Verdana"/>
          <w:sz w:val="20"/>
          <w:szCs w:val="20"/>
          <w:lang w:val="es-CR"/>
        </w:rPr>
        <w:t>os representantes</w:t>
      </w:r>
      <w:r>
        <w:rPr>
          <w:rFonts w:ascii="Verdana" w:hAnsi="Verdana"/>
          <w:sz w:val="20"/>
          <w:szCs w:val="20"/>
          <w:lang w:val="es-CR"/>
        </w:rPr>
        <w:t xml:space="preserve"> presentaron observaciones en </w:t>
      </w:r>
      <w:r w:rsidR="0081085C">
        <w:rPr>
          <w:rFonts w:ascii="Verdana" w:hAnsi="Verdana"/>
          <w:sz w:val="20"/>
          <w:szCs w:val="20"/>
          <w:lang w:val="es-CR"/>
        </w:rPr>
        <w:t xml:space="preserve">septiembre de 2018, </w:t>
      </w:r>
      <w:r>
        <w:rPr>
          <w:rFonts w:ascii="Verdana" w:hAnsi="Verdana"/>
          <w:sz w:val="20"/>
          <w:szCs w:val="20"/>
          <w:lang w:val="es-CR"/>
        </w:rPr>
        <w:t xml:space="preserve">en las que expresaron </w:t>
      </w:r>
      <w:r w:rsidR="0081085C">
        <w:rPr>
          <w:rFonts w:ascii="Verdana" w:hAnsi="Verdana"/>
          <w:sz w:val="20"/>
          <w:szCs w:val="20"/>
          <w:lang w:val="es-CR"/>
        </w:rPr>
        <w:t>que quedan “conformes con las gestiones y la respuesta estatal”</w:t>
      </w:r>
      <w:r w:rsidR="00096F47">
        <w:rPr>
          <w:rFonts w:ascii="Verdana" w:hAnsi="Verdana"/>
          <w:sz w:val="20"/>
          <w:szCs w:val="20"/>
          <w:lang w:val="es-CR"/>
        </w:rPr>
        <w:t xml:space="preserve"> con respecto a los “gastos impagos”</w:t>
      </w:r>
      <w:r w:rsidR="0081085C">
        <w:rPr>
          <w:rFonts w:ascii="Verdana" w:hAnsi="Verdana"/>
          <w:sz w:val="20"/>
          <w:szCs w:val="20"/>
          <w:lang w:val="es-CR"/>
        </w:rPr>
        <w:t xml:space="preserve"> y solicit</w:t>
      </w:r>
      <w:r w:rsidR="007051AB">
        <w:rPr>
          <w:rFonts w:ascii="Verdana" w:hAnsi="Verdana"/>
          <w:sz w:val="20"/>
          <w:szCs w:val="20"/>
          <w:lang w:val="es-CR"/>
        </w:rPr>
        <w:t>aron</w:t>
      </w:r>
      <w:r w:rsidR="0081085C">
        <w:rPr>
          <w:rFonts w:ascii="Verdana" w:hAnsi="Verdana"/>
          <w:sz w:val="20"/>
          <w:szCs w:val="20"/>
          <w:lang w:val="es-CR"/>
        </w:rPr>
        <w:t xml:space="preserve"> a la Corte que “requiera al Estado la presentación del Convenio Interinstitucional ‘modificado’”.</w:t>
      </w:r>
      <w:r w:rsidR="0082751E">
        <w:rPr>
          <w:rFonts w:ascii="Verdana" w:hAnsi="Verdana"/>
          <w:sz w:val="20"/>
          <w:szCs w:val="20"/>
          <w:lang w:val="es-CR"/>
        </w:rPr>
        <w:t xml:space="preserve"> </w:t>
      </w:r>
      <w:r w:rsidR="00096F47">
        <w:rPr>
          <w:rFonts w:ascii="Verdana" w:hAnsi="Verdana"/>
          <w:sz w:val="20"/>
          <w:szCs w:val="20"/>
          <w:lang w:val="es-CR"/>
        </w:rPr>
        <w:t xml:space="preserve">Sin embargo, hicieron notar que el Estado no se refirió al alegato presentado previamente referido al medicamento que no fue provisto a la señora I.V. “por lo que [su] reclamo y [su] preocupación se mantienen”. </w:t>
      </w:r>
      <w:r w:rsidR="0082751E">
        <w:rPr>
          <w:rFonts w:ascii="Verdana" w:hAnsi="Verdana"/>
          <w:sz w:val="20"/>
          <w:szCs w:val="20"/>
          <w:lang w:val="es-CR"/>
        </w:rPr>
        <w:t>Además, en este escrito consideraron que no se había dado cumplimiento a la referida medida de reparación, y que “no [coinciden] con la pretensión del Estado de que la Corte defina, en este momento, un tiempo fijo y determinado para cesar la supervisión” de este punto</w:t>
      </w:r>
      <w:r w:rsidR="0082751E">
        <w:rPr>
          <w:rStyle w:val="FootnoteReference"/>
          <w:rFonts w:ascii="Verdana" w:hAnsi="Verdana"/>
          <w:sz w:val="20"/>
          <w:szCs w:val="20"/>
          <w:lang w:val="es-CR"/>
        </w:rPr>
        <w:footnoteReference w:id="22"/>
      </w:r>
      <w:r w:rsidR="0082751E">
        <w:rPr>
          <w:rFonts w:ascii="Verdana" w:hAnsi="Verdana"/>
          <w:sz w:val="20"/>
          <w:szCs w:val="20"/>
          <w:lang w:val="es-CR"/>
        </w:rPr>
        <w:t>.</w:t>
      </w:r>
    </w:p>
    <w:p w14:paraId="71E268DE" w14:textId="77777777" w:rsidR="00801669" w:rsidRDefault="00801669" w:rsidP="00801669">
      <w:pPr>
        <w:pStyle w:val="ListParagraph"/>
        <w:spacing w:after="0" w:line="240" w:lineRule="auto"/>
        <w:ind w:left="0"/>
        <w:jc w:val="both"/>
        <w:rPr>
          <w:rFonts w:ascii="Verdana" w:hAnsi="Verdana"/>
          <w:sz w:val="20"/>
          <w:szCs w:val="20"/>
          <w:lang w:val="es-CR"/>
        </w:rPr>
      </w:pPr>
    </w:p>
    <w:p w14:paraId="29922418" w14:textId="704C16B5" w:rsidR="00461093" w:rsidRPr="00533068" w:rsidRDefault="00461093" w:rsidP="003C3B0D">
      <w:pPr>
        <w:pStyle w:val="ListParagraph"/>
        <w:numPr>
          <w:ilvl w:val="0"/>
          <w:numId w:val="2"/>
        </w:numPr>
        <w:spacing w:after="0" w:line="240" w:lineRule="auto"/>
        <w:ind w:left="0" w:firstLine="0"/>
        <w:jc w:val="both"/>
        <w:rPr>
          <w:rFonts w:ascii="Verdana" w:hAnsi="Verdana"/>
          <w:sz w:val="20"/>
          <w:szCs w:val="20"/>
          <w:lang w:val="es-CR"/>
        </w:rPr>
      </w:pPr>
      <w:r w:rsidRPr="00533068">
        <w:rPr>
          <w:rFonts w:ascii="Verdana" w:hAnsi="Verdana"/>
          <w:sz w:val="20"/>
          <w:szCs w:val="20"/>
          <w:lang w:val="es-CR"/>
        </w:rPr>
        <w:t>Con respecto a la solicitud de los representantes de que se mantenga abierta la supervisión de cumplimiento de Sentencia hasta que I.V. recupere su salud (</w:t>
      </w:r>
      <w:r w:rsidRPr="00533068">
        <w:rPr>
          <w:rFonts w:ascii="Verdana" w:hAnsi="Verdana"/>
          <w:i/>
          <w:sz w:val="20"/>
          <w:szCs w:val="20"/>
          <w:lang w:val="es-CR"/>
        </w:rPr>
        <w:t>supra</w:t>
      </w:r>
      <w:r w:rsidRPr="00533068">
        <w:rPr>
          <w:rFonts w:ascii="Verdana" w:hAnsi="Verdana"/>
          <w:sz w:val="20"/>
          <w:szCs w:val="20"/>
          <w:lang w:val="es-CR"/>
        </w:rPr>
        <w:t xml:space="preserve"> Considerando </w:t>
      </w:r>
      <w:r w:rsidR="00AE7CF3">
        <w:rPr>
          <w:rFonts w:ascii="Verdana" w:hAnsi="Verdana"/>
          <w:sz w:val="20"/>
          <w:szCs w:val="20"/>
          <w:lang w:val="es-CR"/>
        </w:rPr>
        <w:fldChar w:fldCharType="begin"/>
      </w:r>
      <w:r w:rsidR="00AE7CF3">
        <w:rPr>
          <w:rFonts w:ascii="Verdana" w:hAnsi="Verdana"/>
          <w:sz w:val="20"/>
          <w:szCs w:val="20"/>
          <w:lang w:val="es-CR"/>
        </w:rPr>
        <w:instrText xml:space="preserve"> REF _Ref530477220 \r \h </w:instrText>
      </w:r>
      <w:r w:rsidR="00AE7CF3">
        <w:rPr>
          <w:rFonts w:ascii="Verdana" w:hAnsi="Verdana"/>
          <w:sz w:val="20"/>
          <w:szCs w:val="20"/>
          <w:lang w:val="es-CR"/>
        </w:rPr>
      </w:r>
      <w:r w:rsidR="00AE7CF3">
        <w:rPr>
          <w:rFonts w:ascii="Verdana" w:hAnsi="Verdana"/>
          <w:sz w:val="20"/>
          <w:szCs w:val="20"/>
          <w:lang w:val="es-CR"/>
        </w:rPr>
        <w:fldChar w:fldCharType="separate"/>
      </w:r>
      <w:r w:rsidR="00AE1507">
        <w:rPr>
          <w:rFonts w:ascii="Verdana" w:hAnsi="Verdana"/>
          <w:sz w:val="20"/>
          <w:szCs w:val="20"/>
          <w:lang w:val="es-CR"/>
        </w:rPr>
        <w:t>7</w:t>
      </w:r>
      <w:r w:rsidR="00AE7CF3">
        <w:rPr>
          <w:rFonts w:ascii="Verdana" w:hAnsi="Verdana"/>
          <w:sz w:val="20"/>
          <w:szCs w:val="20"/>
          <w:lang w:val="es-CR"/>
        </w:rPr>
        <w:fldChar w:fldCharType="end"/>
      </w:r>
      <w:r w:rsidRPr="00533068">
        <w:rPr>
          <w:rFonts w:ascii="Verdana" w:hAnsi="Verdana"/>
          <w:sz w:val="20"/>
          <w:szCs w:val="20"/>
          <w:lang w:val="es-CR"/>
        </w:rPr>
        <w:t xml:space="preserve">), la Corte no requiere supervisar este tipo de medida por un tiempo indefinido, </w:t>
      </w:r>
      <w:r w:rsidR="00EB1FCE" w:rsidRPr="00533068">
        <w:rPr>
          <w:rFonts w:ascii="Verdana" w:hAnsi="Verdana"/>
          <w:sz w:val="20"/>
          <w:szCs w:val="20"/>
          <w:lang w:val="es-CR"/>
        </w:rPr>
        <w:t xml:space="preserve">si </w:t>
      </w:r>
      <w:r w:rsidRPr="00533068">
        <w:rPr>
          <w:rFonts w:ascii="Verdana" w:hAnsi="Verdana"/>
          <w:sz w:val="20"/>
          <w:szCs w:val="20"/>
          <w:lang w:val="es-CR"/>
        </w:rPr>
        <w:t xml:space="preserve">el Estado </w:t>
      </w:r>
      <w:r w:rsidR="00EB1FCE" w:rsidRPr="00533068">
        <w:rPr>
          <w:rFonts w:ascii="Verdana" w:hAnsi="Verdana"/>
          <w:sz w:val="20"/>
          <w:szCs w:val="20"/>
          <w:lang w:val="es-CR"/>
        </w:rPr>
        <w:t>prueba</w:t>
      </w:r>
      <w:r w:rsidR="00533068" w:rsidRPr="00533068">
        <w:rPr>
          <w:rFonts w:ascii="Verdana" w:hAnsi="Verdana"/>
          <w:sz w:val="20"/>
          <w:szCs w:val="20"/>
          <w:lang w:val="es-CR"/>
        </w:rPr>
        <w:t xml:space="preserve"> </w:t>
      </w:r>
      <w:r w:rsidRPr="00533068">
        <w:rPr>
          <w:rFonts w:ascii="Verdana" w:hAnsi="Verdana"/>
          <w:sz w:val="20"/>
          <w:szCs w:val="20"/>
          <w:lang w:val="es-CR"/>
        </w:rPr>
        <w:t xml:space="preserve">con seguridad jurídica </w:t>
      </w:r>
      <w:r w:rsidR="000329D1" w:rsidRPr="00533068">
        <w:rPr>
          <w:rFonts w:ascii="Verdana" w:hAnsi="Verdana"/>
          <w:sz w:val="20"/>
          <w:szCs w:val="20"/>
          <w:lang w:val="es-CR"/>
        </w:rPr>
        <w:t xml:space="preserve">que continuará brindando el tratamiento de forma que comprenda los parámetros fijados en </w:t>
      </w:r>
      <w:r w:rsidR="00C2032E">
        <w:rPr>
          <w:rFonts w:ascii="Verdana" w:hAnsi="Verdana"/>
          <w:sz w:val="20"/>
          <w:szCs w:val="20"/>
          <w:lang w:val="es-CR"/>
        </w:rPr>
        <w:t>la</w:t>
      </w:r>
      <w:r w:rsidR="000329D1" w:rsidRPr="00533068">
        <w:rPr>
          <w:rFonts w:ascii="Verdana" w:hAnsi="Verdana"/>
          <w:sz w:val="20"/>
          <w:szCs w:val="20"/>
          <w:lang w:val="es-CR"/>
        </w:rPr>
        <w:t xml:space="preserve"> Sentencia</w:t>
      </w:r>
      <w:r w:rsidR="000329D1" w:rsidRPr="00533068">
        <w:rPr>
          <w:rStyle w:val="FootnoteReference"/>
          <w:rFonts w:ascii="Verdana" w:hAnsi="Verdana"/>
          <w:sz w:val="20"/>
          <w:szCs w:val="20"/>
          <w:lang w:val="es-CR"/>
        </w:rPr>
        <w:footnoteReference w:id="23"/>
      </w:r>
      <w:r w:rsidRPr="00533068">
        <w:rPr>
          <w:rFonts w:ascii="Verdana" w:hAnsi="Verdana"/>
          <w:sz w:val="20"/>
          <w:szCs w:val="20"/>
          <w:lang w:val="es-CR"/>
        </w:rPr>
        <w:t>. En este sentido, la Corte valora positivamente que el Estado previó la continuidad del tratamiento médico y psicológico a través de la Ley N° 971 y la inscripción de las víctimas al seguro en la Caja Petrolera, por cuanto se garantiza un presupuesto anual para el Ministerio de Salud</w:t>
      </w:r>
      <w:r w:rsidR="00EE5C7F">
        <w:rPr>
          <w:rFonts w:ascii="Verdana" w:hAnsi="Verdana"/>
          <w:sz w:val="20"/>
          <w:szCs w:val="20"/>
          <w:lang w:val="es-CR"/>
        </w:rPr>
        <w:t>,</w:t>
      </w:r>
      <w:r w:rsidRPr="00533068">
        <w:rPr>
          <w:rFonts w:ascii="Verdana" w:hAnsi="Verdana"/>
          <w:sz w:val="20"/>
          <w:szCs w:val="20"/>
          <w:lang w:val="es-CR"/>
        </w:rPr>
        <w:t xml:space="preserve"> a efectos de “cubrir el costo de la prestación de servicios de salud de la [víctima]”</w:t>
      </w:r>
      <w:r w:rsidRPr="00533068">
        <w:rPr>
          <w:rStyle w:val="FootnoteReference"/>
          <w:rFonts w:ascii="Verdana" w:hAnsi="Verdana"/>
          <w:sz w:val="20"/>
          <w:szCs w:val="20"/>
          <w:lang w:val="es-CR"/>
        </w:rPr>
        <w:footnoteReference w:id="24"/>
      </w:r>
      <w:r w:rsidRPr="00533068">
        <w:rPr>
          <w:rFonts w:ascii="Verdana" w:hAnsi="Verdana"/>
          <w:sz w:val="20"/>
          <w:szCs w:val="20"/>
          <w:lang w:val="es-CR"/>
        </w:rPr>
        <w:t>, al igual que la afiliación a un seguro en su beneficio</w:t>
      </w:r>
      <w:r w:rsidRPr="00533068">
        <w:rPr>
          <w:rStyle w:val="FootnoteReference"/>
          <w:rFonts w:ascii="Verdana" w:hAnsi="Verdana"/>
          <w:sz w:val="20"/>
          <w:szCs w:val="20"/>
          <w:lang w:val="es-CR"/>
        </w:rPr>
        <w:footnoteReference w:id="25"/>
      </w:r>
      <w:r w:rsidRPr="00533068">
        <w:rPr>
          <w:rFonts w:ascii="Verdana" w:hAnsi="Verdana"/>
          <w:sz w:val="20"/>
          <w:szCs w:val="20"/>
          <w:lang w:val="es-CR"/>
        </w:rPr>
        <w:t>.</w:t>
      </w:r>
    </w:p>
    <w:p w14:paraId="51A687E9" w14:textId="77777777" w:rsidR="00461093" w:rsidRPr="00533068" w:rsidRDefault="00461093" w:rsidP="00461093">
      <w:pPr>
        <w:pStyle w:val="ListParagraph"/>
        <w:rPr>
          <w:rFonts w:ascii="Verdana" w:hAnsi="Verdana"/>
          <w:sz w:val="20"/>
          <w:szCs w:val="20"/>
          <w:lang w:val="es-CR"/>
        </w:rPr>
      </w:pPr>
    </w:p>
    <w:p w14:paraId="24B51B83" w14:textId="57A85799" w:rsidR="00591F54" w:rsidRPr="00533068" w:rsidRDefault="00EB1FCE" w:rsidP="003C3B0D">
      <w:pPr>
        <w:pStyle w:val="ListParagraph"/>
        <w:numPr>
          <w:ilvl w:val="0"/>
          <w:numId w:val="2"/>
        </w:numPr>
        <w:spacing w:after="0" w:line="240" w:lineRule="auto"/>
        <w:ind w:left="0" w:firstLine="0"/>
        <w:jc w:val="both"/>
        <w:rPr>
          <w:rFonts w:ascii="Verdana" w:hAnsi="Verdana"/>
          <w:sz w:val="20"/>
          <w:szCs w:val="20"/>
          <w:lang w:val="es-CR"/>
        </w:rPr>
      </w:pPr>
      <w:r w:rsidRPr="00533068">
        <w:rPr>
          <w:rFonts w:ascii="Verdana" w:hAnsi="Verdana"/>
          <w:sz w:val="20"/>
          <w:szCs w:val="20"/>
          <w:lang w:val="es-CR"/>
        </w:rPr>
        <w:t>Asimismo</w:t>
      </w:r>
      <w:r w:rsidR="000329D1" w:rsidRPr="00533068">
        <w:rPr>
          <w:rFonts w:ascii="Verdana" w:hAnsi="Verdana"/>
          <w:sz w:val="20"/>
          <w:szCs w:val="20"/>
          <w:lang w:val="es-CR"/>
        </w:rPr>
        <w:t xml:space="preserve">, en cuanto al tratamiento médico, la Corte valora que el Estado ha adoptado medidas que permiten que se encuentre disponible a favor de la víctima el acceso a la atención médica través de lo dispuesto en la Ley No. 971 y el Convenio entre el Ministerio de Salud y la Caja Petrolera de Salud que garantiza la prestación de dichos </w:t>
      </w:r>
      <w:r w:rsidR="000329D1" w:rsidRPr="00533068">
        <w:rPr>
          <w:rFonts w:ascii="Verdana" w:hAnsi="Verdana"/>
          <w:sz w:val="20"/>
          <w:szCs w:val="20"/>
          <w:lang w:val="es-CR"/>
        </w:rPr>
        <w:lastRenderedPageBreak/>
        <w:t>servicios a su favor (</w:t>
      </w:r>
      <w:r w:rsidR="000329D1" w:rsidRPr="00533068">
        <w:rPr>
          <w:rFonts w:ascii="Verdana" w:hAnsi="Verdana"/>
          <w:i/>
          <w:sz w:val="20"/>
          <w:szCs w:val="20"/>
          <w:lang w:val="es-CR"/>
        </w:rPr>
        <w:t>supra</w:t>
      </w:r>
      <w:r w:rsidR="000329D1" w:rsidRPr="00533068">
        <w:rPr>
          <w:rFonts w:ascii="Verdana" w:hAnsi="Verdana"/>
          <w:sz w:val="20"/>
          <w:szCs w:val="20"/>
          <w:lang w:val="es-CR"/>
        </w:rPr>
        <w:t xml:space="preserve"> Considerando</w:t>
      </w:r>
      <w:r w:rsidR="00147314">
        <w:rPr>
          <w:rFonts w:ascii="Verdana" w:hAnsi="Verdana"/>
          <w:sz w:val="20"/>
          <w:szCs w:val="20"/>
          <w:lang w:val="es-CR"/>
        </w:rPr>
        <w:t>s</w:t>
      </w:r>
      <w:r w:rsidR="000329D1" w:rsidRPr="00533068">
        <w:rPr>
          <w:rFonts w:ascii="Verdana" w:hAnsi="Verdana"/>
          <w:sz w:val="20"/>
          <w:szCs w:val="20"/>
          <w:lang w:val="es-CR"/>
        </w:rPr>
        <w:t xml:space="preserve"> </w:t>
      </w:r>
      <w:r w:rsidR="00147314">
        <w:rPr>
          <w:rFonts w:ascii="Verdana" w:hAnsi="Verdana"/>
          <w:sz w:val="20"/>
          <w:szCs w:val="20"/>
          <w:lang w:val="es-CR"/>
        </w:rPr>
        <w:fldChar w:fldCharType="begin"/>
      </w:r>
      <w:r w:rsidR="00147314">
        <w:rPr>
          <w:rFonts w:ascii="Verdana" w:hAnsi="Verdana"/>
          <w:sz w:val="20"/>
          <w:szCs w:val="20"/>
          <w:lang w:val="es-CR"/>
        </w:rPr>
        <w:instrText xml:space="preserve"> REF _Ref530477692 \r \h </w:instrText>
      </w:r>
      <w:r w:rsidR="00147314">
        <w:rPr>
          <w:rFonts w:ascii="Verdana" w:hAnsi="Verdana"/>
          <w:sz w:val="20"/>
          <w:szCs w:val="20"/>
          <w:lang w:val="es-CR"/>
        </w:rPr>
      </w:r>
      <w:r w:rsidR="00147314">
        <w:rPr>
          <w:rFonts w:ascii="Verdana" w:hAnsi="Verdana"/>
          <w:sz w:val="20"/>
          <w:szCs w:val="20"/>
          <w:lang w:val="es-CR"/>
        </w:rPr>
        <w:fldChar w:fldCharType="separate"/>
      </w:r>
      <w:r w:rsidR="00AE1507">
        <w:rPr>
          <w:rFonts w:ascii="Verdana" w:hAnsi="Verdana"/>
          <w:sz w:val="20"/>
          <w:szCs w:val="20"/>
          <w:lang w:val="es-CR"/>
        </w:rPr>
        <w:t>5</w:t>
      </w:r>
      <w:r w:rsidR="00147314">
        <w:rPr>
          <w:rFonts w:ascii="Verdana" w:hAnsi="Verdana"/>
          <w:sz w:val="20"/>
          <w:szCs w:val="20"/>
          <w:lang w:val="es-CR"/>
        </w:rPr>
        <w:fldChar w:fldCharType="end"/>
      </w:r>
      <w:r w:rsidR="00147314">
        <w:rPr>
          <w:rFonts w:ascii="Verdana" w:hAnsi="Verdana"/>
          <w:sz w:val="20"/>
          <w:szCs w:val="20"/>
          <w:lang w:val="es-CR"/>
        </w:rPr>
        <w:t xml:space="preserve"> y </w:t>
      </w:r>
      <w:r w:rsidR="00147314">
        <w:rPr>
          <w:rFonts w:ascii="Verdana" w:hAnsi="Verdana"/>
          <w:sz w:val="20"/>
          <w:szCs w:val="20"/>
          <w:lang w:val="es-CR"/>
        </w:rPr>
        <w:fldChar w:fldCharType="begin"/>
      </w:r>
      <w:r w:rsidR="00147314">
        <w:rPr>
          <w:rFonts w:ascii="Verdana" w:hAnsi="Verdana"/>
          <w:sz w:val="20"/>
          <w:szCs w:val="20"/>
          <w:lang w:val="es-CR"/>
        </w:rPr>
        <w:instrText xml:space="preserve"> REF _Ref530477694 \r \h </w:instrText>
      </w:r>
      <w:r w:rsidR="00147314">
        <w:rPr>
          <w:rFonts w:ascii="Verdana" w:hAnsi="Verdana"/>
          <w:sz w:val="20"/>
          <w:szCs w:val="20"/>
          <w:lang w:val="es-CR"/>
        </w:rPr>
      </w:r>
      <w:r w:rsidR="00147314">
        <w:rPr>
          <w:rFonts w:ascii="Verdana" w:hAnsi="Verdana"/>
          <w:sz w:val="20"/>
          <w:szCs w:val="20"/>
          <w:lang w:val="es-CR"/>
        </w:rPr>
        <w:fldChar w:fldCharType="separate"/>
      </w:r>
      <w:r w:rsidR="00AE1507">
        <w:rPr>
          <w:rFonts w:ascii="Verdana" w:hAnsi="Verdana"/>
          <w:sz w:val="20"/>
          <w:szCs w:val="20"/>
          <w:lang w:val="es-CR"/>
        </w:rPr>
        <w:t>6</w:t>
      </w:r>
      <w:r w:rsidR="00147314">
        <w:rPr>
          <w:rFonts w:ascii="Verdana" w:hAnsi="Verdana"/>
          <w:sz w:val="20"/>
          <w:szCs w:val="20"/>
          <w:lang w:val="es-CR"/>
        </w:rPr>
        <w:fldChar w:fldCharType="end"/>
      </w:r>
      <w:r w:rsidR="000329D1" w:rsidRPr="00533068">
        <w:rPr>
          <w:rFonts w:ascii="Verdana" w:hAnsi="Verdana"/>
          <w:sz w:val="20"/>
          <w:szCs w:val="20"/>
          <w:lang w:val="es-CR"/>
        </w:rPr>
        <w:t xml:space="preserve">). La Corte destaca que los representantes no han presentado objeciones respecto de este extremo de la medida de reparación. </w:t>
      </w:r>
    </w:p>
    <w:p w14:paraId="0B33DB0E" w14:textId="77777777" w:rsidR="00591F54" w:rsidRPr="00533068" w:rsidRDefault="00591F54" w:rsidP="00591F54">
      <w:pPr>
        <w:pStyle w:val="ListParagraph"/>
        <w:rPr>
          <w:rFonts w:ascii="Verdana" w:hAnsi="Verdana"/>
          <w:sz w:val="20"/>
          <w:szCs w:val="20"/>
          <w:lang w:val="es-CR"/>
        </w:rPr>
      </w:pPr>
    </w:p>
    <w:p w14:paraId="64A0BAF1" w14:textId="45240198" w:rsidR="00591F54" w:rsidRPr="00533068" w:rsidRDefault="000329D1" w:rsidP="00591F54">
      <w:pPr>
        <w:pStyle w:val="ListParagraph"/>
        <w:numPr>
          <w:ilvl w:val="0"/>
          <w:numId w:val="2"/>
        </w:numPr>
        <w:spacing w:after="0" w:line="240" w:lineRule="auto"/>
        <w:ind w:left="0" w:firstLine="0"/>
        <w:jc w:val="both"/>
        <w:rPr>
          <w:rFonts w:ascii="Verdana" w:hAnsi="Verdana"/>
          <w:sz w:val="20"/>
          <w:szCs w:val="20"/>
          <w:lang w:val="es-CR"/>
        </w:rPr>
      </w:pPr>
      <w:bookmarkStart w:id="13" w:name="_Ref406137152"/>
      <w:r w:rsidRPr="00533068">
        <w:rPr>
          <w:rFonts w:ascii="Verdana" w:hAnsi="Verdana"/>
          <w:sz w:val="20"/>
          <w:szCs w:val="20"/>
          <w:lang w:val="es-CR"/>
        </w:rPr>
        <w:t xml:space="preserve">Similarmente, en lo que concierne al tratamiento psicológico y psiquiátrico a favor de la víctima, la Corte valora positivamente las medidas que </w:t>
      </w:r>
      <w:r w:rsidR="00EB1FCE" w:rsidRPr="00533068">
        <w:rPr>
          <w:rFonts w:ascii="Verdana" w:hAnsi="Verdana"/>
          <w:sz w:val="20"/>
          <w:szCs w:val="20"/>
          <w:lang w:val="es-CR"/>
        </w:rPr>
        <w:t xml:space="preserve">Bolivia </w:t>
      </w:r>
      <w:r w:rsidRPr="00533068">
        <w:rPr>
          <w:rFonts w:ascii="Verdana" w:hAnsi="Verdana"/>
          <w:sz w:val="20"/>
          <w:szCs w:val="20"/>
          <w:lang w:val="es-CR"/>
        </w:rPr>
        <w:t>ha adoptado</w:t>
      </w:r>
      <w:r w:rsidR="00591F54" w:rsidRPr="00533068">
        <w:rPr>
          <w:rFonts w:ascii="Verdana" w:hAnsi="Verdana"/>
          <w:sz w:val="20"/>
          <w:szCs w:val="20"/>
          <w:lang w:val="es-CR"/>
        </w:rPr>
        <w:t xml:space="preserve"> para garantizar la disponibilidad del servicio en el Centro de Rehabilitación y Salud Mental San Juan de Dios (</w:t>
      </w:r>
      <w:r w:rsidR="00591F54" w:rsidRPr="00533068">
        <w:rPr>
          <w:rFonts w:ascii="Verdana" w:hAnsi="Verdana"/>
          <w:i/>
          <w:sz w:val="20"/>
          <w:szCs w:val="20"/>
          <w:lang w:val="es-CR"/>
        </w:rPr>
        <w:t>supra</w:t>
      </w:r>
      <w:r w:rsidR="00591F54" w:rsidRPr="00533068">
        <w:rPr>
          <w:rFonts w:ascii="Verdana" w:hAnsi="Verdana"/>
          <w:sz w:val="20"/>
          <w:szCs w:val="20"/>
          <w:lang w:val="es-CR"/>
        </w:rPr>
        <w:t xml:space="preserve"> Considerando </w:t>
      </w:r>
      <w:r w:rsidR="00147314">
        <w:rPr>
          <w:rFonts w:ascii="Verdana" w:hAnsi="Verdana"/>
          <w:sz w:val="20"/>
          <w:szCs w:val="20"/>
          <w:lang w:val="es-CR"/>
        </w:rPr>
        <w:fldChar w:fldCharType="begin"/>
      </w:r>
      <w:r w:rsidR="00147314">
        <w:rPr>
          <w:rFonts w:ascii="Verdana" w:hAnsi="Verdana"/>
          <w:sz w:val="20"/>
          <w:szCs w:val="20"/>
          <w:lang w:val="es-CR"/>
        </w:rPr>
        <w:instrText xml:space="preserve"> REF _Ref530477692 \r \h </w:instrText>
      </w:r>
      <w:r w:rsidR="00147314">
        <w:rPr>
          <w:rFonts w:ascii="Verdana" w:hAnsi="Verdana"/>
          <w:sz w:val="20"/>
          <w:szCs w:val="20"/>
          <w:lang w:val="es-CR"/>
        </w:rPr>
      </w:r>
      <w:r w:rsidR="00147314">
        <w:rPr>
          <w:rFonts w:ascii="Verdana" w:hAnsi="Verdana"/>
          <w:sz w:val="20"/>
          <w:szCs w:val="20"/>
          <w:lang w:val="es-CR"/>
        </w:rPr>
        <w:fldChar w:fldCharType="separate"/>
      </w:r>
      <w:r w:rsidR="00AE1507">
        <w:rPr>
          <w:rFonts w:ascii="Verdana" w:hAnsi="Verdana"/>
          <w:sz w:val="20"/>
          <w:szCs w:val="20"/>
          <w:lang w:val="es-CR"/>
        </w:rPr>
        <w:t>5</w:t>
      </w:r>
      <w:r w:rsidR="00147314">
        <w:rPr>
          <w:rFonts w:ascii="Verdana" w:hAnsi="Verdana"/>
          <w:sz w:val="20"/>
          <w:szCs w:val="20"/>
          <w:lang w:val="es-CR"/>
        </w:rPr>
        <w:fldChar w:fldCharType="end"/>
      </w:r>
      <w:r w:rsidR="00591F54" w:rsidRPr="00533068">
        <w:rPr>
          <w:rFonts w:ascii="Verdana" w:hAnsi="Verdana"/>
          <w:sz w:val="20"/>
          <w:szCs w:val="20"/>
          <w:lang w:val="es-CR"/>
        </w:rPr>
        <w:t>). Además, ante la preocupación de los representantes relativa al posible incumplimiento del convenio correspondiente por “impago” (</w:t>
      </w:r>
      <w:r w:rsidR="00591F54" w:rsidRPr="00533068">
        <w:rPr>
          <w:rFonts w:ascii="Verdana" w:hAnsi="Verdana"/>
          <w:i/>
          <w:sz w:val="20"/>
          <w:szCs w:val="20"/>
          <w:lang w:val="es-CR"/>
        </w:rPr>
        <w:t>supra</w:t>
      </w:r>
      <w:r w:rsidR="00591F54" w:rsidRPr="00533068">
        <w:rPr>
          <w:rFonts w:ascii="Verdana" w:hAnsi="Verdana"/>
          <w:sz w:val="20"/>
          <w:szCs w:val="20"/>
          <w:lang w:val="es-CR"/>
        </w:rPr>
        <w:t xml:space="preserve"> Considerando </w:t>
      </w:r>
      <w:r w:rsidR="00147314">
        <w:rPr>
          <w:rFonts w:ascii="Verdana" w:hAnsi="Verdana"/>
          <w:sz w:val="20"/>
          <w:szCs w:val="20"/>
          <w:lang w:val="es-CR"/>
        </w:rPr>
        <w:fldChar w:fldCharType="begin"/>
      </w:r>
      <w:r w:rsidR="00147314">
        <w:rPr>
          <w:rFonts w:ascii="Verdana" w:hAnsi="Verdana"/>
          <w:sz w:val="20"/>
          <w:szCs w:val="20"/>
          <w:lang w:val="es-CR"/>
        </w:rPr>
        <w:instrText xml:space="preserve"> REF _Ref530411789 \r \h </w:instrText>
      </w:r>
      <w:r w:rsidR="00147314">
        <w:rPr>
          <w:rFonts w:ascii="Verdana" w:hAnsi="Verdana"/>
          <w:sz w:val="20"/>
          <w:szCs w:val="20"/>
          <w:lang w:val="es-CR"/>
        </w:rPr>
      </w:r>
      <w:r w:rsidR="00147314">
        <w:rPr>
          <w:rFonts w:ascii="Verdana" w:hAnsi="Verdana"/>
          <w:sz w:val="20"/>
          <w:szCs w:val="20"/>
          <w:lang w:val="es-CR"/>
        </w:rPr>
        <w:fldChar w:fldCharType="separate"/>
      </w:r>
      <w:r w:rsidR="00AE1507">
        <w:rPr>
          <w:rFonts w:ascii="Verdana" w:hAnsi="Verdana"/>
          <w:sz w:val="20"/>
          <w:szCs w:val="20"/>
          <w:lang w:val="es-CR"/>
        </w:rPr>
        <w:t>8</w:t>
      </w:r>
      <w:r w:rsidR="00147314">
        <w:rPr>
          <w:rFonts w:ascii="Verdana" w:hAnsi="Verdana"/>
          <w:sz w:val="20"/>
          <w:szCs w:val="20"/>
          <w:lang w:val="es-CR"/>
        </w:rPr>
        <w:fldChar w:fldCharType="end"/>
      </w:r>
      <w:r w:rsidR="00591F54" w:rsidRPr="00533068">
        <w:rPr>
          <w:rFonts w:ascii="Verdana" w:hAnsi="Verdana"/>
          <w:sz w:val="20"/>
          <w:szCs w:val="20"/>
          <w:lang w:val="es-CR"/>
        </w:rPr>
        <w:t>), la Corte valora positivamente que el Estado adoptó medidas adicionales para garantizar que ese tratamiento se continúe brindando de forma ininterrumpida y gratuita (</w:t>
      </w:r>
      <w:r w:rsidR="00591F54" w:rsidRPr="00533068">
        <w:rPr>
          <w:rFonts w:ascii="Verdana" w:hAnsi="Verdana"/>
          <w:i/>
          <w:sz w:val="20"/>
          <w:szCs w:val="20"/>
          <w:lang w:val="es-CR"/>
        </w:rPr>
        <w:t xml:space="preserve">supra </w:t>
      </w:r>
      <w:r w:rsidR="00591F54" w:rsidRPr="00533068">
        <w:rPr>
          <w:rFonts w:ascii="Verdana" w:hAnsi="Verdana"/>
          <w:sz w:val="20"/>
          <w:szCs w:val="20"/>
          <w:lang w:val="es-CR"/>
        </w:rPr>
        <w:t xml:space="preserve">Considerando </w:t>
      </w:r>
      <w:r w:rsidR="00147314">
        <w:rPr>
          <w:rFonts w:ascii="Verdana" w:hAnsi="Verdana"/>
          <w:sz w:val="20"/>
          <w:szCs w:val="20"/>
          <w:lang w:val="es-CR"/>
        </w:rPr>
        <w:fldChar w:fldCharType="begin"/>
      </w:r>
      <w:r w:rsidR="00147314">
        <w:rPr>
          <w:rFonts w:ascii="Verdana" w:hAnsi="Verdana"/>
          <w:sz w:val="20"/>
          <w:szCs w:val="20"/>
          <w:lang w:val="es-CR"/>
        </w:rPr>
        <w:instrText xml:space="preserve"> REF _Ref530477696 \r \h </w:instrText>
      </w:r>
      <w:r w:rsidR="00147314">
        <w:rPr>
          <w:rFonts w:ascii="Verdana" w:hAnsi="Verdana"/>
          <w:sz w:val="20"/>
          <w:szCs w:val="20"/>
          <w:lang w:val="es-CR"/>
        </w:rPr>
      </w:r>
      <w:r w:rsidR="00147314">
        <w:rPr>
          <w:rFonts w:ascii="Verdana" w:hAnsi="Verdana"/>
          <w:sz w:val="20"/>
          <w:szCs w:val="20"/>
          <w:lang w:val="es-CR"/>
        </w:rPr>
        <w:fldChar w:fldCharType="separate"/>
      </w:r>
      <w:r w:rsidR="00AE1507">
        <w:rPr>
          <w:rFonts w:ascii="Verdana" w:hAnsi="Verdana"/>
          <w:sz w:val="20"/>
          <w:szCs w:val="20"/>
          <w:lang w:val="es-CR"/>
        </w:rPr>
        <w:t>9</w:t>
      </w:r>
      <w:r w:rsidR="00147314">
        <w:rPr>
          <w:rFonts w:ascii="Verdana" w:hAnsi="Verdana"/>
          <w:sz w:val="20"/>
          <w:szCs w:val="20"/>
          <w:lang w:val="es-CR"/>
        </w:rPr>
        <w:fldChar w:fldCharType="end"/>
      </w:r>
      <w:r w:rsidR="00591F54" w:rsidRPr="00533068">
        <w:rPr>
          <w:rFonts w:ascii="Verdana" w:hAnsi="Verdana"/>
          <w:sz w:val="20"/>
          <w:szCs w:val="20"/>
          <w:lang w:val="es-CR"/>
        </w:rPr>
        <w:t>)</w:t>
      </w:r>
      <w:r w:rsidR="00591F54" w:rsidRPr="00533068">
        <w:rPr>
          <w:rStyle w:val="FootnoteReference"/>
          <w:rFonts w:ascii="Verdana" w:hAnsi="Verdana"/>
          <w:sz w:val="20"/>
          <w:szCs w:val="20"/>
          <w:lang w:val="es-CR"/>
        </w:rPr>
        <w:footnoteReference w:id="26"/>
      </w:r>
      <w:r w:rsidR="00591F54" w:rsidRPr="00533068">
        <w:rPr>
          <w:rFonts w:ascii="Verdana" w:hAnsi="Verdana"/>
          <w:sz w:val="20"/>
          <w:szCs w:val="20"/>
          <w:lang w:val="es-CR"/>
        </w:rPr>
        <w:t xml:space="preserve">. Sin embargo, la Corte nota que el Estado no presentó información alguna respecto a la objeción de los representantes relativa a </w:t>
      </w:r>
      <w:r w:rsidR="00EB1FCE" w:rsidRPr="00533068">
        <w:rPr>
          <w:rFonts w:ascii="Verdana" w:hAnsi="Verdana"/>
          <w:sz w:val="20"/>
          <w:szCs w:val="20"/>
          <w:lang w:val="es-CR"/>
        </w:rPr>
        <w:t xml:space="preserve">la falta de </w:t>
      </w:r>
      <w:r w:rsidR="00591F54" w:rsidRPr="00533068">
        <w:rPr>
          <w:rFonts w:ascii="Verdana" w:hAnsi="Verdana"/>
          <w:sz w:val="20"/>
          <w:szCs w:val="20"/>
          <w:lang w:val="es-CR"/>
        </w:rPr>
        <w:t xml:space="preserve">acceso a un determinado medicamento </w:t>
      </w:r>
      <w:r w:rsidR="00EB1FCE" w:rsidRPr="00533068">
        <w:rPr>
          <w:rFonts w:ascii="Verdana" w:hAnsi="Verdana"/>
          <w:sz w:val="20"/>
          <w:szCs w:val="20"/>
          <w:lang w:val="es-CR"/>
        </w:rPr>
        <w:t>(</w:t>
      </w:r>
      <w:r w:rsidR="00EB1FCE" w:rsidRPr="00533068">
        <w:rPr>
          <w:rFonts w:ascii="Verdana" w:hAnsi="Verdana"/>
          <w:i/>
          <w:sz w:val="20"/>
          <w:szCs w:val="20"/>
          <w:lang w:val="es-CR"/>
        </w:rPr>
        <w:t>supra</w:t>
      </w:r>
      <w:r w:rsidR="00EB1FCE" w:rsidRPr="00533068">
        <w:rPr>
          <w:rFonts w:ascii="Verdana" w:hAnsi="Verdana"/>
          <w:sz w:val="20"/>
          <w:szCs w:val="20"/>
          <w:lang w:val="es-CR"/>
        </w:rPr>
        <w:t xml:space="preserve"> Considerando </w:t>
      </w:r>
      <w:r w:rsidR="00147314">
        <w:rPr>
          <w:rFonts w:ascii="Verdana" w:hAnsi="Verdana"/>
          <w:sz w:val="20"/>
          <w:szCs w:val="20"/>
          <w:lang w:val="es-CR"/>
        </w:rPr>
        <w:fldChar w:fldCharType="begin"/>
      </w:r>
      <w:r w:rsidR="00147314">
        <w:rPr>
          <w:rFonts w:ascii="Verdana" w:hAnsi="Verdana"/>
          <w:sz w:val="20"/>
          <w:szCs w:val="20"/>
          <w:lang w:val="es-CR"/>
        </w:rPr>
        <w:instrText xml:space="preserve"> REF _Ref530411789 \r \h </w:instrText>
      </w:r>
      <w:r w:rsidR="00147314">
        <w:rPr>
          <w:rFonts w:ascii="Verdana" w:hAnsi="Verdana"/>
          <w:sz w:val="20"/>
          <w:szCs w:val="20"/>
          <w:lang w:val="es-CR"/>
        </w:rPr>
      </w:r>
      <w:r w:rsidR="00147314">
        <w:rPr>
          <w:rFonts w:ascii="Verdana" w:hAnsi="Verdana"/>
          <w:sz w:val="20"/>
          <w:szCs w:val="20"/>
          <w:lang w:val="es-CR"/>
        </w:rPr>
        <w:fldChar w:fldCharType="separate"/>
      </w:r>
      <w:r w:rsidR="00AE1507">
        <w:rPr>
          <w:rFonts w:ascii="Verdana" w:hAnsi="Verdana"/>
          <w:sz w:val="20"/>
          <w:szCs w:val="20"/>
          <w:lang w:val="es-CR"/>
        </w:rPr>
        <w:t>8</w:t>
      </w:r>
      <w:r w:rsidR="00147314">
        <w:rPr>
          <w:rFonts w:ascii="Verdana" w:hAnsi="Verdana"/>
          <w:sz w:val="20"/>
          <w:szCs w:val="20"/>
          <w:lang w:val="es-CR"/>
        </w:rPr>
        <w:fldChar w:fldCharType="end"/>
      </w:r>
      <w:r w:rsidR="00EB1FCE" w:rsidRPr="00533068">
        <w:rPr>
          <w:rFonts w:ascii="Verdana" w:hAnsi="Verdana"/>
          <w:sz w:val="20"/>
          <w:szCs w:val="20"/>
          <w:lang w:val="es-CR"/>
        </w:rPr>
        <w:t>)</w:t>
      </w:r>
      <w:r w:rsidR="00591F54" w:rsidRPr="00533068">
        <w:rPr>
          <w:rFonts w:ascii="Verdana" w:hAnsi="Verdana"/>
          <w:sz w:val="20"/>
          <w:szCs w:val="20"/>
          <w:lang w:val="es-CR"/>
        </w:rPr>
        <w:t>.</w:t>
      </w:r>
      <w:bookmarkEnd w:id="13"/>
      <w:r w:rsidR="00591F54" w:rsidRPr="00533068">
        <w:rPr>
          <w:rFonts w:ascii="Verdana" w:hAnsi="Verdana"/>
          <w:sz w:val="20"/>
          <w:szCs w:val="20"/>
          <w:lang w:val="es-CR"/>
        </w:rPr>
        <w:t xml:space="preserve"> </w:t>
      </w:r>
    </w:p>
    <w:p w14:paraId="240134AC" w14:textId="77777777" w:rsidR="00591F54" w:rsidRPr="00533068" w:rsidRDefault="00591F54" w:rsidP="00591F54">
      <w:pPr>
        <w:pStyle w:val="ListParagraph"/>
        <w:rPr>
          <w:rFonts w:ascii="Verdana" w:hAnsi="Verdana"/>
          <w:sz w:val="20"/>
          <w:szCs w:val="20"/>
          <w:lang w:val="es-CR"/>
        </w:rPr>
      </w:pPr>
    </w:p>
    <w:p w14:paraId="7B76A8A2" w14:textId="65ADA7BF" w:rsidR="009C71C8" w:rsidRPr="00533068" w:rsidRDefault="003C3B0D" w:rsidP="00591F54">
      <w:pPr>
        <w:pStyle w:val="ListParagraph"/>
        <w:numPr>
          <w:ilvl w:val="0"/>
          <w:numId w:val="2"/>
        </w:numPr>
        <w:spacing w:after="0" w:line="240" w:lineRule="auto"/>
        <w:ind w:left="0" w:firstLine="0"/>
        <w:jc w:val="both"/>
        <w:rPr>
          <w:rFonts w:ascii="Verdana" w:hAnsi="Verdana"/>
          <w:sz w:val="20"/>
          <w:szCs w:val="20"/>
          <w:lang w:val="es-CR"/>
        </w:rPr>
      </w:pPr>
      <w:bookmarkStart w:id="14" w:name="_Ref530478040"/>
      <w:r w:rsidRPr="00533068">
        <w:rPr>
          <w:rFonts w:ascii="Verdana" w:hAnsi="Verdana"/>
          <w:sz w:val="20"/>
          <w:szCs w:val="20"/>
          <w:lang w:val="es-CR"/>
        </w:rPr>
        <w:t xml:space="preserve">La Corte asume que Bolivia cumplirá de buena fe </w:t>
      </w:r>
      <w:r w:rsidR="00591F54" w:rsidRPr="00533068">
        <w:rPr>
          <w:rFonts w:ascii="Verdana" w:hAnsi="Verdana"/>
          <w:sz w:val="20"/>
          <w:szCs w:val="20"/>
          <w:lang w:val="es-CR"/>
        </w:rPr>
        <w:t>los</w:t>
      </w:r>
      <w:r w:rsidRPr="00533068">
        <w:rPr>
          <w:rFonts w:ascii="Verdana" w:hAnsi="Verdana"/>
          <w:sz w:val="20"/>
          <w:szCs w:val="20"/>
          <w:lang w:val="es-CR"/>
        </w:rPr>
        <w:t xml:space="preserve"> referido</w:t>
      </w:r>
      <w:r w:rsidR="00591F54" w:rsidRPr="00533068">
        <w:rPr>
          <w:rFonts w:ascii="Verdana" w:hAnsi="Verdana"/>
          <w:sz w:val="20"/>
          <w:szCs w:val="20"/>
          <w:lang w:val="es-CR"/>
        </w:rPr>
        <w:t>s</w:t>
      </w:r>
      <w:r w:rsidRPr="00533068">
        <w:rPr>
          <w:rFonts w:ascii="Verdana" w:hAnsi="Verdana"/>
          <w:sz w:val="20"/>
          <w:szCs w:val="20"/>
          <w:lang w:val="es-CR"/>
        </w:rPr>
        <w:t xml:space="preserve"> convenio</w:t>
      </w:r>
      <w:r w:rsidR="004079A5" w:rsidRPr="00533068">
        <w:rPr>
          <w:rFonts w:ascii="Verdana" w:hAnsi="Verdana"/>
          <w:sz w:val="20"/>
          <w:szCs w:val="20"/>
          <w:lang w:val="es-CR"/>
        </w:rPr>
        <w:t>s</w:t>
      </w:r>
      <w:r w:rsidRPr="00533068">
        <w:rPr>
          <w:rFonts w:ascii="Verdana" w:hAnsi="Verdana"/>
          <w:sz w:val="20"/>
          <w:szCs w:val="20"/>
          <w:lang w:val="es-CR"/>
        </w:rPr>
        <w:t xml:space="preserve"> y le brindará dicha atención a la señora I.V. de forma permanente</w:t>
      </w:r>
      <w:r w:rsidRPr="00533068">
        <w:rPr>
          <w:rStyle w:val="FootnoteReference"/>
          <w:rFonts w:ascii="Verdana" w:hAnsi="Verdana"/>
          <w:sz w:val="20"/>
          <w:szCs w:val="20"/>
          <w:lang w:val="es-CR"/>
        </w:rPr>
        <w:footnoteReference w:id="27"/>
      </w:r>
      <w:r w:rsidRPr="00533068">
        <w:rPr>
          <w:rFonts w:ascii="Verdana" w:hAnsi="Verdana"/>
          <w:sz w:val="20"/>
          <w:szCs w:val="20"/>
          <w:lang w:val="es-CR"/>
        </w:rPr>
        <w:t>.</w:t>
      </w:r>
      <w:r w:rsidR="00EB1FCE" w:rsidRPr="00533068">
        <w:rPr>
          <w:rFonts w:ascii="Verdana" w:hAnsi="Verdana"/>
          <w:sz w:val="20"/>
          <w:szCs w:val="20"/>
          <w:lang w:val="es-CR"/>
        </w:rPr>
        <w:t xml:space="preserve"> Sin embargo, estima pertinente que en un próximo informe aclare lo relativo al problema surgido </w:t>
      </w:r>
      <w:r w:rsidR="00487C8C" w:rsidRPr="00533068">
        <w:rPr>
          <w:rFonts w:ascii="Verdana" w:hAnsi="Verdana"/>
          <w:sz w:val="20"/>
          <w:szCs w:val="20"/>
          <w:lang w:val="es-CR"/>
        </w:rPr>
        <w:t xml:space="preserve">a mediados del presente año </w:t>
      </w:r>
      <w:r w:rsidR="00EB1FCE" w:rsidRPr="00533068">
        <w:rPr>
          <w:rFonts w:ascii="Verdana" w:hAnsi="Verdana"/>
          <w:sz w:val="20"/>
          <w:szCs w:val="20"/>
          <w:lang w:val="es-CR"/>
        </w:rPr>
        <w:t>con la provisión de medicamentos</w:t>
      </w:r>
      <w:r w:rsidR="00487C8C" w:rsidRPr="00533068">
        <w:rPr>
          <w:rFonts w:ascii="Verdana" w:hAnsi="Verdana"/>
          <w:sz w:val="20"/>
          <w:szCs w:val="20"/>
          <w:lang w:val="es-CR"/>
        </w:rPr>
        <w:t xml:space="preserve"> (</w:t>
      </w:r>
      <w:r w:rsidR="00487C8C" w:rsidRPr="00533068">
        <w:rPr>
          <w:rFonts w:ascii="Verdana" w:hAnsi="Verdana"/>
          <w:i/>
          <w:sz w:val="20"/>
          <w:szCs w:val="20"/>
          <w:lang w:val="es-CR"/>
        </w:rPr>
        <w:t>supra</w:t>
      </w:r>
      <w:r w:rsidR="00487C8C" w:rsidRPr="00533068">
        <w:rPr>
          <w:rFonts w:ascii="Verdana" w:hAnsi="Verdana"/>
          <w:sz w:val="20"/>
          <w:szCs w:val="20"/>
          <w:lang w:val="es-CR"/>
        </w:rPr>
        <w:t xml:space="preserve"> Considerandos </w:t>
      </w:r>
      <w:r w:rsidR="00147314">
        <w:rPr>
          <w:rFonts w:ascii="Verdana" w:hAnsi="Verdana"/>
          <w:sz w:val="20"/>
          <w:szCs w:val="20"/>
          <w:lang w:val="es-CR"/>
        </w:rPr>
        <w:fldChar w:fldCharType="begin"/>
      </w:r>
      <w:r w:rsidR="00147314">
        <w:rPr>
          <w:rFonts w:ascii="Verdana" w:hAnsi="Verdana"/>
          <w:sz w:val="20"/>
          <w:szCs w:val="20"/>
          <w:lang w:val="es-CR"/>
        </w:rPr>
        <w:instrText xml:space="preserve"> REF _Ref530411789 \r \h </w:instrText>
      </w:r>
      <w:r w:rsidR="00147314">
        <w:rPr>
          <w:rFonts w:ascii="Verdana" w:hAnsi="Verdana"/>
          <w:sz w:val="20"/>
          <w:szCs w:val="20"/>
          <w:lang w:val="es-CR"/>
        </w:rPr>
      </w:r>
      <w:r w:rsidR="00147314">
        <w:rPr>
          <w:rFonts w:ascii="Verdana" w:hAnsi="Verdana"/>
          <w:sz w:val="20"/>
          <w:szCs w:val="20"/>
          <w:lang w:val="es-CR"/>
        </w:rPr>
        <w:fldChar w:fldCharType="separate"/>
      </w:r>
      <w:r w:rsidR="00AE1507">
        <w:rPr>
          <w:rFonts w:ascii="Verdana" w:hAnsi="Verdana"/>
          <w:sz w:val="20"/>
          <w:szCs w:val="20"/>
          <w:lang w:val="es-CR"/>
        </w:rPr>
        <w:t>8</w:t>
      </w:r>
      <w:r w:rsidR="00147314">
        <w:rPr>
          <w:rFonts w:ascii="Verdana" w:hAnsi="Verdana"/>
          <w:sz w:val="20"/>
          <w:szCs w:val="20"/>
          <w:lang w:val="es-CR"/>
        </w:rPr>
        <w:fldChar w:fldCharType="end"/>
      </w:r>
      <w:r w:rsidR="00487C8C" w:rsidRPr="00533068">
        <w:rPr>
          <w:rFonts w:ascii="Verdana" w:hAnsi="Verdana"/>
          <w:sz w:val="20"/>
          <w:szCs w:val="20"/>
          <w:lang w:val="es-CR"/>
        </w:rPr>
        <w:t xml:space="preserve"> y </w:t>
      </w:r>
      <w:r w:rsidR="00C40E8B">
        <w:rPr>
          <w:rFonts w:ascii="Verdana" w:hAnsi="Verdana"/>
          <w:sz w:val="20"/>
          <w:szCs w:val="20"/>
          <w:lang w:val="es-CR"/>
        </w:rPr>
        <w:fldChar w:fldCharType="begin"/>
      </w:r>
      <w:r w:rsidR="00C40E8B">
        <w:rPr>
          <w:rFonts w:ascii="Verdana" w:hAnsi="Verdana"/>
          <w:sz w:val="20"/>
          <w:szCs w:val="20"/>
          <w:lang w:val="es-CR"/>
        </w:rPr>
        <w:instrText xml:space="preserve"> REF _Ref406137152 \r \h </w:instrText>
      </w:r>
      <w:r w:rsidR="00C40E8B">
        <w:rPr>
          <w:rFonts w:ascii="Verdana" w:hAnsi="Verdana"/>
          <w:sz w:val="20"/>
          <w:szCs w:val="20"/>
          <w:lang w:val="es-CR"/>
        </w:rPr>
      </w:r>
      <w:r w:rsidR="00C40E8B">
        <w:rPr>
          <w:rFonts w:ascii="Verdana" w:hAnsi="Verdana"/>
          <w:sz w:val="20"/>
          <w:szCs w:val="20"/>
          <w:lang w:val="es-CR"/>
        </w:rPr>
        <w:fldChar w:fldCharType="separate"/>
      </w:r>
      <w:r w:rsidR="00AE1507">
        <w:rPr>
          <w:rFonts w:ascii="Verdana" w:hAnsi="Verdana"/>
          <w:sz w:val="20"/>
          <w:szCs w:val="20"/>
          <w:lang w:val="es-CR"/>
        </w:rPr>
        <w:t>13</w:t>
      </w:r>
      <w:r w:rsidR="00C40E8B">
        <w:rPr>
          <w:rFonts w:ascii="Verdana" w:hAnsi="Verdana"/>
          <w:sz w:val="20"/>
          <w:szCs w:val="20"/>
          <w:lang w:val="es-CR"/>
        </w:rPr>
        <w:fldChar w:fldCharType="end"/>
      </w:r>
      <w:r w:rsidR="00487C8C" w:rsidRPr="00533068">
        <w:rPr>
          <w:rFonts w:ascii="Verdana" w:hAnsi="Verdana"/>
          <w:sz w:val="20"/>
          <w:szCs w:val="20"/>
          <w:lang w:val="es-CR"/>
        </w:rPr>
        <w:t>)</w:t>
      </w:r>
      <w:r w:rsidR="00EB1FCE" w:rsidRPr="00533068">
        <w:rPr>
          <w:rFonts w:ascii="Verdana" w:hAnsi="Verdana"/>
          <w:sz w:val="20"/>
          <w:szCs w:val="20"/>
          <w:lang w:val="es-CR"/>
        </w:rPr>
        <w:t>.</w:t>
      </w:r>
      <w:bookmarkEnd w:id="14"/>
    </w:p>
    <w:p w14:paraId="3FE40442" w14:textId="1ABD247B" w:rsidR="00E071A1" w:rsidRPr="00533068" w:rsidRDefault="00E071A1" w:rsidP="00591F54">
      <w:pPr>
        <w:pStyle w:val="ListParagraph"/>
        <w:spacing w:before="120" w:after="120" w:line="240" w:lineRule="auto"/>
        <w:ind w:left="0" w:right="11"/>
        <w:jc w:val="both"/>
        <w:rPr>
          <w:rFonts w:ascii="Verdana" w:hAnsi="Verdana"/>
          <w:sz w:val="20"/>
          <w:szCs w:val="20"/>
          <w:lang w:val="es-CR"/>
        </w:rPr>
      </w:pPr>
    </w:p>
    <w:p w14:paraId="15DE1193" w14:textId="6F659071" w:rsidR="00F3681C" w:rsidRPr="00533068" w:rsidRDefault="00E56F5C" w:rsidP="00801669">
      <w:pPr>
        <w:pStyle w:val="ListParagraph"/>
        <w:numPr>
          <w:ilvl w:val="0"/>
          <w:numId w:val="2"/>
        </w:numPr>
        <w:spacing w:after="0" w:line="240" w:lineRule="auto"/>
        <w:ind w:left="0" w:firstLine="0"/>
        <w:jc w:val="both"/>
        <w:rPr>
          <w:rFonts w:ascii="Verdana" w:hAnsi="Verdana"/>
          <w:sz w:val="20"/>
          <w:szCs w:val="20"/>
          <w:lang w:val="es-CR"/>
        </w:rPr>
      </w:pPr>
      <w:bookmarkStart w:id="15" w:name="_Ref530489467"/>
      <w:r w:rsidRPr="00533068">
        <w:rPr>
          <w:rFonts w:ascii="Verdana" w:hAnsi="Verdana"/>
          <w:sz w:val="20"/>
          <w:szCs w:val="20"/>
          <w:lang w:val="es-CR"/>
        </w:rPr>
        <w:t xml:space="preserve">Dichos elementos permiten a esta Corte concluir que </w:t>
      </w:r>
      <w:r w:rsidR="00CB7E86" w:rsidRPr="00533068">
        <w:rPr>
          <w:rFonts w:ascii="Verdana" w:hAnsi="Verdana"/>
          <w:sz w:val="20"/>
          <w:szCs w:val="20"/>
          <w:lang w:val="es-CR"/>
        </w:rPr>
        <w:t xml:space="preserve">el Estado </w:t>
      </w:r>
      <w:r w:rsidRPr="00533068">
        <w:rPr>
          <w:rFonts w:ascii="Verdana" w:hAnsi="Verdana"/>
          <w:sz w:val="20"/>
          <w:szCs w:val="20"/>
          <w:lang w:val="es-CR"/>
        </w:rPr>
        <w:t>ha dado</w:t>
      </w:r>
      <w:r w:rsidR="00CB7E86" w:rsidRPr="00533068">
        <w:rPr>
          <w:rFonts w:ascii="Verdana" w:hAnsi="Verdana"/>
          <w:sz w:val="20"/>
          <w:szCs w:val="20"/>
          <w:lang w:val="es-CR"/>
        </w:rPr>
        <w:t xml:space="preserve"> cumplimiento </w:t>
      </w:r>
      <w:r w:rsidR="00591F54" w:rsidRPr="00533068">
        <w:rPr>
          <w:rFonts w:ascii="Verdana" w:hAnsi="Verdana"/>
          <w:sz w:val="20"/>
          <w:szCs w:val="20"/>
          <w:lang w:val="es-CR"/>
        </w:rPr>
        <w:t>parcial</w:t>
      </w:r>
      <w:r w:rsidR="00897056" w:rsidRPr="00533068">
        <w:rPr>
          <w:rFonts w:ascii="Verdana" w:hAnsi="Verdana"/>
          <w:sz w:val="20"/>
          <w:szCs w:val="20"/>
          <w:lang w:val="es-CR"/>
        </w:rPr>
        <w:t xml:space="preserve"> </w:t>
      </w:r>
      <w:r w:rsidR="00CB7E86" w:rsidRPr="00533068">
        <w:rPr>
          <w:rFonts w:ascii="Verdana" w:hAnsi="Verdana"/>
          <w:sz w:val="20"/>
          <w:szCs w:val="20"/>
          <w:lang w:val="es-CR"/>
        </w:rPr>
        <w:t xml:space="preserve">a la medida de reparación </w:t>
      </w:r>
      <w:r w:rsidRPr="00533068">
        <w:rPr>
          <w:rFonts w:ascii="Verdana" w:hAnsi="Verdana"/>
          <w:sz w:val="20"/>
          <w:szCs w:val="20"/>
          <w:lang w:val="es-CR"/>
        </w:rPr>
        <w:t xml:space="preserve">relativa </w:t>
      </w:r>
      <w:r w:rsidR="00CB7E86" w:rsidRPr="00533068">
        <w:rPr>
          <w:rFonts w:ascii="Verdana" w:hAnsi="Verdana"/>
          <w:sz w:val="20"/>
          <w:szCs w:val="20"/>
          <w:lang w:val="es-CR"/>
        </w:rPr>
        <w:t>a brindar tratamiento médico, psicológico y/o psiquiátrico a la señora I.V</w:t>
      </w:r>
      <w:r w:rsidR="00E04AA0" w:rsidRPr="00533068">
        <w:rPr>
          <w:rFonts w:ascii="Verdana" w:hAnsi="Verdana"/>
          <w:sz w:val="20"/>
          <w:szCs w:val="20"/>
          <w:lang w:val="es-CR"/>
        </w:rPr>
        <w:t>, ordenada en el punto resolutivo octavo de la Sentencia</w:t>
      </w:r>
      <w:r w:rsidR="00CB7E86" w:rsidRPr="00533068">
        <w:rPr>
          <w:rFonts w:ascii="Verdana" w:hAnsi="Verdana"/>
          <w:sz w:val="20"/>
          <w:szCs w:val="20"/>
          <w:lang w:val="es-CR"/>
        </w:rPr>
        <w:t>.</w:t>
      </w:r>
      <w:r w:rsidRPr="00533068">
        <w:rPr>
          <w:rFonts w:ascii="Verdana" w:hAnsi="Verdana"/>
          <w:sz w:val="20"/>
          <w:szCs w:val="20"/>
          <w:lang w:val="es-CR"/>
        </w:rPr>
        <w:t xml:space="preserve"> Este Tribunal enfatiza que Bolivia deberá continuar brindando el tratamiento médico y psicológico y/o psiquiátrico</w:t>
      </w:r>
      <w:r w:rsidR="00924E39" w:rsidRPr="00533068">
        <w:rPr>
          <w:rFonts w:ascii="Verdana" w:hAnsi="Verdana"/>
          <w:sz w:val="20"/>
          <w:szCs w:val="20"/>
          <w:lang w:val="es-CR"/>
        </w:rPr>
        <w:t>, y los medicamentos que necesiten</w:t>
      </w:r>
      <w:r w:rsidR="0081085C" w:rsidRPr="00533068">
        <w:rPr>
          <w:rFonts w:ascii="Verdana" w:hAnsi="Verdana"/>
          <w:sz w:val="20"/>
          <w:szCs w:val="20"/>
          <w:lang w:val="es-CR"/>
        </w:rPr>
        <w:t xml:space="preserve">, </w:t>
      </w:r>
      <w:r w:rsidR="00020347" w:rsidRPr="0055241C">
        <w:rPr>
          <w:rFonts w:ascii="Verdana" w:hAnsi="Verdana"/>
          <w:sz w:val="20"/>
          <w:szCs w:val="20"/>
          <w:lang w:val="es-CR"/>
        </w:rPr>
        <w:t>sin costo alguno,</w:t>
      </w:r>
      <w:r w:rsidR="00E071A1" w:rsidRPr="0055241C">
        <w:rPr>
          <w:rFonts w:ascii="Verdana" w:hAnsi="Verdana"/>
          <w:sz w:val="20"/>
          <w:szCs w:val="20"/>
          <w:lang w:val="es-CR"/>
        </w:rPr>
        <w:t xml:space="preserve"> </w:t>
      </w:r>
      <w:r w:rsidR="00DC09C8" w:rsidRPr="0055241C">
        <w:rPr>
          <w:rFonts w:ascii="Verdana" w:hAnsi="Verdana"/>
          <w:sz w:val="20"/>
          <w:szCs w:val="20"/>
          <w:lang w:val="es-CR"/>
        </w:rPr>
        <w:t>por el tiempo que sea necesario, para lo cual debe asegurarse que se cumplan los parámetros ordenados por la Corte en la Sentencia</w:t>
      </w:r>
      <w:r w:rsidR="001856D3" w:rsidRPr="0055241C">
        <w:rPr>
          <w:rStyle w:val="FootnoteReference"/>
          <w:rFonts w:ascii="Verdana" w:hAnsi="Verdana"/>
          <w:sz w:val="20"/>
          <w:szCs w:val="20"/>
          <w:lang w:val="es-CR"/>
        </w:rPr>
        <w:footnoteReference w:id="28"/>
      </w:r>
      <w:r w:rsidR="00DC09C8" w:rsidRPr="0055241C">
        <w:rPr>
          <w:rFonts w:ascii="Verdana" w:hAnsi="Verdana"/>
          <w:sz w:val="20"/>
          <w:szCs w:val="20"/>
          <w:lang w:val="es-CR"/>
        </w:rPr>
        <w:t>.</w:t>
      </w:r>
      <w:bookmarkEnd w:id="15"/>
      <w:r w:rsidR="00591F54" w:rsidRPr="0055241C">
        <w:rPr>
          <w:rFonts w:ascii="Verdana" w:hAnsi="Verdana"/>
          <w:sz w:val="20"/>
          <w:szCs w:val="20"/>
          <w:lang w:val="es-CR"/>
        </w:rPr>
        <w:t xml:space="preserve"> </w:t>
      </w:r>
      <w:r w:rsidR="005E2346" w:rsidRPr="0055241C">
        <w:rPr>
          <w:rFonts w:ascii="Verdana" w:hAnsi="Verdana"/>
          <w:sz w:val="20"/>
          <w:szCs w:val="20"/>
          <w:lang w:val="es-CR"/>
        </w:rPr>
        <w:t>Para proceder a valorar</w:t>
      </w:r>
      <w:r w:rsidR="0055241C" w:rsidRPr="0055241C">
        <w:rPr>
          <w:rFonts w:ascii="Verdana" w:hAnsi="Verdana"/>
          <w:sz w:val="20"/>
          <w:szCs w:val="20"/>
          <w:lang w:val="es-CR"/>
        </w:rPr>
        <w:t xml:space="preserve"> el cumplimiento total de esta reparación</w:t>
      </w:r>
      <w:r w:rsidR="00020347" w:rsidRPr="0055241C">
        <w:rPr>
          <w:rFonts w:ascii="Verdana" w:hAnsi="Verdana"/>
          <w:sz w:val="20"/>
          <w:szCs w:val="20"/>
          <w:lang w:val="es-CR"/>
        </w:rPr>
        <w:t>, el Estado en su próximo informe deberá presentar información actualizada sobre las medidas que ha adoptado para garantizar la provisión de los medicamentos recetados a favor de la señora I.V. en el marco del tratamiento psicológico y psiquiátrico del cual se beneficia, en atención a la objeción planteada por los representantes al respecto (</w:t>
      </w:r>
      <w:r w:rsidR="00020347" w:rsidRPr="0055241C">
        <w:rPr>
          <w:rFonts w:ascii="Verdana" w:hAnsi="Verdana"/>
          <w:i/>
          <w:sz w:val="20"/>
          <w:szCs w:val="20"/>
          <w:lang w:val="es-CR"/>
        </w:rPr>
        <w:t>supra</w:t>
      </w:r>
      <w:r w:rsidR="00020347" w:rsidRPr="0055241C">
        <w:rPr>
          <w:rFonts w:ascii="Verdana" w:hAnsi="Verdana"/>
          <w:sz w:val="20"/>
          <w:szCs w:val="20"/>
          <w:lang w:val="es-CR"/>
        </w:rPr>
        <w:t xml:space="preserve"> Considerando </w:t>
      </w:r>
      <w:r w:rsidR="00020347" w:rsidRPr="0055241C">
        <w:rPr>
          <w:rFonts w:ascii="Verdana" w:hAnsi="Verdana"/>
          <w:sz w:val="20"/>
          <w:szCs w:val="20"/>
          <w:lang w:val="es-CR"/>
        </w:rPr>
        <w:fldChar w:fldCharType="begin"/>
      </w:r>
      <w:r w:rsidR="00020347" w:rsidRPr="0055241C">
        <w:rPr>
          <w:rFonts w:ascii="Verdana" w:hAnsi="Verdana"/>
          <w:sz w:val="20"/>
          <w:szCs w:val="20"/>
          <w:lang w:val="es-CR"/>
        </w:rPr>
        <w:instrText xml:space="preserve"> REF _Ref530411789 \r \h </w:instrText>
      </w:r>
      <w:r w:rsidR="0055241C">
        <w:rPr>
          <w:rFonts w:ascii="Verdana" w:hAnsi="Verdana"/>
          <w:sz w:val="20"/>
          <w:szCs w:val="20"/>
          <w:lang w:val="es-CR"/>
        </w:rPr>
        <w:instrText xml:space="preserve"> \* MERGEFORMAT </w:instrText>
      </w:r>
      <w:r w:rsidR="00020347" w:rsidRPr="0055241C">
        <w:rPr>
          <w:rFonts w:ascii="Verdana" w:hAnsi="Verdana"/>
          <w:sz w:val="20"/>
          <w:szCs w:val="20"/>
          <w:lang w:val="es-CR"/>
        </w:rPr>
      </w:r>
      <w:r w:rsidR="00020347" w:rsidRPr="0055241C">
        <w:rPr>
          <w:rFonts w:ascii="Verdana" w:hAnsi="Verdana"/>
          <w:sz w:val="20"/>
          <w:szCs w:val="20"/>
          <w:lang w:val="es-CR"/>
        </w:rPr>
        <w:fldChar w:fldCharType="separate"/>
      </w:r>
      <w:r w:rsidR="00AE1507">
        <w:rPr>
          <w:rFonts w:ascii="Verdana" w:hAnsi="Verdana"/>
          <w:sz w:val="20"/>
          <w:szCs w:val="20"/>
          <w:lang w:val="es-CR"/>
        </w:rPr>
        <w:t>8</w:t>
      </w:r>
      <w:r w:rsidR="00020347" w:rsidRPr="0055241C">
        <w:rPr>
          <w:rFonts w:ascii="Verdana" w:hAnsi="Verdana"/>
          <w:sz w:val="20"/>
          <w:szCs w:val="20"/>
          <w:lang w:val="es-CR"/>
        </w:rPr>
        <w:fldChar w:fldCharType="end"/>
      </w:r>
      <w:r w:rsidR="00020347" w:rsidRPr="0055241C">
        <w:rPr>
          <w:rFonts w:ascii="Verdana" w:hAnsi="Verdana"/>
          <w:sz w:val="20"/>
          <w:szCs w:val="20"/>
          <w:lang w:val="es-CR"/>
        </w:rPr>
        <w:t>), y que continúa brindando el tratamiento médico y psicológico y/o y los medicamentos necesarios conforme a los criterios dispuestos en la Sentencia.</w:t>
      </w:r>
    </w:p>
    <w:p w14:paraId="0354F0E0" w14:textId="77777777" w:rsidR="0027260F" w:rsidRDefault="0027260F" w:rsidP="0027260F">
      <w:pPr>
        <w:pStyle w:val="ListParagraph"/>
        <w:spacing w:after="0" w:line="240" w:lineRule="auto"/>
        <w:ind w:left="0"/>
        <w:jc w:val="both"/>
        <w:rPr>
          <w:rFonts w:ascii="Verdana" w:hAnsi="Verdana"/>
          <w:sz w:val="20"/>
          <w:szCs w:val="20"/>
          <w:lang w:val="es-CR"/>
        </w:rPr>
      </w:pPr>
    </w:p>
    <w:p w14:paraId="56690D8A" w14:textId="77777777" w:rsidR="00EE47C9" w:rsidRPr="009A24B9" w:rsidRDefault="00EE47C9" w:rsidP="0027260F">
      <w:pPr>
        <w:pStyle w:val="ListParagraph"/>
        <w:spacing w:after="0" w:line="240" w:lineRule="auto"/>
        <w:ind w:left="0"/>
        <w:jc w:val="both"/>
        <w:rPr>
          <w:rFonts w:ascii="Verdana" w:hAnsi="Verdana"/>
          <w:sz w:val="20"/>
          <w:szCs w:val="20"/>
          <w:lang w:val="es-CR"/>
        </w:rPr>
      </w:pPr>
    </w:p>
    <w:p w14:paraId="6CA964E3" w14:textId="14E14E5F" w:rsidR="009A24B9" w:rsidRDefault="00B17580" w:rsidP="00D45313">
      <w:pPr>
        <w:pStyle w:val="Heading1"/>
        <w:numPr>
          <w:ilvl w:val="0"/>
          <w:numId w:val="3"/>
        </w:numPr>
        <w:spacing w:before="0" w:line="240" w:lineRule="auto"/>
        <w:jc w:val="both"/>
        <w:rPr>
          <w:rFonts w:ascii="Verdana" w:hAnsi="Verdana"/>
          <w:color w:val="auto"/>
          <w:sz w:val="20"/>
          <w:szCs w:val="20"/>
          <w:lang w:val="es-CR"/>
        </w:rPr>
      </w:pPr>
      <w:bookmarkStart w:id="16" w:name="_Toc530407694"/>
      <w:r w:rsidRPr="00CC210C">
        <w:rPr>
          <w:rFonts w:ascii="Verdana" w:hAnsi="Verdana"/>
          <w:color w:val="auto"/>
          <w:sz w:val="20"/>
          <w:szCs w:val="20"/>
          <w:lang w:val="es-CR"/>
        </w:rPr>
        <w:t>P</w:t>
      </w:r>
      <w:r w:rsidR="009A24B9" w:rsidRPr="00CC210C">
        <w:rPr>
          <w:rFonts w:ascii="Verdana" w:hAnsi="Verdana"/>
          <w:color w:val="auto"/>
          <w:sz w:val="20"/>
          <w:szCs w:val="20"/>
          <w:lang w:val="es-CR"/>
        </w:rPr>
        <w:t>ublicación</w:t>
      </w:r>
      <w:r w:rsidR="009A24B9" w:rsidRPr="009A24B9">
        <w:rPr>
          <w:rFonts w:ascii="Verdana" w:hAnsi="Verdana"/>
          <w:color w:val="auto"/>
          <w:sz w:val="20"/>
          <w:szCs w:val="20"/>
          <w:lang w:val="es-CR"/>
        </w:rPr>
        <w:t xml:space="preserve"> o cartilla que desarrolle los derechos de las mujeres en cuanto a su salud sexual y reproductiva</w:t>
      </w:r>
      <w:bookmarkEnd w:id="16"/>
    </w:p>
    <w:p w14:paraId="39905C6B" w14:textId="77777777" w:rsidR="00D45313" w:rsidRDefault="00D45313" w:rsidP="00D45313">
      <w:pPr>
        <w:spacing w:line="240" w:lineRule="auto"/>
        <w:ind w:left="720"/>
        <w:rPr>
          <w:rFonts w:ascii="Verdana" w:hAnsi="Verdana"/>
          <w:i/>
          <w:sz w:val="20"/>
          <w:szCs w:val="20"/>
          <w:lang w:val="es-CR"/>
        </w:rPr>
      </w:pPr>
    </w:p>
    <w:p w14:paraId="72363A54" w14:textId="77777777" w:rsidR="00D45313" w:rsidRPr="00D45313" w:rsidRDefault="00D45313" w:rsidP="00D45313">
      <w:pPr>
        <w:spacing w:line="240" w:lineRule="auto"/>
        <w:ind w:left="720"/>
        <w:rPr>
          <w:rFonts w:ascii="Verdana" w:hAnsi="Verdana"/>
          <w:i/>
          <w:sz w:val="20"/>
          <w:szCs w:val="20"/>
          <w:lang w:val="es-CR"/>
        </w:rPr>
      </w:pPr>
      <w:r w:rsidRPr="00D45313">
        <w:rPr>
          <w:rFonts w:ascii="Verdana" w:hAnsi="Verdana"/>
          <w:i/>
          <w:sz w:val="20"/>
          <w:szCs w:val="20"/>
          <w:lang w:val="es-CR"/>
        </w:rPr>
        <w:t>B.1. Medida ordenada por la Corte</w:t>
      </w:r>
    </w:p>
    <w:p w14:paraId="256890F8" w14:textId="13A6FA5F" w:rsidR="009A24B9" w:rsidRDefault="00D45313" w:rsidP="00D45313">
      <w:pPr>
        <w:pStyle w:val="ListParagraph"/>
        <w:numPr>
          <w:ilvl w:val="0"/>
          <w:numId w:val="2"/>
        </w:numPr>
        <w:spacing w:line="240" w:lineRule="auto"/>
        <w:ind w:left="0" w:firstLine="0"/>
        <w:jc w:val="both"/>
        <w:rPr>
          <w:rFonts w:ascii="Verdana" w:hAnsi="Verdana"/>
          <w:sz w:val="20"/>
          <w:szCs w:val="20"/>
          <w:lang w:val="es-CR"/>
        </w:rPr>
      </w:pPr>
      <w:bookmarkStart w:id="17" w:name="_Ref530405982"/>
      <w:r w:rsidRPr="00D45313">
        <w:rPr>
          <w:rFonts w:ascii="Verdana" w:hAnsi="Verdana"/>
          <w:sz w:val="20"/>
          <w:szCs w:val="20"/>
          <w:lang w:val="es-CR"/>
        </w:rPr>
        <w:t xml:space="preserve">En el punto resolutivo décimo primero y en el párrafo 341 de la Sentencia, </w:t>
      </w:r>
      <w:r w:rsidR="00585FD0">
        <w:rPr>
          <w:rFonts w:ascii="Verdana" w:hAnsi="Verdana"/>
          <w:sz w:val="20"/>
          <w:szCs w:val="20"/>
          <w:lang w:val="es-CR"/>
        </w:rPr>
        <w:t xml:space="preserve">se </w:t>
      </w:r>
      <w:r w:rsidRPr="00D45313">
        <w:rPr>
          <w:rFonts w:ascii="Verdana" w:hAnsi="Verdana"/>
          <w:sz w:val="20"/>
          <w:szCs w:val="20"/>
          <w:lang w:val="es-CR"/>
        </w:rPr>
        <w:t>dispuso que el Estado debía “diseñar una publicación o cartilla que desarrolle en forma sintética, clara y accesible los derechos de las mujeres en cuanto a su salud sexual y reproductiva, en la que se deberá hacer mención específica al consentimiento previo, libre, pleno e informado</w:t>
      </w:r>
      <w:r>
        <w:rPr>
          <w:rFonts w:ascii="Verdana" w:hAnsi="Verdana"/>
          <w:sz w:val="20"/>
          <w:szCs w:val="20"/>
          <w:lang w:val="es-CR"/>
        </w:rPr>
        <w:t xml:space="preserve">”. </w:t>
      </w:r>
      <w:r w:rsidR="007C6505">
        <w:rPr>
          <w:rFonts w:ascii="Verdana" w:hAnsi="Verdana"/>
          <w:sz w:val="20"/>
          <w:szCs w:val="20"/>
          <w:lang w:val="es-CR"/>
        </w:rPr>
        <w:t xml:space="preserve">En ese sentido, el Tribunal indicó que “[d]icha publicación deb[ía] estar </w:t>
      </w:r>
      <w:r w:rsidR="007C6505">
        <w:rPr>
          <w:rFonts w:ascii="Verdana" w:hAnsi="Verdana"/>
          <w:sz w:val="20"/>
          <w:szCs w:val="20"/>
          <w:lang w:val="es-CR"/>
        </w:rPr>
        <w:lastRenderedPageBreak/>
        <w:t>disponible en todos los hospitales públicos y privados de Bolivia, tanto para las pacientes como para el personal médico, así como en el sitio web del Ministerio de Salud y Previsión Social. Asimismo, debe[rá] darse acceso a dicha cartilla o publicación a través de la Defensoría del Pueblo y los organismos de la sociedad civil vinculados al tema</w:t>
      </w:r>
      <w:r w:rsidR="00585FD0">
        <w:rPr>
          <w:rFonts w:ascii="Verdana" w:hAnsi="Verdana"/>
          <w:sz w:val="20"/>
          <w:szCs w:val="20"/>
          <w:lang w:val="es-CR"/>
        </w:rPr>
        <w:t>”</w:t>
      </w:r>
      <w:r w:rsidR="007C6505">
        <w:rPr>
          <w:rFonts w:ascii="Verdana" w:hAnsi="Verdana"/>
          <w:sz w:val="20"/>
          <w:szCs w:val="20"/>
          <w:lang w:val="es-CR"/>
        </w:rPr>
        <w:t xml:space="preserve">. </w:t>
      </w:r>
      <w:r w:rsidR="00585FD0">
        <w:rPr>
          <w:rFonts w:ascii="Verdana" w:hAnsi="Verdana"/>
          <w:sz w:val="20"/>
          <w:szCs w:val="20"/>
          <w:lang w:val="es-CR"/>
        </w:rPr>
        <w:t>También se dispuso que “[e]</w:t>
      </w:r>
      <w:r w:rsidR="007C6505">
        <w:rPr>
          <w:rFonts w:ascii="Verdana" w:hAnsi="Verdana"/>
          <w:sz w:val="20"/>
          <w:szCs w:val="20"/>
          <w:lang w:val="es-CR"/>
        </w:rPr>
        <w:t>l Estado deberá informar anualmente sobre la implementación de esta medida por un período de tres años una vez se inicie la implementación de dicho mecanismo”.</w:t>
      </w:r>
      <w:bookmarkEnd w:id="17"/>
      <w:r w:rsidR="007C6505">
        <w:rPr>
          <w:rFonts w:ascii="Verdana" w:hAnsi="Verdana"/>
          <w:sz w:val="20"/>
          <w:szCs w:val="20"/>
          <w:lang w:val="es-CR"/>
        </w:rPr>
        <w:t xml:space="preserve"> </w:t>
      </w:r>
    </w:p>
    <w:p w14:paraId="378E35AA" w14:textId="77777777" w:rsidR="0099369F" w:rsidRDefault="0099369F" w:rsidP="0099369F">
      <w:pPr>
        <w:pStyle w:val="ListParagraph"/>
        <w:spacing w:line="240" w:lineRule="auto"/>
        <w:ind w:left="0"/>
        <w:jc w:val="both"/>
        <w:rPr>
          <w:rFonts w:ascii="Verdana" w:hAnsi="Verdana"/>
          <w:sz w:val="20"/>
          <w:szCs w:val="20"/>
          <w:lang w:val="es-CR"/>
        </w:rPr>
      </w:pPr>
    </w:p>
    <w:p w14:paraId="65AD7DBE" w14:textId="77777777" w:rsidR="0099369F" w:rsidRPr="0099369F" w:rsidRDefault="0099369F" w:rsidP="0099369F">
      <w:pPr>
        <w:spacing w:line="240" w:lineRule="auto"/>
        <w:ind w:left="720"/>
        <w:rPr>
          <w:rFonts w:ascii="Verdana" w:hAnsi="Verdana"/>
          <w:i/>
          <w:sz w:val="20"/>
          <w:szCs w:val="20"/>
          <w:lang w:val="es-CR"/>
        </w:rPr>
      </w:pPr>
      <w:r w:rsidRPr="00D45313">
        <w:rPr>
          <w:rFonts w:ascii="Verdana" w:hAnsi="Verdana"/>
          <w:i/>
          <w:sz w:val="20"/>
          <w:szCs w:val="20"/>
          <w:lang w:val="es-CR"/>
        </w:rPr>
        <w:t>B.</w:t>
      </w:r>
      <w:r>
        <w:rPr>
          <w:rFonts w:ascii="Verdana" w:hAnsi="Verdana"/>
          <w:i/>
          <w:sz w:val="20"/>
          <w:szCs w:val="20"/>
          <w:lang w:val="es-CR"/>
        </w:rPr>
        <w:t>2</w:t>
      </w:r>
      <w:r w:rsidRPr="00D45313">
        <w:rPr>
          <w:rFonts w:ascii="Verdana" w:hAnsi="Verdana"/>
          <w:i/>
          <w:sz w:val="20"/>
          <w:szCs w:val="20"/>
          <w:lang w:val="es-CR"/>
        </w:rPr>
        <w:t xml:space="preserve">. </w:t>
      </w:r>
      <w:r>
        <w:rPr>
          <w:rFonts w:ascii="Verdana" w:hAnsi="Verdana"/>
          <w:i/>
          <w:sz w:val="20"/>
          <w:szCs w:val="20"/>
          <w:lang w:val="es-CR"/>
        </w:rPr>
        <w:t>Consideraciones de</w:t>
      </w:r>
      <w:r w:rsidRPr="00D45313">
        <w:rPr>
          <w:rFonts w:ascii="Verdana" w:hAnsi="Verdana"/>
          <w:i/>
          <w:sz w:val="20"/>
          <w:szCs w:val="20"/>
          <w:lang w:val="es-CR"/>
        </w:rPr>
        <w:t xml:space="preserve"> la Corte</w:t>
      </w:r>
    </w:p>
    <w:p w14:paraId="0CC2666B" w14:textId="2D2C6AD7" w:rsidR="00046542" w:rsidRDefault="00F118D0" w:rsidP="00D45313">
      <w:pPr>
        <w:pStyle w:val="ListParagraph"/>
        <w:numPr>
          <w:ilvl w:val="0"/>
          <w:numId w:val="2"/>
        </w:numPr>
        <w:spacing w:line="240" w:lineRule="auto"/>
        <w:ind w:left="0" w:firstLine="0"/>
        <w:jc w:val="both"/>
        <w:rPr>
          <w:rFonts w:ascii="Verdana" w:hAnsi="Verdana"/>
          <w:sz w:val="20"/>
          <w:szCs w:val="20"/>
          <w:lang w:val="es-CR"/>
        </w:rPr>
      </w:pPr>
      <w:bookmarkStart w:id="18" w:name="_Ref530480711"/>
      <w:r w:rsidRPr="00AC759F">
        <w:rPr>
          <w:rFonts w:ascii="Verdana" w:hAnsi="Verdana"/>
          <w:sz w:val="20"/>
          <w:szCs w:val="20"/>
          <w:lang w:val="es-CR"/>
        </w:rPr>
        <w:t xml:space="preserve">La Corte constata, con base en la información proporcionada por el Estado en su informe de </w:t>
      </w:r>
      <w:r w:rsidR="005B095C">
        <w:rPr>
          <w:rFonts w:ascii="Verdana" w:hAnsi="Verdana"/>
          <w:sz w:val="20"/>
          <w:szCs w:val="20"/>
          <w:lang w:val="es-CR"/>
        </w:rPr>
        <w:t>22</w:t>
      </w:r>
      <w:r w:rsidR="005B095C" w:rsidRPr="00AC759F">
        <w:rPr>
          <w:rFonts w:ascii="Verdana" w:hAnsi="Verdana"/>
          <w:sz w:val="20"/>
          <w:szCs w:val="20"/>
          <w:lang w:val="es-CR"/>
        </w:rPr>
        <w:t xml:space="preserve"> </w:t>
      </w:r>
      <w:r w:rsidRPr="00AC759F">
        <w:rPr>
          <w:rFonts w:ascii="Verdana" w:hAnsi="Verdana"/>
          <w:sz w:val="20"/>
          <w:szCs w:val="20"/>
          <w:lang w:val="es-CR"/>
        </w:rPr>
        <w:t xml:space="preserve">de </w:t>
      </w:r>
      <w:r w:rsidR="005B095C">
        <w:rPr>
          <w:rFonts w:ascii="Verdana" w:hAnsi="Verdana"/>
          <w:sz w:val="20"/>
          <w:szCs w:val="20"/>
          <w:lang w:val="es-CR"/>
        </w:rPr>
        <w:t>diciembre</w:t>
      </w:r>
      <w:r w:rsidR="005B095C" w:rsidRPr="00AC759F">
        <w:rPr>
          <w:rFonts w:ascii="Verdana" w:hAnsi="Verdana"/>
          <w:sz w:val="20"/>
          <w:szCs w:val="20"/>
          <w:lang w:val="es-CR"/>
        </w:rPr>
        <w:t xml:space="preserve"> </w:t>
      </w:r>
      <w:r w:rsidRPr="00AC759F">
        <w:rPr>
          <w:rFonts w:ascii="Verdana" w:hAnsi="Verdana"/>
          <w:sz w:val="20"/>
          <w:szCs w:val="20"/>
          <w:lang w:val="es-CR"/>
        </w:rPr>
        <w:t>de 201</w:t>
      </w:r>
      <w:r w:rsidR="00020347">
        <w:rPr>
          <w:rFonts w:ascii="Verdana" w:hAnsi="Verdana"/>
          <w:sz w:val="20"/>
          <w:szCs w:val="20"/>
          <w:lang w:val="es-CR"/>
        </w:rPr>
        <w:t>7</w:t>
      </w:r>
      <w:r w:rsidRPr="00AC759F">
        <w:rPr>
          <w:rFonts w:ascii="Verdana" w:hAnsi="Verdana"/>
          <w:sz w:val="20"/>
          <w:szCs w:val="20"/>
          <w:lang w:val="es-CR"/>
        </w:rPr>
        <w:t>, que el Viceministerio de Salud y Promoción “ha diseñado de manera coordinada con la [Procuraduría General del Estado] la cartilla ‘Salud Sexual y Salud Reproductiva – Métodos Anticonceptivos’”</w:t>
      </w:r>
      <w:r w:rsidR="00020347">
        <w:rPr>
          <w:rStyle w:val="FootnoteReference"/>
          <w:rFonts w:ascii="Verdana" w:hAnsi="Verdana"/>
          <w:sz w:val="20"/>
          <w:szCs w:val="20"/>
          <w:lang w:val="es-CR"/>
        </w:rPr>
        <w:footnoteReference w:id="29"/>
      </w:r>
      <w:r w:rsidRPr="00AC759F">
        <w:rPr>
          <w:rFonts w:ascii="Verdana" w:hAnsi="Verdana"/>
          <w:sz w:val="20"/>
          <w:szCs w:val="20"/>
          <w:lang w:val="es-CR"/>
        </w:rPr>
        <w:t xml:space="preserve">. </w:t>
      </w:r>
      <w:r w:rsidR="009E1E4C" w:rsidRPr="00AC759F">
        <w:rPr>
          <w:rFonts w:ascii="Verdana" w:hAnsi="Verdana"/>
          <w:sz w:val="20"/>
          <w:szCs w:val="20"/>
          <w:lang w:val="es-CR"/>
        </w:rPr>
        <w:t xml:space="preserve">Dicha cartilla consiste en dos folletos: i) </w:t>
      </w:r>
      <w:r w:rsidR="00283B6C">
        <w:rPr>
          <w:rFonts w:ascii="Verdana" w:hAnsi="Verdana"/>
          <w:sz w:val="20"/>
          <w:szCs w:val="20"/>
          <w:lang w:val="es-CR"/>
        </w:rPr>
        <w:t>un</w:t>
      </w:r>
      <w:r w:rsidR="009E1E4C" w:rsidRPr="00AC759F">
        <w:rPr>
          <w:rFonts w:ascii="Verdana" w:hAnsi="Verdana"/>
          <w:sz w:val="20"/>
          <w:szCs w:val="20"/>
          <w:lang w:val="es-CR"/>
        </w:rPr>
        <w:t xml:space="preserve"> primer folleto</w:t>
      </w:r>
      <w:r w:rsidR="00283B6C">
        <w:rPr>
          <w:rFonts w:ascii="Verdana" w:hAnsi="Verdana"/>
          <w:sz w:val="20"/>
          <w:szCs w:val="20"/>
          <w:lang w:val="es-CR"/>
        </w:rPr>
        <w:t xml:space="preserve"> que</w:t>
      </w:r>
      <w:r w:rsidR="009E1E4C" w:rsidRPr="00AC759F">
        <w:rPr>
          <w:rFonts w:ascii="Verdana" w:hAnsi="Verdana"/>
          <w:sz w:val="20"/>
          <w:szCs w:val="20"/>
          <w:lang w:val="es-CR"/>
        </w:rPr>
        <w:t xml:space="preserve"> contiene cuatro partes: a) </w:t>
      </w:r>
      <w:r w:rsidR="00335B92">
        <w:rPr>
          <w:rFonts w:ascii="Verdana" w:hAnsi="Verdana"/>
          <w:sz w:val="20"/>
          <w:szCs w:val="20"/>
          <w:lang w:val="es-CR"/>
        </w:rPr>
        <w:t>una</w:t>
      </w:r>
      <w:r w:rsidR="009E1E4C" w:rsidRPr="00AC759F">
        <w:rPr>
          <w:rFonts w:ascii="Verdana" w:hAnsi="Verdana"/>
          <w:sz w:val="20"/>
          <w:szCs w:val="20"/>
          <w:lang w:val="es-CR"/>
        </w:rPr>
        <w:t xml:space="preserve"> definición de los derechos sexuales y reproductivos</w:t>
      </w:r>
      <w:r w:rsidR="00335B92">
        <w:rPr>
          <w:rStyle w:val="FootnoteReference"/>
          <w:rFonts w:ascii="Verdana" w:hAnsi="Verdana"/>
          <w:sz w:val="20"/>
          <w:szCs w:val="20"/>
          <w:lang w:val="es-CR"/>
        </w:rPr>
        <w:footnoteReference w:id="30"/>
      </w:r>
      <w:r w:rsidR="00335B92">
        <w:rPr>
          <w:rFonts w:ascii="Verdana" w:hAnsi="Verdana"/>
          <w:sz w:val="20"/>
          <w:szCs w:val="20"/>
          <w:lang w:val="es-CR"/>
        </w:rPr>
        <w:t>, al igual que referencia a la norma constitucional de Bolivia que garantiza el derecho a “gozar de una vida sexual y reproductiva sana, satisfactoria y libre de riesgos”</w:t>
      </w:r>
      <w:r w:rsidR="009E1E4C" w:rsidRPr="00AC759F">
        <w:rPr>
          <w:rFonts w:ascii="Verdana" w:hAnsi="Verdana"/>
          <w:sz w:val="20"/>
          <w:szCs w:val="20"/>
          <w:lang w:val="es-CR"/>
        </w:rPr>
        <w:t>; b) una explicación corta de distintos métodos anticonceptivos</w:t>
      </w:r>
      <w:r w:rsidR="00335B92">
        <w:rPr>
          <w:rStyle w:val="FootnoteReference"/>
          <w:rFonts w:ascii="Verdana" w:hAnsi="Verdana"/>
          <w:sz w:val="20"/>
          <w:szCs w:val="20"/>
          <w:lang w:val="es-CR"/>
        </w:rPr>
        <w:footnoteReference w:id="31"/>
      </w:r>
      <w:r w:rsidR="009E1E4C" w:rsidRPr="00AC759F">
        <w:rPr>
          <w:rFonts w:ascii="Verdana" w:hAnsi="Verdana"/>
          <w:sz w:val="20"/>
          <w:szCs w:val="20"/>
          <w:lang w:val="es-CR"/>
        </w:rPr>
        <w:t xml:space="preserve">; c) </w:t>
      </w:r>
      <w:r w:rsidR="00335B92">
        <w:rPr>
          <w:rFonts w:ascii="Verdana" w:hAnsi="Verdana"/>
          <w:sz w:val="20"/>
          <w:szCs w:val="20"/>
          <w:lang w:val="es-CR"/>
        </w:rPr>
        <w:t xml:space="preserve">una consideración aparte sobre </w:t>
      </w:r>
      <w:r w:rsidR="009E1E4C" w:rsidRPr="00AC759F">
        <w:rPr>
          <w:rFonts w:ascii="Verdana" w:hAnsi="Verdana"/>
          <w:sz w:val="20"/>
          <w:szCs w:val="20"/>
          <w:lang w:val="es-CR"/>
        </w:rPr>
        <w:t>métodos anticonceptivos que necesitan previa firma del consentimiento informado</w:t>
      </w:r>
      <w:r w:rsidR="00335B92">
        <w:rPr>
          <w:rStyle w:val="FootnoteReference"/>
          <w:rFonts w:ascii="Verdana" w:hAnsi="Verdana"/>
          <w:sz w:val="20"/>
          <w:szCs w:val="20"/>
          <w:lang w:val="es-CR"/>
        </w:rPr>
        <w:footnoteReference w:id="32"/>
      </w:r>
      <w:r w:rsidR="009E1E4C" w:rsidRPr="00AC759F">
        <w:rPr>
          <w:rFonts w:ascii="Verdana" w:hAnsi="Verdana"/>
          <w:sz w:val="20"/>
          <w:szCs w:val="20"/>
          <w:lang w:val="es-CR"/>
        </w:rPr>
        <w:t>; y d) la definición del consentimiento informado y su respectivo derecho a la información y a la decisión</w:t>
      </w:r>
      <w:r w:rsidR="00335B92">
        <w:rPr>
          <w:rFonts w:ascii="Verdana" w:hAnsi="Verdana"/>
          <w:sz w:val="20"/>
          <w:szCs w:val="20"/>
          <w:lang w:val="es-CR"/>
        </w:rPr>
        <w:t>, citando la Sentencia</w:t>
      </w:r>
      <w:r w:rsidR="009E1E4C" w:rsidRPr="00AC759F">
        <w:rPr>
          <w:rFonts w:ascii="Verdana" w:hAnsi="Verdana"/>
          <w:sz w:val="20"/>
          <w:szCs w:val="20"/>
          <w:lang w:val="es-CR"/>
        </w:rPr>
        <w:t xml:space="preserve">; y ii) </w:t>
      </w:r>
      <w:r w:rsidR="00283B6C">
        <w:rPr>
          <w:rFonts w:ascii="Verdana" w:hAnsi="Verdana"/>
          <w:sz w:val="20"/>
          <w:szCs w:val="20"/>
          <w:lang w:val="es-CR"/>
        </w:rPr>
        <w:t>un</w:t>
      </w:r>
      <w:r w:rsidR="009E1E4C" w:rsidRPr="00AC759F">
        <w:rPr>
          <w:rFonts w:ascii="Verdana" w:hAnsi="Verdana"/>
          <w:sz w:val="20"/>
          <w:szCs w:val="20"/>
          <w:lang w:val="es-CR"/>
        </w:rPr>
        <w:t xml:space="preserve"> segundo folleto, más extenso, que </w:t>
      </w:r>
      <w:r w:rsidR="00335B92">
        <w:rPr>
          <w:rFonts w:ascii="Verdana" w:hAnsi="Verdana"/>
          <w:sz w:val="20"/>
          <w:szCs w:val="20"/>
          <w:lang w:val="es-CR"/>
        </w:rPr>
        <w:t>desarrolla</w:t>
      </w:r>
      <w:r w:rsidR="009E1E4C" w:rsidRPr="00AC759F">
        <w:rPr>
          <w:rFonts w:ascii="Verdana" w:hAnsi="Verdana"/>
          <w:sz w:val="20"/>
          <w:szCs w:val="20"/>
          <w:lang w:val="es-CR"/>
        </w:rPr>
        <w:t xml:space="preserve"> los siguientes conceptos: a) el de la salud sexual y salud reproductiva</w:t>
      </w:r>
      <w:r w:rsidR="00335B92">
        <w:rPr>
          <w:rFonts w:ascii="Verdana" w:hAnsi="Verdana"/>
          <w:sz w:val="20"/>
          <w:szCs w:val="20"/>
          <w:lang w:val="es-CR"/>
        </w:rPr>
        <w:t>, con base en la Norma Nacional</w:t>
      </w:r>
      <w:r w:rsidR="00C2032E">
        <w:rPr>
          <w:rFonts w:ascii="Verdana" w:hAnsi="Verdana"/>
          <w:sz w:val="20"/>
          <w:szCs w:val="20"/>
          <w:lang w:val="es-CR"/>
        </w:rPr>
        <w:t>,</w:t>
      </w:r>
      <w:r w:rsidR="00335B92">
        <w:rPr>
          <w:rFonts w:ascii="Verdana" w:hAnsi="Verdana"/>
          <w:sz w:val="20"/>
          <w:szCs w:val="20"/>
          <w:lang w:val="es-CR"/>
        </w:rPr>
        <w:t xml:space="preserve"> reglas, protocolos y procedimientos en anticoncepción</w:t>
      </w:r>
      <w:r w:rsidR="009E1E4C" w:rsidRPr="00AC759F">
        <w:rPr>
          <w:rFonts w:ascii="Verdana" w:hAnsi="Verdana"/>
          <w:sz w:val="20"/>
          <w:szCs w:val="20"/>
          <w:lang w:val="es-CR"/>
        </w:rPr>
        <w:t>; b) derechos humanos, derechos sexuales y derechos reproductivos, y c) el del consentimiento informado</w:t>
      </w:r>
      <w:r w:rsidR="00194138">
        <w:rPr>
          <w:rFonts w:ascii="Verdana" w:hAnsi="Verdana"/>
          <w:sz w:val="20"/>
          <w:szCs w:val="20"/>
          <w:lang w:val="es-CR"/>
        </w:rPr>
        <w:t>, citando expresamente la Sentencia</w:t>
      </w:r>
      <w:r w:rsidR="007B6D53">
        <w:rPr>
          <w:rFonts w:ascii="Verdana" w:hAnsi="Verdana"/>
          <w:sz w:val="20"/>
          <w:szCs w:val="20"/>
          <w:lang w:val="es-CR"/>
        </w:rPr>
        <w:t>.</w:t>
      </w:r>
      <w:r w:rsidR="009E1E4C" w:rsidRPr="00AC759F">
        <w:rPr>
          <w:rFonts w:ascii="Verdana" w:hAnsi="Verdana"/>
          <w:sz w:val="20"/>
          <w:szCs w:val="20"/>
          <w:lang w:val="es-CR"/>
        </w:rPr>
        <w:t xml:space="preserve"> </w:t>
      </w:r>
      <w:r w:rsidR="007B6D53">
        <w:rPr>
          <w:rFonts w:ascii="Verdana" w:hAnsi="Verdana"/>
          <w:sz w:val="20"/>
          <w:szCs w:val="20"/>
          <w:lang w:val="es-CR"/>
        </w:rPr>
        <w:t>A</w:t>
      </w:r>
      <w:r w:rsidR="009E1E4C" w:rsidRPr="00AC759F">
        <w:rPr>
          <w:rFonts w:ascii="Verdana" w:hAnsi="Verdana"/>
          <w:sz w:val="20"/>
          <w:szCs w:val="20"/>
          <w:lang w:val="es-CR"/>
        </w:rPr>
        <w:t>simismo, desarrolla la prevención del embarazo en adolescentes, el espaciamiento del embarazo, la planificación familiar, la anticoncepción, los derechos de los/as usuarios/as en salud sexual y salud reproductiva</w:t>
      </w:r>
      <w:r w:rsidR="00194138">
        <w:rPr>
          <w:rStyle w:val="FootnoteReference"/>
          <w:rFonts w:ascii="Verdana" w:hAnsi="Verdana"/>
          <w:sz w:val="20"/>
          <w:szCs w:val="20"/>
          <w:lang w:val="es-CR"/>
        </w:rPr>
        <w:footnoteReference w:id="33"/>
      </w:r>
      <w:r w:rsidR="009E1E4C" w:rsidRPr="00AC759F">
        <w:rPr>
          <w:rFonts w:ascii="Verdana" w:hAnsi="Verdana"/>
          <w:sz w:val="20"/>
          <w:szCs w:val="20"/>
          <w:lang w:val="es-CR"/>
        </w:rPr>
        <w:t xml:space="preserve"> y los distintos métodos de anticoncepción, tanto los temporales como los permanentes.</w:t>
      </w:r>
      <w:bookmarkEnd w:id="18"/>
      <w:r w:rsidR="009E1E4C" w:rsidRPr="00AC759F">
        <w:rPr>
          <w:rFonts w:ascii="Verdana" w:hAnsi="Verdana"/>
          <w:sz w:val="20"/>
          <w:szCs w:val="20"/>
          <w:lang w:val="es-CR"/>
        </w:rPr>
        <w:t xml:space="preserve"> </w:t>
      </w:r>
    </w:p>
    <w:p w14:paraId="6C808A58" w14:textId="77777777" w:rsidR="00046542" w:rsidRDefault="00046542" w:rsidP="004079A5">
      <w:pPr>
        <w:pStyle w:val="ListParagraph"/>
        <w:spacing w:line="240" w:lineRule="auto"/>
        <w:ind w:left="0"/>
        <w:jc w:val="both"/>
        <w:rPr>
          <w:rFonts w:ascii="Verdana" w:hAnsi="Verdana"/>
          <w:sz w:val="20"/>
          <w:szCs w:val="20"/>
          <w:lang w:val="es-CR"/>
        </w:rPr>
      </w:pPr>
    </w:p>
    <w:p w14:paraId="17394A1E" w14:textId="77777777" w:rsidR="00EE47C9" w:rsidRDefault="00EE47C9" w:rsidP="004079A5">
      <w:pPr>
        <w:pStyle w:val="ListParagraph"/>
        <w:spacing w:line="240" w:lineRule="auto"/>
        <w:ind w:left="0"/>
        <w:jc w:val="both"/>
        <w:rPr>
          <w:rFonts w:ascii="Verdana" w:hAnsi="Verdana"/>
          <w:sz w:val="20"/>
          <w:szCs w:val="20"/>
          <w:lang w:val="es-CR"/>
        </w:rPr>
      </w:pPr>
    </w:p>
    <w:p w14:paraId="4BBDCAB3" w14:textId="5374DA96" w:rsidR="002528F5" w:rsidRPr="00AC759F" w:rsidRDefault="00283B6C" w:rsidP="00D45313">
      <w:pPr>
        <w:pStyle w:val="ListParagraph"/>
        <w:numPr>
          <w:ilvl w:val="0"/>
          <w:numId w:val="2"/>
        </w:numPr>
        <w:spacing w:line="240" w:lineRule="auto"/>
        <w:ind w:left="0" w:firstLine="0"/>
        <w:jc w:val="both"/>
        <w:rPr>
          <w:rFonts w:ascii="Verdana" w:hAnsi="Verdana"/>
          <w:sz w:val="20"/>
          <w:szCs w:val="20"/>
          <w:lang w:val="es-CR"/>
        </w:rPr>
      </w:pPr>
      <w:r>
        <w:rPr>
          <w:rFonts w:ascii="Verdana" w:hAnsi="Verdana"/>
          <w:sz w:val="20"/>
          <w:szCs w:val="20"/>
          <w:lang w:val="es-CR"/>
        </w:rPr>
        <w:lastRenderedPageBreak/>
        <w:t>Respecto de dichos folletos</w:t>
      </w:r>
      <w:r w:rsidR="009E1E4C" w:rsidRPr="00AC759F">
        <w:rPr>
          <w:rFonts w:ascii="Verdana" w:hAnsi="Verdana"/>
          <w:sz w:val="20"/>
          <w:szCs w:val="20"/>
          <w:lang w:val="es-CR"/>
        </w:rPr>
        <w:t xml:space="preserve">, </w:t>
      </w:r>
      <w:r w:rsidR="009E1E4C" w:rsidRPr="00D5333D">
        <w:rPr>
          <w:rFonts w:ascii="Verdana" w:hAnsi="Verdana"/>
          <w:i/>
          <w:sz w:val="20"/>
          <w:szCs w:val="20"/>
          <w:lang w:val="es-CR"/>
        </w:rPr>
        <w:t>los representantes</w:t>
      </w:r>
      <w:r w:rsidR="009E1E4C" w:rsidRPr="00AC759F">
        <w:rPr>
          <w:rFonts w:ascii="Verdana" w:hAnsi="Verdana"/>
          <w:sz w:val="20"/>
          <w:szCs w:val="20"/>
          <w:lang w:val="es-CR"/>
        </w:rPr>
        <w:t xml:space="preserve"> </w:t>
      </w:r>
      <w:r w:rsidR="00585FD0">
        <w:rPr>
          <w:rFonts w:ascii="Verdana" w:hAnsi="Verdana"/>
          <w:sz w:val="20"/>
          <w:szCs w:val="20"/>
          <w:lang w:val="es-CR"/>
        </w:rPr>
        <w:t xml:space="preserve">indicaron, </w:t>
      </w:r>
      <w:r w:rsidR="009E1E4C" w:rsidRPr="00AC759F">
        <w:rPr>
          <w:rFonts w:ascii="Verdana" w:hAnsi="Verdana"/>
          <w:sz w:val="20"/>
          <w:szCs w:val="20"/>
          <w:lang w:val="es-CR"/>
        </w:rPr>
        <w:t>en sus observaciones de marzo de 2018</w:t>
      </w:r>
      <w:r w:rsidR="00585FD0">
        <w:rPr>
          <w:rFonts w:ascii="Verdana" w:hAnsi="Verdana"/>
          <w:sz w:val="20"/>
          <w:szCs w:val="20"/>
          <w:lang w:val="es-CR"/>
        </w:rPr>
        <w:t>,</w:t>
      </w:r>
      <w:r w:rsidR="009E1E4C" w:rsidRPr="00AC759F">
        <w:rPr>
          <w:rFonts w:ascii="Verdana" w:hAnsi="Verdana"/>
          <w:sz w:val="20"/>
          <w:szCs w:val="20"/>
          <w:lang w:val="es-CR"/>
        </w:rPr>
        <w:t xml:space="preserve"> que se “</w:t>
      </w:r>
      <w:proofErr w:type="gramStart"/>
      <w:r w:rsidR="009E1E4C" w:rsidRPr="00AC759F">
        <w:rPr>
          <w:rFonts w:ascii="Verdana" w:hAnsi="Verdana"/>
          <w:sz w:val="20"/>
          <w:szCs w:val="20"/>
          <w:lang w:val="es-CR"/>
        </w:rPr>
        <w:t>allana[</w:t>
      </w:r>
      <w:proofErr w:type="gramEnd"/>
      <w:r w:rsidR="009E1E4C" w:rsidRPr="00AC759F">
        <w:rPr>
          <w:rFonts w:ascii="Verdana" w:hAnsi="Verdana"/>
          <w:sz w:val="20"/>
          <w:szCs w:val="20"/>
          <w:lang w:val="es-CR"/>
        </w:rPr>
        <w:t xml:space="preserve">ban] al pedido del Estado de que […se] dé por cumplida esta medida de reparación en lo que se refiere únicamente a la gestión 2018”. </w:t>
      </w:r>
      <w:r w:rsidR="00B33AF3">
        <w:rPr>
          <w:rFonts w:ascii="Verdana" w:hAnsi="Verdana"/>
          <w:sz w:val="20"/>
          <w:szCs w:val="20"/>
          <w:lang w:val="es-CR"/>
        </w:rPr>
        <w:t xml:space="preserve">La </w:t>
      </w:r>
      <w:r w:rsidR="00B33AF3" w:rsidRPr="00D5333D">
        <w:rPr>
          <w:rFonts w:ascii="Verdana" w:hAnsi="Verdana"/>
          <w:i/>
          <w:sz w:val="20"/>
          <w:szCs w:val="20"/>
          <w:lang w:val="es-CR"/>
        </w:rPr>
        <w:t>Comisión</w:t>
      </w:r>
      <w:r w:rsidR="00B33AF3">
        <w:rPr>
          <w:rFonts w:ascii="Verdana" w:hAnsi="Verdana"/>
          <w:sz w:val="20"/>
          <w:szCs w:val="20"/>
          <w:lang w:val="es-CR"/>
        </w:rPr>
        <w:t xml:space="preserve"> “tom[ó] nota de lo informado por el Estado” </w:t>
      </w:r>
      <w:r w:rsidR="002C20E8">
        <w:rPr>
          <w:rFonts w:ascii="Verdana" w:hAnsi="Verdana"/>
          <w:sz w:val="20"/>
          <w:szCs w:val="20"/>
          <w:lang w:val="es-CR"/>
        </w:rPr>
        <w:t>y</w:t>
      </w:r>
      <w:r w:rsidR="00561A64">
        <w:rPr>
          <w:rFonts w:ascii="Verdana" w:hAnsi="Verdana"/>
          <w:sz w:val="20"/>
          <w:szCs w:val="20"/>
          <w:lang w:val="es-CR"/>
        </w:rPr>
        <w:t xml:space="preserve"> “destac[ó]</w:t>
      </w:r>
      <w:r w:rsidR="00801669">
        <w:rPr>
          <w:rFonts w:ascii="Verdana" w:hAnsi="Verdana"/>
          <w:sz w:val="20"/>
          <w:szCs w:val="20"/>
          <w:lang w:val="es-CR"/>
        </w:rPr>
        <w:t xml:space="preserve"> que [los representantes] solicita[ron] el mantenimiento de la supervisión de la misma hasta 2020, dado que la Corte dio un plazo de tres años para la difusión de dicha cartilla</w:t>
      </w:r>
      <w:r w:rsidR="00561A64">
        <w:rPr>
          <w:rFonts w:ascii="Verdana" w:hAnsi="Verdana"/>
          <w:sz w:val="20"/>
          <w:szCs w:val="20"/>
          <w:lang w:val="es-CR"/>
        </w:rPr>
        <w:t>”</w:t>
      </w:r>
      <w:r w:rsidR="002C20E8">
        <w:rPr>
          <w:rFonts w:ascii="Verdana" w:hAnsi="Verdana"/>
          <w:sz w:val="20"/>
          <w:szCs w:val="20"/>
          <w:lang w:val="es-CR"/>
        </w:rPr>
        <w:t>.</w:t>
      </w:r>
      <w:r w:rsidR="00B33AF3">
        <w:rPr>
          <w:rFonts w:ascii="Verdana" w:hAnsi="Verdana"/>
          <w:sz w:val="20"/>
          <w:szCs w:val="20"/>
          <w:lang w:val="es-CR"/>
        </w:rPr>
        <w:t xml:space="preserve"> </w:t>
      </w:r>
    </w:p>
    <w:p w14:paraId="4B16055A" w14:textId="77777777" w:rsidR="002528F5" w:rsidRPr="00AC759F" w:rsidRDefault="002528F5" w:rsidP="00AC759F">
      <w:pPr>
        <w:pStyle w:val="ListParagraph"/>
        <w:spacing w:line="240" w:lineRule="auto"/>
        <w:ind w:left="0"/>
        <w:jc w:val="both"/>
        <w:rPr>
          <w:rFonts w:ascii="Verdana" w:hAnsi="Verdana"/>
          <w:sz w:val="20"/>
          <w:szCs w:val="20"/>
          <w:lang w:val="es-CR"/>
        </w:rPr>
      </w:pPr>
    </w:p>
    <w:p w14:paraId="26D81CBF" w14:textId="0BD5AD99" w:rsidR="00AB2345" w:rsidRPr="00EE5C7F" w:rsidRDefault="006B65DC" w:rsidP="00C820E0">
      <w:pPr>
        <w:pStyle w:val="ListParagraph"/>
        <w:numPr>
          <w:ilvl w:val="0"/>
          <w:numId w:val="2"/>
        </w:numPr>
        <w:spacing w:line="240" w:lineRule="auto"/>
        <w:ind w:left="0" w:firstLine="0"/>
        <w:jc w:val="both"/>
        <w:rPr>
          <w:rFonts w:ascii="Verdana" w:hAnsi="Verdana"/>
          <w:sz w:val="20"/>
          <w:szCs w:val="20"/>
          <w:lang w:val="es-CR"/>
        </w:rPr>
      </w:pPr>
      <w:bookmarkStart w:id="19" w:name="_Ref530481515"/>
      <w:r w:rsidRPr="00C820E0">
        <w:rPr>
          <w:rFonts w:ascii="Verdana" w:hAnsi="Verdana"/>
          <w:sz w:val="20"/>
          <w:szCs w:val="20"/>
          <w:lang w:val="es-CR"/>
        </w:rPr>
        <w:t>Para</w:t>
      </w:r>
      <w:r>
        <w:rPr>
          <w:rFonts w:ascii="Verdana" w:hAnsi="Verdana"/>
          <w:sz w:val="20"/>
          <w:szCs w:val="20"/>
          <w:lang w:val="es-CR"/>
        </w:rPr>
        <w:t xml:space="preserve"> valorar </w:t>
      </w:r>
      <w:r w:rsidRPr="00EE5C7F">
        <w:rPr>
          <w:rFonts w:ascii="Verdana" w:hAnsi="Verdana"/>
          <w:sz w:val="20"/>
          <w:szCs w:val="20"/>
          <w:lang w:val="es-CR"/>
        </w:rPr>
        <w:t>el cumplimiento de la presente medida de reparación, la Corte supervisará los criterios expuestos en el párrafo 341 de la Sentencia (</w:t>
      </w:r>
      <w:r w:rsidRPr="00EE5C7F">
        <w:rPr>
          <w:rFonts w:ascii="Verdana" w:hAnsi="Verdana"/>
          <w:i/>
          <w:sz w:val="20"/>
          <w:szCs w:val="20"/>
          <w:lang w:val="es-CR"/>
        </w:rPr>
        <w:t>supra</w:t>
      </w:r>
      <w:r w:rsidRPr="00EE5C7F">
        <w:rPr>
          <w:rFonts w:ascii="Verdana" w:hAnsi="Verdana"/>
          <w:sz w:val="20"/>
          <w:szCs w:val="20"/>
          <w:lang w:val="es-CR"/>
        </w:rPr>
        <w:t xml:space="preserve"> Considerando </w:t>
      </w:r>
      <w:r w:rsidR="005B095C">
        <w:rPr>
          <w:rFonts w:ascii="Verdana" w:hAnsi="Verdana"/>
          <w:sz w:val="20"/>
          <w:szCs w:val="20"/>
          <w:lang w:val="es-CR"/>
        </w:rPr>
        <w:fldChar w:fldCharType="begin"/>
      </w:r>
      <w:r w:rsidR="005B095C">
        <w:rPr>
          <w:rFonts w:ascii="Verdana" w:hAnsi="Verdana"/>
          <w:sz w:val="20"/>
          <w:szCs w:val="20"/>
          <w:lang w:val="es-CR"/>
        </w:rPr>
        <w:instrText xml:space="preserve"> REF _Ref530405982 \r \h </w:instrText>
      </w:r>
      <w:r w:rsidR="005B095C">
        <w:rPr>
          <w:rFonts w:ascii="Verdana" w:hAnsi="Verdana"/>
          <w:sz w:val="20"/>
          <w:szCs w:val="20"/>
          <w:lang w:val="es-CR"/>
        </w:rPr>
      </w:r>
      <w:r w:rsidR="005B095C">
        <w:rPr>
          <w:rFonts w:ascii="Verdana" w:hAnsi="Verdana"/>
          <w:sz w:val="20"/>
          <w:szCs w:val="20"/>
          <w:lang w:val="es-CR"/>
        </w:rPr>
        <w:fldChar w:fldCharType="separate"/>
      </w:r>
      <w:r w:rsidR="00AE1507">
        <w:rPr>
          <w:rFonts w:ascii="Verdana" w:hAnsi="Verdana"/>
          <w:sz w:val="20"/>
          <w:szCs w:val="20"/>
          <w:lang w:val="es-CR"/>
        </w:rPr>
        <w:t>16</w:t>
      </w:r>
      <w:r w:rsidR="005B095C">
        <w:rPr>
          <w:rFonts w:ascii="Verdana" w:hAnsi="Verdana"/>
          <w:sz w:val="20"/>
          <w:szCs w:val="20"/>
          <w:lang w:val="es-CR"/>
        </w:rPr>
        <w:fldChar w:fldCharType="end"/>
      </w:r>
      <w:r w:rsidRPr="00EE5C7F">
        <w:rPr>
          <w:rFonts w:ascii="Verdana" w:hAnsi="Verdana"/>
          <w:sz w:val="20"/>
          <w:szCs w:val="20"/>
          <w:lang w:val="es-CR"/>
        </w:rPr>
        <w:t>)</w:t>
      </w:r>
      <w:r w:rsidR="00C820E0" w:rsidRPr="00EE5C7F">
        <w:rPr>
          <w:rFonts w:ascii="Verdana" w:hAnsi="Verdana"/>
          <w:sz w:val="20"/>
          <w:szCs w:val="20"/>
          <w:lang w:val="es-CR"/>
        </w:rPr>
        <w:t>. En este orden de ideas, e</w:t>
      </w:r>
      <w:r w:rsidR="00AB2345" w:rsidRPr="00EE5C7F">
        <w:rPr>
          <w:rFonts w:ascii="Verdana" w:hAnsi="Verdana"/>
          <w:sz w:val="20"/>
          <w:szCs w:val="20"/>
          <w:lang w:val="es-CR"/>
        </w:rPr>
        <w:t xml:space="preserve">n cuanto al desarrollo de los derechos de las mujeres </w:t>
      </w:r>
      <w:r w:rsidR="00B85AD1" w:rsidRPr="00EE5C7F">
        <w:rPr>
          <w:rFonts w:ascii="Verdana" w:hAnsi="Verdana"/>
          <w:sz w:val="20"/>
          <w:szCs w:val="20"/>
          <w:lang w:val="es-CR"/>
        </w:rPr>
        <w:t xml:space="preserve">a </w:t>
      </w:r>
      <w:r w:rsidR="00AB2345" w:rsidRPr="00EE5C7F">
        <w:rPr>
          <w:rFonts w:ascii="Verdana" w:hAnsi="Verdana"/>
          <w:sz w:val="20"/>
          <w:szCs w:val="20"/>
          <w:lang w:val="es-CR"/>
        </w:rPr>
        <w:t>su salud sexual y reproductiva en forma sintética, clara y accesible</w:t>
      </w:r>
      <w:r w:rsidR="009D2578" w:rsidRPr="00EE5C7F">
        <w:rPr>
          <w:rFonts w:ascii="Verdana" w:hAnsi="Verdana"/>
          <w:sz w:val="20"/>
          <w:szCs w:val="20"/>
          <w:lang w:val="es-CR"/>
        </w:rPr>
        <w:t>,</w:t>
      </w:r>
      <w:r w:rsidR="00AC759F" w:rsidRPr="00EE5C7F">
        <w:rPr>
          <w:rFonts w:ascii="Verdana" w:hAnsi="Verdana"/>
          <w:sz w:val="20"/>
          <w:szCs w:val="20"/>
          <w:lang w:val="es-CR"/>
        </w:rPr>
        <w:t xml:space="preserve"> la Corte constata que </w:t>
      </w:r>
      <w:r w:rsidR="00283B6C" w:rsidRPr="00EE5C7F">
        <w:rPr>
          <w:rFonts w:ascii="Verdana" w:hAnsi="Verdana"/>
          <w:sz w:val="20"/>
          <w:szCs w:val="20"/>
          <w:lang w:val="es-CR"/>
        </w:rPr>
        <w:t xml:space="preserve">en los folletos </w:t>
      </w:r>
      <w:r w:rsidR="00AC759F" w:rsidRPr="00EE5C7F">
        <w:rPr>
          <w:rFonts w:ascii="Verdana" w:hAnsi="Verdana"/>
          <w:sz w:val="20"/>
          <w:szCs w:val="20"/>
          <w:lang w:val="es-CR"/>
        </w:rPr>
        <w:t>se desarrollan apartados relativos a salud sexual, salud reproductiva, derechos humanos</w:t>
      </w:r>
      <w:r w:rsidR="00977CC7" w:rsidRPr="00EE5C7F">
        <w:rPr>
          <w:rFonts w:ascii="Verdana" w:hAnsi="Verdana"/>
          <w:sz w:val="20"/>
          <w:szCs w:val="20"/>
          <w:lang w:val="es-CR"/>
        </w:rPr>
        <w:t>, sexuales y reproductivos</w:t>
      </w:r>
      <w:r w:rsidR="00AC759F" w:rsidRPr="00EE5C7F">
        <w:rPr>
          <w:rFonts w:ascii="Verdana" w:hAnsi="Verdana"/>
          <w:sz w:val="20"/>
          <w:szCs w:val="20"/>
          <w:lang w:val="es-CR"/>
        </w:rPr>
        <w:t xml:space="preserve"> y consentimiento informado, todos de una forma sencilla, clara y accesible</w:t>
      </w:r>
      <w:r w:rsidR="00A51D99" w:rsidRPr="00EE5C7F">
        <w:rPr>
          <w:rFonts w:ascii="Verdana" w:hAnsi="Verdana"/>
          <w:sz w:val="20"/>
          <w:szCs w:val="20"/>
          <w:lang w:val="es-CR"/>
        </w:rPr>
        <w:t>, por cuanto se considera que este extremo de la medida se ve cumplido con las publicaciones</w:t>
      </w:r>
      <w:r w:rsidR="000C5D35" w:rsidRPr="00EE5C7F">
        <w:rPr>
          <w:rFonts w:ascii="Verdana" w:hAnsi="Verdana"/>
          <w:sz w:val="20"/>
          <w:szCs w:val="20"/>
          <w:lang w:val="es-CR"/>
        </w:rPr>
        <w:t xml:space="preserve">. </w:t>
      </w:r>
      <w:r w:rsidR="00AB2345" w:rsidRPr="00EE5C7F">
        <w:rPr>
          <w:rFonts w:ascii="Verdana" w:hAnsi="Verdana"/>
          <w:sz w:val="20"/>
          <w:szCs w:val="20"/>
          <w:lang w:val="es-CR"/>
        </w:rPr>
        <w:t xml:space="preserve">Por otro lado, respecto del </w:t>
      </w:r>
      <w:r w:rsidR="000F46C3" w:rsidRPr="00EE5C7F">
        <w:rPr>
          <w:rFonts w:ascii="Verdana" w:hAnsi="Verdana"/>
          <w:sz w:val="20"/>
          <w:szCs w:val="20"/>
          <w:lang w:val="es-CR"/>
        </w:rPr>
        <w:t>desarrollo de “las obligaciones del personal médico al proveer la atención en salud sexual y reproductiva, [… con] mención específica al consentimiento previo, libre, pleno e informado”</w:t>
      </w:r>
      <w:r w:rsidR="00AB2345" w:rsidRPr="00EE5C7F">
        <w:rPr>
          <w:rFonts w:ascii="Verdana" w:hAnsi="Verdana"/>
          <w:sz w:val="20"/>
          <w:szCs w:val="20"/>
          <w:lang w:val="es-CR"/>
        </w:rPr>
        <w:t xml:space="preserve">, la Corte </w:t>
      </w:r>
      <w:r w:rsidR="00AC759F" w:rsidRPr="00EE5C7F">
        <w:rPr>
          <w:rFonts w:ascii="Verdana" w:hAnsi="Verdana"/>
          <w:sz w:val="20"/>
          <w:szCs w:val="20"/>
          <w:lang w:val="es-CR"/>
        </w:rPr>
        <w:t>constata</w:t>
      </w:r>
      <w:r w:rsidR="000C5D35" w:rsidRPr="00EE5C7F">
        <w:rPr>
          <w:rFonts w:ascii="Verdana" w:hAnsi="Verdana"/>
          <w:sz w:val="20"/>
          <w:szCs w:val="20"/>
          <w:lang w:val="es-CR"/>
        </w:rPr>
        <w:t xml:space="preserve"> que la cartilla presentada por el Estado contiene una sección denominada “Servicio de Salud de Calidad”, en la que se responde a la pregunta “¿cuáles son los derechos de los usuarios y las usuarias en salud sexual y salud reproductiva?”</w:t>
      </w:r>
      <w:r w:rsidR="000F46C3" w:rsidRPr="00EE5C7F">
        <w:rPr>
          <w:rFonts w:ascii="Verdana" w:hAnsi="Verdana"/>
          <w:sz w:val="20"/>
          <w:szCs w:val="20"/>
          <w:lang w:val="es-CR"/>
        </w:rPr>
        <w:t xml:space="preserve">, así como también consta </w:t>
      </w:r>
      <w:r w:rsidR="00FB10DC" w:rsidRPr="00EE5C7F">
        <w:rPr>
          <w:rFonts w:ascii="Verdana" w:hAnsi="Verdana"/>
          <w:sz w:val="20"/>
          <w:szCs w:val="20"/>
          <w:lang w:val="es-CR"/>
        </w:rPr>
        <w:t>de una sección que define “el derecho a la información y el derecho de decisión” y otra que desarrolla de manera amplia el concepto de “consentimiento informado” (</w:t>
      </w:r>
      <w:r w:rsidR="00FB10DC" w:rsidRPr="00EE5C7F">
        <w:rPr>
          <w:rFonts w:ascii="Verdana" w:hAnsi="Verdana"/>
          <w:i/>
          <w:sz w:val="20"/>
          <w:szCs w:val="20"/>
          <w:lang w:val="es-CR"/>
        </w:rPr>
        <w:t xml:space="preserve">supra </w:t>
      </w:r>
      <w:r w:rsidR="00FB10DC" w:rsidRPr="00EE5C7F">
        <w:rPr>
          <w:rFonts w:ascii="Verdana" w:hAnsi="Verdana"/>
          <w:sz w:val="20"/>
          <w:szCs w:val="20"/>
          <w:lang w:val="es-CR"/>
        </w:rPr>
        <w:t xml:space="preserve">Considerando </w:t>
      </w:r>
      <w:r w:rsidR="00C26BCD">
        <w:rPr>
          <w:rFonts w:ascii="Verdana" w:hAnsi="Verdana"/>
          <w:sz w:val="20"/>
          <w:szCs w:val="20"/>
          <w:lang w:val="es-CR"/>
        </w:rPr>
        <w:fldChar w:fldCharType="begin"/>
      </w:r>
      <w:r w:rsidR="00C26BCD">
        <w:rPr>
          <w:rFonts w:ascii="Verdana" w:hAnsi="Verdana"/>
          <w:sz w:val="20"/>
          <w:szCs w:val="20"/>
          <w:lang w:val="es-CR"/>
        </w:rPr>
        <w:instrText xml:space="preserve"> REF _Ref530480711 \r \h </w:instrText>
      </w:r>
      <w:r w:rsidR="00C26BCD">
        <w:rPr>
          <w:rFonts w:ascii="Verdana" w:hAnsi="Verdana"/>
          <w:sz w:val="20"/>
          <w:szCs w:val="20"/>
          <w:lang w:val="es-CR"/>
        </w:rPr>
      </w:r>
      <w:r w:rsidR="00C26BCD">
        <w:rPr>
          <w:rFonts w:ascii="Verdana" w:hAnsi="Verdana"/>
          <w:sz w:val="20"/>
          <w:szCs w:val="20"/>
          <w:lang w:val="es-CR"/>
        </w:rPr>
        <w:fldChar w:fldCharType="separate"/>
      </w:r>
      <w:r w:rsidR="00AE1507">
        <w:rPr>
          <w:rFonts w:ascii="Verdana" w:hAnsi="Verdana"/>
          <w:sz w:val="20"/>
          <w:szCs w:val="20"/>
          <w:lang w:val="es-CR"/>
        </w:rPr>
        <w:t>17</w:t>
      </w:r>
      <w:r w:rsidR="00C26BCD">
        <w:rPr>
          <w:rFonts w:ascii="Verdana" w:hAnsi="Verdana"/>
          <w:sz w:val="20"/>
          <w:szCs w:val="20"/>
          <w:lang w:val="es-CR"/>
        </w:rPr>
        <w:fldChar w:fldCharType="end"/>
      </w:r>
      <w:r w:rsidR="00FB10DC" w:rsidRPr="00EE5C7F">
        <w:rPr>
          <w:rFonts w:ascii="Verdana" w:hAnsi="Verdana"/>
          <w:sz w:val="20"/>
          <w:szCs w:val="20"/>
          <w:lang w:val="es-CR"/>
        </w:rPr>
        <w:t>)</w:t>
      </w:r>
      <w:r w:rsidR="00A51D99" w:rsidRPr="00EE5C7F">
        <w:rPr>
          <w:rFonts w:ascii="Verdana" w:hAnsi="Verdana"/>
          <w:sz w:val="20"/>
          <w:szCs w:val="20"/>
          <w:lang w:val="es-CR"/>
        </w:rPr>
        <w:t>. El desarrollo de dichos capítulos precisa las obligaciones del personal médico en la provisión de atención a la salud sexual y reproductiva, por lo que igualmente se estima cumplido este extremo de la medida</w:t>
      </w:r>
      <w:r w:rsidR="00FB10DC" w:rsidRPr="00EE5C7F">
        <w:rPr>
          <w:rFonts w:ascii="Verdana" w:hAnsi="Verdana"/>
          <w:sz w:val="20"/>
          <w:szCs w:val="20"/>
          <w:lang w:val="es-CR"/>
        </w:rPr>
        <w:t>.</w:t>
      </w:r>
      <w:bookmarkEnd w:id="19"/>
      <w:r w:rsidR="00FB10DC" w:rsidRPr="00EE5C7F">
        <w:rPr>
          <w:rFonts w:ascii="Verdana" w:hAnsi="Verdana"/>
          <w:sz w:val="20"/>
          <w:szCs w:val="20"/>
          <w:lang w:val="es-CR"/>
        </w:rPr>
        <w:t xml:space="preserve"> </w:t>
      </w:r>
    </w:p>
    <w:p w14:paraId="4BD39710" w14:textId="77777777" w:rsidR="00AB2345" w:rsidRPr="00EE5C7F" w:rsidRDefault="00AB2345" w:rsidP="00AB2345">
      <w:pPr>
        <w:pStyle w:val="ListParagraph"/>
        <w:rPr>
          <w:rFonts w:ascii="Verdana" w:hAnsi="Verdana"/>
          <w:sz w:val="20"/>
          <w:szCs w:val="20"/>
          <w:lang w:val="es-CR"/>
        </w:rPr>
      </w:pPr>
    </w:p>
    <w:p w14:paraId="0F572C30" w14:textId="2A137156" w:rsidR="00A26513" w:rsidRPr="00A51D99" w:rsidRDefault="00AB2345" w:rsidP="00A26513">
      <w:pPr>
        <w:pStyle w:val="ListParagraph"/>
        <w:numPr>
          <w:ilvl w:val="0"/>
          <w:numId w:val="2"/>
        </w:numPr>
        <w:spacing w:line="240" w:lineRule="auto"/>
        <w:ind w:left="0" w:firstLine="0"/>
        <w:jc w:val="both"/>
        <w:rPr>
          <w:rFonts w:ascii="Verdana" w:hAnsi="Verdana"/>
          <w:sz w:val="20"/>
          <w:szCs w:val="20"/>
          <w:lang w:val="es-CR"/>
        </w:rPr>
      </w:pPr>
      <w:bookmarkStart w:id="20" w:name="_Ref530481517"/>
      <w:r w:rsidRPr="00EE5C7F">
        <w:rPr>
          <w:rFonts w:ascii="Verdana" w:hAnsi="Verdana"/>
          <w:sz w:val="20"/>
          <w:szCs w:val="20"/>
          <w:lang w:val="es-CR"/>
        </w:rPr>
        <w:t xml:space="preserve">A su vez, </w:t>
      </w:r>
      <w:r w:rsidR="00AD6771" w:rsidRPr="00EE5C7F">
        <w:rPr>
          <w:rFonts w:ascii="Verdana" w:hAnsi="Verdana"/>
          <w:sz w:val="20"/>
          <w:szCs w:val="20"/>
          <w:lang w:val="es-CR"/>
        </w:rPr>
        <w:t xml:space="preserve">en cuanto a la disponibilidad en todos los hospitales públicos y privados de Bolivia, tanto para las pacientes como para el personal médico, así como en el sitio web del Ministerio de Salud y Previsión Social, el Estado </w:t>
      </w:r>
      <w:r w:rsidR="00C820E0" w:rsidRPr="00EE5C7F">
        <w:rPr>
          <w:rFonts w:ascii="Verdana" w:hAnsi="Verdana"/>
          <w:sz w:val="20"/>
          <w:szCs w:val="20"/>
          <w:lang w:val="es-CR"/>
        </w:rPr>
        <w:t>remitió una nota suscrita por el Jefe de la Unidad de Redes de Servicios de Salud y Calidad,</w:t>
      </w:r>
      <w:r w:rsidR="00AD6771" w:rsidRPr="00EE5C7F">
        <w:rPr>
          <w:rFonts w:ascii="Verdana" w:hAnsi="Verdana"/>
          <w:sz w:val="20"/>
          <w:szCs w:val="20"/>
          <w:lang w:val="es-CR"/>
        </w:rPr>
        <w:t xml:space="preserve"> </w:t>
      </w:r>
      <w:r w:rsidR="00196DD4" w:rsidRPr="00EE5C7F">
        <w:rPr>
          <w:rFonts w:ascii="Verdana" w:hAnsi="Verdana"/>
          <w:sz w:val="20"/>
          <w:szCs w:val="20"/>
          <w:lang w:val="es-CR"/>
        </w:rPr>
        <w:t xml:space="preserve">en la </w:t>
      </w:r>
      <w:r w:rsidR="00AD6771" w:rsidRPr="00EE5C7F">
        <w:rPr>
          <w:rFonts w:ascii="Verdana" w:hAnsi="Verdana"/>
          <w:sz w:val="20"/>
          <w:szCs w:val="20"/>
          <w:lang w:val="es-CR"/>
        </w:rPr>
        <w:t xml:space="preserve">que </w:t>
      </w:r>
      <w:r w:rsidR="00196DD4" w:rsidRPr="00EE5C7F">
        <w:rPr>
          <w:rFonts w:ascii="Verdana" w:hAnsi="Verdana"/>
          <w:sz w:val="20"/>
          <w:szCs w:val="20"/>
          <w:lang w:val="es-CR"/>
        </w:rPr>
        <w:t xml:space="preserve">se afirma que </w:t>
      </w:r>
      <w:r w:rsidR="00AD6771" w:rsidRPr="00EE5C7F">
        <w:rPr>
          <w:rFonts w:ascii="Verdana" w:hAnsi="Verdana"/>
          <w:sz w:val="20"/>
          <w:szCs w:val="20"/>
          <w:lang w:val="es-CR"/>
        </w:rPr>
        <w:t xml:space="preserve">dicha cartilla “será </w:t>
      </w:r>
      <w:r w:rsidR="00C26BCD">
        <w:rPr>
          <w:rFonts w:ascii="Verdana" w:hAnsi="Verdana"/>
          <w:sz w:val="20"/>
          <w:szCs w:val="20"/>
          <w:lang w:val="es-CR"/>
        </w:rPr>
        <w:t xml:space="preserve">[…] </w:t>
      </w:r>
      <w:r w:rsidR="00AD6771" w:rsidRPr="00EE5C7F">
        <w:rPr>
          <w:rFonts w:ascii="Verdana" w:hAnsi="Verdana"/>
          <w:sz w:val="20"/>
          <w:szCs w:val="20"/>
          <w:lang w:val="es-CR"/>
        </w:rPr>
        <w:t>distribuid</w:t>
      </w:r>
      <w:r w:rsidR="00A51D99" w:rsidRPr="00EE5C7F">
        <w:rPr>
          <w:rFonts w:ascii="Verdana" w:hAnsi="Verdana"/>
          <w:sz w:val="20"/>
          <w:szCs w:val="20"/>
          <w:lang w:val="es-CR"/>
        </w:rPr>
        <w:t>[a]</w:t>
      </w:r>
      <w:r w:rsidR="00C820E0" w:rsidRPr="00EE5C7F">
        <w:rPr>
          <w:rFonts w:ascii="Verdana" w:hAnsi="Verdana"/>
          <w:sz w:val="20"/>
          <w:szCs w:val="20"/>
          <w:lang w:val="es-CR"/>
        </w:rPr>
        <w:t xml:space="preserve"> a los Servicios de Salud Públicos, Seguro Social a Corto Plazo y Servicios de Salud Privados a Nivel Nacional en la presente gestión, a través de los 9 SEDES </w:t>
      </w:r>
      <w:r w:rsidR="00C26BCD">
        <w:rPr>
          <w:rFonts w:ascii="Verdana" w:hAnsi="Verdana"/>
          <w:sz w:val="20"/>
          <w:szCs w:val="20"/>
          <w:lang w:val="es-CR"/>
        </w:rPr>
        <w:t>D</w:t>
      </w:r>
      <w:r w:rsidR="00C820E0" w:rsidRPr="00EE5C7F">
        <w:rPr>
          <w:rFonts w:ascii="Verdana" w:hAnsi="Verdana"/>
          <w:sz w:val="20"/>
          <w:szCs w:val="20"/>
          <w:lang w:val="es-CR"/>
        </w:rPr>
        <w:t xml:space="preserve">epartamentales y a su vez </w:t>
      </w:r>
      <w:r w:rsidR="00C26BCD">
        <w:rPr>
          <w:rFonts w:ascii="Verdana" w:hAnsi="Verdana"/>
          <w:sz w:val="20"/>
          <w:szCs w:val="20"/>
          <w:lang w:val="es-CR"/>
        </w:rPr>
        <w:t xml:space="preserve">estos </w:t>
      </w:r>
      <w:r w:rsidR="00C820E0" w:rsidRPr="00EE5C7F">
        <w:rPr>
          <w:rFonts w:ascii="Verdana" w:hAnsi="Verdana"/>
          <w:sz w:val="20"/>
          <w:szCs w:val="20"/>
          <w:lang w:val="es-CR"/>
        </w:rPr>
        <w:t>a las Redes de Salud y posterior en los Servicios de Salud alcanzando al objetivo que es la distribución del material a la población en general y al personal de salud”</w:t>
      </w:r>
      <w:r w:rsidR="00C26BCD">
        <w:rPr>
          <w:rStyle w:val="FootnoteReference"/>
          <w:rFonts w:ascii="Verdana" w:hAnsi="Verdana"/>
          <w:sz w:val="20"/>
          <w:szCs w:val="20"/>
          <w:lang w:val="es-CR"/>
        </w:rPr>
        <w:footnoteReference w:id="34"/>
      </w:r>
      <w:r w:rsidR="004079A5" w:rsidRPr="00EE5C7F">
        <w:rPr>
          <w:rFonts w:ascii="Verdana" w:hAnsi="Verdana"/>
          <w:sz w:val="20"/>
          <w:szCs w:val="20"/>
          <w:lang w:val="es-CR"/>
        </w:rPr>
        <w:t>. No especificó el momento en el cual habría sido distribuid</w:t>
      </w:r>
      <w:r w:rsidR="00C2032E">
        <w:rPr>
          <w:rFonts w:ascii="Verdana" w:hAnsi="Verdana"/>
          <w:sz w:val="20"/>
          <w:szCs w:val="20"/>
          <w:lang w:val="es-CR"/>
        </w:rPr>
        <w:t>a</w:t>
      </w:r>
      <w:r w:rsidR="004079A5" w:rsidRPr="00EE5C7F">
        <w:rPr>
          <w:rFonts w:ascii="Verdana" w:hAnsi="Verdana"/>
          <w:sz w:val="20"/>
          <w:szCs w:val="20"/>
          <w:lang w:val="es-CR"/>
        </w:rPr>
        <w:t>.</w:t>
      </w:r>
      <w:r w:rsidR="00C820E0" w:rsidRPr="00EE5C7F">
        <w:rPr>
          <w:rFonts w:ascii="Verdana" w:hAnsi="Verdana"/>
          <w:sz w:val="20"/>
          <w:szCs w:val="20"/>
          <w:lang w:val="es-CR"/>
        </w:rPr>
        <w:t xml:space="preserve"> Igualmente, en lo que respecta al acceso a dicha cartilla o publicación a través de la Defensoría del Pueblo y los organismos de la sociedad civil vinculados al tema, en la referida nota sólo se desprende que “[e]ste material será puesto a conocimiento de la Defensoría del Pueblo”</w:t>
      </w:r>
      <w:r w:rsidR="00FA61A9" w:rsidRPr="00EE5C7F">
        <w:rPr>
          <w:rFonts w:ascii="Verdana" w:hAnsi="Verdana"/>
          <w:sz w:val="20"/>
          <w:szCs w:val="20"/>
          <w:lang w:val="es-CR"/>
        </w:rPr>
        <w:t xml:space="preserve">, sin hacer referencia a </w:t>
      </w:r>
      <w:r w:rsidR="00962F4B" w:rsidRPr="00EE5C7F">
        <w:rPr>
          <w:rFonts w:ascii="Verdana" w:hAnsi="Verdana"/>
          <w:sz w:val="20"/>
          <w:szCs w:val="20"/>
          <w:lang w:val="es-CR"/>
        </w:rPr>
        <w:t xml:space="preserve">su difusión a través </w:t>
      </w:r>
      <w:r w:rsidR="00FA61A9" w:rsidRPr="00EE5C7F">
        <w:rPr>
          <w:rFonts w:ascii="Verdana" w:hAnsi="Verdana"/>
          <w:sz w:val="20"/>
          <w:szCs w:val="20"/>
          <w:lang w:val="es-CR"/>
        </w:rPr>
        <w:t>de otros organismos de la sociedad civil</w:t>
      </w:r>
      <w:r w:rsidR="00C820E0" w:rsidRPr="00EE5C7F">
        <w:rPr>
          <w:rFonts w:ascii="Verdana" w:hAnsi="Verdana"/>
          <w:sz w:val="20"/>
          <w:szCs w:val="20"/>
          <w:lang w:val="es-CR"/>
        </w:rPr>
        <w:t xml:space="preserve">. </w:t>
      </w:r>
      <w:r w:rsidR="00A51D99" w:rsidRPr="00EE5C7F">
        <w:rPr>
          <w:rFonts w:ascii="Verdana" w:hAnsi="Verdana"/>
          <w:sz w:val="20"/>
          <w:szCs w:val="20"/>
          <w:lang w:val="es-CR"/>
        </w:rPr>
        <w:t xml:space="preserve">La Corte estima que las medidas adoptadas por Bolivia para la divulgación de la referida publicación constituyen avances para garantizar la disponibilidad de las mismas en los hospitales de Bolivia. Sin embargo, la Corte nota que </w:t>
      </w:r>
      <w:r w:rsidR="00FE4437" w:rsidRPr="00EE5C7F">
        <w:rPr>
          <w:rFonts w:ascii="Verdana" w:hAnsi="Verdana"/>
          <w:sz w:val="20"/>
          <w:szCs w:val="20"/>
          <w:lang w:val="es-CR"/>
        </w:rPr>
        <w:t xml:space="preserve">el Estado no acreditó que la cartilla estuviera disponible en la página </w:t>
      </w:r>
      <w:r w:rsidR="00FE4437" w:rsidRPr="00EE5C7F">
        <w:rPr>
          <w:rFonts w:ascii="Verdana" w:hAnsi="Verdana"/>
          <w:i/>
          <w:sz w:val="20"/>
          <w:szCs w:val="20"/>
          <w:lang w:val="es-CR"/>
        </w:rPr>
        <w:t xml:space="preserve">web </w:t>
      </w:r>
      <w:r w:rsidR="00FE4437" w:rsidRPr="00EE5C7F">
        <w:rPr>
          <w:rFonts w:ascii="Verdana" w:hAnsi="Verdana"/>
          <w:sz w:val="20"/>
          <w:szCs w:val="20"/>
          <w:lang w:val="es-CR"/>
        </w:rPr>
        <w:t>del Ministerio de Salud y Previsión Social</w:t>
      </w:r>
      <w:r w:rsidR="00A51D99" w:rsidRPr="00EE5C7F">
        <w:rPr>
          <w:rFonts w:ascii="Verdana" w:hAnsi="Verdana"/>
          <w:sz w:val="20"/>
          <w:szCs w:val="20"/>
          <w:lang w:val="es-CR"/>
        </w:rPr>
        <w:t xml:space="preserve">. Igualmente, tampoco acreditó que efectivamente se haya distribuido la cartilla </w:t>
      </w:r>
      <w:r w:rsidR="00FE4437" w:rsidRPr="00EE5C7F">
        <w:rPr>
          <w:rFonts w:ascii="Verdana" w:hAnsi="Verdana"/>
          <w:sz w:val="20"/>
          <w:szCs w:val="20"/>
          <w:lang w:val="es-CR"/>
        </w:rPr>
        <w:t>a los hospitales públicos y privados, ni a la Defensoría del Pueblo</w:t>
      </w:r>
      <w:r w:rsidR="00FE4437">
        <w:rPr>
          <w:rFonts w:ascii="Verdana" w:hAnsi="Verdana"/>
          <w:sz w:val="20"/>
          <w:szCs w:val="20"/>
          <w:lang w:val="es-CR"/>
        </w:rPr>
        <w:t xml:space="preserve"> ni a los organismos de la sociedad civil vinculados al tema</w:t>
      </w:r>
      <w:r w:rsidR="00A51D99">
        <w:rPr>
          <w:rFonts w:ascii="Verdana" w:hAnsi="Verdana"/>
          <w:sz w:val="20"/>
          <w:szCs w:val="20"/>
          <w:lang w:val="es-CR"/>
        </w:rPr>
        <w:t>, por lo que este extremo de la medida de reparación continuaría pendiente de cumplimiento.</w:t>
      </w:r>
      <w:bookmarkEnd w:id="20"/>
      <w:r w:rsidR="00A51D99">
        <w:rPr>
          <w:rFonts w:ascii="Verdana" w:hAnsi="Verdana"/>
          <w:sz w:val="20"/>
          <w:szCs w:val="20"/>
          <w:lang w:val="es-CR"/>
        </w:rPr>
        <w:t xml:space="preserve">  </w:t>
      </w:r>
    </w:p>
    <w:p w14:paraId="1E46EC14" w14:textId="77777777" w:rsidR="00A26513" w:rsidRDefault="00A26513" w:rsidP="00A26513">
      <w:pPr>
        <w:pStyle w:val="ListParagraph"/>
        <w:spacing w:line="240" w:lineRule="auto"/>
        <w:ind w:left="0"/>
        <w:jc w:val="both"/>
        <w:rPr>
          <w:rFonts w:ascii="Verdana" w:hAnsi="Verdana"/>
          <w:sz w:val="20"/>
          <w:szCs w:val="20"/>
          <w:lang w:val="es-CR"/>
        </w:rPr>
      </w:pPr>
    </w:p>
    <w:p w14:paraId="21DB8F6A" w14:textId="64359D33" w:rsidR="00AB2345" w:rsidRDefault="00AD6771" w:rsidP="00A26513">
      <w:pPr>
        <w:pStyle w:val="ListParagraph"/>
        <w:numPr>
          <w:ilvl w:val="0"/>
          <w:numId w:val="2"/>
        </w:numPr>
        <w:spacing w:line="240" w:lineRule="auto"/>
        <w:ind w:left="0" w:firstLine="0"/>
        <w:jc w:val="both"/>
        <w:rPr>
          <w:rFonts w:ascii="Verdana" w:hAnsi="Verdana"/>
          <w:sz w:val="20"/>
          <w:szCs w:val="20"/>
          <w:lang w:val="es-CR"/>
        </w:rPr>
      </w:pPr>
      <w:bookmarkStart w:id="21" w:name="_Ref530481604"/>
      <w:r w:rsidRPr="00A26513">
        <w:rPr>
          <w:rFonts w:ascii="Verdana" w:hAnsi="Verdana"/>
          <w:sz w:val="20"/>
          <w:szCs w:val="20"/>
          <w:lang w:val="es-CR"/>
        </w:rPr>
        <w:lastRenderedPageBreak/>
        <w:t xml:space="preserve">Finalmente, </w:t>
      </w:r>
      <w:r w:rsidR="00FA61A9">
        <w:rPr>
          <w:rFonts w:ascii="Verdana" w:hAnsi="Verdana"/>
          <w:sz w:val="20"/>
          <w:szCs w:val="20"/>
          <w:lang w:val="es-CR"/>
        </w:rPr>
        <w:t>respecto al</w:t>
      </w:r>
      <w:r w:rsidRPr="00A26513">
        <w:rPr>
          <w:rFonts w:ascii="Verdana" w:hAnsi="Verdana"/>
          <w:sz w:val="20"/>
          <w:szCs w:val="20"/>
          <w:lang w:val="es-CR"/>
        </w:rPr>
        <w:t xml:space="preserve"> deber de informar sobre la implementación de la medida por tres años una vez que inicie la ejecución de dicho mecanismo, el Estado </w:t>
      </w:r>
      <w:r w:rsidR="00FA61A9">
        <w:rPr>
          <w:rFonts w:ascii="Verdana" w:hAnsi="Verdana"/>
          <w:sz w:val="20"/>
          <w:szCs w:val="20"/>
          <w:lang w:val="es-CR"/>
        </w:rPr>
        <w:t>indicó</w:t>
      </w:r>
      <w:r w:rsidRPr="00A26513">
        <w:rPr>
          <w:rFonts w:ascii="Verdana" w:hAnsi="Verdana"/>
          <w:sz w:val="20"/>
          <w:szCs w:val="20"/>
          <w:lang w:val="es-CR"/>
        </w:rPr>
        <w:t xml:space="preserve"> “que la cartilla se</w:t>
      </w:r>
      <w:r w:rsidR="00FA61A9">
        <w:rPr>
          <w:rFonts w:ascii="Verdana" w:hAnsi="Verdana"/>
          <w:sz w:val="20"/>
          <w:szCs w:val="20"/>
          <w:lang w:val="es-CR"/>
        </w:rPr>
        <w:t>rá</w:t>
      </w:r>
      <w:r w:rsidRPr="00A26513">
        <w:rPr>
          <w:rFonts w:ascii="Verdana" w:hAnsi="Verdana"/>
          <w:sz w:val="20"/>
          <w:szCs w:val="20"/>
          <w:lang w:val="es-CR"/>
        </w:rPr>
        <w:t xml:space="preserve"> reimpresa en la gestión 2018 para su distribución en las gestiones 2019 y 2020”</w:t>
      </w:r>
      <w:r w:rsidR="00FA61A9">
        <w:rPr>
          <w:rStyle w:val="FootnoteReference"/>
          <w:rFonts w:ascii="Verdana" w:hAnsi="Verdana"/>
          <w:sz w:val="20"/>
          <w:szCs w:val="20"/>
          <w:lang w:val="es-CR"/>
        </w:rPr>
        <w:footnoteReference w:id="35"/>
      </w:r>
      <w:r w:rsidRPr="00A26513">
        <w:rPr>
          <w:rFonts w:ascii="Verdana" w:hAnsi="Verdana"/>
          <w:sz w:val="20"/>
          <w:szCs w:val="20"/>
          <w:lang w:val="es-CR"/>
        </w:rPr>
        <w:t>.</w:t>
      </w:r>
      <w:bookmarkEnd w:id="21"/>
      <w:r w:rsidRPr="00A26513">
        <w:rPr>
          <w:rFonts w:ascii="Verdana" w:hAnsi="Verdana"/>
          <w:sz w:val="20"/>
          <w:szCs w:val="20"/>
          <w:lang w:val="es-CR"/>
        </w:rPr>
        <w:t xml:space="preserve"> </w:t>
      </w:r>
    </w:p>
    <w:p w14:paraId="7F19884E" w14:textId="77777777" w:rsidR="00A26513" w:rsidRPr="00A26513" w:rsidRDefault="00FE4437" w:rsidP="00FE4437">
      <w:pPr>
        <w:pStyle w:val="ListParagraph"/>
        <w:tabs>
          <w:tab w:val="left" w:pos="7572"/>
        </w:tabs>
        <w:spacing w:line="240" w:lineRule="auto"/>
        <w:ind w:left="0"/>
        <w:jc w:val="both"/>
        <w:rPr>
          <w:rFonts w:ascii="Verdana" w:hAnsi="Verdana"/>
          <w:sz w:val="20"/>
          <w:szCs w:val="20"/>
          <w:lang w:val="es-CR"/>
        </w:rPr>
      </w:pPr>
      <w:r>
        <w:rPr>
          <w:rFonts w:ascii="Verdana" w:hAnsi="Verdana"/>
          <w:sz w:val="20"/>
          <w:szCs w:val="20"/>
          <w:lang w:val="es-CR"/>
        </w:rPr>
        <w:tab/>
      </w:r>
    </w:p>
    <w:p w14:paraId="56B044CA" w14:textId="26632195" w:rsidR="007F0094" w:rsidRPr="0055241C" w:rsidRDefault="00977CC7" w:rsidP="000705B6">
      <w:pPr>
        <w:pStyle w:val="ListParagraph"/>
        <w:numPr>
          <w:ilvl w:val="0"/>
          <w:numId w:val="2"/>
        </w:numPr>
        <w:spacing w:line="240" w:lineRule="auto"/>
        <w:ind w:left="0" w:firstLine="0"/>
        <w:jc w:val="both"/>
        <w:rPr>
          <w:rFonts w:ascii="Verdana" w:hAnsi="Verdana"/>
          <w:sz w:val="20"/>
          <w:szCs w:val="20"/>
          <w:lang w:val="es-CR"/>
        </w:rPr>
      </w:pPr>
      <w:bookmarkStart w:id="22" w:name="_Ref530489471"/>
      <w:r w:rsidRPr="00977CC7">
        <w:rPr>
          <w:rFonts w:ascii="Verdana" w:hAnsi="Verdana"/>
          <w:sz w:val="20"/>
          <w:szCs w:val="20"/>
          <w:lang w:val="es-CR"/>
        </w:rPr>
        <w:t xml:space="preserve">En virtud de </w:t>
      </w:r>
      <w:r w:rsidR="00D16841">
        <w:rPr>
          <w:rFonts w:ascii="Verdana" w:hAnsi="Verdana"/>
          <w:sz w:val="20"/>
          <w:szCs w:val="20"/>
          <w:lang w:val="es-CR"/>
        </w:rPr>
        <w:t>las consideraciones anteriores</w:t>
      </w:r>
      <w:r w:rsidRPr="00977CC7">
        <w:rPr>
          <w:rFonts w:ascii="Verdana" w:hAnsi="Verdana"/>
          <w:sz w:val="20"/>
          <w:szCs w:val="20"/>
          <w:lang w:val="es-CR"/>
        </w:rPr>
        <w:t>, este Tribunal valora positivamente los esfuerzos realizados por el E</w:t>
      </w:r>
      <w:r w:rsidR="00FE4437">
        <w:rPr>
          <w:rFonts w:ascii="Verdana" w:hAnsi="Verdana"/>
          <w:sz w:val="20"/>
          <w:szCs w:val="20"/>
          <w:lang w:val="es-CR"/>
        </w:rPr>
        <w:t xml:space="preserve">stado </w:t>
      </w:r>
      <w:r w:rsidR="006D1CE4">
        <w:rPr>
          <w:rFonts w:ascii="Verdana" w:hAnsi="Verdana"/>
          <w:sz w:val="20"/>
          <w:szCs w:val="20"/>
          <w:lang w:val="es-CR"/>
        </w:rPr>
        <w:t xml:space="preserve">y considera que ha </w:t>
      </w:r>
      <w:r w:rsidR="00DA20A4">
        <w:rPr>
          <w:rFonts w:ascii="Verdana" w:hAnsi="Verdana"/>
          <w:sz w:val="20"/>
          <w:szCs w:val="20"/>
          <w:lang w:val="es-CR"/>
        </w:rPr>
        <w:t>da</w:t>
      </w:r>
      <w:r w:rsidR="006D1CE4">
        <w:rPr>
          <w:rFonts w:ascii="Verdana" w:hAnsi="Verdana"/>
          <w:sz w:val="20"/>
          <w:szCs w:val="20"/>
          <w:lang w:val="es-CR"/>
        </w:rPr>
        <w:t xml:space="preserve">do </w:t>
      </w:r>
      <w:r w:rsidR="00FE4437">
        <w:rPr>
          <w:rFonts w:ascii="Verdana" w:hAnsi="Verdana"/>
          <w:sz w:val="20"/>
          <w:szCs w:val="20"/>
          <w:lang w:val="es-CR"/>
        </w:rPr>
        <w:t>cumpli</w:t>
      </w:r>
      <w:r w:rsidR="006D1CE4">
        <w:rPr>
          <w:rFonts w:ascii="Verdana" w:hAnsi="Verdana"/>
          <w:sz w:val="20"/>
          <w:szCs w:val="20"/>
          <w:lang w:val="es-CR"/>
        </w:rPr>
        <w:t>miento</w:t>
      </w:r>
      <w:r w:rsidR="00FE4437">
        <w:rPr>
          <w:rFonts w:ascii="Verdana" w:hAnsi="Verdana"/>
          <w:sz w:val="20"/>
          <w:szCs w:val="20"/>
          <w:lang w:val="es-CR"/>
        </w:rPr>
        <w:t xml:space="preserve"> </w:t>
      </w:r>
      <w:r w:rsidR="00DA20A4">
        <w:rPr>
          <w:rFonts w:ascii="Verdana" w:hAnsi="Verdana"/>
          <w:sz w:val="20"/>
          <w:szCs w:val="20"/>
          <w:lang w:val="es-CR"/>
        </w:rPr>
        <w:t xml:space="preserve">parcial </w:t>
      </w:r>
      <w:r w:rsidR="006D1CE4">
        <w:rPr>
          <w:rFonts w:ascii="Verdana" w:hAnsi="Verdana"/>
          <w:sz w:val="20"/>
          <w:szCs w:val="20"/>
          <w:lang w:val="es-CR"/>
        </w:rPr>
        <w:t xml:space="preserve">a </w:t>
      </w:r>
      <w:r w:rsidR="00FE4437">
        <w:rPr>
          <w:rFonts w:ascii="Verdana" w:hAnsi="Verdana"/>
          <w:sz w:val="20"/>
          <w:szCs w:val="20"/>
          <w:lang w:val="es-CR"/>
        </w:rPr>
        <w:t>la medida de reparación</w:t>
      </w:r>
      <w:r w:rsidR="006D1CE4">
        <w:rPr>
          <w:rFonts w:ascii="Verdana" w:hAnsi="Verdana"/>
          <w:sz w:val="20"/>
          <w:szCs w:val="20"/>
          <w:lang w:val="es-CR"/>
        </w:rPr>
        <w:t xml:space="preserve"> ordenada en el punto </w:t>
      </w:r>
      <w:r w:rsidR="006D1CE4" w:rsidRPr="00D45313">
        <w:rPr>
          <w:rFonts w:ascii="Verdana" w:hAnsi="Verdana"/>
          <w:sz w:val="20"/>
          <w:szCs w:val="20"/>
          <w:lang w:val="es-CR"/>
        </w:rPr>
        <w:t>resolutivo décimo primero</w:t>
      </w:r>
      <w:r w:rsidR="006D1CE4">
        <w:rPr>
          <w:rFonts w:ascii="Verdana" w:hAnsi="Verdana"/>
          <w:sz w:val="20"/>
          <w:szCs w:val="20"/>
          <w:lang w:val="es-CR"/>
        </w:rPr>
        <w:t xml:space="preserve"> de la Sentencia</w:t>
      </w:r>
      <w:r w:rsidR="00DA20A4">
        <w:rPr>
          <w:rFonts w:ascii="Verdana" w:hAnsi="Verdana"/>
          <w:sz w:val="20"/>
          <w:szCs w:val="20"/>
          <w:lang w:val="es-CR"/>
        </w:rPr>
        <w:t>,</w:t>
      </w:r>
      <w:r w:rsidR="00A50D24">
        <w:rPr>
          <w:rFonts w:ascii="Verdana" w:hAnsi="Verdana"/>
          <w:sz w:val="20"/>
          <w:szCs w:val="20"/>
          <w:lang w:val="es-CR"/>
        </w:rPr>
        <w:t xml:space="preserve"> en lo que respecta al diseño y </w:t>
      </w:r>
      <w:r w:rsidR="00FA61A9">
        <w:rPr>
          <w:rFonts w:ascii="Verdana" w:hAnsi="Verdana"/>
          <w:sz w:val="20"/>
          <w:szCs w:val="20"/>
          <w:lang w:val="es-CR"/>
        </w:rPr>
        <w:t xml:space="preserve">contenido de la cartilla </w:t>
      </w:r>
      <w:r w:rsidR="00A50D24">
        <w:rPr>
          <w:rFonts w:ascii="Verdana" w:hAnsi="Verdana"/>
          <w:sz w:val="20"/>
          <w:szCs w:val="20"/>
          <w:lang w:val="es-CR"/>
        </w:rPr>
        <w:t xml:space="preserve">de </w:t>
      </w:r>
      <w:r w:rsidR="00FA61A9">
        <w:rPr>
          <w:rFonts w:ascii="Verdana" w:hAnsi="Verdana"/>
          <w:sz w:val="20"/>
          <w:szCs w:val="20"/>
          <w:lang w:val="es-CR"/>
        </w:rPr>
        <w:t>derechos sexuales y reproductivos y consentimiento informado</w:t>
      </w:r>
      <w:r w:rsidR="00A50D24">
        <w:rPr>
          <w:rFonts w:ascii="Verdana" w:hAnsi="Verdana"/>
          <w:sz w:val="20"/>
          <w:szCs w:val="20"/>
          <w:lang w:val="es-CR"/>
        </w:rPr>
        <w:t>, pues satisface los extremos requeridos en la Sentencia</w:t>
      </w:r>
      <w:r w:rsidR="00FE4437">
        <w:rPr>
          <w:rFonts w:ascii="Verdana" w:hAnsi="Verdana"/>
          <w:sz w:val="20"/>
          <w:szCs w:val="20"/>
          <w:lang w:val="es-CR"/>
        </w:rPr>
        <w:t xml:space="preserve"> (</w:t>
      </w:r>
      <w:r w:rsidR="00FE4437">
        <w:rPr>
          <w:rFonts w:ascii="Verdana" w:hAnsi="Verdana"/>
          <w:i/>
          <w:sz w:val="20"/>
          <w:szCs w:val="20"/>
          <w:lang w:val="es-CR"/>
        </w:rPr>
        <w:t>supra</w:t>
      </w:r>
      <w:r w:rsidR="00FE4437">
        <w:rPr>
          <w:rFonts w:ascii="Verdana" w:hAnsi="Verdana"/>
          <w:sz w:val="20"/>
          <w:szCs w:val="20"/>
          <w:lang w:val="es-CR"/>
        </w:rPr>
        <w:t xml:space="preserve"> Considerando</w:t>
      </w:r>
      <w:r w:rsidR="000705B6">
        <w:rPr>
          <w:rFonts w:ascii="Verdana" w:hAnsi="Verdana"/>
          <w:sz w:val="20"/>
          <w:szCs w:val="20"/>
          <w:lang w:val="es-CR"/>
        </w:rPr>
        <w:t>s</w:t>
      </w:r>
      <w:r w:rsidR="00FE4437">
        <w:rPr>
          <w:rFonts w:ascii="Verdana" w:hAnsi="Verdana"/>
          <w:sz w:val="20"/>
          <w:szCs w:val="20"/>
          <w:lang w:val="es-CR"/>
        </w:rPr>
        <w:t xml:space="preserve"> </w:t>
      </w:r>
      <w:r w:rsidR="000705B6">
        <w:rPr>
          <w:rFonts w:ascii="Verdana" w:hAnsi="Verdana"/>
          <w:sz w:val="20"/>
          <w:szCs w:val="20"/>
          <w:lang w:val="es-CR"/>
        </w:rPr>
        <w:fldChar w:fldCharType="begin"/>
      </w:r>
      <w:r w:rsidR="000705B6">
        <w:rPr>
          <w:rFonts w:ascii="Verdana" w:hAnsi="Verdana"/>
          <w:sz w:val="20"/>
          <w:szCs w:val="20"/>
          <w:lang w:val="es-CR"/>
        </w:rPr>
        <w:instrText xml:space="preserve"> REF _Ref530481515 \r \h </w:instrText>
      </w:r>
      <w:r w:rsidR="000705B6">
        <w:rPr>
          <w:rFonts w:ascii="Verdana" w:hAnsi="Verdana"/>
          <w:sz w:val="20"/>
          <w:szCs w:val="20"/>
          <w:lang w:val="es-CR"/>
        </w:rPr>
      </w:r>
      <w:r w:rsidR="000705B6">
        <w:rPr>
          <w:rFonts w:ascii="Verdana" w:hAnsi="Verdana"/>
          <w:sz w:val="20"/>
          <w:szCs w:val="20"/>
          <w:lang w:val="es-CR"/>
        </w:rPr>
        <w:fldChar w:fldCharType="separate"/>
      </w:r>
      <w:r w:rsidR="00AE1507">
        <w:rPr>
          <w:rFonts w:ascii="Verdana" w:hAnsi="Verdana"/>
          <w:sz w:val="20"/>
          <w:szCs w:val="20"/>
          <w:lang w:val="es-CR"/>
        </w:rPr>
        <w:t>19</w:t>
      </w:r>
      <w:r w:rsidR="000705B6">
        <w:rPr>
          <w:rFonts w:ascii="Verdana" w:hAnsi="Verdana"/>
          <w:sz w:val="20"/>
          <w:szCs w:val="20"/>
          <w:lang w:val="es-CR"/>
        </w:rPr>
        <w:fldChar w:fldCharType="end"/>
      </w:r>
      <w:r w:rsidR="000705B6">
        <w:rPr>
          <w:rFonts w:ascii="Verdana" w:hAnsi="Verdana"/>
          <w:sz w:val="20"/>
          <w:szCs w:val="20"/>
          <w:lang w:val="es-CR"/>
        </w:rPr>
        <w:t xml:space="preserve"> y </w:t>
      </w:r>
      <w:r w:rsidR="000705B6">
        <w:rPr>
          <w:rFonts w:ascii="Verdana" w:hAnsi="Verdana"/>
          <w:sz w:val="20"/>
          <w:szCs w:val="20"/>
          <w:lang w:val="es-CR"/>
        </w:rPr>
        <w:fldChar w:fldCharType="begin"/>
      </w:r>
      <w:r w:rsidR="000705B6">
        <w:rPr>
          <w:rFonts w:ascii="Verdana" w:hAnsi="Verdana"/>
          <w:sz w:val="20"/>
          <w:szCs w:val="20"/>
          <w:lang w:val="es-CR"/>
        </w:rPr>
        <w:instrText xml:space="preserve"> REF _Ref530481517 \r \h </w:instrText>
      </w:r>
      <w:r w:rsidR="000705B6">
        <w:rPr>
          <w:rFonts w:ascii="Verdana" w:hAnsi="Verdana"/>
          <w:sz w:val="20"/>
          <w:szCs w:val="20"/>
          <w:lang w:val="es-CR"/>
        </w:rPr>
      </w:r>
      <w:r w:rsidR="000705B6">
        <w:rPr>
          <w:rFonts w:ascii="Verdana" w:hAnsi="Verdana"/>
          <w:sz w:val="20"/>
          <w:szCs w:val="20"/>
          <w:lang w:val="es-CR"/>
        </w:rPr>
        <w:fldChar w:fldCharType="separate"/>
      </w:r>
      <w:r w:rsidR="00AE1507">
        <w:rPr>
          <w:rFonts w:ascii="Verdana" w:hAnsi="Verdana"/>
          <w:sz w:val="20"/>
          <w:szCs w:val="20"/>
          <w:lang w:val="es-CR"/>
        </w:rPr>
        <w:t>20</w:t>
      </w:r>
      <w:r w:rsidR="000705B6">
        <w:rPr>
          <w:rFonts w:ascii="Verdana" w:hAnsi="Verdana"/>
          <w:sz w:val="20"/>
          <w:szCs w:val="20"/>
          <w:lang w:val="es-CR"/>
        </w:rPr>
        <w:fldChar w:fldCharType="end"/>
      </w:r>
      <w:r w:rsidR="00FE4437">
        <w:rPr>
          <w:rFonts w:ascii="Verdana" w:hAnsi="Verdana"/>
          <w:sz w:val="20"/>
          <w:szCs w:val="20"/>
          <w:lang w:val="es-CR"/>
        </w:rPr>
        <w:t>)</w:t>
      </w:r>
      <w:r w:rsidR="00A50D24">
        <w:rPr>
          <w:rFonts w:ascii="Verdana" w:hAnsi="Verdana"/>
          <w:sz w:val="20"/>
          <w:szCs w:val="20"/>
          <w:lang w:val="es-CR"/>
        </w:rPr>
        <w:t>, y ha dado pasos en lo que respecta a su disponibilidad y difusión (</w:t>
      </w:r>
      <w:r w:rsidR="00A50D24" w:rsidRPr="00A50D24">
        <w:rPr>
          <w:rFonts w:ascii="Verdana" w:hAnsi="Verdana"/>
          <w:i/>
          <w:sz w:val="20"/>
          <w:szCs w:val="20"/>
          <w:lang w:val="es-CR"/>
        </w:rPr>
        <w:t>supra</w:t>
      </w:r>
      <w:r w:rsidR="00A50D24">
        <w:rPr>
          <w:rFonts w:ascii="Verdana" w:hAnsi="Verdana"/>
          <w:sz w:val="20"/>
          <w:szCs w:val="20"/>
          <w:lang w:val="es-CR"/>
        </w:rPr>
        <w:t xml:space="preserve"> Considerandos </w:t>
      </w:r>
      <w:r w:rsidR="000705B6">
        <w:rPr>
          <w:rFonts w:ascii="Verdana" w:hAnsi="Verdana"/>
          <w:sz w:val="20"/>
          <w:szCs w:val="20"/>
          <w:lang w:val="es-CR"/>
        </w:rPr>
        <w:fldChar w:fldCharType="begin"/>
      </w:r>
      <w:r w:rsidR="000705B6">
        <w:rPr>
          <w:rFonts w:ascii="Verdana" w:hAnsi="Verdana"/>
          <w:sz w:val="20"/>
          <w:szCs w:val="20"/>
          <w:lang w:val="es-CR"/>
        </w:rPr>
        <w:instrText xml:space="preserve"> REF _Ref530481517 \r \h </w:instrText>
      </w:r>
      <w:r w:rsidR="000705B6">
        <w:rPr>
          <w:rFonts w:ascii="Verdana" w:hAnsi="Verdana"/>
          <w:sz w:val="20"/>
          <w:szCs w:val="20"/>
          <w:lang w:val="es-CR"/>
        </w:rPr>
      </w:r>
      <w:r w:rsidR="000705B6">
        <w:rPr>
          <w:rFonts w:ascii="Verdana" w:hAnsi="Verdana"/>
          <w:sz w:val="20"/>
          <w:szCs w:val="20"/>
          <w:lang w:val="es-CR"/>
        </w:rPr>
        <w:fldChar w:fldCharType="separate"/>
      </w:r>
      <w:r w:rsidR="00AE1507">
        <w:rPr>
          <w:rFonts w:ascii="Verdana" w:hAnsi="Verdana"/>
          <w:sz w:val="20"/>
          <w:szCs w:val="20"/>
          <w:lang w:val="es-CR"/>
        </w:rPr>
        <w:t>20</w:t>
      </w:r>
      <w:r w:rsidR="000705B6">
        <w:rPr>
          <w:rFonts w:ascii="Verdana" w:hAnsi="Verdana"/>
          <w:sz w:val="20"/>
          <w:szCs w:val="20"/>
          <w:lang w:val="es-CR"/>
        </w:rPr>
        <w:fldChar w:fldCharType="end"/>
      </w:r>
      <w:r w:rsidR="00A50D24">
        <w:rPr>
          <w:rFonts w:ascii="Verdana" w:hAnsi="Verdana"/>
          <w:sz w:val="20"/>
          <w:szCs w:val="20"/>
          <w:lang w:val="es-CR"/>
        </w:rPr>
        <w:t>)</w:t>
      </w:r>
      <w:r w:rsidR="00FA61A9">
        <w:rPr>
          <w:rFonts w:ascii="Verdana" w:hAnsi="Verdana"/>
          <w:sz w:val="20"/>
          <w:szCs w:val="20"/>
          <w:lang w:val="es-CR"/>
        </w:rPr>
        <w:t>.</w:t>
      </w:r>
      <w:r w:rsidR="003A5581" w:rsidRPr="00977CC7">
        <w:rPr>
          <w:rFonts w:ascii="Verdana" w:hAnsi="Verdana"/>
          <w:sz w:val="20"/>
          <w:szCs w:val="20"/>
          <w:lang w:val="es-CR"/>
        </w:rPr>
        <w:t xml:space="preserve"> </w:t>
      </w:r>
      <w:r w:rsidR="00A50D24">
        <w:rPr>
          <w:rFonts w:ascii="Verdana" w:hAnsi="Verdana"/>
          <w:sz w:val="20"/>
          <w:szCs w:val="20"/>
          <w:lang w:val="es-CR"/>
        </w:rPr>
        <w:t xml:space="preserve"> </w:t>
      </w:r>
      <w:r w:rsidR="00231720" w:rsidRPr="0055241C">
        <w:rPr>
          <w:rFonts w:ascii="Verdana" w:hAnsi="Verdana"/>
          <w:sz w:val="20"/>
          <w:szCs w:val="20"/>
          <w:lang w:val="es-CR"/>
        </w:rPr>
        <w:t xml:space="preserve">Para poder </w:t>
      </w:r>
      <w:r w:rsidR="00C2032E" w:rsidRPr="0055241C">
        <w:rPr>
          <w:rFonts w:ascii="Verdana" w:hAnsi="Verdana"/>
          <w:sz w:val="20"/>
          <w:szCs w:val="20"/>
          <w:lang w:val="es-CR"/>
        </w:rPr>
        <w:t>valorar el cumplimiento total de la presente medida</w:t>
      </w:r>
      <w:r w:rsidR="00231720" w:rsidRPr="0055241C">
        <w:rPr>
          <w:rFonts w:ascii="Verdana" w:hAnsi="Verdana"/>
          <w:sz w:val="20"/>
          <w:szCs w:val="20"/>
          <w:lang w:val="es-CR"/>
        </w:rPr>
        <w:t>, l</w:t>
      </w:r>
      <w:r w:rsidR="00A50D24" w:rsidRPr="0055241C">
        <w:rPr>
          <w:rFonts w:ascii="Verdana" w:hAnsi="Verdana"/>
          <w:sz w:val="20"/>
          <w:szCs w:val="20"/>
          <w:lang w:val="es-CR"/>
        </w:rPr>
        <w:t xml:space="preserve">a Corte </w:t>
      </w:r>
      <w:r w:rsidR="00E66314" w:rsidRPr="0055241C">
        <w:rPr>
          <w:rFonts w:ascii="Verdana" w:hAnsi="Verdana"/>
          <w:sz w:val="20"/>
          <w:szCs w:val="20"/>
          <w:lang w:val="es-CR"/>
        </w:rPr>
        <w:t xml:space="preserve">considera pertinente solicitar al Estado presentar información </w:t>
      </w:r>
      <w:r w:rsidR="00962F4B" w:rsidRPr="0055241C">
        <w:rPr>
          <w:rFonts w:ascii="Verdana" w:hAnsi="Verdana"/>
          <w:sz w:val="20"/>
          <w:szCs w:val="20"/>
          <w:lang w:val="es-CR"/>
        </w:rPr>
        <w:t xml:space="preserve">actualizada </w:t>
      </w:r>
      <w:r w:rsidR="00E66314" w:rsidRPr="0055241C">
        <w:rPr>
          <w:rFonts w:ascii="Verdana" w:hAnsi="Verdana"/>
          <w:sz w:val="20"/>
          <w:szCs w:val="20"/>
          <w:lang w:val="es-CR"/>
        </w:rPr>
        <w:t>respecto de</w:t>
      </w:r>
      <w:r w:rsidR="00E14C56" w:rsidRPr="0055241C">
        <w:rPr>
          <w:rFonts w:ascii="Verdana" w:hAnsi="Verdana"/>
          <w:sz w:val="20"/>
          <w:szCs w:val="20"/>
          <w:lang w:val="es-CR"/>
        </w:rPr>
        <w:t>:</w:t>
      </w:r>
      <w:r w:rsidR="00E66314" w:rsidRPr="0055241C">
        <w:rPr>
          <w:rFonts w:ascii="Verdana" w:hAnsi="Verdana"/>
          <w:sz w:val="20"/>
          <w:szCs w:val="20"/>
          <w:lang w:val="es-CR"/>
        </w:rPr>
        <w:t xml:space="preserve"> (i) la publicación de la cartilla en la página web del Ministerio de Salud y Previsión Social</w:t>
      </w:r>
      <w:r w:rsidR="00E14C56" w:rsidRPr="0055241C">
        <w:rPr>
          <w:rFonts w:ascii="Verdana" w:hAnsi="Verdana"/>
          <w:sz w:val="20"/>
          <w:szCs w:val="20"/>
          <w:lang w:val="es-CR"/>
        </w:rPr>
        <w:t xml:space="preserve">; (ii) la distribución de la </w:t>
      </w:r>
      <w:r w:rsidR="00A50D24" w:rsidRPr="0055241C">
        <w:rPr>
          <w:rFonts w:ascii="Verdana" w:hAnsi="Verdana"/>
          <w:sz w:val="20"/>
          <w:szCs w:val="20"/>
          <w:lang w:val="es-CR"/>
        </w:rPr>
        <w:t>c</w:t>
      </w:r>
      <w:r w:rsidR="00E14C56" w:rsidRPr="0055241C">
        <w:rPr>
          <w:rFonts w:ascii="Verdana" w:hAnsi="Verdana"/>
          <w:sz w:val="20"/>
          <w:szCs w:val="20"/>
          <w:lang w:val="es-CR"/>
        </w:rPr>
        <w:t>artilla</w:t>
      </w:r>
      <w:r w:rsidR="00962F4B" w:rsidRPr="0055241C">
        <w:rPr>
          <w:rFonts w:ascii="Verdana" w:hAnsi="Verdana"/>
          <w:sz w:val="20"/>
          <w:szCs w:val="20"/>
          <w:lang w:val="es-CR"/>
        </w:rPr>
        <w:t xml:space="preserve"> para asegurar la disponibilidad a pacientes y personal médico (</w:t>
      </w:r>
      <w:r w:rsidR="00962F4B" w:rsidRPr="0055241C">
        <w:rPr>
          <w:rFonts w:ascii="Verdana" w:hAnsi="Verdana"/>
          <w:i/>
          <w:sz w:val="20"/>
          <w:szCs w:val="20"/>
          <w:lang w:val="es-CR"/>
        </w:rPr>
        <w:t>supra</w:t>
      </w:r>
      <w:r w:rsidR="00962F4B" w:rsidRPr="0055241C">
        <w:rPr>
          <w:rFonts w:ascii="Verdana" w:hAnsi="Verdana"/>
          <w:sz w:val="20"/>
          <w:szCs w:val="20"/>
          <w:lang w:val="es-CR"/>
        </w:rPr>
        <w:t xml:space="preserve"> Considerando </w:t>
      </w:r>
      <w:r w:rsidR="000705B6" w:rsidRPr="0055241C">
        <w:rPr>
          <w:rFonts w:ascii="Verdana" w:hAnsi="Verdana"/>
          <w:sz w:val="20"/>
          <w:szCs w:val="20"/>
          <w:lang w:val="es-CR"/>
        </w:rPr>
        <w:fldChar w:fldCharType="begin"/>
      </w:r>
      <w:r w:rsidR="000705B6" w:rsidRPr="0055241C">
        <w:rPr>
          <w:rFonts w:ascii="Verdana" w:hAnsi="Verdana"/>
          <w:sz w:val="20"/>
          <w:szCs w:val="20"/>
          <w:lang w:val="es-CR"/>
        </w:rPr>
        <w:instrText xml:space="preserve"> REF _Ref530481517 \r \h </w:instrText>
      </w:r>
      <w:r w:rsidR="0055241C">
        <w:rPr>
          <w:rFonts w:ascii="Verdana" w:hAnsi="Verdana"/>
          <w:sz w:val="20"/>
          <w:szCs w:val="20"/>
          <w:lang w:val="es-CR"/>
        </w:rPr>
        <w:instrText xml:space="preserve"> \* MERGEFORMAT </w:instrText>
      </w:r>
      <w:r w:rsidR="000705B6" w:rsidRPr="0055241C">
        <w:rPr>
          <w:rFonts w:ascii="Verdana" w:hAnsi="Verdana"/>
          <w:sz w:val="20"/>
          <w:szCs w:val="20"/>
          <w:lang w:val="es-CR"/>
        </w:rPr>
      </w:r>
      <w:r w:rsidR="000705B6" w:rsidRPr="0055241C">
        <w:rPr>
          <w:rFonts w:ascii="Verdana" w:hAnsi="Verdana"/>
          <w:sz w:val="20"/>
          <w:szCs w:val="20"/>
          <w:lang w:val="es-CR"/>
        </w:rPr>
        <w:fldChar w:fldCharType="separate"/>
      </w:r>
      <w:r w:rsidR="00AE1507">
        <w:rPr>
          <w:rFonts w:ascii="Verdana" w:hAnsi="Verdana"/>
          <w:sz w:val="20"/>
          <w:szCs w:val="20"/>
          <w:lang w:val="es-CR"/>
        </w:rPr>
        <w:t>20</w:t>
      </w:r>
      <w:r w:rsidR="000705B6" w:rsidRPr="0055241C">
        <w:rPr>
          <w:rFonts w:ascii="Verdana" w:hAnsi="Verdana"/>
          <w:sz w:val="20"/>
          <w:szCs w:val="20"/>
          <w:lang w:val="es-CR"/>
        </w:rPr>
        <w:fldChar w:fldCharType="end"/>
      </w:r>
      <w:r w:rsidR="00962F4B" w:rsidRPr="0055241C">
        <w:rPr>
          <w:rFonts w:ascii="Verdana" w:hAnsi="Verdana"/>
          <w:sz w:val="20"/>
          <w:szCs w:val="20"/>
          <w:lang w:val="es-CR"/>
        </w:rPr>
        <w:t>)</w:t>
      </w:r>
      <w:r w:rsidR="00E14C56" w:rsidRPr="0055241C">
        <w:rPr>
          <w:rFonts w:ascii="Verdana" w:hAnsi="Verdana"/>
          <w:sz w:val="20"/>
          <w:szCs w:val="20"/>
          <w:lang w:val="es-CR"/>
        </w:rPr>
        <w:t xml:space="preserve">; (iii) </w:t>
      </w:r>
      <w:r w:rsidR="00962F4B" w:rsidRPr="0055241C">
        <w:rPr>
          <w:rFonts w:ascii="Verdana" w:hAnsi="Verdana"/>
          <w:sz w:val="20"/>
          <w:szCs w:val="20"/>
          <w:lang w:val="es-CR"/>
        </w:rPr>
        <w:t xml:space="preserve">la difusión de la cartilla a </w:t>
      </w:r>
      <w:r w:rsidR="00E14C56" w:rsidRPr="0055241C">
        <w:rPr>
          <w:rFonts w:ascii="Verdana" w:hAnsi="Verdana"/>
          <w:sz w:val="20"/>
          <w:szCs w:val="20"/>
          <w:lang w:val="es-CR"/>
        </w:rPr>
        <w:t>la Defensoría del Pueblo</w:t>
      </w:r>
      <w:r w:rsidR="00FA61A9" w:rsidRPr="0055241C">
        <w:rPr>
          <w:rFonts w:ascii="Verdana" w:hAnsi="Verdana"/>
          <w:sz w:val="20"/>
          <w:szCs w:val="20"/>
          <w:lang w:val="es-CR"/>
        </w:rPr>
        <w:t xml:space="preserve"> y otras organizaciones de la sociedad civil</w:t>
      </w:r>
      <w:r w:rsidR="00C2032E" w:rsidRPr="0055241C">
        <w:rPr>
          <w:rFonts w:ascii="Verdana" w:hAnsi="Verdana"/>
          <w:sz w:val="20"/>
          <w:szCs w:val="20"/>
          <w:lang w:val="es-CR"/>
        </w:rPr>
        <w:t xml:space="preserve">, y iv) </w:t>
      </w:r>
      <w:bookmarkEnd w:id="22"/>
      <w:r w:rsidR="00C2032E" w:rsidRPr="0055241C">
        <w:rPr>
          <w:rFonts w:ascii="Verdana" w:hAnsi="Verdana"/>
          <w:sz w:val="20"/>
          <w:szCs w:val="20"/>
          <w:lang w:val="es-CR"/>
        </w:rPr>
        <w:t>sobre la reimpresión y distribución de la cartilla en los años 2019 y 2020 (</w:t>
      </w:r>
      <w:r w:rsidR="00C2032E" w:rsidRPr="0055241C">
        <w:rPr>
          <w:rFonts w:ascii="Verdana" w:hAnsi="Verdana"/>
          <w:i/>
          <w:sz w:val="20"/>
          <w:szCs w:val="20"/>
          <w:lang w:val="es-CR"/>
        </w:rPr>
        <w:t>supra</w:t>
      </w:r>
      <w:r w:rsidR="00C2032E" w:rsidRPr="0055241C">
        <w:rPr>
          <w:rFonts w:ascii="Verdana" w:hAnsi="Verdana"/>
          <w:sz w:val="20"/>
          <w:szCs w:val="20"/>
          <w:lang w:val="es-CR"/>
        </w:rPr>
        <w:t xml:space="preserve"> Considerando 21)</w:t>
      </w:r>
      <w:r w:rsidR="00231720" w:rsidRPr="0055241C">
        <w:rPr>
          <w:rFonts w:ascii="Verdana" w:hAnsi="Verdana"/>
          <w:sz w:val="20"/>
          <w:szCs w:val="20"/>
          <w:lang w:val="es-CR"/>
        </w:rPr>
        <w:t>.</w:t>
      </w:r>
    </w:p>
    <w:p w14:paraId="3A8D6DCB" w14:textId="77777777" w:rsidR="00B85AD1" w:rsidRDefault="00C8234D" w:rsidP="00B85AD1">
      <w:pPr>
        <w:pStyle w:val="Heading1"/>
        <w:numPr>
          <w:ilvl w:val="0"/>
          <w:numId w:val="3"/>
        </w:numPr>
        <w:rPr>
          <w:rFonts w:ascii="Verdana" w:hAnsi="Verdana"/>
          <w:color w:val="auto"/>
          <w:sz w:val="20"/>
          <w:szCs w:val="20"/>
          <w:lang w:val="es-CR"/>
        </w:rPr>
      </w:pPr>
      <w:bookmarkStart w:id="23" w:name="_Toc530407695"/>
      <w:r w:rsidRPr="00C8234D">
        <w:rPr>
          <w:rFonts w:ascii="Verdana" w:hAnsi="Verdana"/>
          <w:color w:val="auto"/>
          <w:sz w:val="20"/>
          <w:szCs w:val="20"/>
          <w:lang w:val="es-CR"/>
        </w:rPr>
        <w:t>Programas de educación y formación dirigidos a profesionales del sistema de salud y seguridad social</w:t>
      </w:r>
      <w:bookmarkEnd w:id="23"/>
    </w:p>
    <w:p w14:paraId="5EB9D691" w14:textId="77777777" w:rsidR="00B85AD1" w:rsidRPr="00B85AD1" w:rsidRDefault="00B85AD1" w:rsidP="00B85AD1">
      <w:pPr>
        <w:rPr>
          <w:lang w:val="es-CR"/>
        </w:rPr>
      </w:pPr>
    </w:p>
    <w:p w14:paraId="1A696001" w14:textId="77777777" w:rsidR="00C8234D" w:rsidRPr="00C8234D" w:rsidRDefault="00C8234D" w:rsidP="00CB0AE8">
      <w:pPr>
        <w:ind w:firstLine="720"/>
        <w:rPr>
          <w:rFonts w:ascii="Verdana" w:hAnsi="Verdana"/>
          <w:i/>
          <w:sz w:val="20"/>
          <w:szCs w:val="20"/>
          <w:lang w:val="es-CR"/>
        </w:rPr>
      </w:pPr>
      <w:r>
        <w:rPr>
          <w:rFonts w:ascii="Verdana" w:hAnsi="Verdana"/>
          <w:i/>
          <w:sz w:val="20"/>
          <w:szCs w:val="20"/>
          <w:lang w:val="es-CR"/>
        </w:rPr>
        <w:t>C.1. Medida ordenada por la Corte</w:t>
      </w:r>
    </w:p>
    <w:p w14:paraId="5794CC58" w14:textId="77777777" w:rsidR="00C8234D" w:rsidRDefault="00C8234D" w:rsidP="00C8234D">
      <w:pPr>
        <w:pStyle w:val="ListParagraph"/>
        <w:numPr>
          <w:ilvl w:val="0"/>
          <w:numId w:val="2"/>
        </w:numPr>
        <w:spacing w:line="240" w:lineRule="auto"/>
        <w:ind w:left="0" w:firstLine="0"/>
        <w:jc w:val="both"/>
        <w:rPr>
          <w:rFonts w:ascii="Verdana" w:hAnsi="Verdana"/>
          <w:sz w:val="20"/>
          <w:szCs w:val="20"/>
          <w:lang w:val="es-CR"/>
        </w:rPr>
      </w:pPr>
      <w:bookmarkStart w:id="24" w:name="_Ref530405986"/>
      <w:r w:rsidRPr="00C8234D">
        <w:rPr>
          <w:rFonts w:ascii="Verdana" w:hAnsi="Verdana"/>
          <w:sz w:val="20"/>
          <w:szCs w:val="20"/>
          <w:lang w:val="es-CR"/>
        </w:rPr>
        <w:t>En el punto resolutivo décimo segundo y en el párrafo 342 de la Sentencia, la Corte ordenó al Estado el deber de “adoptar programas de educación y formación permanentes dirigidos a los estudiantes de medicina y profesionales médicos, así como a todo el personal que conforma el sistema de salud y seguridad social, sobre temas de consentimiento informado, discriminación basada en género y estereotipos, y violencia de género”</w:t>
      </w:r>
      <w:r>
        <w:rPr>
          <w:rFonts w:ascii="Verdana" w:hAnsi="Verdana"/>
          <w:sz w:val="20"/>
          <w:szCs w:val="20"/>
          <w:lang w:val="es-CR"/>
        </w:rPr>
        <w:t>.</w:t>
      </w:r>
      <w:bookmarkEnd w:id="24"/>
      <w:r w:rsidR="00B2012B">
        <w:rPr>
          <w:rFonts w:ascii="Verdana" w:hAnsi="Verdana"/>
          <w:sz w:val="20"/>
          <w:szCs w:val="20"/>
          <w:lang w:val="es-CR"/>
        </w:rPr>
        <w:t xml:space="preserve"> </w:t>
      </w:r>
    </w:p>
    <w:p w14:paraId="02703ED7" w14:textId="77777777" w:rsidR="00CB0AE8" w:rsidRPr="00CB0AE8" w:rsidRDefault="00CB0AE8" w:rsidP="00CB0AE8">
      <w:pPr>
        <w:spacing w:line="240" w:lineRule="auto"/>
        <w:ind w:left="720"/>
        <w:jc w:val="both"/>
        <w:rPr>
          <w:rFonts w:ascii="Verdana" w:hAnsi="Verdana"/>
          <w:i/>
          <w:sz w:val="20"/>
          <w:szCs w:val="20"/>
          <w:lang w:val="es-CR"/>
        </w:rPr>
      </w:pPr>
      <w:r>
        <w:rPr>
          <w:rFonts w:ascii="Verdana" w:hAnsi="Verdana"/>
          <w:i/>
          <w:sz w:val="20"/>
          <w:szCs w:val="20"/>
          <w:lang w:val="es-CR"/>
        </w:rPr>
        <w:t>C.2. Consideraciones de la Corte</w:t>
      </w:r>
    </w:p>
    <w:p w14:paraId="27275CAE" w14:textId="5B5D2C0E" w:rsidR="00B2012B" w:rsidRDefault="00B2012B" w:rsidP="00F11A3B">
      <w:pPr>
        <w:pStyle w:val="ListParagraph"/>
        <w:numPr>
          <w:ilvl w:val="0"/>
          <w:numId w:val="2"/>
        </w:numPr>
        <w:spacing w:line="240" w:lineRule="auto"/>
        <w:ind w:left="0" w:firstLine="0"/>
        <w:jc w:val="both"/>
        <w:rPr>
          <w:rFonts w:ascii="Verdana" w:hAnsi="Verdana"/>
          <w:sz w:val="20"/>
          <w:szCs w:val="20"/>
          <w:lang w:val="es-CR"/>
        </w:rPr>
      </w:pPr>
      <w:r>
        <w:rPr>
          <w:rFonts w:ascii="Verdana" w:hAnsi="Verdana"/>
          <w:sz w:val="20"/>
          <w:szCs w:val="20"/>
          <w:lang w:val="es-CR"/>
        </w:rPr>
        <w:t xml:space="preserve">El Estado, en su informe de </w:t>
      </w:r>
      <w:r w:rsidR="000705B6">
        <w:rPr>
          <w:rFonts w:ascii="Verdana" w:hAnsi="Verdana"/>
          <w:sz w:val="20"/>
          <w:szCs w:val="20"/>
          <w:lang w:val="es-CR"/>
        </w:rPr>
        <w:t xml:space="preserve">diciembre </w:t>
      </w:r>
      <w:r>
        <w:rPr>
          <w:rFonts w:ascii="Verdana" w:hAnsi="Verdana"/>
          <w:sz w:val="20"/>
          <w:szCs w:val="20"/>
          <w:lang w:val="es-CR"/>
        </w:rPr>
        <w:t>de 201</w:t>
      </w:r>
      <w:r w:rsidR="000705B6">
        <w:rPr>
          <w:rFonts w:ascii="Verdana" w:hAnsi="Verdana"/>
          <w:sz w:val="20"/>
          <w:szCs w:val="20"/>
          <w:lang w:val="es-CR"/>
        </w:rPr>
        <w:t>7</w:t>
      </w:r>
      <w:r>
        <w:rPr>
          <w:rFonts w:ascii="Verdana" w:hAnsi="Verdana"/>
          <w:sz w:val="20"/>
          <w:szCs w:val="20"/>
          <w:lang w:val="es-CR"/>
        </w:rPr>
        <w:t xml:space="preserve">, indicó que “el Viceministerio de Educación Superior de Formación Profesional dependiente del Ministerio de Educación, comunicó a través de la Asociación Nacional de Universidades Privadas el contenido de la Sentencia […] a efectos de que éstas entidades académicas realicen las acciones encaminadas a cumplir la disposición décimo segunda de la Sentencia…”. </w:t>
      </w:r>
      <w:r w:rsidR="008C5504" w:rsidRPr="008C5504">
        <w:rPr>
          <w:rFonts w:ascii="Verdana" w:hAnsi="Verdana"/>
          <w:sz w:val="20"/>
          <w:szCs w:val="20"/>
          <w:lang w:val="es-CR"/>
        </w:rPr>
        <w:t xml:space="preserve">El Viceministro de Educación Superior, en carta enviada a la Procuraduría General del Estado, informó a </w:t>
      </w:r>
      <w:r w:rsidR="00D5333D">
        <w:rPr>
          <w:rFonts w:ascii="Verdana" w:hAnsi="Verdana"/>
          <w:sz w:val="20"/>
          <w:szCs w:val="20"/>
          <w:lang w:val="es-CR"/>
        </w:rPr>
        <w:t>dicha Procuraduría</w:t>
      </w:r>
      <w:r w:rsidR="008C5504" w:rsidRPr="008C5504">
        <w:rPr>
          <w:rFonts w:ascii="Verdana" w:hAnsi="Verdana"/>
          <w:sz w:val="20"/>
          <w:szCs w:val="20"/>
          <w:lang w:val="es-CR"/>
        </w:rPr>
        <w:t xml:space="preserve"> que “es[a] Cartera de</w:t>
      </w:r>
      <w:r w:rsidR="00D16841">
        <w:rPr>
          <w:rFonts w:ascii="Verdana" w:hAnsi="Verdana"/>
          <w:sz w:val="20"/>
          <w:szCs w:val="20"/>
          <w:lang w:val="es-CR"/>
        </w:rPr>
        <w:t>[l]</w:t>
      </w:r>
      <w:r w:rsidR="008C5504" w:rsidRPr="008C5504">
        <w:rPr>
          <w:rFonts w:ascii="Verdana" w:hAnsi="Verdana"/>
          <w:sz w:val="20"/>
          <w:szCs w:val="20"/>
          <w:lang w:val="es-CR"/>
        </w:rPr>
        <w:t xml:space="preserve"> Estado ha impetrado que las 39 Universidades Centrales, así como las 41 Subsedes Académicas del Sistema Privado, realicen las acciones en </w:t>
      </w:r>
      <w:r w:rsidR="00EA52C9">
        <w:rPr>
          <w:rFonts w:ascii="Verdana" w:hAnsi="Verdana"/>
          <w:sz w:val="20"/>
          <w:szCs w:val="20"/>
          <w:lang w:val="es-CR"/>
        </w:rPr>
        <w:t>cuanto refiere la [S]entencia…”</w:t>
      </w:r>
      <w:r w:rsidR="008C5504" w:rsidRPr="008C5504">
        <w:rPr>
          <w:rStyle w:val="FootnoteReference"/>
          <w:rFonts w:ascii="Verdana" w:hAnsi="Verdana"/>
          <w:sz w:val="20"/>
          <w:szCs w:val="20"/>
          <w:lang w:val="es-CR"/>
        </w:rPr>
        <w:footnoteReference w:id="36"/>
      </w:r>
      <w:r w:rsidR="00EA52C9">
        <w:rPr>
          <w:rFonts w:ascii="Verdana" w:hAnsi="Verdana"/>
          <w:sz w:val="20"/>
          <w:szCs w:val="20"/>
          <w:lang w:val="es-CR"/>
        </w:rPr>
        <w:t>.</w:t>
      </w:r>
      <w:r w:rsidR="008C5504">
        <w:rPr>
          <w:rFonts w:ascii="Verdana" w:hAnsi="Verdana"/>
          <w:sz w:val="16"/>
          <w:szCs w:val="16"/>
          <w:lang w:val="es-CR"/>
        </w:rPr>
        <w:t xml:space="preserve"> </w:t>
      </w:r>
      <w:r>
        <w:rPr>
          <w:rFonts w:ascii="Verdana" w:hAnsi="Verdana"/>
          <w:sz w:val="20"/>
          <w:szCs w:val="20"/>
          <w:lang w:val="es-CR"/>
        </w:rPr>
        <w:t xml:space="preserve">En cuanto a las </w:t>
      </w:r>
      <w:r w:rsidR="00D03347">
        <w:rPr>
          <w:rFonts w:ascii="Verdana" w:hAnsi="Verdana"/>
          <w:sz w:val="20"/>
          <w:szCs w:val="20"/>
          <w:lang w:val="es-CR"/>
        </w:rPr>
        <w:t>u</w:t>
      </w:r>
      <w:r>
        <w:rPr>
          <w:rFonts w:ascii="Verdana" w:hAnsi="Verdana"/>
          <w:sz w:val="20"/>
          <w:szCs w:val="20"/>
          <w:lang w:val="es-CR"/>
        </w:rPr>
        <w:t xml:space="preserve">niversidades </w:t>
      </w:r>
      <w:r w:rsidR="00D03347">
        <w:rPr>
          <w:rFonts w:ascii="Verdana" w:hAnsi="Verdana"/>
          <w:sz w:val="20"/>
          <w:szCs w:val="20"/>
          <w:lang w:val="es-CR"/>
        </w:rPr>
        <w:t>p</w:t>
      </w:r>
      <w:r>
        <w:rPr>
          <w:rFonts w:ascii="Verdana" w:hAnsi="Verdana"/>
          <w:sz w:val="20"/>
          <w:szCs w:val="20"/>
          <w:lang w:val="es-CR"/>
        </w:rPr>
        <w:t xml:space="preserve">úblicas, el Estado informó que el “Secretario Ejecutivo Nacional de[l Comité Ejecutivo de la Universidad Boliviana, instancia a nivel nacional que representa a todas las universidades públicas de Bolivia], comunicó a las universidades que adopten programas de educación y formación </w:t>
      </w:r>
      <w:r>
        <w:rPr>
          <w:rFonts w:ascii="Verdana" w:hAnsi="Verdana"/>
          <w:sz w:val="20"/>
          <w:szCs w:val="20"/>
          <w:lang w:val="es-CR"/>
        </w:rPr>
        <w:lastRenderedPageBreak/>
        <w:t>permanentes en temas de consentimiento informado, discriminación basada en género y estereotipos y violencia de género; destinados a estudiantes de medicina, profesionales médicos y, a todo el personal que conforma el Sistema de Salud y de Seguridad Social”</w:t>
      </w:r>
      <w:r w:rsidR="00AE4557">
        <w:rPr>
          <w:rStyle w:val="FootnoteReference"/>
          <w:rFonts w:ascii="Verdana" w:hAnsi="Verdana"/>
          <w:sz w:val="20"/>
          <w:szCs w:val="20"/>
          <w:lang w:val="es-CR"/>
        </w:rPr>
        <w:footnoteReference w:id="37"/>
      </w:r>
      <w:r>
        <w:rPr>
          <w:rFonts w:ascii="Verdana" w:hAnsi="Verdana"/>
          <w:sz w:val="20"/>
          <w:szCs w:val="20"/>
          <w:lang w:val="es-CR"/>
        </w:rPr>
        <w:t>.</w:t>
      </w:r>
      <w:r w:rsidR="00F11A3B">
        <w:rPr>
          <w:rFonts w:ascii="Verdana" w:hAnsi="Verdana"/>
          <w:sz w:val="20"/>
          <w:szCs w:val="20"/>
          <w:lang w:val="es-CR"/>
        </w:rPr>
        <w:t xml:space="preserve"> Por otro lado, el Estado enfatizó que el “Comité Nacional de Integración Docente Asistencial [de] Investigación e Interacción Comunitaria</w:t>
      </w:r>
      <w:r w:rsidR="00F11A3B">
        <w:rPr>
          <w:rStyle w:val="FootnoteReference"/>
          <w:rFonts w:ascii="Verdana" w:hAnsi="Verdana"/>
          <w:sz w:val="20"/>
          <w:szCs w:val="20"/>
          <w:lang w:val="es-CR"/>
        </w:rPr>
        <w:footnoteReference w:id="38"/>
      </w:r>
      <w:r w:rsidR="00F11A3B">
        <w:rPr>
          <w:rFonts w:ascii="Verdana" w:hAnsi="Verdana"/>
          <w:sz w:val="20"/>
          <w:szCs w:val="20"/>
          <w:lang w:val="es-CR"/>
        </w:rPr>
        <w:t>[</w:t>
      </w:r>
      <w:r w:rsidR="00D03347">
        <w:rPr>
          <w:rFonts w:ascii="Verdana" w:hAnsi="Verdana"/>
          <w:sz w:val="20"/>
          <w:szCs w:val="20"/>
          <w:lang w:val="es-CR"/>
        </w:rPr>
        <w:t xml:space="preserve">, </w:t>
      </w:r>
      <w:r w:rsidR="00F11A3B">
        <w:rPr>
          <w:rFonts w:ascii="Verdana" w:hAnsi="Verdana"/>
          <w:sz w:val="20"/>
          <w:szCs w:val="20"/>
          <w:lang w:val="es-CR"/>
        </w:rPr>
        <w:t>instancia que surgió del Convenio de Integración Docente Asistencial suscrito entre la Universidad Boliviana y el Ministerio de Salud</w:t>
      </w:r>
      <w:r w:rsidR="00D03347">
        <w:rPr>
          <w:rFonts w:ascii="Verdana" w:hAnsi="Verdana"/>
          <w:sz w:val="20"/>
          <w:szCs w:val="20"/>
          <w:lang w:val="es-CR"/>
        </w:rPr>
        <w:t>,</w:t>
      </w:r>
      <w:r w:rsidR="00F11A3B">
        <w:rPr>
          <w:rFonts w:ascii="Verdana" w:hAnsi="Verdana"/>
          <w:sz w:val="20"/>
          <w:szCs w:val="20"/>
          <w:lang w:val="es-CR"/>
        </w:rPr>
        <w:t>] instó para que todos sus miembros cumplan ‘</w:t>
      </w:r>
      <w:r w:rsidR="00F11A3B">
        <w:rPr>
          <w:rFonts w:ascii="Verdana" w:hAnsi="Verdana"/>
          <w:i/>
          <w:sz w:val="20"/>
          <w:szCs w:val="20"/>
          <w:lang w:val="es-CR"/>
        </w:rPr>
        <w:t xml:space="preserve">(…) </w:t>
      </w:r>
      <w:r w:rsidR="00F11A3B" w:rsidRPr="00231720">
        <w:rPr>
          <w:rFonts w:ascii="Verdana" w:hAnsi="Verdana"/>
          <w:sz w:val="20"/>
          <w:szCs w:val="20"/>
          <w:lang w:val="es-CR"/>
        </w:rPr>
        <w:t>con el punto resolutivo décimo segundo según corresponda a la función que desarrolla, ya sea en el Grado y Post Grado en el marco de la resolución de la Corte IDH (…)’”</w:t>
      </w:r>
      <w:r w:rsidR="00F11A3B" w:rsidRPr="00231720">
        <w:rPr>
          <w:rStyle w:val="FootnoteReference"/>
          <w:rFonts w:ascii="Verdana" w:hAnsi="Verdana"/>
          <w:sz w:val="20"/>
          <w:szCs w:val="20"/>
          <w:lang w:val="es-CR"/>
        </w:rPr>
        <w:footnoteReference w:id="39"/>
      </w:r>
      <w:r w:rsidR="00F11A3B" w:rsidRPr="00231720">
        <w:rPr>
          <w:rFonts w:ascii="Verdana" w:hAnsi="Verdana"/>
          <w:sz w:val="20"/>
          <w:szCs w:val="20"/>
          <w:lang w:val="es-CR"/>
        </w:rPr>
        <w:t>.</w:t>
      </w:r>
      <w:r w:rsidR="00F11A3B">
        <w:rPr>
          <w:rFonts w:ascii="Verdana" w:hAnsi="Verdana"/>
          <w:sz w:val="20"/>
          <w:szCs w:val="20"/>
          <w:lang w:val="es-CR"/>
        </w:rPr>
        <w:t xml:space="preserve"> </w:t>
      </w:r>
    </w:p>
    <w:p w14:paraId="2C1B36E3" w14:textId="77777777" w:rsidR="007612EB" w:rsidRDefault="007612EB" w:rsidP="007612EB">
      <w:pPr>
        <w:pStyle w:val="ListParagraph"/>
        <w:spacing w:line="240" w:lineRule="auto"/>
        <w:ind w:left="0"/>
        <w:jc w:val="both"/>
        <w:rPr>
          <w:rFonts w:ascii="Verdana" w:hAnsi="Verdana"/>
          <w:sz w:val="20"/>
          <w:szCs w:val="20"/>
          <w:lang w:val="es-CR"/>
        </w:rPr>
      </w:pPr>
    </w:p>
    <w:p w14:paraId="1B0D273A" w14:textId="77777777" w:rsidR="00E43F22" w:rsidRDefault="007612EB" w:rsidP="00F11A3B">
      <w:pPr>
        <w:pStyle w:val="ListParagraph"/>
        <w:numPr>
          <w:ilvl w:val="0"/>
          <w:numId w:val="2"/>
        </w:numPr>
        <w:spacing w:line="240" w:lineRule="auto"/>
        <w:ind w:left="0" w:firstLine="0"/>
        <w:jc w:val="both"/>
        <w:rPr>
          <w:rFonts w:ascii="Verdana" w:hAnsi="Verdana"/>
          <w:sz w:val="20"/>
          <w:szCs w:val="20"/>
          <w:lang w:val="es-CR"/>
        </w:rPr>
      </w:pPr>
      <w:r>
        <w:rPr>
          <w:rFonts w:ascii="Verdana" w:hAnsi="Verdana"/>
          <w:sz w:val="20"/>
          <w:szCs w:val="20"/>
          <w:lang w:val="es-CR"/>
        </w:rPr>
        <w:t xml:space="preserve">Los </w:t>
      </w:r>
      <w:r w:rsidRPr="00D5333D">
        <w:rPr>
          <w:rFonts w:ascii="Verdana" w:hAnsi="Verdana"/>
          <w:i/>
          <w:sz w:val="20"/>
          <w:szCs w:val="20"/>
          <w:lang w:val="es-CR"/>
        </w:rPr>
        <w:t>representantes</w:t>
      </w:r>
      <w:r>
        <w:rPr>
          <w:rFonts w:ascii="Verdana" w:hAnsi="Verdana"/>
          <w:sz w:val="20"/>
          <w:szCs w:val="20"/>
          <w:lang w:val="es-CR"/>
        </w:rPr>
        <w:t xml:space="preserve"> observaron que el Estado “solamente se aboc[ó] a reportar en su informe sobre las ‘medidas iniciales’ adoptadas en el marco de la formación universitaria, no de la capacitación o actualización continua al personal que ya conforma el sistema de salud y seguridad social”. </w:t>
      </w:r>
      <w:r w:rsidR="00B33AF3">
        <w:rPr>
          <w:rFonts w:ascii="Verdana" w:hAnsi="Verdana"/>
          <w:sz w:val="20"/>
          <w:szCs w:val="20"/>
          <w:lang w:val="es-CR"/>
        </w:rPr>
        <w:t xml:space="preserve">La </w:t>
      </w:r>
      <w:r w:rsidR="00B33AF3" w:rsidRPr="00D5333D">
        <w:rPr>
          <w:rFonts w:ascii="Verdana" w:hAnsi="Verdana"/>
          <w:i/>
          <w:sz w:val="20"/>
          <w:szCs w:val="20"/>
          <w:lang w:val="es-CR"/>
        </w:rPr>
        <w:t>Comisión</w:t>
      </w:r>
      <w:r w:rsidR="00B33AF3">
        <w:rPr>
          <w:rFonts w:ascii="Verdana" w:hAnsi="Verdana"/>
          <w:sz w:val="20"/>
          <w:szCs w:val="20"/>
          <w:lang w:val="es-CR"/>
        </w:rPr>
        <w:t xml:space="preserve">, por su parte, “tom[ó] nota de los acuerdos con las instancias </w:t>
      </w:r>
      <w:r w:rsidR="004B11A2">
        <w:rPr>
          <w:rFonts w:ascii="Verdana" w:hAnsi="Verdana"/>
          <w:sz w:val="20"/>
          <w:szCs w:val="20"/>
          <w:lang w:val="es-CR"/>
        </w:rPr>
        <w:t xml:space="preserve">educativas informados por el Estado, y consider[ó] que los mismos son una muestra de la buena voluntad del Estado para cumplir con este punto resolutivo”. Asimismo, manifestó que “considera[ba] oportuno que la […] Corte mant[uviera] abierta la supervisión de este punto resolutivo por un tiempo prudencial”. </w:t>
      </w:r>
    </w:p>
    <w:p w14:paraId="55BF4B1B" w14:textId="77777777" w:rsidR="00E43F22" w:rsidRPr="00D5333D" w:rsidRDefault="00E43F22" w:rsidP="00D5333D">
      <w:pPr>
        <w:pStyle w:val="ListParagraph"/>
        <w:rPr>
          <w:rFonts w:ascii="Verdana" w:hAnsi="Verdana"/>
          <w:sz w:val="20"/>
          <w:szCs w:val="20"/>
          <w:lang w:val="es-CR"/>
        </w:rPr>
      </w:pPr>
    </w:p>
    <w:p w14:paraId="2B156B5F" w14:textId="14A5450E" w:rsidR="007612EB" w:rsidRPr="00F11A3B" w:rsidRDefault="007612EB" w:rsidP="00F11A3B">
      <w:pPr>
        <w:pStyle w:val="ListParagraph"/>
        <w:numPr>
          <w:ilvl w:val="0"/>
          <w:numId w:val="2"/>
        </w:numPr>
        <w:spacing w:line="240" w:lineRule="auto"/>
        <w:ind w:left="0" w:firstLine="0"/>
        <w:jc w:val="both"/>
        <w:rPr>
          <w:rFonts w:ascii="Verdana" w:hAnsi="Verdana"/>
          <w:sz w:val="20"/>
          <w:szCs w:val="20"/>
          <w:lang w:val="es-CR"/>
        </w:rPr>
      </w:pPr>
      <w:r>
        <w:rPr>
          <w:rFonts w:ascii="Verdana" w:hAnsi="Verdana"/>
          <w:sz w:val="20"/>
          <w:szCs w:val="20"/>
          <w:lang w:val="es-CR"/>
        </w:rPr>
        <w:t xml:space="preserve">La Corte coincide con los representantes en cuanto a que dichos programas </w:t>
      </w:r>
      <w:r w:rsidR="00EA52C9">
        <w:rPr>
          <w:rFonts w:ascii="Verdana" w:hAnsi="Verdana"/>
          <w:sz w:val="20"/>
          <w:szCs w:val="20"/>
          <w:lang w:val="es-CR"/>
        </w:rPr>
        <w:t>deben</w:t>
      </w:r>
      <w:r>
        <w:rPr>
          <w:rFonts w:ascii="Verdana" w:hAnsi="Verdana"/>
          <w:sz w:val="20"/>
          <w:szCs w:val="20"/>
          <w:lang w:val="es-CR"/>
        </w:rPr>
        <w:t xml:space="preserve"> ser dirigidos no solo a estudiantes de medicina, sino también a profesionales médicos y </w:t>
      </w:r>
      <w:r w:rsidR="00D60FE8">
        <w:rPr>
          <w:rFonts w:ascii="Verdana" w:hAnsi="Verdana"/>
          <w:sz w:val="20"/>
          <w:szCs w:val="20"/>
          <w:lang w:val="es-CR"/>
        </w:rPr>
        <w:t>a</w:t>
      </w:r>
      <w:r>
        <w:rPr>
          <w:rFonts w:ascii="Verdana" w:hAnsi="Verdana"/>
          <w:sz w:val="20"/>
          <w:szCs w:val="20"/>
          <w:lang w:val="es-CR"/>
        </w:rPr>
        <w:t>l personal que conforma el sistema de salud y seguridad social</w:t>
      </w:r>
      <w:r w:rsidR="00EA52C9">
        <w:rPr>
          <w:rFonts w:ascii="Verdana" w:hAnsi="Verdana"/>
          <w:sz w:val="20"/>
          <w:szCs w:val="20"/>
          <w:lang w:val="es-CR"/>
        </w:rPr>
        <w:t>.</w:t>
      </w:r>
      <w:r>
        <w:rPr>
          <w:rFonts w:ascii="Verdana" w:hAnsi="Verdana"/>
          <w:sz w:val="20"/>
          <w:szCs w:val="20"/>
          <w:lang w:val="es-CR"/>
        </w:rPr>
        <w:t xml:space="preserve"> </w:t>
      </w:r>
      <w:r w:rsidR="00E43F22">
        <w:rPr>
          <w:rFonts w:ascii="Verdana" w:hAnsi="Verdana"/>
          <w:sz w:val="20"/>
          <w:szCs w:val="20"/>
          <w:lang w:val="es-CR"/>
        </w:rPr>
        <w:t xml:space="preserve">Debido a que </w:t>
      </w:r>
      <w:r>
        <w:rPr>
          <w:rFonts w:ascii="Verdana" w:hAnsi="Verdana"/>
          <w:sz w:val="20"/>
          <w:szCs w:val="20"/>
          <w:lang w:val="es-CR"/>
        </w:rPr>
        <w:t xml:space="preserve">el Estado no presentó información </w:t>
      </w:r>
      <w:r w:rsidR="00E43F22">
        <w:rPr>
          <w:rFonts w:ascii="Verdana" w:hAnsi="Verdana"/>
          <w:sz w:val="20"/>
          <w:szCs w:val="20"/>
          <w:lang w:val="es-CR"/>
        </w:rPr>
        <w:t xml:space="preserve">al respecto, es preciso que </w:t>
      </w:r>
      <w:r w:rsidR="00D60FE8">
        <w:rPr>
          <w:rFonts w:ascii="Verdana" w:hAnsi="Verdana"/>
          <w:sz w:val="20"/>
          <w:szCs w:val="20"/>
          <w:lang w:val="es-CR"/>
        </w:rPr>
        <w:t>la aporte en el informe que se le requiere en la presente resolución (</w:t>
      </w:r>
      <w:r w:rsidR="00D60FE8" w:rsidRPr="00D60FE8">
        <w:rPr>
          <w:rFonts w:ascii="Verdana" w:hAnsi="Verdana"/>
          <w:i/>
          <w:sz w:val="20"/>
          <w:szCs w:val="20"/>
          <w:lang w:val="es-CR"/>
        </w:rPr>
        <w:t>infra</w:t>
      </w:r>
      <w:r w:rsidR="00D60FE8">
        <w:rPr>
          <w:rFonts w:ascii="Verdana" w:hAnsi="Verdana"/>
          <w:sz w:val="20"/>
          <w:szCs w:val="20"/>
          <w:lang w:val="es-CR"/>
        </w:rPr>
        <w:t xml:space="preserve"> </w:t>
      </w:r>
      <w:r w:rsidR="00B24B57">
        <w:rPr>
          <w:rFonts w:ascii="Verdana" w:hAnsi="Verdana"/>
          <w:sz w:val="20"/>
          <w:szCs w:val="20"/>
          <w:lang w:val="es-CR"/>
        </w:rPr>
        <w:t xml:space="preserve">Punto Resolutivo </w:t>
      </w:r>
      <w:r w:rsidR="00B24B57">
        <w:rPr>
          <w:rFonts w:ascii="Verdana" w:hAnsi="Verdana"/>
          <w:sz w:val="20"/>
          <w:szCs w:val="20"/>
          <w:lang w:val="es-CR"/>
        </w:rPr>
        <w:fldChar w:fldCharType="begin"/>
      </w:r>
      <w:r w:rsidR="00B24B57">
        <w:rPr>
          <w:rFonts w:ascii="Verdana" w:hAnsi="Verdana"/>
          <w:sz w:val="20"/>
          <w:szCs w:val="20"/>
          <w:lang w:val="es-CR"/>
        </w:rPr>
        <w:instrText xml:space="preserve"> REF _Ref530488951 \r \h </w:instrText>
      </w:r>
      <w:r w:rsidR="00B24B57">
        <w:rPr>
          <w:rFonts w:ascii="Verdana" w:hAnsi="Verdana"/>
          <w:sz w:val="20"/>
          <w:szCs w:val="20"/>
          <w:lang w:val="es-CR"/>
        </w:rPr>
      </w:r>
      <w:r w:rsidR="00B24B57">
        <w:rPr>
          <w:rFonts w:ascii="Verdana" w:hAnsi="Verdana"/>
          <w:sz w:val="20"/>
          <w:szCs w:val="20"/>
          <w:lang w:val="es-CR"/>
        </w:rPr>
        <w:fldChar w:fldCharType="separate"/>
      </w:r>
      <w:r w:rsidR="00AE1507">
        <w:rPr>
          <w:rFonts w:ascii="Verdana" w:hAnsi="Verdana"/>
          <w:sz w:val="20"/>
          <w:szCs w:val="20"/>
          <w:lang w:val="es-CR"/>
        </w:rPr>
        <w:t>3</w:t>
      </w:r>
      <w:r w:rsidR="00B24B57">
        <w:rPr>
          <w:rFonts w:ascii="Verdana" w:hAnsi="Verdana"/>
          <w:sz w:val="20"/>
          <w:szCs w:val="20"/>
          <w:lang w:val="es-CR"/>
        </w:rPr>
        <w:fldChar w:fldCharType="end"/>
      </w:r>
      <w:r w:rsidR="00D60FE8">
        <w:rPr>
          <w:rFonts w:ascii="Verdana" w:hAnsi="Verdana"/>
          <w:sz w:val="20"/>
          <w:szCs w:val="20"/>
          <w:lang w:val="es-CR"/>
        </w:rPr>
        <w:t>)</w:t>
      </w:r>
      <w:r w:rsidR="00B03B4C">
        <w:rPr>
          <w:rFonts w:ascii="Verdana" w:hAnsi="Verdana"/>
          <w:sz w:val="20"/>
          <w:szCs w:val="20"/>
          <w:lang w:val="es-CR"/>
        </w:rPr>
        <w:t xml:space="preserve">. </w:t>
      </w:r>
    </w:p>
    <w:p w14:paraId="6FC4EB3C" w14:textId="77777777" w:rsidR="00B2012B" w:rsidRDefault="00B2012B" w:rsidP="00B2012B">
      <w:pPr>
        <w:pStyle w:val="ListParagraph"/>
        <w:spacing w:line="240" w:lineRule="auto"/>
        <w:ind w:left="0"/>
        <w:jc w:val="both"/>
        <w:rPr>
          <w:rFonts w:ascii="Verdana" w:hAnsi="Verdana"/>
          <w:sz w:val="20"/>
          <w:szCs w:val="20"/>
          <w:lang w:val="es-CR"/>
        </w:rPr>
      </w:pPr>
    </w:p>
    <w:p w14:paraId="708140D3" w14:textId="2356EB6D" w:rsidR="007612EB" w:rsidRPr="00B03B4C" w:rsidRDefault="00B2012B" w:rsidP="0058600E">
      <w:pPr>
        <w:pStyle w:val="ListParagraph"/>
        <w:numPr>
          <w:ilvl w:val="0"/>
          <w:numId w:val="2"/>
        </w:numPr>
        <w:spacing w:line="240" w:lineRule="auto"/>
        <w:ind w:left="0" w:firstLine="0"/>
        <w:jc w:val="both"/>
        <w:rPr>
          <w:rFonts w:ascii="Verdana" w:hAnsi="Verdana"/>
          <w:sz w:val="20"/>
          <w:szCs w:val="20"/>
          <w:lang w:val="es-CR"/>
        </w:rPr>
      </w:pPr>
      <w:r w:rsidRPr="00B03B4C">
        <w:rPr>
          <w:rFonts w:ascii="Verdana" w:hAnsi="Verdana"/>
          <w:sz w:val="20"/>
          <w:szCs w:val="20"/>
          <w:lang w:val="es-CR"/>
        </w:rPr>
        <w:t xml:space="preserve">Por otro lado, el Tribunal recuerda que </w:t>
      </w:r>
      <w:r w:rsidR="00D60FE8">
        <w:rPr>
          <w:rFonts w:ascii="Verdana" w:hAnsi="Verdana"/>
          <w:sz w:val="20"/>
          <w:szCs w:val="20"/>
          <w:lang w:val="es-CR"/>
        </w:rPr>
        <w:t xml:space="preserve">dichos programas de educación </w:t>
      </w:r>
      <w:r w:rsidRPr="00B03B4C">
        <w:rPr>
          <w:rFonts w:ascii="Verdana" w:hAnsi="Verdana"/>
          <w:sz w:val="20"/>
          <w:szCs w:val="20"/>
          <w:lang w:val="es-CR"/>
        </w:rPr>
        <w:t>debían versar sobre “temas de consentimiento informado, discriminación basada en género y estereotipos, y violencia de género”.</w:t>
      </w:r>
      <w:r w:rsidR="00CE386A" w:rsidRPr="00B03B4C">
        <w:rPr>
          <w:rFonts w:ascii="Verdana" w:hAnsi="Verdana"/>
          <w:sz w:val="20"/>
          <w:szCs w:val="20"/>
          <w:lang w:val="es-CR"/>
        </w:rPr>
        <w:t xml:space="preserve"> </w:t>
      </w:r>
      <w:r w:rsidR="004B11A2">
        <w:rPr>
          <w:rFonts w:ascii="Verdana" w:hAnsi="Verdana"/>
          <w:sz w:val="20"/>
          <w:szCs w:val="20"/>
          <w:lang w:val="es-CR"/>
        </w:rPr>
        <w:t>Sin embargo</w:t>
      </w:r>
      <w:r w:rsidR="007612EB" w:rsidRPr="00B03B4C">
        <w:rPr>
          <w:rFonts w:ascii="Verdana" w:hAnsi="Verdana"/>
          <w:sz w:val="20"/>
          <w:szCs w:val="20"/>
          <w:lang w:val="es-CR"/>
        </w:rPr>
        <w:t xml:space="preserve">, de la información presentada por el Estado no se desprende </w:t>
      </w:r>
      <w:r w:rsidR="009D2578">
        <w:rPr>
          <w:rFonts w:ascii="Verdana" w:hAnsi="Verdana"/>
          <w:sz w:val="20"/>
          <w:szCs w:val="20"/>
          <w:lang w:val="es-CR"/>
        </w:rPr>
        <w:t>el</w:t>
      </w:r>
      <w:r w:rsidR="007612EB" w:rsidRPr="00B03B4C">
        <w:rPr>
          <w:rFonts w:ascii="Verdana" w:hAnsi="Verdana"/>
          <w:sz w:val="20"/>
          <w:szCs w:val="20"/>
          <w:lang w:val="es-CR"/>
        </w:rPr>
        <w:t xml:space="preserve"> nombre o contenido de los cursos </w:t>
      </w:r>
      <w:r w:rsidR="00EA52C9">
        <w:rPr>
          <w:rFonts w:ascii="Verdana" w:hAnsi="Verdana"/>
          <w:sz w:val="20"/>
          <w:szCs w:val="20"/>
          <w:lang w:val="es-CR"/>
        </w:rPr>
        <w:t xml:space="preserve">que se impartirían a raíz de las instrucciones </w:t>
      </w:r>
      <w:r w:rsidR="00EA52C9">
        <w:rPr>
          <w:rFonts w:ascii="Verdana" w:hAnsi="Verdana"/>
          <w:sz w:val="20"/>
          <w:szCs w:val="20"/>
          <w:lang w:val="es-CR"/>
        </w:rPr>
        <w:lastRenderedPageBreak/>
        <w:t>emitidas por el Viceministro de Educación Superior o del Comité Ejecutivo de la Universidad Boliviana</w:t>
      </w:r>
      <w:r w:rsidR="00FE4437">
        <w:rPr>
          <w:rFonts w:ascii="Verdana" w:hAnsi="Verdana"/>
          <w:sz w:val="20"/>
          <w:szCs w:val="20"/>
          <w:lang w:val="es-CR"/>
        </w:rPr>
        <w:t xml:space="preserve"> a los estudiantes universitarios correspondientes</w:t>
      </w:r>
      <w:r w:rsidR="007612EB" w:rsidRPr="00B03B4C">
        <w:rPr>
          <w:rFonts w:ascii="Verdana" w:hAnsi="Verdana"/>
          <w:sz w:val="20"/>
          <w:szCs w:val="20"/>
          <w:lang w:val="es-CR"/>
        </w:rPr>
        <w:t>.</w:t>
      </w:r>
      <w:r w:rsidR="00EA52C9">
        <w:rPr>
          <w:rFonts w:ascii="Verdana" w:hAnsi="Verdana"/>
          <w:sz w:val="20"/>
          <w:szCs w:val="20"/>
          <w:lang w:val="es-CR"/>
        </w:rPr>
        <w:t xml:space="preserve"> La Corte nota que el Estado tampoco proporcionó información sobre las medidas que adoptará para garantizar que dichos cursos serán permanentes.</w:t>
      </w:r>
      <w:r w:rsidR="007612EB" w:rsidRPr="00B03B4C">
        <w:rPr>
          <w:rFonts w:ascii="Verdana" w:hAnsi="Verdana"/>
          <w:sz w:val="20"/>
          <w:szCs w:val="20"/>
          <w:lang w:val="es-CR"/>
        </w:rPr>
        <w:t xml:space="preserve"> </w:t>
      </w:r>
    </w:p>
    <w:p w14:paraId="29A0CB60" w14:textId="77777777" w:rsidR="00AA6610" w:rsidRDefault="00AA6610" w:rsidP="00AA6610">
      <w:pPr>
        <w:pStyle w:val="ListParagraph"/>
        <w:spacing w:line="240" w:lineRule="auto"/>
        <w:ind w:left="0"/>
        <w:jc w:val="both"/>
        <w:rPr>
          <w:rFonts w:ascii="Verdana" w:hAnsi="Verdana"/>
          <w:sz w:val="20"/>
          <w:szCs w:val="20"/>
          <w:lang w:val="es-CR"/>
        </w:rPr>
      </w:pPr>
    </w:p>
    <w:p w14:paraId="18A6EAEF" w14:textId="021F60E5" w:rsidR="00BC75DB" w:rsidRDefault="00AA6610" w:rsidP="00BC75DB">
      <w:pPr>
        <w:pStyle w:val="ListParagraph"/>
        <w:numPr>
          <w:ilvl w:val="0"/>
          <w:numId w:val="2"/>
        </w:numPr>
        <w:spacing w:line="240" w:lineRule="auto"/>
        <w:ind w:left="0" w:firstLine="0"/>
        <w:jc w:val="both"/>
        <w:rPr>
          <w:rFonts w:ascii="Verdana" w:hAnsi="Verdana"/>
          <w:sz w:val="20"/>
          <w:szCs w:val="20"/>
          <w:lang w:val="es-CR"/>
        </w:rPr>
      </w:pPr>
      <w:bookmarkStart w:id="25" w:name="_Ref530489673"/>
      <w:r>
        <w:rPr>
          <w:rFonts w:ascii="Verdana" w:hAnsi="Verdana"/>
          <w:sz w:val="20"/>
          <w:szCs w:val="20"/>
          <w:lang w:val="es-CR"/>
        </w:rPr>
        <w:t xml:space="preserve">Este Tribunal </w:t>
      </w:r>
      <w:r w:rsidR="005E2346" w:rsidRPr="005E2346">
        <w:rPr>
          <w:rFonts w:ascii="Verdana" w:hAnsi="Verdana"/>
          <w:sz w:val="20"/>
          <w:szCs w:val="20"/>
          <w:lang w:val="es-CR"/>
        </w:rPr>
        <w:t xml:space="preserve">valora </w:t>
      </w:r>
      <w:r w:rsidR="00231720" w:rsidRPr="005E2346">
        <w:rPr>
          <w:rFonts w:ascii="Verdana" w:hAnsi="Verdana"/>
          <w:sz w:val="20"/>
          <w:szCs w:val="20"/>
          <w:lang w:val="es-CR"/>
        </w:rPr>
        <w:t>los avances</w:t>
      </w:r>
      <w:r w:rsidR="005E2346" w:rsidRPr="005E2346">
        <w:rPr>
          <w:rFonts w:ascii="Verdana" w:hAnsi="Verdana"/>
          <w:sz w:val="20"/>
          <w:szCs w:val="20"/>
          <w:lang w:val="es-CR"/>
        </w:rPr>
        <w:t xml:space="preserve"> que ha llevado a cabo Bolivia </w:t>
      </w:r>
      <w:r w:rsidR="00231720" w:rsidRPr="005E2346">
        <w:rPr>
          <w:rFonts w:ascii="Verdana" w:hAnsi="Verdana"/>
          <w:sz w:val="20"/>
          <w:szCs w:val="20"/>
          <w:lang w:val="es-CR"/>
        </w:rPr>
        <w:t>para dar cumplimiento a esta medida</w:t>
      </w:r>
      <w:r w:rsidR="008177C5" w:rsidRPr="005E2346">
        <w:rPr>
          <w:rFonts w:ascii="Verdana" w:hAnsi="Verdana"/>
          <w:sz w:val="20"/>
          <w:szCs w:val="20"/>
          <w:lang w:val="es-CR"/>
        </w:rPr>
        <w:t>.</w:t>
      </w:r>
      <w:r w:rsidR="00835C3E">
        <w:rPr>
          <w:rFonts w:ascii="Verdana" w:hAnsi="Verdana"/>
          <w:sz w:val="20"/>
          <w:szCs w:val="20"/>
          <w:lang w:val="es-CR"/>
        </w:rPr>
        <w:t xml:space="preserve"> No obstante, considera pertinente solicitar al Estado </w:t>
      </w:r>
      <w:r w:rsidR="005E2346">
        <w:rPr>
          <w:rFonts w:ascii="Verdana" w:hAnsi="Verdana"/>
          <w:sz w:val="20"/>
          <w:szCs w:val="20"/>
          <w:lang w:val="es-CR"/>
        </w:rPr>
        <w:t xml:space="preserve">la siguiente </w:t>
      </w:r>
      <w:r w:rsidR="00835C3E">
        <w:rPr>
          <w:rFonts w:ascii="Verdana" w:hAnsi="Verdana"/>
          <w:sz w:val="20"/>
          <w:szCs w:val="20"/>
          <w:lang w:val="es-CR"/>
        </w:rPr>
        <w:t>información</w:t>
      </w:r>
      <w:r w:rsidR="00EA52C9">
        <w:rPr>
          <w:rFonts w:ascii="Verdana" w:hAnsi="Verdana"/>
          <w:sz w:val="20"/>
          <w:szCs w:val="20"/>
          <w:lang w:val="es-CR"/>
        </w:rPr>
        <w:t xml:space="preserve"> precisa</w:t>
      </w:r>
      <w:r w:rsidR="00835C3E">
        <w:rPr>
          <w:rFonts w:ascii="Verdana" w:hAnsi="Verdana"/>
          <w:sz w:val="20"/>
          <w:szCs w:val="20"/>
          <w:lang w:val="es-CR"/>
        </w:rPr>
        <w:t xml:space="preserve"> </w:t>
      </w:r>
      <w:r w:rsidR="005E2346" w:rsidRPr="0055241C">
        <w:rPr>
          <w:rFonts w:ascii="Verdana" w:hAnsi="Verdana"/>
          <w:sz w:val="20"/>
          <w:szCs w:val="20"/>
          <w:lang w:val="es-CR"/>
        </w:rPr>
        <w:t>con el fin de valorar el cumplimiento de la presente medida de reparación:</w:t>
      </w:r>
      <w:r w:rsidR="005E2346">
        <w:rPr>
          <w:rFonts w:ascii="Verdana" w:hAnsi="Verdana"/>
          <w:sz w:val="20"/>
          <w:szCs w:val="20"/>
          <w:lang w:val="es-CR"/>
        </w:rPr>
        <w:t xml:space="preserve"> </w:t>
      </w:r>
      <w:r w:rsidR="007612EB">
        <w:rPr>
          <w:rFonts w:ascii="Verdana" w:hAnsi="Verdana"/>
          <w:sz w:val="20"/>
          <w:szCs w:val="20"/>
          <w:lang w:val="es-CR"/>
        </w:rPr>
        <w:t>(i)</w:t>
      </w:r>
      <w:r w:rsidR="00835C3E">
        <w:rPr>
          <w:rFonts w:ascii="Verdana" w:hAnsi="Verdana"/>
          <w:sz w:val="20"/>
          <w:szCs w:val="20"/>
          <w:lang w:val="es-CR"/>
        </w:rPr>
        <w:t xml:space="preserve"> </w:t>
      </w:r>
      <w:r w:rsidR="009D2578">
        <w:rPr>
          <w:rFonts w:ascii="Verdana" w:hAnsi="Verdana"/>
          <w:sz w:val="20"/>
          <w:szCs w:val="20"/>
          <w:lang w:val="es-CR"/>
        </w:rPr>
        <w:t>las acciones tendientes a impulsar los programas</w:t>
      </w:r>
      <w:r w:rsidR="00EA52C9">
        <w:rPr>
          <w:rFonts w:ascii="Verdana" w:hAnsi="Verdana"/>
          <w:sz w:val="20"/>
          <w:szCs w:val="20"/>
          <w:lang w:val="es-CR"/>
        </w:rPr>
        <w:t xml:space="preserve"> ordenados en la Sentencia</w:t>
      </w:r>
      <w:r w:rsidR="009D2578">
        <w:rPr>
          <w:rFonts w:ascii="Verdana" w:hAnsi="Verdana"/>
          <w:sz w:val="20"/>
          <w:szCs w:val="20"/>
          <w:lang w:val="es-CR"/>
        </w:rPr>
        <w:t xml:space="preserve"> para los profesionales médicos y el personal del sistema de salud y seguridad social, (ii)</w:t>
      </w:r>
      <w:r w:rsidR="00EA52C9">
        <w:rPr>
          <w:rFonts w:ascii="Verdana" w:hAnsi="Verdana"/>
          <w:sz w:val="20"/>
          <w:szCs w:val="20"/>
          <w:lang w:val="es-CR"/>
        </w:rPr>
        <w:t xml:space="preserve"> </w:t>
      </w:r>
      <w:r w:rsidR="00CA243D">
        <w:rPr>
          <w:rFonts w:ascii="Verdana" w:hAnsi="Verdana"/>
          <w:sz w:val="20"/>
          <w:szCs w:val="20"/>
          <w:lang w:val="es-CR"/>
        </w:rPr>
        <w:t xml:space="preserve">si las universidades públicas y privadas de Bolivia adaptaron sus planes de estudio de medicina para asegurarse de incluir los </w:t>
      </w:r>
      <w:r w:rsidR="00CA243D" w:rsidRPr="00C8234D">
        <w:rPr>
          <w:rFonts w:ascii="Verdana" w:hAnsi="Verdana"/>
          <w:sz w:val="20"/>
          <w:szCs w:val="20"/>
          <w:lang w:val="es-CR"/>
        </w:rPr>
        <w:t>temas de consentimiento informado, discriminación basada en género y estereotipos, y violencia de género</w:t>
      </w:r>
      <w:r w:rsidR="00CA243D">
        <w:rPr>
          <w:rFonts w:ascii="Verdana" w:hAnsi="Verdana"/>
          <w:sz w:val="20"/>
          <w:szCs w:val="20"/>
          <w:lang w:val="es-CR"/>
        </w:rPr>
        <w:t xml:space="preserve"> </w:t>
      </w:r>
      <w:r w:rsidR="00BC75DB">
        <w:rPr>
          <w:rFonts w:ascii="Verdana" w:hAnsi="Verdana"/>
          <w:sz w:val="20"/>
          <w:szCs w:val="20"/>
          <w:lang w:val="es-CR"/>
        </w:rPr>
        <w:t xml:space="preserve">y </w:t>
      </w:r>
      <w:r w:rsidR="009D2578">
        <w:rPr>
          <w:rFonts w:ascii="Verdana" w:hAnsi="Verdana"/>
          <w:sz w:val="20"/>
          <w:szCs w:val="20"/>
          <w:lang w:val="es-CR"/>
        </w:rPr>
        <w:t>(</w:t>
      </w:r>
      <w:r w:rsidR="00EA52C9">
        <w:rPr>
          <w:rFonts w:ascii="Verdana" w:hAnsi="Verdana"/>
          <w:sz w:val="20"/>
          <w:szCs w:val="20"/>
          <w:lang w:val="es-CR"/>
        </w:rPr>
        <w:t>iii</w:t>
      </w:r>
      <w:r w:rsidR="007612EB">
        <w:rPr>
          <w:rFonts w:ascii="Verdana" w:hAnsi="Verdana"/>
          <w:sz w:val="20"/>
          <w:szCs w:val="20"/>
          <w:lang w:val="es-CR"/>
        </w:rPr>
        <w:t xml:space="preserve">) </w:t>
      </w:r>
      <w:r w:rsidR="00BC75DB">
        <w:rPr>
          <w:rFonts w:ascii="Verdana" w:hAnsi="Verdana"/>
          <w:sz w:val="20"/>
          <w:szCs w:val="20"/>
          <w:lang w:val="es-CR"/>
        </w:rPr>
        <w:t>la</w:t>
      </w:r>
      <w:r w:rsidR="00EA52C9">
        <w:rPr>
          <w:rFonts w:ascii="Verdana" w:hAnsi="Verdana"/>
          <w:sz w:val="20"/>
          <w:szCs w:val="20"/>
          <w:lang w:val="es-CR"/>
        </w:rPr>
        <w:t>s</w:t>
      </w:r>
      <w:r w:rsidR="00BC75DB">
        <w:rPr>
          <w:rFonts w:ascii="Verdana" w:hAnsi="Verdana"/>
          <w:sz w:val="20"/>
          <w:szCs w:val="20"/>
          <w:lang w:val="es-CR"/>
        </w:rPr>
        <w:t xml:space="preserve"> </w:t>
      </w:r>
      <w:r w:rsidR="00EA52C9">
        <w:rPr>
          <w:rFonts w:ascii="Verdana" w:hAnsi="Verdana"/>
          <w:sz w:val="20"/>
          <w:szCs w:val="20"/>
          <w:lang w:val="es-CR"/>
        </w:rPr>
        <w:t>medidas que adoptará</w:t>
      </w:r>
      <w:r w:rsidR="00BC75DB">
        <w:rPr>
          <w:rFonts w:ascii="Verdana" w:hAnsi="Verdana"/>
          <w:sz w:val="20"/>
          <w:szCs w:val="20"/>
          <w:lang w:val="es-CR"/>
        </w:rPr>
        <w:t xml:space="preserve"> </w:t>
      </w:r>
      <w:r w:rsidR="00EA52C9">
        <w:rPr>
          <w:rFonts w:ascii="Verdana" w:hAnsi="Verdana"/>
          <w:sz w:val="20"/>
          <w:szCs w:val="20"/>
          <w:lang w:val="es-CR"/>
        </w:rPr>
        <w:t>para garantizar</w:t>
      </w:r>
      <w:r w:rsidR="00BC75DB">
        <w:rPr>
          <w:rFonts w:ascii="Verdana" w:hAnsi="Verdana"/>
          <w:sz w:val="20"/>
          <w:szCs w:val="20"/>
          <w:lang w:val="es-CR"/>
        </w:rPr>
        <w:t xml:space="preserve"> que dichos programas de capacitación se desarrollen de modo permanente y obligatorio.</w:t>
      </w:r>
      <w:r w:rsidR="00231720">
        <w:rPr>
          <w:rFonts w:ascii="Verdana" w:hAnsi="Verdana"/>
          <w:b/>
          <w:sz w:val="20"/>
          <w:szCs w:val="20"/>
          <w:lang w:val="es-CR"/>
        </w:rPr>
        <w:t xml:space="preserve"> </w:t>
      </w:r>
      <w:r w:rsidR="00BC75DB">
        <w:rPr>
          <w:rFonts w:ascii="Verdana" w:hAnsi="Verdana"/>
          <w:sz w:val="20"/>
          <w:szCs w:val="20"/>
          <w:lang w:val="es-CR"/>
        </w:rPr>
        <w:t>En virtud de lo anterior, este Tribunal considera que se encuentra pendiente de cumplimiento la medida</w:t>
      </w:r>
      <w:r w:rsidR="00CA243D">
        <w:rPr>
          <w:rFonts w:ascii="Verdana" w:hAnsi="Verdana"/>
          <w:sz w:val="20"/>
          <w:szCs w:val="20"/>
          <w:lang w:val="es-CR"/>
        </w:rPr>
        <w:t xml:space="preserve"> ordenada en el punto resolutivo </w:t>
      </w:r>
      <w:r w:rsidR="00CA243D" w:rsidRPr="00C8234D">
        <w:rPr>
          <w:rFonts w:ascii="Verdana" w:hAnsi="Verdana"/>
          <w:sz w:val="20"/>
          <w:szCs w:val="20"/>
          <w:lang w:val="es-CR"/>
        </w:rPr>
        <w:t>décimo segundo</w:t>
      </w:r>
      <w:r w:rsidR="00CA243D">
        <w:rPr>
          <w:rFonts w:ascii="Verdana" w:hAnsi="Verdana"/>
          <w:sz w:val="20"/>
          <w:szCs w:val="20"/>
          <w:lang w:val="es-CR"/>
        </w:rPr>
        <w:t xml:space="preserve"> de la Sentencia</w:t>
      </w:r>
      <w:r w:rsidR="00BC75DB">
        <w:rPr>
          <w:rFonts w:ascii="Verdana" w:hAnsi="Verdana"/>
          <w:sz w:val="20"/>
          <w:szCs w:val="20"/>
          <w:lang w:val="es-CR"/>
        </w:rPr>
        <w:t>.</w:t>
      </w:r>
      <w:bookmarkEnd w:id="25"/>
      <w:r w:rsidR="00BC75DB">
        <w:rPr>
          <w:rFonts w:ascii="Verdana" w:hAnsi="Verdana"/>
          <w:sz w:val="20"/>
          <w:szCs w:val="20"/>
          <w:lang w:val="es-CR"/>
        </w:rPr>
        <w:t xml:space="preserve"> </w:t>
      </w:r>
    </w:p>
    <w:p w14:paraId="6D8F94E5" w14:textId="77777777" w:rsidR="00265E84" w:rsidRDefault="00265E84" w:rsidP="00265E84">
      <w:pPr>
        <w:pStyle w:val="ListParagraph"/>
        <w:rPr>
          <w:rFonts w:ascii="Verdana" w:hAnsi="Verdana"/>
          <w:sz w:val="20"/>
          <w:szCs w:val="20"/>
          <w:lang w:val="es-CR"/>
        </w:rPr>
      </w:pPr>
    </w:p>
    <w:p w14:paraId="136B1A9E" w14:textId="0EE8CB4F" w:rsidR="00265E84" w:rsidRDefault="00265E84" w:rsidP="00265E84">
      <w:pPr>
        <w:pStyle w:val="ListParagraph"/>
        <w:jc w:val="center"/>
        <w:rPr>
          <w:rFonts w:ascii="Verdana" w:hAnsi="Verdana"/>
          <w:sz w:val="20"/>
          <w:szCs w:val="20"/>
          <w:lang w:val="es-CR"/>
        </w:rPr>
      </w:pPr>
      <w:r>
        <w:rPr>
          <w:rFonts w:ascii="Verdana" w:hAnsi="Verdana"/>
          <w:sz w:val="20"/>
          <w:szCs w:val="20"/>
          <w:lang w:val="es-CR"/>
        </w:rPr>
        <w:t>*</w:t>
      </w:r>
    </w:p>
    <w:p w14:paraId="497472F6" w14:textId="77777777" w:rsidR="00265E84" w:rsidRPr="00265E84" w:rsidRDefault="00265E84" w:rsidP="00265E84">
      <w:pPr>
        <w:pStyle w:val="ListParagraph"/>
        <w:rPr>
          <w:rFonts w:ascii="Verdana" w:hAnsi="Verdana"/>
          <w:sz w:val="20"/>
          <w:szCs w:val="20"/>
          <w:lang w:val="es-CR"/>
        </w:rPr>
      </w:pPr>
    </w:p>
    <w:p w14:paraId="424509A3" w14:textId="48ED43D8" w:rsidR="00265E84" w:rsidRPr="0055241C" w:rsidRDefault="00265E84" w:rsidP="00BC75DB">
      <w:pPr>
        <w:pStyle w:val="ListParagraph"/>
        <w:numPr>
          <w:ilvl w:val="0"/>
          <w:numId w:val="2"/>
        </w:numPr>
        <w:spacing w:line="240" w:lineRule="auto"/>
        <w:ind w:left="0" w:firstLine="0"/>
        <w:jc w:val="both"/>
        <w:rPr>
          <w:rFonts w:ascii="Verdana" w:hAnsi="Verdana"/>
          <w:sz w:val="20"/>
          <w:szCs w:val="20"/>
          <w:lang w:val="es-CR"/>
        </w:rPr>
      </w:pPr>
      <w:r w:rsidRPr="0055241C">
        <w:rPr>
          <w:rFonts w:ascii="Verdana" w:hAnsi="Verdana"/>
          <w:sz w:val="20"/>
          <w:szCs w:val="20"/>
          <w:lang w:val="es-CR"/>
        </w:rPr>
        <w:t>La Corte valora positivamente que en los dos años posteriores a la emisión de la Sentencia el Estado ha dado cumplimiento total a cuatro medi</w:t>
      </w:r>
      <w:r w:rsidR="005E2346" w:rsidRPr="0055241C">
        <w:rPr>
          <w:rFonts w:ascii="Verdana" w:hAnsi="Verdana"/>
          <w:sz w:val="20"/>
          <w:szCs w:val="20"/>
          <w:lang w:val="es-CR"/>
        </w:rPr>
        <w:t>d</w:t>
      </w:r>
      <w:r w:rsidRPr="0055241C">
        <w:rPr>
          <w:rFonts w:ascii="Verdana" w:hAnsi="Verdana"/>
          <w:sz w:val="20"/>
          <w:szCs w:val="20"/>
          <w:lang w:val="es-CR"/>
        </w:rPr>
        <w:t>as de reparación y al reintegro al Fondo de Asistencia Legal de Víctimas, y que respecto a las restantes tres</w:t>
      </w:r>
      <w:r w:rsidR="005E2346" w:rsidRPr="0055241C">
        <w:rPr>
          <w:rFonts w:ascii="Verdana" w:hAnsi="Verdana"/>
          <w:sz w:val="20"/>
          <w:szCs w:val="20"/>
          <w:lang w:val="es-CR"/>
        </w:rPr>
        <w:t xml:space="preserve"> reparaciones</w:t>
      </w:r>
      <w:r w:rsidRPr="0055241C">
        <w:rPr>
          <w:rFonts w:ascii="Verdana" w:hAnsi="Verdana"/>
          <w:sz w:val="20"/>
          <w:szCs w:val="20"/>
          <w:lang w:val="es-CR"/>
        </w:rPr>
        <w:t xml:space="preserve"> ha emprendido acciones para dar cumplimiento a los aspectos fundamentales de</w:t>
      </w:r>
      <w:r w:rsidR="005E2346" w:rsidRPr="0055241C">
        <w:rPr>
          <w:rFonts w:ascii="Verdana" w:hAnsi="Verdana"/>
          <w:sz w:val="20"/>
          <w:szCs w:val="20"/>
          <w:lang w:val="es-CR"/>
        </w:rPr>
        <w:t xml:space="preserve"> las mismas</w:t>
      </w:r>
      <w:r w:rsidRPr="0055241C">
        <w:rPr>
          <w:rFonts w:ascii="Verdana" w:hAnsi="Verdana"/>
          <w:sz w:val="20"/>
          <w:szCs w:val="20"/>
          <w:lang w:val="es-CR"/>
        </w:rPr>
        <w:t xml:space="preserve">, quedando </w:t>
      </w:r>
      <w:r w:rsidR="0055241C" w:rsidRPr="0055241C">
        <w:rPr>
          <w:rFonts w:ascii="Verdana" w:hAnsi="Verdana"/>
          <w:sz w:val="20"/>
          <w:szCs w:val="20"/>
          <w:lang w:val="es-CR"/>
        </w:rPr>
        <w:t xml:space="preserve">únicamente </w:t>
      </w:r>
      <w:r w:rsidRPr="0055241C">
        <w:rPr>
          <w:rFonts w:ascii="Verdana" w:hAnsi="Verdana"/>
          <w:sz w:val="20"/>
          <w:szCs w:val="20"/>
          <w:lang w:val="es-CR"/>
        </w:rPr>
        <w:t>pendiente que demuestre el cumplimiento total de la</w:t>
      </w:r>
      <w:r w:rsidR="005E2346" w:rsidRPr="0055241C">
        <w:rPr>
          <w:rFonts w:ascii="Verdana" w:hAnsi="Verdana"/>
          <w:sz w:val="20"/>
          <w:szCs w:val="20"/>
          <w:lang w:val="es-CR"/>
        </w:rPr>
        <w:t>s</w:t>
      </w:r>
      <w:r w:rsidRPr="0055241C">
        <w:rPr>
          <w:rFonts w:ascii="Verdana" w:hAnsi="Verdana"/>
          <w:sz w:val="20"/>
          <w:szCs w:val="20"/>
          <w:lang w:val="es-CR"/>
        </w:rPr>
        <w:t xml:space="preserve"> medida</w:t>
      </w:r>
      <w:r w:rsidR="005E2346" w:rsidRPr="0055241C">
        <w:rPr>
          <w:rFonts w:ascii="Verdana" w:hAnsi="Verdana"/>
          <w:sz w:val="20"/>
          <w:szCs w:val="20"/>
          <w:lang w:val="es-CR"/>
        </w:rPr>
        <w:t xml:space="preserve">s aportando la información solicitada sobre </w:t>
      </w:r>
      <w:r w:rsidRPr="0055241C">
        <w:rPr>
          <w:rFonts w:ascii="Verdana" w:hAnsi="Verdana"/>
          <w:sz w:val="20"/>
          <w:szCs w:val="20"/>
          <w:lang w:val="es-CR"/>
        </w:rPr>
        <w:t>algunos elementos que conforman la ejecución de esas reparaciones (</w:t>
      </w:r>
      <w:r w:rsidRPr="0055241C">
        <w:rPr>
          <w:rFonts w:ascii="Verdana" w:hAnsi="Verdana"/>
          <w:i/>
          <w:sz w:val="20"/>
          <w:szCs w:val="20"/>
          <w:lang w:val="es-CR"/>
        </w:rPr>
        <w:t>supra</w:t>
      </w:r>
      <w:r w:rsidRPr="0055241C">
        <w:rPr>
          <w:rFonts w:ascii="Verdana" w:hAnsi="Verdana"/>
          <w:sz w:val="20"/>
          <w:szCs w:val="20"/>
          <w:lang w:val="es-CR"/>
        </w:rPr>
        <w:t xml:space="preserve"> Considerando 15, 22 y 28).</w:t>
      </w:r>
    </w:p>
    <w:p w14:paraId="0B43FC83" w14:textId="77777777" w:rsidR="00EE5C7F" w:rsidRDefault="00EE5C7F" w:rsidP="007F0094">
      <w:pPr>
        <w:pStyle w:val="ListParagraph"/>
        <w:spacing w:line="240" w:lineRule="auto"/>
        <w:ind w:left="0"/>
        <w:jc w:val="both"/>
        <w:rPr>
          <w:rFonts w:ascii="Verdana" w:hAnsi="Verdana"/>
          <w:sz w:val="20"/>
          <w:szCs w:val="20"/>
          <w:lang w:val="es-CR"/>
        </w:rPr>
      </w:pPr>
    </w:p>
    <w:p w14:paraId="568F8A1F" w14:textId="77777777" w:rsidR="00D6574B" w:rsidRDefault="00D6574B" w:rsidP="00D6574B">
      <w:pPr>
        <w:spacing w:after="0" w:line="240" w:lineRule="auto"/>
        <w:jc w:val="both"/>
        <w:rPr>
          <w:rFonts w:ascii="Verdana" w:hAnsi="Verdana"/>
          <w:b/>
          <w:sz w:val="20"/>
          <w:szCs w:val="20"/>
          <w:lang w:val="es-CR"/>
        </w:rPr>
      </w:pPr>
      <w:r>
        <w:rPr>
          <w:rFonts w:ascii="Verdana" w:hAnsi="Verdana"/>
          <w:b/>
          <w:sz w:val="20"/>
          <w:szCs w:val="20"/>
          <w:lang w:val="es-CR"/>
        </w:rPr>
        <w:t>POR TANTO:</w:t>
      </w:r>
    </w:p>
    <w:p w14:paraId="5BB2A30C" w14:textId="77777777" w:rsidR="00D6574B" w:rsidRDefault="00D6574B" w:rsidP="00D6574B">
      <w:pPr>
        <w:spacing w:after="0" w:line="240" w:lineRule="auto"/>
        <w:jc w:val="both"/>
        <w:rPr>
          <w:rFonts w:ascii="Verdana" w:hAnsi="Verdana"/>
          <w:b/>
          <w:sz w:val="20"/>
          <w:szCs w:val="20"/>
          <w:lang w:val="es-CR"/>
        </w:rPr>
      </w:pPr>
    </w:p>
    <w:p w14:paraId="6F25F0C1" w14:textId="77777777" w:rsidR="00D6574B" w:rsidRDefault="00D6574B" w:rsidP="00D6574B">
      <w:pPr>
        <w:spacing w:after="0" w:line="240" w:lineRule="auto"/>
        <w:jc w:val="both"/>
        <w:rPr>
          <w:rFonts w:ascii="Verdana" w:hAnsi="Verdana"/>
          <w:b/>
          <w:sz w:val="20"/>
          <w:szCs w:val="20"/>
          <w:lang w:val="es-CR"/>
        </w:rPr>
      </w:pPr>
      <w:r>
        <w:rPr>
          <w:rFonts w:ascii="Verdana" w:hAnsi="Verdana"/>
          <w:b/>
          <w:sz w:val="20"/>
          <w:szCs w:val="20"/>
          <w:lang w:val="es-CR"/>
        </w:rPr>
        <w:t xml:space="preserve">LA CORTE INTERAMERICANA DE DERECHOS HUMANOS, </w:t>
      </w:r>
    </w:p>
    <w:p w14:paraId="1D91FD73" w14:textId="77777777" w:rsidR="00D6574B" w:rsidRDefault="00D6574B" w:rsidP="00D6574B">
      <w:pPr>
        <w:spacing w:after="0" w:line="240" w:lineRule="auto"/>
        <w:jc w:val="both"/>
        <w:rPr>
          <w:rFonts w:ascii="Verdana" w:hAnsi="Verdana"/>
          <w:b/>
          <w:sz w:val="20"/>
          <w:szCs w:val="20"/>
          <w:lang w:val="es-CR"/>
        </w:rPr>
      </w:pPr>
    </w:p>
    <w:p w14:paraId="04B4D675" w14:textId="44E753F8" w:rsidR="00D6574B" w:rsidRDefault="00D6574B" w:rsidP="00D6574B">
      <w:pPr>
        <w:spacing w:after="0" w:line="240" w:lineRule="auto"/>
        <w:jc w:val="both"/>
        <w:rPr>
          <w:rFonts w:ascii="Verdana" w:hAnsi="Verdana"/>
          <w:sz w:val="20"/>
          <w:szCs w:val="20"/>
          <w:lang w:val="es-CR"/>
        </w:rPr>
      </w:pPr>
      <w:r w:rsidRPr="00D6574B">
        <w:rPr>
          <w:rFonts w:ascii="Verdana" w:hAnsi="Verdana"/>
          <w:sz w:val="20"/>
          <w:szCs w:val="20"/>
          <w:lang w:val="es-CR"/>
        </w:rPr>
        <w:t>en el ejercicio de sus atribuciones de supervisión del cumplimiento de sus decisiones, de</w:t>
      </w:r>
      <w:r>
        <w:rPr>
          <w:rFonts w:ascii="Verdana" w:hAnsi="Verdana"/>
          <w:sz w:val="20"/>
          <w:szCs w:val="20"/>
          <w:lang w:val="es-CR"/>
        </w:rPr>
        <w:t xml:space="preserve"> </w:t>
      </w:r>
      <w:r w:rsidRPr="00D6574B">
        <w:rPr>
          <w:rFonts w:ascii="Verdana" w:hAnsi="Verdana"/>
          <w:sz w:val="20"/>
          <w:szCs w:val="20"/>
          <w:lang w:val="es-CR"/>
        </w:rPr>
        <w:t>conformidad con los artículos 33, 62.1, 62.3, 65, 67 y 68.1 de la Convención Americana</w:t>
      </w:r>
      <w:r>
        <w:rPr>
          <w:rFonts w:ascii="Verdana" w:hAnsi="Verdana"/>
          <w:sz w:val="20"/>
          <w:szCs w:val="20"/>
          <w:lang w:val="es-CR"/>
        </w:rPr>
        <w:t xml:space="preserve"> </w:t>
      </w:r>
      <w:r w:rsidRPr="00D6574B">
        <w:rPr>
          <w:rFonts w:ascii="Verdana" w:hAnsi="Verdana"/>
          <w:sz w:val="20"/>
          <w:szCs w:val="20"/>
          <w:lang w:val="es-CR"/>
        </w:rPr>
        <w:t>sobre Derechos Humanos, 24, 25 y 30 del Estatuto de la Corte</w:t>
      </w:r>
      <w:r w:rsidR="003D12CF">
        <w:rPr>
          <w:rFonts w:ascii="Verdana" w:hAnsi="Verdana"/>
          <w:sz w:val="20"/>
          <w:szCs w:val="20"/>
          <w:lang w:val="es-CR"/>
        </w:rPr>
        <w:t xml:space="preserve"> y</w:t>
      </w:r>
      <w:r w:rsidRPr="00D6574B">
        <w:rPr>
          <w:rFonts w:ascii="Verdana" w:hAnsi="Verdana"/>
          <w:sz w:val="20"/>
          <w:szCs w:val="20"/>
          <w:lang w:val="es-CR"/>
        </w:rPr>
        <w:t xml:space="preserve"> 31.2 y 69 de su</w:t>
      </w:r>
      <w:r>
        <w:rPr>
          <w:rFonts w:ascii="Verdana" w:hAnsi="Verdana"/>
          <w:sz w:val="20"/>
          <w:szCs w:val="20"/>
          <w:lang w:val="es-CR"/>
        </w:rPr>
        <w:t xml:space="preserve"> </w:t>
      </w:r>
      <w:r w:rsidRPr="00D6574B">
        <w:rPr>
          <w:rFonts w:ascii="Verdana" w:hAnsi="Verdana"/>
          <w:sz w:val="20"/>
          <w:szCs w:val="20"/>
          <w:lang w:val="es-CR"/>
        </w:rPr>
        <w:t>Reglamento,</w:t>
      </w:r>
    </w:p>
    <w:p w14:paraId="28940A64" w14:textId="77777777" w:rsidR="00D6574B" w:rsidRDefault="00D6574B" w:rsidP="00D6574B">
      <w:pPr>
        <w:spacing w:after="0" w:line="240" w:lineRule="auto"/>
        <w:jc w:val="both"/>
        <w:rPr>
          <w:rFonts w:ascii="Verdana" w:hAnsi="Verdana"/>
          <w:sz w:val="20"/>
          <w:szCs w:val="20"/>
          <w:lang w:val="es-CR"/>
        </w:rPr>
      </w:pPr>
    </w:p>
    <w:p w14:paraId="0BDD125B" w14:textId="77777777" w:rsidR="00EE47C9" w:rsidRDefault="00EE47C9" w:rsidP="00D6574B">
      <w:pPr>
        <w:spacing w:after="0" w:line="240" w:lineRule="auto"/>
        <w:jc w:val="both"/>
        <w:rPr>
          <w:rFonts w:ascii="Verdana" w:hAnsi="Verdana"/>
          <w:sz w:val="20"/>
          <w:szCs w:val="20"/>
          <w:lang w:val="es-CR"/>
        </w:rPr>
      </w:pPr>
    </w:p>
    <w:p w14:paraId="525F6788" w14:textId="77777777" w:rsidR="00D6574B" w:rsidRDefault="00D6574B" w:rsidP="00D6574B">
      <w:pPr>
        <w:spacing w:after="0" w:line="240" w:lineRule="auto"/>
        <w:jc w:val="both"/>
        <w:rPr>
          <w:rFonts w:ascii="Verdana" w:hAnsi="Verdana"/>
          <w:b/>
          <w:sz w:val="20"/>
          <w:szCs w:val="20"/>
          <w:lang w:val="es-CR"/>
        </w:rPr>
      </w:pPr>
      <w:r>
        <w:rPr>
          <w:rFonts w:ascii="Verdana" w:hAnsi="Verdana"/>
          <w:b/>
          <w:sz w:val="20"/>
          <w:szCs w:val="20"/>
          <w:lang w:val="es-CR"/>
        </w:rPr>
        <w:t>RESUELVE:</w:t>
      </w:r>
    </w:p>
    <w:p w14:paraId="3113B801" w14:textId="77777777" w:rsidR="00D6574B" w:rsidRDefault="00D6574B" w:rsidP="00D6574B">
      <w:pPr>
        <w:spacing w:after="0" w:line="240" w:lineRule="auto"/>
        <w:jc w:val="both"/>
        <w:rPr>
          <w:rFonts w:ascii="Verdana" w:hAnsi="Verdana"/>
          <w:b/>
          <w:sz w:val="20"/>
          <w:szCs w:val="20"/>
          <w:lang w:val="es-CR"/>
        </w:rPr>
      </w:pPr>
    </w:p>
    <w:p w14:paraId="5C86D1E8" w14:textId="798D28AF" w:rsidR="00D6574B" w:rsidRDefault="00D6574B" w:rsidP="006B7B2A">
      <w:pPr>
        <w:pStyle w:val="ListParagraph"/>
        <w:numPr>
          <w:ilvl w:val="0"/>
          <w:numId w:val="6"/>
        </w:numPr>
        <w:spacing w:after="0" w:line="240" w:lineRule="auto"/>
        <w:ind w:left="0" w:firstLine="0"/>
        <w:jc w:val="both"/>
        <w:rPr>
          <w:rFonts w:ascii="Verdana" w:hAnsi="Verdana"/>
          <w:sz w:val="20"/>
          <w:szCs w:val="20"/>
          <w:lang w:val="es-CR"/>
        </w:rPr>
      </w:pPr>
      <w:r>
        <w:rPr>
          <w:rFonts w:ascii="Verdana" w:hAnsi="Verdana"/>
          <w:sz w:val="20"/>
          <w:szCs w:val="20"/>
          <w:lang w:val="es-CR"/>
        </w:rPr>
        <w:t>Declarar, de conformidad con los Considerando</w:t>
      </w:r>
      <w:r w:rsidR="00CE7424">
        <w:rPr>
          <w:rFonts w:ascii="Verdana" w:hAnsi="Verdana"/>
          <w:sz w:val="20"/>
          <w:szCs w:val="20"/>
          <w:lang w:val="es-CR"/>
        </w:rPr>
        <w:t>s</w:t>
      </w:r>
      <w:r>
        <w:rPr>
          <w:rFonts w:ascii="Verdana" w:hAnsi="Verdana"/>
          <w:sz w:val="20"/>
          <w:szCs w:val="20"/>
          <w:lang w:val="es-CR"/>
        </w:rPr>
        <w:t xml:space="preserve"> </w:t>
      </w:r>
      <w:r w:rsidR="003D12CF">
        <w:rPr>
          <w:rFonts w:ascii="Verdana" w:hAnsi="Verdana"/>
          <w:sz w:val="20"/>
          <w:szCs w:val="20"/>
          <w:lang w:val="es-CR"/>
        </w:rPr>
        <w:fldChar w:fldCharType="begin"/>
      </w:r>
      <w:r w:rsidR="003D12CF">
        <w:rPr>
          <w:rFonts w:ascii="Verdana" w:hAnsi="Verdana"/>
          <w:sz w:val="20"/>
          <w:szCs w:val="20"/>
          <w:lang w:val="es-CR"/>
        </w:rPr>
        <w:instrText xml:space="preserve"> REF _Ref530489467 \r \h </w:instrText>
      </w:r>
      <w:r w:rsidR="003D12CF">
        <w:rPr>
          <w:rFonts w:ascii="Verdana" w:hAnsi="Verdana"/>
          <w:sz w:val="20"/>
          <w:szCs w:val="20"/>
          <w:lang w:val="es-CR"/>
        </w:rPr>
      </w:r>
      <w:r w:rsidR="003D12CF">
        <w:rPr>
          <w:rFonts w:ascii="Verdana" w:hAnsi="Verdana"/>
          <w:sz w:val="20"/>
          <w:szCs w:val="20"/>
          <w:lang w:val="es-CR"/>
        </w:rPr>
        <w:fldChar w:fldCharType="separate"/>
      </w:r>
      <w:r w:rsidR="00AE1507">
        <w:rPr>
          <w:rFonts w:ascii="Verdana" w:hAnsi="Verdana"/>
          <w:sz w:val="20"/>
          <w:szCs w:val="20"/>
          <w:lang w:val="es-CR"/>
        </w:rPr>
        <w:t>15</w:t>
      </w:r>
      <w:r w:rsidR="003D12CF">
        <w:rPr>
          <w:rFonts w:ascii="Verdana" w:hAnsi="Verdana"/>
          <w:sz w:val="20"/>
          <w:szCs w:val="20"/>
          <w:lang w:val="es-CR"/>
        </w:rPr>
        <w:fldChar w:fldCharType="end"/>
      </w:r>
      <w:r w:rsidR="003D12CF">
        <w:rPr>
          <w:rFonts w:ascii="Verdana" w:hAnsi="Verdana"/>
          <w:sz w:val="20"/>
          <w:szCs w:val="20"/>
          <w:lang w:val="es-CR"/>
        </w:rPr>
        <w:t xml:space="preserve"> y </w:t>
      </w:r>
      <w:r w:rsidR="003D12CF">
        <w:rPr>
          <w:rFonts w:ascii="Verdana" w:hAnsi="Verdana"/>
          <w:sz w:val="20"/>
          <w:szCs w:val="20"/>
          <w:lang w:val="es-CR"/>
        </w:rPr>
        <w:fldChar w:fldCharType="begin"/>
      </w:r>
      <w:r w:rsidR="003D12CF">
        <w:rPr>
          <w:rFonts w:ascii="Verdana" w:hAnsi="Verdana"/>
          <w:sz w:val="20"/>
          <w:szCs w:val="20"/>
          <w:lang w:val="es-CR"/>
        </w:rPr>
        <w:instrText xml:space="preserve"> REF _Ref530489471 \r \h </w:instrText>
      </w:r>
      <w:r w:rsidR="003D12CF">
        <w:rPr>
          <w:rFonts w:ascii="Verdana" w:hAnsi="Verdana"/>
          <w:sz w:val="20"/>
          <w:szCs w:val="20"/>
          <w:lang w:val="es-CR"/>
        </w:rPr>
      </w:r>
      <w:r w:rsidR="003D12CF">
        <w:rPr>
          <w:rFonts w:ascii="Verdana" w:hAnsi="Verdana"/>
          <w:sz w:val="20"/>
          <w:szCs w:val="20"/>
          <w:lang w:val="es-CR"/>
        </w:rPr>
        <w:fldChar w:fldCharType="separate"/>
      </w:r>
      <w:r w:rsidR="00AE1507">
        <w:rPr>
          <w:rFonts w:ascii="Verdana" w:hAnsi="Verdana"/>
          <w:sz w:val="20"/>
          <w:szCs w:val="20"/>
          <w:lang w:val="es-CR"/>
        </w:rPr>
        <w:t>22</w:t>
      </w:r>
      <w:r w:rsidR="003D12CF">
        <w:rPr>
          <w:rFonts w:ascii="Verdana" w:hAnsi="Verdana"/>
          <w:sz w:val="20"/>
          <w:szCs w:val="20"/>
          <w:lang w:val="es-CR"/>
        </w:rPr>
        <w:fldChar w:fldCharType="end"/>
      </w:r>
      <w:r w:rsidR="00231720">
        <w:rPr>
          <w:rFonts w:ascii="Verdana" w:hAnsi="Verdana"/>
          <w:sz w:val="20"/>
          <w:szCs w:val="20"/>
          <w:lang w:val="es-CR"/>
        </w:rPr>
        <w:t xml:space="preserve"> </w:t>
      </w:r>
      <w:r>
        <w:rPr>
          <w:rFonts w:ascii="Verdana" w:hAnsi="Verdana"/>
          <w:sz w:val="20"/>
          <w:szCs w:val="20"/>
          <w:lang w:val="es-CR"/>
        </w:rPr>
        <w:t xml:space="preserve">de la presente Resolución, que el Estado Plurinacional de Bolivia ha dado cumplimiento </w:t>
      </w:r>
      <w:r w:rsidR="004079A5">
        <w:rPr>
          <w:rFonts w:ascii="Verdana" w:hAnsi="Verdana"/>
          <w:sz w:val="20"/>
          <w:szCs w:val="20"/>
          <w:lang w:val="es-CR"/>
        </w:rPr>
        <w:t>parcial</w:t>
      </w:r>
      <w:r>
        <w:rPr>
          <w:rFonts w:ascii="Verdana" w:hAnsi="Verdana"/>
          <w:sz w:val="20"/>
          <w:szCs w:val="20"/>
          <w:lang w:val="es-CR"/>
        </w:rPr>
        <w:t xml:space="preserve"> a la</w:t>
      </w:r>
      <w:r w:rsidR="004079A5">
        <w:rPr>
          <w:rFonts w:ascii="Verdana" w:hAnsi="Verdana"/>
          <w:sz w:val="20"/>
          <w:szCs w:val="20"/>
          <w:lang w:val="es-CR"/>
        </w:rPr>
        <w:t>s</w:t>
      </w:r>
      <w:r>
        <w:rPr>
          <w:rFonts w:ascii="Verdana" w:hAnsi="Verdana"/>
          <w:sz w:val="20"/>
          <w:szCs w:val="20"/>
          <w:lang w:val="es-CR"/>
        </w:rPr>
        <w:t xml:space="preserve"> siguiente</w:t>
      </w:r>
      <w:r w:rsidR="004079A5">
        <w:rPr>
          <w:rFonts w:ascii="Verdana" w:hAnsi="Verdana"/>
          <w:sz w:val="20"/>
          <w:szCs w:val="20"/>
          <w:lang w:val="es-CR"/>
        </w:rPr>
        <w:t>s</w:t>
      </w:r>
      <w:r>
        <w:rPr>
          <w:rFonts w:ascii="Verdana" w:hAnsi="Verdana"/>
          <w:sz w:val="20"/>
          <w:szCs w:val="20"/>
          <w:lang w:val="es-CR"/>
        </w:rPr>
        <w:t xml:space="preserve"> medida</w:t>
      </w:r>
      <w:r w:rsidR="004079A5">
        <w:rPr>
          <w:rFonts w:ascii="Verdana" w:hAnsi="Verdana"/>
          <w:sz w:val="20"/>
          <w:szCs w:val="20"/>
          <w:lang w:val="es-CR"/>
        </w:rPr>
        <w:t>s</w:t>
      </w:r>
      <w:r>
        <w:rPr>
          <w:rFonts w:ascii="Verdana" w:hAnsi="Verdana"/>
          <w:sz w:val="20"/>
          <w:szCs w:val="20"/>
          <w:lang w:val="es-CR"/>
        </w:rPr>
        <w:t xml:space="preserve"> de reparación: </w:t>
      </w:r>
    </w:p>
    <w:p w14:paraId="3B2F9F6D" w14:textId="77777777" w:rsidR="00D6574B" w:rsidRPr="00EE5C7F" w:rsidRDefault="00D6574B" w:rsidP="004079A5">
      <w:pPr>
        <w:spacing w:after="0" w:line="240" w:lineRule="auto"/>
        <w:jc w:val="both"/>
        <w:rPr>
          <w:sz w:val="18"/>
          <w:szCs w:val="18"/>
          <w:lang w:val="es-CR"/>
        </w:rPr>
      </w:pPr>
    </w:p>
    <w:p w14:paraId="2D03F2E3" w14:textId="35F8AFBC" w:rsidR="00D6574B" w:rsidRPr="00C2032E" w:rsidRDefault="00D6574B" w:rsidP="004079A5">
      <w:pPr>
        <w:pStyle w:val="ListParagraph"/>
        <w:numPr>
          <w:ilvl w:val="0"/>
          <w:numId w:val="7"/>
        </w:numPr>
        <w:spacing w:after="0" w:line="240" w:lineRule="auto"/>
        <w:jc w:val="both"/>
        <w:rPr>
          <w:rFonts w:ascii="Verdana" w:hAnsi="Verdana"/>
          <w:sz w:val="20"/>
          <w:szCs w:val="20"/>
          <w:lang w:val="es-CR"/>
        </w:rPr>
      </w:pPr>
      <w:r w:rsidRPr="00C2032E">
        <w:rPr>
          <w:rFonts w:ascii="Verdana" w:hAnsi="Verdana"/>
          <w:sz w:val="20"/>
          <w:szCs w:val="20"/>
          <w:lang w:val="es-CR"/>
        </w:rPr>
        <w:t>brindar gratuitamente, a través de sus instituciones de salud especializadas, y de forma inmediata, adecuada y efectiva, el tratamiento médico y, específicamente en salud sexual y reproductiva, así como tratamiento psicológico y/o psiquiátrico, a la señora I.V. (</w:t>
      </w:r>
      <w:r w:rsidRPr="00C2032E">
        <w:rPr>
          <w:rFonts w:ascii="Verdana" w:hAnsi="Verdana"/>
          <w:i/>
          <w:sz w:val="20"/>
          <w:szCs w:val="20"/>
          <w:lang w:val="es-CR"/>
        </w:rPr>
        <w:t>punto resolutivo octavo de la Sentencia</w:t>
      </w:r>
      <w:r w:rsidR="00DD6B62" w:rsidRPr="00C2032E">
        <w:rPr>
          <w:rFonts w:ascii="Verdana" w:hAnsi="Verdana"/>
          <w:sz w:val="20"/>
          <w:szCs w:val="20"/>
          <w:lang w:val="es-CR"/>
        </w:rPr>
        <w:t>)</w:t>
      </w:r>
      <w:r w:rsidR="00800CAA" w:rsidRPr="00C2032E">
        <w:rPr>
          <w:rFonts w:ascii="Verdana" w:hAnsi="Verdana"/>
          <w:sz w:val="20"/>
          <w:szCs w:val="20"/>
          <w:lang w:val="es-CR"/>
        </w:rPr>
        <w:t>, y</w:t>
      </w:r>
    </w:p>
    <w:p w14:paraId="03C519BE" w14:textId="015F8635" w:rsidR="004079A5" w:rsidRPr="00C2032E" w:rsidRDefault="004079A5" w:rsidP="004079A5">
      <w:pPr>
        <w:pStyle w:val="ListParagraph"/>
        <w:numPr>
          <w:ilvl w:val="0"/>
          <w:numId w:val="7"/>
        </w:numPr>
        <w:spacing w:after="0" w:line="240" w:lineRule="auto"/>
        <w:jc w:val="both"/>
        <w:rPr>
          <w:rFonts w:ascii="Verdana" w:hAnsi="Verdana"/>
          <w:sz w:val="20"/>
          <w:szCs w:val="20"/>
          <w:lang w:val="es-CR"/>
        </w:rPr>
      </w:pPr>
      <w:r w:rsidRPr="00C2032E">
        <w:rPr>
          <w:rFonts w:ascii="Verdana" w:hAnsi="Verdana"/>
          <w:sz w:val="20"/>
          <w:szCs w:val="20"/>
          <w:lang w:val="es-CR"/>
        </w:rPr>
        <w:t>diseñar una publicación o cartilla que desarrolle en forma sintética, clara y accesible los derechos de las mujeres en cuanto a su salud sexual y reproductiva, en la que se deberá hacer mención específica al consentimiento previo, libre, pleno e informado (</w:t>
      </w:r>
      <w:r w:rsidRPr="00C2032E">
        <w:rPr>
          <w:rFonts w:ascii="Verdana" w:hAnsi="Verdana"/>
          <w:i/>
          <w:sz w:val="20"/>
          <w:szCs w:val="20"/>
          <w:lang w:val="es-CR"/>
        </w:rPr>
        <w:t>punto resolutivo décimo primero de la Sentencia</w:t>
      </w:r>
      <w:r w:rsidRPr="00C2032E">
        <w:rPr>
          <w:rFonts w:ascii="Verdana" w:hAnsi="Verdana"/>
          <w:sz w:val="20"/>
          <w:szCs w:val="20"/>
          <w:lang w:val="es-CR"/>
        </w:rPr>
        <w:t>)</w:t>
      </w:r>
      <w:r w:rsidR="00C2032E">
        <w:rPr>
          <w:rFonts w:ascii="Verdana" w:hAnsi="Verdana"/>
          <w:sz w:val="20"/>
          <w:szCs w:val="20"/>
          <w:lang w:val="es-CR"/>
        </w:rPr>
        <w:t xml:space="preserve">, </w:t>
      </w:r>
      <w:r w:rsidR="00C2032E" w:rsidRPr="00EE47C9">
        <w:rPr>
          <w:rFonts w:ascii="Verdana" w:hAnsi="Verdana"/>
          <w:sz w:val="20"/>
          <w:szCs w:val="20"/>
          <w:lang w:val="es-CR"/>
        </w:rPr>
        <w:t xml:space="preserve">ya que Bolivia cumplió con elaborar la referida carta de derechos, quedando pendiente que acredite lo solicitado </w:t>
      </w:r>
      <w:r w:rsidR="00C2032E" w:rsidRPr="00EE47C9">
        <w:rPr>
          <w:rFonts w:ascii="Verdana" w:hAnsi="Verdana"/>
          <w:sz w:val="20"/>
          <w:szCs w:val="20"/>
          <w:lang w:val="es-CR"/>
        </w:rPr>
        <w:lastRenderedPageBreak/>
        <w:t xml:space="preserve">en el Considerando 22 </w:t>
      </w:r>
      <w:r w:rsidR="00821BD0" w:rsidRPr="00EE47C9">
        <w:rPr>
          <w:rFonts w:ascii="Verdana" w:hAnsi="Verdana"/>
          <w:sz w:val="20"/>
          <w:szCs w:val="20"/>
          <w:lang w:val="es-CR"/>
        </w:rPr>
        <w:t>de la presente Resolución respecto de la disponibilidad y difusión de la misma</w:t>
      </w:r>
      <w:r w:rsidR="00800CAA" w:rsidRPr="00EE47C9">
        <w:rPr>
          <w:rFonts w:ascii="Verdana" w:hAnsi="Verdana"/>
          <w:sz w:val="20"/>
          <w:szCs w:val="20"/>
          <w:lang w:val="es-CR"/>
        </w:rPr>
        <w:t>.</w:t>
      </w:r>
      <w:r w:rsidRPr="00EE47C9">
        <w:rPr>
          <w:rFonts w:ascii="Verdana" w:hAnsi="Verdana"/>
          <w:sz w:val="20"/>
          <w:szCs w:val="20"/>
          <w:lang w:val="es-CR"/>
        </w:rPr>
        <w:t xml:space="preserve"> </w:t>
      </w:r>
    </w:p>
    <w:p w14:paraId="0B89C396" w14:textId="77777777" w:rsidR="006B7B2A" w:rsidRDefault="006B7B2A" w:rsidP="006B7B2A">
      <w:pPr>
        <w:spacing w:after="0" w:line="240" w:lineRule="auto"/>
        <w:jc w:val="both"/>
        <w:rPr>
          <w:rFonts w:ascii="Verdana" w:hAnsi="Verdana"/>
          <w:sz w:val="20"/>
          <w:szCs w:val="20"/>
          <w:lang w:val="es-CR"/>
        </w:rPr>
      </w:pPr>
    </w:p>
    <w:p w14:paraId="4A754368" w14:textId="77777777" w:rsidR="007C4C0D" w:rsidRDefault="007C4C0D" w:rsidP="006B7B2A">
      <w:pPr>
        <w:spacing w:after="0" w:line="240" w:lineRule="auto"/>
        <w:jc w:val="both"/>
        <w:rPr>
          <w:rFonts w:ascii="Verdana" w:hAnsi="Verdana"/>
          <w:sz w:val="20"/>
          <w:szCs w:val="20"/>
          <w:lang w:val="es-CR"/>
        </w:rPr>
      </w:pPr>
    </w:p>
    <w:p w14:paraId="3F211228" w14:textId="456E4CCE" w:rsidR="00577E6E" w:rsidRDefault="006B7B2A" w:rsidP="00577E6E">
      <w:pPr>
        <w:pStyle w:val="ListParagraph"/>
        <w:numPr>
          <w:ilvl w:val="0"/>
          <w:numId w:val="6"/>
        </w:numPr>
        <w:spacing w:after="0" w:line="240" w:lineRule="auto"/>
        <w:ind w:left="0" w:firstLine="0"/>
        <w:jc w:val="both"/>
        <w:rPr>
          <w:rFonts w:ascii="Verdana" w:hAnsi="Verdana"/>
          <w:sz w:val="20"/>
          <w:szCs w:val="20"/>
          <w:lang w:val="es-CR"/>
        </w:rPr>
      </w:pPr>
      <w:r w:rsidRPr="006B7B2A">
        <w:rPr>
          <w:rFonts w:ascii="Verdana" w:hAnsi="Verdana"/>
          <w:sz w:val="20"/>
          <w:szCs w:val="20"/>
          <w:lang w:val="es-CR"/>
        </w:rPr>
        <w:t>De conformidad con lo indicado en l</w:t>
      </w:r>
      <w:r w:rsidR="003D12CF">
        <w:rPr>
          <w:rFonts w:ascii="Verdana" w:hAnsi="Verdana"/>
          <w:sz w:val="20"/>
          <w:szCs w:val="20"/>
          <w:lang w:val="es-CR"/>
        </w:rPr>
        <w:t>os</w:t>
      </w:r>
      <w:r w:rsidRPr="006B7B2A">
        <w:rPr>
          <w:rFonts w:ascii="Verdana" w:hAnsi="Verdana"/>
          <w:sz w:val="20"/>
          <w:szCs w:val="20"/>
          <w:lang w:val="es-CR"/>
        </w:rPr>
        <w:t xml:space="preserve"> Considerando</w:t>
      </w:r>
      <w:r w:rsidR="003D12CF">
        <w:rPr>
          <w:rFonts w:ascii="Verdana" w:hAnsi="Verdana"/>
          <w:sz w:val="20"/>
          <w:szCs w:val="20"/>
          <w:lang w:val="es-CR"/>
        </w:rPr>
        <w:t>s</w:t>
      </w:r>
      <w:r w:rsidRPr="006B7B2A">
        <w:rPr>
          <w:rFonts w:ascii="Verdana" w:hAnsi="Verdana"/>
          <w:sz w:val="20"/>
          <w:szCs w:val="20"/>
          <w:lang w:val="es-CR"/>
        </w:rPr>
        <w:t xml:space="preserve"> </w:t>
      </w:r>
      <w:r w:rsidR="003D12CF">
        <w:rPr>
          <w:rFonts w:ascii="Verdana" w:hAnsi="Verdana"/>
          <w:sz w:val="20"/>
          <w:szCs w:val="20"/>
          <w:lang w:val="es-CR"/>
        </w:rPr>
        <w:fldChar w:fldCharType="begin"/>
      </w:r>
      <w:r w:rsidR="003D12CF">
        <w:rPr>
          <w:rFonts w:ascii="Verdana" w:hAnsi="Verdana"/>
          <w:sz w:val="20"/>
          <w:szCs w:val="20"/>
          <w:lang w:val="es-CR"/>
        </w:rPr>
        <w:instrText xml:space="preserve"> REF _Ref530489467 \r \h </w:instrText>
      </w:r>
      <w:r w:rsidR="003D12CF">
        <w:rPr>
          <w:rFonts w:ascii="Verdana" w:hAnsi="Verdana"/>
          <w:sz w:val="20"/>
          <w:szCs w:val="20"/>
          <w:lang w:val="es-CR"/>
        </w:rPr>
      </w:r>
      <w:r w:rsidR="003D12CF">
        <w:rPr>
          <w:rFonts w:ascii="Verdana" w:hAnsi="Verdana"/>
          <w:sz w:val="20"/>
          <w:szCs w:val="20"/>
          <w:lang w:val="es-CR"/>
        </w:rPr>
        <w:fldChar w:fldCharType="separate"/>
      </w:r>
      <w:r w:rsidR="00AE1507">
        <w:rPr>
          <w:rFonts w:ascii="Verdana" w:hAnsi="Verdana"/>
          <w:sz w:val="20"/>
          <w:szCs w:val="20"/>
          <w:lang w:val="es-CR"/>
        </w:rPr>
        <w:t>15</w:t>
      </w:r>
      <w:r w:rsidR="003D12CF">
        <w:rPr>
          <w:rFonts w:ascii="Verdana" w:hAnsi="Verdana"/>
          <w:sz w:val="20"/>
          <w:szCs w:val="20"/>
          <w:lang w:val="es-CR"/>
        </w:rPr>
        <w:fldChar w:fldCharType="end"/>
      </w:r>
      <w:r w:rsidR="003D12CF">
        <w:rPr>
          <w:rFonts w:ascii="Verdana" w:hAnsi="Verdana"/>
          <w:sz w:val="20"/>
          <w:szCs w:val="20"/>
          <w:lang w:val="es-CR"/>
        </w:rPr>
        <w:t xml:space="preserve">, </w:t>
      </w:r>
      <w:r w:rsidR="003D12CF">
        <w:rPr>
          <w:rFonts w:ascii="Verdana" w:hAnsi="Verdana"/>
          <w:sz w:val="20"/>
          <w:szCs w:val="20"/>
          <w:lang w:val="es-CR"/>
        </w:rPr>
        <w:fldChar w:fldCharType="begin"/>
      </w:r>
      <w:r w:rsidR="003D12CF">
        <w:rPr>
          <w:rFonts w:ascii="Verdana" w:hAnsi="Verdana"/>
          <w:sz w:val="20"/>
          <w:szCs w:val="20"/>
          <w:lang w:val="es-CR"/>
        </w:rPr>
        <w:instrText xml:space="preserve"> REF _Ref530489471 \r \h </w:instrText>
      </w:r>
      <w:r w:rsidR="003D12CF">
        <w:rPr>
          <w:rFonts w:ascii="Verdana" w:hAnsi="Verdana"/>
          <w:sz w:val="20"/>
          <w:szCs w:val="20"/>
          <w:lang w:val="es-CR"/>
        </w:rPr>
      </w:r>
      <w:r w:rsidR="003D12CF">
        <w:rPr>
          <w:rFonts w:ascii="Verdana" w:hAnsi="Verdana"/>
          <w:sz w:val="20"/>
          <w:szCs w:val="20"/>
          <w:lang w:val="es-CR"/>
        </w:rPr>
        <w:fldChar w:fldCharType="separate"/>
      </w:r>
      <w:r w:rsidR="00AE1507">
        <w:rPr>
          <w:rFonts w:ascii="Verdana" w:hAnsi="Verdana"/>
          <w:sz w:val="20"/>
          <w:szCs w:val="20"/>
          <w:lang w:val="es-CR"/>
        </w:rPr>
        <w:t>22</w:t>
      </w:r>
      <w:r w:rsidR="003D12CF">
        <w:rPr>
          <w:rFonts w:ascii="Verdana" w:hAnsi="Verdana"/>
          <w:sz w:val="20"/>
          <w:szCs w:val="20"/>
          <w:lang w:val="es-CR"/>
        </w:rPr>
        <w:fldChar w:fldCharType="end"/>
      </w:r>
      <w:r w:rsidR="003D12CF">
        <w:rPr>
          <w:rFonts w:ascii="Verdana" w:hAnsi="Verdana"/>
          <w:sz w:val="20"/>
          <w:szCs w:val="20"/>
          <w:lang w:val="es-CR"/>
        </w:rPr>
        <w:t xml:space="preserve"> y </w:t>
      </w:r>
      <w:r w:rsidR="003D12CF">
        <w:rPr>
          <w:rFonts w:ascii="Verdana" w:hAnsi="Verdana"/>
          <w:sz w:val="20"/>
          <w:szCs w:val="20"/>
          <w:lang w:val="es-CR"/>
        </w:rPr>
        <w:fldChar w:fldCharType="begin"/>
      </w:r>
      <w:r w:rsidR="003D12CF">
        <w:rPr>
          <w:rFonts w:ascii="Verdana" w:hAnsi="Verdana"/>
          <w:sz w:val="20"/>
          <w:szCs w:val="20"/>
          <w:lang w:val="es-CR"/>
        </w:rPr>
        <w:instrText xml:space="preserve"> REF _Ref530489673 \r \h </w:instrText>
      </w:r>
      <w:r w:rsidR="003D12CF">
        <w:rPr>
          <w:rFonts w:ascii="Verdana" w:hAnsi="Verdana"/>
          <w:sz w:val="20"/>
          <w:szCs w:val="20"/>
          <w:lang w:val="es-CR"/>
        </w:rPr>
      </w:r>
      <w:r w:rsidR="003D12CF">
        <w:rPr>
          <w:rFonts w:ascii="Verdana" w:hAnsi="Verdana"/>
          <w:sz w:val="20"/>
          <w:szCs w:val="20"/>
          <w:lang w:val="es-CR"/>
        </w:rPr>
        <w:fldChar w:fldCharType="separate"/>
      </w:r>
      <w:r w:rsidR="00AE1507">
        <w:rPr>
          <w:rFonts w:ascii="Verdana" w:hAnsi="Verdana"/>
          <w:sz w:val="20"/>
          <w:szCs w:val="20"/>
          <w:lang w:val="es-CR"/>
        </w:rPr>
        <w:t>28</w:t>
      </w:r>
      <w:r w:rsidR="003D12CF">
        <w:rPr>
          <w:rFonts w:ascii="Verdana" w:hAnsi="Verdana"/>
          <w:sz w:val="20"/>
          <w:szCs w:val="20"/>
          <w:lang w:val="es-CR"/>
        </w:rPr>
        <w:fldChar w:fldCharType="end"/>
      </w:r>
      <w:r w:rsidRPr="006B7B2A">
        <w:rPr>
          <w:rFonts w:ascii="Verdana" w:hAnsi="Verdana"/>
          <w:sz w:val="20"/>
          <w:szCs w:val="20"/>
          <w:lang w:val="es-CR"/>
        </w:rPr>
        <w:t xml:space="preserve"> de la presente Resolución, mantener abierto el procedimiento de supervisión de cumplimiento de la</w:t>
      </w:r>
      <w:r w:rsidR="00577E6E">
        <w:rPr>
          <w:rFonts w:ascii="Verdana" w:hAnsi="Verdana"/>
          <w:sz w:val="20"/>
          <w:szCs w:val="20"/>
          <w:lang w:val="es-CR"/>
        </w:rPr>
        <w:t xml:space="preserve">s siguientes medidas: </w:t>
      </w:r>
    </w:p>
    <w:p w14:paraId="0719B56C" w14:textId="77777777" w:rsidR="00800CAA" w:rsidRDefault="00800CAA" w:rsidP="00800CAA">
      <w:pPr>
        <w:pStyle w:val="ListParagraph"/>
        <w:spacing w:after="0" w:line="240" w:lineRule="auto"/>
        <w:ind w:left="0"/>
        <w:jc w:val="both"/>
        <w:rPr>
          <w:rFonts w:ascii="Verdana" w:hAnsi="Verdana"/>
          <w:sz w:val="20"/>
          <w:szCs w:val="20"/>
          <w:lang w:val="es-CR"/>
        </w:rPr>
      </w:pPr>
    </w:p>
    <w:p w14:paraId="53980DF6" w14:textId="43CCF32A" w:rsidR="00800CAA" w:rsidRPr="00C2032E" w:rsidRDefault="00800CAA" w:rsidP="00800CAA">
      <w:pPr>
        <w:pStyle w:val="ListParagraph"/>
        <w:numPr>
          <w:ilvl w:val="0"/>
          <w:numId w:val="9"/>
        </w:numPr>
        <w:spacing w:after="0" w:line="240" w:lineRule="auto"/>
        <w:jc w:val="both"/>
        <w:rPr>
          <w:rFonts w:ascii="Verdana" w:hAnsi="Verdana"/>
          <w:sz w:val="20"/>
          <w:szCs w:val="20"/>
          <w:lang w:val="es-CR"/>
        </w:rPr>
      </w:pPr>
      <w:r w:rsidRPr="00C2032E">
        <w:rPr>
          <w:rFonts w:ascii="Verdana" w:hAnsi="Verdana"/>
          <w:sz w:val="20"/>
          <w:szCs w:val="20"/>
          <w:lang w:val="es-CR"/>
        </w:rPr>
        <w:t>brindar gratuitamente, a través de sus instituciones de salud especializadas, y de forma inmediata, adecuada y efectiva, el tratamiento médico y, específicamente en salud sexual y reproductiva, así como tratamiento psicológico y/o psiquiátrico, a la señora I.V. (</w:t>
      </w:r>
      <w:r w:rsidRPr="00C2032E">
        <w:rPr>
          <w:rFonts w:ascii="Verdana" w:hAnsi="Verdana"/>
          <w:i/>
          <w:sz w:val="20"/>
          <w:szCs w:val="20"/>
          <w:lang w:val="es-CR"/>
        </w:rPr>
        <w:t>punto resolutivo octavo de la Sentencia</w:t>
      </w:r>
      <w:r w:rsidRPr="00C2032E">
        <w:rPr>
          <w:rFonts w:ascii="Verdana" w:hAnsi="Verdana"/>
          <w:sz w:val="20"/>
          <w:szCs w:val="20"/>
          <w:lang w:val="es-CR"/>
        </w:rPr>
        <w:t>)</w:t>
      </w:r>
      <w:r w:rsidR="00A62734" w:rsidRPr="00C2032E">
        <w:rPr>
          <w:rFonts w:ascii="Verdana" w:hAnsi="Verdana"/>
          <w:sz w:val="20"/>
          <w:szCs w:val="20"/>
          <w:lang w:val="es-CR"/>
        </w:rPr>
        <w:t>;</w:t>
      </w:r>
    </w:p>
    <w:p w14:paraId="0F71F5D5" w14:textId="1B4C2D7C" w:rsidR="00800CAA" w:rsidRPr="00C2032E" w:rsidRDefault="00800CAA" w:rsidP="00800CAA">
      <w:pPr>
        <w:pStyle w:val="ListParagraph"/>
        <w:numPr>
          <w:ilvl w:val="0"/>
          <w:numId w:val="9"/>
        </w:numPr>
        <w:spacing w:after="0" w:line="240" w:lineRule="auto"/>
        <w:jc w:val="both"/>
        <w:rPr>
          <w:rFonts w:ascii="Verdana" w:hAnsi="Verdana"/>
          <w:sz w:val="20"/>
          <w:szCs w:val="20"/>
          <w:lang w:val="es-CR"/>
        </w:rPr>
      </w:pPr>
      <w:r w:rsidRPr="00C2032E">
        <w:rPr>
          <w:rFonts w:ascii="Verdana" w:hAnsi="Verdana"/>
          <w:sz w:val="20"/>
          <w:szCs w:val="20"/>
          <w:lang w:val="es-CR"/>
        </w:rPr>
        <w:t>diseñar una publicación o cartilla que desarrolle en forma sintética, clara y accesible los derechos de las mujeres en cuanto a su salud sexual y reproductiva, en la que se deberá hacer mención específica al consentimiento previo, libre, pleno e informado (</w:t>
      </w:r>
      <w:r w:rsidRPr="00C2032E">
        <w:rPr>
          <w:rFonts w:ascii="Verdana" w:hAnsi="Verdana"/>
          <w:i/>
          <w:sz w:val="20"/>
          <w:szCs w:val="20"/>
          <w:lang w:val="es-CR"/>
        </w:rPr>
        <w:t>punto resolutivo décimo primero de la Sentencia</w:t>
      </w:r>
      <w:r w:rsidRPr="00C2032E">
        <w:rPr>
          <w:rFonts w:ascii="Verdana" w:hAnsi="Verdana"/>
          <w:sz w:val="20"/>
          <w:szCs w:val="20"/>
          <w:lang w:val="es-CR"/>
        </w:rPr>
        <w:t>)</w:t>
      </w:r>
      <w:r w:rsidR="00DD163A">
        <w:rPr>
          <w:rFonts w:ascii="Verdana" w:hAnsi="Verdana"/>
          <w:sz w:val="20"/>
          <w:szCs w:val="20"/>
          <w:lang w:val="es-CR"/>
        </w:rPr>
        <w:t xml:space="preserve">. </w:t>
      </w:r>
      <w:r w:rsidR="00DD163A" w:rsidRPr="00EE47C9">
        <w:rPr>
          <w:rFonts w:ascii="Verdana" w:hAnsi="Verdana"/>
          <w:sz w:val="20"/>
          <w:szCs w:val="20"/>
          <w:lang w:val="es-CR"/>
        </w:rPr>
        <w:t>Bolivia cumplió con elaborar la referida carta de derechos, quedando pendiente que acredite lo solicitado en el Considerando 22 de la presente Resolución respecto de la disponibilidad y difusión de la misma</w:t>
      </w:r>
      <w:r w:rsidR="00A62734" w:rsidRPr="00EE47C9">
        <w:rPr>
          <w:rFonts w:ascii="Verdana" w:hAnsi="Verdana"/>
          <w:sz w:val="20"/>
          <w:szCs w:val="20"/>
          <w:lang w:val="es-CR"/>
        </w:rPr>
        <w:t>, y</w:t>
      </w:r>
      <w:r w:rsidRPr="00C2032E">
        <w:rPr>
          <w:rFonts w:ascii="Verdana" w:hAnsi="Verdana"/>
          <w:sz w:val="20"/>
          <w:szCs w:val="20"/>
          <w:lang w:val="es-CR"/>
        </w:rPr>
        <w:t xml:space="preserve"> </w:t>
      </w:r>
    </w:p>
    <w:p w14:paraId="24DD585A" w14:textId="77777777" w:rsidR="006B7B2A" w:rsidRPr="00C2032E" w:rsidRDefault="006B7B2A" w:rsidP="00577E6E">
      <w:pPr>
        <w:pStyle w:val="ListParagraph"/>
        <w:numPr>
          <w:ilvl w:val="0"/>
          <w:numId w:val="9"/>
        </w:numPr>
        <w:spacing w:after="0" w:line="240" w:lineRule="auto"/>
        <w:jc w:val="both"/>
        <w:rPr>
          <w:rFonts w:ascii="Verdana" w:hAnsi="Verdana"/>
          <w:sz w:val="20"/>
          <w:szCs w:val="20"/>
          <w:lang w:val="es-CR"/>
        </w:rPr>
      </w:pPr>
      <w:r w:rsidRPr="00C2032E">
        <w:rPr>
          <w:rFonts w:ascii="Verdana" w:hAnsi="Verdana"/>
          <w:sz w:val="20"/>
          <w:szCs w:val="20"/>
          <w:lang w:val="es-CR"/>
        </w:rPr>
        <w:t>adoptar programas de educación y formación permanentes dirigidos a los estudiantes de medicina y profesionales médicos, así como a todo el personal que conforma el sistema de salud y seguridad social, sobre temas de consentimiento informado, discriminación basada en género y estereotipos, y violencia de género (</w:t>
      </w:r>
      <w:r w:rsidRPr="00C2032E">
        <w:rPr>
          <w:rFonts w:ascii="Verdana" w:hAnsi="Verdana"/>
          <w:i/>
          <w:sz w:val="20"/>
          <w:szCs w:val="20"/>
          <w:lang w:val="es-CR"/>
        </w:rPr>
        <w:t>punto resolutivo décimo segundo de la Sentencia</w:t>
      </w:r>
      <w:r w:rsidR="00577E6E" w:rsidRPr="00C2032E">
        <w:rPr>
          <w:rFonts w:ascii="Verdana" w:hAnsi="Verdana"/>
          <w:sz w:val="20"/>
          <w:szCs w:val="20"/>
          <w:lang w:val="es-CR"/>
        </w:rPr>
        <w:t>)</w:t>
      </w:r>
      <w:r w:rsidR="00CE7424" w:rsidRPr="00C2032E">
        <w:rPr>
          <w:rFonts w:ascii="Verdana" w:hAnsi="Verdana"/>
          <w:sz w:val="20"/>
          <w:szCs w:val="20"/>
          <w:lang w:val="es-CR"/>
        </w:rPr>
        <w:t>.</w:t>
      </w:r>
    </w:p>
    <w:p w14:paraId="5A933834" w14:textId="77777777" w:rsidR="006B7B2A" w:rsidRDefault="006B7B2A" w:rsidP="006B7B2A">
      <w:pPr>
        <w:spacing w:after="0" w:line="240" w:lineRule="auto"/>
        <w:jc w:val="both"/>
        <w:rPr>
          <w:rFonts w:ascii="Verdana" w:hAnsi="Verdana"/>
          <w:sz w:val="20"/>
          <w:szCs w:val="20"/>
          <w:lang w:val="es-CR"/>
        </w:rPr>
      </w:pPr>
    </w:p>
    <w:p w14:paraId="0FA7C174" w14:textId="77777777" w:rsidR="007C4C0D" w:rsidRDefault="007C4C0D" w:rsidP="006B7B2A">
      <w:pPr>
        <w:spacing w:after="0" w:line="240" w:lineRule="auto"/>
        <w:jc w:val="both"/>
        <w:rPr>
          <w:rFonts w:ascii="Verdana" w:hAnsi="Verdana"/>
          <w:sz w:val="20"/>
          <w:szCs w:val="20"/>
          <w:lang w:val="es-CR"/>
        </w:rPr>
      </w:pPr>
    </w:p>
    <w:p w14:paraId="5CE015FB" w14:textId="0D77B855" w:rsidR="006B7B2A" w:rsidRDefault="00577E6E" w:rsidP="00577E6E">
      <w:pPr>
        <w:pStyle w:val="ListParagraph"/>
        <w:numPr>
          <w:ilvl w:val="0"/>
          <w:numId w:val="6"/>
        </w:numPr>
        <w:spacing w:after="0" w:line="240" w:lineRule="auto"/>
        <w:ind w:left="0" w:firstLine="0"/>
        <w:jc w:val="both"/>
        <w:rPr>
          <w:rFonts w:ascii="Verdana" w:hAnsi="Verdana"/>
          <w:sz w:val="20"/>
          <w:szCs w:val="20"/>
          <w:lang w:val="es-CR"/>
        </w:rPr>
      </w:pPr>
      <w:bookmarkStart w:id="26" w:name="_Ref530488951"/>
      <w:r>
        <w:rPr>
          <w:rFonts w:ascii="Verdana" w:hAnsi="Verdana"/>
          <w:sz w:val="20"/>
          <w:szCs w:val="20"/>
          <w:lang w:val="es-CR"/>
        </w:rPr>
        <w:t xml:space="preserve">Requerir al Estado que presente a la Corte Interamericana de Derechos Humanos, a más tardar el </w:t>
      </w:r>
      <w:r w:rsidR="005010C2">
        <w:rPr>
          <w:rFonts w:ascii="Verdana" w:hAnsi="Verdana"/>
          <w:sz w:val="20"/>
          <w:szCs w:val="20"/>
          <w:lang w:val="es-CR"/>
        </w:rPr>
        <w:t>1</w:t>
      </w:r>
      <w:r>
        <w:rPr>
          <w:rFonts w:ascii="Verdana" w:hAnsi="Verdana"/>
          <w:sz w:val="20"/>
          <w:szCs w:val="20"/>
          <w:lang w:val="es-CR"/>
        </w:rPr>
        <w:t xml:space="preserve"> de </w:t>
      </w:r>
      <w:r w:rsidR="005010C2">
        <w:rPr>
          <w:rFonts w:ascii="Verdana" w:hAnsi="Verdana"/>
          <w:sz w:val="20"/>
          <w:szCs w:val="20"/>
          <w:lang w:val="es-CR"/>
        </w:rPr>
        <w:t>marzo</w:t>
      </w:r>
      <w:r>
        <w:rPr>
          <w:rFonts w:ascii="Verdana" w:hAnsi="Verdana"/>
          <w:sz w:val="20"/>
          <w:szCs w:val="20"/>
          <w:lang w:val="es-CR"/>
        </w:rPr>
        <w:t xml:space="preserve"> de </w:t>
      </w:r>
      <w:r w:rsidR="00801669">
        <w:rPr>
          <w:rFonts w:ascii="Verdana" w:hAnsi="Verdana"/>
          <w:sz w:val="20"/>
          <w:szCs w:val="20"/>
          <w:lang w:val="es-CR"/>
        </w:rPr>
        <w:t>2</w:t>
      </w:r>
      <w:r w:rsidR="00192AB9">
        <w:rPr>
          <w:rFonts w:ascii="Verdana" w:hAnsi="Verdana"/>
          <w:sz w:val="20"/>
          <w:szCs w:val="20"/>
          <w:lang w:val="es-CR"/>
        </w:rPr>
        <w:t>01</w:t>
      </w:r>
      <w:r w:rsidR="00B36BD4">
        <w:rPr>
          <w:rFonts w:ascii="Verdana" w:hAnsi="Verdana"/>
          <w:sz w:val="20"/>
          <w:szCs w:val="20"/>
          <w:lang w:val="es-CR"/>
        </w:rPr>
        <w:t>9</w:t>
      </w:r>
      <w:r>
        <w:rPr>
          <w:rFonts w:ascii="Verdana" w:hAnsi="Verdana"/>
          <w:sz w:val="20"/>
          <w:szCs w:val="20"/>
          <w:lang w:val="es-CR"/>
        </w:rPr>
        <w:t>, un informe sobre el cumplimiento de la Sentencia, en el cual se refiera a las reparaciones pendientes de cumplimiento.</w:t>
      </w:r>
      <w:bookmarkEnd w:id="26"/>
      <w:r>
        <w:rPr>
          <w:rFonts w:ascii="Verdana" w:hAnsi="Verdana"/>
          <w:sz w:val="20"/>
          <w:szCs w:val="20"/>
          <w:lang w:val="es-CR"/>
        </w:rPr>
        <w:t xml:space="preserve"> </w:t>
      </w:r>
    </w:p>
    <w:p w14:paraId="1BB81806" w14:textId="77777777" w:rsidR="002311A3" w:rsidRDefault="002311A3" w:rsidP="002311A3">
      <w:pPr>
        <w:pStyle w:val="ListParagraph"/>
        <w:spacing w:after="0" w:line="240" w:lineRule="auto"/>
        <w:ind w:left="0"/>
        <w:jc w:val="both"/>
        <w:rPr>
          <w:rFonts w:ascii="Verdana" w:hAnsi="Verdana"/>
          <w:sz w:val="20"/>
          <w:szCs w:val="20"/>
          <w:lang w:val="es-CR"/>
        </w:rPr>
      </w:pPr>
    </w:p>
    <w:p w14:paraId="31B53C5C" w14:textId="77777777" w:rsidR="007C4C0D" w:rsidRDefault="007C4C0D" w:rsidP="002311A3">
      <w:pPr>
        <w:pStyle w:val="ListParagraph"/>
        <w:spacing w:after="0" w:line="240" w:lineRule="auto"/>
        <w:ind w:left="0"/>
        <w:jc w:val="both"/>
        <w:rPr>
          <w:rFonts w:ascii="Verdana" w:hAnsi="Verdana"/>
          <w:sz w:val="20"/>
          <w:szCs w:val="20"/>
          <w:lang w:val="es-CR"/>
        </w:rPr>
      </w:pPr>
    </w:p>
    <w:p w14:paraId="007E6FDB" w14:textId="77777777" w:rsidR="00577E6E" w:rsidRPr="006B7B2A" w:rsidRDefault="00577E6E" w:rsidP="00577E6E">
      <w:pPr>
        <w:pStyle w:val="ListParagraph"/>
        <w:numPr>
          <w:ilvl w:val="0"/>
          <w:numId w:val="6"/>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Requerir a los representantes de las víctimas y a la Comisión Interamericana de Derechos Humanos que presenten observaciones al informe del Estado mencionado en el punto resolutivo anterior, en los plazos de cuatro y seis semanas, respectivamente, contados a partir de la recepción del informe. </w:t>
      </w:r>
    </w:p>
    <w:p w14:paraId="0D95D797" w14:textId="77777777" w:rsidR="006B7B2A" w:rsidRDefault="006B7B2A" w:rsidP="006B7B2A">
      <w:pPr>
        <w:spacing w:after="0" w:line="240" w:lineRule="auto"/>
        <w:jc w:val="both"/>
        <w:rPr>
          <w:rFonts w:ascii="Verdana" w:hAnsi="Verdana"/>
          <w:sz w:val="20"/>
          <w:szCs w:val="20"/>
          <w:lang w:val="es-CR"/>
        </w:rPr>
      </w:pPr>
    </w:p>
    <w:p w14:paraId="10D95843" w14:textId="77777777" w:rsidR="007C4C0D" w:rsidRDefault="007C4C0D" w:rsidP="006B7B2A">
      <w:pPr>
        <w:spacing w:after="0" w:line="240" w:lineRule="auto"/>
        <w:jc w:val="both"/>
        <w:rPr>
          <w:rFonts w:ascii="Verdana" w:hAnsi="Verdana"/>
          <w:sz w:val="20"/>
          <w:szCs w:val="20"/>
          <w:lang w:val="es-CR"/>
        </w:rPr>
      </w:pPr>
    </w:p>
    <w:p w14:paraId="487C63B8" w14:textId="77777777" w:rsidR="006B7B2A" w:rsidRDefault="006B7B2A" w:rsidP="00577E6E">
      <w:pPr>
        <w:pStyle w:val="ListParagraph"/>
        <w:numPr>
          <w:ilvl w:val="0"/>
          <w:numId w:val="6"/>
        </w:numPr>
        <w:spacing w:after="0" w:line="240" w:lineRule="auto"/>
        <w:ind w:left="0" w:firstLine="0"/>
        <w:jc w:val="both"/>
        <w:rPr>
          <w:rFonts w:ascii="Verdana" w:hAnsi="Verdana"/>
          <w:sz w:val="20"/>
          <w:szCs w:val="20"/>
          <w:lang w:val="es-CR"/>
        </w:rPr>
      </w:pPr>
      <w:r w:rsidRPr="006B7B2A">
        <w:rPr>
          <w:rFonts w:ascii="Verdana" w:hAnsi="Verdana"/>
          <w:sz w:val="20"/>
          <w:szCs w:val="20"/>
          <w:lang w:val="es-CR"/>
        </w:rPr>
        <w:t>Disponer que la Secretaría de la Corte Interamericana de Derechos Humanos notifique la presente Resolución al Estado Plurinacional de Bolivia, a los representantes de la víctima y a la Comisión Interamericana de Derechos Humanos.</w:t>
      </w:r>
      <w:r w:rsidR="009E7CA6" w:rsidRPr="006B7B2A">
        <w:rPr>
          <w:rFonts w:ascii="Verdana" w:hAnsi="Verdana"/>
          <w:sz w:val="20"/>
          <w:szCs w:val="20"/>
          <w:lang w:val="es-CR"/>
        </w:rPr>
        <w:t xml:space="preserve"> </w:t>
      </w:r>
    </w:p>
    <w:p w14:paraId="533BB51C" w14:textId="77777777" w:rsidR="007D2793" w:rsidRDefault="007D2793" w:rsidP="007D2793">
      <w:pPr>
        <w:spacing w:after="0" w:line="240" w:lineRule="auto"/>
        <w:jc w:val="both"/>
        <w:rPr>
          <w:rFonts w:ascii="Verdana" w:hAnsi="Verdana"/>
          <w:sz w:val="20"/>
          <w:szCs w:val="20"/>
          <w:lang w:val="es-CR"/>
        </w:rPr>
      </w:pPr>
    </w:p>
    <w:p w14:paraId="53376E53" w14:textId="77777777" w:rsidR="007D2793" w:rsidRDefault="007D2793" w:rsidP="007D2793">
      <w:pPr>
        <w:spacing w:after="0" w:line="240" w:lineRule="auto"/>
        <w:jc w:val="both"/>
        <w:rPr>
          <w:rFonts w:ascii="Verdana" w:hAnsi="Verdana"/>
          <w:sz w:val="20"/>
          <w:szCs w:val="20"/>
          <w:lang w:val="es-CR"/>
        </w:rPr>
      </w:pPr>
    </w:p>
    <w:p w14:paraId="1090587F" w14:textId="77777777" w:rsidR="007D2793" w:rsidRDefault="007D2793" w:rsidP="007D2793">
      <w:pPr>
        <w:spacing w:after="0" w:line="240" w:lineRule="auto"/>
        <w:jc w:val="both"/>
        <w:rPr>
          <w:rFonts w:ascii="Verdana" w:hAnsi="Verdana"/>
          <w:sz w:val="20"/>
          <w:szCs w:val="20"/>
          <w:lang w:val="es-CR"/>
        </w:rPr>
      </w:pPr>
    </w:p>
    <w:p w14:paraId="0C9FBAA9" w14:textId="77777777" w:rsidR="007D2793" w:rsidRDefault="007D2793" w:rsidP="007D2793">
      <w:pPr>
        <w:spacing w:after="0" w:line="240" w:lineRule="auto"/>
        <w:jc w:val="both"/>
        <w:rPr>
          <w:rFonts w:ascii="Verdana" w:hAnsi="Verdana"/>
          <w:sz w:val="20"/>
          <w:szCs w:val="20"/>
          <w:lang w:val="es-CR"/>
        </w:rPr>
      </w:pPr>
    </w:p>
    <w:p w14:paraId="66C8938C" w14:textId="77777777" w:rsidR="007D2793" w:rsidRDefault="007D2793" w:rsidP="007D2793">
      <w:pPr>
        <w:spacing w:after="0" w:line="240" w:lineRule="auto"/>
        <w:jc w:val="both"/>
        <w:rPr>
          <w:rFonts w:ascii="Verdana" w:hAnsi="Verdana"/>
          <w:sz w:val="20"/>
          <w:szCs w:val="20"/>
          <w:lang w:val="es-CR"/>
        </w:rPr>
      </w:pPr>
    </w:p>
    <w:p w14:paraId="37D15DDE" w14:textId="77777777" w:rsidR="007D2793" w:rsidRDefault="007D2793" w:rsidP="007D2793">
      <w:pPr>
        <w:spacing w:after="0" w:line="240" w:lineRule="auto"/>
        <w:jc w:val="both"/>
        <w:rPr>
          <w:rFonts w:ascii="Verdana" w:hAnsi="Verdana"/>
          <w:sz w:val="20"/>
          <w:szCs w:val="20"/>
          <w:lang w:val="es-CR"/>
        </w:rPr>
      </w:pPr>
    </w:p>
    <w:p w14:paraId="760AD8B9" w14:textId="77777777" w:rsidR="007D2793" w:rsidRDefault="007D2793" w:rsidP="007D2793">
      <w:pPr>
        <w:spacing w:after="0" w:line="240" w:lineRule="auto"/>
        <w:jc w:val="both"/>
        <w:rPr>
          <w:rFonts w:ascii="Verdana" w:hAnsi="Verdana"/>
          <w:sz w:val="20"/>
          <w:szCs w:val="20"/>
          <w:lang w:val="es-CR"/>
        </w:rPr>
      </w:pPr>
    </w:p>
    <w:p w14:paraId="19293190" w14:textId="77777777" w:rsidR="007D2793" w:rsidRDefault="007D2793" w:rsidP="007D2793">
      <w:pPr>
        <w:spacing w:after="0" w:line="240" w:lineRule="auto"/>
        <w:jc w:val="both"/>
        <w:rPr>
          <w:rFonts w:ascii="Verdana" w:hAnsi="Verdana"/>
          <w:sz w:val="20"/>
          <w:szCs w:val="20"/>
          <w:lang w:val="es-CR"/>
        </w:rPr>
      </w:pPr>
    </w:p>
    <w:p w14:paraId="5C5F1AA2" w14:textId="5E392720" w:rsidR="007D2793" w:rsidRDefault="007D2793" w:rsidP="007D2793">
      <w:pPr>
        <w:spacing w:after="0" w:line="240" w:lineRule="auto"/>
        <w:jc w:val="both"/>
        <w:rPr>
          <w:rFonts w:ascii="Verdana" w:hAnsi="Verdana"/>
          <w:sz w:val="20"/>
          <w:szCs w:val="20"/>
          <w:lang w:val="es-CR"/>
        </w:rPr>
      </w:pPr>
    </w:p>
    <w:p w14:paraId="478D90F8" w14:textId="77777777" w:rsidR="007D2793" w:rsidRDefault="007D2793" w:rsidP="007D2793">
      <w:pPr>
        <w:spacing w:after="0" w:line="240" w:lineRule="auto"/>
        <w:jc w:val="both"/>
        <w:rPr>
          <w:rFonts w:ascii="Verdana" w:hAnsi="Verdana"/>
          <w:sz w:val="20"/>
          <w:szCs w:val="20"/>
          <w:lang w:val="es-CR"/>
        </w:rPr>
      </w:pPr>
    </w:p>
    <w:p w14:paraId="1CFF44F3" w14:textId="77777777" w:rsidR="007D2793" w:rsidRDefault="007D2793" w:rsidP="007D2793">
      <w:pPr>
        <w:spacing w:after="0" w:line="240" w:lineRule="auto"/>
        <w:jc w:val="both"/>
        <w:rPr>
          <w:rFonts w:ascii="Verdana" w:hAnsi="Verdana"/>
          <w:sz w:val="20"/>
          <w:szCs w:val="20"/>
          <w:lang w:val="es-CR"/>
        </w:rPr>
      </w:pPr>
    </w:p>
    <w:p w14:paraId="0804E35D" w14:textId="77777777" w:rsidR="007D2793" w:rsidRDefault="007D2793" w:rsidP="007D2793">
      <w:pPr>
        <w:spacing w:after="0" w:line="240" w:lineRule="auto"/>
        <w:jc w:val="both"/>
        <w:rPr>
          <w:rFonts w:ascii="Verdana" w:hAnsi="Verdana"/>
          <w:sz w:val="20"/>
          <w:szCs w:val="20"/>
          <w:lang w:val="es-CR"/>
        </w:rPr>
      </w:pPr>
    </w:p>
    <w:p w14:paraId="3E932C65" w14:textId="77777777" w:rsidR="007D2793" w:rsidRDefault="007D2793" w:rsidP="007D2793">
      <w:pPr>
        <w:spacing w:after="0" w:line="240" w:lineRule="auto"/>
        <w:jc w:val="both"/>
        <w:rPr>
          <w:rFonts w:ascii="Verdana" w:hAnsi="Verdana"/>
          <w:sz w:val="20"/>
          <w:szCs w:val="20"/>
          <w:lang w:val="es-CR"/>
        </w:rPr>
      </w:pPr>
    </w:p>
    <w:p w14:paraId="2F1AEEB7" w14:textId="77777777" w:rsidR="007D2793" w:rsidRDefault="007D2793" w:rsidP="00767B09">
      <w:pPr>
        <w:spacing w:after="0" w:line="240" w:lineRule="auto"/>
        <w:jc w:val="both"/>
        <w:rPr>
          <w:rFonts w:ascii="Verdana" w:hAnsi="Verdana"/>
          <w:sz w:val="20"/>
          <w:szCs w:val="20"/>
          <w:lang w:val="es-CR"/>
        </w:rPr>
      </w:pPr>
    </w:p>
    <w:p w14:paraId="62EDE7FA" w14:textId="027D6889" w:rsidR="007D2793" w:rsidRPr="008F69D4" w:rsidRDefault="007D2793" w:rsidP="00767B09">
      <w:pPr>
        <w:keepNext/>
        <w:spacing w:after="0" w:line="240" w:lineRule="auto"/>
        <w:jc w:val="both"/>
        <w:outlineLvl w:val="0"/>
        <w:rPr>
          <w:rFonts w:ascii="Verdana" w:hAnsi="Verdana" w:cs="Verdana"/>
          <w:b/>
          <w:bCs/>
          <w:sz w:val="20"/>
          <w:lang w:val="es-ES"/>
        </w:rPr>
      </w:pPr>
      <w:r>
        <w:rPr>
          <w:rFonts w:ascii="Verdana" w:hAnsi="Verdana" w:cs="Courier New"/>
          <w:noProof/>
          <w:sz w:val="20"/>
          <w:lang w:val="es-AR"/>
        </w:rPr>
        <w:t>Cort</w:t>
      </w:r>
      <w:r w:rsidRPr="008F69D4">
        <w:rPr>
          <w:rFonts w:ascii="Verdana" w:hAnsi="Verdana" w:cs="Courier New"/>
          <w:noProof/>
          <w:sz w:val="20"/>
          <w:lang w:val="es-AR"/>
        </w:rPr>
        <w:t xml:space="preserve">e IDH. </w:t>
      </w:r>
      <w:r w:rsidRPr="008F69D4">
        <w:rPr>
          <w:rFonts w:ascii="Verdana" w:hAnsi="Verdana"/>
          <w:bCs/>
          <w:i/>
          <w:sz w:val="20"/>
          <w:lang w:val="es-CR"/>
        </w:rPr>
        <w:t>Caso</w:t>
      </w:r>
      <w:r>
        <w:rPr>
          <w:rFonts w:ascii="Verdana" w:hAnsi="Verdana"/>
          <w:bCs/>
          <w:i/>
          <w:sz w:val="20"/>
          <w:lang w:val="es-CR"/>
        </w:rPr>
        <w:t xml:space="preserve"> I.V. Vs. Bolivia.  Supervisión de Cumplimiento de Sentencia. </w:t>
      </w:r>
      <w:r w:rsidRPr="008F69D4">
        <w:rPr>
          <w:rFonts w:ascii="Verdana" w:hAnsi="Verdana"/>
          <w:sz w:val="20"/>
          <w:lang w:val="es-CR"/>
        </w:rPr>
        <w:t xml:space="preserve"> </w:t>
      </w:r>
      <w:r w:rsidRPr="008F69D4">
        <w:rPr>
          <w:rFonts w:ascii="Verdana" w:hAnsi="Verdana"/>
          <w:sz w:val="20"/>
          <w:lang w:val="es-ES"/>
        </w:rPr>
        <w:t xml:space="preserve">Resolución de la Corte Interamericana de Derechos Humanos de </w:t>
      </w:r>
      <w:r>
        <w:rPr>
          <w:rFonts w:ascii="Verdana" w:hAnsi="Verdana"/>
          <w:sz w:val="20"/>
          <w:lang w:val="es-CR"/>
        </w:rPr>
        <w:t>21</w:t>
      </w:r>
      <w:r w:rsidRPr="008F69D4">
        <w:rPr>
          <w:rFonts w:ascii="Verdana" w:hAnsi="Verdana"/>
          <w:sz w:val="20"/>
          <w:lang w:val="es-CR"/>
        </w:rPr>
        <w:t xml:space="preserve"> de </w:t>
      </w:r>
      <w:r>
        <w:rPr>
          <w:rFonts w:ascii="Verdana" w:hAnsi="Verdana"/>
          <w:sz w:val="20"/>
          <w:lang w:val="es-CR"/>
        </w:rPr>
        <w:t>noviembre de 2018</w:t>
      </w:r>
      <w:r w:rsidRPr="008F69D4">
        <w:rPr>
          <w:rFonts w:ascii="Verdana" w:hAnsi="Verdana"/>
          <w:sz w:val="20"/>
          <w:lang w:val="es-ES"/>
        </w:rPr>
        <w:t xml:space="preserve">. </w:t>
      </w:r>
    </w:p>
    <w:p w14:paraId="3744BC05" w14:textId="77777777" w:rsidR="007D2793" w:rsidRDefault="007D2793" w:rsidP="00767B09">
      <w:pPr>
        <w:spacing w:after="0" w:line="240" w:lineRule="auto"/>
        <w:jc w:val="both"/>
        <w:rPr>
          <w:rFonts w:ascii="Verdana" w:hAnsi="Verdana"/>
          <w:sz w:val="20"/>
          <w:szCs w:val="20"/>
          <w:lang w:val="es-ES"/>
        </w:rPr>
      </w:pPr>
    </w:p>
    <w:p w14:paraId="59E7944B" w14:textId="77777777" w:rsidR="00767B09" w:rsidRDefault="00767B09" w:rsidP="00767B09">
      <w:pPr>
        <w:spacing w:after="0" w:line="240" w:lineRule="auto"/>
        <w:jc w:val="both"/>
        <w:rPr>
          <w:rFonts w:ascii="Verdana" w:hAnsi="Verdana"/>
          <w:sz w:val="20"/>
          <w:szCs w:val="20"/>
          <w:lang w:val="es-ES"/>
        </w:rPr>
      </w:pPr>
    </w:p>
    <w:p w14:paraId="2430D864" w14:textId="77777777" w:rsidR="00767B09" w:rsidRDefault="00767B09" w:rsidP="00767B09">
      <w:pPr>
        <w:spacing w:after="0" w:line="240" w:lineRule="auto"/>
        <w:jc w:val="both"/>
        <w:rPr>
          <w:rFonts w:ascii="Verdana" w:hAnsi="Verdana"/>
          <w:sz w:val="20"/>
          <w:szCs w:val="20"/>
          <w:lang w:val="es-ES"/>
        </w:rPr>
      </w:pPr>
    </w:p>
    <w:p w14:paraId="00EA3153" w14:textId="77777777" w:rsidR="00767B09" w:rsidRDefault="00767B09" w:rsidP="00767B09">
      <w:pPr>
        <w:spacing w:after="0" w:line="240" w:lineRule="auto"/>
        <w:jc w:val="both"/>
        <w:rPr>
          <w:rFonts w:ascii="Verdana" w:hAnsi="Verdana"/>
          <w:sz w:val="20"/>
          <w:szCs w:val="20"/>
          <w:lang w:val="es-ES"/>
        </w:rPr>
      </w:pPr>
    </w:p>
    <w:p w14:paraId="3372EB16" w14:textId="37122088" w:rsidR="00767B09" w:rsidRDefault="00767B09" w:rsidP="00767B09">
      <w:pPr>
        <w:spacing w:after="0" w:line="240" w:lineRule="auto"/>
        <w:jc w:val="both"/>
        <w:rPr>
          <w:rFonts w:ascii="Verdana" w:hAnsi="Verdana"/>
          <w:sz w:val="20"/>
          <w:szCs w:val="20"/>
          <w:lang w:val="es-ES"/>
        </w:rPr>
      </w:pPr>
    </w:p>
    <w:p w14:paraId="437393EF" w14:textId="5AB16BBB" w:rsidR="007D2793" w:rsidRPr="00223DFA" w:rsidRDefault="007D2793" w:rsidP="00767B09">
      <w:pPr>
        <w:spacing w:after="0" w:line="240" w:lineRule="auto"/>
        <w:jc w:val="center"/>
        <w:rPr>
          <w:rFonts w:ascii="Verdana" w:hAnsi="Verdana"/>
          <w:sz w:val="20"/>
          <w:lang w:val="es-ES"/>
        </w:rPr>
      </w:pPr>
      <w:r w:rsidRPr="00223DFA">
        <w:rPr>
          <w:rFonts w:ascii="Verdana" w:hAnsi="Verdana"/>
          <w:sz w:val="20"/>
          <w:lang w:val="es-ES"/>
        </w:rPr>
        <w:t>Eduardo Ferrer Mac-Gregor Poisot</w:t>
      </w:r>
    </w:p>
    <w:p w14:paraId="43FF0021" w14:textId="11C6C3EE" w:rsidR="007D2793" w:rsidRPr="00223DFA" w:rsidRDefault="007D2793" w:rsidP="00767B09">
      <w:pPr>
        <w:spacing w:after="0" w:line="240" w:lineRule="auto"/>
        <w:ind w:firstLine="708"/>
        <w:jc w:val="center"/>
        <w:rPr>
          <w:rFonts w:ascii="Verdana" w:hAnsi="Verdana"/>
          <w:sz w:val="20"/>
          <w:lang w:val="es-ES"/>
        </w:rPr>
      </w:pPr>
      <w:r w:rsidRPr="00223DFA">
        <w:rPr>
          <w:rFonts w:ascii="Verdana" w:hAnsi="Verdana"/>
          <w:sz w:val="20"/>
          <w:lang w:val="es-ES"/>
        </w:rPr>
        <w:t>Presidente</w:t>
      </w:r>
    </w:p>
    <w:p w14:paraId="67207F01" w14:textId="77777777" w:rsidR="007D2793" w:rsidRDefault="007D2793" w:rsidP="00767B09">
      <w:pPr>
        <w:spacing w:after="0" w:line="240" w:lineRule="auto"/>
        <w:jc w:val="both"/>
        <w:rPr>
          <w:rFonts w:ascii="Verdana" w:hAnsi="Verdana"/>
          <w:sz w:val="20"/>
          <w:szCs w:val="20"/>
          <w:lang w:val="es-ES"/>
        </w:rPr>
      </w:pPr>
    </w:p>
    <w:p w14:paraId="64B549B7" w14:textId="1013ECA2" w:rsidR="007D2793" w:rsidRDefault="007D2793" w:rsidP="00767B09">
      <w:pPr>
        <w:spacing w:after="0" w:line="240" w:lineRule="auto"/>
        <w:jc w:val="both"/>
        <w:rPr>
          <w:rFonts w:ascii="Verdana" w:hAnsi="Verdana"/>
          <w:sz w:val="20"/>
          <w:szCs w:val="20"/>
          <w:lang w:val="es-ES"/>
        </w:rPr>
      </w:pPr>
    </w:p>
    <w:p w14:paraId="54373080" w14:textId="5365C683" w:rsidR="007D2793" w:rsidRPr="00223DFA" w:rsidRDefault="007D2793" w:rsidP="00767B09">
      <w:pPr>
        <w:spacing w:after="0" w:line="240" w:lineRule="auto"/>
        <w:jc w:val="both"/>
        <w:rPr>
          <w:rFonts w:ascii="Verdana" w:hAnsi="Verdana"/>
          <w:sz w:val="20"/>
          <w:lang w:val="es-ES"/>
        </w:rPr>
      </w:pPr>
      <w:r>
        <w:rPr>
          <w:rFonts w:ascii="Verdana" w:hAnsi="Verdana"/>
          <w:sz w:val="20"/>
          <w:lang w:val="es-ES"/>
        </w:rPr>
        <w:t xml:space="preserve">         </w:t>
      </w:r>
    </w:p>
    <w:p w14:paraId="644C93D6" w14:textId="5677962C" w:rsidR="007D2793" w:rsidRDefault="007D2793" w:rsidP="00767B09">
      <w:pPr>
        <w:spacing w:after="0" w:line="240" w:lineRule="auto"/>
        <w:jc w:val="both"/>
        <w:rPr>
          <w:rFonts w:ascii="Verdana" w:hAnsi="Verdana"/>
          <w:sz w:val="20"/>
          <w:lang w:val="es-ES"/>
        </w:rPr>
      </w:pPr>
      <w:r w:rsidRPr="00223DFA">
        <w:rPr>
          <w:rFonts w:ascii="Verdana" w:hAnsi="Verdana"/>
          <w:sz w:val="20"/>
          <w:lang w:val="es-ES"/>
        </w:rPr>
        <w:t>Eduardo Vio Grossi</w:t>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Pr="00223DFA">
        <w:rPr>
          <w:rFonts w:ascii="Verdana" w:hAnsi="Verdana"/>
          <w:sz w:val="20"/>
          <w:lang w:val="es-ES"/>
        </w:rPr>
        <w:tab/>
      </w:r>
      <w:r w:rsidR="00767B09">
        <w:rPr>
          <w:rFonts w:ascii="Verdana" w:hAnsi="Verdana"/>
          <w:sz w:val="20"/>
          <w:lang w:val="es-ES"/>
        </w:rPr>
        <w:tab/>
      </w:r>
      <w:r w:rsidR="00767B09">
        <w:rPr>
          <w:rFonts w:ascii="Verdana" w:hAnsi="Verdana"/>
          <w:sz w:val="20"/>
          <w:lang w:val="es-ES"/>
        </w:rPr>
        <w:tab/>
      </w:r>
      <w:r w:rsidRPr="00223DFA">
        <w:rPr>
          <w:rFonts w:ascii="Verdana" w:hAnsi="Verdana"/>
          <w:sz w:val="20"/>
          <w:lang w:val="es-ES"/>
        </w:rPr>
        <w:tab/>
      </w:r>
      <w:r w:rsidRPr="00223DFA">
        <w:rPr>
          <w:rFonts w:ascii="Verdana" w:hAnsi="Verdana"/>
          <w:sz w:val="20"/>
          <w:lang w:val="es-ES"/>
        </w:rPr>
        <w:tab/>
        <w:t>Elizabeth Odio Benito</w:t>
      </w:r>
    </w:p>
    <w:p w14:paraId="201FF430" w14:textId="77777777" w:rsidR="00163AF0" w:rsidRDefault="00163AF0" w:rsidP="00767B09">
      <w:pPr>
        <w:spacing w:after="0" w:line="240" w:lineRule="auto"/>
        <w:jc w:val="both"/>
        <w:rPr>
          <w:rFonts w:ascii="Verdana" w:hAnsi="Verdana"/>
          <w:sz w:val="20"/>
          <w:lang w:val="es-ES"/>
        </w:rPr>
      </w:pPr>
    </w:p>
    <w:p w14:paraId="04E7938F" w14:textId="77777777" w:rsidR="00163AF0" w:rsidRDefault="00163AF0" w:rsidP="00767B09">
      <w:pPr>
        <w:spacing w:after="0" w:line="240" w:lineRule="auto"/>
        <w:jc w:val="both"/>
        <w:rPr>
          <w:rFonts w:ascii="Verdana" w:hAnsi="Verdana"/>
          <w:sz w:val="20"/>
          <w:lang w:val="es-ES"/>
        </w:rPr>
      </w:pPr>
    </w:p>
    <w:p w14:paraId="43148F52" w14:textId="77777777" w:rsidR="00163AF0" w:rsidRPr="00223DFA" w:rsidRDefault="00163AF0" w:rsidP="00767B09">
      <w:pPr>
        <w:spacing w:after="0" w:line="240" w:lineRule="auto"/>
        <w:jc w:val="both"/>
        <w:rPr>
          <w:rFonts w:ascii="Verdana" w:hAnsi="Verdana"/>
          <w:sz w:val="20"/>
          <w:lang w:val="es-ES"/>
        </w:rPr>
      </w:pPr>
    </w:p>
    <w:p w14:paraId="68D063D0" w14:textId="1DBEC05C" w:rsidR="007D2793" w:rsidRPr="00223DFA" w:rsidRDefault="007D2793" w:rsidP="00767B09">
      <w:pPr>
        <w:spacing w:after="0" w:line="240" w:lineRule="auto"/>
        <w:jc w:val="both"/>
        <w:rPr>
          <w:rFonts w:ascii="Verdana" w:hAnsi="Verdana"/>
          <w:sz w:val="20"/>
          <w:lang w:val="es-ES"/>
        </w:rPr>
      </w:pPr>
      <w:r>
        <w:rPr>
          <w:rFonts w:ascii="Verdana" w:hAnsi="Verdana"/>
          <w:sz w:val="20"/>
          <w:lang w:val="es-ES"/>
        </w:rPr>
        <w:t xml:space="preserve">           </w:t>
      </w:r>
      <w:r w:rsidR="00767B09">
        <w:rPr>
          <w:rFonts w:ascii="Verdana" w:hAnsi="Verdana"/>
          <w:sz w:val="20"/>
          <w:lang w:val="es-ES"/>
        </w:rPr>
        <w:t xml:space="preserve">     </w:t>
      </w:r>
    </w:p>
    <w:p w14:paraId="1D92120F" w14:textId="41A47B7F" w:rsidR="007D2793" w:rsidRPr="00223DFA" w:rsidRDefault="007D2793" w:rsidP="00767B09">
      <w:pPr>
        <w:spacing w:after="0" w:line="240" w:lineRule="auto"/>
        <w:jc w:val="both"/>
        <w:rPr>
          <w:rFonts w:ascii="Verdana" w:hAnsi="Verdana"/>
          <w:sz w:val="20"/>
          <w:lang w:val="es-ES"/>
        </w:rPr>
      </w:pPr>
      <w:r w:rsidRPr="00223DFA">
        <w:rPr>
          <w:rFonts w:ascii="Verdana" w:hAnsi="Verdana"/>
          <w:sz w:val="20"/>
          <w:lang w:val="es-ES"/>
        </w:rPr>
        <w:t xml:space="preserve">Eugenio Raúl </w:t>
      </w:r>
      <w:proofErr w:type="spellStart"/>
      <w:r w:rsidRPr="00223DFA">
        <w:rPr>
          <w:rFonts w:ascii="Verdana" w:hAnsi="Verdana"/>
          <w:sz w:val="20"/>
          <w:lang w:val="es-ES"/>
        </w:rPr>
        <w:t>Zaffaroni</w:t>
      </w:r>
      <w:proofErr w:type="spellEnd"/>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00767B09">
        <w:rPr>
          <w:rFonts w:ascii="Verdana" w:hAnsi="Verdana"/>
          <w:sz w:val="20"/>
          <w:lang w:val="es-ES"/>
        </w:rPr>
        <w:t xml:space="preserve">          </w:t>
      </w:r>
      <w:r w:rsidRPr="00223DFA">
        <w:rPr>
          <w:rFonts w:ascii="Verdana" w:hAnsi="Verdana"/>
          <w:sz w:val="20"/>
          <w:lang w:val="es-ES"/>
        </w:rPr>
        <w:t>L. Patricio Pazmiño Freire</w:t>
      </w:r>
    </w:p>
    <w:p w14:paraId="07CB87B8" w14:textId="77777777" w:rsidR="007D2793" w:rsidRDefault="007D2793" w:rsidP="00767B09">
      <w:pPr>
        <w:spacing w:after="0" w:line="240" w:lineRule="auto"/>
        <w:jc w:val="both"/>
        <w:rPr>
          <w:rFonts w:ascii="Verdana" w:hAnsi="Verdana"/>
          <w:sz w:val="20"/>
          <w:lang w:val="es-ES"/>
        </w:rPr>
      </w:pPr>
    </w:p>
    <w:p w14:paraId="26224F26" w14:textId="77777777" w:rsidR="007D2793" w:rsidRDefault="007D2793" w:rsidP="00767B09">
      <w:pPr>
        <w:spacing w:after="0" w:line="240" w:lineRule="auto"/>
        <w:jc w:val="both"/>
        <w:rPr>
          <w:rFonts w:ascii="Verdana" w:hAnsi="Verdana"/>
          <w:sz w:val="20"/>
          <w:lang w:val="es-ES"/>
        </w:rPr>
      </w:pPr>
    </w:p>
    <w:p w14:paraId="0D432C37" w14:textId="77777777" w:rsidR="007D2793" w:rsidRDefault="007D2793" w:rsidP="00767B09">
      <w:pPr>
        <w:spacing w:after="0" w:line="240" w:lineRule="auto"/>
        <w:jc w:val="both"/>
        <w:rPr>
          <w:rFonts w:ascii="Verdana" w:hAnsi="Verdana"/>
          <w:sz w:val="20"/>
          <w:lang w:val="es-ES"/>
        </w:rPr>
      </w:pPr>
    </w:p>
    <w:p w14:paraId="6503F16D" w14:textId="77777777" w:rsidR="007D2793" w:rsidRPr="00223DFA" w:rsidRDefault="007D2793" w:rsidP="00767B09">
      <w:pPr>
        <w:spacing w:after="0" w:line="240" w:lineRule="auto"/>
        <w:jc w:val="both"/>
        <w:rPr>
          <w:rFonts w:ascii="Verdana" w:hAnsi="Verdana"/>
          <w:sz w:val="20"/>
          <w:lang w:val="es-ES"/>
        </w:rPr>
      </w:pPr>
    </w:p>
    <w:p w14:paraId="6351CC52" w14:textId="77777777" w:rsidR="007D2793" w:rsidRPr="00223DFA" w:rsidRDefault="007D2793" w:rsidP="00767B09">
      <w:pPr>
        <w:spacing w:after="0" w:line="240" w:lineRule="auto"/>
        <w:jc w:val="center"/>
        <w:rPr>
          <w:rFonts w:ascii="Verdana" w:hAnsi="Verdana"/>
          <w:sz w:val="20"/>
          <w:lang w:val="es-ES"/>
        </w:rPr>
      </w:pPr>
    </w:p>
    <w:p w14:paraId="54184AF1" w14:textId="2FDC3E7E" w:rsidR="007D2793" w:rsidRPr="00223DFA" w:rsidRDefault="007D2793" w:rsidP="00767B09">
      <w:pPr>
        <w:spacing w:after="0" w:line="240" w:lineRule="auto"/>
        <w:jc w:val="center"/>
        <w:rPr>
          <w:rFonts w:ascii="Verdana" w:hAnsi="Verdana"/>
          <w:sz w:val="20"/>
          <w:lang w:val="es-ES"/>
        </w:rPr>
      </w:pPr>
      <w:r w:rsidRPr="00223DFA">
        <w:rPr>
          <w:rFonts w:ascii="Verdana" w:hAnsi="Verdana"/>
          <w:sz w:val="20"/>
          <w:lang w:val="es-ES"/>
        </w:rPr>
        <w:t>Pablo Saavedra Alessandri</w:t>
      </w:r>
    </w:p>
    <w:p w14:paraId="42FFE1A2" w14:textId="678612FD" w:rsidR="007D2793" w:rsidRPr="00223DFA" w:rsidRDefault="007D2793" w:rsidP="00767B09">
      <w:pPr>
        <w:spacing w:after="0" w:line="240" w:lineRule="auto"/>
        <w:jc w:val="center"/>
        <w:rPr>
          <w:rFonts w:ascii="Verdana" w:hAnsi="Verdana"/>
          <w:sz w:val="20"/>
          <w:lang w:val="es-ES"/>
        </w:rPr>
      </w:pPr>
      <w:r w:rsidRPr="00223DFA">
        <w:rPr>
          <w:rFonts w:ascii="Verdana" w:hAnsi="Verdana"/>
          <w:sz w:val="20"/>
          <w:lang w:val="es-ES"/>
        </w:rPr>
        <w:t>Secretario</w:t>
      </w:r>
    </w:p>
    <w:p w14:paraId="6D7FD4C6" w14:textId="77777777" w:rsidR="007D2793" w:rsidRPr="00223DFA" w:rsidRDefault="007D2793" w:rsidP="00767B09">
      <w:pPr>
        <w:spacing w:after="0" w:line="240" w:lineRule="auto"/>
        <w:jc w:val="both"/>
        <w:rPr>
          <w:rFonts w:ascii="Verdana" w:hAnsi="Verdana"/>
          <w:sz w:val="20"/>
          <w:lang w:val="es-ES"/>
        </w:rPr>
      </w:pPr>
    </w:p>
    <w:p w14:paraId="5C12905C" w14:textId="77777777" w:rsidR="007D2793" w:rsidRPr="00223DFA" w:rsidRDefault="007D2793" w:rsidP="00767B09">
      <w:pPr>
        <w:spacing w:after="0" w:line="240" w:lineRule="auto"/>
        <w:jc w:val="both"/>
        <w:rPr>
          <w:rFonts w:ascii="Verdana" w:hAnsi="Verdana"/>
          <w:sz w:val="20"/>
          <w:lang w:val="es-ES"/>
        </w:rPr>
      </w:pPr>
      <w:r w:rsidRPr="00223DFA">
        <w:rPr>
          <w:rFonts w:ascii="Verdana" w:hAnsi="Verdana"/>
          <w:sz w:val="20"/>
          <w:lang w:val="es-ES"/>
        </w:rPr>
        <w:t>Comuníquese y ejecútese,</w:t>
      </w:r>
    </w:p>
    <w:p w14:paraId="4F3910EF" w14:textId="77777777" w:rsidR="007D2793" w:rsidRPr="00223DFA" w:rsidRDefault="007D2793" w:rsidP="00767B09">
      <w:pPr>
        <w:spacing w:after="0" w:line="240" w:lineRule="auto"/>
        <w:jc w:val="both"/>
        <w:rPr>
          <w:rFonts w:ascii="Verdana" w:hAnsi="Verdana"/>
          <w:sz w:val="20"/>
          <w:lang w:val="es-ES"/>
        </w:rPr>
      </w:pPr>
    </w:p>
    <w:p w14:paraId="5B4B6FCC" w14:textId="77777777" w:rsidR="007D2793" w:rsidRPr="00223DFA" w:rsidRDefault="007D2793" w:rsidP="00767B09">
      <w:pPr>
        <w:spacing w:after="0" w:line="240" w:lineRule="auto"/>
        <w:jc w:val="both"/>
        <w:rPr>
          <w:rFonts w:ascii="Verdana" w:hAnsi="Verdana"/>
          <w:sz w:val="20"/>
          <w:lang w:val="es-ES"/>
        </w:rPr>
      </w:pPr>
    </w:p>
    <w:p w14:paraId="780CD02E" w14:textId="5280BCEA" w:rsidR="007D2793" w:rsidRPr="00163AF0" w:rsidRDefault="007D2793" w:rsidP="00767B09">
      <w:pPr>
        <w:spacing w:after="0" w:line="240" w:lineRule="auto"/>
        <w:jc w:val="both"/>
        <w:rPr>
          <w:rFonts w:ascii="Verdana" w:hAnsi="Verdana"/>
          <w:sz w:val="20"/>
          <w:lang w:val="es-ES"/>
        </w:rPr>
      </w:pPr>
    </w:p>
    <w:p w14:paraId="1E9B6435" w14:textId="77777777" w:rsidR="007D2793" w:rsidRPr="00223DFA" w:rsidRDefault="007D2793" w:rsidP="00767B09">
      <w:pPr>
        <w:spacing w:after="0" w:line="240" w:lineRule="auto"/>
        <w:ind w:left="4956"/>
        <w:jc w:val="center"/>
        <w:rPr>
          <w:rFonts w:ascii="Verdana" w:hAnsi="Verdana"/>
          <w:sz w:val="20"/>
          <w:lang w:val="es-ES"/>
        </w:rPr>
      </w:pPr>
      <w:r w:rsidRPr="00223DFA">
        <w:rPr>
          <w:rFonts w:ascii="Verdana" w:hAnsi="Verdana"/>
          <w:sz w:val="20"/>
          <w:lang w:val="es-ES"/>
        </w:rPr>
        <w:t>Eduardo Ferrer Mac-Gregor Poisot</w:t>
      </w:r>
      <w:r w:rsidRPr="00223DFA">
        <w:rPr>
          <w:rFonts w:ascii="Verdana" w:hAnsi="Verdana"/>
          <w:sz w:val="20"/>
          <w:lang w:val="es-ES"/>
        </w:rPr>
        <w:tab/>
      </w:r>
    </w:p>
    <w:p w14:paraId="4A600385" w14:textId="77777777" w:rsidR="007D2793" w:rsidRPr="00223DFA" w:rsidRDefault="007D2793" w:rsidP="00767B09">
      <w:pPr>
        <w:spacing w:after="0" w:line="240" w:lineRule="auto"/>
        <w:ind w:left="4956" w:firstLine="708"/>
        <w:rPr>
          <w:rFonts w:ascii="Verdana" w:hAnsi="Verdana"/>
          <w:sz w:val="20"/>
          <w:lang w:val="es-ES"/>
        </w:rPr>
      </w:pPr>
      <w:r w:rsidRPr="00223DFA">
        <w:rPr>
          <w:rFonts w:ascii="Verdana" w:hAnsi="Verdana"/>
          <w:sz w:val="20"/>
          <w:lang w:val="es-ES"/>
        </w:rPr>
        <w:t xml:space="preserve">        Presidente </w:t>
      </w:r>
    </w:p>
    <w:p w14:paraId="656D4C73" w14:textId="7D827942" w:rsidR="007D2793" w:rsidRDefault="007D2793" w:rsidP="00767B09">
      <w:pPr>
        <w:spacing w:after="0" w:line="240" w:lineRule="auto"/>
        <w:jc w:val="both"/>
        <w:rPr>
          <w:rFonts w:ascii="Verdana" w:hAnsi="Verdana"/>
          <w:sz w:val="20"/>
          <w:lang w:val="es-ES"/>
        </w:rPr>
      </w:pPr>
    </w:p>
    <w:p w14:paraId="2D1AC181" w14:textId="77777777" w:rsidR="007D2793" w:rsidRDefault="007D2793" w:rsidP="00767B09">
      <w:pPr>
        <w:spacing w:after="0" w:line="240" w:lineRule="auto"/>
        <w:jc w:val="both"/>
        <w:rPr>
          <w:rFonts w:ascii="Verdana" w:hAnsi="Verdana"/>
          <w:sz w:val="20"/>
          <w:lang w:val="es-ES"/>
        </w:rPr>
      </w:pPr>
    </w:p>
    <w:p w14:paraId="1353EED6" w14:textId="77777777" w:rsidR="00767B09" w:rsidRDefault="00767B09" w:rsidP="00767B09">
      <w:pPr>
        <w:spacing w:after="0" w:line="240" w:lineRule="auto"/>
        <w:jc w:val="both"/>
        <w:rPr>
          <w:rFonts w:ascii="Verdana" w:hAnsi="Verdana"/>
          <w:sz w:val="20"/>
          <w:lang w:val="es-ES"/>
        </w:rPr>
      </w:pPr>
    </w:p>
    <w:p w14:paraId="767E30A6" w14:textId="3EFB19FC" w:rsidR="007D2793" w:rsidRPr="00223DFA" w:rsidRDefault="007D2793" w:rsidP="00767B09">
      <w:pPr>
        <w:spacing w:after="0" w:line="240" w:lineRule="auto"/>
        <w:jc w:val="both"/>
        <w:rPr>
          <w:rFonts w:ascii="Verdana" w:hAnsi="Verdana"/>
          <w:sz w:val="20"/>
          <w:lang w:val="es-ES"/>
        </w:rPr>
      </w:pPr>
    </w:p>
    <w:p w14:paraId="621D58BF" w14:textId="77777777" w:rsidR="007D2793" w:rsidRPr="00223DFA" w:rsidRDefault="007D2793" w:rsidP="00767B09">
      <w:pPr>
        <w:spacing w:after="0" w:line="240" w:lineRule="auto"/>
        <w:jc w:val="both"/>
        <w:rPr>
          <w:rFonts w:ascii="Verdana" w:hAnsi="Verdana"/>
          <w:sz w:val="20"/>
          <w:lang w:val="es-ES"/>
        </w:rPr>
      </w:pPr>
      <w:r w:rsidRPr="00223DFA">
        <w:rPr>
          <w:rFonts w:ascii="Verdana" w:hAnsi="Verdana"/>
          <w:sz w:val="20"/>
          <w:lang w:val="es-ES"/>
        </w:rPr>
        <w:t>Pablo Saavedra Alessandri</w:t>
      </w:r>
    </w:p>
    <w:p w14:paraId="1AE28EC0" w14:textId="33DB4974" w:rsidR="007D2793" w:rsidRPr="00392CAF" w:rsidRDefault="007D2793" w:rsidP="00767B09">
      <w:pPr>
        <w:spacing w:after="0" w:line="240" w:lineRule="auto"/>
        <w:rPr>
          <w:rFonts w:ascii="Verdana" w:hAnsi="Verdana"/>
          <w:sz w:val="20"/>
          <w:lang w:val="es-CR"/>
        </w:rPr>
      </w:pPr>
      <w:r w:rsidRPr="00223DFA">
        <w:rPr>
          <w:rFonts w:ascii="Verdana" w:hAnsi="Verdana"/>
          <w:sz w:val="20"/>
          <w:lang w:val="es-ES"/>
        </w:rPr>
        <w:tab/>
      </w:r>
      <w:r w:rsidRPr="00223DFA">
        <w:rPr>
          <w:rFonts w:ascii="Verdana" w:hAnsi="Verdana"/>
          <w:sz w:val="20"/>
          <w:lang w:val="es-CR"/>
        </w:rPr>
        <w:t>Secretario</w:t>
      </w:r>
    </w:p>
    <w:p w14:paraId="008B1CCB" w14:textId="77777777" w:rsidR="007D2793" w:rsidRDefault="007D2793" w:rsidP="007D2793">
      <w:pPr>
        <w:ind w:firstLine="720"/>
        <w:rPr>
          <w:rFonts w:ascii="Verdana" w:eastAsia="Calibri" w:hAnsi="Verdana"/>
          <w:b/>
          <w:i/>
          <w:sz w:val="20"/>
          <w:lang w:val="es-CR"/>
        </w:rPr>
      </w:pPr>
    </w:p>
    <w:p w14:paraId="73DC3E55" w14:textId="77777777" w:rsidR="007D2793" w:rsidRDefault="007D2793" w:rsidP="007D2793">
      <w:pPr>
        <w:jc w:val="center"/>
        <w:rPr>
          <w:rFonts w:ascii="Verdana" w:hAnsi="Verdana"/>
          <w:sz w:val="20"/>
          <w:lang w:val="es-ES"/>
        </w:rPr>
      </w:pPr>
    </w:p>
    <w:p w14:paraId="19D9D117" w14:textId="77777777" w:rsidR="007D2793" w:rsidRPr="007D2793" w:rsidRDefault="007D2793" w:rsidP="00AE1507">
      <w:pPr>
        <w:spacing w:after="0" w:line="240" w:lineRule="auto"/>
        <w:jc w:val="both"/>
        <w:rPr>
          <w:rFonts w:ascii="Verdana" w:hAnsi="Verdana"/>
          <w:sz w:val="20"/>
          <w:szCs w:val="20"/>
          <w:lang w:val="es-ES"/>
        </w:rPr>
      </w:pPr>
    </w:p>
    <w:sectPr w:rsidR="007D2793" w:rsidRPr="007D2793" w:rsidSect="00C2032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9B0B" w14:textId="77777777" w:rsidR="00AD021D" w:rsidRDefault="00AD021D" w:rsidP="00C1515A">
      <w:pPr>
        <w:spacing w:after="0" w:line="240" w:lineRule="auto"/>
      </w:pPr>
      <w:r>
        <w:separator/>
      </w:r>
    </w:p>
  </w:endnote>
  <w:endnote w:type="continuationSeparator" w:id="0">
    <w:p w14:paraId="0A6D35CC" w14:textId="77777777" w:rsidR="00AD021D" w:rsidRDefault="00AD021D" w:rsidP="00C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38456"/>
      <w:docPartObj>
        <w:docPartGallery w:val="Page Numbers (Bottom of Page)"/>
        <w:docPartUnique/>
      </w:docPartObj>
    </w:sdtPr>
    <w:sdtEndPr>
      <w:rPr>
        <w:noProof/>
      </w:rPr>
    </w:sdtEndPr>
    <w:sdtContent>
      <w:p w14:paraId="44781711" w14:textId="4E3A138D" w:rsidR="00C2032E" w:rsidRDefault="00EE21C7" w:rsidP="00EE21C7">
        <w:pPr>
          <w:pStyle w:val="Footer"/>
          <w:tabs>
            <w:tab w:val="left" w:pos="4410"/>
          </w:tabs>
        </w:pPr>
        <w:r>
          <w:tab/>
        </w:r>
      </w:p>
    </w:sdtContent>
  </w:sdt>
  <w:p w14:paraId="7602C9E4" w14:textId="77777777" w:rsidR="00231720" w:rsidRDefault="00231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6788" w14:textId="77777777" w:rsidR="00AD021D" w:rsidRDefault="00AD021D" w:rsidP="00C1515A">
      <w:pPr>
        <w:spacing w:after="0" w:line="240" w:lineRule="auto"/>
      </w:pPr>
      <w:r>
        <w:separator/>
      </w:r>
    </w:p>
  </w:footnote>
  <w:footnote w:type="continuationSeparator" w:id="0">
    <w:p w14:paraId="290375D8" w14:textId="77777777" w:rsidR="00AD021D" w:rsidRDefault="00AD021D" w:rsidP="00C1515A">
      <w:pPr>
        <w:spacing w:after="0" w:line="240" w:lineRule="auto"/>
      </w:pPr>
      <w:r>
        <w:continuationSeparator/>
      </w:r>
    </w:p>
  </w:footnote>
  <w:footnote w:id="1">
    <w:p w14:paraId="4983D8F4" w14:textId="6226D7C3" w:rsidR="00231720" w:rsidRPr="007B0BBC" w:rsidRDefault="00231720" w:rsidP="00BF3540">
      <w:pPr>
        <w:pStyle w:val="FootnoteText"/>
        <w:jc w:val="both"/>
        <w:rPr>
          <w:rFonts w:ascii="Verdana" w:hAnsi="Verdana"/>
          <w:sz w:val="16"/>
          <w:szCs w:val="16"/>
          <w:lang w:val="es-ES_tradnl"/>
        </w:rPr>
      </w:pPr>
      <w:r w:rsidRPr="00FB650B">
        <w:rPr>
          <w:rStyle w:val="FootnoteReference"/>
          <w:rFonts w:ascii="Verdana" w:hAnsi="Verdana"/>
          <w:sz w:val="16"/>
          <w:szCs w:val="16"/>
          <w:lang w:val="es-ES"/>
        </w:rPr>
        <w:t>*</w:t>
      </w:r>
      <w:r w:rsidRPr="00FB650B">
        <w:rPr>
          <w:rFonts w:ascii="Verdana" w:hAnsi="Verdana"/>
          <w:sz w:val="16"/>
          <w:szCs w:val="16"/>
          <w:lang w:val="es-ES"/>
        </w:rPr>
        <w:t xml:space="preserve"> </w:t>
      </w:r>
      <w:r w:rsidRPr="007B0BBC">
        <w:rPr>
          <w:rFonts w:ascii="Verdana" w:hAnsi="Verdana"/>
          <w:sz w:val="16"/>
          <w:szCs w:val="16"/>
          <w:lang w:val="es-ES_tradnl"/>
        </w:rPr>
        <w:tab/>
      </w:r>
      <w:r>
        <w:rPr>
          <w:rFonts w:ascii="Verdana" w:hAnsi="Verdana"/>
          <w:sz w:val="16"/>
          <w:szCs w:val="16"/>
          <w:lang w:val="es-ES_tradnl"/>
        </w:rPr>
        <w:t>El J</w:t>
      </w:r>
      <w:r w:rsidRPr="007B0BBC">
        <w:rPr>
          <w:rFonts w:ascii="Verdana" w:hAnsi="Verdana"/>
          <w:sz w:val="16"/>
          <w:szCs w:val="16"/>
          <w:lang w:val="es-ES_tradnl"/>
        </w:rPr>
        <w:t>uez Humberto A. Sierra Porto no participó en la deliberación y firma de la presente Resolución</w:t>
      </w:r>
      <w:r>
        <w:rPr>
          <w:rFonts w:ascii="Verdana" w:hAnsi="Verdana"/>
          <w:sz w:val="16"/>
          <w:szCs w:val="16"/>
          <w:lang w:val="es-ES_tradnl"/>
        </w:rPr>
        <w:t>,</w:t>
      </w:r>
      <w:r w:rsidRPr="007B0BBC">
        <w:rPr>
          <w:rFonts w:ascii="Verdana" w:hAnsi="Verdana"/>
          <w:sz w:val="16"/>
          <w:szCs w:val="16"/>
          <w:lang w:val="es-ES_tradnl"/>
        </w:rPr>
        <w:t xml:space="preserve"> por razones </w:t>
      </w:r>
      <w:r>
        <w:rPr>
          <w:rFonts w:ascii="Verdana" w:hAnsi="Verdana"/>
          <w:sz w:val="16"/>
          <w:szCs w:val="16"/>
          <w:lang w:val="es-ES_tradnl"/>
        </w:rPr>
        <w:t>de fuerza mayor.</w:t>
      </w:r>
    </w:p>
  </w:footnote>
  <w:footnote w:id="2">
    <w:p w14:paraId="441AC088" w14:textId="53957CF4" w:rsidR="00231720" w:rsidRDefault="00231720" w:rsidP="00A65CFA">
      <w:pPr>
        <w:pStyle w:val="FootnoteText"/>
        <w:jc w:val="both"/>
        <w:rPr>
          <w:rFonts w:ascii="Verdana" w:eastAsia="Times New Roman" w:hAnsi="Verdana"/>
          <w:sz w:val="16"/>
          <w:szCs w:val="16"/>
          <w:lang w:val="es-CR" w:eastAsia="es-ES"/>
        </w:rPr>
      </w:pPr>
      <w:r>
        <w:rPr>
          <w:rStyle w:val="FootnoteReference"/>
          <w:rFonts w:ascii="Verdana" w:hAnsi="Verdana"/>
          <w:sz w:val="16"/>
          <w:szCs w:val="16"/>
        </w:rPr>
        <w:footnoteRef/>
      </w:r>
      <w:r w:rsidRPr="00A65CFA">
        <w:rPr>
          <w:rFonts w:ascii="Verdana" w:hAnsi="Verdana"/>
          <w:b/>
          <w:sz w:val="16"/>
          <w:szCs w:val="16"/>
          <w:lang w:val="es-CR"/>
        </w:rPr>
        <w:t xml:space="preserve"> </w:t>
      </w:r>
      <w:r w:rsidRPr="00A65CFA">
        <w:rPr>
          <w:rFonts w:ascii="Verdana" w:hAnsi="Verdana"/>
          <w:b/>
          <w:sz w:val="16"/>
          <w:szCs w:val="16"/>
          <w:lang w:val="es-CR"/>
        </w:rPr>
        <w:tab/>
      </w:r>
      <w:r w:rsidRPr="00A65CFA">
        <w:rPr>
          <w:rFonts w:ascii="Verdana" w:hAnsi="Verdana"/>
          <w:i/>
          <w:sz w:val="16"/>
          <w:szCs w:val="16"/>
          <w:lang w:val="es-CR"/>
        </w:rPr>
        <w:t xml:space="preserve">Cfr. </w:t>
      </w:r>
      <w:r w:rsidRPr="00A65CFA">
        <w:rPr>
          <w:rStyle w:val="Strong"/>
          <w:rFonts w:ascii="Verdana" w:hAnsi="Verdana"/>
          <w:b w:val="0"/>
          <w:i/>
          <w:color w:val="000000"/>
          <w:sz w:val="16"/>
          <w:szCs w:val="16"/>
          <w:shd w:val="clear" w:color="auto" w:fill="FFFFFF"/>
          <w:lang w:val="es-CR"/>
        </w:rPr>
        <w:t xml:space="preserve">Caso </w:t>
      </w:r>
      <w:r>
        <w:rPr>
          <w:rStyle w:val="Strong"/>
          <w:rFonts w:ascii="Verdana" w:hAnsi="Verdana"/>
          <w:b w:val="0"/>
          <w:i/>
          <w:color w:val="000000"/>
          <w:sz w:val="16"/>
          <w:szCs w:val="16"/>
          <w:shd w:val="clear" w:color="auto" w:fill="FFFFFF"/>
          <w:lang w:val="es-CR"/>
        </w:rPr>
        <w:t>I.V.</w:t>
      </w:r>
      <w:r w:rsidRPr="00A65CFA">
        <w:rPr>
          <w:rStyle w:val="Strong"/>
          <w:rFonts w:ascii="Verdana" w:hAnsi="Verdana"/>
          <w:b w:val="0"/>
          <w:i/>
          <w:color w:val="000000"/>
          <w:sz w:val="16"/>
          <w:szCs w:val="16"/>
          <w:shd w:val="clear" w:color="auto" w:fill="FFFFFF"/>
          <w:lang w:val="es-CR"/>
        </w:rPr>
        <w:t xml:space="preserve"> Vs. </w:t>
      </w:r>
      <w:r>
        <w:rPr>
          <w:rStyle w:val="Strong"/>
          <w:rFonts w:ascii="Verdana" w:hAnsi="Verdana"/>
          <w:b w:val="0"/>
          <w:i/>
          <w:color w:val="000000"/>
          <w:sz w:val="16"/>
          <w:szCs w:val="16"/>
          <w:shd w:val="clear" w:color="auto" w:fill="FFFFFF"/>
          <w:lang w:val="es-CR"/>
        </w:rPr>
        <w:t>Bolivia</w:t>
      </w:r>
      <w:r w:rsidRPr="00A65CFA">
        <w:rPr>
          <w:rStyle w:val="Strong"/>
          <w:rFonts w:ascii="Verdana" w:hAnsi="Verdana"/>
          <w:b w:val="0"/>
          <w:i/>
          <w:color w:val="000000"/>
          <w:sz w:val="16"/>
          <w:szCs w:val="16"/>
          <w:shd w:val="clear" w:color="auto" w:fill="FFFFFF"/>
          <w:lang w:val="es-CR"/>
        </w:rPr>
        <w:t>. Excepciones Preliminares, Fondo, Reparaciones y Costas</w:t>
      </w:r>
      <w:r w:rsidRPr="00A65CFA">
        <w:rPr>
          <w:rStyle w:val="Strong"/>
          <w:rFonts w:ascii="Verdana" w:hAnsi="Verdana"/>
          <w:b w:val="0"/>
          <w:color w:val="000000"/>
          <w:sz w:val="16"/>
          <w:szCs w:val="16"/>
          <w:shd w:val="clear" w:color="auto" w:fill="FFFFFF"/>
          <w:lang w:val="es-CR"/>
        </w:rPr>
        <w:t xml:space="preserve">. Sentencia de </w:t>
      </w:r>
      <w:r>
        <w:rPr>
          <w:rStyle w:val="Strong"/>
          <w:rFonts w:ascii="Verdana" w:hAnsi="Verdana"/>
          <w:b w:val="0"/>
          <w:color w:val="000000"/>
          <w:sz w:val="16"/>
          <w:szCs w:val="16"/>
          <w:shd w:val="clear" w:color="auto" w:fill="FFFFFF"/>
          <w:lang w:val="es-CR"/>
        </w:rPr>
        <w:t>30</w:t>
      </w:r>
      <w:r w:rsidRPr="00A65CFA">
        <w:rPr>
          <w:rStyle w:val="Strong"/>
          <w:rFonts w:ascii="Verdana" w:hAnsi="Verdana"/>
          <w:b w:val="0"/>
          <w:color w:val="000000"/>
          <w:sz w:val="16"/>
          <w:szCs w:val="16"/>
          <w:shd w:val="clear" w:color="auto" w:fill="FFFFFF"/>
          <w:lang w:val="es-CR"/>
        </w:rPr>
        <w:t xml:space="preserve"> de </w:t>
      </w:r>
      <w:r>
        <w:rPr>
          <w:rStyle w:val="Strong"/>
          <w:rFonts w:ascii="Verdana" w:hAnsi="Verdana"/>
          <w:b w:val="0"/>
          <w:color w:val="000000"/>
          <w:sz w:val="16"/>
          <w:szCs w:val="16"/>
          <w:shd w:val="clear" w:color="auto" w:fill="FFFFFF"/>
          <w:lang w:val="es-CR"/>
        </w:rPr>
        <w:t>noviembre</w:t>
      </w:r>
      <w:r w:rsidRPr="00A65CFA">
        <w:rPr>
          <w:rStyle w:val="Strong"/>
          <w:rFonts w:ascii="Verdana" w:hAnsi="Verdana"/>
          <w:b w:val="0"/>
          <w:color w:val="000000"/>
          <w:sz w:val="16"/>
          <w:szCs w:val="16"/>
          <w:shd w:val="clear" w:color="auto" w:fill="FFFFFF"/>
          <w:lang w:val="es-CR"/>
        </w:rPr>
        <w:t xml:space="preserve"> de 201</w:t>
      </w:r>
      <w:r>
        <w:rPr>
          <w:rStyle w:val="Strong"/>
          <w:rFonts w:ascii="Verdana" w:hAnsi="Verdana"/>
          <w:b w:val="0"/>
          <w:color w:val="000000"/>
          <w:sz w:val="16"/>
          <w:szCs w:val="16"/>
          <w:shd w:val="clear" w:color="auto" w:fill="FFFFFF"/>
          <w:lang w:val="es-CR"/>
        </w:rPr>
        <w:t>6</w:t>
      </w:r>
      <w:r w:rsidRPr="00A65CFA">
        <w:rPr>
          <w:rStyle w:val="Strong"/>
          <w:rFonts w:ascii="Verdana" w:hAnsi="Verdana"/>
          <w:b w:val="0"/>
          <w:color w:val="000000"/>
          <w:sz w:val="16"/>
          <w:szCs w:val="16"/>
          <w:shd w:val="clear" w:color="auto" w:fill="FFFFFF"/>
          <w:lang w:val="es-CR"/>
        </w:rPr>
        <w:t xml:space="preserve">. Serie C No. </w:t>
      </w:r>
      <w:r>
        <w:rPr>
          <w:rStyle w:val="Strong"/>
          <w:rFonts w:ascii="Verdana" w:hAnsi="Verdana"/>
          <w:b w:val="0"/>
          <w:color w:val="000000"/>
          <w:sz w:val="16"/>
          <w:szCs w:val="16"/>
          <w:shd w:val="clear" w:color="auto" w:fill="FFFFFF"/>
          <w:lang w:val="es-CR"/>
        </w:rPr>
        <w:t>3</w:t>
      </w:r>
      <w:r>
        <w:rPr>
          <w:rStyle w:val="Strong"/>
          <w:rFonts w:ascii="Verdana" w:hAnsi="Verdana"/>
          <w:b w:val="0"/>
          <w:color w:val="000000"/>
          <w:sz w:val="16"/>
          <w:szCs w:val="16"/>
          <w:shd w:val="clear" w:color="auto" w:fill="FFFFFF"/>
          <w:lang w:val="es-ES"/>
        </w:rPr>
        <w:t>29</w:t>
      </w:r>
      <w:r w:rsidRPr="00A65CFA">
        <w:rPr>
          <w:rStyle w:val="Strong"/>
          <w:rFonts w:ascii="Verdana" w:hAnsi="Verdana"/>
          <w:b w:val="0"/>
          <w:color w:val="000000"/>
          <w:sz w:val="16"/>
          <w:szCs w:val="16"/>
          <w:shd w:val="clear" w:color="auto" w:fill="FFFFFF"/>
          <w:lang w:val="es-CR"/>
        </w:rPr>
        <w:t>. El texto íntegro se encuentra disponible en:</w:t>
      </w:r>
      <w:r>
        <w:rPr>
          <w:rStyle w:val="Strong"/>
          <w:rFonts w:ascii="Verdana" w:hAnsi="Verdana"/>
          <w:b w:val="0"/>
          <w:color w:val="000000"/>
          <w:sz w:val="16"/>
          <w:szCs w:val="16"/>
          <w:shd w:val="clear" w:color="auto" w:fill="FFFFFF"/>
          <w:lang w:val="es-CR"/>
        </w:rPr>
        <w:t xml:space="preserve"> </w:t>
      </w:r>
      <w:hyperlink r:id="rId1" w:history="1">
        <w:r w:rsidRPr="00413AFC">
          <w:rPr>
            <w:rStyle w:val="Hyperlink"/>
            <w:rFonts w:ascii="Verdana" w:hAnsi="Verdana"/>
            <w:sz w:val="16"/>
            <w:szCs w:val="16"/>
            <w:shd w:val="clear" w:color="auto" w:fill="FFFFFF"/>
            <w:lang w:val="es-CR"/>
          </w:rPr>
          <w:t>http://www.corteidh.or.cr/docs/casos/articulos/seriec_329_esp.pdf</w:t>
        </w:r>
      </w:hyperlink>
      <w:r>
        <w:rPr>
          <w:rStyle w:val="Strong"/>
          <w:rFonts w:ascii="Verdana" w:hAnsi="Verdana"/>
          <w:b w:val="0"/>
          <w:color w:val="000000"/>
          <w:sz w:val="16"/>
          <w:szCs w:val="16"/>
          <w:shd w:val="clear" w:color="auto" w:fill="FFFFFF"/>
          <w:lang w:val="es-CR"/>
        </w:rPr>
        <w:t xml:space="preserve"> . La Sentencia fue notificada el 22 de diciembre de 2016.</w:t>
      </w:r>
    </w:p>
  </w:footnote>
  <w:footnote w:id="3">
    <w:p w14:paraId="5158E91D" w14:textId="77777777" w:rsidR="00231720" w:rsidRPr="00A65CFA" w:rsidRDefault="00231720" w:rsidP="00417C29">
      <w:pPr>
        <w:pStyle w:val="FootnoteText"/>
        <w:jc w:val="both"/>
        <w:rPr>
          <w:rFonts w:ascii="Verdana" w:hAnsi="Verdana"/>
          <w:sz w:val="16"/>
          <w:szCs w:val="16"/>
          <w:lang w:val="es-CR"/>
        </w:rPr>
      </w:pPr>
      <w:r w:rsidRPr="00A65CFA">
        <w:rPr>
          <w:rStyle w:val="FootnoteReference"/>
          <w:rFonts w:ascii="Verdana" w:hAnsi="Verdana"/>
          <w:sz w:val="16"/>
          <w:szCs w:val="16"/>
        </w:rPr>
        <w:footnoteRef/>
      </w:r>
      <w:r w:rsidRPr="00A65CFA">
        <w:rPr>
          <w:rFonts w:ascii="Verdana" w:hAnsi="Verdana"/>
          <w:sz w:val="16"/>
          <w:szCs w:val="16"/>
          <w:lang w:val="es-CR"/>
        </w:rPr>
        <w:t xml:space="preserve"> </w:t>
      </w:r>
      <w:r w:rsidRPr="00A65CFA">
        <w:rPr>
          <w:rFonts w:ascii="Verdana" w:hAnsi="Verdana"/>
          <w:sz w:val="16"/>
          <w:szCs w:val="16"/>
          <w:lang w:val="es-CR"/>
        </w:rPr>
        <w:tab/>
      </w:r>
      <w:r w:rsidRPr="00BF3540">
        <w:rPr>
          <w:rFonts w:ascii="Verdana" w:hAnsi="Verdana"/>
          <w:i/>
          <w:sz w:val="16"/>
          <w:szCs w:val="16"/>
          <w:lang w:val="es-CR"/>
        </w:rPr>
        <w:t>Cfr. Caso I.V. Vs. Bolivia. Supervisión de Cumplimiento de Sentencia.</w:t>
      </w:r>
      <w:r w:rsidRPr="00A65CFA">
        <w:rPr>
          <w:rFonts w:ascii="Verdana" w:hAnsi="Verdana"/>
          <w:sz w:val="16"/>
          <w:szCs w:val="16"/>
          <w:lang w:val="es-CR"/>
        </w:rPr>
        <w:t xml:space="preserve"> Resolución de la Corte Interamericana de Derechos Humanos de 14 de noviembre de 2017, disponible en: </w:t>
      </w:r>
      <w:hyperlink r:id="rId2" w:history="1">
        <w:r w:rsidRPr="00A65CFA">
          <w:rPr>
            <w:rStyle w:val="Hyperlink"/>
            <w:rFonts w:ascii="Verdana" w:hAnsi="Verdana"/>
            <w:sz w:val="16"/>
            <w:szCs w:val="16"/>
            <w:lang w:val="es-CR"/>
          </w:rPr>
          <w:t>http://www.corteidh.or.cr/docs/supervisiones/I.V_14_11_17.pdf</w:t>
        </w:r>
      </w:hyperlink>
      <w:r w:rsidRPr="00A65CFA">
        <w:rPr>
          <w:rFonts w:ascii="Verdana" w:hAnsi="Verdana"/>
          <w:sz w:val="16"/>
          <w:szCs w:val="16"/>
          <w:lang w:val="es-CR"/>
        </w:rPr>
        <w:t xml:space="preserve">.  </w:t>
      </w:r>
    </w:p>
  </w:footnote>
  <w:footnote w:id="4">
    <w:p w14:paraId="5AF3D0DB" w14:textId="5B8180B6" w:rsidR="00231720" w:rsidRPr="002A750C" w:rsidRDefault="00231720"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r>
      <w:r w:rsidRPr="00A65CFA">
        <w:rPr>
          <w:rFonts w:ascii="Verdana" w:hAnsi="Verdana"/>
          <w:sz w:val="16"/>
          <w:szCs w:val="16"/>
          <w:lang w:val="es-CR"/>
        </w:rPr>
        <w:t xml:space="preserve">Escritos de: 18 de abril, 26 de junio, 22 </w:t>
      </w:r>
      <w:r>
        <w:rPr>
          <w:rFonts w:ascii="Verdana" w:hAnsi="Verdana"/>
          <w:sz w:val="16"/>
          <w:szCs w:val="16"/>
          <w:lang w:val="es-CR"/>
        </w:rPr>
        <w:t xml:space="preserve">y 24 de agosto, </w:t>
      </w:r>
      <w:r w:rsidRPr="00A65CFA">
        <w:rPr>
          <w:rFonts w:ascii="Verdana" w:hAnsi="Verdana"/>
          <w:sz w:val="16"/>
          <w:szCs w:val="16"/>
          <w:lang w:val="es-CR"/>
        </w:rPr>
        <w:t xml:space="preserve">10 de octubre </w:t>
      </w:r>
      <w:r>
        <w:rPr>
          <w:rFonts w:ascii="Verdana" w:hAnsi="Verdana"/>
          <w:sz w:val="16"/>
          <w:szCs w:val="16"/>
          <w:lang w:val="es-CR"/>
        </w:rPr>
        <w:t xml:space="preserve">y 22 de diciembre </w:t>
      </w:r>
      <w:r w:rsidRPr="00A65CFA">
        <w:rPr>
          <w:rFonts w:ascii="Verdana" w:hAnsi="Verdana"/>
          <w:sz w:val="16"/>
          <w:szCs w:val="16"/>
          <w:lang w:val="es-CR"/>
        </w:rPr>
        <w:t>de 2017</w:t>
      </w:r>
      <w:r>
        <w:rPr>
          <w:rFonts w:ascii="Verdana" w:hAnsi="Verdana"/>
          <w:sz w:val="16"/>
          <w:szCs w:val="16"/>
          <w:lang w:val="es-CR"/>
        </w:rPr>
        <w:t xml:space="preserve"> y 26 de enero y 2 y 31 de agosto de 2018.</w:t>
      </w:r>
    </w:p>
  </w:footnote>
  <w:footnote w:id="5">
    <w:p w14:paraId="56A03ACC" w14:textId="2BEB8D9F" w:rsidR="00231720" w:rsidRPr="00A65CFA" w:rsidRDefault="00231720"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r>
      <w:r w:rsidRPr="00A65CFA">
        <w:rPr>
          <w:rFonts w:ascii="Verdana" w:hAnsi="Verdana"/>
          <w:sz w:val="16"/>
          <w:szCs w:val="16"/>
          <w:lang w:val="es-CR"/>
        </w:rPr>
        <w:t>La organización Derechos en Acción representa a la víctima</w:t>
      </w:r>
      <w:r>
        <w:rPr>
          <w:rFonts w:ascii="Verdana" w:hAnsi="Verdana"/>
          <w:sz w:val="16"/>
          <w:szCs w:val="16"/>
          <w:lang w:val="es-CR"/>
        </w:rPr>
        <w:t>.</w:t>
      </w:r>
    </w:p>
  </w:footnote>
  <w:footnote w:id="6">
    <w:p w14:paraId="5BFC8AC2" w14:textId="1B54762C" w:rsidR="00231720" w:rsidRPr="00A65CFA" w:rsidRDefault="00231720"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r>
      <w:r w:rsidRPr="00A65CFA">
        <w:rPr>
          <w:rFonts w:ascii="Verdana" w:hAnsi="Verdana"/>
          <w:sz w:val="16"/>
          <w:szCs w:val="16"/>
          <w:lang w:val="es-CR"/>
        </w:rPr>
        <w:t>Escritos de 4 de mayo, 24 d</w:t>
      </w:r>
      <w:r>
        <w:rPr>
          <w:rFonts w:ascii="Verdana" w:hAnsi="Verdana"/>
          <w:sz w:val="16"/>
          <w:szCs w:val="16"/>
          <w:lang w:val="es-CR"/>
        </w:rPr>
        <w:t>e junio, 8 y 25 de septiembre, 2 y 23 de octubre de 2017, 25 de febrero, 9 de marzo y 27 de julio de 2018.</w:t>
      </w:r>
    </w:p>
  </w:footnote>
  <w:footnote w:id="7">
    <w:p w14:paraId="02642ED7" w14:textId="77777777" w:rsidR="00231720" w:rsidRPr="00C15C7E" w:rsidRDefault="00231720" w:rsidP="00C15C7E">
      <w:pPr>
        <w:pStyle w:val="FootnoteText"/>
        <w:jc w:val="both"/>
        <w:rPr>
          <w:rFonts w:ascii="Verdana" w:hAnsi="Verdana"/>
          <w:sz w:val="16"/>
          <w:szCs w:val="16"/>
          <w:lang w:val="es-CR"/>
        </w:rPr>
      </w:pPr>
      <w:r w:rsidRPr="00C15C7E">
        <w:rPr>
          <w:rStyle w:val="FootnoteReference"/>
          <w:rFonts w:ascii="Verdana" w:hAnsi="Verdana"/>
          <w:sz w:val="16"/>
          <w:szCs w:val="16"/>
        </w:rPr>
        <w:footnoteRef/>
      </w:r>
      <w:r w:rsidRPr="00C15C7E">
        <w:rPr>
          <w:rFonts w:ascii="Verdana" w:hAnsi="Verdana"/>
          <w:sz w:val="16"/>
          <w:szCs w:val="16"/>
          <w:lang w:val="es-CR"/>
        </w:rPr>
        <w:t xml:space="preserve"> </w:t>
      </w:r>
      <w:r w:rsidRPr="00C15C7E">
        <w:rPr>
          <w:rFonts w:ascii="Verdana" w:hAnsi="Verdana"/>
          <w:sz w:val="16"/>
          <w:szCs w:val="16"/>
          <w:lang w:val="es-CR"/>
        </w:rPr>
        <w:tab/>
        <w:t>Facultad que además se desprende de lo dispuesto en los artículos 33, 62.1, 62.3 y 65 de la Convención</w:t>
      </w:r>
    </w:p>
    <w:p w14:paraId="586592F8" w14:textId="77777777" w:rsidR="00231720" w:rsidRPr="00C15C7E" w:rsidRDefault="00231720" w:rsidP="00C15C7E">
      <w:pPr>
        <w:pStyle w:val="FootnoteText"/>
        <w:jc w:val="both"/>
        <w:rPr>
          <w:lang w:val="es-CR"/>
        </w:rPr>
      </w:pPr>
      <w:r w:rsidRPr="00C15C7E">
        <w:rPr>
          <w:rFonts w:ascii="Verdana" w:hAnsi="Verdana"/>
          <w:sz w:val="16"/>
          <w:szCs w:val="16"/>
          <w:lang w:val="es-CR"/>
        </w:rPr>
        <w:t>Americana y 30 de su Estatuto y se encuentra regulada en el artículo 69 de su Reglamento.</w:t>
      </w:r>
    </w:p>
  </w:footnote>
  <w:footnote w:id="8">
    <w:p w14:paraId="4BC41C05" w14:textId="43B89872" w:rsidR="00231720" w:rsidRPr="00F3681C" w:rsidRDefault="00231720" w:rsidP="00C15C7E">
      <w:pPr>
        <w:pStyle w:val="FootnoteText"/>
        <w:jc w:val="both"/>
        <w:rPr>
          <w:lang w:val="es-CR"/>
        </w:rPr>
      </w:pPr>
      <w:r w:rsidRPr="00C15C7E">
        <w:rPr>
          <w:rStyle w:val="FootnoteReference"/>
          <w:rFonts w:ascii="Verdana" w:hAnsi="Verdana"/>
          <w:sz w:val="16"/>
          <w:szCs w:val="16"/>
        </w:rPr>
        <w:footnoteRef/>
      </w:r>
      <w:r w:rsidRPr="00C15C7E">
        <w:rPr>
          <w:rFonts w:ascii="Verdana" w:hAnsi="Verdana"/>
          <w:sz w:val="16"/>
          <w:szCs w:val="16"/>
          <w:lang w:val="es-CR"/>
        </w:rPr>
        <w:t xml:space="preserve"> </w:t>
      </w:r>
      <w:r w:rsidRPr="00C15C7E">
        <w:rPr>
          <w:rFonts w:ascii="Verdana" w:hAnsi="Verdana"/>
          <w:sz w:val="16"/>
          <w:szCs w:val="16"/>
          <w:lang w:val="es-CR"/>
        </w:rPr>
        <w:tab/>
        <w:t xml:space="preserve">El Tribunal declaró que </w:t>
      </w:r>
      <w:r>
        <w:rPr>
          <w:rFonts w:ascii="Verdana" w:hAnsi="Verdana"/>
          <w:sz w:val="16"/>
          <w:szCs w:val="16"/>
          <w:lang w:val="es-CR"/>
        </w:rPr>
        <w:t>Bolivia</w:t>
      </w:r>
      <w:r w:rsidRPr="00C15C7E">
        <w:rPr>
          <w:rFonts w:ascii="Verdana" w:hAnsi="Verdana"/>
          <w:sz w:val="16"/>
          <w:szCs w:val="16"/>
          <w:lang w:val="es-CR"/>
        </w:rPr>
        <w:t xml:space="preserve"> dio cumplimiento total a la</w:t>
      </w:r>
      <w:r>
        <w:rPr>
          <w:rFonts w:ascii="Verdana" w:hAnsi="Verdana"/>
          <w:sz w:val="16"/>
          <w:szCs w:val="16"/>
          <w:lang w:val="es-CR"/>
        </w:rPr>
        <w:t>s siguientes</w:t>
      </w:r>
      <w:r w:rsidRPr="00C15C7E">
        <w:rPr>
          <w:rFonts w:ascii="Verdana" w:hAnsi="Verdana"/>
          <w:sz w:val="16"/>
          <w:szCs w:val="16"/>
          <w:lang w:val="es-CR"/>
        </w:rPr>
        <w:t xml:space="preserve"> medida</w:t>
      </w:r>
      <w:r>
        <w:rPr>
          <w:rFonts w:ascii="Verdana" w:hAnsi="Verdana"/>
          <w:sz w:val="16"/>
          <w:szCs w:val="16"/>
          <w:lang w:val="es-CR"/>
        </w:rPr>
        <w:t xml:space="preserve">s de reparación: a) publicar el resumen oficial de la Sentencia en el Diario Oficial y en un diario de amplia circulación nacional, y la Sentencia en su integridad en un sitio </w:t>
      </w:r>
      <w:r>
        <w:rPr>
          <w:rFonts w:ascii="Verdana" w:hAnsi="Verdana"/>
          <w:i/>
          <w:sz w:val="16"/>
          <w:szCs w:val="16"/>
          <w:lang w:val="es-CR"/>
        </w:rPr>
        <w:t xml:space="preserve">web </w:t>
      </w:r>
      <w:r>
        <w:rPr>
          <w:rFonts w:ascii="Verdana" w:hAnsi="Verdana"/>
          <w:sz w:val="16"/>
          <w:szCs w:val="16"/>
          <w:lang w:val="es-CR"/>
        </w:rPr>
        <w:t>(</w:t>
      </w:r>
      <w:r>
        <w:rPr>
          <w:rFonts w:ascii="Verdana" w:hAnsi="Verdana"/>
          <w:i/>
          <w:sz w:val="16"/>
          <w:szCs w:val="16"/>
          <w:lang w:val="es-CR"/>
        </w:rPr>
        <w:t>punto resolutivo noveno de la Sentencia)</w:t>
      </w:r>
      <w:r>
        <w:rPr>
          <w:rFonts w:ascii="Verdana" w:hAnsi="Verdana"/>
          <w:sz w:val="16"/>
          <w:szCs w:val="16"/>
          <w:lang w:val="es-CR"/>
        </w:rPr>
        <w:t>; b) realizar un acto público de reconocimiento de responsabilidad internacional por los hechos del presente caso (</w:t>
      </w:r>
      <w:r>
        <w:rPr>
          <w:rFonts w:ascii="Verdana" w:hAnsi="Verdana"/>
          <w:i/>
          <w:sz w:val="16"/>
          <w:szCs w:val="16"/>
          <w:lang w:val="es-CR"/>
        </w:rPr>
        <w:t>punto resolutivo décimo de la Sentencia</w:t>
      </w:r>
      <w:r>
        <w:rPr>
          <w:rFonts w:ascii="Verdana" w:hAnsi="Verdana"/>
          <w:sz w:val="16"/>
          <w:szCs w:val="16"/>
          <w:lang w:val="es-CR"/>
        </w:rPr>
        <w:t>), y c) pagar las cantidades fijadas en la Sentencia por concepto de indemnización por daño material e inmaterial, y por el reintegro de costas y gastos (</w:t>
      </w:r>
      <w:r>
        <w:rPr>
          <w:rFonts w:ascii="Verdana" w:hAnsi="Verdana"/>
          <w:i/>
          <w:sz w:val="16"/>
          <w:szCs w:val="16"/>
          <w:lang w:val="es-CR"/>
        </w:rPr>
        <w:t>punto resolutivo tercero de la Sentencia</w:t>
      </w:r>
      <w:r>
        <w:rPr>
          <w:rFonts w:ascii="Verdana" w:hAnsi="Verdana"/>
          <w:sz w:val="16"/>
          <w:szCs w:val="16"/>
          <w:lang w:val="es-CR"/>
        </w:rPr>
        <w:t xml:space="preserve">). </w:t>
      </w:r>
    </w:p>
  </w:footnote>
  <w:footnote w:id="9">
    <w:p w14:paraId="20862C45" w14:textId="753BA59F" w:rsidR="00231720" w:rsidRPr="00226C10" w:rsidRDefault="00231720"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F3681C">
        <w:rPr>
          <w:rFonts w:ascii="Verdana" w:hAnsi="Verdana"/>
          <w:i/>
          <w:sz w:val="16"/>
          <w:szCs w:val="16"/>
          <w:lang w:val="es-CR"/>
        </w:rPr>
        <w:t>Cfr. Caso Cinco Pensionistas Vs. Perú. Supervisión de Cumplimiento de Sentencia.</w:t>
      </w:r>
      <w:r>
        <w:rPr>
          <w:rFonts w:ascii="Verdana" w:hAnsi="Verdana"/>
          <w:sz w:val="16"/>
          <w:szCs w:val="16"/>
          <w:lang w:val="es-CR"/>
        </w:rPr>
        <w:t xml:space="preserve"> </w:t>
      </w:r>
      <w:r w:rsidRPr="00226C10">
        <w:rPr>
          <w:rFonts w:ascii="Verdana" w:hAnsi="Verdana"/>
          <w:sz w:val="16"/>
          <w:szCs w:val="16"/>
          <w:lang w:val="es-CR"/>
        </w:rPr>
        <w:t xml:space="preserve">Resolución de la Corte Interamericana de Derechos Humanos de 17 de noviembre de 2004, Considerando 5, y </w:t>
      </w:r>
      <w:r w:rsidRPr="00F3681C">
        <w:rPr>
          <w:rFonts w:ascii="Verdana" w:hAnsi="Verdana"/>
          <w:i/>
          <w:sz w:val="16"/>
          <w:szCs w:val="16"/>
          <w:lang w:val="es-CR"/>
        </w:rPr>
        <w:t xml:space="preserve">Caso </w:t>
      </w:r>
      <w:r>
        <w:rPr>
          <w:rFonts w:ascii="Verdana" w:hAnsi="Verdana"/>
          <w:i/>
          <w:sz w:val="16"/>
          <w:szCs w:val="16"/>
          <w:lang w:val="es-CR"/>
        </w:rPr>
        <w:t>del Pueblo Saramaka</w:t>
      </w:r>
      <w:r w:rsidRPr="00F3681C">
        <w:rPr>
          <w:rFonts w:ascii="Verdana" w:hAnsi="Verdana"/>
          <w:i/>
          <w:sz w:val="16"/>
          <w:szCs w:val="16"/>
          <w:lang w:val="es-CR"/>
        </w:rPr>
        <w:t xml:space="preserve"> Vs. </w:t>
      </w:r>
      <w:r>
        <w:rPr>
          <w:rFonts w:ascii="Verdana" w:hAnsi="Verdana"/>
          <w:i/>
          <w:sz w:val="16"/>
          <w:szCs w:val="16"/>
          <w:lang w:val="es-CR"/>
        </w:rPr>
        <w:t>Surinam</w:t>
      </w:r>
      <w:r w:rsidRPr="00F3681C">
        <w:rPr>
          <w:rFonts w:ascii="Verdana" w:hAnsi="Verdana"/>
          <w:i/>
          <w:sz w:val="16"/>
          <w:szCs w:val="16"/>
          <w:lang w:val="es-CR"/>
        </w:rPr>
        <w:t>. Supervisión de Cumplimiento de Sentencia.</w:t>
      </w:r>
      <w:r w:rsidRPr="00226C10">
        <w:rPr>
          <w:rFonts w:ascii="Verdana" w:hAnsi="Verdana"/>
          <w:sz w:val="16"/>
          <w:szCs w:val="16"/>
          <w:lang w:val="es-CR"/>
        </w:rPr>
        <w:t xml:space="preserve"> Resolución de la Corte Interamericana de Derechos Humanos </w:t>
      </w:r>
      <w:r>
        <w:rPr>
          <w:rFonts w:ascii="Verdana" w:hAnsi="Verdana"/>
          <w:sz w:val="16"/>
          <w:szCs w:val="16"/>
          <w:lang w:val="es-CR"/>
        </w:rPr>
        <w:t>de 26</w:t>
      </w:r>
      <w:r w:rsidRPr="00226C10">
        <w:rPr>
          <w:rFonts w:ascii="Verdana" w:hAnsi="Verdana"/>
          <w:sz w:val="16"/>
          <w:szCs w:val="16"/>
          <w:lang w:val="es-CR"/>
        </w:rPr>
        <w:t xml:space="preserve"> de </w:t>
      </w:r>
      <w:r>
        <w:rPr>
          <w:rFonts w:ascii="Verdana" w:hAnsi="Verdana"/>
          <w:sz w:val="16"/>
          <w:szCs w:val="16"/>
          <w:lang w:val="es-CR"/>
        </w:rPr>
        <w:t>septiembre</w:t>
      </w:r>
      <w:r w:rsidRPr="00226C10">
        <w:rPr>
          <w:rFonts w:ascii="Verdana" w:hAnsi="Verdana"/>
          <w:sz w:val="16"/>
          <w:szCs w:val="16"/>
          <w:lang w:val="es-CR"/>
        </w:rPr>
        <w:t xml:space="preserve"> de 201</w:t>
      </w:r>
      <w:r>
        <w:rPr>
          <w:rFonts w:ascii="Verdana" w:hAnsi="Verdana"/>
          <w:sz w:val="16"/>
          <w:szCs w:val="16"/>
          <w:lang w:val="es-CR"/>
        </w:rPr>
        <w:t>8</w:t>
      </w:r>
      <w:r w:rsidRPr="00226C10">
        <w:rPr>
          <w:rFonts w:ascii="Verdana" w:hAnsi="Verdana"/>
          <w:sz w:val="16"/>
          <w:szCs w:val="16"/>
          <w:lang w:val="es-CR"/>
        </w:rPr>
        <w:t>, Considerando 2.</w:t>
      </w:r>
    </w:p>
  </w:footnote>
  <w:footnote w:id="10">
    <w:p w14:paraId="565D1BD2" w14:textId="5219A333" w:rsidR="00231720" w:rsidRPr="00226C10" w:rsidRDefault="00231720"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F3681C">
        <w:rPr>
          <w:rFonts w:ascii="Verdana" w:hAnsi="Verdana"/>
          <w:i/>
          <w:sz w:val="16"/>
          <w:szCs w:val="16"/>
          <w:lang w:val="es-CR"/>
        </w:rPr>
        <w:t>Cfr. Caso Ivcher Bronstein Vs. Perú. Competencia.</w:t>
      </w:r>
      <w:r w:rsidRPr="00226C10">
        <w:rPr>
          <w:rFonts w:ascii="Verdana" w:hAnsi="Verdana"/>
          <w:sz w:val="16"/>
          <w:szCs w:val="16"/>
          <w:lang w:val="es-CR"/>
        </w:rPr>
        <w:t xml:space="preserve"> Sentencia de la Corte Interamericana de Derechos Humanos de 24 de septiembre de 1999. Serie C No. 54, párr. 37, y </w:t>
      </w:r>
      <w:r w:rsidRPr="00F3681C">
        <w:rPr>
          <w:rFonts w:ascii="Verdana" w:hAnsi="Verdana"/>
          <w:i/>
          <w:sz w:val="16"/>
          <w:szCs w:val="16"/>
          <w:lang w:val="es-CR"/>
        </w:rPr>
        <w:t xml:space="preserve">Caso </w:t>
      </w:r>
      <w:r>
        <w:rPr>
          <w:rFonts w:ascii="Verdana" w:hAnsi="Verdana"/>
          <w:i/>
          <w:sz w:val="16"/>
          <w:szCs w:val="16"/>
          <w:lang w:val="es-CR"/>
        </w:rPr>
        <w:t xml:space="preserve">Trabajadores Cesados de Petroperú y otros </w:t>
      </w:r>
      <w:r w:rsidRPr="00F3681C">
        <w:rPr>
          <w:rFonts w:ascii="Verdana" w:hAnsi="Verdana"/>
          <w:i/>
          <w:sz w:val="16"/>
          <w:szCs w:val="16"/>
          <w:lang w:val="es-CR"/>
        </w:rPr>
        <w:t>Vs. P</w:t>
      </w:r>
      <w:r>
        <w:rPr>
          <w:rFonts w:ascii="Verdana" w:hAnsi="Verdana"/>
          <w:i/>
          <w:sz w:val="16"/>
          <w:szCs w:val="16"/>
          <w:lang w:val="es-CR"/>
        </w:rPr>
        <w:t>erú.</w:t>
      </w:r>
      <w:r>
        <w:rPr>
          <w:rFonts w:ascii="Verdana" w:hAnsi="Verdana"/>
          <w:sz w:val="16"/>
          <w:szCs w:val="16"/>
          <w:lang w:val="es-CR"/>
        </w:rPr>
        <w:t xml:space="preserve"> </w:t>
      </w:r>
      <w:r w:rsidRPr="00F3681C">
        <w:rPr>
          <w:rFonts w:ascii="Verdana" w:hAnsi="Verdana"/>
          <w:i/>
          <w:sz w:val="16"/>
          <w:szCs w:val="16"/>
          <w:lang w:val="es-CR"/>
        </w:rPr>
        <w:t>Supervisión de Cumplimiento de Sentencia.</w:t>
      </w:r>
      <w:r w:rsidRPr="00226C10">
        <w:rPr>
          <w:rFonts w:ascii="Verdana" w:hAnsi="Verdana"/>
          <w:sz w:val="16"/>
          <w:szCs w:val="16"/>
          <w:lang w:val="es-CR"/>
        </w:rPr>
        <w:t xml:space="preserve"> Resolución de la Corte Interamericana de Derechos Humanos</w:t>
      </w:r>
      <w:r>
        <w:rPr>
          <w:rFonts w:ascii="Verdana" w:hAnsi="Verdana"/>
          <w:sz w:val="16"/>
          <w:szCs w:val="16"/>
          <w:lang w:val="es-CR"/>
        </w:rPr>
        <w:t xml:space="preserve"> de 26 de septiembre de 2018</w:t>
      </w:r>
      <w:r w:rsidRPr="00226C10">
        <w:rPr>
          <w:rFonts w:ascii="Verdana" w:hAnsi="Verdana"/>
          <w:sz w:val="16"/>
          <w:szCs w:val="16"/>
          <w:lang w:val="es-CR"/>
        </w:rPr>
        <w:t>, Considerando 2.</w:t>
      </w:r>
    </w:p>
  </w:footnote>
  <w:footnote w:id="11">
    <w:p w14:paraId="1519DB40" w14:textId="10534940" w:rsidR="00231720" w:rsidRPr="009C71C8" w:rsidRDefault="00231720">
      <w:pPr>
        <w:pStyle w:val="FootnoteText"/>
        <w:rPr>
          <w:rFonts w:ascii="Verdana" w:hAnsi="Verdana"/>
          <w:sz w:val="16"/>
          <w:szCs w:val="16"/>
          <w:lang w:val="es-CR"/>
        </w:rPr>
      </w:pPr>
      <w:r w:rsidRPr="009C71C8">
        <w:rPr>
          <w:rStyle w:val="FootnoteReference"/>
          <w:rFonts w:ascii="Verdana" w:hAnsi="Verdana"/>
          <w:sz w:val="16"/>
          <w:szCs w:val="16"/>
        </w:rPr>
        <w:footnoteRef/>
      </w:r>
      <w:r w:rsidRPr="009C71C8">
        <w:rPr>
          <w:rFonts w:ascii="Verdana" w:hAnsi="Verdana"/>
          <w:sz w:val="16"/>
          <w:szCs w:val="16"/>
          <w:lang w:val="es-CR"/>
        </w:rPr>
        <w:t xml:space="preserve"> </w:t>
      </w:r>
      <w:r w:rsidRPr="009C71C8">
        <w:rPr>
          <w:rFonts w:ascii="Verdana" w:hAnsi="Verdana"/>
          <w:sz w:val="16"/>
          <w:szCs w:val="16"/>
          <w:lang w:val="es-CR"/>
        </w:rPr>
        <w:tab/>
        <w:t xml:space="preserve">En sus informes de </w:t>
      </w:r>
      <w:r>
        <w:rPr>
          <w:rFonts w:ascii="Verdana" w:hAnsi="Verdana"/>
          <w:sz w:val="16"/>
          <w:szCs w:val="16"/>
          <w:lang w:val="es-CR"/>
        </w:rPr>
        <w:t>22 de diciembre de 2017</w:t>
      </w:r>
      <w:r w:rsidRPr="009C71C8">
        <w:rPr>
          <w:rFonts w:ascii="Verdana" w:hAnsi="Verdana"/>
          <w:sz w:val="16"/>
          <w:szCs w:val="16"/>
          <w:lang w:val="es-CR"/>
        </w:rPr>
        <w:t xml:space="preserve"> y 2</w:t>
      </w:r>
      <w:r>
        <w:rPr>
          <w:rFonts w:ascii="Verdana" w:hAnsi="Verdana"/>
          <w:sz w:val="16"/>
          <w:szCs w:val="16"/>
          <w:lang w:val="es-CR"/>
        </w:rPr>
        <w:t>6</w:t>
      </w:r>
      <w:r w:rsidRPr="009C71C8">
        <w:rPr>
          <w:rFonts w:ascii="Verdana" w:hAnsi="Verdana"/>
          <w:sz w:val="16"/>
          <w:szCs w:val="16"/>
          <w:lang w:val="es-CR"/>
        </w:rPr>
        <w:t xml:space="preserve"> de </w:t>
      </w:r>
      <w:r>
        <w:rPr>
          <w:rFonts w:ascii="Verdana" w:hAnsi="Verdana"/>
          <w:sz w:val="16"/>
          <w:szCs w:val="16"/>
          <w:lang w:val="es-CR"/>
        </w:rPr>
        <w:t>enero</w:t>
      </w:r>
      <w:r w:rsidRPr="009C71C8">
        <w:rPr>
          <w:rFonts w:ascii="Verdana" w:hAnsi="Verdana"/>
          <w:sz w:val="16"/>
          <w:szCs w:val="16"/>
          <w:lang w:val="es-CR"/>
        </w:rPr>
        <w:t xml:space="preserve"> de 2018.</w:t>
      </w:r>
    </w:p>
  </w:footnote>
  <w:footnote w:id="12">
    <w:p w14:paraId="4D012F70" w14:textId="0C0153D4" w:rsidR="00231720" w:rsidRPr="007001E9" w:rsidRDefault="00231720" w:rsidP="00280177">
      <w:pPr>
        <w:pStyle w:val="FootnoteText"/>
        <w:jc w:val="both"/>
        <w:rPr>
          <w:rFonts w:ascii="Verdana" w:hAnsi="Verdana"/>
          <w:sz w:val="16"/>
          <w:szCs w:val="16"/>
          <w:lang w:val="es-CR"/>
        </w:rPr>
      </w:pPr>
      <w:r w:rsidRPr="007001E9">
        <w:rPr>
          <w:rStyle w:val="FootnoteReference"/>
          <w:rFonts w:ascii="Verdana" w:hAnsi="Verdana"/>
          <w:sz w:val="16"/>
          <w:szCs w:val="16"/>
        </w:rPr>
        <w:footnoteRef/>
      </w:r>
      <w:r w:rsidRPr="007001E9">
        <w:rPr>
          <w:rFonts w:ascii="Verdana" w:hAnsi="Verdana"/>
          <w:sz w:val="16"/>
          <w:szCs w:val="16"/>
          <w:lang w:val="es-CR"/>
        </w:rPr>
        <w:t xml:space="preserve"> </w:t>
      </w:r>
      <w:r w:rsidRPr="007001E9">
        <w:rPr>
          <w:rFonts w:ascii="Verdana" w:hAnsi="Verdana"/>
          <w:sz w:val="16"/>
          <w:szCs w:val="16"/>
          <w:lang w:val="es-CR"/>
        </w:rPr>
        <w:tab/>
      </w:r>
      <w:r w:rsidRPr="007001E9">
        <w:rPr>
          <w:rFonts w:ascii="Verdana" w:hAnsi="Verdana"/>
          <w:i/>
          <w:sz w:val="16"/>
          <w:szCs w:val="16"/>
          <w:lang w:val="es-CR"/>
        </w:rPr>
        <w:t xml:space="preserve">Cfr. </w:t>
      </w:r>
      <w:r w:rsidRPr="007001E9">
        <w:rPr>
          <w:rFonts w:ascii="Verdana" w:hAnsi="Verdana"/>
          <w:sz w:val="16"/>
          <w:szCs w:val="16"/>
          <w:lang w:val="es-CR"/>
        </w:rPr>
        <w:t xml:space="preserve">Gaceta Oficial del Estado Plurinacional de Bolivia N° 0988 de 17 de agosto de 2017 (Anexo 1 </w:t>
      </w:r>
      <w:r>
        <w:rPr>
          <w:rFonts w:ascii="Verdana" w:hAnsi="Verdana"/>
          <w:sz w:val="16"/>
          <w:szCs w:val="16"/>
          <w:lang w:val="es-CR"/>
        </w:rPr>
        <w:t>a</w:t>
      </w:r>
      <w:r w:rsidRPr="007001E9">
        <w:rPr>
          <w:rFonts w:ascii="Verdana" w:hAnsi="Verdana"/>
          <w:sz w:val="16"/>
          <w:szCs w:val="16"/>
          <w:lang w:val="es-CR"/>
        </w:rPr>
        <w:t xml:space="preserve">l informe </w:t>
      </w:r>
      <w:r>
        <w:rPr>
          <w:rFonts w:ascii="Verdana" w:hAnsi="Verdana"/>
          <w:sz w:val="16"/>
          <w:szCs w:val="16"/>
          <w:lang w:val="es-CR"/>
        </w:rPr>
        <w:t xml:space="preserve">presentado por </w:t>
      </w:r>
      <w:r w:rsidRPr="007001E9">
        <w:rPr>
          <w:rFonts w:ascii="Verdana" w:hAnsi="Verdana"/>
          <w:sz w:val="16"/>
          <w:szCs w:val="16"/>
          <w:lang w:val="es-CR"/>
        </w:rPr>
        <w:t>el Estado e</w:t>
      </w:r>
      <w:r>
        <w:rPr>
          <w:rFonts w:ascii="Verdana" w:hAnsi="Verdana"/>
          <w:sz w:val="16"/>
          <w:szCs w:val="16"/>
          <w:lang w:val="es-CR"/>
        </w:rPr>
        <w:t>l</w:t>
      </w:r>
      <w:r w:rsidRPr="007001E9">
        <w:rPr>
          <w:rFonts w:ascii="Verdana" w:hAnsi="Verdana"/>
          <w:sz w:val="16"/>
          <w:szCs w:val="16"/>
          <w:lang w:val="es-CR"/>
        </w:rPr>
        <w:t xml:space="preserve"> </w:t>
      </w:r>
      <w:r>
        <w:rPr>
          <w:rFonts w:ascii="Verdana" w:hAnsi="Verdana"/>
          <w:sz w:val="16"/>
          <w:szCs w:val="16"/>
          <w:lang w:val="es-CR"/>
        </w:rPr>
        <w:t>22</w:t>
      </w:r>
      <w:r w:rsidRPr="007001E9">
        <w:rPr>
          <w:rFonts w:ascii="Verdana" w:hAnsi="Verdana"/>
          <w:sz w:val="16"/>
          <w:szCs w:val="16"/>
          <w:lang w:val="es-CR"/>
        </w:rPr>
        <w:t xml:space="preserve"> de </w:t>
      </w:r>
      <w:r>
        <w:rPr>
          <w:rFonts w:ascii="Verdana" w:hAnsi="Verdana"/>
          <w:sz w:val="16"/>
          <w:szCs w:val="16"/>
          <w:lang w:val="es-CR"/>
        </w:rPr>
        <w:t>diciembre</w:t>
      </w:r>
      <w:r w:rsidRPr="007001E9">
        <w:rPr>
          <w:rFonts w:ascii="Verdana" w:hAnsi="Verdana"/>
          <w:sz w:val="16"/>
          <w:szCs w:val="16"/>
          <w:lang w:val="es-CR"/>
        </w:rPr>
        <w:t xml:space="preserve"> de 201</w:t>
      </w:r>
      <w:r>
        <w:rPr>
          <w:rFonts w:ascii="Verdana" w:hAnsi="Verdana"/>
          <w:sz w:val="16"/>
          <w:szCs w:val="16"/>
          <w:lang w:val="es-CR"/>
        </w:rPr>
        <w:t>7</w:t>
      </w:r>
      <w:r w:rsidRPr="007001E9">
        <w:rPr>
          <w:rFonts w:ascii="Verdana" w:hAnsi="Verdana"/>
          <w:sz w:val="16"/>
          <w:szCs w:val="16"/>
          <w:lang w:val="es-CR"/>
        </w:rPr>
        <w:t xml:space="preserve">). </w:t>
      </w:r>
    </w:p>
  </w:footnote>
  <w:footnote w:id="13">
    <w:p w14:paraId="14F05A32" w14:textId="00A36449" w:rsidR="00231720" w:rsidRPr="0006593F" w:rsidRDefault="00231720" w:rsidP="00D24F46">
      <w:pPr>
        <w:pStyle w:val="FootnoteText"/>
        <w:jc w:val="both"/>
        <w:rPr>
          <w:rFonts w:ascii="Verdana" w:hAnsi="Verdana"/>
          <w:sz w:val="16"/>
          <w:szCs w:val="16"/>
          <w:lang w:val="es-CR"/>
        </w:rPr>
      </w:pPr>
      <w:r w:rsidRPr="0006593F">
        <w:rPr>
          <w:rStyle w:val="FootnoteReference"/>
          <w:rFonts w:ascii="Verdana" w:hAnsi="Verdana"/>
          <w:sz w:val="16"/>
          <w:szCs w:val="16"/>
        </w:rPr>
        <w:footnoteRef/>
      </w:r>
      <w:r w:rsidRPr="0006593F">
        <w:rPr>
          <w:rFonts w:ascii="Verdana" w:hAnsi="Verdana"/>
          <w:sz w:val="16"/>
          <w:szCs w:val="16"/>
          <w:lang w:val="es-CR"/>
        </w:rPr>
        <w:t xml:space="preserve">  </w:t>
      </w:r>
      <w:r w:rsidRPr="0006593F">
        <w:rPr>
          <w:rFonts w:ascii="Verdana" w:hAnsi="Verdana"/>
          <w:sz w:val="16"/>
          <w:szCs w:val="16"/>
          <w:lang w:val="es-CR"/>
        </w:rPr>
        <w:tab/>
        <w:t>El Convenio dispone</w:t>
      </w:r>
      <w:r>
        <w:rPr>
          <w:rFonts w:ascii="Verdana" w:hAnsi="Verdana"/>
          <w:sz w:val="16"/>
          <w:szCs w:val="16"/>
          <w:lang w:val="es-CR"/>
        </w:rPr>
        <w:t xml:space="preserve"> como obligaciones del Ministerio de Salud: </w:t>
      </w:r>
      <w:r w:rsidRPr="00A82CAC">
        <w:rPr>
          <w:rFonts w:ascii="Verdana" w:hAnsi="Verdana"/>
          <w:sz w:val="16"/>
          <w:szCs w:val="16"/>
          <w:lang w:val="es-CR"/>
        </w:rPr>
        <w:t>“[…] b) Cubrir el costo por concepto de gastos necesarios para los exámenes de ingreso, costos administrativos para la afiliación y cotizaciones mensuales de los BENEFICIARIOS en la CAJA de manera oportuna y puntual […]. c) Realizar las gestiones administrativas necesarias para obtener los recursos necesarios ante el Ministerio de Economía y Finanzas de forma anual. d) Establecer el procedimiento para cubrir los costos correspondientes para la afiliación y cotizaciones mensuales, respecto a los BENEFICIARIOS, con el fin que […] puedan acceder a los servicios de salud”.</w:t>
      </w:r>
      <w:r>
        <w:rPr>
          <w:rFonts w:ascii="Verdana" w:hAnsi="Verdana"/>
          <w:sz w:val="16"/>
          <w:szCs w:val="16"/>
          <w:lang w:val="es-CR"/>
        </w:rPr>
        <w:t xml:space="preserve"> Por su parte, se establecen las siguientes obligaciones para</w:t>
      </w:r>
      <w:r w:rsidRPr="0006593F">
        <w:rPr>
          <w:rFonts w:ascii="Verdana" w:hAnsi="Verdana"/>
          <w:sz w:val="16"/>
          <w:szCs w:val="16"/>
          <w:lang w:val="es-CR"/>
        </w:rPr>
        <w:t xml:space="preserve"> la Caja Petrolera: “a) Afiliar a los BENEFICIARIOS en el marco del seguro conforme a las normas internas del Ente Gestor. b) Poner a disposición de los BENEFICIARIOS todas las prestaciones en salud que involucra la Afiliación. c) Realizar los exámenes de ingreso a los BENEFICIARIOS para la valoración médica pertinente, en cumplimiento a las normas internas de la CAJA. d) Otorgar la atención médica y tratamiento requeridos por los BENEFICIARIOS y la facilitación de medicamentos…” (Anexo 2 </w:t>
      </w:r>
      <w:r>
        <w:rPr>
          <w:rFonts w:ascii="Verdana" w:hAnsi="Verdana"/>
          <w:sz w:val="16"/>
          <w:szCs w:val="16"/>
          <w:lang w:val="es-CR"/>
        </w:rPr>
        <w:t>a</w:t>
      </w:r>
      <w:r w:rsidRPr="0006593F">
        <w:rPr>
          <w:rFonts w:ascii="Verdana" w:hAnsi="Verdana"/>
          <w:sz w:val="16"/>
          <w:szCs w:val="16"/>
          <w:lang w:val="es-CR"/>
        </w:rPr>
        <w:t xml:space="preserve">l informe presentado por el Estado el 22 de febrero de 2018). </w:t>
      </w:r>
    </w:p>
  </w:footnote>
  <w:footnote w:id="14">
    <w:p w14:paraId="4185C7F6" w14:textId="1C1EE4C0" w:rsidR="00231720" w:rsidRPr="00CF6BA9" w:rsidRDefault="00231720" w:rsidP="00280177">
      <w:pPr>
        <w:pStyle w:val="FootnoteText"/>
        <w:jc w:val="both"/>
        <w:rPr>
          <w:rFonts w:ascii="Verdana" w:hAnsi="Verdana"/>
          <w:sz w:val="16"/>
          <w:szCs w:val="16"/>
          <w:lang w:val="es-CR"/>
        </w:rPr>
      </w:pPr>
      <w:r w:rsidRPr="00CF6BA9">
        <w:rPr>
          <w:rStyle w:val="FootnoteReference"/>
          <w:rFonts w:ascii="Verdana" w:hAnsi="Verdana"/>
          <w:sz w:val="16"/>
          <w:szCs w:val="16"/>
        </w:rPr>
        <w:footnoteRef/>
      </w:r>
      <w:r w:rsidRPr="00CF6BA9">
        <w:rPr>
          <w:rFonts w:ascii="Verdana" w:hAnsi="Verdana"/>
          <w:sz w:val="16"/>
          <w:szCs w:val="16"/>
          <w:lang w:val="es-CR"/>
        </w:rPr>
        <w:t xml:space="preserve"> </w:t>
      </w:r>
      <w:r w:rsidRPr="00CF6BA9">
        <w:rPr>
          <w:rFonts w:ascii="Verdana" w:hAnsi="Verdana"/>
          <w:sz w:val="16"/>
          <w:szCs w:val="16"/>
          <w:lang w:val="es-CR"/>
        </w:rPr>
        <w:tab/>
        <w:t xml:space="preserve">El </w:t>
      </w:r>
      <w:r>
        <w:rPr>
          <w:rFonts w:ascii="Verdana" w:hAnsi="Verdana"/>
          <w:sz w:val="16"/>
          <w:szCs w:val="16"/>
          <w:lang w:val="es-CR"/>
        </w:rPr>
        <w:t>Convenio dispone como obligacio</w:t>
      </w:r>
      <w:r w:rsidRPr="00CF6BA9">
        <w:rPr>
          <w:rFonts w:ascii="Verdana" w:hAnsi="Verdana"/>
          <w:sz w:val="16"/>
          <w:szCs w:val="16"/>
          <w:lang w:val="es-CR"/>
        </w:rPr>
        <w:t>n</w:t>
      </w:r>
      <w:r>
        <w:rPr>
          <w:rFonts w:ascii="Verdana" w:hAnsi="Verdana"/>
          <w:sz w:val="16"/>
          <w:szCs w:val="16"/>
          <w:lang w:val="es-CR"/>
        </w:rPr>
        <w:t>es</w:t>
      </w:r>
      <w:r w:rsidRPr="00CF6BA9">
        <w:rPr>
          <w:rFonts w:ascii="Verdana" w:hAnsi="Verdana"/>
          <w:sz w:val="16"/>
          <w:szCs w:val="16"/>
          <w:lang w:val="es-CR"/>
        </w:rPr>
        <w:t xml:space="preserve"> del </w:t>
      </w:r>
      <w:r>
        <w:rPr>
          <w:rFonts w:ascii="Verdana" w:hAnsi="Verdana"/>
          <w:sz w:val="16"/>
          <w:szCs w:val="16"/>
          <w:lang w:val="es-CR"/>
        </w:rPr>
        <w:t xml:space="preserve">Ministerio de Salud: </w:t>
      </w:r>
      <w:r w:rsidRPr="00A82CAC">
        <w:rPr>
          <w:rFonts w:ascii="Verdana" w:hAnsi="Verdana"/>
          <w:sz w:val="16"/>
          <w:szCs w:val="16"/>
          <w:lang w:val="es-CR"/>
        </w:rPr>
        <w:t>“a) Cubrir el costo por concepto de gastos de evaluaciones y diagnósticos médicos, exámenes y análisis clínicos, consultas médicas, hospitalización o internación, dosificación de medicamentos prescritos que realice directamente o terciarice el CENTRO en la atención médica en salud mental sea psicológica o psiquiátrica en favor de los BENEFICIARIOS. b) Supervisar a través del responsable del Programa Nacional de Salud la atención médica otorgada por el CENTRO a los BENEFICIARIOS, asimismo verificar el pago oportuno a favor del CENTRO. c) Realizar las gestiones administrativas necesarias para obtener los recursos necesarios ante el Ministerio de Economía y Finanzas de forma anual”.</w:t>
      </w:r>
      <w:r>
        <w:rPr>
          <w:rFonts w:ascii="Verdana" w:hAnsi="Verdana"/>
          <w:sz w:val="16"/>
          <w:szCs w:val="16"/>
          <w:lang w:val="es-CR"/>
        </w:rPr>
        <w:t xml:space="preserve"> Por otro lado, el Convenio establece las siguientes obligaciones para el </w:t>
      </w:r>
      <w:r w:rsidRPr="00CF6BA9">
        <w:rPr>
          <w:rFonts w:ascii="Verdana" w:hAnsi="Verdana"/>
          <w:sz w:val="16"/>
          <w:szCs w:val="16"/>
          <w:lang w:val="es-CR"/>
        </w:rPr>
        <w:t>Centro</w:t>
      </w:r>
      <w:r>
        <w:rPr>
          <w:rFonts w:ascii="Verdana" w:hAnsi="Verdana"/>
          <w:sz w:val="16"/>
          <w:szCs w:val="16"/>
          <w:lang w:val="es-CR"/>
        </w:rPr>
        <w:t>:</w:t>
      </w:r>
      <w:r w:rsidRPr="00CF6BA9">
        <w:rPr>
          <w:rFonts w:ascii="Verdana" w:hAnsi="Verdana"/>
          <w:sz w:val="16"/>
          <w:szCs w:val="16"/>
          <w:lang w:val="es-CR"/>
        </w:rPr>
        <w:t xml:space="preserve"> “a) Otorgar prestaciones de salud mental integral a los BENEFICIARIOS para consulta médica psicológica y/o psiquiátrica, evaluaciones y diagnósticos médicos, exámenes y análisis clínicos, consultas médicas, hospitalización o internación, otorgación de medicamentos hasta la resolución de las patologías diagnosticadas, de forma directa o terciarizando las prestaciones necesarias con la finalidad de otorgar una atención y tratamiento oportuno, efectivo y de calidad a los BENEFICIARIOS. b) Cumplir con los procedimientos y protocolos establecidos para las prestaciones de los servicios de salud. c) Poner a disposición de los BENEFICIARIOS todas las prestaciones en salud mental que requieran…” (Anexo 1 </w:t>
      </w:r>
      <w:r>
        <w:rPr>
          <w:rFonts w:ascii="Verdana" w:hAnsi="Verdana"/>
          <w:sz w:val="16"/>
          <w:szCs w:val="16"/>
          <w:lang w:val="es-CR"/>
        </w:rPr>
        <w:t>a</w:t>
      </w:r>
      <w:r w:rsidRPr="00CF6BA9">
        <w:rPr>
          <w:rFonts w:ascii="Verdana" w:hAnsi="Verdana"/>
          <w:sz w:val="16"/>
          <w:szCs w:val="16"/>
          <w:lang w:val="es-CR"/>
        </w:rPr>
        <w:t xml:space="preserve">l informe presentado por el Estado el 22 de febrero de 2018). </w:t>
      </w:r>
    </w:p>
  </w:footnote>
  <w:footnote w:id="15">
    <w:p w14:paraId="630E7576" w14:textId="2357B1B7" w:rsidR="00231720" w:rsidRPr="0029175D" w:rsidRDefault="00231720">
      <w:pPr>
        <w:pStyle w:val="FootnoteText"/>
        <w:rPr>
          <w:rFonts w:ascii="Verdana" w:hAnsi="Verdana"/>
          <w:sz w:val="16"/>
          <w:szCs w:val="16"/>
          <w:lang w:val="es-CR"/>
        </w:rPr>
      </w:pPr>
      <w:r w:rsidRPr="0029175D">
        <w:rPr>
          <w:rStyle w:val="FootnoteReference"/>
          <w:rFonts w:ascii="Verdana" w:hAnsi="Verdana"/>
          <w:sz w:val="16"/>
          <w:szCs w:val="16"/>
        </w:rPr>
        <w:footnoteRef/>
      </w:r>
      <w:r w:rsidRPr="0029175D">
        <w:rPr>
          <w:rFonts w:ascii="Verdana" w:hAnsi="Verdana"/>
          <w:sz w:val="16"/>
          <w:szCs w:val="16"/>
          <w:lang w:val="es-CR"/>
        </w:rPr>
        <w:t xml:space="preserve"> </w:t>
      </w:r>
      <w:r w:rsidRPr="0029175D">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I</w:t>
      </w:r>
      <w:r w:rsidRPr="0029175D">
        <w:rPr>
          <w:rFonts w:ascii="Verdana" w:hAnsi="Verdana"/>
          <w:sz w:val="16"/>
          <w:szCs w:val="16"/>
          <w:lang w:val="es-CR"/>
        </w:rPr>
        <w:t xml:space="preserve">nforme </w:t>
      </w:r>
      <w:r>
        <w:rPr>
          <w:rFonts w:ascii="Verdana" w:hAnsi="Verdana"/>
          <w:sz w:val="16"/>
          <w:szCs w:val="16"/>
          <w:lang w:val="es-CR"/>
        </w:rPr>
        <w:t xml:space="preserve">presentado por el Estado el 22 </w:t>
      </w:r>
      <w:r w:rsidRPr="0029175D">
        <w:rPr>
          <w:rFonts w:ascii="Verdana" w:hAnsi="Verdana"/>
          <w:sz w:val="16"/>
          <w:szCs w:val="16"/>
          <w:lang w:val="es-CR"/>
        </w:rPr>
        <w:t xml:space="preserve">de </w:t>
      </w:r>
      <w:r>
        <w:rPr>
          <w:rFonts w:ascii="Verdana" w:hAnsi="Verdana"/>
          <w:sz w:val="16"/>
          <w:szCs w:val="16"/>
          <w:lang w:val="es-CR"/>
        </w:rPr>
        <w:t>diciembre</w:t>
      </w:r>
      <w:r w:rsidRPr="0029175D">
        <w:rPr>
          <w:rFonts w:ascii="Verdana" w:hAnsi="Verdana"/>
          <w:sz w:val="16"/>
          <w:szCs w:val="16"/>
          <w:lang w:val="es-CR"/>
        </w:rPr>
        <w:t xml:space="preserve"> de 201</w:t>
      </w:r>
      <w:r>
        <w:rPr>
          <w:rFonts w:ascii="Verdana" w:hAnsi="Verdana"/>
          <w:sz w:val="16"/>
          <w:szCs w:val="16"/>
          <w:lang w:val="es-CR"/>
        </w:rPr>
        <w:t>7</w:t>
      </w:r>
      <w:r w:rsidRPr="0029175D">
        <w:rPr>
          <w:rFonts w:ascii="Verdana" w:hAnsi="Verdana"/>
          <w:sz w:val="16"/>
          <w:szCs w:val="16"/>
          <w:lang w:val="es-CR"/>
        </w:rPr>
        <w:t>.</w:t>
      </w:r>
    </w:p>
  </w:footnote>
  <w:footnote w:id="16">
    <w:p w14:paraId="09377FFA" w14:textId="02E529C5" w:rsidR="00231720" w:rsidRPr="0055496F" w:rsidRDefault="00231720" w:rsidP="0055496F">
      <w:pPr>
        <w:pStyle w:val="FootnoteText"/>
        <w:jc w:val="both"/>
        <w:rPr>
          <w:rFonts w:ascii="Verdana" w:hAnsi="Verdana"/>
          <w:sz w:val="16"/>
          <w:szCs w:val="16"/>
          <w:lang w:val="es-CR"/>
        </w:rPr>
      </w:pPr>
      <w:r w:rsidRPr="0055496F">
        <w:rPr>
          <w:rStyle w:val="FootnoteReference"/>
          <w:rFonts w:ascii="Verdana" w:hAnsi="Verdana"/>
          <w:sz w:val="16"/>
          <w:szCs w:val="16"/>
        </w:rPr>
        <w:footnoteRef/>
      </w:r>
      <w:r w:rsidRPr="0055496F">
        <w:rPr>
          <w:rFonts w:ascii="Verdana" w:hAnsi="Verdana"/>
          <w:sz w:val="16"/>
          <w:szCs w:val="16"/>
          <w:lang w:val="es-CR"/>
        </w:rPr>
        <w:t xml:space="preserve"> </w:t>
      </w:r>
      <w:r w:rsidRPr="0055496F">
        <w:rPr>
          <w:rFonts w:ascii="Verdana" w:hAnsi="Verdana"/>
          <w:sz w:val="16"/>
          <w:szCs w:val="16"/>
          <w:lang w:val="es-CR"/>
        </w:rPr>
        <w:tab/>
      </w:r>
      <w:r w:rsidRPr="0055496F">
        <w:rPr>
          <w:rFonts w:ascii="Verdana" w:hAnsi="Verdana"/>
          <w:i/>
          <w:sz w:val="16"/>
          <w:szCs w:val="16"/>
          <w:lang w:val="es-CR"/>
        </w:rPr>
        <w:t xml:space="preserve">Cfr. </w:t>
      </w:r>
      <w:r w:rsidRPr="0055496F">
        <w:rPr>
          <w:rFonts w:ascii="Verdana" w:hAnsi="Verdana"/>
          <w:sz w:val="16"/>
          <w:szCs w:val="16"/>
          <w:lang w:val="es-CR"/>
        </w:rPr>
        <w:t xml:space="preserve">Informe de atención </w:t>
      </w:r>
      <w:r>
        <w:rPr>
          <w:rFonts w:ascii="Verdana" w:hAnsi="Verdana"/>
          <w:sz w:val="16"/>
          <w:szCs w:val="16"/>
          <w:lang w:val="es-CR"/>
        </w:rPr>
        <w:t xml:space="preserve">suscrito </w:t>
      </w:r>
      <w:r w:rsidRPr="0055496F">
        <w:rPr>
          <w:rFonts w:ascii="Verdana" w:hAnsi="Verdana"/>
          <w:sz w:val="16"/>
          <w:szCs w:val="16"/>
          <w:lang w:val="es-CR"/>
        </w:rPr>
        <w:t xml:space="preserve">por </w:t>
      </w:r>
      <w:r>
        <w:rPr>
          <w:rFonts w:ascii="Verdana" w:hAnsi="Verdana"/>
          <w:sz w:val="16"/>
          <w:szCs w:val="16"/>
          <w:lang w:val="es-CR"/>
        </w:rPr>
        <w:t xml:space="preserve">la </w:t>
      </w:r>
      <w:r w:rsidRPr="0055496F">
        <w:rPr>
          <w:rFonts w:ascii="Verdana" w:hAnsi="Verdana"/>
          <w:sz w:val="16"/>
          <w:szCs w:val="16"/>
          <w:lang w:val="es-CR"/>
        </w:rPr>
        <w:t xml:space="preserve">médica psiquiatra el 13 de octubre de 2017 (Anexo 3 </w:t>
      </w:r>
      <w:r>
        <w:rPr>
          <w:rFonts w:ascii="Verdana" w:hAnsi="Verdana"/>
          <w:sz w:val="16"/>
          <w:szCs w:val="16"/>
          <w:lang w:val="es-CR"/>
        </w:rPr>
        <w:t>a</w:t>
      </w:r>
      <w:r w:rsidRPr="0055496F">
        <w:rPr>
          <w:rFonts w:ascii="Verdana" w:hAnsi="Verdana"/>
          <w:sz w:val="16"/>
          <w:szCs w:val="16"/>
          <w:lang w:val="es-CR"/>
        </w:rPr>
        <w:t xml:space="preserve">l informe presentado por el Estado el </w:t>
      </w:r>
      <w:r>
        <w:rPr>
          <w:rFonts w:ascii="Verdana" w:hAnsi="Verdana"/>
          <w:sz w:val="16"/>
          <w:szCs w:val="16"/>
          <w:lang w:val="es-CR"/>
        </w:rPr>
        <w:t>22</w:t>
      </w:r>
      <w:r w:rsidRPr="0055496F">
        <w:rPr>
          <w:rFonts w:ascii="Verdana" w:hAnsi="Verdana"/>
          <w:sz w:val="16"/>
          <w:szCs w:val="16"/>
          <w:lang w:val="es-CR"/>
        </w:rPr>
        <w:t xml:space="preserve"> de </w:t>
      </w:r>
      <w:r>
        <w:rPr>
          <w:rFonts w:ascii="Verdana" w:hAnsi="Verdana"/>
          <w:sz w:val="16"/>
          <w:szCs w:val="16"/>
          <w:lang w:val="es-CR"/>
        </w:rPr>
        <w:t>diciembre</w:t>
      </w:r>
      <w:r w:rsidRPr="0055496F">
        <w:rPr>
          <w:rFonts w:ascii="Verdana" w:hAnsi="Verdana"/>
          <w:sz w:val="16"/>
          <w:szCs w:val="16"/>
          <w:lang w:val="es-CR"/>
        </w:rPr>
        <w:t xml:space="preserve"> de 201</w:t>
      </w:r>
      <w:r>
        <w:rPr>
          <w:rFonts w:ascii="Verdana" w:hAnsi="Verdana"/>
          <w:sz w:val="16"/>
          <w:szCs w:val="16"/>
          <w:lang w:val="es-CR"/>
        </w:rPr>
        <w:t>7</w:t>
      </w:r>
      <w:r w:rsidRPr="0055496F">
        <w:rPr>
          <w:rFonts w:ascii="Verdana" w:hAnsi="Verdana"/>
          <w:sz w:val="16"/>
          <w:szCs w:val="16"/>
          <w:lang w:val="es-CR"/>
        </w:rPr>
        <w:t>)</w:t>
      </w:r>
      <w:r>
        <w:rPr>
          <w:rFonts w:ascii="Verdana" w:hAnsi="Verdana"/>
          <w:sz w:val="16"/>
          <w:szCs w:val="16"/>
          <w:lang w:val="es-CR"/>
        </w:rPr>
        <w:t>,</w:t>
      </w:r>
      <w:r w:rsidRPr="0055496F">
        <w:rPr>
          <w:rFonts w:ascii="Verdana" w:hAnsi="Verdana"/>
          <w:sz w:val="16"/>
          <w:szCs w:val="16"/>
          <w:lang w:val="es-CR"/>
        </w:rPr>
        <w:t xml:space="preserve"> Informe </w:t>
      </w:r>
      <w:r>
        <w:rPr>
          <w:rFonts w:ascii="Verdana" w:hAnsi="Verdana"/>
          <w:sz w:val="16"/>
          <w:szCs w:val="16"/>
          <w:lang w:val="es-CR"/>
        </w:rPr>
        <w:t>p</w:t>
      </w:r>
      <w:r w:rsidRPr="0055496F">
        <w:rPr>
          <w:rFonts w:ascii="Verdana" w:hAnsi="Verdana"/>
          <w:sz w:val="16"/>
          <w:szCs w:val="16"/>
          <w:lang w:val="es-CR"/>
        </w:rPr>
        <w:t xml:space="preserve">sicológico </w:t>
      </w:r>
      <w:r>
        <w:rPr>
          <w:rFonts w:ascii="Verdana" w:hAnsi="Verdana"/>
          <w:sz w:val="16"/>
          <w:szCs w:val="16"/>
          <w:lang w:val="es-CR"/>
        </w:rPr>
        <w:t xml:space="preserve">suscrito por la </w:t>
      </w:r>
      <w:r w:rsidRPr="0055496F">
        <w:rPr>
          <w:rFonts w:ascii="Verdana" w:hAnsi="Verdana"/>
          <w:sz w:val="16"/>
          <w:szCs w:val="16"/>
          <w:lang w:val="es-CR"/>
        </w:rPr>
        <w:t xml:space="preserve">psicóloga clínica el 30 de octubre de 2017 (Anexo 4 </w:t>
      </w:r>
      <w:r>
        <w:rPr>
          <w:rFonts w:ascii="Verdana" w:hAnsi="Verdana"/>
          <w:sz w:val="16"/>
          <w:szCs w:val="16"/>
          <w:lang w:val="es-CR"/>
        </w:rPr>
        <w:t>a</w:t>
      </w:r>
      <w:r w:rsidRPr="0055496F">
        <w:rPr>
          <w:rFonts w:ascii="Verdana" w:hAnsi="Verdana"/>
          <w:sz w:val="16"/>
          <w:szCs w:val="16"/>
          <w:lang w:val="es-CR"/>
        </w:rPr>
        <w:t xml:space="preserve">l informe presentado por el Estado el </w:t>
      </w:r>
      <w:r>
        <w:rPr>
          <w:rFonts w:ascii="Verdana" w:hAnsi="Verdana"/>
          <w:sz w:val="16"/>
          <w:szCs w:val="16"/>
          <w:lang w:val="es-CR"/>
        </w:rPr>
        <w:t>22</w:t>
      </w:r>
      <w:r w:rsidRPr="0055496F">
        <w:rPr>
          <w:rFonts w:ascii="Verdana" w:hAnsi="Verdana"/>
          <w:sz w:val="16"/>
          <w:szCs w:val="16"/>
          <w:lang w:val="es-CR"/>
        </w:rPr>
        <w:t xml:space="preserve"> de </w:t>
      </w:r>
      <w:r>
        <w:rPr>
          <w:rFonts w:ascii="Verdana" w:hAnsi="Verdana"/>
          <w:sz w:val="16"/>
          <w:szCs w:val="16"/>
          <w:lang w:val="es-CR"/>
        </w:rPr>
        <w:t>diciembre</w:t>
      </w:r>
      <w:r w:rsidRPr="0055496F">
        <w:rPr>
          <w:rFonts w:ascii="Verdana" w:hAnsi="Verdana"/>
          <w:sz w:val="16"/>
          <w:szCs w:val="16"/>
          <w:lang w:val="es-CR"/>
        </w:rPr>
        <w:t xml:space="preserve"> de 201</w:t>
      </w:r>
      <w:r>
        <w:rPr>
          <w:rFonts w:ascii="Verdana" w:hAnsi="Verdana"/>
          <w:sz w:val="16"/>
          <w:szCs w:val="16"/>
          <w:lang w:val="es-CR"/>
        </w:rPr>
        <w:t>7</w:t>
      </w:r>
      <w:r w:rsidRPr="0055496F">
        <w:rPr>
          <w:rFonts w:ascii="Verdana" w:hAnsi="Verdana"/>
          <w:sz w:val="16"/>
          <w:szCs w:val="16"/>
          <w:lang w:val="es-CR"/>
        </w:rPr>
        <w:t>)</w:t>
      </w:r>
      <w:r>
        <w:rPr>
          <w:rFonts w:ascii="Verdana" w:hAnsi="Verdana"/>
          <w:sz w:val="16"/>
          <w:szCs w:val="16"/>
          <w:lang w:val="es-CR"/>
        </w:rPr>
        <w:t xml:space="preserve">, e informe suscrito por el Director Administrativo </w:t>
      </w:r>
      <w:r w:rsidRPr="00D24F46">
        <w:rPr>
          <w:rFonts w:ascii="Verdana" w:hAnsi="Verdana"/>
          <w:sz w:val="16"/>
          <w:szCs w:val="16"/>
          <w:lang w:val="es-CR"/>
        </w:rPr>
        <w:t>Financiero e</w:t>
      </w:r>
      <w:r w:rsidRPr="00D5333D">
        <w:rPr>
          <w:rFonts w:ascii="Verdana" w:hAnsi="Verdana"/>
          <w:sz w:val="16"/>
          <w:szCs w:val="16"/>
          <w:lang w:val="es-CR"/>
        </w:rPr>
        <w:t>l 17 de agosto de 2018</w:t>
      </w:r>
      <w:r w:rsidRPr="00D24F46">
        <w:rPr>
          <w:rFonts w:ascii="Verdana" w:hAnsi="Verdana"/>
          <w:sz w:val="16"/>
          <w:szCs w:val="16"/>
          <w:lang w:val="es-CR"/>
        </w:rPr>
        <w:t xml:space="preserve"> (Anexo</w:t>
      </w:r>
      <w:r>
        <w:rPr>
          <w:rFonts w:ascii="Verdana" w:hAnsi="Verdana"/>
          <w:sz w:val="16"/>
          <w:szCs w:val="16"/>
          <w:lang w:val="es-CR"/>
        </w:rPr>
        <w:t xml:space="preserve"> 1 al informe presentado por el Estado el 31 de agosto de 2018)</w:t>
      </w:r>
      <w:r w:rsidRPr="0055496F">
        <w:rPr>
          <w:rFonts w:ascii="Verdana" w:hAnsi="Verdana"/>
          <w:sz w:val="16"/>
          <w:szCs w:val="16"/>
          <w:lang w:val="es-CR"/>
        </w:rPr>
        <w:t>.</w:t>
      </w:r>
    </w:p>
  </w:footnote>
  <w:footnote w:id="17">
    <w:p w14:paraId="7B98A11E" w14:textId="5F0DCF1C" w:rsidR="00231720" w:rsidRPr="00801669" w:rsidRDefault="00231720" w:rsidP="002738AF">
      <w:pPr>
        <w:pStyle w:val="FootnoteText"/>
        <w:jc w:val="both"/>
        <w:rPr>
          <w:rFonts w:ascii="Verdana" w:hAnsi="Verdana"/>
          <w:sz w:val="16"/>
          <w:szCs w:val="16"/>
          <w:lang w:val="es-CR"/>
        </w:rPr>
      </w:pPr>
      <w:r w:rsidRPr="00801669">
        <w:rPr>
          <w:rStyle w:val="FootnoteReference"/>
          <w:rFonts w:ascii="Verdana" w:hAnsi="Verdana"/>
          <w:sz w:val="16"/>
          <w:szCs w:val="16"/>
        </w:rPr>
        <w:footnoteRef/>
      </w:r>
      <w:r w:rsidRPr="00801669">
        <w:rPr>
          <w:rFonts w:ascii="Verdana" w:hAnsi="Verdana"/>
          <w:sz w:val="16"/>
          <w:szCs w:val="16"/>
          <w:lang w:val="es-CR"/>
        </w:rPr>
        <w:t xml:space="preserve"> </w:t>
      </w:r>
      <w:r w:rsidRPr="00801669">
        <w:rPr>
          <w:rFonts w:ascii="Verdana" w:hAnsi="Verdana"/>
          <w:sz w:val="16"/>
          <w:szCs w:val="16"/>
          <w:lang w:val="es-CR"/>
        </w:rPr>
        <w:tab/>
        <w:t xml:space="preserve">La Comisión también observó “con satisfacción lo reportado respecto de avances en la provisión y/o garantía de servicios de salud mental, física y reproductiva </w:t>
      </w:r>
      <w:r>
        <w:rPr>
          <w:rFonts w:ascii="Verdana" w:hAnsi="Verdana"/>
          <w:sz w:val="16"/>
          <w:szCs w:val="16"/>
          <w:lang w:val="es-CR"/>
        </w:rPr>
        <w:t>a</w:t>
      </w:r>
      <w:r w:rsidRPr="00801669">
        <w:rPr>
          <w:rFonts w:ascii="Verdana" w:hAnsi="Verdana"/>
          <w:sz w:val="16"/>
          <w:szCs w:val="16"/>
          <w:lang w:val="es-CR"/>
        </w:rPr>
        <w:t xml:space="preserve"> la señora I.V. y su núcleo familiar. En este sentido, la CIDH toma nota de lo informado por el Estado respecto de la existencia de la Ley 971 de 2017, a través de la cual se financia el tratamiento médico de los beneficiarios, así como la existencia de dos convenios de duración indefinida con el Centro de Rehabilitación y Salud Mental San Juan de Dios y la Caja Petrolera de Salud, y los informes médicos entregados indicando que la señora I.V. y su familia actualmente están recibiendo servicios de salud mental”. </w:t>
      </w:r>
    </w:p>
  </w:footnote>
  <w:footnote w:id="18">
    <w:p w14:paraId="727A71F7" w14:textId="3F3AACA6" w:rsidR="00231720" w:rsidRPr="00801669" w:rsidRDefault="00231720" w:rsidP="00801669">
      <w:pPr>
        <w:pStyle w:val="FootnoteText"/>
        <w:jc w:val="both"/>
        <w:rPr>
          <w:rFonts w:ascii="Verdana" w:hAnsi="Verdana"/>
          <w:sz w:val="16"/>
          <w:szCs w:val="16"/>
          <w:lang w:val="es-CR"/>
        </w:rPr>
      </w:pPr>
      <w:r w:rsidRPr="00801669">
        <w:rPr>
          <w:rStyle w:val="FootnoteReference"/>
          <w:rFonts w:ascii="Verdana" w:hAnsi="Verdana"/>
          <w:sz w:val="16"/>
          <w:szCs w:val="16"/>
        </w:rPr>
        <w:footnoteRef/>
      </w:r>
      <w:r w:rsidRPr="00801669">
        <w:rPr>
          <w:rFonts w:ascii="Verdana" w:hAnsi="Verdana"/>
          <w:sz w:val="16"/>
          <w:szCs w:val="16"/>
          <w:lang w:val="es-CR"/>
        </w:rPr>
        <w:t xml:space="preserve"> </w:t>
      </w:r>
      <w:r w:rsidRPr="00801669">
        <w:rPr>
          <w:rFonts w:ascii="Verdana" w:hAnsi="Verdana"/>
          <w:sz w:val="16"/>
          <w:szCs w:val="16"/>
          <w:lang w:val="es-CR"/>
        </w:rPr>
        <w:tab/>
        <w:t>Los representantes indicaron que “[h]</w:t>
      </w:r>
      <w:proofErr w:type="gramStart"/>
      <w:r w:rsidRPr="00801669">
        <w:rPr>
          <w:rFonts w:ascii="Verdana" w:hAnsi="Verdana"/>
          <w:sz w:val="16"/>
          <w:szCs w:val="16"/>
          <w:lang w:val="es-CR"/>
        </w:rPr>
        <w:t>ac[</w:t>
      </w:r>
      <w:proofErr w:type="gramEnd"/>
      <w:r w:rsidRPr="00801669">
        <w:rPr>
          <w:rFonts w:ascii="Verdana" w:hAnsi="Verdana"/>
          <w:sz w:val="16"/>
          <w:szCs w:val="16"/>
          <w:lang w:val="es-CR"/>
        </w:rPr>
        <w:t>ía] unas semanas, cuando I.V. fue al hospital para tener una de sus consultas se le habría comunicado que el Ministerio de Salud no e</w:t>
      </w:r>
      <w:r w:rsidR="00C2032E">
        <w:rPr>
          <w:rFonts w:ascii="Verdana" w:hAnsi="Verdana"/>
          <w:sz w:val="16"/>
          <w:szCs w:val="16"/>
          <w:lang w:val="es-CR"/>
        </w:rPr>
        <w:t>staba pagando por los servicios</w:t>
      </w:r>
      <w:r w:rsidRPr="00801669">
        <w:rPr>
          <w:rFonts w:ascii="Verdana" w:hAnsi="Verdana"/>
          <w:sz w:val="16"/>
          <w:szCs w:val="16"/>
          <w:lang w:val="es-CR"/>
        </w:rPr>
        <w:t xml:space="preserve">”. Asimismo, señalaron que “el […] 23 de [julio], cuando I.V. acudió nuevamente al Hospital San Juan de Dios fue informada, por segunda vez, que el Ministerio de Salud no había pagado por los servicios desde diciembre de 2017 […]. [… E]sta segunda comunicación recibida por I.V. de parte del hospital le generó bastante preocupación y ansiedad, en el entendido de que los servicios de salud mental podrían interrumpirse conforme a lo estipulado en la cláusula décima del Convenio Interinstitucional”. </w:t>
      </w:r>
    </w:p>
  </w:footnote>
  <w:footnote w:id="19">
    <w:p w14:paraId="5E73186D" w14:textId="77777777" w:rsidR="00231720" w:rsidRPr="0081085C" w:rsidRDefault="00231720" w:rsidP="0081085C">
      <w:pPr>
        <w:pStyle w:val="FootnoteText"/>
        <w:jc w:val="both"/>
        <w:rPr>
          <w:lang w:val="es-CR"/>
        </w:rPr>
      </w:pPr>
      <w:r>
        <w:rPr>
          <w:rStyle w:val="FootnoteReference"/>
        </w:rPr>
        <w:footnoteRef/>
      </w:r>
      <w:r w:rsidRPr="0081085C">
        <w:rPr>
          <w:lang w:val="es-CR"/>
        </w:rPr>
        <w:t xml:space="preserve"> </w:t>
      </w:r>
      <w:r>
        <w:rPr>
          <w:lang w:val="es-CR"/>
        </w:rPr>
        <w:tab/>
      </w:r>
      <w:r>
        <w:rPr>
          <w:rFonts w:ascii="Verdana" w:hAnsi="Verdana"/>
          <w:sz w:val="16"/>
          <w:szCs w:val="16"/>
          <w:lang w:val="es-CR"/>
        </w:rPr>
        <w:t>En ese sentido, señalaron que la “responsable de la Repartición de Convenios y Seguros […] confirmó que si bien se cuenta con el mismo en la farmacia del hospital, no puede ser entregado gratuitamente a la paciente debido a que no forma parte del LINAME, esquema de prestaciones que, según la funcionaria, está incluido en todos los convenios interinstitucionales que suscribe el Hospital San Juan de Dios”.</w:t>
      </w:r>
    </w:p>
  </w:footnote>
  <w:footnote w:id="20">
    <w:p w14:paraId="3871BF3B" w14:textId="3F30ECF9" w:rsidR="00231720" w:rsidRPr="00EF76F4" w:rsidRDefault="00231720" w:rsidP="005E261F">
      <w:pPr>
        <w:pStyle w:val="FootnoteText"/>
        <w:jc w:val="both"/>
        <w:rPr>
          <w:rFonts w:ascii="Verdana" w:hAnsi="Verdana"/>
          <w:sz w:val="16"/>
          <w:szCs w:val="16"/>
          <w:lang w:val="es-CR"/>
        </w:rPr>
      </w:pPr>
      <w:r w:rsidRPr="00EF76F4">
        <w:rPr>
          <w:rStyle w:val="FootnoteReference"/>
          <w:rFonts w:ascii="Verdana" w:hAnsi="Verdana"/>
          <w:sz w:val="16"/>
          <w:szCs w:val="16"/>
        </w:rPr>
        <w:footnoteRef/>
      </w:r>
      <w:r w:rsidRPr="00EF76F4">
        <w:rPr>
          <w:rFonts w:ascii="Verdana" w:hAnsi="Verdana"/>
          <w:sz w:val="16"/>
          <w:szCs w:val="16"/>
          <w:lang w:val="es-CR"/>
        </w:rPr>
        <w:t xml:space="preserve"> </w:t>
      </w:r>
      <w:r w:rsidRPr="00EF76F4">
        <w:rPr>
          <w:rFonts w:ascii="Verdana" w:hAnsi="Verdana"/>
          <w:sz w:val="16"/>
          <w:szCs w:val="16"/>
          <w:lang w:val="es-CR"/>
        </w:rPr>
        <w:tab/>
      </w:r>
      <w:r w:rsidRPr="00A62734">
        <w:rPr>
          <w:rFonts w:ascii="Verdana" w:hAnsi="Verdana"/>
          <w:i/>
          <w:sz w:val="16"/>
          <w:szCs w:val="16"/>
          <w:lang w:val="es-CR"/>
        </w:rPr>
        <w:t>Cfr.</w:t>
      </w:r>
      <w:r w:rsidRPr="00EF76F4">
        <w:rPr>
          <w:rFonts w:ascii="Verdana" w:hAnsi="Verdana"/>
          <w:sz w:val="16"/>
          <w:szCs w:val="16"/>
          <w:lang w:val="es-CR"/>
        </w:rPr>
        <w:t xml:space="preserve"> Nota del Director Administrativo Financiero del Centro de Rehabilitación y Salud Mental San Juan de Dios de 17 de agosto de 2018 (Anexo 1 al informe presentado por el Estado el 3 de septiembre de 2018). </w:t>
      </w:r>
    </w:p>
  </w:footnote>
  <w:footnote w:id="21">
    <w:p w14:paraId="463A379A" w14:textId="491C3EF6" w:rsidR="00231720" w:rsidRPr="00C40E8B" w:rsidRDefault="00231720" w:rsidP="00EF76F4">
      <w:pPr>
        <w:pStyle w:val="FootnoteText"/>
        <w:jc w:val="both"/>
        <w:rPr>
          <w:rFonts w:ascii="Verdana" w:hAnsi="Verdana"/>
          <w:sz w:val="16"/>
          <w:szCs w:val="16"/>
          <w:lang w:val="es-CR"/>
        </w:rPr>
      </w:pPr>
      <w:r w:rsidRPr="00C40E8B">
        <w:rPr>
          <w:rStyle w:val="FootnoteReference"/>
          <w:rFonts w:ascii="Verdana" w:hAnsi="Verdana"/>
          <w:sz w:val="16"/>
          <w:szCs w:val="16"/>
        </w:rPr>
        <w:footnoteRef/>
      </w:r>
      <w:r w:rsidRPr="00C40E8B">
        <w:rPr>
          <w:rFonts w:ascii="Verdana" w:hAnsi="Verdana"/>
          <w:sz w:val="16"/>
          <w:szCs w:val="16"/>
          <w:lang w:val="es-CR"/>
        </w:rPr>
        <w:t xml:space="preserve"> </w:t>
      </w:r>
      <w:r w:rsidRPr="00C40E8B">
        <w:rPr>
          <w:rFonts w:ascii="Verdana" w:hAnsi="Verdana"/>
          <w:sz w:val="16"/>
          <w:szCs w:val="16"/>
          <w:lang w:val="es-CR"/>
        </w:rPr>
        <w:tab/>
        <w:t xml:space="preserve">Mediante Nota de la Directora General de Asuntos Administrativos del Ministerio de Salud de 31 de julio de 2018, se informó que “en el marco de la Ley N° 971 de 16 de agosto de 2017 que en su Artículo Único autoriza realizar los traspasos presupuestarios interinstitucionales de forma anual, se efectivizará el pago adeudado [al Centro de Rehabilitación y Salud Mental San Juan de Dios] correspondiente a la gestión 2017 conforme al cierre de esa gestión fiscal”. </w:t>
      </w:r>
      <w:r w:rsidRPr="00C40E8B">
        <w:rPr>
          <w:rFonts w:ascii="Verdana" w:hAnsi="Verdana"/>
          <w:i/>
          <w:sz w:val="16"/>
          <w:szCs w:val="16"/>
          <w:lang w:val="es-CR"/>
        </w:rPr>
        <w:t>Cfr</w:t>
      </w:r>
      <w:r w:rsidRPr="00C40E8B">
        <w:rPr>
          <w:rFonts w:ascii="Verdana" w:hAnsi="Verdana"/>
          <w:sz w:val="16"/>
          <w:szCs w:val="16"/>
          <w:lang w:val="es-CR"/>
        </w:rPr>
        <w:t xml:space="preserve">. Nota de la Directora General de Asuntos Administrativos del Ministerio de Salud de 31 de julio de 2018 (Anexo 2 al informe presentado por el Estado el 3 de septiembre de 2018). Además, mediante nota del Responsable de Presupuesto del Ministerio de Salud de 14 de agosto de 2018, se indicó que “en fecha 7 de agosto [de 2018] se realizó una reunión de coordinación entre la administración del Hospital San Juan de Dios y la Unidad Financiera de la Dirección General de Asuntos Administrativos […] con el fin de coordinar aspectos administrativos respecto al Caso I.V., resultando de la misma que, el centro hospitalario no suspendió a la fecha la atención a la familia [de la señora I.V. …] además de complementar el mismo aclarando que las deudas generadas por la prestación de los servicios prestados por el Hospital San Juan de Dios serán cancelados por el Ministerio de Salud después de la conclusión de cada gestión fiscal conforme a la Ley N° 971”. </w:t>
      </w:r>
      <w:r w:rsidRPr="00C40E8B">
        <w:rPr>
          <w:rFonts w:ascii="Verdana" w:hAnsi="Verdana"/>
          <w:i/>
          <w:sz w:val="16"/>
          <w:szCs w:val="16"/>
          <w:lang w:val="es-CR"/>
        </w:rPr>
        <w:t>Cfr</w:t>
      </w:r>
      <w:r w:rsidRPr="00C40E8B">
        <w:rPr>
          <w:rFonts w:ascii="Verdana" w:hAnsi="Verdana"/>
          <w:sz w:val="16"/>
          <w:szCs w:val="16"/>
          <w:lang w:val="es-CR"/>
        </w:rPr>
        <w:t xml:space="preserve">. Nota del Responsable de Presupuesto del Ministerio de Salud de 14 de agosto de 2018 (Anexo 3 al informe presentado por el Estado el 3 de septiembre de 2018). Además, en dicho informe de agosto, el Estado indicó que se “convocó al Gerente General [del Centro San Juan de Dios…]para coordinar acciones referentes a la modificación del Convenio Interinstitucional”, gestión que tuvo como resultado los siguientes acuerdos: “[a)] Continuar cumpliendo el Convenio Interinstitucional suscrito entre ambas instituciones; [b)] Que las deudas generadas por la prestación de servicios a la Sra. I.V. serán canceladas por el Ministerio de Salud luego de concluida la gestión fiscal; y [c)] La modificación de la cláusula séptima del Convenio Interinstitucional, referente a la modalidad de pago, la misma que será realizada una vez se culmine la gestión, para cuyo efecto la factura será remitida en la primera semana del siguiente año”. </w:t>
      </w:r>
    </w:p>
  </w:footnote>
  <w:footnote w:id="22">
    <w:p w14:paraId="1F95C763" w14:textId="2FCF50C5" w:rsidR="00231720" w:rsidRPr="0082751E" w:rsidRDefault="00231720" w:rsidP="0082751E">
      <w:pPr>
        <w:pStyle w:val="FootnoteText"/>
        <w:jc w:val="both"/>
        <w:rPr>
          <w:rFonts w:ascii="Verdana" w:hAnsi="Verdana"/>
          <w:sz w:val="16"/>
          <w:szCs w:val="16"/>
          <w:lang w:val="es-CR"/>
        </w:rPr>
      </w:pPr>
      <w:r w:rsidRPr="0082751E">
        <w:rPr>
          <w:rStyle w:val="FootnoteReference"/>
          <w:rFonts w:ascii="Verdana" w:hAnsi="Verdana"/>
          <w:sz w:val="16"/>
          <w:szCs w:val="16"/>
        </w:rPr>
        <w:footnoteRef/>
      </w:r>
      <w:r w:rsidRPr="0082751E">
        <w:rPr>
          <w:rFonts w:ascii="Verdana" w:hAnsi="Verdana"/>
          <w:sz w:val="16"/>
          <w:szCs w:val="16"/>
          <w:lang w:val="es-CR"/>
        </w:rPr>
        <w:t xml:space="preserve"> </w:t>
      </w:r>
      <w:r w:rsidRPr="0082751E">
        <w:rPr>
          <w:rFonts w:ascii="Verdana" w:hAnsi="Verdana"/>
          <w:sz w:val="16"/>
          <w:szCs w:val="16"/>
          <w:lang w:val="es-CR"/>
        </w:rPr>
        <w:tab/>
        <w:t xml:space="preserve">Indicaron que “I.V. tiene un historial de recaídas, por lo que sería prematuro y poco aconsejable, sin la información y valoración médica necesaria e indispensable, que la Corte adopte una determinación como la que solicita </w:t>
      </w:r>
      <w:r>
        <w:rPr>
          <w:rFonts w:ascii="Verdana" w:hAnsi="Verdana"/>
          <w:sz w:val="16"/>
          <w:szCs w:val="16"/>
          <w:lang w:val="es-CR"/>
        </w:rPr>
        <w:t>e</w:t>
      </w:r>
      <w:r w:rsidRPr="0082751E">
        <w:rPr>
          <w:rFonts w:ascii="Verdana" w:hAnsi="Verdana"/>
          <w:sz w:val="16"/>
          <w:szCs w:val="16"/>
          <w:lang w:val="es-CR"/>
        </w:rPr>
        <w:t xml:space="preserve">l Estado”. </w:t>
      </w:r>
    </w:p>
  </w:footnote>
  <w:footnote w:id="23">
    <w:p w14:paraId="3FC35057" w14:textId="77777777" w:rsidR="00231720" w:rsidRPr="00E071A1" w:rsidRDefault="00231720" w:rsidP="000329D1">
      <w:pPr>
        <w:pStyle w:val="FootnoteText"/>
        <w:jc w:val="both"/>
        <w:rPr>
          <w:lang w:val="es-CR"/>
        </w:rPr>
      </w:pPr>
      <w:r>
        <w:rPr>
          <w:rStyle w:val="FootnoteReference"/>
        </w:rPr>
        <w:footnoteRef/>
      </w:r>
      <w:r w:rsidRPr="00E071A1">
        <w:rPr>
          <w:lang w:val="es-CR"/>
        </w:rPr>
        <w:t xml:space="preserve"> </w:t>
      </w:r>
      <w:r>
        <w:rPr>
          <w:lang w:val="es-CR"/>
        </w:rPr>
        <w:tab/>
      </w:r>
      <w:r w:rsidRPr="00897056">
        <w:rPr>
          <w:rFonts w:ascii="Verdana" w:hAnsi="Verdana"/>
          <w:i/>
          <w:sz w:val="16"/>
          <w:szCs w:val="16"/>
          <w:lang w:val="es-CR"/>
        </w:rPr>
        <w:t xml:space="preserve">Cfr. Caso Fernández Ortega y otros y Rosendó Cantú y otra Vs. México. Supervisión de Cumplimiento de Sentencia. </w:t>
      </w:r>
      <w:r w:rsidRPr="00897056">
        <w:rPr>
          <w:rFonts w:ascii="Verdana" w:hAnsi="Verdana"/>
          <w:sz w:val="16"/>
          <w:szCs w:val="16"/>
          <w:lang w:val="es-CR"/>
        </w:rPr>
        <w:t xml:space="preserve">Resolución de la Corte Interamericana de Derechos Humanos de 21 de noviembre de 2014, Considerando </w:t>
      </w:r>
      <w:r>
        <w:rPr>
          <w:rFonts w:ascii="Verdana" w:hAnsi="Verdana"/>
          <w:sz w:val="16"/>
          <w:szCs w:val="16"/>
          <w:lang w:val="es-CR"/>
        </w:rPr>
        <w:t xml:space="preserve">19, y </w:t>
      </w:r>
      <w:r w:rsidRPr="00E071A1">
        <w:rPr>
          <w:rFonts w:ascii="Verdana" w:hAnsi="Verdana"/>
          <w:i/>
          <w:sz w:val="16"/>
          <w:szCs w:val="16"/>
          <w:lang w:val="es-CR"/>
        </w:rPr>
        <w:t>Caso Atala Riffo y niñas Vs. Chile. Supervisión de Cumplimiento de Sentencia</w:t>
      </w:r>
      <w:r w:rsidRPr="00E071A1">
        <w:rPr>
          <w:rFonts w:ascii="Verdana" w:hAnsi="Verdana"/>
          <w:sz w:val="16"/>
          <w:szCs w:val="16"/>
          <w:lang w:val="es-CR"/>
        </w:rPr>
        <w:t>. Resolución de la Corte Interamericana de Derechos H</w:t>
      </w:r>
      <w:r>
        <w:rPr>
          <w:rFonts w:ascii="Verdana" w:hAnsi="Verdana"/>
          <w:sz w:val="16"/>
          <w:szCs w:val="16"/>
          <w:lang w:val="es-CR"/>
        </w:rPr>
        <w:t xml:space="preserve">umanos de 10 de febrero de 2017, Considerandos 16 y 17. </w:t>
      </w:r>
    </w:p>
  </w:footnote>
  <w:footnote w:id="24">
    <w:p w14:paraId="1964E8B6" w14:textId="4DAF45CC" w:rsidR="00231720" w:rsidRPr="00897056" w:rsidRDefault="00231720" w:rsidP="00461093">
      <w:pPr>
        <w:pStyle w:val="FootnoteText"/>
        <w:jc w:val="both"/>
        <w:rPr>
          <w:rFonts w:ascii="Verdana" w:hAnsi="Verdana"/>
          <w:sz w:val="16"/>
          <w:szCs w:val="16"/>
          <w:lang w:val="es-CR"/>
        </w:rPr>
      </w:pPr>
      <w:r w:rsidRPr="00897056">
        <w:rPr>
          <w:rStyle w:val="FootnoteReference"/>
          <w:rFonts w:ascii="Verdana" w:hAnsi="Verdana"/>
          <w:sz w:val="16"/>
          <w:szCs w:val="16"/>
        </w:rPr>
        <w:footnoteRef/>
      </w:r>
      <w:r w:rsidRPr="00897056">
        <w:rPr>
          <w:rFonts w:ascii="Verdana" w:hAnsi="Verdana"/>
          <w:sz w:val="16"/>
          <w:szCs w:val="16"/>
          <w:lang w:val="es-CR"/>
        </w:rPr>
        <w:t xml:space="preserve"> </w:t>
      </w:r>
      <w:r w:rsidRPr="00897056">
        <w:rPr>
          <w:rFonts w:ascii="Verdana" w:hAnsi="Verdana"/>
          <w:sz w:val="16"/>
          <w:szCs w:val="16"/>
          <w:lang w:val="es-CR"/>
        </w:rPr>
        <w:tab/>
      </w:r>
      <w:r w:rsidRPr="00897056">
        <w:rPr>
          <w:rFonts w:ascii="Verdana" w:hAnsi="Verdana"/>
          <w:i/>
          <w:sz w:val="16"/>
          <w:szCs w:val="16"/>
          <w:lang w:val="es-CR"/>
        </w:rPr>
        <w:t xml:space="preserve">Cfr. </w:t>
      </w:r>
      <w:r w:rsidRPr="00897056">
        <w:rPr>
          <w:rFonts w:ascii="Verdana" w:hAnsi="Verdana"/>
          <w:sz w:val="16"/>
          <w:szCs w:val="16"/>
          <w:lang w:val="es-CR"/>
        </w:rPr>
        <w:t>Ley N° 971, Ley de 16 de agosto de 2017 (Anexo 1 al informe presentado por el Estado el 22 de diciembre de 2017).</w:t>
      </w:r>
      <w:r w:rsidRPr="00461093">
        <w:rPr>
          <w:rFonts w:ascii="Verdana" w:hAnsi="Verdana"/>
          <w:sz w:val="16"/>
          <w:szCs w:val="16"/>
          <w:lang w:val="es-CR"/>
        </w:rPr>
        <w:t xml:space="preserve"> </w:t>
      </w:r>
      <w:r>
        <w:rPr>
          <w:rFonts w:ascii="Verdana" w:hAnsi="Verdana"/>
          <w:sz w:val="16"/>
          <w:szCs w:val="16"/>
          <w:lang w:val="es-CR"/>
        </w:rPr>
        <w:t>Dicha norma también extiende la prestación del servicio de salud a favor de los familiares de la víctima.</w:t>
      </w:r>
    </w:p>
  </w:footnote>
  <w:footnote w:id="25">
    <w:p w14:paraId="4F404D22" w14:textId="4F930EB7" w:rsidR="00231720" w:rsidRPr="005579F0" w:rsidRDefault="00231720" w:rsidP="00461093">
      <w:pPr>
        <w:pStyle w:val="FootnoteText"/>
        <w:jc w:val="both"/>
        <w:rPr>
          <w:rFonts w:ascii="Verdana" w:hAnsi="Verdana"/>
          <w:sz w:val="16"/>
          <w:szCs w:val="16"/>
          <w:lang w:val="es-CR"/>
        </w:rPr>
      </w:pPr>
      <w:r w:rsidRPr="005579F0">
        <w:rPr>
          <w:rStyle w:val="FootnoteReference"/>
          <w:rFonts w:ascii="Verdana" w:hAnsi="Verdana"/>
          <w:sz w:val="16"/>
          <w:szCs w:val="16"/>
        </w:rPr>
        <w:footnoteRef/>
      </w:r>
      <w:r w:rsidRPr="005579F0">
        <w:rPr>
          <w:rFonts w:ascii="Verdana" w:hAnsi="Verdana"/>
          <w:sz w:val="16"/>
          <w:szCs w:val="16"/>
          <w:lang w:val="es-CR"/>
        </w:rPr>
        <w:t xml:space="preserve"> </w:t>
      </w:r>
      <w:r w:rsidRPr="005579F0">
        <w:rPr>
          <w:rFonts w:ascii="Verdana" w:hAnsi="Verdana"/>
          <w:sz w:val="16"/>
          <w:szCs w:val="16"/>
          <w:lang w:val="es-CR"/>
        </w:rPr>
        <w:tab/>
      </w:r>
      <w:r w:rsidRPr="005579F0">
        <w:rPr>
          <w:rFonts w:ascii="Verdana" w:hAnsi="Verdana"/>
          <w:i/>
          <w:sz w:val="16"/>
          <w:szCs w:val="16"/>
          <w:lang w:val="es-CR"/>
        </w:rPr>
        <w:t xml:space="preserve">Cfr. </w:t>
      </w:r>
      <w:r w:rsidRPr="005579F0">
        <w:rPr>
          <w:rFonts w:ascii="Verdana" w:hAnsi="Verdana"/>
          <w:sz w:val="16"/>
          <w:szCs w:val="16"/>
          <w:lang w:val="es-CR"/>
        </w:rPr>
        <w:t xml:space="preserve">Convenio Interinstitucional entre el Ministerio de Salud y la Caja Petrolera de Salud, Cláusula 4.2 (Anexo </w:t>
      </w:r>
      <w:r>
        <w:rPr>
          <w:rFonts w:ascii="Verdana" w:hAnsi="Verdana"/>
          <w:sz w:val="16"/>
          <w:szCs w:val="16"/>
          <w:lang w:val="es-CR"/>
        </w:rPr>
        <w:t xml:space="preserve">2 </w:t>
      </w:r>
      <w:r w:rsidRPr="005579F0">
        <w:rPr>
          <w:rFonts w:ascii="Verdana" w:hAnsi="Verdana"/>
          <w:sz w:val="16"/>
          <w:szCs w:val="16"/>
          <w:lang w:val="es-CR"/>
        </w:rPr>
        <w:t>al informe presentado por el Estado el 2</w:t>
      </w:r>
      <w:r>
        <w:rPr>
          <w:rFonts w:ascii="Verdana" w:hAnsi="Verdana"/>
          <w:sz w:val="16"/>
          <w:szCs w:val="16"/>
          <w:lang w:val="es-CR"/>
        </w:rPr>
        <w:t>6</w:t>
      </w:r>
      <w:r w:rsidRPr="005579F0">
        <w:rPr>
          <w:rFonts w:ascii="Verdana" w:hAnsi="Verdana"/>
          <w:sz w:val="16"/>
          <w:szCs w:val="16"/>
          <w:lang w:val="es-CR"/>
        </w:rPr>
        <w:t xml:space="preserve"> de </w:t>
      </w:r>
      <w:r>
        <w:rPr>
          <w:rFonts w:ascii="Verdana" w:hAnsi="Verdana"/>
          <w:sz w:val="16"/>
          <w:szCs w:val="16"/>
          <w:lang w:val="es-CR"/>
        </w:rPr>
        <w:t>enero</w:t>
      </w:r>
      <w:r w:rsidRPr="005579F0">
        <w:rPr>
          <w:rFonts w:ascii="Verdana" w:hAnsi="Verdana"/>
          <w:sz w:val="16"/>
          <w:szCs w:val="16"/>
          <w:lang w:val="es-CR"/>
        </w:rPr>
        <w:t xml:space="preserve"> de 2018).</w:t>
      </w:r>
      <w:r>
        <w:rPr>
          <w:rFonts w:ascii="Verdana" w:hAnsi="Verdana"/>
          <w:sz w:val="16"/>
          <w:szCs w:val="16"/>
          <w:lang w:val="es-CR"/>
        </w:rPr>
        <w:t xml:space="preserve"> </w:t>
      </w:r>
    </w:p>
  </w:footnote>
  <w:footnote w:id="26">
    <w:p w14:paraId="1DBAB6A6" w14:textId="77777777" w:rsidR="00231720" w:rsidRPr="0081085C" w:rsidRDefault="00231720" w:rsidP="00591F54">
      <w:pPr>
        <w:pStyle w:val="FootnoteText"/>
        <w:jc w:val="both"/>
        <w:rPr>
          <w:rFonts w:ascii="Verdana" w:hAnsi="Verdana"/>
          <w:sz w:val="16"/>
          <w:szCs w:val="16"/>
          <w:lang w:val="es-CR"/>
        </w:rPr>
      </w:pPr>
      <w:r w:rsidRPr="0081085C">
        <w:rPr>
          <w:rStyle w:val="FootnoteReference"/>
          <w:rFonts w:ascii="Verdana" w:hAnsi="Verdana"/>
          <w:sz w:val="16"/>
          <w:szCs w:val="16"/>
        </w:rPr>
        <w:footnoteRef/>
      </w:r>
      <w:r w:rsidRPr="0081085C">
        <w:rPr>
          <w:rFonts w:ascii="Verdana" w:hAnsi="Verdana"/>
          <w:sz w:val="16"/>
          <w:szCs w:val="16"/>
          <w:lang w:val="es-CR"/>
        </w:rPr>
        <w:t xml:space="preserve"> </w:t>
      </w:r>
      <w:r w:rsidRPr="0081085C">
        <w:rPr>
          <w:rFonts w:ascii="Verdana" w:hAnsi="Verdana"/>
          <w:sz w:val="16"/>
          <w:szCs w:val="16"/>
          <w:lang w:val="es-CR"/>
        </w:rPr>
        <w:tab/>
        <w:t>Con respecto a la preocupación</w:t>
      </w:r>
      <w:r>
        <w:rPr>
          <w:rFonts w:ascii="Verdana" w:hAnsi="Verdana"/>
          <w:sz w:val="16"/>
          <w:szCs w:val="16"/>
          <w:lang w:val="es-CR"/>
        </w:rPr>
        <w:t xml:space="preserve"> concerniente al medicamento Aripiprazol, la Corte considera que con los nuevos acuerdos entre el Estado y el Hospital San Juan de Dios comunicados por el Estado en su informe de agosto de 2018 se garantiza la satisfacción de dicho medicamento a favor de la señora I.V.</w:t>
      </w:r>
    </w:p>
  </w:footnote>
  <w:footnote w:id="27">
    <w:p w14:paraId="351919CC" w14:textId="16D62178" w:rsidR="00231720" w:rsidRPr="003C3B0D" w:rsidRDefault="00231720">
      <w:pPr>
        <w:pStyle w:val="FootnoteText"/>
        <w:rPr>
          <w:lang w:val="es-CR"/>
        </w:rPr>
      </w:pPr>
      <w:r>
        <w:rPr>
          <w:rStyle w:val="FootnoteReference"/>
        </w:rPr>
        <w:footnoteRef/>
      </w:r>
      <w:r w:rsidRPr="003C3B0D">
        <w:rPr>
          <w:lang w:val="es-CR"/>
        </w:rPr>
        <w:t xml:space="preserve"> </w:t>
      </w:r>
      <w:r>
        <w:rPr>
          <w:lang w:val="es-CR"/>
        </w:rPr>
        <w:tab/>
      </w:r>
      <w:r w:rsidRPr="00E071A1">
        <w:rPr>
          <w:rFonts w:ascii="Verdana" w:hAnsi="Verdana"/>
          <w:i/>
          <w:sz w:val="16"/>
          <w:szCs w:val="16"/>
          <w:lang w:val="es-CR"/>
        </w:rPr>
        <w:t>Caso Atala Riffo y niñas Vs. Chile. Supervisión de Cumplimiento de Sentencia</w:t>
      </w:r>
      <w:r w:rsidRPr="00E071A1">
        <w:rPr>
          <w:rFonts w:ascii="Verdana" w:hAnsi="Verdana"/>
          <w:sz w:val="16"/>
          <w:szCs w:val="16"/>
          <w:lang w:val="es-CR"/>
        </w:rPr>
        <w:t>. Resolución de la Corte Interamericana de Derechos H</w:t>
      </w:r>
      <w:r>
        <w:rPr>
          <w:rFonts w:ascii="Verdana" w:hAnsi="Verdana"/>
          <w:sz w:val="16"/>
          <w:szCs w:val="16"/>
          <w:lang w:val="es-CR"/>
        </w:rPr>
        <w:t>umanos de 10 de febrero de 2017, Considerando 17.</w:t>
      </w:r>
    </w:p>
  </w:footnote>
  <w:footnote w:id="28">
    <w:p w14:paraId="078F8B1A" w14:textId="3E60470D" w:rsidR="00231720" w:rsidRPr="00897056" w:rsidRDefault="00231720" w:rsidP="00897056">
      <w:pPr>
        <w:pStyle w:val="FootnoteText"/>
        <w:jc w:val="both"/>
        <w:rPr>
          <w:rFonts w:ascii="Verdana" w:hAnsi="Verdana"/>
          <w:sz w:val="16"/>
          <w:szCs w:val="16"/>
          <w:lang w:val="es-CR"/>
        </w:rPr>
      </w:pPr>
      <w:r w:rsidRPr="00897056">
        <w:rPr>
          <w:rStyle w:val="FootnoteReference"/>
          <w:rFonts w:ascii="Verdana" w:hAnsi="Verdana"/>
          <w:sz w:val="16"/>
          <w:szCs w:val="16"/>
        </w:rPr>
        <w:footnoteRef/>
      </w:r>
      <w:r w:rsidRPr="00897056">
        <w:rPr>
          <w:rFonts w:ascii="Verdana" w:hAnsi="Verdana"/>
          <w:sz w:val="16"/>
          <w:szCs w:val="16"/>
          <w:lang w:val="es-CR"/>
        </w:rPr>
        <w:t xml:space="preserve"> </w:t>
      </w:r>
      <w:r w:rsidRPr="00897056">
        <w:rPr>
          <w:rFonts w:ascii="Verdana" w:hAnsi="Verdana"/>
          <w:sz w:val="16"/>
          <w:szCs w:val="16"/>
          <w:lang w:val="es-CR"/>
        </w:rPr>
        <w:tab/>
      </w:r>
      <w:r w:rsidRPr="00897056">
        <w:rPr>
          <w:rFonts w:ascii="Verdana" w:hAnsi="Verdana"/>
          <w:i/>
          <w:sz w:val="16"/>
          <w:szCs w:val="16"/>
          <w:lang w:val="es-CR"/>
        </w:rPr>
        <w:t xml:space="preserve">Cfr. Caso Fernández Ortega y otros y Rosendó Cantú y otra Vs. México. Supervisión de Cumplimiento de Sentencia. </w:t>
      </w:r>
      <w:r w:rsidRPr="00897056">
        <w:rPr>
          <w:rFonts w:ascii="Verdana" w:hAnsi="Verdana"/>
          <w:sz w:val="16"/>
          <w:szCs w:val="16"/>
          <w:lang w:val="es-CR"/>
        </w:rPr>
        <w:t>Resolución de la Corte Interamericana de Derechos Humanos de 21 de noviembre de 2014, Considerando 20.</w:t>
      </w:r>
    </w:p>
  </w:footnote>
  <w:footnote w:id="29">
    <w:p w14:paraId="7F876ADB" w14:textId="50850615" w:rsidR="00231720" w:rsidRPr="00020347" w:rsidRDefault="00231720" w:rsidP="00020347">
      <w:pPr>
        <w:pStyle w:val="FootnoteText"/>
        <w:jc w:val="both"/>
        <w:rPr>
          <w:rFonts w:ascii="Verdana" w:hAnsi="Verdana"/>
          <w:sz w:val="16"/>
          <w:szCs w:val="16"/>
          <w:lang w:val="es-ES_tradnl"/>
        </w:rPr>
      </w:pPr>
      <w:r w:rsidRPr="00020347">
        <w:rPr>
          <w:rStyle w:val="FootnoteReference"/>
          <w:rFonts w:ascii="Verdana" w:hAnsi="Verdana"/>
          <w:sz w:val="16"/>
          <w:szCs w:val="16"/>
        </w:rPr>
        <w:footnoteRef/>
      </w:r>
      <w:r w:rsidRPr="00C2032E">
        <w:rPr>
          <w:rFonts w:ascii="Verdana" w:hAnsi="Verdana"/>
          <w:sz w:val="16"/>
          <w:szCs w:val="16"/>
          <w:lang w:val="es-CR"/>
        </w:rPr>
        <w:t xml:space="preserve"> </w:t>
      </w:r>
      <w:r w:rsidRPr="00020347">
        <w:rPr>
          <w:rFonts w:ascii="Verdana" w:hAnsi="Verdana"/>
          <w:sz w:val="16"/>
          <w:szCs w:val="16"/>
          <w:lang w:val="es-ES_tradnl"/>
        </w:rPr>
        <w:tab/>
      </w:r>
      <w:r w:rsidRPr="00020347">
        <w:rPr>
          <w:rFonts w:ascii="Verdana" w:hAnsi="Verdana"/>
          <w:i/>
          <w:sz w:val="16"/>
          <w:szCs w:val="16"/>
          <w:lang w:val="es-CR"/>
        </w:rPr>
        <w:t xml:space="preserve">Cfr. </w:t>
      </w:r>
      <w:r w:rsidRPr="00020347">
        <w:rPr>
          <w:rFonts w:ascii="Verdana" w:hAnsi="Verdana"/>
          <w:sz w:val="16"/>
          <w:szCs w:val="16"/>
          <w:lang w:val="es-CR"/>
        </w:rPr>
        <w:t xml:space="preserve">Folleto “Salud Sexual y Salud Reproductiva: Consentimiento informado y métodos anticonceptivos” de 2017 (Anexo 18 al informe presentado por el Estado el 22 de diciembre de 2018), y </w:t>
      </w:r>
      <w:r w:rsidRPr="00020347">
        <w:rPr>
          <w:rFonts w:ascii="Verdana" w:hAnsi="Verdana"/>
          <w:i/>
          <w:sz w:val="16"/>
          <w:szCs w:val="16"/>
          <w:lang w:val="es-CR"/>
        </w:rPr>
        <w:t xml:space="preserve">Cfr. </w:t>
      </w:r>
      <w:r w:rsidRPr="00020347">
        <w:rPr>
          <w:rFonts w:ascii="Verdana" w:hAnsi="Verdana"/>
          <w:sz w:val="16"/>
          <w:szCs w:val="16"/>
          <w:lang w:val="es-CR"/>
        </w:rPr>
        <w:t>“Cartilla de Salud Sexual y Salud Reproductiva: Consentimiento informado y métodos anticonceptivos” de 2017 (Anexo 18 al informe presentado por el E</w:t>
      </w:r>
      <w:r>
        <w:rPr>
          <w:rFonts w:ascii="Verdana" w:hAnsi="Verdana"/>
          <w:sz w:val="16"/>
          <w:szCs w:val="16"/>
          <w:lang w:val="es-CR"/>
        </w:rPr>
        <w:t>stado el 22 de diciembre de 2017</w:t>
      </w:r>
      <w:r w:rsidRPr="00020347">
        <w:rPr>
          <w:rFonts w:ascii="Verdana" w:hAnsi="Verdana"/>
          <w:sz w:val="16"/>
          <w:szCs w:val="16"/>
          <w:lang w:val="es-CR"/>
        </w:rPr>
        <w:t>).</w:t>
      </w:r>
    </w:p>
  </w:footnote>
  <w:footnote w:id="30">
    <w:p w14:paraId="28D81AC5" w14:textId="0CF6F462" w:rsidR="00231720" w:rsidRPr="00BB5FC9" w:rsidRDefault="00231720" w:rsidP="00335B92">
      <w:pPr>
        <w:pStyle w:val="FootnoteText"/>
        <w:jc w:val="both"/>
        <w:rPr>
          <w:rFonts w:ascii="Verdana" w:hAnsi="Verdana"/>
          <w:sz w:val="16"/>
          <w:szCs w:val="16"/>
          <w:lang w:val="es-CR"/>
        </w:rPr>
      </w:pPr>
      <w:r w:rsidRPr="00335B92">
        <w:rPr>
          <w:rStyle w:val="FootnoteReference"/>
          <w:rFonts w:ascii="Verdana" w:hAnsi="Verdana"/>
          <w:sz w:val="16"/>
          <w:szCs w:val="16"/>
        </w:rPr>
        <w:footnoteRef/>
      </w:r>
      <w:r w:rsidRPr="00335B92">
        <w:rPr>
          <w:rFonts w:ascii="Verdana" w:hAnsi="Verdana"/>
          <w:sz w:val="16"/>
          <w:szCs w:val="16"/>
          <w:lang w:val="es-CR"/>
        </w:rPr>
        <w:t xml:space="preserve"> </w:t>
      </w:r>
      <w:r w:rsidRPr="00335B92">
        <w:rPr>
          <w:rFonts w:ascii="Verdana" w:hAnsi="Verdana"/>
          <w:sz w:val="16"/>
          <w:szCs w:val="16"/>
          <w:lang w:val="es-CR"/>
        </w:rPr>
        <w:tab/>
        <w:t xml:space="preserve">En la misma, se indica que “[p]oner en práctica los derechos sexuales y </w:t>
      </w:r>
      <w:r>
        <w:rPr>
          <w:rFonts w:ascii="Verdana" w:hAnsi="Verdana"/>
          <w:sz w:val="16"/>
          <w:szCs w:val="16"/>
          <w:lang w:val="es-CR"/>
        </w:rPr>
        <w:t xml:space="preserve">derechos </w:t>
      </w:r>
      <w:r w:rsidRPr="00335B92">
        <w:rPr>
          <w:rFonts w:ascii="Verdana" w:hAnsi="Verdana"/>
          <w:sz w:val="16"/>
          <w:szCs w:val="16"/>
          <w:lang w:val="es-CR"/>
        </w:rPr>
        <w:t>reproductivos, permite a las personas poder decidir sobre: Usar o no métodos anticonceptivos. Número de hijos e hijas a tener y el espaciamiento entre embarazos. Disf</w:t>
      </w:r>
      <w:r>
        <w:rPr>
          <w:rFonts w:ascii="Verdana" w:hAnsi="Verdana"/>
          <w:sz w:val="16"/>
          <w:szCs w:val="16"/>
          <w:lang w:val="es-CR"/>
        </w:rPr>
        <w:t>r</w:t>
      </w:r>
      <w:r w:rsidRPr="00335B92">
        <w:rPr>
          <w:rFonts w:ascii="Verdana" w:hAnsi="Verdana"/>
          <w:sz w:val="16"/>
          <w:szCs w:val="16"/>
          <w:lang w:val="es-CR"/>
        </w:rPr>
        <w:t xml:space="preserve">utar una vida sexual sana y segura”. Además, señala que poner en práctica dichos derechos es “Demandar y obtener información. Tener acceso a métodos anticonceptivos seguros, asequibles y aceptables. Autonomía de decisión. Recibir servicios adecuados de atención de la salud que permitan los embarazos y partos sin riesgos”. </w:t>
      </w:r>
    </w:p>
  </w:footnote>
  <w:footnote w:id="31">
    <w:p w14:paraId="0587C57F" w14:textId="5371B497" w:rsidR="00231720" w:rsidRPr="00335B92" w:rsidRDefault="00231720" w:rsidP="00335B92">
      <w:pPr>
        <w:pStyle w:val="FootnoteText"/>
        <w:jc w:val="both"/>
        <w:rPr>
          <w:rFonts w:ascii="Verdana" w:hAnsi="Verdana"/>
          <w:sz w:val="16"/>
          <w:szCs w:val="16"/>
          <w:lang w:val="es-CR"/>
        </w:rPr>
      </w:pPr>
      <w:r w:rsidRPr="00335B92">
        <w:rPr>
          <w:rStyle w:val="FootnoteReference"/>
          <w:rFonts w:ascii="Verdana" w:hAnsi="Verdana"/>
          <w:sz w:val="16"/>
          <w:szCs w:val="16"/>
        </w:rPr>
        <w:footnoteRef/>
      </w:r>
      <w:r w:rsidRPr="00335B92">
        <w:rPr>
          <w:rFonts w:ascii="Verdana" w:hAnsi="Verdana"/>
          <w:sz w:val="16"/>
          <w:szCs w:val="16"/>
          <w:lang w:val="es-CR"/>
        </w:rPr>
        <w:t xml:space="preserve"> </w:t>
      </w:r>
      <w:r w:rsidRPr="00335B92">
        <w:rPr>
          <w:rFonts w:ascii="Verdana" w:hAnsi="Verdana"/>
          <w:sz w:val="16"/>
          <w:szCs w:val="16"/>
          <w:lang w:val="es-CR"/>
        </w:rPr>
        <w:tab/>
        <w:t xml:space="preserve">Se hace referencia al condón masculino, el condón femenino, </w:t>
      </w:r>
      <w:r>
        <w:rPr>
          <w:rFonts w:ascii="Verdana" w:hAnsi="Verdana"/>
          <w:sz w:val="16"/>
          <w:szCs w:val="16"/>
          <w:lang w:val="es-CR"/>
        </w:rPr>
        <w:t xml:space="preserve">el dispositivo intrauterino, </w:t>
      </w:r>
      <w:r w:rsidRPr="00335B92">
        <w:rPr>
          <w:rFonts w:ascii="Verdana" w:hAnsi="Verdana"/>
          <w:sz w:val="16"/>
          <w:szCs w:val="16"/>
          <w:lang w:val="es-CR"/>
        </w:rPr>
        <w:t xml:space="preserve"> </w:t>
      </w:r>
      <w:r>
        <w:rPr>
          <w:rFonts w:ascii="Verdana" w:hAnsi="Verdana"/>
          <w:sz w:val="16"/>
          <w:szCs w:val="16"/>
          <w:lang w:val="es-CR"/>
        </w:rPr>
        <w:t>a</w:t>
      </w:r>
      <w:r w:rsidRPr="00335B92">
        <w:rPr>
          <w:rFonts w:ascii="Verdana" w:hAnsi="Verdana"/>
          <w:sz w:val="16"/>
          <w:szCs w:val="16"/>
          <w:lang w:val="es-CR"/>
        </w:rPr>
        <w:t xml:space="preserve">nticonceptivos orales, anticonceptivos </w:t>
      </w:r>
      <w:r>
        <w:rPr>
          <w:rFonts w:ascii="Verdana" w:hAnsi="Verdana"/>
          <w:sz w:val="16"/>
          <w:szCs w:val="16"/>
          <w:lang w:val="es-CR"/>
        </w:rPr>
        <w:t xml:space="preserve">hormonales </w:t>
      </w:r>
      <w:r w:rsidRPr="00335B92">
        <w:rPr>
          <w:rFonts w:ascii="Verdana" w:hAnsi="Verdana"/>
          <w:sz w:val="16"/>
          <w:szCs w:val="16"/>
          <w:lang w:val="es-CR"/>
        </w:rPr>
        <w:t>inyectables,</w:t>
      </w:r>
      <w:r>
        <w:rPr>
          <w:rFonts w:ascii="Verdana" w:hAnsi="Verdana"/>
          <w:sz w:val="16"/>
          <w:szCs w:val="16"/>
          <w:lang w:val="es-CR"/>
        </w:rPr>
        <w:t xml:space="preserve"> el implante subdérmico</w:t>
      </w:r>
      <w:r w:rsidRPr="00335B92">
        <w:rPr>
          <w:rFonts w:ascii="Verdana" w:hAnsi="Verdana"/>
          <w:sz w:val="16"/>
          <w:szCs w:val="16"/>
          <w:lang w:val="es-CR"/>
        </w:rPr>
        <w:t xml:space="preserve"> y la píldora anticonceptiva de emergencia.</w:t>
      </w:r>
      <w:r>
        <w:rPr>
          <w:rFonts w:ascii="Verdana" w:hAnsi="Verdana"/>
          <w:sz w:val="16"/>
          <w:szCs w:val="16"/>
          <w:lang w:val="es-CR"/>
        </w:rPr>
        <w:t xml:space="preserve"> </w:t>
      </w:r>
    </w:p>
  </w:footnote>
  <w:footnote w:id="32">
    <w:p w14:paraId="44B04904" w14:textId="143F1768" w:rsidR="00231720" w:rsidRPr="00335B92" w:rsidRDefault="00231720" w:rsidP="00335B92">
      <w:pPr>
        <w:pStyle w:val="FootnoteText"/>
        <w:jc w:val="both"/>
        <w:rPr>
          <w:rFonts w:ascii="Verdana" w:hAnsi="Verdana"/>
          <w:sz w:val="16"/>
          <w:szCs w:val="16"/>
          <w:lang w:val="es-CR"/>
        </w:rPr>
      </w:pPr>
      <w:r w:rsidRPr="00335B92">
        <w:rPr>
          <w:rStyle w:val="FootnoteReference"/>
          <w:rFonts w:ascii="Verdana" w:hAnsi="Verdana"/>
          <w:sz w:val="16"/>
          <w:szCs w:val="16"/>
        </w:rPr>
        <w:footnoteRef/>
      </w:r>
      <w:r w:rsidRPr="00335B92">
        <w:rPr>
          <w:rFonts w:ascii="Verdana" w:hAnsi="Verdana"/>
          <w:sz w:val="16"/>
          <w:szCs w:val="16"/>
          <w:lang w:val="es-CR"/>
        </w:rPr>
        <w:t xml:space="preserve"> </w:t>
      </w:r>
      <w:r w:rsidRPr="00335B92">
        <w:rPr>
          <w:rFonts w:ascii="Verdana" w:hAnsi="Verdana"/>
          <w:sz w:val="16"/>
          <w:szCs w:val="16"/>
          <w:lang w:val="es-CR"/>
        </w:rPr>
        <w:tab/>
        <w:t>Se incluyen en este apartado la ligadura de trompas y la vasectomía.</w:t>
      </w:r>
      <w:r>
        <w:rPr>
          <w:rFonts w:ascii="Verdana" w:hAnsi="Verdana"/>
          <w:sz w:val="16"/>
          <w:szCs w:val="16"/>
          <w:lang w:val="es-CR"/>
        </w:rPr>
        <w:t xml:space="preserve"> </w:t>
      </w:r>
    </w:p>
  </w:footnote>
  <w:footnote w:id="33">
    <w:p w14:paraId="39EDFAEA" w14:textId="4B64801C" w:rsidR="00231720" w:rsidRPr="00194138" w:rsidRDefault="00231720" w:rsidP="00194138">
      <w:pPr>
        <w:pStyle w:val="FootnoteText"/>
        <w:jc w:val="both"/>
        <w:rPr>
          <w:rFonts w:ascii="Verdana" w:hAnsi="Verdana"/>
          <w:sz w:val="16"/>
          <w:szCs w:val="16"/>
          <w:lang w:val="es-CR"/>
        </w:rPr>
      </w:pPr>
      <w:r w:rsidRPr="00194138">
        <w:rPr>
          <w:rStyle w:val="FootnoteReference"/>
          <w:rFonts w:ascii="Verdana" w:hAnsi="Verdana"/>
          <w:sz w:val="16"/>
          <w:szCs w:val="16"/>
        </w:rPr>
        <w:footnoteRef/>
      </w:r>
      <w:r w:rsidRPr="00194138">
        <w:rPr>
          <w:rFonts w:ascii="Verdana" w:hAnsi="Verdana"/>
          <w:sz w:val="16"/>
          <w:szCs w:val="16"/>
          <w:lang w:val="es-CR"/>
        </w:rPr>
        <w:t xml:space="preserve"> </w:t>
      </w:r>
      <w:r w:rsidRPr="00194138">
        <w:rPr>
          <w:rFonts w:ascii="Verdana" w:hAnsi="Verdana"/>
          <w:sz w:val="16"/>
          <w:szCs w:val="16"/>
          <w:lang w:val="es-CR"/>
        </w:rPr>
        <w:tab/>
        <w:t xml:space="preserve">De forma expresa indica como “derechos de los usuarios y las usuarias en salud sexual y salud reproductiva” los siguientes: (a) derecho a una información “correcta, apropiada, comprensible y sin ambigüedades”; (b) Acceso a los servicios, es decir, que los mismos sean “accesibles, disponibles en horarios y lugares convenientes, con total acceso, sin barreras físicas, sociales, culturales y ningún tipo de discriminación”; (c) A la elección informada, es decir, “a tomar una decisión voluntaria y bien meditada basada en opciones, información y entendimiento”; (d) servicios seguros, es decir, a “recibir atención por proveedores calificados, atención </w:t>
      </w:r>
      <w:r>
        <w:rPr>
          <w:rFonts w:ascii="Verdana" w:hAnsi="Verdana"/>
          <w:sz w:val="16"/>
          <w:szCs w:val="16"/>
          <w:lang w:val="es-CR"/>
        </w:rPr>
        <w:t>en</w:t>
      </w:r>
      <w:r w:rsidRPr="00194138">
        <w:rPr>
          <w:rFonts w:ascii="Verdana" w:hAnsi="Verdana"/>
          <w:sz w:val="16"/>
          <w:szCs w:val="16"/>
          <w:lang w:val="es-CR"/>
        </w:rPr>
        <w:t xml:space="preserve"> la prevención de la infección y prácticas médicas apropiadas y efectivas”; (e) privacidad y confidencialidad “durante la estancia en el servicio, así como durante la orientación, exámenes físicos, procedimientos clínicos y cuidado en el manejo de los registros médicos de los clientes por parte del personal y cualquier otra información personal”; (f) Dignidad, comodidad y expresión de opinión, y (g) continuidad de atención.</w:t>
      </w:r>
      <w:r>
        <w:rPr>
          <w:rFonts w:ascii="Verdana" w:hAnsi="Verdana"/>
          <w:sz w:val="16"/>
          <w:szCs w:val="16"/>
          <w:lang w:val="es-CR"/>
        </w:rPr>
        <w:t xml:space="preserve"> </w:t>
      </w:r>
    </w:p>
  </w:footnote>
  <w:footnote w:id="34">
    <w:p w14:paraId="1F15BF8B" w14:textId="386E8C4A" w:rsidR="00231720" w:rsidRPr="00020347" w:rsidRDefault="00231720" w:rsidP="00020347">
      <w:pPr>
        <w:pStyle w:val="FootnoteText"/>
        <w:jc w:val="both"/>
        <w:rPr>
          <w:rFonts w:ascii="Verdana" w:hAnsi="Verdana"/>
          <w:sz w:val="16"/>
          <w:szCs w:val="16"/>
          <w:lang w:val="es-CR"/>
        </w:rPr>
      </w:pPr>
      <w:r w:rsidRPr="00020347">
        <w:rPr>
          <w:rStyle w:val="FootnoteReference"/>
          <w:rFonts w:ascii="Verdana" w:hAnsi="Verdana"/>
          <w:sz w:val="16"/>
          <w:szCs w:val="16"/>
        </w:rPr>
        <w:footnoteRef/>
      </w:r>
      <w:r w:rsidRPr="00020347">
        <w:rPr>
          <w:rFonts w:ascii="Verdana" w:hAnsi="Verdana"/>
          <w:sz w:val="16"/>
          <w:szCs w:val="16"/>
          <w:lang w:val="es-CR"/>
        </w:rPr>
        <w:t xml:space="preserve"> </w:t>
      </w:r>
      <w:r w:rsidRPr="00020347">
        <w:rPr>
          <w:rFonts w:ascii="Verdana" w:hAnsi="Verdana"/>
          <w:sz w:val="16"/>
          <w:szCs w:val="16"/>
          <w:lang w:val="es-CR"/>
        </w:rPr>
        <w:tab/>
      </w:r>
      <w:r w:rsidRPr="00020347">
        <w:rPr>
          <w:rFonts w:ascii="Verdana" w:hAnsi="Verdana"/>
          <w:i/>
          <w:sz w:val="16"/>
          <w:szCs w:val="16"/>
          <w:lang w:val="es-CR"/>
        </w:rPr>
        <w:t xml:space="preserve">Cfr. </w:t>
      </w:r>
      <w:r w:rsidRPr="00020347">
        <w:rPr>
          <w:rFonts w:ascii="Verdana" w:hAnsi="Verdana"/>
          <w:sz w:val="16"/>
          <w:szCs w:val="16"/>
          <w:lang w:val="es-CR"/>
        </w:rPr>
        <w:t xml:space="preserve">Nota del Jefe Unidad Redes de Servicios de Salud y Calidad del Ministerio de Salud dirigida al Procurador General del Estado de 14 de diciembre de 2017 (Anexo 18 al informe presentado por el Estado el 22 de diciembre de 2017). </w:t>
      </w:r>
    </w:p>
  </w:footnote>
  <w:footnote w:id="35">
    <w:p w14:paraId="79BFC263" w14:textId="37EAD887" w:rsidR="00231720" w:rsidRPr="00160B86" w:rsidRDefault="00231720" w:rsidP="00FA61A9">
      <w:pPr>
        <w:pStyle w:val="FootnoteText"/>
        <w:jc w:val="both"/>
        <w:rPr>
          <w:rFonts w:ascii="Verdana" w:hAnsi="Verdana"/>
          <w:sz w:val="16"/>
          <w:szCs w:val="16"/>
          <w:lang w:val="es-CR"/>
        </w:rPr>
      </w:pPr>
      <w:r w:rsidRPr="00160B86">
        <w:rPr>
          <w:rStyle w:val="FootnoteReference"/>
          <w:rFonts w:ascii="Verdana" w:hAnsi="Verdana"/>
          <w:sz w:val="16"/>
          <w:szCs w:val="16"/>
        </w:rPr>
        <w:footnoteRef/>
      </w:r>
      <w:r w:rsidRPr="00160B86">
        <w:rPr>
          <w:rFonts w:ascii="Verdana" w:hAnsi="Verdana"/>
          <w:sz w:val="16"/>
          <w:szCs w:val="16"/>
          <w:lang w:val="es-CR"/>
        </w:rPr>
        <w:t xml:space="preserve"> </w:t>
      </w:r>
      <w:r w:rsidRPr="00160B86">
        <w:rPr>
          <w:rFonts w:ascii="Verdana" w:hAnsi="Verdana"/>
          <w:sz w:val="16"/>
          <w:szCs w:val="16"/>
          <w:lang w:val="es-CR"/>
        </w:rPr>
        <w:tab/>
        <w:t xml:space="preserve">En nota de 14 de diciembre de 2017, enviada al Procurador General del Estado, </w:t>
      </w:r>
      <w:r>
        <w:rPr>
          <w:rFonts w:ascii="Verdana" w:hAnsi="Verdana"/>
          <w:sz w:val="16"/>
          <w:szCs w:val="16"/>
          <w:lang w:val="es-CR"/>
        </w:rPr>
        <w:t>el</w:t>
      </w:r>
      <w:r w:rsidRPr="00160B86">
        <w:rPr>
          <w:rFonts w:ascii="Verdana" w:hAnsi="Verdana"/>
          <w:sz w:val="16"/>
          <w:szCs w:val="16"/>
          <w:lang w:val="es-CR"/>
        </w:rPr>
        <w:t xml:space="preserve"> Jef</w:t>
      </w:r>
      <w:r>
        <w:rPr>
          <w:rFonts w:ascii="Verdana" w:hAnsi="Verdana"/>
          <w:sz w:val="16"/>
          <w:szCs w:val="16"/>
          <w:lang w:val="es-CR"/>
        </w:rPr>
        <w:t>e</w:t>
      </w:r>
      <w:r w:rsidRPr="00160B86">
        <w:rPr>
          <w:rFonts w:ascii="Verdana" w:hAnsi="Verdana"/>
          <w:sz w:val="16"/>
          <w:szCs w:val="16"/>
          <w:lang w:val="es-CR"/>
        </w:rPr>
        <w:t xml:space="preserve"> de Unidad de Redes de Servicios de Salud y Calidad del Ministerio de Salud indicó que “de conformidad con lo establecido en [las] normativas vigentes, se tomará en cuenta la reimpresión [en] la gestión 2018” </w:t>
      </w:r>
      <w:r w:rsidRPr="00A371FA">
        <w:rPr>
          <w:rFonts w:ascii="Verdana" w:hAnsi="Verdana"/>
          <w:i/>
          <w:sz w:val="16"/>
          <w:szCs w:val="16"/>
          <w:lang w:val="es-CR"/>
        </w:rPr>
        <w:t xml:space="preserve">Cfr. </w:t>
      </w:r>
      <w:r w:rsidRPr="00A371FA">
        <w:rPr>
          <w:rFonts w:ascii="Verdana" w:hAnsi="Verdana"/>
          <w:sz w:val="16"/>
          <w:szCs w:val="16"/>
          <w:lang w:val="es-CR"/>
        </w:rPr>
        <w:t xml:space="preserve">Nota del Jefe Unidad Redes de Servicios de Salud y Calidad del Ministerio de Salud dirigida al Procurador General del Estado de 14 de diciembre de 2017 </w:t>
      </w:r>
      <w:r w:rsidRPr="00160B86">
        <w:rPr>
          <w:rFonts w:ascii="Verdana" w:hAnsi="Verdana"/>
          <w:sz w:val="16"/>
          <w:szCs w:val="16"/>
          <w:lang w:val="es-CR"/>
        </w:rPr>
        <w:t xml:space="preserve">(Anexo 18 </w:t>
      </w:r>
      <w:r>
        <w:rPr>
          <w:rFonts w:ascii="Verdana" w:hAnsi="Verdana"/>
          <w:sz w:val="16"/>
          <w:szCs w:val="16"/>
          <w:lang w:val="es-CR"/>
        </w:rPr>
        <w:t>a</w:t>
      </w:r>
      <w:r w:rsidRPr="00160B86">
        <w:rPr>
          <w:rFonts w:ascii="Verdana" w:hAnsi="Verdana"/>
          <w:sz w:val="16"/>
          <w:szCs w:val="16"/>
          <w:lang w:val="es-CR"/>
        </w:rPr>
        <w:t>l informe</w:t>
      </w:r>
      <w:r>
        <w:rPr>
          <w:rFonts w:ascii="Verdana" w:hAnsi="Verdana"/>
          <w:sz w:val="16"/>
          <w:szCs w:val="16"/>
          <w:lang w:val="es-CR"/>
        </w:rPr>
        <w:t xml:space="preserve"> presentado por</w:t>
      </w:r>
      <w:r w:rsidRPr="00160B86">
        <w:rPr>
          <w:rFonts w:ascii="Verdana" w:hAnsi="Verdana"/>
          <w:sz w:val="16"/>
          <w:szCs w:val="16"/>
          <w:lang w:val="es-CR"/>
        </w:rPr>
        <w:t xml:space="preserve"> el Estado e</w:t>
      </w:r>
      <w:r>
        <w:rPr>
          <w:rFonts w:ascii="Verdana" w:hAnsi="Verdana"/>
          <w:sz w:val="16"/>
          <w:szCs w:val="16"/>
          <w:lang w:val="es-CR"/>
        </w:rPr>
        <w:t>l</w:t>
      </w:r>
      <w:r w:rsidRPr="00160B86">
        <w:rPr>
          <w:rFonts w:ascii="Verdana" w:hAnsi="Verdana"/>
          <w:sz w:val="16"/>
          <w:szCs w:val="16"/>
          <w:lang w:val="es-CR"/>
        </w:rPr>
        <w:t xml:space="preserve"> 15 de enero de 2018).</w:t>
      </w:r>
    </w:p>
  </w:footnote>
  <w:footnote w:id="36">
    <w:p w14:paraId="4C9158EF" w14:textId="038D6859" w:rsidR="00231720" w:rsidRPr="00231720" w:rsidRDefault="00231720" w:rsidP="00231720">
      <w:pPr>
        <w:pStyle w:val="FootnoteText"/>
        <w:jc w:val="both"/>
        <w:rPr>
          <w:rFonts w:ascii="Verdana" w:hAnsi="Verdana"/>
          <w:sz w:val="16"/>
          <w:szCs w:val="16"/>
          <w:lang w:val="es-CR"/>
        </w:rPr>
      </w:pPr>
      <w:r>
        <w:rPr>
          <w:rStyle w:val="FootnoteReference"/>
        </w:rPr>
        <w:footnoteRef/>
      </w:r>
      <w:r w:rsidRPr="008C5504">
        <w:rPr>
          <w:lang w:val="es-CR"/>
        </w:rPr>
        <w:t xml:space="preserve"> </w:t>
      </w:r>
      <w:r>
        <w:rPr>
          <w:lang w:val="es-CR"/>
        </w:rPr>
        <w:tab/>
      </w:r>
      <w:r w:rsidRPr="00231720">
        <w:rPr>
          <w:rFonts w:ascii="Verdana" w:hAnsi="Verdana"/>
          <w:i/>
          <w:sz w:val="16"/>
          <w:szCs w:val="16"/>
          <w:lang w:val="es-CR"/>
        </w:rPr>
        <w:t xml:space="preserve">Cfr. </w:t>
      </w:r>
      <w:r w:rsidRPr="00231720">
        <w:rPr>
          <w:rFonts w:ascii="Verdana" w:hAnsi="Verdana"/>
          <w:sz w:val="16"/>
          <w:szCs w:val="16"/>
          <w:lang w:val="es-CR"/>
        </w:rPr>
        <w:t>Nota del Viceministro de Educación Superior del Ministerio de Salud dirigida a la Procuraduría General del Estado de 4 de diciembre de 2017 (</w:t>
      </w:r>
      <w:r w:rsidRPr="00AA68A2">
        <w:rPr>
          <w:rFonts w:ascii="Verdana" w:hAnsi="Verdana"/>
          <w:sz w:val="16"/>
          <w:szCs w:val="16"/>
          <w:lang w:val="es-CR"/>
        </w:rPr>
        <w:t xml:space="preserve">Anexo 19 al informe presentado por el Estado el </w:t>
      </w:r>
      <w:r>
        <w:rPr>
          <w:rFonts w:ascii="Verdana" w:hAnsi="Verdana"/>
          <w:sz w:val="16"/>
          <w:szCs w:val="16"/>
          <w:lang w:val="es-CR"/>
        </w:rPr>
        <w:t>22</w:t>
      </w:r>
      <w:r w:rsidRPr="00AA68A2">
        <w:rPr>
          <w:rFonts w:ascii="Verdana" w:hAnsi="Verdana"/>
          <w:sz w:val="16"/>
          <w:szCs w:val="16"/>
          <w:lang w:val="es-CR"/>
        </w:rPr>
        <w:t xml:space="preserve"> de </w:t>
      </w:r>
      <w:r>
        <w:rPr>
          <w:rFonts w:ascii="Verdana" w:hAnsi="Verdana"/>
          <w:sz w:val="16"/>
          <w:szCs w:val="16"/>
          <w:lang w:val="es-CR"/>
        </w:rPr>
        <w:t>diciembre</w:t>
      </w:r>
      <w:r w:rsidRPr="00AA68A2">
        <w:rPr>
          <w:rFonts w:ascii="Verdana" w:hAnsi="Verdana"/>
          <w:sz w:val="16"/>
          <w:szCs w:val="16"/>
          <w:lang w:val="es-CR"/>
        </w:rPr>
        <w:t xml:space="preserve"> de 201</w:t>
      </w:r>
      <w:r>
        <w:rPr>
          <w:rFonts w:ascii="Verdana" w:hAnsi="Verdana"/>
          <w:sz w:val="16"/>
          <w:szCs w:val="16"/>
          <w:lang w:val="es-CR"/>
        </w:rPr>
        <w:t>7</w:t>
      </w:r>
      <w:r w:rsidRPr="00AA68A2">
        <w:rPr>
          <w:rFonts w:ascii="Verdana" w:hAnsi="Verdana"/>
          <w:sz w:val="16"/>
          <w:szCs w:val="16"/>
          <w:lang w:val="es-CR"/>
        </w:rPr>
        <w:t>).</w:t>
      </w:r>
    </w:p>
  </w:footnote>
  <w:footnote w:id="37">
    <w:p w14:paraId="7F0DA429" w14:textId="31ADB665" w:rsidR="00231720" w:rsidRPr="00AE4557" w:rsidRDefault="00231720" w:rsidP="00AE4557">
      <w:pPr>
        <w:pStyle w:val="FootnoteText"/>
        <w:jc w:val="both"/>
        <w:rPr>
          <w:rFonts w:ascii="Verdana" w:hAnsi="Verdana"/>
          <w:sz w:val="16"/>
          <w:szCs w:val="16"/>
          <w:lang w:val="es-CR"/>
        </w:rPr>
      </w:pPr>
      <w:r w:rsidRPr="00AE4557">
        <w:rPr>
          <w:rStyle w:val="FootnoteReference"/>
          <w:rFonts w:ascii="Verdana" w:hAnsi="Verdana"/>
          <w:sz w:val="16"/>
          <w:szCs w:val="16"/>
        </w:rPr>
        <w:footnoteRef/>
      </w:r>
      <w:r w:rsidRPr="00AE4557">
        <w:rPr>
          <w:rFonts w:ascii="Verdana" w:hAnsi="Verdana"/>
          <w:sz w:val="16"/>
          <w:szCs w:val="16"/>
          <w:lang w:val="es-CR"/>
        </w:rPr>
        <w:t xml:space="preserve"> </w:t>
      </w:r>
      <w:r w:rsidRPr="00AE4557">
        <w:rPr>
          <w:rFonts w:ascii="Verdana" w:hAnsi="Verdana"/>
          <w:sz w:val="16"/>
          <w:szCs w:val="16"/>
          <w:lang w:val="es-CR"/>
        </w:rPr>
        <w:tab/>
        <w:t xml:space="preserve">El Estado aportó once notas de parte del Secretario Ejecutivo Nacional, dirigidas a las autoridades de </w:t>
      </w:r>
      <w:r>
        <w:rPr>
          <w:rFonts w:ascii="Verdana" w:hAnsi="Verdana"/>
          <w:sz w:val="16"/>
          <w:szCs w:val="16"/>
          <w:lang w:val="es-CR"/>
        </w:rPr>
        <w:t>la Universidad Mayor de San Francisco Xavier de Chuquisaca, de la Universidad Mayor de San Simón, de la Universidad Autónoma “Tomás Frías”, de la Universidad Técnica de Oruro, de la Universidad Autónoma “Gabriel René Moreno”, de la Universidad Autónoma “Juan Misael Saracho”, de la Universidad Autónoma del Beni “José Ballivián”, de la Universidad Amazónica de Pando, de la Universidad Pública de El Alto, de la Universidad Nacional Siglo XX y de la Universidad Mayor de San Andrés</w:t>
      </w:r>
      <w:r w:rsidRPr="00AE4557">
        <w:rPr>
          <w:rFonts w:ascii="Verdana" w:hAnsi="Verdana"/>
          <w:sz w:val="16"/>
          <w:szCs w:val="16"/>
          <w:lang w:val="es-CR"/>
        </w:rPr>
        <w:t>, en las que se lee que “</w:t>
      </w:r>
      <w:r>
        <w:rPr>
          <w:rFonts w:ascii="Verdana" w:hAnsi="Verdana"/>
          <w:sz w:val="16"/>
          <w:szCs w:val="16"/>
          <w:lang w:val="es-CR"/>
        </w:rPr>
        <w:t>[</w:t>
      </w:r>
      <w:r w:rsidRPr="00AE4557">
        <w:rPr>
          <w:rFonts w:ascii="Verdana" w:hAnsi="Verdana"/>
          <w:sz w:val="16"/>
          <w:szCs w:val="16"/>
          <w:lang w:val="es-CR"/>
        </w:rPr>
        <w:t>c</w:t>
      </w:r>
      <w:r>
        <w:rPr>
          <w:rFonts w:ascii="Verdana" w:hAnsi="Verdana"/>
          <w:sz w:val="16"/>
          <w:szCs w:val="16"/>
          <w:lang w:val="es-CR"/>
        </w:rPr>
        <w:t>]</w:t>
      </w:r>
      <w:r w:rsidRPr="00AE4557">
        <w:rPr>
          <w:rFonts w:ascii="Verdana" w:hAnsi="Verdana"/>
          <w:sz w:val="16"/>
          <w:szCs w:val="16"/>
          <w:lang w:val="es-CR"/>
        </w:rPr>
        <w:t>on el fin de que las instancias académicas correspondientes, puedan adoptar programas de educación y formación permanentes dirigidos a los estudiantes de medicina y profesionales médicos, así como a todo el personal que conforma el sistema de salud y seguridad social, sobre temas de consentimiento informado, discriminación basada en género y estereotipos y violencia de género […a]djunto a la presente me permito remitir a usted […] el documento completo y el resumen oficial del caso I.V. vs Bolivia, emitido por la Corte Interamericana de Derechos Humanos ‘Caso I.V.’</w:t>
      </w:r>
      <w:r>
        <w:rPr>
          <w:rFonts w:ascii="Verdana" w:hAnsi="Verdana"/>
          <w:sz w:val="16"/>
          <w:szCs w:val="16"/>
          <w:lang w:val="es-CR"/>
        </w:rPr>
        <w:t xml:space="preserve">” </w:t>
      </w:r>
      <w:r>
        <w:rPr>
          <w:rFonts w:ascii="Verdana" w:hAnsi="Verdana"/>
          <w:i/>
          <w:sz w:val="16"/>
          <w:szCs w:val="16"/>
          <w:lang w:val="es-CR"/>
        </w:rPr>
        <w:t xml:space="preserve">Cfr. </w:t>
      </w:r>
      <w:r>
        <w:rPr>
          <w:rFonts w:ascii="Verdana" w:hAnsi="Verdana"/>
          <w:sz w:val="16"/>
          <w:szCs w:val="16"/>
          <w:lang w:val="es-CR"/>
        </w:rPr>
        <w:t>Anexo 20 al informe presentado por el Estado el 22 de diciembre de 2017.</w:t>
      </w:r>
    </w:p>
  </w:footnote>
  <w:footnote w:id="38">
    <w:p w14:paraId="495FA2D8" w14:textId="77777777" w:rsidR="00231720" w:rsidRPr="00F11A3B" w:rsidRDefault="00231720" w:rsidP="00F11A3B">
      <w:pPr>
        <w:pStyle w:val="FootnoteText"/>
        <w:jc w:val="both"/>
        <w:rPr>
          <w:rFonts w:ascii="Verdana" w:hAnsi="Verdana"/>
          <w:sz w:val="16"/>
          <w:szCs w:val="16"/>
          <w:lang w:val="es-CR"/>
        </w:rPr>
      </w:pPr>
      <w:r w:rsidRPr="00F11A3B">
        <w:rPr>
          <w:rStyle w:val="FootnoteReference"/>
          <w:rFonts w:ascii="Verdana" w:hAnsi="Verdana"/>
          <w:sz w:val="16"/>
          <w:szCs w:val="16"/>
        </w:rPr>
        <w:footnoteRef/>
      </w:r>
      <w:r w:rsidRPr="00F11A3B">
        <w:rPr>
          <w:rFonts w:ascii="Verdana" w:hAnsi="Verdana"/>
          <w:sz w:val="16"/>
          <w:szCs w:val="16"/>
          <w:lang w:val="es-CR"/>
        </w:rPr>
        <w:t xml:space="preserve"> </w:t>
      </w:r>
      <w:r w:rsidRPr="00F11A3B">
        <w:rPr>
          <w:rFonts w:ascii="Verdana" w:hAnsi="Verdana"/>
          <w:sz w:val="16"/>
          <w:szCs w:val="16"/>
          <w:lang w:val="es-CR"/>
        </w:rPr>
        <w:tab/>
        <w:t>El Estado indicó que “[d]icho Comité es la máxima instancia de coordinación interinstitucional entre el Sistema Interuniversitario Boliviano y el Ministerio de Salud”. Asimismo, informó que éste “en la reunión del 28 de julio de 2017 con la asistencia de todos sus miembros acordó emitir un pronunciamiento expreso [el cual] se plasmó en la Resolución N°005/2017 de 2 de agosto de 2017 a través del cual además de instar a las instituciones que la conforman, dispuso que se verificará el cumplimiento de la disposición de la Corte IDH requiriendo los informes correspondientes”</w:t>
      </w:r>
      <w:r>
        <w:rPr>
          <w:rFonts w:ascii="Verdana" w:hAnsi="Verdana"/>
          <w:sz w:val="16"/>
          <w:szCs w:val="16"/>
          <w:lang w:val="es-CR"/>
        </w:rPr>
        <w:t>.</w:t>
      </w:r>
    </w:p>
  </w:footnote>
  <w:footnote w:id="39">
    <w:p w14:paraId="74F70C50" w14:textId="2E3A6A4E" w:rsidR="00231720" w:rsidRPr="008D4C4C" w:rsidRDefault="00231720" w:rsidP="00F11A3B">
      <w:pPr>
        <w:pStyle w:val="FootnoteText"/>
        <w:jc w:val="both"/>
        <w:rPr>
          <w:rFonts w:ascii="Verdana" w:hAnsi="Verdana"/>
          <w:sz w:val="16"/>
          <w:szCs w:val="16"/>
          <w:lang w:val="es-CR"/>
        </w:rPr>
      </w:pPr>
      <w:r w:rsidRPr="008D4C4C">
        <w:rPr>
          <w:rStyle w:val="FootnoteReference"/>
          <w:rFonts w:ascii="Verdana" w:hAnsi="Verdana"/>
          <w:sz w:val="16"/>
          <w:szCs w:val="16"/>
        </w:rPr>
        <w:footnoteRef/>
      </w:r>
      <w:r w:rsidRPr="008D4C4C">
        <w:rPr>
          <w:rFonts w:ascii="Verdana" w:hAnsi="Verdana"/>
          <w:sz w:val="16"/>
          <w:szCs w:val="16"/>
          <w:lang w:val="es-CR"/>
        </w:rPr>
        <w:t xml:space="preserve"> </w:t>
      </w:r>
      <w:r w:rsidRPr="008D4C4C">
        <w:rPr>
          <w:rFonts w:ascii="Verdana" w:hAnsi="Verdana"/>
          <w:sz w:val="16"/>
          <w:szCs w:val="16"/>
          <w:lang w:val="es-CR"/>
        </w:rPr>
        <w:tab/>
        <w:t xml:space="preserve">En el Acta de Reunión del Comité Nacional de Integración Docente Asistencial, Investigación e Interacción Comunitaria, se llegó a la siguiente conclusión: “El pleno del CNIDAIIC […] acuerda […] emitir una resolución expresa, reconociendo que ésta instancia a la fecha vela por el cumplimiento del procedimiento establecido para el consentimiento informado, la no discriminación basado en género y estereotipos, y violencia de género”. </w:t>
      </w:r>
      <w:r>
        <w:rPr>
          <w:rFonts w:ascii="Verdana" w:hAnsi="Verdana"/>
          <w:sz w:val="16"/>
          <w:szCs w:val="16"/>
          <w:lang w:val="es-CR"/>
        </w:rPr>
        <w:t>Asimismo, acordaron que “se instruirá a todas las instituciones miembros del CNIDAIIC, promover mediante instructivos, el cumplimiento el punto dispositivo N° 12 de la [S]entencia, […] debiendo elevar informe al CNIDAIIC, sobre la existencia o en su caso, la creación de los programas de educación y formación mencionados en los niveles de grado y posgrado”</w:t>
      </w:r>
      <w:r>
        <w:rPr>
          <w:rFonts w:ascii="Verdana" w:hAnsi="Verdana"/>
          <w:b/>
          <w:sz w:val="16"/>
          <w:szCs w:val="16"/>
          <w:lang w:val="es-CR"/>
        </w:rPr>
        <w:t xml:space="preserve"> </w:t>
      </w:r>
      <w:r w:rsidRPr="00231720">
        <w:rPr>
          <w:rFonts w:ascii="Verdana" w:hAnsi="Verdana"/>
          <w:i/>
          <w:sz w:val="16"/>
          <w:szCs w:val="16"/>
          <w:lang w:val="es-CR"/>
        </w:rPr>
        <w:t xml:space="preserve">Cfr. </w:t>
      </w:r>
      <w:r w:rsidRPr="00231720">
        <w:rPr>
          <w:rFonts w:ascii="Verdana" w:hAnsi="Verdana"/>
          <w:sz w:val="16"/>
          <w:szCs w:val="16"/>
          <w:lang w:val="es-CR"/>
        </w:rPr>
        <w:t>Acta de Reunión del Comité Nacional de Integración Docente Asistencial, Investigación e Interacción Comunitaria de 28 de julio de 2017</w:t>
      </w:r>
      <w:r>
        <w:rPr>
          <w:rFonts w:ascii="Verdana" w:hAnsi="Verdana"/>
          <w:b/>
          <w:sz w:val="16"/>
          <w:szCs w:val="16"/>
          <w:lang w:val="es-CR"/>
        </w:rPr>
        <w:t xml:space="preserve"> </w:t>
      </w:r>
      <w:r>
        <w:rPr>
          <w:rFonts w:ascii="Verdana" w:hAnsi="Verdana"/>
          <w:sz w:val="16"/>
          <w:szCs w:val="16"/>
          <w:lang w:val="es-CR"/>
        </w:rPr>
        <w:t xml:space="preserve">(Anexo 21 al informe presentado por el Estado el 22 de diciembre de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63115"/>
      <w:docPartObj>
        <w:docPartGallery w:val="Page Numbers (Top of Page)"/>
        <w:docPartUnique/>
      </w:docPartObj>
    </w:sdtPr>
    <w:sdtEndPr>
      <w:rPr>
        <w:rFonts w:ascii="Verdana" w:hAnsi="Verdana"/>
        <w:noProof/>
        <w:sz w:val="20"/>
        <w:szCs w:val="20"/>
      </w:rPr>
    </w:sdtEndPr>
    <w:sdtContent>
      <w:p w14:paraId="6564E3F1" w14:textId="0895A2DF" w:rsidR="00C2032E" w:rsidRPr="001B3891" w:rsidRDefault="001B3891">
        <w:pPr>
          <w:pStyle w:val="Header"/>
          <w:jc w:val="center"/>
          <w:rPr>
            <w:rFonts w:ascii="Verdana" w:hAnsi="Verdana"/>
            <w:sz w:val="20"/>
            <w:szCs w:val="20"/>
          </w:rPr>
        </w:pPr>
        <w:r>
          <w:t>-</w:t>
        </w:r>
        <w:r w:rsidR="00C2032E" w:rsidRPr="001B3891">
          <w:rPr>
            <w:rFonts w:ascii="Verdana" w:hAnsi="Verdana"/>
            <w:sz w:val="20"/>
            <w:szCs w:val="20"/>
          </w:rPr>
          <w:fldChar w:fldCharType="begin"/>
        </w:r>
        <w:r w:rsidR="00C2032E" w:rsidRPr="001B3891">
          <w:rPr>
            <w:rFonts w:ascii="Verdana" w:hAnsi="Verdana"/>
            <w:sz w:val="20"/>
            <w:szCs w:val="20"/>
          </w:rPr>
          <w:instrText xml:space="preserve"> PAGE   \* MERGEFORMAT </w:instrText>
        </w:r>
        <w:r w:rsidR="00C2032E" w:rsidRPr="001B3891">
          <w:rPr>
            <w:rFonts w:ascii="Verdana" w:hAnsi="Verdana"/>
            <w:sz w:val="20"/>
            <w:szCs w:val="20"/>
          </w:rPr>
          <w:fldChar w:fldCharType="separate"/>
        </w:r>
        <w:r w:rsidR="004F6F38">
          <w:rPr>
            <w:rFonts w:ascii="Verdana" w:hAnsi="Verdana"/>
            <w:noProof/>
            <w:sz w:val="20"/>
            <w:szCs w:val="20"/>
          </w:rPr>
          <w:t>14</w:t>
        </w:r>
        <w:r w:rsidR="00C2032E" w:rsidRPr="001B3891">
          <w:rPr>
            <w:rFonts w:ascii="Verdana" w:hAnsi="Verdana"/>
            <w:noProof/>
            <w:sz w:val="20"/>
            <w:szCs w:val="20"/>
          </w:rPr>
          <w:fldChar w:fldCharType="end"/>
        </w:r>
        <w:r>
          <w:rPr>
            <w:rFonts w:ascii="Verdana" w:hAnsi="Verdana"/>
            <w:noProof/>
            <w:sz w:val="20"/>
            <w:szCs w:val="20"/>
          </w:rPr>
          <w:t>-</w:t>
        </w:r>
      </w:p>
    </w:sdtContent>
  </w:sdt>
  <w:p w14:paraId="482BD938" w14:textId="61F093D9" w:rsidR="00231720" w:rsidRPr="008E42B1" w:rsidRDefault="00231720" w:rsidP="008E42B1">
    <w:pPr>
      <w:pStyle w:val="Header"/>
      <w:jc w:val="right"/>
      <w:rPr>
        <w:rFonts w:ascii="Verdana" w:hAnsi="Verdana"/>
        <w:i/>
        <w:sz w:val="20"/>
        <w:szCs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340"/>
    <w:multiLevelType w:val="hybridMultilevel"/>
    <w:tmpl w:val="1F5A21B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C7B066D"/>
    <w:multiLevelType w:val="hybridMultilevel"/>
    <w:tmpl w:val="7BD28B8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D0243FC"/>
    <w:multiLevelType w:val="hybridMultilevel"/>
    <w:tmpl w:val="1FFC68CE"/>
    <w:lvl w:ilvl="0" w:tplc="6402F85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A096EE8"/>
    <w:multiLevelType w:val="hybridMultilevel"/>
    <w:tmpl w:val="0FBE3D14"/>
    <w:lvl w:ilvl="0" w:tplc="27A0A15E">
      <w:start w:val="4"/>
      <w:numFmt w:val="decimal"/>
      <w:lvlText w:val="%1."/>
      <w:lvlJc w:val="left"/>
      <w:pPr>
        <w:ind w:left="36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2269594C"/>
    <w:multiLevelType w:val="hybridMultilevel"/>
    <w:tmpl w:val="EF6EFDC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53469E7"/>
    <w:multiLevelType w:val="hybridMultilevel"/>
    <w:tmpl w:val="AF4EB0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78B3C58"/>
    <w:multiLevelType w:val="hybridMultilevel"/>
    <w:tmpl w:val="855A6A6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B783BD6"/>
    <w:multiLevelType w:val="hybridMultilevel"/>
    <w:tmpl w:val="4C34D7D8"/>
    <w:lvl w:ilvl="0" w:tplc="13B66EE6">
      <w:start w:val="1"/>
      <w:numFmt w:val="decimal"/>
      <w:lvlText w:val="%1."/>
      <w:lvlJc w:val="left"/>
      <w:pPr>
        <w:ind w:left="720" w:hanging="360"/>
      </w:pPr>
      <w:rPr>
        <w:rFonts w:ascii="Verdana" w:hAnsi="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DE37655"/>
    <w:multiLevelType w:val="hybridMultilevel"/>
    <w:tmpl w:val="C55E4284"/>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B1A3243"/>
    <w:multiLevelType w:val="hybridMultilevel"/>
    <w:tmpl w:val="068A4F40"/>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B2977ED"/>
    <w:multiLevelType w:val="hybridMultilevel"/>
    <w:tmpl w:val="35E27134"/>
    <w:lvl w:ilvl="0" w:tplc="140A000F">
      <w:start w:val="1"/>
      <w:numFmt w:val="decimal"/>
      <w:lvlText w:val="%1."/>
      <w:lvlJc w:val="left"/>
      <w:pPr>
        <w:ind w:left="720" w:hanging="360"/>
      </w:pPr>
      <w:rPr>
        <w:rFonts w:hint="default"/>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95F31F0"/>
    <w:multiLevelType w:val="hybridMultilevel"/>
    <w:tmpl w:val="3FD0594C"/>
    <w:lvl w:ilvl="0" w:tplc="1556CA88">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E73126A"/>
    <w:multiLevelType w:val="hybridMultilevel"/>
    <w:tmpl w:val="2BF6DB3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9"/>
  </w:num>
  <w:num w:numId="5">
    <w:abstractNumId w:val="8"/>
  </w:num>
  <w:num w:numId="6">
    <w:abstractNumId w:val="5"/>
  </w:num>
  <w:num w:numId="7">
    <w:abstractNumId w:val="0"/>
  </w:num>
  <w:num w:numId="8">
    <w:abstractNumId w:val="2"/>
  </w:num>
  <w:num w:numId="9">
    <w:abstractNumId w:val="4"/>
  </w:num>
  <w:num w:numId="10">
    <w:abstractNumId w:val="11"/>
  </w:num>
  <w:num w:numId="11">
    <w:abstractNumId w:val="6"/>
  </w:num>
  <w:num w:numId="12">
    <w:abstractNumId w:val="1"/>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5A"/>
    <w:rsid w:val="00010149"/>
    <w:rsid w:val="00020347"/>
    <w:rsid w:val="00030CB3"/>
    <w:rsid w:val="000329D1"/>
    <w:rsid w:val="00032C66"/>
    <w:rsid w:val="0004601F"/>
    <w:rsid w:val="00046542"/>
    <w:rsid w:val="00057459"/>
    <w:rsid w:val="000605A7"/>
    <w:rsid w:val="0006593F"/>
    <w:rsid w:val="000705B6"/>
    <w:rsid w:val="00072E53"/>
    <w:rsid w:val="00074ED5"/>
    <w:rsid w:val="00086D9B"/>
    <w:rsid w:val="00087D80"/>
    <w:rsid w:val="00096F47"/>
    <w:rsid w:val="000A4B8B"/>
    <w:rsid w:val="000B1466"/>
    <w:rsid w:val="000C5D35"/>
    <w:rsid w:val="000D143F"/>
    <w:rsid w:val="000F46C3"/>
    <w:rsid w:val="0010347C"/>
    <w:rsid w:val="00131C63"/>
    <w:rsid w:val="00132271"/>
    <w:rsid w:val="00136A4A"/>
    <w:rsid w:val="00146AC7"/>
    <w:rsid w:val="00147314"/>
    <w:rsid w:val="00150529"/>
    <w:rsid w:val="001532C8"/>
    <w:rsid w:val="00153A2F"/>
    <w:rsid w:val="00160B86"/>
    <w:rsid w:val="00163AF0"/>
    <w:rsid w:val="001856D3"/>
    <w:rsid w:val="00192AB9"/>
    <w:rsid w:val="00194138"/>
    <w:rsid w:val="00196DD4"/>
    <w:rsid w:val="001A15C3"/>
    <w:rsid w:val="001B3891"/>
    <w:rsid w:val="001D7A98"/>
    <w:rsid w:val="00226C10"/>
    <w:rsid w:val="002311A3"/>
    <w:rsid w:val="00231720"/>
    <w:rsid w:val="002454C0"/>
    <w:rsid w:val="002515AD"/>
    <w:rsid w:val="002528F5"/>
    <w:rsid w:val="00265E84"/>
    <w:rsid w:val="0027260F"/>
    <w:rsid w:val="002738AF"/>
    <w:rsid w:val="00280177"/>
    <w:rsid w:val="00281274"/>
    <w:rsid w:val="00283B6C"/>
    <w:rsid w:val="00286BA5"/>
    <w:rsid w:val="002905E3"/>
    <w:rsid w:val="0029175D"/>
    <w:rsid w:val="00292FF8"/>
    <w:rsid w:val="002A750C"/>
    <w:rsid w:val="002C20E8"/>
    <w:rsid w:val="002D0921"/>
    <w:rsid w:val="002D674A"/>
    <w:rsid w:val="002D6E64"/>
    <w:rsid w:val="002E77BF"/>
    <w:rsid w:val="003233EF"/>
    <w:rsid w:val="00335B92"/>
    <w:rsid w:val="0035578B"/>
    <w:rsid w:val="00395560"/>
    <w:rsid w:val="003A4C6D"/>
    <w:rsid w:val="003A5581"/>
    <w:rsid w:val="003C1D11"/>
    <w:rsid w:val="003C2417"/>
    <w:rsid w:val="003C3B0D"/>
    <w:rsid w:val="003D003B"/>
    <w:rsid w:val="003D12CF"/>
    <w:rsid w:val="003D3930"/>
    <w:rsid w:val="003D6466"/>
    <w:rsid w:val="003E6129"/>
    <w:rsid w:val="003F2EC7"/>
    <w:rsid w:val="003F4C59"/>
    <w:rsid w:val="004079A5"/>
    <w:rsid w:val="00410D5E"/>
    <w:rsid w:val="004157A9"/>
    <w:rsid w:val="00417C29"/>
    <w:rsid w:val="00432FC7"/>
    <w:rsid w:val="004353A5"/>
    <w:rsid w:val="004447B0"/>
    <w:rsid w:val="00452316"/>
    <w:rsid w:val="00452E03"/>
    <w:rsid w:val="00461093"/>
    <w:rsid w:val="00463F16"/>
    <w:rsid w:val="00473B41"/>
    <w:rsid w:val="00475608"/>
    <w:rsid w:val="00480FF8"/>
    <w:rsid w:val="00487C8C"/>
    <w:rsid w:val="004B11A2"/>
    <w:rsid w:val="004B1584"/>
    <w:rsid w:val="004C6C9A"/>
    <w:rsid w:val="004D6109"/>
    <w:rsid w:val="004E21CE"/>
    <w:rsid w:val="004E6382"/>
    <w:rsid w:val="004F0791"/>
    <w:rsid w:val="004F629E"/>
    <w:rsid w:val="004F6F38"/>
    <w:rsid w:val="005010C2"/>
    <w:rsid w:val="00522E45"/>
    <w:rsid w:val="00526012"/>
    <w:rsid w:val="005326CA"/>
    <w:rsid w:val="00533068"/>
    <w:rsid w:val="00551179"/>
    <w:rsid w:val="0055241C"/>
    <w:rsid w:val="0055496F"/>
    <w:rsid w:val="00554A85"/>
    <w:rsid w:val="00554CA0"/>
    <w:rsid w:val="005579F0"/>
    <w:rsid w:val="00561A64"/>
    <w:rsid w:val="00572E1E"/>
    <w:rsid w:val="00577E6E"/>
    <w:rsid w:val="005847C4"/>
    <w:rsid w:val="00585FD0"/>
    <w:rsid w:val="0058600E"/>
    <w:rsid w:val="00591F54"/>
    <w:rsid w:val="005B095C"/>
    <w:rsid w:val="005E2346"/>
    <w:rsid w:val="005E261F"/>
    <w:rsid w:val="00613746"/>
    <w:rsid w:val="00622ADF"/>
    <w:rsid w:val="00655CE9"/>
    <w:rsid w:val="00657749"/>
    <w:rsid w:val="006A619F"/>
    <w:rsid w:val="006B05D5"/>
    <w:rsid w:val="006B11F2"/>
    <w:rsid w:val="006B211D"/>
    <w:rsid w:val="006B65DC"/>
    <w:rsid w:val="006B6AB4"/>
    <w:rsid w:val="006B7B2A"/>
    <w:rsid w:val="006D1CE4"/>
    <w:rsid w:val="006F18AA"/>
    <w:rsid w:val="007001E9"/>
    <w:rsid w:val="007051AB"/>
    <w:rsid w:val="0071710C"/>
    <w:rsid w:val="00727A2C"/>
    <w:rsid w:val="00737DF1"/>
    <w:rsid w:val="00745E42"/>
    <w:rsid w:val="007612EB"/>
    <w:rsid w:val="00767B09"/>
    <w:rsid w:val="007733D9"/>
    <w:rsid w:val="0078619A"/>
    <w:rsid w:val="007B0309"/>
    <w:rsid w:val="007B0826"/>
    <w:rsid w:val="007B25FA"/>
    <w:rsid w:val="007B6D53"/>
    <w:rsid w:val="007C0C9B"/>
    <w:rsid w:val="007C4C0D"/>
    <w:rsid w:val="007C6505"/>
    <w:rsid w:val="007C6F3D"/>
    <w:rsid w:val="007D2793"/>
    <w:rsid w:val="007D3A16"/>
    <w:rsid w:val="007F0094"/>
    <w:rsid w:val="007F0630"/>
    <w:rsid w:val="007F4B3B"/>
    <w:rsid w:val="00800CAA"/>
    <w:rsid w:val="00801669"/>
    <w:rsid w:val="00806AE5"/>
    <w:rsid w:val="0081085C"/>
    <w:rsid w:val="008109D5"/>
    <w:rsid w:val="0081194E"/>
    <w:rsid w:val="008177C5"/>
    <w:rsid w:val="00821BD0"/>
    <w:rsid w:val="008249C7"/>
    <w:rsid w:val="00824C07"/>
    <w:rsid w:val="0082751E"/>
    <w:rsid w:val="00835C3E"/>
    <w:rsid w:val="008845E6"/>
    <w:rsid w:val="0089056C"/>
    <w:rsid w:val="008925C1"/>
    <w:rsid w:val="0089261F"/>
    <w:rsid w:val="00897056"/>
    <w:rsid w:val="008C4043"/>
    <w:rsid w:val="008C5504"/>
    <w:rsid w:val="008D4C4C"/>
    <w:rsid w:val="008E42B1"/>
    <w:rsid w:val="008E600A"/>
    <w:rsid w:val="008F453B"/>
    <w:rsid w:val="009049B2"/>
    <w:rsid w:val="009072D9"/>
    <w:rsid w:val="00924E39"/>
    <w:rsid w:val="00937F29"/>
    <w:rsid w:val="0094694E"/>
    <w:rsid w:val="00962F4B"/>
    <w:rsid w:val="00970ABC"/>
    <w:rsid w:val="00977CC7"/>
    <w:rsid w:val="00982630"/>
    <w:rsid w:val="0099369F"/>
    <w:rsid w:val="009958CB"/>
    <w:rsid w:val="0099746B"/>
    <w:rsid w:val="009979B0"/>
    <w:rsid w:val="009A24B9"/>
    <w:rsid w:val="009B6549"/>
    <w:rsid w:val="009C71C8"/>
    <w:rsid w:val="009D18E9"/>
    <w:rsid w:val="009D2578"/>
    <w:rsid w:val="009E1E4C"/>
    <w:rsid w:val="009E7A99"/>
    <w:rsid w:val="009E7CA6"/>
    <w:rsid w:val="009F3F64"/>
    <w:rsid w:val="00A04452"/>
    <w:rsid w:val="00A074BB"/>
    <w:rsid w:val="00A0756D"/>
    <w:rsid w:val="00A242DA"/>
    <w:rsid w:val="00A244E7"/>
    <w:rsid w:val="00A26513"/>
    <w:rsid w:val="00A402C4"/>
    <w:rsid w:val="00A50D24"/>
    <w:rsid w:val="00A51D99"/>
    <w:rsid w:val="00A62734"/>
    <w:rsid w:val="00A65CFA"/>
    <w:rsid w:val="00A718E0"/>
    <w:rsid w:val="00A825A2"/>
    <w:rsid w:val="00A82CAC"/>
    <w:rsid w:val="00A96FE5"/>
    <w:rsid w:val="00AA6610"/>
    <w:rsid w:val="00AA68A2"/>
    <w:rsid w:val="00AB2345"/>
    <w:rsid w:val="00AC759F"/>
    <w:rsid w:val="00AD021D"/>
    <w:rsid w:val="00AD63EE"/>
    <w:rsid w:val="00AD6771"/>
    <w:rsid w:val="00AE1507"/>
    <w:rsid w:val="00AE4557"/>
    <w:rsid w:val="00AE7470"/>
    <w:rsid w:val="00AE7CF3"/>
    <w:rsid w:val="00B03B4C"/>
    <w:rsid w:val="00B05FB6"/>
    <w:rsid w:val="00B16B18"/>
    <w:rsid w:val="00B17580"/>
    <w:rsid w:val="00B2012B"/>
    <w:rsid w:val="00B2131B"/>
    <w:rsid w:val="00B215E8"/>
    <w:rsid w:val="00B24B57"/>
    <w:rsid w:val="00B33AF3"/>
    <w:rsid w:val="00B36BD4"/>
    <w:rsid w:val="00B60CE4"/>
    <w:rsid w:val="00B67A5A"/>
    <w:rsid w:val="00B85AD1"/>
    <w:rsid w:val="00BA2BB4"/>
    <w:rsid w:val="00BB1A8D"/>
    <w:rsid w:val="00BB5FC9"/>
    <w:rsid w:val="00BB7D2F"/>
    <w:rsid w:val="00BC4BEF"/>
    <w:rsid w:val="00BC75DB"/>
    <w:rsid w:val="00BD20B0"/>
    <w:rsid w:val="00BE4812"/>
    <w:rsid w:val="00BE6ABF"/>
    <w:rsid w:val="00BF1A56"/>
    <w:rsid w:val="00BF3540"/>
    <w:rsid w:val="00C02CA3"/>
    <w:rsid w:val="00C1515A"/>
    <w:rsid w:val="00C15C7E"/>
    <w:rsid w:val="00C2032E"/>
    <w:rsid w:val="00C262B0"/>
    <w:rsid w:val="00C26BCD"/>
    <w:rsid w:val="00C343C7"/>
    <w:rsid w:val="00C40E8B"/>
    <w:rsid w:val="00C41BBD"/>
    <w:rsid w:val="00C51121"/>
    <w:rsid w:val="00C53849"/>
    <w:rsid w:val="00C563B2"/>
    <w:rsid w:val="00C57380"/>
    <w:rsid w:val="00C65062"/>
    <w:rsid w:val="00C80D68"/>
    <w:rsid w:val="00C820E0"/>
    <w:rsid w:val="00C8234D"/>
    <w:rsid w:val="00C95ED6"/>
    <w:rsid w:val="00C9695B"/>
    <w:rsid w:val="00CA243D"/>
    <w:rsid w:val="00CB0AE8"/>
    <w:rsid w:val="00CB4F4F"/>
    <w:rsid w:val="00CB7E86"/>
    <w:rsid w:val="00CC210C"/>
    <w:rsid w:val="00CC32C0"/>
    <w:rsid w:val="00CD262B"/>
    <w:rsid w:val="00CE386A"/>
    <w:rsid w:val="00CE7424"/>
    <w:rsid w:val="00CF6BA9"/>
    <w:rsid w:val="00D03347"/>
    <w:rsid w:val="00D16841"/>
    <w:rsid w:val="00D24F46"/>
    <w:rsid w:val="00D45313"/>
    <w:rsid w:val="00D52970"/>
    <w:rsid w:val="00D5333D"/>
    <w:rsid w:val="00D60FE8"/>
    <w:rsid w:val="00D6574B"/>
    <w:rsid w:val="00D81F97"/>
    <w:rsid w:val="00D8760A"/>
    <w:rsid w:val="00D93CC0"/>
    <w:rsid w:val="00D96B2B"/>
    <w:rsid w:val="00DA1109"/>
    <w:rsid w:val="00DA20A4"/>
    <w:rsid w:val="00DA4452"/>
    <w:rsid w:val="00DA6E08"/>
    <w:rsid w:val="00DB3DD3"/>
    <w:rsid w:val="00DB5F24"/>
    <w:rsid w:val="00DC09C8"/>
    <w:rsid w:val="00DD163A"/>
    <w:rsid w:val="00DD3DA9"/>
    <w:rsid w:val="00DD541C"/>
    <w:rsid w:val="00DD6B62"/>
    <w:rsid w:val="00E04AA0"/>
    <w:rsid w:val="00E050CA"/>
    <w:rsid w:val="00E059BA"/>
    <w:rsid w:val="00E071A1"/>
    <w:rsid w:val="00E13031"/>
    <w:rsid w:val="00E14C56"/>
    <w:rsid w:val="00E24411"/>
    <w:rsid w:val="00E25D19"/>
    <w:rsid w:val="00E25E73"/>
    <w:rsid w:val="00E43F22"/>
    <w:rsid w:val="00E50E4D"/>
    <w:rsid w:val="00E54935"/>
    <w:rsid w:val="00E56F5C"/>
    <w:rsid w:val="00E621D9"/>
    <w:rsid w:val="00E66314"/>
    <w:rsid w:val="00E714CD"/>
    <w:rsid w:val="00E71CBC"/>
    <w:rsid w:val="00E7519B"/>
    <w:rsid w:val="00E77F7E"/>
    <w:rsid w:val="00EA52C9"/>
    <w:rsid w:val="00EB0BDD"/>
    <w:rsid w:val="00EB1FCE"/>
    <w:rsid w:val="00EC6D7C"/>
    <w:rsid w:val="00EE21C7"/>
    <w:rsid w:val="00EE22E5"/>
    <w:rsid w:val="00EE47C9"/>
    <w:rsid w:val="00EE5C7F"/>
    <w:rsid w:val="00EF5C09"/>
    <w:rsid w:val="00EF76F4"/>
    <w:rsid w:val="00F118D0"/>
    <w:rsid w:val="00F11A3B"/>
    <w:rsid w:val="00F3681C"/>
    <w:rsid w:val="00F42A88"/>
    <w:rsid w:val="00F458A5"/>
    <w:rsid w:val="00F63DE7"/>
    <w:rsid w:val="00F94BC4"/>
    <w:rsid w:val="00FA61A9"/>
    <w:rsid w:val="00FB10DC"/>
    <w:rsid w:val="00FB2366"/>
    <w:rsid w:val="00FC1EE4"/>
    <w:rsid w:val="00FE2F90"/>
    <w:rsid w:val="00FE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7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nhideWhenUsed/>
    <w:qFormat/>
    <w:rsid w:val="00C1515A"/>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C1515A"/>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nhideWhenUsed/>
    <w:qFormat/>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styleId="Strong">
    <w:name w:val="Strong"/>
    <w:basedOn w:val="DefaultParagraphFont"/>
    <w:uiPriority w:val="22"/>
    <w:qFormat/>
    <w:rsid w:val="00A65CFA"/>
    <w:rPr>
      <w:b/>
      <w:bCs/>
    </w:rPr>
  </w:style>
  <w:style w:type="character" w:customStyle="1" w:styleId="Heading1Char">
    <w:name w:val="Heading 1 Char"/>
    <w:basedOn w:val="DefaultParagraphFont"/>
    <w:link w:val="Heading1"/>
    <w:uiPriority w:val="9"/>
    <w:rsid w:val="00F3681C"/>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BC75DB"/>
  </w:style>
  <w:style w:type="paragraph" w:styleId="TOC1">
    <w:name w:val="toc 1"/>
    <w:basedOn w:val="Normal"/>
    <w:next w:val="Normal"/>
    <w:autoRedefine/>
    <w:uiPriority w:val="39"/>
    <w:unhideWhenUsed/>
    <w:rsid w:val="006B7B2A"/>
    <w:pPr>
      <w:spacing w:after="100"/>
    </w:pPr>
  </w:style>
  <w:style w:type="paragraph" w:styleId="BalloonText">
    <w:name w:val="Balloon Text"/>
    <w:basedOn w:val="Normal"/>
    <w:link w:val="BalloonTextChar"/>
    <w:uiPriority w:val="99"/>
    <w:semiHidden/>
    <w:unhideWhenUsed/>
    <w:rsid w:val="0025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AD"/>
    <w:rPr>
      <w:rFonts w:ascii="Tahoma" w:hAnsi="Tahoma" w:cs="Tahoma"/>
      <w:sz w:val="16"/>
      <w:szCs w:val="16"/>
    </w:rPr>
  </w:style>
  <w:style w:type="character" w:styleId="CommentReference">
    <w:name w:val="annotation reference"/>
    <w:basedOn w:val="DefaultParagraphFont"/>
    <w:uiPriority w:val="99"/>
    <w:semiHidden/>
    <w:unhideWhenUsed/>
    <w:rsid w:val="002515AD"/>
    <w:rPr>
      <w:sz w:val="16"/>
      <w:szCs w:val="16"/>
    </w:rPr>
  </w:style>
  <w:style w:type="paragraph" w:styleId="CommentText">
    <w:name w:val="annotation text"/>
    <w:basedOn w:val="Normal"/>
    <w:link w:val="CommentTextChar"/>
    <w:uiPriority w:val="99"/>
    <w:unhideWhenUsed/>
    <w:rsid w:val="002515AD"/>
    <w:pPr>
      <w:spacing w:line="240" w:lineRule="auto"/>
    </w:pPr>
    <w:rPr>
      <w:sz w:val="20"/>
      <w:szCs w:val="20"/>
    </w:rPr>
  </w:style>
  <w:style w:type="character" w:customStyle="1" w:styleId="CommentTextChar">
    <w:name w:val="Comment Text Char"/>
    <w:basedOn w:val="DefaultParagraphFont"/>
    <w:link w:val="CommentText"/>
    <w:uiPriority w:val="99"/>
    <w:rsid w:val="002515AD"/>
    <w:rPr>
      <w:sz w:val="20"/>
      <w:szCs w:val="20"/>
    </w:rPr>
  </w:style>
  <w:style w:type="paragraph" w:styleId="CommentSubject">
    <w:name w:val="annotation subject"/>
    <w:basedOn w:val="CommentText"/>
    <w:next w:val="CommentText"/>
    <w:link w:val="CommentSubjectChar"/>
    <w:uiPriority w:val="99"/>
    <w:semiHidden/>
    <w:unhideWhenUsed/>
    <w:rsid w:val="002515AD"/>
    <w:rPr>
      <w:b/>
      <w:bCs/>
    </w:rPr>
  </w:style>
  <w:style w:type="character" w:customStyle="1" w:styleId="CommentSubjectChar">
    <w:name w:val="Comment Subject Char"/>
    <w:basedOn w:val="CommentTextChar"/>
    <w:link w:val="CommentSubject"/>
    <w:uiPriority w:val="99"/>
    <w:semiHidden/>
    <w:rsid w:val="002515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nhideWhenUsed/>
    <w:qFormat/>
    <w:rsid w:val="00C1515A"/>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C1515A"/>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nhideWhenUsed/>
    <w:qFormat/>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styleId="Strong">
    <w:name w:val="Strong"/>
    <w:basedOn w:val="DefaultParagraphFont"/>
    <w:uiPriority w:val="22"/>
    <w:qFormat/>
    <w:rsid w:val="00A65CFA"/>
    <w:rPr>
      <w:b/>
      <w:bCs/>
    </w:rPr>
  </w:style>
  <w:style w:type="character" w:customStyle="1" w:styleId="Heading1Char">
    <w:name w:val="Heading 1 Char"/>
    <w:basedOn w:val="DefaultParagraphFont"/>
    <w:link w:val="Heading1"/>
    <w:uiPriority w:val="9"/>
    <w:rsid w:val="00F3681C"/>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BC75DB"/>
  </w:style>
  <w:style w:type="paragraph" w:styleId="TOC1">
    <w:name w:val="toc 1"/>
    <w:basedOn w:val="Normal"/>
    <w:next w:val="Normal"/>
    <w:autoRedefine/>
    <w:uiPriority w:val="39"/>
    <w:unhideWhenUsed/>
    <w:rsid w:val="006B7B2A"/>
    <w:pPr>
      <w:spacing w:after="100"/>
    </w:pPr>
  </w:style>
  <w:style w:type="paragraph" w:styleId="BalloonText">
    <w:name w:val="Balloon Text"/>
    <w:basedOn w:val="Normal"/>
    <w:link w:val="BalloonTextChar"/>
    <w:uiPriority w:val="99"/>
    <w:semiHidden/>
    <w:unhideWhenUsed/>
    <w:rsid w:val="00251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AD"/>
    <w:rPr>
      <w:rFonts w:ascii="Tahoma" w:hAnsi="Tahoma" w:cs="Tahoma"/>
      <w:sz w:val="16"/>
      <w:szCs w:val="16"/>
    </w:rPr>
  </w:style>
  <w:style w:type="character" w:styleId="CommentReference">
    <w:name w:val="annotation reference"/>
    <w:basedOn w:val="DefaultParagraphFont"/>
    <w:uiPriority w:val="99"/>
    <w:semiHidden/>
    <w:unhideWhenUsed/>
    <w:rsid w:val="002515AD"/>
    <w:rPr>
      <w:sz w:val="16"/>
      <w:szCs w:val="16"/>
    </w:rPr>
  </w:style>
  <w:style w:type="paragraph" w:styleId="CommentText">
    <w:name w:val="annotation text"/>
    <w:basedOn w:val="Normal"/>
    <w:link w:val="CommentTextChar"/>
    <w:uiPriority w:val="99"/>
    <w:unhideWhenUsed/>
    <w:rsid w:val="002515AD"/>
    <w:pPr>
      <w:spacing w:line="240" w:lineRule="auto"/>
    </w:pPr>
    <w:rPr>
      <w:sz w:val="20"/>
      <w:szCs w:val="20"/>
    </w:rPr>
  </w:style>
  <w:style w:type="character" w:customStyle="1" w:styleId="CommentTextChar">
    <w:name w:val="Comment Text Char"/>
    <w:basedOn w:val="DefaultParagraphFont"/>
    <w:link w:val="CommentText"/>
    <w:uiPriority w:val="99"/>
    <w:rsid w:val="002515AD"/>
    <w:rPr>
      <w:sz w:val="20"/>
      <w:szCs w:val="20"/>
    </w:rPr>
  </w:style>
  <w:style w:type="paragraph" w:styleId="CommentSubject">
    <w:name w:val="annotation subject"/>
    <w:basedOn w:val="CommentText"/>
    <w:next w:val="CommentText"/>
    <w:link w:val="CommentSubjectChar"/>
    <w:uiPriority w:val="99"/>
    <w:semiHidden/>
    <w:unhideWhenUsed/>
    <w:rsid w:val="002515AD"/>
    <w:rPr>
      <w:b/>
      <w:bCs/>
    </w:rPr>
  </w:style>
  <w:style w:type="character" w:customStyle="1" w:styleId="CommentSubjectChar">
    <w:name w:val="Comment Subject Char"/>
    <w:basedOn w:val="CommentTextChar"/>
    <w:link w:val="CommentSubject"/>
    <w:uiPriority w:val="99"/>
    <w:semiHidden/>
    <w:rsid w:val="00251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50863">
      <w:bodyDiv w:val="1"/>
      <w:marLeft w:val="0"/>
      <w:marRight w:val="0"/>
      <w:marTop w:val="0"/>
      <w:marBottom w:val="0"/>
      <w:divBdr>
        <w:top w:val="none" w:sz="0" w:space="0" w:color="auto"/>
        <w:left w:val="none" w:sz="0" w:space="0" w:color="auto"/>
        <w:bottom w:val="none" w:sz="0" w:space="0" w:color="auto"/>
        <w:right w:val="none" w:sz="0" w:space="0" w:color="auto"/>
      </w:divBdr>
    </w:div>
    <w:div w:id="20593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supervisiones/I.V_14_11_17.pdf" TargetMode="External"/><Relationship Id="rId1" Type="http://schemas.openxmlformats.org/officeDocument/2006/relationships/hyperlink" Target="http://www.corteidh.or.cr/docs/casos/articulos/seriec_329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6636-29AB-4693-9DFF-CEA98D43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2018-12-20T21:21:00Z</cp:lastPrinted>
  <dcterms:created xsi:type="dcterms:W3CDTF">2018-12-21T01:19:00Z</dcterms:created>
  <dcterms:modified xsi:type="dcterms:W3CDTF">2018-12-21T01:19:00Z</dcterms:modified>
</cp:coreProperties>
</file>