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EFC7" w14:textId="77777777" w:rsidR="00706EA4" w:rsidRPr="00CA1286" w:rsidRDefault="00706EA4" w:rsidP="00CA1286">
      <w:pPr>
        <w:tabs>
          <w:tab w:val="left" w:pos="567"/>
        </w:tabs>
        <w:spacing w:before="120" w:after="120"/>
        <w:ind w:right="4"/>
        <w:jc w:val="center"/>
        <w:rPr>
          <w:rFonts w:ascii="Verdana" w:hAnsi="Verdana"/>
          <w:b/>
          <w:smallCaps/>
          <w:sz w:val="20"/>
          <w:lang w:val="es-CO"/>
        </w:rPr>
      </w:pPr>
      <w:bookmarkStart w:id="0" w:name="_GoBack"/>
      <w:bookmarkEnd w:id="0"/>
    </w:p>
    <w:p w14:paraId="6C6AB4E9" w14:textId="77777777" w:rsidR="00706EA4" w:rsidRPr="00CA1286" w:rsidRDefault="00706EA4" w:rsidP="00CA1286">
      <w:pPr>
        <w:tabs>
          <w:tab w:val="left" w:pos="567"/>
        </w:tabs>
        <w:spacing w:before="120" w:after="120"/>
        <w:ind w:right="4"/>
        <w:jc w:val="center"/>
        <w:rPr>
          <w:rFonts w:ascii="Verdana" w:hAnsi="Verdana"/>
          <w:b/>
          <w:smallCaps/>
          <w:sz w:val="20"/>
          <w:lang w:val="es-CO"/>
        </w:rPr>
      </w:pPr>
    </w:p>
    <w:p w14:paraId="54AB3D3D" w14:textId="77777777" w:rsidR="00706EA4" w:rsidRPr="00CA1286" w:rsidRDefault="00706EA4" w:rsidP="00CA1286">
      <w:pPr>
        <w:tabs>
          <w:tab w:val="left" w:pos="567"/>
        </w:tabs>
        <w:spacing w:before="120" w:after="120"/>
        <w:ind w:right="4"/>
        <w:jc w:val="center"/>
        <w:rPr>
          <w:rFonts w:ascii="Verdana" w:hAnsi="Verdana"/>
          <w:b/>
          <w:smallCaps/>
          <w:sz w:val="20"/>
          <w:lang w:val="es-CO"/>
        </w:rPr>
      </w:pPr>
    </w:p>
    <w:p w14:paraId="48592AE5" w14:textId="77777777" w:rsidR="00706EA4" w:rsidRPr="00CA1286" w:rsidRDefault="00706EA4" w:rsidP="00CA1286">
      <w:pPr>
        <w:tabs>
          <w:tab w:val="left" w:pos="567"/>
        </w:tabs>
        <w:spacing w:before="120" w:after="120"/>
        <w:ind w:right="4"/>
        <w:jc w:val="center"/>
        <w:rPr>
          <w:rFonts w:ascii="Verdana" w:hAnsi="Verdana"/>
          <w:b/>
          <w:smallCaps/>
          <w:sz w:val="20"/>
          <w:lang w:val="es-CO"/>
        </w:rPr>
      </w:pPr>
    </w:p>
    <w:p w14:paraId="1FCF75F3" w14:textId="77777777" w:rsidR="00706EA4" w:rsidRDefault="00706EA4" w:rsidP="00CA1286">
      <w:pPr>
        <w:tabs>
          <w:tab w:val="left" w:pos="567"/>
        </w:tabs>
        <w:spacing w:before="120" w:after="120"/>
        <w:ind w:right="4"/>
        <w:jc w:val="center"/>
        <w:rPr>
          <w:rFonts w:ascii="Verdana" w:hAnsi="Verdana"/>
          <w:b/>
          <w:smallCaps/>
          <w:sz w:val="20"/>
          <w:lang w:val="es-CO"/>
        </w:rPr>
      </w:pPr>
    </w:p>
    <w:p w14:paraId="29A66387" w14:textId="77777777" w:rsidR="00A1651A" w:rsidRDefault="00A1651A" w:rsidP="00CA1286">
      <w:pPr>
        <w:tabs>
          <w:tab w:val="left" w:pos="567"/>
        </w:tabs>
        <w:spacing w:before="120" w:after="120"/>
        <w:ind w:right="4"/>
        <w:jc w:val="center"/>
        <w:rPr>
          <w:rFonts w:ascii="Verdana" w:hAnsi="Verdana"/>
          <w:b/>
          <w:smallCaps/>
          <w:sz w:val="20"/>
          <w:lang w:val="es-CO"/>
        </w:rPr>
      </w:pPr>
    </w:p>
    <w:p w14:paraId="6F44F2EE" w14:textId="77777777" w:rsidR="00A1651A" w:rsidRPr="00CA1286" w:rsidRDefault="00A1651A" w:rsidP="00CA1286">
      <w:pPr>
        <w:tabs>
          <w:tab w:val="left" w:pos="567"/>
        </w:tabs>
        <w:spacing w:before="120" w:after="120"/>
        <w:ind w:right="4"/>
        <w:jc w:val="center"/>
        <w:rPr>
          <w:rFonts w:ascii="Verdana" w:hAnsi="Verdana"/>
          <w:b/>
          <w:smallCaps/>
          <w:sz w:val="20"/>
          <w:lang w:val="es-CO"/>
        </w:rPr>
      </w:pPr>
    </w:p>
    <w:p w14:paraId="74ECAE2F" w14:textId="77777777" w:rsidR="00706EA4" w:rsidRPr="00CA1286" w:rsidRDefault="00706EA4" w:rsidP="00CA1286">
      <w:pPr>
        <w:spacing w:before="120" w:after="120"/>
        <w:jc w:val="center"/>
        <w:rPr>
          <w:rFonts w:ascii="Verdana" w:hAnsi="Verdana"/>
          <w:b/>
          <w:sz w:val="20"/>
          <w:lang w:val="es-CO"/>
        </w:rPr>
      </w:pPr>
      <w:r w:rsidRPr="00CA1286">
        <w:rPr>
          <w:rFonts w:ascii="Verdana" w:hAnsi="Verdana"/>
          <w:b/>
          <w:sz w:val="20"/>
          <w:lang w:val="es-CO"/>
        </w:rPr>
        <w:t>RESOLUCIÓN DE LA</w:t>
      </w:r>
    </w:p>
    <w:p w14:paraId="36E34925" w14:textId="77777777" w:rsidR="00706EA4" w:rsidRPr="00CA1286" w:rsidRDefault="00706EA4" w:rsidP="00CA1286">
      <w:pPr>
        <w:spacing w:before="120" w:after="120"/>
        <w:jc w:val="center"/>
        <w:rPr>
          <w:rFonts w:ascii="Verdana" w:hAnsi="Verdana"/>
          <w:b/>
          <w:smallCaps/>
          <w:sz w:val="20"/>
          <w:lang w:val="es-CO"/>
        </w:rPr>
      </w:pPr>
      <w:r w:rsidRPr="00CA1286">
        <w:rPr>
          <w:rFonts w:ascii="Verdana" w:hAnsi="Verdana"/>
          <w:b/>
          <w:sz w:val="20"/>
          <w:lang w:val="es-CO"/>
        </w:rPr>
        <w:t>CORTE INTERAMERICANA DE DERECHOS HUMANOS</w:t>
      </w:r>
      <w:r w:rsidRPr="00CA1286">
        <w:rPr>
          <w:rStyle w:val="Refdenotaalpie"/>
          <w:rFonts w:ascii="Verdana" w:hAnsi="Verdana"/>
          <w:b/>
          <w:smallCaps/>
          <w:sz w:val="20"/>
          <w:lang w:val="es-CO"/>
        </w:rPr>
        <w:t xml:space="preserve"> </w:t>
      </w:r>
    </w:p>
    <w:p w14:paraId="4879E4E3" w14:textId="77777777" w:rsidR="00706EA4" w:rsidRPr="00CA1286" w:rsidRDefault="00706EA4" w:rsidP="00CA1286">
      <w:pPr>
        <w:tabs>
          <w:tab w:val="left" w:pos="567"/>
        </w:tabs>
        <w:spacing w:before="120" w:after="120"/>
        <w:ind w:right="4"/>
        <w:rPr>
          <w:rFonts w:ascii="Verdana" w:hAnsi="Verdana"/>
          <w:b/>
          <w:smallCaps/>
          <w:sz w:val="20"/>
          <w:lang w:val="es-CO"/>
        </w:rPr>
      </w:pPr>
    </w:p>
    <w:p w14:paraId="074EA725" w14:textId="6A8AECEF" w:rsidR="00706EA4" w:rsidRPr="00CA1286" w:rsidRDefault="00E46011" w:rsidP="00CA1286">
      <w:pPr>
        <w:tabs>
          <w:tab w:val="left" w:pos="567"/>
        </w:tabs>
        <w:spacing w:before="120" w:after="120"/>
        <w:ind w:right="4"/>
        <w:jc w:val="center"/>
        <w:rPr>
          <w:rFonts w:ascii="Verdana" w:hAnsi="Verdana"/>
          <w:b/>
          <w:smallCaps/>
          <w:sz w:val="20"/>
          <w:lang w:val="es-CO"/>
        </w:rPr>
      </w:pPr>
      <w:r>
        <w:rPr>
          <w:rFonts w:ascii="Verdana" w:hAnsi="Verdana"/>
          <w:b/>
          <w:smallCaps/>
          <w:sz w:val="20"/>
          <w:lang w:val="es-CO"/>
        </w:rPr>
        <w:t>DE 7</w:t>
      </w:r>
      <w:r w:rsidR="00706EA4" w:rsidRPr="00A53F57">
        <w:rPr>
          <w:rFonts w:ascii="Verdana" w:hAnsi="Verdana"/>
          <w:b/>
          <w:smallCaps/>
          <w:sz w:val="20"/>
          <w:lang w:val="es-CO"/>
        </w:rPr>
        <w:t xml:space="preserve"> DE </w:t>
      </w:r>
      <w:r w:rsidR="00697D77" w:rsidRPr="00A53F57">
        <w:rPr>
          <w:rFonts w:ascii="Verdana" w:hAnsi="Verdana"/>
          <w:b/>
          <w:smallCaps/>
          <w:sz w:val="20"/>
          <w:lang w:val="es-CO"/>
        </w:rPr>
        <w:t>OCTUBRE</w:t>
      </w:r>
      <w:r w:rsidR="00706EA4" w:rsidRPr="00A53F57">
        <w:rPr>
          <w:rFonts w:ascii="Verdana" w:hAnsi="Verdana"/>
          <w:b/>
          <w:smallCaps/>
          <w:sz w:val="20"/>
          <w:lang w:val="es-CO"/>
        </w:rPr>
        <w:t xml:space="preserve"> DE 2019</w:t>
      </w:r>
    </w:p>
    <w:p w14:paraId="6F6EDF46" w14:textId="77777777" w:rsidR="00706EA4" w:rsidRPr="00CA1286" w:rsidRDefault="00706EA4" w:rsidP="00CA1286">
      <w:pPr>
        <w:tabs>
          <w:tab w:val="left" w:pos="567"/>
        </w:tabs>
        <w:spacing w:before="120" w:after="120"/>
        <w:ind w:right="4"/>
        <w:rPr>
          <w:rFonts w:ascii="Verdana" w:hAnsi="Verdana"/>
          <w:b/>
          <w:smallCaps/>
          <w:sz w:val="20"/>
          <w:lang w:val="es-CO"/>
        </w:rPr>
      </w:pPr>
    </w:p>
    <w:p w14:paraId="0B788069" w14:textId="77777777" w:rsidR="00706EA4" w:rsidRPr="007B79F5" w:rsidRDefault="00697D77" w:rsidP="00CA1286">
      <w:pPr>
        <w:tabs>
          <w:tab w:val="left" w:pos="567"/>
        </w:tabs>
        <w:spacing w:before="120" w:after="120"/>
        <w:ind w:right="4"/>
        <w:jc w:val="center"/>
        <w:rPr>
          <w:rFonts w:ascii="Verdana" w:hAnsi="Verdana"/>
          <w:b/>
          <w:i/>
          <w:caps/>
          <w:sz w:val="20"/>
          <w:lang w:val="es-CO"/>
        </w:rPr>
      </w:pPr>
      <w:r w:rsidRPr="007B79F5">
        <w:rPr>
          <w:rFonts w:ascii="Verdana" w:hAnsi="Verdana"/>
          <w:b/>
          <w:i/>
          <w:smallCaps/>
          <w:sz w:val="20"/>
          <w:lang w:val="es-CO"/>
        </w:rPr>
        <w:t>CASO KAWAS FERNÁNDEZ VS. HONDURAS</w:t>
      </w:r>
    </w:p>
    <w:p w14:paraId="28E2F8EA" w14:textId="77777777" w:rsidR="00706EA4" w:rsidRPr="00CA1286" w:rsidRDefault="00706EA4" w:rsidP="00CA1286">
      <w:pPr>
        <w:tabs>
          <w:tab w:val="left" w:pos="567"/>
        </w:tabs>
        <w:spacing w:before="120" w:after="120"/>
        <w:ind w:right="4"/>
        <w:jc w:val="center"/>
        <w:rPr>
          <w:rFonts w:ascii="Verdana" w:hAnsi="Verdana"/>
          <w:b/>
          <w:smallCaps/>
          <w:sz w:val="20"/>
          <w:lang w:val="es-CO"/>
        </w:rPr>
      </w:pPr>
    </w:p>
    <w:p w14:paraId="2673E866" w14:textId="77777777" w:rsidR="00413BCF" w:rsidRPr="00CA1286" w:rsidRDefault="00042791" w:rsidP="00CA1286">
      <w:pPr>
        <w:tabs>
          <w:tab w:val="left" w:pos="567"/>
        </w:tabs>
        <w:spacing w:before="120" w:after="120"/>
        <w:ind w:right="4"/>
        <w:jc w:val="center"/>
        <w:rPr>
          <w:rFonts w:ascii="Verdana" w:hAnsi="Verdana"/>
          <w:b/>
          <w:bCs/>
          <w:sz w:val="20"/>
          <w:lang w:val="es-CO"/>
        </w:rPr>
      </w:pPr>
      <w:r w:rsidRPr="00CA1286">
        <w:rPr>
          <w:rFonts w:ascii="Verdana" w:hAnsi="Verdana"/>
          <w:b/>
          <w:bCs/>
          <w:sz w:val="20"/>
          <w:lang w:val="es-CO"/>
        </w:rPr>
        <w:t xml:space="preserve">SUPERVISIÓN DE CUMPLIMIENTO DE SENTENCIA </w:t>
      </w:r>
    </w:p>
    <w:p w14:paraId="47A75E28" w14:textId="77777777" w:rsidR="00042791" w:rsidRDefault="00042791" w:rsidP="00CA1286">
      <w:pPr>
        <w:tabs>
          <w:tab w:val="left" w:pos="567"/>
        </w:tabs>
        <w:spacing w:before="120" w:after="120"/>
        <w:ind w:right="4"/>
        <w:jc w:val="center"/>
        <w:rPr>
          <w:rFonts w:ascii="Verdana" w:hAnsi="Verdana"/>
          <w:b/>
          <w:bCs/>
          <w:sz w:val="20"/>
          <w:lang w:val="es-CO"/>
        </w:rPr>
      </w:pPr>
    </w:p>
    <w:p w14:paraId="432879D7" w14:textId="77777777" w:rsidR="00A1651A" w:rsidRDefault="00A1651A" w:rsidP="00CA1286">
      <w:pPr>
        <w:tabs>
          <w:tab w:val="left" w:pos="567"/>
        </w:tabs>
        <w:spacing w:before="120" w:after="120"/>
        <w:ind w:right="4"/>
        <w:jc w:val="center"/>
        <w:rPr>
          <w:rFonts w:ascii="Verdana" w:hAnsi="Verdana"/>
          <w:b/>
          <w:bCs/>
          <w:sz w:val="20"/>
          <w:lang w:val="es-CO"/>
        </w:rPr>
      </w:pPr>
    </w:p>
    <w:p w14:paraId="02D6FDCF" w14:textId="77777777" w:rsidR="00A1651A" w:rsidRPr="00CA1286" w:rsidRDefault="00A1651A" w:rsidP="00CA1286">
      <w:pPr>
        <w:tabs>
          <w:tab w:val="left" w:pos="567"/>
        </w:tabs>
        <w:spacing w:before="120" w:after="120"/>
        <w:ind w:right="4"/>
        <w:jc w:val="center"/>
        <w:rPr>
          <w:rFonts w:ascii="Verdana" w:hAnsi="Verdana"/>
          <w:b/>
          <w:bCs/>
          <w:sz w:val="20"/>
          <w:lang w:val="es-CO"/>
        </w:rPr>
      </w:pPr>
    </w:p>
    <w:p w14:paraId="7AD3FAD8" w14:textId="77777777" w:rsidR="00706EA4" w:rsidRPr="00CA1286" w:rsidRDefault="00706EA4" w:rsidP="00CA1286">
      <w:pPr>
        <w:tabs>
          <w:tab w:val="left" w:pos="567"/>
        </w:tabs>
        <w:spacing w:before="120" w:after="120"/>
        <w:ind w:right="4"/>
        <w:jc w:val="both"/>
        <w:rPr>
          <w:rFonts w:ascii="Verdana" w:hAnsi="Verdana"/>
          <w:b/>
          <w:smallCaps/>
          <w:sz w:val="20"/>
          <w:lang w:val="es-CO"/>
        </w:rPr>
      </w:pPr>
      <w:r w:rsidRPr="00CA1286">
        <w:rPr>
          <w:rFonts w:ascii="Verdana" w:hAnsi="Verdana"/>
          <w:b/>
          <w:smallCaps/>
          <w:sz w:val="20"/>
          <w:lang w:val="es-CO"/>
        </w:rPr>
        <w:t xml:space="preserve">VISTO: </w:t>
      </w:r>
    </w:p>
    <w:p w14:paraId="314B3A43" w14:textId="0FAFCF32" w:rsidR="00571F55" w:rsidRDefault="00413BCF" w:rsidP="007B79F5">
      <w:pPr>
        <w:numPr>
          <w:ilvl w:val="0"/>
          <w:numId w:val="6"/>
        </w:numPr>
        <w:spacing w:before="120" w:after="120"/>
        <w:ind w:left="0" w:firstLine="0"/>
        <w:jc w:val="both"/>
        <w:rPr>
          <w:rFonts w:ascii="Verdana" w:eastAsia="Calibri" w:hAnsi="Verdana"/>
          <w:sz w:val="20"/>
          <w:lang w:val="es-CR" w:eastAsia="es-CR"/>
        </w:rPr>
      </w:pPr>
      <w:r w:rsidRPr="00CA1286">
        <w:rPr>
          <w:rFonts w:ascii="Verdana" w:hAnsi="Verdana"/>
          <w:sz w:val="20"/>
        </w:rPr>
        <w:t xml:space="preserve">La Sentencia emitida por la Corte Interamericana de Derechos Humanos (en adelante “la Corte </w:t>
      </w:r>
      <w:r w:rsidRPr="007B79F5">
        <w:rPr>
          <w:rFonts w:ascii="Verdana" w:hAnsi="Verdana"/>
          <w:sz w:val="20"/>
          <w:lang w:val="es-CR"/>
        </w:rPr>
        <w:t>Interamericana</w:t>
      </w:r>
      <w:r w:rsidRPr="00CA1286">
        <w:rPr>
          <w:rFonts w:ascii="Verdana" w:hAnsi="Verdana"/>
          <w:sz w:val="20"/>
        </w:rPr>
        <w:t xml:space="preserve">”, “la Corte” o “el Tribunal”) el 3 de abril de </w:t>
      </w:r>
      <w:r w:rsidR="00571F55" w:rsidRPr="00CA1286">
        <w:rPr>
          <w:rFonts w:ascii="Verdana" w:hAnsi="Verdana"/>
          <w:sz w:val="20"/>
        </w:rPr>
        <w:t xml:space="preserve">2009 en el caso </w:t>
      </w:r>
      <w:proofErr w:type="spellStart"/>
      <w:r w:rsidR="00571F55" w:rsidRPr="00CA1286">
        <w:rPr>
          <w:rFonts w:ascii="Verdana" w:hAnsi="Verdana"/>
          <w:sz w:val="20"/>
        </w:rPr>
        <w:t>Kawas</w:t>
      </w:r>
      <w:proofErr w:type="spellEnd"/>
      <w:r w:rsidR="00571F55" w:rsidRPr="00CA1286">
        <w:rPr>
          <w:rFonts w:ascii="Verdana" w:hAnsi="Verdana"/>
          <w:sz w:val="20"/>
        </w:rPr>
        <w:t xml:space="preserve"> Fernández</w:t>
      </w:r>
      <w:r w:rsidR="00571F55" w:rsidRPr="00CA1286">
        <w:rPr>
          <w:rStyle w:val="Refdenotaalpie"/>
          <w:rFonts w:ascii="Verdana" w:hAnsi="Verdana"/>
          <w:sz w:val="20"/>
        </w:rPr>
        <w:footnoteReference w:id="1"/>
      </w:r>
      <w:r w:rsidRPr="00CA1286">
        <w:rPr>
          <w:rFonts w:ascii="Verdana" w:hAnsi="Verdana"/>
          <w:sz w:val="20"/>
        </w:rPr>
        <w:t>, contra la República de Honduras (en adelante “el Estado” u “Honduras”). En la referida Sentencia la Corte determinó, entre otra</w:t>
      </w:r>
      <w:r w:rsidR="00571F55" w:rsidRPr="00CA1286">
        <w:rPr>
          <w:rFonts w:ascii="Verdana" w:hAnsi="Verdana"/>
          <w:sz w:val="20"/>
        </w:rPr>
        <w:t>s</w:t>
      </w:r>
      <w:r w:rsidRPr="00CA1286">
        <w:rPr>
          <w:rFonts w:ascii="Verdana" w:hAnsi="Verdana"/>
          <w:sz w:val="20"/>
        </w:rPr>
        <w:t xml:space="preserve"> violaciones, que el Estado era responsable de la violación al derecho a la vida en perjuicio de Blanca Jeannette </w:t>
      </w:r>
      <w:proofErr w:type="spellStart"/>
      <w:r w:rsidRPr="00CA1286">
        <w:rPr>
          <w:rFonts w:ascii="Verdana" w:hAnsi="Verdana"/>
          <w:sz w:val="20"/>
        </w:rPr>
        <w:t>Kawas</w:t>
      </w:r>
      <w:proofErr w:type="spellEnd"/>
      <w:r w:rsidRPr="00CA1286">
        <w:rPr>
          <w:rFonts w:ascii="Verdana" w:hAnsi="Verdana"/>
          <w:sz w:val="20"/>
        </w:rPr>
        <w:t xml:space="preserve"> Fernández</w:t>
      </w:r>
      <w:r w:rsidR="00571F55" w:rsidRPr="00CA1286">
        <w:rPr>
          <w:rFonts w:ascii="Verdana" w:hAnsi="Verdana"/>
          <w:sz w:val="20"/>
        </w:rPr>
        <w:t xml:space="preserve">, quien </w:t>
      </w:r>
      <w:r w:rsidR="00C03897">
        <w:rPr>
          <w:rFonts w:ascii="Verdana" w:hAnsi="Verdana"/>
          <w:sz w:val="20"/>
        </w:rPr>
        <w:t xml:space="preserve">antes de su muerte en 1995 </w:t>
      </w:r>
      <w:r w:rsidR="00571F55" w:rsidRPr="00CA1286">
        <w:rPr>
          <w:rFonts w:ascii="Verdana" w:hAnsi="Verdana"/>
          <w:sz w:val="20"/>
        </w:rPr>
        <w:t xml:space="preserve">era </w:t>
      </w:r>
      <w:r w:rsidRPr="00CA1286">
        <w:rPr>
          <w:rFonts w:ascii="Verdana" w:hAnsi="Verdana"/>
          <w:sz w:val="20"/>
        </w:rPr>
        <w:t xml:space="preserve">defensora de derechos humanos y del medio ambiente. </w:t>
      </w:r>
      <w:r w:rsidR="00571F55" w:rsidRPr="00CA1286">
        <w:rPr>
          <w:rFonts w:ascii="Verdana" w:hAnsi="Verdana"/>
          <w:sz w:val="20"/>
        </w:rPr>
        <w:t>E</w:t>
      </w:r>
      <w:r w:rsidRPr="00CA1286">
        <w:rPr>
          <w:rFonts w:ascii="Verdana" w:hAnsi="Verdana"/>
          <w:sz w:val="20"/>
        </w:rPr>
        <w:t xml:space="preserve">l Tribunal determinó que además se violó </w:t>
      </w:r>
      <w:r w:rsidR="009B6398">
        <w:rPr>
          <w:rFonts w:ascii="Verdana" w:hAnsi="Verdana"/>
          <w:sz w:val="20"/>
        </w:rPr>
        <w:t>el</w:t>
      </w:r>
      <w:r w:rsidRPr="00CA1286">
        <w:rPr>
          <w:rFonts w:ascii="Verdana" w:hAnsi="Verdana"/>
          <w:sz w:val="20"/>
        </w:rPr>
        <w:t xml:space="preserve"> derecho a asociarse libremente debido a que </w:t>
      </w:r>
      <w:r w:rsidR="009B6398">
        <w:rPr>
          <w:rFonts w:ascii="Verdana" w:hAnsi="Verdana"/>
          <w:sz w:val="20"/>
        </w:rPr>
        <w:t xml:space="preserve">dicha </w:t>
      </w:r>
      <w:r w:rsidRPr="00CA1286">
        <w:rPr>
          <w:rFonts w:ascii="Verdana" w:hAnsi="Verdana"/>
          <w:sz w:val="20"/>
        </w:rPr>
        <w:t xml:space="preserve">privación a </w:t>
      </w:r>
      <w:r w:rsidR="009B6398">
        <w:rPr>
          <w:rFonts w:ascii="Verdana" w:hAnsi="Verdana"/>
          <w:sz w:val="20"/>
        </w:rPr>
        <w:t>la</w:t>
      </w:r>
      <w:r w:rsidRPr="00CA1286">
        <w:rPr>
          <w:rFonts w:ascii="Verdana" w:hAnsi="Verdana"/>
          <w:sz w:val="20"/>
        </w:rPr>
        <w:t xml:space="preserve"> vida estuvo motivada en el trabajo que realizaba en defensa del medio ambiente a través de la fundación PROLANSATE, en particular el trabajo de denuncia y oposición frente a la explotación de los recursos naturales de ciertas áreas protegidas en el municipio de Tela. Adicionalmente, tomando en cuenta el reconocimiento parcial de responsabilidad efectuado por Honduras, la Corte declaró que </w:t>
      </w:r>
      <w:r w:rsidR="00C03897">
        <w:rPr>
          <w:rFonts w:ascii="Verdana" w:hAnsi="Verdana"/>
          <w:sz w:val="20"/>
        </w:rPr>
        <w:t>el Estado</w:t>
      </w:r>
      <w:r w:rsidRPr="00CA1286">
        <w:rPr>
          <w:rFonts w:ascii="Verdana" w:hAnsi="Verdana"/>
          <w:sz w:val="20"/>
        </w:rPr>
        <w:t xml:space="preserve"> era responsable por no haber emprendido una investigación seria, completa y efectiva de la muerte de la señora </w:t>
      </w:r>
      <w:proofErr w:type="spellStart"/>
      <w:r w:rsidRPr="00CA1286">
        <w:rPr>
          <w:rFonts w:ascii="Verdana" w:hAnsi="Verdana"/>
          <w:sz w:val="20"/>
        </w:rPr>
        <w:t>Kawas</w:t>
      </w:r>
      <w:proofErr w:type="spellEnd"/>
      <w:r w:rsidRPr="00CA1286">
        <w:rPr>
          <w:rFonts w:ascii="Verdana" w:hAnsi="Verdana"/>
          <w:sz w:val="20"/>
        </w:rPr>
        <w:t xml:space="preserve"> Fernández, lo cual configuró una violación de los derechos a la protección judicial y a las garantías judiciales en perjuicio de </w:t>
      </w:r>
      <w:r w:rsidR="00C03897">
        <w:rPr>
          <w:rFonts w:ascii="Verdana" w:hAnsi="Verdana"/>
          <w:sz w:val="20"/>
        </w:rPr>
        <w:t>sus</w:t>
      </w:r>
      <w:r w:rsidRPr="00CA1286">
        <w:rPr>
          <w:rFonts w:ascii="Verdana" w:hAnsi="Verdana"/>
          <w:sz w:val="20"/>
        </w:rPr>
        <w:t xml:space="preserve"> familiares</w:t>
      </w:r>
      <w:r w:rsidR="009B6398">
        <w:rPr>
          <w:rStyle w:val="Refdenotaalpie"/>
          <w:rFonts w:ascii="Verdana" w:eastAsia="Calibri" w:hAnsi="Verdana"/>
          <w:sz w:val="20"/>
          <w:lang w:val="es-CR" w:eastAsia="es-CR"/>
        </w:rPr>
        <w:footnoteReference w:id="2"/>
      </w:r>
      <w:r w:rsidR="00104725" w:rsidRPr="00CA1286">
        <w:rPr>
          <w:rFonts w:ascii="Verdana" w:eastAsia="Calibri" w:hAnsi="Verdana"/>
          <w:sz w:val="20"/>
          <w:lang w:val="es-CR" w:eastAsia="es-CR"/>
        </w:rPr>
        <w:t>.</w:t>
      </w:r>
    </w:p>
    <w:p w14:paraId="2E06F7AE" w14:textId="77777777" w:rsidR="00B01647" w:rsidRPr="00CA1286" w:rsidRDefault="00B01647" w:rsidP="007B79F5">
      <w:pPr>
        <w:numPr>
          <w:ilvl w:val="0"/>
          <w:numId w:val="6"/>
        </w:numPr>
        <w:spacing w:before="120" w:after="120"/>
        <w:ind w:left="0" w:firstLine="0"/>
        <w:jc w:val="both"/>
        <w:rPr>
          <w:rFonts w:ascii="Verdana" w:eastAsia="Calibri" w:hAnsi="Verdana"/>
          <w:sz w:val="20"/>
          <w:lang w:val="es-CR" w:eastAsia="es-CR"/>
        </w:rPr>
      </w:pPr>
      <w:bookmarkStart w:id="1" w:name="_Ref19206554"/>
      <w:r>
        <w:rPr>
          <w:rFonts w:ascii="Verdana" w:hAnsi="Verdana"/>
          <w:sz w:val="20"/>
          <w:lang w:val="es-AR"/>
        </w:rPr>
        <w:lastRenderedPageBreak/>
        <w:t>Las Resoluciones de supervisión de cumplimiento de sentencia emitidas por el Tribunal los días 27 de febrero</w:t>
      </w:r>
      <w:r>
        <w:rPr>
          <w:rStyle w:val="Refdenotaalpie"/>
          <w:rFonts w:ascii="Verdana" w:hAnsi="Verdana"/>
          <w:sz w:val="20"/>
          <w:lang w:val="es-AR"/>
        </w:rPr>
        <w:footnoteReference w:id="3"/>
      </w:r>
      <w:r>
        <w:rPr>
          <w:rFonts w:ascii="Verdana" w:hAnsi="Verdana"/>
          <w:sz w:val="20"/>
          <w:lang w:val="es-AR"/>
        </w:rPr>
        <w:t xml:space="preserve"> y 23 de octubre de 2012</w:t>
      </w:r>
      <w:r>
        <w:rPr>
          <w:rStyle w:val="Refdenotaalpie"/>
          <w:rFonts w:ascii="Verdana" w:hAnsi="Verdana"/>
          <w:sz w:val="20"/>
          <w:lang w:val="es-AR"/>
        </w:rPr>
        <w:footnoteReference w:id="4"/>
      </w:r>
      <w:r>
        <w:rPr>
          <w:rFonts w:ascii="Verdana" w:hAnsi="Verdana"/>
          <w:sz w:val="20"/>
          <w:lang w:val="es-AR"/>
        </w:rPr>
        <w:t>, y 30 de agosto de 2017</w:t>
      </w:r>
      <w:r>
        <w:rPr>
          <w:rStyle w:val="Refdenotaalpie"/>
          <w:rFonts w:ascii="Verdana" w:hAnsi="Verdana"/>
          <w:sz w:val="20"/>
          <w:lang w:val="es-AR"/>
        </w:rPr>
        <w:footnoteReference w:id="5"/>
      </w:r>
      <w:r>
        <w:rPr>
          <w:rFonts w:ascii="Verdana" w:hAnsi="Verdana"/>
          <w:sz w:val="20"/>
          <w:lang w:val="es-AR"/>
        </w:rPr>
        <w:t>.</w:t>
      </w:r>
      <w:bookmarkEnd w:id="1"/>
      <w:r>
        <w:rPr>
          <w:rFonts w:ascii="Verdana" w:hAnsi="Verdana"/>
          <w:sz w:val="20"/>
          <w:lang w:val="es-AR"/>
        </w:rPr>
        <w:t xml:space="preserve"> </w:t>
      </w:r>
    </w:p>
    <w:p w14:paraId="5C5891CB" w14:textId="784E554E" w:rsidR="00AA0024" w:rsidRPr="00CA1286" w:rsidRDefault="00706EA4" w:rsidP="007B79F5">
      <w:pPr>
        <w:numPr>
          <w:ilvl w:val="0"/>
          <w:numId w:val="6"/>
        </w:numPr>
        <w:spacing w:before="120" w:after="120"/>
        <w:ind w:left="0" w:firstLine="0"/>
        <w:jc w:val="both"/>
        <w:rPr>
          <w:rFonts w:ascii="Verdana" w:hAnsi="Verdana"/>
          <w:sz w:val="20"/>
          <w:lang w:val="es-CO"/>
        </w:rPr>
      </w:pPr>
      <w:r w:rsidRPr="00CA1286">
        <w:rPr>
          <w:rFonts w:ascii="Verdana" w:hAnsi="Verdana"/>
          <w:sz w:val="20"/>
          <w:lang w:val="es-CO"/>
        </w:rPr>
        <w:t xml:space="preserve">Los informes </w:t>
      </w:r>
      <w:r w:rsidRPr="007B79F5">
        <w:rPr>
          <w:rFonts w:ascii="Verdana" w:hAnsi="Verdana"/>
          <w:sz w:val="20"/>
        </w:rPr>
        <w:t>presentados</w:t>
      </w:r>
      <w:r w:rsidRPr="00CA1286">
        <w:rPr>
          <w:rFonts w:ascii="Verdana" w:hAnsi="Verdana"/>
          <w:sz w:val="20"/>
          <w:lang w:val="es-CO"/>
        </w:rPr>
        <w:t xml:space="preserve"> por el Estado entre</w:t>
      </w:r>
      <w:r w:rsidR="00AF4F7E">
        <w:rPr>
          <w:rFonts w:ascii="Verdana" w:hAnsi="Verdana"/>
          <w:sz w:val="20"/>
          <w:lang w:val="es-CO"/>
        </w:rPr>
        <w:t xml:space="preserve"> abril de 2012</w:t>
      </w:r>
      <w:r w:rsidR="00AA0024" w:rsidRPr="00CA1286">
        <w:rPr>
          <w:rFonts w:ascii="Verdana" w:hAnsi="Verdana"/>
          <w:sz w:val="20"/>
          <w:lang w:val="es-CO"/>
        </w:rPr>
        <w:t xml:space="preserve"> y junio de 2019</w:t>
      </w:r>
      <w:r w:rsidR="003C6504" w:rsidRPr="00CA1286">
        <w:rPr>
          <w:rFonts w:ascii="Verdana" w:hAnsi="Verdana"/>
          <w:sz w:val="20"/>
          <w:lang w:val="es-CO"/>
        </w:rPr>
        <w:t xml:space="preserve"> </w:t>
      </w:r>
      <w:r w:rsidRPr="00CA1286">
        <w:rPr>
          <w:rFonts w:ascii="Verdana" w:hAnsi="Verdana"/>
          <w:sz w:val="20"/>
          <w:lang w:val="es-CO"/>
        </w:rPr>
        <w:t xml:space="preserve">en respuesta a solicitudes </w:t>
      </w:r>
      <w:r w:rsidRPr="00CA1286">
        <w:rPr>
          <w:rFonts w:ascii="Verdana" w:eastAsia="Calibri" w:hAnsi="Verdana"/>
          <w:sz w:val="20"/>
          <w:lang w:val="es-CR"/>
        </w:rPr>
        <w:t>efectuadas</w:t>
      </w:r>
      <w:r w:rsidRPr="00CA1286">
        <w:rPr>
          <w:rFonts w:ascii="Verdana" w:hAnsi="Verdana"/>
          <w:sz w:val="20"/>
          <w:lang w:val="es-CO"/>
        </w:rPr>
        <w:t xml:space="preserve"> por la Corte o su </w:t>
      </w:r>
      <w:proofErr w:type="gramStart"/>
      <w:r w:rsidRPr="00CA1286">
        <w:rPr>
          <w:rFonts w:ascii="Verdana" w:hAnsi="Verdana"/>
          <w:sz w:val="20"/>
          <w:lang w:val="es-CO"/>
        </w:rPr>
        <w:t>Presidente</w:t>
      </w:r>
      <w:proofErr w:type="gramEnd"/>
      <w:r w:rsidRPr="00CA1286">
        <w:rPr>
          <w:rFonts w:ascii="Verdana" w:hAnsi="Verdana"/>
          <w:sz w:val="20"/>
          <w:lang w:val="es-CO"/>
        </w:rPr>
        <w:t xml:space="preserve"> mediante notas</w:t>
      </w:r>
      <w:r w:rsidR="00AF4F7E">
        <w:rPr>
          <w:rFonts w:ascii="Verdana" w:hAnsi="Verdana"/>
          <w:sz w:val="20"/>
          <w:lang w:val="es-CO"/>
        </w:rPr>
        <w:t xml:space="preserve"> de la Secretaría del Tribunal.</w:t>
      </w:r>
    </w:p>
    <w:p w14:paraId="4CDE12CE" w14:textId="1CFC50C6" w:rsidR="00AA0024" w:rsidRPr="00CA1286" w:rsidRDefault="007B27EC" w:rsidP="007B79F5">
      <w:pPr>
        <w:numPr>
          <w:ilvl w:val="0"/>
          <w:numId w:val="6"/>
        </w:numPr>
        <w:spacing w:before="120" w:after="120"/>
        <w:ind w:left="0" w:firstLine="0"/>
        <w:jc w:val="both"/>
        <w:rPr>
          <w:rFonts w:ascii="Verdana" w:hAnsi="Verdana"/>
          <w:color w:val="000000"/>
          <w:sz w:val="20"/>
          <w:shd w:val="clear" w:color="auto" w:fill="FFFFFF"/>
          <w:lang w:val="es-CO"/>
        </w:rPr>
      </w:pPr>
      <w:bookmarkStart w:id="2" w:name="_Ref19543698"/>
      <w:r>
        <w:rPr>
          <w:rFonts w:ascii="Verdana" w:hAnsi="Verdana"/>
          <w:color w:val="000000"/>
          <w:sz w:val="20"/>
          <w:shd w:val="clear" w:color="auto" w:fill="FFFFFF"/>
          <w:lang w:val="es-CO"/>
        </w:rPr>
        <w:t>Los</w:t>
      </w:r>
      <w:r w:rsidR="00706EA4" w:rsidRPr="00CA1286">
        <w:rPr>
          <w:rFonts w:ascii="Verdana" w:hAnsi="Verdana"/>
          <w:color w:val="000000"/>
          <w:sz w:val="20"/>
          <w:shd w:val="clear" w:color="auto" w:fill="FFFFFF"/>
          <w:lang w:val="es-CO"/>
        </w:rPr>
        <w:t xml:space="preserve"> </w:t>
      </w:r>
      <w:r w:rsidR="00706EA4" w:rsidRPr="007B79F5">
        <w:rPr>
          <w:rFonts w:ascii="Verdana" w:hAnsi="Verdana"/>
          <w:sz w:val="20"/>
          <w:lang w:val="es-CO"/>
        </w:rPr>
        <w:t>escrito</w:t>
      </w:r>
      <w:r>
        <w:rPr>
          <w:rFonts w:ascii="Verdana" w:hAnsi="Verdana"/>
          <w:sz w:val="20"/>
          <w:lang w:val="es-CO"/>
        </w:rPr>
        <w:t>s</w:t>
      </w:r>
      <w:r w:rsidR="00706EA4" w:rsidRPr="00CA1286">
        <w:rPr>
          <w:rFonts w:ascii="Verdana" w:hAnsi="Verdana"/>
          <w:color w:val="000000"/>
          <w:sz w:val="20"/>
          <w:shd w:val="clear" w:color="auto" w:fill="FFFFFF"/>
          <w:lang w:val="es-CO"/>
        </w:rPr>
        <w:t xml:space="preserve"> de observaciones </w:t>
      </w:r>
      <w:r w:rsidR="00706EA4" w:rsidRPr="00CA1286">
        <w:rPr>
          <w:rFonts w:ascii="Verdana" w:hAnsi="Verdana"/>
          <w:sz w:val="20"/>
          <w:lang w:val="es-CO"/>
        </w:rPr>
        <w:t>presentados</w:t>
      </w:r>
      <w:r w:rsidR="00706EA4" w:rsidRPr="00CA1286">
        <w:rPr>
          <w:rFonts w:ascii="Verdana" w:hAnsi="Verdana"/>
          <w:color w:val="000000"/>
          <w:sz w:val="20"/>
          <w:shd w:val="clear" w:color="auto" w:fill="FFFFFF"/>
          <w:lang w:val="es-CO"/>
        </w:rPr>
        <w:t xml:space="preserve"> por los representantes de las víctimas (en adelante también “los representantes”)</w:t>
      </w:r>
      <w:r w:rsidR="00706EA4" w:rsidRPr="00CA1286">
        <w:rPr>
          <w:rStyle w:val="Refdenotaalpie"/>
          <w:rFonts w:ascii="Verdana" w:hAnsi="Verdana"/>
          <w:color w:val="000000"/>
          <w:sz w:val="20"/>
          <w:shd w:val="clear" w:color="auto" w:fill="FFFFFF"/>
          <w:lang w:val="es-CO"/>
        </w:rPr>
        <w:footnoteReference w:id="6"/>
      </w:r>
      <w:r w:rsidR="00706EA4" w:rsidRPr="00CA1286">
        <w:rPr>
          <w:rFonts w:ascii="Verdana" w:hAnsi="Verdana"/>
          <w:color w:val="000000"/>
          <w:sz w:val="20"/>
          <w:shd w:val="clear" w:color="auto" w:fill="FFFFFF"/>
          <w:lang w:val="es-CO"/>
        </w:rPr>
        <w:t xml:space="preserve"> </w:t>
      </w:r>
      <w:r w:rsidR="00AA0024" w:rsidRPr="00CA1286">
        <w:rPr>
          <w:rFonts w:ascii="Verdana" w:hAnsi="Verdana"/>
          <w:color w:val="000000"/>
          <w:sz w:val="20"/>
          <w:shd w:val="clear" w:color="auto" w:fill="FFFFFF"/>
          <w:lang w:val="es-CO"/>
        </w:rPr>
        <w:t xml:space="preserve">entre </w:t>
      </w:r>
      <w:r w:rsidR="00957435" w:rsidRPr="00CA1286">
        <w:rPr>
          <w:rFonts w:ascii="Verdana" w:hAnsi="Verdana"/>
          <w:color w:val="000000"/>
          <w:sz w:val="20"/>
          <w:shd w:val="clear" w:color="auto" w:fill="FFFFFF"/>
          <w:lang w:val="es-CO"/>
        </w:rPr>
        <w:t xml:space="preserve">junio de 2012 </w:t>
      </w:r>
      <w:r w:rsidR="00AA0024" w:rsidRPr="00CA1286">
        <w:rPr>
          <w:rFonts w:ascii="Verdana" w:hAnsi="Verdana"/>
          <w:color w:val="000000"/>
          <w:sz w:val="20"/>
          <w:shd w:val="clear" w:color="auto" w:fill="FFFFFF"/>
          <w:lang w:val="es-CO"/>
        </w:rPr>
        <w:t>y</w:t>
      </w:r>
      <w:r w:rsidR="00AA0024" w:rsidRPr="00CA1286">
        <w:rPr>
          <w:rFonts w:ascii="Verdana" w:hAnsi="Verdana"/>
          <w:b/>
          <w:color w:val="000000"/>
          <w:sz w:val="20"/>
          <w:shd w:val="clear" w:color="auto" w:fill="FFFFFF"/>
          <w:lang w:val="es-CO"/>
        </w:rPr>
        <w:t xml:space="preserve"> </w:t>
      </w:r>
      <w:r w:rsidR="00AA0024" w:rsidRPr="00CA1286">
        <w:rPr>
          <w:rFonts w:ascii="Verdana" w:hAnsi="Verdana"/>
          <w:color w:val="000000"/>
          <w:sz w:val="20"/>
          <w:shd w:val="clear" w:color="auto" w:fill="FFFFFF"/>
          <w:lang w:val="es-CO"/>
        </w:rPr>
        <w:t>agosto de 2019</w:t>
      </w:r>
      <w:r w:rsidR="003C6504" w:rsidRPr="00CA1286">
        <w:rPr>
          <w:rFonts w:ascii="Verdana" w:hAnsi="Verdana"/>
          <w:color w:val="000000"/>
          <w:sz w:val="20"/>
          <w:shd w:val="clear" w:color="auto" w:fill="FFFFFF"/>
          <w:lang w:val="es-CO"/>
        </w:rPr>
        <w:t>.</w:t>
      </w:r>
      <w:bookmarkEnd w:id="2"/>
    </w:p>
    <w:p w14:paraId="7E843E8D" w14:textId="62145F13" w:rsidR="00706EA4" w:rsidRPr="00CA1286" w:rsidRDefault="007B27EC" w:rsidP="007B79F5">
      <w:pPr>
        <w:numPr>
          <w:ilvl w:val="0"/>
          <w:numId w:val="6"/>
        </w:numPr>
        <w:spacing w:before="120" w:after="120"/>
        <w:ind w:left="0" w:firstLine="0"/>
        <w:jc w:val="both"/>
        <w:rPr>
          <w:rFonts w:ascii="Verdana" w:hAnsi="Verdana" w:cs="Arial"/>
          <w:sz w:val="20"/>
          <w:lang w:val="es-CO"/>
        </w:rPr>
      </w:pPr>
      <w:r>
        <w:rPr>
          <w:rFonts w:ascii="Verdana" w:hAnsi="Verdana"/>
          <w:color w:val="000000"/>
          <w:sz w:val="20"/>
          <w:shd w:val="clear" w:color="auto" w:fill="FFFFFF"/>
          <w:lang w:val="es-CO"/>
        </w:rPr>
        <w:t>Los</w:t>
      </w:r>
      <w:r w:rsidR="00706EA4" w:rsidRPr="00CA1286">
        <w:rPr>
          <w:rFonts w:ascii="Verdana" w:hAnsi="Verdana"/>
          <w:color w:val="000000"/>
          <w:sz w:val="20"/>
          <w:shd w:val="clear" w:color="auto" w:fill="FFFFFF"/>
          <w:lang w:val="es-CO"/>
        </w:rPr>
        <w:t xml:space="preserve"> </w:t>
      </w:r>
      <w:r w:rsidR="00706EA4" w:rsidRPr="00CA1286">
        <w:rPr>
          <w:rFonts w:ascii="Verdana" w:hAnsi="Verdana"/>
          <w:sz w:val="20"/>
          <w:lang w:val="es-CO"/>
        </w:rPr>
        <w:t>escrito</w:t>
      </w:r>
      <w:r w:rsidR="00DB40D2">
        <w:rPr>
          <w:rFonts w:ascii="Verdana" w:hAnsi="Verdana"/>
          <w:sz w:val="20"/>
          <w:lang w:val="es-CO"/>
        </w:rPr>
        <w:t>s</w:t>
      </w:r>
      <w:r w:rsidR="00706EA4" w:rsidRPr="00CA1286">
        <w:rPr>
          <w:rFonts w:ascii="Verdana" w:hAnsi="Verdana"/>
          <w:color w:val="000000"/>
          <w:sz w:val="20"/>
          <w:shd w:val="clear" w:color="auto" w:fill="FFFFFF"/>
          <w:lang w:val="es-CO"/>
        </w:rPr>
        <w:t xml:space="preserve"> de </w:t>
      </w:r>
      <w:r w:rsidR="00706EA4" w:rsidRPr="007B79F5">
        <w:rPr>
          <w:rFonts w:ascii="Verdana" w:hAnsi="Verdana"/>
          <w:sz w:val="20"/>
          <w:lang w:val="es-CO"/>
        </w:rPr>
        <w:t>observaciones</w:t>
      </w:r>
      <w:r w:rsidR="00706EA4" w:rsidRPr="00CA1286">
        <w:rPr>
          <w:rFonts w:ascii="Verdana" w:hAnsi="Verdana"/>
          <w:color w:val="000000"/>
          <w:sz w:val="20"/>
          <w:shd w:val="clear" w:color="auto" w:fill="FFFFFF"/>
          <w:lang w:val="es-CO"/>
        </w:rPr>
        <w:t xml:space="preserve"> presentado</w:t>
      </w:r>
      <w:r>
        <w:rPr>
          <w:rFonts w:ascii="Verdana" w:hAnsi="Verdana"/>
          <w:color w:val="000000"/>
          <w:sz w:val="20"/>
          <w:shd w:val="clear" w:color="auto" w:fill="FFFFFF"/>
          <w:lang w:val="es-CO"/>
        </w:rPr>
        <w:t>s</w:t>
      </w:r>
      <w:r w:rsidR="00706EA4" w:rsidRPr="00CA1286">
        <w:rPr>
          <w:rFonts w:ascii="Verdana" w:hAnsi="Verdana"/>
          <w:color w:val="000000"/>
          <w:sz w:val="20"/>
          <w:shd w:val="clear" w:color="auto" w:fill="FFFFFF"/>
          <w:lang w:val="es-CO"/>
        </w:rPr>
        <w:t xml:space="preserve"> por la Comisión Interamericana de Derechos Humanos (en adelante “la Comisión Interamericana” o “la Comisión”) en</w:t>
      </w:r>
      <w:r>
        <w:rPr>
          <w:rFonts w:ascii="Verdana" w:hAnsi="Verdana"/>
          <w:color w:val="000000"/>
          <w:sz w:val="20"/>
          <w:shd w:val="clear" w:color="auto" w:fill="FFFFFF"/>
          <w:lang w:val="es-CO"/>
        </w:rPr>
        <w:t>tre</w:t>
      </w:r>
      <w:r w:rsidR="00706EA4" w:rsidRPr="00CA1286">
        <w:rPr>
          <w:rFonts w:ascii="Verdana" w:hAnsi="Verdana"/>
          <w:color w:val="000000"/>
          <w:sz w:val="20"/>
          <w:shd w:val="clear" w:color="auto" w:fill="FFFFFF"/>
          <w:lang w:val="es-CO"/>
        </w:rPr>
        <w:t xml:space="preserve"> julio de 201</w:t>
      </w:r>
      <w:r w:rsidR="00957435" w:rsidRPr="00CA1286">
        <w:rPr>
          <w:rFonts w:ascii="Verdana" w:hAnsi="Verdana"/>
          <w:color w:val="000000"/>
          <w:sz w:val="20"/>
          <w:shd w:val="clear" w:color="auto" w:fill="FFFFFF"/>
          <w:lang w:val="es-CO"/>
        </w:rPr>
        <w:t>2</w:t>
      </w:r>
      <w:r>
        <w:rPr>
          <w:rFonts w:ascii="Verdana" w:hAnsi="Verdana"/>
          <w:color w:val="000000"/>
          <w:sz w:val="20"/>
          <w:shd w:val="clear" w:color="auto" w:fill="FFFFFF"/>
          <w:lang w:val="es-CO"/>
        </w:rPr>
        <w:t xml:space="preserve"> y julio de 2018</w:t>
      </w:r>
      <w:r w:rsidR="00873A2A">
        <w:rPr>
          <w:rFonts w:ascii="Verdana" w:hAnsi="Verdana"/>
          <w:color w:val="000000"/>
          <w:sz w:val="20"/>
          <w:shd w:val="clear" w:color="auto" w:fill="FFFFFF"/>
          <w:lang w:val="es-CO"/>
        </w:rPr>
        <w:t>.</w:t>
      </w:r>
    </w:p>
    <w:p w14:paraId="32609FA2" w14:textId="77777777" w:rsidR="00CA1286" w:rsidRDefault="00CA1286" w:rsidP="00CA1286">
      <w:pPr>
        <w:spacing w:before="120" w:after="120"/>
        <w:jc w:val="both"/>
        <w:rPr>
          <w:rFonts w:ascii="Verdana" w:hAnsi="Verdana"/>
          <w:b/>
          <w:sz w:val="20"/>
          <w:lang w:val="es-CO"/>
        </w:rPr>
      </w:pPr>
    </w:p>
    <w:p w14:paraId="0CD3935E" w14:textId="77777777" w:rsidR="00A1651A" w:rsidRDefault="00A1651A" w:rsidP="00CA1286">
      <w:pPr>
        <w:spacing w:before="120" w:after="120"/>
        <w:jc w:val="both"/>
        <w:rPr>
          <w:rFonts w:ascii="Verdana" w:hAnsi="Verdana"/>
          <w:b/>
          <w:sz w:val="20"/>
          <w:lang w:val="es-CO"/>
        </w:rPr>
      </w:pPr>
    </w:p>
    <w:p w14:paraId="3FD8DFCB" w14:textId="77777777" w:rsidR="00706EA4" w:rsidRPr="00CA1286" w:rsidRDefault="00706EA4" w:rsidP="00CA1286">
      <w:pPr>
        <w:spacing w:before="120" w:after="120"/>
        <w:jc w:val="both"/>
        <w:rPr>
          <w:rFonts w:ascii="Verdana" w:hAnsi="Verdana"/>
          <w:b/>
          <w:sz w:val="20"/>
          <w:lang w:val="es-CO"/>
        </w:rPr>
      </w:pPr>
      <w:r w:rsidRPr="00CA1286">
        <w:rPr>
          <w:rFonts w:ascii="Verdana" w:hAnsi="Verdana"/>
          <w:b/>
          <w:sz w:val="20"/>
          <w:lang w:val="es-CO"/>
        </w:rPr>
        <w:t xml:space="preserve">CONSIDERANDO QUE: </w:t>
      </w:r>
    </w:p>
    <w:p w14:paraId="7E0E55B2" w14:textId="7374A155" w:rsidR="00C21A24" w:rsidRPr="00CA1286" w:rsidRDefault="00C21A24" w:rsidP="007B79F5">
      <w:pPr>
        <w:numPr>
          <w:ilvl w:val="0"/>
          <w:numId w:val="7"/>
        </w:numPr>
        <w:tabs>
          <w:tab w:val="left" w:pos="709"/>
        </w:tabs>
        <w:spacing w:before="120" w:after="120"/>
        <w:ind w:left="0" w:firstLine="0"/>
        <w:jc w:val="both"/>
        <w:rPr>
          <w:rFonts w:ascii="Verdana" w:eastAsia="Calibri" w:hAnsi="Verdana"/>
          <w:sz w:val="20"/>
          <w:lang w:val="es-CR"/>
        </w:rPr>
      </w:pPr>
      <w:r w:rsidRPr="00CA1286">
        <w:rPr>
          <w:rFonts w:ascii="Verdana" w:hAnsi="Verdana"/>
          <w:sz w:val="20"/>
          <w:lang w:val="es-CR"/>
        </w:rPr>
        <w:t xml:space="preserve">En el ejercicio de </w:t>
      </w:r>
      <w:r w:rsidRPr="00CA1286">
        <w:rPr>
          <w:rFonts w:ascii="Verdana" w:hAnsi="Verdana"/>
          <w:sz w:val="20"/>
          <w:lang w:val="es-ES"/>
        </w:rPr>
        <w:t xml:space="preserve">su función jurisdiccional de </w:t>
      </w:r>
      <w:r w:rsidRPr="00CA1286">
        <w:rPr>
          <w:rFonts w:ascii="Verdana" w:hAnsi="Verdana"/>
          <w:sz w:val="20"/>
          <w:lang w:val="es-CR"/>
        </w:rPr>
        <w:t xml:space="preserve">supervisar el cumplimiento de sus </w:t>
      </w:r>
      <w:r w:rsidRPr="007B79F5">
        <w:rPr>
          <w:rFonts w:ascii="Verdana" w:hAnsi="Verdana"/>
          <w:sz w:val="20"/>
          <w:lang w:val="es-CR"/>
        </w:rPr>
        <w:t>decisiones</w:t>
      </w:r>
      <w:r w:rsidRPr="00CA1286">
        <w:rPr>
          <w:rFonts w:ascii="Verdana" w:hAnsi="Verdana"/>
          <w:sz w:val="20"/>
          <w:vertAlign w:val="superscript"/>
        </w:rPr>
        <w:footnoteReference w:id="7"/>
      </w:r>
      <w:r w:rsidRPr="00CA1286">
        <w:rPr>
          <w:rFonts w:ascii="Verdana" w:hAnsi="Verdana"/>
          <w:sz w:val="20"/>
        </w:rPr>
        <w:t xml:space="preserve">, la Corte ha venido supervisando la ejecución de la Sentencia emitida </w:t>
      </w:r>
      <w:r w:rsidRPr="00CA1286">
        <w:rPr>
          <w:rFonts w:ascii="Verdana" w:hAnsi="Verdana"/>
          <w:sz w:val="20"/>
          <w:lang w:val="es-MX"/>
        </w:rPr>
        <w:t>en el presente caso en el 20</w:t>
      </w:r>
      <w:r w:rsidR="004E3553">
        <w:rPr>
          <w:rFonts w:ascii="Verdana" w:hAnsi="Verdana"/>
          <w:sz w:val="20"/>
          <w:lang w:val="es-MX"/>
        </w:rPr>
        <w:t>0</w:t>
      </w:r>
      <w:r w:rsidRPr="00CA1286">
        <w:rPr>
          <w:rFonts w:ascii="Verdana" w:hAnsi="Verdana"/>
          <w:sz w:val="20"/>
          <w:lang w:val="es-MX"/>
        </w:rPr>
        <w:t xml:space="preserve">9 </w:t>
      </w:r>
      <w:r w:rsidRPr="00CA1286">
        <w:rPr>
          <w:rFonts w:ascii="Verdana" w:hAnsi="Verdana"/>
          <w:sz w:val="20"/>
          <w:lang w:val="es-CR"/>
        </w:rPr>
        <w:t>(</w:t>
      </w:r>
      <w:r w:rsidRPr="00CA1286">
        <w:rPr>
          <w:rFonts w:ascii="Verdana" w:hAnsi="Verdana"/>
          <w:i/>
          <w:sz w:val="20"/>
          <w:lang w:val="es-CR"/>
        </w:rPr>
        <w:t xml:space="preserve">supra </w:t>
      </w:r>
      <w:r w:rsidRPr="00CA1286">
        <w:rPr>
          <w:rFonts w:ascii="Verdana" w:hAnsi="Verdana"/>
          <w:sz w:val="20"/>
          <w:lang w:val="es-CR"/>
        </w:rPr>
        <w:t>Visto 1)</w:t>
      </w:r>
      <w:r w:rsidRPr="00CA1286">
        <w:rPr>
          <w:rFonts w:ascii="Verdana" w:hAnsi="Verdana"/>
          <w:sz w:val="20"/>
          <w:lang w:val="es-MX"/>
        </w:rPr>
        <w:t>. En di</w:t>
      </w:r>
      <w:r w:rsidR="00B4366E">
        <w:rPr>
          <w:rFonts w:ascii="Verdana" w:hAnsi="Verdana"/>
          <w:sz w:val="20"/>
          <w:lang w:val="es-MX"/>
        </w:rPr>
        <w:t xml:space="preserve">cho fallo </w:t>
      </w:r>
      <w:r w:rsidR="002767E0">
        <w:rPr>
          <w:rFonts w:ascii="Verdana" w:hAnsi="Verdana"/>
          <w:sz w:val="20"/>
          <w:lang w:val="es-MX"/>
        </w:rPr>
        <w:t>se</w:t>
      </w:r>
      <w:r w:rsidR="00B4366E">
        <w:rPr>
          <w:rFonts w:ascii="Verdana" w:hAnsi="Verdana"/>
          <w:sz w:val="20"/>
          <w:lang w:val="es-MX"/>
        </w:rPr>
        <w:t xml:space="preserve"> dispuso ocho</w:t>
      </w:r>
      <w:r w:rsidRPr="00CA1286">
        <w:rPr>
          <w:rFonts w:ascii="Verdana" w:hAnsi="Verdana"/>
          <w:sz w:val="20"/>
          <w:lang w:val="es-MX"/>
        </w:rPr>
        <w:t xml:space="preserve"> medidas de reparación</w:t>
      </w:r>
      <w:r w:rsidR="006E35CC" w:rsidRPr="008D296A">
        <w:rPr>
          <w:rFonts w:ascii="Verdana" w:hAnsi="Verdana"/>
          <w:sz w:val="20"/>
          <w:lang w:val="es-MX"/>
        </w:rPr>
        <w:t xml:space="preserve"> </w:t>
      </w:r>
      <w:r w:rsidRPr="008D296A">
        <w:rPr>
          <w:rFonts w:ascii="Verdana" w:hAnsi="Verdana"/>
          <w:sz w:val="20"/>
          <w:lang w:val="es-MX"/>
        </w:rPr>
        <w:t>(</w:t>
      </w:r>
      <w:r w:rsidRPr="008D296A">
        <w:rPr>
          <w:rFonts w:ascii="Verdana" w:hAnsi="Verdana"/>
          <w:i/>
          <w:sz w:val="20"/>
          <w:lang w:val="es-MX"/>
        </w:rPr>
        <w:t xml:space="preserve">infra </w:t>
      </w:r>
      <w:r w:rsidR="008D296A" w:rsidRPr="008D296A">
        <w:rPr>
          <w:rFonts w:ascii="Verdana" w:hAnsi="Verdana"/>
          <w:sz w:val="20"/>
          <w:lang w:val="es-MX"/>
        </w:rPr>
        <w:t xml:space="preserve">Considerando </w:t>
      </w:r>
      <w:r w:rsidR="00552FDD">
        <w:rPr>
          <w:rFonts w:ascii="Verdana" w:hAnsi="Verdana"/>
          <w:sz w:val="20"/>
          <w:lang w:val="es-MX"/>
        </w:rPr>
        <w:t>4</w:t>
      </w:r>
      <w:r w:rsidRPr="008D296A">
        <w:rPr>
          <w:rFonts w:ascii="Verdana" w:hAnsi="Verdana"/>
          <w:sz w:val="20"/>
          <w:lang w:val="es-MX"/>
        </w:rPr>
        <w:t xml:space="preserve"> y punto resolutivo </w:t>
      </w:r>
      <w:r w:rsidR="008D296A">
        <w:rPr>
          <w:rFonts w:ascii="Verdana" w:hAnsi="Verdana"/>
          <w:sz w:val="20"/>
          <w:lang w:val="es-MX"/>
        </w:rPr>
        <w:fldChar w:fldCharType="begin"/>
      </w:r>
      <w:r w:rsidR="008D296A">
        <w:rPr>
          <w:rFonts w:ascii="Verdana" w:hAnsi="Verdana"/>
          <w:sz w:val="20"/>
          <w:lang w:val="es-MX"/>
        </w:rPr>
        <w:instrText xml:space="preserve"> REF _Ref19192118 \r \h </w:instrText>
      </w:r>
      <w:r w:rsidR="008D296A">
        <w:rPr>
          <w:rFonts w:ascii="Verdana" w:hAnsi="Verdana"/>
          <w:sz w:val="20"/>
          <w:lang w:val="es-MX"/>
        </w:rPr>
      </w:r>
      <w:r w:rsidR="008D296A">
        <w:rPr>
          <w:rFonts w:ascii="Verdana" w:hAnsi="Verdana"/>
          <w:sz w:val="20"/>
          <w:lang w:val="es-MX"/>
        </w:rPr>
        <w:fldChar w:fldCharType="separate"/>
      </w:r>
      <w:r w:rsidR="00F87D55">
        <w:rPr>
          <w:rFonts w:ascii="Verdana" w:hAnsi="Verdana"/>
          <w:sz w:val="20"/>
          <w:lang w:val="es-MX"/>
        </w:rPr>
        <w:t>1</w:t>
      </w:r>
      <w:r w:rsidR="008D296A">
        <w:rPr>
          <w:rFonts w:ascii="Verdana" w:hAnsi="Verdana"/>
          <w:sz w:val="20"/>
          <w:lang w:val="es-MX"/>
        </w:rPr>
        <w:fldChar w:fldCharType="end"/>
      </w:r>
      <w:r w:rsidRPr="008D296A">
        <w:rPr>
          <w:rFonts w:ascii="Verdana" w:hAnsi="Verdana"/>
          <w:sz w:val="20"/>
          <w:lang w:val="es-MX"/>
        </w:rPr>
        <w:t>).</w:t>
      </w:r>
      <w:r w:rsidR="00C84CF4">
        <w:rPr>
          <w:rFonts w:ascii="Verdana" w:hAnsi="Verdana"/>
          <w:sz w:val="20"/>
          <w:lang w:val="es-MX"/>
        </w:rPr>
        <w:t xml:space="preserve"> En las resoluciones de supervisión emitidas (</w:t>
      </w:r>
      <w:r w:rsidR="00C84CF4">
        <w:rPr>
          <w:rFonts w:ascii="Verdana" w:hAnsi="Verdana"/>
          <w:i/>
          <w:sz w:val="20"/>
          <w:lang w:val="es-MX"/>
        </w:rPr>
        <w:t xml:space="preserve">supra </w:t>
      </w:r>
      <w:r w:rsidR="00C84CF4">
        <w:rPr>
          <w:rFonts w:ascii="Verdana" w:hAnsi="Verdana"/>
          <w:sz w:val="20"/>
          <w:lang w:val="es-MX"/>
        </w:rPr>
        <w:t>Visto 2), la Corte ha supervisado la totalidad de las medi</w:t>
      </w:r>
      <w:r w:rsidR="00552FDD">
        <w:rPr>
          <w:rFonts w:ascii="Verdana" w:hAnsi="Verdana"/>
          <w:sz w:val="20"/>
          <w:lang w:val="es-MX"/>
        </w:rPr>
        <w:t>das ordenadas, decretando cinco</w:t>
      </w:r>
      <w:r w:rsidR="00C84CF4">
        <w:rPr>
          <w:rFonts w:ascii="Verdana" w:hAnsi="Verdana"/>
          <w:sz w:val="20"/>
          <w:lang w:val="es-MX"/>
        </w:rPr>
        <w:t xml:space="preserve"> cumplimiento</w:t>
      </w:r>
      <w:r w:rsidR="009173E3">
        <w:rPr>
          <w:rFonts w:ascii="Verdana" w:hAnsi="Verdana"/>
          <w:sz w:val="20"/>
          <w:lang w:val="es-MX"/>
        </w:rPr>
        <w:t>s</w:t>
      </w:r>
      <w:r w:rsidR="00552FDD">
        <w:rPr>
          <w:rStyle w:val="Refdenotaalpie"/>
          <w:rFonts w:ascii="Verdana" w:hAnsi="Verdana"/>
          <w:sz w:val="20"/>
          <w:lang w:val="es-MX"/>
        </w:rPr>
        <w:footnoteReference w:id="8"/>
      </w:r>
      <w:r w:rsidR="00C84CF4">
        <w:rPr>
          <w:rFonts w:ascii="Verdana" w:hAnsi="Verdana"/>
          <w:sz w:val="20"/>
          <w:lang w:val="es-MX"/>
        </w:rPr>
        <w:t xml:space="preserve"> y, recientemente, en su Resolución de 2017, valorando los </w:t>
      </w:r>
      <w:r w:rsidR="00C84CF4" w:rsidRPr="00C84CF4">
        <w:rPr>
          <w:rFonts w:ascii="Verdana" w:hAnsi="Verdana"/>
          <w:sz w:val="20"/>
        </w:rPr>
        <w:t xml:space="preserve">pasos </w:t>
      </w:r>
      <w:r w:rsidR="00C84CF4">
        <w:rPr>
          <w:rFonts w:ascii="Verdana" w:hAnsi="Verdana"/>
          <w:sz w:val="20"/>
        </w:rPr>
        <w:t xml:space="preserve">dados </w:t>
      </w:r>
      <w:r w:rsidR="00C84CF4" w:rsidRPr="00C84CF4">
        <w:rPr>
          <w:rFonts w:ascii="Verdana" w:hAnsi="Verdana"/>
          <w:sz w:val="20"/>
        </w:rPr>
        <w:t xml:space="preserve">en cuanto </w:t>
      </w:r>
      <w:r w:rsidR="001A06C3">
        <w:rPr>
          <w:rFonts w:ascii="Verdana" w:hAnsi="Verdana"/>
          <w:sz w:val="20"/>
        </w:rPr>
        <w:t xml:space="preserve">a la garantía de no repetición relativa </w:t>
      </w:r>
      <w:r w:rsidR="00C84CF4" w:rsidRPr="00C84CF4">
        <w:rPr>
          <w:rFonts w:ascii="Verdana" w:hAnsi="Verdana"/>
          <w:sz w:val="20"/>
        </w:rPr>
        <w:t>al diseño de una política pública para la protección de l</w:t>
      </w:r>
      <w:r w:rsidR="009173E3">
        <w:rPr>
          <w:rFonts w:ascii="Verdana" w:hAnsi="Verdana"/>
          <w:sz w:val="20"/>
        </w:rPr>
        <w:t>a</w:t>
      </w:r>
      <w:r w:rsidR="00C84CF4" w:rsidRPr="00C84CF4">
        <w:rPr>
          <w:rFonts w:ascii="Verdana" w:hAnsi="Verdana"/>
          <w:sz w:val="20"/>
        </w:rPr>
        <w:t>s</w:t>
      </w:r>
      <w:r w:rsidR="009173E3">
        <w:rPr>
          <w:rFonts w:ascii="Verdana" w:hAnsi="Verdana"/>
          <w:sz w:val="20"/>
        </w:rPr>
        <w:t xml:space="preserve"> personas defensoras de derechos humanos. </w:t>
      </w:r>
    </w:p>
    <w:p w14:paraId="06FA7D89" w14:textId="77777777" w:rsidR="00C21A24" w:rsidRPr="00CA1286" w:rsidRDefault="00C21A24" w:rsidP="007B79F5">
      <w:pPr>
        <w:numPr>
          <w:ilvl w:val="0"/>
          <w:numId w:val="7"/>
        </w:numPr>
        <w:tabs>
          <w:tab w:val="left" w:pos="709"/>
        </w:tabs>
        <w:spacing w:before="120" w:after="120"/>
        <w:ind w:left="0" w:firstLine="0"/>
        <w:jc w:val="both"/>
        <w:rPr>
          <w:rFonts w:ascii="Verdana" w:hAnsi="Verdana"/>
          <w:color w:val="000000"/>
          <w:sz w:val="20"/>
          <w:lang w:val="es-MX"/>
        </w:rPr>
      </w:pPr>
      <w:r w:rsidRPr="00CA1286">
        <w:rPr>
          <w:rFonts w:ascii="Verdana" w:hAnsi="Verdana"/>
          <w:sz w:val="20"/>
          <w:lang w:val="es-CR"/>
        </w:rPr>
        <w:t xml:space="preserve">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w:t>
      </w:r>
      <w:r w:rsidRPr="00CA1286">
        <w:rPr>
          <w:rFonts w:ascii="Verdana" w:hAnsi="Verdana"/>
          <w:sz w:val="20"/>
        </w:rPr>
        <w:t>su conjunto</w:t>
      </w:r>
      <w:r w:rsidRPr="00CA1286">
        <w:rPr>
          <w:rStyle w:val="Refdenotaalpie"/>
          <w:rFonts w:ascii="Verdana" w:hAnsi="Verdana"/>
          <w:sz w:val="20"/>
        </w:rPr>
        <w:footnoteReference w:id="9"/>
      </w:r>
      <w:r w:rsidRPr="00CA1286">
        <w:rPr>
          <w:rFonts w:ascii="Verdana" w:hAnsi="Verdana"/>
          <w:sz w:val="20"/>
        </w:rPr>
        <w:t xml:space="preserve">. </w:t>
      </w:r>
      <w:r w:rsidRPr="00CA1286">
        <w:rPr>
          <w:rFonts w:ascii="Verdana" w:hAnsi="Verdana"/>
          <w:sz w:val="20"/>
          <w:lang w:val="es-CR"/>
        </w:rPr>
        <w:t>Los Estados Parte en la Convención deben garantizar el cumplimiento de las disposiciones convencionales y sus efectos propios (</w:t>
      </w:r>
      <w:proofErr w:type="spellStart"/>
      <w:r w:rsidRPr="00CA1286">
        <w:rPr>
          <w:rFonts w:ascii="Verdana" w:hAnsi="Verdana"/>
          <w:i/>
          <w:sz w:val="20"/>
          <w:lang w:val="es-CR"/>
        </w:rPr>
        <w:t>effet</w:t>
      </w:r>
      <w:proofErr w:type="spellEnd"/>
      <w:r w:rsidRPr="00CA1286">
        <w:rPr>
          <w:rFonts w:ascii="Verdana" w:hAnsi="Verdana"/>
          <w:i/>
          <w:sz w:val="20"/>
          <w:lang w:val="es-CR"/>
        </w:rPr>
        <w:t xml:space="preserve"> </w:t>
      </w:r>
      <w:proofErr w:type="spellStart"/>
      <w:r w:rsidRPr="00CA1286">
        <w:rPr>
          <w:rFonts w:ascii="Verdana" w:hAnsi="Verdana"/>
          <w:i/>
          <w:sz w:val="20"/>
          <w:lang w:val="es-CR"/>
        </w:rPr>
        <w:t>utile</w:t>
      </w:r>
      <w:proofErr w:type="spellEnd"/>
      <w:r w:rsidRPr="00CA1286">
        <w:rPr>
          <w:rFonts w:ascii="Verdana" w:hAnsi="Verdana"/>
          <w:sz w:val="20"/>
          <w:lang w:val="es-CR"/>
        </w:rPr>
        <w:t xml:space="preserve">) en el plano de sus respectivos derechos internos. Estas obligaciones deben ser interpretadas y aplicadas de manera que la garantía protegida sea verdaderamente práctica y eficaz, teniendo presente la naturaleza especial de </w:t>
      </w:r>
      <w:r w:rsidRPr="00CA1286">
        <w:rPr>
          <w:rFonts w:ascii="Verdana" w:hAnsi="Verdana"/>
          <w:color w:val="000000"/>
          <w:sz w:val="20"/>
          <w:lang w:val="es-CR"/>
        </w:rPr>
        <w:t xml:space="preserve">los tratados de derechos </w:t>
      </w:r>
      <w:r w:rsidRPr="00CA1286">
        <w:rPr>
          <w:rFonts w:ascii="Verdana" w:hAnsi="Verdana"/>
          <w:color w:val="000000"/>
          <w:sz w:val="20"/>
          <w:lang w:val="es-ES"/>
        </w:rPr>
        <w:t>humanos</w:t>
      </w:r>
      <w:r w:rsidRPr="00CA1286">
        <w:rPr>
          <w:rStyle w:val="Refdenotaalpie"/>
          <w:rFonts w:ascii="Verdana" w:hAnsi="Verdana"/>
          <w:color w:val="000000"/>
          <w:sz w:val="20"/>
          <w:lang w:val="es-ES"/>
        </w:rPr>
        <w:footnoteReference w:id="10"/>
      </w:r>
      <w:r w:rsidRPr="00CA1286">
        <w:rPr>
          <w:rFonts w:ascii="Verdana" w:hAnsi="Verdana"/>
          <w:color w:val="000000"/>
          <w:sz w:val="20"/>
          <w:lang w:val="es-ES"/>
        </w:rPr>
        <w:t>.</w:t>
      </w:r>
    </w:p>
    <w:p w14:paraId="11F989E3" w14:textId="560B06BC" w:rsidR="00CA1286" w:rsidRPr="00205D2C" w:rsidRDefault="008D56C5" w:rsidP="00095ABD">
      <w:pPr>
        <w:numPr>
          <w:ilvl w:val="0"/>
          <w:numId w:val="7"/>
        </w:numPr>
        <w:tabs>
          <w:tab w:val="left" w:pos="709"/>
        </w:tabs>
        <w:spacing w:before="120" w:after="120"/>
        <w:ind w:left="0" w:firstLine="0"/>
        <w:jc w:val="both"/>
        <w:rPr>
          <w:rFonts w:ascii="Verdana" w:hAnsi="Verdana"/>
          <w:sz w:val="20"/>
          <w:lang w:val="es-CO"/>
        </w:rPr>
      </w:pPr>
      <w:bookmarkStart w:id="3" w:name="_Ref19192096"/>
      <w:r>
        <w:rPr>
          <w:rFonts w:ascii="Verdana" w:hAnsi="Verdana"/>
          <w:color w:val="000000"/>
          <w:sz w:val="20"/>
          <w:lang w:val="es-CR"/>
        </w:rPr>
        <w:lastRenderedPageBreak/>
        <w:t xml:space="preserve">Debido a </w:t>
      </w:r>
      <w:r w:rsidR="00095ABD">
        <w:rPr>
          <w:rFonts w:ascii="Verdana" w:hAnsi="Verdana"/>
          <w:color w:val="000000"/>
          <w:sz w:val="20"/>
          <w:lang w:val="es-CR"/>
        </w:rPr>
        <w:t>las discrepancias</w:t>
      </w:r>
      <w:r>
        <w:rPr>
          <w:rFonts w:ascii="Verdana" w:hAnsi="Verdana"/>
          <w:color w:val="000000"/>
          <w:sz w:val="20"/>
          <w:lang w:val="es-CR"/>
        </w:rPr>
        <w:t xml:space="preserve"> que las partes tienen con respecto a determinados aspectos sobre la forma </w:t>
      </w:r>
      <w:r w:rsidR="00EA7C24">
        <w:rPr>
          <w:rFonts w:ascii="Verdana" w:hAnsi="Verdana"/>
          <w:color w:val="000000"/>
          <w:sz w:val="20"/>
          <w:lang w:val="es-CR"/>
        </w:rPr>
        <w:t>en que</w:t>
      </w:r>
      <w:r>
        <w:rPr>
          <w:rFonts w:ascii="Verdana" w:hAnsi="Verdana"/>
          <w:color w:val="000000"/>
          <w:sz w:val="20"/>
          <w:lang w:val="es-CR"/>
        </w:rPr>
        <w:t xml:space="preserve"> el Estado debe dar cumplimiento a </w:t>
      </w:r>
      <w:r w:rsidR="00C21A24" w:rsidRPr="00CA1286">
        <w:rPr>
          <w:rFonts w:ascii="Verdana" w:hAnsi="Verdana"/>
          <w:color w:val="000000"/>
          <w:sz w:val="20"/>
          <w:lang w:val="es-CR"/>
        </w:rPr>
        <w:t>la</w:t>
      </w:r>
      <w:r w:rsidR="00BC47D5">
        <w:rPr>
          <w:rFonts w:ascii="Verdana" w:hAnsi="Verdana"/>
          <w:color w:val="000000"/>
          <w:sz w:val="20"/>
          <w:lang w:val="es-CR"/>
        </w:rPr>
        <w:t>s</w:t>
      </w:r>
      <w:r w:rsidR="00C21A24" w:rsidRPr="00CA1286">
        <w:rPr>
          <w:rFonts w:ascii="Verdana" w:hAnsi="Verdana"/>
          <w:color w:val="000000"/>
          <w:sz w:val="20"/>
          <w:lang w:val="es-CR"/>
        </w:rPr>
        <w:t xml:space="preserve"> medida</w:t>
      </w:r>
      <w:r w:rsidR="00BC47D5">
        <w:rPr>
          <w:rFonts w:ascii="Verdana" w:hAnsi="Verdana"/>
          <w:color w:val="000000"/>
          <w:sz w:val="20"/>
          <w:lang w:val="es-CR"/>
        </w:rPr>
        <w:t>s</w:t>
      </w:r>
      <w:r w:rsidR="00C21A24" w:rsidRPr="00CA1286">
        <w:rPr>
          <w:rFonts w:ascii="Verdana" w:hAnsi="Verdana"/>
          <w:color w:val="000000"/>
          <w:sz w:val="20"/>
          <w:lang w:val="es-CR"/>
        </w:rPr>
        <w:t xml:space="preserve"> </w:t>
      </w:r>
      <w:r w:rsidR="008E32FF">
        <w:rPr>
          <w:rFonts w:ascii="Verdana" w:hAnsi="Verdana"/>
          <w:color w:val="000000"/>
          <w:sz w:val="20"/>
          <w:lang w:val="es-CR"/>
        </w:rPr>
        <w:t>relativa</w:t>
      </w:r>
      <w:r w:rsidR="005F42C2">
        <w:rPr>
          <w:rFonts w:ascii="Verdana" w:hAnsi="Verdana"/>
          <w:color w:val="000000"/>
          <w:sz w:val="20"/>
          <w:lang w:val="es-CR"/>
        </w:rPr>
        <w:t>s</w:t>
      </w:r>
      <w:r w:rsidR="008E32FF">
        <w:rPr>
          <w:rFonts w:ascii="Verdana" w:hAnsi="Verdana"/>
          <w:color w:val="000000"/>
          <w:sz w:val="20"/>
          <w:lang w:val="es-CR"/>
        </w:rPr>
        <w:t xml:space="preserve"> al</w:t>
      </w:r>
      <w:r w:rsidR="00C21A24" w:rsidRPr="00CA1286">
        <w:rPr>
          <w:rFonts w:ascii="Verdana" w:hAnsi="Verdana"/>
          <w:color w:val="000000"/>
          <w:sz w:val="20"/>
          <w:lang w:val="es-CR"/>
        </w:rPr>
        <w:t xml:space="preserve"> levanta</w:t>
      </w:r>
      <w:r w:rsidR="008E32FF">
        <w:rPr>
          <w:rFonts w:ascii="Verdana" w:hAnsi="Verdana"/>
          <w:color w:val="000000"/>
          <w:sz w:val="20"/>
          <w:lang w:val="es-CR"/>
        </w:rPr>
        <w:t>miento de</w:t>
      </w:r>
      <w:r w:rsidR="00C21A24" w:rsidRPr="00CA1286">
        <w:rPr>
          <w:rFonts w:ascii="Verdana" w:hAnsi="Verdana"/>
          <w:color w:val="000000"/>
          <w:sz w:val="20"/>
          <w:lang w:val="es-CR"/>
        </w:rPr>
        <w:t xml:space="preserve"> un monumento en memoria de Blanca Jeannette </w:t>
      </w:r>
      <w:proofErr w:type="spellStart"/>
      <w:r w:rsidR="00C21A24" w:rsidRPr="00CA1286">
        <w:rPr>
          <w:rFonts w:ascii="Verdana" w:hAnsi="Verdana"/>
          <w:color w:val="000000"/>
          <w:sz w:val="20"/>
          <w:lang w:val="es-CR"/>
        </w:rPr>
        <w:t>Kawas</w:t>
      </w:r>
      <w:proofErr w:type="spellEnd"/>
      <w:r w:rsidR="00C21A24" w:rsidRPr="00CA1286">
        <w:rPr>
          <w:rFonts w:ascii="Verdana" w:hAnsi="Verdana"/>
          <w:color w:val="000000"/>
          <w:sz w:val="20"/>
          <w:lang w:val="es-CR"/>
        </w:rPr>
        <w:t xml:space="preserve"> Fernández </w:t>
      </w:r>
      <w:r w:rsidR="008E32FF">
        <w:rPr>
          <w:rFonts w:ascii="Verdana" w:hAnsi="Verdana"/>
          <w:color w:val="000000"/>
          <w:sz w:val="20"/>
          <w:lang w:val="es-CR"/>
        </w:rPr>
        <w:t>y</w:t>
      </w:r>
      <w:r w:rsidR="00C21A24" w:rsidRPr="00CA1286">
        <w:rPr>
          <w:rFonts w:ascii="Verdana" w:hAnsi="Verdana"/>
          <w:color w:val="000000"/>
          <w:sz w:val="20"/>
          <w:lang w:val="es-CR"/>
        </w:rPr>
        <w:t xml:space="preserve"> </w:t>
      </w:r>
      <w:r w:rsidR="00EA7C24">
        <w:rPr>
          <w:rFonts w:ascii="Verdana" w:hAnsi="Verdana"/>
          <w:color w:val="000000"/>
          <w:sz w:val="20"/>
          <w:lang w:val="es-CR"/>
        </w:rPr>
        <w:t xml:space="preserve">la </w:t>
      </w:r>
      <w:r w:rsidR="00C21A24" w:rsidRPr="00CA1286">
        <w:rPr>
          <w:rFonts w:ascii="Verdana" w:hAnsi="Verdana"/>
          <w:color w:val="000000"/>
          <w:sz w:val="20"/>
          <w:lang w:val="es-CR"/>
        </w:rPr>
        <w:t xml:space="preserve">rotulación del </w:t>
      </w:r>
      <w:r w:rsidR="008E32FF">
        <w:rPr>
          <w:rFonts w:ascii="Verdana" w:hAnsi="Verdana"/>
          <w:color w:val="000000"/>
          <w:sz w:val="20"/>
          <w:lang w:val="es-CR"/>
        </w:rPr>
        <w:t>P</w:t>
      </w:r>
      <w:r w:rsidR="00C21A24" w:rsidRPr="00CA1286">
        <w:rPr>
          <w:rFonts w:ascii="Verdana" w:hAnsi="Verdana"/>
          <w:color w:val="000000"/>
          <w:sz w:val="20"/>
          <w:lang w:val="es-CR"/>
        </w:rPr>
        <w:t xml:space="preserve">arque </w:t>
      </w:r>
      <w:r w:rsidR="008E32FF">
        <w:rPr>
          <w:rFonts w:ascii="Verdana" w:hAnsi="Verdana"/>
          <w:color w:val="000000"/>
          <w:sz w:val="20"/>
          <w:lang w:val="es-CR"/>
        </w:rPr>
        <w:t>N</w:t>
      </w:r>
      <w:r w:rsidR="00C21A24" w:rsidRPr="00CA1286">
        <w:rPr>
          <w:rFonts w:ascii="Verdana" w:hAnsi="Verdana"/>
          <w:color w:val="000000"/>
          <w:sz w:val="20"/>
          <w:lang w:val="es-CR"/>
        </w:rPr>
        <w:t>acional que llev</w:t>
      </w:r>
      <w:r w:rsidR="008E32FF">
        <w:rPr>
          <w:rFonts w:ascii="Verdana" w:hAnsi="Verdana"/>
          <w:color w:val="000000"/>
          <w:sz w:val="20"/>
          <w:lang w:val="es-CR"/>
        </w:rPr>
        <w:t>a</w:t>
      </w:r>
      <w:r w:rsidR="00C21A24" w:rsidRPr="00CA1286">
        <w:rPr>
          <w:rFonts w:ascii="Verdana" w:hAnsi="Verdana"/>
          <w:color w:val="000000"/>
          <w:sz w:val="20"/>
          <w:lang w:val="es-CR"/>
        </w:rPr>
        <w:t xml:space="preserve"> su nombre</w:t>
      </w:r>
      <w:r>
        <w:rPr>
          <w:rFonts w:ascii="Verdana" w:hAnsi="Verdana"/>
          <w:color w:val="000000"/>
          <w:sz w:val="20"/>
          <w:lang w:val="es-CR"/>
        </w:rPr>
        <w:t xml:space="preserve">, </w:t>
      </w:r>
      <w:r w:rsidR="00D92C8F">
        <w:rPr>
          <w:rFonts w:ascii="Verdana" w:hAnsi="Verdana"/>
          <w:color w:val="000000"/>
          <w:sz w:val="20"/>
          <w:lang w:val="es-CR"/>
        </w:rPr>
        <w:t>la Corte se pronunciará al respecto en la presente resolución y, e</w:t>
      </w:r>
      <w:r w:rsidR="004E3553">
        <w:rPr>
          <w:rFonts w:ascii="Verdana" w:hAnsi="Verdana"/>
          <w:color w:val="000000"/>
          <w:sz w:val="20"/>
          <w:lang w:val="es-CR"/>
        </w:rPr>
        <w:t xml:space="preserve">n una </w:t>
      </w:r>
      <w:r w:rsidR="004E3553" w:rsidRPr="00CA1286">
        <w:rPr>
          <w:rFonts w:ascii="Verdana" w:hAnsi="Verdana"/>
          <w:color w:val="000000"/>
          <w:sz w:val="20"/>
          <w:lang w:val="es-CR"/>
        </w:rPr>
        <w:t>posterior resolución</w:t>
      </w:r>
      <w:r w:rsidR="00EA7C24">
        <w:rPr>
          <w:rFonts w:ascii="Verdana" w:hAnsi="Verdana"/>
          <w:color w:val="000000"/>
          <w:sz w:val="20"/>
          <w:lang w:val="es-CR"/>
        </w:rPr>
        <w:t>,</w:t>
      </w:r>
      <w:r w:rsidR="004E3553" w:rsidRPr="00CA1286" w:rsidDel="004E3553">
        <w:rPr>
          <w:rFonts w:ascii="Verdana" w:hAnsi="Verdana"/>
          <w:color w:val="000000"/>
          <w:sz w:val="20"/>
          <w:lang w:val="es-CR"/>
        </w:rPr>
        <w:t xml:space="preserve"> </w:t>
      </w:r>
      <w:r w:rsidR="00C21A24" w:rsidRPr="00CA1286">
        <w:rPr>
          <w:rFonts w:ascii="Verdana" w:hAnsi="Verdana"/>
          <w:color w:val="000000"/>
          <w:sz w:val="20"/>
          <w:lang w:val="es-CR"/>
        </w:rPr>
        <w:t xml:space="preserve">se pronunciará sobre las demás medidas </w:t>
      </w:r>
      <w:r w:rsidR="007B27EC">
        <w:rPr>
          <w:rFonts w:ascii="Verdana" w:hAnsi="Verdana"/>
          <w:color w:val="000000"/>
          <w:sz w:val="20"/>
          <w:lang w:val="es-CR"/>
        </w:rPr>
        <w:t>pendientes de cumplimiento</w:t>
      </w:r>
      <w:r w:rsidR="00C21A24" w:rsidRPr="00CA1286">
        <w:rPr>
          <w:rFonts w:ascii="Verdana" w:hAnsi="Verdana"/>
          <w:color w:val="000000"/>
          <w:sz w:val="20"/>
        </w:rPr>
        <w:t>.</w:t>
      </w:r>
      <w:bookmarkEnd w:id="3"/>
    </w:p>
    <w:p w14:paraId="7B0B5CB3" w14:textId="77777777" w:rsidR="00767AD2" w:rsidRPr="00CA1286" w:rsidRDefault="00767AD2" w:rsidP="00CA1286">
      <w:pPr>
        <w:spacing w:before="120" w:after="120"/>
        <w:ind w:left="720"/>
        <w:contextualSpacing/>
        <w:jc w:val="both"/>
        <w:outlineLvl w:val="0"/>
        <w:rPr>
          <w:rFonts w:ascii="Verdana" w:hAnsi="Verdana"/>
          <w:i/>
          <w:sz w:val="20"/>
          <w:lang w:val="es-CO"/>
        </w:rPr>
      </w:pPr>
    </w:p>
    <w:p w14:paraId="7DF0314A" w14:textId="3AEA8049" w:rsidR="00706EA4" w:rsidRPr="00CA1286" w:rsidRDefault="00706EA4" w:rsidP="00CA1286">
      <w:pPr>
        <w:pStyle w:val="Prrafodelista"/>
        <w:spacing w:before="120" w:after="120"/>
        <w:contextualSpacing w:val="0"/>
        <w:jc w:val="both"/>
        <w:rPr>
          <w:rFonts w:ascii="Verdana" w:hAnsi="Verdana"/>
          <w:i/>
          <w:sz w:val="20"/>
          <w:lang w:val="es-CO"/>
        </w:rPr>
      </w:pPr>
      <w:r w:rsidRPr="00CA1286">
        <w:rPr>
          <w:rFonts w:ascii="Verdana" w:hAnsi="Verdana"/>
          <w:i/>
          <w:sz w:val="20"/>
          <w:lang w:val="es-CO"/>
        </w:rPr>
        <w:t>A. Medida</w:t>
      </w:r>
      <w:r w:rsidR="00EA7C24">
        <w:rPr>
          <w:rFonts w:ascii="Verdana" w:hAnsi="Verdana"/>
          <w:i/>
          <w:sz w:val="20"/>
          <w:lang w:val="es-CO"/>
        </w:rPr>
        <w:t>s</w:t>
      </w:r>
      <w:r w:rsidRPr="00CA1286">
        <w:rPr>
          <w:rFonts w:ascii="Verdana" w:hAnsi="Verdana"/>
          <w:i/>
          <w:sz w:val="20"/>
          <w:lang w:val="es-CO"/>
        </w:rPr>
        <w:t xml:space="preserve"> ordenada</w:t>
      </w:r>
      <w:r w:rsidR="00EA7C24">
        <w:rPr>
          <w:rFonts w:ascii="Verdana" w:hAnsi="Verdana"/>
          <w:i/>
          <w:sz w:val="20"/>
          <w:lang w:val="es-CO"/>
        </w:rPr>
        <w:t>s</w:t>
      </w:r>
      <w:r w:rsidRPr="00CA1286">
        <w:rPr>
          <w:rFonts w:ascii="Verdana" w:hAnsi="Verdana"/>
          <w:i/>
          <w:sz w:val="20"/>
          <w:lang w:val="es-CO"/>
        </w:rPr>
        <w:t xml:space="preserve"> por la Corte </w:t>
      </w:r>
      <w:r w:rsidR="004A0C9D" w:rsidRPr="00C70339">
        <w:rPr>
          <w:rFonts w:ascii="Verdana" w:hAnsi="Verdana"/>
          <w:i/>
          <w:sz w:val="20"/>
          <w:lang w:val="es-AR"/>
        </w:rPr>
        <w:t>y supervisión realizada en resoluciones anteriores</w:t>
      </w:r>
    </w:p>
    <w:p w14:paraId="029FE43D" w14:textId="77777777" w:rsidR="00767AD2" w:rsidRPr="00CA1286" w:rsidRDefault="00767AD2" w:rsidP="00CA1286">
      <w:pPr>
        <w:pStyle w:val="Prrafodelista"/>
        <w:spacing w:before="120" w:after="120"/>
        <w:contextualSpacing w:val="0"/>
        <w:jc w:val="both"/>
        <w:rPr>
          <w:rFonts w:ascii="Verdana" w:hAnsi="Verdana"/>
          <w:i/>
          <w:sz w:val="20"/>
          <w:lang w:val="es-CO"/>
        </w:rPr>
      </w:pPr>
    </w:p>
    <w:p w14:paraId="4B03B17B" w14:textId="39AC8F60" w:rsidR="00BF6BC2" w:rsidRPr="007B79F5" w:rsidRDefault="00702FBE" w:rsidP="007B79F5">
      <w:pPr>
        <w:numPr>
          <w:ilvl w:val="0"/>
          <w:numId w:val="7"/>
        </w:numPr>
        <w:tabs>
          <w:tab w:val="left" w:pos="709"/>
        </w:tabs>
        <w:spacing w:before="120" w:after="120"/>
        <w:ind w:left="0" w:firstLine="0"/>
        <w:jc w:val="both"/>
        <w:rPr>
          <w:rFonts w:ascii="Verdana" w:hAnsi="Verdana"/>
          <w:sz w:val="20"/>
          <w:lang w:val="es-CO"/>
        </w:rPr>
      </w:pPr>
      <w:r w:rsidRPr="00CA1286">
        <w:rPr>
          <w:rFonts w:ascii="Verdana" w:hAnsi="Verdana"/>
          <w:sz w:val="20"/>
          <w:lang w:val="es-CO"/>
        </w:rPr>
        <w:t>En el punto resolutivo décimo segundo y en el párrafo 206</w:t>
      </w:r>
      <w:r w:rsidR="00C30E89" w:rsidRPr="00CA1286">
        <w:rPr>
          <w:rFonts w:ascii="Verdana" w:hAnsi="Verdana"/>
          <w:sz w:val="20"/>
          <w:lang w:val="es-CO"/>
        </w:rPr>
        <w:t xml:space="preserve"> de </w:t>
      </w:r>
      <w:r w:rsidR="00706EA4" w:rsidRPr="00CA1286">
        <w:rPr>
          <w:rFonts w:ascii="Verdana" w:hAnsi="Verdana"/>
          <w:sz w:val="20"/>
          <w:lang w:val="es-CO"/>
        </w:rPr>
        <w:t xml:space="preserve">la Sentencia, la Corte dispuso </w:t>
      </w:r>
      <w:r w:rsidR="00706EA4" w:rsidRPr="007B79F5">
        <w:rPr>
          <w:rFonts w:ascii="Verdana" w:hAnsi="Verdana"/>
          <w:color w:val="000000"/>
          <w:sz w:val="20"/>
          <w:lang w:val="es-CR"/>
        </w:rPr>
        <w:t>que</w:t>
      </w:r>
      <w:r w:rsidR="00706EA4" w:rsidRPr="00CA1286">
        <w:rPr>
          <w:rFonts w:ascii="Verdana" w:hAnsi="Verdana"/>
          <w:sz w:val="20"/>
          <w:lang w:val="es-CO"/>
        </w:rPr>
        <w:t xml:space="preserve"> el Estado debía </w:t>
      </w:r>
      <w:r w:rsidR="00C30E89" w:rsidRPr="00CA1286">
        <w:rPr>
          <w:rFonts w:ascii="Verdana" w:hAnsi="Verdana"/>
          <w:sz w:val="20"/>
          <w:lang w:val="es-CO"/>
        </w:rPr>
        <w:t xml:space="preserve">levantar </w:t>
      </w:r>
      <w:r w:rsidR="00C30E89" w:rsidRPr="00CA1286">
        <w:rPr>
          <w:rFonts w:ascii="Verdana" w:hAnsi="Verdana"/>
          <w:sz w:val="20"/>
        </w:rPr>
        <w:t xml:space="preserve">un monumento en memoria de Blanca Jeannette </w:t>
      </w:r>
      <w:proofErr w:type="spellStart"/>
      <w:r w:rsidR="00C30E89" w:rsidRPr="00CA1286">
        <w:rPr>
          <w:rFonts w:ascii="Verdana" w:hAnsi="Verdana"/>
          <w:sz w:val="20"/>
        </w:rPr>
        <w:t>Kawas</w:t>
      </w:r>
      <w:proofErr w:type="spellEnd"/>
      <w:r w:rsidR="00C30E89" w:rsidRPr="00CA1286">
        <w:rPr>
          <w:rFonts w:ascii="Verdana" w:hAnsi="Verdana"/>
          <w:sz w:val="20"/>
        </w:rPr>
        <w:t xml:space="preserve"> Fernández, así como </w:t>
      </w:r>
      <w:r w:rsidR="008E32FF">
        <w:rPr>
          <w:rFonts w:ascii="Verdana" w:hAnsi="Verdana"/>
          <w:sz w:val="20"/>
        </w:rPr>
        <w:t>rotular</w:t>
      </w:r>
      <w:r w:rsidR="00C30E89" w:rsidRPr="00CA1286">
        <w:rPr>
          <w:rFonts w:ascii="Verdana" w:hAnsi="Verdana"/>
          <w:sz w:val="20"/>
        </w:rPr>
        <w:t xml:space="preserve"> el </w:t>
      </w:r>
      <w:r w:rsidR="008E32FF">
        <w:rPr>
          <w:rFonts w:ascii="Verdana" w:hAnsi="Verdana"/>
          <w:sz w:val="20"/>
        </w:rPr>
        <w:t>P</w:t>
      </w:r>
      <w:r w:rsidR="00C30E89" w:rsidRPr="00CA1286">
        <w:rPr>
          <w:rFonts w:ascii="Verdana" w:hAnsi="Verdana"/>
          <w:sz w:val="20"/>
        </w:rPr>
        <w:t xml:space="preserve">arque </w:t>
      </w:r>
      <w:r w:rsidR="008E32FF">
        <w:rPr>
          <w:rFonts w:ascii="Verdana" w:hAnsi="Verdana"/>
          <w:sz w:val="20"/>
        </w:rPr>
        <w:t>N</w:t>
      </w:r>
      <w:r w:rsidR="00C30E89" w:rsidRPr="00CA1286">
        <w:rPr>
          <w:rFonts w:ascii="Verdana" w:hAnsi="Verdana"/>
          <w:sz w:val="20"/>
        </w:rPr>
        <w:t>acional que lleva su nombre</w:t>
      </w:r>
      <w:r w:rsidR="008E32FF">
        <w:rPr>
          <w:rFonts w:ascii="Verdana" w:hAnsi="Verdana"/>
          <w:sz w:val="20"/>
        </w:rPr>
        <w:t xml:space="preserve">, </w:t>
      </w:r>
      <w:r w:rsidR="00294438">
        <w:rPr>
          <w:rFonts w:ascii="Verdana" w:hAnsi="Verdana"/>
          <w:sz w:val="20"/>
        </w:rPr>
        <w:t>“</w:t>
      </w:r>
      <w:r w:rsidR="00294438" w:rsidRPr="00294438">
        <w:rPr>
          <w:rFonts w:ascii="Verdana" w:hAnsi="Verdana"/>
          <w:sz w:val="20"/>
        </w:rPr>
        <w:t>en los términos solicitados por los representantes</w:t>
      </w:r>
      <w:r w:rsidR="00294438">
        <w:rPr>
          <w:rFonts w:ascii="Verdana" w:hAnsi="Verdana"/>
          <w:sz w:val="20"/>
        </w:rPr>
        <w:t>”</w:t>
      </w:r>
      <w:r w:rsidR="00205D2C">
        <w:rPr>
          <w:rFonts w:ascii="Verdana" w:hAnsi="Verdana"/>
          <w:sz w:val="20"/>
        </w:rPr>
        <w:t xml:space="preserve">. Para su cumplimiento dispuso </w:t>
      </w:r>
      <w:r w:rsidR="008E32FF">
        <w:rPr>
          <w:rFonts w:ascii="Verdana" w:hAnsi="Verdana"/>
          <w:sz w:val="20"/>
        </w:rPr>
        <w:t>el plazo de dos años a partir de la notificación de la Sentencia</w:t>
      </w:r>
      <w:r w:rsidR="00C30E89" w:rsidRPr="00CA1286">
        <w:rPr>
          <w:rFonts w:ascii="Verdana" w:hAnsi="Verdana"/>
          <w:sz w:val="20"/>
        </w:rPr>
        <w:t xml:space="preserve">. </w:t>
      </w:r>
      <w:r w:rsidR="008E32FF">
        <w:rPr>
          <w:rFonts w:ascii="Verdana" w:hAnsi="Verdana"/>
          <w:sz w:val="20"/>
        </w:rPr>
        <w:t>Al respecto, e</w:t>
      </w:r>
      <w:r w:rsidR="00C30E89" w:rsidRPr="00CA1286">
        <w:rPr>
          <w:rFonts w:ascii="Verdana" w:hAnsi="Verdana"/>
          <w:sz w:val="20"/>
        </w:rPr>
        <w:t>l Tribunal enfatiz</w:t>
      </w:r>
      <w:r w:rsidR="008E32FF">
        <w:rPr>
          <w:rFonts w:ascii="Verdana" w:hAnsi="Verdana"/>
          <w:sz w:val="20"/>
        </w:rPr>
        <w:t>ó</w:t>
      </w:r>
      <w:r w:rsidR="00C30E89" w:rsidRPr="00CA1286">
        <w:rPr>
          <w:rFonts w:ascii="Verdana" w:hAnsi="Verdana"/>
          <w:sz w:val="20"/>
        </w:rPr>
        <w:t xml:space="preserve"> que</w:t>
      </w:r>
      <w:r w:rsidR="008E32FF">
        <w:rPr>
          <w:rFonts w:ascii="Verdana" w:hAnsi="Verdana"/>
          <w:sz w:val="20"/>
        </w:rPr>
        <w:t>:</w:t>
      </w:r>
      <w:r w:rsidR="00C30E89" w:rsidRPr="00CA1286">
        <w:rPr>
          <w:rFonts w:ascii="Verdana" w:hAnsi="Verdana"/>
          <w:sz w:val="20"/>
        </w:rPr>
        <w:t xml:space="preserve"> </w:t>
      </w:r>
      <w:r w:rsidR="008E32FF">
        <w:rPr>
          <w:rFonts w:ascii="Verdana" w:hAnsi="Verdana"/>
          <w:sz w:val="20"/>
        </w:rPr>
        <w:t>“</w:t>
      </w:r>
      <w:r w:rsidR="00C30E89" w:rsidRPr="00CA1286">
        <w:rPr>
          <w:rFonts w:ascii="Verdana" w:hAnsi="Verdana"/>
          <w:sz w:val="20"/>
        </w:rPr>
        <w:t>el rótulo deberá dejar constancia que la víctima murió en defensa del medio ambiente y de dicho parque nacional, en particular</w:t>
      </w:r>
      <w:r w:rsidR="008E32FF">
        <w:rPr>
          <w:rFonts w:ascii="Verdana" w:hAnsi="Verdana"/>
          <w:sz w:val="20"/>
        </w:rPr>
        <w:t xml:space="preserve">. </w:t>
      </w:r>
      <w:r w:rsidR="008E32FF" w:rsidRPr="008E32FF">
        <w:rPr>
          <w:rFonts w:ascii="Verdana" w:hAnsi="Verdana"/>
          <w:sz w:val="20"/>
        </w:rPr>
        <w:t xml:space="preserve">En la ceremonia de develación del monumento deben estar presentes autoridades estatales. Asimismo, el Estado deberá asegurar la participación de los familiares de la señora Blanca Jeannette </w:t>
      </w:r>
      <w:proofErr w:type="spellStart"/>
      <w:r w:rsidR="008E32FF" w:rsidRPr="008E32FF">
        <w:rPr>
          <w:rFonts w:ascii="Verdana" w:hAnsi="Verdana"/>
          <w:sz w:val="20"/>
        </w:rPr>
        <w:t>Kawas</w:t>
      </w:r>
      <w:proofErr w:type="spellEnd"/>
      <w:r w:rsidR="008E32FF" w:rsidRPr="008E32FF">
        <w:rPr>
          <w:rFonts w:ascii="Verdana" w:hAnsi="Verdana"/>
          <w:sz w:val="20"/>
        </w:rPr>
        <w:t xml:space="preserve"> Fernández, declaradas también víctimas por e</w:t>
      </w:r>
      <w:r w:rsidR="008E32FF">
        <w:rPr>
          <w:rFonts w:ascii="Verdana" w:hAnsi="Verdana"/>
          <w:sz w:val="20"/>
        </w:rPr>
        <w:t>ste Tribunal, que así lo deseen”.</w:t>
      </w:r>
    </w:p>
    <w:p w14:paraId="67BC93CD" w14:textId="6127DC18" w:rsidR="00C30E89" w:rsidRPr="00CA1286" w:rsidRDefault="00BF6BC2" w:rsidP="007B79F5">
      <w:pPr>
        <w:numPr>
          <w:ilvl w:val="0"/>
          <w:numId w:val="7"/>
        </w:numPr>
        <w:tabs>
          <w:tab w:val="left" w:pos="709"/>
        </w:tabs>
        <w:spacing w:before="120" w:after="120"/>
        <w:ind w:left="0" w:firstLine="0"/>
        <w:jc w:val="both"/>
        <w:rPr>
          <w:rFonts w:ascii="Verdana" w:hAnsi="Verdana"/>
          <w:sz w:val="20"/>
          <w:lang w:val="es-CO"/>
        </w:rPr>
      </w:pPr>
      <w:r>
        <w:rPr>
          <w:rFonts w:ascii="Verdana" w:hAnsi="Verdana"/>
          <w:sz w:val="20"/>
        </w:rPr>
        <w:t xml:space="preserve">En la Resolución de </w:t>
      </w:r>
      <w:r w:rsidR="00515E50">
        <w:rPr>
          <w:rFonts w:ascii="Verdana" w:hAnsi="Verdana"/>
          <w:sz w:val="20"/>
        </w:rPr>
        <w:t xml:space="preserve">supervisión de cumplimiento de sentencia de </w:t>
      </w:r>
      <w:r>
        <w:rPr>
          <w:rFonts w:ascii="Verdana" w:hAnsi="Verdana"/>
          <w:sz w:val="20"/>
        </w:rPr>
        <w:t>febrero de 2012</w:t>
      </w:r>
      <w:r w:rsidR="00A6794E">
        <w:rPr>
          <w:rFonts w:ascii="Verdana" w:hAnsi="Verdana"/>
          <w:sz w:val="20"/>
        </w:rPr>
        <w:t xml:space="preserve"> (</w:t>
      </w:r>
      <w:r w:rsidR="00A6794E">
        <w:rPr>
          <w:rFonts w:ascii="Verdana" w:hAnsi="Verdana"/>
          <w:i/>
          <w:sz w:val="20"/>
        </w:rPr>
        <w:t xml:space="preserve">supra </w:t>
      </w:r>
      <w:r w:rsidR="00A6794E">
        <w:rPr>
          <w:rFonts w:ascii="Verdana" w:hAnsi="Verdana"/>
          <w:sz w:val="20"/>
        </w:rPr>
        <w:t xml:space="preserve">Visto </w:t>
      </w:r>
      <w:r w:rsidR="00A6794E">
        <w:rPr>
          <w:rFonts w:ascii="Verdana" w:hAnsi="Verdana"/>
          <w:sz w:val="20"/>
        </w:rPr>
        <w:fldChar w:fldCharType="begin"/>
      </w:r>
      <w:r w:rsidR="00A6794E">
        <w:rPr>
          <w:rFonts w:ascii="Verdana" w:hAnsi="Verdana"/>
          <w:sz w:val="20"/>
        </w:rPr>
        <w:instrText xml:space="preserve"> REF _Ref19206554 \r \h </w:instrText>
      </w:r>
      <w:r w:rsidR="00A6794E">
        <w:rPr>
          <w:rFonts w:ascii="Verdana" w:hAnsi="Verdana"/>
          <w:sz w:val="20"/>
        </w:rPr>
      </w:r>
      <w:r w:rsidR="00A6794E">
        <w:rPr>
          <w:rFonts w:ascii="Verdana" w:hAnsi="Verdana"/>
          <w:sz w:val="20"/>
        </w:rPr>
        <w:fldChar w:fldCharType="separate"/>
      </w:r>
      <w:r w:rsidR="00F87D55">
        <w:rPr>
          <w:rFonts w:ascii="Verdana" w:hAnsi="Verdana"/>
          <w:sz w:val="20"/>
        </w:rPr>
        <w:t>2</w:t>
      </w:r>
      <w:r w:rsidR="00A6794E">
        <w:rPr>
          <w:rFonts w:ascii="Verdana" w:hAnsi="Verdana"/>
          <w:sz w:val="20"/>
        </w:rPr>
        <w:fldChar w:fldCharType="end"/>
      </w:r>
      <w:r w:rsidR="00A6794E">
        <w:rPr>
          <w:rFonts w:ascii="Verdana" w:hAnsi="Verdana"/>
          <w:sz w:val="20"/>
        </w:rPr>
        <w:t>)</w:t>
      </w:r>
      <w:r>
        <w:rPr>
          <w:rFonts w:ascii="Verdana" w:hAnsi="Verdana"/>
          <w:sz w:val="20"/>
        </w:rPr>
        <w:t xml:space="preserve">, la Corte se </w:t>
      </w:r>
      <w:r w:rsidR="006F56B9">
        <w:rPr>
          <w:rFonts w:ascii="Verdana" w:hAnsi="Verdana"/>
          <w:sz w:val="20"/>
        </w:rPr>
        <w:t xml:space="preserve">pronunció sobre </w:t>
      </w:r>
      <w:r>
        <w:rPr>
          <w:rFonts w:ascii="Verdana" w:hAnsi="Verdana"/>
          <w:sz w:val="20"/>
        </w:rPr>
        <w:t xml:space="preserve">la solicitud </w:t>
      </w:r>
      <w:r w:rsidR="002767E0">
        <w:rPr>
          <w:rFonts w:ascii="Verdana" w:hAnsi="Verdana"/>
          <w:sz w:val="20"/>
        </w:rPr>
        <w:t>realizada</w:t>
      </w:r>
      <w:r>
        <w:rPr>
          <w:rFonts w:ascii="Verdana" w:hAnsi="Verdana"/>
          <w:sz w:val="20"/>
        </w:rPr>
        <w:t xml:space="preserve"> por el Estado de </w:t>
      </w:r>
      <w:r w:rsidR="00AD66F6">
        <w:rPr>
          <w:rFonts w:ascii="Verdana" w:hAnsi="Verdana"/>
          <w:sz w:val="20"/>
        </w:rPr>
        <w:t xml:space="preserve">que se le otorgue </w:t>
      </w:r>
      <w:r>
        <w:rPr>
          <w:rFonts w:ascii="Verdana" w:hAnsi="Verdana"/>
          <w:sz w:val="20"/>
        </w:rPr>
        <w:t xml:space="preserve">una prórroga de seis meses para dar cumplimiento al presente punto, y aclaró que el plazo adicional de seis meses </w:t>
      </w:r>
      <w:r w:rsidRPr="00BF6BC2">
        <w:rPr>
          <w:rFonts w:ascii="Verdana" w:hAnsi="Verdana"/>
          <w:sz w:val="20"/>
        </w:rPr>
        <w:t xml:space="preserve">para presentar información sobre el cumplimiento de </w:t>
      </w:r>
      <w:r>
        <w:rPr>
          <w:rFonts w:ascii="Verdana" w:hAnsi="Verdana"/>
          <w:sz w:val="20"/>
        </w:rPr>
        <w:t xml:space="preserve">esta medida, otorgado mediante </w:t>
      </w:r>
      <w:r w:rsidRPr="00BF6BC2">
        <w:rPr>
          <w:rFonts w:ascii="Verdana" w:hAnsi="Verdana"/>
          <w:sz w:val="20"/>
        </w:rPr>
        <w:t>la nota de la Secretaría de 26 de octubre de 2011</w:t>
      </w:r>
      <w:r>
        <w:rPr>
          <w:rFonts w:ascii="Verdana" w:hAnsi="Verdana"/>
          <w:sz w:val="20"/>
        </w:rPr>
        <w:t>, “</w:t>
      </w:r>
      <w:r w:rsidRPr="00BF6BC2">
        <w:rPr>
          <w:rFonts w:ascii="Verdana" w:hAnsi="Verdana"/>
          <w:sz w:val="20"/>
        </w:rPr>
        <w:t>no se trata</w:t>
      </w:r>
      <w:r w:rsidR="00515E50">
        <w:rPr>
          <w:rFonts w:ascii="Verdana" w:hAnsi="Verdana"/>
          <w:sz w:val="20"/>
        </w:rPr>
        <w:t>[</w:t>
      </w:r>
      <w:proofErr w:type="spellStart"/>
      <w:r w:rsidR="00515E50">
        <w:rPr>
          <w:rFonts w:ascii="Verdana" w:hAnsi="Verdana"/>
          <w:sz w:val="20"/>
        </w:rPr>
        <w:t>ba</w:t>
      </w:r>
      <w:proofErr w:type="spellEnd"/>
      <w:r w:rsidR="00515E50">
        <w:rPr>
          <w:rFonts w:ascii="Verdana" w:hAnsi="Verdana"/>
          <w:sz w:val="20"/>
        </w:rPr>
        <w:t>]</w:t>
      </w:r>
      <w:r w:rsidRPr="00BF6BC2">
        <w:rPr>
          <w:rFonts w:ascii="Verdana" w:hAnsi="Verdana"/>
          <w:sz w:val="20"/>
        </w:rPr>
        <w:t xml:space="preserve"> de una prórroga, dado que la Sentencia establecía un plazo de dos años para cumplir con ambas medidas de reparación</w:t>
      </w:r>
      <w:r>
        <w:rPr>
          <w:rFonts w:ascii="Verdana" w:hAnsi="Verdana"/>
          <w:sz w:val="20"/>
        </w:rPr>
        <w:t xml:space="preserve">”. </w:t>
      </w:r>
    </w:p>
    <w:p w14:paraId="487F0154" w14:textId="77777777" w:rsidR="00476F19" w:rsidRPr="00CA1286" w:rsidRDefault="00476F19" w:rsidP="00CA1286">
      <w:pPr>
        <w:pStyle w:val="Prrafodelista"/>
        <w:spacing w:before="120" w:after="120"/>
        <w:ind w:left="0"/>
        <w:contextualSpacing w:val="0"/>
        <w:jc w:val="both"/>
        <w:rPr>
          <w:rFonts w:ascii="Verdana" w:hAnsi="Verdana"/>
          <w:sz w:val="20"/>
          <w:lang w:val="es-CO"/>
        </w:rPr>
      </w:pPr>
    </w:p>
    <w:p w14:paraId="4B62D5E5" w14:textId="17E23B74" w:rsidR="00706EA4" w:rsidRPr="00CA1286" w:rsidRDefault="006F56B9" w:rsidP="007B79F5">
      <w:pPr>
        <w:pStyle w:val="Prrafodelista"/>
        <w:spacing w:before="120" w:after="120"/>
        <w:contextualSpacing w:val="0"/>
        <w:jc w:val="both"/>
        <w:rPr>
          <w:rFonts w:ascii="Verdana" w:hAnsi="Verdana"/>
          <w:i/>
          <w:sz w:val="20"/>
          <w:lang w:val="es-CO"/>
        </w:rPr>
      </w:pPr>
      <w:r>
        <w:rPr>
          <w:rFonts w:ascii="Verdana" w:hAnsi="Verdana"/>
          <w:i/>
          <w:sz w:val="20"/>
          <w:lang w:val="es-CO"/>
        </w:rPr>
        <w:t>B.</w:t>
      </w:r>
      <w:r>
        <w:rPr>
          <w:rFonts w:ascii="Verdana" w:hAnsi="Verdana"/>
          <w:i/>
          <w:sz w:val="20"/>
          <w:lang w:val="es-CO"/>
        </w:rPr>
        <w:tab/>
      </w:r>
      <w:r w:rsidR="00706EA4" w:rsidRPr="00CA1286">
        <w:rPr>
          <w:rFonts w:ascii="Verdana" w:hAnsi="Verdana"/>
          <w:i/>
          <w:sz w:val="20"/>
          <w:lang w:val="es-CO"/>
        </w:rPr>
        <w:t xml:space="preserve"> </w:t>
      </w:r>
      <w:r w:rsidR="00295EAB">
        <w:rPr>
          <w:rFonts w:ascii="Verdana" w:hAnsi="Verdana"/>
          <w:i/>
          <w:sz w:val="20"/>
          <w:lang w:val="es-CO"/>
        </w:rPr>
        <w:t xml:space="preserve">Información y observaciones </w:t>
      </w:r>
      <w:r w:rsidR="004124C9">
        <w:rPr>
          <w:rFonts w:ascii="Verdana" w:hAnsi="Verdana"/>
          <w:i/>
          <w:sz w:val="20"/>
          <w:lang w:val="es-CO"/>
        </w:rPr>
        <w:t xml:space="preserve">de las partes y </w:t>
      </w:r>
      <w:r w:rsidR="00D7590E">
        <w:rPr>
          <w:rFonts w:ascii="Verdana" w:hAnsi="Verdana"/>
          <w:i/>
          <w:sz w:val="20"/>
          <w:lang w:val="es-CO"/>
        </w:rPr>
        <w:t xml:space="preserve">de </w:t>
      </w:r>
      <w:r w:rsidR="004124C9">
        <w:rPr>
          <w:rFonts w:ascii="Verdana" w:hAnsi="Verdana"/>
          <w:i/>
          <w:sz w:val="20"/>
          <w:lang w:val="es-CO"/>
        </w:rPr>
        <w:t>la Comisión</w:t>
      </w:r>
      <w:r w:rsidR="00D7590E">
        <w:rPr>
          <w:rFonts w:ascii="Verdana" w:hAnsi="Verdana"/>
          <w:i/>
          <w:sz w:val="20"/>
          <w:lang w:val="es-CO"/>
        </w:rPr>
        <w:t xml:space="preserve"> Interamericana</w:t>
      </w:r>
    </w:p>
    <w:p w14:paraId="11441FDD" w14:textId="3EF0D48B" w:rsidR="00706EA4" w:rsidRPr="00CC22A2" w:rsidRDefault="006B4C2A" w:rsidP="00CC22A2">
      <w:pPr>
        <w:numPr>
          <w:ilvl w:val="0"/>
          <w:numId w:val="7"/>
        </w:numPr>
        <w:tabs>
          <w:tab w:val="left" w:pos="709"/>
        </w:tabs>
        <w:spacing w:before="120" w:after="120"/>
        <w:ind w:left="0" w:firstLine="0"/>
        <w:jc w:val="both"/>
        <w:rPr>
          <w:rFonts w:ascii="Verdana" w:hAnsi="Verdana"/>
          <w:sz w:val="20"/>
          <w:lang w:val="es-CO"/>
        </w:rPr>
      </w:pPr>
      <w:bookmarkStart w:id="4" w:name="_Ref17722857"/>
      <w:r>
        <w:rPr>
          <w:rFonts w:ascii="Verdana" w:hAnsi="Verdana"/>
          <w:sz w:val="20"/>
          <w:lang w:val="es-CO"/>
        </w:rPr>
        <w:t>Entre abril de 2012 y diciembre de 2017, el Estado informó sobre el diseño del monumento, el presupuesto para el mismo y una posterior actualización del presupuesto</w:t>
      </w:r>
      <w:r w:rsidR="004776A4">
        <w:rPr>
          <w:rStyle w:val="Refdenotaalpie"/>
          <w:rFonts w:ascii="Verdana" w:hAnsi="Verdana"/>
          <w:sz w:val="20"/>
          <w:lang w:val="es-CO"/>
        </w:rPr>
        <w:footnoteReference w:id="11"/>
      </w:r>
      <w:r w:rsidR="00AC4440">
        <w:rPr>
          <w:rFonts w:ascii="Verdana" w:hAnsi="Verdana"/>
          <w:sz w:val="20"/>
          <w:lang w:val="es-CO"/>
        </w:rPr>
        <w:t>.</w:t>
      </w:r>
      <w:r>
        <w:rPr>
          <w:rFonts w:ascii="Verdana" w:hAnsi="Verdana"/>
          <w:sz w:val="20"/>
          <w:lang w:val="es-CO"/>
        </w:rPr>
        <w:t xml:space="preserve"> </w:t>
      </w:r>
      <w:bookmarkStart w:id="5" w:name="_Ref19544084"/>
      <w:r w:rsidR="008421DF">
        <w:rPr>
          <w:rFonts w:ascii="Verdana" w:hAnsi="Verdana"/>
          <w:sz w:val="20"/>
          <w:lang w:val="es-CO"/>
        </w:rPr>
        <w:t>E</w:t>
      </w:r>
      <w:r w:rsidRPr="006B4C2A">
        <w:rPr>
          <w:rFonts w:ascii="Verdana" w:hAnsi="Verdana"/>
          <w:sz w:val="20"/>
          <w:lang w:val="es-CO"/>
        </w:rPr>
        <w:t xml:space="preserve">n </w:t>
      </w:r>
      <w:r w:rsidR="00CC22A2">
        <w:rPr>
          <w:rFonts w:ascii="Verdana" w:hAnsi="Verdana"/>
          <w:sz w:val="20"/>
          <w:lang w:val="es-CO"/>
        </w:rPr>
        <w:t xml:space="preserve">febrero de 2019 </w:t>
      </w:r>
      <w:bookmarkEnd w:id="4"/>
      <w:r w:rsidR="009E7B30" w:rsidRPr="006B4C2A">
        <w:rPr>
          <w:rFonts w:ascii="Verdana" w:hAnsi="Verdana" w:cs="Arial"/>
          <w:sz w:val="20"/>
          <w:shd w:val="clear" w:color="auto" w:fill="FFFFFF"/>
          <w:lang w:val="es-CO"/>
        </w:rPr>
        <w:t>comunicó</w:t>
      </w:r>
      <w:r w:rsidR="00A41415" w:rsidRPr="00CC22A2">
        <w:rPr>
          <w:rFonts w:ascii="Verdana" w:hAnsi="Verdana" w:cs="Arial"/>
          <w:sz w:val="20"/>
          <w:shd w:val="clear" w:color="auto" w:fill="FFFFFF"/>
          <w:lang w:val="es-CO"/>
        </w:rPr>
        <w:t xml:space="preserve"> que el dinero para la c</w:t>
      </w:r>
      <w:r w:rsidR="00650D40" w:rsidRPr="00CC22A2">
        <w:rPr>
          <w:rFonts w:ascii="Verdana" w:hAnsi="Verdana" w:cs="Arial"/>
          <w:sz w:val="20"/>
          <w:shd w:val="clear" w:color="auto" w:fill="FFFFFF"/>
          <w:lang w:val="es-CO"/>
        </w:rPr>
        <w:t xml:space="preserve">onstrucción </w:t>
      </w:r>
      <w:r w:rsidR="00A63DCD" w:rsidRPr="00CC22A2">
        <w:rPr>
          <w:rFonts w:ascii="Verdana" w:hAnsi="Verdana" w:cs="Arial"/>
          <w:sz w:val="20"/>
          <w:shd w:val="clear" w:color="auto" w:fill="FFFFFF"/>
          <w:lang w:val="es-CO"/>
        </w:rPr>
        <w:t>d</w:t>
      </w:r>
      <w:r w:rsidR="00650D40" w:rsidRPr="00CC22A2">
        <w:rPr>
          <w:rFonts w:ascii="Verdana" w:hAnsi="Verdana" w:cs="Arial"/>
          <w:sz w:val="20"/>
          <w:shd w:val="clear" w:color="auto" w:fill="FFFFFF"/>
          <w:lang w:val="es-CO"/>
        </w:rPr>
        <w:t>el monumento se enco</w:t>
      </w:r>
      <w:r w:rsidR="00A41415" w:rsidRPr="00CC22A2">
        <w:rPr>
          <w:rFonts w:ascii="Verdana" w:hAnsi="Verdana" w:cs="Arial"/>
          <w:sz w:val="20"/>
          <w:shd w:val="clear" w:color="auto" w:fill="FFFFFF"/>
          <w:lang w:val="es-CO"/>
        </w:rPr>
        <w:t>ntra</w:t>
      </w:r>
      <w:r w:rsidR="00650D40" w:rsidRPr="00CC22A2">
        <w:rPr>
          <w:rFonts w:ascii="Verdana" w:hAnsi="Verdana" w:cs="Arial"/>
          <w:sz w:val="20"/>
          <w:shd w:val="clear" w:color="auto" w:fill="FFFFFF"/>
          <w:lang w:val="es-CO"/>
        </w:rPr>
        <w:t>ba</w:t>
      </w:r>
      <w:r w:rsidR="00A41415" w:rsidRPr="00CC22A2">
        <w:rPr>
          <w:rFonts w:ascii="Verdana" w:hAnsi="Verdana" w:cs="Arial"/>
          <w:sz w:val="20"/>
          <w:shd w:val="clear" w:color="auto" w:fill="FFFFFF"/>
          <w:lang w:val="es-CO"/>
        </w:rPr>
        <w:t xml:space="preserve"> en las </w:t>
      </w:r>
      <w:r w:rsidR="000E3FF4" w:rsidRPr="00CC22A2">
        <w:rPr>
          <w:rFonts w:ascii="Verdana" w:hAnsi="Verdana" w:cs="Arial"/>
          <w:sz w:val="20"/>
          <w:shd w:val="clear" w:color="auto" w:fill="FFFFFF"/>
          <w:lang w:val="es-CO"/>
        </w:rPr>
        <w:t>c</w:t>
      </w:r>
      <w:r w:rsidR="00A41415" w:rsidRPr="00CC22A2">
        <w:rPr>
          <w:rFonts w:ascii="Verdana" w:hAnsi="Verdana" w:cs="Arial"/>
          <w:sz w:val="20"/>
          <w:shd w:val="clear" w:color="auto" w:fill="FFFFFF"/>
          <w:lang w:val="es-CO"/>
        </w:rPr>
        <w:t>uentas bancarias del Estado “debido a que aún no se concreta el lugar exacto donde deberá ser construido”</w:t>
      </w:r>
      <w:r w:rsidR="000E3FF4" w:rsidRPr="00CC22A2">
        <w:rPr>
          <w:rFonts w:ascii="Verdana" w:hAnsi="Verdana" w:cs="Arial"/>
          <w:sz w:val="20"/>
          <w:shd w:val="clear" w:color="auto" w:fill="FFFFFF"/>
          <w:lang w:val="es-CO"/>
        </w:rPr>
        <w:t xml:space="preserve">. </w:t>
      </w:r>
      <w:r w:rsidR="005E0A6C">
        <w:rPr>
          <w:rFonts w:ascii="Verdana" w:hAnsi="Verdana" w:cs="Arial"/>
          <w:sz w:val="20"/>
          <w:shd w:val="clear" w:color="auto" w:fill="FFFFFF"/>
          <w:lang w:val="es-CO"/>
        </w:rPr>
        <w:t>R</w:t>
      </w:r>
      <w:r w:rsidR="000E3FF4" w:rsidRPr="00CC22A2">
        <w:rPr>
          <w:rFonts w:ascii="Verdana" w:hAnsi="Verdana" w:cs="Arial"/>
          <w:sz w:val="20"/>
          <w:shd w:val="clear" w:color="auto" w:fill="FFFFFF"/>
          <w:lang w:val="es-CO"/>
        </w:rPr>
        <w:t>especto</w:t>
      </w:r>
      <w:r w:rsidR="005E0A6C">
        <w:rPr>
          <w:rFonts w:ascii="Verdana" w:hAnsi="Verdana" w:cs="Arial"/>
          <w:sz w:val="20"/>
          <w:shd w:val="clear" w:color="auto" w:fill="FFFFFF"/>
          <w:lang w:val="es-CO"/>
        </w:rPr>
        <w:t xml:space="preserve"> </w:t>
      </w:r>
      <w:r w:rsidR="002767E0">
        <w:rPr>
          <w:rFonts w:ascii="Verdana" w:hAnsi="Verdana" w:cs="Arial"/>
          <w:sz w:val="20"/>
          <w:shd w:val="clear" w:color="auto" w:fill="FFFFFF"/>
          <w:lang w:val="es-CO"/>
        </w:rPr>
        <w:t>a dicho</w:t>
      </w:r>
      <w:r w:rsidR="005E0A6C">
        <w:rPr>
          <w:rFonts w:ascii="Verdana" w:hAnsi="Verdana" w:cs="Arial"/>
          <w:sz w:val="20"/>
          <w:shd w:val="clear" w:color="auto" w:fill="FFFFFF"/>
          <w:lang w:val="es-CO"/>
        </w:rPr>
        <w:t xml:space="preserve"> lugar</w:t>
      </w:r>
      <w:r w:rsidR="000E3FF4" w:rsidRPr="00CC22A2">
        <w:rPr>
          <w:rFonts w:ascii="Verdana" w:hAnsi="Verdana" w:cs="Arial"/>
          <w:sz w:val="20"/>
          <w:shd w:val="clear" w:color="auto" w:fill="FFFFFF"/>
          <w:lang w:val="es-CO"/>
        </w:rPr>
        <w:t xml:space="preserve">, </w:t>
      </w:r>
      <w:r w:rsidR="009E7B30" w:rsidRPr="00CC22A2">
        <w:rPr>
          <w:rFonts w:ascii="Verdana" w:hAnsi="Verdana" w:cs="Arial"/>
          <w:sz w:val="20"/>
          <w:shd w:val="clear" w:color="auto" w:fill="FFFFFF"/>
          <w:lang w:val="es-CO"/>
        </w:rPr>
        <w:t>Honduras sostuvo</w:t>
      </w:r>
      <w:r w:rsidR="000E3FF4" w:rsidRPr="00CC22A2">
        <w:rPr>
          <w:rFonts w:ascii="Verdana" w:hAnsi="Verdana" w:cs="Arial"/>
          <w:sz w:val="20"/>
          <w:shd w:val="clear" w:color="auto" w:fill="FFFFFF"/>
          <w:lang w:val="es-CO"/>
        </w:rPr>
        <w:t xml:space="preserve"> que</w:t>
      </w:r>
      <w:r w:rsidR="009E7B30" w:rsidRPr="00CC22A2">
        <w:rPr>
          <w:rFonts w:ascii="Verdana" w:hAnsi="Verdana" w:cs="Arial"/>
          <w:sz w:val="20"/>
          <w:shd w:val="clear" w:color="auto" w:fill="FFFFFF"/>
          <w:lang w:val="es-CO"/>
        </w:rPr>
        <w:t>,</w:t>
      </w:r>
      <w:r w:rsidR="000E3FF4" w:rsidRPr="00CC22A2">
        <w:rPr>
          <w:rFonts w:ascii="Verdana" w:hAnsi="Verdana" w:cs="Arial"/>
          <w:sz w:val="20"/>
          <w:shd w:val="clear" w:color="auto" w:fill="FFFFFF"/>
          <w:lang w:val="es-CO"/>
        </w:rPr>
        <w:t xml:space="preserve"> “de conformidad al párrafo 205 [de la Sentencia], </w:t>
      </w:r>
      <w:proofErr w:type="gramStart"/>
      <w:r w:rsidR="009E7B30" w:rsidRPr="00CC22A2">
        <w:rPr>
          <w:rFonts w:ascii="Verdana" w:hAnsi="Verdana" w:cs="Arial"/>
          <w:sz w:val="20"/>
          <w:shd w:val="clear" w:color="auto" w:fill="FFFFFF"/>
          <w:lang w:val="es-CO"/>
        </w:rPr>
        <w:t xml:space="preserve">[...]  </w:t>
      </w:r>
      <w:r w:rsidR="000E3FF4" w:rsidRPr="00CC22A2">
        <w:rPr>
          <w:rFonts w:ascii="Verdana" w:hAnsi="Verdana" w:cs="Arial"/>
          <w:sz w:val="20"/>
          <w:shd w:val="clear" w:color="auto" w:fill="FFFFFF"/>
          <w:lang w:val="es-CO"/>
        </w:rPr>
        <w:t>se</w:t>
      </w:r>
      <w:proofErr w:type="gramEnd"/>
      <w:r w:rsidR="000E3FF4" w:rsidRPr="00CC22A2">
        <w:rPr>
          <w:rFonts w:ascii="Verdana" w:hAnsi="Verdana" w:cs="Arial"/>
          <w:sz w:val="20"/>
          <w:shd w:val="clear" w:color="auto" w:fill="FFFFFF"/>
          <w:lang w:val="es-CO"/>
        </w:rPr>
        <w:t xml:space="preserve"> encontraba de acuerdo con la construcción del monumento en el lugar que designen los representantes y familiares dentro del perímetro del parque nacional </w:t>
      </w:r>
      <w:r w:rsidR="007B61E4" w:rsidRPr="00CC22A2">
        <w:rPr>
          <w:rFonts w:ascii="Verdana" w:hAnsi="Verdana" w:cs="Arial"/>
          <w:sz w:val="20"/>
          <w:shd w:val="clear" w:color="auto" w:fill="FFFFFF"/>
          <w:lang w:val="es-CO"/>
        </w:rPr>
        <w:t xml:space="preserve">Blanca </w:t>
      </w:r>
      <w:proofErr w:type="spellStart"/>
      <w:r w:rsidR="007B61E4" w:rsidRPr="00CC22A2">
        <w:rPr>
          <w:rFonts w:ascii="Verdana" w:hAnsi="Verdana" w:cs="Arial"/>
          <w:sz w:val="20"/>
          <w:shd w:val="clear" w:color="auto" w:fill="FFFFFF"/>
          <w:lang w:val="es-CO"/>
        </w:rPr>
        <w:t>Jeannete</w:t>
      </w:r>
      <w:proofErr w:type="spellEnd"/>
      <w:r w:rsidR="007B61E4" w:rsidRPr="00CC22A2">
        <w:rPr>
          <w:rFonts w:ascii="Verdana" w:hAnsi="Verdana" w:cs="Arial"/>
          <w:sz w:val="20"/>
          <w:shd w:val="clear" w:color="auto" w:fill="FFFFFF"/>
          <w:lang w:val="es-CO"/>
        </w:rPr>
        <w:t xml:space="preserve"> </w:t>
      </w:r>
      <w:proofErr w:type="spellStart"/>
      <w:r w:rsidR="007B61E4" w:rsidRPr="00CC22A2">
        <w:rPr>
          <w:rFonts w:ascii="Verdana" w:hAnsi="Verdana" w:cs="Arial"/>
          <w:sz w:val="20"/>
          <w:shd w:val="clear" w:color="auto" w:fill="FFFFFF"/>
          <w:lang w:val="es-CO"/>
        </w:rPr>
        <w:t>Kawas</w:t>
      </w:r>
      <w:proofErr w:type="spellEnd"/>
      <w:r w:rsidR="007B61E4" w:rsidRPr="00CC22A2">
        <w:rPr>
          <w:rFonts w:ascii="Verdana" w:hAnsi="Verdana" w:cs="Arial"/>
          <w:sz w:val="20"/>
          <w:shd w:val="clear" w:color="auto" w:fill="FFFFFF"/>
          <w:lang w:val="es-CO"/>
        </w:rPr>
        <w:t xml:space="preserve"> Fernández</w:t>
      </w:r>
      <w:r w:rsidR="000951D4" w:rsidRPr="00CC22A2">
        <w:rPr>
          <w:rFonts w:ascii="Verdana" w:hAnsi="Verdana" w:cs="Arial"/>
          <w:sz w:val="20"/>
          <w:shd w:val="clear" w:color="auto" w:fill="FFFFFF"/>
          <w:lang w:val="es-CO"/>
        </w:rPr>
        <w:t>”</w:t>
      </w:r>
      <w:r w:rsidR="007B61E4" w:rsidRPr="00CC22A2">
        <w:rPr>
          <w:rFonts w:ascii="Verdana" w:hAnsi="Verdana" w:cs="Arial"/>
          <w:sz w:val="20"/>
          <w:shd w:val="clear" w:color="auto" w:fill="FFFFFF"/>
          <w:lang w:val="es-CO"/>
        </w:rPr>
        <w:t>.</w:t>
      </w:r>
      <w:r w:rsidR="000E3FF4" w:rsidRPr="00CC22A2">
        <w:rPr>
          <w:rFonts w:ascii="Verdana" w:hAnsi="Verdana" w:cs="Arial"/>
          <w:sz w:val="20"/>
          <w:shd w:val="clear" w:color="auto" w:fill="FFFFFF"/>
          <w:lang w:val="es-CO"/>
        </w:rPr>
        <w:t xml:space="preserve"> </w:t>
      </w:r>
      <w:r w:rsidR="000951D4" w:rsidRPr="00CC22A2">
        <w:rPr>
          <w:rFonts w:ascii="Verdana" w:hAnsi="Verdana" w:cs="Arial"/>
          <w:sz w:val="20"/>
          <w:shd w:val="clear" w:color="auto" w:fill="FFFFFF"/>
          <w:lang w:val="es-CO"/>
        </w:rPr>
        <w:t xml:space="preserve">También sostuvo que los representantes </w:t>
      </w:r>
      <w:r w:rsidR="005E0A6C">
        <w:rPr>
          <w:rFonts w:ascii="Verdana" w:hAnsi="Verdana" w:cs="Arial"/>
          <w:sz w:val="20"/>
          <w:shd w:val="clear" w:color="auto" w:fill="FFFFFF"/>
          <w:lang w:val="es-CO"/>
        </w:rPr>
        <w:t xml:space="preserve">pretenden que se construya </w:t>
      </w:r>
      <w:r w:rsidR="000951D4" w:rsidRPr="00CC22A2">
        <w:rPr>
          <w:rFonts w:ascii="Verdana" w:hAnsi="Verdana" w:cs="Arial"/>
          <w:sz w:val="20"/>
          <w:shd w:val="clear" w:color="auto" w:fill="FFFFFF"/>
          <w:lang w:val="es-CO"/>
        </w:rPr>
        <w:t>“</w:t>
      </w:r>
      <w:r w:rsidR="000E3FF4" w:rsidRPr="005E0A6C">
        <w:rPr>
          <w:rFonts w:ascii="Verdana" w:hAnsi="Verdana" w:cs="Arial"/>
          <w:sz w:val="20"/>
          <w:shd w:val="clear" w:color="auto" w:fill="FFFFFF"/>
          <w:lang w:val="es-CO"/>
        </w:rPr>
        <w:t xml:space="preserve">en el parque central de la ciudad de Tela, Atlántida, cambiando así lo dispuesto en la sentencia”. </w:t>
      </w:r>
      <w:r w:rsidR="00577C4B" w:rsidRPr="005E0A6C">
        <w:rPr>
          <w:rFonts w:ascii="Verdana" w:hAnsi="Verdana" w:cs="Arial"/>
          <w:sz w:val="20"/>
          <w:shd w:val="clear" w:color="auto" w:fill="FFFFFF"/>
          <w:lang w:val="es-CO"/>
        </w:rPr>
        <w:t xml:space="preserve">Por ello, </w:t>
      </w:r>
      <w:r w:rsidR="000951D4" w:rsidRPr="005E0A6C">
        <w:rPr>
          <w:rFonts w:ascii="Verdana" w:hAnsi="Verdana" w:cs="Arial"/>
          <w:sz w:val="20"/>
          <w:shd w:val="clear" w:color="auto" w:fill="FFFFFF"/>
          <w:lang w:val="es-CO"/>
        </w:rPr>
        <w:t xml:space="preserve">Honduras </w:t>
      </w:r>
      <w:r w:rsidR="00577C4B" w:rsidRPr="005E0A6C">
        <w:rPr>
          <w:rFonts w:ascii="Verdana" w:hAnsi="Verdana" w:cs="Arial"/>
          <w:sz w:val="20"/>
          <w:shd w:val="clear" w:color="auto" w:fill="FFFFFF"/>
          <w:lang w:val="es-CO"/>
        </w:rPr>
        <w:t>solicitó a la Corte que “brinde su parecer sobre el lugar donde deberá ser construido el […] monumento y poder dar cumplimiento al punto resolutivo”</w:t>
      </w:r>
      <w:r w:rsidR="00577C4B">
        <w:rPr>
          <w:rStyle w:val="Refdenotaalpie"/>
          <w:rFonts w:ascii="Verdana" w:hAnsi="Verdana" w:cs="Arial"/>
          <w:sz w:val="20"/>
          <w:shd w:val="clear" w:color="auto" w:fill="FFFFFF"/>
          <w:lang w:val="es-CO"/>
        </w:rPr>
        <w:footnoteReference w:id="12"/>
      </w:r>
      <w:r w:rsidR="00577C4B" w:rsidRPr="006B4C2A">
        <w:rPr>
          <w:rFonts w:ascii="Verdana" w:hAnsi="Verdana" w:cs="Arial"/>
          <w:sz w:val="20"/>
          <w:shd w:val="clear" w:color="auto" w:fill="FFFFFF"/>
          <w:lang w:val="es-CO"/>
        </w:rPr>
        <w:t xml:space="preserve">. </w:t>
      </w:r>
      <w:r w:rsidR="007B5427" w:rsidRPr="00CC22A2">
        <w:rPr>
          <w:rFonts w:ascii="Verdana" w:hAnsi="Verdana" w:cs="Arial"/>
          <w:sz w:val="20"/>
          <w:shd w:val="clear" w:color="auto" w:fill="FFFFFF"/>
          <w:lang w:val="es-CO"/>
        </w:rPr>
        <w:t>Con respecto a la rotulación</w:t>
      </w:r>
      <w:r w:rsidR="00456128">
        <w:rPr>
          <w:rFonts w:ascii="Verdana" w:hAnsi="Verdana" w:cs="Arial"/>
          <w:sz w:val="20"/>
          <w:shd w:val="clear" w:color="auto" w:fill="FFFFFF"/>
          <w:lang w:val="es-CO"/>
        </w:rPr>
        <w:t xml:space="preserve"> del Parque </w:t>
      </w:r>
      <w:r w:rsidR="00456128">
        <w:rPr>
          <w:rFonts w:ascii="Verdana" w:hAnsi="Verdana"/>
          <w:sz w:val="20"/>
        </w:rPr>
        <w:t>Nacional que lleva el</w:t>
      </w:r>
      <w:r w:rsidR="00456128" w:rsidRPr="00CA1286">
        <w:rPr>
          <w:rFonts w:ascii="Verdana" w:hAnsi="Verdana"/>
          <w:sz w:val="20"/>
        </w:rPr>
        <w:t xml:space="preserve"> nombre</w:t>
      </w:r>
      <w:r w:rsidR="00456128">
        <w:rPr>
          <w:rFonts w:ascii="Verdana" w:hAnsi="Verdana"/>
          <w:sz w:val="20"/>
        </w:rPr>
        <w:t xml:space="preserve"> de la señora </w:t>
      </w:r>
      <w:proofErr w:type="spellStart"/>
      <w:r w:rsidR="00456128">
        <w:rPr>
          <w:rFonts w:ascii="Verdana" w:hAnsi="Verdana"/>
          <w:sz w:val="20"/>
        </w:rPr>
        <w:t>Kawas</w:t>
      </w:r>
      <w:proofErr w:type="spellEnd"/>
      <w:r w:rsidR="00456128">
        <w:rPr>
          <w:rFonts w:ascii="Verdana" w:hAnsi="Verdana"/>
          <w:sz w:val="20"/>
        </w:rPr>
        <w:t xml:space="preserve"> Fernández</w:t>
      </w:r>
      <w:r w:rsidR="007B5427" w:rsidRPr="00CC22A2">
        <w:rPr>
          <w:rFonts w:ascii="Verdana" w:hAnsi="Verdana" w:cs="Arial"/>
          <w:sz w:val="20"/>
          <w:shd w:val="clear" w:color="auto" w:fill="FFFFFF"/>
          <w:lang w:val="es-CO"/>
        </w:rPr>
        <w:t xml:space="preserve">, </w:t>
      </w:r>
      <w:r w:rsidR="00732947">
        <w:rPr>
          <w:rFonts w:ascii="Verdana" w:hAnsi="Verdana" w:cs="Arial"/>
          <w:sz w:val="20"/>
          <w:shd w:val="clear" w:color="auto" w:fill="FFFFFF"/>
          <w:lang w:val="es-CO"/>
        </w:rPr>
        <w:t xml:space="preserve">en enero de 2019 </w:t>
      </w:r>
      <w:r w:rsidR="007B5427" w:rsidRPr="00CC22A2">
        <w:rPr>
          <w:rFonts w:ascii="Verdana" w:hAnsi="Verdana" w:cs="Arial"/>
          <w:sz w:val="20"/>
          <w:shd w:val="clear" w:color="auto" w:fill="FFFFFF"/>
          <w:lang w:val="es-CO"/>
        </w:rPr>
        <w:t>el Estado indicó que</w:t>
      </w:r>
      <w:r w:rsidR="00456128">
        <w:rPr>
          <w:rFonts w:ascii="Verdana" w:hAnsi="Verdana" w:cs="Arial"/>
          <w:sz w:val="20"/>
          <w:shd w:val="clear" w:color="auto" w:fill="FFFFFF"/>
          <w:lang w:val="es-CO"/>
        </w:rPr>
        <w:t>,</w:t>
      </w:r>
      <w:r w:rsidR="007B5427" w:rsidRPr="00CC22A2">
        <w:rPr>
          <w:rFonts w:ascii="Verdana" w:hAnsi="Verdana" w:cs="Arial"/>
          <w:sz w:val="20"/>
          <w:shd w:val="clear" w:color="auto" w:fill="FFFFFF"/>
          <w:lang w:val="es-CO"/>
        </w:rPr>
        <w:t xml:space="preserve"> si bien “la sentencia </w:t>
      </w:r>
      <w:r w:rsidR="007B5427" w:rsidRPr="00CC22A2">
        <w:rPr>
          <w:rFonts w:ascii="Verdana" w:hAnsi="Verdana" w:cs="Arial"/>
          <w:sz w:val="20"/>
          <w:shd w:val="clear" w:color="auto" w:fill="FFFFFF"/>
          <w:lang w:val="es-CO"/>
        </w:rPr>
        <w:lastRenderedPageBreak/>
        <w:t xml:space="preserve">establece que ésta deberá de efectuarse en el Parque […] los peticionarios han solicitado […] la posibilidad que 3 de los rótulos sean colocados en el centro de la ciudad de Tela”, </w:t>
      </w:r>
      <w:r w:rsidR="004D0276">
        <w:rPr>
          <w:rFonts w:ascii="Verdana" w:hAnsi="Verdana" w:cs="Arial"/>
          <w:sz w:val="20"/>
          <w:shd w:val="clear" w:color="auto" w:fill="FFFFFF"/>
          <w:lang w:val="es-CO"/>
        </w:rPr>
        <w:t xml:space="preserve">agregando que </w:t>
      </w:r>
      <w:r w:rsidR="007B5427" w:rsidRPr="00CC22A2">
        <w:rPr>
          <w:rFonts w:ascii="Verdana" w:hAnsi="Verdana" w:cs="Arial"/>
          <w:sz w:val="20"/>
          <w:shd w:val="clear" w:color="auto" w:fill="FFFFFF"/>
          <w:lang w:val="es-CO"/>
        </w:rPr>
        <w:t>“para el Estado de Honduras no existe inconveniente en cuanto a lo solicitado”</w:t>
      </w:r>
      <w:r w:rsidR="007B5427">
        <w:rPr>
          <w:rStyle w:val="Refdenotaalpie"/>
          <w:rFonts w:ascii="Verdana" w:hAnsi="Verdana" w:cs="Arial"/>
          <w:sz w:val="20"/>
          <w:shd w:val="clear" w:color="auto" w:fill="FFFFFF"/>
          <w:lang w:val="es-CO"/>
        </w:rPr>
        <w:footnoteReference w:id="13"/>
      </w:r>
      <w:r w:rsidR="007B5427" w:rsidRPr="006B4C2A">
        <w:rPr>
          <w:rFonts w:ascii="Verdana" w:hAnsi="Verdana" w:cs="Arial"/>
          <w:sz w:val="20"/>
          <w:shd w:val="clear" w:color="auto" w:fill="FFFFFF"/>
          <w:lang w:val="es-CO"/>
        </w:rPr>
        <w:t>.</w:t>
      </w:r>
      <w:bookmarkEnd w:id="5"/>
    </w:p>
    <w:p w14:paraId="7D870D7D" w14:textId="5FB2A054" w:rsidR="007B5427" w:rsidRPr="00CA1286" w:rsidRDefault="00A63DCD" w:rsidP="007B79F5">
      <w:pPr>
        <w:numPr>
          <w:ilvl w:val="0"/>
          <w:numId w:val="7"/>
        </w:numPr>
        <w:tabs>
          <w:tab w:val="left" w:pos="709"/>
        </w:tabs>
        <w:spacing w:before="120" w:after="120"/>
        <w:ind w:left="0" w:firstLine="0"/>
        <w:jc w:val="both"/>
        <w:rPr>
          <w:rFonts w:ascii="Verdana" w:hAnsi="Verdana"/>
          <w:sz w:val="20"/>
          <w:lang w:val="es-CO"/>
        </w:rPr>
      </w:pPr>
      <w:r>
        <w:rPr>
          <w:rFonts w:ascii="Verdana" w:hAnsi="Verdana" w:cs="Arial"/>
          <w:sz w:val="20"/>
          <w:shd w:val="clear" w:color="auto" w:fill="FFFFFF"/>
          <w:lang w:val="es-CO"/>
        </w:rPr>
        <w:t xml:space="preserve">En </w:t>
      </w:r>
      <w:r w:rsidR="006B3382">
        <w:rPr>
          <w:rFonts w:ascii="Verdana" w:hAnsi="Verdana" w:cs="Arial"/>
          <w:sz w:val="20"/>
          <w:shd w:val="clear" w:color="auto" w:fill="FFFFFF"/>
          <w:lang w:val="es-CO"/>
        </w:rPr>
        <w:t>marzo</w:t>
      </w:r>
      <w:r w:rsidR="00AC4440">
        <w:rPr>
          <w:rFonts w:ascii="Verdana" w:hAnsi="Verdana" w:cs="Arial"/>
          <w:sz w:val="20"/>
          <w:shd w:val="clear" w:color="auto" w:fill="FFFFFF"/>
          <w:lang w:val="es-CO"/>
        </w:rPr>
        <w:t xml:space="preserve"> de 2019</w:t>
      </w:r>
      <w:r w:rsidR="00F034D4">
        <w:rPr>
          <w:rFonts w:ascii="Verdana" w:hAnsi="Verdana" w:cs="Arial"/>
          <w:sz w:val="20"/>
          <w:shd w:val="clear" w:color="auto" w:fill="FFFFFF"/>
          <w:lang w:val="es-CO"/>
        </w:rPr>
        <w:t xml:space="preserve"> l</w:t>
      </w:r>
      <w:r w:rsidR="00573FDD">
        <w:rPr>
          <w:rFonts w:ascii="Verdana" w:hAnsi="Verdana" w:cs="Arial"/>
          <w:sz w:val="20"/>
          <w:shd w:val="clear" w:color="auto" w:fill="FFFFFF"/>
          <w:lang w:val="es-CO"/>
        </w:rPr>
        <w:t xml:space="preserve">os representantes observaron que “en los últimos meses, </w:t>
      </w:r>
      <w:r w:rsidR="00573FDD" w:rsidRPr="007B79F5">
        <w:rPr>
          <w:rFonts w:ascii="Verdana" w:hAnsi="Verdana" w:cs="Arial"/>
          <w:sz w:val="20"/>
          <w:shd w:val="clear" w:color="auto" w:fill="FFFFFF"/>
          <w:lang w:val="es-AR"/>
        </w:rPr>
        <w:t>se han reactivado las acciones por parte del Estado para</w:t>
      </w:r>
      <w:r w:rsidR="00573FDD">
        <w:rPr>
          <w:rFonts w:ascii="Verdana" w:hAnsi="Verdana" w:cs="Arial"/>
          <w:sz w:val="20"/>
          <w:shd w:val="clear" w:color="auto" w:fill="FFFFFF"/>
          <w:lang w:val="es-AR"/>
        </w:rPr>
        <w:t xml:space="preserve"> </w:t>
      </w:r>
      <w:r w:rsidR="00573FDD" w:rsidRPr="007B79F5">
        <w:rPr>
          <w:rFonts w:ascii="Verdana" w:hAnsi="Verdana" w:cs="Arial"/>
          <w:sz w:val="20"/>
          <w:shd w:val="clear" w:color="auto" w:fill="FFFFFF"/>
          <w:lang w:val="es-AR"/>
        </w:rPr>
        <w:t>comenzar la construcción del monumento y colocar los rótulos en el parque nacional</w:t>
      </w:r>
      <w:r w:rsidR="00573FDD">
        <w:rPr>
          <w:rFonts w:ascii="Verdana" w:hAnsi="Verdana" w:cs="Arial"/>
          <w:sz w:val="20"/>
          <w:shd w:val="clear" w:color="auto" w:fill="FFFFFF"/>
          <w:lang w:val="es-AR"/>
        </w:rPr>
        <w:t>”</w:t>
      </w:r>
      <w:r w:rsidR="006B3382">
        <w:rPr>
          <w:rStyle w:val="Refdenotaalpie"/>
          <w:rFonts w:ascii="Verdana" w:hAnsi="Verdana" w:cs="Arial"/>
          <w:sz w:val="20"/>
          <w:shd w:val="clear" w:color="auto" w:fill="FFFFFF"/>
          <w:lang w:val="es-AR"/>
        </w:rPr>
        <w:footnoteReference w:id="14"/>
      </w:r>
      <w:r w:rsidR="00573FDD">
        <w:rPr>
          <w:rFonts w:ascii="Verdana" w:hAnsi="Verdana" w:cs="Arial"/>
          <w:sz w:val="20"/>
          <w:shd w:val="clear" w:color="auto" w:fill="FFFFFF"/>
          <w:lang w:val="es-AR"/>
        </w:rPr>
        <w:t xml:space="preserve">. </w:t>
      </w:r>
      <w:r w:rsidR="007B5427">
        <w:rPr>
          <w:rFonts w:ascii="Verdana" w:hAnsi="Verdana" w:cs="Arial"/>
          <w:sz w:val="20"/>
          <w:shd w:val="clear" w:color="auto" w:fill="FFFFFF"/>
          <w:lang w:val="es-AR"/>
        </w:rPr>
        <w:t>R</w:t>
      </w:r>
      <w:r w:rsidR="00573FDD">
        <w:rPr>
          <w:rFonts w:ascii="Verdana" w:hAnsi="Verdana" w:cs="Arial"/>
          <w:sz w:val="20"/>
          <w:shd w:val="clear" w:color="auto" w:fill="FFFFFF"/>
          <w:lang w:val="es-AR"/>
        </w:rPr>
        <w:t>efirieron que el 28 de febrero de 2019 remitieron una comunicación a la Procuraduría General de la República solicitando “que el monumento se erija en el Parque Central de la municipalidad de Tela”</w:t>
      </w:r>
      <w:r w:rsidR="007B5427">
        <w:rPr>
          <w:rFonts w:ascii="Verdana" w:hAnsi="Verdana" w:cs="Arial"/>
          <w:sz w:val="20"/>
          <w:shd w:val="clear" w:color="auto" w:fill="FFFFFF"/>
          <w:lang w:val="es-AR"/>
        </w:rPr>
        <w:t xml:space="preserve"> y que “3 de los 20 rótulos […] sean instalados fuera del perímetro del Parque Nacional, específicamente, en la zona del Boulevard Costero de Tela; ello con la finalidad de ampliar el alcance e impacto de esta medida”</w:t>
      </w:r>
      <w:r w:rsidR="00573FDD">
        <w:rPr>
          <w:rStyle w:val="Refdenotaalpie"/>
          <w:rFonts w:ascii="Verdana" w:hAnsi="Verdana" w:cs="Arial"/>
          <w:sz w:val="20"/>
          <w:shd w:val="clear" w:color="auto" w:fill="FFFFFF"/>
          <w:lang w:val="es-AR"/>
        </w:rPr>
        <w:footnoteReference w:id="15"/>
      </w:r>
      <w:r w:rsidR="007B5427">
        <w:rPr>
          <w:rFonts w:ascii="Verdana" w:hAnsi="Verdana" w:cs="Arial"/>
          <w:sz w:val="20"/>
          <w:shd w:val="clear" w:color="auto" w:fill="FFFFFF"/>
          <w:lang w:val="es-AR"/>
        </w:rPr>
        <w:t xml:space="preserve">. </w:t>
      </w:r>
      <w:r w:rsidR="00E2666E">
        <w:rPr>
          <w:rFonts w:ascii="Verdana" w:hAnsi="Verdana" w:cs="Arial"/>
          <w:sz w:val="20"/>
          <w:shd w:val="clear" w:color="auto" w:fill="FFFFFF"/>
          <w:lang w:val="es-AR"/>
        </w:rPr>
        <w:t>Informaron que, tras reunirse con las autoridades de la Municipalidad de Tela y de la Procuraduría General de la República para plantear este punto, “el alcalde […] se mostró anuente [a que el monumento se construyera en dicho sitio], aguardando la orden de las autoridades nacionales”, y r</w:t>
      </w:r>
      <w:r w:rsidR="007B5427">
        <w:rPr>
          <w:rFonts w:ascii="Verdana" w:hAnsi="Verdana" w:cs="Arial"/>
          <w:sz w:val="20"/>
          <w:shd w:val="clear" w:color="auto" w:fill="FFFFFF"/>
          <w:lang w:val="es-AR"/>
        </w:rPr>
        <w:t xml:space="preserve">emarcaron que esto revestía </w:t>
      </w:r>
      <w:r w:rsidR="007B5427" w:rsidRPr="007B79F5">
        <w:rPr>
          <w:rFonts w:ascii="Verdana" w:hAnsi="Verdana" w:cs="Arial"/>
          <w:sz w:val="20"/>
          <w:shd w:val="clear" w:color="auto" w:fill="FFFFFF"/>
          <w:lang w:val="es-AR"/>
        </w:rPr>
        <w:t>“una gran</w:t>
      </w:r>
      <w:r w:rsidR="007B5427">
        <w:rPr>
          <w:rFonts w:ascii="Verdana" w:hAnsi="Verdana" w:cs="Arial"/>
          <w:sz w:val="20"/>
          <w:shd w:val="clear" w:color="auto" w:fill="FFFFFF"/>
          <w:lang w:val="es-AR"/>
        </w:rPr>
        <w:t xml:space="preserve"> </w:t>
      </w:r>
      <w:r w:rsidR="007B5427" w:rsidRPr="007B79F5">
        <w:rPr>
          <w:rFonts w:ascii="Verdana" w:hAnsi="Verdana" w:cs="Arial"/>
          <w:sz w:val="20"/>
          <w:shd w:val="clear" w:color="auto" w:fill="FFFFFF"/>
          <w:lang w:val="es-AR"/>
        </w:rPr>
        <w:t>importancia para alcanzar los objetivos de esta medida</w:t>
      </w:r>
      <w:r w:rsidR="007B5427">
        <w:rPr>
          <w:rFonts w:ascii="Verdana" w:hAnsi="Verdana" w:cs="Arial"/>
          <w:sz w:val="20"/>
          <w:shd w:val="clear" w:color="auto" w:fill="FFFFFF"/>
          <w:lang w:val="es-AR"/>
        </w:rPr>
        <w:t xml:space="preserve">” ya que </w:t>
      </w:r>
      <w:r w:rsidR="007B5427" w:rsidRPr="007B79F5">
        <w:rPr>
          <w:rFonts w:ascii="Verdana" w:hAnsi="Verdana" w:cs="Arial"/>
          <w:sz w:val="20"/>
          <w:shd w:val="clear" w:color="auto" w:fill="FFFFFF"/>
          <w:lang w:val="es-AR"/>
        </w:rPr>
        <w:t>al</w:t>
      </w:r>
      <w:r w:rsidR="007B5427">
        <w:rPr>
          <w:rFonts w:ascii="Verdana" w:hAnsi="Verdana" w:cs="Arial"/>
          <w:sz w:val="20"/>
          <w:shd w:val="clear" w:color="auto" w:fill="FFFFFF"/>
          <w:lang w:val="es-AR"/>
        </w:rPr>
        <w:t xml:space="preserve"> </w:t>
      </w:r>
      <w:r w:rsidR="007B5427" w:rsidRPr="007B79F5">
        <w:rPr>
          <w:rFonts w:ascii="Verdana" w:hAnsi="Verdana" w:cs="Arial"/>
          <w:sz w:val="20"/>
          <w:shd w:val="clear" w:color="auto" w:fill="FFFFFF"/>
          <w:lang w:val="es-AR"/>
        </w:rPr>
        <w:t xml:space="preserve">ser instalados </w:t>
      </w:r>
      <w:r w:rsidR="00C97817">
        <w:rPr>
          <w:rFonts w:ascii="Verdana" w:hAnsi="Verdana" w:cs="Arial"/>
          <w:sz w:val="20"/>
          <w:shd w:val="clear" w:color="auto" w:fill="FFFFFF"/>
          <w:lang w:val="es-AR"/>
        </w:rPr>
        <w:t>allí</w:t>
      </w:r>
      <w:r w:rsidR="007B5427" w:rsidRPr="007B79F5">
        <w:rPr>
          <w:rFonts w:ascii="Verdana" w:hAnsi="Verdana" w:cs="Arial"/>
          <w:sz w:val="20"/>
          <w:shd w:val="clear" w:color="auto" w:fill="FFFFFF"/>
          <w:lang w:val="es-AR"/>
        </w:rPr>
        <w:t xml:space="preserve"> tendrían </w:t>
      </w:r>
      <w:r w:rsidR="00E2666E">
        <w:rPr>
          <w:rFonts w:ascii="Verdana" w:hAnsi="Verdana" w:cs="Arial"/>
          <w:sz w:val="20"/>
          <w:shd w:val="clear" w:color="auto" w:fill="FFFFFF"/>
          <w:lang w:val="es-AR"/>
        </w:rPr>
        <w:t>“</w:t>
      </w:r>
      <w:r w:rsidR="007B5427" w:rsidRPr="007B79F5">
        <w:rPr>
          <w:rFonts w:ascii="Verdana" w:hAnsi="Verdana" w:cs="Arial"/>
          <w:sz w:val="20"/>
          <w:shd w:val="clear" w:color="auto" w:fill="FFFFFF"/>
          <w:lang w:val="es-AR"/>
        </w:rPr>
        <w:t>mayor visibilidad e impacto en la preservación de</w:t>
      </w:r>
      <w:r w:rsidR="007B5427">
        <w:rPr>
          <w:rFonts w:ascii="Verdana" w:hAnsi="Verdana" w:cs="Arial"/>
          <w:sz w:val="20"/>
          <w:shd w:val="clear" w:color="auto" w:fill="FFFFFF"/>
          <w:lang w:val="es-AR"/>
        </w:rPr>
        <w:t xml:space="preserve"> </w:t>
      </w:r>
      <w:r w:rsidR="007B5427" w:rsidRPr="007B79F5">
        <w:rPr>
          <w:rFonts w:ascii="Verdana" w:hAnsi="Verdana" w:cs="Arial"/>
          <w:sz w:val="20"/>
          <w:shd w:val="clear" w:color="auto" w:fill="FFFFFF"/>
          <w:lang w:val="es-AR"/>
        </w:rPr>
        <w:t xml:space="preserve">la memoria de la señora </w:t>
      </w:r>
      <w:proofErr w:type="spellStart"/>
      <w:r w:rsidR="007B5427" w:rsidRPr="007B79F5">
        <w:rPr>
          <w:rFonts w:ascii="Verdana" w:hAnsi="Verdana" w:cs="Arial"/>
          <w:sz w:val="20"/>
          <w:shd w:val="clear" w:color="auto" w:fill="FFFFFF"/>
          <w:lang w:val="es-AR"/>
        </w:rPr>
        <w:t>Kawas</w:t>
      </w:r>
      <w:proofErr w:type="spellEnd"/>
      <w:r w:rsidR="007B5427" w:rsidRPr="007B79F5">
        <w:rPr>
          <w:rFonts w:ascii="Verdana" w:hAnsi="Verdana" w:cs="Arial"/>
          <w:sz w:val="20"/>
          <w:shd w:val="clear" w:color="auto" w:fill="FFFFFF"/>
          <w:lang w:val="es-AR"/>
        </w:rPr>
        <w:t xml:space="preserve"> Fernández, pues son sitios de tránsito y encuentro de las</w:t>
      </w:r>
      <w:r w:rsidR="007B5427">
        <w:rPr>
          <w:rFonts w:ascii="Verdana" w:hAnsi="Verdana" w:cs="Arial"/>
          <w:sz w:val="20"/>
          <w:shd w:val="clear" w:color="auto" w:fill="FFFFFF"/>
          <w:lang w:val="es-AR"/>
        </w:rPr>
        <w:t xml:space="preserve"> </w:t>
      </w:r>
      <w:r w:rsidR="007B5427" w:rsidRPr="007B79F5">
        <w:rPr>
          <w:rFonts w:ascii="Verdana" w:hAnsi="Verdana" w:cs="Arial"/>
          <w:sz w:val="20"/>
          <w:shd w:val="clear" w:color="auto" w:fill="FFFFFF"/>
          <w:lang w:val="es-AR"/>
        </w:rPr>
        <w:t>personas que habitan o visitan Tela</w:t>
      </w:r>
      <w:r w:rsidR="007B5427">
        <w:rPr>
          <w:rFonts w:ascii="Verdana" w:hAnsi="Verdana" w:cs="Arial"/>
          <w:sz w:val="20"/>
          <w:shd w:val="clear" w:color="auto" w:fill="FFFFFF"/>
          <w:lang w:val="es-AR"/>
        </w:rPr>
        <w:t>”</w:t>
      </w:r>
      <w:r w:rsidR="007B5427" w:rsidRPr="007B79F5">
        <w:rPr>
          <w:rFonts w:ascii="Verdana" w:hAnsi="Verdana" w:cs="Arial"/>
          <w:sz w:val="20"/>
          <w:shd w:val="clear" w:color="auto" w:fill="FFFFFF"/>
          <w:lang w:val="es-AR"/>
        </w:rPr>
        <w:t>.</w:t>
      </w:r>
      <w:r w:rsidR="007B5427">
        <w:rPr>
          <w:rFonts w:ascii="Verdana" w:hAnsi="Verdana" w:cs="Arial"/>
          <w:sz w:val="20"/>
          <w:shd w:val="clear" w:color="auto" w:fill="FFFFFF"/>
          <w:lang w:val="es-AR"/>
        </w:rPr>
        <w:t xml:space="preserve"> Además, en referencia a lo señalado por el Estado respecto de lo establecido en el párrafo 205 de la Sentencia, enfatizaron que la medida or</w:t>
      </w:r>
      <w:r w:rsidR="00C97817">
        <w:rPr>
          <w:rFonts w:ascii="Verdana" w:hAnsi="Verdana" w:cs="Arial"/>
          <w:sz w:val="20"/>
          <w:shd w:val="clear" w:color="auto" w:fill="FFFFFF"/>
          <w:lang w:val="es-AR"/>
        </w:rPr>
        <w:t>denada en el punto resolutivo dé</w:t>
      </w:r>
      <w:r w:rsidR="007B5427">
        <w:rPr>
          <w:rFonts w:ascii="Verdana" w:hAnsi="Verdana" w:cs="Arial"/>
          <w:sz w:val="20"/>
          <w:shd w:val="clear" w:color="auto" w:fill="FFFFFF"/>
          <w:lang w:val="es-AR"/>
        </w:rPr>
        <w:t>cimo</w:t>
      </w:r>
      <w:r w:rsidR="00C97817">
        <w:rPr>
          <w:rFonts w:ascii="Verdana" w:hAnsi="Verdana" w:cs="Arial"/>
          <w:sz w:val="20"/>
          <w:shd w:val="clear" w:color="auto" w:fill="FFFFFF"/>
          <w:lang w:val="es-AR"/>
        </w:rPr>
        <w:t xml:space="preserve"> </w:t>
      </w:r>
      <w:r w:rsidR="007B5427">
        <w:rPr>
          <w:rFonts w:ascii="Verdana" w:hAnsi="Verdana" w:cs="Arial"/>
          <w:sz w:val="20"/>
          <w:shd w:val="clear" w:color="auto" w:fill="FFFFFF"/>
          <w:lang w:val="es-AR"/>
        </w:rPr>
        <w:t xml:space="preserve">segundo </w:t>
      </w:r>
      <w:r w:rsidR="00911992">
        <w:rPr>
          <w:rFonts w:ascii="Verdana" w:hAnsi="Verdana" w:cs="Arial"/>
          <w:sz w:val="20"/>
          <w:shd w:val="clear" w:color="auto" w:fill="FFFFFF"/>
          <w:lang w:val="es-AR"/>
        </w:rPr>
        <w:t>implica</w:t>
      </w:r>
      <w:r w:rsidR="007B5427">
        <w:rPr>
          <w:rFonts w:ascii="Verdana" w:hAnsi="Verdana" w:cs="Arial"/>
          <w:sz w:val="20"/>
          <w:shd w:val="clear" w:color="auto" w:fill="FFFFFF"/>
          <w:lang w:val="es-AR"/>
        </w:rPr>
        <w:t xml:space="preserve"> la construcción del monumento y rotulación del parque “en los términos del párrafo 206”, el cual a su vez establece que ello deberá hacerse “en los términos solicitados por los representantes”</w:t>
      </w:r>
      <w:r w:rsidR="007B5427">
        <w:rPr>
          <w:rStyle w:val="Refdenotaalpie"/>
          <w:rFonts w:ascii="Verdana" w:hAnsi="Verdana" w:cs="Arial"/>
          <w:sz w:val="20"/>
          <w:shd w:val="clear" w:color="auto" w:fill="FFFFFF"/>
          <w:lang w:val="es-AR"/>
        </w:rPr>
        <w:footnoteReference w:id="16"/>
      </w:r>
      <w:bookmarkStart w:id="6" w:name="_Ref19544013"/>
      <w:r w:rsidR="00C97817">
        <w:rPr>
          <w:rFonts w:ascii="Verdana" w:hAnsi="Verdana" w:cs="Arial"/>
          <w:sz w:val="20"/>
          <w:shd w:val="clear" w:color="auto" w:fill="FFFFFF"/>
          <w:lang w:val="es-AR"/>
        </w:rPr>
        <w:t>.</w:t>
      </w:r>
    </w:p>
    <w:bookmarkEnd w:id="6"/>
    <w:p w14:paraId="411D7B0E" w14:textId="4FCDF0B7" w:rsidR="00687122" w:rsidRPr="007B79F5" w:rsidRDefault="00633E57" w:rsidP="007B79F5">
      <w:pPr>
        <w:numPr>
          <w:ilvl w:val="0"/>
          <w:numId w:val="7"/>
        </w:numPr>
        <w:tabs>
          <w:tab w:val="left" w:pos="709"/>
        </w:tabs>
        <w:spacing w:before="120" w:after="120"/>
        <w:ind w:left="0" w:firstLine="0"/>
        <w:jc w:val="both"/>
        <w:rPr>
          <w:rFonts w:ascii="Verdana" w:hAnsi="Verdana"/>
          <w:sz w:val="20"/>
          <w:lang w:val="es-AR"/>
        </w:rPr>
      </w:pPr>
      <w:r>
        <w:rPr>
          <w:rFonts w:ascii="Verdana" w:hAnsi="Verdana"/>
          <w:sz w:val="20"/>
          <w:lang w:val="es-CO"/>
        </w:rPr>
        <w:t xml:space="preserve">Por su parte, </w:t>
      </w:r>
      <w:r w:rsidR="007E4312">
        <w:rPr>
          <w:rFonts w:ascii="Verdana" w:hAnsi="Verdana"/>
          <w:sz w:val="20"/>
          <w:lang w:val="es-CO"/>
        </w:rPr>
        <w:t>la Comisión “</w:t>
      </w:r>
      <w:proofErr w:type="spellStart"/>
      <w:r w:rsidR="007E4312">
        <w:rPr>
          <w:rFonts w:ascii="Verdana" w:hAnsi="Verdana"/>
          <w:sz w:val="20"/>
          <w:lang w:val="es-CO"/>
        </w:rPr>
        <w:t>tom</w:t>
      </w:r>
      <w:proofErr w:type="spellEnd"/>
      <w:r w:rsidR="007E4312">
        <w:rPr>
          <w:rFonts w:ascii="Verdana" w:hAnsi="Verdana"/>
          <w:sz w:val="20"/>
          <w:lang w:val="es-CO"/>
        </w:rPr>
        <w:t>[</w:t>
      </w:r>
      <w:proofErr w:type="spellStart"/>
      <w:r w:rsidR="007E4312">
        <w:rPr>
          <w:rFonts w:ascii="Verdana" w:hAnsi="Verdana"/>
          <w:sz w:val="20"/>
          <w:lang w:val="es-CO"/>
        </w:rPr>
        <w:t>ó</w:t>
      </w:r>
      <w:proofErr w:type="spellEnd"/>
      <w:r w:rsidR="007E4312">
        <w:rPr>
          <w:rFonts w:ascii="Verdana" w:hAnsi="Verdana"/>
          <w:sz w:val="20"/>
          <w:lang w:val="es-CO"/>
        </w:rPr>
        <w:t xml:space="preserve">] en consideración el diseño y presupuesto remitido para el monumento” y quedó “a la espera de la confirmación del Estado de que se haya construido, así como respecto de avances en la rotulación del parque nacional que lleva el nombre de la señora </w:t>
      </w:r>
      <w:proofErr w:type="spellStart"/>
      <w:r w:rsidR="007E4312">
        <w:rPr>
          <w:rFonts w:ascii="Verdana" w:hAnsi="Verdana"/>
          <w:sz w:val="20"/>
          <w:lang w:val="es-CO"/>
        </w:rPr>
        <w:t>Kawas</w:t>
      </w:r>
      <w:proofErr w:type="spellEnd"/>
      <w:r w:rsidR="007E4312">
        <w:rPr>
          <w:rFonts w:ascii="Verdana" w:hAnsi="Verdana"/>
          <w:sz w:val="20"/>
          <w:lang w:val="es-CO"/>
        </w:rPr>
        <w:t>”, expresando asimismo “su preocupación por la demora</w:t>
      </w:r>
      <w:r w:rsidR="002767E0">
        <w:rPr>
          <w:rFonts w:ascii="Verdana" w:hAnsi="Verdana"/>
          <w:sz w:val="20"/>
          <w:lang w:val="es-CO"/>
        </w:rPr>
        <w:t>”</w:t>
      </w:r>
      <w:r w:rsidR="007E4312">
        <w:rPr>
          <w:rFonts w:ascii="Verdana" w:hAnsi="Verdana"/>
          <w:sz w:val="20"/>
          <w:lang w:val="es-CO"/>
        </w:rPr>
        <w:t xml:space="preserve"> en el cumplimiento de esta medida “[e]n vista de [su] relativa simplicidad”</w:t>
      </w:r>
      <w:r w:rsidR="007E4312">
        <w:rPr>
          <w:rStyle w:val="Refdenotaalpie"/>
          <w:rFonts w:ascii="Verdana" w:hAnsi="Verdana"/>
          <w:sz w:val="20"/>
          <w:lang w:val="es-CO"/>
        </w:rPr>
        <w:footnoteReference w:id="17"/>
      </w:r>
      <w:r w:rsidR="00C97817" w:rsidRPr="00C97817">
        <w:rPr>
          <w:rFonts w:ascii="Verdana" w:hAnsi="Verdana"/>
          <w:sz w:val="20"/>
          <w:lang w:val="es-CO"/>
        </w:rPr>
        <w:t>.</w:t>
      </w:r>
    </w:p>
    <w:p w14:paraId="0B46B9E0" w14:textId="116AFA7D" w:rsidR="00AC6665" w:rsidRPr="00954F71" w:rsidRDefault="00706EA4" w:rsidP="007B79F5">
      <w:pPr>
        <w:numPr>
          <w:ilvl w:val="0"/>
          <w:numId w:val="7"/>
        </w:numPr>
        <w:tabs>
          <w:tab w:val="left" w:pos="709"/>
        </w:tabs>
        <w:spacing w:before="120" w:after="120"/>
        <w:ind w:left="0" w:firstLine="0"/>
        <w:jc w:val="both"/>
        <w:rPr>
          <w:rFonts w:ascii="Verdana" w:hAnsi="Verdana"/>
          <w:sz w:val="20"/>
          <w:lang w:val="es-CO"/>
        </w:rPr>
      </w:pPr>
      <w:r w:rsidRPr="00CA1286">
        <w:rPr>
          <w:rFonts w:ascii="Verdana" w:hAnsi="Verdana" w:cs="Arial"/>
          <w:sz w:val="20"/>
          <w:shd w:val="clear" w:color="auto" w:fill="FFFFFF"/>
        </w:rPr>
        <w:t xml:space="preserve">La Corte </w:t>
      </w:r>
      <w:r w:rsidR="004B39DA">
        <w:rPr>
          <w:rFonts w:ascii="Verdana" w:hAnsi="Verdana" w:cs="Arial"/>
          <w:sz w:val="20"/>
          <w:shd w:val="clear" w:color="auto" w:fill="FFFFFF"/>
        </w:rPr>
        <w:t>destaca la necesidad de que se avance y culmine de forma pronta la ejecución de estas medidas</w:t>
      </w:r>
      <w:r w:rsidR="002121DF">
        <w:rPr>
          <w:rFonts w:ascii="Verdana" w:hAnsi="Verdana" w:cs="Arial"/>
          <w:sz w:val="20"/>
          <w:shd w:val="clear" w:color="auto" w:fill="FFFFFF"/>
        </w:rPr>
        <w:t>,</w:t>
      </w:r>
      <w:r w:rsidR="004B39DA">
        <w:rPr>
          <w:rFonts w:ascii="Verdana" w:hAnsi="Verdana" w:cs="Arial"/>
          <w:sz w:val="20"/>
          <w:shd w:val="clear" w:color="auto" w:fill="FFFFFF"/>
        </w:rPr>
        <w:t xml:space="preserve"> tomando en cuenta que han transcurrido más de diez años desde la notificación de la Sentencia. </w:t>
      </w:r>
      <w:r w:rsidR="00283164">
        <w:rPr>
          <w:rFonts w:ascii="Verdana" w:hAnsi="Verdana" w:cs="Arial"/>
          <w:sz w:val="20"/>
          <w:shd w:val="clear" w:color="auto" w:fill="FFFFFF"/>
        </w:rPr>
        <w:t>En este sentido</w:t>
      </w:r>
      <w:r w:rsidR="00AC4440">
        <w:rPr>
          <w:rFonts w:ascii="Verdana" w:hAnsi="Verdana" w:cs="Arial"/>
          <w:sz w:val="20"/>
          <w:shd w:val="clear" w:color="auto" w:fill="FFFFFF"/>
        </w:rPr>
        <w:t>,</w:t>
      </w:r>
      <w:r w:rsidR="00283164">
        <w:rPr>
          <w:rFonts w:ascii="Verdana" w:hAnsi="Verdana" w:cs="Arial"/>
          <w:sz w:val="20"/>
          <w:shd w:val="clear" w:color="auto" w:fill="FFFFFF"/>
        </w:rPr>
        <w:t xml:space="preserve"> </w:t>
      </w:r>
      <w:r w:rsidRPr="00CA1286">
        <w:rPr>
          <w:rFonts w:ascii="Verdana" w:hAnsi="Verdana" w:cs="Arial"/>
          <w:sz w:val="20"/>
          <w:shd w:val="clear" w:color="auto" w:fill="FFFFFF"/>
        </w:rPr>
        <w:t xml:space="preserve">valora positivamente </w:t>
      </w:r>
      <w:r w:rsidR="00301EC6">
        <w:rPr>
          <w:rFonts w:ascii="Verdana" w:hAnsi="Verdana" w:cs="Arial"/>
          <w:sz w:val="20"/>
          <w:shd w:val="clear" w:color="auto" w:fill="FFFFFF"/>
        </w:rPr>
        <w:t xml:space="preserve">que </w:t>
      </w:r>
      <w:r w:rsidR="004D2CE6">
        <w:rPr>
          <w:rFonts w:ascii="Verdana" w:hAnsi="Verdana" w:cs="Arial"/>
          <w:sz w:val="20"/>
          <w:shd w:val="clear" w:color="auto" w:fill="FFFFFF"/>
        </w:rPr>
        <w:t>este año Honduras ha dispuesto el presupuesto para dar cumplimiento a la medida del monumento (</w:t>
      </w:r>
      <w:r w:rsidR="004D2CE6" w:rsidRPr="00AC4440">
        <w:rPr>
          <w:rFonts w:ascii="Verdana" w:hAnsi="Verdana" w:cs="Arial"/>
          <w:i/>
          <w:sz w:val="20"/>
          <w:shd w:val="clear" w:color="auto" w:fill="FFFFFF"/>
        </w:rPr>
        <w:t>supra</w:t>
      </w:r>
      <w:r w:rsidR="00AF11AB">
        <w:rPr>
          <w:rFonts w:ascii="Verdana" w:hAnsi="Verdana" w:cs="Arial"/>
          <w:sz w:val="20"/>
          <w:shd w:val="clear" w:color="auto" w:fill="FFFFFF"/>
        </w:rPr>
        <w:t xml:space="preserve"> Considerando 6</w:t>
      </w:r>
      <w:r w:rsidR="004D2CE6">
        <w:rPr>
          <w:rFonts w:ascii="Verdana" w:hAnsi="Verdana" w:cs="Arial"/>
          <w:sz w:val="20"/>
          <w:shd w:val="clear" w:color="auto" w:fill="FFFFFF"/>
        </w:rPr>
        <w:t xml:space="preserve">). Sin embargo, el Estado y los representantes de las víctimas tienen diferentes </w:t>
      </w:r>
      <w:r w:rsidR="00F61F61" w:rsidRPr="000E26DF">
        <w:rPr>
          <w:rFonts w:ascii="Verdana" w:hAnsi="Verdana" w:cs="Arial"/>
          <w:sz w:val="20"/>
          <w:shd w:val="clear" w:color="auto" w:fill="FFFFFF"/>
        </w:rPr>
        <w:t>posturas</w:t>
      </w:r>
      <w:r w:rsidR="00957F9E" w:rsidRPr="000E26DF">
        <w:rPr>
          <w:rFonts w:ascii="Verdana" w:hAnsi="Verdana" w:cs="Arial"/>
          <w:sz w:val="20"/>
          <w:shd w:val="clear" w:color="auto" w:fill="FFFFFF"/>
        </w:rPr>
        <w:t xml:space="preserve"> en cuanto al lugar en el cua</w:t>
      </w:r>
      <w:r w:rsidR="00F61F61" w:rsidRPr="000E26DF">
        <w:rPr>
          <w:rFonts w:ascii="Verdana" w:hAnsi="Verdana" w:cs="Arial"/>
          <w:sz w:val="20"/>
          <w:shd w:val="clear" w:color="auto" w:fill="FFFFFF"/>
        </w:rPr>
        <w:t>l debe construirse el monumento</w:t>
      </w:r>
      <w:r w:rsidR="00724444">
        <w:rPr>
          <w:rFonts w:ascii="Verdana" w:hAnsi="Verdana" w:cs="Arial"/>
          <w:sz w:val="20"/>
          <w:shd w:val="clear" w:color="auto" w:fill="FFFFFF"/>
        </w:rPr>
        <w:t>.</w:t>
      </w:r>
      <w:r w:rsidR="00F61F61" w:rsidRPr="000E26DF">
        <w:rPr>
          <w:rFonts w:ascii="Verdana" w:hAnsi="Verdana" w:cs="Arial"/>
          <w:sz w:val="20"/>
          <w:shd w:val="clear" w:color="auto" w:fill="FFFFFF"/>
        </w:rPr>
        <w:t xml:space="preserve"> </w:t>
      </w:r>
      <w:r w:rsidR="00724444">
        <w:rPr>
          <w:rFonts w:ascii="Verdana" w:hAnsi="Verdana" w:cs="Arial"/>
          <w:sz w:val="20"/>
          <w:shd w:val="clear" w:color="auto" w:fill="FFFFFF"/>
        </w:rPr>
        <w:t>P</w:t>
      </w:r>
      <w:r w:rsidR="00F61F61" w:rsidRPr="000E26DF">
        <w:rPr>
          <w:rFonts w:ascii="Verdana" w:hAnsi="Verdana" w:cs="Arial"/>
          <w:sz w:val="20"/>
          <w:shd w:val="clear" w:color="auto" w:fill="FFFFFF"/>
        </w:rPr>
        <w:t>or un lado,</w:t>
      </w:r>
      <w:r w:rsidR="00957F9E" w:rsidRPr="000E26DF">
        <w:rPr>
          <w:rFonts w:ascii="Verdana" w:hAnsi="Verdana" w:cs="Arial"/>
          <w:sz w:val="20"/>
          <w:shd w:val="clear" w:color="auto" w:fill="FFFFFF"/>
        </w:rPr>
        <w:t xml:space="preserve"> los representantes</w:t>
      </w:r>
      <w:r w:rsidR="004D2CE6">
        <w:rPr>
          <w:rFonts w:ascii="Verdana" w:hAnsi="Verdana" w:cs="Arial"/>
          <w:sz w:val="20"/>
          <w:shd w:val="clear" w:color="auto" w:fill="FFFFFF"/>
        </w:rPr>
        <w:t xml:space="preserve">, </w:t>
      </w:r>
      <w:r w:rsidR="000E55F3">
        <w:rPr>
          <w:rFonts w:ascii="Verdana" w:hAnsi="Verdana" w:cs="Arial"/>
          <w:sz w:val="20"/>
          <w:shd w:val="clear" w:color="auto" w:fill="FFFFFF"/>
        </w:rPr>
        <w:t>consideran que, de acuerdo a lo dispuesto en el párrafo 206 de la Sentencia, la Corte ordenó al Estado cumplir con esta medida “en los términos solicitados por los representantes”</w:t>
      </w:r>
      <w:r w:rsidR="00AF11AB">
        <w:rPr>
          <w:rFonts w:ascii="Verdana" w:hAnsi="Verdana" w:cs="Arial"/>
          <w:sz w:val="20"/>
          <w:shd w:val="clear" w:color="auto" w:fill="FFFFFF"/>
        </w:rPr>
        <w:t>,</w:t>
      </w:r>
      <w:r w:rsidR="000E55F3">
        <w:rPr>
          <w:rFonts w:ascii="Verdana" w:hAnsi="Verdana" w:cs="Arial"/>
          <w:sz w:val="20"/>
          <w:shd w:val="clear" w:color="auto" w:fill="FFFFFF"/>
        </w:rPr>
        <w:t xml:space="preserve"> y ellos en la etapa de cumplimiento estiman que lo propicio para el fin de la medida es que el monumento </w:t>
      </w:r>
      <w:r w:rsidR="000E55F3" w:rsidRPr="000E26DF">
        <w:rPr>
          <w:rFonts w:ascii="Verdana" w:hAnsi="Verdana" w:cs="Arial"/>
          <w:sz w:val="20"/>
          <w:shd w:val="clear" w:color="auto" w:fill="FFFFFF"/>
        </w:rPr>
        <w:t>se erija en el Parque Central de la Municipalidad de Tela</w:t>
      </w:r>
      <w:r w:rsidR="000E55F3">
        <w:rPr>
          <w:rFonts w:ascii="Verdana" w:hAnsi="Verdana" w:cs="Arial"/>
          <w:sz w:val="20"/>
          <w:shd w:val="clear" w:color="auto" w:fill="FFFFFF"/>
        </w:rPr>
        <w:t xml:space="preserve"> (</w:t>
      </w:r>
      <w:r w:rsidR="000E55F3" w:rsidRPr="000E55F3">
        <w:rPr>
          <w:rFonts w:ascii="Verdana" w:hAnsi="Verdana" w:cs="Arial"/>
          <w:i/>
          <w:sz w:val="20"/>
          <w:shd w:val="clear" w:color="auto" w:fill="FFFFFF"/>
        </w:rPr>
        <w:t>supra</w:t>
      </w:r>
      <w:r w:rsidR="000E55F3">
        <w:rPr>
          <w:rFonts w:ascii="Verdana" w:hAnsi="Verdana" w:cs="Arial"/>
          <w:sz w:val="20"/>
          <w:shd w:val="clear" w:color="auto" w:fill="FFFFFF"/>
        </w:rPr>
        <w:t xml:space="preserve"> Considerando </w:t>
      </w:r>
      <w:r w:rsidR="00AF11AB">
        <w:rPr>
          <w:rFonts w:ascii="Verdana" w:hAnsi="Verdana" w:cs="Arial"/>
          <w:sz w:val="20"/>
          <w:shd w:val="clear" w:color="auto" w:fill="FFFFFF"/>
        </w:rPr>
        <w:t>7</w:t>
      </w:r>
      <w:r w:rsidR="000E55F3">
        <w:rPr>
          <w:rFonts w:ascii="Verdana" w:hAnsi="Verdana" w:cs="Arial"/>
          <w:sz w:val="20"/>
          <w:shd w:val="clear" w:color="auto" w:fill="FFFFFF"/>
        </w:rPr>
        <w:t>). Por su parte</w:t>
      </w:r>
      <w:r w:rsidR="00F61F61" w:rsidRPr="000E26DF">
        <w:rPr>
          <w:rFonts w:ascii="Verdana" w:hAnsi="Verdana" w:cs="Arial"/>
          <w:sz w:val="20"/>
          <w:shd w:val="clear" w:color="auto" w:fill="FFFFFF"/>
        </w:rPr>
        <w:t>,</w:t>
      </w:r>
      <w:r w:rsidR="00957F9E" w:rsidRPr="000E26DF">
        <w:rPr>
          <w:rFonts w:ascii="Verdana" w:hAnsi="Verdana" w:cs="Arial"/>
          <w:sz w:val="20"/>
          <w:shd w:val="clear" w:color="auto" w:fill="FFFFFF"/>
        </w:rPr>
        <w:t xml:space="preserve"> el Estado</w:t>
      </w:r>
      <w:r w:rsidR="004D2CE6">
        <w:rPr>
          <w:rFonts w:ascii="Verdana" w:hAnsi="Verdana" w:cs="Arial"/>
          <w:sz w:val="20"/>
          <w:shd w:val="clear" w:color="auto" w:fill="FFFFFF"/>
        </w:rPr>
        <w:t>, citando el párrafo 205 de la Sentencia,</w:t>
      </w:r>
      <w:r w:rsidR="00957F9E" w:rsidRPr="000E26DF">
        <w:rPr>
          <w:rFonts w:ascii="Verdana" w:hAnsi="Verdana" w:cs="Arial"/>
          <w:sz w:val="20"/>
          <w:shd w:val="clear" w:color="auto" w:fill="FFFFFF"/>
        </w:rPr>
        <w:t xml:space="preserve"> parecería argumentar que </w:t>
      </w:r>
      <w:r w:rsidR="00F61F61" w:rsidRPr="000E26DF">
        <w:rPr>
          <w:rFonts w:ascii="Verdana" w:hAnsi="Verdana" w:cs="Arial"/>
          <w:sz w:val="20"/>
          <w:shd w:val="clear" w:color="auto" w:fill="FFFFFF"/>
        </w:rPr>
        <w:t>ello debe ser realizado en</w:t>
      </w:r>
      <w:r w:rsidR="00957F9E" w:rsidRPr="000E26DF">
        <w:rPr>
          <w:rFonts w:ascii="Verdana" w:hAnsi="Verdana" w:cs="Arial"/>
          <w:sz w:val="20"/>
          <w:shd w:val="clear" w:color="auto" w:fill="FFFFFF"/>
        </w:rPr>
        <w:t xml:space="preserve"> el Parque Nacional Blanca Jeanette </w:t>
      </w:r>
      <w:proofErr w:type="spellStart"/>
      <w:r w:rsidR="00957F9E" w:rsidRPr="000E26DF">
        <w:rPr>
          <w:rFonts w:ascii="Verdana" w:hAnsi="Verdana" w:cs="Arial"/>
          <w:sz w:val="20"/>
          <w:shd w:val="clear" w:color="auto" w:fill="FFFFFF"/>
        </w:rPr>
        <w:t>Kawas</w:t>
      </w:r>
      <w:proofErr w:type="spellEnd"/>
      <w:r w:rsidR="00957F9E" w:rsidRPr="000E26DF">
        <w:rPr>
          <w:rFonts w:ascii="Verdana" w:hAnsi="Verdana" w:cs="Arial"/>
          <w:sz w:val="20"/>
          <w:shd w:val="clear" w:color="auto" w:fill="FFFFFF"/>
        </w:rPr>
        <w:t xml:space="preserve"> Fernández</w:t>
      </w:r>
      <w:r w:rsidR="000E55F3">
        <w:rPr>
          <w:rFonts w:ascii="Verdana" w:hAnsi="Verdana" w:cs="Arial"/>
          <w:sz w:val="20"/>
          <w:shd w:val="clear" w:color="auto" w:fill="FFFFFF"/>
        </w:rPr>
        <w:t xml:space="preserve"> porque ese fue el acuerdo que manifestó en la etapa de fondo y reparaciones del caso y porque considera que eso fue lo que solicitaron los representantes en esa etapa</w:t>
      </w:r>
      <w:r w:rsidR="00F61F61" w:rsidRPr="000E26DF">
        <w:rPr>
          <w:rFonts w:ascii="Verdana" w:hAnsi="Verdana" w:cs="Arial"/>
          <w:sz w:val="20"/>
          <w:shd w:val="clear" w:color="auto" w:fill="FFFFFF"/>
        </w:rPr>
        <w:t xml:space="preserve">. </w:t>
      </w:r>
    </w:p>
    <w:p w14:paraId="52DA779C" w14:textId="5596F585" w:rsidR="00E2666E" w:rsidRPr="00954F71" w:rsidRDefault="00204AC8" w:rsidP="00954F71">
      <w:pPr>
        <w:numPr>
          <w:ilvl w:val="0"/>
          <w:numId w:val="7"/>
        </w:numPr>
        <w:tabs>
          <w:tab w:val="left" w:pos="709"/>
        </w:tabs>
        <w:spacing w:before="120" w:after="120"/>
        <w:ind w:left="0" w:firstLine="0"/>
        <w:jc w:val="both"/>
        <w:rPr>
          <w:rFonts w:ascii="Verdana" w:hAnsi="Verdana"/>
          <w:sz w:val="20"/>
          <w:lang w:val="es-CO"/>
        </w:rPr>
      </w:pPr>
      <w:r>
        <w:rPr>
          <w:rFonts w:ascii="Verdana" w:hAnsi="Verdana" w:cs="Arial"/>
          <w:sz w:val="20"/>
          <w:shd w:val="clear" w:color="auto" w:fill="FFFFFF"/>
          <w:lang w:val="es-CO"/>
        </w:rPr>
        <w:t>En el punto resolutivo d</w:t>
      </w:r>
      <w:r w:rsidR="00C97817">
        <w:rPr>
          <w:rFonts w:ascii="Verdana" w:hAnsi="Verdana" w:cs="Arial"/>
          <w:sz w:val="20"/>
          <w:shd w:val="clear" w:color="auto" w:fill="FFFFFF"/>
          <w:lang w:val="es-CO"/>
        </w:rPr>
        <w:t>é</w:t>
      </w:r>
      <w:r>
        <w:rPr>
          <w:rFonts w:ascii="Verdana" w:hAnsi="Verdana" w:cs="Arial"/>
          <w:sz w:val="20"/>
          <w:shd w:val="clear" w:color="auto" w:fill="FFFFFF"/>
          <w:lang w:val="es-CO"/>
        </w:rPr>
        <w:t>cimo</w:t>
      </w:r>
      <w:r w:rsidR="00C97817">
        <w:rPr>
          <w:rFonts w:ascii="Verdana" w:hAnsi="Verdana" w:cs="Arial"/>
          <w:sz w:val="20"/>
          <w:shd w:val="clear" w:color="auto" w:fill="FFFFFF"/>
          <w:lang w:val="es-CO"/>
        </w:rPr>
        <w:t xml:space="preserve"> </w:t>
      </w:r>
      <w:r>
        <w:rPr>
          <w:rFonts w:ascii="Verdana" w:hAnsi="Verdana" w:cs="Arial"/>
          <w:sz w:val="20"/>
          <w:shd w:val="clear" w:color="auto" w:fill="FFFFFF"/>
          <w:lang w:val="es-CO"/>
        </w:rPr>
        <w:t xml:space="preserve">segundo de la Sentencia se ordenó la medida </w:t>
      </w:r>
      <w:r w:rsidR="00954F71">
        <w:rPr>
          <w:rFonts w:ascii="Verdana" w:hAnsi="Verdana" w:cs="Arial"/>
          <w:sz w:val="20"/>
          <w:shd w:val="clear" w:color="auto" w:fill="FFFFFF"/>
          <w:lang w:val="es-CO"/>
        </w:rPr>
        <w:t xml:space="preserve">del monumento </w:t>
      </w:r>
      <w:r>
        <w:rPr>
          <w:rFonts w:ascii="Verdana" w:hAnsi="Verdana" w:cs="Arial"/>
          <w:sz w:val="20"/>
          <w:shd w:val="clear" w:color="auto" w:fill="FFFFFF"/>
          <w:lang w:val="es-CO"/>
        </w:rPr>
        <w:t xml:space="preserve">en los siguientes términos: </w:t>
      </w:r>
      <w:r w:rsidR="00954F71">
        <w:rPr>
          <w:rFonts w:ascii="Verdana" w:hAnsi="Verdana" w:cs="Arial"/>
          <w:sz w:val="20"/>
          <w:shd w:val="clear" w:color="auto" w:fill="FFFFFF"/>
          <w:lang w:val="es-CO"/>
        </w:rPr>
        <w:t>“</w:t>
      </w:r>
      <w:r w:rsidR="00954F71">
        <w:rPr>
          <w:rFonts w:ascii="Verdana" w:hAnsi="Verdana"/>
          <w:sz w:val="20"/>
        </w:rPr>
        <w:t>[e]</w:t>
      </w:r>
      <w:r w:rsidR="00954F71" w:rsidRPr="00954F71">
        <w:rPr>
          <w:rFonts w:ascii="Verdana" w:hAnsi="Verdana"/>
          <w:sz w:val="20"/>
        </w:rPr>
        <w:t xml:space="preserve">l Estado debe levantar, en un plazo de dos años, un monumento en memoria de Blanca Jeannette </w:t>
      </w:r>
      <w:proofErr w:type="spellStart"/>
      <w:r w:rsidR="00954F71" w:rsidRPr="00954F71">
        <w:rPr>
          <w:rFonts w:ascii="Verdana" w:hAnsi="Verdana"/>
          <w:sz w:val="20"/>
        </w:rPr>
        <w:t>Kawas</w:t>
      </w:r>
      <w:proofErr w:type="spellEnd"/>
      <w:r w:rsidR="00954F71" w:rsidRPr="00954F71">
        <w:rPr>
          <w:rFonts w:ascii="Verdana" w:hAnsi="Verdana"/>
          <w:sz w:val="20"/>
        </w:rPr>
        <w:t xml:space="preserve"> </w:t>
      </w:r>
      <w:proofErr w:type="gramStart"/>
      <w:r w:rsidR="00954F71" w:rsidRPr="00954F71">
        <w:rPr>
          <w:rFonts w:ascii="Verdana" w:hAnsi="Verdana"/>
          <w:sz w:val="20"/>
        </w:rPr>
        <w:t>Fernández</w:t>
      </w:r>
      <w:proofErr w:type="gramEnd"/>
      <w:r w:rsidR="00954F71" w:rsidRPr="00954F71">
        <w:rPr>
          <w:rFonts w:ascii="Verdana" w:hAnsi="Verdana"/>
          <w:sz w:val="20"/>
        </w:rPr>
        <w:t xml:space="preserve"> así como realizar la </w:t>
      </w:r>
      <w:r w:rsidR="00954F71" w:rsidRPr="00954F71">
        <w:rPr>
          <w:rFonts w:ascii="Verdana" w:hAnsi="Verdana"/>
          <w:sz w:val="20"/>
        </w:rPr>
        <w:lastRenderedPageBreak/>
        <w:t>rotulación del parque nacional que lleva su nombre, en los términos del párrafo 206 de la presente Sentencia</w:t>
      </w:r>
      <w:r w:rsidR="00954F71">
        <w:rPr>
          <w:rFonts w:ascii="Verdana" w:hAnsi="Verdana"/>
          <w:sz w:val="20"/>
        </w:rPr>
        <w:t>”</w:t>
      </w:r>
      <w:r w:rsidR="00954F71" w:rsidRPr="00954F71">
        <w:rPr>
          <w:rFonts w:ascii="Verdana" w:hAnsi="Verdana"/>
          <w:sz w:val="20"/>
        </w:rPr>
        <w:t xml:space="preserve">. </w:t>
      </w:r>
      <w:r w:rsidR="00724444" w:rsidRPr="00954F71">
        <w:rPr>
          <w:rFonts w:ascii="Verdana" w:hAnsi="Verdana" w:cs="Arial"/>
          <w:sz w:val="20"/>
          <w:shd w:val="clear" w:color="auto" w:fill="FFFFFF"/>
          <w:lang w:val="es-CO"/>
        </w:rPr>
        <w:t>En l</w:t>
      </w:r>
      <w:r w:rsidR="00AC6665" w:rsidRPr="00954F71">
        <w:rPr>
          <w:rFonts w:ascii="Verdana" w:hAnsi="Verdana" w:cs="Arial"/>
          <w:sz w:val="20"/>
          <w:shd w:val="clear" w:color="auto" w:fill="FFFFFF"/>
          <w:lang w:val="es-CO"/>
        </w:rPr>
        <w:t xml:space="preserve">os párrafos </w:t>
      </w:r>
      <w:r w:rsidR="00724444" w:rsidRPr="00954F71">
        <w:rPr>
          <w:rFonts w:ascii="Verdana" w:hAnsi="Verdana" w:cs="Arial"/>
          <w:sz w:val="20"/>
          <w:shd w:val="clear" w:color="auto" w:fill="FFFFFF"/>
          <w:lang w:val="es-CO"/>
        </w:rPr>
        <w:t xml:space="preserve">204, </w:t>
      </w:r>
      <w:r w:rsidR="00AC6665" w:rsidRPr="00954F71">
        <w:rPr>
          <w:rFonts w:ascii="Verdana" w:hAnsi="Verdana" w:cs="Arial"/>
          <w:sz w:val="20"/>
          <w:shd w:val="clear" w:color="auto" w:fill="FFFFFF"/>
          <w:lang w:val="es-CO"/>
        </w:rPr>
        <w:t>205 y 206 de la Sentencia</w:t>
      </w:r>
      <w:r w:rsidR="006F182B">
        <w:rPr>
          <w:rFonts w:ascii="Verdana" w:hAnsi="Verdana" w:cs="Arial"/>
          <w:sz w:val="20"/>
          <w:shd w:val="clear" w:color="auto" w:fill="FFFFFF"/>
          <w:lang w:val="es-CO"/>
        </w:rPr>
        <w:t>,</w:t>
      </w:r>
      <w:r w:rsidR="00AC6665" w:rsidRPr="00954F71">
        <w:rPr>
          <w:rFonts w:ascii="Verdana" w:hAnsi="Verdana" w:cs="Arial"/>
          <w:sz w:val="20"/>
          <w:shd w:val="clear" w:color="auto" w:fill="FFFFFF"/>
          <w:lang w:val="es-CO"/>
        </w:rPr>
        <w:t xml:space="preserve"> </w:t>
      </w:r>
      <w:r w:rsidR="00724444" w:rsidRPr="00954F71">
        <w:rPr>
          <w:rFonts w:ascii="Verdana" w:hAnsi="Verdana" w:cs="Arial"/>
          <w:sz w:val="20"/>
          <w:shd w:val="clear" w:color="auto" w:fill="FFFFFF"/>
          <w:lang w:val="es-CO"/>
        </w:rPr>
        <w:t xml:space="preserve">la Corte </w:t>
      </w:r>
      <w:r w:rsidR="00954F71">
        <w:rPr>
          <w:rFonts w:ascii="Verdana" w:hAnsi="Verdana" w:cs="Arial"/>
          <w:sz w:val="20"/>
          <w:shd w:val="clear" w:color="auto" w:fill="FFFFFF"/>
          <w:lang w:val="es-CO"/>
        </w:rPr>
        <w:t>indicó lo siguiente</w:t>
      </w:r>
      <w:r w:rsidR="00AC6665" w:rsidRPr="00954F71">
        <w:rPr>
          <w:rFonts w:ascii="Verdana" w:hAnsi="Verdana" w:cs="Arial"/>
          <w:sz w:val="20"/>
          <w:shd w:val="clear" w:color="auto" w:fill="FFFFFF"/>
          <w:lang w:val="es-CO"/>
        </w:rPr>
        <w:t xml:space="preserve">: </w:t>
      </w:r>
    </w:p>
    <w:p w14:paraId="17FD9E22" w14:textId="083CC8EC" w:rsidR="00D92BC4" w:rsidRPr="00D92BC4" w:rsidRDefault="00D92BC4" w:rsidP="00D92BC4">
      <w:pPr>
        <w:ind w:left="567" w:right="571"/>
        <w:jc w:val="both"/>
        <w:rPr>
          <w:rFonts w:ascii="Verdana" w:hAnsi="Verdana" w:cs="Arial"/>
          <w:b/>
          <w:sz w:val="16"/>
          <w:szCs w:val="16"/>
        </w:rPr>
      </w:pPr>
      <w:r w:rsidRPr="00D92BC4">
        <w:rPr>
          <w:rFonts w:ascii="Verdana" w:hAnsi="Verdana"/>
          <w:sz w:val="16"/>
          <w:szCs w:val="16"/>
        </w:rPr>
        <w:t xml:space="preserve">204. </w:t>
      </w:r>
      <w:r w:rsidRPr="00D92BC4">
        <w:rPr>
          <w:rFonts w:ascii="Verdana" w:hAnsi="Verdana"/>
          <w:sz w:val="16"/>
          <w:szCs w:val="16"/>
        </w:rPr>
        <w:tab/>
        <w:t>Los representantes solicitaron al Tribunal que ordene al Estado la “[c]</w:t>
      </w:r>
      <w:proofErr w:type="spellStart"/>
      <w:r w:rsidRPr="00D92BC4">
        <w:rPr>
          <w:rFonts w:ascii="Verdana" w:hAnsi="Verdana"/>
          <w:sz w:val="16"/>
          <w:szCs w:val="16"/>
        </w:rPr>
        <w:t>reación</w:t>
      </w:r>
      <w:proofErr w:type="spellEnd"/>
      <w:r w:rsidRPr="00D92BC4">
        <w:rPr>
          <w:rFonts w:ascii="Verdana" w:hAnsi="Verdana"/>
          <w:sz w:val="16"/>
          <w:szCs w:val="16"/>
        </w:rPr>
        <w:t xml:space="preserve"> de un monumento en memoria de Blanca Jeannette </w:t>
      </w:r>
      <w:proofErr w:type="spellStart"/>
      <w:r w:rsidRPr="00D92BC4">
        <w:rPr>
          <w:rFonts w:ascii="Verdana" w:hAnsi="Verdana"/>
          <w:sz w:val="16"/>
          <w:szCs w:val="16"/>
        </w:rPr>
        <w:t>Kawas</w:t>
      </w:r>
      <w:proofErr w:type="spellEnd"/>
      <w:r w:rsidRPr="00D92BC4">
        <w:rPr>
          <w:rFonts w:ascii="Verdana" w:hAnsi="Verdana"/>
          <w:sz w:val="16"/>
          <w:szCs w:val="16"/>
        </w:rPr>
        <w:t xml:space="preserve"> Fernández</w:t>
      </w:r>
      <w:r>
        <w:rPr>
          <w:rFonts w:ascii="Verdana" w:hAnsi="Verdana"/>
          <w:sz w:val="16"/>
          <w:szCs w:val="16"/>
        </w:rPr>
        <w:t xml:space="preserve"> […]</w:t>
      </w:r>
      <w:r w:rsidRPr="00D92BC4">
        <w:rPr>
          <w:rFonts w:ascii="Verdana" w:hAnsi="Verdana"/>
          <w:sz w:val="16"/>
          <w:szCs w:val="16"/>
        </w:rPr>
        <w:t xml:space="preserve">”. En este sentido, alegaron que “[el] diseño del monumento será acorde con su entorno ambiental y [elaborado] por el joven Jaime </w:t>
      </w:r>
      <w:proofErr w:type="spellStart"/>
      <w:r w:rsidRPr="00D92BC4">
        <w:rPr>
          <w:rFonts w:ascii="Verdana" w:hAnsi="Verdana"/>
          <w:sz w:val="16"/>
          <w:szCs w:val="16"/>
        </w:rPr>
        <w:t>Kawas</w:t>
      </w:r>
      <w:proofErr w:type="spellEnd"/>
      <w:r w:rsidRPr="00D92BC4">
        <w:rPr>
          <w:rFonts w:ascii="Verdana" w:hAnsi="Verdana"/>
          <w:sz w:val="16"/>
          <w:szCs w:val="16"/>
        </w:rPr>
        <w:t xml:space="preserve">, hijo de Jeannette </w:t>
      </w:r>
      <w:proofErr w:type="spellStart"/>
      <w:r w:rsidRPr="00D92BC4">
        <w:rPr>
          <w:rFonts w:ascii="Verdana" w:hAnsi="Verdana"/>
          <w:sz w:val="16"/>
          <w:szCs w:val="16"/>
        </w:rPr>
        <w:t>Kawas</w:t>
      </w:r>
      <w:proofErr w:type="spellEnd"/>
      <w:r w:rsidRPr="00D92BC4">
        <w:rPr>
          <w:rFonts w:ascii="Verdana" w:hAnsi="Verdana"/>
          <w:sz w:val="16"/>
          <w:szCs w:val="16"/>
        </w:rPr>
        <w:t xml:space="preserve">, quien es </w:t>
      </w:r>
      <w:proofErr w:type="gramStart"/>
      <w:r w:rsidRPr="00D92BC4">
        <w:rPr>
          <w:rFonts w:ascii="Verdana" w:hAnsi="Verdana"/>
          <w:sz w:val="16"/>
          <w:szCs w:val="16"/>
        </w:rPr>
        <w:t>arquitecto[</w:t>
      </w:r>
      <w:proofErr w:type="gramEnd"/>
      <w:r w:rsidRPr="00D92BC4">
        <w:rPr>
          <w:rFonts w:ascii="Verdana" w:hAnsi="Verdana"/>
          <w:sz w:val="16"/>
          <w:szCs w:val="16"/>
        </w:rPr>
        <w:t xml:space="preserve">;] [e]n la inauguración […] participará el Ministro de Ambiente y otro funcionario de igual jerarquía y las autoridades locales de la Ciudad […] incluyendo el alto mando policial”. </w:t>
      </w:r>
      <w:r w:rsidR="0006632B" w:rsidRPr="0006632B">
        <w:rPr>
          <w:rFonts w:ascii="Verdana" w:hAnsi="Verdana" w:cs="Arial"/>
          <w:sz w:val="16"/>
          <w:szCs w:val="16"/>
        </w:rPr>
        <w:t>Igualmente, pidieron al Tribunal que “ordene al Estado llevar a cabo una rotulación interna [del Parque Nacional,] mediante la cual se indique claramente el nombre correcto del mismo indicando además la historia de dicha denominación, de manera que los visitantes conozcan los hechos que rodearon la creación del Parque”.</w:t>
      </w:r>
    </w:p>
    <w:p w14:paraId="77A840E3" w14:textId="77777777" w:rsidR="00D92BC4" w:rsidRPr="00D92BC4" w:rsidRDefault="00D92BC4" w:rsidP="00D92BC4">
      <w:pPr>
        <w:ind w:left="567" w:right="571"/>
        <w:jc w:val="both"/>
        <w:rPr>
          <w:rFonts w:ascii="Verdana" w:hAnsi="Verdana" w:cs="Arial"/>
          <w:b/>
          <w:sz w:val="16"/>
          <w:szCs w:val="16"/>
        </w:rPr>
      </w:pPr>
    </w:p>
    <w:p w14:paraId="0CCE29B2" w14:textId="1819ABAF" w:rsidR="00D92BC4" w:rsidRPr="00D92BC4" w:rsidRDefault="00D92BC4" w:rsidP="00D92BC4">
      <w:pPr>
        <w:ind w:left="567" w:right="571"/>
        <w:jc w:val="both"/>
        <w:rPr>
          <w:rFonts w:ascii="Verdana" w:hAnsi="Verdana" w:cs="Arial"/>
          <w:sz w:val="16"/>
          <w:szCs w:val="16"/>
        </w:rPr>
      </w:pPr>
      <w:r w:rsidRPr="00D92BC4">
        <w:rPr>
          <w:rFonts w:ascii="Verdana" w:hAnsi="Verdana" w:cs="Arial"/>
          <w:sz w:val="16"/>
          <w:szCs w:val="16"/>
        </w:rPr>
        <w:t xml:space="preserve">205. </w:t>
      </w:r>
      <w:r w:rsidRPr="00D92BC4">
        <w:rPr>
          <w:rFonts w:ascii="Verdana" w:hAnsi="Verdana" w:cs="Arial"/>
          <w:sz w:val="16"/>
          <w:szCs w:val="16"/>
        </w:rPr>
        <w:tab/>
        <w:t xml:space="preserve">Al respecto, la Corte observa que durante el trámite del presente caso ante la Comisión Interamericana, </w:t>
      </w:r>
      <w:r w:rsidRPr="00204AC8">
        <w:rPr>
          <w:rFonts w:ascii="Verdana" w:hAnsi="Verdana" w:cs="Arial"/>
          <w:b/>
          <w:sz w:val="16"/>
          <w:szCs w:val="16"/>
        </w:rPr>
        <w:t xml:space="preserve">el Estado reiteró “estar de acuerdo con la construcción del monumento solicitado en el lugar que designen los representantes y [familiares de la víctima] en el perímetro […] del parque Nacional Blanca Jeannette </w:t>
      </w:r>
      <w:proofErr w:type="spellStart"/>
      <w:r w:rsidRPr="00204AC8">
        <w:rPr>
          <w:rFonts w:ascii="Verdana" w:hAnsi="Verdana" w:cs="Arial"/>
          <w:b/>
          <w:sz w:val="16"/>
          <w:szCs w:val="16"/>
        </w:rPr>
        <w:t>Kawas</w:t>
      </w:r>
      <w:proofErr w:type="spellEnd"/>
      <w:r w:rsidRPr="00204AC8">
        <w:rPr>
          <w:rFonts w:ascii="Verdana" w:hAnsi="Verdana" w:cs="Arial"/>
          <w:b/>
          <w:sz w:val="16"/>
          <w:szCs w:val="16"/>
        </w:rPr>
        <w:t xml:space="preserve"> Fernández</w:t>
      </w:r>
      <w:r w:rsidRPr="00D92BC4">
        <w:rPr>
          <w:rFonts w:ascii="Verdana" w:hAnsi="Verdana" w:cs="Arial"/>
          <w:sz w:val="16"/>
          <w:szCs w:val="16"/>
        </w:rPr>
        <w:t xml:space="preserve"> [y que] los fondos ser[</w:t>
      </w:r>
      <w:proofErr w:type="spellStart"/>
      <w:r w:rsidRPr="00D92BC4">
        <w:rPr>
          <w:rFonts w:ascii="Verdana" w:hAnsi="Verdana" w:cs="Arial"/>
          <w:sz w:val="16"/>
          <w:szCs w:val="16"/>
        </w:rPr>
        <w:t>ían</w:t>
      </w:r>
      <w:proofErr w:type="spellEnd"/>
      <w:r w:rsidRPr="00D92BC4">
        <w:rPr>
          <w:rFonts w:ascii="Verdana" w:hAnsi="Verdana" w:cs="Arial"/>
          <w:sz w:val="16"/>
          <w:szCs w:val="16"/>
        </w:rPr>
        <w:t xml:space="preserve">] cubiertos por el Estado y erogados directamente a la persona natural o jurídica que designen los representantes, […] ajustándose al presupuesto y diseño ya presentado por el Ingeniero Jaime Watt </w:t>
      </w:r>
      <w:proofErr w:type="spellStart"/>
      <w:r w:rsidRPr="00D92BC4">
        <w:rPr>
          <w:rFonts w:ascii="Verdana" w:hAnsi="Verdana" w:cs="Arial"/>
          <w:sz w:val="16"/>
          <w:szCs w:val="16"/>
        </w:rPr>
        <w:t>Kawas</w:t>
      </w:r>
      <w:proofErr w:type="spellEnd"/>
      <w:r w:rsidRPr="00D92BC4">
        <w:rPr>
          <w:rFonts w:ascii="Verdana" w:hAnsi="Verdana" w:cs="Arial"/>
          <w:sz w:val="16"/>
          <w:szCs w:val="16"/>
        </w:rPr>
        <w:t xml:space="preserve">, [hijo de Blanca Jeannette </w:t>
      </w:r>
      <w:proofErr w:type="spellStart"/>
      <w:r w:rsidRPr="00D92BC4">
        <w:rPr>
          <w:rFonts w:ascii="Verdana" w:hAnsi="Verdana" w:cs="Arial"/>
          <w:sz w:val="16"/>
          <w:szCs w:val="16"/>
        </w:rPr>
        <w:t>Kawas</w:t>
      </w:r>
      <w:proofErr w:type="spellEnd"/>
      <w:r w:rsidRPr="00D92BC4">
        <w:rPr>
          <w:rFonts w:ascii="Verdana" w:hAnsi="Verdana" w:cs="Arial"/>
          <w:sz w:val="16"/>
          <w:szCs w:val="16"/>
        </w:rPr>
        <w:t xml:space="preserve"> Fernández]”. </w:t>
      </w:r>
      <w:r>
        <w:rPr>
          <w:rFonts w:ascii="Verdana" w:hAnsi="Verdana" w:cs="Arial"/>
          <w:sz w:val="16"/>
          <w:szCs w:val="16"/>
        </w:rPr>
        <w:t>[…]</w:t>
      </w:r>
      <w:r w:rsidR="00D07613">
        <w:rPr>
          <w:rFonts w:ascii="Verdana" w:hAnsi="Verdana" w:cs="Arial"/>
          <w:sz w:val="16"/>
          <w:szCs w:val="16"/>
        </w:rPr>
        <w:t xml:space="preserve"> </w:t>
      </w:r>
      <w:r w:rsidR="00204AC8">
        <w:rPr>
          <w:rFonts w:ascii="Verdana" w:hAnsi="Verdana" w:cs="Arial"/>
          <w:sz w:val="16"/>
          <w:szCs w:val="16"/>
        </w:rPr>
        <w:t>(</w:t>
      </w:r>
      <w:r w:rsidR="00204AC8" w:rsidRPr="009D2FE6">
        <w:rPr>
          <w:rFonts w:ascii="Verdana" w:hAnsi="Verdana" w:cs="Arial"/>
          <w:i/>
          <w:sz w:val="16"/>
          <w:szCs w:val="16"/>
        </w:rPr>
        <w:t>énfasis añadido</w:t>
      </w:r>
      <w:r w:rsidR="00204AC8">
        <w:rPr>
          <w:rFonts w:ascii="Verdana" w:hAnsi="Verdana" w:cs="Arial"/>
          <w:sz w:val="16"/>
          <w:szCs w:val="16"/>
        </w:rPr>
        <w:t>)</w:t>
      </w:r>
    </w:p>
    <w:p w14:paraId="5C22546C" w14:textId="77777777" w:rsidR="00D92BC4" w:rsidRPr="00D92BC4" w:rsidRDefault="00D92BC4" w:rsidP="00D92BC4">
      <w:pPr>
        <w:ind w:left="567" w:right="571"/>
        <w:jc w:val="both"/>
        <w:rPr>
          <w:rFonts w:ascii="Verdana" w:hAnsi="Verdana" w:cs="Arial"/>
          <w:sz w:val="16"/>
          <w:szCs w:val="16"/>
        </w:rPr>
      </w:pPr>
    </w:p>
    <w:p w14:paraId="2C0DAD5E" w14:textId="710C2EAF" w:rsidR="00D92BC4" w:rsidRPr="00D92BC4" w:rsidRDefault="00D92BC4" w:rsidP="00D92BC4">
      <w:pPr>
        <w:ind w:left="567" w:right="571"/>
        <w:jc w:val="both"/>
        <w:rPr>
          <w:rFonts w:ascii="Verdana" w:hAnsi="Verdana" w:cs="Arial"/>
          <w:sz w:val="16"/>
          <w:szCs w:val="16"/>
        </w:rPr>
      </w:pPr>
      <w:r w:rsidRPr="00D92BC4">
        <w:rPr>
          <w:rFonts w:ascii="Verdana" w:hAnsi="Verdana" w:cs="Arial"/>
          <w:sz w:val="16"/>
          <w:szCs w:val="16"/>
        </w:rPr>
        <w:t xml:space="preserve">206. </w:t>
      </w:r>
      <w:r w:rsidRPr="00D92BC4">
        <w:rPr>
          <w:rFonts w:ascii="Verdana" w:hAnsi="Verdana" w:cs="Arial"/>
          <w:sz w:val="16"/>
          <w:szCs w:val="16"/>
        </w:rPr>
        <w:tab/>
        <w:t xml:space="preserve">La Corte observa que las medidas solicitadas por los representantes buscan conservar viva la memoria de Blanca Jeannette </w:t>
      </w:r>
      <w:proofErr w:type="spellStart"/>
      <w:r w:rsidRPr="00D92BC4">
        <w:rPr>
          <w:rFonts w:ascii="Verdana" w:hAnsi="Verdana" w:cs="Arial"/>
          <w:sz w:val="16"/>
          <w:szCs w:val="16"/>
        </w:rPr>
        <w:t>Kawas</w:t>
      </w:r>
      <w:proofErr w:type="spellEnd"/>
      <w:r w:rsidRPr="00D92BC4">
        <w:rPr>
          <w:rFonts w:ascii="Verdana" w:hAnsi="Verdana" w:cs="Arial"/>
          <w:sz w:val="16"/>
          <w:szCs w:val="16"/>
        </w:rPr>
        <w:t xml:space="preserve"> Fernández y evitar que hechos como los de este caso se repitan. En consecuencia, el Tribunal considera pertinente ordenar al Estado el levantamiento de un monumento en su memoria, </w:t>
      </w:r>
      <w:r w:rsidR="001D3914" w:rsidRPr="001D3914">
        <w:rPr>
          <w:rFonts w:ascii="Verdana" w:hAnsi="Verdana" w:cs="Arial"/>
          <w:sz w:val="16"/>
          <w:szCs w:val="16"/>
        </w:rPr>
        <w:t>así como la rotulación del parque nacional que lleva su nombre,</w:t>
      </w:r>
      <w:r w:rsidR="001D3914">
        <w:rPr>
          <w:rFonts w:cs="Arial"/>
        </w:rPr>
        <w:t xml:space="preserve"> </w:t>
      </w:r>
      <w:r w:rsidRPr="009D2FE6">
        <w:rPr>
          <w:rFonts w:ascii="Verdana" w:hAnsi="Verdana" w:cs="Arial"/>
          <w:b/>
          <w:sz w:val="16"/>
          <w:szCs w:val="16"/>
        </w:rPr>
        <w:t>en los términos solicitados por los representantes</w:t>
      </w:r>
      <w:r w:rsidRPr="00D92BC4">
        <w:rPr>
          <w:rFonts w:ascii="Verdana" w:hAnsi="Verdana" w:cs="Arial"/>
          <w:sz w:val="16"/>
          <w:szCs w:val="16"/>
        </w:rPr>
        <w:t xml:space="preserve">. </w:t>
      </w:r>
      <w:r>
        <w:rPr>
          <w:rFonts w:ascii="Verdana" w:hAnsi="Verdana" w:cs="Arial"/>
          <w:sz w:val="16"/>
          <w:szCs w:val="16"/>
        </w:rPr>
        <w:t xml:space="preserve">[…] </w:t>
      </w:r>
      <w:r w:rsidRPr="00D92BC4">
        <w:rPr>
          <w:rFonts w:ascii="Verdana" w:hAnsi="Verdana" w:cs="Arial"/>
          <w:sz w:val="16"/>
          <w:szCs w:val="16"/>
        </w:rPr>
        <w:t>En la ceremonia de develación del monumento deben estar presentes autoridades estatales. Asimismo, e</w:t>
      </w:r>
      <w:r w:rsidRPr="00D92BC4">
        <w:rPr>
          <w:rFonts w:ascii="Verdana" w:hAnsi="Verdana" w:cs="Verdana"/>
          <w:sz w:val="16"/>
          <w:szCs w:val="16"/>
        </w:rPr>
        <w:t xml:space="preserve">l Estado deberá asegurar la participación de los familiares de la señora Blanca Jeannette </w:t>
      </w:r>
      <w:proofErr w:type="spellStart"/>
      <w:r w:rsidRPr="00D92BC4">
        <w:rPr>
          <w:rFonts w:ascii="Verdana" w:hAnsi="Verdana" w:cs="Verdana"/>
          <w:sz w:val="16"/>
          <w:szCs w:val="16"/>
        </w:rPr>
        <w:t>Kawas</w:t>
      </w:r>
      <w:proofErr w:type="spellEnd"/>
      <w:r w:rsidRPr="00D92BC4">
        <w:rPr>
          <w:rFonts w:ascii="Verdana" w:hAnsi="Verdana" w:cs="Verdana"/>
          <w:sz w:val="16"/>
          <w:szCs w:val="16"/>
        </w:rPr>
        <w:t xml:space="preserve"> Fernández, declaradas también víctimas por este Tribunal, que así lo deseen. </w:t>
      </w:r>
      <w:r w:rsidR="00784E2D">
        <w:rPr>
          <w:rFonts w:ascii="Verdana" w:hAnsi="Verdana" w:cs="Arial"/>
          <w:sz w:val="16"/>
          <w:szCs w:val="16"/>
        </w:rPr>
        <w:t>[…]</w:t>
      </w:r>
      <w:r w:rsidR="009D2FE6">
        <w:rPr>
          <w:rFonts w:ascii="Verdana" w:hAnsi="Verdana" w:cs="Arial"/>
          <w:sz w:val="16"/>
          <w:szCs w:val="16"/>
        </w:rPr>
        <w:t xml:space="preserve"> (</w:t>
      </w:r>
      <w:r w:rsidR="009D2FE6" w:rsidRPr="009D2FE6">
        <w:rPr>
          <w:rFonts w:ascii="Verdana" w:hAnsi="Verdana" w:cs="Arial"/>
          <w:i/>
          <w:sz w:val="16"/>
          <w:szCs w:val="16"/>
        </w:rPr>
        <w:t>énfasis añadido</w:t>
      </w:r>
      <w:r w:rsidR="009D2FE6">
        <w:rPr>
          <w:rFonts w:ascii="Verdana" w:hAnsi="Verdana" w:cs="Arial"/>
          <w:sz w:val="16"/>
          <w:szCs w:val="16"/>
        </w:rPr>
        <w:t>)</w:t>
      </w:r>
    </w:p>
    <w:p w14:paraId="7AC057CF" w14:textId="77777777" w:rsidR="00E2666E" w:rsidRPr="007B79F5" w:rsidRDefault="00E2666E" w:rsidP="0028555E">
      <w:pPr>
        <w:tabs>
          <w:tab w:val="left" w:pos="709"/>
        </w:tabs>
        <w:spacing w:before="120" w:after="120"/>
        <w:ind w:right="619"/>
        <w:jc w:val="both"/>
        <w:rPr>
          <w:rFonts w:ascii="Verdana" w:hAnsi="Verdana"/>
          <w:sz w:val="18"/>
        </w:rPr>
      </w:pPr>
    </w:p>
    <w:p w14:paraId="0BBC644D" w14:textId="2A986C81" w:rsidR="00244087" w:rsidRPr="007B79F5" w:rsidRDefault="00F61F61" w:rsidP="00175899">
      <w:pPr>
        <w:numPr>
          <w:ilvl w:val="0"/>
          <w:numId w:val="7"/>
        </w:numPr>
        <w:tabs>
          <w:tab w:val="left" w:pos="709"/>
        </w:tabs>
        <w:spacing w:before="120" w:after="120"/>
        <w:ind w:left="0" w:firstLine="0"/>
        <w:jc w:val="both"/>
        <w:rPr>
          <w:rFonts w:ascii="Verdana" w:hAnsi="Verdana"/>
          <w:sz w:val="20"/>
          <w:lang w:val="es-CO"/>
        </w:rPr>
      </w:pPr>
      <w:r>
        <w:rPr>
          <w:rFonts w:ascii="Verdana" w:hAnsi="Verdana" w:cs="Arial"/>
          <w:sz w:val="20"/>
          <w:shd w:val="clear" w:color="auto" w:fill="FFFFFF"/>
          <w:lang w:val="es-CO"/>
        </w:rPr>
        <w:t>L</w:t>
      </w:r>
      <w:r w:rsidR="00244087">
        <w:rPr>
          <w:rFonts w:ascii="Verdana" w:hAnsi="Verdana" w:cs="Arial"/>
          <w:sz w:val="20"/>
          <w:shd w:val="clear" w:color="auto" w:fill="FFFFFF"/>
        </w:rPr>
        <w:t>a Corte ob</w:t>
      </w:r>
      <w:r w:rsidR="00C97817">
        <w:rPr>
          <w:rFonts w:ascii="Verdana" w:hAnsi="Verdana" w:cs="Arial"/>
          <w:sz w:val="20"/>
          <w:shd w:val="clear" w:color="auto" w:fill="FFFFFF"/>
        </w:rPr>
        <w:t>serva que el punto resolutivo dé</w:t>
      </w:r>
      <w:r w:rsidR="00244087">
        <w:rPr>
          <w:rFonts w:ascii="Verdana" w:hAnsi="Verdana" w:cs="Arial"/>
          <w:sz w:val="20"/>
          <w:shd w:val="clear" w:color="auto" w:fill="FFFFFF"/>
        </w:rPr>
        <w:t>cimo</w:t>
      </w:r>
      <w:r w:rsidR="00C97817">
        <w:rPr>
          <w:rFonts w:ascii="Verdana" w:hAnsi="Verdana" w:cs="Arial"/>
          <w:sz w:val="20"/>
          <w:shd w:val="clear" w:color="auto" w:fill="FFFFFF"/>
        </w:rPr>
        <w:t xml:space="preserve"> </w:t>
      </w:r>
      <w:r w:rsidR="00244087">
        <w:rPr>
          <w:rFonts w:ascii="Verdana" w:hAnsi="Verdana" w:cs="Arial"/>
          <w:sz w:val="20"/>
          <w:shd w:val="clear" w:color="auto" w:fill="FFFFFF"/>
        </w:rPr>
        <w:t>segundo y párrafo 206 de la Sentencia</w:t>
      </w:r>
      <w:r w:rsidR="00957F9E">
        <w:rPr>
          <w:rFonts w:ascii="Verdana" w:hAnsi="Verdana" w:cs="Arial"/>
          <w:sz w:val="20"/>
          <w:shd w:val="clear" w:color="auto" w:fill="FFFFFF"/>
        </w:rPr>
        <w:t xml:space="preserve"> </w:t>
      </w:r>
      <w:r w:rsidR="00244087">
        <w:rPr>
          <w:rFonts w:ascii="Verdana" w:hAnsi="Verdana" w:cs="Arial"/>
          <w:sz w:val="20"/>
          <w:shd w:val="clear" w:color="auto" w:fill="FFFFFF"/>
        </w:rPr>
        <w:t xml:space="preserve">no establecen expresamente el lugar en el cual </w:t>
      </w:r>
      <w:r w:rsidR="00E02EDF">
        <w:rPr>
          <w:rFonts w:ascii="Verdana" w:hAnsi="Verdana" w:cs="Arial"/>
          <w:sz w:val="20"/>
          <w:shd w:val="clear" w:color="auto" w:fill="FFFFFF"/>
        </w:rPr>
        <w:t xml:space="preserve">debía erigirse </w:t>
      </w:r>
      <w:r w:rsidR="00244087">
        <w:rPr>
          <w:rFonts w:ascii="Verdana" w:hAnsi="Verdana" w:cs="Arial"/>
          <w:sz w:val="20"/>
          <w:shd w:val="clear" w:color="auto" w:fill="FFFFFF"/>
        </w:rPr>
        <w:t>ser el monumento</w:t>
      </w:r>
      <w:r w:rsidR="002A78DA">
        <w:rPr>
          <w:rFonts w:ascii="Verdana" w:hAnsi="Verdana" w:cs="Arial"/>
          <w:sz w:val="20"/>
          <w:shd w:val="clear" w:color="auto" w:fill="FFFFFF"/>
        </w:rPr>
        <w:t xml:space="preserve">, pero sí se indica que debía ser </w:t>
      </w:r>
      <w:r w:rsidR="002A78DA" w:rsidRPr="002A78DA">
        <w:rPr>
          <w:rFonts w:ascii="Verdana" w:hAnsi="Verdana" w:cs="Arial"/>
          <w:sz w:val="20"/>
        </w:rPr>
        <w:t>“en los términos solicitados por los representantes”</w:t>
      </w:r>
      <w:r w:rsidRPr="002A78DA">
        <w:rPr>
          <w:rFonts w:ascii="Verdana" w:hAnsi="Verdana" w:cs="Arial"/>
          <w:sz w:val="20"/>
          <w:shd w:val="clear" w:color="auto" w:fill="FFFFFF"/>
        </w:rPr>
        <w:t>.</w:t>
      </w:r>
      <w:r w:rsidR="00175899">
        <w:rPr>
          <w:rFonts w:ascii="Verdana" w:hAnsi="Verdana" w:cs="Arial"/>
          <w:sz w:val="20"/>
          <w:shd w:val="clear" w:color="auto" w:fill="FFFFFF"/>
        </w:rPr>
        <w:t xml:space="preserve"> En el párrafo 204 se resume lo solicitado por los representantes ante la Corte, lo cual no comprende una afirmación respecto a que </w:t>
      </w:r>
      <w:r w:rsidR="008268A5">
        <w:rPr>
          <w:rFonts w:ascii="Verdana" w:hAnsi="Verdana" w:cs="Arial"/>
          <w:sz w:val="20"/>
          <w:shd w:val="clear" w:color="auto" w:fill="FFFFFF"/>
        </w:rPr>
        <w:t xml:space="preserve">la construcción del monumento </w:t>
      </w:r>
      <w:r w:rsidR="00175899">
        <w:rPr>
          <w:rFonts w:ascii="Verdana" w:hAnsi="Verdana" w:cs="Arial"/>
          <w:sz w:val="20"/>
          <w:shd w:val="clear" w:color="auto" w:fill="FFFFFF"/>
        </w:rPr>
        <w:t xml:space="preserve">tenía que ser dentro del perímetro del parque ya que </w:t>
      </w:r>
      <w:r>
        <w:rPr>
          <w:rFonts w:ascii="Verdana" w:hAnsi="Verdana" w:cs="Arial"/>
          <w:sz w:val="20"/>
          <w:shd w:val="clear" w:color="auto" w:fill="FFFFFF"/>
        </w:rPr>
        <w:t xml:space="preserve">en su escrito de solicitudes, argumentos y pruebas </w:t>
      </w:r>
      <w:r w:rsidR="00175899">
        <w:rPr>
          <w:rFonts w:ascii="Verdana" w:hAnsi="Verdana" w:cs="Arial"/>
          <w:sz w:val="20"/>
          <w:shd w:val="clear" w:color="auto" w:fill="FFFFFF"/>
        </w:rPr>
        <w:t xml:space="preserve">plantearon la solicitud de </w:t>
      </w:r>
      <w:r w:rsidR="008268A5">
        <w:rPr>
          <w:rFonts w:ascii="Verdana" w:hAnsi="Verdana" w:cs="Arial"/>
          <w:sz w:val="20"/>
          <w:shd w:val="clear" w:color="auto" w:fill="FFFFFF"/>
        </w:rPr>
        <w:t xml:space="preserve">que ésta se realizara </w:t>
      </w:r>
      <w:r>
        <w:rPr>
          <w:rFonts w:ascii="Verdana" w:hAnsi="Verdana" w:cs="Arial"/>
          <w:sz w:val="20"/>
          <w:shd w:val="clear" w:color="auto" w:fill="FFFFFF"/>
        </w:rPr>
        <w:t xml:space="preserve">“en un lugar que deberá ser acordado con sus familiares y que tenga importancia a nivel ambiental”. </w:t>
      </w:r>
      <w:r w:rsidR="001F28C2">
        <w:rPr>
          <w:rFonts w:ascii="Verdana" w:hAnsi="Verdana" w:cs="Arial"/>
          <w:sz w:val="20"/>
          <w:shd w:val="clear" w:color="auto" w:fill="FFFFFF"/>
        </w:rPr>
        <w:t>Ante la Corte no solicitaron un lugar específico.</w:t>
      </w:r>
      <w:r>
        <w:rPr>
          <w:rFonts w:ascii="Verdana" w:hAnsi="Verdana" w:cs="Arial"/>
          <w:sz w:val="20"/>
          <w:shd w:val="clear" w:color="auto" w:fill="FFFFFF"/>
        </w:rPr>
        <w:t xml:space="preserve"> </w:t>
      </w:r>
      <w:bookmarkStart w:id="7" w:name="_Ref19191433"/>
      <w:bookmarkStart w:id="8" w:name="_Ref17733629"/>
      <w:r w:rsidR="00B077E6">
        <w:rPr>
          <w:rFonts w:ascii="Verdana" w:hAnsi="Verdana" w:cs="Arial"/>
          <w:sz w:val="20"/>
          <w:shd w:val="clear" w:color="auto" w:fill="FFFFFF"/>
        </w:rPr>
        <w:t>El párra</w:t>
      </w:r>
      <w:r w:rsidR="001F28C2">
        <w:rPr>
          <w:rFonts w:ascii="Verdana" w:hAnsi="Verdana" w:cs="Arial"/>
          <w:sz w:val="20"/>
          <w:shd w:val="clear" w:color="auto" w:fill="FFFFFF"/>
        </w:rPr>
        <w:t>fo 205 de la Sentencia recoge</w:t>
      </w:r>
      <w:r w:rsidR="00B077E6">
        <w:rPr>
          <w:rFonts w:ascii="Verdana" w:hAnsi="Verdana" w:cs="Arial"/>
          <w:sz w:val="20"/>
          <w:shd w:val="clear" w:color="auto" w:fill="FFFFFF"/>
        </w:rPr>
        <w:t xml:space="preserve"> la posición del Estado respecto a esta reparación, el cual afirma que, ante la Comisión</w:t>
      </w:r>
      <w:r w:rsidR="001F28C2">
        <w:rPr>
          <w:rFonts w:ascii="Verdana" w:hAnsi="Verdana" w:cs="Arial"/>
          <w:sz w:val="20"/>
          <w:shd w:val="clear" w:color="auto" w:fill="FFFFFF"/>
        </w:rPr>
        <w:t xml:space="preserve"> Interamericana, los representantes habían solicitado que el monu</w:t>
      </w:r>
      <w:r w:rsidR="008268A5">
        <w:rPr>
          <w:rFonts w:ascii="Verdana" w:hAnsi="Verdana" w:cs="Arial"/>
          <w:sz w:val="20"/>
          <w:shd w:val="clear" w:color="auto" w:fill="FFFFFF"/>
        </w:rPr>
        <w:t>mento se erigiera en el Parque N</w:t>
      </w:r>
      <w:r w:rsidR="001F28C2">
        <w:rPr>
          <w:rFonts w:ascii="Verdana" w:hAnsi="Verdana" w:cs="Arial"/>
          <w:sz w:val="20"/>
          <w:shd w:val="clear" w:color="auto" w:fill="FFFFFF"/>
        </w:rPr>
        <w:t>acional</w:t>
      </w:r>
      <w:r w:rsidR="00D3553A">
        <w:rPr>
          <w:rFonts w:ascii="Verdana" w:hAnsi="Verdana" w:cs="Arial"/>
          <w:sz w:val="20"/>
          <w:shd w:val="clear" w:color="auto" w:fill="FFFFFF"/>
        </w:rPr>
        <w:t xml:space="preserve"> y que el Estado estaba de acuerdo</w:t>
      </w:r>
      <w:r w:rsidR="001F28C2">
        <w:rPr>
          <w:rFonts w:ascii="Verdana" w:hAnsi="Verdana" w:cs="Arial"/>
          <w:sz w:val="20"/>
          <w:shd w:val="clear" w:color="auto" w:fill="FFFFFF"/>
        </w:rPr>
        <w:t>.</w:t>
      </w:r>
    </w:p>
    <w:p w14:paraId="55609079" w14:textId="74CD7A2C" w:rsidR="00957F9E" w:rsidRPr="007B79F5" w:rsidRDefault="00F61F61" w:rsidP="007B79F5">
      <w:pPr>
        <w:numPr>
          <w:ilvl w:val="0"/>
          <w:numId w:val="7"/>
        </w:numPr>
        <w:tabs>
          <w:tab w:val="left" w:pos="709"/>
        </w:tabs>
        <w:spacing w:before="120" w:after="120"/>
        <w:ind w:left="0" w:firstLine="0"/>
        <w:jc w:val="both"/>
        <w:rPr>
          <w:rFonts w:ascii="Verdana" w:hAnsi="Verdana" w:cs="Arial"/>
          <w:sz w:val="18"/>
          <w:shd w:val="clear" w:color="auto" w:fill="FFFFFF"/>
          <w:lang w:val="es-CO"/>
        </w:rPr>
      </w:pPr>
      <w:bookmarkStart w:id="9" w:name="_Ref19544121"/>
      <w:r>
        <w:rPr>
          <w:rFonts w:ascii="Verdana" w:hAnsi="Verdana"/>
          <w:sz w:val="20"/>
          <w:lang w:val="es-CO"/>
        </w:rPr>
        <w:t>En consecuencia, dado que el párrafo 206 remite únicamente a “los términos solicitados por los representantes”, y teniendo e</w:t>
      </w:r>
      <w:r w:rsidR="008268A5">
        <w:rPr>
          <w:rFonts w:ascii="Verdana" w:hAnsi="Verdana"/>
          <w:sz w:val="20"/>
          <w:lang w:val="es-CO"/>
        </w:rPr>
        <w:t>n cuenta que, a diferencia de la</w:t>
      </w:r>
      <w:r>
        <w:rPr>
          <w:rFonts w:ascii="Verdana" w:hAnsi="Verdana"/>
          <w:sz w:val="20"/>
          <w:lang w:val="es-CO"/>
        </w:rPr>
        <w:t xml:space="preserve">s </w:t>
      </w:r>
      <w:r w:rsidR="008268A5">
        <w:rPr>
          <w:rFonts w:ascii="Verdana" w:hAnsi="Verdana"/>
          <w:sz w:val="20"/>
          <w:lang w:val="es-CO"/>
        </w:rPr>
        <w:t>condiciones aceptada</w:t>
      </w:r>
      <w:r>
        <w:rPr>
          <w:rFonts w:ascii="Verdana" w:hAnsi="Verdana"/>
          <w:sz w:val="20"/>
          <w:lang w:val="es-CO"/>
        </w:rPr>
        <w:t xml:space="preserve">s por el Estado, lo solicitado por los representantes </w:t>
      </w:r>
      <w:r w:rsidR="00FB473B">
        <w:rPr>
          <w:rFonts w:ascii="Verdana" w:hAnsi="Verdana"/>
          <w:sz w:val="20"/>
          <w:lang w:val="es-CO"/>
        </w:rPr>
        <w:t xml:space="preserve">ante este Tribunal </w:t>
      </w:r>
      <w:r>
        <w:rPr>
          <w:rFonts w:ascii="Verdana" w:hAnsi="Verdana"/>
          <w:sz w:val="20"/>
          <w:lang w:val="es-CO"/>
        </w:rPr>
        <w:t xml:space="preserve">no </w:t>
      </w:r>
      <w:r w:rsidR="001710E6">
        <w:rPr>
          <w:rFonts w:ascii="Verdana" w:hAnsi="Verdana"/>
          <w:sz w:val="20"/>
          <w:lang w:val="es-CO"/>
        </w:rPr>
        <w:t xml:space="preserve">se </w:t>
      </w:r>
      <w:r>
        <w:rPr>
          <w:rFonts w:ascii="Verdana" w:hAnsi="Verdana"/>
          <w:sz w:val="20"/>
          <w:lang w:val="es-CO"/>
        </w:rPr>
        <w:t>circunscribe</w:t>
      </w:r>
      <w:r w:rsidR="001710E6">
        <w:rPr>
          <w:rFonts w:ascii="Verdana" w:hAnsi="Verdana"/>
          <w:sz w:val="20"/>
          <w:lang w:val="es-CO"/>
        </w:rPr>
        <w:t xml:space="preserve"> a</w:t>
      </w:r>
      <w:r>
        <w:rPr>
          <w:rFonts w:ascii="Verdana" w:hAnsi="Verdana"/>
          <w:sz w:val="20"/>
          <w:lang w:val="es-CO"/>
        </w:rPr>
        <w:t xml:space="preserve"> la construcción del m</w:t>
      </w:r>
      <w:r w:rsidR="002767E0">
        <w:rPr>
          <w:rFonts w:ascii="Verdana" w:hAnsi="Verdana"/>
          <w:sz w:val="20"/>
          <w:lang w:val="es-CO"/>
        </w:rPr>
        <w:t>onumento en el</w:t>
      </w:r>
      <w:r>
        <w:rPr>
          <w:rFonts w:ascii="Verdana" w:hAnsi="Verdana"/>
          <w:sz w:val="20"/>
          <w:lang w:val="es-CO"/>
        </w:rPr>
        <w:t xml:space="preserve"> Parque Nacional Blanca Jeanette </w:t>
      </w:r>
      <w:proofErr w:type="spellStart"/>
      <w:r>
        <w:rPr>
          <w:rFonts w:ascii="Verdana" w:hAnsi="Verdana"/>
          <w:sz w:val="20"/>
          <w:lang w:val="es-CO"/>
        </w:rPr>
        <w:t>Kawas</w:t>
      </w:r>
      <w:proofErr w:type="spellEnd"/>
      <w:r>
        <w:rPr>
          <w:rFonts w:ascii="Verdana" w:hAnsi="Verdana"/>
          <w:sz w:val="20"/>
          <w:lang w:val="es-CO"/>
        </w:rPr>
        <w:t xml:space="preserve"> Fernández</w:t>
      </w:r>
      <w:r w:rsidR="00957F9E">
        <w:rPr>
          <w:rFonts w:ascii="Verdana" w:hAnsi="Verdana" w:cs="Arial"/>
          <w:sz w:val="20"/>
          <w:shd w:val="clear" w:color="auto" w:fill="FFFFFF"/>
        </w:rPr>
        <w:t xml:space="preserve"> </w:t>
      </w:r>
      <w:r>
        <w:rPr>
          <w:rFonts w:ascii="Verdana" w:hAnsi="Verdana" w:cs="Arial"/>
          <w:sz w:val="20"/>
          <w:shd w:val="clear" w:color="auto" w:fill="FFFFFF"/>
        </w:rPr>
        <w:t xml:space="preserve">sino que </w:t>
      </w:r>
      <w:r w:rsidR="00381EBF">
        <w:rPr>
          <w:rFonts w:ascii="Verdana" w:hAnsi="Verdana" w:cs="Arial"/>
          <w:sz w:val="20"/>
          <w:shd w:val="clear" w:color="auto" w:fill="FFFFFF"/>
        </w:rPr>
        <w:t xml:space="preserve">pedían </w:t>
      </w:r>
      <w:r>
        <w:rPr>
          <w:rFonts w:ascii="Verdana" w:hAnsi="Verdana" w:cs="Arial"/>
          <w:sz w:val="20"/>
          <w:shd w:val="clear" w:color="auto" w:fill="FFFFFF"/>
        </w:rPr>
        <w:t xml:space="preserve">que el lugar </w:t>
      </w:r>
      <w:r w:rsidR="00381EBF">
        <w:rPr>
          <w:rFonts w:ascii="Verdana" w:hAnsi="Verdana" w:cs="Arial"/>
          <w:sz w:val="20"/>
          <w:shd w:val="clear" w:color="auto" w:fill="FFFFFF"/>
        </w:rPr>
        <w:t xml:space="preserve">fuera </w:t>
      </w:r>
      <w:r>
        <w:rPr>
          <w:rFonts w:ascii="Verdana" w:hAnsi="Verdana" w:cs="Arial"/>
          <w:sz w:val="20"/>
          <w:shd w:val="clear" w:color="auto" w:fill="FFFFFF"/>
        </w:rPr>
        <w:t xml:space="preserve">“acordado”, esta Corte considera que </w:t>
      </w:r>
      <w:r w:rsidR="00234936">
        <w:rPr>
          <w:rFonts w:ascii="Verdana" w:hAnsi="Verdana" w:cs="Arial"/>
          <w:sz w:val="20"/>
          <w:shd w:val="clear" w:color="auto" w:fill="FFFFFF"/>
        </w:rPr>
        <w:t xml:space="preserve">el Estado debe valorar la solicitud específica de lugar planteada por los representantes de las víctimas en la etapa de cumplimiento de </w:t>
      </w:r>
      <w:r>
        <w:rPr>
          <w:rFonts w:ascii="Verdana" w:hAnsi="Verdana" w:cs="Arial"/>
          <w:sz w:val="20"/>
          <w:shd w:val="clear" w:color="auto" w:fill="FFFFFF"/>
        </w:rPr>
        <w:t xml:space="preserve">que el monumento sea construido en el Parque Central de la Municipalidad de Tela. </w:t>
      </w:r>
      <w:r w:rsidR="00ED793B">
        <w:rPr>
          <w:rFonts w:ascii="Verdana" w:hAnsi="Verdana" w:cs="Arial"/>
          <w:sz w:val="20"/>
          <w:shd w:val="clear" w:color="auto" w:fill="FFFFFF"/>
        </w:rPr>
        <w:t xml:space="preserve">Asimismo, la Corte nota que </w:t>
      </w:r>
      <w:r w:rsidR="00FB473B">
        <w:rPr>
          <w:rFonts w:ascii="Verdana" w:hAnsi="Verdana" w:cs="Arial"/>
          <w:sz w:val="20"/>
          <w:shd w:val="clear" w:color="auto" w:fill="FFFFFF"/>
        </w:rPr>
        <w:t xml:space="preserve">erigir el </w:t>
      </w:r>
      <w:r w:rsidR="00C16A01">
        <w:rPr>
          <w:rFonts w:ascii="Verdana" w:hAnsi="Verdana" w:cs="Arial"/>
          <w:sz w:val="20"/>
          <w:shd w:val="clear" w:color="auto" w:fill="FFFFFF"/>
        </w:rPr>
        <w:t xml:space="preserve">monumento en dicho lugar tiene </w:t>
      </w:r>
      <w:r w:rsidR="00ED793B">
        <w:rPr>
          <w:rFonts w:ascii="Verdana" w:hAnsi="Verdana" w:cs="Arial"/>
          <w:sz w:val="20"/>
          <w:shd w:val="clear" w:color="auto" w:fill="FFFFFF"/>
        </w:rPr>
        <w:t xml:space="preserve">gran importancia </w:t>
      </w:r>
      <w:r w:rsidR="00C16A01">
        <w:rPr>
          <w:rFonts w:ascii="Verdana" w:hAnsi="Verdana" w:cs="Arial"/>
          <w:sz w:val="20"/>
          <w:shd w:val="clear" w:color="auto" w:fill="FFFFFF"/>
        </w:rPr>
        <w:t xml:space="preserve">para </w:t>
      </w:r>
      <w:r w:rsidR="00FB473B">
        <w:rPr>
          <w:rFonts w:ascii="Verdana" w:hAnsi="Verdana" w:cs="Arial"/>
          <w:sz w:val="20"/>
          <w:shd w:val="clear" w:color="auto" w:fill="FFFFFF"/>
        </w:rPr>
        <w:t xml:space="preserve">las víctimas </w:t>
      </w:r>
      <w:r w:rsidR="00C16A01">
        <w:rPr>
          <w:rFonts w:ascii="Verdana" w:hAnsi="Verdana" w:cs="Arial"/>
          <w:sz w:val="20"/>
          <w:shd w:val="clear" w:color="auto" w:fill="FFFFFF"/>
        </w:rPr>
        <w:t xml:space="preserve">y que, según lo informado por </w:t>
      </w:r>
      <w:r w:rsidR="00FB473B">
        <w:rPr>
          <w:rFonts w:ascii="Verdana" w:hAnsi="Verdana" w:cs="Arial"/>
          <w:sz w:val="20"/>
          <w:shd w:val="clear" w:color="auto" w:fill="FFFFFF"/>
        </w:rPr>
        <w:t>sus representantes</w:t>
      </w:r>
      <w:r w:rsidR="00650D40">
        <w:rPr>
          <w:rStyle w:val="Refdenotaalpie"/>
          <w:rFonts w:ascii="Verdana" w:hAnsi="Verdana" w:cs="Arial"/>
          <w:sz w:val="20"/>
          <w:shd w:val="clear" w:color="auto" w:fill="FFFFFF"/>
        </w:rPr>
        <w:footnoteReference w:id="18"/>
      </w:r>
      <w:r w:rsidR="00C16A01">
        <w:rPr>
          <w:rFonts w:ascii="Verdana" w:hAnsi="Verdana" w:cs="Arial"/>
          <w:sz w:val="20"/>
          <w:shd w:val="clear" w:color="auto" w:fill="FFFFFF"/>
        </w:rPr>
        <w:t xml:space="preserve">, </w:t>
      </w:r>
      <w:r w:rsidR="00062BEF">
        <w:rPr>
          <w:rFonts w:ascii="Verdana" w:hAnsi="Verdana" w:cs="Arial"/>
          <w:sz w:val="20"/>
          <w:shd w:val="clear" w:color="auto" w:fill="FFFFFF"/>
        </w:rPr>
        <w:t xml:space="preserve">las autoridades locales habrían manifestado su conformidad </w:t>
      </w:r>
      <w:r w:rsidR="00C16A01">
        <w:rPr>
          <w:rFonts w:ascii="Verdana" w:hAnsi="Verdana" w:cs="Arial"/>
          <w:sz w:val="20"/>
          <w:shd w:val="clear" w:color="auto" w:fill="FFFFFF"/>
        </w:rPr>
        <w:t>en cuanto a la construcción del monumento en dicho Parque Central</w:t>
      </w:r>
      <w:r w:rsidR="0028555E">
        <w:rPr>
          <w:rFonts w:ascii="Verdana" w:hAnsi="Verdana" w:cs="Arial"/>
          <w:sz w:val="20"/>
          <w:shd w:val="clear" w:color="auto" w:fill="FFFFFF"/>
        </w:rPr>
        <w:t xml:space="preserve"> </w:t>
      </w:r>
      <w:r w:rsidR="00C16A01">
        <w:rPr>
          <w:rFonts w:ascii="Verdana" w:hAnsi="Verdana" w:cs="Arial"/>
          <w:sz w:val="20"/>
          <w:shd w:val="clear" w:color="auto" w:fill="FFFFFF"/>
        </w:rPr>
        <w:t>(</w:t>
      </w:r>
      <w:r w:rsidR="00C16A01">
        <w:rPr>
          <w:rFonts w:ascii="Verdana" w:hAnsi="Verdana" w:cs="Arial"/>
          <w:i/>
          <w:sz w:val="20"/>
          <w:shd w:val="clear" w:color="auto" w:fill="FFFFFF"/>
        </w:rPr>
        <w:t xml:space="preserve">supra </w:t>
      </w:r>
      <w:r w:rsidR="00C16A01">
        <w:rPr>
          <w:rFonts w:ascii="Verdana" w:hAnsi="Verdana" w:cs="Arial"/>
          <w:sz w:val="20"/>
          <w:shd w:val="clear" w:color="auto" w:fill="FFFFFF"/>
        </w:rPr>
        <w:t xml:space="preserve">Considerando </w:t>
      </w:r>
      <w:r w:rsidR="00E2666E">
        <w:rPr>
          <w:rFonts w:ascii="Verdana" w:hAnsi="Verdana" w:cs="Arial"/>
          <w:sz w:val="20"/>
          <w:highlight w:val="yellow"/>
          <w:shd w:val="clear" w:color="auto" w:fill="FFFFFF"/>
        </w:rPr>
        <w:fldChar w:fldCharType="begin"/>
      </w:r>
      <w:r w:rsidR="00E2666E">
        <w:rPr>
          <w:rFonts w:ascii="Verdana" w:hAnsi="Verdana" w:cs="Arial"/>
          <w:sz w:val="20"/>
          <w:shd w:val="clear" w:color="auto" w:fill="FFFFFF"/>
        </w:rPr>
        <w:instrText xml:space="preserve"> REF _Ref19544013 \r \h </w:instrText>
      </w:r>
      <w:r w:rsidR="00E2666E">
        <w:rPr>
          <w:rFonts w:ascii="Verdana" w:hAnsi="Verdana" w:cs="Arial"/>
          <w:sz w:val="20"/>
          <w:highlight w:val="yellow"/>
          <w:shd w:val="clear" w:color="auto" w:fill="FFFFFF"/>
        </w:rPr>
      </w:r>
      <w:r w:rsidR="00E2666E">
        <w:rPr>
          <w:rFonts w:ascii="Verdana" w:hAnsi="Verdana" w:cs="Arial"/>
          <w:sz w:val="20"/>
          <w:highlight w:val="yellow"/>
          <w:shd w:val="clear" w:color="auto" w:fill="FFFFFF"/>
        </w:rPr>
        <w:fldChar w:fldCharType="separate"/>
      </w:r>
      <w:r w:rsidR="00F87D55">
        <w:rPr>
          <w:rFonts w:ascii="Verdana" w:hAnsi="Verdana" w:cs="Arial"/>
          <w:sz w:val="20"/>
          <w:shd w:val="clear" w:color="auto" w:fill="FFFFFF"/>
        </w:rPr>
        <w:t>7</w:t>
      </w:r>
      <w:r w:rsidR="00E2666E">
        <w:rPr>
          <w:rFonts w:ascii="Verdana" w:hAnsi="Verdana" w:cs="Arial"/>
          <w:sz w:val="20"/>
          <w:highlight w:val="yellow"/>
          <w:shd w:val="clear" w:color="auto" w:fill="FFFFFF"/>
        </w:rPr>
        <w:fldChar w:fldCharType="end"/>
      </w:r>
      <w:r w:rsidR="00C16A01">
        <w:rPr>
          <w:rFonts w:ascii="Verdana" w:hAnsi="Verdana" w:cs="Arial"/>
          <w:sz w:val="20"/>
          <w:shd w:val="clear" w:color="auto" w:fill="FFFFFF"/>
        </w:rPr>
        <w:t>).</w:t>
      </w:r>
      <w:bookmarkEnd w:id="9"/>
    </w:p>
    <w:p w14:paraId="74935C21" w14:textId="6C0A1B3C" w:rsidR="007D6A35" w:rsidRDefault="000E26DF" w:rsidP="007B79F5">
      <w:pPr>
        <w:numPr>
          <w:ilvl w:val="0"/>
          <w:numId w:val="7"/>
        </w:numPr>
        <w:tabs>
          <w:tab w:val="left" w:pos="709"/>
        </w:tabs>
        <w:spacing w:before="120" w:after="120"/>
        <w:ind w:left="0" w:firstLine="0"/>
        <w:jc w:val="both"/>
        <w:rPr>
          <w:rFonts w:ascii="Verdana" w:hAnsi="Verdana" w:cs="Arial"/>
          <w:sz w:val="20"/>
          <w:shd w:val="clear" w:color="auto" w:fill="FFFFFF"/>
        </w:rPr>
      </w:pPr>
      <w:bookmarkStart w:id="10" w:name="_Ref19543549"/>
      <w:r>
        <w:rPr>
          <w:rFonts w:ascii="Verdana" w:hAnsi="Verdana" w:cs="Arial"/>
          <w:sz w:val="20"/>
          <w:shd w:val="clear" w:color="auto" w:fill="FFFFFF"/>
        </w:rPr>
        <w:t xml:space="preserve">Por </w:t>
      </w:r>
      <w:r w:rsidR="0021228C">
        <w:rPr>
          <w:rFonts w:ascii="Verdana" w:hAnsi="Verdana" w:cs="Arial"/>
          <w:sz w:val="20"/>
          <w:shd w:val="clear" w:color="auto" w:fill="FFFFFF"/>
        </w:rPr>
        <w:t>otra parte</w:t>
      </w:r>
      <w:r>
        <w:rPr>
          <w:rFonts w:ascii="Verdana" w:hAnsi="Verdana" w:cs="Arial"/>
          <w:sz w:val="20"/>
          <w:shd w:val="clear" w:color="auto" w:fill="FFFFFF"/>
        </w:rPr>
        <w:t xml:space="preserve">, </w:t>
      </w:r>
      <w:r w:rsidR="00D81B31" w:rsidRPr="00E46011">
        <w:rPr>
          <w:rFonts w:ascii="Verdana" w:hAnsi="Verdana" w:cs="Arial"/>
          <w:sz w:val="20"/>
          <w:shd w:val="clear" w:color="auto" w:fill="FFFFFF"/>
        </w:rPr>
        <w:t xml:space="preserve">con respecto al lugar de emplazamiento de </w:t>
      </w:r>
      <w:r w:rsidR="007B56F2">
        <w:rPr>
          <w:rFonts w:ascii="Verdana" w:hAnsi="Verdana" w:cs="Arial"/>
          <w:sz w:val="20"/>
          <w:shd w:val="clear" w:color="auto" w:fill="FFFFFF"/>
        </w:rPr>
        <w:t xml:space="preserve">los </w:t>
      </w:r>
      <w:r w:rsidRPr="00E46011">
        <w:rPr>
          <w:rFonts w:ascii="Verdana" w:hAnsi="Verdana" w:cs="Arial"/>
          <w:sz w:val="20"/>
          <w:shd w:val="clear" w:color="auto" w:fill="FFFFFF"/>
          <w:lang w:val="es-CO"/>
        </w:rPr>
        <w:t>rótulos ordenados en la Sentencia</w:t>
      </w:r>
      <w:r w:rsidR="00C71CD0">
        <w:rPr>
          <w:rFonts w:ascii="Verdana" w:hAnsi="Verdana" w:cs="Arial"/>
          <w:sz w:val="20"/>
          <w:shd w:val="clear" w:color="auto" w:fill="FFFFFF"/>
          <w:lang w:val="es-CO"/>
        </w:rPr>
        <w:t xml:space="preserve"> (</w:t>
      </w:r>
      <w:r w:rsidR="00C71CD0" w:rsidRPr="00C71CD0">
        <w:rPr>
          <w:rFonts w:ascii="Verdana" w:hAnsi="Verdana" w:cs="Arial"/>
          <w:i/>
          <w:sz w:val="20"/>
          <w:shd w:val="clear" w:color="auto" w:fill="FFFFFF"/>
          <w:lang w:val="es-CO"/>
        </w:rPr>
        <w:t>supra</w:t>
      </w:r>
      <w:r w:rsidR="00C71CD0">
        <w:rPr>
          <w:rFonts w:ascii="Verdana" w:hAnsi="Verdana" w:cs="Arial"/>
          <w:sz w:val="20"/>
          <w:shd w:val="clear" w:color="auto" w:fill="FFFFFF"/>
          <w:lang w:val="es-CO"/>
        </w:rPr>
        <w:t xml:space="preserve"> Considerando 4)</w:t>
      </w:r>
      <w:r w:rsidR="00D81B31" w:rsidRPr="00E46011">
        <w:rPr>
          <w:rFonts w:ascii="Verdana" w:hAnsi="Verdana" w:cs="Arial"/>
          <w:sz w:val="20"/>
          <w:shd w:val="clear" w:color="auto" w:fill="FFFFFF"/>
          <w:lang w:val="es-CO"/>
        </w:rPr>
        <w:t xml:space="preserve">, </w:t>
      </w:r>
      <w:r w:rsidR="00C71CD0">
        <w:rPr>
          <w:rFonts w:ascii="Verdana" w:hAnsi="Verdana" w:cs="Arial"/>
          <w:sz w:val="20"/>
          <w:shd w:val="clear" w:color="auto" w:fill="FFFFFF"/>
          <w:lang w:val="es-CO"/>
        </w:rPr>
        <w:t xml:space="preserve">en la </w:t>
      </w:r>
      <w:r w:rsidR="00E26409">
        <w:rPr>
          <w:rFonts w:ascii="Verdana" w:hAnsi="Verdana" w:cs="Arial"/>
          <w:sz w:val="20"/>
          <w:shd w:val="clear" w:color="auto" w:fill="FFFFFF"/>
          <w:lang w:val="es-CO"/>
        </w:rPr>
        <w:t xml:space="preserve">misma </w:t>
      </w:r>
      <w:r w:rsidR="00C71CD0">
        <w:rPr>
          <w:rFonts w:ascii="Verdana" w:hAnsi="Verdana" w:cs="Arial"/>
          <w:sz w:val="20"/>
          <w:shd w:val="clear" w:color="auto" w:fill="FFFFFF"/>
          <w:lang w:val="es-CO"/>
        </w:rPr>
        <w:t>se ordenó que</w:t>
      </w:r>
      <w:r w:rsidR="00022A4A" w:rsidRPr="00E46011">
        <w:rPr>
          <w:rFonts w:ascii="Verdana" w:hAnsi="Verdana" w:cs="Arial"/>
          <w:sz w:val="20"/>
          <w:shd w:val="clear" w:color="auto" w:fill="FFFFFF"/>
          <w:lang w:val="es-CO"/>
        </w:rPr>
        <w:t xml:space="preserve"> la </w:t>
      </w:r>
      <w:r w:rsidR="007B56F2">
        <w:rPr>
          <w:rFonts w:ascii="Verdana" w:hAnsi="Verdana" w:cs="Arial"/>
          <w:sz w:val="20"/>
          <w:shd w:val="clear" w:color="auto" w:fill="FFFFFF"/>
          <w:lang w:val="es-CO"/>
        </w:rPr>
        <w:t xml:space="preserve">rotulación debía efectuarse </w:t>
      </w:r>
      <w:r w:rsidR="00C71CD0">
        <w:rPr>
          <w:rFonts w:ascii="Verdana" w:hAnsi="Verdana" w:cs="Arial"/>
          <w:sz w:val="20"/>
          <w:shd w:val="clear" w:color="auto" w:fill="FFFFFF"/>
          <w:lang w:val="es-CO"/>
        </w:rPr>
        <w:lastRenderedPageBreak/>
        <w:t xml:space="preserve">dentro </w:t>
      </w:r>
      <w:r w:rsidR="00022A4A" w:rsidRPr="00E46011">
        <w:rPr>
          <w:rFonts w:ascii="Verdana" w:hAnsi="Verdana" w:cs="Arial"/>
          <w:sz w:val="20"/>
          <w:shd w:val="clear" w:color="auto" w:fill="FFFFFF"/>
          <w:lang w:val="es-CO"/>
        </w:rPr>
        <w:t xml:space="preserve">del Parque Nacional que lleva el nombre de la víctima. No obstante, </w:t>
      </w:r>
      <w:r w:rsidR="001710E6">
        <w:rPr>
          <w:rFonts w:ascii="Verdana" w:hAnsi="Verdana" w:cs="Arial"/>
          <w:sz w:val="20"/>
          <w:shd w:val="clear" w:color="auto" w:fill="FFFFFF"/>
          <w:lang w:val="es-CO"/>
        </w:rPr>
        <w:t>este Tribunal</w:t>
      </w:r>
      <w:r w:rsidR="00C71CD0">
        <w:rPr>
          <w:rFonts w:ascii="Verdana" w:hAnsi="Verdana" w:cs="Arial"/>
          <w:sz w:val="20"/>
          <w:shd w:val="clear" w:color="auto" w:fill="FFFFFF"/>
          <w:lang w:val="es-CO"/>
        </w:rPr>
        <w:t xml:space="preserve"> toma nota de que </w:t>
      </w:r>
      <w:r w:rsidR="00A76A17" w:rsidRPr="00E46011">
        <w:rPr>
          <w:rFonts w:ascii="Verdana" w:hAnsi="Verdana" w:cs="Arial"/>
          <w:sz w:val="20"/>
          <w:shd w:val="clear" w:color="auto" w:fill="FFFFFF"/>
        </w:rPr>
        <w:t xml:space="preserve">las </w:t>
      </w:r>
      <w:r w:rsidR="00022A4A" w:rsidRPr="00E46011">
        <w:rPr>
          <w:rFonts w:ascii="Verdana" w:hAnsi="Verdana" w:cs="Arial"/>
          <w:sz w:val="20"/>
          <w:shd w:val="clear" w:color="auto" w:fill="FFFFFF"/>
        </w:rPr>
        <w:t xml:space="preserve">partes </w:t>
      </w:r>
      <w:r w:rsidR="00C71CD0">
        <w:rPr>
          <w:rFonts w:ascii="Verdana" w:hAnsi="Verdana" w:cs="Arial"/>
          <w:sz w:val="20"/>
          <w:shd w:val="clear" w:color="auto" w:fill="FFFFFF"/>
        </w:rPr>
        <w:t xml:space="preserve">están de </w:t>
      </w:r>
      <w:r w:rsidR="00A76A17" w:rsidRPr="00E46011">
        <w:rPr>
          <w:rFonts w:ascii="Verdana" w:hAnsi="Verdana" w:cs="Arial"/>
          <w:sz w:val="20"/>
          <w:shd w:val="clear" w:color="auto" w:fill="FFFFFF"/>
        </w:rPr>
        <w:t xml:space="preserve">acuerdo </w:t>
      </w:r>
      <w:r w:rsidR="00C71CD0">
        <w:rPr>
          <w:rFonts w:ascii="Verdana" w:hAnsi="Verdana" w:cs="Arial"/>
          <w:sz w:val="20"/>
          <w:shd w:val="clear" w:color="auto" w:fill="FFFFFF"/>
        </w:rPr>
        <w:t xml:space="preserve">respecto a un </w:t>
      </w:r>
      <w:r w:rsidR="00347C69">
        <w:rPr>
          <w:rFonts w:ascii="Verdana" w:hAnsi="Verdana" w:cs="Arial"/>
          <w:sz w:val="20"/>
          <w:shd w:val="clear" w:color="auto" w:fill="FFFFFF"/>
        </w:rPr>
        <w:t>cambio en la modalidad de ejecución</w:t>
      </w:r>
      <w:r w:rsidR="00C71CD0">
        <w:rPr>
          <w:rFonts w:ascii="Verdana" w:hAnsi="Verdana" w:cs="Arial"/>
          <w:sz w:val="20"/>
          <w:shd w:val="clear" w:color="auto" w:fill="FFFFFF"/>
        </w:rPr>
        <w:t xml:space="preserve"> que implica que algunos de los rótulos se coloquen fuera del perímetro del Parque Nacional (</w:t>
      </w:r>
      <w:r w:rsidR="00C71CD0" w:rsidRPr="00C71CD0">
        <w:rPr>
          <w:rFonts w:ascii="Verdana" w:hAnsi="Verdana" w:cs="Arial"/>
          <w:i/>
          <w:sz w:val="20"/>
          <w:shd w:val="clear" w:color="auto" w:fill="FFFFFF"/>
        </w:rPr>
        <w:t>supra</w:t>
      </w:r>
      <w:r w:rsidR="00C71CD0">
        <w:rPr>
          <w:rFonts w:ascii="Verdana" w:hAnsi="Verdana" w:cs="Arial"/>
          <w:sz w:val="20"/>
          <w:shd w:val="clear" w:color="auto" w:fill="FFFFFF"/>
        </w:rPr>
        <w:t xml:space="preserve"> Considerandos 6 y 7). E</w:t>
      </w:r>
      <w:r w:rsidR="00202B9D">
        <w:rPr>
          <w:rFonts w:ascii="Verdana" w:hAnsi="Verdana" w:cs="Arial"/>
          <w:sz w:val="20"/>
          <w:shd w:val="clear" w:color="auto" w:fill="FFFFFF"/>
        </w:rPr>
        <w:t>sta Corte considera que</w:t>
      </w:r>
      <w:r w:rsidR="00A76A17">
        <w:rPr>
          <w:rFonts w:ascii="Verdana" w:hAnsi="Verdana" w:cs="Arial"/>
          <w:sz w:val="20"/>
          <w:shd w:val="clear" w:color="auto" w:fill="FFFFFF"/>
        </w:rPr>
        <w:t xml:space="preserve"> </w:t>
      </w:r>
      <w:r w:rsidR="00C71CD0">
        <w:rPr>
          <w:rFonts w:ascii="Verdana" w:hAnsi="Verdana" w:cs="Arial"/>
          <w:sz w:val="20"/>
          <w:shd w:val="clear" w:color="auto" w:fill="FFFFFF"/>
        </w:rPr>
        <w:t xml:space="preserve">dicho cambio </w:t>
      </w:r>
      <w:r w:rsidR="00347C69">
        <w:rPr>
          <w:rFonts w:ascii="Verdana" w:hAnsi="Verdana" w:cs="Arial"/>
          <w:sz w:val="20"/>
          <w:shd w:val="clear" w:color="auto" w:fill="FFFFFF"/>
        </w:rPr>
        <w:t xml:space="preserve">sería acorde al objetivo primordial de la medida ordenada, el cual es la preservación de la memoria de la señora </w:t>
      </w:r>
      <w:proofErr w:type="spellStart"/>
      <w:r w:rsidR="00347C69">
        <w:rPr>
          <w:rFonts w:ascii="Verdana" w:hAnsi="Verdana" w:cs="Arial"/>
          <w:sz w:val="20"/>
          <w:shd w:val="clear" w:color="auto" w:fill="FFFFFF"/>
        </w:rPr>
        <w:t>Kawas</w:t>
      </w:r>
      <w:proofErr w:type="spellEnd"/>
      <w:r w:rsidR="00347C69">
        <w:rPr>
          <w:rFonts w:ascii="Verdana" w:hAnsi="Verdana" w:cs="Arial"/>
          <w:sz w:val="20"/>
          <w:shd w:val="clear" w:color="auto" w:fill="FFFFFF"/>
        </w:rPr>
        <w:t xml:space="preserve"> Fernández, en tanto le otorgaría “mayor visibilidad e impacto”. </w:t>
      </w:r>
      <w:bookmarkEnd w:id="10"/>
    </w:p>
    <w:p w14:paraId="54424696" w14:textId="6304103D" w:rsidR="007D6A35" w:rsidRDefault="007D6A35" w:rsidP="007B79F5">
      <w:pPr>
        <w:numPr>
          <w:ilvl w:val="0"/>
          <w:numId w:val="7"/>
        </w:numPr>
        <w:tabs>
          <w:tab w:val="left" w:pos="709"/>
        </w:tabs>
        <w:spacing w:before="120" w:after="120"/>
        <w:ind w:left="0" w:firstLine="0"/>
        <w:jc w:val="both"/>
        <w:rPr>
          <w:rFonts w:ascii="Verdana" w:hAnsi="Verdana" w:cs="Arial"/>
          <w:sz w:val="20"/>
          <w:shd w:val="clear" w:color="auto" w:fill="FFFFFF"/>
        </w:rPr>
      </w:pPr>
      <w:r w:rsidRPr="007D6A35">
        <w:rPr>
          <w:rFonts w:ascii="Verdana" w:hAnsi="Verdana" w:cs="Arial"/>
          <w:sz w:val="20"/>
          <w:shd w:val="clear" w:color="auto" w:fill="FFFFFF"/>
        </w:rPr>
        <w:t xml:space="preserve">Finalmente, si bien este </w:t>
      </w:r>
      <w:r w:rsidRPr="007D6A35">
        <w:rPr>
          <w:rFonts w:ascii="Verdana" w:hAnsi="Verdana" w:cs="Arial"/>
          <w:sz w:val="20"/>
          <w:shd w:val="clear" w:color="auto" w:fill="FFFFFF"/>
          <w:lang w:val="es-CO"/>
        </w:rPr>
        <w:t>Tribunal</w:t>
      </w:r>
      <w:r w:rsidRPr="007D6A35">
        <w:rPr>
          <w:rFonts w:ascii="Verdana" w:hAnsi="Verdana" w:cs="Arial"/>
          <w:sz w:val="20"/>
          <w:shd w:val="clear" w:color="auto" w:fill="FFFFFF"/>
        </w:rPr>
        <w:t xml:space="preserve"> considera positivo que en los últimos meses se hayan reactivado las gestiones necesarias para dar cumplimiento a esta medida, observa que el </w:t>
      </w:r>
      <w:r w:rsidRPr="007D6A35">
        <w:rPr>
          <w:rFonts w:ascii="Verdana" w:hAnsi="Verdana" w:cs="Arial"/>
          <w:sz w:val="20"/>
          <w:shd w:val="clear" w:color="auto" w:fill="FFFFFF"/>
          <w:lang w:val="es-AR"/>
        </w:rPr>
        <w:t>plazo</w:t>
      </w:r>
      <w:r w:rsidRPr="007D6A35">
        <w:rPr>
          <w:rFonts w:ascii="Verdana" w:hAnsi="Verdana" w:cs="Arial"/>
          <w:sz w:val="20"/>
          <w:shd w:val="clear" w:color="auto" w:fill="FFFFFF"/>
        </w:rPr>
        <w:t xml:space="preserve"> de dos años para dar cumplimiento a la misma venció el </w:t>
      </w:r>
      <w:r w:rsidR="00924DF2">
        <w:rPr>
          <w:rFonts w:ascii="Verdana" w:hAnsi="Verdana" w:cs="Arial"/>
          <w:sz w:val="20"/>
          <w:shd w:val="clear" w:color="auto" w:fill="FFFFFF"/>
        </w:rPr>
        <w:t>9 de mayo de 2011</w:t>
      </w:r>
      <w:r w:rsidRPr="007D6A35">
        <w:rPr>
          <w:rFonts w:ascii="Verdana" w:hAnsi="Verdana" w:cs="Arial"/>
          <w:sz w:val="20"/>
          <w:shd w:val="clear" w:color="auto" w:fill="FFFFFF"/>
        </w:rPr>
        <w:t xml:space="preserve"> sin que se verifiquen avances significativos. Por ello, teniendo en cuenta que, por su naturaleza, tal como lo remarcó la Comisión, la presente medida no reviste mayores complejidades para su ejecución, la Corte solicita al </w:t>
      </w:r>
      <w:r w:rsidRPr="007D6A35">
        <w:rPr>
          <w:rFonts w:ascii="Verdana" w:hAnsi="Verdana" w:cs="Arial"/>
          <w:sz w:val="20"/>
          <w:shd w:val="clear" w:color="auto" w:fill="FFFFFF"/>
          <w:lang w:val="es-CO"/>
        </w:rPr>
        <w:t>Estado</w:t>
      </w:r>
      <w:r w:rsidRPr="007D6A35">
        <w:rPr>
          <w:rFonts w:ascii="Verdana" w:hAnsi="Verdana" w:cs="Arial"/>
          <w:sz w:val="20"/>
          <w:shd w:val="clear" w:color="auto" w:fill="FFFFFF"/>
        </w:rPr>
        <w:t xml:space="preserve"> que adopte todas las medidas necesarias para dar cumplimiento a la misma a la mayor brevedad posible, en los términos expuestos </w:t>
      </w:r>
      <w:r w:rsidRPr="007D6A35">
        <w:rPr>
          <w:rFonts w:ascii="Verdana" w:hAnsi="Verdana" w:cs="Arial"/>
          <w:i/>
          <w:sz w:val="20"/>
          <w:shd w:val="clear" w:color="auto" w:fill="FFFFFF"/>
        </w:rPr>
        <w:t xml:space="preserve">supra </w:t>
      </w:r>
      <w:r w:rsidRPr="007D6A35">
        <w:rPr>
          <w:rFonts w:ascii="Verdana" w:hAnsi="Verdana" w:cs="Arial"/>
          <w:sz w:val="20"/>
          <w:shd w:val="clear" w:color="auto" w:fill="FFFFFF"/>
        </w:rPr>
        <w:t xml:space="preserve">(Considerandos </w:t>
      </w:r>
      <w:r w:rsidR="00470C38">
        <w:rPr>
          <w:rFonts w:ascii="Verdana" w:hAnsi="Verdana" w:cs="Arial"/>
          <w:sz w:val="20"/>
          <w:shd w:val="clear" w:color="auto" w:fill="FFFFFF"/>
        </w:rPr>
        <w:fldChar w:fldCharType="begin"/>
      </w:r>
      <w:r w:rsidR="00470C38">
        <w:rPr>
          <w:rFonts w:ascii="Verdana" w:hAnsi="Verdana" w:cs="Arial"/>
          <w:sz w:val="20"/>
          <w:shd w:val="clear" w:color="auto" w:fill="FFFFFF"/>
        </w:rPr>
        <w:instrText xml:space="preserve"> REF _Ref19544121 \r \h </w:instrText>
      </w:r>
      <w:r w:rsidR="00470C38">
        <w:rPr>
          <w:rFonts w:ascii="Verdana" w:hAnsi="Verdana" w:cs="Arial"/>
          <w:sz w:val="20"/>
          <w:shd w:val="clear" w:color="auto" w:fill="FFFFFF"/>
        </w:rPr>
      </w:r>
      <w:r w:rsidR="00470C38">
        <w:rPr>
          <w:rFonts w:ascii="Verdana" w:hAnsi="Verdana" w:cs="Arial"/>
          <w:sz w:val="20"/>
          <w:shd w:val="clear" w:color="auto" w:fill="FFFFFF"/>
        </w:rPr>
        <w:fldChar w:fldCharType="separate"/>
      </w:r>
      <w:r w:rsidR="00F87D55">
        <w:rPr>
          <w:rFonts w:ascii="Verdana" w:hAnsi="Verdana" w:cs="Arial"/>
          <w:sz w:val="20"/>
          <w:shd w:val="clear" w:color="auto" w:fill="FFFFFF"/>
        </w:rPr>
        <w:t>12</w:t>
      </w:r>
      <w:r w:rsidR="00470C38">
        <w:rPr>
          <w:rFonts w:ascii="Verdana" w:hAnsi="Verdana" w:cs="Arial"/>
          <w:sz w:val="20"/>
          <w:shd w:val="clear" w:color="auto" w:fill="FFFFFF"/>
        </w:rPr>
        <w:fldChar w:fldCharType="end"/>
      </w:r>
      <w:r w:rsidR="002767E0">
        <w:rPr>
          <w:rFonts w:ascii="Verdana" w:hAnsi="Verdana" w:cs="Arial"/>
          <w:sz w:val="20"/>
          <w:shd w:val="clear" w:color="auto" w:fill="FFFFFF"/>
        </w:rPr>
        <w:t xml:space="preserve"> y</w:t>
      </w:r>
      <w:r w:rsidR="00470C38">
        <w:rPr>
          <w:rFonts w:ascii="Verdana" w:hAnsi="Verdana" w:cs="Arial"/>
          <w:sz w:val="20"/>
          <w:shd w:val="clear" w:color="auto" w:fill="FFFFFF"/>
        </w:rPr>
        <w:t xml:space="preserve"> </w:t>
      </w:r>
      <w:r w:rsidR="00470C38">
        <w:rPr>
          <w:rFonts w:ascii="Verdana" w:hAnsi="Verdana" w:cs="Arial"/>
          <w:sz w:val="20"/>
          <w:shd w:val="clear" w:color="auto" w:fill="FFFFFF"/>
        </w:rPr>
        <w:fldChar w:fldCharType="begin"/>
      </w:r>
      <w:r w:rsidR="00470C38">
        <w:rPr>
          <w:rFonts w:ascii="Verdana" w:hAnsi="Verdana" w:cs="Arial"/>
          <w:sz w:val="20"/>
          <w:shd w:val="clear" w:color="auto" w:fill="FFFFFF"/>
        </w:rPr>
        <w:instrText xml:space="preserve"> REF _Ref19543549 \r \h </w:instrText>
      </w:r>
      <w:r w:rsidR="00470C38">
        <w:rPr>
          <w:rFonts w:ascii="Verdana" w:hAnsi="Verdana" w:cs="Arial"/>
          <w:sz w:val="20"/>
          <w:shd w:val="clear" w:color="auto" w:fill="FFFFFF"/>
        </w:rPr>
      </w:r>
      <w:r w:rsidR="00470C38">
        <w:rPr>
          <w:rFonts w:ascii="Verdana" w:hAnsi="Verdana" w:cs="Arial"/>
          <w:sz w:val="20"/>
          <w:shd w:val="clear" w:color="auto" w:fill="FFFFFF"/>
        </w:rPr>
        <w:fldChar w:fldCharType="separate"/>
      </w:r>
      <w:r w:rsidR="00F87D55">
        <w:rPr>
          <w:rFonts w:ascii="Verdana" w:hAnsi="Verdana" w:cs="Arial"/>
          <w:sz w:val="20"/>
          <w:shd w:val="clear" w:color="auto" w:fill="FFFFFF"/>
        </w:rPr>
        <w:t>13</w:t>
      </w:r>
      <w:r w:rsidR="00470C38">
        <w:rPr>
          <w:rFonts w:ascii="Verdana" w:hAnsi="Verdana" w:cs="Arial"/>
          <w:sz w:val="20"/>
          <w:shd w:val="clear" w:color="auto" w:fill="FFFFFF"/>
        </w:rPr>
        <w:fldChar w:fldCharType="end"/>
      </w:r>
      <w:r>
        <w:rPr>
          <w:rFonts w:ascii="Verdana" w:hAnsi="Verdana" w:cs="Arial"/>
          <w:sz w:val="20"/>
          <w:shd w:val="clear" w:color="auto" w:fill="FFFFFF"/>
        </w:rPr>
        <w:t xml:space="preserve">). </w:t>
      </w:r>
    </w:p>
    <w:p w14:paraId="0D9AD837" w14:textId="3AD267A3" w:rsidR="00706EA4" w:rsidRPr="00CA1286" w:rsidRDefault="00706EA4" w:rsidP="007B79F5">
      <w:pPr>
        <w:numPr>
          <w:ilvl w:val="0"/>
          <w:numId w:val="7"/>
        </w:numPr>
        <w:tabs>
          <w:tab w:val="left" w:pos="709"/>
        </w:tabs>
        <w:spacing w:before="120" w:after="120"/>
        <w:ind w:left="0" w:firstLine="0"/>
        <w:jc w:val="both"/>
        <w:rPr>
          <w:rFonts w:ascii="Verdana" w:hAnsi="Verdana"/>
          <w:sz w:val="20"/>
          <w:lang w:val="es-CO"/>
        </w:rPr>
      </w:pPr>
      <w:bookmarkStart w:id="11" w:name="_Ref19545625"/>
      <w:bookmarkEnd w:id="7"/>
      <w:r w:rsidRPr="00CA1286">
        <w:rPr>
          <w:rFonts w:ascii="Verdana" w:hAnsi="Verdana" w:cs="Arial"/>
          <w:sz w:val="20"/>
          <w:shd w:val="clear" w:color="auto" w:fill="FFFFFF"/>
          <w:lang w:val="es-CO"/>
        </w:rPr>
        <w:t xml:space="preserve">En virtud de lo anterior, la Corte considera que </w:t>
      </w:r>
      <w:r w:rsidR="00766E19">
        <w:rPr>
          <w:rFonts w:ascii="Verdana" w:hAnsi="Verdana" w:cs="Arial"/>
          <w:sz w:val="20"/>
          <w:shd w:val="clear" w:color="auto" w:fill="FFFFFF"/>
          <w:lang w:val="es-CO"/>
        </w:rPr>
        <w:t>la</w:t>
      </w:r>
      <w:r w:rsidR="00B57BDE">
        <w:rPr>
          <w:rFonts w:ascii="Verdana" w:hAnsi="Verdana" w:cs="Arial"/>
          <w:sz w:val="20"/>
          <w:shd w:val="clear" w:color="auto" w:fill="FFFFFF"/>
          <w:lang w:val="es-CO"/>
        </w:rPr>
        <w:t>s</w:t>
      </w:r>
      <w:r w:rsidR="00766E19">
        <w:rPr>
          <w:rFonts w:ascii="Verdana" w:hAnsi="Verdana" w:cs="Arial"/>
          <w:sz w:val="20"/>
          <w:shd w:val="clear" w:color="auto" w:fill="FFFFFF"/>
          <w:lang w:val="es-CO"/>
        </w:rPr>
        <w:t xml:space="preserve"> </w:t>
      </w:r>
      <w:r w:rsidRPr="00CA1286">
        <w:rPr>
          <w:rFonts w:ascii="Verdana" w:hAnsi="Verdana"/>
          <w:sz w:val="20"/>
          <w:lang w:val="es-CO"/>
        </w:rPr>
        <w:t>medida</w:t>
      </w:r>
      <w:r w:rsidR="00B57BDE">
        <w:rPr>
          <w:rFonts w:ascii="Verdana" w:hAnsi="Verdana"/>
          <w:sz w:val="20"/>
          <w:lang w:val="es-CO"/>
        </w:rPr>
        <w:t>s</w:t>
      </w:r>
      <w:r w:rsidRPr="00CA1286">
        <w:rPr>
          <w:rFonts w:ascii="Verdana" w:hAnsi="Verdana"/>
          <w:sz w:val="20"/>
          <w:lang w:val="es-CO"/>
        </w:rPr>
        <w:t xml:space="preserve"> ordenada</w:t>
      </w:r>
      <w:r w:rsidR="00B57BDE">
        <w:rPr>
          <w:rFonts w:ascii="Verdana" w:hAnsi="Verdana"/>
          <w:sz w:val="20"/>
          <w:lang w:val="es-CO"/>
        </w:rPr>
        <w:t>s</w:t>
      </w:r>
      <w:r w:rsidRPr="00CA1286">
        <w:rPr>
          <w:rFonts w:ascii="Verdana" w:hAnsi="Verdana"/>
          <w:sz w:val="20"/>
          <w:lang w:val="es-CO"/>
        </w:rPr>
        <w:t xml:space="preserve"> en el punto resolutivo </w:t>
      </w:r>
      <w:r w:rsidR="00A37A38" w:rsidRPr="00CA1286">
        <w:rPr>
          <w:rFonts w:ascii="Verdana" w:hAnsi="Verdana"/>
          <w:sz w:val="20"/>
          <w:lang w:val="es-CO"/>
        </w:rPr>
        <w:t xml:space="preserve">décimo segundo </w:t>
      </w:r>
      <w:r w:rsidRPr="00CA1286">
        <w:rPr>
          <w:rFonts w:ascii="Verdana" w:hAnsi="Verdana"/>
          <w:sz w:val="20"/>
          <w:lang w:val="es-CO"/>
        </w:rPr>
        <w:t xml:space="preserve">de la </w:t>
      </w:r>
      <w:r w:rsidRPr="007B79F5">
        <w:rPr>
          <w:rFonts w:ascii="Verdana" w:hAnsi="Verdana" w:cs="Arial"/>
          <w:sz w:val="20"/>
          <w:shd w:val="clear" w:color="auto" w:fill="FFFFFF"/>
        </w:rPr>
        <w:t>Sentencia</w:t>
      </w:r>
      <w:r w:rsidR="00766E19">
        <w:rPr>
          <w:rFonts w:ascii="Verdana" w:hAnsi="Verdana"/>
          <w:sz w:val="20"/>
          <w:lang w:val="es-CO"/>
        </w:rPr>
        <w:t xml:space="preserve"> se encuentra</w:t>
      </w:r>
      <w:r w:rsidR="00B57BDE">
        <w:rPr>
          <w:rFonts w:ascii="Verdana" w:hAnsi="Verdana"/>
          <w:sz w:val="20"/>
          <w:lang w:val="es-CO"/>
        </w:rPr>
        <w:t>n</w:t>
      </w:r>
      <w:r w:rsidR="00766E19">
        <w:rPr>
          <w:rFonts w:ascii="Verdana" w:hAnsi="Verdana"/>
          <w:sz w:val="20"/>
          <w:lang w:val="es-CO"/>
        </w:rPr>
        <w:t xml:space="preserve"> pendiente</w:t>
      </w:r>
      <w:r w:rsidR="00B57BDE">
        <w:rPr>
          <w:rFonts w:ascii="Verdana" w:hAnsi="Verdana"/>
          <w:sz w:val="20"/>
          <w:lang w:val="es-CO"/>
        </w:rPr>
        <w:t>s</w:t>
      </w:r>
      <w:r w:rsidR="00766E19">
        <w:rPr>
          <w:rFonts w:ascii="Verdana" w:hAnsi="Verdana"/>
          <w:sz w:val="20"/>
          <w:lang w:val="es-CO"/>
        </w:rPr>
        <w:t xml:space="preserve"> de cumplimiento, </w:t>
      </w:r>
      <w:r w:rsidR="00766E19" w:rsidRPr="00766E19">
        <w:rPr>
          <w:rFonts w:ascii="Verdana" w:hAnsi="Verdana"/>
          <w:sz w:val="20"/>
        </w:rPr>
        <w:t xml:space="preserve">y requiere al Estado que presente información actualizada y detallada sobre </w:t>
      </w:r>
      <w:r w:rsidR="00B57BDE">
        <w:rPr>
          <w:rFonts w:ascii="Verdana" w:hAnsi="Verdana"/>
          <w:sz w:val="20"/>
        </w:rPr>
        <w:t xml:space="preserve">su cumplimiento. </w:t>
      </w:r>
      <w:bookmarkEnd w:id="11"/>
      <w:bookmarkEnd w:id="8"/>
    </w:p>
    <w:p w14:paraId="086562CB" w14:textId="77777777" w:rsidR="00706EA4" w:rsidRPr="00CA1286" w:rsidRDefault="00706EA4" w:rsidP="00CA1286">
      <w:pPr>
        <w:pStyle w:val="Prrafodelista"/>
        <w:spacing w:before="120" w:after="120"/>
        <w:ind w:left="0"/>
        <w:contextualSpacing w:val="0"/>
        <w:jc w:val="both"/>
        <w:rPr>
          <w:rFonts w:ascii="Verdana" w:eastAsia="Calibri" w:hAnsi="Verdana"/>
          <w:sz w:val="20"/>
          <w:lang w:val="es-CO"/>
        </w:rPr>
      </w:pPr>
    </w:p>
    <w:p w14:paraId="348BAAB0" w14:textId="77777777" w:rsidR="00706EA4" w:rsidRPr="00CA1286" w:rsidRDefault="00706EA4" w:rsidP="00CA1286">
      <w:pPr>
        <w:tabs>
          <w:tab w:val="left" w:pos="680"/>
        </w:tabs>
        <w:spacing w:before="120" w:after="120"/>
        <w:jc w:val="both"/>
        <w:rPr>
          <w:rFonts w:ascii="Verdana" w:hAnsi="Verdana"/>
          <w:b/>
          <w:sz w:val="20"/>
          <w:lang w:val="es-CO"/>
        </w:rPr>
      </w:pPr>
      <w:r w:rsidRPr="00CA1286">
        <w:rPr>
          <w:rFonts w:ascii="Verdana" w:hAnsi="Verdana"/>
          <w:b/>
          <w:sz w:val="20"/>
          <w:lang w:val="es-CO"/>
        </w:rPr>
        <w:t>POR TANTO:</w:t>
      </w:r>
    </w:p>
    <w:p w14:paraId="6D1FEA77" w14:textId="77777777" w:rsidR="008D296A" w:rsidRDefault="008D296A" w:rsidP="00CA1286">
      <w:pPr>
        <w:pStyle w:val="Textoindependiente"/>
        <w:tabs>
          <w:tab w:val="left" w:pos="360"/>
          <w:tab w:val="left" w:pos="567"/>
        </w:tabs>
        <w:spacing w:before="120"/>
        <w:rPr>
          <w:rFonts w:ascii="Verdana" w:hAnsi="Verdana"/>
          <w:b/>
          <w:sz w:val="20"/>
          <w:lang w:val="es-CO"/>
        </w:rPr>
      </w:pPr>
    </w:p>
    <w:p w14:paraId="7C72D0D6" w14:textId="77777777" w:rsidR="00706EA4" w:rsidRPr="00CA1286" w:rsidRDefault="00706EA4" w:rsidP="00CA1286">
      <w:pPr>
        <w:pStyle w:val="Textoindependiente"/>
        <w:tabs>
          <w:tab w:val="left" w:pos="360"/>
          <w:tab w:val="left" w:pos="567"/>
        </w:tabs>
        <w:spacing w:before="120"/>
        <w:rPr>
          <w:rFonts w:ascii="Verdana" w:hAnsi="Verdana"/>
          <w:b/>
          <w:sz w:val="20"/>
          <w:lang w:val="es-CO"/>
        </w:rPr>
      </w:pPr>
      <w:r w:rsidRPr="00CA1286">
        <w:rPr>
          <w:rFonts w:ascii="Verdana" w:hAnsi="Verdana"/>
          <w:b/>
          <w:sz w:val="20"/>
          <w:lang w:val="es-CO"/>
        </w:rPr>
        <w:t>LA CORTE INTERAMERICANA DE DERECHOS HUMANOS,</w:t>
      </w:r>
    </w:p>
    <w:p w14:paraId="5BC29A73" w14:textId="77777777" w:rsidR="00BC7C79" w:rsidRPr="00CA1286" w:rsidRDefault="00BC7C79" w:rsidP="00CA1286">
      <w:pPr>
        <w:pStyle w:val="Textoindependiente"/>
        <w:tabs>
          <w:tab w:val="left" w:pos="360"/>
          <w:tab w:val="left" w:pos="567"/>
        </w:tabs>
        <w:spacing w:before="120"/>
        <w:rPr>
          <w:rFonts w:ascii="Verdana" w:hAnsi="Verdana"/>
          <w:b/>
          <w:sz w:val="20"/>
          <w:lang w:val="es-CO"/>
        </w:rPr>
      </w:pPr>
    </w:p>
    <w:p w14:paraId="53AC1F98" w14:textId="77777777" w:rsidR="00706EA4" w:rsidRPr="00CA1286" w:rsidRDefault="00706EA4" w:rsidP="00CA1286">
      <w:pPr>
        <w:pStyle w:val="Textoindependiente"/>
        <w:tabs>
          <w:tab w:val="left" w:pos="360"/>
          <w:tab w:val="left" w:pos="567"/>
        </w:tabs>
        <w:spacing w:before="120"/>
        <w:jc w:val="both"/>
        <w:rPr>
          <w:rFonts w:ascii="Verdana" w:hAnsi="Verdana"/>
          <w:b/>
          <w:sz w:val="20"/>
          <w:lang w:val="es-CO"/>
        </w:rPr>
      </w:pPr>
      <w:r w:rsidRPr="00CA1286">
        <w:rPr>
          <w:rFonts w:ascii="Verdana" w:hAnsi="Verdana"/>
          <w:sz w:val="20"/>
          <w:lang w:val="es-CO"/>
        </w:rPr>
        <w:t>en el ejercicio de sus atribuciones de supervisión del cumplimiento de sus decisiones, de conformidad con los artículos 33, 62.1, 62.3, 65, 67 y 68.1 de la Convención Americana sobre Derechos Humanos, 24, 25 y 30 del Estatuto, y 31.2 y 69 de su Reglamento,</w:t>
      </w:r>
    </w:p>
    <w:p w14:paraId="0D44E0B0" w14:textId="77777777" w:rsidR="00706EA4" w:rsidRPr="00CA1286" w:rsidRDefault="00706EA4" w:rsidP="00CA1286">
      <w:pPr>
        <w:tabs>
          <w:tab w:val="left" w:pos="567"/>
        </w:tabs>
        <w:spacing w:before="120" w:after="120"/>
        <w:jc w:val="both"/>
        <w:rPr>
          <w:rFonts w:ascii="Verdana" w:hAnsi="Verdana"/>
          <w:sz w:val="20"/>
          <w:lang w:val="es-CO"/>
        </w:rPr>
      </w:pPr>
    </w:p>
    <w:p w14:paraId="266C8AF1" w14:textId="77777777" w:rsidR="00706EA4" w:rsidRPr="00CA1286" w:rsidRDefault="00706EA4" w:rsidP="00CA1286">
      <w:pPr>
        <w:tabs>
          <w:tab w:val="left" w:pos="567"/>
        </w:tabs>
        <w:spacing w:before="120" w:after="120"/>
        <w:ind w:right="22"/>
        <w:jc w:val="both"/>
        <w:rPr>
          <w:rFonts w:ascii="Verdana" w:hAnsi="Verdana"/>
          <w:b/>
          <w:sz w:val="20"/>
          <w:lang w:val="es-CO"/>
        </w:rPr>
      </w:pPr>
      <w:r w:rsidRPr="00CA1286">
        <w:rPr>
          <w:rFonts w:ascii="Verdana" w:hAnsi="Verdana"/>
          <w:b/>
          <w:sz w:val="20"/>
          <w:lang w:val="es-CO"/>
        </w:rPr>
        <w:t xml:space="preserve">RESUELVE: </w:t>
      </w:r>
    </w:p>
    <w:p w14:paraId="2D1B1293" w14:textId="77777777" w:rsidR="00706EA4" w:rsidRPr="00CA1286" w:rsidRDefault="00706EA4" w:rsidP="00CA1286">
      <w:pPr>
        <w:tabs>
          <w:tab w:val="left" w:pos="567"/>
        </w:tabs>
        <w:spacing w:before="120" w:after="120"/>
        <w:ind w:right="22"/>
        <w:jc w:val="both"/>
        <w:rPr>
          <w:rFonts w:ascii="Verdana" w:hAnsi="Verdana"/>
          <w:b/>
          <w:sz w:val="20"/>
          <w:lang w:val="es-CO"/>
        </w:rPr>
      </w:pPr>
    </w:p>
    <w:p w14:paraId="02A44EC6" w14:textId="77777777" w:rsidR="00284216" w:rsidRPr="005B7E54" w:rsidRDefault="005B7E54" w:rsidP="007B79F5">
      <w:pPr>
        <w:numPr>
          <w:ilvl w:val="0"/>
          <w:numId w:val="1"/>
        </w:numPr>
        <w:tabs>
          <w:tab w:val="left" w:pos="567"/>
        </w:tabs>
        <w:spacing w:before="120" w:after="120"/>
        <w:ind w:left="0" w:firstLine="0"/>
        <w:jc w:val="both"/>
        <w:rPr>
          <w:rFonts w:ascii="Verdana" w:hAnsi="Verdana"/>
          <w:sz w:val="20"/>
          <w:lang w:val="es-CO"/>
        </w:rPr>
      </w:pPr>
      <w:bookmarkStart w:id="12" w:name="_Ref19192118"/>
      <w:r>
        <w:rPr>
          <w:rFonts w:ascii="Verdana" w:hAnsi="Verdana"/>
          <w:sz w:val="20"/>
        </w:rPr>
        <w:t xml:space="preserve">Mantener abierto </w:t>
      </w:r>
      <w:r w:rsidRPr="005B7E54">
        <w:rPr>
          <w:rFonts w:ascii="Verdana" w:hAnsi="Verdana"/>
          <w:sz w:val="20"/>
        </w:rPr>
        <w:t>el procedimiento de supervisión de cumplimiento de las siguientes medidas de reparación:</w:t>
      </w:r>
      <w:bookmarkEnd w:id="12"/>
    </w:p>
    <w:p w14:paraId="746EAC56" w14:textId="17D3A34B" w:rsidR="005B7E54" w:rsidRPr="007B79F5" w:rsidRDefault="005B7E54" w:rsidP="00CA1286">
      <w:pPr>
        <w:numPr>
          <w:ilvl w:val="0"/>
          <w:numId w:val="4"/>
        </w:numPr>
        <w:tabs>
          <w:tab w:val="left" w:pos="567"/>
        </w:tabs>
        <w:spacing w:before="120" w:after="120"/>
        <w:jc w:val="both"/>
        <w:rPr>
          <w:rFonts w:ascii="Verdana" w:hAnsi="Verdana"/>
          <w:sz w:val="20"/>
          <w:lang w:val="es-CO"/>
        </w:rPr>
      </w:pPr>
      <w:r w:rsidRPr="005B7E54">
        <w:rPr>
          <w:rFonts w:ascii="Verdana" w:hAnsi="Verdana"/>
          <w:sz w:val="20"/>
        </w:rPr>
        <w:t>concluir los procedimientos penales, o iniciar los correspondientes, por los hechos que generaron las violaciones del caso (</w:t>
      </w:r>
      <w:r w:rsidRPr="007B79F5">
        <w:rPr>
          <w:rFonts w:ascii="Verdana" w:hAnsi="Verdana"/>
          <w:i/>
          <w:sz w:val="20"/>
        </w:rPr>
        <w:t xml:space="preserve">punto </w:t>
      </w:r>
      <w:r w:rsidR="00FB6C38">
        <w:rPr>
          <w:rFonts w:ascii="Verdana" w:hAnsi="Verdana"/>
          <w:i/>
          <w:sz w:val="20"/>
        </w:rPr>
        <w:t>resolutivo</w:t>
      </w:r>
      <w:r w:rsidRPr="007B79F5">
        <w:rPr>
          <w:rFonts w:ascii="Verdana" w:hAnsi="Verdana"/>
          <w:i/>
          <w:sz w:val="20"/>
        </w:rPr>
        <w:t xml:space="preserve"> noveno de la Sentencia</w:t>
      </w:r>
      <w:r w:rsidR="00FB6C38">
        <w:rPr>
          <w:rFonts w:ascii="Verdana" w:hAnsi="Verdana"/>
          <w:sz w:val="20"/>
        </w:rPr>
        <w:t>);</w:t>
      </w:r>
    </w:p>
    <w:p w14:paraId="1373D94D" w14:textId="63E211BF" w:rsidR="00456940" w:rsidRPr="00683D40" w:rsidRDefault="005B7E54" w:rsidP="00CA1286">
      <w:pPr>
        <w:numPr>
          <w:ilvl w:val="0"/>
          <w:numId w:val="4"/>
        </w:numPr>
        <w:tabs>
          <w:tab w:val="left" w:pos="567"/>
        </w:tabs>
        <w:spacing w:before="120" w:after="120"/>
        <w:jc w:val="both"/>
        <w:rPr>
          <w:rFonts w:ascii="Verdana" w:hAnsi="Verdana"/>
          <w:sz w:val="20"/>
          <w:lang w:val="es-CO"/>
        </w:rPr>
      </w:pPr>
      <w:r w:rsidRPr="005B7E54">
        <w:rPr>
          <w:rFonts w:ascii="Verdana" w:hAnsi="Verdana"/>
          <w:sz w:val="20"/>
        </w:rPr>
        <w:t>levantar</w:t>
      </w:r>
      <w:r w:rsidR="00683D40">
        <w:rPr>
          <w:rFonts w:ascii="Verdana" w:hAnsi="Verdana"/>
          <w:sz w:val="20"/>
        </w:rPr>
        <w:t xml:space="preserve"> </w:t>
      </w:r>
      <w:r w:rsidRPr="005B7E54">
        <w:rPr>
          <w:rFonts w:ascii="Verdana" w:hAnsi="Verdana"/>
          <w:sz w:val="20"/>
        </w:rPr>
        <w:t xml:space="preserve">un monumento en memoria de Blanca Jeannette </w:t>
      </w:r>
      <w:proofErr w:type="spellStart"/>
      <w:r w:rsidRPr="005B7E54">
        <w:rPr>
          <w:rFonts w:ascii="Verdana" w:hAnsi="Verdana"/>
          <w:sz w:val="20"/>
        </w:rPr>
        <w:t>Kawas</w:t>
      </w:r>
      <w:proofErr w:type="spellEnd"/>
      <w:r w:rsidRPr="005B7E54">
        <w:rPr>
          <w:rFonts w:ascii="Verdana" w:hAnsi="Verdana"/>
          <w:sz w:val="20"/>
        </w:rPr>
        <w:t xml:space="preserve"> Fernández (</w:t>
      </w:r>
      <w:r w:rsidRPr="007B79F5">
        <w:rPr>
          <w:rFonts w:ascii="Verdana" w:hAnsi="Verdana"/>
          <w:i/>
          <w:sz w:val="20"/>
        </w:rPr>
        <w:t xml:space="preserve">punto </w:t>
      </w:r>
      <w:r w:rsidR="00FB6C38">
        <w:rPr>
          <w:rFonts w:ascii="Verdana" w:hAnsi="Verdana"/>
          <w:i/>
          <w:sz w:val="20"/>
        </w:rPr>
        <w:t>resolutivo</w:t>
      </w:r>
      <w:r w:rsidRPr="007B79F5">
        <w:rPr>
          <w:rFonts w:ascii="Verdana" w:hAnsi="Verdana"/>
          <w:i/>
          <w:sz w:val="20"/>
        </w:rPr>
        <w:t xml:space="preserve"> décimo segundo de la Sentencia</w:t>
      </w:r>
      <w:r w:rsidRPr="005B7E54">
        <w:rPr>
          <w:rFonts w:ascii="Verdana" w:hAnsi="Verdana"/>
          <w:sz w:val="20"/>
        </w:rPr>
        <w:t>)</w:t>
      </w:r>
      <w:r w:rsidR="00456940">
        <w:rPr>
          <w:rFonts w:ascii="Verdana" w:hAnsi="Verdana"/>
          <w:sz w:val="20"/>
        </w:rPr>
        <w:t>;</w:t>
      </w:r>
    </w:p>
    <w:p w14:paraId="54D6581A" w14:textId="2B90A0EB" w:rsidR="005B7E54" w:rsidRPr="007B79F5" w:rsidRDefault="00456940" w:rsidP="00FB6C38">
      <w:pPr>
        <w:numPr>
          <w:ilvl w:val="0"/>
          <w:numId w:val="4"/>
        </w:numPr>
        <w:tabs>
          <w:tab w:val="left" w:pos="720"/>
        </w:tabs>
        <w:spacing w:before="120" w:after="120"/>
        <w:jc w:val="both"/>
        <w:rPr>
          <w:rFonts w:ascii="Verdana" w:hAnsi="Verdana"/>
          <w:sz w:val="20"/>
          <w:lang w:val="es-CO"/>
        </w:rPr>
      </w:pPr>
      <w:r w:rsidRPr="005B7E54">
        <w:rPr>
          <w:rFonts w:ascii="Verdana" w:hAnsi="Verdana"/>
          <w:sz w:val="20"/>
        </w:rPr>
        <w:t xml:space="preserve">realizar la rotulación </w:t>
      </w:r>
      <w:r>
        <w:rPr>
          <w:rFonts w:ascii="Verdana" w:hAnsi="Verdana"/>
          <w:sz w:val="20"/>
        </w:rPr>
        <w:t xml:space="preserve">del Parque Nacional </w:t>
      </w:r>
      <w:r w:rsidRPr="005B7E54">
        <w:rPr>
          <w:rFonts w:ascii="Verdana" w:hAnsi="Verdana"/>
          <w:sz w:val="20"/>
        </w:rPr>
        <w:t xml:space="preserve">Blanca Jeannette </w:t>
      </w:r>
      <w:proofErr w:type="spellStart"/>
      <w:r w:rsidRPr="005B7E54">
        <w:rPr>
          <w:rFonts w:ascii="Verdana" w:hAnsi="Verdana"/>
          <w:sz w:val="20"/>
        </w:rPr>
        <w:t>Kawas</w:t>
      </w:r>
      <w:proofErr w:type="spellEnd"/>
      <w:r w:rsidRPr="005B7E54">
        <w:rPr>
          <w:rFonts w:ascii="Verdana" w:hAnsi="Verdana"/>
          <w:sz w:val="20"/>
        </w:rPr>
        <w:t xml:space="preserve"> Fernández (</w:t>
      </w:r>
      <w:r w:rsidRPr="007B79F5">
        <w:rPr>
          <w:rFonts w:ascii="Verdana" w:hAnsi="Verdana"/>
          <w:i/>
          <w:sz w:val="20"/>
        </w:rPr>
        <w:t xml:space="preserve">punto </w:t>
      </w:r>
      <w:r w:rsidR="00FB6C38">
        <w:rPr>
          <w:rFonts w:ascii="Verdana" w:hAnsi="Verdana"/>
          <w:i/>
          <w:sz w:val="20"/>
        </w:rPr>
        <w:t>resolutivo</w:t>
      </w:r>
      <w:r w:rsidRPr="007B79F5">
        <w:rPr>
          <w:rFonts w:ascii="Verdana" w:hAnsi="Verdana"/>
          <w:i/>
          <w:sz w:val="20"/>
        </w:rPr>
        <w:t xml:space="preserve"> décimo segundo de la Sentencia</w:t>
      </w:r>
      <w:r w:rsidR="002767E0">
        <w:rPr>
          <w:rFonts w:ascii="Verdana" w:hAnsi="Verdana"/>
          <w:sz w:val="20"/>
        </w:rPr>
        <w:t>),</w:t>
      </w:r>
      <w:r>
        <w:rPr>
          <w:rFonts w:ascii="Verdana" w:hAnsi="Verdana"/>
          <w:sz w:val="20"/>
        </w:rPr>
        <w:t xml:space="preserve"> y</w:t>
      </w:r>
    </w:p>
    <w:p w14:paraId="3DFECDC3" w14:textId="093AEF36" w:rsidR="00284216" w:rsidRPr="00CA1286" w:rsidRDefault="005B7E54" w:rsidP="007B79F5">
      <w:pPr>
        <w:numPr>
          <w:ilvl w:val="0"/>
          <w:numId w:val="4"/>
        </w:numPr>
        <w:tabs>
          <w:tab w:val="left" w:pos="720"/>
        </w:tabs>
        <w:spacing w:before="120" w:after="120"/>
        <w:jc w:val="both"/>
        <w:rPr>
          <w:rFonts w:ascii="Verdana" w:hAnsi="Verdana"/>
          <w:sz w:val="20"/>
          <w:lang w:val="es-CO"/>
        </w:rPr>
      </w:pPr>
      <w:r w:rsidRPr="005B7E54">
        <w:rPr>
          <w:rFonts w:ascii="Verdana" w:hAnsi="Verdana"/>
          <w:sz w:val="20"/>
        </w:rPr>
        <w:t>ejecutar</w:t>
      </w:r>
      <w:r w:rsidR="00456940">
        <w:rPr>
          <w:rFonts w:ascii="Verdana" w:hAnsi="Verdana"/>
          <w:sz w:val="20"/>
        </w:rPr>
        <w:t xml:space="preserve"> </w:t>
      </w:r>
      <w:r w:rsidRPr="005B7E54">
        <w:rPr>
          <w:rFonts w:ascii="Verdana" w:hAnsi="Verdana"/>
          <w:sz w:val="20"/>
        </w:rPr>
        <w:t>una campaña nacional de concientización y sensibilización sobre la importancia de la labor que realizan los defensores del medio ambiente en Honduras y de sus aportes en la defensa de los derechos humanos (</w:t>
      </w:r>
      <w:r w:rsidRPr="007B79F5">
        <w:rPr>
          <w:rFonts w:ascii="Verdana" w:hAnsi="Verdana"/>
          <w:i/>
          <w:sz w:val="20"/>
        </w:rPr>
        <w:t xml:space="preserve">punto </w:t>
      </w:r>
      <w:r w:rsidR="00FB6C38">
        <w:rPr>
          <w:rFonts w:ascii="Verdana" w:hAnsi="Verdana"/>
          <w:i/>
          <w:sz w:val="20"/>
        </w:rPr>
        <w:t>resolutivo</w:t>
      </w:r>
      <w:r w:rsidRPr="007B79F5">
        <w:rPr>
          <w:rFonts w:ascii="Verdana" w:hAnsi="Verdana"/>
          <w:i/>
          <w:sz w:val="20"/>
        </w:rPr>
        <w:t xml:space="preserve"> décimo cuarto de la Sentencia</w:t>
      </w:r>
      <w:r w:rsidRPr="005B7E54">
        <w:rPr>
          <w:rFonts w:ascii="Verdana" w:hAnsi="Verdana"/>
          <w:sz w:val="20"/>
        </w:rPr>
        <w:t>)</w:t>
      </w:r>
      <w:r>
        <w:rPr>
          <w:rFonts w:ascii="Verdana" w:hAnsi="Verdana"/>
          <w:sz w:val="20"/>
        </w:rPr>
        <w:t>.</w:t>
      </w:r>
    </w:p>
    <w:p w14:paraId="667A1928" w14:textId="427394E6" w:rsidR="002767E0" w:rsidRDefault="002767E0" w:rsidP="007B79F5">
      <w:pPr>
        <w:numPr>
          <w:ilvl w:val="0"/>
          <w:numId w:val="1"/>
        </w:numPr>
        <w:tabs>
          <w:tab w:val="left" w:pos="567"/>
        </w:tabs>
        <w:spacing w:before="120" w:after="120"/>
        <w:ind w:left="0" w:firstLine="0"/>
        <w:jc w:val="both"/>
        <w:rPr>
          <w:rFonts w:ascii="Verdana" w:hAnsi="Verdana"/>
          <w:sz w:val="20"/>
        </w:rPr>
      </w:pPr>
      <w:r w:rsidRPr="002767E0">
        <w:rPr>
          <w:rFonts w:ascii="Verdana" w:hAnsi="Verdana"/>
          <w:sz w:val="20"/>
        </w:rPr>
        <w:t xml:space="preserve">Disponer que el Estado adopte, en definitiva y a la mayor brevedad, las medidas que sean necesarias para dar efectivo y pronto cumplimiento a los puntos pendientes de la Sentencia de fondo, reparaciones y costas emitida en el presente caso, de acuerdo con lo </w:t>
      </w:r>
      <w:r w:rsidRPr="002767E0">
        <w:rPr>
          <w:rFonts w:ascii="Verdana" w:hAnsi="Verdana"/>
          <w:sz w:val="20"/>
        </w:rPr>
        <w:lastRenderedPageBreak/>
        <w:t>considerado en la presente Resolución, y con lo estipulado en el artículo 68.1 de la Convención Americana sobre Derechos Humanos</w:t>
      </w:r>
      <w:r>
        <w:rPr>
          <w:rFonts w:ascii="Verdana" w:hAnsi="Verdana"/>
          <w:sz w:val="20"/>
        </w:rPr>
        <w:t xml:space="preserve">. </w:t>
      </w:r>
    </w:p>
    <w:p w14:paraId="73289664" w14:textId="4194555F" w:rsidR="00706EA4" w:rsidRPr="00CA1286" w:rsidRDefault="00706EA4" w:rsidP="007B79F5">
      <w:pPr>
        <w:numPr>
          <w:ilvl w:val="0"/>
          <w:numId w:val="1"/>
        </w:numPr>
        <w:tabs>
          <w:tab w:val="left" w:pos="567"/>
        </w:tabs>
        <w:spacing w:before="120" w:after="120"/>
        <w:ind w:left="0" w:firstLine="0"/>
        <w:jc w:val="both"/>
        <w:rPr>
          <w:rFonts w:ascii="Verdana" w:hAnsi="Verdana"/>
          <w:sz w:val="20"/>
        </w:rPr>
      </w:pPr>
      <w:r w:rsidRPr="00CA1286">
        <w:rPr>
          <w:rFonts w:ascii="Verdana" w:hAnsi="Verdana"/>
          <w:sz w:val="20"/>
        </w:rPr>
        <w:t xml:space="preserve">Disponer que el Estado presente a la Corte Interamericana de Derechos Humanos, a más tardar el </w:t>
      </w:r>
      <w:r w:rsidR="002767E0">
        <w:rPr>
          <w:rFonts w:ascii="Verdana" w:hAnsi="Verdana"/>
          <w:sz w:val="20"/>
        </w:rPr>
        <w:t>5</w:t>
      </w:r>
      <w:r w:rsidRPr="002767E0">
        <w:rPr>
          <w:rFonts w:ascii="Verdana" w:hAnsi="Verdana"/>
          <w:sz w:val="20"/>
        </w:rPr>
        <w:t xml:space="preserve"> de </w:t>
      </w:r>
      <w:r w:rsidR="002767E0">
        <w:rPr>
          <w:rFonts w:ascii="Verdana" w:hAnsi="Verdana"/>
          <w:sz w:val="20"/>
        </w:rPr>
        <w:t>marzo</w:t>
      </w:r>
      <w:r w:rsidRPr="00683D40">
        <w:rPr>
          <w:rFonts w:ascii="Verdana" w:hAnsi="Verdana"/>
          <w:sz w:val="20"/>
        </w:rPr>
        <w:t xml:space="preserve"> de </w:t>
      </w:r>
      <w:r w:rsidR="00AE651B" w:rsidRPr="00683D40">
        <w:rPr>
          <w:rFonts w:ascii="Verdana" w:hAnsi="Verdana"/>
          <w:sz w:val="20"/>
        </w:rPr>
        <w:t>2020</w:t>
      </w:r>
      <w:r w:rsidRPr="00CA1286">
        <w:rPr>
          <w:rFonts w:ascii="Verdana" w:hAnsi="Verdana"/>
          <w:sz w:val="20"/>
        </w:rPr>
        <w:t xml:space="preserve">, un informe sobre todas las medidas pendientes de cumplimiento, de conformidad con lo indicado en el punto resolutivo </w:t>
      </w:r>
      <w:r w:rsidR="00284216" w:rsidRPr="00CA1286">
        <w:rPr>
          <w:rFonts w:ascii="Verdana" w:hAnsi="Verdana"/>
          <w:sz w:val="20"/>
        </w:rPr>
        <w:t xml:space="preserve">primero </w:t>
      </w:r>
      <w:r w:rsidRPr="00CA1286">
        <w:rPr>
          <w:rFonts w:ascii="Verdana" w:hAnsi="Verdana"/>
          <w:sz w:val="20"/>
        </w:rPr>
        <w:t xml:space="preserve">y </w:t>
      </w:r>
      <w:r w:rsidR="005B7E54">
        <w:rPr>
          <w:rFonts w:ascii="Verdana" w:hAnsi="Verdana"/>
          <w:sz w:val="20"/>
        </w:rPr>
        <w:t>el</w:t>
      </w:r>
      <w:r w:rsidR="005B7E54" w:rsidRPr="00CA1286">
        <w:rPr>
          <w:rFonts w:ascii="Verdana" w:hAnsi="Verdana"/>
          <w:sz w:val="20"/>
        </w:rPr>
        <w:t xml:space="preserve"> </w:t>
      </w:r>
      <w:r w:rsidRPr="00CA1286">
        <w:rPr>
          <w:rFonts w:ascii="Verdana" w:hAnsi="Verdana"/>
          <w:sz w:val="20"/>
        </w:rPr>
        <w:t>Considerando</w:t>
      </w:r>
      <w:r w:rsidR="008F4778" w:rsidRPr="00CA1286">
        <w:rPr>
          <w:rFonts w:ascii="Verdana" w:hAnsi="Verdana"/>
          <w:sz w:val="20"/>
        </w:rPr>
        <w:t xml:space="preserve"> </w:t>
      </w:r>
      <w:r w:rsidR="005B7E54">
        <w:rPr>
          <w:rFonts w:ascii="Verdana" w:hAnsi="Verdana"/>
          <w:sz w:val="20"/>
          <w:lang w:val="es-CO"/>
        </w:rPr>
        <w:fldChar w:fldCharType="begin"/>
      </w:r>
      <w:r w:rsidR="005B7E54">
        <w:rPr>
          <w:rFonts w:ascii="Verdana" w:hAnsi="Verdana"/>
          <w:sz w:val="20"/>
          <w:lang w:val="es-CO"/>
        </w:rPr>
        <w:instrText xml:space="preserve"> REF _Ref19545625 \r \h </w:instrText>
      </w:r>
      <w:r w:rsidR="005B7E54">
        <w:rPr>
          <w:rFonts w:ascii="Verdana" w:hAnsi="Verdana"/>
          <w:sz w:val="20"/>
          <w:lang w:val="es-CO"/>
        </w:rPr>
      </w:r>
      <w:r w:rsidR="005B7E54">
        <w:rPr>
          <w:rFonts w:ascii="Verdana" w:hAnsi="Verdana"/>
          <w:sz w:val="20"/>
          <w:lang w:val="es-CO"/>
        </w:rPr>
        <w:fldChar w:fldCharType="separate"/>
      </w:r>
      <w:r w:rsidR="00F87D55">
        <w:rPr>
          <w:rFonts w:ascii="Verdana" w:hAnsi="Verdana"/>
          <w:sz w:val="20"/>
          <w:lang w:val="es-CO"/>
        </w:rPr>
        <w:t>15</w:t>
      </w:r>
      <w:r w:rsidR="005B7E54">
        <w:rPr>
          <w:rFonts w:ascii="Verdana" w:hAnsi="Verdana"/>
          <w:sz w:val="20"/>
          <w:lang w:val="es-CO"/>
        </w:rPr>
        <w:fldChar w:fldCharType="end"/>
      </w:r>
      <w:r w:rsidRPr="00CA1286">
        <w:rPr>
          <w:rFonts w:ascii="Verdana" w:hAnsi="Verdana"/>
          <w:sz w:val="20"/>
        </w:rPr>
        <w:t xml:space="preserve"> de la presente Resolución. </w:t>
      </w:r>
    </w:p>
    <w:p w14:paraId="771E7163" w14:textId="77777777" w:rsidR="00706EA4" w:rsidRPr="00CA1286" w:rsidRDefault="00706EA4" w:rsidP="007B79F5">
      <w:pPr>
        <w:numPr>
          <w:ilvl w:val="0"/>
          <w:numId w:val="1"/>
        </w:numPr>
        <w:tabs>
          <w:tab w:val="left" w:pos="567"/>
        </w:tabs>
        <w:spacing w:before="120" w:after="120"/>
        <w:ind w:left="0" w:firstLine="0"/>
        <w:jc w:val="both"/>
        <w:rPr>
          <w:rFonts w:ascii="Verdana" w:hAnsi="Verdana"/>
          <w:sz w:val="20"/>
        </w:rPr>
      </w:pPr>
      <w:r w:rsidRPr="00CA1286">
        <w:rPr>
          <w:rFonts w:ascii="Verdana" w:hAnsi="Verdana"/>
          <w:sz w:val="20"/>
        </w:rPr>
        <w:t>Disponer que los representantes de las víctimas y la Comisión presenten observaciones al informe del Estado mencionado en el punto resolutivo anterior, en los plazos de cuatro y seis semanas, respectivamente, contados a partir de la recepción del informe.</w:t>
      </w:r>
    </w:p>
    <w:p w14:paraId="65F0D4EE" w14:textId="77777777" w:rsidR="00706EA4" w:rsidRPr="00CA1286" w:rsidRDefault="00706EA4" w:rsidP="007B79F5">
      <w:pPr>
        <w:numPr>
          <w:ilvl w:val="0"/>
          <w:numId w:val="1"/>
        </w:numPr>
        <w:tabs>
          <w:tab w:val="left" w:pos="567"/>
        </w:tabs>
        <w:spacing w:before="120" w:after="120"/>
        <w:ind w:left="0" w:firstLine="0"/>
        <w:jc w:val="both"/>
        <w:rPr>
          <w:rFonts w:ascii="Verdana" w:hAnsi="Verdana"/>
          <w:sz w:val="20"/>
        </w:rPr>
      </w:pPr>
      <w:r w:rsidRPr="00CA1286">
        <w:rPr>
          <w:rFonts w:ascii="Verdana" w:hAnsi="Verdana"/>
          <w:sz w:val="20"/>
        </w:rPr>
        <w:t>Disponer que la Secretaría de la Corte notifique la presente Resolución al Estado, a los representantes de las víctimas y a la Comisión Interamericana de Derechos Humanos.</w:t>
      </w:r>
    </w:p>
    <w:p w14:paraId="632592F0" w14:textId="221F7C99" w:rsidR="00F87D55" w:rsidRDefault="00F87D55">
      <w:pPr>
        <w:spacing w:after="160" w:line="259" w:lineRule="auto"/>
        <w:rPr>
          <w:rFonts w:ascii="Verdana" w:hAnsi="Verdana" w:cs="Arial"/>
          <w:sz w:val="20"/>
        </w:rPr>
      </w:pPr>
      <w:r>
        <w:rPr>
          <w:rFonts w:ascii="Verdana" w:hAnsi="Verdana" w:cs="Arial"/>
          <w:sz w:val="20"/>
        </w:rPr>
        <w:br w:type="page"/>
      </w:r>
    </w:p>
    <w:p w14:paraId="10A6816A" w14:textId="77777777" w:rsidR="003B05A7" w:rsidRPr="00847B73" w:rsidRDefault="003B05A7" w:rsidP="003B05A7">
      <w:pPr>
        <w:keepNext/>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proofErr w:type="spellStart"/>
      <w:r>
        <w:rPr>
          <w:rFonts w:ascii="Verdana" w:hAnsi="Verdana"/>
          <w:bCs/>
          <w:i/>
          <w:sz w:val="20"/>
          <w:lang w:val="es-CR"/>
        </w:rPr>
        <w:t>Kawas</w:t>
      </w:r>
      <w:proofErr w:type="spellEnd"/>
      <w:r>
        <w:rPr>
          <w:rFonts w:ascii="Verdana" w:hAnsi="Verdana"/>
          <w:bCs/>
          <w:i/>
          <w:sz w:val="20"/>
          <w:lang w:val="es-CR"/>
        </w:rPr>
        <w:t xml:space="preserve"> Fernández Vs. Honduras.</w:t>
      </w:r>
      <w:r w:rsidRPr="00847B73">
        <w:rPr>
          <w:rFonts w:ascii="Verdana" w:hAnsi="Verdana"/>
          <w:bCs/>
          <w:i/>
          <w:sz w:val="20"/>
          <w:lang w:val="es-CR"/>
        </w:rPr>
        <w:t xml:space="preserve"> </w:t>
      </w:r>
      <w:r>
        <w:rPr>
          <w:rFonts w:ascii="Verdana" w:hAnsi="Verdana" w:cs="Arial"/>
          <w:sz w:val="20"/>
          <w:lang w:val="es-CR"/>
        </w:rPr>
        <w:t>Supervisión de Cumplimiento de Sentencia.</w:t>
      </w:r>
      <w:r>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7</w:t>
      </w:r>
      <w:r w:rsidRPr="00847B73">
        <w:rPr>
          <w:rFonts w:ascii="Verdana" w:hAnsi="Verdana"/>
          <w:sz w:val="20"/>
          <w:lang w:val="es-CR"/>
        </w:rPr>
        <w:t xml:space="preserve"> de </w:t>
      </w:r>
      <w:r>
        <w:rPr>
          <w:rFonts w:ascii="Verdana" w:hAnsi="Verdana"/>
          <w:sz w:val="20"/>
          <w:lang w:val="es-CR"/>
        </w:rPr>
        <w:t xml:space="preserve">octubre </w:t>
      </w:r>
      <w:r w:rsidRPr="00847B73">
        <w:rPr>
          <w:rFonts w:ascii="Verdana" w:hAnsi="Verdana"/>
          <w:sz w:val="20"/>
          <w:lang w:val="es-CR"/>
        </w:rPr>
        <w:t>de 2019</w:t>
      </w:r>
      <w:r w:rsidRPr="00847B73">
        <w:rPr>
          <w:rFonts w:ascii="Verdana" w:hAnsi="Verdana"/>
          <w:sz w:val="20"/>
          <w:lang w:val="es-ES"/>
        </w:rPr>
        <w:t xml:space="preserve">. </w:t>
      </w:r>
    </w:p>
    <w:p w14:paraId="5EBF8BDC" w14:textId="77777777" w:rsidR="003B05A7" w:rsidRPr="00847B73" w:rsidRDefault="003B05A7" w:rsidP="003B05A7">
      <w:pPr>
        <w:jc w:val="center"/>
        <w:rPr>
          <w:rFonts w:ascii="Verdana" w:hAnsi="Verdana"/>
          <w:sz w:val="20"/>
          <w:lang w:val="es-ES"/>
        </w:rPr>
      </w:pPr>
    </w:p>
    <w:p w14:paraId="75655448" w14:textId="77777777" w:rsidR="003B05A7" w:rsidRPr="00847B73" w:rsidRDefault="003B05A7" w:rsidP="003B05A7">
      <w:pPr>
        <w:jc w:val="center"/>
        <w:rPr>
          <w:rFonts w:ascii="Verdana" w:hAnsi="Verdana"/>
          <w:sz w:val="20"/>
          <w:lang w:val="es-ES"/>
        </w:rPr>
      </w:pPr>
    </w:p>
    <w:p w14:paraId="4B5F346F" w14:textId="77777777" w:rsidR="003B05A7" w:rsidRDefault="003B05A7" w:rsidP="003B05A7">
      <w:pPr>
        <w:jc w:val="center"/>
        <w:rPr>
          <w:rFonts w:ascii="Verdana" w:hAnsi="Verdana"/>
          <w:sz w:val="20"/>
          <w:lang w:val="es-ES"/>
        </w:rPr>
      </w:pPr>
    </w:p>
    <w:p w14:paraId="1E6B5DEB" w14:textId="77777777" w:rsidR="003B05A7" w:rsidRPr="00D31312" w:rsidRDefault="003B05A7" w:rsidP="003B05A7">
      <w:pPr>
        <w:jc w:val="center"/>
        <w:rPr>
          <w:rFonts w:ascii="Verdana" w:hAnsi="Verdana"/>
          <w:sz w:val="20"/>
          <w:lang w:val="es-CO"/>
        </w:rPr>
      </w:pPr>
    </w:p>
    <w:p w14:paraId="17FEC0D0" w14:textId="77777777" w:rsidR="003B05A7" w:rsidRPr="00847B73" w:rsidRDefault="003B05A7" w:rsidP="003B05A7">
      <w:pPr>
        <w:rPr>
          <w:rFonts w:ascii="Verdana" w:hAnsi="Verdana"/>
          <w:sz w:val="20"/>
          <w:lang w:val="es-ES"/>
        </w:rPr>
      </w:pPr>
    </w:p>
    <w:p w14:paraId="2337A722" w14:textId="77777777" w:rsidR="003B05A7" w:rsidRPr="00847B73" w:rsidRDefault="003B05A7" w:rsidP="003B05A7">
      <w:pPr>
        <w:rPr>
          <w:rFonts w:ascii="Verdana" w:hAnsi="Verdana"/>
          <w:sz w:val="20"/>
          <w:lang w:val="es-ES"/>
        </w:rPr>
      </w:pPr>
    </w:p>
    <w:p w14:paraId="29138657" w14:textId="77777777" w:rsidR="003B05A7" w:rsidRPr="00847B73" w:rsidRDefault="003B05A7" w:rsidP="003B05A7">
      <w:pPr>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14:paraId="6D1579EA" w14:textId="77777777" w:rsidR="003B05A7" w:rsidRPr="00847B73" w:rsidRDefault="003B05A7" w:rsidP="003B05A7">
      <w:pPr>
        <w:jc w:val="center"/>
        <w:rPr>
          <w:rFonts w:ascii="Verdana" w:hAnsi="Verdana"/>
          <w:sz w:val="20"/>
          <w:lang w:val="pt-BR"/>
        </w:rPr>
      </w:pPr>
      <w:r w:rsidRPr="00847B73">
        <w:rPr>
          <w:rFonts w:ascii="Verdana" w:hAnsi="Verdana"/>
          <w:sz w:val="20"/>
          <w:lang w:val="pt-BR"/>
        </w:rPr>
        <w:t>Presidente</w:t>
      </w:r>
    </w:p>
    <w:p w14:paraId="6BF2FCB1" w14:textId="77777777" w:rsidR="003B05A7" w:rsidRPr="00847B73" w:rsidRDefault="003B05A7" w:rsidP="003B05A7">
      <w:pPr>
        <w:jc w:val="both"/>
        <w:rPr>
          <w:rFonts w:ascii="Verdana" w:hAnsi="Verdana"/>
          <w:sz w:val="20"/>
          <w:lang w:val="pt-BR"/>
        </w:rPr>
      </w:pPr>
    </w:p>
    <w:p w14:paraId="63D507B6" w14:textId="77777777" w:rsidR="003B05A7" w:rsidRPr="00847B73" w:rsidRDefault="003B05A7" w:rsidP="003B05A7">
      <w:pPr>
        <w:jc w:val="both"/>
        <w:rPr>
          <w:rFonts w:ascii="Verdana" w:hAnsi="Verdana"/>
          <w:sz w:val="20"/>
          <w:lang w:val="pt-BR"/>
        </w:rPr>
      </w:pPr>
    </w:p>
    <w:p w14:paraId="7E95C33B" w14:textId="77777777" w:rsidR="003B05A7" w:rsidRPr="00847B73" w:rsidRDefault="003B05A7" w:rsidP="003B05A7">
      <w:pPr>
        <w:jc w:val="both"/>
        <w:rPr>
          <w:rFonts w:ascii="Verdana" w:hAnsi="Verdana"/>
          <w:sz w:val="20"/>
          <w:lang w:val="pt-BR"/>
        </w:rPr>
      </w:pPr>
    </w:p>
    <w:p w14:paraId="526FA0C6" w14:textId="77777777" w:rsidR="003B05A7" w:rsidRDefault="003B05A7" w:rsidP="003B05A7">
      <w:pPr>
        <w:jc w:val="both"/>
        <w:rPr>
          <w:rFonts w:ascii="Verdana" w:hAnsi="Verdana"/>
          <w:sz w:val="20"/>
          <w:lang w:val="pt-BR"/>
        </w:rPr>
      </w:pPr>
    </w:p>
    <w:p w14:paraId="1F77ACF7" w14:textId="77777777" w:rsidR="003B05A7" w:rsidRPr="00847B73" w:rsidRDefault="003B05A7" w:rsidP="003B05A7">
      <w:pPr>
        <w:jc w:val="both"/>
        <w:rPr>
          <w:rFonts w:ascii="Verdana" w:hAnsi="Verdana"/>
          <w:sz w:val="20"/>
          <w:lang w:val="pt-BR"/>
        </w:rPr>
      </w:pPr>
    </w:p>
    <w:p w14:paraId="4D333BD3" w14:textId="77777777" w:rsidR="003B05A7" w:rsidRDefault="003B05A7" w:rsidP="003B05A7">
      <w:pPr>
        <w:rPr>
          <w:rFonts w:ascii="Verdana" w:hAnsi="Verdana"/>
          <w:sz w:val="20"/>
          <w:lang w:val="pt-BR"/>
        </w:rPr>
      </w:pP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 xml:space="preserve">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p>
    <w:p w14:paraId="418ADB0E" w14:textId="77777777" w:rsidR="003B05A7" w:rsidRDefault="003B05A7" w:rsidP="003B05A7">
      <w:pPr>
        <w:rPr>
          <w:rFonts w:ascii="Verdana" w:hAnsi="Verdana"/>
          <w:sz w:val="20"/>
          <w:lang w:val="pt-BR"/>
        </w:rPr>
      </w:pPr>
    </w:p>
    <w:p w14:paraId="070273EB" w14:textId="77777777" w:rsidR="003B05A7" w:rsidRDefault="003B05A7" w:rsidP="003B05A7">
      <w:pPr>
        <w:rPr>
          <w:rFonts w:ascii="Verdana" w:hAnsi="Verdana"/>
          <w:sz w:val="20"/>
          <w:lang w:val="pt-BR"/>
        </w:rPr>
      </w:pPr>
    </w:p>
    <w:p w14:paraId="0425AAF5" w14:textId="77777777" w:rsidR="003B05A7" w:rsidRDefault="003B05A7" w:rsidP="003B05A7">
      <w:pPr>
        <w:rPr>
          <w:rFonts w:ascii="Verdana" w:hAnsi="Verdana"/>
          <w:sz w:val="20"/>
          <w:lang w:val="pt-BR"/>
        </w:rPr>
      </w:pPr>
    </w:p>
    <w:p w14:paraId="341C2F67" w14:textId="77777777" w:rsidR="003B05A7" w:rsidRPr="00847B73" w:rsidRDefault="003B05A7" w:rsidP="003B05A7">
      <w:pPr>
        <w:rPr>
          <w:rFonts w:ascii="Verdana" w:hAnsi="Verdana"/>
          <w:sz w:val="20"/>
          <w:lang w:val="pt-BR"/>
        </w:rPr>
      </w:pPr>
    </w:p>
    <w:p w14:paraId="38535750" w14:textId="77777777" w:rsidR="003B05A7" w:rsidRPr="00847B73" w:rsidRDefault="003B05A7" w:rsidP="003B05A7">
      <w:pPr>
        <w:jc w:val="both"/>
        <w:rPr>
          <w:rFonts w:ascii="Verdana" w:hAnsi="Verdana"/>
          <w:sz w:val="20"/>
          <w:lang w:val="pt-BR"/>
        </w:rPr>
      </w:pPr>
    </w:p>
    <w:p w14:paraId="70496A2E" w14:textId="77777777" w:rsidR="003B05A7" w:rsidRPr="00847B73" w:rsidRDefault="003B05A7" w:rsidP="003B05A7">
      <w:pPr>
        <w:rPr>
          <w:rFonts w:ascii="Verdana" w:hAnsi="Verdana"/>
          <w:sz w:val="20"/>
          <w:lang w:val="pt-BR"/>
        </w:rPr>
      </w:pPr>
      <w:r w:rsidRPr="00847B73">
        <w:rPr>
          <w:rFonts w:ascii="Verdana" w:hAnsi="Verdana"/>
          <w:sz w:val="20"/>
          <w:lang w:val="pt-BR"/>
        </w:rPr>
        <w:t xml:space="preserve">Elizabeth </w:t>
      </w:r>
      <w:proofErr w:type="spellStart"/>
      <w:r w:rsidRPr="00847B73">
        <w:rPr>
          <w:rFonts w:ascii="Verdana" w:hAnsi="Verdana"/>
          <w:sz w:val="20"/>
          <w:lang w:val="pt-BR"/>
        </w:rPr>
        <w:t>Odio</w:t>
      </w:r>
      <w:proofErr w:type="spellEnd"/>
      <w:r w:rsidRPr="00847B73">
        <w:rPr>
          <w:rFonts w:ascii="Verdana" w:hAnsi="Verdana"/>
          <w:sz w:val="20"/>
          <w:lang w:val="pt-BR"/>
        </w:rPr>
        <w:t xml:space="preserve"> Benito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proofErr w:type="gramStart"/>
      <w:r w:rsidRPr="00847B73">
        <w:rPr>
          <w:rFonts w:ascii="Verdana" w:hAnsi="Verdana"/>
          <w:sz w:val="20"/>
          <w:lang w:val="pt-BR"/>
        </w:rPr>
        <w:tab/>
        <w:t xml:space="preserve">  Eugenio</w:t>
      </w:r>
      <w:proofErr w:type="gramEnd"/>
      <w:r w:rsidRPr="00847B73">
        <w:rPr>
          <w:rFonts w:ascii="Verdana" w:hAnsi="Verdana"/>
          <w:sz w:val="20"/>
          <w:lang w:val="pt-BR"/>
        </w:rPr>
        <w:t xml:space="preserve"> </w:t>
      </w:r>
      <w:proofErr w:type="spellStart"/>
      <w:r w:rsidRPr="00847B73">
        <w:rPr>
          <w:rFonts w:ascii="Verdana" w:hAnsi="Verdana"/>
          <w:sz w:val="20"/>
          <w:lang w:val="pt-BR"/>
        </w:rPr>
        <w:t>Raúl</w:t>
      </w:r>
      <w:proofErr w:type="spellEnd"/>
      <w:r w:rsidRPr="00847B73">
        <w:rPr>
          <w:rFonts w:ascii="Verdana" w:hAnsi="Verdana"/>
          <w:sz w:val="20"/>
          <w:lang w:val="pt-BR"/>
        </w:rPr>
        <w:t xml:space="preserve"> </w:t>
      </w:r>
      <w:proofErr w:type="spellStart"/>
      <w:r w:rsidRPr="00847B73">
        <w:rPr>
          <w:rFonts w:ascii="Verdana" w:hAnsi="Verdana"/>
          <w:sz w:val="20"/>
          <w:lang w:val="pt-BR"/>
        </w:rPr>
        <w:t>Zaffaroni</w:t>
      </w:r>
      <w:proofErr w:type="spellEnd"/>
      <w:r w:rsidRPr="00847B73">
        <w:rPr>
          <w:rFonts w:ascii="Verdana" w:hAnsi="Verdana"/>
          <w:sz w:val="20"/>
          <w:lang w:val="pt-BR"/>
        </w:rPr>
        <w:t xml:space="preserve"> </w:t>
      </w:r>
    </w:p>
    <w:p w14:paraId="4B7B69E9" w14:textId="77777777" w:rsidR="003B05A7" w:rsidRPr="00847B73" w:rsidRDefault="003B05A7" w:rsidP="003B05A7">
      <w:pPr>
        <w:rPr>
          <w:rFonts w:ascii="Verdana" w:hAnsi="Verdana"/>
          <w:sz w:val="20"/>
          <w:lang w:val="pt-BR"/>
        </w:rPr>
      </w:pPr>
    </w:p>
    <w:p w14:paraId="589AEB95" w14:textId="77777777" w:rsidR="003B05A7" w:rsidRDefault="003B05A7" w:rsidP="003B05A7">
      <w:pPr>
        <w:rPr>
          <w:rFonts w:ascii="Verdana" w:hAnsi="Verdana"/>
          <w:sz w:val="20"/>
          <w:lang w:val="pt-BR"/>
        </w:rPr>
      </w:pPr>
    </w:p>
    <w:p w14:paraId="4A4C8819" w14:textId="77777777" w:rsidR="003B05A7" w:rsidRPr="00847B73" w:rsidRDefault="003B05A7" w:rsidP="003B05A7">
      <w:pPr>
        <w:rPr>
          <w:rFonts w:ascii="Verdana" w:hAnsi="Verdana"/>
          <w:sz w:val="20"/>
          <w:lang w:val="pt-BR"/>
        </w:rPr>
      </w:pPr>
    </w:p>
    <w:p w14:paraId="750E002B" w14:textId="77777777" w:rsidR="003B05A7" w:rsidRPr="00847B73" w:rsidRDefault="003B05A7" w:rsidP="003B05A7">
      <w:pPr>
        <w:rPr>
          <w:rFonts w:ascii="Verdana" w:hAnsi="Verdana"/>
          <w:sz w:val="20"/>
          <w:lang w:val="pt-BR"/>
        </w:rPr>
      </w:pPr>
    </w:p>
    <w:p w14:paraId="352970B3" w14:textId="77777777" w:rsidR="003B05A7" w:rsidRPr="00847B73" w:rsidRDefault="003B05A7" w:rsidP="003B05A7">
      <w:pPr>
        <w:rPr>
          <w:rFonts w:ascii="Verdana" w:hAnsi="Verdana"/>
          <w:sz w:val="20"/>
          <w:lang w:val="pt-BR"/>
        </w:rPr>
      </w:pPr>
    </w:p>
    <w:p w14:paraId="11D55F44" w14:textId="77777777" w:rsidR="003B05A7" w:rsidRPr="00847B73" w:rsidRDefault="003B05A7" w:rsidP="003B05A7">
      <w:pPr>
        <w:rPr>
          <w:rFonts w:ascii="Verdana" w:hAnsi="Verdana"/>
          <w:sz w:val="20"/>
          <w:lang w:val="es-CR"/>
        </w:rPr>
      </w:pPr>
      <w:r w:rsidRPr="00847B73">
        <w:rPr>
          <w:rFonts w:ascii="Verdana" w:hAnsi="Verdana"/>
          <w:sz w:val="20"/>
          <w:lang w:val="pt-BR"/>
        </w:rPr>
        <w:t xml:space="preserve">L. </w:t>
      </w:r>
      <w:proofErr w:type="spellStart"/>
      <w:r w:rsidRPr="00847B73">
        <w:rPr>
          <w:rFonts w:ascii="Verdana" w:hAnsi="Verdana"/>
          <w:sz w:val="20"/>
          <w:lang w:val="pt-BR"/>
        </w:rPr>
        <w:t>Patricio</w:t>
      </w:r>
      <w:proofErr w:type="spellEnd"/>
      <w:r w:rsidRPr="00847B73">
        <w:rPr>
          <w:rFonts w:ascii="Verdana" w:hAnsi="Verdana"/>
          <w:sz w:val="20"/>
          <w:lang w:val="pt-BR"/>
        </w:rPr>
        <w:t xml:space="preserve"> </w:t>
      </w:r>
      <w:proofErr w:type="spellStart"/>
      <w:r w:rsidRPr="00847B73">
        <w:rPr>
          <w:rFonts w:ascii="Verdana" w:hAnsi="Verdana"/>
          <w:sz w:val="20"/>
          <w:lang w:val="pt-BR"/>
        </w:rPr>
        <w:t>Pazmiño</w:t>
      </w:r>
      <w:proofErr w:type="spellEnd"/>
      <w:r w:rsidRPr="00847B73">
        <w:rPr>
          <w:rFonts w:ascii="Verdana" w:hAnsi="Verdana"/>
          <w:sz w:val="20"/>
          <w:lang w:val="pt-BR"/>
        </w:rPr>
        <w:t xml:space="preserve"> Freire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es-CR"/>
        </w:rPr>
        <w:t>Ricardo C. Pérez Manrique</w:t>
      </w:r>
    </w:p>
    <w:p w14:paraId="41B47E2F" w14:textId="77777777" w:rsidR="003B05A7" w:rsidRPr="00847B73" w:rsidRDefault="003B05A7" w:rsidP="003B05A7">
      <w:pPr>
        <w:jc w:val="both"/>
        <w:rPr>
          <w:rFonts w:ascii="Verdana" w:hAnsi="Verdana"/>
          <w:sz w:val="20"/>
          <w:lang w:val="es-CR"/>
        </w:rPr>
      </w:pPr>
    </w:p>
    <w:p w14:paraId="445999AE" w14:textId="77777777" w:rsidR="003B05A7" w:rsidRDefault="003B05A7" w:rsidP="003B05A7">
      <w:pPr>
        <w:jc w:val="both"/>
        <w:rPr>
          <w:rFonts w:ascii="Verdana" w:hAnsi="Verdana"/>
          <w:sz w:val="20"/>
          <w:lang w:val="pt-BR"/>
        </w:rPr>
      </w:pPr>
    </w:p>
    <w:p w14:paraId="3C69826D" w14:textId="77777777" w:rsidR="003B05A7" w:rsidRPr="00847B73" w:rsidRDefault="003B05A7" w:rsidP="003B05A7">
      <w:pPr>
        <w:jc w:val="both"/>
        <w:rPr>
          <w:rFonts w:ascii="Verdana" w:hAnsi="Verdana"/>
          <w:sz w:val="20"/>
          <w:lang w:val="pt-BR"/>
        </w:rPr>
      </w:pPr>
    </w:p>
    <w:p w14:paraId="36BD5DC0" w14:textId="77777777" w:rsidR="003B05A7" w:rsidRPr="00847B73" w:rsidRDefault="003B05A7" w:rsidP="003B05A7">
      <w:pPr>
        <w:jc w:val="both"/>
        <w:rPr>
          <w:rFonts w:ascii="Verdana" w:hAnsi="Verdana"/>
          <w:sz w:val="20"/>
          <w:lang w:val="pt-BR"/>
        </w:rPr>
      </w:pPr>
    </w:p>
    <w:p w14:paraId="19C25389" w14:textId="77777777" w:rsidR="003B05A7" w:rsidRPr="00847B73" w:rsidRDefault="003B05A7" w:rsidP="003B05A7">
      <w:pPr>
        <w:jc w:val="both"/>
        <w:rPr>
          <w:rFonts w:ascii="Verdana" w:hAnsi="Verdana"/>
          <w:sz w:val="20"/>
          <w:lang w:val="pt-BR"/>
        </w:rPr>
      </w:pPr>
    </w:p>
    <w:p w14:paraId="4F0B7EDE" w14:textId="77777777" w:rsidR="003B05A7" w:rsidRPr="00847B73" w:rsidRDefault="003B05A7" w:rsidP="003B05A7">
      <w:pPr>
        <w:jc w:val="center"/>
        <w:rPr>
          <w:rFonts w:ascii="Verdana" w:hAnsi="Verdana"/>
          <w:sz w:val="20"/>
          <w:lang w:val="pt-BR"/>
        </w:rPr>
      </w:pPr>
      <w:r w:rsidRPr="00847B73">
        <w:rPr>
          <w:rFonts w:ascii="Verdana" w:hAnsi="Verdana"/>
          <w:sz w:val="20"/>
          <w:lang w:val="pt-BR"/>
        </w:rPr>
        <w:t xml:space="preserve">Pablo Saavedra </w:t>
      </w:r>
      <w:proofErr w:type="spellStart"/>
      <w:r w:rsidRPr="00847B73">
        <w:rPr>
          <w:rFonts w:ascii="Verdana" w:hAnsi="Verdana"/>
          <w:sz w:val="20"/>
          <w:lang w:val="pt-BR"/>
        </w:rPr>
        <w:t>Alessandri</w:t>
      </w:r>
      <w:proofErr w:type="spellEnd"/>
    </w:p>
    <w:p w14:paraId="070EEB29" w14:textId="77777777" w:rsidR="003B05A7" w:rsidRPr="00847B73" w:rsidRDefault="003B05A7" w:rsidP="003B05A7">
      <w:pPr>
        <w:jc w:val="center"/>
        <w:rPr>
          <w:rFonts w:ascii="Verdana" w:hAnsi="Verdana"/>
          <w:sz w:val="20"/>
          <w:lang w:val="pt-BR"/>
        </w:rPr>
      </w:pPr>
      <w:r w:rsidRPr="00847B73">
        <w:rPr>
          <w:rFonts w:ascii="Verdana" w:hAnsi="Verdana"/>
          <w:sz w:val="20"/>
          <w:lang w:val="pt-BR"/>
        </w:rPr>
        <w:t>Secretario</w:t>
      </w:r>
    </w:p>
    <w:p w14:paraId="62603592" w14:textId="77777777" w:rsidR="003B05A7" w:rsidRPr="00847B73" w:rsidRDefault="003B05A7" w:rsidP="003B05A7">
      <w:pPr>
        <w:rPr>
          <w:rFonts w:ascii="Verdana" w:hAnsi="Verdana"/>
          <w:sz w:val="20"/>
          <w:lang w:val="pt-BR"/>
        </w:rPr>
      </w:pPr>
    </w:p>
    <w:p w14:paraId="1FF40C4A" w14:textId="77777777" w:rsidR="003B05A7" w:rsidRPr="00847B73" w:rsidRDefault="003B05A7" w:rsidP="003B05A7">
      <w:pPr>
        <w:pStyle w:val="Textonotapie"/>
        <w:rPr>
          <w:lang w:val="pt-BR"/>
        </w:rPr>
      </w:pPr>
    </w:p>
    <w:p w14:paraId="70883C16" w14:textId="77777777" w:rsidR="003B05A7" w:rsidRPr="00847B73" w:rsidRDefault="003B05A7" w:rsidP="003B05A7">
      <w:pPr>
        <w:jc w:val="both"/>
        <w:rPr>
          <w:rFonts w:ascii="Verdana" w:hAnsi="Verdana"/>
          <w:sz w:val="20"/>
          <w:lang w:val="pt-BR"/>
        </w:rPr>
      </w:pPr>
      <w:proofErr w:type="spellStart"/>
      <w:r w:rsidRPr="00847B73">
        <w:rPr>
          <w:rFonts w:ascii="Verdana" w:hAnsi="Verdana"/>
          <w:sz w:val="20"/>
          <w:lang w:val="pt-BR"/>
        </w:rPr>
        <w:t>Comuníquese</w:t>
      </w:r>
      <w:proofErr w:type="spellEnd"/>
      <w:r w:rsidRPr="00847B73">
        <w:rPr>
          <w:rFonts w:ascii="Verdana" w:hAnsi="Verdana"/>
          <w:sz w:val="20"/>
          <w:lang w:val="pt-BR"/>
        </w:rPr>
        <w:t xml:space="preserve"> y </w:t>
      </w:r>
      <w:proofErr w:type="spellStart"/>
      <w:r w:rsidRPr="00847B73">
        <w:rPr>
          <w:rFonts w:ascii="Verdana" w:hAnsi="Verdana"/>
          <w:sz w:val="20"/>
          <w:lang w:val="pt-BR"/>
        </w:rPr>
        <w:t>ejecútese</w:t>
      </w:r>
      <w:proofErr w:type="spellEnd"/>
      <w:r w:rsidRPr="00847B73">
        <w:rPr>
          <w:rFonts w:ascii="Verdana" w:hAnsi="Verdana"/>
          <w:sz w:val="20"/>
          <w:lang w:val="pt-BR"/>
        </w:rPr>
        <w:t>,</w:t>
      </w:r>
    </w:p>
    <w:p w14:paraId="35760397" w14:textId="77777777" w:rsidR="003B05A7" w:rsidRPr="00847B73" w:rsidRDefault="003B05A7" w:rsidP="003B05A7">
      <w:pPr>
        <w:jc w:val="both"/>
        <w:rPr>
          <w:rFonts w:ascii="Verdana" w:hAnsi="Verdana"/>
          <w:sz w:val="20"/>
          <w:lang w:val="pt-BR"/>
        </w:rPr>
      </w:pPr>
    </w:p>
    <w:p w14:paraId="0B748B67" w14:textId="77777777" w:rsidR="003B05A7" w:rsidRPr="00847B73" w:rsidRDefault="003B05A7" w:rsidP="003B05A7">
      <w:pPr>
        <w:jc w:val="both"/>
        <w:rPr>
          <w:rFonts w:ascii="Verdana" w:hAnsi="Verdana"/>
          <w:sz w:val="20"/>
          <w:lang w:val="pt-BR"/>
        </w:rPr>
      </w:pPr>
    </w:p>
    <w:p w14:paraId="1114B634" w14:textId="77777777" w:rsidR="003B05A7" w:rsidRPr="00847B73" w:rsidRDefault="003B05A7" w:rsidP="003B05A7">
      <w:pPr>
        <w:jc w:val="both"/>
        <w:rPr>
          <w:rFonts w:ascii="Verdana" w:hAnsi="Verdana"/>
          <w:sz w:val="20"/>
          <w:lang w:val="pt-BR"/>
        </w:rPr>
      </w:pPr>
    </w:p>
    <w:p w14:paraId="629E9CD0" w14:textId="77777777" w:rsidR="003B05A7" w:rsidRDefault="003B05A7" w:rsidP="003B05A7">
      <w:pPr>
        <w:jc w:val="both"/>
        <w:rPr>
          <w:rFonts w:ascii="Verdana" w:hAnsi="Verdana"/>
          <w:sz w:val="20"/>
          <w:lang w:val="pt-BR"/>
        </w:rPr>
      </w:pPr>
    </w:p>
    <w:p w14:paraId="79F2D30B" w14:textId="77777777" w:rsidR="003B05A7" w:rsidRPr="00847B73" w:rsidRDefault="003B05A7" w:rsidP="003B05A7">
      <w:pPr>
        <w:jc w:val="both"/>
        <w:rPr>
          <w:rFonts w:ascii="Verdana" w:hAnsi="Verdana"/>
          <w:sz w:val="20"/>
          <w:lang w:val="pt-BR"/>
        </w:rPr>
      </w:pPr>
    </w:p>
    <w:p w14:paraId="73973405" w14:textId="77777777" w:rsidR="003B05A7" w:rsidRPr="00847B73" w:rsidRDefault="003B05A7" w:rsidP="003B05A7">
      <w:pPr>
        <w:ind w:left="4956"/>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14:paraId="0AB39ABB" w14:textId="77777777" w:rsidR="003B05A7" w:rsidRPr="00847B73" w:rsidRDefault="003B05A7" w:rsidP="003B05A7">
      <w:pPr>
        <w:ind w:left="4956"/>
        <w:jc w:val="center"/>
        <w:rPr>
          <w:rFonts w:ascii="Verdana" w:hAnsi="Verdana"/>
          <w:sz w:val="20"/>
          <w:lang w:val="pt-BR"/>
        </w:rPr>
      </w:pPr>
      <w:r w:rsidRPr="00847B73">
        <w:rPr>
          <w:rFonts w:ascii="Verdana" w:hAnsi="Verdana"/>
          <w:sz w:val="20"/>
          <w:lang w:val="pt-BR"/>
        </w:rPr>
        <w:t>Presidente</w:t>
      </w:r>
    </w:p>
    <w:p w14:paraId="2743B59A" w14:textId="77777777" w:rsidR="003B05A7" w:rsidRDefault="003B05A7" w:rsidP="003B05A7">
      <w:pPr>
        <w:jc w:val="both"/>
        <w:rPr>
          <w:rFonts w:ascii="Verdana" w:hAnsi="Verdana"/>
          <w:sz w:val="20"/>
          <w:lang w:val="pt-BR"/>
        </w:rPr>
      </w:pPr>
    </w:p>
    <w:p w14:paraId="6B9A9B3A" w14:textId="77777777" w:rsidR="003B05A7" w:rsidRPr="00847B73" w:rsidRDefault="003B05A7" w:rsidP="003B05A7">
      <w:pPr>
        <w:jc w:val="both"/>
        <w:rPr>
          <w:rFonts w:ascii="Verdana" w:hAnsi="Verdana"/>
          <w:sz w:val="20"/>
          <w:lang w:val="pt-BR"/>
        </w:rPr>
      </w:pPr>
    </w:p>
    <w:p w14:paraId="2541E873" w14:textId="77777777" w:rsidR="003B05A7" w:rsidRPr="00847B73" w:rsidRDefault="003B05A7" w:rsidP="003B05A7">
      <w:pPr>
        <w:jc w:val="both"/>
        <w:rPr>
          <w:rFonts w:ascii="Verdana" w:hAnsi="Verdana"/>
          <w:sz w:val="20"/>
          <w:lang w:val="pt-BR"/>
        </w:rPr>
      </w:pPr>
    </w:p>
    <w:p w14:paraId="6C7F384D" w14:textId="77777777" w:rsidR="003B05A7" w:rsidRPr="00847B73" w:rsidRDefault="003B05A7" w:rsidP="003B05A7">
      <w:pPr>
        <w:jc w:val="both"/>
        <w:rPr>
          <w:rFonts w:ascii="Verdana" w:hAnsi="Verdana"/>
          <w:sz w:val="20"/>
          <w:lang w:val="pt-BR"/>
        </w:rPr>
      </w:pPr>
    </w:p>
    <w:p w14:paraId="679FC879" w14:textId="77777777" w:rsidR="003B05A7" w:rsidRPr="00847B73" w:rsidRDefault="003B05A7" w:rsidP="003B05A7">
      <w:pPr>
        <w:jc w:val="both"/>
        <w:rPr>
          <w:rFonts w:ascii="Verdana" w:hAnsi="Verdana"/>
          <w:sz w:val="20"/>
          <w:lang w:val="es-ES"/>
        </w:rPr>
      </w:pPr>
      <w:r w:rsidRPr="00847B73">
        <w:rPr>
          <w:rFonts w:ascii="Verdana" w:hAnsi="Verdana"/>
          <w:sz w:val="20"/>
          <w:lang w:val="es-ES"/>
        </w:rPr>
        <w:t>Pablo Saavedra Alessandri</w:t>
      </w:r>
    </w:p>
    <w:p w14:paraId="2CFBCD5A" w14:textId="1C937AB6" w:rsidR="00706EA4" w:rsidRPr="003B05A7" w:rsidRDefault="003B05A7" w:rsidP="003B05A7">
      <w:pPr>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sectPr w:rsidR="00706EA4" w:rsidRPr="003B05A7" w:rsidSect="00CF6FEA">
      <w:headerReference w:type="default" r:id="rId8"/>
      <w:footerReference w:type="default" r:id="rId9"/>
      <w:pgSz w:w="12240" w:h="15840"/>
      <w:pgMar w:top="1440" w:right="1440" w:bottom="147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05C7" w14:textId="77777777" w:rsidR="00CC22A2" w:rsidRDefault="00CC22A2" w:rsidP="00706EA4">
      <w:r>
        <w:separator/>
      </w:r>
    </w:p>
  </w:endnote>
  <w:endnote w:type="continuationSeparator" w:id="0">
    <w:p w14:paraId="3AF1089B" w14:textId="77777777" w:rsidR="00CC22A2" w:rsidRDefault="00CC22A2" w:rsidP="0070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7C70" w14:textId="77777777" w:rsidR="00CC22A2" w:rsidRDefault="00CC22A2">
    <w:pPr>
      <w:pStyle w:val="Piedepgina"/>
      <w:jc w:val="center"/>
    </w:pPr>
  </w:p>
  <w:p w14:paraId="48BDC335" w14:textId="77777777" w:rsidR="00CC22A2" w:rsidRDefault="00CC22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2CD02" w14:textId="77777777" w:rsidR="00CC22A2" w:rsidRDefault="00CC22A2" w:rsidP="00706EA4">
      <w:r>
        <w:separator/>
      </w:r>
    </w:p>
  </w:footnote>
  <w:footnote w:type="continuationSeparator" w:id="0">
    <w:p w14:paraId="2F4609CE" w14:textId="77777777" w:rsidR="00CC22A2" w:rsidRDefault="00CC22A2" w:rsidP="00706EA4">
      <w:r>
        <w:continuationSeparator/>
      </w:r>
    </w:p>
  </w:footnote>
  <w:footnote w:id="1">
    <w:p w14:paraId="29C19655" w14:textId="77777777" w:rsidR="00CC22A2" w:rsidRPr="008D6138" w:rsidRDefault="00CC22A2" w:rsidP="007B79F5">
      <w:pPr>
        <w:pStyle w:val="Textonotapie"/>
        <w:tabs>
          <w:tab w:val="left" w:pos="426"/>
        </w:tabs>
        <w:ind w:right="4"/>
        <w:rPr>
          <w:b/>
          <w:szCs w:val="16"/>
          <w:lang w:val="es-ES_tradnl"/>
        </w:rPr>
      </w:pPr>
      <w:r w:rsidRPr="00A379F1">
        <w:rPr>
          <w:rStyle w:val="Refdenotaalpie"/>
          <w:szCs w:val="16"/>
          <w:lang w:val="es-ES_tradnl"/>
        </w:rPr>
        <w:footnoteRef/>
      </w:r>
      <w:r w:rsidRPr="00A379F1">
        <w:rPr>
          <w:szCs w:val="16"/>
          <w:lang w:val="pt-BR"/>
        </w:rPr>
        <w:t xml:space="preserve"> </w:t>
      </w:r>
      <w:r w:rsidRPr="00A379F1">
        <w:rPr>
          <w:szCs w:val="16"/>
          <w:lang w:val="pt-BR"/>
        </w:rPr>
        <w:tab/>
      </w:r>
      <w:r w:rsidRPr="008D6138">
        <w:rPr>
          <w:i/>
          <w:color w:val="000000"/>
          <w:szCs w:val="16"/>
          <w:lang w:val="pt-BR"/>
        </w:rPr>
        <w:t xml:space="preserve">Cfr. </w:t>
      </w:r>
      <w:r w:rsidRPr="008D6138">
        <w:rPr>
          <w:bCs/>
          <w:i/>
          <w:szCs w:val="16"/>
          <w:lang w:val="pt-BR"/>
        </w:rPr>
        <w:t xml:space="preserve">Caso </w:t>
      </w:r>
      <w:proofErr w:type="spellStart"/>
      <w:r w:rsidRPr="008D6138">
        <w:rPr>
          <w:bCs/>
          <w:i/>
          <w:szCs w:val="16"/>
          <w:lang w:val="pt-BR"/>
        </w:rPr>
        <w:t>Kawas</w:t>
      </w:r>
      <w:proofErr w:type="spellEnd"/>
      <w:r w:rsidRPr="008D6138">
        <w:rPr>
          <w:bCs/>
          <w:i/>
          <w:szCs w:val="16"/>
          <w:lang w:val="pt-BR"/>
        </w:rPr>
        <w:t xml:space="preserve"> Fernández Vs. </w:t>
      </w:r>
      <w:r w:rsidRPr="008D6138">
        <w:rPr>
          <w:bCs/>
          <w:i/>
          <w:szCs w:val="16"/>
          <w:lang w:val="es-ES_tradnl"/>
        </w:rPr>
        <w:t>Honduras. Fondo, Reparaciones y Costas</w:t>
      </w:r>
      <w:r w:rsidRPr="008D6138">
        <w:rPr>
          <w:bCs/>
          <w:szCs w:val="16"/>
          <w:lang w:val="es-ES_tradnl"/>
        </w:rPr>
        <w:t xml:space="preserve">. Sentencia de 3 de abril de 2009. Serie C No. 196. El texto íntegro de la Sentencia se encuentra disponible en: </w:t>
      </w:r>
      <w:hyperlink r:id="rId1" w:history="1">
        <w:r w:rsidRPr="007B79F5">
          <w:rPr>
            <w:rStyle w:val="Hipervnculo"/>
            <w:bCs/>
            <w:sz w:val="16"/>
            <w:szCs w:val="16"/>
            <w:lang w:val="es-ES_tradnl"/>
          </w:rPr>
          <w:t>http://www.corteidh.or.cr/docs/casos/articulos/seriec_196_esp.pdf</w:t>
        </w:r>
      </w:hyperlink>
      <w:r w:rsidRPr="008D6138">
        <w:rPr>
          <w:bCs/>
          <w:szCs w:val="16"/>
          <w:lang w:val="es-ES_tradnl"/>
        </w:rPr>
        <w:t xml:space="preserve">. </w:t>
      </w:r>
      <w:r w:rsidRPr="008D6138">
        <w:rPr>
          <w:color w:val="000000"/>
          <w:szCs w:val="16"/>
          <w:lang w:val="es-ES_tradnl"/>
        </w:rPr>
        <w:t xml:space="preserve">La Sentencia fue notificada al Estado 6 de mayo de 2009. </w:t>
      </w:r>
    </w:p>
  </w:footnote>
  <w:footnote w:id="2">
    <w:p w14:paraId="4FE824E6" w14:textId="22926BBC" w:rsidR="00CC22A2" w:rsidRPr="003D0A0B" w:rsidRDefault="00CC22A2" w:rsidP="00A53F57">
      <w:pPr>
        <w:pStyle w:val="Textonotapie"/>
        <w:tabs>
          <w:tab w:val="left" w:pos="426"/>
        </w:tabs>
        <w:ind w:right="4"/>
        <w:rPr>
          <w:lang w:val="es-ES_tradnl"/>
        </w:rPr>
      </w:pPr>
      <w:r>
        <w:rPr>
          <w:rStyle w:val="Refdenotaalpie"/>
        </w:rPr>
        <w:footnoteRef/>
      </w:r>
      <w:r w:rsidRPr="003D0A0B">
        <w:rPr>
          <w:lang w:val="es-AR"/>
        </w:rPr>
        <w:t xml:space="preserve"> </w:t>
      </w:r>
      <w:r w:rsidR="00A53F57">
        <w:rPr>
          <w:lang w:val="es-AR"/>
        </w:rPr>
        <w:tab/>
      </w:r>
      <w:r w:rsidR="00A53F57" w:rsidRPr="00A53F57">
        <w:rPr>
          <w:bCs/>
          <w:szCs w:val="16"/>
          <w:lang w:val="es-ES_tradnl"/>
        </w:rPr>
        <w:t>Éstos</w:t>
      </w:r>
      <w:r w:rsidR="00A53F57">
        <w:rPr>
          <w:lang w:val="es-AR"/>
        </w:rPr>
        <w:t xml:space="preserve"> son: </w:t>
      </w:r>
      <w:r w:rsidR="00A53F57" w:rsidRPr="00A53F57">
        <w:rPr>
          <w:lang w:val="es-ES_tradnl"/>
        </w:rPr>
        <w:t xml:space="preserve">Jacobo Roberto </w:t>
      </w:r>
      <w:proofErr w:type="spellStart"/>
      <w:r w:rsidR="00A53F57" w:rsidRPr="00A53F57">
        <w:rPr>
          <w:lang w:val="es-ES_tradnl"/>
        </w:rPr>
        <w:t>Kawas</w:t>
      </w:r>
      <w:proofErr w:type="spellEnd"/>
      <w:r w:rsidR="00A53F57" w:rsidRPr="00A53F57">
        <w:rPr>
          <w:lang w:val="es-ES_tradnl"/>
        </w:rPr>
        <w:t xml:space="preserve"> Cury, Blanca Fernández, </w:t>
      </w:r>
      <w:proofErr w:type="spellStart"/>
      <w:r w:rsidR="00A53F57" w:rsidRPr="00A53F57">
        <w:rPr>
          <w:lang w:val="es-ES_tradnl"/>
        </w:rPr>
        <w:t>Selsa</w:t>
      </w:r>
      <w:proofErr w:type="spellEnd"/>
      <w:r w:rsidR="00A53F57" w:rsidRPr="00A53F57">
        <w:rPr>
          <w:lang w:val="es-ES_tradnl"/>
        </w:rPr>
        <w:t xml:space="preserve"> Damaris Watt </w:t>
      </w:r>
      <w:proofErr w:type="spellStart"/>
      <w:r w:rsidR="00A53F57" w:rsidRPr="00A53F57">
        <w:rPr>
          <w:lang w:val="es-ES_tradnl"/>
        </w:rPr>
        <w:t>Kawas</w:t>
      </w:r>
      <w:proofErr w:type="spellEnd"/>
      <w:r w:rsidR="00A53F57" w:rsidRPr="00A53F57">
        <w:rPr>
          <w:lang w:val="es-ES_tradnl"/>
        </w:rPr>
        <w:t xml:space="preserve">, Jaime Alejandro Watt </w:t>
      </w:r>
      <w:proofErr w:type="spellStart"/>
      <w:r w:rsidR="00A53F57" w:rsidRPr="00A53F57">
        <w:rPr>
          <w:lang w:val="es-ES_tradnl"/>
        </w:rPr>
        <w:t>Kawas</w:t>
      </w:r>
      <w:proofErr w:type="spellEnd"/>
      <w:r w:rsidR="00A53F57" w:rsidRPr="00A53F57">
        <w:rPr>
          <w:lang w:val="es-ES_tradnl"/>
        </w:rPr>
        <w:t xml:space="preserve">, Jacobo </w:t>
      </w:r>
      <w:proofErr w:type="spellStart"/>
      <w:r w:rsidR="00A53F57" w:rsidRPr="00A53F57">
        <w:rPr>
          <w:lang w:val="es-ES_tradnl"/>
        </w:rPr>
        <w:t>Kawas</w:t>
      </w:r>
      <w:proofErr w:type="spellEnd"/>
      <w:r w:rsidR="00A53F57" w:rsidRPr="00A53F57">
        <w:rPr>
          <w:lang w:val="es-ES_tradnl"/>
        </w:rPr>
        <w:t xml:space="preserve"> Fernández, Jorge Jesús </w:t>
      </w:r>
      <w:proofErr w:type="spellStart"/>
      <w:r w:rsidR="00A53F57" w:rsidRPr="00A53F57">
        <w:rPr>
          <w:lang w:val="es-ES_tradnl"/>
        </w:rPr>
        <w:t>Kawas</w:t>
      </w:r>
      <w:proofErr w:type="spellEnd"/>
      <w:r w:rsidR="00A53F57" w:rsidRPr="00A53F57">
        <w:rPr>
          <w:lang w:val="es-ES_tradnl"/>
        </w:rPr>
        <w:t xml:space="preserve"> Fernández y Carmen </w:t>
      </w:r>
      <w:proofErr w:type="spellStart"/>
      <w:r w:rsidR="00A53F57" w:rsidRPr="00A53F57">
        <w:rPr>
          <w:lang w:val="es-ES_tradnl"/>
        </w:rPr>
        <w:t>Marilena</w:t>
      </w:r>
      <w:proofErr w:type="spellEnd"/>
      <w:r w:rsidR="00A53F57" w:rsidRPr="00A53F57">
        <w:rPr>
          <w:lang w:val="es-ES_tradnl"/>
        </w:rPr>
        <w:t xml:space="preserve"> </w:t>
      </w:r>
      <w:proofErr w:type="spellStart"/>
      <w:r w:rsidR="00A53F57" w:rsidRPr="00A53F57">
        <w:rPr>
          <w:lang w:val="es-ES_tradnl"/>
        </w:rPr>
        <w:t>Kawas</w:t>
      </w:r>
      <w:proofErr w:type="spellEnd"/>
      <w:r w:rsidR="00A53F57" w:rsidRPr="00A53F57">
        <w:rPr>
          <w:lang w:val="es-ES_tradnl"/>
        </w:rPr>
        <w:t xml:space="preserve"> Fernández</w:t>
      </w:r>
      <w:r w:rsidR="00A53F57">
        <w:rPr>
          <w:lang w:val="es-ES_tradnl"/>
        </w:rPr>
        <w:t xml:space="preserve">. </w:t>
      </w:r>
      <w:r w:rsidR="00A53F57">
        <w:rPr>
          <w:i/>
          <w:lang w:val="es-ES_tradnl"/>
        </w:rPr>
        <w:t xml:space="preserve">Cfr. </w:t>
      </w:r>
      <w:r w:rsidR="00A53F57" w:rsidRPr="008D6138">
        <w:rPr>
          <w:bCs/>
          <w:i/>
          <w:szCs w:val="16"/>
          <w:lang w:val="pt-BR"/>
        </w:rPr>
        <w:t xml:space="preserve">Caso </w:t>
      </w:r>
      <w:proofErr w:type="spellStart"/>
      <w:r w:rsidR="00A53F57" w:rsidRPr="008D6138">
        <w:rPr>
          <w:bCs/>
          <w:i/>
          <w:szCs w:val="16"/>
          <w:lang w:val="pt-BR"/>
        </w:rPr>
        <w:t>Kawas</w:t>
      </w:r>
      <w:proofErr w:type="spellEnd"/>
      <w:r w:rsidR="00A53F57" w:rsidRPr="008D6138">
        <w:rPr>
          <w:bCs/>
          <w:i/>
          <w:szCs w:val="16"/>
          <w:lang w:val="pt-BR"/>
        </w:rPr>
        <w:t xml:space="preserve"> Fernández Vs. </w:t>
      </w:r>
      <w:r w:rsidR="00A53F57" w:rsidRPr="008D6138">
        <w:rPr>
          <w:bCs/>
          <w:i/>
          <w:szCs w:val="16"/>
          <w:lang w:val="es-ES_tradnl"/>
        </w:rPr>
        <w:t>Honduras. Fondo, Reparaciones y Costas</w:t>
      </w:r>
      <w:r w:rsidR="00A53F57">
        <w:rPr>
          <w:bCs/>
          <w:szCs w:val="16"/>
          <w:lang w:val="es-ES_tradnl"/>
        </w:rPr>
        <w:t xml:space="preserve">, </w:t>
      </w:r>
      <w:r w:rsidR="00C03897">
        <w:rPr>
          <w:bCs/>
          <w:i/>
          <w:szCs w:val="16"/>
          <w:lang w:val="es-ES_tradnl"/>
        </w:rPr>
        <w:t>supra</w:t>
      </w:r>
      <w:r w:rsidR="002767E0">
        <w:rPr>
          <w:bCs/>
          <w:i/>
          <w:szCs w:val="16"/>
          <w:lang w:val="es-ES_tradnl"/>
        </w:rPr>
        <w:t xml:space="preserve"> </w:t>
      </w:r>
      <w:r w:rsidR="002767E0">
        <w:rPr>
          <w:bCs/>
          <w:szCs w:val="16"/>
          <w:lang w:val="es-ES_tradnl"/>
        </w:rPr>
        <w:t>nota 1,</w:t>
      </w:r>
      <w:r w:rsidR="00C03897">
        <w:rPr>
          <w:bCs/>
          <w:i/>
          <w:szCs w:val="16"/>
          <w:lang w:val="es-ES_tradnl"/>
        </w:rPr>
        <w:t xml:space="preserve"> </w:t>
      </w:r>
      <w:r w:rsidR="00A53F57">
        <w:rPr>
          <w:bCs/>
          <w:szCs w:val="16"/>
          <w:lang w:val="es-ES_tradnl"/>
        </w:rPr>
        <w:t>párr. 139.</w:t>
      </w:r>
    </w:p>
  </w:footnote>
  <w:footnote w:id="3">
    <w:p w14:paraId="02B10F67" w14:textId="019A56DA" w:rsidR="00CC22A2" w:rsidRPr="007B79F5" w:rsidRDefault="00CC22A2" w:rsidP="007B79F5">
      <w:pPr>
        <w:pStyle w:val="Textonotapie"/>
        <w:tabs>
          <w:tab w:val="left" w:pos="426"/>
        </w:tabs>
        <w:ind w:right="4"/>
        <w:rPr>
          <w:szCs w:val="16"/>
          <w:lang w:val="es-AR"/>
        </w:rPr>
      </w:pPr>
      <w:r w:rsidRPr="00301EC6">
        <w:rPr>
          <w:rStyle w:val="Refdenotaalpie"/>
          <w:szCs w:val="16"/>
        </w:rPr>
        <w:footnoteRef/>
      </w:r>
      <w:r w:rsidRPr="007B79F5">
        <w:rPr>
          <w:szCs w:val="16"/>
          <w:lang w:val="es-AR"/>
        </w:rPr>
        <w:t xml:space="preserve"> </w:t>
      </w:r>
      <w:r w:rsidRPr="00301EC6">
        <w:rPr>
          <w:szCs w:val="16"/>
          <w:lang w:val="es-AR"/>
        </w:rPr>
        <w:tab/>
      </w:r>
      <w:r w:rsidR="00C03897">
        <w:rPr>
          <w:szCs w:val="16"/>
          <w:lang w:val="es-AR"/>
        </w:rPr>
        <w:t xml:space="preserve">Disponible en: </w:t>
      </w:r>
      <w:hyperlink r:id="rId2" w:history="1">
        <w:r w:rsidRPr="00924DF2">
          <w:rPr>
            <w:rStyle w:val="Hipervnculo"/>
            <w:sz w:val="16"/>
            <w:szCs w:val="16"/>
            <w:lang w:val="es-ES_tradnl"/>
          </w:rPr>
          <w:t>http://www.corteidh.or.cr/docs/supervisiones/Kawas_27_02_12.pdf</w:t>
        </w:r>
      </w:hyperlink>
      <w:r>
        <w:rPr>
          <w:szCs w:val="16"/>
          <w:lang w:val="es-AR"/>
        </w:rPr>
        <w:t>.</w:t>
      </w:r>
    </w:p>
  </w:footnote>
  <w:footnote w:id="4">
    <w:p w14:paraId="5DA891B2" w14:textId="16A2A8BE" w:rsidR="00CC22A2" w:rsidRPr="007B79F5" w:rsidRDefault="00CC22A2" w:rsidP="007B79F5">
      <w:pPr>
        <w:pStyle w:val="Textonotapie"/>
        <w:tabs>
          <w:tab w:val="left" w:pos="426"/>
        </w:tabs>
        <w:ind w:right="4"/>
        <w:rPr>
          <w:szCs w:val="16"/>
          <w:lang w:val="es-AR"/>
        </w:rPr>
      </w:pPr>
      <w:r w:rsidRPr="00301EC6">
        <w:rPr>
          <w:rStyle w:val="Refdenotaalpie"/>
          <w:szCs w:val="16"/>
        </w:rPr>
        <w:footnoteRef/>
      </w:r>
      <w:r w:rsidRPr="007B79F5">
        <w:rPr>
          <w:szCs w:val="16"/>
          <w:lang w:val="es-AR"/>
        </w:rPr>
        <w:t xml:space="preserve"> </w:t>
      </w:r>
      <w:r w:rsidRPr="00301EC6">
        <w:rPr>
          <w:szCs w:val="16"/>
          <w:lang w:val="es-AR"/>
        </w:rPr>
        <w:tab/>
      </w:r>
      <w:r w:rsidR="00C03897">
        <w:rPr>
          <w:szCs w:val="16"/>
          <w:lang w:val="es-AR"/>
        </w:rPr>
        <w:t xml:space="preserve">Disponible en: </w:t>
      </w:r>
      <w:hyperlink r:id="rId3" w:history="1">
        <w:r w:rsidRPr="008D6138">
          <w:rPr>
            <w:rStyle w:val="Hipervnculo"/>
            <w:sz w:val="16"/>
            <w:szCs w:val="16"/>
            <w:lang w:val="es-ES_tradnl"/>
          </w:rPr>
          <w:t>http://www.corteidh.or.cr/docs/supervisiones/Kawas_23_10_12.pdf</w:t>
        </w:r>
      </w:hyperlink>
      <w:r>
        <w:rPr>
          <w:szCs w:val="16"/>
          <w:lang w:val="es-AR"/>
        </w:rPr>
        <w:t>.</w:t>
      </w:r>
    </w:p>
  </w:footnote>
  <w:footnote w:id="5">
    <w:p w14:paraId="26EA4B1C" w14:textId="7930483D" w:rsidR="00CC22A2" w:rsidRPr="007B79F5" w:rsidRDefault="00CC22A2" w:rsidP="007B79F5">
      <w:pPr>
        <w:pStyle w:val="Textonotapie"/>
        <w:tabs>
          <w:tab w:val="left" w:pos="426"/>
        </w:tabs>
        <w:ind w:right="4"/>
        <w:rPr>
          <w:szCs w:val="16"/>
          <w:lang w:val="es-AR"/>
        </w:rPr>
      </w:pPr>
      <w:r w:rsidRPr="00301EC6">
        <w:rPr>
          <w:rStyle w:val="Refdenotaalpie"/>
          <w:szCs w:val="16"/>
        </w:rPr>
        <w:footnoteRef/>
      </w:r>
      <w:r w:rsidRPr="007B79F5">
        <w:rPr>
          <w:szCs w:val="16"/>
          <w:lang w:val="es-AR"/>
        </w:rPr>
        <w:t xml:space="preserve"> </w:t>
      </w:r>
      <w:r w:rsidRPr="00301EC6">
        <w:rPr>
          <w:szCs w:val="16"/>
          <w:lang w:val="es-AR"/>
        </w:rPr>
        <w:tab/>
      </w:r>
      <w:r w:rsidR="00C03897">
        <w:rPr>
          <w:szCs w:val="16"/>
          <w:lang w:val="es-AR"/>
        </w:rPr>
        <w:t xml:space="preserve">Disponible en: </w:t>
      </w:r>
      <w:hyperlink r:id="rId4" w:history="1">
        <w:r w:rsidRPr="008D6138">
          <w:rPr>
            <w:rStyle w:val="Hipervnculo"/>
            <w:sz w:val="16"/>
            <w:szCs w:val="16"/>
            <w:lang w:val="es-ES_tradnl"/>
          </w:rPr>
          <w:t>http://www.corteidh.or.cr/docs/supervisiones/casoskawas_lunalop_30_08_17.pdf</w:t>
        </w:r>
      </w:hyperlink>
      <w:r>
        <w:rPr>
          <w:szCs w:val="16"/>
          <w:lang w:val="es-AR"/>
        </w:rPr>
        <w:t>.</w:t>
      </w:r>
    </w:p>
  </w:footnote>
  <w:footnote w:id="6">
    <w:p w14:paraId="05503BCE" w14:textId="4E8D865B" w:rsidR="00CC22A2" w:rsidRPr="006F52E1" w:rsidRDefault="00CC22A2" w:rsidP="00706EA4">
      <w:pPr>
        <w:pStyle w:val="Textonotapie"/>
        <w:tabs>
          <w:tab w:val="left" w:pos="426"/>
        </w:tabs>
        <w:ind w:right="4"/>
        <w:rPr>
          <w:szCs w:val="16"/>
          <w:lang w:val="es-CO"/>
        </w:rPr>
      </w:pPr>
      <w:r w:rsidRPr="005F0D57">
        <w:rPr>
          <w:rStyle w:val="Refdenotaalpie"/>
          <w:szCs w:val="16"/>
        </w:rPr>
        <w:footnoteRef/>
      </w:r>
      <w:r w:rsidRPr="006F52E1">
        <w:rPr>
          <w:szCs w:val="16"/>
          <w:lang w:val="es-CO"/>
        </w:rPr>
        <w:t xml:space="preserve"> </w:t>
      </w:r>
      <w:r w:rsidR="00C7642C">
        <w:rPr>
          <w:szCs w:val="16"/>
          <w:lang w:val="es-CO"/>
        </w:rPr>
        <w:tab/>
        <w:t>Los</w:t>
      </w:r>
      <w:r>
        <w:rPr>
          <w:szCs w:val="16"/>
          <w:lang w:val="es-AR"/>
        </w:rPr>
        <w:t xml:space="preserve"> </w:t>
      </w:r>
      <w:r w:rsidRPr="000D07FC">
        <w:rPr>
          <w:lang w:val="es-MX"/>
        </w:rPr>
        <w:t>representante</w:t>
      </w:r>
      <w:r w:rsidR="00C7642C">
        <w:rPr>
          <w:lang w:val="es-MX"/>
        </w:rPr>
        <w:t>s</w:t>
      </w:r>
      <w:r>
        <w:rPr>
          <w:szCs w:val="16"/>
          <w:lang w:val="es-AR"/>
        </w:rPr>
        <w:t xml:space="preserve"> en el presente caso son </w:t>
      </w:r>
      <w:r w:rsidR="003D0A0B">
        <w:rPr>
          <w:szCs w:val="16"/>
          <w:lang w:val="es-AR"/>
        </w:rPr>
        <w:t>e</w:t>
      </w:r>
      <w:r w:rsidRPr="00957435">
        <w:rPr>
          <w:szCs w:val="16"/>
          <w:lang w:val="es-AR"/>
        </w:rPr>
        <w:t xml:space="preserve">l Equipo de Reflexión, Investigación y Comunicación de la Compañía de Jesús </w:t>
      </w:r>
      <w:r w:rsidR="00030CE5">
        <w:rPr>
          <w:szCs w:val="16"/>
          <w:lang w:val="es-AR"/>
        </w:rPr>
        <w:t xml:space="preserve">en Honduras </w:t>
      </w:r>
      <w:r w:rsidRPr="00957435">
        <w:rPr>
          <w:szCs w:val="16"/>
          <w:lang w:val="es-AR"/>
        </w:rPr>
        <w:t xml:space="preserve">(ERIC) y </w:t>
      </w:r>
      <w:r w:rsidR="003D0A0B">
        <w:rPr>
          <w:szCs w:val="16"/>
          <w:lang w:val="es-AR"/>
        </w:rPr>
        <w:t>el</w:t>
      </w:r>
      <w:r w:rsidRPr="00957435">
        <w:rPr>
          <w:szCs w:val="16"/>
          <w:lang w:val="es-AR"/>
        </w:rPr>
        <w:t xml:space="preserve"> Centro por la Justicia y el Derecho Internacional (CEJIL)</w:t>
      </w:r>
      <w:r>
        <w:rPr>
          <w:szCs w:val="16"/>
          <w:lang w:val="es-CR"/>
        </w:rPr>
        <w:t>.</w:t>
      </w:r>
    </w:p>
  </w:footnote>
  <w:footnote w:id="7">
    <w:p w14:paraId="7212FE03" w14:textId="77777777" w:rsidR="00CC22A2" w:rsidRDefault="00CC22A2" w:rsidP="00C21A24">
      <w:pPr>
        <w:pStyle w:val="Textonotapie"/>
        <w:tabs>
          <w:tab w:val="left" w:pos="426"/>
          <w:tab w:val="left" w:pos="567"/>
        </w:tabs>
        <w:rPr>
          <w:szCs w:val="16"/>
          <w:lang w:val="es-CR"/>
        </w:rPr>
      </w:pPr>
      <w:r>
        <w:rPr>
          <w:rStyle w:val="Refdenotaalpie"/>
          <w:szCs w:val="16"/>
        </w:rPr>
        <w:footnoteRef/>
      </w:r>
      <w:r>
        <w:rPr>
          <w:szCs w:val="16"/>
          <w:lang w:val="es-CR"/>
        </w:rPr>
        <w:t xml:space="preserve"> </w:t>
      </w:r>
      <w:r>
        <w:rPr>
          <w:szCs w:val="16"/>
          <w:lang w:val="es-CR"/>
        </w:rPr>
        <w:tab/>
        <w:t xml:space="preserve">Facultad que además </w:t>
      </w:r>
      <w:r>
        <w:rPr>
          <w:szCs w:val="16"/>
          <w:lang w:val="es-ES"/>
        </w:rPr>
        <w:t xml:space="preserve">se desprende de lo dispuesto en los artículos 33, 62.1, 62.3 y 65 de la Convención Americana y </w:t>
      </w:r>
      <w:r>
        <w:rPr>
          <w:szCs w:val="16"/>
          <w:lang w:val="es-CR"/>
        </w:rPr>
        <w:t>30 de su Estatuto y se encuentra regulada en el artículo 69 de su Reglamento.</w:t>
      </w:r>
    </w:p>
  </w:footnote>
  <w:footnote w:id="8">
    <w:p w14:paraId="5F0BEA05" w14:textId="32E802D5" w:rsidR="00552FDD" w:rsidRPr="00552FDD" w:rsidRDefault="00552FDD" w:rsidP="00552FDD">
      <w:pPr>
        <w:pStyle w:val="Textonotapie"/>
        <w:tabs>
          <w:tab w:val="left" w:pos="426"/>
          <w:tab w:val="left" w:pos="567"/>
        </w:tabs>
        <w:rPr>
          <w:lang w:val="es-AR"/>
        </w:rPr>
      </w:pPr>
      <w:r>
        <w:rPr>
          <w:rStyle w:val="Refdenotaalpie"/>
        </w:rPr>
        <w:footnoteRef/>
      </w:r>
      <w:r w:rsidRPr="00552FDD">
        <w:rPr>
          <w:lang w:val="es-AR"/>
        </w:rPr>
        <w:t xml:space="preserve"> </w:t>
      </w:r>
      <w:r>
        <w:rPr>
          <w:lang w:val="es-AR"/>
        </w:rPr>
        <w:tab/>
      </w:r>
      <w:r w:rsidRPr="00552FDD">
        <w:rPr>
          <w:szCs w:val="16"/>
          <w:lang w:val="es-CR"/>
        </w:rPr>
        <w:t>Éstos</w:t>
      </w:r>
      <w:r>
        <w:rPr>
          <w:lang w:val="es-AR"/>
        </w:rPr>
        <w:t xml:space="preserve"> son: 1) el pago de los montos ordenados en la Sentencia por concepto de indemnización por daño material e inmaterial; 2) el reintegro de las costas y gastos; 3) las medidas de publicación y difusión de la Sentencia; 4) la realización del acto público de reconocimiento de responsabilidad internacional, y 5) brindar tratamiento médico y psicológico. </w:t>
      </w:r>
    </w:p>
  </w:footnote>
  <w:footnote w:id="9">
    <w:p w14:paraId="5DA7B16C" w14:textId="6CF9D0FF" w:rsidR="00CC22A2" w:rsidRDefault="00CC22A2" w:rsidP="00C21A24">
      <w:pPr>
        <w:pStyle w:val="Textonotapie"/>
        <w:tabs>
          <w:tab w:val="left" w:pos="426"/>
          <w:tab w:val="left" w:pos="567"/>
        </w:tabs>
        <w:rPr>
          <w:lang w:val="es-CR"/>
        </w:rPr>
      </w:pPr>
      <w:r>
        <w:rPr>
          <w:rStyle w:val="Refdenotaalpie"/>
        </w:rPr>
        <w:footnoteRef/>
      </w:r>
      <w:r>
        <w:rPr>
          <w:lang w:val="es-CR"/>
        </w:rPr>
        <w:t xml:space="preserve"> </w:t>
      </w:r>
      <w:r>
        <w:rPr>
          <w:lang w:val="es-CR"/>
        </w:rPr>
        <w:tab/>
      </w:r>
      <w:r>
        <w:rPr>
          <w:i/>
          <w:lang w:val="es-CR"/>
        </w:rPr>
        <w:t>Cfr</w:t>
      </w:r>
      <w:r>
        <w:rPr>
          <w:lang w:val="es-CR"/>
        </w:rPr>
        <w:t xml:space="preserve">. </w:t>
      </w:r>
      <w:r w:rsidRPr="002767E0">
        <w:rPr>
          <w:i/>
          <w:lang w:val="es-CR"/>
        </w:rPr>
        <w:t xml:space="preserve">Caso </w:t>
      </w:r>
      <w:r w:rsidRPr="002767E0">
        <w:rPr>
          <w:i/>
          <w:szCs w:val="16"/>
          <w:lang w:val="es-ES"/>
        </w:rPr>
        <w:t>Cinco</w:t>
      </w:r>
      <w:r w:rsidRPr="002767E0">
        <w:rPr>
          <w:i/>
          <w:lang w:val="es-CR"/>
        </w:rPr>
        <w:t xml:space="preserve"> Pensionistas Vs. Perú. Supervisión de cumplimiento de Sentencia</w:t>
      </w:r>
      <w:r>
        <w:rPr>
          <w:lang w:val="es-CR"/>
        </w:rPr>
        <w:t xml:space="preserve">. Resolución de la Corte de 17 de noviembre de 2004, Considerando 5, </w:t>
      </w:r>
      <w:r w:rsidRPr="004776A4">
        <w:rPr>
          <w:lang w:val="es-CR"/>
        </w:rPr>
        <w:t>y</w:t>
      </w:r>
      <w:r w:rsidR="00851E6C">
        <w:rPr>
          <w:lang w:val="es-CR"/>
        </w:rPr>
        <w:t xml:space="preserve"> </w:t>
      </w:r>
      <w:r w:rsidR="00851E6C" w:rsidRPr="00851E6C">
        <w:rPr>
          <w:bCs/>
          <w:i/>
          <w:lang w:val="es-ES_tradnl"/>
        </w:rPr>
        <w:t>Caso Comunidad Garífuna de Punta Piedra y sus miembros Vs. Honduras. Supervisión de Cumplimiento de Sentencia</w:t>
      </w:r>
      <w:r w:rsidR="00851E6C" w:rsidRPr="00851E6C">
        <w:rPr>
          <w:bCs/>
          <w:lang w:val="es-ES_tradnl"/>
        </w:rPr>
        <w:t>. Resolución la Corte Interamericana de Derechos Humanos de 14 de mayo de 2019</w:t>
      </w:r>
      <w:r w:rsidR="00851E6C">
        <w:rPr>
          <w:bCs/>
          <w:lang w:val="es-ES_tradnl"/>
        </w:rPr>
        <w:t>, Considerando 2.</w:t>
      </w:r>
    </w:p>
  </w:footnote>
  <w:footnote w:id="10">
    <w:p w14:paraId="054E71A7" w14:textId="215B0493" w:rsidR="00CC22A2" w:rsidRDefault="00CC22A2" w:rsidP="00C21A24">
      <w:pPr>
        <w:pStyle w:val="Textonotapie"/>
        <w:tabs>
          <w:tab w:val="left" w:pos="426"/>
          <w:tab w:val="left" w:pos="567"/>
        </w:tabs>
        <w:rPr>
          <w:rFonts w:ascii="Calibri" w:hAnsi="Calibri"/>
          <w:sz w:val="20"/>
          <w:lang w:val="es-CR"/>
        </w:rPr>
      </w:pPr>
      <w:r>
        <w:rPr>
          <w:rStyle w:val="Refdenotaalpie"/>
        </w:rPr>
        <w:footnoteRef/>
      </w:r>
      <w:r>
        <w:rPr>
          <w:lang w:val="es-CR"/>
        </w:rPr>
        <w:t xml:space="preserve"> </w:t>
      </w:r>
      <w:r>
        <w:rPr>
          <w:lang w:val="es-CR"/>
        </w:rPr>
        <w:tab/>
      </w:r>
      <w:r>
        <w:rPr>
          <w:i/>
          <w:lang w:val="es-CR"/>
        </w:rPr>
        <w:t>Cfr</w:t>
      </w:r>
      <w:r>
        <w:rPr>
          <w:lang w:val="es-CR"/>
        </w:rPr>
        <w:t xml:space="preserve">. </w:t>
      </w:r>
      <w:r w:rsidRPr="002767E0">
        <w:rPr>
          <w:i/>
          <w:szCs w:val="16"/>
          <w:lang w:val="es-ES"/>
        </w:rPr>
        <w:t>Caso</w:t>
      </w:r>
      <w:r w:rsidRPr="002767E0">
        <w:rPr>
          <w:i/>
          <w:lang w:val="es-CR"/>
        </w:rPr>
        <w:t xml:space="preserve"> </w:t>
      </w:r>
      <w:proofErr w:type="spellStart"/>
      <w:r w:rsidRPr="002767E0">
        <w:rPr>
          <w:i/>
          <w:lang w:val="es-CR"/>
        </w:rPr>
        <w:t>Ivcher</w:t>
      </w:r>
      <w:proofErr w:type="spellEnd"/>
      <w:r w:rsidRPr="002767E0">
        <w:rPr>
          <w:i/>
          <w:lang w:val="es-CR"/>
        </w:rPr>
        <w:t xml:space="preserve"> </w:t>
      </w:r>
      <w:proofErr w:type="spellStart"/>
      <w:r w:rsidRPr="002767E0">
        <w:rPr>
          <w:i/>
          <w:lang w:val="es-CR"/>
        </w:rPr>
        <w:t>Bronstein</w:t>
      </w:r>
      <w:proofErr w:type="spellEnd"/>
      <w:r w:rsidRPr="002767E0">
        <w:rPr>
          <w:i/>
          <w:lang w:val="es-CR"/>
        </w:rPr>
        <w:t xml:space="preserve"> Vs. Perú. Competencia</w:t>
      </w:r>
      <w:r>
        <w:rPr>
          <w:lang w:val="es-CR"/>
        </w:rPr>
        <w:t>. Sentencia de la Corte Interamericana de Derechos Humanos de 24 de septiembre de 1999. Serie C No. 54, párr. 37,</w:t>
      </w:r>
      <w:r w:rsidRPr="004776A4">
        <w:rPr>
          <w:lang w:val="es-CR"/>
        </w:rPr>
        <w:t xml:space="preserve"> y </w:t>
      </w:r>
      <w:r w:rsidR="00851E6C" w:rsidRPr="00851E6C">
        <w:rPr>
          <w:bCs/>
          <w:i/>
          <w:lang w:val="es-ES_tradnl"/>
        </w:rPr>
        <w:t>Caso Comunidad Garífuna de Punta Piedra y sus miembros Vs. Honduras. Supervisión de Cumplimiento de Sentencia</w:t>
      </w:r>
      <w:r w:rsidR="00851E6C" w:rsidRPr="00851E6C">
        <w:rPr>
          <w:bCs/>
          <w:lang w:val="es-ES_tradnl"/>
        </w:rPr>
        <w:t>. Resolución la Corte Interamericana de Derechos Humanos de 14 de mayo de 2019</w:t>
      </w:r>
      <w:r w:rsidR="00851E6C">
        <w:rPr>
          <w:bCs/>
          <w:lang w:val="es-ES_tradnl"/>
        </w:rPr>
        <w:t>, Considerando 2</w:t>
      </w:r>
      <w:r w:rsidRPr="004776A4">
        <w:rPr>
          <w:lang w:val="es-CR"/>
        </w:rPr>
        <w:t>.</w:t>
      </w:r>
    </w:p>
  </w:footnote>
  <w:footnote w:id="11">
    <w:p w14:paraId="3A02784E" w14:textId="19F4CEEA" w:rsidR="004776A4" w:rsidRPr="004776A4" w:rsidRDefault="004776A4" w:rsidP="00DA5D43">
      <w:pPr>
        <w:pStyle w:val="Textonotapie"/>
        <w:tabs>
          <w:tab w:val="left" w:pos="426"/>
        </w:tabs>
        <w:ind w:right="4"/>
        <w:rPr>
          <w:lang w:val="es-AR"/>
        </w:rPr>
      </w:pPr>
      <w:r>
        <w:rPr>
          <w:rStyle w:val="Refdenotaalpie"/>
        </w:rPr>
        <w:footnoteRef/>
      </w:r>
      <w:r w:rsidRPr="004776A4">
        <w:rPr>
          <w:lang w:val="es-AR"/>
        </w:rPr>
        <w:t xml:space="preserve"> </w:t>
      </w:r>
      <w:r>
        <w:rPr>
          <w:lang w:val="es-AR"/>
        </w:rPr>
        <w:tab/>
      </w:r>
      <w:r w:rsidRPr="004776A4">
        <w:rPr>
          <w:lang w:val="es-CO"/>
        </w:rPr>
        <w:t xml:space="preserve">De </w:t>
      </w:r>
      <w:r w:rsidRPr="00DA5D43">
        <w:rPr>
          <w:lang w:val="es-AR"/>
        </w:rPr>
        <w:t>acuerdo</w:t>
      </w:r>
      <w:r w:rsidRPr="004776A4">
        <w:rPr>
          <w:lang w:val="es-CO"/>
        </w:rPr>
        <w:t xml:space="preserve"> a lo indicado por el Estado en sus informes de 26 de abril de 2012 y 13 de enero de 2014, lo cual no fue controvertido por los representantes, el arquitecto Jaime Watt </w:t>
      </w:r>
      <w:proofErr w:type="spellStart"/>
      <w:r w:rsidRPr="004776A4">
        <w:rPr>
          <w:lang w:val="es-CO"/>
        </w:rPr>
        <w:t>Kawas</w:t>
      </w:r>
      <w:proofErr w:type="spellEnd"/>
      <w:r>
        <w:rPr>
          <w:lang w:val="es-CO"/>
        </w:rPr>
        <w:t>,</w:t>
      </w:r>
      <w:r w:rsidRPr="004776A4">
        <w:rPr>
          <w:sz w:val="20"/>
          <w:lang w:val="es-CO"/>
        </w:rPr>
        <w:t xml:space="preserve"> </w:t>
      </w:r>
      <w:r w:rsidRPr="004776A4">
        <w:rPr>
          <w:lang w:val="es-CO"/>
        </w:rPr>
        <w:t xml:space="preserve">hijo de la señora </w:t>
      </w:r>
      <w:proofErr w:type="spellStart"/>
      <w:r w:rsidRPr="004776A4">
        <w:rPr>
          <w:lang w:val="es-CO"/>
        </w:rPr>
        <w:t>Kawas</w:t>
      </w:r>
      <w:proofErr w:type="spellEnd"/>
      <w:r w:rsidRPr="004776A4">
        <w:rPr>
          <w:lang w:val="es-CO"/>
        </w:rPr>
        <w:t xml:space="preserve"> Fernández</w:t>
      </w:r>
      <w:r w:rsidR="002767E0">
        <w:rPr>
          <w:lang w:val="es-CO"/>
        </w:rPr>
        <w:t>,</w:t>
      </w:r>
      <w:r w:rsidRPr="004776A4">
        <w:rPr>
          <w:lang w:val="es-ES_tradnl"/>
        </w:rPr>
        <w:t xml:space="preserve"> </w:t>
      </w:r>
      <w:r w:rsidRPr="00294438">
        <w:rPr>
          <w:lang w:val="es-ES_tradnl"/>
        </w:rPr>
        <w:t xml:space="preserve">quien </w:t>
      </w:r>
      <w:r w:rsidR="00101615">
        <w:rPr>
          <w:lang w:val="es-ES_tradnl"/>
        </w:rPr>
        <w:t>se encontraba a carg</w:t>
      </w:r>
      <w:r>
        <w:rPr>
          <w:lang w:val="es-ES_tradnl"/>
        </w:rPr>
        <w:t xml:space="preserve">o del diseño del monumento según lo solicitado por los representantes durante la etapa de fondo, </w:t>
      </w:r>
      <w:r w:rsidRPr="004776A4">
        <w:rPr>
          <w:lang w:val="es-CO"/>
        </w:rPr>
        <w:t xml:space="preserve">remitió “los detalles </w:t>
      </w:r>
      <w:r w:rsidR="00DA5D43">
        <w:rPr>
          <w:lang w:val="es-CO"/>
        </w:rPr>
        <w:t>del monumento” en abril de 2012</w:t>
      </w:r>
      <w:r w:rsidRPr="004776A4">
        <w:rPr>
          <w:lang w:val="es-CO"/>
        </w:rPr>
        <w:t xml:space="preserve"> y el presupuesto para el mismo en abril de 2013</w:t>
      </w:r>
      <w:r w:rsidR="00AC4440">
        <w:rPr>
          <w:lang w:val="es-CO"/>
        </w:rPr>
        <w:t>. Cuatro años después</w:t>
      </w:r>
      <w:r w:rsidR="00AC4440" w:rsidRPr="00AC4440">
        <w:rPr>
          <w:lang w:val="es-CO"/>
        </w:rPr>
        <w:t xml:space="preserve">, en diciembre de 2017, el Estado informó que había mantenido una reunión con el </w:t>
      </w:r>
      <w:proofErr w:type="gramStart"/>
      <w:r w:rsidR="00AC4440" w:rsidRPr="00AC4440">
        <w:rPr>
          <w:lang w:val="es-CO"/>
        </w:rPr>
        <w:t>Alcalde</w:t>
      </w:r>
      <w:proofErr w:type="gramEnd"/>
      <w:r w:rsidR="00AC4440" w:rsidRPr="00AC4440">
        <w:rPr>
          <w:lang w:val="es-CO"/>
        </w:rPr>
        <w:t xml:space="preserve"> de la Municipalida</w:t>
      </w:r>
      <w:r w:rsidR="002767E0">
        <w:rPr>
          <w:lang w:val="es-CO"/>
        </w:rPr>
        <w:t>d de Tela y el señor Jaime Watt</w:t>
      </w:r>
      <w:r w:rsidR="00AC4440" w:rsidRPr="00AC4440">
        <w:rPr>
          <w:lang w:val="es-CO"/>
        </w:rPr>
        <w:t xml:space="preserve"> a los fines de solicitarle copia del diseño del monumento y la actualización del presupuesto, los cuales fueron entregados en noviembre y diciembre de 2017, respectivamente.</w:t>
      </w:r>
    </w:p>
  </w:footnote>
  <w:footnote w:id="12">
    <w:p w14:paraId="3501C62A" w14:textId="36F6F97D" w:rsidR="00CC22A2" w:rsidRPr="007B79F5" w:rsidRDefault="00CC22A2" w:rsidP="007B79F5">
      <w:pPr>
        <w:pStyle w:val="Textonotapie"/>
        <w:tabs>
          <w:tab w:val="left" w:pos="426"/>
        </w:tabs>
        <w:ind w:right="4"/>
        <w:rPr>
          <w:lang w:val="es-AR"/>
        </w:rPr>
      </w:pPr>
      <w:r>
        <w:rPr>
          <w:rStyle w:val="Refdenotaalpie"/>
        </w:rPr>
        <w:footnoteRef/>
      </w:r>
      <w:r w:rsidRPr="007B79F5">
        <w:rPr>
          <w:lang w:val="es-AR"/>
        </w:rPr>
        <w:t xml:space="preserve"> </w:t>
      </w:r>
      <w:r>
        <w:rPr>
          <w:lang w:val="es-AR"/>
        </w:rPr>
        <w:tab/>
        <w:t>Informe es</w:t>
      </w:r>
      <w:r w:rsidR="00101615">
        <w:rPr>
          <w:lang w:val="es-AR"/>
        </w:rPr>
        <w:t>tatal de 21 de febrero de 2019.</w:t>
      </w:r>
    </w:p>
  </w:footnote>
  <w:footnote w:id="13">
    <w:p w14:paraId="201C18F2" w14:textId="6B43A138" w:rsidR="00CC22A2" w:rsidRPr="00FF2559" w:rsidRDefault="00CC22A2" w:rsidP="007B5427">
      <w:pPr>
        <w:pStyle w:val="Textonotapie"/>
        <w:tabs>
          <w:tab w:val="left" w:pos="426"/>
        </w:tabs>
        <w:ind w:right="4"/>
        <w:rPr>
          <w:lang w:val="es-AR"/>
        </w:rPr>
      </w:pPr>
      <w:r>
        <w:rPr>
          <w:rStyle w:val="Refdenotaalpie"/>
        </w:rPr>
        <w:footnoteRef/>
      </w:r>
      <w:r w:rsidRPr="00FF2559">
        <w:rPr>
          <w:lang w:val="es-AR"/>
        </w:rPr>
        <w:t xml:space="preserve"> </w:t>
      </w:r>
      <w:r>
        <w:rPr>
          <w:lang w:val="es-AR"/>
        </w:rPr>
        <w:tab/>
        <w:t xml:space="preserve">Informe </w:t>
      </w:r>
      <w:r w:rsidRPr="00FF2559">
        <w:rPr>
          <w:lang w:val="es-MX"/>
        </w:rPr>
        <w:t>estatal</w:t>
      </w:r>
      <w:r w:rsidR="00101615">
        <w:rPr>
          <w:lang w:val="es-AR"/>
        </w:rPr>
        <w:t xml:space="preserve"> de 10 de enero de 2019.</w:t>
      </w:r>
    </w:p>
  </w:footnote>
  <w:footnote w:id="14">
    <w:p w14:paraId="39C790BA" w14:textId="413C29EA" w:rsidR="006B3382" w:rsidRPr="006B3382" w:rsidRDefault="006B3382" w:rsidP="006B3382">
      <w:pPr>
        <w:pStyle w:val="Textonotapie"/>
        <w:tabs>
          <w:tab w:val="left" w:pos="426"/>
        </w:tabs>
        <w:ind w:right="4"/>
        <w:rPr>
          <w:lang w:val="es-AR"/>
        </w:rPr>
      </w:pPr>
      <w:r>
        <w:rPr>
          <w:rStyle w:val="Refdenotaalpie"/>
        </w:rPr>
        <w:footnoteRef/>
      </w:r>
      <w:r w:rsidRPr="006B3382">
        <w:rPr>
          <w:lang w:val="es-AR"/>
        </w:rPr>
        <w:t xml:space="preserve"> </w:t>
      </w:r>
      <w:r>
        <w:rPr>
          <w:lang w:val="es-AR"/>
        </w:rPr>
        <w:tab/>
        <w:t>Escrito de observaciones de los representantes de 25 de marzo de 2019.</w:t>
      </w:r>
    </w:p>
  </w:footnote>
  <w:footnote w:id="15">
    <w:p w14:paraId="70F5ADAA" w14:textId="5D76A1EC" w:rsidR="00CC22A2" w:rsidRPr="007B79F5" w:rsidRDefault="00CC22A2" w:rsidP="007B79F5">
      <w:pPr>
        <w:pStyle w:val="Textonotapie"/>
        <w:tabs>
          <w:tab w:val="left" w:pos="426"/>
        </w:tabs>
        <w:ind w:right="4"/>
        <w:rPr>
          <w:lang w:val="es-AR"/>
        </w:rPr>
      </w:pPr>
      <w:r>
        <w:rPr>
          <w:rStyle w:val="Refdenotaalpie"/>
        </w:rPr>
        <w:footnoteRef/>
      </w:r>
      <w:r w:rsidRPr="007B79F5">
        <w:rPr>
          <w:lang w:val="es-AR"/>
        </w:rPr>
        <w:t xml:space="preserve"> </w:t>
      </w:r>
      <w:r>
        <w:rPr>
          <w:lang w:val="es-AR"/>
        </w:rPr>
        <w:tab/>
      </w:r>
      <w:r w:rsidR="006F182B">
        <w:rPr>
          <w:i/>
          <w:lang w:val="es-AR"/>
        </w:rPr>
        <w:t xml:space="preserve">Cfr. </w:t>
      </w:r>
      <w:r w:rsidR="006F182B">
        <w:rPr>
          <w:lang w:val="es-AR"/>
        </w:rPr>
        <w:t xml:space="preserve">escrito de observaciones de los representantes de 25 de marzo de 2019 y </w:t>
      </w:r>
      <w:r>
        <w:rPr>
          <w:lang w:val="es-AR"/>
        </w:rPr>
        <w:t>Comunicación de CEJIL a la Procuraduría General de la República de</w:t>
      </w:r>
      <w:r w:rsidR="006F182B">
        <w:rPr>
          <w:lang w:val="es-AR"/>
        </w:rPr>
        <w:t xml:space="preserve"> 28 de febrero de 2019 (Anexa a</w:t>
      </w:r>
      <w:r>
        <w:rPr>
          <w:lang w:val="es-AR"/>
        </w:rPr>
        <w:t xml:space="preserve"> </w:t>
      </w:r>
      <w:r w:rsidR="006F182B">
        <w:rPr>
          <w:lang w:val="es-AR"/>
        </w:rPr>
        <w:t xml:space="preserve">dicho </w:t>
      </w:r>
      <w:r>
        <w:rPr>
          <w:lang w:val="es-AR"/>
        </w:rPr>
        <w:t>escrito).</w:t>
      </w:r>
    </w:p>
  </w:footnote>
  <w:footnote w:id="16">
    <w:p w14:paraId="1C1443FA" w14:textId="7C35472C" w:rsidR="00CC22A2" w:rsidRPr="007B79F5" w:rsidRDefault="00CC22A2" w:rsidP="007B79F5">
      <w:pPr>
        <w:pStyle w:val="Textonotapie"/>
        <w:tabs>
          <w:tab w:val="left" w:pos="426"/>
        </w:tabs>
        <w:ind w:right="4"/>
        <w:rPr>
          <w:b/>
          <w:lang w:val="es-AR"/>
        </w:rPr>
      </w:pPr>
      <w:r>
        <w:rPr>
          <w:rStyle w:val="Refdenotaalpie"/>
        </w:rPr>
        <w:footnoteRef/>
      </w:r>
      <w:r w:rsidRPr="007B79F5">
        <w:rPr>
          <w:lang w:val="es-AR"/>
        </w:rPr>
        <w:t xml:space="preserve"> </w:t>
      </w:r>
      <w:r>
        <w:rPr>
          <w:lang w:val="es-AR"/>
        </w:rPr>
        <w:tab/>
        <w:t>Escrito de observaciones de los representantes de 25 de marzo de 2019. Dichos argumentos fueron reiterados en su escrito de observ</w:t>
      </w:r>
      <w:r w:rsidR="002507CE">
        <w:rPr>
          <w:lang w:val="es-AR"/>
        </w:rPr>
        <w:t>aciones de 5 de agosto de 2019.</w:t>
      </w:r>
    </w:p>
  </w:footnote>
  <w:footnote w:id="17">
    <w:p w14:paraId="508092FA" w14:textId="34142737" w:rsidR="00CC22A2" w:rsidRPr="007B79F5" w:rsidRDefault="00CC22A2" w:rsidP="007B79F5">
      <w:pPr>
        <w:pStyle w:val="Textonotapie"/>
        <w:tabs>
          <w:tab w:val="left" w:pos="426"/>
        </w:tabs>
        <w:ind w:right="4"/>
        <w:rPr>
          <w:lang w:val="es-AR"/>
        </w:rPr>
      </w:pPr>
      <w:r>
        <w:rPr>
          <w:rStyle w:val="Refdenotaalpie"/>
        </w:rPr>
        <w:footnoteRef/>
      </w:r>
      <w:r w:rsidRPr="007B79F5">
        <w:rPr>
          <w:lang w:val="es-AR"/>
        </w:rPr>
        <w:t xml:space="preserve"> </w:t>
      </w:r>
      <w:r>
        <w:rPr>
          <w:lang w:val="es-AR"/>
        </w:rPr>
        <w:tab/>
        <w:t xml:space="preserve">Escrito de observaciones de la Comisión de 18 de julio de 2018. La Comisión no se </w:t>
      </w:r>
      <w:r w:rsidR="00516833">
        <w:rPr>
          <w:lang w:val="es-AR"/>
        </w:rPr>
        <w:t>pronunció</w:t>
      </w:r>
      <w:r>
        <w:rPr>
          <w:lang w:val="es-AR"/>
        </w:rPr>
        <w:t xml:space="preserve"> sobre el lugar en el cual debe construirse el monumento o la colocación de los rótulo</w:t>
      </w:r>
      <w:r w:rsidR="00516833">
        <w:rPr>
          <w:lang w:val="es-AR"/>
        </w:rPr>
        <w:t>s.</w:t>
      </w:r>
    </w:p>
  </w:footnote>
  <w:footnote w:id="18">
    <w:p w14:paraId="6F9373C2" w14:textId="6A6C0124" w:rsidR="00CC22A2" w:rsidRPr="007B79F5" w:rsidRDefault="00CC22A2" w:rsidP="007B79F5">
      <w:pPr>
        <w:pStyle w:val="Textonotapie"/>
        <w:tabs>
          <w:tab w:val="left" w:pos="426"/>
        </w:tabs>
        <w:ind w:right="4"/>
        <w:rPr>
          <w:lang w:val="es-AR"/>
        </w:rPr>
      </w:pPr>
      <w:r>
        <w:rPr>
          <w:rStyle w:val="Refdenotaalpie"/>
        </w:rPr>
        <w:footnoteRef/>
      </w:r>
      <w:r w:rsidRPr="007B79F5">
        <w:rPr>
          <w:lang w:val="es-AR"/>
        </w:rPr>
        <w:t xml:space="preserve"> </w:t>
      </w:r>
      <w:r>
        <w:rPr>
          <w:lang w:val="es-AR"/>
        </w:rPr>
        <w:tab/>
        <w:t>Esta información no f</w:t>
      </w:r>
      <w:r w:rsidR="00FB6C38">
        <w:rPr>
          <w:lang w:val="es-AR"/>
        </w:rPr>
        <w:t>ue controvertida por el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1BF4" w14:textId="77777777" w:rsidR="00CC22A2" w:rsidRPr="000905B4" w:rsidRDefault="00CC22A2">
    <w:pPr>
      <w:pStyle w:val="Encabezado"/>
      <w:jc w:val="center"/>
      <w:rPr>
        <w:rFonts w:ascii="Verdana" w:hAnsi="Verdana"/>
        <w:sz w:val="20"/>
      </w:rPr>
    </w:pPr>
    <w:r>
      <w:t>-</w:t>
    </w:r>
    <w:r w:rsidRPr="000905B4">
      <w:rPr>
        <w:rFonts w:ascii="Verdana" w:hAnsi="Verdana"/>
        <w:sz w:val="20"/>
      </w:rPr>
      <w:fldChar w:fldCharType="begin"/>
    </w:r>
    <w:r w:rsidRPr="000905B4">
      <w:rPr>
        <w:rFonts w:ascii="Verdana" w:hAnsi="Verdana"/>
        <w:sz w:val="20"/>
      </w:rPr>
      <w:instrText xml:space="preserve"> PAGE   \* MERGEFORMAT </w:instrText>
    </w:r>
    <w:r w:rsidRPr="000905B4">
      <w:rPr>
        <w:rFonts w:ascii="Verdana" w:hAnsi="Verdana"/>
        <w:sz w:val="20"/>
      </w:rPr>
      <w:fldChar w:fldCharType="separate"/>
    </w:r>
    <w:r w:rsidR="003B05A7">
      <w:rPr>
        <w:rFonts w:ascii="Verdana" w:hAnsi="Verdana"/>
        <w:noProof/>
        <w:sz w:val="20"/>
      </w:rPr>
      <w:t>8</w:t>
    </w:r>
    <w:r w:rsidRPr="000905B4">
      <w:rPr>
        <w:rFonts w:ascii="Verdana" w:hAnsi="Verdana"/>
        <w:sz w:val="20"/>
      </w:rPr>
      <w:fldChar w:fldCharType="end"/>
    </w:r>
    <w:r>
      <w:rPr>
        <w:rFonts w:ascii="Verdana" w:hAnsi="Verdana"/>
        <w:sz w:val="20"/>
      </w:rPr>
      <w:t>-</w:t>
    </w:r>
  </w:p>
  <w:p w14:paraId="26E00A34" w14:textId="77777777" w:rsidR="00CC22A2" w:rsidRDefault="00CC22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831"/>
    <w:multiLevelType w:val="hybridMultilevel"/>
    <w:tmpl w:val="406C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57DA7"/>
    <w:multiLevelType w:val="hybridMultilevel"/>
    <w:tmpl w:val="7926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7924FC"/>
    <w:multiLevelType w:val="hybridMultilevel"/>
    <w:tmpl w:val="32A65A7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5E049F8"/>
    <w:multiLevelType w:val="hybridMultilevel"/>
    <w:tmpl w:val="DB388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014FD"/>
    <w:multiLevelType w:val="hybridMultilevel"/>
    <w:tmpl w:val="7B561A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BBE0E90"/>
    <w:multiLevelType w:val="hybridMultilevel"/>
    <w:tmpl w:val="B54E04A2"/>
    <w:lvl w:ilvl="0" w:tplc="3938730A">
      <w:start w:val="1"/>
      <w:numFmt w:val="decimal"/>
      <w:lvlText w:val="%1."/>
      <w:lvlJc w:val="left"/>
      <w:pPr>
        <w:ind w:left="360" w:hanging="360"/>
      </w:pPr>
      <w:rPr>
        <w:rFonts w:ascii="Verdana" w:hAnsi="Verdana" w:hint="default"/>
        <w:b w:val="0"/>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8847A60"/>
    <w:multiLevelType w:val="hybridMultilevel"/>
    <w:tmpl w:val="221AA85C"/>
    <w:lvl w:ilvl="0" w:tplc="5D2AAF10">
      <w:start w:val="1"/>
      <w:numFmt w:val="upperLetter"/>
      <w:lvlText w:val="%1."/>
      <w:lvlJc w:val="left"/>
      <w:pPr>
        <w:ind w:left="720" w:hanging="360"/>
      </w:pPr>
      <w:rPr>
        <w:rFonts w:ascii="Verdana" w:hAnsi="Verdan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30F7B"/>
    <w:multiLevelType w:val="hybridMultilevel"/>
    <w:tmpl w:val="04AEE508"/>
    <w:lvl w:ilvl="0" w:tplc="77CC51D6">
      <w:start w:val="1"/>
      <w:numFmt w:val="decimal"/>
      <w:lvlText w:val="%1."/>
      <w:lvlJc w:val="left"/>
      <w:pPr>
        <w:ind w:left="360" w:hanging="360"/>
      </w:pPr>
      <w:rPr>
        <w:rFonts w:ascii="Verdana" w:hAnsi="Verdan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CR" w:vendorID="64" w:dllVersion="6" w:nlCheck="1" w:checkStyle="1"/>
  <w:activeWritingStyle w:appName="MSWord" w:lang="en-U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 w:vendorID="64" w:dllVersion="6" w:nlCheck="1" w:checkStyle="1"/>
  <w:activeWritingStyle w:appName="MSWord" w:lang="es-C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A4"/>
    <w:rsid w:val="000110B1"/>
    <w:rsid w:val="000215B8"/>
    <w:rsid w:val="00022A4A"/>
    <w:rsid w:val="00027048"/>
    <w:rsid w:val="00030CE5"/>
    <w:rsid w:val="00042791"/>
    <w:rsid w:val="00050D0B"/>
    <w:rsid w:val="00062BEF"/>
    <w:rsid w:val="0006632B"/>
    <w:rsid w:val="0008279E"/>
    <w:rsid w:val="000951D4"/>
    <w:rsid w:val="00095ABD"/>
    <w:rsid w:val="000B57B4"/>
    <w:rsid w:val="000E26DF"/>
    <w:rsid w:val="000E3FF4"/>
    <w:rsid w:val="000E55F3"/>
    <w:rsid w:val="00101615"/>
    <w:rsid w:val="00104725"/>
    <w:rsid w:val="00127B1C"/>
    <w:rsid w:val="00132501"/>
    <w:rsid w:val="00132659"/>
    <w:rsid w:val="00142A26"/>
    <w:rsid w:val="001710E6"/>
    <w:rsid w:val="00175899"/>
    <w:rsid w:val="001A06C3"/>
    <w:rsid w:val="001A4730"/>
    <w:rsid w:val="001C7CA3"/>
    <w:rsid w:val="001D3914"/>
    <w:rsid w:val="001D7368"/>
    <w:rsid w:val="001F28C2"/>
    <w:rsid w:val="00202B9D"/>
    <w:rsid w:val="00204AC8"/>
    <w:rsid w:val="00205D2C"/>
    <w:rsid w:val="00210D36"/>
    <w:rsid w:val="002121DF"/>
    <w:rsid w:val="0021228C"/>
    <w:rsid w:val="0022047D"/>
    <w:rsid w:val="00234936"/>
    <w:rsid w:val="00244087"/>
    <w:rsid w:val="002507CE"/>
    <w:rsid w:val="002767E0"/>
    <w:rsid w:val="00283164"/>
    <w:rsid w:val="00284216"/>
    <w:rsid w:val="0028555E"/>
    <w:rsid w:val="0029436A"/>
    <w:rsid w:val="00294438"/>
    <w:rsid w:val="00295EAB"/>
    <w:rsid w:val="002A5184"/>
    <w:rsid w:val="002A78DA"/>
    <w:rsid w:val="002C53E5"/>
    <w:rsid w:val="002D6D2E"/>
    <w:rsid w:val="002E01CA"/>
    <w:rsid w:val="002E0F16"/>
    <w:rsid w:val="002E38B6"/>
    <w:rsid w:val="00301EC6"/>
    <w:rsid w:val="003350C9"/>
    <w:rsid w:val="00337DC1"/>
    <w:rsid w:val="00347C69"/>
    <w:rsid w:val="00352630"/>
    <w:rsid w:val="003654E5"/>
    <w:rsid w:val="0037093D"/>
    <w:rsid w:val="003809E3"/>
    <w:rsid w:val="00381EBF"/>
    <w:rsid w:val="00387598"/>
    <w:rsid w:val="003B05A7"/>
    <w:rsid w:val="003B0CF7"/>
    <w:rsid w:val="003C5F74"/>
    <w:rsid w:val="003C6504"/>
    <w:rsid w:val="003D0A0B"/>
    <w:rsid w:val="0040628E"/>
    <w:rsid w:val="00406784"/>
    <w:rsid w:val="004124C9"/>
    <w:rsid w:val="00413BCF"/>
    <w:rsid w:val="00433C31"/>
    <w:rsid w:val="00441C01"/>
    <w:rsid w:val="00456128"/>
    <w:rsid w:val="00456940"/>
    <w:rsid w:val="00470C38"/>
    <w:rsid w:val="00473FE0"/>
    <w:rsid w:val="00476F19"/>
    <w:rsid w:val="004776A4"/>
    <w:rsid w:val="00497B45"/>
    <w:rsid w:val="004A0C9D"/>
    <w:rsid w:val="004B39DA"/>
    <w:rsid w:val="004D0276"/>
    <w:rsid w:val="004D2CE6"/>
    <w:rsid w:val="004E2CC5"/>
    <w:rsid w:val="004E3553"/>
    <w:rsid w:val="00515E50"/>
    <w:rsid w:val="00516833"/>
    <w:rsid w:val="00551B27"/>
    <w:rsid w:val="00552FDD"/>
    <w:rsid w:val="00571F55"/>
    <w:rsid w:val="00573B26"/>
    <w:rsid w:val="00573FDD"/>
    <w:rsid w:val="00577C4B"/>
    <w:rsid w:val="005A04BC"/>
    <w:rsid w:val="005B7E54"/>
    <w:rsid w:val="005E0A6C"/>
    <w:rsid w:val="005F42C2"/>
    <w:rsid w:val="00614000"/>
    <w:rsid w:val="00630C37"/>
    <w:rsid w:val="00633E57"/>
    <w:rsid w:val="00646EC8"/>
    <w:rsid w:val="00650CAB"/>
    <w:rsid w:val="00650D40"/>
    <w:rsid w:val="00683D40"/>
    <w:rsid w:val="00687122"/>
    <w:rsid w:val="0069686B"/>
    <w:rsid w:val="00697D77"/>
    <w:rsid w:val="006B3382"/>
    <w:rsid w:val="006B4C2A"/>
    <w:rsid w:val="006E021D"/>
    <w:rsid w:val="006E35CC"/>
    <w:rsid w:val="006F182B"/>
    <w:rsid w:val="006F38E9"/>
    <w:rsid w:val="006F56B9"/>
    <w:rsid w:val="00702FBE"/>
    <w:rsid w:val="00706EA4"/>
    <w:rsid w:val="007173C1"/>
    <w:rsid w:val="00724444"/>
    <w:rsid w:val="00732947"/>
    <w:rsid w:val="00733A03"/>
    <w:rsid w:val="007363DA"/>
    <w:rsid w:val="00750C8E"/>
    <w:rsid w:val="00756169"/>
    <w:rsid w:val="007647F1"/>
    <w:rsid w:val="00766E19"/>
    <w:rsid w:val="00767AD2"/>
    <w:rsid w:val="00767E1B"/>
    <w:rsid w:val="00784E2D"/>
    <w:rsid w:val="007B27EC"/>
    <w:rsid w:val="007B5427"/>
    <w:rsid w:val="007B56F2"/>
    <w:rsid w:val="007B61E4"/>
    <w:rsid w:val="007B79F5"/>
    <w:rsid w:val="007C74EF"/>
    <w:rsid w:val="007D24EF"/>
    <w:rsid w:val="007D6A35"/>
    <w:rsid w:val="007E006F"/>
    <w:rsid w:val="007E3C1E"/>
    <w:rsid w:val="007E4312"/>
    <w:rsid w:val="00813528"/>
    <w:rsid w:val="008268A5"/>
    <w:rsid w:val="00836ED6"/>
    <w:rsid w:val="008421DF"/>
    <w:rsid w:val="00851E6C"/>
    <w:rsid w:val="0086094C"/>
    <w:rsid w:val="00873A2A"/>
    <w:rsid w:val="00877EEE"/>
    <w:rsid w:val="008A4701"/>
    <w:rsid w:val="008C6824"/>
    <w:rsid w:val="008D296A"/>
    <w:rsid w:val="008D56C5"/>
    <w:rsid w:val="008D6138"/>
    <w:rsid w:val="008E2ABD"/>
    <w:rsid w:val="008E32FF"/>
    <w:rsid w:val="008F2CE1"/>
    <w:rsid w:val="008F4778"/>
    <w:rsid w:val="00911992"/>
    <w:rsid w:val="009126D9"/>
    <w:rsid w:val="009173E3"/>
    <w:rsid w:val="00924DF2"/>
    <w:rsid w:val="00933D59"/>
    <w:rsid w:val="00954F71"/>
    <w:rsid w:val="00957435"/>
    <w:rsid w:val="00957F9E"/>
    <w:rsid w:val="00992864"/>
    <w:rsid w:val="009A4EF2"/>
    <w:rsid w:val="009A5D49"/>
    <w:rsid w:val="009B6398"/>
    <w:rsid w:val="009D2FE6"/>
    <w:rsid w:val="009E18EC"/>
    <w:rsid w:val="009E7B30"/>
    <w:rsid w:val="009F6E72"/>
    <w:rsid w:val="00A110DB"/>
    <w:rsid w:val="00A1651A"/>
    <w:rsid w:val="00A37A38"/>
    <w:rsid w:val="00A41415"/>
    <w:rsid w:val="00A53F57"/>
    <w:rsid w:val="00A63DCD"/>
    <w:rsid w:val="00A6794E"/>
    <w:rsid w:val="00A76A17"/>
    <w:rsid w:val="00A779BC"/>
    <w:rsid w:val="00A82AFF"/>
    <w:rsid w:val="00AA0024"/>
    <w:rsid w:val="00AA035C"/>
    <w:rsid w:val="00AC4440"/>
    <w:rsid w:val="00AC6665"/>
    <w:rsid w:val="00AD093C"/>
    <w:rsid w:val="00AD66F6"/>
    <w:rsid w:val="00AE651B"/>
    <w:rsid w:val="00AF11AB"/>
    <w:rsid w:val="00AF4F7E"/>
    <w:rsid w:val="00B01647"/>
    <w:rsid w:val="00B04E46"/>
    <w:rsid w:val="00B077E6"/>
    <w:rsid w:val="00B11550"/>
    <w:rsid w:val="00B335ED"/>
    <w:rsid w:val="00B4366E"/>
    <w:rsid w:val="00B57BDE"/>
    <w:rsid w:val="00B84FE8"/>
    <w:rsid w:val="00BC47D5"/>
    <w:rsid w:val="00BC7C79"/>
    <w:rsid w:val="00BE2003"/>
    <w:rsid w:val="00BF0846"/>
    <w:rsid w:val="00BF6BC2"/>
    <w:rsid w:val="00C03897"/>
    <w:rsid w:val="00C16A01"/>
    <w:rsid w:val="00C21A24"/>
    <w:rsid w:val="00C30E89"/>
    <w:rsid w:val="00C5192B"/>
    <w:rsid w:val="00C66423"/>
    <w:rsid w:val="00C71CD0"/>
    <w:rsid w:val="00C7642C"/>
    <w:rsid w:val="00C84CF4"/>
    <w:rsid w:val="00C97817"/>
    <w:rsid w:val="00CA03BC"/>
    <w:rsid w:val="00CA1286"/>
    <w:rsid w:val="00CA404B"/>
    <w:rsid w:val="00CC22A2"/>
    <w:rsid w:val="00CC5A12"/>
    <w:rsid w:val="00CE6ECD"/>
    <w:rsid w:val="00CF0A7C"/>
    <w:rsid w:val="00CF2BDC"/>
    <w:rsid w:val="00CF3D0E"/>
    <w:rsid w:val="00CF6FEA"/>
    <w:rsid w:val="00D07613"/>
    <w:rsid w:val="00D24688"/>
    <w:rsid w:val="00D3553A"/>
    <w:rsid w:val="00D61003"/>
    <w:rsid w:val="00D71330"/>
    <w:rsid w:val="00D7590E"/>
    <w:rsid w:val="00D81B31"/>
    <w:rsid w:val="00D85644"/>
    <w:rsid w:val="00D92BC4"/>
    <w:rsid w:val="00D92C8F"/>
    <w:rsid w:val="00DA5D43"/>
    <w:rsid w:val="00DB1154"/>
    <w:rsid w:val="00DB40D2"/>
    <w:rsid w:val="00DC771D"/>
    <w:rsid w:val="00DE423B"/>
    <w:rsid w:val="00E02EDF"/>
    <w:rsid w:val="00E218E4"/>
    <w:rsid w:val="00E24016"/>
    <w:rsid w:val="00E25210"/>
    <w:rsid w:val="00E26409"/>
    <w:rsid w:val="00E2666E"/>
    <w:rsid w:val="00E3400A"/>
    <w:rsid w:val="00E35771"/>
    <w:rsid w:val="00E46011"/>
    <w:rsid w:val="00E61CB5"/>
    <w:rsid w:val="00EA7C24"/>
    <w:rsid w:val="00EB3FBB"/>
    <w:rsid w:val="00EC1DA5"/>
    <w:rsid w:val="00EC6523"/>
    <w:rsid w:val="00ED793B"/>
    <w:rsid w:val="00EE5D89"/>
    <w:rsid w:val="00F034D4"/>
    <w:rsid w:val="00F55AFD"/>
    <w:rsid w:val="00F61F61"/>
    <w:rsid w:val="00F87D55"/>
    <w:rsid w:val="00F96EC2"/>
    <w:rsid w:val="00FB473B"/>
    <w:rsid w:val="00FB4D8C"/>
    <w:rsid w:val="00FB6C38"/>
    <w:rsid w:val="00FE0F97"/>
    <w:rsid w:val="00FE4F69"/>
    <w:rsid w:val="00FE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CDCB3"/>
  <w15:docId w15:val="{D975F9D6-93DC-4EE3-8054-CFD628E8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A4"/>
    <w:pPr>
      <w:spacing w:after="0" w:line="240" w:lineRule="auto"/>
    </w:pPr>
    <w:rPr>
      <w:rFonts w:ascii="Times" w:eastAsia="Times" w:hAnsi="Times"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706EA4"/>
    <w:pPr>
      <w:jc w:val="both"/>
    </w:pPr>
    <w:rPr>
      <w:rFonts w:ascii="Verdana" w:hAnsi="Verdana"/>
      <w:sz w:val="16"/>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706EA4"/>
    <w:rPr>
      <w:rFonts w:ascii="Verdana" w:eastAsia="Times" w:hAnsi="Verdana" w:cs="Times New Roman"/>
      <w:sz w:val="16"/>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qFormat/>
    <w:rsid w:val="00706EA4"/>
    <w:rPr>
      <w:vertAlign w:val="superscript"/>
    </w:rPr>
  </w:style>
  <w:style w:type="paragraph" w:styleId="Prrafodelista">
    <w:name w:val="List Paragraph"/>
    <w:aliases w:val="Footnote,Párrafo de lista1"/>
    <w:basedOn w:val="Normal"/>
    <w:link w:val="PrrafodelistaCar"/>
    <w:uiPriority w:val="34"/>
    <w:qFormat/>
    <w:rsid w:val="00706EA4"/>
    <w:pPr>
      <w:ind w:left="720"/>
      <w:contextualSpacing/>
    </w:pPr>
  </w:style>
  <w:style w:type="character" w:customStyle="1" w:styleId="PrrafodelistaCar">
    <w:name w:val="Párrafo de lista Car"/>
    <w:aliases w:val="Footnote Car,Párrafo de lista1 Car"/>
    <w:link w:val="Prrafodelista"/>
    <w:uiPriority w:val="34"/>
    <w:rsid w:val="00706EA4"/>
    <w:rPr>
      <w:rFonts w:ascii="Times" w:eastAsia="Times" w:hAnsi="Times" w:cs="Times New Roman"/>
      <w:sz w:val="24"/>
      <w:szCs w:val="20"/>
      <w:lang w:val="es-ES_tradnl"/>
    </w:rPr>
  </w:style>
  <w:style w:type="paragraph" w:styleId="Piedepgina">
    <w:name w:val="footer"/>
    <w:basedOn w:val="Normal"/>
    <w:link w:val="PiedepginaCar"/>
    <w:uiPriority w:val="99"/>
    <w:unhideWhenUsed/>
    <w:rsid w:val="00706EA4"/>
    <w:pPr>
      <w:tabs>
        <w:tab w:val="center" w:pos="4680"/>
        <w:tab w:val="right" w:pos="9360"/>
      </w:tabs>
    </w:pPr>
  </w:style>
  <w:style w:type="character" w:customStyle="1" w:styleId="PiedepginaCar">
    <w:name w:val="Pie de página Car"/>
    <w:basedOn w:val="Fuentedeprrafopredeter"/>
    <w:link w:val="Piedepgina"/>
    <w:uiPriority w:val="99"/>
    <w:rsid w:val="00706EA4"/>
    <w:rPr>
      <w:rFonts w:ascii="Times" w:eastAsia="Times" w:hAnsi="Times" w:cs="Times New Roman"/>
      <w:sz w:val="24"/>
      <w:szCs w:val="20"/>
      <w:lang w:val="es-ES_tradnl"/>
    </w:rPr>
  </w:style>
  <w:style w:type="paragraph" w:styleId="Textoindependiente">
    <w:name w:val="Body Text"/>
    <w:basedOn w:val="Normal"/>
    <w:link w:val="TextoindependienteCar"/>
    <w:uiPriority w:val="99"/>
    <w:semiHidden/>
    <w:unhideWhenUsed/>
    <w:rsid w:val="00706EA4"/>
    <w:pPr>
      <w:spacing w:after="120"/>
    </w:pPr>
  </w:style>
  <w:style w:type="character" w:customStyle="1" w:styleId="TextoindependienteCar">
    <w:name w:val="Texto independiente Car"/>
    <w:basedOn w:val="Fuentedeprrafopredeter"/>
    <w:link w:val="Textoindependiente"/>
    <w:uiPriority w:val="99"/>
    <w:semiHidden/>
    <w:rsid w:val="00706EA4"/>
    <w:rPr>
      <w:rFonts w:ascii="Times" w:eastAsia="Times" w:hAnsi="Times" w:cs="Times New Roman"/>
      <w:sz w:val="24"/>
      <w:szCs w:val="20"/>
      <w:lang w:val="es-ES_tradnl"/>
    </w:rPr>
  </w:style>
  <w:style w:type="character" w:styleId="Hipervnculo">
    <w:name w:val="Hyperlink"/>
    <w:uiPriority w:val="99"/>
    <w:unhideWhenUsed/>
    <w:rsid w:val="00706EA4"/>
    <w:rPr>
      <w:strike w:val="0"/>
      <w:dstrike w:val="0"/>
      <w:color w:val="5383A9"/>
      <w:sz w:val="15"/>
      <w:szCs w:val="15"/>
      <w:u w:val="none"/>
      <w:effect w:val="none"/>
    </w:rPr>
  </w:style>
  <w:style w:type="paragraph" w:styleId="Encabezado">
    <w:name w:val="header"/>
    <w:basedOn w:val="Normal"/>
    <w:link w:val="EncabezadoCar"/>
    <w:uiPriority w:val="99"/>
    <w:unhideWhenUsed/>
    <w:rsid w:val="00706EA4"/>
    <w:pPr>
      <w:tabs>
        <w:tab w:val="center" w:pos="4419"/>
        <w:tab w:val="right" w:pos="8838"/>
      </w:tabs>
    </w:pPr>
  </w:style>
  <w:style w:type="character" w:customStyle="1" w:styleId="EncabezadoCar">
    <w:name w:val="Encabezado Car"/>
    <w:basedOn w:val="Fuentedeprrafopredeter"/>
    <w:link w:val="Encabezado"/>
    <w:uiPriority w:val="99"/>
    <w:rsid w:val="00706EA4"/>
    <w:rPr>
      <w:rFonts w:ascii="Times" w:eastAsia="Times" w:hAnsi="Times" w:cs="Times New Roman"/>
      <w:sz w:val="24"/>
      <w:szCs w:val="20"/>
      <w:lang w:val="es-ES_tradnl"/>
    </w:rPr>
  </w:style>
  <w:style w:type="character" w:styleId="Textoennegrita">
    <w:name w:val="Strong"/>
    <w:uiPriority w:val="22"/>
    <w:qFormat/>
    <w:rsid w:val="00706EA4"/>
    <w:rPr>
      <w:b/>
      <w:bCs/>
    </w:rPr>
  </w:style>
  <w:style w:type="paragraph" w:styleId="TDC1">
    <w:name w:val="toc 1"/>
    <w:basedOn w:val="Normal"/>
    <w:next w:val="Normal"/>
    <w:autoRedefine/>
    <w:uiPriority w:val="39"/>
    <w:unhideWhenUsed/>
    <w:qFormat/>
    <w:rsid w:val="00706EA4"/>
    <w:pPr>
      <w:tabs>
        <w:tab w:val="left" w:pos="709"/>
        <w:tab w:val="left" w:pos="8505"/>
      </w:tabs>
      <w:spacing w:after="100" w:line="276" w:lineRule="auto"/>
      <w:ind w:left="284" w:right="996"/>
    </w:pPr>
    <w:rPr>
      <w:rFonts w:ascii="Verdana" w:eastAsia="Calibri" w:hAnsi="Verdana"/>
      <w:noProof/>
      <w:sz w:val="16"/>
      <w:szCs w:val="16"/>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06EA4"/>
    <w:pPr>
      <w:jc w:val="both"/>
    </w:pPr>
    <w:rPr>
      <w:rFonts w:asciiTheme="minorHAnsi" w:eastAsiaTheme="minorHAnsi" w:hAnsiTheme="minorHAnsi" w:cstheme="minorBidi"/>
      <w:sz w:val="22"/>
      <w:szCs w:val="22"/>
      <w:vertAlign w:val="superscript"/>
      <w:lang w:val="en-US"/>
    </w:rPr>
  </w:style>
  <w:style w:type="paragraph" w:styleId="Textodeglobo">
    <w:name w:val="Balloon Text"/>
    <w:basedOn w:val="Normal"/>
    <w:link w:val="TextodegloboCar"/>
    <w:uiPriority w:val="99"/>
    <w:semiHidden/>
    <w:unhideWhenUsed/>
    <w:rsid w:val="00B01647"/>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647"/>
    <w:rPr>
      <w:rFonts w:ascii="Tahoma" w:eastAsia="Times" w:hAnsi="Tahoma" w:cs="Tahoma"/>
      <w:sz w:val="16"/>
      <w:szCs w:val="16"/>
      <w:lang w:val="es-ES_tradnl"/>
    </w:rPr>
  </w:style>
  <w:style w:type="character" w:styleId="Refdecomentario">
    <w:name w:val="annotation reference"/>
    <w:basedOn w:val="Fuentedeprrafopredeter"/>
    <w:uiPriority w:val="99"/>
    <w:semiHidden/>
    <w:unhideWhenUsed/>
    <w:rsid w:val="00924DF2"/>
    <w:rPr>
      <w:sz w:val="16"/>
      <w:szCs w:val="16"/>
    </w:rPr>
  </w:style>
  <w:style w:type="paragraph" w:styleId="Textocomentario">
    <w:name w:val="annotation text"/>
    <w:basedOn w:val="Normal"/>
    <w:link w:val="TextocomentarioCar"/>
    <w:uiPriority w:val="99"/>
    <w:semiHidden/>
    <w:unhideWhenUsed/>
    <w:rsid w:val="00924DF2"/>
    <w:rPr>
      <w:sz w:val="20"/>
    </w:rPr>
  </w:style>
  <w:style w:type="character" w:customStyle="1" w:styleId="TextocomentarioCar">
    <w:name w:val="Texto comentario Car"/>
    <w:basedOn w:val="Fuentedeprrafopredeter"/>
    <w:link w:val="Textocomentario"/>
    <w:uiPriority w:val="99"/>
    <w:semiHidden/>
    <w:rsid w:val="00924DF2"/>
    <w:rPr>
      <w:rFonts w:ascii="Times" w:eastAsia="Times" w:hAnsi="Times"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24DF2"/>
    <w:rPr>
      <w:b/>
      <w:bCs/>
    </w:rPr>
  </w:style>
  <w:style w:type="character" w:customStyle="1" w:styleId="AsuntodelcomentarioCar">
    <w:name w:val="Asunto del comentario Car"/>
    <w:basedOn w:val="TextocomentarioCar"/>
    <w:link w:val="Asuntodelcomentario"/>
    <w:uiPriority w:val="99"/>
    <w:semiHidden/>
    <w:rsid w:val="00924DF2"/>
    <w:rPr>
      <w:rFonts w:ascii="Times" w:eastAsia="Times" w:hAnsi="Times" w:cs="Times New Roman"/>
      <w:b/>
      <w:bCs/>
      <w:sz w:val="20"/>
      <w:szCs w:val="20"/>
      <w:lang w:val="es-ES_tradnl"/>
    </w:rPr>
  </w:style>
  <w:style w:type="paragraph" w:styleId="Revisin">
    <w:name w:val="Revision"/>
    <w:hidden/>
    <w:uiPriority w:val="99"/>
    <w:semiHidden/>
    <w:rsid w:val="00924DF2"/>
    <w:pPr>
      <w:spacing w:after="0" w:line="240" w:lineRule="auto"/>
    </w:pPr>
    <w:rPr>
      <w:rFonts w:ascii="Times" w:eastAsia="Times" w:hAnsi="Times" w:cs="Times New Roman"/>
      <w:sz w:val="24"/>
      <w:szCs w:val="20"/>
      <w:lang w:val="es-ES_tradnl"/>
    </w:rPr>
  </w:style>
  <w:style w:type="paragraph" w:customStyle="1" w:styleId="Default">
    <w:name w:val="Default"/>
    <w:rsid w:val="00750C8E"/>
    <w:pPr>
      <w:autoSpaceDE w:val="0"/>
      <w:autoSpaceDN w:val="0"/>
      <w:adjustRightInd w:val="0"/>
      <w:spacing w:after="0" w:line="240" w:lineRule="auto"/>
    </w:pPr>
    <w:rPr>
      <w:rFonts w:ascii="Verdana" w:hAnsi="Verdana" w:cs="Verdana"/>
      <w:color w:val="000000"/>
      <w:sz w:val="24"/>
      <w:szCs w:val="24"/>
      <w:lang w:val="es-CR"/>
    </w:rPr>
  </w:style>
  <w:style w:type="character" w:styleId="Nmerodelnea">
    <w:name w:val="line number"/>
    <w:basedOn w:val="Fuentedeprrafopredeter"/>
    <w:uiPriority w:val="99"/>
    <w:semiHidden/>
    <w:unhideWhenUsed/>
    <w:rsid w:val="00A5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4332">
      <w:bodyDiv w:val="1"/>
      <w:marLeft w:val="0"/>
      <w:marRight w:val="0"/>
      <w:marTop w:val="0"/>
      <w:marBottom w:val="0"/>
      <w:divBdr>
        <w:top w:val="none" w:sz="0" w:space="0" w:color="auto"/>
        <w:left w:val="none" w:sz="0" w:space="0" w:color="auto"/>
        <w:bottom w:val="none" w:sz="0" w:space="0" w:color="auto"/>
        <w:right w:val="none" w:sz="0" w:space="0" w:color="auto"/>
      </w:divBdr>
      <w:divsChild>
        <w:div w:id="1205410151">
          <w:marLeft w:val="0"/>
          <w:marRight w:val="0"/>
          <w:marTop w:val="0"/>
          <w:marBottom w:val="0"/>
          <w:divBdr>
            <w:top w:val="none" w:sz="0" w:space="0" w:color="auto"/>
            <w:left w:val="none" w:sz="0" w:space="0" w:color="auto"/>
            <w:bottom w:val="none" w:sz="0" w:space="0" w:color="auto"/>
            <w:right w:val="none" w:sz="0" w:space="0" w:color="auto"/>
          </w:divBdr>
          <w:divsChild>
            <w:div w:id="1108693086">
              <w:marLeft w:val="0"/>
              <w:marRight w:val="0"/>
              <w:marTop w:val="0"/>
              <w:marBottom w:val="0"/>
              <w:divBdr>
                <w:top w:val="none" w:sz="0" w:space="0" w:color="auto"/>
                <w:left w:val="none" w:sz="0" w:space="0" w:color="auto"/>
                <w:bottom w:val="none" w:sz="0" w:space="0" w:color="auto"/>
                <w:right w:val="none" w:sz="0" w:space="0" w:color="auto"/>
              </w:divBdr>
              <w:divsChild>
                <w:div w:id="9110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5899">
      <w:bodyDiv w:val="1"/>
      <w:marLeft w:val="0"/>
      <w:marRight w:val="0"/>
      <w:marTop w:val="0"/>
      <w:marBottom w:val="0"/>
      <w:divBdr>
        <w:top w:val="none" w:sz="0" w:space="0" w:color="auto"/>
        <w:left w:val="none" w:sz="0" w:space="0" w:color="auto"/>
        <w:bottom w:val="none" w:sz="0" w:space="0" w:color="auto"/>
        <w:right w:val="none" w:sz="0" w:space="0" w:color="auto"/>
      </w:divBdr>
    </w:div>
    <w:div w:id="1767461048">
      <w:bodyDiv w:val="1"/>
      <w:marLeft w:val="0"/>
      <w:marRight w:val="0"/>
      <w:marTop w:val="0"/>
      <w:marBottom w:val="0"/>
      <w:divBdr>
        <w:top w:val="none" w:sz="0" w:space="0" w:color="auto"/>
        <w:left w:val="none" w:sz="0" w:space="0" w:color="auto"/>
        <w:bottom w:val="none" w:sz="0" w:space="0" w:color="auto"/>
        <w:right w:val="none" w:sz="0" w:space="0" w:color="auto"/>
      </w:divBdr>
    </w:div>
    <w:div w:id="18848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Kawas_23_10_12.pdf" TargetMode="External"/><Relationship Id="rId2" Type="http://schemas.openxmlformats.org/officeDocument/2006/relationships/hyperlink" Target="http://www.corteidh.or.cr/docs/supervisiones/Kawas_27_02_12.pdf" TargetMode="External"/><Relationship Id="rId1" Type="http://schemas.openxmlformats.org/officeDocument/2006/relationships/hyperlink" Target="http://www.corteidh.or.cr/docs/casos/articulos/seriec_196_esp.pdf" TargetMode="External"/><Relationship Id="rId4" Type="http://schemas.openxmlformats.org/officeDocument/2006/relationships/hyperlink" Target="http://www.corteidh.or.cr/docs/supervisiones/casoskawas_lunalop_30_08_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13E4-0482-4F6A-A7B2-07FC7BF4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3167</Words>
  <Characters>16472</Characters>
  <Application>Microsoft Office Word</Application>
  <DocSecurity>0</DocSecurity>
  <Lines>316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Julliana Saborio</cp:lastModifiedBy>
  <cp:revision>2</cp:revision>
  <cp:lastPrinted>2019-12-03T17:41:00Z</cp:lastPrinted>
  <dcterms:created xsi:type="dcterms:W3CDTF">2019-12-03T23:38:00Z</dcterms:created>
  <dcterms:modified xsi:type="dcterms:W3CDTF">2019-12-03T23:38:00Z</dcterms:modified>
</cp:coreProperties>
</file>