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25BF4" w14:textId="77777777" w:rsidR="007F22FC" w:rsidRDefault="007F22FC" w:rsidP="007F22FC">
      <w:pPr>
        <w:spacing w:line="240" w:lineRule="auto"/>
        <w:ind w:right="1444"/>
        <w:jc w:val="both"/>
        <w:rPr>
          <w:rFonts w:ascii="Verdana" w:hAnsi="Verdana" w:cs="Verdana"/>
          <w:bCs/>
          <w:sz w:val="16"/>
          <w:szCs w:val="20"/>
          <w:lang w:val="es-ES"/>
        </w:rPr>
      </w:pPr>
    </w:p>
    <w:p w14:paraId="633DAD29" w14:textId="77777777" w:rsidR="00A035D0" w:rsidRDefault="00A035D0" w:rsidP="007F22FC">
      <w:pPr>
        <w:spacing w:line="240" w:lineRule="auto"/>
        <w:ind w:right="1444"/>
        <w:jc w:val="both"/>
        <w:rPr>
          <w:rFonts w:ascii="Verdana" w:hAnsi="Verdana" w:cs="Verdana"/>
          <w:bCs/>
          <w:sz w:val="16"/>
          <w:szCs w:val="20"/>
          <w:lang w:val="es-ES"/>
        </w:rPr>
      </w:pPr>
    </w:p>
    <w:p w14:paraId="4BCF1222" w14:textId="77777777" w:rsidR="00A035D0" w:rsidRDefault="00A035D0" w:rsidP="007F22FC">
      <w:pPr>
        <w:spacing w:line="240" w:lineRule="auto"/>
        <w:ind w:right="1444"/>
        <w:jc w:val="both"/>
        <w:rPr>
          <w:rFonts w:ascii="Verdana" w:hAnsi="Verdana" w:cs="Verdana"/>
          <w:bCs/>
          <w:sz w:val="16"/>
          <w:szCs w:val="20"/>
          <w:lang w:val="es-ES"/>
        </w:rPr>
      </w:pPr>
    </w:p>
    <w:p w14:paraId="162CC725" w14:textId="77777777" w:rsidR="00A035D0" w:rsidRDefault="00A035D0" w:rsidP="007F22FC">
      <w:pPr>
        <w:spacing w:line="240" w:lineRule="auto"/>
        <w:ind w:right="1444"/>
        <w:jc w:val="both"/>
        <w:rPr>
          <w:rFonts w:ascii="Verdana" w:hAnsi="Verdana" w:cs="Verdana"/>
          <w:bCs/>
          <w:sz w:val="16"/>
          <w:szCs w:val="20"/>
          <w:lang w:val="es-ES"/>
        </w:rPr>
      </w:pPr>
    </w:p>
    <w:p w14:paraId="09895C67" w14:textId="77777777" w:rsidR="00A035D0" w:rsidRDefault="00A035D0" w:rsidP="007F22FC">
      <w:pPr>
        <w:spacing w:line="240" w:lineRule="auto"/>
        <w:ind w:right="1444"/>
        <w:jc w:val="both"/>
        <w:rPr>
          <w:rFonts w:ascii="Verdana" w:hAnsi="Verdana" w:cs="Verdana"/>
          <w:bCs/>
          <w:sz w:val="16"/>
          <w:szCs w:val="20"/>
          <w:lang w:val="es-ES"/>
        </w:rPr>
      </w:pPr>
    </w:p>
    <w:p w14:paraId="63010813" w14:textId="77777777" w:rsidR="00A035D0" w:rsidRPr="007F22FC" w:rsidRDefault="00A035D0" w:rsidP="007F22FC">
      <w:pPr>
        <w:spacing w:line="240" w:lineRule="auto"/>
        <w:ind w:right="1444"/>
        <w:jc w:val="both"/>
        <w:rPr>
          <w:rFonts w:ascii="Verdana" w:hAnsi="Verdana" w:cs="Verdana"/>
          <w:bCs/>
          <w:sz w:val="16"/>
          <w:szCs w:val="20"/>
          <w:lang w:val="es-ES"/>
        </w:rPr>
      </w:pPr>
    </w:p>
    <w:p w14:paraId="2FDE992D" w14:textId="77777777" w:rsidR="00A03DC4" w:rsidRPr="00FF18D7" w:rsidRDefault="00A03DC4" w:rsidP="00FF18D7">
      <w:pPr>
        <w:spacing w:line="240" w:lineRule="auto"/>
        <w:ind w:right="1444"/>
        <w:jc w:val="center"/>
        <w:rPr>
          <w:rFonts w:ascii="Verdana" w:hAnsi="Verdana" w:cs="Verdana"/>
          <w:b/>
          <w:bCs/>
          <w:sz w:val="20"/>
          <w:szCs w:val="20"/>
          <w:lang w:val="es-ES"/>
        </w:rPr>
      </w:pPr>
      <w:r w:rsidRPr="00FF18D7">
        <w:rPr>
          <w:rFonts w:ascii="Verdana" w:hAnsi="Verdana" w:cs="Verdana"/>
          <w:b/>
          <w:bCs/>
          <w:sz w:val="20"/>
          <w:szCs w:val="20"/>
          <w:lang w:val="es-ES"/>
        </w:rPr>
        <w:t>RESOLUCIÓN DE LA</w:t>
      </w:r>
    </w:p>
    <w:p w14:paraId="09A71EA7" w14:textId="77777777" w:rsidR="00A03DC4" w:rsidRPr="00FF18D7" w:rsidRDefault="00A03DC4" w:rsidP="00FF18D7">
      <w:pPr>
        <w:spacing w:line="240" w:lineRule="auto"/>
        <w:ind w:right="1444"/>
        <w:jc w:val="center"/>
        <w:rPr>
          <w:rFonts w:ascii="Verdana" w:hAnsi="Verdana" w:cs="Verdana"/>
          <w:b/>
          <w:bCs/>
          <w:sz w:val="20"/>
          <w:szCs w:val="20"/>
          <w:lang w:val="es-ES"/>
        </w:rPr>
      </w:pPr>
      <w:r w:rsidRPr="00FF18D7">
        <w:rPr>
          <w:rFonts w:ascii="Verdana" w:hAnsi="Verdana" w:cs="Verdana"/>
          <w:b/>
          <w:bCs/>
          <w:sz w:val="20"/>
          <w:szCs w:val="20"/>
          <w:lang w:val="es-ES"/>
        </w:rPr>
        <w:t>CORTE INTERAMERICANA DE DERECHOS HUMANOS</w:t>
      </w:r>
    </w:p>
    <w:p w14:paraId="6B4FB532" w14:textId="7D868477" w:rsidR="00A03DC4" w:rsidRPr="00FF18D7" w:rsidRDefault="00907ADF" w:rsidP="00FF18D7">
      <w:pPr>
        <w:spacing w:line="240" w:lineRule="auto"/>
        <w:ind w:right="1444"/>
        <w:jc w:val="center"/>
        <w:rPr>
          <w:rFonts w:ascii="Verdana" w:eastAsia="Calibri" w:hAnsi="Verdana" w:cs="Times New Roman"/>
          <w:b/>
          <w:smallCaps/>
          <w:sz w:val="20"/>
          <w:szCs w:val="20"/>
          <w:lang w:val="es-ES"/>
        </w:rPr>
      </w:pPr>
      <w:r w:rsidRPr="00FF18D7">
        <w:rPr>
          <w:rFonts w:ascii="Verdana" w:eastAsia="Calibri" w:hAnsi="Verdana" w:cs="Times New Roman"/>
          <w:b/>
          <w:smallCaps/>
          <w:sz w:val="20"/>
          <w:szCs w:val="20"/>
          <w:lang w:val="es-ES"/>
        </w:rPr>
        <w:t xml:space="preserve">DE </w:t>
      </w:r>
      <w:r w:rsidR="00B67485">
        <w:rPr>
          <w:rFonts w:ascii="Verdana" w:eastAsia="Calibri" w:hAnsi="Verdana" w:cs="Times New Roman"/>
          <w:b/>
          <w:smallCaps/>
          <w:sz w:val="20"/>
          <w:szCs w:val="20"/>
          <w:lang w:val="es-ES"/>
        </w:rPr>
        <w:t>20</w:t>
      </w:r>
      <w:r w:rsidRPr="00FF18D7">
        <w:rPr>
          <w:rFonts w:ascii="Verdana" w:eastAsia="Calibri" w:hAnsi="Verdana" w:cs="Times New Roman"/>
          <w:b/>
          <w:smallCaps/>
          <w:sz w:val="20"/>
          <w:szCs w:val="20"/>
          <w:lang w:val="es-ES"/>
        </w:rPr>
        <w:t xml:space="preserve"> DE NOVIEMBRE </w:t>
      </w:r>
      <w:r w:rsidR="00A03DC4" w:rsidRPr="00FF18D7">
        <w:rPr>
          <w:rFonts w:ascii="Verdana" w:eastAsia="Calibri" w:hAnsi="Verdana" w:cs="Times New Roman"/>
          <w:b/>
          <w:smallCaps/>
          <w:sz w:val="20"/>
          <w:szCs w:val="20"/>
          <w:lang w:val="es-ES"/>
        </w:rPr>
        <w:t>DE 2015</w:t>
      </w:r>
    </w:p>
    <w:p w14:paraId="6BE738C5" w14:textId="66E80B85" w:rsidR="005068D8" w:rsidRPr="00FF18D7" w:rsidRDefault="00C73D5B" w:rsidP="00FF18D7">
      <w:pPr>
        <w:spacing w:line="240" w:lineRule="auto"/>
        <w:ind w:right="1444"/>
        <w:jc w:val="center"/>
        <w:rPr>
          <w:rFonts w:ascii="Verdana" w:eastAsia="Calibri" w:hAnsi="Verdana" w:cs="Times New Roman"/>
          <w:b/>
          <w:i/>
          <w:smallCaps/>
          <w:sz w:val="20"/>
          <w:szCs w:val="20"/>
          <w:lang w:val="es-ES"/>
        </w:rPr>
      </w:pPr>
      <w:r>
        <w:rPr>
          <w:rFonts w:ascii="Verdana" w:eastAsia="Calibri" w:hAnsi="Verdana" w:cs="Times New Roman"/>
          <w:b/>
          <w:i/>
          <w:smallCaps/>
          <w:sz w:val="20"/>
          <w:szCs w:val="20"/>
          <w:lang w:val="es-ES"/>
        </w:rPr>
        <w:t>CASO LÓPEZ MENDOZA Vs</w:t>
      </w:r>
      <w:r w:rsidR="00216412">
        <w:rPr>
          <w:rFonts w:ascii="Verdana" w:eastAsia="Calibri" w:hAnsi="Verdana" w:cs="Times New Roman"/>
          <w:b/>
          <w:i/>
          <w:smallCaps/>
          <w:sz w:val="20"/>
          <w:szCs w:val="20"/>
          <w:lang w:val="es-ES"/>
        </w:rPr>
        <w:t>. V</w:t>
      </w:r>
      <w:r>
        <w:rPr>
          <w:rFonts w:ascii="Verdana" w:eastAsia="Calibri" w:hAnsi="Verdana" w:cs="Times New Roman"/>
          <w:b/>
          <w:i/>
          <w:smallCaps/>
          <w:sz w:val="20"/>
          <w:szCs w:val="20"/>
          <w:lang w:val="es-ES"/>
        </w:rPr>
        <w:t>ENEZUELA</w:t>
      </w:r>
    </w:p>
    <w:p w14:paraId="2079D647" w14:textId="3D5F3B6D" w:rsidR="00A03DC4" w:rsidRPr="00FF18D7" w:rsidRDefault="00A03DC4" w:rsidP="00FF18D7">
      <w:pPr>
        <w:spacing w:line="240" w:lineRule="auto"/>
        <w:ind w:right="1444"/>
        <w:jc w:val="center"/>
        <w:rPr>
          <w:rFonts w:ascii="Verdana" w:hAnsi="Verdana" w:cs="Verdana"/>
          <w:b/>
          <w:bCs/>
          <w:sz w:val="20"/>
          <w:szCs w:val="20"/>
          <w:lang w:val="es-ES"/>
        </w:rPr>
      </w:pPr>
      <w:r w:rsidRPr="00FF18D7">
        <w:rPr>
          <w:rFonts w:ascii="Verdana" w:hAnsi="Verdana" w:cs="Verdana"/>
          <w:b/>
          <w:bCs/>
          <w:sz w:val="20"/>
          <w:szCs w:val="20"/>
          <w:lang w:val="es-ES"/>
        </w:rPr>
        <w:t>SUPERVISIÓ</w:t>
      </w:r>
      <w:r w:rsidR="00C73D5B">
        <w:rPr>
          <w:rFonts w:ascii="Verdana" w:hAnsi="Verdana" w:cs="Verdana"/>
          <w:b/>
          <w:bCs/>
          <w:sz w:val="20"/>
          <w:szCs w:val="20"/>
          <w:lang w:val="es-ES"/>
        </w:rPr>
        <w:t>N DE CUMPLIMIENTO DE SENTENCIA</w:t>
      </w:r>
    </w:p>
    <w:p w14:paraId="7D1E2D3E" w14:textId="77777777" w:rsidR="005068D8" w:rsidRPr="00FF18D7" w:rsidRDefault="005068D8" w:rsidP="00FF18D7">
      <w:pPr>
        <w:spacing w:line="240" w:lineRule="auto"/>
        <w:ind w:right="1444"/>
        <w:jc w:val="center"/>
        <w:rPr>
          <w:rFonts w:ascii="Verdana" w:hAnsi="Verdana" w:cs="Verdana"/>
          <w:b/>
          <w:bCs/>
          <w:color w:val="00B050"/>
          <w:sz w:val="20"/>
          <w:szCs w:val="20"/>
          <w:lang w:val="es-ES"/>
        </w:rPr>
      </w:pPr>
    </w:p>
    <w:p w14:paraId="09BAA05C" w14:textId="77777777" w:rsidR="00A03DC4" w:rsidRPr="00FF18D7" w:rsidRDefault="00A03DC4" w:rsidP="00FF18D7">
      <w:pPr>
        <w:spacing w:line="240" w:lineRule="auto"/>
        <w:ind w:right="1444"/>
        <w:jc w:val="both"/>
        <w:rPr>
          <w:rFonts w:ascii="Verdana" w:hAnsi="Verdana"/>
          <w:b/>
          <w:smallCaps/>
          <w:sz w:val="20"/>
          <w:szCs w:val="20"/>
        </w:rPr>
      </w:pPr>
      <w:r w:rsidRPr="00FF18D7">
        <w:rPr>
          <w:rFonts w:ascii="Verdana" w:hAnsi="Verdana"/>
          <w:b/>
          <w:smallCaps/>
          <w:sz w:val="20"/>
          <w:szCs w:val="20"/>
        </w:rPr>
        <w:t xml:space="preserve">VISTO: </w:t>
      </w:r>
    </w:p>
    <w:p w14:paraId="355D05FF" w14:textId="4DE25B63" w:rsidR="003763AB" w:rsidRPr="00A45977" w:rsidRDefault="00F77FF4" w:rsidP="00A45977">
      <w:pPr>
        <w:pStyle w:val="ListParagraph"/>
        <w:numPr>
          <w:ilvl w:val="0"/>
          <w:numId w:val="1"/>
        </w:numPr>
        <w:spacing w:before="120" w:after="120" w:line="240" w:lineRule="auto"/>
        <w:ind w:left="0" w:right="1444" w:firstLine="0"/>
        <w:contextualSpacing w:val="0"/>
        <w:jc w:val="both"/>
        <w:rPr>
          <w:rFonts w:ascii="Verdana" w:hAnsi="Verdana"/>
          <w:sz w:val="20"/>
          <w:szCs w:val="20"/>
          <w:lang w:val="es-MX"/>
        </w:rPr>
      </w:pPr>
      <w:r w:rsidRPr="00A45977">
        <w:rPr>
          <w:rFonts w:ascii="Verdana" w:hAnsi="Verdana" w:cs="Arial"/>
          <w:sz w:val="20"/>
          <w:szCs w:val="20"/>
        </w:rPr>
        <w:t>La Sentencia</w:t>
      </w:r>
      <w:r w:rsidR="00B67485" w:rsidRPr="00A45977">
        <w:rPr>
          <w:rFonts w:ascii="Verdana" w:hAnsi="Verdana" w:cs="Arial"/>
          <w:sz w:val="20"/>
          <w:szCs w:val="20"/>
        </w:rPr>
        <w:t xml:space="preserve"> de fondo, reparaciones y costas (en adelante, “la Sentencia”)</w:t>
      </w:r>
      <w:r w:rsidRPr="00A45977">
        <w:rPr>
          <w:rFonts w:ascii="Verdana" w:hAnsi="Verdana" w:cs="Arial"/>
          <w:sz w:val="20"/>
          <w:szCs w:val="20"/>
        </w:rPr>
        <w:t xml:space="preserve"> emitida por la </w:t>
      </w:r>
      <w:r w:rsidRPr="00A45977">
        <w:rPr>
          <w:rFonts w:ascii="Verdana" w:hAnsi="Verdana"/>
          <w:sz w:val="20"/>
          <w:szCs w:val="20"/>
        </w:rPr>
        <w:t>Corte</w:t>
      </w:r>
      <w:r w:rsidRPr="00A45977">
        <w:rPr>
          <w:rFonts w:ascii="Verdana" w:hAnsi="Verdana" w:cs="Arial"/>
          <w:sz w:val="20"/>
          <w:szCs w:val="20"/>
        </w:rPr>
        <w:t xml:space="preserve"> Interamericana de Derechos H</w:t>
      </w:r>
      <w:r w:rsidR="00BE23AB" w:rsidRPr="00A45977">
        <w:rPr>
          <w:rFonts w:ascii="Verdana" w:hAnsi="Verdana" w:cs="Arial"/>
          <w:sz w:val="20"/>
          <w:szCs w:val="20"/>
        </w:rPr>
        <w:t xml:space="preserve">umanos (en adelante “la Corte” </w:t>
      </w:r>
      <w:r w:rsidRPr="00A45977">
        <w:rPr>
          <w:rFonts w:ascii="Verdana" w:hAnsi="Verdana" w:cs="Arial"/>
          <w:sz w:val="20"/>
          <w:szCs w:val="20"/>
        </w:rPr>
        <w:t xml:space="preserve">o “el Tribunal”) </w:t>
      </w:r>
      <w:r w:rsidR="00B67485" w:rsidRPr="00A45977">
        <w:rPr>
          <w:rFonts w:ascii="Verdana" w:hAnsi="Verdana" w:cs="Arial"/>
          <w:sz w:val="20"/>
          <w:szCs w:val="20"/>
        </w:rPr>
        <w:t>el 1 de septiembre de 2011</w:t>
      </w:r>
      <w:r w:rsidR="00FB6E6C" w:rsidRPr="00D80E65">
        <w:rPr>
          <w:rStyle w:val="FootnoteReference"/>
          <w:rFonts w:ascii="Verdana" w:hAnsi="Verdana" w:cs="Arial"/>
          <w:sz w:val="20"/>
          <w:szCs w:val="20"/>
        </w:rPr>
        <w:footnoteReference w:id="1"/>
      </w:r>
      <w:r w:rsidR="00C1248F" w:rsidRPr="00A45977">
        <w:rPr>
          <w:rFonts w:ascii="Verdana" w:hAnsi="Verdana" w:cs="Arial"/>
          <w:i/>
          <w:sz w:val="20"/>
          <w:szCs w:val="20"/>
        </w:rPr>
        <w:t xml:space="preserve">. </w:t>
      </w:r>
      <w:r w:rsidR="00B67485" w:rsidRPr="00A45977">
        <w:rPr>
          <w:rFonts w:ascii="Verdana" w:hAnsi="Verdana" w:cs="Arial"/>
          <w:sz w:val="20"/>
          <w:szCs w:val="20"/>
        </w:rPr>
        <w:t>L</w:t>
      </w:r>
      <w:r w:rsidR="00C1248F" w:rsidRPr="00A45977">
        <w:rPr>
          <w:rFonts w:ascii="Verdana" w:hAnsi="Verdana" w:cs="Arial"/>
          <w:sz w:val="20"/>
          <w:szCs w:val="20"/>
        </w:rPr>
        <w:t>a Corte declaró la responsabilidad internacional de</w:t>
      </w:r>
      <w:r w:rsidR="00A45977">
        <w:rPr>
          <w:rFonts w:ascii="Verdana" w:hAnsi="Verdana" w:cs="Arial"/>
          <w:sz w:val="20"/>
          <w:szCs w:val="20"/>
        </w:rPr>
        <w:t xml:space="preserve"> la República Bolivariana de Venezuela (en </w:t>
      </w:r>
      <w:r w:rsidR="00C73D5B">
        <w:rPr>
          <w:rFonts w:ascii="Verdana" w:hAnsi="Verdana" w:cs="Arial"/>
          <w:sz w:val="20"/>
          <w:szCs w:val="20"/>
        </w:rPr>
        <w:t>adelante</w:t>
      </w:r>
      <w:r w:rsidR="00A45977">
        <w:rPr>
          <w:rFonts w:ascii="Verdana" w:hAnsi="Verdana" w:cs="Arial"/>
          <w:sz w:val="20"/>
          <w:szCs w:val="20"/>
        </w:rPr>
        <w:t xml:space="preserve"> “</w:t>
      </w:r>
      <w:r w:rsidR="00C73D5B">
        <w:rPr>
          <w:rFonts w:ascii="Verdana" w:hAnsi="Verdana" w:cs="Arial"/>
          <w:sz w:val="20"/>
          <w:szCs w:val="20"/>
        </w:rPr>
        <w:t>e</w:t>
      </w:r>
      <w:r w:rsidR="00A45977">
        <w:rPr>
          <w:rFonts w:ascii="Verdana" w:hAnsi="Verdana" w:cs="Arial"/>
          <w:sz w:val="20"/>
          <w:szCs w:val="20"/>
        </w:rPr>
        <w:t>l Estado” o “Venezuela”)</w:t>
      </w:r>
      <w:r w:rsidR="00C1248F" w:rsidRPr="00A45977">
        <w:rPr>
          <w:rFonts w:ascii="Verdana" w:hAnsi="Verdana" w:cs="Arial"/>
          <w:sz w:val="20"/>
          <w:szCs w:val="20"/>
        </w:rPr>
        <w:t xml:space="preserve"> por </w:t>
      </w:r>
      <w:r w:rsidR="00A45977" w:rsidRPr="00A45977">
        <w:rPr>
          <w:rFonts w:ascii="Verdana" w:hAnsi="Verdana" w:cs="Arial"/>
          <w:sz w:val="20"/>
          <w:szCs w:val="20"/>
        </w:rPr>
        <w:t>la vulneración a</w:t>
      </w:r>
      <w:r w:rsidR="00C73D5B">
        <w:rPr>
          <w:rFonts w:ascii="Verdana" w:hAnsi="Verdana" w:cs="Arial"/>
          <w:sz w:val="20"/>
          <w:szCs w:val="20"/>
        </w:rPr>
        <w:t xml:space="preserve"> </w:t>
      </w:r>
      <w:r w:rsidR="00A45977" w:rsidRPr="00A45977">
        <w:rPr>
          <w:rFonts w:ascii="Verdana" w:hAnsi="Verdana" w:cs="Arial"/>
          <w:sz w:val="20"/>
          <w:szCs w:val="20"/>
        </w:rPr>
        <w:t>l</w:t>
      </w:r>
      <w:r w:rsidR="00C73D5B">
        <w:rPr>
          <w:rFonts w:ascii="Verdana" w:hAnsi="Verdana" w:cs="Arial"/>
          <w:sz w:val="20"/>
          <w:szCs w:val="20"/>
        </w:rPr>
        <w:t>os derechos políticos</w:t>
      </w:r>
      <w:r w:rsidR="00A45977" w:rsidRPr="00A45977">
        <w:rPr>
          <w:rFonts w:ascii="Verdana" w:hAnsi="Verdana" w:cs="Arial"/>
          <w:sz w:val="20"/>
          <w:szCs w:val="20"/>
        </w:rPr>
        <w:t xml:space="preserve"> </w:t>
      </w:r>
      <w:r w:rsidR="00C73D5B">
        <w:rPr>
          <w:rFonts w:ascii="Verdana" w:hAnsi="Verdana" w:cs="Arial"/>
          <w:sz w:val="20"/>
          <w:szCs w:val="20"/>
        </w:rPr>
        <w:t>(</w:t>
      </w:r>
      <w:r w:rsidR="00A45977" w:rsidRPr="00A45977">
        <w:rPr>
          <w:rFonts w:ascii="Verdana" w:hAnsi="Verdana" w:cs="Arial"/>
          <w:sz w:val="20"/>
          <w:szCs w:val="20"/>
        </w:rPr>
        <w:t>derecho a ser elegido</w:t>
      </w:r>
      <w:r w:rsidR="00C73D5B">
        <w:rPr>
          <w:rFonts w:ascii="Verdana" w:hAnsi="Verdana" w:cs="Arial"/>
          <w:sz w:val="20"/>
          <w:szCs w:val="20"/>
        </w:rPr>
        <w:t>)</w:t>
      </w:r>
      <w:r w:rsidR="00A45977" w:rsidRPr="00A45977">
        <w:rPr>
          <w:rFonts w:ascii="Verdana" w:hAnsi="Verdana" w:cs="Arial"/>
          <w:sz w:val="20"/>
          <w:szCs w:val="20"/>
        </w:rPr>
        <w:t xml:space="preserve"> del señor Leopoldo López Mendoza</w:t>
      </w:r>
      <w:r w:rsidR="00C73D5B">
        <w:rPr>
          <w:rFonts w:ascii="Verdana" w:hAnsi="Verdana" w:cs="Arial"/>
          <w:sz w:val="20"/>
          <w:szCs w:val="20"/>
        </w:rPr>
        <w:t xml:space="preserve">, quien al momento de los hechos era </w:t>
      </w:r>
      <w:r w:rsidR="00C73D5B">
        <w:rPr>
          <w:rFonts w:ascii="Verdana" w:hAnsi="Verdana"/>
          <w:sz w:val="20"/>
          <w:lang w:val="es-MX"/>
        </w:rPr>
        <w:t>Alcalde del Municipio Chacao,</w:t>
      </w:r>
      <w:r w:rsidR="00A45977" w:rsidRPr="00A45977">
        <w:rPr>
          <w:rFonts w:ascii="Verdana" w:hAnsi="Verdana" w:cs="Arial"/>
          <w:sz w:val="20"/>
          <w:szCs w:val="20"/>
        </w:rPr>
        <w:t xml:space="preserve"> en </w:t>
      </w:r>
      <w:r w:rsidR="00C73D5B">
        <w:rPr>
          <w:rFonts w:ascii="Verdana" w:hAnsi="Verdana" w:cs="Arial"/>
          <w:sz w:val="20"/>
          <w:szCs w:val="20"/>
        </w:rPr>
        <w:t xml:space="preserve">razón de las </w:t>
      </w:r>
      <w:r w:rsidR="00A45977" w:rsidRPr="00A45977">
        <w:rPr>
          <w:rFonts w:ascii="Verdana" w:hAnsi="Verdana" w:cs="Arial"/>
          <w:sz w:val="20"/>
          <w:szCs w:val="20"/>
        </w:rPr>
        <w:t xml:space="preserve">sanciones de inhabilitación de tres y seis años para el ejercicio de funciones públicas que le fueron impuestas </w:t>
      </w:r>
      <w:r w:rsidR="00C73D5B">
        <w:rPr>
          <w:rFonts w:ascii="Verdana" w:hAnsi="Verdana" w:cs="Arial"/>
          <w:sz w:val="20"/>
          <w:szCs w:val="20"/>
        </w:rPr>
        <w:t xml:space="preserve">en los años 2003 y 2004 </w:t>
      </w:r>
      <w:r w:rsidR="00A45977" w:rsidRPr="00A45977">
        <w:rPr>
          <w:rFonts w:ascii="Verdana" w:hAnsi="Verdana" w:cs="Arial"/>
          <w:sz w:val="20"/>
          <w:szCs w:val="20"/>
        </w:rPr>
        <w:t xml:space="preserve">por el Contralor General de </w:t>
      </w:r>
      <w:r w:rsidR="00C73D5B">
        <w:rPr>
          <w:rFonts w:ascii="Verdana" w:hAnsi="Verdana" w:cs="Arial"/>
          <w:sz w:val="20"/>
          <w:szCs w:val="20"/>
        </w:rPr>
        <w:t>l</w:t>
      </w:r>
      <w:r w:rsidR="00A45977" w:rsidRPr="00A45977">
        <w:rPr>
          <w:rFonts w:ascii="Verdana" w:hAnsi="Verdana" w:cs="Arial"/>
          <w:sz w:val="20"/>
          <w:szCs w:val="20"/>
        </w:rPr>
        <w:t>a República</w:t>
      </w:r>
      <w:r w:rsidR="00A45977">
        <w:rPr>
          <w:rFonts w:ascii="Verdana" w:hAnsi="Verdana" w:cs="Arial"/>
          <w:sz w:val="20"/>
          <w:szCs w:val="20"/>
        </w:rPr>
        <w:t xml:space="preserve">. </w:t>
      </w:r>
      <w:r w:rsidR="00C73D5B">
        <w:rPr>
          <w:rFonts w:ascii="Verdana" w:hAnsi="Verdana" w:cs="Arial"/>
          <w:sz w:val="20"/>
          <w:szCs w:val="20"/>
        </w:rPr>
        <w:t xml:space="preserve">Como consecuencia de dichas sanciones, el señor López Mendoza no pudo registrar su candidatura para el cargo de elección popular de Alcalde del Estado Mayor de Caracas en las elecciones del 2008, cuando concluyera su mandado como Alcalde del Municipio Chacao. </w:t>
      </w:r>
      <w:r w:rsidR="006A5AAB">
        <w:rPr>
          <w:rFonts w:ascii="Verdana" w:hAnsi="Verdana" w:cs="Arial"/>
          <w:sz w:val="20"/>
          <w:szCs w:val="20"/>
        </w:rPr>
        <w:t xml:space="preserve">La Corte declaró que </w:t>
      </w:r>
      <w:r w:rsidR="00A45977">
        <w:rPr>
          <w:rFonts w:ascii="Verdana" w:hAnsi="Verdana" w:cs="Arial"/>
          <w:sz w:val="20"/>
          <w:szCs w:val="20"/>
        </w:rPr>
        <w:t xml:space="preserve">el Estado </w:t>
      </w:r>
      <w:r w:rsidR="006A5AAB">
        <w:rPr>
          <w:rFonts w:ascii="Verdana" w:hAnsi="Verdana" w:cs="Arial"/>
          <w:sz w:val="20"/>
          <w:szCs w:val="20"/>
        </w:rPr>
        <w:t xml:space="preserve">violó, </w:t>
      </w:r>
      <w:r w:rsidR="006A5AAB" w:rsidRPr="003D2B83">
        <w:rPr>
          <w:rFonts w:ascii="Verdana" w:hAnsi="Verdana" w:cs="Arial"/>
          <w:i/>
          <w:sz w:val="20"/>
          <w:szCs w:val="20"/>
        </w:rPr>
        <w:t xml:space="preserve">inter </w:t>
      </w:r>
      <w:proofErr w:type="spellStart"/>
      <w:r w:rsidR="006A5AAB" w:rsidRPr="003D2B83">
        <w:rPr>
          <w:rFonts w:ascii="Verdana" w:hAnsi="Verdana" w:cs="Arial"/>
          <w:i/>
          <w:sz w:val="20"/>
          <w:szCs w:val="20"/>
        </w:rPr>
        <w:t>alia</w:t>
      </w:r>
      <w:proofErr w:type="spellEnd"/>
      <w:r w:rsidR="006A5AAB">
        <w:rPr>
          <w:rFonts w:ascii="Verdana" w:hAnsi="Verdana" w:cs="Arial"/>
          <w:sz w:val="20"/>
          <w:szCs w:val="20"/>
        </w:rPr>
        <w:t xml:space="preserve">, los derechos a las garantías judiciales, políticos, y a la protección judicial, consagrados, respectivamente, en </w:t>
      </w:r>
      <w:r w:rsidR="00A45977">
        <w:rPr>
          <w:rFonts w:ascii="Verdana" w:hAnsi="Verdana" w:cs="Arial"/>
          <w:sz w:val="20"/>
          <w:szCs w:val="20"/>
        </w:rPr>
        <w:t xml:space="preserve">los artículos 8.1, 23 y 25 </w:t>
      </w:r>
      <w:r w:rsidR="00A45977" w:rsidRPr="00A45977">
        <w:rPr>
          <w:rFonts w:ascii="Verdana" w:hAnsi="Verdana" w:cs="Arial"/>
          <w:sz w:val="20"/>
          <w:szCs w:val="20"/>
        </w:rPr>
        <w:t>de</w:t>
      </w:r>
      <w:r w:rsidR="00C1248F" w:rsidRPr="00A45977">
        <w:rPr>
          <w:rFonts w:ascii="Verdana" w:hAnsi="Verdana" w:cs="Arial"/>
          <w:sz w:val="20"/>
          <w:szCs w:val="20"/>
        </w:rPr>
        <w:t xml:space="preserve"> </w:t>
      </w:r>
      <w:r w:rsidR="00B100B4" w:rsidRPr="00A45977">
        <w:rPr>
          <w:rFonts w:ascii="Verdana" w:hAnsi="Verdana" w:cs="Arial"/>
          <w:sz w:val="20"/>
          <w:szCs w:val="20"/>
        </w:rPr>
        <w:t>la Convención Americana sobre Derechos Humanos (en adelante “la Convención Americana” o “la Convención”)</w:t>
      </w:r>
      <w:r w:rsidR="00A45977">
        <w:rPr>
          <w:rFonts w:ascii="Verdana" w:hAnsi="Verdana" w:cs="Arial"/>
          <w:sz w:val="20"/>
          <w:szCs w:val="20"/>
        </w:rPr>
        <w:t xml:space="preserve">, </w:t>
      </w:r>
      <w:r w:rsidR="00A45977">
        <w:rPr>
          <w:rFonts w:ascii="Verdana" w:hAnsi="Verdana"/>
          <w:sz w:val="20"/>
        </w:rPr>
        <w:t>en relación con los artículos 1.1 y 2 de la misma, en perjuicio de</w:t>
      </w:r>
      <w:r w:rsidR="006A5AAB">
        <w:rPr>
          <w:rFonts w:ascii="Verdana" w:hAnsi="Verdana"/>
          <w:sz w:val="20"/>
        </w:rPr>
        <w:t>l señor López Mendoza</w:t>
      </w:r>
      <w:r w:rsidR="00A45977">
        <w:rPr>
          <w:rFonts w:ascii="Verdana" w:hAnsi="Verdana" w:cs="Arial"/>
          <w:sz w:val="20"/>
          <w:szCs w:val="20"/>
        </w:rPr>
        <w:t>.</w:t>
      </w:r>
      <w:r w:rsidR="00FB6E6C" w:rsidRPr="00A45977">
        <w:rPr>
          <w:rStyle w:val="Strong"/>
          <w:rFonts w:ascii="Verdana" w:hAnsi="Verdana"/>
          <w:b w:val="0"/>
          <w:color w:val="000000"/>
          <w:sz w:val="20"/>
          <w:szCs w:val="20"/>
        </w:rPr>
        <w:t xml:space="preserve"> </w:t>
      </w:r>
      <w:r w:rsidR="00A45977" w:rsidRPr="00A45977">
        <w:rPr>
          <w:rFonts w:ascii="Verdana" w:hAnsi="Verdana"/>
          <w:sz w:val="20"/>
          <w:lang w:val="es-MX"/>
        </w:rPr>
        <w:t>Además de in</w:t>
      </w:r>
      <w:r w:rsidR="00A45977">
        <w:rPr>
          <w:rFonts w:ascii="Verdana" w:hAnsi="Verdana"/>
          <w:sz w:val="20"/>
          <w:lang w:val="es-MX"/>
        </w:rPr>
        <w:t>dicar que la</w:t>
      </w:r>
      <w:r w:rsidR="00A45977" w:rsidRPr="00A45977">
        <w:rPr>
          <w:rFonts w:ascii="Verdana" w:hAnsi="Verdana"/>
          <w:sz w:val="20"/>
          <w:lang w:val="es-MX"/>
        </w:rPr>
        <w:t xml:space="preserve"> Sentencia </w:t>
      </w:r>
      <w:r w:rsidR="00A45977" w:rsidRPr="00A45977">
        <w:rPr>
          <w:rFonts w:ascii="Verdana" w:hAnsi="Verdana"/>
          <w:sz w:val="20"/>
        </w:rPr>
        <w:t xml:space="preserve">emitida en el presente caso </w:t>
      </w:r>
      <w:r w:rsidR="00A45977" w:rsidRPr="00A45977">
        <w:rPr>
          <w:rFonts w:ascii="Verdana" w:hAnsi="Verdana"/>
          <w:sz w:val="20"/>
          <w:lang w:val="es-MX"/>
        </w:rPr>
        <w:t xml:space="preserve">constituye </w:t>
      </w:r>
      <w:r w:rsidR="00A45977" w:rsidRPr="00A45977">
        <w:rPr>
          <w:rFonts w:ascii="Verdana" w:hAnsi="Verdana"/>
          <w:i/>
          <w:sz w:val="20"/>
          <w:lang w:val="es-MX"/>
        </w:rPr>
        <w:t>per se</w:t>
      </w:r>
      <w:r w:rsidR="00A45977" w:rsidRPr="00A45977">
        <w:rPr>
          <w:rFonts w:ascii="Verdana" w:hAnsi="Verdana"/>
          <w:sz w:val="20"/>
          <w:lang w:val="es-MX"/>
        </w:rPr>
        <w:t xml:space="preserve"> una forma de reparación, la Corte ordenó al Estado determinadas medidas de reparación </w:t>
      </w:r>
      <w:r w:rsidR="00F23221" w:rsidRPr="00A45977">
        <w:rPr>
          <w:rFonts w:ascii="Verdana" w:hAnsi="Verdana"/>
          <w:sz w:val="20"/>
          <w:szCs w:val="20"/>
          <w:lang w:val="es-MX"/>
        </w:rPr>
        <w:t>(</w:t>
      </w:r>
      <w:r w:rsidR="00F23221" w:rsidRPr="00A45977">
        <w:rPr>
          <w:rFonts w:ascii="Verdana" w:hAnsi="Verdana"/>
          <w:i/>
          <w:sz w:val="20"/>
          <w:szCs w:val="20"/>
          <w:lang w:val="es-MX"/>
        </w:rPr>
        <w:t>infra</w:t>
      </w:r>
      <w:r w:rsidR="00A45977" w:rsidRPr="00A45977">
        <w:rPr>
          <w:rFonts w:ascii="Verdana" w:hAnsi="Verdana"/>
          <w:sz w:val="20"/>
          <w:szCs w:val="20"/>
          <w:lang w:val="es-MX"/>
        </w:rPr>
        <w:t xml:space="preserve"> Considerando 1)</w:t>
      </w:r>
      <w:r w:rsidR="00B100B4" w:rsidRPr="00A45977">
        <w:rPr>
          <w:rFonts w:ascii="Verdana" w:hAnsi="Verdana"/>
          <w:sz w:val="20"/>
          <w:szCs w:val="20"/>
          <w:lang w:val="es-MX"/>
        </w:rPr>
        <w:t>.</w:t>
      </w:r>
      <w:r w:rsidR="00B1582D" w:rsidRPr="00A45977">
        <w:rPr>
          <w:rFonts w:ascii="Verdana" w:hAnsi="Verdana"/>
          <w:sz w:val="20"/>
          <w:szCs w:val="20"/>
          <w:lang w:val="es-MX"/>
        </w:rPr>
        <w:t xml:space="preserve"> </w:t>
      </w:r>
    </w:p>
    <w:p w14:paraId="492C78E4" w14:textId="2D6524BD" w:rsidR="00512810" w:rsidRPr="00FF18D7" w:rsidRDefault="00774543" w:rsidP="00FF18D7">
      <w:pPr>
        <w:pStyle w:val="ListParagraph"/>
        <w:numPr>
          <w:ilvl w:val="0"/>
          <w:numId w:val="1"/>
        </w:numPr>
        <w:spacing w:before="120" w:after="120" w:line="240" w:lineRule="auto"/>
        <w:ind w:left="0" w:right="1444" w:firstLine="0"/>
        <w:contextualSpacing w:val="0"/>
        <w:jc w:val="both"/>
        <w:rPr>
          <w:rFonts w:ascii="Verdana" w:hAnsi="Verdana"/>
          <w:i/>
          <w:sz w:val="20"/>
          <w:szCs w:val="20"/>
        </w:rPr>
      </w:pPr>
      <w:r w:rsidRPr="00FF18D7">
        <w:rPr>
          <w:rFonts w:ascii="Verdana" w:hAnsi="Verdana"/>
          <w:sz w:val="20"/>
          <w:szCs w:val="20"/>
        </w:rPr>
        <w:t xml:space="preserve">El </w:t>
      </w:r>
      <w:r w:rsidR="00512810" w:rsidRPr="00FF18D7">
        <w:rPr>
          <w:rFonts w:ascii="Verdana" w:hAnsi="Verdana"/>
          <w:sz w:val="20"/>
          <w:szCs w:val="20"/>
        </w:rPr>
        <w:t>es</w:t>
      </w:r>
      <w:r w:rsidR="0015001E" w:rsidRPr="00FF18D7">
        <w:rPr>
          <w:rFonts w:ascii="Verdana" w:hAnsi="Verdana"/>
          <w:sz w:val="20"/>
          <w:szCs w:val="20"/>
        </w:rPr>
        <w:t xml:space="preserve">crito de 20 de octubre de 2011 presentado por </w:t>
      </w:r>
      <w:r w:rsidR="00512810" w:rsidRPr="00FF18D7">
        <w:rPr>
          <w:rFonts w:ascii="Verdana" w:hAnsi="Verdana"/>
          <w:sz w:val="20"/>
          <w:szCs w:val="20"/>
        </w:rPr>
        <w:t>los representantes de la víctima</w:t>
      </w:r>
      <w:r w:rsidR="00512810" w:rsidRPr="00FF18D7">
        <w:rPr>
          <w:rStyle w:val="FootnoteReference"/>
          <w:rFonts w:ascii="Verdana" w:hAnsi="Verdana"/>
          <w:sz w:val="20"/>
          <w:szCs w:val="20"/>
        </w:rPr>
        <w:footnoteReference w:id="2"/>
      </w:r>
      <w:r w:rsidR="00512810" w:rsidRPr="00FF18D7">
        <w:rPr>
          <w:rFonts w:ascii="Verdana" w:hAnsi="Verdana"/>
          <w:i/>
          <w:sz w:val="20"/>
          <w:szCs w:val="20"/>
        </w:rPr>
        <w:t xml:space="preserve">, </w:t>
      </w:r>
      <w:r w:rsidR="0015001E" w:rsidRPr="00FF18D7">
        <w:rPr>
          <w:rFonts w:ascii="Verdana" w:hAnsi="Verdana"/>
          <w:sz w:val="20"/>
          <w:szCs w:val="20"/>
        </w:rPr>
        <w:t>mediante el cual</w:t>
      </w:r>
      <w:r w:rsidR="0015001E" w:rsidRPr="00FF18D7">
        <w:rPr>
          <w:rFonts w:ascii="Verdana" w:hAnsi="Verdana"/>
          <w:i/>
          <w:sz w:val="20"/>
          <w:szCs w:val="20"/>
        </w:rPr>
        <w:t xml:space="preserve"> </w:t>
      </w:r>
      <w:r w:rsidR="00512810" w:rsidRPr="00FF18D7">
        <w:rPr>
          <w:rFonts w:ascii="Verdana" w:hAnsi="Verdana" w:cs="Arial"/>
          <w:sz w:val="20"/>
          <w:szCs w:val="20"/>
          <w:lang w:val="es-MX"/>
        </w:rPr>
        <w:t xml:space="preserve">remitieron copia de la </w:t>
      </w:r>
      <w:r w:rsidR="005A5AF5" w:rsidRPr="00FF18D7">
        <w:rPr>
          <w:rFonts w:ascii="Verdana" w:hAnsi="Verdana" w:cs="Arial"/>
          <w:sz w:val="20"/>
          <w:szCs w:val="20"/>
          <w:lang w:val="es-MX"/>
        </w:rPr>
        <w:t>decisión</w:t>
      </w:r>
      <w:r w:rsidR="00512810" w:rsidRPr="00FF18D7">
        <w:rPr>
          <w:rFonts w:ascii="Verdana" w:hAnsi="Verdana" w:cs="Arial"/>
          <w:sz w:val="20"/>
          <w:szCs w:val="20"/>
          <w:lang w:val="es-MX"/>
        </w:rPr>
        <w:t xml:space="preserve"> dictada por la Sala Constitucional del Tribunal Supremo de Justicia de Venezuela el 17 de octubre de </w:t>
      </w:r>
      <w:r w:rsidR="00334F7A">
        <w:rPr>
          <w:rFonts w:ascii="Verdana" w:hAnsi="Verdana" w:cs="Arial"/>
          <w:sz w:val="20"/>
          <w:szCs w:val="20"/>
          <w:lang w:val="es-MX"/>
        </w:rPr>
        <w:t>ese año</w:t>
      </w:r>
      <w:r w:rsidR="00512810" w:rsidRPr="00FF18D7">
        <w:rPr>
          <w:rFonts w:ascii="Verdana" w:hAnsi="Verdana" w:cs="Arial"/>
          <w:sz w:val="20"/>
          <w:szCs w:val="20"/>
          <w:lang w:val="es-MX"/>
        </w:rPr>
        <w:t>, mediante la cual declaró</w:t>
      </w:r>
      <w:r w:rsidR="00255187">
        <w:rPr>
          <w:rFonts w:ascii="Verdana" w:hAnsi="Verdana" w:cs="Arial"/>
          <w:sz w:val="20"/>
          <w:szCs w:val="20"/>
          <w:lang w:val="es-MX"/>
        </w:rPr>
        <w:t xml:space="preserve"> </w:t>
      </w:r>
      <w:r w:rsidR="00512810" w:rsidRPr="00FF18D7">
        <w:rPr>
          <w:rFonts w:ascii="Verdana" w:hAnsi="Verdana" w:cs="Arial"/>
          <w:sz w:val="20"/>
          <w:szCs w:val="20"/>
          <w:lang w:val="es-MX"/>
        </w:rPr>
        <w:t xml:space="preserve">“inejecutable” la Sentencia emitida por la Corte Interamericana en el presente caso, y presentaron observaciones al respecto. </w:t>
      </w:r>
    </w:p>
    <w:p w14:paraId="4A26945A" w14:textId="3ED4401E" w:rsidR="00BA1558" w:rsidRPr="00FF18D7" w:rsidRDefault="00344007" w:rsidP="00FF18D7">
      <w:pPr>
        <w:pStyle w:val="ListParagraph"/>
        <w:numPr>
          <w:ilvl w:val="0"/>
          <w:numId w:val="1"/>
        </w:numPr>
        <w:spacing w:before="120" w:after="120" w:line="240" w:lineRule="auto"/>
        <w:ind w:left="0" w:right="1444" w:firstLine="0"/>
        <w:contextualSpacing w:val="0"/>
        <w:jc w:val="both"/>
        <w:rPr>
          <w:rFonts w:ascii="Verdana" w:hAnsi="Verdana"/>
          <w:i/>
          <w:sz w:val="20"/>
          <w:szCs w:val="20"/>
        </w:rPr>
      </w:pPr>
      <w:r w:rsidRPr="00FF18D7">
        <w:rPr>
          <w:rFonts w:ascii="Verdana" w:hAnsi="Verdana" w:cs="Arial"/>
          <w:sz w:val="20"/>
          <w:szCs w:val="20"/>
          <w:lang w:val="es-MX"/>
        </w:rPr>
        <w:lastRenderedPageBreak/>
        <w:t xml:space="preserve">El escrito presentado el 28 de octubre de 2011, mediante el cual la Presidenta de la Sala Constitucional del Tribunal Supremo de Justicia de Venezuela se dirigió al Presidente de la Corte Interamericana “a fin de remitirle copia certificada de la [referida] decisión” dictada en relación con la Sentencia del caso </w:t>
      </w:r>
      <w:r w:rsidRPr="00FF18D7">
        <w:rPr>
          <w:rFonts w:ascii="Verdana" w:hAnsi="Verdana" w:cs="Arial"/>
          <w:i/>
          <w:sz w:val="20"/>
          <w:szCs w:val="20"/>
          <w:lang w:val="es-MX"/>
        </w:rPr>
        <w:t xml:space="preserve">López Mendoza </w:t>
      </w:r>
      <w:r w:rsidRPr="00FF18D7">
        <w:rPr>
          <w:rFonts w:ascii="Verdana" w:hAnsi="Verdana" w:cs="Arial"/>
          <w:sz w:val="20"/>
          <w:szCs w:val="20"/>
          <w:lang w:val="es-MX"/>
        </w:rPr>
        <w:t>(</w:t>
      </w:r>
      <w:r w:rsidRPr="00FF18D7">
        <w:rPr>
          <w:rFonts w:ascii="Verdana" w:hAnsi="Verdana" w:cs="Arial"/>
          <w:i/>
          <w:sz w:val="20"/>
          <w:szCs w:val="20"/>
          <w:lang w:val="es-MX"/>
        </w:rPr>
        <w:t>supra</w:t>
      </w:r>
      <w:r w:rsidRPr="00FF18D7">
        <w:rPr>
          <w:rFonts w:ascii="Verdana" w:hAnsi="Verdana" w:cs="Arial"/>
          <w:sz w:val="20"/>
          <w:szCs w:val="20"/>
          <w:lang w:val="es-MX"/>
        </w:rPr>
        <w:t xml:space="preserve"> </w:t>
      </w:r>
      <w:r w:rsidR="00BA1558" w:rsidRPr="00FF18D7">
        <w:rPr>
          <w:rFonts w:ascii="Verdana" w:hAnsi="Verdana" w:cs="Arial"/>
          <w:sz w:val="20"/>
          <w:szCs w:val="20"/>
          <w:lang w:val="es-MX"/>
        </w:rPr>
        <w:t>Visto</w:t>
      </w:r>
      <w:r w:rsidRPr="00FF18D7">
        <w:rPr>
          <w:rFonts w:ascii="Verdana" w:hAnsi="Verdana" w:cs="Arial"/>
          <w:sz w:val="20"/>
          <w:szCs w:val="20"/>
          <w:lang w:val="es-MX"/>
        </w:rPr>
        <w:t xml:space="preserve"> </w:t>
      </w:r>
      <w:r w:rsidR="006A5EE7">
        <w:rPr>
          <w:rFonts w:ascii="Verdana" w:hAnsi="Verdana" w:cs="Arial"/>
          <w:sz w:val="20"/>
          <w:szCs w:val="20"/>
          <w:lang w:val="es-MX"/>
        </w:rPr>
        <w:t>2</w:t>
      </w:r>
      <w:r w:rsidRPr="00FF18D7">
        <w:rPr>
          <w:rFonts w:ascii="Verdana" w:hAnsi="Verdana" w:cs="Arial"/>
          <w:sz w:val="20"/>
          <w:szCs w:val="20"/>
          <w:lang w:val="es-MX"/>
        </w:rPr>
        <w:t xml:space="preserve">). </w:t>
      </w:r>
    </w:p>
    <w:p w14:paraId="5171B3EF" w14:textId="6FAC8661" w:rsidR="003D7403" w:rsidRPr="003D7403" w:rsidRDefault="003D7403" w:rsidP="00FF18D7">
      <w:pPr>
        <w:pStyle w:val="ListParagraph"/>
        <w:numPr>
          <w:ilvl w:val="0"/>
          <w:numId w:val="1"/>
        </w:numPr>
        <w:spacing w:before="120" w:after="120" w:line="240" w:lineRule="auto"/>
        <w:ind w:left="0" w:right="1444" w:firstLine="0"/>
        <w:contextualSpacing w:val="0"/>
        <w:jc w:val="both"/>
        <w:rPr>
          <w:rFonts w:ascii="Verdana" w:hAnsi="Verdana"/>
          <w:sz w:val="20"/>
          <w:szCs w:val="20"/>
        </w:rPr>
      </w:pPr>
      <w:r w:rsidRPr="003D7403">
        <w:rPr>
          <w:rFonts w:ascii="Verdana" w:hAnsi="Verdana"/>
          <w:sz w:val="20"/>
          <w:szCs w:val="20"/>
        </w:rPr>
        <w:t>La nota de la Secretaría de la Corte</w:t>
      </w:r>
      <w:r w:rsidR="006A5EE7">
        <w:rPr>
          <w:rFonts w:ascii="Verdana" w:hAnsi="Verdana"/>
          <w:sz w:val="20"/>
          <w:szCs w:val="20"/>
        </w:rPr>
        <w:t xml:space="preserve"> de 3 de noviembre de 2011</w:t>
      </w:r>
      <w:r w:rsidRPr="003D7403">
        <w:rPr>
          <w:rFonts w:ascii="Verdana" w:hAnsi="Verdana"/>
          <w:sz w:val="20"/>
          <w:szCs w:val="20"/>
        </w:rPr>
        <w:t xml:space="preserve">, mediante la cual, siguiendo instrucciones del Presidente del Tribunal, </w:t>
      </w:r>
      <w:r w:rsidR="00AA116A">
        <w:rPr>
          <w:rFonts w:ascii="Verdana" w:hAnsi="Verdana"/>
          <w:sz w:val="20"/>
          <w:szCs w:val="20"/>
        </w:rPr>
        <w:t xml:space="preserve">se requirió a Venezuela que presentara observaciones </w:t>
      </w:r>
      <w:r w:rsidR="00AA116A" w:rsidRPr="00FF18D7">
        <w:rPr>
          <w:rFonts w:ascii="Verdana" w:hAnsi="Verdana" w:cs="Arial"/>
          <w:sz w:val="20"/>
          <w:szCs w:val="20"/>
          <w:lang w:val="es-MX"/>
        </w:rPr>
        <w:t>al escrito de los representantes de 20 de octubre de 2011 (</w:t>
      </w:r>
      <w:r w:rsidR="00AA116A" w:rsidRPr="003D7403">
        <w:rPr>
          <w:rFonts w:ascii="Verdana" w:hAnsi="Verdana" w:cs="Arial"/>
          <w:i/>
          <w:sz w:val="20"/>
          <w:szCs w:val="20"/>
          <w:lang w:val="es-MX"/>
        </w:rPr>
        <w:t>supra</w:t>
      </w:r>
      <w:r w:rsidR="00AA116A" w:rsidRPr="00FF18D7">
        <w:rPr>
          <w:rFonts w:ascii="Verdana" w:hAnsi="Verdana" w:cs="Arial"/>
          <w:sz w:val="20"/>
          <w:szCs w:val="20"/>
          <w:lang w:val="es-MX"/>
        </w:rPr>
        <w:t xml:space="preserve"> Visto </w:t>
      </w:r>
      <w:r w:rsidR="006A5EE7">
        <w:rPr>
          <w:rFonts w:ascii="Verdana" w:hAnsi="Verdana" w:cs="Arial"/>
          <w:sz w:val="20"/>
          <w:szCs w:val="20"/>
          <w:lang w:val="es-MX"/>
        </w:rPr>
        <w:t>2</w:t>
      </w:r>
      <w:r w:rsidR="00AA116A" w:rsidRPr="00FF18D7">
        <w:rPr>
          <w:rFonts w:ascii="Verdana" w:hAnsi="Verdana" w:cs="Arial"/>
          <w:sz w:val="20"/>
          <w:szCs w:val="20"/>
          <w:lang w:val="es-MX"/>
        </w:rPr>
        <w:t>)</w:t>
      </w:r>
      <w:r w:rsidR="00AA116A">
        <w:rPr>
          <w:rFonts w:ascii="Verdana" w:hAnsi="Verdana" w:cs="Arial"/>
          <w:sz w:val="20"/>
          <w:szCs w:val="20"/>
          <w:lang w:val="es-MX"/>
        </w:rPr>
        <w:t>.</w:t>
      </w:r>
    </w:p>
    <w:p w14:paraId="45160C26" w14:textId="0229587D" w:rsidR="00BA1558" w:rsidRPr="00FF18D7" w:rsidRDefault="00BA1558" w:rsidP="00FF18D7">
      <w:pPr>
        <w:pStyle w:val="ListParagraph"/>
        <w:numPr>
          <w:ilvl w:val="0"/>
          <w:numId w:val="1"/>
        </w:numPr>
        <w:spacing w:before="120" w:after="120" w:line="240" w:lineRule="auto"/>
        <w:ind w:left="0" w:right="1444" w:firstLine="0"/>
        <w:contextualSpacing w:val="0"/>
        <w:jc w:val="both"/>
        <w:rPr>
          <w:rFonts w:ascii="Verdana" w:hAnsi="Verdana"/>
          <w:i/>
          <w:sz w:val="20"/>
          <w:szCs w:val="20"/>
        </w:rPr>
      </w:pPr>
      <w:r w:rsidRPr="00FF18D7">
        <w:rPr>
          <w:rFonts w:ascii="Verdana" w:hAnsi="Verdana" w:cs="Arial"/>
          <w:sz w:val="20"/>
          <w:szCs w:val="20"/>
          <w:lang w:val="es-MX"/>
        </w:rPr>
        <w:t xml:space="preserve">El escrito de 1 de diciembre de 2011, mediante el cual la </w:t>
      </w:r>
      <w:r w:rsidRPr="00FF18D7">
        <w:rPr>
          <w:rFonts w:ascii="Verdana" w:hAnsi="Verdana"/>
          <w:sz w:val="20"/>
          <w:szCs w:val="20"/>
          <w:lang w:val="es-MX"/>
        </w:rPr>
        <w:t xml:space="preserve">Comisión Interamericana </w:t>
      </w:r>
      <w:r w:rsidR="00BD4E05" w:rsidRPr="00FF18D7">
        <w:rPr>
          <w:rFonts w:ascii="Verdana" w:hAnsi="Verdana"/>
          <w:sz w:val="20"/>
          <w:szCs w:val="20"/>
          <w:lang w:val="es-MX"/>
        </w:rPr>
        <w:t xml:space="preserve">de Derechos Humanos (en adelante “la Comisión Interamericana” o “la Comisión”) </w:t>
      </w:r>
      <w:r w:rsidRPr="00FF18D7">
        <w:rPr>
          <w:rFonts w:ascii="Verdana" w:hAnsi="Verdana"/>
          <w:sz w:val="20"/>
          <w:szCs w:val="20"/>
          <w:lang w:val="es-MX"/>
        </w:rPr>
        <w:t>presentó observaciones respecto de la referida decisión del Tribunal Supremo de Justicia (</w:t>
      </w:r>
      <w:r w:rsidRPr="00FF18D7">
        <w:rPr>
          <w:rFonts w:ascii="Verdana" w:hAnsi="Verdana"/>
          <w:i/>
          <w:sz w:val="20"/>
          <w:szCs w:val="20"/>
          <w:lang w:val="es-MX"/>
        </w:rPr>
        <w:t>supra</w:t>
      </w:r>
      <w:r w:rsidRPr="00FF18D7">
        <w:rPr>
          <w:rFonts w:ascii="Verdana" w:hAnsi="Verdana"/>
          <w:sz w:val="20"/>
          <w:szCs w:val="20"/>
          <w:lang w:val="es-MX"/>
        </w:rPr>
        <w:t xml:space="preserve"> Visto</w:t>
      </w:r>
      <w:r w:rsidR="00AA116A">
        <w:rPr>
          <w:rFonts w:ascii="Verdana" w:hAnsi="Verdana"/>
          <w:sz w:val="20"/>
          <w:szCs w:val="20"/>
          <w:lang w:val="es-MX"/>
        </w:rPr>
        <w:t xml:space="preserve">s </w:t>
      </w:r>
      <w:r w:rsidR="006A5EE7">
        <w:rPr>
          <w:rFonts w:ascii="Verdana" w:hAnsi="Verdana"/>
          <w:sz w:val="20"/>
          <w:szCs w:val="20"/>
          <w:lang w:val="es-MX"/>
        </w:rPr>
        <w:t xml:space="preserve">2 </w:t>
      </w:r>
      <w:r w:rsidR="00AA116A">
        <w:rPr>
          <w:rFonts w:ascii="Verdana" w:hAnsi="Verdana"/>
          <w:sz w:val="20"/>
          <w:szCs w:val="20"/>
          <w:lang w:val="es-MX"/>
        </w:rPr>
        <w:t xml:space="preserve">y </w:t>
      </w:r>
      <w:r w:rsidR="006A5EE7">
        <w:rPr>
          <w:rFonts w:ascii="Verdana" w:hAnsi="Verdana"/>
          <w:sz w:val="20"/>
          <w:szCs w:val="20"/>
          <w:lang w:val="es-MX"/>
        </w:rPr>
        <w:t>3</w:t>
      </w:r>
      <w:r w:rsidRPr="00FF18D7">
        <w:rPr>
          <w:rFonts w:ascii="Verdana" w:hAnsi="Verdana"/>
          <w:sz w:val="20"/>
          <w:szCs w:val="20"/>
          <w:lang w:val="es-MX"/>
        </w:rPr>
        <w:t xml:space="preserve">). </w:t>
      </w:r>
    </w:p>
    <w:p w14:paraId="79DCE445" w14:textId="27B3CFE7" w:rsidR="00CC4892" w:rsidRPr="00FF18D7" w:rsidRDefault="00CC4892" w:rsidP="00FF18D7">
      <w:pPr>
        <w:pStyle w:val="ListParagraph"/>
        <w:numPr>
          <w:ilvl w:val="0"/>
          <w:numId w:val="1"/>
        </w:numPr>
        <w:spacing w:before="120" w:after="120" w:line="240" w:lineRule="auto"/>
        <w:ind w:left="0" w:right="1444" w:firstLine="0"/>
        <w:contextualSpacing w:val="0"/>
        <w:jc w:val="both"/>
        <w:rPr>
          <w:rFonts w:ascii="Verdana" w:hAnsi="Verdana"/>
          <w:i/>
          <w:sz w:val="20"/>
          <w:szCs w:val="20"/>
        </w:rPr>
      </w:pPr>
      <w:r w:rsidRPr="00FF18D7">
        <w:rPr>
          <w:rFonts w:ascii="Verdana" w:hAnsi="Verdana" w:cs="Arial"/>
          <w:sz w:val="20"/>
          <w:szCs w:val="20"/>
          <w:lang w:val="es-MX"/>
        </w:rPr>
        <w:t>Las notas de la Secretaría d</w:t>
      </w:r>
      <w:r w:rsidR="003D7403">
        <w:rPr>
          <w:rFonts w:ascii="Verdana" w:hAnsi="Verdana" w:cs="Arial"/>
          <w:sz w:val="20"/>
          <w:szCs w:val="20"/>
          <w:lang w:val="es-MX"/>
        </w:rPr>
        <w:t>e 26 de septiembre de 2012 y</w:t>
      </w:r>
      <w:r w:rsidR="006A5EE7">
        <w:rPr>
          <w:rFonts w:ascii="Verdana" w:hAnsi="Verdana" w:cs="Arial"/>
          <w:sz w:val="20"/>
          <w:szCs w:val="20"/>
          <w:lang w:val="es-MX"/>
        </w:rPr>
        <w:t xml:space="preserve"> </w:t>
      </w:r>
      <w:r w:rsidRPr="00FF18D7">
        <w:rPr>
          <w:rFonts w:ascii="Verdana" w:hAnsi="Verdana" w:cs="Arial"/>
          <w:sz w:val="20"/>
          <w:szCs w:val="20"/>
          <w:lang w:val="es-MX"/>
        </w:rPr>
        <w:t>14 de mayo de 2013, mediante las cuales, siguiendo instrucciones del Presidente del T</w:t>
      </w:r>
      <w:r w:rsidR="003D7403">
        <w:rPr>
          <w:rFonts w:ascii="Verdana" w:hAnsi="Verdana" w:cs="Arial"/>
          <w:sz w:val="20"/>
          <w:szCs w:val="20"/>
          <w:lang w:val="es-MX"/>
        </w:rPr>
        <w:t>ribunal, se reiteró al Estado</w:t>
      </w:r>
      <w:r w:rsidRPr="00FF18D7">
        <w:rPr>
          <w:rFonts w:ascii="Verdana" w:hAnsi="Verdana" w:cs="Arial"/>
          <w:sz w:val="20"/>
          <w:szCs w:val="20"/>
          <w:lang w:val="es-MX"/>
        </w:rPr>
        <w:t xml:space="preserve"> que presentara </w:t>
      </w:r>
      <w:r w:rsidRPr="00FF18D7">
        <w:rPr>
          <w:rFonts w:ascii="Verdana" w:hAnsi="Verdana"/>
          <w:sz w:val="20"/>
          <w:szCs w:val="20"/>
        </w:rPr>
        <w:t xml:space="preserve">el informe sobre el cumplimiento de las reparaciones, requerido en el punto dispositivo séptimo de la Sentencia, ya que el plazo para su presentación venció el </w:t>
      </w:r>
      <w:r w:rsidRPr="00FF18D7">
        <w:rPr>
          <w:rFonts w:ascii="Verdana" w:hAnsi="Verdana" w:cs="Arial"/>
          <w:sz w:val="20"/>
          <w:szCs w:val="20"/>
          <w:lang w:val="es-MX"/>
        </w:rPr>
        <w:t xml:space="preserve">16 de septiembre de 2012, </w:t>
      </w:r>
      <w:r w:rsidRPr="00FF18D7">
        <w:rPr>
          <w:rFonts w:ascii="Verdana" w:hAnsi="Verdana"/>
          <w:sz w:val="20"/>
          <w:szCs w:val="20"/>
        </w:rPr>
        <w:t xml:space="preserve">sin que lo hubiere </w:t>
      </w:r>
      <w:r w:rsidR="00A80E5D" w:rsidRPr="00FF18D7">
        <w:rPr>
          <w:rFonts w:ascii="Verdana" w:hAnsi="Verdana"/>
          <w:sz w:val="20"/>
          <w:szCs w:val="20"/>
        </w:rPr>
        <w:t>presentad</w:t>
      </w:r>
      <w:r w:rsidR="00A80E5D">
        <w:rPr>
          <w:rFonts w:ascii="Verdana" w:hAnsi="Verdana"/>
          <w:sz w:val="20"/>
          <w:szCs w:val="20"/>
        </w:rPr>
        <w:t>o</w:t>
      </w:r>
      <w:r w:rsidRPr="00FF18D7">
        <w:rPr>
          <w:rStyle w:val="FootnoteReference"/>
          <w:rFonts w:ascii="Verdana" w:hAnsi="Verdana"/>
          <w:sz w:val="20"/>
          <w:szCs w:val="20"/>
        </w:rPr>
        <w:footnoteReference w:id="3"/>
      </w:r>
      <w:r w:rsidR="0033064A">
        <w:rPr>
          <w:rFonts w:ascii="Verdana" w:hAnsi="Verdana"/>
          <w:sz w:val="20"/>
          <w:szCs w:val="20"/>
        </w:rPr>
        <w:t xml:space="preserve">, así como </w:t>
      </w:r>
      <w:r w:rsidR="00FA0F7C">
        <w:rPr>
          <w:rFonts w:ascii="Verdana" w:hAnsi="Verdana"/>
          <w:sz w:val="20"/>
          <w:szCs w:val="20"/>
        </w:rPr>
        <w:t>que presentara las</w:t>
      </w:r>
      <w:r w:rsidR="0033064A">
        <w:rPr>
          <w:rFonts w:ascii="Verdana" w:hAnsi="Verdana"/>
          <w:sz w:val="20"/>
          <w:szCs w:val="20"/>
        </w:rPr>
        <w:t xml:space="preserve"> </w:t>
      </w:r>
      <w:r w:rsidRPr="00FF18D7">
        <w:rPr>
          <w:rFonts w:ascii="Verdana" w:hAnsi="Verdana" w:cs="Arial"/>
          <w:sz w:val="20"/>
          <w:szCs w:val="20"/>
          <w:lang w:val="es-MX"/>
        </w:rPr>
        <w:t>observaciones al escrito de los representantes de 20 de octubre de 2011 (</w:t>
      </w:r>
      <w:r w:rsidRPr="003D7403">
        <w:rPr>
          <w:rFonts w:ascii="Verdana" w:hAnsi="Verdana" w:cs="Arial"/>
          <w:i/>
          <w:sz w:val="20"/>
          <w:szCs w:val="20"/>
          <w:lang w:val="es-MX"/>
        </w:rPr>
        <w:t>supra</w:t>
      </w:r>
      <w:r w:rsidRPr="00FF18D7">
        <w:rPr>
          <w:rFonts w:ascii="Verdana" w:hAnsi="Verdana" w:cs="Arial"/>
          <w:sz w:val="20"/>
          <w:szCs w:val="20"/>
          <w:lang w:val="es-MX"/>
        </w:rPr>
        <w:t xml:space="preserve"> Visto</w:t>
      </w:r>
      <w:r w:rsidR="00FA0F7C">
        <w:rPr>
          <w:rFonts w:ascii="Verdana" w:hAnsi="Verdana" w:cs="Arial"/>
          <w:sz w:val="20"/>
          <w:szCs w:val="20"/>
          <w:lang w:val="es-MX"/>
        </w:rPr>
        <w:t>s</w:t>
      </w:r>
      <w:r w:rsidRPr="00FF18D7">
        <w:rPr>
          <w:rFonts w:ascii="Verdana" w:hAnsi="Verdana" w:cs="Arial"/>
          <w:sz w:val="20"/>
          <w:szCs w:val="20"/>
          <w:lang w:val="es-MX"/>
        </w:rPr>
        <w:t xml:space="preserve"> </w:t>
      </w:r>
      <w:r w:rsidR="00A80E5D">
        <w:rPr>
          <w:rFonts w:ascii="Verdana" w:hAnsi="Verdana" w:cs="Arial"/>
          <w:sz w:val="20"/>
          <w:szCs w:val="20"/>
          <w:lang w:val="es-MX"/>
        </w:rPr>
        <w:t>2 y 4</w:t>
      </w:r>
      <w:r w:rsidRPr="00FF18D7">
        <w:rPr>
          <w:rFonts w:ascii="Verdana" w:hAnsi="Verdana" w:cs="Arial"/>
          <w:sz w:val="20"/>
          <w:szCs w:val="20"/>
          <w:lang w:val="es-MX"/>
        </w:rPr>
        <w:t>).</w:t>
      </w:r>
    </w:p>
    <w:p w14:paraId="2A2E1C6F" w14:textId="4A01A356" w:rsidR="00BD4E05" w:rsidRPr="00FF18D7" w:rsidRDefault="00235016" w:rsidP="00FF18D7">
      <w:pPr>
        <w:pStyle w:val="ListParagraph"/>
        <w:numPr>
          <w:ilvl w:val="0"/>
          <w:numId w:val="1"/>
        </w:numPr>
        <w:spacing w:before="120" w:after="120" w:line="240" w:lineRule="auto"/>
        <w:ind w:left="0" w:right="1444" w:firstLine="0"/>
        <w:contextualSpacing w:val="0"/>
        <w:jc w:val="both"/>
        <w:rPr>
          <w:rFonts w:ascii="Verdana" w:hAnsi="Verdana"/>
          <w:i/>
          <w:sz w:val="20"/>
          <w:szCs w:val="20"/>
        </w:rPr>
      </w:pPr>
      <w:r w:rsidRPr="00FF18D7">
        <w:rPr>
          <w:rFonts w:ascii="Verdana" w:hAnsi="Verdana"/>
          <w:sz w:val="20"/>
          <w:szCs w:val="20"/>
        </w:rPr>
        <w:t>El escrito de 14 de junio de 2013</w:t>
      </w:r>
      <w:r w:rsidR="00BD4E05" w:rsidRPr="00FF18D7">
        <w:rPr>
          <w:rFonts w:ascii="Verdana" w:hAnsi="Verdana"/>
          <w:sz w:val="20"/>
          <w:szCs w:val="20"/>
        </w:rPr>
        <w:t xml:space="preserve"> presentado por el Estado</w:t>
      </w:r>
      <w:r w:rsidR="00FA0F7C">
        <w:rPr>
          <w:rFonts w:ascii="Verdana" w:hAnsi="Verdana"/>
          <w:sz w:val="20"/>
          <w:szCs w:val="20"/>
        </w:rPr>
        <w:t xml:space="preserve"> </w:t>
      </w:r>
      <w:r w:rsidR="00BD4E05" w:rsidRPr="00FF18D7">
        <w:rPr>
          <w:rFonts w:ascii="Verdana" w:hAnsi="Verdana" w:cs="Arial"/>
          <w:sz w:val="20"/>
          <w:szCs w:val="20"/>
          <w:lang w:val="es-MX"/>
        </w:rPr>
        <w:t>en respuesta a los requerimientos de que informara sobre las medidas adoptadas para dar cumplimiento a la Sentencia (</w:t>
      </w:r>
      <w:r w:rsidR="00BD4E05" w:rsidRPr="00FF18D7">
        <w:rPr>
          <w:rFonts w:ascii="Verdana" w:hAnsi="Verdana" w:cs="Arial"/>
          <w:i/>
          <w:sz w:val="20"/>
          <w:szCs w:val="20"/>
          <w:lang w:val="es-MX"/>
        </w:rPr>
        <w:t>supra</w:t>
      </w:r>
      <w:r w:rsidR="00BD4E05" w:rsidRPr="00FF18D7">
        <w:rPr>
          <w:rFonts w:ascii="Verdana" w:hAnsi="Verdana" w:cs="Arial"/>
          <w:sz w:val="20"/>
          <w:szCs w:val="20"/>
          <w:lang w:val="es-MX"/>
        </w:rPr>
        <w:t xml:space="preserve"> Visto</w:t>
      </w:r>
      <w:r w:rsidR="00EA7789">
        <w:rPr>
          <w:rFonts w:ascii="Verdana" w:hAnsi="Verdana" w:cs="Arial"/>
          <w:sz w:val="20"/>
          <w:szCs w:val="20"/>
          <w:lang w:val="es-MX"/>
        </w:rPr>
        <w:t>s</w:t>
      </w:r>
      <w:r w:rsidR="00FA0F7C">
        <w:rPr>
          <w:rFonts w:ascii="Verdana" w:hAnsi="Verdana" w:cs="Arial"/>
          <w:sz w:val="20"/>
          <w:szCs w:val="20"/>
          <w:lang w:val="es-MX"/>
        </w:rPr>
        <w:t xml:space="preserve"> </w:t>
      </w:r>
      <w:r w:rsidR="00A80E5D">
        <w:rPr>
          <w:rFonts w:ascii="Verdana" w:hAnsi="Verdana" w:cs="Arial"/>
          <w:sz w:val="20"/>
          <w:szCs w:val="20"/>
          <w:lang w:val="es-MX"/>
        </w:rPr>
        <w:t xml:space="preserve">4 </w:t>
      </w:r>
      <w:r w:rsidR="00EA7789">
        <w:rPr>
          <w:rFonts w:ascii="Verdana" w:hAnsi="Verdana" w:cs="Arial"/>
          <w:sz w:val="20"/>
          <w:szCs w:val="20"/>
          <w:lang w:val="es-MX"/>
        </w:rPr>
        <w:t xml:space="preserve">y </w:t>
      </w:r>
      <w:r w:rsidR="00A80E5D">
        <w:rPr>
          <w:rFonts w:ascii="Verdana" w:hAnsi="Verdana" w:cs="Arial"/>
          <w:sz w:val="20"/>
          <w:szCs w:val="20"/>
          <w:lang w:val="es-MX"/>
        </w:rPr>
        <w:t>6</w:t>
      </w:r>
      <w:r w:rsidR="00A80E5D" w:rsidRPr="0097453E">
        <w:rPr>
          <w:rFonts w:ascii="Verdana" w:hAnsi="Verdana" w:cs="Arial"/>
          <w:sz w:val="20"/>
          <w:szCs w:val="20"/>
          <w:lang w:val="es-MX"/>
        </w:rPr>
        <w:t xml:space="preserve"> </w:t>
      </w:r>
      <w:r w:rsidR="001D6AAE" w:rsidRPr="0097453E">
        <w:rPr>
          <w:rFonts w:ascii="Verdana" w:hAnsi="Verdana" w:cs="Arial"/>
          <w:sz w:val="20"/>
          <w:szCs w:val="20"/>
          <w:lang w:val="es-MX"/>
        </w:rPr>
        <w:t xml:space="preserve">e </w:t>
      </w:r>
      <w:r w:rsidR="001D6AAE" w:rsidRPr="00B6770D">
        <w:rPr>
          <w:rFonts w:ascii="Verdana" w:hAnsi="Verdana" w:cs="Arial"/>
          <w:i/>
          <w:sz w:val="20"/>
          <w:szCs w:val="20"/>
          <w:lang w:val="es-MX"/>
        </w:rPr>
        <w:t>infra</w:t>
      </w:r>
      <w:r w:rsidR="0097453E" w:rsidRPr="00B6770D">
        <w:rPr>
          <w:rFonts w:ascii="Verdana" w:hAnsi="Verdana" w:cs="Arial"/>
          <w:sz w:val="20"/>
          <w:szCs w:val="20"/>
          <w:lang w:val="es-MX"/>
        </w:rPr>
        <w:t xml:space="preserve"> Considerando 8</w:t>
      </w:r>
      <w:r w:rsidR="00EA7789" w:rsidRPr="00B6770D">
        <w:rPr>
          <w:rFonts w:ascii="Verdana" w:hAnsi="Verdana" w:cs="Arial"/>
          <w:sz w:val="20"/>
          <w:szCs w:val="20"/>
          <w:lang w:val="es-MX"/>
        </w:rPr>
        <w:t>)</w:t>
      </w:r>
      <w:r w:rsidR="00BD4E05" w:rsidRPr="00B6770D">
        <w:rPr>
          <w:rFonts w:ascii="Verdana" w:hAnsi="Verdana" w:cs="Arial"/>
          <w:sz w:val="20"/>
          <w:szCs w:val="20"/>
          <w:lang w:val="es-MX"/>
        </w:rPr>
        <w:t>.</w:t>
      </w:r>
    </w:p>
    <w:p w14:paraId="4605A16B" w14:textId="31B04B78" w:rsidR="00BD4E05" w:rsidRPr="00FF18D7" w:rsidRDefault="00BD4E05" w:rsidP="00FF18D7">
      <w:pPr>
        <w:pStyle w:val="ListParagraph"/>
        <w:numPr>
          <w:ilvl w:val="0"/>
          <w:numId w:val="1"/>
        </w:numPr>
        <w:spacing w:before="120" w:after="120" w:line="240" w:lineRule="auto"/>
        <w:ind w:left="0" w:right="1444" w:firstLine="0"/>
        <w:contextualSpacing w:val="0"/>
        <w:jc w:val="both"/>
        <w:rPr>
          <w:rFonts w:ascii="Verdana" w:hAnsi="Verdana"/>
          <w:i/>
          <w:sz w:val="20"/>
          <w:szCs w:val="20"/>
        </w:rPr>
      </w:pPr>
      <w:r w:rsidRPr="00FF18D7">
        <w:rPr>
          <w:rFonts w:ascii="Verdana" w:hAnsi="Verdana" w:cs="Arial"/>
          <w:sz w:val="20"/>
          <w:szCs w:val="20"/>
          <w:lang w:val="es-MX"/>
        </w:rPr>
        <w:t>Los escritos de 16 y 26 de julio de 2013, mediante los cuales los representantes de la víctima y la Comisión Interamericana, respectivamente, presentaron sus observaciones al escrito de Venezuela de 14 de junio de 2013 (</w:t>
      </w:r>
      <w:r w:rsidRPr="00FF18D7">
        <w:rPr>
          <w:rFonts w:ascii="Verdana" w:hAnsi="Verdana" w:cs="Arial"/>
          <w:i/>
          <w:sz w:val="20"/>
          <w:szCs w:val="20"/>
          <w:lang w:val="es-MX"/>
        </w:rPr>
        <w:t>supra</w:t>
      </w:r>
      <w:r w:rsidRPr="00FF18D7">
        <w:rPr>
          <w:rFonts w:ascii="Verdana" w:hAnsi="Verdana" w:cs="Arial"/>
          <w:sz w:val="20"/>
          <w:szCs w:val="20"/>
          <w:lang w:val="es-MX"/>
        </w:rPr>
        <w:t xml:space="preserve"> Visto </w:t>
      </w:r>
      <w:r w:rsidR="00A80E5D">
        <w:rPr>
          <w:rFonts w:ascii="Verdana" w:hAnsi="Verdana" w:cs="Arial"/>
          <w:sz w:val="20"/>
          <w:szCs w:val="20"/>
          <w:lang w:val="es-MX"/>
        </w:rPr>
        <w:t>7</w:t>
      </w:r>
      <w:r w:rsidR="00B6770D">
        <w:rPr>
          <w:rFonts w:ascii="Verdana" w:hAnsi="Verdana" w:cs="Arial"/>
          <w:sz w:val="20"/>
          <w:szCs w:val="20"/>
          <w:lang w:val="es-MX"/>
        </w:rPr>
        <w:t xml:space="preserve"> e </w:t>
      </w:r>
      <w:r w:rsidR="00B6770D" w:rsidRPr="00A035D0">
        <w:rPr>
          <w:rFonts w:ascii="Verdana" w:hAnsi="Verdana" w:cs="Arial"/>
          <w:i/>
          <w:sz w:val="20"/>
          <w:szCs w:val="20"/>
          <w:lang w:val="es-MX"/>
        </w:rPr>
        <w:t>infra</w:t>
      </w:r>
      <w:r w:rsidR="00B6770D">
        <w:rPr>
          <w:rFonts w:ascii="Verdana" w:hAnsi="Verdana" w:cs="Arial"/>
          <w:sz w:val="20"/>
          <w:szCs w:val="20"/>
          <w:lang w:val="es-MX"/>
        </w:rPr>
        <w:t xml:space="preserve"> Considerando 8</w:t>
      </w:r>
      <w:r w:rsidRPr="00FF18D7">
        <w:rPr>
          <w:rFonts w:ascii="Verdana" w:hAnsi="Verdana" w:cs="Arial"/>
          <w:sz w:val="20"/>
          <w:szCs w:val="20"/>
          <w:lang w:val="es-MX"/>
        </w:rPr>
        <w:t xml:space="preserve">). </w:t>
      </w:r>
    </w:p>
    <w:p w14:paraId="38D4696C" w14:textId="77777777" w:rsidR="00093807" w:rsidRPr="00D93E8F" w:rsidRDefault="00093807" w:rsidP="000B707C">
      <w:pPr>
        <w:pStyle w:val="ListParagraph"/>
        <w:spacing w:before="120" w:after="120" w:line="240" w:lineRule="auto"/>
        <w:ind w:left="0" w:right="1444"/>
        <w:jc w:val="both"/>
        <w:rPr>
          <w:rFonts w:ascii="Verdana" w:hAnsi="Verdana"/>
          <w:b/>
          <w:sz w:val="20"/>
          <w:szCs w:val="20"/>
        </w:rPr>
      </w:pPr>
    </w:p>
    <w:p w14:paraId="24301113" w14:textId="630BDBD8" w:rsidR="00A035D0" w:rsidRDefault="00FF3893" w:rsidP="00FF18D7">
      <w:pPr>
        <w:spacing w:before="120" w:after="120" w:line="240" w:lineRule="auto"/>
        <w:ind w:right="1444"/>
        <w:jc w:val="both"/>
        <w:rPr>
          <w:rFonts w:ascii="Verdana" w:hAnsi="Verdana"/>
          <w:b/>
          <w:sz w:val="20"/>
          <w:szCs w:val="20"/>
        </w:rPr>
      </w:pPr>
      <w:r w:rsidRPr="00D93E8F">
        <w:rPr>
          <w:rFonts w:ascii="Verdana" w:hAnsi="Verdana"/>
          <w:b/>
          <w:sz w:val="20"/>
          <w:szCs w:val="20"/>
        </w:rPr>
        <w:t>CONSIDERANDO QUE:</w:t>
      </w:r>
    </w:p>
    <w:p w14:paraId="7729F1BD" w14:textId="34D573F1" w:rsidR="00EF2A1A" w:rsidRDefault="00994F2B" w:rsidP="00560BE5">
      <w:pPr>
        <w:pStyle w:val="ListParagraph"/>
        <w:numPr>
          <w:ilvl w:val="0"/>
          <w:numId w:val="4"/>
        </w:numPr>
        <w:spacing w:before="120" w:after="120" w:line="240" w:lineRule="auto"/>
        <w:ind w:left="0" w:right="1444" w:firstLine="0"/>
        <w:contextualSpacing w:val="0"/>
        <w:jc w:val="both"/>
        <w:rPr>
          <w:rFonts w:ascii="Verdana" w:hAnsi="Verdana"/>
          <w:sz w:val="20"/>
          <w:szCs w:val="20"/>
          <w:lang w:val="es-MX"/>
        </w:rPr>
      </w:pPr>
      <w:r w:rsidRPr="00D93E8F">
        <w:rPr>
          <w:rFonts w:ascii="Verdana" w:hAnsi="Verdana"/>
          <w:sz w:val="20"/>
          <w:szCs w:val="20"/>
          <w:lang w:val="es-ES"/>
        </w:rPr>
        <w:t>En el ejercicio de su función jurisdiccional de supervisar el cumplimiento de sus decisiones</w:t>
      </w:r>
      <w:r w:rsidRPr="00D93E8F">
        <w:rPr>
          <w:rFonts w:ascii="Verdana" w:hAnsi="Verdana"/>
          <w:sz w:val="20"/>
          <w:szCs w:val="20"/>
          <w:vertAlign w:val="superscript"/>
        </w:rPr>
        <w:footnoteReference w:id="4"/>
      </w:r>
      <w:r w:rsidRPr="00D93E8F">
        <w:rPr>
          <w:rFonts w:ascii="Verdana" w:hAnsi="Verdana"/>
          <w:sz w:val="20"/>
          <w:szCs w:val="20"/>
          <w:lang w:val="es-ES"/>
        </w:rPr>
        <w:t xml:space="preserve"> la Corte ha venido </w:t>
      </w:r>
      <w:r w:rsidR="00D80E65">
        <w:rPr>
          <w:rFonts w:ascii="Verdana" w:hAnsi="Verdana"/>
          <w:sz w:val="20"/>
          <w:szCs w:val="20"/>
          <w:lang w:val="es-ES"/>
        </w:rPr>
        <w:t>considerando la ejecución de la Sentencia</w:t>
      </w:r>
      <w:r w:rsidRPr="00D93E8F">
        <w:rPr>
          <w:rFonts w:ascii="Verdana" w:hAnsi="Verdana"/>
          <w:sz w:val="20"/>
          <w:szCs w:val="20"/>
          <w:lang w:val="es-ES"/>
        </w:rPr>
        <w:t xml:space="preserve"> emitida </w:t>
      </w:r>
      <w:r w:rsidRPr="00D93E8F">
        <w:rPr>
          <w:rFonts w:ascii="Verdana" w:hAnsi="Verdana"/>
          <w:sz w:val="20"/>
          <w:szCs w:val="20"/>
          <w:lang w:val="es-MX"/>
        </w:rPr>
        <w:t xml:space="preserve">en </w:t>
      </w:r>
      <w:r w:rsidR="00A45977">
        <w:rPr>
          <w:rFonts w:ascii="Verdana" w:hAnsi="Verdana"/>
          <w:sz w:val="20"/>
          <w:szCs w:val="20"/>
          <w:lang w:val="es-MX"/>
        </w:rPr>
        <w:t>el presente caso</w:t>
      </w:r>
      <w:r w:rsidRPr="003A386A">
        <w:rPr>
          <w:rFonts w:ascii="Verdana" w:hAnsi="Verdana"/>
          <w:i/>
          <w:sz w:val="20"/>
          <w:szCs w:val="20"/>
          <w:lang w:val="es-MX"/>
        </w:rPr>
        <w:t xml:space="preserve"> </w:t>
      </w:r>
      <w:r w:rsidRPr="003A386A">
        <w:rPr>
          <w:rFonts w:ascii="Verdana" w:hAnsi="Verdana"/>
          <w:sz w:val="20"/>
          <w:szCs w:val="20"/>
          <w:lang w:val="es-MX"/>
        </w:rPr>
        <w:t xml:space="preserve">desde </w:t>
      </w:r>
      <w:r w:rsidR="00A45977">
        <w:rPr>
          <w:rFonts w:ascii="Verdana" w:hAnsi="Verdana"/>
          <w:sz w:val="20"/>
          <w:szCs w:val="20"/>
          <w:lang w:val="es-MX"/>
        </w:rPr>
        <w:t>hace más de cuatro años</w:t>
      </w:r>
      <w:r w:rsidRPr="003A386A">
        <w:rPr>
          <w:rFonts w:ascii="Verdana" w:hAnsi="Verdana"/>
          <w:sz w:val="20"/>
          <w:szCs w:val="20"/>
          <w:lang w:val="es-MX"/>
        </w:rPr>
        <w:t xml:space="preserve"> (</w:t>
      </w:r>
      <w:r w:rsidRPr="003A386A">
        <w:rPr>
          <w:rFonts w:ascii="Verdana" w:hAnsi="Verdana"/>
          <w:i/>
          <w:sz w:val="20"/>
          <w:szCs w:val="20"/>
          <w:lang w:val="es-MX"/>
        </w:rPr>
        <w:t>supra</w:t>
      </w:r>
      <w:r w:rsidRPr="003A386A">
        <w:rPr>
          <w:rFonts w:ascii="Verdana" w:hAnsi="Verdana"/>
          <w:sz w:val="20"/>
          <w:szCs w:val="20"/>
          <w:lang w:val="es-MX"/>
        </w:rPr>
        <w:t xml:space="preserve"> Visto 1).</w:t>
      </w:r>
      <w:r w:rsidR="0085758B" w:rsidRPr="0085758B">
        <w:rPr>
          <w:rFonts w:ascii="Verdana" w:hAnsi="Verdana"/>
          <w:sz w:val="20"/>
          <w:szCs w:val="20"/>
          <w:lang w:val="es-MX"/>
        </w:rPr>
        <w:t xml:space="preserve"> </w:t>
      </w:r>
      <w:bookmarkStart w:id="0" w:name="_Ref434335375"/>
      <w:r w:rsidR="00D85432" w:rsidRPr="003A386A">
        <w:rPr>
          <w:rFonts w:ascii="Verdana" w:hAnsi="Verdana"/>
          <w:sz w:val="20"/>
          <w:szCs w:val="20"/>
          <w:lang w:val="es-MX"/>
        </w:rPr>
        <w:t>En la presente</w:t>
      </w:r>
      <w:r w:rsidR="00D85432">
        <w:rPr>
          <w:rFonts w:ascii="Verdana" w:hAnsi="Verdana"/>
          <w:sz w:val="20"/>
          <w:szCs w:val="20"/>
          <w:lang w:val="es-MX"/>
        </w:rPr>
        <w:t xml:space="preserve"> resolución la Corte analizará </w:t>
      </w:r>
      <w:r w:rsidR="00D85432" w:rsidRPr="003A386A">
        <w:rPr>
          <w:rFonts w:ascii="Verdana" w:hAnsi="Verdana"/>
          <w:sz w:val="20"/>
          <w:szCs w:val="20"/>
          <w:lang w:val="es-MX"/>
        </w:rPr>
        <w:t xml:space="preserve">la posición de Venezuela con respecto al cumplimiento de las reparaciones </w:t>
      </w:r>
      <w:r w:rsidR="00D85432">
        <w:rPr>
          <w:rFonts w:ascii="Verdana" w:hAnsi="Verdana"/>
          <w:sz w:val="20"/>
          <w:szCs w:val="20"/>
          <w:lang w:val="es-MX"/>
        </w:rPr>
        <w:t xml:space="preserve">ordenadas en la Sentencia del caso </w:t>
      </w:r>
      <w:r w:rsidR="00D85432" w:rsidRPr="003D2B83">
        <w:rPr>
          <w:rFonts w:ascii="Verdana" w:hAnsi="Verdana"/>
          <w:i/>
          <w:sz w:val="20"/>
          <w:szCs w:val="20"/>
          <w:lang w:val="es-MX"/>
        </w:rPr>
        <w:t>López Mendoza</w:t>
      </w:r>
      <w:r w:rsidR="00D85432" w:rsidRPr="003A386A">
        <w:rPr>
          <w:rFonts w:ascii="Verdana" w:hAnsi="Verdana"/>
          <w:sz w:val="20"/>
          <w:szCs w:val="20"/>
          <w:lang w:val="es-MX"/>
        </w:rPr>
        <w:t xml:space="preserve">, </w:t>
      </w:r>
      <w:r w:rsidR="00D85432">
        <w:rPr>
          <w:rFonts w:ascii="Verdana" w:hAnsi="Verdana"/>
          <w:sz w:val="20"/>
          <w:szCs w:val="20"/>
          <w:lang w:val="es-MX"/>
        </w:rPr>
        <w:t xml:space="preserve">respecto de las cuales </w:t>
      </w:r>
      <w:r w:rsidR="00D80E65">
        <w:rPr>
          <w:rFonts w:ascii="Verdana" w:hAnsi="Verdana"/>
          <w:sz w:val="20"/>
          <w:szCs w:val="20"/>
          <w:lang w:val="es-MX"/>
        </w:rPr>
        <w:t>la Sala Constitucional del Tribunal Supremo de Justicia de Venezuela dictó</w:t>
      </w:r>
      <w:r w:rsidR="00D85432">
        <w:rPr>
          <w:rFonts w:ascii="Verdana" w:hAnsi="Verdana"/>
          <w:sz w:val="20"/>
          <w:szCs w:val="20"/>
          <w:lang w:val="es-MX"/>
        </w:rPr>
        <w:t xml:space="preserve"> una decisión</w:t>
      </w:r>
      <w:r w:rsidR="00D85432" w:rsidRPr="00FE24CF">
        <w:rPr>
          <w:rFonts w:ascii="Verdana" w:hAnsi="Verdana"/>
          <w:sz w:val="20"/>
          <w:szCs w:val="20"/>
          <w:lang w:val="es-MX"/>
        </w:rPr>
        <w:t xml:space="preserve"> que declara </w:t>
      </w:r>
      <w:r w:rsidR="00D85432">
        <w:rPr>
          <w:rFonts w:ascii="Verdana" w:hAnsi="Verdana"/>
          <w:sz w:val="20"/>
          <w:szCs w:val="20"/>
          <w:lang w:val="es-MX"/>
        </w:rPr>
        <w:t>“</w:t>
      </w:r>
      <w:r w:rsidR="00D85432" w:rsidRPr="00FE24CF">
        <w:rPr>
          <w:rFonts w:ascii="Verdana" w:hAnsi="Verdana"/>
          <w:sz w:val="20"/>
          <w:szCs w:val="20"/>
          <w:lang w:val="es-MX"/>
        </w:rPr>
        <w:t>inejecutable</w:t>
      </w:r>
      <w:r w:rsidR="00D85432">
        <w:rPr>
          <w:rFonts w:ascii="Verdana" w:hAnsi="Verdana"/>
          <w:sz w:val="20"/>
          <w:szCs w:val="20"/>
          <w:lang w:val="es-MX"/>
        </w:rPr>
        <w:t>”</w:t>
      </w:r>
      <w:r w:rsidR="00D85432" w:rsidRPr="00FE24CF">
        <w:rPr>
          <w:rFonts w:ascii="Verdana" w:hAnsi="Verdana"/>
          <w:sz w:val="20"/>
          <w:szCs w:val="20"/>
          <w:lang w:val="es-MX"/>
        </w:rPr>
        <w:t xml:space="preserve"> </w:t>
      </w:r>
      <w:r w:rsidR="00D80E65">
        <w:rPr>
          <w:rFonts w:ascii="Verdana" w:hAnsi="Verdana"/>
          <w:sz w:val="20"/>
          <w:szCs w:val="20"/>
          <w:lang w:val="es-MX"/>
        </w:rPr>
        <w:t xml:space="preserve">dicha </w:t>
      </w:r>
      <w:r w:rsidR="00D85432" w:rsidRPr="00FE24CF">
        <w:rPr>
          <w:rFonts w:ascii="Verdana" w:hAnsi="Verdana"/>
          <w:sz w:val="20"/>
          <w:szCs w:val="20"/>
          <w:lang w:val="es-MX"/>
        </w:rPr>
        <w:t xml:space="preserve">Sentencia </w:t>
      </w:r>
      <w:r w:rsidR="00D85432">
        <w:rPr>
          <w:rFonts w:ascii="Verdana" w:hAnsi="Verdana"/>
          <w:sz w:val="20"/>
          <w:szCs w:val="20"/>
          <w:lang w:val="es-MX"/>
        </w:rPr>
        <w:t>(</w:t>
      </w:r>
      <w:r w:rsidR="00D85432" w:rsidRPr="00D466E4">
        <w:rPr>
          <w:rFonts w:ascii="Verdana" w:hAnsi="Verdana"/>
          <w:i/>
          <w:sz w:val="20"/>
          <w:szCs w:val="20"/>
          <w:lang w:val="es-MX"/>
        </w:rPr>
        <w:t>supra</w:t>
      </w:r>
      <w:r w:rsidR="00D85432">
        <w:rPr>
          <w:rFonts w:ascii="Verdana" w:hAnsi="Verdana"/>
          <w:sz w:val="20"/>
          <w:szCs w:val="20"/>
          <w:lang w:val="es-MX"/>
        </w:rPr>
        <w:t xml:space="preserve"> Vistos 2, 3 y 7)</w:t>
      </w:r>
      <w:r w:rsidR="00D85432" w:rsidRPr="00FE24CF">
        <w:rPr>
          <w:rFonts w:ascii="Verdana" w:hAnsi="Verdana"/>
          <w:sz w:val="20"/>
          <w:szCs w:val="20"/>
          <w:lang w:val="es-MX"/>
        </w:rPr>
        <w:t>.</w:t>
      </w:r>
    </w:p>
    <w:p w14:paraId="2FA114F4" w14:textId="7BCDAE5A" w:rsidR="005F710B" w:rsidRDefault="006C5CFD" w:rsidP="00560BE5">
      <w:pPr>
        <w:pStyle w:val="ListParagraph"/>
        <w:numPr>
          <w:ilvl w:val="0"/>
          <w:numId w:val="4"/>
        </w:numPr>
        <w:spacing w:before="120" w:after="120" w:line="240" w:lineRule="auto"/>
        <w:ind w:left="0" w:right="1444" w:firstLine="0"/>
        <w:contextualSpacing w:val="0"/>
        <w:jc w:val="both"/>
        <w:rPr>
          <w:rFonts w:ascii="Verdana" w:hAnsi="Verdana"/>
          <w:sz w:val="20"/>
          <w:szCs w:val="20"/>
          <w:lang w:val="es-MX"/>
        </w:rPr>
      </w:pPr>
      <w:r>
        <w:rPr>
          <w:rFonts w:ascii="Verdana" w:hAnsi="Verdana"/>
          <w:sz w:val="20"/>
          <w:szCs w:val="20"/>
          <w:lang w:val="es-MX"/>
        </w:rPr>
        <w:t>En la Sentencia</w:t>
      </w:r>
      <w:r w:rsidR="00D85432">
        <w:rPr>
          <w:rFonts w:ascii="Verdana" w:hAnsi="Verdana"/>
          <w:sz w:val="20"/>
          <w:szCs w:val="20"/>
          <w:lang w:val="es-MX"/>
        </w:rPr>
        <w:t xml:space="preserve"> del presente caso</w:t>
      </w:r>
      <w:r>
        <w:rPr>
          <w:rFonts w:ascii="Verdana" w:hAnsi="Verdana"/>
          <w:sz w:val="20"/>
          <w:szCs w:val="20"/>
          <w:lang w:val="es-MX"/>
        </w:rPr>
        <w:t xml:space="preserve"> </w:t>
      </w:r>
      <w:r w:rsidR="005F710B" w:rsidRPr="001741CB">
        <w:rPr>
          <w:rFonts w:ascii="Verdana" w:hAnsi="Verdana"/>
          <w:sz w:val="20"/>
          <w:szCs w:val="20"/>
          <w:lang w:val="es-MX"/>
        </w:rPr>
        <w:t xml:space="preserve">se </w:t>
      </w:r>
      <w:r w:rsidRPr="001741CB">
        <w:rPr>
          <w:rFonts w:ascii="Verdana" w:hAnsi="Verdana"/>
          <w:sz w:val="20"/>
          <w:szCs w:val="20"/>
          <w:lang w:val="es-MX"/>
        </w:rPr>
        <w:t xml:space="preserve">ordenaron </w:t>
      </w:r>
      <w:r w:rsidR="005F710B" w:rsidRPr="001741CB">
        <w:rPr>
          <w:rFonts w:ascii="Verdana" w:hAnsi="Verdana"/>
          <w:sz w:val="20"/>
          <w:szCs w:val="20"/>
          <w:lang w:val="es-MX"/>
        </w:rPr>
        <w:t xml:space="preserve">medidas de </w:t>
      </w:r>
      <w:r w:rsidR="00D466E4">
        <w:rPr>
          <w:rFonts w:ascii="Verdana" w:hAnsi="Verdana"/>
          <w:sz w:val="20"/>
          <w:szCs w:val="20"/>
          <w:lang w:val="es-MX"/>
        </w:rPr>
        <w:t>restitución</w:t>
      </w:r>
      <w:r w:rsidR="00D466E4" w:rsidRPr="001741CB">
        <w:rPr>
          <w:rFonts w:ascii="Verdana" w:hAnsi="Verdana"/>
          <w:sz w:val="20"/>
          <w:szCs w:val="20"/>
          <w:lang w:val="es-MX"/>
        </w:rPr>
        <w:t xml:space="preserve"> </w:t>
      </w:r>
      <w:r w:rsidRPr="001741CB">
        <w:rPr>
          <w:rFonts w:ascii="Verdana" w:hAnsi="Verdana"/>
          <w:sz w:val="20"/>
          <w:szCs w:val="20"/>
          <w:lang w:val="es-MX"/>
        </w:rPr>
        <w:t>en relación con la inhabilitaci</w:t>
      </w:r>
      <w:r w:rsidR="00A43460" w:rsidRPr="001741CB">
        <w:rPr>
          <w:rFonts w:ascii="Verdana" w:hAnsi="Verdana"/>
          <w:sz w:val="20"/>
          <w:szCs w:val="20"/>
          <w:lang w:val="es-MX"/>
        </w:rPr>
        <w:t>ó</w:t>
      </w:r>
      <w:r w:rsidRPr="001741CB">
        <w:rPr>
          <w:rFonts w:ascii="Verdana" w:hAnsi="Verdana"/>
          <w:sz w:val="20"/>
          <w:szCs w:val="20"/>
          <w:lang w:val="es-MX"/>
        </w:rPr>
        <w:t xml:space="preserve">n </w:t>
      </w:r>
      <w:r w:rsidR="00A43460" w:rsidRPr="001741CB">
        <w:rPr>
          <w:rFonts w:ascii="Verdana" w:hAnsi="Verdana"/>
          <w:sz w:val="20"/>
          <w:szCs w:val="20"/>
          <w:lang w:val="es-MX"/>
        </w:rPr>
        <w:t xml:space="preserve">de derechos políticos </w:t>
      </w:r>
      <w:r w:rsidRPr="001741CB">
        <w:rPr>
          <w:rFonts w:ascii="Verdana" w:hAnsi="Verdana"/>
          <w:sz w:val="20"/>
          <w:szCs w:val="20"/>
          <w:lang w:val="es-MX"/>
        </w:rPr>
        <w:t>de</w:t>
      </w:r>
      <w:r w:rsidR="00D466E4">
        <w:rPr>
          <w:rFonts w:ascii="Verdana" w:hAnsi="Verdana"/>
          <w:sz w:val="20"/>
          <w:szCs w:val="20"/>
          <w:lang w:val="es-MX"/>
        </w:rPr>
        <w:t>l señor López Mendoza</w:t>
      </w:r>
      <w:r w:rsidRPr="001741CB">
        <w:rPr>
          <w:rStyle w:val="FootnoteReference"/>
          <w:rFonts w:ascii="Verdana" w:hAnsi="Verdana"/>
          <w:sz w:val="20"/>
          <w:szCs w:val="20"/>
          <w:lang w:val="es-MX"/>
        </w:rPr>
        <w:footnoteReference w:id="5"/>
      </w:r>
      <w:r w:rsidR="00D466E4">
        <w:rPr>
          <w:rFonts w:ascii="Verdana" w:hAnsi="Verdana"/>
          <w:sz w:val="20"/>
          <w:szCs w:val="20"/>
          <w:lang w:val="es-MX"/>
        </w:rPr>
        <w:t>, medidas de satisfacción relativas a la publicación y difusión de la Sentencia</w:t>
      </w:r>
      <w:r w:rsidR="0027245E">
        <w:rPr>
          <w:rStyle w:val="FootnoteReference"/>
          <w:rFonts w:ascii="Verdana" w:hAnsi="Verdana"/>
          <w:sz w:val="20"/>
          <w:szCs w:val="20"/>
          <w:lang w:val="es-MX"/>
        </w:rPr>
        <w:footnoteReference w:id="6"/>
      </w:r>
      <w:r w:rsidR="00D466E4">
        <w:rPr>
          <w:rFonts w:ascii="Verdana" w:hAnsi="Verdana"/>
          <w:sz w:val="20"/>
          <w:szCs w:val="20"/>
          <w:lang w:val="es-MX"/>
        </w:rPr>
        <w:t>, y</w:t>
      </w:r>
      <w:r w:rsidRPr="001741CB">
        <w:rPr>
          <w:rFonts w:ascii="Verdana" w:hAnsi="Verdana"/>
          <w:sz w:val="20"/>
          <w:szCs w:val="20"/>
          <w:lang w:val="es-MX"/>
        </w:rPr>
        <w:t xml:space="preserve"> </w:t>
      </w:r>
      <w:r w:rsidR="00A43460" w:rsidRPr="001741CB">
        <w:rPr>
          <w:rFonts w:ascii="Verdana" w:hAnsi="Verdana"/>
          <w:sz w:val="20"/>
          <w:szCs w:val="20"/>
          <w:lang w:val="es-MX"/>
        </w:rPr>
        <w:t>garantía</w:t>
      </w:r>
      <w:r w:rsidR="00D466E4">
        <w:rPr>
          <w:rFonts w:ascii="Verdana" w:hAnsi="Verdana"/>
          <w:sz w:val="20"/>
          <w:szCs w:val="20"/>
          <w:lang w:val="es-MX"/>
        </w:rPr>
        <w:t>s</w:t>
      </w:r>
      <w:r w:rsidR="00A43460" w:rsidRPr="001741CB">
        <w:rPr>
          <w:rFonts w:ascii="Verdana" w:hAnsi="Verdana"/>
          <w:sz w:val="20"/>
          <w:szCs w:val="20"/>
          <w:lang w:val="es-MX"/>
        </w:rPr>
        <w:t xml:space="preserve"> de no </w:t>
      </w:r>
      <w:r w:rsidR="00A43460" w:rsidRPr="001741CB">
        <w:rPr>
          <w:rFonts w:ascii="Verdana" w:hAnsi="Verdana"/>
          <w:sz w:val="20"/>
          <w:szCs w:val="20"/>
          <w:lang w:val="es-MX"/>
        </w:rPr>
        <w:lastRenderedPageBreak/>
        <w:t>repetición relativa</w:t>
      </w:r>
      <w:r w:rsidR="00D466E4">
        <w:rPr>
          <w:rFonts w:ascii="Verdana" w:hAnsi="Verdana"/>
          <w:sz w:val="20"/>
          <w:szCs w:val="20"/>
          <w:lang w:val="es-MX"/>
        </w:rPr>
        <w:t>s</w:t>
      </w:r>
      <w:r w:rsidR="00A43460" w:rsidRPr="001741CB">
        <w:rPr>
          <w:rFonts w:ascii="Verdana" w:hAnsi="Verdana"/>
          <w:sz w:val="20"/>
          <w:szCs w:val="20"/>
          <w:lang w:val="es-MX"/>
        </w:rPr>
        <w:t xml:space="preserve"> a </w:t>
      </w:r>
      <w:r w:rsidR="005F710B" w:rsidRPr="001741CB">
        <w:rPr>
          <w:rFonts w:ascii="Verdana" w:hAnsi="Verdana"/>
          <w:sz w:val="20"/>
          <w:szCs w:val="20"/>
          <w:lang w:val="es-MX"/>
        </w:rPr>
        <w:t>adecuar el artículo 105 de la Ley Orgánica de la Contraloría General de la República y del Sistema Nacional de Control Fiscal</w:t>
      </w:r>
      <w:r w:rsidR="00A43460" w:rsidRPr="001741CB">
        <w:rPr>
          <w:rFonts w:ascii="Verdana" w:hAnsi="Verdana"/>
          <w:sz w:val="20"/>
          <w:szCs w:val="20"/>
          <w:lang w:val="es-MX"/>
        </w:rPr>
        <w:t>,</w:t>
      </w:r>
      <w:r w:rsidR="005F710B" w:rsidRPr="001741CB">
        <w:rPr>
          <w:rFonts w:ascii="Verdana" w:hAnsi="Verdana"/>
          <w:sz w:val="20"/>
          <w:szCs w:val="20"/>
          <w:lang w:val="es-MX"/>
        </w:rPr>
        <w:t xml:space="preserve"> según los términos </w:t>
      </w:r>
      <w:r w:rsidR="0027245E">
        <w:rPr>
          <w:rFonts w:ascii="Verdana" w:hAnsi="Verdana"/>
          <w:sz w:val="20"/>
          <w:szCs w:val="20"/>
          <w:lang w:val="es-MX"/>
        </w:rPr>
        <w:t>dispuestos en la Sentencia</w:t>
      </w:r>
      <w:r w:rsidR="0027245E">
        <w:rPr>
          <w:rStyle w:val="FootnoteReference"/>
          <w:rFonts w:ascii="Verdana" w:hAnsi="Verdana"/>
          <w:sz w:val="20"/>
          <w:szCs w:val="20"/>
          <w:lang w:val="es-MX"/>
        </w:rPr>
        <w:footnoteReference w:id="7"/>
      </w:r>
      <w:r w:rsidR="005F710B" w:rsidRPr="001741CB">
        <w:rPr>
          <w:rFonts w:ascii="Verdana" w:hAnsi="Verdana"/>
          <w:sz w:val="20"/>
          <w:szCs w:val="20"/>
          <w:lang w:val="es-MX"/>
        </w:rPr>
        <w:t xml:space="preserve">. </w:t>
      </w:r>
      <w:r w:rsidR="00A45977">
        <w:rPr>
          <w:rFonts w:ascii="Verdana" w:hAnsi="Verdana"/>
          <w:sz w:val="20"/>
          <w:szCs w:val="20"/>
          <w:lang w:val="es-MX"/>
        </w:rPr>
        <w:t xml:space="preserve">También </w:t>
      </w:r>
      <w:r w:rsidR="005F710B" w:rsidRPr="001741CB">
        <w:rPr>
          <w:rFonts w:ascii="Verdana" w:hAnsi="Verdana"/>
          <w:sz w:val="20"/>
          <w:szCs w:val="20"/>
          <w:lang w:val="es-MX"/>
        </w:rPr>
        <w:t xml:space="preserve">se ordenó </w:t>
      </w:r>
      <w:r w:rsidR="00A43460" w:rsidRPr="001741CB">
        <w:rPr>
          <w:rFonts w:ascii="Verdana" w:hAnsi="Verdana"/>
          <w:sz w:val="20"/>
          <w:szCs w:val="20"/>
          <w:lang w:val="es-MX"/>
        </w:rPr>
        <w:t xml:space="preserve">al Estado </w:t>
      </w:r>
      <w:r w:rsidR="005F710B" w:rsidRPr="001741CB">
        <w:rPr>
          <w:rFonts w:ascii="Verdana" w:hAnsi="Verdana"/>
          <w:sz w:val="20"/>
          <w:szCs w:val="20"/>
          <w:lang w:val="es-MX"/>
        </w:rPr>
        <w:t xml:space="preserve">el pago </w:t>
      </w:r>
      <w:r w:rsidR="009852CC">
        <w:rPr>
          <w:rFonts w:ascii="Verdana" w:hAnsi="Verdana"/>
          <w:sz w:val="20"/>
          <w:szCs w:val="20"/>
          <w:lang w:val="es-MX"/>
        </w:rPr>
        <w:t>de la</w:t>
      </w:r>
      <w:r w:rsidR="0027245E">
        <w:rPr>
          <w:rFonts w:ascii="Verdana" w:hAnsi="Verdana"/>
          <w:sz w:val="20"/>
          <w:szCs w:val="20"/>
          <w:lang w:val="es-MX"/>
        </w:rPr>
        <w:t xml:space="preserve"> cantidad</w:t>
      </w:r>
      <w:r w:rsidR="009852CC">
        <w:rPr>
          <w:rFonts w:ascii="Verdana" w:hAnsi="Verdana"/>
          <w:sz w:val="20"/>
          <w:szCs w:val="20"/>
          <w:lang w:val="es-MX"/>
        </w:rPr>
        <w:t xml:space="preserve"> establecida</w:t>
      </w:r>
      <w:r w:rsidR="0027245E">
        <w:rPr>
          <w:rFonts w:ascii="Verdana" w:hAnsi="Verdana"/>
          <w:sz w:val="20"/>
          <w:szCs w:val="20"/>
          <w:lang w:val="es-MX"/>
        </w:rPr>
        <w:t xml:space="preserve"> en la Sentencia </w:t>
      </w:r>
      <w:r w:rsidR="009852CC">
        <w:rPr>
          <w:rFonts w:ascii="Verdana" w:hAnsi="Verdana"/>
          <w:sz w:val="20"/>
          <w:szCs w:val="20"/>
          <w:lang w:val="es-MX"/>
        </w:rPr>
        <w:t xml:space="preserve">por concepto </w:t>
      </w:r>
      <w:r w:rsidR="00A43460" w:rsidRPr="001741CB">
        <w:rPr>
          <w:rFonts w:ascii="Verdana" w:hAnsi="Verdana"/>
          <w:sz w:val="20"/>
          <w:szCs w:val="20"/>
          <w:lang w:val="es-MX"/>
        </w:rPr>
        <w:t xml:space="preserve">de </w:t>
      </w:r>
      <w:r w:rsidR="0089461C" w:rsidRPr="001741CB">
        <w:rPr>
          <w:rFonts w:ascii="Verdana" w:hAnsi="Verdana"/>
          <w:sz w:val="20"/>
          <w:szCs w:val="20"/>
          <w:lang w:val="es-MX"/>
        </w:rPr>
        <w:t>rei</w:t>
      </w:r>
      <w:r w:rsidR="00A45977">
        <w:rPr>
          <w:rFonts w:ascii="Verdana" w:hAnsi="Verdana"/>
          <w:sz w:val="20"/>
          <w:szCs w:val="20"/>
          <w:lang w:val="es-MX"/>
        </w:rPr>
        <w:t>n</w:t>
      </w:r>
      <w:r w:rsidR="0089461C" w:rsidRPr="001741CB">
        <w:rPr>
          <w:rFonts w:ascii="Verdana" w:hAnsi="Verdana"/>
          <w:sz w:val="20"/>
          <w:szCs w:val="20"/>
          <w:lang w:val="es-MX"/>
        </w:rPr>
        <w:t>tegro de costas y gastos</w:t>
      </w:r>
      <w:r w:rsidR="009852CC">
        <w:rPr>
          <w:rStyle w:val="FootnoteReference"/>
          <w:rFonts w:ascii="Verdana" w:hAnsi="Verdana"/>
          <w:sz w:val="20"/>
          <w:szCs w:val="20"/>
          <w:lang w:val="es-MX"/>
        </w:rPr>
        <w:footnoteReference w:id="8"/>
      </w:r>
      <w:r w:rsidR="009852CC">
        <w:rPr>
          <w:rFonts w:ascii="Verdana" w:hAnsi="Verdana"/>
          <w:sz w:val="20"/>
          <w:szCs w:val="20"/>
          <w:lang w:val="es-MX"/>
        </w:rPr>
        <w:t>.</w:t>
      </w:r>
      <w:r w:rsidR="00A35A2D">
        <w:rPr>
          <w:rFonts w:ascii="Verdana" w:hAnsi="Verdana"/>
          <w:sz w:val="20"/>
          <w:szCs w:val="20"/>
          <w:lang w:val="es-MX"/>
        </w:rPr>
        <w:t>También</w:t>
      </w:r>
      <w:r w:rsidR="005F710B" w:rsidRPr="001741CB">
        <w:rPr>
          <w:rFonts w:ascii="Verdana" w:hAnsi="Verdana"/>
          <w:sz w:val="20"/>
          <w:szCs w:val="20"/>
          <w:lang w:val="es-MX"/>
        </w:rPr>
        <w:t xml:space="preserve"> se dispuso que Venezuela debía rendir </w:t>
      </w:r>
      <w:r w:rsidR="009852CC">
        <w:rPr>
          <w:rFonts w:ascii="Verdana" w:hAnsi="Verdana"/>
          <w:sz w:val="20"/>
          <w:szCs w:val="20"/>
          <w:lang w:val="es-MX"/>
        </w:rPr>
        <w:t xml:space="preserve">a la Corte </w:t>
      </w:r>
      <w:r w:rsidR="005F710B" w:rsidRPr="001741CB">
        <w:rPr>
          <w:rFonts w:ascii="Verdana" w:hAnsi="Verdana"/>
          <w:sz w:val="20"/>
          <w:szCs w:val="20"/>
          <w:lang w:val="es-MX"/>
        </w:rPr>
        <w:t xml:space="preserve">un informe sobre el cumplimiento de </w:t>
      </w:r>
      <w:r w:rsidR="009852CC">
        <w:rPr>
          <w:rFonts w:ascii="Verdana" w:hAnsi="Verdana"/>
          <w:sz w:val="20"/>
          <w:szCs w:val="20"/>
          <w:lang w:val="es-MX"/>
        </w:rPr>
        <w:t xml:space="preserve">las mencionadas medidas de </w:t>
      </w:r>
      <w:r w:rsidR="005F710B" w:rsidRPr="001741CB">
        <w:rPr>
          <w:rFonts w:ascii="Verdana" w:hAnsi="Verdana"/>
          <w:sz w:val="20"/>
          <w:szCs w:val="20"/>
          <w:lang w:val="es-MX"/>
        </w:rPr>
        <w:t xml:space="preserve"> </w:t>
      </w:r>
      <w:r w:rsidR="009852CC" w:rsidRPr="001741CB">
        <w:rPr>
          <w:rFonts w:ascii="Verdana" w:hAnsi="Verdana"/>
          <w:sz w:val="20"/>
          <w:szCs w:val="20"/>
          <w:lang w:val="es-MX"/>
        </w:rPr>
        <w:t>reparaci</w:t>
      </w:r>
      <w:r w:rsidR="009852CC">
        <w:rPr>
          <w:rFonts w:ascii="Verdana" w:hAnsi="Verdana"/>
          <w:sz w:val="20"/>
          <w:szCs w:val="20"/>
          <w:lang w:val="es-MX"/>
        </w:rPr>
        <w:t>ón,</w:t>
      </w:r>
      <w:r w:rsidR="009852CC" w:rsidRPr="001741CB">
        <w:rPr>
          <w:rFonts w:ascii="Verdana" w:hAnsi="Verdana"/>
          <w:sz w:val="20"/>
          <w:szCs w:val="20"/>
          <w:lang w:val="es-MX"/>
        </w:rPr>
        <w:t xml:space="preserve"> </w:t>
      </w:r>
      <w:r w:rsidR="005F710B" w:rsidRPr="001741CB">
        <w:rPr>
          <w:rFonts w:ascii="Verdana" w:hAnsi="Verdana"/>
          <w:sz w:val="20"/>
          <w:szCs w:val="20"/>
          <w:lang w:val="es-MX"/>
        </w:rPr>
        <w:t>en el plazo de un año</w:t>
      </w:r>
      <w:r w:rsidR="009852CC">
        <w:rPr>
          <w:rFonts w:ascii="Verdana" w:hAnsi="Verdana"/>
          <w:sz w:val="20"/>
          <w:szCs w:val="20"/>
          <w:lang w:val="es-MX"/>
        </w:rPr>
        <w:t>,</w:t>
      </w:r>
      <w:r w:rsidR="005F710B" w:rsidRPr="001741CB">
        <w:rPr>
          <w:rFonts w:ascii="Verdana" w:hAnsi="Verdana"/>
          <w:sz w:val="20"/>
          <w:szCs w:val="20"/>
          <w:lang w:val="es-MX"/>
        </w:rPr>
        <w:t xml:space="preserve"> contado a partir de la notificación de la Sentencia.</w:t>
      </w:r>
    </w:p>
    <w:bookmarkEnd w:id="0"/>
    <w:p w14:paraId="19886B68" w14:textId="1CA6AFAE" w:rsidR="0085758B" w:rsidRPr="00042466" w:rsidRDefault="007E76DC" w:rsidP="00560BE5">
      <w:pPr>
        <w:pStyle w:val="ListParagraph"/>
        <w:numPr>
          <w:ilvl w:val="0"/>
          <w:numId w:val="4"/>
        </w:numPr>
        <w:spacing w:before="120" w:after="120" w:line="240" w:lineRule="auto"/>
        <w:ind w:left="0" w:right="1444" w:firstLine="0"/>
        <w:contextualSpacing w:val="0"/>
        <w:jc w:val="both"/>
        <w:rPr>
          <w:rFonts w:ascii="Verdana" w:hAnsi="Verdana"/>
          <w:sz w:val="20"/>
          <w:szCs w:val="20"/>
          <w:lang w:val="es-MX"/>
        </w:rPr>
      </w:pPr>
      <w:r>
        <w:rPr>
          <w:rFonts w:ascii="Verdana" w:hAnsi="Verdana"/>
          <w:sz w:val="20"/>
          <w:szCs w:val="20"/>
          <w:lang w:val="es-MX"/>
        </w:rPr>
        <w:t>A continuación</w:t>
      </w:r>
      <w:r w:rsidR="00A35A2D">
        <w:rPr>
          <w:rFonts w:ascii="Verdana" w:hAnsi="Verdana"/>
          <w:sz w:val="20"/>
          <w:szCs w:val="20"/>
          <w:lang w:val="es-MX"/>
        </w:rPr>
        <w:t>,</w:t>
      </w:r>
      <w:r>
        <w:rPr>
          <w:rFonts w:ascii="Verdana" w:hAnsi="Verdana"/>
          <w:sz w:val="20"/>
          <w:szCs w:val="20"/>
          <w:lang w:val="es-MX"/>
        </w:rPr>
        <w:t xml:space="preserve"> l</w:t>
      </w:r>
      <w:r w:rsidR="0085758B" w:rsidRPr="00141C34">
        <w:rPr>
          <w:rFonts w:ascii="Verdana" w:hAnsi="Verdana"/>
          <w:sz w:val="20"/>
          <w:szCs w:val="20"/>
        </w:rPr>
        <w:t xml:space="preserve">a Corte hará constar </w:t>
      </w:r>
      <w:r w:rsidR="00296181" w:rsidRPr="00141C34">
        <w:rPr>
          <w:rFonts w:ascii="Verdana" w:hAnsi="Verdana"/>
          <w:sz w:val="20"/>
          <w:szCs w:val="20"/>
        </w:rPr>
        <w:t xml:space="preserve">la grave posición de incumplimiento asumida por Venezuela </w:t>
      </w:r>
      <w:r w:rsidR="0085758B" w:rsidRPr="00557942">
        <w:rPr>
          <w:rFonts w:ascii="Verdana" w:hAnsi="Verdana"/>
          <w:sz w:val="20"/>
          <w:szCs w:val="20"/>
        </w:rPr>
        <w:t>(</w:t>
      </w:r>
      <w:r w:rsidR="0085758B" w:rsidRPr="00557942">
        <w:rPr>
          <w:rFonts w:ascii="Verdana" w:hAnsi="Verdana"/>
          <w:i/>
          <w:sz w:val="20"/>
          <w:szCs w:val="20"/>
        </w:rPr>
        <w:t xml:space="preserve">infra </w:t>
      </w:r>
      <w:r w:rsidR="0085758B" w:rsidRPr="00557942">
        <w:rPr>
          <w:rFonts w:ascii="Verdana" w:hAnsi="Verdana"/>
          <w:sz w:val="20"/>
          <w:szCs w:val="20"/>
        </w:rPr>
        <w:t>Considerando</w:t>
      </w:r>
      <w:r w:rsidR="00D93E8F" w:rsidRPr="00557942">
        <w:rPr>
          <w:rFonts w:ascii="Verdana" w:hAnsi="Verdana"/>
          <w:sz w:val="20"/>
          <w:szCs w:val="20"/>
        </w:rPr>
        <w:t>s</w:t>
      </w:r>
      <w:r w:rsidR="00FE24CF" w:rsidRPr="00557942">
        <w:rPr>
          <w:rFonts w:ascii="Verdana" w:hAnsi="Verdana"/>
          <w:sz w:val="20"/>
          <w:szCs w:val="20"/>
        </w:rPr>
        <w:t xml:space="preserve"> </w:t>
      </w:r>
      <w:r w:rsidR="00447482" w:rsidRPr="00557942">
        <w:rPr>
          <w:rFonts w:ascii="Verdana" w:hAnsi="Verdana"/>
          <w:sz w:val="20"/>
          <w:szCs w:val="20"/>
        </w:rPr>
        <w:t xml:space="preserve">4 a </w:t>
      </w:r>
      <w:r w:rsidR="00557942" w:rsidRPr="00557942">
        <w:rPr>
          <w:rFonts w:ascii="Verdana" w:hAnsi="Verdana"/>
          <w:sz w:val="20"/>
          <w:szCs w:val="20"/>
        </w:rPr>
        <w:t>7</w:t>
      </w:r>
      <w:r w:rsidR="0085758B" w:rsidRPr="00557942">
        <w:rPr>
          <w:rFonts w:ascii="Verdana" w:hAnsi="Verdana"/>
          <w:sz w:val="20"/>
          <w:szCs w:val="20"/>
        </w:rPr>
        <w:t>),</w:t>
      </w:r>
      <w:r w:rsidR="0085758B" w:rsidRPr="00141C34">
        <w:rPr>
          <w:rFonts w:ascii="Verdana" w:hAnsi="Verdana"/>
          <w:sz w:val="20"/>
          <w:szCs w:val="20"/>
        </w:rPr>
        <w:t xml:space="preserve"> indicará de forma resumida las observaciones de los representantes de las víctimas y de la Comisión Interamericana (</w:t>
      </w:r>
      <w:r w:rsidR="0085758B" w:rsidRPr="00141C34">
        <w:rPr>
          <w:rFonts w:ascii="Verdana" w:hAnsi="Verdana"/>
          <w:i/>
          <w:sz w:val="20"/>
          <w:szCs w:val="20"/>
        </w:rPr>
        <w:t>infra</w:t>
      </w:r>
      <w:r w:rsidR="0085758B" w:rsidRPr="00141C34">
        <w:rPr>
          <w:rFonts w:ascii="Verdana" w:hAnsi="Verdana"/>
          <w:sz w:val="20"/>
          <w:szCs w:val="20"/>
        </w:rPr>
        <w:t xml:space="preserve"> </w:t>
      </w:r>
      <w:r w:rsidR="0085758B" w:rsidRPr="00447482">
        <w:rPr>
          <w:rFonts w:ascii="Verdana" w:hAnsi="Verdana"/>
          <w:sz w:val="20"/>
          <w:szCs w:val="20"/>
        </w:rPr>
        <w:t xml:space="preserve">Considerando </w:t>
      </w:r>
      <w:r w:rsidR="00447482" w:rsidRPr="00447482">
        <w:rPr>
          <w:rFonts w:ascii="Verdana" w:hAnsi="Verdana"/>
          <w:sz w:val="20"/>
          <w:szCs w:val="20"/>
        </w:rPr>
        <w:t>8</w:t>
      </w:r>
      <w:r w:rsidR="0085758B" w:rsidRPr="00447482">
        <w:rPr>
          <w:rFonts w:ascii="Verdana" w:hAnsi="Verdana"/>
          <w:sz w:val="20"/>
          <w:szCs w:val="20"/>
        </w:rPr>
        <w:t>),</w:t>
      </w:r>
      <w:r w:rsidR="0085758B" w:rsidRPr="00141C34">
        <w:rPr>
          <w:rFonts w:ascii="Verdana" w:hAnsi="Verdana"/>
          <w:sz w:val="20"/>
          <w:szCs w:val="20"/>
        </w:rPr>
        <w:t xml:space="preserve"> para luego valorar dicha información a la luz de la obligación internacional del Estado de cumplir con las Sentencias emitidas por la Corte Interamericana (</w:t>
      </w:r>
      <w:r w:rsidR="0085758B" w:rsidRPr="00AE1376">
        <w:rPr>
          <w:rFonts w:ascii="Verdana" w:hAnsi="Verdana"/>
          <w:i/>
          <w:sz w:val="20"/>
          <w:szCs w:val="20"/>
        </w:rPr>
        <w:t>infra</w:t>
      </w:r>
      <w:r w:rsidR="0085758B" w:rsidRPr="00141C34">
        <w:rPr>
          <w:rFonts w:ascii="Verdana" w:hAnsi="Verdana"/>
          <w:sz w:val="20"/>
          <w:szCs w:val="20"/>
        </w:rPr>
        <w:t xml:space="preserve"> Considerandos </w:t>
      </w:r>
      <w:r w:rsidR="00557942">
        <w:rPr>
          <w:rFonts w:ascii="Verdana" w:hAnsi="Verdana"/>
          <w:sz w:val="20"/>
          <w:szCs w:val="20"/>
        </w:rPr>
        <w:t>9 a 16</w:t>
      </w:r>
      <w:r w:rsidR="00557942" w:rsidRPr="00234269">
        <w:rPr>
          <w:rFonts w:ascii="Verdana" w:hAnsi="Verdana"/>
          <w:sz w:val="20"/>
          <w:szCs w:val="20"/>
        </w:rPr>
        <w:t>).</w:t>
      </w:r>
    </w:p>
    <w:p w14:paraId="24147A11" w14:textId="77777777" w:rsidR="00593652" w:rsidRPr="00141C34" w:rsidRDefault="00593652" w:rsidP="00042466">
      <w:pPr>
        <w:pStyle w:val="ListParagraph"/>
        <w:spacing w:before="120" w:after="120" w:line="240" w:lineRule="auto"/>
        <w:ind w:left="0" w:right="1444"/>
        <w:contextualSpacing w:val="0"/>
        <w:jc w:val="both"/>
        <w:rPr>
          <w:rFonts w:ascii="Verdana" w:hAnsi="Verdana"/>
          <w:sz w:val="20"/>
          <w:szCs w:val="20"/>
          <w:lang w:val="es-MX"/>
        </w:rPr>
      </w:pPr>
    </w:p>
    <w:p w14:paraId="205AEFA6" w14:textId="5922B99A" w:rsidR="002F5048" w:rsidRDefault="002F5048" w:rsidP="00A035D0">
      <w:pPr>
        <w:pStyle w:val="ListParagraph"/>
        <w:numPr>
          <w:ilvl w:val="0"/>
          <w:numId w:val="32"/>
        </w:numPr>
        <w:spacing w:before="120" w:after="120" w:line="240" w:lineRule="auto"/>
        <w:ind w:right="1444"/>
        <w:contextualSpacing w:val="0"/>
        <w:jc w:val="both"/>
        <w:rPr>
          <w:rFonts w:ascii="Verdana" w:hAnsi="Verdana"/>
          <w:b/>
          <w:sz w:val="20"/>
          <w:szCs w:val="20"/>
        </w:rPr>
      </w:pPr>
      <w:r w:rsidRPr="002F5048">
        <w:rPr>
          <w:rFonts w:ascii="Verdana" w:hAnsi="Verdana"/>
          <w:b/>
          <w:sz w:val="20"/>
          <w:szCs w:val="20"/>
        </w:rPr>
        <w:t>Posición de Venezuela y observacio</w:t>
      </w:r>
      <w:r w:rsidR="00D80E65">
        <w:rPr>
          <w:rFonts w:ascii="Verdana" w:hAnsi="Verdana"/>
          <w:b/>
          <w:sz w:val="20"/>
          <w:szCs w:val="20"/>
        </w:rPr>
        <w:t>nes de los representantes de la víctima</w:t>
      </w:r>
      <w:r w:rsidRPr="002F5048">
        <w:rPr>
          <w:rFonts w:ascii="Verdana" w:hAnsi="Verdana"/>
          <w:b/>
          <w:sz w:val="20"/>
          <w:szCs w:val="20"/>
        </w:rPr>
        <w:t xml:space="preserve"> y de la Comisión Interamericana</w:t>
      </w:r>
    </w:p>
    <w:p w14:paraId="61920A3F" w14:textId="76771A10" w:rsidR="00F9271E" w:rsidRDefault="00FB269A" w:rsidP="00FB79CB">
      <w:pPr>
        <w:pStyle w:val="ListParagraph"/>
        <w:numPr>
          <w:ilvl w:val="0"/>
          <w:numId w:val="4"/>
        </w:numPr>
        <w:spacing w:before="120" w:after="120" w:line="240" w:lineRule="auto"/>
        <w:ind w:left="0" w:right="1444" w:firstLine="0"/>
        <w:contextualSpacing w:val="0"/>
        <w:jc w:val="both"/>
        <w:rPr>
          <w:rFonts w:ascii="Verdana" w:hAnsi="Verdana" w:cs="Arial"/>
          <w:sz w:val="20"/>
          <w:szCs w:val="20"/>
          <w:lang w:val="es-ES"/>
        </w:rPr>
      </w:pPr>
      <w:r>
        <w:rPr>
          <w:rFonts w:ascii="Verdana" w:hAnsi="Verdana" w:cs="Arial"/>
          <w:sz w:val="20"/>
          <w:szCs w:val="20"/>
          <w:lang w:val="es-ES"/>
        </w:rPr>
        <w:t xml:space="preserve">Previo a pronunciarse sobre la decisión interna emitida por la Sala Constitucional del Tribunal de Venezuela en el caso </w:t>
      </w:r>
      <w:r w:rsidRPr="00D80E65">
        <w:rPr>
          <w:rFonts w:ascii="Verdana" w:hAnsi="Verdana" w:cs="Arial"/>
          <w:i/>
          <w:sz w:val="20"/>
          <w:szCs w:val="20"/>
          <w:lang w:val="es-ES"/>
        </w:rPr>
        <w:t>López Mendoza</w:t>
      </w:r>
      <w:r>
        <w:rPr>
          <w:rFonts w:ascii="Verdana" w:hAnsi="Verdana" w:cs="Arial"/>
          <w:sz w:val="20"/>
          <w:szCs w:val="20"/>
          <w:lang w:val="es-ES"/>
        </w:rPr>
        <w:t xml:space="preserve">, este Tribunal estima pertinente recordar lo resuelto en el </w:t>
      </w:r>
      <w:r w:rsidRPr="003D2B83">
        <w:rPr>
          <w:rFonts w:ascii="Verdana" w:hAnsi="Verdana" w:cs="Arial"/>
          <w:i/>
          <w:sz w:val="20"/>
          <w:szCs w:val="20"/>
          <w:lang w:val="es-ES"/>
        </w:rPr>
        <w:t xml:space="preserve">Caso </w:t>
      </w:r>
      <w:proofErr w:type="spellStart"/>
      <w:r w:rsidRPr="003D2B83">
        <w:rPr>
          <w:rFonts w:ascii="Verdana" w:hAnsi="Verdana" w:cs="Arial"/>
          <w:i/>
          <w:sz w:val="20"/>
          <w:szCs w:val="20"/>
          <w:lang w:val="es-ES"/>
        </w:rPr>
        <w:t>Apitz</w:t>
      </w:r>
      <w:proofErr w:type="spellEnd"/>
      <w:r w:rsidRPr="003D2B83">
        <w:rPr>
          <w:rFonts w:ascii="Verdana" w:hAnsi="Verdana" w:cs="Arial"/>
          <w:i/>
          <w:sz w:val="20"/>
          <w:szCs w:val="20"/>
          <w:lang w:val="es-ES"/>
        </w:rPr>
        <w:t xml:space="preserve"> Barbera y otros Vs. Venezuela</w:t>
      </w:r>
      <w:r>
        <w:rPr>
          <w:rFonts w:ascii="Verdana" w:hAnsi="Verdana" w:cs="Arial"/>
          <w:i/>
          <w:sz w:val="20"/>
          <w:szCs w:val="20"/>
          <w:lang w:val="es-ES"/>
        </w:rPr>
        <w:t xml:space="preserve">, </w:t>
      </w:r>
      <w:r>
        <w:rPr>
          <w:rFonts w:ascii="Verdana" w:hAnsi="Verdana" w:cs="Arial"/>
          <w:sz w:val="20"/>
          <w:szCs w:val="20"/>
          <w:lang w:val="es-ES"/>
        </w:rPr>
        <w:t xml:space="preserve">en el cual se presentó </w:t>
      </w:r>
      <w:r w:rsidR="008544D8">
        <w:rPr>
          <w:rFonts w:ascii="Verdana" w:hAnsi="Verdana" w:cs="Arial"/>
          <w:sz w:val="20"/>
          <w:szCs w:val="20"/>
          <w:lang w:val="es-ES"/>
        </w:rPr>
        <w:t>la misma</w:t>
      </w:r>
      <w:r>
        <w:rPr>
          <w:rFonts w:ascii="Verdana" w:hAnsi="Verdana" w:cs="Arial"/>
          <w:sz w:val="20"/>
          <w:szCs w:val="20"/>
          <w:lang w:val="es-ES"/>
        </w:rPr>
        <w:t xml:space="preserve"> situación que se encuentra bajo examen en la presente resolución. Al respecto, l</w:t>
      </w:r>
      <w:r w:rsidR="005E5A03" w:rsidRPr="00994F2B">
        <w:rPr>
          <w:rFonts w:ascii="Verdana" w:hAnsi="Verdana" w:cs="Arial"/>
          <w:sz w:val="20"/>
          <w:szCs w:val="20"/>
          <w:lang w:val="es-ES"/>
        </w:rPr>
        <w:t xml:space="preserve">a Corte recuerda que </w:t>
      </w:r>
      <w:r w:rsidR="00557942">
        <w:rPr>
          <w:rFonts w:ascii="Verdana" w:hAnsi="Verdana" w:cs="Arial"/>
          <w:sz w:val="20"/>
          <w:szCs w:val="20"/>
          <w:lang w:val="es-ES"/>
        </w:rPr>
        <w:t>en el</w:t>
      </w:r>
      <w:r w:rsidR="005E5A03" w:rsidRPr="00994F2B">
        <w:rPr>
          <w:rFonts w:ascii="Verdana" w:hAnsi="Verdana" w:cs="Arial"/>
          <w:sz w:val="20"/>
          <w:szCs w:val="20"/>
          <w:lang w:val="es-ES"/>
        </w:rPr>
        <w:t xml:space="preserve"> caso </w:t>
      </w:r>
      <w:proofErr w:type="spellStart"/>
      <w:r w:rsidR="005E5A03" w:rsidRPr="008E7A26">
        <w:rPr>
          <w:rFonts w:ascii="Verdana" w:hAnsi="Verdana" w:cs="Arial"/>
          <w:i/>
          <w:sz w:val="20"/>
          <w:szCs w:val="20"/>
          <w:lang w:val="es-ES"/>
        </w:rPr>
        <w:t>Apitz</w:t>
      </w:r>
      <w:proofErr w:type="spellEnd"/>
      <w:r w:rsidR="005E5A03" w:rsidRPr="008E7A26">
        <w:rPr>
          <w:rFonts w:ascii="Verdana" w:hAnsi="Verdana" w:cs="Arial"/>
          <w:i/>
          <w:sz w:val="20"/>
          <w:szCs w:val="20"/>
          <w:lang w:val="es-ES"/>
        </w:rPr>
        <w:t xml:space="preserve"> Barbera y otros</w:t>
      </w:r>
      <w:r w:rsidR="00EE7A5A">
        <w:rPr>
          <w:rFonts w:ascii="Verdana" w:hAnsi="Verdana" w:cs="Arial"/>
          <w:i/>
          <w:sz w:val="20"/>
          <w:szCs w:val="20"/>
          <w:lang w:val="es-ES"/>
        </w:rPr>
        <w:t xml:space="preserve">, </w:t>
      </w:r>
      <w:r w:rsidR="00557942">
        <w:rPr>
          <w:rFonts w:ascii="Verdana" w:hAnsi="Verdana" w:cs="Arial"/>
          <w:sz w:val="20"/>
          <w:szCs w:val="20"/>
          <w:lang w:val="es-ES"/>
        </w:rPr>
        <w:t xml:space="preserve">durante </w:t>
      </w:r>
      <w:r w:rsidR="00EE7A5A">
        <w:rPr>
          <w:rFonts w:ascii="Verdana" w:hAnsi="Verdana" w:cs="Arial"/>
          <w:sz w:val="20"/>
          <w:szCs w:val="20"/>
          <w:lang w:val="es-ES"/>
        </w:rPr>
        <w:t xml:space="preserve">la etapa de supervisión de cumplimiento de </w:t>
      </w:r>
      <w:r w:rsidR="00557942">
        <w:rPr>
          <w:rFonts w:ascii="Verdana" w:hAnsi="Verdana" w:cs="Arial"/>
          <w:sz w:val="20"/>
          <w:szCs w:val="20"/>
          <w:lang w:val="es-ES"/>
        </w:rPr>
        <w:t>S</w:t>
      </w:r>
      <w:r w:rsidR="00EE7A5A">
        <w:rPr>
          <w:rFonts w:ascii="Verdana" w:hAnsi="Verdana" w:cs="Arial"/>
          <w:sz w:val="20"/>
          <w:szCs w:val="20"/>
          <w:lang w:val="es-ES"/>
        </w:rPr>
        <w:t>entencia</w:t>
      </w:r>
      <w:r>
        <w:rPr>
          <w:rStyle w:val="FootnoteReference"/>
          <w:rFonts w:ascii="Verdana" w:hAnsi="Verdana" w:cs="Arial"/>
          <w:sz w:val="20"/>
          <w:szCs w:val="20"/>
          <w:lang w:val="es-ES"/>
        </w:rPr>
        <w:footnoteReference w:id="9"/>
      </w:r>
      <w:r w:rsidR="00EE7A5A">
        <w:rPr>
          <w:rFonts w:ascii="Verdana" w:hAnsi="Verdana" w:cs="Arial"/>
          <w:sz w:val="20"/>
          <w:szCs w:val="20"/>
          <w:lang w:val="es-ES"/>
        </w:rPr>
        <w:t>,</w:t>
      </w:r>
      <w:r w:rsidR="005E5A03" w:rsidRPr="00994F2B">
        <w:rPr>
          <w:rFonts w:ascii="Verdana" w:hAnsi="Verdana" w:cs="Arial"/>
          <w:sz w:val="20"/>
          <w:szCs w:val="20"/>
          <w:lang w:val="es-ES"/>
        </w:rPr>
        <w:t xml:space="preserve"> </w:t>
      </w:r>
      <w:r w:rsidR="002A01B5">
        <w:rPr>
          <w:rFonts w:ascii="Verdana" w:hAnsi="Verdana" w:cs="Arial"/>
          <w:sz w:val="20"/>
          <w:szCs w:val="20"/>
          <w:lang w:val="es-ES"/>
        </w:rPr>
        <w:t xml:space="preserve">fue comunicado a este Tribunal que </w:t>
      </w:r>
      <w:r w:rsidR="005E5A03" w:rsidRPr="00994F2B">
        <w:rPr>
          <w:rFonts w:ascii="Verdana" w:hAnsi="Verdana" w:cs="Arial"/>
          <w:sz w:val="20"/>
          <w:szCs w:val="20"/>
          <w:lang w:val="es-ES"/>
        </w:rPr>
        <w:t>la Sala Constitucional del Tribunal Supremo de Justicia de Venezuela emitió una decisión mediante la cual declaró “inejecutable” la Sentencia emitida en ese caso</w:t>
      </w:r>
      <w:r w:rsidR="005E5A03" w:rsidRPr="008E7A26">
        <w:rPr>
          <w:rFonts w:cs="Arial"/>
          <w:vertAlign w:val="superscript"/>
          <w:lang w:val="es-ES"/>
        </w:rPr>
        <w:footnoteReference w:id="10"/>
      </w:r>
      <w:r w:rsidR="005E5A03" w:rsidRPr="00994F2B">
        <w:rPr>
          <w:rFonts w:ascii="Verdana" w:hAnsi="Verdana" w:cs="Arial"/>
          <w:sz w:val="20"/>
          <w:szCs w:val="20"/>
          <w:lang w:val="es-ES"/>
        </w:rPr>
        <w:t xml:space="preserve">. </w:t>
      </w:r>
      <w:r w:rsidR="002A01B5" w:rsidRPr="00EE7A5A">
        <w:rPr>
          <w:rFonts w:ascii="Verdana" w:hAnsi="Verdana" w:cs="Arial"/>
          <w:sz w:val="20"/>
          <w:szCs w:val="20"/>
          <w:lang w:val="es-ES"/>
        </w:rPr>
        <w:t xml:space="preserve">Aunado a ello, </w:t>
      </w:r>
      <w:r w:rsidR="00EE7A5A" w:rsidRPr="00EE7A5A">
        <w:rPr>
          <w:rFonts w:ascii="Verdana" w:hAnsi="Verdana" w:cs="Arial"/>
          <w:sz w:val="20"/>
          <w:szCs w:val="20"/>
          <w:lang w:val="es-ES"/>
        </w:rPr>
        <w:t>el Estado asumió</w:t>
      </w:r>
      <w:r w:rsidR="00557942">
        <w:rPr>
          <w:rFonts w:ascii="Verdana" w:hAnsi="Verdana" w:cs="Arial"/>
          <w:sz w:val="20"/>
          <w:szCs w:val="20"/>
          <w:lang w:val="es-ES"/>
        </w:rPr>
        <w:t>,</w:t>
      </w:r>
      <w:r w:rsidR="00EE7A5A" w:rsidRPr="00EE7A5A">
        <w:rPr>
          <w:rFonts w:ascii="Verdana" w:hAnsi="Verdana" w:cs="Arial"/>
          <w:sz w:val="20"/>
          <w:szCs w:val="20"/>
          <w:lang w:val="es-ES"/>
        </w:rPr>
        <w:t xml:space="preserve"> </w:t>
      </w:r>
      <w:r w:rsidR="004F582B">
        <w:rPr>
          <w:rFonts w:ascii="Verdana" w:hAnsi="Verdana" w:cs="Arial"/>
          <w:sz w:val="20"/>
          <w:szCs w:val="20"/>
          <w:lang w:val="es-ES"/>
        </w:rPr>
        <w:t>en est</w:t>
      </w:r>
      <w:r w:rsidR="00EE7A5A" w:rsidRPr="00EE7A5A">
        <w:rPr>
          <w:rFonts w:ascii="Verdana" w:hAnsi="Verdana" w:cs="Arial"/>
          <w:sz w:val="20"/>
          <w:szCs w:val="20"/>
          <w:lang w:val="es-ES"/>
        </w:rPr>
        <w:t>a etapa del proceso</w:t>
      </w:r>
      <w:r w:rsidR="00557942">
        <w:rPr>
          <w:rFonts w:ascii="Verdana" w:hAnsi="Verdana" w:cs="Arial"/>
          <w:sz w:val="20"/>
          <w:szCs w:val="20"/>
          <w:lang w:val="es-ES"/>
        </w:rPr>
        <w:t>,</w:t>
      </w:r>
      <w:r w:rsidR="00EE7A5A" w:rsidRPr="00EE7A5A">
        <w:rPr>
          <w:rFonts w:ascii="Verdana" w:hAnsi="Verdana" w:cs="Arial"/>
          <w:sz w:val="20"/>
          <w:szCs w:val="20"/>
          <w:lang w:val="es-ES"/>
        </w:rPr>
        <w:t xml:space="preserve"> </w:t>
      </w:r>
      <w:r w:rsidR="00557942" w:rsidRPr="00EE7A5A">
        <w:rPr>
          <w:rFonts w:ascii="Verdana" w:hAnsi="Verdana" w:cs="Arial"/>
          <w:sz w:val="20"/>
          <w:szCs w:val="20"/>
          <w:lang w:val="es-ES"/>
        </w:rPr>
        <w:t xml:space="preserve">una posición </w:t>
      </w:r>
      <w:r w:rsidR="00557942">
        <w:rPr>
          <w:rFonts w:ascii="Verdana" w:hAnsi="Verdana" w:cs="Arial"/>
          <w:sz w:val="20"/>
          <w:szCs w:val="20"/>
          <w:lang w:val="es-ES"/>
        </w:rPr>
        <w:t>orientada a</w:t>
      </w:r>
      <w:r w:rsidR="00EE7A5A" w:rsidRPr="00EE7A5A">
        <w:rPr>
          <w:rFonts w:ascii="Verdana" w:hAnsi="Verdana" w:cs="Arial"/>
          <w:sz w:val="20"/>
          <w:szCs w:val="20"/>
          <w:lang w:val="es-ES"/>
        </w:rPr>
        <w:t xml:space="preserve"> argumentar que la Sentencia </w:t>
      </w:r>
      <w:r w:rsidR="00557942">
        <w:rPr>
          <w:rFonts w:ascii="Verdana" w:hAnsi="Verdana" w:cs="Arial"/>
          <w:sz w:val="20"/>
          <w:szCs w:val="20"/>
          <w:lang w:val="es-ES"/>
        </w:rPr>
        <w:t xml:space="preserve">emitida por </w:t>
      </w:r>
      <w:r w:rsidR="00EE7A5A" w:rsidRPr="00EE7A5A">
        <w:rPr>
          <w:rFonts w:ascii="Verdana" w:hAnsi="Verdana" w:cs="Arial"/>
          <w:sz w:val="20"/>
          <w:szCs w:val="20"/>
          <w:lang w:val="es-ES"/>
        </w:rPr>
        <w:t xml:space="preserve">la Corte Interamericana </w:t>
      </w:r>
      <w:r w:rsidR="00557942">
        <w:rPr>
          <w:rFonts w:ascii="Verdana" w:hAnsi="Verdana" w:cs="Arial"/>
          <w:sz w:val="20"/>
          <w:szCs w:val="20"/>
          <w:lang w:val="es-ES"/>
        </w:rPr>
        <w:t xml:space="preserve">en el caso </w:t>
      </w:r>
      <w:proofErr w:type="spellStart"/>
      <w:r w:rsidR="00557942" w:rsidRPr="00F7206C">
        <w:rPr>
          <w:rFonts w:ascii="Verdana" w:hAnsi="Verdana" w:cs="Arial"/>
          <w:i/>
          <w:sz w:val="20"/>
          <w:szCs w:val="20"/>
          <w:lang w:val="es-ES"/>
        </w:rPr>
        <w:t>Apitz</w:t>
      </w:r>
      <w:proofErr w:type="spellEnd"/>
      <w:r w:rsidR="00557942" w:rsidRPr="00F7206C">
        <w:rPr>
          <w:rFonts w:ascii="Verdana" w:hAnsi="Verdana" w:cs="Arial"/>
          <w:i/>
          <w:sz w:val="20"/>
          <w:szCs w:val="20"/>
          <w:lang w:val="es-ES"/>
        </w:rPr>
        <w:t xml:space="preserve"> Barbera y otros</w:t>
      </w:r>
      <w:r w:rsidR="00557942">
        <w:rPr>
          <w:rFonts w:ascii="Verdana" w:hAnsi="Verdana" w:cs="Arial"/>
          <w:sz w:val="20"/>
          <w:szCs w:val="20"/>
          <w:lang w:val="es-ES"/>
        </w:rPr>
        <w:t xml:space="preserve"> </w:t>
      </w:r>
      <w:r w:rsidR="00EE7A5A" w:rsidRPr="00EE7A5A">
        <w:rPr>
          <w:rFonts w:ascii="Verdana" w:hAnsi="Verdana" w:cs="Arial"/>
          <w:sz w:val="20"/>
          <w:szCs w:val="20"/>
          <w:lang w:val="es-ES"/>
        </w:rPr>
        <w:t>era</w:t>
      </w:r>
      <w:r w:rsidR="00EE7A5A">
        <w:rPr>
          <w:rFonts w:ascii="Verdana" w:hAnsi="Verdana" w:cs="Arial"/>
          <w:sz w:val="20"/>
          <w:szCs w:val="20"/>
          <w:lang w:val="es-ES"/>
        </w:rPr>
        <w:t xml:space="preserve"> </w:t>
      </w:r>
      <w:r w:rsidR="00EE7A5A" w:rsidRPr="002323F5">
        <w:rPr>
          <w:rFonts w:ascii="Verdana" w:hAnsi="Verdana" w:cs="Times New Roman"/>
          <w:sz w:val="20"/>
          <w:szCs w:val="20"/>
          <w:lang w:eastAsia="en-US"/>
        </w:rPr>
        <w:t>“</w:t>
      </w:r>
      <w:r w:rsidR="002A01B5" w:rsidRPr="002323F5">
        <w:rPr>
          <w:rFonts w:ascii="Verdana" w:hAnsi="Verdana" w:cs="Times New Roman"/>
          <w:sz w:val="20"/>
          <w:szCs w:val="20"/>
          <w:lang w:eastAsia="en-US"/>
        </w:rPr>
        <w:t>de imposible cumplimiento</w:t>
      </w:r>
      <w:r w:rsidR="00EE7A5A" w:rsidRPr="002323F5">
        <w:rPr>
          <w:rFonts w:ascii="Verdana" w:hAnsi="Verdana" w:cs="Times New Roman"/>
          <w:sz w:val="20"/>
          <w:szCs w:val="20"/>
          <w:lang w:eastAsia="en-US"/>
        </w:rPr>
        <w:t>”</w:t>
      </w:r>
      <w:r w:rsidR="002A01B5" w:rsidRPr="002323F5">
        <w:rPr>
          <w:rFonts w:ascii="Verdana" w:hAnsi="Verdana" w:cs="Times New Roman"/>
          <w:sz w:val="20"/>
          <w:szCs w:val="20"/>
          <w:lang w:eastAsia="en-US"/>
        </w:rPr>
        <w:t xml:space="preserve"> </w:t>
      </w:r>
      <w:r w:rsidR="00EE7A5A" w:rsidRPr="002323F5">
        <w:rPr>
          <w:rFonts w:ascii="Verdana" w:hAnsi="Verdana" w:cs="Times New Roman"/>
          <w:sz w:val="20"/>
          <w:szCs w:val="20"/>
          <w:lang w:eastAsia="en-US"/>
        </w:rPr>
        <w:t>debido a la “</w:t>
      </w:r>
      <w:r w:rsidR="00557942" w:rsidRPr="002323F5">
        <w:rPr>
          <w:rFonts w:ascii="Verdana" w:hAnsi="Verdana" w:cs="Times New Roman"/>
          <w:sz w:val="20"/>
          <w:szCs w:val="20"/>
          <w:lang w:eastAsia="en-US"/>
        </w:rPr>
        <w:t>posición</w:t>
      </w:r>
      <w:r w:rsidR="002A01B5" w:rsidRPr="002323F5">
        <w:rPr>
          <w:rFonts w:ascii="Verdana" w:hAnsi="Verdana" w:cs="Times New Roman"/>
          <w:sz w:val="20"/>
          <w:szCs w:val="20"/>
          <w:lang w:eastAsia="en-US"/>
        </w:rPr>
        <w:t xml:space="preserve"> fijada</w:t>
      </w:r>
      <w:r w:rsidR="00EE7A5A" w:rsidRPr="002323F5">
        <w:rPr>
          <w:rFonts w:ascii="Verdana" w:hAnsi="Verdana" w:cs="Times New Roman"/>
          <w:sz w:val="20"/>
          <w:szCs w:val="20"/>
          <w:lang w:eastAsia="en-US"/>
        </w:rPr>
        <w:t>” en la referida decisión judicial interna</w:t>
      </w:r>
      <w:r w:rsidR="004F582B">
        <w:rPr>
          <w:rStyle w:val="FootnoteReference"/>
          <w:rFonts w:ascii="Verdana" w:hAnsi="Verdana" w:cs="Times New Roman"/>
          <w:sz w:val="20"/>
          <w:szCs w:val="20"/>
          <w:lang w:val="en-US" w:eastAsia="en-US"/>
        </w:rPr>
        <w:footnoteReference w:id="11"/>
      </w:r>
      <w:r w:rsidR="002A01B5" w:rsidRPr="002323F5">
        <w:rPr>
          <w:rFonts w:ascii="Verdana" w:hAnsi="Verdana" w:cs="Times New Roman"/>
          <w:sz w:val="20"/>
          <w:szCs w:val="20"/>
          <w:lang w:eastAsia="en-US"/>
        </w:rPr>
        <w:t xml:space="preserve">. </w:t>
      </w:r>
      <w:r w:rsidR="004F582B" w:rsidRPr="002323F5">
        <w:rPr>
          <w:rFonts w:ascii="Verdana" w:hAnsi="Verdana" w:cs="Times New Roman"/>
          <w:sz w:val="20"/>
          <w:szCs w:val="20"/>
          <w:lang w:eastAsia="en-US"/>
        </w:rPr>
        <w:t xml:space="preserve">Este Tribunal se pronunció al respecto </w:t>
      </w:r>
      <w:r w:rsidR="004F582B">
        <w:rPr>
          <w:rFonts w:ascii="Verdana" w:hAnsi="Verdana" w:cs="Arial"/>
          <w:sz w:val="20"/>
          <w:szCs w:val="20"/>
          <w:lang w:val="es-ES"/>
        </w:rPr>
        <w:t>e</w:t>
      </w:r>
      <w:r w:rsidR="00725547" w:rsidRPr="004F582B">
        <w:rPr>
          <w:rFonts w:ascii="Verdana" w:hAnsi="Verdana" w:cs="Arial"/>
          <w:sz w:val="20"/>
          <w:szCs w:val="20"/>
          <w:lang w:val="es-ES"/>
        </w:rPr>
        <w:t>n la Resolución de supervisión de cumplimiento de 23 noviembre de 2012</w:t>
      </w:r>
      <w:r>
        <w:rPr>
          <w:rFonts w:ascii="Verdana" w:hAnsi="Verdana" w:cs="Arial"/>
          <w:sz w:val="20"/>
          <w:szCs w:val="20"/>
          <w:lang w:val="es-ES"/>
        </w:rPr>
        <w:t>, declarando</w:t>
      </w:r>
      <w:r w:rsidR="006822CD" w:rsidRPr="004F582B">
        <w:rPr>
          <w:rFonts w:ascii="Verdana" w:hAnsi="Verdana" w:cs="Arial"/>
          <w:sz w:val="20"/>
          <w:szCs w:val="20"/>
          <w:lang w:val="es-ES"/>
        </w:rPr>
        <w:t xml:space="preserve"> </w:t>
      </w:r>
      <w:r w:rsidR="00226058" w:rsidRPr="004F582B">
        <w:rPr>
          <w:rFonts w:ascii="Verdana" w:hAnsi="Verdana" w:cs="Arial"/>
          <w:sz w:val="20"/>
          <w:szCs w:val="20"/>
        </w:rPr>
        <w:t>que el Estado “no ha cumplido con su obligación de informar a esta Corte sobre las medidas adoptadas para el cumplimiento de los puntos resolutivos de la Sentencia [de</w:t>
      </w:r>
      <w:r>
        <w:rPr>
          <w:rFonts w:ascii="Verdana" w:hAnsi="Verdana" w:cs="Arial"/>
          <w:sz w:val="20"/>
          <w:szCs w:val="20"/>
        </w:rPr>
        <w:t>l</w:t>
      </w:r>
      <w:r w:rsidR="00226058" w:rsidRPr="004F582B">
        <w:rPr>
          <w:rFonts w:ascii="Verdana" w:hAnsi="Verdana" w:cs="Arial"/>
          <w:sz w:val="20"/>
          <w:szCs w:val="20"/>
        </w:rPr>
        <w:t xml:space="preserve"> caso</w:t>
      </w:r>
      <w:r>
        <w:rPr>
          <w:rFonts w:ascii="Verdana" w:hAnsi="Verdana" w:cs="Arial"/>
          <w:sz w:val="20"/>
          <w:szCs w:val="20"/>
        </w:rPr>
        <w:t xml:space="preserve"> </w:t>
      </w:r>
      <w:proofErr w:type="spellStart"/>
      <w:r w:rsidRPr="003D2B83">
        <w:rPr>
          <w:rFonts w:ascii="Verdana" w:hAnsi="Verdana" w:cs="Arial"/>
          <w:i/>
          <w:sz w:val="20"/>
          <w:szCs w:val="20"/>
        </w:rPr>
        <w:t>Apitz</w:t>
      </w:r>
      <w:proofErr w:type="spellEnd"/>
      <w:r w:rsidRPr="003D2B83">
        <w:rPr>
          <w:rFonts w:ascii="Verdana" w:hAnsi="Verdana" w:cs="Arial"/>
          <w:i/>
          <w:sz w:val="20"/>
          <w:szCs w:val="20"/>
        </w:rPr>
        <w:t xml:space="preserve"> Barbera y otros</w:t>
      </w:r>
      <w:r w:rsidR="00226058" w:rsidRPr="004F582B">
        <w:rPr>
          <w:rFonts w:ascii="Verdana" w:hAnsi="Verdana" w:cs="Arial"/>
          <w:sz w:val="20"/>
          <w:szCs w:val="20"/>
        </w:rPr>
        <w:t>]”, y “ha incurrido en un incumplimiento sustancial a lo ordenado en la [misma]”</w:t>
      </w:r>
      <w:r>
        <w:rPr>
          <w:rFonts w:ascii="Verdana" w:hAnsi="Verdana" w:cs="Arial"/>
          <w:sz w:val="20"/>
          <w:szCs w:val="20"/>
        </w:rPr>
        <w:t>.</w:t>
      </w:r>
      <w:r w:rsidR="00226058" w:rsidRPr="004F582B">
        <w:rPr>
          <w:rFonts w:ascii="Verdana" w:hAnsi="Verdana" w:cs="Arial"/>
          <w:sz w:val="20"/>
          <w:szCs w:val="20"/>
        </w:rPr>
        <w:t xml:space="preserve"> </w:t>
      </w:r>
      <w:r>
        <w:rPr>
          <w:rFonts w:ascii="Verdana" w:hAnsi="Verdana" w:cs="Arial"/>
          <w:sz w:val="20"/>
          <w:szCs w:val="20"/>
        </w:rPr>
        <w:t>A</w:t>
      </w:r>
      <w:r w:rsidR="00226058" w:rsidRPr="004F582B">
        <w:rPr>
          <w:rFonts w:ascii="Verdana" w:hAnsi="Verdana" w:cs="Arial"/>
          <w:sz w:val="20"/>
          <w:szCs w:val="20"/>
        </w:rPr>
        <w:t>demás</w:t>
      </w:r>
      <w:r>
        <w:rPr>
          <w:rFonts w:ascii="Verdana" w:hAnsi="Verdana" w:cs="Arial"/>
          <w:sz w:val="20"/>
          <w:szCs w:val="20"/>
        </w:rPr>
        <w:t>,</w:t>
      </w:r>
      <w:r w:rsidR="00226058" w:rsidRPr="004F582B">
        <w:rPr>
          <w:rFonts w:ascii="Verdana" w:hAnsi="Verdana" w:cs="Arial"/>
          <w:sz w:val="20"/>
          <w:szCs w:val="20"/>
        </w:rPr>
        <w:t xml:space="preserve"> resolvió “[i]</w:t>
      </w:r>
      <w:proofErr w:type="spellStart"/>
      <w:r w:rsidR="00226058" w:rsidRPr="004F582B">
        <w:rPr>
          <w:rFonts w:ascii="Verdana" w:hAnsi="Verdana" w:cs="Arial"/>
          <w:sz w:val="20"/>
          <w:szCs w:val="20"/>
        </w:rPr>
        <w:t>ncorporar</w:t>
      </w:r>
      <w:proofErr w:type="spellEnd"/>
      <w:r w:rsidR="00226058" w:rsidRPr="004F582B">
        <w:rPr>
          <w:rFonts w:ascii="Verdana" w:hAnsi="Verdana" w:cs="Arial"/>
          <w:sz w:val="20"/>
          <w:szCs w:val="20"/>
        </w:rPr>
        <w:t xml:space="preserve"> en el […] Informe Anual de la Corte Interamericana […] lo decidido en [</w:t>
      </w:r>
      <w:r w:rsidRPr="004F582B">
        <w:rPr>
          <w:rFonts w:ascii="Verdana" w:hAnsi="Verdana" w:cs="Arial"/>
          <w:sz w:val="20"/>
          <w:szCs w:val="20"/>
        </w:rPr>
        <w:t>es</w:t>
      </w:r>
      <w:r>
        <w:rPr>
          <w:rFonts w:ascii="Verdana" w:hAnsi="Verdana" w:cs="Arial"/>
          <w:sz w:val="20"/>
          <w:szCs w:val="20"/>
        </w:rPr>
        <w:t>a</w:t>
      </w:r>
      <w:r w:rsidR="00226058" w:rsidRPr="004F582B">
        <w:rPr>
          <w:rFonts w:ascii="Verdana" w:hAnsi="Verdana" w:cs="Arial"/>
          <w:sz w:val="20"/>
          <w:szCs w:val="20"/>
        </w:rPr>
        <w:t xml:space="preserve">] Resolución con el fin de informar a la Asamblea General de los Estados Americanos, en aplicación del artículo 65 de la Convención Americana […], sobre el incumplimiento por parte del Estado” de acatar lo dispuesto en la Sentencia de </w:t>
      </w:r>
      <w:r w:rsidRPr="004F582B">
        <w:rPr>
          <w:rFonts w:ascii="Verdana" w:hAnsi="Verdana" w:cs="Arial"/>
          <w:sz w:val="20"/>
          <w:szCs w:val="20"/>
        </w:rPr>
        <w:t>es</w:t>
      </w:r>
      <w:r>
        <w:rPr>
          <w:rFonts w:ascii="Verdana" w:hAnsi="Verdana" w:cs="Arial"/>
          <w:sz w:val="20"/>
          <w:szCs w:val="20"/>
        </w:rPr>
        <w:t>e</w:t>
      </w:r>
      <w:r w:rsidRPr="004F582B">
        <w:rPr>
          <w:rFonts w:ascii="Verdana" w:hAnsi="Verdana" w:cs="Arial"/>
          <w:sz w:val="20"/>
          <w:szCs w:val="20"/>
        </w:rPr>
        <w:t xml:space="preserve"> </w:t>
      </w:r>
      <w:r w:rsidR="00226058" w:rsidRPr="004F582B">
        <w:rPr>
          <w:rFonts w:ascii="Verdana" w:hAnsi="Verdana" w:cs="Arial"/>
          <w:sz w:val="20"/>
          <w:szCs w:val="20"/>
        </w:rPr>
        <w:t xml:space="preserve">caso. </w:t>
      </w:r>
    </w:p>
    <w:p w14:paraId="511074F5" w14:textId="2ACC2BA6" w:rsidR="00D66B69" w:rsidRDefault="006B20F7" w:rsidP="00D66B69">
      <w:pPr>
        <w:pStyle w:val="ListParagraph"/>
        <w:numPr>
          <w:ilvl w:val="0"/>
          <w:numId w:val="4"/>
        </w:numPr>
        <w:spacing w:before="120" w:after="120" w:line="240" w:lineRule="auto"/>
        <w:ind w:left="0" w:right="1444" w:firstLine="0"/>
        <w:contextualSpacing w:val="0"/>
        <w:jc w:val="both"/>
        <w:rPr>
          <w:rFonts w:ascii="Verdana" w:hAnsi="Verdana" w:cs="Arial"/>
          <w:sz w:val="20"/>
          <w:szCs w:val="20"/>
          <w:lang w:val="es-ES"/>
        </w:rPr>
      </w:pPr>
      <w:r>
        <w:rPr>
          <w:rFonts w:ascii="Verdana" w:hAnsi="Verdana" w:cs="Arial"/>
          <w:sz w:val="20"/>
          <w:szCs w:val="20"/>
          <w:lang w:val="es-ES"/>
        </w:rPr>
        <w:t xml:space="preserve">En lo que respecta al cumplimiento de las Sentencia emitida </w:t>
      </w:r>
      <w:r w:rsidR="008E3239" w:rsidRPr="00994F2B">
        <w:rPr>
          <w:rFonts w:ascii="Verdana" w:hAnsi="Verdana" w:cs="Arial"/>
          <w:sz w:val="20"/>
          <w:szCs w:val="20"/>
          <w:lang w:val="es-ES"/>
        </w:rPr>
        <w:t xml:space="preserve">por la Corte Interamericana en </w:t>
      </w:r>
      <w:r w:rsidR="00A35A2D">
        <w:rPr>
          <w:rFonts w:ascii="Verdana" w:hAnsi="Verdana" w:cs="Arial"/>
          <w:sz w:val="20"/>
          <w:szCs w:val="20"/>
          <w:lang w:val="es-ES"/>
        </w:rPr>
        <w:t>el</w:t>
      </w:r>
      <w:r w:rsidR="008E3239" w:rsidRPr="00994F2B">
        <w:rPr>
          <w:rFonts w:ascii="Verdana" w:hAnsi="Verdana" w:cs="Arial"/>
          <w:sz w:val="20"/>
          <w:szCs w:val="20"/>
          <w:lang w:val="es-ES"/>
        </w:rPr>
        <w:t xml:space="preserve"> caso </w:t>
      </w:r>
      <w:r w:rsidR="008E3239" w:rsidRPr="006B20F7">
        <w:rPr>
          <w:rFonts w:ascii="Verdana" w:hAnsi="Verdana" w:cs="Arial"/>
          <w:i/>
          <w:sz w:val="20"/>
          <w:szCs w:val="20"/>
          <w:lang w:val="es-ES"/>
        </w:rPr>
        <w:t>López Mendoza</w:t>
      </w:r>
      <w:r>
        <w:rPr>
          <w:rFonts w:ascii="Verdana" w:hAnsi="Verdana" w:cs="Arial"/>
          <w:i/>
          <w:sz w:val="20"/>
          <w:szCs w:val="20"/>
          <w:lang w:val="es-ES"/>
        </w:rPr>
        <w:t xml:space="preserve">, </w:t>
      </w:r>
      <w:r w:rsidRPr="006B20F7">
        <w:rPr>
          <w:rFonts w:ascii="Verdana" w:hAnsi="Verdana" w:cs="Arial"/>
          <w:sz w:val="20"/>
          <w:szCs w:val="20"/>
          <w:lang w:val="es-ES"/>
        </w:rPr>
        <w:t xml:space="preserve">de igual manera la Sala Constitucional del </w:t>
      </w:r>
      <w:r w:rsidRPr="006B20F7">
        <w:rPr>
          <w:rFonts w:ascii="Verdana" w:hAnsi="Verdana" w:cs="Arial"/>
          <w:sz w:val="20"/>
          <w:szCs w:val="20"/>
          <w:lang w:val="es-ES"/>
        </w:rPr>
        <w:lastRenderedPageBreak/>
        <w:t xml:space="preserve">Tribunal Supremo de Justicia de Venezuela dictó </w:t>
      </w:r>
      <w:r w:rsidR="00A35A2D">
        <w:rPr>
          <w:rFonts w:ascii="Verdana" w:hAnsi="Verdana" w:cs="Arial"/>
          <w:sz w:val="20"/>
          <w:szCs w:val="20"/>
          <w:lang w:val="es-ES"/>
        </w:rPr>
        <w:t xml:space="preserve">una </w:t>
      </w:r>
      <w:r w:rsidRPr="006B20F7">
        <w:rPr>
          <w:rFonts w:ascii="Verdana" w:hAnsi="Verdana" w:cs="Arial"/>
          <w:sz w:val="20"/>
          <w:szCs w:val="20"/>
          <w:lang w:val="es-ES"/>
        </w:rPr>
        <w:t>decisi</w:t>
      </w:r>
      <w:r w:rsidR="00A35A2D">
        <w:rPr>
          <w:rFonts w:ascii="Verdana" w:hAnsi="Verdana" w:cs="Arial"/>
          <w:sz w:val="20"/>
          <w:szCs w:val="20"/>
          <w:lang w:val="es-ES"/>
        </w:rPr>
        <w:t>ón</w:t>
      </w:r>
      <w:r w:rsidRPr="00994F2B">
        <w:rPr>
          <w:rFonts w:ascii="Verdana" w:hAnsi="Verdana" w:cs="Arial"/>
          <w:sz w:val="20"/>
          <w:szCs w:val="20"/>
          <w:lang w:val="es-ES"/>
        </w:rPr>
        <w:t xml:space="preserve"> e</w:t>
      </w:r>
      <w:r w:rsidR="00F57BB1">
        <w:rPr>
          <w:rFonts w:ascii="Verdana" w:hAnsi="Verdana" w:cs="Arial"/>
          <w:sz w:val="20"/>
          <w:szCs w:val="20"/>
          <w:lang w:val="es-ES"/>
        </w:rPr>
        <w:t>l 17 de</w:t>
      </w:r>
      <w:r w:rsidRPr="00994F2B">
        <w:rPr>
          <w:rFonts w:ascii="Verdana" w:hAnsi="Verdana" w:cs="Arial"/>
          <w:sz w:val="20"/>
          <w:szCs w:val="20"/>
          <w:lang w:val="es-ES"/>
        </w:rPr>
        <w:t xml:space="preserve"> octubre de 20</w:t>
      </w:r>
      <w:r w:rsidR="00A35A2D">
        <w:rPr>
          <w:rFonts w:ascii="Verdana" w:hAnsi="Verdana" w:cs="Arial"/>
          <w:sz w:val="20"/>
          <w:szCs w:val="20"/>
          <w:lang w:val="es-ES"/>
        </w:rPr>
        <w:t>1</w:t>
      </w:r>
      <w:r w:rsidRPr="00994F2B">
        <w:rPr>
          <w:rFonts w:ascii="Verdana" w:hAnsi="Verdana" w:cs="Arial"/>
          <w:sz w:val="20"/>
          <w:szCs w:val="20"/>
          <w:lang w:val="es-ES"/>
        </w:rPr>
        <w:t>1</w:t>
      </w:r>
      <w:r w:rsidR="00D66B69">
        <w:rPr>
          <w:rFonts w:ascii="Verdana" w:hAnsi="Verdana" w:cs="Arial"/>
          <w:sz w:val="20"/>
          <w:szCs w:val="20"/>
          <w:lang w:val="es-ES"/>
        </w:rPr>
        <w:t xml:space="preserve">, mediante la cual </w:t>
      </w:r>
      <w:r w:rsidR="00AA1C0F">
        <w:rPr>
          <w:rFonts w:ascii="Verdana" w:hAnsi="Verdana" w:cs="Arial"/>
          <w:sz w:val="20"/>
          <w:szCs w:val="20"/>
          <w:lang w:val="es-ES"/>
        </w:rPr>
        <w:t xml:space="preserve">sostuvo que </w:t>
      </w:r>
      <w:r w:rsidR="00A35A2D">
        <w:rPr>
          <w:rFonts w:ascii="Verdana" w:hAnsi="Verdana" w:cs="Arial"/>
          <w:sz w:val="20"/>
          <w:szCs w:val="20"/>
          <w:lang w:val="es-ES"/>
        </w:rPr>
        <w:t>la</w:t>
      </w:r>
      <w:r w:rsidR="00D66B69">
        <w:rPr>
          <w:rFonts w:ascii="Verdana" w:hAnsi="Verdana" w:cs="Arial"/>
          <w:sz w:val="20"/>
          <w:szCs w:val="20"/>
          <w:lang w:val="es-ES"/>
        </w:rPr>
        <w:t xml:space="preserve"> Sentencia </w:t>
      </w:r>
      <w:r w:rsidR="00F57BB1">
        <w:rPr>
          <w:rFonts w:ascii="Verdana" w:hAnsi="Verdana" w:cs="Arial"/>
          <w:sz w:val="20"/>
          <w:szCs w:val="20"/>
          <w:lang w:val="es-ES"/>
        </w:rPr>
        <w:t xml:space="preserve">emitida por este Tribunal </w:t>
      </w:r>
      <w:r w:rsidR="00AA1C0F">
        <w:rPr>
          <w:rFonts w:ascii="Verdana" w:hAnsi="Verdana" w:cs="Arial"/>
          <w:sz w:val="20"/>
          <w:szCs w:val="20"/>
          <w:lang w:val="es-ES"/>
        </w:rPr>
        <w:t xml:space="preserve">era </w:t>
      </w:r>
      <w:r w:rsidR="00D66B69">
        <w:rPr>
          <w:rFonts w:ascii="Verdana" w:hAnsi="Verdana" w:cs="Arial"/>
          <w:sz w:val="20"/>
          <w:szCs w:val="20"/>
          <w:lang w:val="es-ES"/>
        </w:rPr>
        <w:t>“inejecutable”</w:t>
      </w:r>
      <w:r w:rsidR="00F57BB1">
        <w:rPr>
          <w:rStyle w:val="FootnoteReference"/>
          <w:rFonts w:ascii="Verdana" w:hAnsi="Verdana" w:cs="Arial"/>
          <w:sz w:val="20"/>
          <w:szCs w:val="20"/>
          <w:lang w:val="es-ES"/>
        </w:rPr>
        <w:footnoteReference w:id="12"/>
      </w:r>
      <w:r w:rsidR="008E3239" w:rsidRPr="00994F2B">
        <w:rPr>
          <w:rFonts w:ascii="Verdana" w:hAnsi="Verdana" w:cs="Arial"/>
          <w:sz w:val="20"/>
          <w:szCs w:val="20"/>
          <w:lang w:val="es-ES"/>
        </w:rPr>
        <w:t xml:space="preserve">. </w:t>
      </w:r>
    </w:p>
    <w:p w14:paraId="767BC3A9" w14:textId="659FF0DD" w:rsidR="00131A4B" w:rsidRPr="006B20F7" w:rsidRDefault="00D66B69" w:rsidP="00D66B69">
      <w:pPr>
        <w:pStyle w:val="ListParagraph"/>
        <w:numPr>
          <w:ilvl w:val="0"/>
          <w:numId w:val="4"/>
        </w:numPr>
        <w:spacing w:before="120" w:after="120" w:line="240" w:lineRule="auto"/>
        <w:ind w:left="0" w:right="1444" w:firstLine="0"/>
        <w:contextualSpacing w:val="0"/>
        <w:jc w:val="both"/>
        <w:rPr>
          <w:rFonts w:ascii="Verdana" w:hAnsi="Verdana" w:cs="Arial"/>
          <w:sz w:val="20"/>
          <w:szCs w:val="20"/>
          <w:lang w:val="es-ES"/>
        </w:rPr>
      </w:pPr>
      <w:r>
        <w:rPr>
          <w:rFonts w:ascii="Verdana" w:hAnsi="Verdana" w:cs="Arial"/>
          <w:sz w:val="20"/>
          <w:szCs w:val="20"/>
          <w:lang w:val="es-ES"/>
        </w:rPr>
        <w:t xml:space="preserve">En la </w:t>
      </w:r>
      <w:r w:rsidR="00F57BB1">
        <w:rPr>
          <w:rFonts w:ascii="Verdana" w:hAnsi="Verdana" w:cs="Arial"/>
          <w:sz w:val="20"/>
          <w:szCs w:val="20"/>
          <w:lang w:val="es-ES"/>
        </w:rPr>
        <w:t xml:space="preserve">referida </w:t>
      </w:r>
      <w:r>
        <w:rPr>
          <w:rFonts w:ascii="Verdana" w:hAnsi="Verdana" w:cs="Arial"/>
          <w:sz w:val="20"/>
          <w:szCs w:val="20"/>
          <w:lang w:val="es-ES"/>
        </w:rPr>
        <w:t>decisión judicial interna, dich</w:t>
      </w:r>
      <w:r w:rsidR="00F57BB1">
        <w:rPr>
          <w:rFonts w:ascii="Verdana" w:hAnsi="Verdana" w:cs="Arial"/>
          <w:sz w:val="20"/>
          <w:szCs w:val="20"/>
          <w:lang w:val="es-ES"/>
        </w:rPr>
        <w:t>a</w:t>
      </w:r>
      <w:r>
        <w:rPr>
          <w:rFonts w:ascii="Verdana" w:hAnsi="Verdana" w:cs="Arial"/>
          <w:sz w:val="20"/>
          <w:szCs w:val="20"/>
          <w:lang w:val="es-ES"/>
        </w:rPr>
        <w:t xml:space="preserve"> </w:t>
      </w:r>
      <w:r w:rsidR="00F57BB1">
        <w:rPr>
          <w:rFonts w:ascii="Verdana" w:hAnsi="Verdana" w:cs="Arial"/>
          <w:sz w:val="20"/>
          <w:szCs w:val="20"/>
          <w:lang w:val="es-ES"/>
        </w:rPr>
        <w:t>Sala expresó</w:t>
      </w:r>
      <w:r>
        <w:rPr>
          <w:rFonts w:ascii="Verdana" w:hAnsi="Verdana" w:cs="Arial"/>
          <w:sz w:val="20"/>
          <w:szCs w:val="20"/>
          <w:lang w:val="es-ES"/>
        </w:rPr>
        <w:t xml:space="preserve">, entre otros, </w:t>
      </w:r>
      <w:r w:rsidR="00131A4B" w:rsidRPr="006B20F7">
        <w:rPr>
          <w:rFonts w:ascii="Verdana" w:hAnsi="Verdana" w:cs="Arial"/>
          <w:sz w:val="20"/>
          <w:szCs w:val="20"/>
          <w:lang w:val="es-ES"/>
        </w:rPr>
        <w:t>lo</w:t>
      </w:r>
      <w:r>
        <w:rPr>
          <w:rFonts w:ascii="Verdana" w:hAnsi="Verdana" w:cs="Arial"/>
          <w:sz w:val="20"/>
          <w:szCs w:val="20"/>
          <w:lang w:val="es-ES"/>
        </w:rPr>
        <w:t>s</w:t>
      </w:r>
      <w:r w:rsidR="00131A4B" w:rsidRPr="006B20F7">
        <w:rPr>
          <w:rFonts w:ascii="Verdana" w:hAnsi="Verdana" w:cs="Arial"/>
          <w:sz w:val="20"/>
          <w:szCs w:val="20"/>
          <w:lang w:val="es-ES"/>
        </w:rPr>
        <w:t xml:space="preserve"> siguiente</w:t>
      </w:r>
      <w:r>
        <w:rPr>
          <w:rFonts w:ascii="Verdana" w:hAnsi="Verdana" w:cs="Arial"/>
          <w:sz w:val="20"/>
          <w:szCs w:val="20"/>
          <w:lang w:val="es-ES"/>
        </w:rPr>
        <w:t>s argumentos</w:t>
      </w:r>
      <w:r w:rsidR="00131A4B" w:rsidRPr="006B20F7">
        <w:rPr>
          <w:rFonts w:ascii="Verdana" w:hAnsi="Verdana" w:cs="Arial"/>
          <w:sz w:val="20"/>
          <w:szCs w:val="20"/>
          <w:lang w:val="es-ES"/>
        </w:rPr>
        <w:t>:</w:t>
      </w:r>
    </w:p>
    <w:p w14:paraId="6C894A23" w14:textId="43E83996" w:rsidR="00131A4B" w:rsidRPr="006B20F7" w:rsidRDefault="00131A4B" w:rsidP="00131A4B">
      <w:pPr>
        <w:pStyle w:val="ListParagraph"/>
        <w:spacing w:before="120" w:after="120" w:line="240" w:lineRule="auto"/>
        <w:ind w:right="2160"/>
        <w:contextualSpacing w:val="0"/>
        <w:jc w:val="both"/>
        <w:rPr>
          <w:rFonts w:ascii="Verdana" w:hAnsi="Verdana" w:cs="Arial"/>
          <w:sz w:val="16"/>
          <w:szCs w:val="16"/>
          <w:lang w:val="es-ES"/>
        </w:rPr>
      </w:pPr>
      <w:r w:rsidRPr="006B20F7">
        <w:rPr>
          <w:rFonts w:ascii="Verdana" w:hAnsi="Verdana" w:cs="Arial"/>
          <w:sz w:val="16"/>
          <w:szCs w:val="16"/>
          <w:lang w:val="es-ES"/>
        </w:rPr>
        <w:t>[…]</w:t>
      </w:r>
      <w:r w:rsidR="00F5195A" w:rsidRPr="006B20F7">
        <w:rPr>
          <w:rFonts w:ascii="Verdana" w:hAnsi="Verdana" w:cs="Arial"/>
          <w:sz w:val="16"/>
          <w:szCs w:val="16"/>
          <w:lang w:val="es-ES"/>
        </w:rPr>
        <w:t xml:space="preserve"> </w:t>
      </w:r>
      <w:r w:rsidRPr="006B20F7">
        <w:rPr>
          <w:rFonts w:ascii="Verdana" w:hAnsi="Verdana" w:cs="Arial"/>
          <w:sz w:val="16"/>
          <w:szCs w:val="16"/>
          <w:lang w:val="es-ES"/>
        </w:rPr>
        <w:t>la Constitución no otorga a los tratados internaciones sobre derechos humanos rango “supraconstitucional”, por lo que, en caso de antinomia o contradicción entre una disposición de la Carta Fundamental y una norma de un pacto internacional, correspondería al Poder Judicial determinar cuál sería la aplicable, tomando en consideración tanto lo dispuesto en la citada norma como en la jurisprudencia de esta Sala Constitucional del Tribunal Supremo de Justicia […]</w:t>
      </w:r>
    </w:p>
    <w:p w14:paraId="69EE0DF5" w14:textId="77777777" w:rsidR="00131A4B" w:rsidRPr="006B20F7" w:rsidRDefault="00131A4B" w:rsidP="008544D8">
      <w:pPr>
        <w:pStyle w:val="ListParagraph"/>
        <w:spacing w:before="120" w:after="120" w:line="240" w:lineRule="auto"/>
        <w:ind w:right="2160" w:firstLine="720"/>
        <w:contextualSpacing w:val="0"/>
        <w:jc w:val="both"/>
        <w:rPr>
          <w:rFonts w:ascii="Verdana" w:hAnsi="Verdana" w:cs="Arial"/>
          <w:sz w:val="16"/>
          <w:szCs w:val="16"/>
          <w:lang w:val="es-ES"/>
        </w:rPr>
      </w:pPr>
      <w:r w:rsidRPr="006B20F7">
        <w:rPr>
          <w:rFonts w:ascii="Verdana" w:hAnsi="Verdana" w:cs="Arial"/>
          <w:sz w:val="16"/>
          <w:szCs w:val="16"/>
          <w:lang w:val="es-ES"/>
        </w:rPr>
        <w:t>[…]</w:t>
      </w:r>
    </w:p>
    <w:p w14:paraId="6C9A69C3" w14:textId="3EF5FE2B" w:rsidR="00131A4B" w:rsidRPr="006B20F7" w:rsidRDefault="00131A4B" w:rsidP="00131A4B">
      <w:pPr>
        <w:pStyle w:val="ListParagraph"/>
        <w:spacing w:before="120" w:after="120" w:line="240" w:lineRule="auto"/>
        <w:ind w:right="2160"/>
        <w:contextualSpacing w:val="0"/>
        <w:jc w:val="both"/>
        <w:rPr>
          <w:rFonts w:ascii="Verdana" w:hAnsi="Verdana" w:cs="Arial"/>
          <w:sz w:val="16"/>
          <w:szCs w:val="16"/>
          <w:lang w:val="es-ES"/>
        </w:rPr>
      </w:pPr>
      <w:r w:rsidRPr="006B20F7">
        <w:rPr>
          <w:rFonts w:ascii="Verdana" w:hAnsi="Verdana" w:cs="Arial"/>
          <w:sz w:val="16"/>
          <w:szCs w:val="16"/>
          <w:lang w:val="es-ES"/>
        </w:rPr>
        <w:t>[…] es preciso referir que la Convención Americana no es el único tratado suscrito por Venezuela relativo a derechos humanos y, en consecuencia, de rango constitucional a tenor de lo previsto en el artículo 23 de la Constitución Nacional, que debe ser tomado en consideración para resolver sobre la ejecución del fallo de la Corte Interamericana. En efecto, nuestro país ha suscrito y ratificado con posterioridad a la aludida Convención otros tratados de cuyo texto pueden inferirse conclusiones muy distintas a las vertidas en el fallo del 01 de septiembre de 2011 […]</w:t>
      </w:r>
      <w:r w:rsidR="008544D8" w:rsidRPr="008544D8">
        <w:rPr>
          <w:rFonts w:ascii="Verdana" w:hAnsi="Verdana" w:cs="Arial"/>
          <w:sz w:val="16"/>
          <w:szCs w:val="16"/>
          <w:lang w:val="es-ES"/>
        </w:rPr>
        <w:t>.</w:t>
      </w:r>
    </w:p>
    <w:p w14:paraId="7AD83E0B" w14:textId="77777777" w:rsidR="00131A4B" w:rsidRPr="006B20F7" w:rsidRDefault="00131A4B" w:rsidP="008544D8">
      <w:pPr>
        <w:pStyle w:val="ListParagraph"/>
        <w:spacing w:before="120" w:after="120" w:line="240" w:lineRule="auto"/>
        <w:ind w:right="2160" w:firstLine="720"/>
        <w:contextualSpacing w:val="0"/>
        <w:jc w:val="both"/>
        <w:rPr>
          <w:rFonts w:ascii="Verdana" w:hAnsi="Verdana" w:cs="Arial"/>
          <w:sz w:val="16"/>
          <w:szCs w:val="16"/>
          <w:lang w:val="es-ES"/>
        </w:rPr>
      </w:pPr>
      <w:r w:rsidRPr="006B20F7">
        <w:rPr>
          <w:rFonts w:ascii="Verdana" w:hAnsi="Verdana" w:cs="Arial"/>
          <w:sz w:val="16"/>
          <w:szCs w:val="16"/>
          <w:lang w:val="es-ES"/>
        </w:rPr>
        <w:t>[…]</w:t>
      </w:r>
    </w:p>
    <w:p w14:paraId="54D134E4" w14:textId="7E2486D1" w:rsidR="00131A4B" w:rsidRPr="006B20F7" w:rsidRDefault="00131A4B" w:rsidP="00131A4B">
      <w:pPr>
        <w:pStyle w:val="ListParagraph"/>
        <w:spacing w:before="120" w:after="120" w:line="240" w:lineRule="auto"/>
        <w:ind w:right="2160"/>
        <w:contextualSpacing w:val="0"/>
        <w:jc w:val="both"/>
        <w:rPr>
          <w:rFonts w:ascii="Verdana" w:hAnsi="Verdana" w:cs="Arial"/>
          <w:sz w:val="16"/>
          <w:szCs w:val="16"/>
          <w:lang w:val="es-ES"/>
        </w:rPr>
      </w:pPr>
      <w:r w:rsidRPr="006B20F7">
        <w:rPr>
          <w:rFonts w:ascii="Verdana" w:hAnsi="Verdana" w:cs="Arial"/>
          <w:sz w:val="16"/>
          <w:szCs w:val="16"/>
          <w:lang w:val="es-ES"/>
        </w:rPr>
        <w:t>Así, la Convención Interamericana contra la Corrupción de 1996, obliga a los Estados Americanos a “tomar las medidas apropiadas contra las personas que cometan actos de corrupción en el ejercicio de las funciones públicas o específicamente vinculados con dicho ejercicio” […] Como puede advertirse de esta disposición se insta a los Estados a promover y fortalecer los “mecanismos” necesarios (no exclusivamente judiciales) para sancionar los actos de corrupción. Igualmente, el artículo […] referido a las medidas preventivas alude a la “aplicabilidad de medidas dentro de sus propios sistemas institucionales” por parte de los Estados Partes, lo cual en el caso de Venezuela implica el reconocimiento dentro del marco constitucional del poder sancionador del Poder Ciudadano […] entre cuyos órganos está la Contraloría General de la República […]</w:t>
      </w:r>
      <w:r w:rsidR="008544D8" w:rsidRPr="008544D8">
        <w:rPr>
          <w:rFonts w:ascii="Verdana" w:hAnsi="Verdana" w:cs="Arial"/>
          <w:sz w:val="16"/>
          <w:szCs w:val="16"/>
          <w:lang w:val="es-ES"/>
        </w:rPr>
        <w:t>.</w:t>
      </w:r>
    </w:p>
    <w:p w14:paraId="78E6E345" w14:textId="77777777" w:rsidR="00131A4B" w:rsidRPr="006B20F7" w:rsidRDefault="00131A4B" w:rsidP="008544D8">
      <w:pPr>
        <w:pStyle w:val="ListParagraph"/>
        <w:spacing w:before="120" w:after="120" w:line="240" w:lineRule="auto"/>
        <w:ind w:right="2160" w:firstLine="720"/>
        <w:contextualSpacing w:val="0"/>
        <w:jc w:val="both"/>
        <w:rPr>
          <w:rFonts w:ascii="Verdana" w:hAnsi="Verdana" w:cs="Arial"/>
          <w:sz w:val="16"/>
          <w:szCs w:val="16"/>
          <w:lang w:val="es-ES"/>
        </w:rPr>
      </w:pPr>
      <w:r w:rsidRPr="006B20F7">
        <w:rPr>
          <w:rFonts w:ascii="Verdana" w:hAnsi="Verdana" w:cs="Arial"/>
          <w:sz w:val="16"/>
          <w:szCs w:val="16"/>
          <w:lang w:val="es-ES"/>
        </w:rPr>
        <w:t>[…]</w:t>
      </w:r>
    </w:p>
    <w:p w14:paraId="4CA9C31B" w14:textId="7675C61C" w:rsidR="00131A4B" w:rsidRPr="003D2B83" w:rsidRDefault="00131A4B" w:rsidP="008544D8">
      <w:pPr>
        <w:pStyle w:val="ListParagraph"/>
        <w:spacing w:before="120" w:after="120" w:line="240" w:lineRule="auto"/>
        <w:ind w:right="2160"/>
        <w:contextualSpacing w:val="0"/>
        <w:jc w:val="both"/>
        <w:rPr>
          <w:rFonts w:ascii="Verdana" w:hAnsi="Verdana" w:cs="Arial"/>
          <w:sz w:val="16"/>
          <w:szCs w:val="16"/>
          <w:lang w:val="es-ES"/>
        </w:rPr>
      </w:pPr>
      <w:r w:rsidRPr="006B20F7">
        <w:rPr>
          <w:rFonts w:ascii="Verdana" w:hAnsi="Verdana" w:cs="Arial"/>
          <w:sz w:val="16"/>
          <w:szCs w:val="16"/>
          <w:lang w:val="es-ES"/>
        </w:rPr>
        <w:t>Igualmente, Venezuela es país signatario de la “Convención de las Naciones Unidas contra la Corrupción”, suscrito en el año 2003, cuyo objetivo es la introducción de un conjunto cabal de normas, medidas y reglamentos que puedan aplicar todos los países para reforzar sus regímenes jurídicos y reglamentarios destinados a la lucha contra la corrupción. En tal sentido, es digno de destacarse la protección de la soberanía de los Estados que expresamente se declara en el artículo 4 del tratado […] Por otra parte, de manera, expresa, el artículo 30.7 establece la posibilidad de inhabilitar “por mandamiento judicial u otro medio apropiado y por un per</w:t>
      </w:r>
      <w:r w:rsidR="008544D8">
        <w:rPr>
          <w:rFonts w:ascii="Verdana" w:hAnsi="Verdana" w:cs="Arial"/>
          <w:sz w:val="16"/>
          <w:szCs w:val="16"/>
          <w:lang w:val="es-ES"/>
        </w:rPr>
        <w:t>í</w:t>
      </w:r>
      <w:r w:rsidRPr="006B20F7">
        <w:rPr>
          <w:rFonts w:ascii="Verdana" w:hAnsi="Verdana" w:cs="Arial"/>
          <w:sz w:val="16"/>
          <w:szCs w:val="16"/>
          <w:lang w:val="es-ES"/>
        </w:rPr>
        <w:t xml:space="preserve">odo determinado por su derecho interno” a los sujetos de corrupción </w:t>
      </w:r>
      <w:r w:rsidR="008544D8" w:rsidRPr="006B20F7">
        <w:rPr>
          <w:rFonts w:ascii="Verdana" w:hAnsi="Verdana" w:cs="Arial"/>
          <w:sz w:val="16"/>
          <w:szCs w:val="16"/>
          <w:lang w:val="es-ES"/>
        </w:rPr>
        <w:t>[…]</w:t>
      </w:r>
      <w:r w:rsidR="008544D8">
        <w:rPr>
          <w:rFonts w:ascii="Verdana" w:hAnsi="Verdana" w:cs="Arial"/>
          <w:sz w:val="16"/>
          <w:szCs w:val="16"/>
          <w:lang w:val="es-ES"/>
        </w:rPr>
        <w:t xml:space="preserve">. </w:t>
      </w:r>
    </w:p>
    <w:p w14:paraId="27AEB202" w14:textId="77777777" w:rsidR="00131A4B" w:rsidRPr="006B20F7" w:rsidRDefault="00131A4B" w:rsidP="003D2B83">
      <w:pPr>
        <w:pStyle w:val="ListParagraph"/>
        <w:spacing w:before="120" w:after="120" w:line="240" w:lineRule="auto"/>
        <w:ind w:right="2160" w:firstLine="720"/>
        <w:contextualSpacing w:val="0"/>
        <w:jc w:val="both"/>
        <w:rPr>
          <w:rFonts w:ascii="Verdana" w:hAnsi="Verdana" w:cs="Arial"/>
          <w:sz w:val="16"/>
          <w:szCs w:val="16"/>
          <w:lang w:val="es-ES"/>
        </w:rPr>
      </w:pPr>
      <w:r w:rsidRPr="006B20F7">
        <w:rPr>
          <w:rFonts w:ascii="Verdana" w:hAnsi="Verdana" w:cs="Arial"/>
          <w:sz w:val="16"/>
          <w:szCs w:val="16"/>
          <w:lang w:val="es-ES"/>
        </w:rPr>
        <w:t>[…]</w:t>
      </w:r>
    </w:p>
    <w:p w14:paraId="73EFD057" w14:textId="09AC4828" w:rsidR="00131A4B" w:rsidRPr="006B20F7" w:rsidRDefault="00131A4B" w:rsidP="00131A4B">
      <w:pPr>
        <w:pStyle w:val="ListParagraph"/>
        <w:spacing w:before="120" w:after="120" w:line="240" w:lineRule="auto"/>
        <w:ind w:right="2160"/>
        <w:contextualSpacing w:val="0"/>
        <w:jc w:val="both"/>
        <w:rPr>
          <w:rFonts w:ascii="Verdana" w:hAnsi="Verdana" w:cs="Arial"/>
          <w:sz w:val="16"/>
          <w:szCs w:val="16"/>
          <w:lang w:val="es-ES"/>
        </w:rPr>
      </w:pPr>
      <w:r w:rsidRPr="006B20F7">
        <w:rPr>
          <w:rFonts w:ascii="Verdana" w:hAnsi="Verdana" w:cs="Arial"/>
          <w:sz w:val="16"/>
          <w:szCs w:val="16"/>
          <w:lang w:val="es-ES"/>
        </w:rPr>
        <w:t xml:space="preserve">En conclusión […] podemos advertir que [la Convención </w:t>
      </w:r>
      <w:r w:rsidR="00D80E65">
        <w:rPr>
          <w:rFonts w:ascii="Verdana" w:hAnsi="Verdana" w:cs="Arial"/>
          <w:sz w:val="16"/>
          <w:szCs w:val="16"/>
          <w:lang w:val="es-ES"/>
        </w:rPr>
        <w:t>Americana</w:t>
      </w:r>
      <w:r w:rsidRPr="006B20F7">
        <w:rPr>
          <w:rFonts w:ascii="Verdana" w:hAnsi="Verdana" w:cs="Arial"/>
          <w:sz w:val="16"/>
          <w:szCs w:val="16"/>
          <w:lang w:val="es-ES"/>
        </w:rPr>
        <w:t xml:space="preserve">] no es el único [Tratado] que forma parte integrante del sistema constitucional venezolano según el artículo 23 de nuestra Carta Fundamental. La prevalencia de las normas que privilegian el interés general y el bien común sobre los intereses particulares dentro de un Estado social de derecho y de justicia obligan al Estado venezolano y a sus instituciones a aplicar preferentemente las Convenciones Interamericana y de la ONU contra la corrupción y las propias normas constitucionales internas, que reconocen a la Contraloría general de la República como un órgano integrante de un Poder Público (Poder Ciudadano) competente para la aplicación de sanciones de naturaleza administrativa, como lo es la inhabilitación para el ejercicio de cargos públicos por hechos de corrupción en perjuicio de los intereses colectivos y difusos del pueblo venezolano. </w:t>
      </w:r>
    </w:p>
    <w:p w14:paraId="52187CBC" w14:textId="77777777" w:rsidR="00131A4B" w:rsidRPr="006B20F7" w:rsidRDefault="00131A4B" w:rsidP="00131A4B">
      <w:pPr>
        <w:pStyle w:val="ListParagraph"/>
        <w:spacing w:before="120" w:after="120" w:line="240" w:lineRule="auto"/>
        <w:ind w:right="2160"/>
        <w:contextualSpacing w:val="0"/>
        <w:jc w:val="both"/>
        <w:rPr>
          <w:rFonts w:ascii="Verdana" w:hAnsi="Verdana" w:cs="Arial"/>
          <w:sz w:val="16"/>
          <w:szCs w:val="16"/>
          <w:lang w:val="es-ES"/>
        </w:rPr>
      </w:pPr>
      <w:r w:rsidRPr="006B20F7">
        <w:rPr>
          <w:rFonts w:ascii="Verdana" w:hAnsi="Verdana" w:cs="Arial"/>
          <w:sz w:val="16"/>
          <w:szCs w:val="16"/>
          <w:lang w:val="es-ES"/>
        </w:rPr>
        <w:t>[…]</w:t>
      </w:r>
    </w:p>
    <w:p w14:paraId="10761E21" w14:textId="686804E5" w:rsidR="00131A4B" w:rsidRPr="006B20F7" w:rsidRDefault="00131A4B" w:rsidP="001912AD">
      <w:pPr>
        <w:pStyle w:val="ListParagraph"/>
        <w:spacing w:before="120" w:after="120" w:line="240" w:lineRule="auto"/>
        <w:ind w:right="2160"/>
        <w:contextualSpacing w:val="0"/>
        <w:jc w:val="both"/>
        <w:rPr>
          <w:rFonts w:ascii="Verdana" w:hAnsi="Verdana" w:cs="Arial"/>
          <w:sz w:val="16"/>
          <w:szCs w:val="16"/>
          <w:lang w:val="es-ES"/>
        </w:rPr>
      </w:pPr>
      <w:r w:rsidRPr="006B20F7">
        <w:rPr>
          <w:rFonts w:ascii="Verdana" w:hAnsi="Verdana" w:cs="Arial"/>
          <w:sz w:val="16"/>
          <w:szCs w:val="16"/>
          <w:lang w:val="es-ES"/>
        </w:rPr>
        <w:t xml:space="preserve">Finalmente, la Corte Interamericana de Derechos Humanos persiste en desviar la teleología de la Convención Americana y sus propias competencias, emitiendo órdenes directas a órganos del Poder Público venezolano (Asamblea Nacional y Consejo Nacional Electoral) usurpando funciones cual si fuera una potencia colonial y pretendiendo imponer a un país soberano e independiente criterios políticos e ideológicos absolutamente incompatibles con nuestro sistema constitucional. </w:t>
      </w:r>
    </w:p>
    <w:p w14:paraId="1E6E85B2" w14:textId="77777777" w:rsidR="00131A4B" w:rsidRPr="006B20F7" w:rsidRDefault="00131A4B" w:rsidP="00131A4B">
      <w:pPr>
        <w:pStyle w:val="ListParagraph"/>
        <w:spacing w:before="120" w:after="120" w:line="240" w:lineRule="auto"/>
        <w:ind w:right="2160"/>
        <w:contextualSpacing w:val="0"/>
        <w:jc w:val="both"/>
        <w:rPr>
          <w:rFonts w:ascii="Verdana" w:hAnsi="Verdana" w:cs="Arial"/>
          <w:sz w:val="16"/>
          <w:szCs w:val="16"/>
          <w:lang w:val="es-ES"/>
        </w:rPr>
      </w:pPr>
      <w:r w:rsidRPr="006B20F7">
        <w:rPr>
          <w:rFonts w:ascii="Verdana" w:hAnsi="Verdana" w:cs="Arial"/>
          <w:sz w:val="16"/>
          <w:szCs w:val="16"/>
          <w:lang w:val="es-ES"/>
        </w:rPr>
        <w:t>[…]</w:t>
      </w:r>
    </w:p>
    <w:p w14:paraId="0AFE54F3" w14:textId="7990A88B" w:rsidR="00131A4B" w:rsidRDefault="00131A4B" w:rsidP="00131A4B">
      <w:pPr>
        <w:pStyle w:val="ListParagraph"/>
        <w:spacing w:before="120" w:after="120" w:line="240" w:lineRule="auto"/>
        <w:ind w:right="2160"/>
        <w:contextualSpacing w:val="0"/>
        <w:jc w:val="both"/>
        <w:rPr>
          <w:rFonts w:ascii="Verdana" w:hAnsi="Verdana" w:cs="Arial"/>
          <w:b/>
          <w:sz w:val="16"/>
          <w:szCs w:val="16"/>
          <w:lang w:val="es-ES"/>
        </w:rPr>
      </w:pPr>
      <w:r w:rsidRPr="006B20F7">
        <w:rPr>
          <w:rFonts w:ascii="Verdana" w:hAnsi="Verdana" w:cs="Arial"/>
          <w:sz w:val="16"/>
          <w:szCs w:val="16"/>
          <w:lang w:val="es-ES"/>
        </w:rPr>
        <w:lastRenderedPageBreak/>
        <w:t>En virtud de las consideraciones anteriores, esta Sala Constitucional declara inejecutable el fallo de la Corte Interamericana de Derechos Humanos, de fecha 1 de septiembre de 2011</w:t>
      </w:r>
      <w:r w:rsidR="008544D8">
        <w:rPr>
          <w:rFonts w:ascii="Verdana" w:hAnsi="Verdana" w:cs="Arial"/>
          <w:sz w:val="16"/>
          <w:szCs w:val="16"/>
          <w:lang w:val="es-ES"/>
        </w:rPr>
        <w:t>.</w:t>
      </w:r>
      <w:r w:rsidRPr="006B20F7">
        <w:rPr>
          <w:rFonts w:ascii="Verdana" w:hAnsi="Verdana" w:cs="Arial"/>
          <w:sz w:val="16"/>
          <w:szCs w:val="16"/>
          <w:lang w:val="es-ES"/>
        </w:rPr>
        <w:t xml:space="preserve"> </w:t>
      </w:r>
    </w:p>
    <w:p w14:paraId="5FE2E54A" w14:textId="77777777" w:rsidR="00A035D0" w:rsidRPr="00A035D0" w:rsidRDefault="00A035D0" w:rsidP="00A035D0">
      <w:pPr>
        <w:spacing w:before="120" w:after="120" w:line="240" w:lineRule="auto"/>
        <w:ind w:right="2160"/>
        <w:jc w:val="both"/>
        <w:rPr>
          <w:rFonts w:ascii="Verdana" w:hAnsi="Verdana" w:cs="Arial"/>
          <w:sz w:val="16"/>
          <w:szCs w:val="16"/>
          <w:lang w:val="es-ES"/>
        </w:rPr>
      </w:pPr>
    </w:p>
    <w:p w14:paraId="52D84DC0" w14:textId="4217C183" w:rsidR="00594A31" w:rsidRPr="00A35A2D" w:rsidRDefault="00AA1C0F" w:rsidP="00A35A2D">
      <w:pPr>
        <w:pStyle w:val="ListParagraph"/>
        <w:numPr>
          <w:ilvl w:val="0"/>
          <w:numId w:val="4"/>
        </w:numPr>
        <w:spacing w:before="120" w:after="120" w:line="240" w:lineRule="auto"/>
        <w:ind w:left="0" w:right="1444" w:firstLine="0"/>
        <w:contextualSpacing w:val="0"/>
        <w:jc w:val="both"/>
        <w:rPr>
          <w:rFonts w:ascii="Verdana" w:hAnsi="Verdana" w:cs="Arial"/>
          <w:sz w:val="20"/>
          <w:szCs w:val="20"/>
          <w:lang w:val="es-ES"/>
        </w:rPr>
      </w:pPr>
      <w:r w:rsidRPr="00AA1C0F">
        <w:rPr>
          <w:rFonts w:ascii="Verdana" w:hAnsi="Verdana" w:cs="Arial"/>
          <w:sz w:val="20"/>
          <w:szCs w:val="20"/>
          <w:lang w:val="es-ES"/>
        </w:rPr>
        <w:t>Esa decisión de la Sala Constitucional del Tribunal Supremo de Justicia de Venezuela fue comunicada a esta Corte tanto por los representantes de la víctima como directamente por la Presidenta de ese tribunal venezolano (</w:t>
      </w:r>
      <w:r w:rsidRPr="00AA1C0F">
        <w:rPr>
          <w:rFonts w:ascii="Verdana" w:hAnsi="Verdana" w:cs="Arial"/>
          <w:i/>
          <w:sz w:val="20"/>
          <w:szCs w:val="20"/>
          <w:lang w:val="es-ES"/>
        </w:rPr>
        <w:t xml:space="preserve">supra </w:t>
      </w:r>
      <w:r w:rsidRPr="00AA1C0F">
        <w:rPr>
          <w:rFonts w:ascii="Verdana" w:hAnsi="Verdana" w:cs="Arial"/>
          <w:sz w:val="20"/>
          <w:szCs w:val="20"/>
          <w:lang w:val="es-ES"/>
        </w:rPr>
        <w:t xml:space="preserve">Vistos </w:t>
      </w:r>
      <w:r w:rsidR="008544D8">
        <w:rPr>
          <w:rFonts w:ascii="Verdana" w:hAnsi="Verdana" w:cs="Arial"/>
          <w:sz w:val="20"/>
          <w:szCs w:val="20"/>
          <w:lang w:val="es-ES"/>
        </w:rPr>
        <w:t>2</w:t>
      </w:r>
      <w:r w:rsidR="008544D8" w:rsidRPr="00AA1C0F">
        <w:rPr>
          <w:rFonts w:ascii="Verdana" w:hAnsi="Verdana" w:cs="Arial"/>
          <w:sz w:val="20"/>
          <w:szCs w:val="20"/>
          <w:lang w:val="es-ES"/>
        </w:rPr>
        <w:t xml:space="preserve"> </w:t>
      </w:r>
      <w:r w:rsidRPr="00AA1C0F">
        <w:rPr>
          <w:rFonts w:ascii="Verdana" w:hAnsi="Verdana" w:cs="Arial"/>
          <w:sz w:val="20"/>
          <w:szCs w:val="20"/>
          <w:lang w:val="es-ES"/>
        </w:rPr>
        <w:t xml:space="preserve">y </w:t>
      </w:r>
      <w:r w:rsidR="008544D8">
        <w:rPr>
          <w:rFonts w:ascii="Verdana" w:hAnsi="Verdana" w:cs="Arial"/>
          <w:sz w:val="20"/>
          <w:szCs w:val="20"/>
          <w:lang w:val="es-ES"/>
        </w:rPr>
        <w:t>3</w:t>
      </w:r>
      <w:r w:rsidRPr="00AA1C0F">
        <w:rPr>
          <w:rFonts w:ascii="Verdana" w:hAnsi="Verdana" w:cs="Arial"/>
          <w:sz w:val="20"/>
          <w:szCs w:val="20"/>
          <w:lang w:val="es-ES"/>
        </w:rPr>
        <w:t xml:space="preserve">). </w:t>
      </w:r>
      <w:r w:rsidR="00D66B69">
        <w:rPr>
          <w:rFonts w:ascii="Verdana" w:hAnsi="Verdana"/>
          <w:sz w:val="20"/>
          <w:szCs w:val="20"/>
        </w:rPr>
        <w:t xml:space="preserve">En lo que respecta a la posición del Estado en cuanto a dicha decisión judicial interna y su incidencia en el cumplimiento de la Sentencia del caso </w:t>
      </w:r>
      <w:r w:rsidR="00D66B69" w:rsidRPr="00D66B69">
        <w:rPr>
          <w:rFonts w:ascii="Verdana" w:hAnsi="Verdana" w:cs="Arial"/>
          <w:i/>
          <w:sz w:val="20"/>
          <w:szCs w:val="20"/>
          <w:lang w:val="es-ES"/>
        </w:rPr>
        <w:t>López Mendoza</w:t>
      </w:r>
      <w:r w:rsidR="00D66B69">
        <w:rPr>
          <w:rFonts w:ascii="Verdana" w:hAnsi="Verdana"/>
          <w:sz w:val="20"/>
          <w:szCs w:val="20"/>
        </w:rPr>
        <w:t xml:space="preserve">, </w:t>
      </w:r>
      <w:r>
        <w:rPr>
          <w:rFonts w:ascii="Verdana" w:hAnsi="Verdana"/>
          <w:sz w:val="20"/>
          <w:szCs w:val="20"/>
        </w:rPr>
        <w:t xml:space="preserve">la situación es la misma que se configuró en el caso </w:t>
      </w:r>
      <w:proofErr w:type="spellStart"/>
      <w:r>
        <w:rPr>
          <w:rFonts w:ascii="Verdana" w:hAnsi="Verdana"/>
          <w:sz w:val="20"/>
          <w:szCs w:val="20"/>
        </w:rPr>
        <w:t>Apitz</w:t>
      </w:r>
      <w:proofErr w:type="spellEnd"/>
      <w:r w:rsidR="0027157E">
        <w:rPr>
          <w:rFonts w:ascii="Verdana" w:hAnsi="Verdana"/>
          <w:sz w:val="20"/>
          <w:szCs w:val="20"/>
        </w:rPr>
        <w:t xml:space="preserve"> (</w:t>
      </w:r>
      <w:r w:rsidR="0027157E" w:rsidRPr="0027157E">
        <w:rPr>
          <w:rFonts w:ascii="Verdana" w:hAnsi="Verdana"/>
          <w:i/>
          <w:sz w:val="20"/>
          <w:szCs w:val="20"/>
        </w:rPr>
        <w:t>supra</w:t>
      </w:r>
      <w:r w:rsidR="0027157E">
        <w:rPr>
          <w:rFonts w:ascii="Verdana" w:hAnsi="Verdana"/>
          <w:sz w:val="20"/>
          <w:szCs w:val="20"/>
        </w:rPr>
        <w:t xml:space="preserve"> Considerando 4)</w:t>
      </w:r>
      <w:r>
        <w:rPr>
          <w:rFonts w:ascii="Verdana" w:hAnsi="Verdana"/>
          <w:sz w:val="20"/>
          <w:szCs w:val="20"/>
        </w:rPr>
        <w:t xml:space="preserve">, ya que, </w:t>
      </w:r>
      <w:r w:rsidR="006B20F7" w:rsidRPr="00F9271E">
        <w:rPr>
          <w:rFonts w:ascii="Verdana" w:hAnsi="Verdana" w:cs="Arial"/>
          <w:sz w:val="20"/>
          <w:szCs w:val="20"/>
          <w:lang w:val="es-MX"/>
        </w:rPr>
        <w:t xml:space="preserve">en respuesta a los requerimientos de que informara sobre </w:t>
      </w:r>
      <w:r>
        <w:rPr>
          <w:rFonts w:ascii="Verdana" w:hAnsi="Verdana" w:cs="Arial"/>
          <w:sz w:val="20"/>
          <w:szCs w:val="20"/>
          <w:lang w:val="es-MX"/>
        </w:rPr>
        <w:t xml:space="preserve">el </w:t>
      </w:r>
      <w:r w:rsidR="006B20F7" w:rsidRPr="00F9271E">
        <w:rPr>
          <w:rFonts w:ascii="Verdana" w:hAnsi="Verdana" w:cs="Arial"/>
          <w:sz w:val="20"/>
          <w:szCs w:val="20"/>
          <w:lang w:val="es-MX"/>
        </w:rPr>
        <w:t>cumplimiento a la Sentencia (</w:t>
      </w:r>
      <w:r w:rsidR="006B20F7" w:rsidRPr="00F9271E">
        <w:rPr>
          <w:rFonts w:ascii="Verdana" w:hAnsi="Verdana" w:cs="Arial"/>
          <w:i/>
          <w:sz w:val="20"/>
          <w:szCs w:val="20"/>
          <w:lang w:val="es-MX"/>
        </w:rPr>
        <w:t>supra</w:t>
      </w:r>
      <w:r w:rsidR="006B20F7" w:rsidRPr="00F9271E">
        <w:rPr>
          <w:rFonts w:ascii="Verdana" w:hAnsi="Verdana" w:cs="Arial"/>
          <w:sz w:val="20"/>
          <w:szCs w:val="20"/>
          <w:lang w:val="es-MX"/>
        </w:rPr>
        <w:t xml:space="preserve"> Visto </w:t>
      </w:r>
      <w:r w:rsidR="008544D8">
        <w:rPr>
          <w:rFonts w:ascii="Verdana" w:hAnsi="Verdana" w:cs="Arial"/>
          <w:sz w:val="20"/>
          <w:szCs w:val="20"/>
          <w:lang w:val="es-MX"/>
        </w:rPr>
        <w:t>6</w:t>
      </w:r>
      <w:r w:rsidR="006B20F7" w:rsidRPr="00F9271E">
        <w:rPr>
          <w:rFonts w:ascii="Verdana" w:hAnsi="Verdana" w:cs="Arial"/>
          <w:sz w:val="20"/>
          <w:szCs w:val="20"/>
          <w:lang w:val="es-MX"/>
        </w:rPr>
        <w:t xml:space="preserve">), </w:t>
      </w:r>
      <w:r>
        <w:rPr>
          <w:rFonts w:ascii="Verdana" w:hAnsi="Verdana" w:cs="Arial"/>
          <w:sz w:val="20"/>
          <w:szCs w:val="20"/>
          <w:lang w:val="es-MX"/>
        </w:rPr>
        <w:t xml:space="preserve">el agente del Estado en el presente proceso internacional respondió que </w:t>
      </w:r>
      <w:r w:rsidR="006B20F7" w:rsidRPr="00F9271E">
        <w:rPr>
          <w:rFonts w:ascii="Verdana" w:hAnsi="Verdana" w:cs="Arial"/>
          <w:sz w:val="20"/>
          <w:szCs w:val="20"/>
          <w:lang w:val="es-MX"/>
        </w:rPr>
        <w:t xml:space="preserve">“el Tribunal Supremo de Justicia en Sala Constitucional […] resolvió […] la inejecutabilidad de la [misma]” y que “resultaría ilegal e inconstitucional ejecutar de forma directa la Sentencia de la Corte Interamericana”, y remitió copia de esa decisión </w:t>
      </w:r>
      <w:r w:rsidR="00D80E65">
        <w:rPr>
          <w:rFonts w:ascii="Verdana" w:hAnsi="Verdana" w:cs="Arial"/>
          <w:sz w:val="20"/>
          <w:szCs w:val="20"/>
          <w:lang w:val="es-MX"/>
        </w:rPr>
        <w:t xml:space="preserve">judicial </w:t>
      </w:r>
      <w:r w:rsidR="006B20F7" w:rsidRPr="00F9271E">
        <w:rPr>
          <w:rFonts w:ascii="Verdana" w:hAnsi="Verdana" w:cs="Arial"/>
          <w:sz w:val="20"/>
          <w:szCs w:val="20"/>
          <w:lang w:val="es-MX"/>
        </w:rPr>
        <w:t xml:space="preserve">interna. </w:t>
      </w:r>
      <w:r w:rsidR="0027157E" w:rsidRPr="005F4447">
        <w:rPr>
          <w:rFonts w:ascii="Verdana" w:hAnsi="Verdana" w:cs="Arial"/>
          <w:sz w:val="20"/>
          <w:szCs w:val="20"/>
          <w:lang w:val="es-MX"/>
        </w:rPr>
        <w:t>Aunado a ello, la Corte hace n</w:t>
      </w:r>
      <w:r w:rsidR="00CE254B">
        <w:rPr>
          <w:rFonts w:ascii="Verdana" w:hAnsi="Verdana" w:cs="Arial"/>
          <w:sz w:val="20"/>
          <w:szCs w:val="20"/>
          <w:lang w:val="es-MX"/>
        </w:rPr>
        <w:t>ot</w:t>
      </w:r>
      <w:r w:rsidR="0027157E" w:rsidRPr="005F4447">
        <w:rPr>
          <w:rFonts w:ascii="Verdana" w:hAnsi="Verdana" w:cs="Arial"/>
          <w:sz w:val="20"/>
          <w:szCs w:val="20"/>
          <w:lang w:val="es-MX"/>
        </w:rPr>
        <w:t xml:space="preserve">ar que </w:t>
      </w:r>
      <w:r w:rsidR="008544D8">
        <w:rPr>
          <w:rFonts w:ascii="Verdana" w:hAnsi="Verdana" w:cs="Arial"/>
          <w:sz w:val="20"/>
          <w:szCs w:val="20"/>
          <w:lang w:val="es-MX"/>
        </w:rPr>
        <w:t>los</w:t>
      </w:r>
      <w:r w:rsidR="008544D8" w:rsidRPr="005F4447">
        <w:rPr>
          <w:rFonts w:ascii="Verdana" w:hAnsi="Verdana" w:cs="Arial"/>
          <w:sz w:val="20"/>
          <w:szCs w:val="20"/>
          <w:lang w:val="es-MX"/>
        </w:rPr>
        <w:t xml:space="preserve"> </w:t>
      </w:r>
      <w:r w:rsidR="0027157E" w:rsidRPr="005F4447">
        <w:rPr>
          <w:rFonts w:ascii="Verdana" w:hAnsi="Verdana" w:cs="Arial"/>
          <w:sz w:val="20"/>
          <w:szCs w:val="20"/>
          <w:lang w:val="es-MX"/>
        </w:rPr>
        <w:t>re</w:t>
      </w:r>
      <w:r w:rsidR="00CE254B" w:rsidRPr="00CE254B">
        <w:rPr>
          <w:rFonts w:ascii="Verdana" w:hAnsi="Verdana" w:cs="Arial"/>
          <w:sz w:val="20"/>
          <w:szCs w:val="20"/>
          <w:lang w:val="es-MX"/>
        </w:rPr>
        <w:t>presentante</w:t>
      </w:r>
      <w:r w:rsidR="008544D8">
        <w:rPr>
          <w:rFonts w:ascii="Verdana" w:hAnsi="Verdana" w:cs="Arial"/>
          <w:sz w:val="20"/>
          <w:szCs w:val="20"/>
          <w:lang w:val="es-MX"/>
        </w:rPr>
        <w:t>s</w:t>
      </w:r>
      <w:r w:rsidR="00CE254B" w:rsidRPr="00CE254B">
        <w:rPr>
          <w:rFonts w:ascii="Verdana" w:hAnsi="Verdana" w:cs="Arial"/>
          <w:sz w:val="20"/>
          <w:szCs w:val="20"/>
          <w:lang w:val="es-MX"/>
        </w:rPr>
        <w:t xml:space="preserve"> de la víctima indic</w:t>
      </w:r>
      <w:r w:rsidR="008544D8">
        <w:rPr>
          <w:rFonts w:ascii="Verdana" w:hAnsi="Verdana" w:cs="Arial"/>
          <w:sz w:val="20"/>
          <w:szCs w:val="20"/>
          <w:lang w:val="es-MX"/>
        </w:rPr>
        <w:t>aron</w:t>
      </w:r>
      <w:r w:rsidR="0027157E" w:rsidRPr="00CE254B">
        <w:rPr>
          <w:rFonts w:ascii="Verdana" w:hAnsi="Verdana" w:cs="Arial"/>
          <w:sz w:val="20"/>
          <w:szCs w:val="20"/>
          <w:lang w:val="es-MX"/>
        </w:rPr>
        <w:t xml:space="preserve"> </w:t>
      </w:r>
      <w:r w:rsidR="00CE254B" w:rsidRPr="003D2B83">
        <w:rPr>
          <w:rFonts w:ascii="Verdana" w:hAnsi="Verdana" w:cs="Arial"/>
          <w:sz w:val="20"/>
          <w:szCs w:val="20"/>
          <w:lang w:val="es-MX"/>
        </w:rPr>
        <w:t>en el 2013</w:t>
      </w:r>
      <w:r w:rsidR="00CE254B" w:rsidRPr="00CE254B">
        <w:rPr>
          <w:rFonts w:ascii="Verdana" w:hAnsi="Verdana" w:cs="Arial"/>
          <w:sz w:val="20"/>
          <w:szCs w:val="20"/>
          <w:lang w:val="es-MX"/>
        </w:rPr>
        <w:t xml:space="preserve"> </w:t>
      </w:r>
      <w:r w:rsidR="005F4447" w:rsidRPr="00CE254B">
        <w:rPr>
          <w:rFonts w:ascii="Verdana" w:hAnsi="Verdana" w:cs="Arial"/>
          <w:sz w:val="20"/>
          <w:szCs w:val="20"/>
          <w:lang w:val="es-MX"/>
        </w:rPr>
        <w:t>(</w:t>
      </w:r>
      <w:r w:rsidR="005F4447" w:rsidRPr="00CE254B">
        <w:rPr>
          <w:rFonts w:ascii="Verdana" w:hAnsi="Verdana" w:cs="Arial"/>
          <w:i/>
          <w:sz w:val="20"/>
          <w:szCs w:val="20"/>
          <w:lang w:val="es-MX"/>
        </w:rPr>
        <w:t>supra</w:t>
      </w:r>
      <w:r w:rsidR="00CE254B" w:rsidRPr="00CE254B">
        <w:rPr>
          <w:rFonts w:ascii="Verdana" w:hAnsi="Verdana" w:cs="Arial"/>
          <w:sz w:val="20"/>
          <w:szCs w:val="20"/>
          <w:lang w:val="es-MX"/>
        </w:rPr>
        <w:t xml:space="preserve"> Visto </w:t>
      </w:r>
      <w:r w:rsidR="008544D8">
        <w:rPr>
          <w:rFonts w:ascii="Verdana" w:hAnsi="Verdana" w:cs="Arial"/>
          <w:sz w:val="20"/>
          <w:szCs w:val="20"/>
          <w:lang w:val="es-MX"/>
        </w:rPr>
        <w:t>8</w:t>
      </w:r>
      <w:r w:rsidR="005F4447" w:rsidRPr="00CE254B">
        <w:rPr>
          <w:rFonts w:ascii="Verdana" w:hAnsi="Verdana" w:cs="Arial"/>
          <w:sz w:val="20"/>
          <w:szCs w:val="20"/>
          <w:lang w:val="es-MX"/>
        </w:rPr>
        <w:t xml:space="preserve">) </w:t>
      </w:r>
      <w:r w:rsidR="0027157E" w:rsidRPr="00CE254B">
        <w:rPr>
          <w:rFonts w:ascii="Verdana" w:hAnsi="Verdana" w:cs="Arial"/>
          <w:sz w:val="20"/>
          <w:szCs w:val="20"/>
          <w:lang w:val="es-MX"/>
        </w:rPr>
        <w:t>que</w:t>
      </w:r>
      <w:r w:rsidR="00D80E65">
        <w:rPr>
          <w:rFonts w:ascii="Verdana" w:hAnsi="Verdana" w:cs="Arial"/>
          <w:sz w:val="20"/>
          <w:szCs w:val="20"/>
          <w:lang w:val="es-MX"/>
        </w:rPr>
        <w:t xml:space="preserve"> </w:t>
      </w:r>
      <w:r w:rsidR="002F5DFC" w:rsidRPr="00CE254B">
        <w:rPr>
          <w:rFonts w:ascii="Verdana" w:hAnsi="Verdana"/>
          <w:sz w:val="20"/>
          <w:szCs w:val="20"/>
        </w:rPr>
        <w:t>“debido a la sentencia emitida por el Tribunal Supremo de Justicia, ningún órgano del poder público ha dado cumplimiento a la decisión de la Corte IDH”. También resalt</w:t>
      </w:r>
      <w:r w:rsidR="008544D8">
        <w:rPr>
          <w:rFonts w:ascii="Verdana" w:hAnsi="Verdana"/>
          <w:sz w:val="20"/>
          <w:szCs w:val="20"/>
        </w:rPr>
        <w:t>aron</w:t>
      </w:r>
      <w:r w:rsidR="002F5DFC" w:rsidRPr="00CE254B">
        <w:rPr>
          <w:rFonts w:ascii="Verdana" w:hAnsi="Verdana"/>
          <w:sz w:val="20"/>
          <w:szCs w:val="20"/>
        </w:rPr>
        <w:t xml:space="preserve"> que “la declaratoria de </w:t>
      </w:r>
      <w:proofErr w:type="spellStart"/>
      <w:r w:rsidR="002F5DFC" w:rsidRPr="00CE254B">
        <w:rPr>
          <w:rFonts w:ascii="Verdana" w:hAnsi="Verdana"/>
          <w:sz w:val="20"/>
          <w:szCs w:val="20"/>
        </w:rPr>
        <w:t>inejecutividad</w:t>
      </w:r>
      <w:proofErr w:type="spellEnd"/>
      <w:r w:rsidR="002F5DFC" w:rsidRPr="00CE254B">
        <w:rPr>
          <w:rFonts w:ascii="Verdana" w:hAnsi="Verdana"/>
          <w:sz w:val="20"/>
          <w:szCs w:val="20"/>
        </w:rPr>
        <w:t xml:space="preserve"> </w:t>
      </w:r>
      <w:r w:rsidR="002F5DFC" w:rsidRPr="00CE254B">
        <w:rPr>
          <w:rFonts w:ascii="Verdana" w:hAnsi="Verdana" w:cs="Arial"/>
          <w:sz w:val="20"/>
          <w:szCs w:val="20"/>
          <w:lang w:val="es-ES"/>
        </w:rPr>
        <w:t>[…]</w:t>
      </w:r>
      <w:r w:rsidR="002F5DFC" w:rsidRPr="00CE254B">
        <w:rPr>
          <w:rFonts w:ascii="Verdana" w:hAnsi="Verdana"/>
          <w:sz w:val="20"/>
          <w:szCs w:val="20"/>
        </w:rPr>
        <w:t xml:space="preserve"> inhibió a otros órganos de tomar decisiones que pudiera permitir el cumplimiento del fallo de la Corte</w:t>
      </w:r>
      <w:r w:rsidR="00CE254B" w:rsidRPr="00CE254B">
        <w:rPr>
          <w:rFonts w:ascii="Verdana" w:hAnsi="Verdana"/>
          <w:sz w:val="20"/>
          <w:szCs w:val="20"/>
        </w:rPr>
        <w:t>”</w:t>
      </w:r>
      <w:r w:rsidR="008544D8">
        <w:rPr>
          <w:rFonts w:ascii="Verdana" w:hAnsi="Verdana"/>
          <w:sz w:val="20"/>
          <w:szCs w:val="20"/>
        </w:rPr>
        <w:t>,</w:t>
      </w:r>
      <w:r w:rsidR="00CE254B" w:rsidRPr="00CE254B">
        <w:rPr>
          <w:rFonts w:ascii="Verdana" w:hAnsi="Verdana"/>
          <w:sz w:val="20"/>
          <w:szCs w:val="20"/>
        </w:rPr>
        <w:t xml:space="preserve"> y que </w:t>
      </w:r>
      <w:r w:rsidR="008544D8">
        <w:rPr>
          <w:rFonts w:ascii="Verdana" w:hAnsi="Verdana"/>
          <w:sz w:val="20"/>
          <w:szCs w:val="20"/>
        </w:rPr>
        <w:t>“[</w:t>
      </w:r>
      <w:r w:rsidR="002F5DFC" w:rsidRPr="00CE254B">
        <w:rPr>
          <w:rFonts w:ascii="Verdana" w:hAnsi="Verdana"/>
          <w:sz w:val="20"/>
          <w:szCs w:val="20"/>
        </w:rPr>
        <w:t>l</w:t>
      </w:r>
      <w:r w:rsidR="008544D8">
        <w:rPr>
          <w:rFonts w:ascii="Verdana" w:hAnsi="Verdana"/>
          <w:sz w:val="20"/>
          <w:szCs w:val="20"/>
        </w:rPr>
        <w:t>]</w:t>
      </w:r>
      <w:r w:rsidR="002F5DFC" w:rsidRPr="00CE254B">
        <w:rPr>
          <w:rFonts w:ascii="Verdana" w:hAnsi="Verdana"/>
          <w:sz w:val="20"/>
          <w:szCs w:val="20"/>
        </w:rPr>
        <w:t xml:space="preserve">a restricción a los derechos fundamentales de Leopoldo </w:t>
      </w:r>
      <w:proofErr w:type="spellStart"/>
      <w:r w:rsidR="002F5DFC" w:rsidRPr="00CE254B">
        <w:rPr>
          <w:rFonts w:ascii="Verdana" w:hAnsi="Verdana"/>
          <w:sz w:val="20"/>
          <w:szCs w:val="20"/>
        </w:rPr>
        <w:t>Lopez</w:t>
      </w:r>
      <w:proofErr w:type="spellEnd"/>
      <w:r w:rsidR="002F5DFC" w:rsidRPr="00CE254B">
        <w:rPr>
          <w:rFonts w:ascii="Verdana" w:hAnsi="Verdana"/>
          <w:sz w:val="20"/>
          <w:szCs w:val="20"/>
        </w:rPr>
        <w:t xml:space="preserve"> </w:t>
      </w:r>
      <w:r w:rsidR="002F5DFC" w:rsidRPr="003D2B83">
        <w:rPr>
          <w:rFonts w:ascii="Verdana" w:hAnsi="Verdana"/>
          <w:sz w:val="20"/>
          <w:szCs w:val="20"/>
        </w:rPr>
        <w:t>aún se mantiene</w:t>
      </w:r>
      <w:r w:rsidR="005F4447" w:rsidRPr="003D2B83">
        <w:rPr>
          <w:rFonts w:ascii="Verdana" w:hAnsi="Verdana"/>
          <w:sz w:val="20"/>
          <w:szCs w:val="20"/>
        </w:rPr>
        <w:t xml:space="preserve"> </w:t>
      </w:r>
      <w:r w:rsidR="002F5DFC" w:rsidRPr="008544D8">
        <w:rPr>
          <w:rFonts w:ascii="Verdana" w:hAnsi="Verdana"/>
          <w:sz w:val="20"/>
          <w:szCs w:val="20"/>
        </w:rPr>
        <w:t xml:space="preserve">impidiendo que el mismo </w:t>
      </w:r>
      <w:r w:rsidR="002F5DFC" w:rsidRPr="003D2B83">
        <w:rPr>
          <w:rFonts w:ascii="Verdana" w:hAnsi="Verdana"/>
          <w:sz w:val="20"/>
          <w:szCs w:val="20"/>
        </w:rPr>
        <w:t>pueda</w:t>
      </w:r>
      <w:r w:rsidR="005F4447" w:rsidRPr="003D2B83">
        <w:rPr>
          <w:rFonts w:ascii="Verdana" w:hAnsi="Verdana"/>
          <w:sz w:val="20"/>
          <w:szCs w:val="20"/>
        </w:rPr>
        <w:t xml:space="preserve"> </w:t>
      </w:r>
      <w:r w:rsidR="002F5DFC" w:rsidRPr="008544D8">
        <w:rPr>
          <w:rFonts w:ascii="Verdana" w:hAnsi="Verdana"/>
          <w:sz w:val="20"/>
          <w:szCs w:val="20"/>
        </w:rPr>
        <w:t>p</w:t>
      </w:r>
      <w:r w:rsidR="002F5DFC" w:rsidRPr="00CE254B">
        <w:rPr>
          <w:rFonts w:ascii="Verdana" w:hAnsi="Verdana"/>
          <w:sz w:val="20"/>
          <w:szCs w:val="20"/>
        </w:rPr>
        <w:t>ostularse a cargos de elección pública”</w:t>
      </w:r>
      <w:r w:rsidR="002F5DFC" w:rsidRPr="003D2B83">
        <w:rPr>
          <w:rFonts w:ascii="Verdana" w:hAnsi="Verdana"/>
          <w:sz w:val="20"/>
          <w:szCs w:val="20"/>
        </w:rPr>
        <w:t xml:space="preserve">. </w:t>
      </w:r>
      <w:r w:rsidR="002F5DFC" w:rsidRPr="00CE254B">
        <w:rPr>
          <w:rFonts w:ascii="Verdana" w:hAnsi="Verdana"/>
          <w:sz w:val="20"/>
          <w:szCs w:val="20"/>
        </w:rPr>
        <w:t>Por su parte</w:t>
      </w:r>
      <w:r w:rsidR="00CE254B" w:rsidRPr="00CE254B">
        <w:rPr>
          <w:rFonts w:ascii="Verdana" w:hAnsi="Verdana"/>
          <w:sz w:val="20"/>
          <w:szCs w:val="20"/>
        </w:rPr>
        <w:t>,</w:t>
      </w:r>
      <w:r w:rsidR="002F5DFC" w:rsidRPr="00CE254B">
        <w:rPr>
          <w:rFonts w:ascii="Verdana" w:hAnsi="Verdana"/>
          <w:sz w:val="20"/>
          <w:szCs w:val="20"/>
        </w:rPr>
        <w:t xml:space="preserve"> la Comisión </w:t>
      </w:r>
      <w:r w:rsidR="008544D8">
        <w:rPr>
          <w:rFonts w:ascii="Verdana" w:hAnsi="Verdana"/>
          <w:sz w:val="20"/>
          <w:szCs w:val="20"/>
        </w:rPr>
        <w:t>Interamericana</w:t>
      </w:r>
      <w:r w:rsidR="00D80E65">
        <w:rPr>
          <w:rFonts w:ascii="Verdana" w:hAnsi="Verdana"/>
          <w:sz w:val="20"/>
          <w:szCs w:val="20"/>
        </w:rPr>
        <w:t xml:space="preserve"> (supra Visto 8)</w:t>
      </w:r>
      <w:r w:rsidR="008544D8">
        <w:rPr>
          <w:rFonts w:ascii="Verdana" w:hAnsi="Verdana"/>
          <w:sz w:val="20"/>
          <w:szCs w:val="20"/>
        </w:rPr>
        <w:t xml:space="preserve"> </w:t>
      </w:r>
      <w:r w:rsidR="00DD20EF" w:rsidRPr="00CE254B">
        <w:rPr>
          <w:rFonts w:ascii="Verdana" w:hAnsi="Verdana"/>
          <w:sz w:val="20"/>
          <w:szCs w:val="20"/>
        </w:rPr>
        <w:t>manifestó que los Estados no pueden “hacer valer la decisión de uno de sus tribunales nacionales o internos, ni aun indirectamente, no solo como justificación de la violación de su obligación internacional de cumplir la sentencia de la Corte, sino tampoco como una causal que excluya la licitud en que incurre por tal incumplimiento, máxime si ello se debe al comportamiento del propio Estado”.</w:t>
      </w:r>
      <w:r w:rsidR="007661C8">
        <w:rPr>
          <w:rFonts w:ascii="Verdana" w:hAnsi="Verdana"/>
          <w:sz w:val="20"/>
          <w:szCs w:val="20"/>
        </w:rPr>
        <w:t xml:space="preserve"> </w:t>
      </w:r>
      <w:r w:rsidR="00CE254B" w:rsidRPr="00CE254B">
        <w:rPr>
          <w:rFonts w:ascii="Verdana" w:hAnsi="Verdana"/>
          <w:sz w:val="20"/>
          <w:szCs w:val="20"/>
        </w:rPr>
        <w:t xml:space="preserve">Asimismo, </w:t>
      </w:r>
      <w:r w:rsidR="002F5DFC" w:rsidRPr="00CE254B">
        <w:rPr>
          <w:rFonts w:ascii="Verdana" w:hAnsi="Verdana"/>
          <w:sz w:val="20"/>
          <w:szCs w:val="20"/>
        </w:rPr>
        <w:t xml:space="preserve">expresó que “el Estado de Venezuela no puede justificar el incumplimiento de una sentencia de la Corte en base a una </w:t>
      </w:r>
      <w:r w:rsidR="002F5DFC" w:rsidRPr="00267F71">
        <w:rPr>
          <w:rFonts w:ascii="Verdana" w:hAnsi="Verdana"/>
          <w:sz w:val="20"/>
          <w:szCs w:val="20"/>
        </w:rPr>
        <w:t xml:space="preserve">decisión de un órgano judicial interno”. </w:t>
      </w:r>
    </w:p>
    <w:p w14:paraId="5DC9E3AE" w14:textId="77777777" w:rsidR="00414F67" w:rsidRPr="00DF68BE" w:rsidRDefault="00414F67" w:rsidP="00414F67">
      <w:pPr>
        <w:pStyle w:val="ListParagraph"/>
        <w:spacing w:before="120" w:after="120" w:line="240" w:lineRule="auto"/>
        <w:ind w:left="1065" w:right="1444"/>
        <w:contextualSpacing w:val="0"/>
        <w:jc w:val="both"/>
        <w:rPr>
          <w:rFonts w:ascii="Verdana" w:hAnsi="Verdana" w:cs="Arial"/>
          <w:b/>
          <w:sz w:val="20"/>
          <w:szCs w:val="20"/>
          <w:lang w:val="es-ES"/>
        </w:rPr>
      </w:pPr>
    </w:p>
    <w:p w14:paraId="5319741F" w14:textId="77777777" w:rsidR="00414F67" w:rsidRPr="00DF68BE" w:rsidRDefault="00414F67" w:rsidP="00414F67">
      <w:pPr>
        <w:pStyle w:val="ListParagraph"/>
        <w:spacing w:before="120" w:after="120" w:line="240" w:lineRule="auto"/>
        <w:ind w:left="1065" w:right="1444"/>
        <w:contextualSpacing w:val="0"/>
        <w:jc w:val="both"/>
        <w:rPr>
          <w:rFonts w:ascii="Verdana" w:hAnsi="Verdana" w:cs="Arial"/>
          <w:b/>
          <w:sz w:val="20"/>
          <w:szCs w:val="20"/>
          <w:lang w:val="es-ES"/>
        </w:rPr>
      </w:pPr>
      <w:r w:rsidRPr="00DF68BE">
        <w:rPr>
          <w:rFonts w:ascii="Verdana" w:hAnsi="Verdana" w:cs="Arial"/>
          <w:b/>
          <w:sz w:val="20"/>
          <w:szCs w:val="20"/>
          <w:lang w:val="es-ES"/>
        </w:rPr>
        <w:t>B)</w:t>
      </w:r>
      <w:r w:rsidRPr="00DF68BE">
        <w:rPr>
          <w:rFonts w:ascii="Verdana" w:hAnsi="Verdana" w:cs="Arial"/>
          <w:b/>
          <w:sz w:val="20"/>
          <w:szCs w:val="20"/>
          <w:lang w:val="es-ES"/>
        </w:rPr>
        <w:tab/>
        <w:t>Consideraciones de la Corte sobre la obligación internacional del Estado de cumplir las Sentencias</w:t>
      </w:r>
    </w:p>
    <w:p w14:paraId="5B2602A7" w14:textId="6080E008" w:rsidR="00C54008" w:rsidRDefault="00225013" w:rsidP="00C54008">
      <w:pPr>
        <w:pStyle w:val="ListParagraph"/>
        <w:numPr>
          <w:ilvl w:val="0"/>
          <w:numId w:val="4"/>
        </w:numPr>
        <w:spacing w:before="120" w:after="120" w:line="240" w:lineRule="auto"/>
        <w:ind w:left="0" w:right="1444" w:firstLine="0"/>
        <w:contextualSpacing w:val="0"/>
        <w:jc w:val="both"/>
        <w:rPr>
          <w:rFonts w:ascii="Verdana" w:hAnsi="Verdana" w:cs="Arial"/>
          <w:sz w:val="20"/>
          <w:szCs w:val="20"/>
          <w:lang w:val="es-ES"/>
        </w:rPr>
      </w:pPr>
      <w:r>
        <w:rPr>
          <w:rFonts w:ascii="Verdana" w:hAnsi="Verdana" w:cs="Arial"/>
          <w:sz w:val="20"/>
          <w:szCs w:val="20"/>
          <w:lang w:val="es-ES"/>
        </w:rPr>
        <w:t>A</w:t>
      </w:r>
      <w:r w:rsidR="004527AF" w:rsidRPr="00994F2B">
        <w:rPr>
          <w:rFonts w:ascii="Verdana" w:hAnsi="Verdana" w:cs="Arial"/>
          <w:sz w:val="20"/>
          <w:szCs w:val="20"/>
          <w:lang w:val="es-ES"/>
        </w:rPr>
        <w:t xml:space="preserve">nte la </w:t>
      </w:r>
      <w:r w:rsidR="00C54008">
        <w:rPr>
          <w:rFonts w:ascii="Verdana" w:hAnsi="Verdana" w:cs="Arial"/>
          <w:sz w:val="20"/>
          <w:szCs w:val="20"/>
          <w:lang w:val="es-ES"/>
        </w:rPr>
        <w:t xml:space="preserve">posición del Estado con ocasión de la </w:t>
      </w:r>
      <w:r w:rsidR="004527AF" w:rsidRPr="00994F2B">
        <w:rPr>
          <w:rFonts w:ascii="Verdana" w:hAnsi="Verdana" w:cs="Arial"/>
          <w:sz w:val="20"/>
          <w:szCs w:val="20"/>
          <w:lang w:val="es-ES"/>
        </w:rPr>
        <w:t xml:space="preserve">decisión de la Sala Constitucional en el caso </w:t>
      </w:r>
      <w:proofErr w:type="spellStart"/>
      <w:r w:rsidR="004527AF" w:rsidRPr="00C54008">
        <w:rPr>
          <w:rFonts w:ascii="Verdana" w:hAnsi="Verdana" w:cs="Arial"/>
          <w:i/>
          <w:sz w:val="20"/>
          <w:szCs w:val="20"/>
          <w:lang w:val="es-ES"/>
        </w:rPr>
        <w:t>Apitz</w:t>
      </w:r>
      <w:proofErr w:type="spellEnd"/>
      <w:r w:rsidR="004527AF" w:rsidRPr="00C54008">
        <w:rPr>
          <w:rFonts w:ascii="Verdana" w:hAnsi="Verdana" w:cs="Arial"/>
          <w:i/>
          <w:sz w:val="20"/>
          <w:szCs w:val="20"/>
          <w:lang w:val="es-ES"/>
        </w:rPr>
        <w:t xml:space="preserve"> Barbera y otros</w:t>
      </w:r>
      <w:r w:rsidR="004527AF" w:rsidRPr="00994F2B">
        <w:rPr>
          <w:rFonts w:ascii="Verdana" w:hAnsi="Verdana" w:cs="Arial"/>
          <w:sz w:val="20"/>
          <w:szCs w:val="20"/>
          <w:lang w:val="es-ES"/>
        </w:rPr>
        <w:t xml:space="preserve">, la Corte </w:t>
      </w:r>
      <w:r w:rsidR="00C54008">
        <w:rPr>
          <w:rFonts w:ascii="Verdana" w:hAnsi="Verdana" w:cs="Arial"/>
          <w:sz w:val="20"/>
          <w:szCs w:val="20"/>
          <w:lang w:val="es-ES"/>
        </w:rPr>
        <w:t>fue contundente en indicar</w:t>
      </w:r>
      <w:r w:rsidR="00096A84">
        <w:rPr>
          <w:rFonts w:ascii="Verdana" w:hAnsi="Verdana" w:cs="Arial"/>
          <w:sz w:val="20"/>
          <w:szCs w:val="20"/>
          <w:lang w:val="es-ES"/>
        </w:rPr>
        <w:t>,</w:t>
      </w:r>
      <w:r w:rsidR="00C54008">
        <w:rPr>
          <w:rFonts w:ascii="Verdana" w:hAnsi="Verdana" w:cs="Arial"/>
          <w:sz w:val="20"/>
          <w:szCs w:val="20"/>
          <w:lang w:val="es-ES"/>
        </w:rPr>
        <w:t xml:space="preserve"> en su </w:t>
      </w:r>
      <w:r w:rsidR="009E068E">
        <w:rPr>
          <w:rFonts w:ascii="Verdana" w:hAnsi="Verdana" w:cs="Arial"/>
          <w:sz w:val="20"/>
          <w:szCs w:val="20"/>
          <w:lang w:val="es-ES"/>
        </w:rPr>
        <w:t>R</w:t>
      </w:r>
      <w:r w:rsidR="00C54008">
        <w:rPr>
          <w:rFonts w:ascii="Verdana" w:hAnsi="Verdana" w:cs="Arial"/>
          <w:sz w:val="20"/>
          <w:szCs w:val="20"/>
          <w:lang w:val="es-ES"/>
        </w:rPr>
        <w:t xml:space="preserve">esolución </w:t>
      </w:r>
      <w:r w:rsidR="009E068E">
        <w:rPr>
          <w:rFonts w:ascii="Verdana" w:hAnsi="Verdana" w:cs="Arial"/>
          <w:sz w:val="20"/>
          <w:szCs w:val="20"/>
          <w:lang w:val="es-ES"/>
        </w:rPr>
        <w:t xml:space="preserve">de supervisión de cumplimiento de noviembre </w:t>
      </w:r>
      <w:r w:rsidR="00C54008">
        <w:rPr>
          <w:rFonts w:ascii="Verdana" w:hAnsi="Verdana" w:cs="Arial"/>
          <w:sz w:val="20"/>
          <w:szCs w:val="20"/>
          <w:lang w:val="es-ES"/>
        </w:rPr>
        <w:t>de 2012 (</w:t>
      </w:r>
      <w:r w:rsidR="00C54008" w:rsidRPr="00C54008">
        <w:rPr>
          <w:rFonts w:ascii="Verdana" w:hAnsi="Verdana" w:cs="Arial"/>
          <w:i/>
          <w:sz w:val="20"/>
          <w:szCs w:val="20"/>
          <w:lang w:val="es-ES"/>
        </w:rPr>
        <w:t>supra</w:t>
      </w:r>
      <w:r w:rsidR="00C54008">
        <w:rPr>
          <w:rFonts w:ascii="Verdana" w:hAnsi="Verdana" w:cs="Arial"/>
          <w:sz w:val="20"/>
          <w:szCs w:val="20"/>
          <w:lang w:val="es-ES"/>
        </w:rPr>
        <w:t xml:space="preserve"> </w:t>
      </w:r>
      <w:r w:rsidR="00A035D0">
        <w:rPr>
          <w:rFonts w:ascii="Verdana" w:hAnsi="Verdana" w:cs="Arial"/>
          <w:sz w:val="20"/>
          <w:szCs w:val="20"/>
          <w:lang w:val="es-ES"/>
        </w:rPr>
        <w:t>Considerando 4</w:t>
      </w:r>
      <w:r w:rsidR="00C54008">
        <w:rPr>
          <w:rFonts w:ascii="Verdana" w:hAnsi="Verdana" w:cs="Arial"/>
          <w:sz w:val="20"/>
          <w:szCs w:val="20"/>
          <w:lang w:val="es-ES"/>
        </w:rPr>
        <w:t xml:space="preserve">) </w:t>
      </w:r>
      <w:r w:rsidR="004527AF" w:rsidRPr="00994F2B">
        <w:rPr>
          <w:rFonts w:ascii="Verdana" w:hAnsi="Verdana" w:cs="Arial"/>
          <w:sz w:val="20"/>
          <w:szCs w:val="20"/>
          <w:lang w:val="es-ES"/>
        </w:rPr>
        <w:t xml:space="preserve">que </w:t>
      </w:r>
      <w:r w:rsidR="00D80E65">
        <w:rPr>
          <w:rFonts w:ascii="Verdana" w:hAnsi="Verdana" w:cs="Arial"/>
          <w:sz w:val="20"/>
          <w:szCs w:val="20"/>
          <w:lang w:val="es-ES"/>
        </w:rPr>
        <w:t>Venezuela</w:t>
      </w:r>
      <w:r w:rsidR="004527AF" w:rsidRPr="00994F2B">
        <w:rPr>
          <w:rFonts w:ascii="Verdana" w:hAnsi="Verdana" w:cs="Arial"/>
          <w:sz w:val="20"/>
          <w:szCs w:val="20"/>
          <w:lang w:val="es-ES"/>
        </w:rPr>
        <w:t xml:space="preserve"> no puede </w:t>
      </w:r>
      <w:r w:rsidR="00C54008">
        <w:rPr>
          <w:rFonts w:ascii="Verdana" w:hAnsi="Verdana" w:cs="Arial"/>
          <w:sz w:val="20"/>
          <w:szCs w:val="20"/>
          <w:lang w:val="es-ES"/>
        </w:rPr>
        <w:t>justificar el incumplimiento de la Sentencia</w:t>
      </w:r>
      <w:r w:rsidR="004527AF" w:rsidRPr="00994F2B">
        <w:rPr>
          <w:rFonts w:ascii="Verdana" w:hAnsi="Verdana" w:cs="Arial"/>
          <w:sz w:val="20"/>
          <w:szCs w:val="20"/>
          <w:lang w:val="es-ES"/>
        </w:rPr>
        <w:t xml:space="preserve"> </w:t>
      </w:r>
      <w:r w:rsidR="00C54008">
        <w:rPr>
          <w:rFonts w:ascii="Verdana" w:hAnsi="Verdana" w:cs="Arial"/>
          <w:sz w:val="20"/>
          <w:szCs w:val="20"/>
          <w:lang w:val="es-ES"/>
        </w:rPr>
        <w:t xml:space="preserve">en </w:t>
      </w:r>
      <w:r w:rsidR="004527AF" w:rsidRPr="00994F2B">
        <w:rPr>
          <w:rFonts w:ascii="Verdana" w:hAnsi="Verdana" w:cs="Arial"/>
          <w:sz w:val="20"/>
          <w:szCs w:val="20"/>
          <w:lang w:val="es-ES"/>
        </w:rPr>
        <w:t>una decisión de un tribunal interno</w:t>
      </w:r>
      <w:r w:rsidR="00C54008">
        <w:rPr>
          <w:rFonts w:ascii="Verdana" w:hAnsi="Verdana" w:cs="Arial"/>
          <w:sz w:val="20"/>
          <w:szCs w:val="20"/>
          <w:lang w:val="es-ES"/>
        </w:rPr>
        <w:t xml:space="preserve"> que desacate lo ordenado en la misma</w:t>
      </w:r>
      <w:r w:rsidR="004527AF" w:rsidRPr="00994F2B">
        <w:rPr>
          <w:rFonts w:ascii="Verdana" w:hAnsi="Verdana" w:cs="Arial"/>
          <w:sz w:val="20"/>
          <w:szCs w:val="20"/>
          <w:lang w:val="es-ES"/>
        </w:rPr>
        <w:t xml:space="preserve">, aun cuando sea el tribunal de más alta jerarquía en el ordenamiento jurídico nacional. </w:t>
      </w:r>
      <w:r w:rsidR="00C54008">
        <w:rPr>
          <w:rFonts w:ascii="Verdana" w:hAnsi="Verdana" w:cs="Arial"/>
          <w:sz w:val="20"/>
          <w:szCs w:val="20"/>
        </w:rPr>
        <w:t xml:space="preserve">Con respecto a dicha posición estatal, la Corte indicó que </w:t>
      </w:r>
    </w:p>
    <w:p w14:paraId="5C409CE7" w14:textId="5D0C1CFF" w:rsidR="00C54008" w:rsidRPr="003D2B83" w:rsidRDefault="00C54008" w:rsidP="00C54008">
      <w:pPr>
        <w:pStyle w:val="ListParagraph"/>
        <w:spacing w:before="120" w:after="120" w:line="240" w:lineRule="auto"/>
        <w:ind w:left="567" w:right="1869"/>
        <w:contextualSpacing w:val="0"/>
        <w:jc w:val="both"/>
        <w:rPr>
          <w:rFonts w:ascii="Verdana" w:hAnsi="Verdana" w:cs="Arial"/>
          <w:sz w:val="16"/>
          <w:szCs w:val="16"/>
          <w:lang w:val="es-ES"/>
        </w:rPr>
      </w:pPr>
      <w:r w:rsidRPr="009E068E">
        <w:rPr>
          <w:rFonts w:ascii="Verdana" w:hAnsi="Verdana" w:cs="Arial"/>
          <w:sz w:val="16"/>
          <w:szCs w:val="16"/>
        </w:rPr>
        <w:t xml:space="preserve">[…] </w:t>
      </w:r>
      <w:r w:rsidRPr="009E068E">
        <w:rPr>
          <w:rFonts w:ascii="Verdana" w:hAnsi="Verdana" w:cs="Times-Roman"/>
          <w:sz w:val="16"/>
          <w:szCs w:val="16"/>
          <w:lang w:val="es-ES_tradnl" w:bidi="en-US"/>
        </w:rPr>
        <w:t>el Estado no puede oponer como justificación de su incumplimiento una decisión de un tribunal interno, aun cuando sea el tribunal de más alta jerarquía en el ordenamiento jurídico nacional. Es más, la existencia de una decisión a nivel interno, como la sentencia del Tribunal Suprem</w:t>
      </w:r>
      <w:r w:rsidRPr="00726E70">
        <w:rPr>
          <w:rFonts w:ascii="Verdana" w:hAnsi="Verdana" w:cs="Times-Roman"/>
          <w:sz w:val="16"/>
          <w:szCs w:val="16"/>
          <w:lang w:val="es-ES_tradnl" w:bidi="en-US"/>
        </w:rPr>
        <w:t xml:space="preserve">o, que considere que el Fallo emitido por la Corte Interamericana es inejecutable, desconoce los principios básicos de derecho internacional sobre los cuales se fundamenta la implementación de la Convención Americana </w:t>
      </w:r>
      <w:r w:rsidR="009E068E" w:rsidRPr="00726E70">
        <w:rPr>
          <w:rFonts w:ascii="Verdana" w:hAnsi="Verdana" w:cs="Times-Roman"/>
          <w:sz w:val="16"/>
          <w:szCs w:val="16"/>
          <w:lang w:val="es-ES_tradnl" w:bidi="en-US"/>
        </w:rPr>
        <w:t>[…]</w:t>
      </w:r>
      <w:r w:rsidRPr="00726E70">
        <w:rPr>
          <w:rFonts w:ascii="Verdana" w:hAnsi="Verdana" w:cs="Times-Roman"/>
          <w:sz w:val="16"/>
          <w:szCs w:val="16"/>
          <w:lang w:val="es-ES_tradnl" w:bidi="en-US"/>
        </w:rPr>
        <w:t>. El incumplimiento manifiesto expresado por medio de la Sentencia del Tribunal Supremo de Justicia impide el efecto útil de la Convención y su aplicación en el caso concreto por su intérprete último. Del mismo modo, desconoce el principio de cosa juzgada internacio</w:t>
      </w:r>
      <w:r w:rsidRPr="001C05D1">
        <w:rPr>
          <w:rFonts w:ascii="Verdana" w:hAnsi="Verdana" w:cs="Times-Roman"/>
          <w:sz w:val="16"/>
          <w:szCs w:val="16"/>
          <w:lang w:val="es-ES_tradnl" w:bidi="en-US"/>
        </w:rPr>
        <w:t>nal sobre una materia que ya ha sido decidida, y deja sin efecto y hace ilusorio el derecho al acceso a la justicia interamericana de las víctimas de violaciones de derechos humanos, lo cual perpetúa en el tiempo las violaciones de derechos humanos que fue</w:t>
      </w:r>
      <w:r w:rsidRPr="00F90E89">
        <w:rPr>
          <w:rFonts w:ascii="Verdana" w:hAnsi="Verdana" w:cs="Times-Roman"/>
          <w:sz w:val="16"/>
          <w:szCs w:val="16"/>
          <w:lang w:val="es-ES_tradnl" w:bidi="en-US"/>
        </w:rPr>
        <w:t>ron constatadas en la Sentencia. Por tanto, conforme al Derecho Internacional que ha sido democrática y soberanamente aceptado por el Estado venezolano, es inaceptable, que una vez que la Corte Interamericana haya emitido una Sentencia el derecho interno o sus autoridades pretendan dejarla sin efectos</w:t>
      </w:r>
      <w:r w:rsidRPr="003D2B83">
        <w:rPr>
          <w:rFonts w:cs="Arial"/>
          <w:sz w:val="16"/>
          <w:szCs w:val="16"/>
          <w:vertAlign w:val="superscript"/>
          <w:lang w:val="es-ES"/>
        </w:rPr>
        <w:footnoteReference w:id="13"/>
      </w:r>
      <w:r w:rsidRPr="003D2B83">
        <w:rPr>
          <w:rFonts w:ascii="Verdana" w:hAnsi="Verdana" w:cs="Arial"/>
          <w:sz w:val="16"/>
          <w:szCs w:val="16"/>
          <w:lang w:val="es-ES"/>
        </w:rPr>
        <w:t>.</w:t>
      </w:r>
      <w:r w:rsidRPr="009E068E">
        <w:rPr>
          <w:rFonts w:ascii="Verdana" w:hAnsi="Verdana" w:cs="Times-Roman"/>
          <w:sz w:val="16"/>
          <w:szCs w:val="16"/>
          <w:lang w:val="es-ES_tradnl" w:bidi="en-US"/>
        </w:rPr>
        <w:t xml:space="preserve"> </w:t>
      </w:r>
    </w:p>
    <w:p w14:paraId="3F7CBFDF" w14:textId="0599E1C8" w:rsidR="00994F2B" w:rsidRDefault="004527AF" w:rsidP="00994F2B">
      <w:pPr>
        <w:pStyle w:val="ListParagraph"/>
        <w:numPr>
          <w:ilvl w:val="0"/>
          <w:numId w:val="4"/>
        </w:numPr>
        <w:spacing w:before="120" w:after="120" w:line="240" w:lineRule="auto"/>
        <w:ind w:left="0" w:right="1444" w:firstLine="0"/>
        <w:contextualSpacing w:val="0"/>
        <w:jc w:val="both"/>
        <w:rPr>
          <w:rFonts w:ascii="Verdana" w:hAnsi="Verdana" w:cs="Arial"/>
          <w:sz w:val="20"/>
          <w:szCs w:val="20"/>
          <w:lang w:val="es-ES"/>
        </w:rPr>
      </w:pPr>
      <w:r w:rsidRPr="00994F2B">
        <w:rPr>
          <w:rFonts w:ascii="Verdana" w:hAnsi="Verdana" w:cs="Arial"/>
          <w:sz w:val="20"/>
          <w:szCs w:val="20"/>
          <w:lang w:val="es-ES"/>
        </w:rPr>
        <w:lastRenderedPageBreak/>
        <w:t xml:space="preserve">Dicho razonamiento </w:t>
      </w:r>
      <w:r w:rsidR="00A35A2D">
        <w:rPr>
          <w:rFonts w:ascii="Verdana" w:hAnsi="Verdana" w:cs="Arial"/>
          <w:sz w:val="20"/>
          <w:szCs w:val="20"/>
          <w:lang w:val="es-ES"/>
        </w:rPr>
        <w:t>es</w:t>
      </w:r>
      <w:r w:rsidRPr="00994F2B">
        <w:rPr>
          <w:rFonts w:ascii="Verdana" w:hAnsi="Verdana" w:cs="Arial"/>
          <w:sz w:val="20"/>
          <w:szCs w:val="20"/>
          <w:lang w:val="es-ES"/>
        </w:rPr>
        <w:t xml:space="preserve"> igualmente aplicable </w:t>
      </w:r>
      <w:r w:rsidR="009E068E">
        <w:rPr>
          <w:rFonts w:ascii="Verdana" w:hAnsi="Verdana" w:cs="Arial"/>
          <w:sz w:val="20"/>
          <w:szCs w:val="20"/>
          <w:lang w:val="es-ES"/>
        </w:rPr>
        <w:t xml:space="preserve">en el presente caso en </w:t>
      </w:r>
      <w:r w:rsidRPr="00994F2B">
        <w:rPr>
          <w:rFonts w:ascii="Verdana" w:hAnsi="Verdana" w:cs="Arial"/>
          <w:sz w:val="20"/>
          <w:szCs w:val="20"/>
          <w:lang w:val="es-ES"/>
        </w:rPr>
        <w:t xml:space="preserve">relación </w:t>
      </w:r>
      <w:r w:rsidR="009E068E">
        <w:rPr>
          <w:rFonts w:ascii="Verdana" w:hAnsi="Verdana" w:cs="Arial"/>
          <w:sz w:val="20"/>
          <w:szCs w:val="20"/>
          <w:lang w:val="es-ES"/>
        </w:rPr>
        <w:t>con la referida</w:t>
      </w:r>
      <w:r w:rsidR="009E068E" w:rsidRPr="00994F2B">
        <w:rPr>
          <w:rFonts w:ascii="Verdana" w:hAnsi="Verdana" w:cs="Arial"/>
          <w:sz w:val="20"/>
          <w:szCs w:val="20"/>
          <w:lang w:val="es-ES"/>
        </w:rPr>
        <w:t xml:space="preserve"> </w:t>
      </w:r>
      <w:r w:rsidRPr="00994F2B">
        <w:rPr>
          <w:rFonts w:ascii="Verdana" w:hAnsi="Verdana" w:cs="Arial"/>
          <w:sz w:val="20"/>
          <w:szCs w:val="20"/>
          <w:lang w:val="es-ES"/>
        </w:rPr>
        <w:t>decisi</w:t>
      </w:r>
      <w:r w:rsidR="00A35A2D">
        <w:rPr>
          <w:rFonts w:ascii="Verdana" w:hAnsi="Verdana" w:cs="Arial"/>
          <w:sz w:val="20"/>
          <w:szCs w:val="20"/>
          <w:lang w:val="es-ES"/>
        </w:rPr>
        <w:t>ón</w:t>
      </w:r>
      <w:r w:rsidRPr="00994F2B">
        <w:rPr>
          <w:rFonts w:ascii="Verdana" w:hAnsi="Verdana" w:cs="Arial"/>
          <w:sz w:val="20"/>
          <w:szCs w:val="20"/>
          <w:lang w:val="es-ES"/>
        </w:rPr>
        <w:t xml:space="preserve"> de la Sala Constitucional </w:t>
      </w:r>
      <w:r w:rsidR="00A35A2D">
        <w:rPr>
          <w:rFonts w:ascii="Verdana" w:hAnsi="Verdana" w:cs="Arial"/>
          <w:sz w:val="20"/>
          <w:szCs w:val="20"/>
          <w:lang w:val="es-ES"/>
        </w:rPr>
        <w:t>mediante la cual</w:t>
      </w:r>
      <w:r w:rsidRPr="00994F2B">
        <w:rPr>
          <w:rFonts w:ascii="Verdana" w:hAnsi="Verdana" w:cs="Arial"/>
          <w:sz w:val="20"/>
          <w:szCs w:val="20"/>
          <w:lang w:val="es-ES"/>
        </w:rPr>
        <w:t xml:space="preserve"> se declara </w:t>
      </w:r>
      <w:r w:rsidR="00FB79CB">
        <w:rPr>
          <w:rFonts w:ascii="Verdana" w:hAnsi="Verdana" w:cs="Arial"/>
          <w:sz w:val="20"/>
          <w:szCs w:val="20"/>
          <w:lang w:val="es-ES"/>
        </w:rPr>
        <w:t>“</w:t>
      </w:r>
      <w:r w:rsidRPr="00994F2B">
        <w:rPr>
          <w:rFonts w:ascii="Verdana" w:hAnsi="Verdana" w:cs="Arial"/>
          <w:sz w:val="20"/>
          <w:szCs w:val="20"/>
          <w:lang w:val="es-ES"/>
        </w:rPr>
        <w:t>inejecutable</w:t>
      </w:r>
      <w:r w:rsidR="00FB79CB">
        <w:rPr>
          <w:rFonts w:ascii="Verdana" w:hAnsi="Verdana" w:cs="Arial"/>
          <w:sz w:val="20"/>
          <w:szCs w:val="20"/>
          <w:lang w:val="es-ES"/>
        </w:rPr>
        <w:t>”</w:t>
      </w:r>
      <w:r w:rsidRPr="00994F2B">
        <w:rPr>
          <w:rFonts w:ascii="Verdana" w:hAnsi="Verdana" w:cs="Arial"/>
          <w:sz w:val="20"/>
          <w:szCs w:val="20"/>
          <w:lang w:val="es-ES"/>
        </w:rPr>
        <w:t xml:space="preserve"> la Sentencia </w:t>
      </w:r>
      <w:r w:rsidR="009E068E">
        <w:rPr>
          <w:rFonts w:ascii="Verdana" w:hAnsi="Verdana" w:cs="Arial"/>
          <w:sz w:val="20"/>
          <w:szCs w:val="20"/>
          <w:lang w:val="es-ES"/>
        </w:rPr>
        <w:t>emitida por</w:t>
      </w:r>
      <w:r w:rsidRPr="00994F2B">
        <w:rPr>
          <w:rFonts w:ascii="Verdana" w:hAnsi="Verdana" w:cs="Arial"/>
          <w:sz w:val="20"/>
          <w:szCs w:val="20"/>
          <w:lang w:val="es-ES"/>
        </w:rPr>
        <w:t xml:space="preserve"> Corte Interamericana.</w:t>
      </w:r>
      <w:r w:rsidR="00B24D8B" w:rsidRPr="00994F2B">
        <w:rPr>
          <w:rFonts w:ascii="Verdana" w:hAnsi="Verdana" w:cs="Arial"/>
          <w:sz w:val="20"/>
          <w:szCs w:val="20"/>
          <w:lang w:val="es-ES"/>
        </w:rPr>
        <w:t xml:space="preserve"> </w:t>
      </w:r>
      <w:r w:rsidR="0072244F">
        <w:rPr>
          <w:rFonts w:ascii="Verdana" w:hAnsi="Verdana" w:cs="Arial"/>
          <w:sz w:val="20"/>
          <w:szCs w:val="20"/>
          <w:lang w:val="es-ES"/>
        </w:rPr>
        <w:t xml:space="preserve">Esa posición estatal </w:t>
      </w:r>
      <w:r w:rsidR="00B24D8B" w:rsidRPr="00994F2B">
        <w:rPr>
          <w:rFonts w:ascii="Verdana" w:hAnsi="Verdana" w:cs="Arial"/>
          <w:sz w:val="20"/>
          <w:szCs w:val="20"/>
          <w:lang w:val="es-ES"/>
        </w:rPr>
        <w:t>evidencia una actuación contraria al principio</w:t>
      </w:r>
      <w:r w:rsidR="009D33E6" w:rsidRPr="00994F2B">
        <w:rPr>
          <w:rFonts w:ascii="Verdana" w:hAnsi="Verdana" w:cs="Arial"/>
          <w:sz w:val="20"/>
          <w:szCs w:val="20"/>
          <w:lang w:val="es-ES"/>
        </w:rPr>
        <w:t xml:space="preserve"> internacional</w:t>
      </w:r>
      <w:r w:rsidR="00B24D8B" w:rsidRPr="00994F2B">
        <w:rPr>
          <w:rFonts w:ascii="Verdana" w:hAnsi="Verdana" w:cs="Arial"/>
          <w:sz w:val="20"/>
          <w:szCs w:val="20"/>
          <w:lang w:val="es-ES"/>
        </w:rPr>
        <w:t xml:space="preserve"> de buena fe en el cumplimiento de la</w:t>
      </w:r>
      <w:r w:rsidR="009D33E6" w:rsidRPr="00994F2B">
        <w:rPr>
          <w:rFonts w:ascii="Verdana" w:hAnsi="Verdana" w:cs="Arial"/>
          <w:sz w:val="20"/>
          <w:szCs w:val="20"/>
          <w:lang w:val="es-ES"/>
        </w:rPr>
        <w:t>s obligaciones que inspira el sistema de protección de derechos humanos.</w:t>
      </w:r>
      <w:r w:rsidR="0054685C">
        <w:rPr>
          <w:rFonts w:ascii="Verdana" w:hAnsi="Verdana" w:cs="Arial"/>
          <w:sz w:val="20"/>
          <w:szCs w:val="20"/>
          <w:lang w:val="es-ES"/>
        </w:rPr>
        <w:t xml:space="preserve"> </w:t>
      </w:r>
    </w:p>
    <w:p w14:paraId="2FD99CB0" w14:textId="4B1F87DE" w:rsidR="00994F2B" w:rsidRDefault="0072244F" w:rsidP="00994F2B">
      <w:pPr>
        <w:pStyle w:val="ListParagraph"/>
        <w:numPr>
          <w:ilvl w:val="0"/>
          <w:numId w:val="4"/>
        </w:numPr>
        <w:spacing w:before="120" w:after="120" w:line="240" w:lineRule="auto"/>
        <w:ind w:left="0" w:right="1444" w:firstLine="0"/>
        <w:contextualSpacing w:val="0"/>
        <w:jc w:val="both"/>
        <w:rPr>
          <w:rFonts w:ascii="Verdana" w:hAnsi="Verdana" w:cs="Arial"/>
          <w:sz w:val="20"/>
          <w:szCs w:val="20"/>
          <w:lang w:val="es-ES"/>
        </w:rPr>
      </w:pPr>
      <w:r>
        <w:rPr>
          <w:rFonts w:ascii="Verdana" w:hAnsi="Verdana" w:cs="Arial"/>
          <w:sz w:val="20"/>
          <w:szCs w:val="20"/>
          <w:lang w:val="es-ES"/>
        </w:rPr>
        <w:t>L</w:t>
      </w:r>
      <w:r w:rsidR="00916A11" w:rsidRPr="00994F2B">
        <w:rPr>
          <w:rFonts w:ascii="Verdana" w:hAnsi="Verdana" w:cs="Arial"/>
          <w:sz w:val="20"/>
          <w:szCs w:val="20"/>
          <w:lang w:val="es-ES"/>
        </w:rPr>
        <w:t xml:space="preserve">a Corte </w:t>
      </w:r>
      <w:r>
        <w:rPr>
          <w:rFonts w:ascii="Verdana" w:hAnsi="Verdana" w:cs="Arial"/>
          <w:sz w:val="20"/>
          <w:szCs w:val="20"/>
          <w:lang w:val="es-ES"/>
        </w:rPr>
        <w:t xml:space="preserve">reitera </w:t>
      </w:r>
      <w:r w:rsidR="00916A11" w:rsidRPr="00994F2B">
        <w:rPr>
          <w:rFonts w:ascii="Verdana" w:hAnsi="Verdana" w:cs="Arial"/>
          <w:sz w:val="20"/>
          <w:szCs w:val="20"/>
          <w:lang w:val="es-ES"/>
        </w:rPr>
        <w:t>que</w:t>
      </w:r>
      <w:r>
        <w:rPr>
          <w:rFonts w:ascii="Verdana" w:hAnsi="Verdana" w:cs="Arial"/>
          <w:sz w:val="20"/>
          <w:szCs w:val="20"/>
          <w:lang w:val="es-ES"/>
        </w:rPr>
        <w:t>,</w:t>
      </w:r>
      <w:r w:rsidR="00916A11" w:rsidRPr="00994F2B">
        <w:rPr>
          <w:rFonts w:ascii="Verdana" w:hAnsi="Verdana" w:cs="Arial"/>
          <w:sz w:val="20"/>
          <w:szCs w:val="20"/>
          <w:lang w:val="es-ES"/>
        </w:rPr>
        <w:t xml:space="preserve"> </w:t>
      </w:r>
      <w:proofErr w:type="spellStart"/>
      <w:r>
        <w:rPr>
          <w:rFonts w:ascii="Verdana" w:hAnsi="Verdana" w:cs="Arial"/>
          <w:sz w:val="20"/>
          <w:szCs w:val="20"/>
          <w:lang w:val="es-ES"/>
        </w:rPr>
        <w:t>aún</w:t>
      </w:r>
      <w:proofErr w:type="spellEnd"/>
      <w:r>
        <w:rPr>
          <w:rFonts w:ascii="Verdana" w:hAnsi="Verdana" w:cs="Arial"/>
          <w:sz w:val="20"/>
          <w:szCs w:val="20"/>
          <w:lang w:val="es-ES"/>
        </w:rPr>
        <w:t xml:space="preserve"> cuando </w:t>
      </w:r>
      <w:r w:rsidR="00916A11" w:rsidRPr="00994F2B">
        <w:rPr>
          <w:rFonts w:ascii="Verdana" w:hAnsi="Verdana" w:cs="Arial"/>
          <w:sz w:val="20"/>
          <w:szCs w:val="20"/>
          <w:lang w:val="es-ES"/>
        </w:rPr>
        <w:t xml:space="preserve">es consciente de que las autoridades internas están sujetas al imperio de la ley </w:t>
      </w:r>
      <w:r>
        <w:rPr>
          <w:rFonts w:ascii="Verdana" w:hAnsi="Verdana" w:cs="Arial"/>
          <w:sz w:val="20"/>
          <w:szCs w:val="20"/>
          <w:lang w:val="es-ES"/>
        </w:rPr>
        <w:t xml:space="preserve">, </w:t>
      </w:r>
      <w:r w:rsidR="00916A11" w:rsidRPr="00994F2B">
        <w:rPr>
          <w:rFonts w:ascii="Verdana" w:hAnsi="Verdana" w:cs="Arial"/>
          <w:sz w:val="20"/>
          <w:szCs w:val="20"/>
          <w:lang w:val="es-ES"/>
        </w:rPr>
        <w:t>cuando un Estado es Parte de un tratado internacional como la Convención Americana, todos sus órganos, incluidos sus jueces y demás órganos vinculados a la administración de justicia, también están sometidos a aquél, lo cual les obliga a velar para que los efectos de las disposiciones de la Convención y, consecuencialmente, las decisiones de la Corte Interamericana, no se vean mermados por la aplicación de normas contrarias a su objeto y fin. Los jueces y órganos vinculados a la administración de justicia en todos los niveles están en la obligación de hacer prevalecer la Convención Americana y los fallos de esta Corte sobre la normatividad interna que obstruya el cumplimiento de lo dispuesto en un determinado caso</w:t>
      </w:r>
      <w:r w:rsidR="00726E70">
        <w:rPr>
          <w:rStyle w:val="FootnoteReference"/>
          <w:rFonts w:ascii="Verdana" w:hAnsi="Verdana" w:cs="Arial"/>
          <w:sz w:val="20"/>
          <w:szCs w:val="20"/>
          <w:lang w:val="es-ES"/>
        </w:rPr>
        <w:footnoteReference w:id="14"/>
      </w:r>
      <w:r w:rsidR="00916A11" w:rsidRPr="00994F2B">
        <w:rPr>
          <w:rFonts w:ascii="Verdana" w:hAnsi="Verdana" w:cs="Arial"/>
          <w:sz w:val="20"/>
          <w:szCs w:val="20"/>
          <w:lang w:val="es-ES"/>
        </w:rPr>
        <w:t xml:space="preserve">. </w:t>
      </w:r>
    </w:p>
    <w:p w14:paraId="4A5CDB23" w14:textId="4A8E60DC" w:rsidR="00994F2B" w:rsidRDefault="004527AF" w:rsidP="00994F2B">
      <w:pPr>
        <w:pStyle w:val="ListParagraph"/>
        <w:numPr>
          <w:ilvl w:val="0"/>
          <w:numId w:val="4"/>
        </w:numPr>
        <w:spacing w:before="120" w:after="120" w:line="240" w:lineRule="auto"/>
        <w:ind w:left="0" w:right="1444" w:firstLine="0"/>
        <w:contextualSpacing w:val="0"/>
        <w:jc w:val="both"/>
        <w:rPr>
          <w:rFonts w:ascii="Verdana" w:hAnsi="Verdana" w:cs="Arial"/>
          <w:sz w:val="20"/>
          <w:szCs w:val="20"/>
          <w:lang w:val="es-ES"/>
        </w:rPr>
      </w:pPr>
      <w:r w:rsidRPr="00994F2B">
        <w:rPr>
          <w:rFonts w:ascii="Verdana" w:hAnsi="Verdana" w:cs="Arial"/>
          <w:sz w:val="20"/>
          <w:szCs w:val="20"/>
          <w:lang w:val="es-ES"/>
        </w:rPr>
        <w:t xml:space="preserve">En este sentido, el incumplimiento manifiesto expresado por medio de la </w:t>
      </w:r>
      <w:r w:rsidR="00726E70" w:rsidRPr="00994F2B">
        <w:rPr>
          <w:rFonts w:ascii="Verdana" w:hAnsi="Verdana" w:cs="Arial"/>
          <w:sz w:val="20"/>
          <w:szCs w:val="20"/>
          <w:lang w:val="es-ES"/>
        </w:rPr>
        <w:t>decisi</w:t>
      </w:r>
      <w:r w:rsidR="00726E70">
        <w:rPr>
          <w:rFonts w:ascii="Verdana" w:hAnsi="Verdana" w:cs="Arial"/>
          <w:sz w:val="20"/>
          <w:szCs w:val="20"/>
          <w:lang w:val="es-ES"/>
        </w:rPr>
        <w:t>ón</w:t>
      </w:r>
      <w:r w:rsidR="00726E70" w:rsidRPr="00994F2B">
        <w:rPr>
          <w:rFonts w:ascii="Verdana" w:hAnsi="Verdana" w:cs="Arial"/>
          <w:sz w:val="20"/>
          <w:szCs w:val="20"/>
          <w:lang w:val="es-ES"/>
        </w:rPr>
        <w:t xml:space="preserve"> </w:t>
      </w:r>
      <w:r w:rsidRPr="00994F2B">
        <w:rPr>
          <w:rFonts w:ascii="Verdana" w:hAnsi="Verdana" w:cs="Arial"/>
          <w:sz w:val="20"/>
          <w:szCs w:val="20"/>
          <w:lang w:val="es-ES"/>
        </w:rPr>
        <w:t>del Tribunal Supremo de Justicia</w:t>
      </w:r>
      <w:r w:rsidR="00726E70">
        <w:rPr>
          <w:rFonts w:ascii="Verdana" w:hAnsi="Verdana" w:cs="Arial"/>
          <w:sz w:val="20"/>
          <w:szCs w:val="20"/>
          <w:lang w:val="es-ES"/>
        </w:rPr>
        <w:t xml:space="preserve"> </w:t>
      </w:r>
      <w:r w:rsidRPr="00994F2B">
        <w:rPr>
          <w:rFonts w:ascii="Verdana" w:hAnsi="Verdana" w:cs="Arial"/>
          <w:sz w:val="20"/>
          <w:szCs w:val="20"/>
          <w:lang w:val="es-ES"/>
        </w:rPr>
        <w:t>impide el efecto útil de la Convención y su aplicación en el caso concreto por su intérprete último</w:t>
      </w:r>
      <w:r w:rsidR="00726E70">
        <w:rPr>
          <w:rStyle w:val="FootnoteReference"/>
          <w:rFonts w:ascii="Verdana" w:hAnsi="Verdana" w:cs="Arial"/>
          <w:sz w:val="20"/>
          <w:szCs w:val="20"/>
          <w:lang w:val="es-ES"/>
        </w:rPr>
        <w:footnoteReference w:id="15"/>
      </w:r>
      <w:r w:rsidRPr="00994F2B">
        <w:rPr>
          <w:rFonts w:ascii="Verdana" w:hAnsi="Verdana" w:cs="Arial"/>
          <w:sz w:val="20"/>
          <w:szCs w:val="20"/>
          <w:lang w:val="es-ES"/>
        </w:rPr>
        <w:t>. Del mismo modo, desconoce el principio de cosa juzgada internacional sobre una materia que ya ha sido decidida, y deja sin efecto y hace ilusorio el derecho al acceso a la justicia interamericana de las víctimas de violaciones de derechos humanos, lo cual perpetúa en el tiempo las violaciones de derechos humanos que fueron constatadas en la Sentencia</w:t>
      </w:r>
      <w:r w:rsidR="00726E70">
        <w:rPr>
          <w:rStyle w:val="FootnoteReference"/>
          <w:rFonts w:ascii="Verdana" w:hAnsi="Verdana" w:cs="Arial"/>
          <w:sz w:val="20"/>
          <w:szCs w:val="20"/>
          <w:lang w:val="es-ES"/>
        </w:rPr>
        <w:footnoteReference w:id="16"/>
      </w:r>
      <w:r w:rsidRPr="00994F2B">
        <w:rPr>
          <w:rFonts w:ascii="Verdana" w:hAnsi="Verdana" w:cs="Arial"/>
          <w:sz w:val="20"/>
          <w:szCs w:val="20"/>
          <w:lang w:val="es-ES"/>
        </w:rPr>
        <w:t>. Por tanto, conforme al Derecho Internacional que ha sido democrática y soberanamente aceptado por el Estado venezolano</w:t>
      </w:r>
      <w:r w:rsidR="00726E70">
        <w:rPr>
          <w:rStyle w:val="FootnoteReference"/>
          <w:rFonts w:ascii="Verdana" w:hAnsi="Verdana" w:cs="Arial"/>
          <w:sz w:val="20"/>
          <w:szCs w:val="20"/>
          <w:lang w:val="es-ES"/>
        </w:rPr>
        <w:footnoteReference w:id="17"/>
      </w:r>
      <w:r w:rsidRPr="00994F2B">
        <w:rPr>
          <w:rFonts w:ascii="Verdana" w:hAnsi="Verdana" w:cs="Arial"/>
          <w:sz w:val="20"/>
          <w:szCs w:val="20"/>
          <w:lang w:val="es-ES"/>
        </w:rPr>
        <w:t>, es inaceptable, que una vez que la Corte Interamericana haya emitido una Sentencia</w:t>
      </w:r>
      <w:r w:rsidR="00475F06">
        <w:rPr>
          <w:rFonts w:ascii="Verdana" w:hAnsi="Verdana" w:cs="Arial"/>
          <w:sz w:val="20"/>
          <w:szCs w:val="20"/>
          <w:lang w:val="es-ES"/>
        </w:rPr>
        <w:t>,</w:t>
      </w:r>
      <w:r w:rsidRPr="00994F2B">
        <w:rPr>
          <w:rFonts w:ascii="Verdana" w:hAnsi="Verdana" w:cs="Arial"/>
          <w:sz w:val="20"/>
          <w:szCs w:val="20"/>
          <w:lang w:val="es-ES"/>
        </w:rPr>
        <w:t xml:space="preserve"> el derecho interno o sus autoridades pretendan dejarla sin efectos.</w:t>
      </w:r>
    </w:p>
    <w:p w14:paraId="674FA754" w14:textId="77E8356C" w:rsidR="00994F2B" w:rsidRPr="00EA5C9C" w:rsidRDefault="00955970" w:rsidP="00994F2B">
      <w:pPr>
        <w:pStyle w:val="ListParagraph"/>
        <w:numPr>
          <w:ilvl w:val="0"/>
          <w:numId w:val="4"/>
        </w:numPr>
        <w:spacing w:before="120" w:after="120" w:line="240" w:lineRule="auto"/>
        <w:ind w:left="0" w:right="1444" w:firstLine="0"/>
        <w:contextualSpacing w:val="0"/>
        <w:jc w:val="both"/>
        <w:rPr>
          <w:rFonts w:ascii="Verdana" w:hAnsi="Verdana" w:cs="Arial"/>
          <w:sz w:val="20"/>
          <w:szCs w:val="20"/>
          <w:lang w:val="es-ES"/>
        </w:rPr>
      </w:pPr>
      <w:r w:rsidRPr="00EA5C9C">
        <w:rPr>
          <w:rFonts w:ascii="Verdana" w:hAnsi="Verdana" w:cs="Arial"/>
          <w:sz w:val="20"/>
          <w:szCs w:val="20"/>
          <w:lang w:val="es-ES"/>
        </w:rPr>
        <w:t xml:space="preserve">Por ello, </w:t>
      </w:r>
      <w:r w:rsidR="00D80E65" w:rsidRPr="00EA5C9C">
        <w:rPr>
          <w:rFonts w:ascii="Verdana" w:hAnsi="Verdana" w:cs="Arial"/>
          <w:sz w:val="20"/>
          <w:szCs w:val="20"/>
          <w:lang w:val="es-ES"/>
        </w:rPr>
        <w:t>Venezuela está incumpliendo con</w:t>
      </w:r>
      <w:r w:rsidRPr="00EA5C9C">
        <w:rPr>
          <w:rFonts w:ascii="Verdana" w:hAnsi="Verdana" w:cs="Arial"/>
          <w:sz w:val="20"/>
          <w:szCs w:val="20"/>
          <w:lang w:val="es-ES"/>
        </w:rPr>
        <w:t xml:space="preserve"> lo dispuesto en el artículo 68.1 de la Convención</w:t>
      </w:r>
      <w:r w:rsidR="001F76AA" w:rsidRPr="00EA5C9C">
        <w:rPr>
          <w:rFonts w:ascii="Verdana" w:hAnsi="Verdana" w:cs="Arial"/>
          <w:sz w:val="20"/>
          <w:szCs w:val="20"/>
          <w:lang w:val="es-ES"/>
        </w:rPr>
        <w:t>, en el sentido de que “[l]os Estados Partes en la Convención se comprometen a cumplir la decisión de la Corte en todo caso en que sean partes</w:t>
      </w:r>
      <w:r w:rsidR="007D4EC5" w:rsidRPr="00EA5C9C">
        <w:rPr>
          <w:rFonts w:ascii="Verdana" w:hAnsi="Verdana" w:cs="Arial"/>
          <w:sz w:val="20"/>
          <w:szCs w:val="20"/>
          <w:lang w:val="es-ES"/>
        </w:rPr>
        <w:t>”.</w:t>
      </w:r>
      <w:r w:rsidRPr="00EA5C9C">
        <w:rPr>
          <w:rFonts w:ascii="Verdana" w:hAnsi="Verdana" w:cs="Arial"/>
          <w:sz w:val="20"/>
          <w:szCs w:val="20"/>
          <w:lang w:val="es-ES"/>
        </w:rPr>
        <w:t xml:space="preserve"> V</w:t>
      </w:r>
      <w:r w:rsidR="00A35A2D" w:rsidRPr="00EA5C9C">
        <w:rPr>
          <w:rFonts w:ascii="Verdana" w:hAnsi="Verdana" w:cs="Arial"/>
          <w:sz w:val="20"/>
          <w:szCs w:val="20"/>
          <w:lang w:val="es-ES"/>
        </w:rPr>
        <w:t>enezuela está incumpliendo con la</w:t>
      </w:r>
      <w:r w:rsidRPr="00EA5C9C">
        <w:rPr>
          <w:rFonts w:ascii="Verdana" w:hAnsi="Verdana" w:cs="Arial"/>
          <w:sz w:val="20"/>
          <w:szCs w:val="20"/>
          <w:lang w:val="es-ES"/>
        </w:rPr>
        <w:t xml:space="preserve"> </w:t>
      </w:r>
      <w:r w:rsidR="00BF06AC" w:rsidRPr="00EA5C9C">
        <w:rPr>
          <w:rFonts w:ascii="Verdana" w:hAnsi="Verdana" w:cs="Arial"/>
          <w:sz w:val="20"/>
          <w:szCs w:val="20"/>
          <w:lang w:val="es-ES"/>
        </w:rPr>
        <w:t>S</w:t>
      </w:r>
      <w:r w:rsidRPr="00EA5C9C">
        <w:rPr>
          <w:rFonts w:ascii="Verdana" w:hAnsi="Verdana" w:cs="Arial"/>
          <w:sz w:val="20"/>
          <w:szCs w:val="20"/>
          <w:lang w:val="es-ES"/>
        </w:rPr>
        <w:t>entencia al abiertamente declarar</w:t>
      </w:r>
      <w:r w:rsidR="00BF06AC" w:rsidRPr="00EA5C9C">
        <w:rPr>
          <w:rFonts w:ascii="Verdana" w:hAnsi="Verdana" w:cs="Arial"/>
          <w:sz w:val="20"/>
          <w:szCs w:val="20"/>
          <w:lang w:val="es-ES"/>
        </w:rPr>
        <w:t>la</w:t>
      </w:r>
      <w:r w:rsidRPr="00EA5C9C">
        <w:rPr>
          <w:rFonts w:ascii="Verdana" w:hAnsi="Verdana" w:cs="Arial"/>
          <w:sz w:val="20"/>
          <w:szCs w:val="20"/>
          <w:lang w:val="es-ES"/>
        </w:rPr>
        <w:t xml:space="preserve"> </w:t>
      </w:r>
      <w:r w:rsidR="00660EE7" w:rsidRPr="00EA5C9C">
        <w:rPr>
          <w:rFonts w:ascii="Verdana" w:hAnsi="Verdana" w:cs="Arial"/>
          <w:sz w:val="20"/>
          <w:szCs w:val="20"/>
          <w:lang w:val="es-ES"/>
        </w:rPr>
        <w:t>judicialmente “</w:t>
      </w:r>
      <w:r w:rsidRPr="00EA5C9C">
        <w:rPr>
          <w:rFonts w:ascii="Verdana" w:hAnsi="Verdana" w:cs="Arial"/>
          <w:sz w:val="20"/>
          <w:szCs w:val="20"/>
          <w:lang w:val="es-ES"/>
        </w:rPr>
        <w:t>inejecutable</w:t>
      </w:r>
      <w:r w:rsidR="00660EE7" w:rsidRPr="00EA5C9C">
        <w:rPr>
          <w:rFonts w:ascii="Verdana" w:hAnsi="Verdana" w:cs="Arial"/>
          <w:sz w:val="20"/>
          <w:szCs w:val="20"/>
          <w:lang w:val="es-ES"/>
        </w:rPr>
        <w:t>”</w:t>
      </w:r>
      <w:r w:rsidR="00A35A2D" w:rsidRPr="00EA5C9C">
        <w:rPr>
          <w:rFonts w:ascii="Verdana" w:hAnsi="Verdana" w:cs="Arial"/>
          <w:sz w:val="20"/>
          <w:szCs w:val="20"/>
          <w:lang w:val="es-ES"/>
        </w:rPr>
        <w:t>, teniendo en cuenta que</w:t>
      </w:r>
      <w:r w:rsidR="0054685C" w:rsidRPr="00EA5C9C">
        <w:rPr>
          <w:rFonts w:ascii="Verdana" w:hAnsi="Verdana" w:cs="Arial"/>
          <w:sz w:val="20"/>
          <w:szCs w:val="20"/>
          <w:lang w:val="es-ES"/>
        </w:rPr>
        <w:t xml:space="preserve"> el agente estatal comunicó a la Corte que ante tal declaración interna de “inejecutabilidad” el Estado no cumpliría la Sentencia de la Corte Interamericana (</w:t>
      </w:r>
      <w:r w:rsidR="0054685C" w:rsidRPr="00EA5C9C">
        <w:rPr>
          <w:rFonts w:ascii="Verdana" w:hAnsi="Verdana" w:cs="Arial"/>
          <w:i/>
          <w:sz w:val="20"/>
          <w:szCs w:val="20"/>
          <w:lang w:val="es-ES"/>
        </w:rPr>
        <w:t>supra</w:t>
      </w:r>
      <w:r w:rsidR="00475F06" w:rsidRPr="00EA5C9C">
        <w:rPr>
          <w:rFonts w:ascii="Verdana" w:hAnsi="Verdana" w:cs="Arial"/>
          <w:sz w:val="20"/>
          <w:szCs w:val="20"/>
          <w:lang w:val="es-ES"/>
        </w:rPr>
        <w:t xml:space="preserve"> </w:t>
      </w:r>
      <w:r w:rsidR="001F76AA" w:rsidRPr="00EA5C9C">
        <w:rPr>
          <w:rFonts w:ascii="Verdana" w:hAnsi="Verdana" w:cs="Arial"/>
          <w:sz w:val="20"/>
          <w:szCs w:val="20"/>
          <w:lang w:val="es-ES"/>
        </w:rPr>
        <w:t xml:space="preserve">Visto 7 y Considerando 8). </w:t>
      </w:r>
    </w:p>
    <w:p w14:paraId="3ADC32E8" w14:textId="09C40E67" w:rsidR="001C05D1" w:rsidRPr="001C05D1" w:rsidRDefault="009D33E6" w:rsidP="001C05D1">
      <w:pPr>
        <w:pStyle w:val="ListParagraph"/>
        <w:numPr>
          <w:ilvl w:val="0"/>
          <w:numId w:val="4"/>
        </w:numPr>
        <w:spacing w:before="120" w:after="120" w:line="240" w:lineRule="auto"/>
        <w:ind w:left="0" w:right="1444" w:firstLine="0"/>
        <w:contextualSpacing w:val="0"/>
        <w:jc w:val="both"/>
        <w:rPr>
          <w:rFonts w:ascii="Verdana" w:hAnsi="Verdana"/>
          <w:sz w:val="20"/>
          <w:lang w:val="es-MX"/>
        </w:rPr>
      </w:pPr>
      <w:r w:rsidRPr="001C05D1">
        <w:rPr>
          <w:rFonts w:ascii="Verdana" w:hAnsi="Verdana" w:cs="Arial"/>
          <w:sz w:val="20"/>
          <w:szCs w:val="20"/>
          <w:lang w:val="es-ES"/>
        </w:rPr>
        <w:t xml:space="preserve">Con base en la situación constatada, el Tribunal </w:t>
      </w:r>
      <w:r w:rsidR="001C05D1" w:rsidRPr="001C05D1">
        <w:rPr>
          <w:rFonts w:ascii="Verdana" w:hAnsi="Verdana"/>
          <w:sz w:val="20"/>
          <w:lang w:val="es-MX"/>
        </w:rPr>
        <w:t>considera necesario dar aplicación a lo dispuesto en los artículos 65 de la Convención Americana</w:t>
      </w:r>
      <w:r w:rsidR="001C05D1" w:rsidRPr="00444C5D">
        <w:rPr>
          <w:rStyle w:val="FootnoteReference"/>
          <w:rFonts w:ascii="Verdana" w:hAnsi="Verdana"/>
          <w:sz w:val="20"/>
          <w:lang w:val="es-MX"/>
        </w:rPr>
        <w:footnoteReference w:id="18"/>
      </w:r>
      <w:r w:rsidR="001C05D1" w:rsidRPr="001C05D1">
        <w:rPr>
          <w:rFonts w:ascii="Verdana" w:hAnsi="Verdana"/>
          <w:sz w:val="20"/>
          <w:lang w:val="es-MX"/>
        </w:rPr>
        <w:t xml:space="preserve"> y 30 de su Estatuto</w:t>
      </w:r>
      <w:r w:rsidR="001C05D1" w:rsidRPr="00444C5D">
        <w:rPr>
          <w:rStyle w:val="FootnoteReference"/>
          <w:rFonts w:ascii="Verdana" w:hAnsi="Verdana"/>
          <w:sz w:val="20"/>
          <w:lang w:val="es-MX"/>
        </w:rPr>
        <w:footnoteReference w:id="19"/>
      </w:r>
      <w:r w:rsidR="001C05D1" w:rsidRPr="001C05D1">
        <w:rPr>
          <w:rFonts w:ascii="Verdana" w:hAnsi="Verdana"/>
          <w:sz w:val="20"/>
          <w:lang w:val="es-MX"/>
        </w:rPr>
        <w:t xml:space="preserve">, </w:t>
      </w:r>
      <w:r w:rsidRPr="001C05D1">
        <w:rPr>
          <w:rFonts w:ascii="Verdana" w:hAnsi="Verdana" w:cs="Arial"/>
          <w:sz w:val="20"/>
          <w:szCs w:val="20"/>
          <w:lang w:val="es-ES"/>
        </w:rPr>
        <w:t xml:space="preserve">de manera que en el Informe Anual de labores del 2015, que someterá a la consideración de la Asamblea General de la Organización de los Estados Americanos, </w:t>
      </w:r>
      <w:r w:rsidR="001C05D1" w:rsidRPr="001C05D1">
        <w:rPr>
          <w:rFonts w:ascii="Verdana" w:hAnsi="Verdana" w:cs="Arial"/>
          <w:sz w:val="20"/>
          <w:szCs w:val="20"/>
          <w:lang w:val="es-ES"/>
        </w:rPr>
        <w:t xml:space="preserve">incorporará la presente Resolución, indicando el incumplimiento de Venezuela de </w:t>
      </w:r>
      <w:r w:rsidRPr="001C05D1">
        <w:rPr>
          <w:rFonts w:ascii="Verdana" w:hAnsi="Verdana" w:cs="Arial"/>
          <w:sz w:val="20"/>
          <w:szCs w:val="20"/>
          <w:lang w:val="es-ES"/>
        </w:rPr>
        <w:t xml:space="preserve">sus obligaciones de ejecutar </w:t>
      </w:r>
      <w:r w:rsidR="00C07A27" w:rsidRPr="001C05D1">
        <w:rPr>
          <w:rFonts w:ascii="Verdana" w:hAnsi="Verdana" w:cs="Arial"/>
          <w:sz w:val="20"/>
          <w:szCs w:val="20"/>
          <w:lang w:val="es-ES"/>
        </w:rPr>
        <w:t>las</w:t>
      </w:r>
      <w:r w:rsidRPr="001C05D1">
        <w:rPr>
          <w:rFonts w:ascii="Verdana" w:hAnsi="Verdana" w:cs="Arial"/>
          <w:sz w:val="20"/>
          <w:szCs w:val="20"/>
          <w:lang w:val="es-ES"/>
        </w:rPr>
        <w:t xml:space="preserve"> reparaciones ordenadas en </w:t>
      </w:r>
      <w:r w:rsidR="00D80E65">
        <w:rPr>
          <w:rFonts w:ascii="Verdana" w:hAnsi="Verdana" w:cs="Arial"/>
          <w:sz w:val="20"/>
          <w:szCs w:val="20"/>
          <w:lang w:val="es-ES"/>
        </w:rPr>
        <w:t>la Sentencia</w:t>
      </w:r>
      <w:r w:rsidR="00C07A27" w:rsidRPr="001C05D1">
        <w:rPr>
          <w:rFonts w:ascii="Verdana" w:hAnsi="Verdana" w:cs="Arial"/>
          <w:sz w:val="20"/>
          <w:szCs w:val="20"/>
          <w:lang w:val="es-ES"/>
        </w:rPr>
        <w:t xml:space="preserve">, </w:t>
      </w:r>
      <w:r w:rsidRPr="001C05D1">
        <w:rPr>
          <w:rFonts w:ascii="Verdana" w:hAnsi="Verdana" w:cs="Arial"/>
          <w:sz w:val="20"/>
          <w:szCs w:val="20"/>
          <w:lang w:val="es-ES"/>
        </w:rPr>
        <w:t xml:space="preserve">así como de informar sobre las medidas adoptadas para ese fin. </w:t>
      </w:r>
      <w:r w:rsidR="009D7A81" w:rsidRPr="001C05D1">
        <w:rPr>
          <w:rFonts w:ascii="Verdana" w:hAnsi="Verdana" w:cs="Arial"/>
          <w:sz w:val="20"/>
          <w:szCs w:val="20"/>
          <w:lang w:val="es-ES"/>
        </w:rPr>
        <w:t xml:space="preserve">Este curso de acción resulta necesario en casos como el presente, donde existe </w:t>
      </w:r>
      <w:r w:rsidR="009D7A81" w:rsidRPr="001C05D1">
        <w:rPr>
          <w:rFonts w:ascii="Verdana" w:hAnsi="Verdana" w:cs="Arial"/>
          <w:sz w:val="20"/>
          <w:szCs w:val="20"/>
          <w:lang w:val="es-ES"/>
        </w:rPr>
        <w:lastRenderedPageBreak/>
        <w:t>un pronunciamiento del más alto Tribunal del Estado en el que se manifiesta el objetivo de incumplir de manera frontal con la obligación de acatar una Sentencia de la Corte</w:t>
      </w:r>
      <w:r w:rsidR="00D80E65">
        <w:rPr>
          <w:rStyle w:val="FootnoteReference"/>
          <w:rFonts w:ascii="Verdana" w:hAnsi="Verdana" w:cs="Arial"/>
          <w:sz w:val="20"/>
          <w:szCs w:val="20"/>
          <w:lang w:val="es-ES"/>
        </w:rPr>
        <w:footnoteReference w:id="20"/>
      </w:r>
      <w:r w:rsidR="009D7A81" w:rsidRPr="001C05D1">
        <w:rPr>
          <w:rFonts w:ascii="Verdana" w:hAnsi="Verdana" w:cs="Arial"/>
          <w:sz w:val="20"/>
          <w:szCs w:val="20"/>
          <w:lang w:val="es-ES"/>
        </w:rPr>
        <w:t xml:space="preserve">. </w:t>
      </w:r>
      <w:r w:rsidR="001C05D1" w:rsidRPr="001C05D1">
        <w:rPr>
          <w:rFonts w:ascii="Verdana" w:hAnsi="Verdana"/>
          <w:sz w:val="20"/>
        </w:rPr>
        <w:t>Ante esta situación los Estados Americanos han dispuesto un sistema de garantía colectiva en donde todos los Estados Parte deben realizar todos los esfuerzos para que no haya un evidente abandono por parte de los Estados de su obligación de cumplir y acatar las Sentencias de la Corte</w:t>
      </w:r>
      <w:r w:rsidR="001C05D1" w:rsidRPr="009A72DC">
        <w:rPr>
          <w:rStyle w:val="FootnoteReference"/>
          <w:rFonts w:ascii="Verdana" w:hAnsi="Verdana"/>
          <w:sz w:val="20"/>
        </w:rPr>
        <w:footnoteReference w:id="21"/>
      </w:r>
      <w:r w:rsidR="001C05D1" w:rsidRPr="001C05D1">
        <w:rPr>
          <w:rFonts w:ascii="Verdana" w:hAnsi="Verdana"/>
          <w:sz w:val="20"/>
        </w:rPr>
        <w:t xml:space="preserve">. </w:t>
      </w:r>
    </w:p>
    <w:p w14:paraId="66FC3220" w14:textId="77777777" w:rsidR="00F90E89" w:rsidRDefault="00F90E89" w:rsidP="00F90E89">
      <w:pPr>
        <w:pStyle w:val="ListParagraph"/>
        <w:numPr>
          <w:ilvl w:val="0"/>
          <w:numId w:val="4"/>
        </w:numPr>
        <w:spacing w:before="120" w:after="120" w:line="240" w:lineRule="auto"/>
        <w:ind w:left="0" w:right="1444" w:firstLine="0"/>
        <w:contextualSpacing w:val="0"/>
        <w:jc w:val="both"/>
        <w:rPr>
          <w:rFonts w:ascii="Verdana" w:hAnsi="Verdana"/>
          <w:sz w:val="20"/>
          <w:lang w:val="es-ES"/>
        </w:rPr>
      </w:pPr>
      <w:r w:rsidRPr="009A72DC">
        <w:rPr>
          <w:rFonts w:ascii="Verdana" w:hAnsi="Verdana"/>
          <w:spacing w:val="-3"/>
          <w:sz w:val="20"/>
          <w:lang w:val="es-CO"/>
        </w:rPr>
        <w:t xml:space="preserve">Este Tribunal ha señalado que la Convención Americana, así como los demás tratados de derechos </w:t>
      </w:r>
      <w:r w:rsidRPr="009A72DC">
        <w:rPr>
          <w:rFonts w:ascii="Verdana" w:hAnsi="Verdana"/>
          <w:sz w:val="20"/>
        </w:rPr>
        <w:t>humanos</w:t>
      </w:r>
      <w:r w:rsidRPr="009A72DC">
        <w:rPr>
          <w:rFonts w:ascii="Verdana" w:hAnsi="Verdana"/>
          <w:spacing w:val="-3"/>
          <w:sz w:val="20"/>
          <w:lang w:val="es-CO"/>
        </w:rPr>
        <w:t>, se aplican de conformidad con la noción de garantía colectiva y tienen una naturaleza especial, que los diferencian de los demás tratados, los cuales reglamentan intereses recíprocos entre los Estados Partes</w:t>
      </w:r>
      <w:r w:rsidRPr="009A72DC">
        <w:rPr>
          <w:rStyle w:val="FootnoteReference"/>
          <w:rFonts w:ascii="Verdana" w:hAnsi="Verdana"/>
          <w:spacing w:val="-3"/>
          <w:sz w:val="20"/>
        </w:rPr>
        <w:footnoteReference w:id="22"/>
      </w:r>
      <w:r w:rsidRPr="009A72DC">
        <w:rPr>
          <w:rFonts w:ascii="Verdana" w:hAnsi="Verdana"/>
          <w:spacing w:val="-3"/>
          <w:sz w:val="20"/>
          <w:lang w:val="es-CO"/>
        </w:rPr>
        <w:t xml:space="preserve">. Dicha noción de </w:t>
      </w:r>
      <w:r w:rsidRPr="009A72DC">
        <w:rPr>
          <w:rFonts w:ascii="Verdana" w:hAnsi="Verdana"/>
          <w:sz w:val="20"/>
          <w:lang w:val="es-CO"/>
        </w:rPr>
        <w:t xml:space="preserve">garantía colectiva se encuentra estrechamente relacionada con el efecto útil de las Sentencias de la Corte Interamericana, por cuanto </w:t>
      </w:r>
      <w:r w:rsidRPr="009A72DC">
        <w:rPr>
          <w:rFonts w:ascii="Verdana" w:hAnsi="Verdana"/>
          <w:sz w:val="20"/>
          <w:lang w:val="es-ES"/>
        </w:rPr>
        <w:t>la Convención Americana consagra un sistema que constituye un verdadero orden público regional, cuyo mantenimiento es de interés de todos y cada uno de los Estados Partes</w:t>
      </w:r>
      <w:r w:rsidRPr="009A72DC">
        <w:rPr>
          <w:rStyle w:val="FootnoteReference"/>
          <w:rFonts w:ascii="Verdana" w:hAnsi="Verdana"/>
          <w:sz w:val="20"/>
          <w:lang w:val="es-ES"/>
        </w:rPr>
        <w:footnoteReference w:id="23"/>
      </w:r>
      <w:r w:rsidRPr="009A72DC">
        <w:rPr>
          <w:rFonts w:ascii="Verdana" w:hAnsi="Verdana"/>
          <w:sz w:val="20"/>
          <w:lang w:val="es-ES"/>
        </w:rPr>
        <w:t>. El interés de los Estados signatarios es el mantenimiento del sistema de protección de los derechos humanos que ellos mismos han creado, y si un Estado viola su obligación de acatar lo resuelto por el único órgano jurisdiccional sobre la materia se está quebrantando el compromiso asumido hacia los otros Estados de cumplir con las sentencias de la Corte</w:t>
      </w:r>
      <w:r w:rsidRPr="009A72DC">
        <w:rPr>
          <w:rStyle w:val="FootnoteReference"/>
          <w:rFonts w:ascii="Verdana" w:hAnsi="Verdana"/>
          <w:sz w:val="20"/>
          <w:lang w:val="es-ES"/>
        </w:rPr>
        <w:footnoteReference w:id="24"/>
      </w:r>
      <w:r w:rsidRPr="009A72DC">
        <w:rPr>
          <w:rFonts w:ascii="Verdana" w:hAnsi="Verdana"/>
          <w:sz w:val="20"/>
          <w:lang w:val="es-ES"/>
        </w:rPr>
        <w:t>. Por tanto, la labor de la Asamblea General de la Organización de los Estados Americanos, cuando se le presenta un incumplimiento manifiesto por parte de uno de los Estados de una Sentencia emitida por la Corte Interamericana, es precisamente la de proteger el efecto útil de la Convención Americana y evitar que la justicia interamericana se torne ilusoria al quedar al arbitrio de las decisiones internas de un Estado</w:t>
      </w:r>
      <w:r w:rsidRPr="009A72DC">
        <w:rPr>
          <w:rStyle w:val="FootnoteReference"/>
          <w:rFonts w:ascii="Verdana" w:hAnsi="Verdana"/>
          <w:sz w:val="20"/>
          <w:lang w:val="es-ES"/>
        </w:rPr>
        <w:footnoteReference w:id="25"/>
      </w:r>
      <w:r w:rsidRPr="009A72DC">
        <w:rPr>
          <w:rFonts w:ascii="Verdana" w:hAnsi="Verdana"/>
          <w:sz w:val="20"/>
          <w:lang w:val="es-ES"/>
        </w:rPr>
        <w:t>.</w:t>
      </w:r>
    </w:p>
    <w:p w14:paraId="164B0B37" w14:textId="1D43E455" w:rsidR="00F90E89" w:rsidRPr="00AC62F1" w:rsidRDefault="00F90E89" w:rsidP="00F90E89">
      <w:pPr>
        <w:pStyle w:val="ListParagraph"/>
        <w:numPr>
          <w:ilvl w:val="0"/>
          <w:numId w:val="4"/>
        </w:numPr>
        <w:spacing w:before="120" w:after="120" w:line="240" w:lineRule="auto"/>
        <w:ind w:left="0" w:right="1444" w:firstLine="0"/>
        <w:contextualSpacing w:val="0"/>
        <w:jc w:val="both"/>
        <w:rPr>
          <w:rFonts w:ascii="Verdana" w:hAnsi="Verdana"/>
          <w:sz w:val="18"/>
          <w:szCs w:val="18"/>
          <w:lang w:val="es-MX"/>
        </w:rPr>
      </w:pPr>
      <w:r w:rsidRPr="00AC62F1">
        <w:rPr>
          <w:rFonts w:ascii="Verdana" w:hAnsi="Verdana"/>
          <w:sz w:val="20"/>
          <w:lang w:val="es-CO"/>
        </w:rPr>
        <w:t>Una vez que ha determinado la aplicación de los referidos artículos (</w:t>
      </w:r>
      <w:r w:rsidRPr="00AC62F1">
        <w:rPr>
          <w:rFonts w:ascii="Verdana" w:hAnsi="Verdana"/>
          <w:i/>
          <w:sz w:val="20"/>
          <w:lang w:val="es-CO"/>
        </w:rPr>
        <w:t xml:space="preserve">supra </w:t>
      </w:r>
      <w:r w:rsidRPr="00AC62F1">
        <w:rPr>
          <w:rFonts w:ascii="Verdana" w:hAnsi="Verdana"/>
          <w:sz w:val="20"/>
          <w:lang w:val="es-CO"/>
        </w:rPr>
        <w:t>Considerando 1</w:t>
      </w:r>
      <w:r>
        <w:rPr>
          <w:rFonts w:ascii="Verdana" w:hAnsi="Verdana"/>
          <w:sz w:val="20"/>
          <w:lang w:val="es-CO"/>
        </w:rPr>
        <w:t>4</w:t>
      </w:r>
      <w:r w:rsidRPr="00AC62F1">
        <w:rPr>
          <w:rFonts w:ascii="Verdana" w:hAnsi="Verdana"/>
          <w:sz w:val="20"/>
          <w:lang w:val="es-CO"/>
        </w:rPr>
        <w:t xml:space="preserve">) en casos de incumplimiento de sus Sentencias, y así lo haya informado mediante su Informe Anual para la consideración de la Asamblea </w:t>
      </w:r>
      <w:r w:rsidRPr="00AC62F1">
        <w:rPr>
          <w:rFonts w:ascii="Verdana" w:hAnsi="Verdana"/>
          <w:spacing w:val="-3"/>
          <w:sz w:val="20"/>
          <w:lang w:val="es-CO"/>
        </w:rPr>
        <w:t>General</w:t>
      </w:r>
      <w:r w:rsidRPr="00AC62F1">
        <w:rPr>
          <w:rFonts w:ascii="Verdana" w:hAnsi="Verdana"/>
          <w:sz w:val="20"/>
          <w:lang w:val="es-CO"/>
        </w:rPr>
        <w:t xml:space="preserve"> de la Organización de los Estados Americanos, la Corte continuará incluyendo dicho incumplimiento cada año, al presentar su informe Anual, a menos que el Estado acredite que está adoptando las medidas necesarias para cumplir con las reparaciones ordenadas en la Sentencia, o que los representantes de la</w:t>
      </w:r>
      <w:r w:rsidR="00F01DB3">
        <w:rPr>
          <w:rFonts w:ascii="Verdana" w:hAnsi="Verdana"/>
          <w:sz w:val="20"/>
          <w:lang w:val="es-CO"/>
        </w:rPr>
        <w:t xml:space="preserve"> víctima</w:t>
      </w:r>
      <w:r w:rsidRPr="00AC62F1">
        <w:rPr>
          <w:rFonts w:ascii="Verdana" w:hAnsi="Verdana"/>
          <w:sz w:val="20"/>
          <w:lang w:val="es-CO"/>
        </w:rPr>
        <w:t xml:space="preserve"> o la Comisión acompañen información sobre la implementación y cumplimiento de los puntos de la Sentencia que requiera ser valorada por este Tribunal</w:t>
      </w:r>
      <w:r w:rsidRPr="00AC62F1">
        <w:rPr>
          <w:rStyle w:val="FootnoteReference"/>
          <w:rFonts w:ascii="Verdana" w:hAnsi="Verdana"/>
          <w:sz w:val="20"/>
          <w:lang w:val="es-CO"/>
        </w:rPr>
        <w:footnoteReference w:id="26"/>
      </w:r>
      <w:r w:rsidRPr="00AC62F1">
        <w:rPr>
          <w:rFonts w:ascii="Verdana" w:hAnsi="Verdana"/>
          <w:sz w:val="20"/>
          <w:lang w:val="es-CO"/>
        </w:rPr>
        <w:t xml:space="preserve">. </w:t>
      </w:r>
    </w:p>
    <w:p w14:paraId="42DD01EC" w14:textId="77777777" w:rsidR="001C05D1" w:rsidRDefault="001C05D1" w:rsidP="004A7287">
      <w:pPr>
        <w:spacing w:after="0"/>
        <w:jc w:val="both"/>
        <w:rPr>
          <w:rFonts w:ascii="Verdana" w:hAnsi="Verdana"/>
          <w:b/>
          <w:sz w:val="20"/>
          <w:lang w:val="es-MX"/>
        </w:rPr>
      </w:pPr>
    </w:p>
    <w:p w14:paraId="79A97542" w14:textId="77777777" w:rsidR="009D33E6" w:rsidRDefault="009D33E6" w:rsidP="004A7287">
      <w:pPr>
        <w:spacing w:after="0"/>
        <w:jc w:val="both"/>
        <w:rPr>
          <w:rFonts w:ascii="Verdana" w:hAnsi="Verdana"/>
          <w:b/>
          <w:sz w:val="20"/>
          <w:lang w:val="es-MX"/>
        </w:rPr>
      </w:pPr>
      <w:r>
        <w:rPr>
          <w:rFonts w:ascii="Verdana" w:hAnsi="Verdana"/>
          <w:b/>
          <w:sz w:val="20"/>
          <w:lang w:val="es-MX"/>
        </w:rPr>
        <w:t>POR TANTO</w:t>
      </w:r>
    </w:p>
    <w:p w14:paraId="296A72F1" w14:textId="77777777" w:rsidR="004A7287" w:rsidRDefault="004A7287" w:rsidP="004A7287">
      <w:pPr>
        <w:spacing w:after="0"/>
        <w:jc w:val="both"/>
        <w:rPr>
          <w:rFonts w:ascii="Verdana" w:hAnsi="Verdana"/>
          <w:b/>
          <w:sz w:val="20"/>
          <w:lang w:val="es-MX"/>
        </w:rPr>
      </w:pPr>
    </w:p>
    <w:p w14:paraId="75046686" w14:textId="77777777" w:rsidR="009D33E6" w:rsidRDefault="009D33E6" w:rsidP="004A7287">
      <w:pPr>
        <w:spacing w:after="0"/>
        <w:jc w:val="both"/>
        <w:rPr>
          <w:rFonts w:ascii="Verdana" w:hAnsi="Verdana"/>
          <w:b/>
          <w:sz w:val="20"/>
          <w:lang w:val="es-MX"/>
        </w:rPr>
      </w:pPr>
      <w:r>
        <w:rPr>
          <w:rFonts w:ascii="Verdana" w:hAnsi="Verdana"/>
          <w:b/>
          <w:sz w:val="20"/>
          <w:lang w:val="es-MX"/>
        </w:rPr>
        <w:t>LA CORTE INTERAMERICANA DE DERECHOS HUMANOS,</w:t>
      </w:r>
    </w:p>
    <w:p w14:paraId="39EFD198" w14:textId="77777777" w:rsidR="004A7287" w:rsidRDefault="004A7287" w:rsidP="004A7287">
      <w:pPr>
        <w:pStyle w:val="ListParagraph"/>
        <w:spacing w:after="0" w:line="240" w:lineRule="auto"/>
        <w:ind w:left="0" w:right="1444"/>
        <w:contextualSpacing w:val="0"/>
        <w:jc w:val="both"/>
        <w:rPr>
          <w:rFonts w:ascii="Verdana" w:hAnsi="Verdana"/>
          <w:sz w:val="20"/>
          <w:lang w:val="es-MX"/>
        </w:rPr>
      </w:pPr>
    </w:p>
    <w:p w14:paraId="194345F9" w14:textId="7C9E21FE" w:rsidR="003B6DB5" w:rsidRDefault="00F90E89" w:rsidP="004A7287">
      <w:pPr>
        <w:pStyle w:val="ListParagraph"/>
        <w:spacing w:after="0" w:line="240" w:lineRule="auto"/>
        <w:ind w:left="0" w:right="1444"/>
        <w:contextualSpacing w:val="0"/>
        <w:jc w:val="both"/>
        <w:rPr>
          <w:rFonts w:ascii="Verdana" w:hAnsi="Verdana"/>
          <w:sz w:val="20"/>
          <w:lang w:val="es-MX"/>
        </w:rPr>
      </w:pPr>
      <w:r>
        <w:rPr>
          <w:rFonts w:ascii="Verdana" w:hAnsi="Verdana"/>
          <w:sz w:val="20"/>
          <w:lang w:val="es-MX"/>
        </w:rPr>
        <w:t>En el ejercicio de sus atribuciones de supervisión del cumplimiento de sus decisiones, de conformidad con los artículos 33, 62.1, 62.3, 65, 67 y 68.1 de la Convención Americana sobre Derechos Humanos, 24 y 30 del Estatuto y 31.2 y 69 de su Reglamento</w:t>
      </w:r>
      <w:r w:rsidR="008F3341" w:rsidRPr="0082778F">
        <w:rPr>
          <w:rFonts w:ascii="Verdana" w:hAnsi="Verdana"/>
          <w:sz w:val="20"/>
          <w:lang w:val="es-MX"/>
        </w:rPr>
        <w:t>,</w:t>
      </w:r>
      <w:r w:rsidR="008F3341">
        <w:rPr>
          <w:rFonts w:ascii="Verdana" w:hAnsi="Verdana"/>
          <w:sz w:val="20"/>
          <w:lang w:val="es-MX"/>
        </w:rPr>
        <w:t xml:space="preserve"> </w:t>
      </w:r>
    </w:p>
    <w:p w14:paraId="52474973" w14:textId="77777777" w:rsidR="004A7287" w:rsidRDefault="004A7287" w:rsidP="004A7287">
      <w:pPr>
        <w:pStyle w:val="ListParagraph"/>
        <w:spacing w:after="0" w:line="240" w:lineRule="auto"/>
        <w:ind w:left="0" w:right="1444"/>
        <w:contextualSpacing w:val="0"/>
        <w:jc w:val="both"/>
        <w:rPr>
          <w:rFonts w:ascii="Verdana" w:hAnsi="Verdana"/>
          <w:sz w:val="20"/>
          <w:lang w:val="es-MX"/>
        </w:rPr>
      </w:pPr>
    </w:p>
    <w:p w14:paraId="00E0DFC6" w14:textId="77777777" w:rsidR="00F133E1" w:rsidRDefault="00F133E1" w:rsidP="004A7287">
      <w:pPr>
        <w:pStyle w:val="ListParagraph"/>
        <w:spacing w:after="0" w:line="240" w:lineRule="auto"/>
        <w:ind w:left="0" w:right="1444"/>
        <w:contextualSpacing w:val="0"/>
        <w:jc w:val="both"/>
        <w:rPr>
          <w:rFonts w:ascii="Verdana" w:hAnsi="Verdana"/>
          <w:sz w:val="20"/>
          <w:lang w:val="es-MX"/>
        </w:rPr>
      </w:pPr>
    </w:p>
    <w:p w14:paraId="509B4CAC" w14:textId="77777777" w:rsidR="00810AAD" w:rsidRDefault="00810AAD" w:rsidP="004A7287">
      <w:pPr>
        <w:pStyle w:val="ListParagraph"/>
        <w:spacing w:after="0" w:line="240" w:lineRule="auto"/>
        <w:ind w:left="0" w:right="1444"/>
        <w:contextualSpacing w:val="0"/>
        <w:jc w:val="both"/>
        <w:rPr>
          <w:rFonts w:ascii="Verdana" w:hAnsi="Verdana"/>
          <w:sz w:val="20"/>
          <w:lang w:val="es-MX"/>
        </w:rPr>
      </w:pPr>
    </w:p>
    <w:p w14:paraId="70D93A5F" w14:textId="77777777" w:rsidR="00810AAD" w:rsidRPr="004A7287" w:rsidRDefault="00810AAD" w:rsidP="004A7287">
      <w:pPr>
        <w:pStyle w:val="ListParagraph"/>
        <w:spacing w:after="0" w:line="240" w:lineRule="auto"/>
        <w:ind w:left="0" w:right="1444"/>
        <w:contextualSpacing w:val="0"/>
        <w:jc w:val="both"/>
        <w:rPr>
          <w:rFonts w:ascii="Verdana" w:hAnsi="Verdana"/>
          <w:sz w:val="20"/>
          <w:lang w:val="es-MX"/>
        </w:rPr>
      </w:pPr>
    </w:p>
    <w:p w14:paraId="44E012E9" w14:textId="77777777" w:rsidR="00A25807" w:rsidRPr="006D715B" w:rsidRDefault="00484D1C" w:rsidP="004A7287">
      <w:pPr>
        <w:spacing w:after="0"/>
        <w:ind w:right="1444"/>
        <w:jc w:val="both"/>
        <w:rPr>
          <w:rFonts w:ascii="Verdana" w:hAnsi="Verdana"/>
          <w:b/>
          <w:sz w:val="20"/>
          <w:szCs w:val="20"/>
          <w:lang w:val="es-MX"/>
        </w:rPr>
      </w:pPr>
      <w:r w:rsidRPr="006D715B">
        <w:rPr>
          <w:rFonts w:ascii="Verdana" w:hAnsi="Verdana"/>
          <w:b/>
          <w:sz w:val="20"/>
          <w:szCs w:val="20"/>
          <w:lang w:val="es-MX"/>
        </w:rPr>
        <w:lastRenderedPageBreak/>
        <w:t>DECLARA QUE:</w:t>
      </w:r>
    </w:p>
    <w:p w14:paraId="18A166C2" w14:textId="77777777" w:rsidR="004A7287" w:rsidRPr="004A7287" w:rsidRDefault="004A7287" w:rsidP="004A7287">
      <w:pPr>
        <w:spacing w:after="0" w:line="240" w:lineRule="auto"/>
        <w:ind w:right="1444"/>
        <w:jc w:val="both"/>
        <w:rPr>
          <w:rFonts w:ascii="Verdana" w:hAnsi="Verdana"/>
          <w:sz w:val="20"/>
          <w:szCs w:val="20"/>
          <w:highlight w:val="yellow"/>
          <w:lang w:val="es-MX"/>
        </w:rPr>
      </w:pPr>
    </w:p>
    <w:p w14:paraId="3F0D546F" w14:textId="6A99A591" w:rsidR="00710CBA" w:rsidRPr="004C011D" w:rsidRDefault="008F3341" w:rsidP="004A7287">
      <w:pPr>
        <w:numPr>
          <w:ilvl w:val="0"/>
          <w:numId w:val="7"/>
        </w:numPr>
        <w:spacing w:after="0" w:line="240" w:lineRule="auto"/>
        <w:ind w:left="0" w:right="1444" w:hanging="11"/>
        <w:jc w:val="both"/>
        <w:rPr>
          <w:rFonts w:ascii="Verdana" w:hAnsi="Verdana"/>
          <w:sz w:val="20"/>
          <w:szCs w:val="20"/>
          <w:lang w:val="es-MX"/>
        </w:rPr>
      </w:pPr>
      <w:r w:rsidRPr="004C011D">
        <w:rPr>
          <w:rFonts w:ascii="Verdana" w:hAnsi="Verdana"/>
          <w:sz w:val="20"/>
        </w:rPr>
        <w:t>El Estado ha incumplido su deber de in</w:t>
      </w:r>
      <w:r w:rsidR="002E5A0F" w:rsidRPr="004C011D">
        <w:rPr>
          <w:rFonts w:ascii="Verdana" w:hAnsi="Verdana"/>
          <w:sz w:val="20"/>
        </w:rPr>
        <w:t>formar sobre la ejecución de la</w:t>
      </w:r>
      <w:r w:rsidRPr="004C011D">
        <w:rPr>
          <w:rFonts w:ascii="Verdana" w:hAnsi="Verdana"/>
          <w:sz w:val="20"/>
        </w:rPr>
        <w:t xml:space="preserve"> </w:t>
      </w:r>
      <w:r w:rsidR="002E5A0F" w:rsidRPr="004C011D">
        <w:rPr>
          <w:rFonts w:ascii="Verdana" w:hAnsi="Verdana"/>
          <w:sz w:val="20"/>
          <w:szCs w:val="20"/>
          <w:lang w:val="es-MX"/>
        </w:rPr>
        <w:t>Sentencia emitida</w:t>
      </w:r>
      <w:r w:rsidR="006D5D7A" w:rsidRPr="004C011D">
        <w:rPr>
          <w:rFonts w:ascii="Verdana" w:hAnsi="Verdana"/>
          <w:sz w:val="20"/>
          <w:szCs w:val="20"/>
          <w:lang w:val="es-MX"/>
        </w:rPr>
        <w:t xml:space="preserve"> </w:t>
      </w:r>
      <w:r w:rsidRPr="004C011D">
        <w:rPr>
          <w:rFonts w:ascii="Verdana" w:hAnsi="Verdana"/>
          <w:sz w:val="20"/>
          <w:szCs w:val="20"/>
          <w:lang w:val="es-MX"/>
        </w:rPr>
        <w:t>el</w:t>
      </w:r>
      <w:r w:rsidRPr="004C011D">
        <w:rPr>
          <w:rFonts w:ascii="Verdana" w:hAnsi="Verdana"/>
          <w:i/>
          <w:sz w:val="20"/>
          <w:szCs w:val="20"/>
          <w:lang w:val="es-MX"/>
        </w:rPr>
        <w:t xml:space="preserve"> </w:t>
      </w:r>
      <w:r w:rsidRPr="004C011D">
        <w:rPr>
          <w:rFonts w:ascii="Verdana" w:hAnsi="Verdana"/>
          <w:sz w:val="20"/>
          <w:szCs w:val="20"/>
          <w:lang w:val="es-MX"/>
        </w:rPr>
        <w:t>1 de septiembre de 2011 en el caso</w:t>
      </w:r>
      <w:r w:rsidRPr="004C011D">
        <w:rPr>
          <w:rFonts w:ascii="Verdana" w:hAnsi="Verdana"/>
          <w:i/>
          <w:sz w:val="20"/>
          <w:szCs w:val="20"/>
          <w:lang w:val="es-MX"/>
        </w:rPr>
        <w:t xml:space="preserve"> López Mendoza </w:t>
      </w:r>
      <w:r w:rsidRPr="004C011D">
        <w:rPr>
          <w:rFonts w:ascii="Verdana" w:hAnsi="Verdana"/>
          <w:sz w:val="20"/>
          <w:szCs w:val="20"/>
          <w:lang w:val="es-MX"/>
        </w:rPr>
        <w:t xml:space="preserve">y </w:t>
      </w:r>
      <w:r w:rsidRPr="004C011D">
        <w:rPr>
          <w:rFonts w:ascii="Verdana" w:hAnsi="Verdana"/>
          <w:sz w:val="20"/>
        </w:rPr>
        <w:t xml:space="preserve">ha asumido una actitud de evidente desacato respecto a la obligatoriedad de </w:t>
      </w:r>
      <w:r w:rsidR="006D5D7A" w:rsidRPr="004C011D">
        <w:rPr>
          <w:rFonts w:ascii="Verdana" w:hAnsi="Verdana"/>
          <w:sz w:val="20"/>
        </w:rPr>
        <w:t>esa Sentencia</w:t>
      </w:r>
      <w:r w:rsidR="00851777" w:rsidRPr="004C011D">
        <w:rPr>
          <w:rFonts w:ascii="Verdana" w:hAnsi="Verdana"/>
          <w:sz w:val="20"/>
        </w:rPr>
        <w:t>. Esta actitud del Estado es</w:t>
      </w:r>
      <w:r w:rsidRPr="004C011D">
        <w:rPr>
          <w:rFonts w:ascii="Verdana" w:hAnsi="Verdana"/>
          <w:sz w:val="20"/>
        </w:rPr>
        <w:t xml:space="preserve"> contraria al principio internacional de acatar sus obligaciones convencionales de buena fe</w:t>
      </w:r>
      <w:r w:rsidR="00F133E1">
        <w:rPr>
          <w:rFonts w:ascii="Verdana" w:hAnsi="Verdana"/>
          <w:sz w:val="20"/>
        </w:rPr>
        <w:t xml:space="preserve"> y a lo dispuesto en el artículo 68.1 de la Convención Americana</w:t>
      </w:r>
      <w:r w:rsidRPr="004C011D">
        <w:rPr>
          <w:rFonts w:ascii="Verdana" w:hAnsi="Verdana"/>
          <w:sz w:val="20"/>
        </w:rPr>
        <w:t>, en los términos e</w:t>
      </w:r>
      <w:r w:rsidR="00851777" w:rsidRPr="004C011D">
        <w:rPr>
          <w:rFonts w:ascii="Verdana" w:hAnsi="Verdana"/>
          <w:sz w:val="20"/>
        </w:rPr>
        <w:t xml:space="preserve">xpuestos en los Considerandos </w:t>
      </w:r>
      <w:r w:rsidR="00F133E1">
        <w:rPr>
          <w:rFonts w:ascii="Verdana" w:hAnsi="Verdana"/>
          <w:sz w:val="20"/>
        </w:rPr>
        <w:t>9</w:t>
      </w:r>
      <w:r w:rsidR="00851777" w:rsidRPr="004C011D">
        <w:rPr>
          <w:rFonts w:ascii="Verdana" w:hAnsi="Verdana"/>
          <w:sz w:val="20"/>
        </w:rPr>
        <w:t xml:space="preserve"> a </w:t>
      </w:r>
      <w:r w:rsidR="001B3D72" w:rsidRPr="004C011D">
        <w:rPr>
          <w:rFonts w:ascii="Verdana" w:hAnsi="Verdana"/>
          <w:sz w:val="20"/>
        </w:rPr>
        <w:t>1</w:t>
      </w:r>
      <w:r w:rsidR="00F133E1">
        <w:rPr>
          <w:rFonts w:ascii="Verdana" w:hAnsi="Verdana"/>
          <w:sz w:val="20"/>
        </w:rPr>
        <w:t>5</w:t>
      </w:r>
      <w:r w:rsidR="001B3D72" w:rsidRPr="004C011D">
        <w:rPr>
          <w:rFonts w:ascii="Verdana" w:hAnsi="Verdana"/>
          <w:sz w:val="20"/>
        </w:rPr>
        <w:t xml:space="preserve"> </w:t>
      </w:r>
      <w:r w:rsidRPr="004C011D">
        <w:rPr>
          <w:rFonts w:ascii="Verdana" w:hAnsi="Verdana"/>
          <w:sz w:val="20"/>
        </w:rPr>
        <w:t>de la presente Resolución</w:t>
      </w:r>
      <w:r w:rsidR="00851777" w:rsidRPr="004C011D">
        <w:rPr>
          <w:rFonts w:ascii="Verdana" w:hAnsi="Verdana"/>
          <w:sz w:val="20"/>
        </w:rPr>
        <w:t>.</w:t>
      </w:r>
    </w:p>
    <w:p w14:paraId="44DF632B" w14:textId="77777777" w:rsidR="004C011D" w:rsidRPr="004C011D" w:rsidRDefault="004C011D" w:rsidP="004C011D">
      <w:pPr>
        <w:spacing w:after="0" w:line="240" w:lineRule="auto"/>
        <w:ind w:right="1444"/>
        <w:jc w:val="both"/>
        <w:rPr>
          <w:rFonts w:ascii="Verdana" w:hAnsi="Verdana"/>
          <w:sz w:val="20"/>
          <w:szCs w:val="20"/>
          <w:lang w:val="es-MX"/>
        </w:rPr>
      </w:pPr>
    </w:p>
    <w:p w14:paraId="668349D0" w14:textId="1670232C" w:rsidR="00D82F77" w:rsidRPr="00D73AF3" w:rsidRDefault="00D82F77" w:rsidP="004A7287">
      <w:pPr>
        <w:numPr>
          <w:ilvl w:val="0"/>
          <w:numId w:val="7"/>
        </w:numPr>
        <w:spacing w:after="0" w:line="240" w:lineRule="auto"/>
        <w:ind w:left="0" w:right="1444" w:hanging="11"/>
        <w:jc w:val="both"/>
        <w:rPr>
          <w:rFonts w:ascii="Verdana" w:hAnsi="Verdana"/>
          <w:sz w:val="20"/>
          <w:szCs w:val="20"/>
          <w:lang w:val="es-MX"/>
        </w:rPr>
      </w:pPr>
      <w:r w:rsidRPr="00D73AF3">
        <w:rPr>
          <w:rFonts w:ascii="Verdana" w:hAnsi="Verdana"/>
          <w:sz w:val="20"/>
          <w:szCs w:val="20"/>
          <w:lang w:val="es-MX"/>
        </w:rPr>
        <w:t xml:space="preserve">El Estado </w:t>
      </w:r>
      <w:r w:rsidR="00A03573" w:rsidRPr="00F90E89">
        <w:rPr>
          <w:rFonts w:ascii="Verdana" w:hAnsi="Verdana"/>
          <w:sz w:val="20"/>
          <w:szCs w:val="20"/>
          <w:lang w:val="es-MX"/>
        </w:rPr>
        <w:t xml:space="preserve">no </w:t>
      </w:r>
      <w:r w:rsidRPr="00F90E89">
        <w:rPr>
          <w:rFonts w:ascii="Verdana" w:hAnsi="Verdana"/>
          <w:sz w:val="20"/>
          <w:szCs w:val="20"/>
          <w:lang w:val="es-MX"/>
        </w:rPr>
        <w:t>ha dado</w:t>
      </w:r>
      <w:r w:rsidRPr="00D73AF3">
        <w:rPr>
          <w:rFonts w:ascii="Verdana" w:hAnsi="Verdana"/>
          <w:sz w:val="20"/>
          <w:szCs w:val="20"/>
          <w:lang w:val="es-MX"/>
        </w:rPr>
        <w:t xml:space="preserve"> cumplimiento a ninguna de las </w:t>
      </w:r>
      <w:r w:rsidR="001B3D72">
        <w:rPr>
          <w:rFonts w:ascii="Verdana" w:hAnsi="Verdana"/>
          <w:sz w:val="20"/>
          <w:szCs w:val="20"/>
          <w:lang w:val="es-MX"/>
        </w:rPr>
        <w:t xml:space="preserve">medidas de </w:t>
      </w:r>
      <w:r w:rsidR="001B3D72" w:rsidRPr="00D73AF3">
        <w:rPr>
          <w:rFonts w:ascii="Verdana" w:hAnsi="Verdana"/>
          <w:sz w:val="20"/>
          <w:szCs w:val="20"/>
          <w:lang w:val="es-MX"/>
        </w:rPr>
        <w:t>reparaci</w:t>
      </w:r>
      <w:r w:rsidR="001B3D72">
        <w:rPr>
          <w:rFonts w:ascii="Verdana" w:hAnsi="Verdana"/>
          <w:sz w:val="20"/>
          <w:szCs w:val="20"/>
          <w:lang w:val="es-MX"/>
        </w:rPr>
        <w:t xml:space="preserve">ón </w:t>
      </w:r>
      <w:r w:rsidRPr="00D73AF3">
        <w:rPr>
          <w:rFonts w:ascii="Verdana" w:hAnsi="Verdana"/>
          <w:sz w:val="20"/>
          <w:szCs w:val="20"/>
          <w:lang w:val="es-MX"/>
        </w:rPr>
        <w:t>ordenadas en la Sentencia</w:t>
      </w:r>
      <w:r w:rsidR="001B3D72">
        <w:rPr>
          <w:rFonts w:ascii="Verdana" w:hAnsi="Verdana"/>
          <w:sz w:val="20"/>
          <w:szCs w:val="20"/>
          <w:lang w:val="es-MX"/>
        </w:rPr>
        <w:t xml:space="preserve"> del presente caso:</w:t>
      </w:r>
    </w:p>
    <w:p w14:paraId="3C2B621F" w14:textId="12C5E9A8" w:rsidR="00D32D1C" w:rsidRPr="00D73AF3" w:rsidRDefault="00850284" w:rsidP="00850284">
      <w:pPr>
        <w:pStyle w:val="ListParagraph"/>
        <w:numPr>
          <w:ilvl w:val="0"/>
          <w:numId w:val="29"/>
        </w:numPr>
        <w:spacing w:before="120" w:after="120" w:line="240" w:lineRule="auto"/>
        <w:ind w:left="714" w:right="1440" w:hanging="357"/>
        <w:contextualSpacing w:val="0"/>
        <w:jc w:val="both"/>
        <w:rPr>
          <w:rFonts w:ascii="Verdana" w:hAnsi="Verdana"/>
          <w:sz w:val="20"/>
          <w:lang w:val="es-MX"/>
        </w:rPr>
      </w:pPr>
      <w:r>
        <w:rPr>
          <w:rFonts w:ascii="Verdana" w:hAnsi="Verdana"/>
          <w:sz w:val="20"/>
          <w:lang w:val="es-MX"/>
        </w:rPr>
        <w:t>a</w:t>
      </w:r>
      <w:r w:rsidR="00D32D1C" w:rsidRPr="00D73AF3">
        <w:rPr>
          <w:rFonts w:ascii="Verdana" w:hAnsi="Verdana"/>
          <w:sz w:val="20"/>
          <w:lang w:val="es-MX"/>
        </w:rPr>
        <w:t xml:space="preserve">segurar a través de los órganos competentes, y particularmente del Consejo Nacional Electoral (CNE), que las sanciones de inhabilitación no constituyan impedimento para la postulación del señor López Mendoza en el evento de que desee inscribirse como candidato en procesos electorales a celebrarse con posterioridad a la emisión de la Sentencia </w:t>
      </w:r>
      <w:r w:rsidR="00D73AF3" w:rsidRPr="00D73AF3">
        <w:rPr>
          <w:rFonts w:ascii="Verdana" w:hAnsi="Verdana"/>
          <w:i/>
          <w:sz w:val="20"/>
          <w:lang w:val="es-MX"/>
        </w:rPr>
        <w:t xml:space="preserve">(punto </w:t>
      </w:r>
      <w:r>
        <w:rPr>
          <w:rFonts w:ascii="Verdana" w:hAnsi="Verdana"/>
          <w:i/>
          <w:sz w:val="20"/>
          <w:lang w:val="es-MX"/>
        </w:rPr>
        <w:t>dispositivo</w:t>
      </w:r>
      <w:r w:rsidR="00D73AF3" w:rsidRPr="00D73AF3">
        <w:rPr>
          <w:rFonts w:ascii="Verdana" w:hAnsi="Verdana"/>
          <w:i/>
          <w:sz w:val="20"/>
          <w:lang w:val="es-MX"/>
        </w:rPr>
        <w:t xml:space="preserve"> segundo</w:t>
      </w:r>
      <w:r w:rsidR="00D32D1C" w:rsidRPr="00D73AF3">
        <w:rPr>
          <w:rFonts w:ascii="Verdana" w:hAnsi="Verdana"/>
          <w:i/>
          <w:sz w:val="20"/>
          <w:lang w:val="es-MX"/>
        </w:rPr>
        <w:t>)</w:t>
      </w:r>
      <w:r>
        <w:rPr>
          <w:rFonts w:ascii="Verdana" w:hAnsi="Verdana"/>
          <w:sz w:val="20"/>
          <w:lang w:val="es-MX"/>
        </w:rPr>
        <w:t>;</w:t>
      </w:r>
    </w:p>
    <w:p w14:paraId="67600192" w14:textId="46A9E9DF" w:rsidR="00D32D1C" w:rsidRPr="00D73AF3" w:rsidRDefault="00850284" w:rsidP="00850284">
      <w:pPr>
        <w:pStyle w:val="ListParagraph"/>
        <w:numPr>
          <w:ilvl w:val="0"/>
          <w:numId w:val="29"/>
        </w:numPr>
        <w:spacing w:before="120" w:after="120" w:line="240" w:lineRule="auto"/>
        <w:ind w:left="714" w:right="1440" w:hanging="357"/>
        <w:contextualSpacing w:val="0"/>
        <w:jc w:val="both"/>
        <w:rPr>
          <w:rFonts w:ascii="Verdana" w:hAnsi="Verdana"/>
          <w:sz w:val="20"/>
          <w:lang w:val="es-MX"/>
        </w:rPr>
      </w:pPr>
      <w:r>
        <w:rPr>
          <w:rFonts w:ascii="Verdana" w:hAnsi="Verdana"/>
          <w:sz w:val="20"/>
          <w:lang w:val="es-MX"/>
        </w:rPr>
        <w:t>d</w:t>
      </w:r>
      <w:r w:rsidR="00D32D1C" w:rsidRPr="00D73AF3">
        <w:rPr>
          <w:rFonts w:ascii="Verdana" w:hAnsi="Verdana"/>
          <w:sz w:val="20"/>
          <w:lang w:val="es-MX"/>
        </w:rPr>
        <w:t>ejar sin efecto las Resoluciones Nos. 01-00-000206 de 24 de agosto de 2005 y 01-00-000235 de 26 de septiembre de 2005 emitidas por el Con</w:t>
      </w:r>
      <w:r>
        <w:rPr>
          <w:rFonts w:ascii="Verdana" w:hAnsi="Verdana"/>
          <w:sz w:val="20"/>
          <w:lang w:val="es-MX"/>
        </w:rPr>
        <w:t xml:space="preserve">tralor General de la República </w:t>
      </w:r>
      <w:r w:rsidR="00D73AF3" w:rsidRPr="00D73AF3">
        <w:rPr>
          <w:rFonts w:ascii="Verdana" w:hAnsi="Verdana"/>
          <w:i/>
          <w:sz w:val="20"/>
          <w:lang w:val="es-MX"/>
        </w:rPr>
        <w:t xml:space="preserve">(punto </w:t>
      </w:r>
      <w:r>
        <w:rPr>
          <w:rFonts w:ascii="Verdana" w:hAnsi="Verdana"/>
          <w:i/>
          <w:sz w:val="20"/>
          <w:lang w:val="es-MX"/>
        </w:rPr>
        <w:t>dispositivo</w:t>
      </w:r>
      <w:r w:rsidR="00D73AF3" w:rsidRPr="00D73AF3">
        <w:rPr>
          <w:rFonts w:ascii="Verdana" w:hAnsi="Verdana"/>
          <w:i/>
          <w:sz w:val="20"/>
          <w:lang w:val="es-MX"/>
        </w:rPr>
        <w:t xml:space="preserve"> tercero</w:t>
      </w:r>
      <w:r w:rsidR="00D32D1C" w:rsidRPr="00D73AF3">
        <w:rPr>
          <w:rFonts w:ascii="Verdana" w:hAnsi="Verdana"/>
          <w:i/>
          <w:sz w:val="20"/>
          <w:lang w:val="es-MX"/>
        </w:rPr>
        <w:t>)</w:t>
      </w:r>
      <w:r>
        <w:rPr>
          <w:rFonts w:ascii="Verdana" w:hAnsi="Verdana"/>
          <w:sz w:val="20"/>
          <w:lang w:val="es-MX"/>
        </w:rPr>
        <w:t>;</w:t>
      </w:r>
    </w:p>
    <w:p w14:paraId="692934B9" w14:textId="1EE84632" w:rsidR="00D32D1C" w:rsidRPr="00D73AF3" w:rsidRDefault="00850284" w:rsidP="00850284">
      <w:pPr>
        <w:pStyle w:val="ListParagraph"/>
        <w:numPr>
          <w:ilvl w:val="0"/>
          <w:numId w:val="29"/>
        </w:numPr>
        <w:spacing w:before="120" w:after="120" w:line="240" w:lineRule="auto"/>
        <w:ind w:left="714" w:right="1440" w:hanging="357"/>
        <w:contextualSpacing w:val="0"/>
        <w:jc w:val="both"/>
        <w:rPr>
          <w:rFonts w:ascii="Verdana" w:hAnsi="Verdana"/>
          <w:sz w:val="20"/>
          <w:lang w:val="es-MX"/>
        </w:rPr>
      </w:pPr>
      <w:r>
        <w:rPr>
          <w:rFonts w:ascii="Verdana" w:hAnsi="Verdana"/>
          <w:sz w:val="20"/>
          <w:lang w:val="es-MX"/>
        </w:rPr>
        <w:t>r</w:t>
      </w:r>
      <w:r w:rsidR="00D32D1C" w:rsidRPr="00D73AF3">
        <w:rPr>
          <w:rFonts w:ascii="Verdana" w:hAnsi="Verdana"/>
          <w:sz w:val="20"/>
          <w:lang w:val="es-MX"/>
        </w:rPr>
        <w:t>ealizar las publicaciones indicadas</w:t>
      </w:r>
      <w:r>
        <w:rPr>
          <w:rFonts w:ascii="Verdana" w:hAnsi="Verdana"/>
          <w:sz w:val="20"/>
          <w:lang w:val="es-MX"/>
        </w:rPr>
        <w:t xml:space="preserve"> en el párrafo 222</w:t>
      </w:r>
      <w:r w:rsidR="00D32D1C" w:rsidRPr="00D73AF3">
        <w:rPr>
          <w:rFonts w:ascii="Verdana" w:hAnsi="Verdana"/>
          <w:sz w:val="20"/>
          <w:lang w:val="es-MX"/>
        </w:rPr>
        <w:t xml:space="preserve"> </w:t>
      </w:r>
      <w:r>
        <w:rPr>
          <w:rFonts w:ascii="Verdana" w:hAnsi="Verdana"/>
          <w:sz w:val="20"/>
          <w:lang w:val="es-MX"/>
        </w:rPr>
        <w:t>de</w:t>
      </w:r>
      <w:r w:rsidR="00D32D1C" w:rsidRPr="00D73AF3">
        <w:rPr>
          <w:rFonts w:ascii="Verdana" w:hAnsi="Verdana"/>
          <w:sz w:val="20"/>
          <w:lang w:val="es-MX"/>
        </w:rPr>
        <w:t xml:space="preserve"> la Sentencia </w:t>
      </w:r>
      <w:r w:rsidR="00D73AF3" w:rsidRPr="00D73AF3">
        <w:rPr>
          <w:rFonts w:ascii="Verdana" w:hAnsi="Verdana"/>
          <w:i/>
          <w:sz w:val="20"/>
          <w:lang w:val="es-MX"/>
        </w:rPr>
        <w:t xml:space="preserve">(punto </w:t>
      </w:r>
      <w:r>
        <w:rPr>
          <w:rFonts w:ascii="Verdana" w:hAnsi="Verdana"/>
          <w:i/>
          <w:sz w:val="20"/>
          <w:lang w:val="es-MX"/>
        </w:rPr>
        <w:t>dispositivo</w:t>
      </w:r>
      <w:r w:rsidR="00D73AF3" w:rsidRPr="00D73AF3">
        <w:rPr>
          <w:rFonts w:ascii="Verdana" w:hAnsi="Verdana"/>
          <w:i/>
          <w:sz w:val="20"/>
          <w:lang w:val="es-MX"/>
        </w:rPr>
        <w:t xml:space="preserve"> cuarto</w:t>
      </w:r>
      <w:r w:rsidR="00D32D1C" w:rsidRPr="00D73AF3">
        <w:rPr>
          <w:rFonts w:ascii="Verdana" w:hAnsi="Verdana"/>
          <w:i/>
          <w:sz w:val="20"/>
          <w:lang w:val="es-MX"/>
        </w:rPr>
        <w:t>)</w:t>
      </w:r>
      <w:r>
        <w:rPr>
          <w:rFonts w:ascii="Verdana" w:hAnsi="Verdana"/>
          <w:sz w:val="20"/>
          <w:lang w:val="es-MX"/>
        </w:rPr>
        <w:t>;</w:t>
      </w:r>
    </w:p>
    <w:p w14:paraId="6CD8929E" w14:textId="586344DC" w:rsidR="00D32D1C" w:rsidRPr="00D73AF3" w:rsidRDefault="00850284" w:rsidP="00850284">
      <w:pPr>
        <w:pStyle w:val="ListParagraph"/>
        <w:numPr>
          <w:ilvl w:val="0"/>
          <w:numId w:val="29"/>
        </w:numPr>
        <w:spacing w:before="120" w:after="120" w:line="240" w:lineRule="auto"/>
        <w:ind w:left="714" w:right="1440" w:hanging="357"/>
        <w:contextualSpacing w:val="0"/>
        <w:jc w:val="both"/>
        <w:rPr>
          <w:rFonts w:ascii="Verdana" w:hAnsi="Verdana"/>
          <w:sz w:val="20"/>
          <w:lang w:val="es-MX"/>
        </w:rPr>
      </w:pPr>
      <w:r>
        <w:rPr>
          <w:rFonts w:ascii="Verdana" w:hAnsi="Verdana"/>
          <w:sz w:val="20"/>
          <w:lang w:val="es-MX"/>
        </w:rPr>
        <w:t>a</w:t>
      </w:r>
      <w:r w:rsidR="00D32D1C" w:rsidRPr="00D73AF3">
        <w:rPr>
          <w:rFonts w:ascii="Verdana" w:hAnsi="Verdana"/>
          <w:sz w:val="20"/>
          <w:lang w:val="es-MX"/>
        </w:rPr>
        <w:t xml:space="preserve">decuar, en un plazo razonable, el artículo 105 de la Ley Orgánica de la Contraloría General de la República y del Sistema Nacional de Control Fiscal, en los términos indicados por la Corte  </w:t>
      </w:r>
      <w:r w:rsidR="00D73AF3" w:rsidRPr="00D73AF3">
        <w:rPr>
          <w:rFonts w:ascii="Verdana" w:hAnsi="Verdana"/>
          <w:i/>
          <w:sz w:val="20"/>
          <w:lang w:val="es-MX"/>
        </w:rPr>
        <w:t xml:space="preserve">(punto </w:t>
      </w:r>
      <w:r>
        <w:rPr>
          <w:rFonts w:ascii="Verdana" w:hAnsi="Verdana"/>
          <w:i/>
          <w:sz w:val="20"/>
          <w:lang w:val="es-MX"/>
        </w:rPr>
        <w:t>dispositivo</w:t>
      </w:r>
      <w:r w:rsidR="00D73AF3" w:rsidRPr="00D73AF3">
        <w:rPr>
          <w:rFonts w:ascii="Verdana" w:hAnsi="Verdana"/>
          <w:i/>
          <w:sz w:val="20"/>
          <w:lang w:val="es-MX"/>
        </w:rPr>
        <w:t xml:space="preserve"> quinto</w:t>
      </w:r>
      <w:r w:rsidR="00D32D1C" w:rsidRPr="00D73AF3">
        <w:rPr>
          <w:rFonts w:ascii="Verdana" w:hAnsi="Verdana"/>
          <w:i/>
          <w:sz w:val="20"/>
          <w:lang w:val="es-MX"/>
        </w:rPr>
        <w:t>)</w:t>
      </w:r>
      <w:r w:rsidR="00F133E1">
        <w:rPr>
          <w:rFonts w:ascii="Verdana" w:hAnsi="Verdana"/>
          <w:sz w:val="20"/>
          <w:lang w:val="es-MX"/>
        </w:rPr>
        <w:t>, y</w:t>
      </w:r>
    </w:p>
    <w:p w14:paraId="4B7DA970" w14:textId="0E3420F4" w:rsidR="00D32D1C" w:rsidRPr="00D73AF3" w:rsidRDefault="00850284" w:rsidP="00850284">
      <w:pPr>
        <w:pStyle w:val="ListParagraph"/>
        <w:numPr>
          <w:ilvl w:val="0"/>
          <w:numId w:val="29"/>
        </w:numPr>
        <w:spacing w:before="120" w:after="120" w:line="240" w:lineRule="auto"/>
        <w:ind w:left="714" w:right="1440" w:hanging="357"/>
        <w:contextualSpacing w:val="0"/>
        <w:jc w:val="both"/>
        <w:rPr>
          <w:rFonts w:ascii="Verdana" w:hAnsi="Verdana"/>
          <w:sz w:val="20"/>
          <w:lang w:val="es-MX"/>
        </w:rPr>
      </w:pPr>
      <w:r>
        <w:rPr>
          <w:rFonts w:ascii="Verdana" w:hAnsi="Verdana"/>
          <w:sz w:val="20"/>
          <w:lang w:val="es-MX"/>
        </w:rPr>
        <w:t>r</w:t>
      </w:r>
      <w:r w:rsidR="00D32D1C" w:rsidRPr="00D73AF3">
        <w:rPr>
          <w:rFonts w:ascii="Verdana" w:hAnsi="Verdana"/>
          <w:sz w:val="20"/>
          <w:lang w:val="es-MX"/>
        </w:rPr>
        <w:t>ealizar el pago de la cantid</w:t>
      </w:r>
      <w:r w:rsidR="00F133E1">
        <w:rPr>
          <w:rFonts w:ascii="Verdana" w:hAnsi="Verdana"/>
          <w:sz w:val="20"/>
          <w:lang w:val="es-MX"/>
        </w:rPr>
        <w:t xml:space="preserve">ad establecida en la Sentencia </w:t>
      </w:r>
      <w:r w:rsidR="00D32D1C" w:rsidRPr="00D73AF3">
        <w:rPr>
          <w:rFonts w:ascii="Verdana" w:hAnsi="Verdana"/>
          <w:sz w:val="20"/>
          <w:lang w:val="es-MX"/>
        </w:rPr>
        <w:t>por concepto de reintegro de costas y gastos</w:t>
      </w:r>
      <w:r w:rsidR="00F133E1">
        <w:rPr>
          <w:rFonts w:ascii="Verdana" w:hAnsi="Verdana"/>
          <w:sz w:val="20"/>
          <w:lang w:val="es-MX"/>
        </w:rPr>
        <w:t>,</w:t>
      </w:r>
      <w:r w:rsidR="00D32D1C" w:rsidRPr="00D73AF3">
        <w:rPr>
          <w:rFonts w:ascii="Verdana" w:hAnsi="Verdana"/>
          <w:sz w:val="20"/>
          <w:lang w:val="es-MX"/>
        </w:rPr>
        <w:t xml:space="preserve"> dentro del plazo de un año contado a partir de la notificación de la misma </w:t>
      </w:r>
      <w:r>
        <w:rPr>
          <w:rFonts w:ascii="Verdana" w:hAnsi="Verdana"/>
          <w:i/>
          <w:sz w:val="20"/>
          <w:lang w:val="es-MX"/>
        </w:rPr>
        <w:t>(punto dispositivo</w:t>
      </w:r>
      <w:r w:rsidR="00D73AF3" w:rsidRPr="00D73AF3">
        <w:rPr>
          <w:rFonts w:ascii="Verdana" w:hAnsi="Verdana"/>
          <w:i/>
          <w:sz w:val="20"/>
          <w:lang w:val="es-MX"/>
        </w:rPr>
        <w:t xml:space="preserve"> sexto</w:t>
      </w:r>
      <w:r w:rsidR="00D32D1C" w:rsidRPr="00D73AF3">
        <w:rPr>
          <w:rFonts w:ascii="Verdana" w:hAnsi="Verdana"/>
          <w:i/>
          <w:sz w:val="20"/>
          <w:lang w:val="es-MX"/>
        </w:rPr>
        <w:t>)</w:t>
      </w:r>
      <w:r w:rsidR="00F133E1">
        <w:rPr>
          <w:rFonts w:ascii="Verdana" w:hAnsi="Verdana"/>
          <w:sz w:val="20"/>
          <w:lang w:val="es-MX"/>
        </w:rPr>
        <w:t>.</w:t>
      </w:r>
    </w:p>
    <w:p w14:paraId="7B1D605C" w14:textId="77777777" w:rsidR="003D2B83" w:rsidRPr="00D82F77" w:rsidRDefault="003D2B83" w:rsidP="001B3D72">
      <w:pPr>
        <w:spacing w:before="120" w:after="120" w:line="240" w:lineRule="auto"/>
        <w:ind w:right="1444"/>
        <w:jc w:val="both"/>
        <w:rPr>
          <w:rFonts w:ascii="Verdana" w:hAnsi="Verdana"/>
          <w:sz w:val="20"/>
          <w:szCs w:val="20"/>
          <w:lang w:val="es-MX"/>
        </w:rPr>
      </w:pPr>
    </w:p>
    <w:p w14:paraId="76D7D741" w14:textId="77777777" w:rsidR="00674C3F" w:rsidRPr="00D73AF3" w:rsidRDefault="00A25807" w:rsidP="004A7287">
      <w:pPr>
        <w:spacing w:after="0" w:line="240" w:lineRule="auto"/>
        <w:ind w:right="1444"/>
        <w:jc w:val="both"/>
        <w:rPr>
          <w:rFonts w:ascii="Verdana" w:hAnsi="Verdana"/>
          <w:b/>
          <w:sz w:val="20"/>
          <w:szCs w:val="20"/>
          <w:lang w:val="es-ES"/>
        </w:rPr>
      </w:pPr>
      <w:r w:rsidRPr="00D73AF3">
        <w:rPr>
          <w:rFonts w:ascii="Verdana" w:hAnsi="Verdana"/>
          <w:b/>
          <w:sz w:val="20"/>
          <w:szCs w:val="20"/>
          <w:lang w:val="es-ES"/>
        </w:rPr>
        <w:t xml:space="preserve">Y </w:t>
      </w:r>
      <w:r w:rsidR="00674C3F" w:rsidRPr="00D73AF3">
        <w:rPr>
          <w:rFonts w:ascii="Verdana" w:hAnsi="Verdana"/>
          <w:b/>
          <w:sz w:val="20"/>
          <w:szCs w:val="20"/>
          <w:lang w:val="es-ES"/>
        </w:rPr>
        <w:t>RESUELVE:</w:t>
      </w:r>
    </w:p>
    <w:p w14:paraId="640F6E35" w14:textId="77777777" w:rsidR="00EF75BA" w:rsidRPr="00D73AF3" w:rsidRDefault="00EF75BA" w:rsidP="004A7287">
      <w:pPr>
        <w:spacing w:after="0"/>
        <w:ind w:right="1440"/>
        <w:jc w:val="both"/>
        <w:rPr>
          <w:rFonts w:ascii="Verdana" w:hAnsi="Verdana"/>
          <w:sz w:val="20"/>
          <w:lang w:val="es-MX"/>
        </w:rPr>
      </w:pPr>
    </w:p>
    <w:p w14:paraId="64737D7E" w14:textId="6D14A0D9" w:rsidR="001B3D72" w:rsidRPr="00810AAD" w:rsidRDefault="001B3D72" w:rsidP="001B3D72">
      <w:pPr>
        <w:numPr>
          <w:ilvl w:val="0"/>
          <w:numId w:val="7"/>
        </w:numPr>
        <w:spacing w:after="0" w:line="240" w:lineRule="auto"/>
        <w:ind w:left="0" w:right="1444" w:hanging="11"/>
        <w:jc w:val="both"/>
        <w:rPr>
          <w:rFonts w:ascii="Verdana" w:hAnsi="Verdana"/>
          <w:sz w:val="20"/>
          <w:szCs w:val="20"/>
          <w:lang w:val="es-ES"/>
        </w:rPr>
      </w:pPr>
      <w:r w:rsidRPr="00810AAD">
        <w:rPr>
          <w:rFonts w:ascii="Verdana" w:hAnsi="Verdana"/>
          <w:sz w:val="20"/>
          <w:szCs w:val="20"/>
          <w:lang w:val="es-ES"/>
        </w:rPr>
        <w:t>Mantener abierto el procedimiento de supervisión de cumplimiento respecto de todas las medidas de reparación ordenadas en la Sentencia del presente caso</w:t>
      </w:r>
      <w:r w:rsidR="00810AAD" w:rsidRPr="00810AAD">
        <w:rPr>
          <w:rFonts w:ascii="Verdana" w:hAnsi="Verdana"/>
          <w:sz w:val="20"/>
          <w:szCs w:val="20"/>
          <w:lang w:val="es-ES"/>
        </w:rPr>
        <w:t>, en los términos del Considerando 15 de la presente Resolución</w:t>
      </w:r>
      <w:r w:rsidRPr="00810AAD">
        <w:rPr>
          <w:rFonts w:ascii="Verdana" w:hAnsi="Verdana"/>
          <w:sz w:val="20"/>
          <w:szCs w:val="20"/>
          <w:lang w:val="es-ES"/>
        </w:rPr>
        <w:t>.</w:t>
      </w:r>
    </w:p>
    <w:p w14:paraId="3DA23F10" w14:textId="77777777" w:rsidR="001B3D72" w:rsidRPr="00A533BD" w:rsidRDefault="001B3D72" w:rsidP="001B3D72">
      <w:pPr>
        <w:spacing w:after="0" w:line="240" w:lineRule="auto"/>
        <w:ind w:right="1444"/>
        <w:jc w:val="both"/>
        <w:rPr>
          <w:rFonts w:ascii="Verdana" w:hAnsi="Verdana"/>
          <w:sz w:val="20"/>
          <w:szCs w:val="20"/>
          <w:highlight w:val="cyan"/>
          <w:lang w:val="es-ES"/>
        </w:rPr>
      </w:pPr>
    </w:p>
    <w:p w14:paraId="3F03D2A0" w14:textId="198BE8C5" w:rsidR="00EF75BA" w:rsidRPr="00D73AF3" w:rsidRDefault="00EF75BA" w:rsidP="004A7287">
      <w:pPr>
        <w:numPr>
          <w:ilvl w:val="0"/>
          <w:numId w:val="7"/>
        </w:numPr>
        <w:spacing w:after="0" w:line="240" w:lineRule="auto"/>
        <w:ind w:left="0" w:right="1440" w:hanging="11"/>
        <w:jc w:val="both"/>
        <w:rPr>
          <w:rFonts w:ascii="Verdana" w:hAnsi="Verdana"/>
          <w:sz w:val="20"/>
          <w:lang w:val="es-MX"/>
        </w:rPr>
      </w:pPr>
      <w:r w:rsidRPr="00D73AF3">
        <w:rPr>
          <w:rFonts w:ascii="Verdana" w:hAnsi="Verdana"/>
          <w:sz w:val="20"/>
        </w:rPr>
        <w:t xml:space="preserve">Disponer que Venezuela adopte, en definitiva y a la mayor brevedad posible, las medidas que sean necesarias para dar efectivo y pronto cumplimiento a las reparaciones ordenadas en la Sentencia dictada en </w:t>
      </w:r>
      <w:r w:rsidR="00C44B70">
        <w:rPr>
          <w:rFonts w:ascii="Verdana" w:hAnsi="Verdana"/>
          <w:sz w:val="20"/>
        </w:rPr>
        <w:t>el</w:t>
      </w:r>
      <w:r w:rsidRPr="00D73AF3">
        <w:rPr>
          <w:rFonts w:ascii="Verdana" w:hAnsi="Verdana"/>
          <w:sz w:val="20"/>
        </w:rPr>
        <w:t xml:space="preserve"> caso </w:t>
      </w:r>
      <w:r w:rsidRPr="00D73AF3">
        <w:rPr>
          <w:rFonts w:ascii="Verdana" w:hAnsi="Verdana"/>
          <w:i/>
          <w:sz w:val="20"/>
          <w:lang w:val="es-MX"/>
        </w:rPr>
        <w:t>López Mendoza</w:t>
      </w:r>
      <w:r w:rsidRPr="00D73AF3">
        <w:rPr>
          <w:rFonts w:ascii="Verdana" w:hAnsi="Verdana"/>
          <w:sz w:val="20"/>
        </w:rPr>
        <w:t>, de acuerdo con lo considerado en la presente Resolución, y con lo estipulado en el artículo 68.1 de la Convención Americana sobre Derechos Humanos.</w:t>
      </w:r>
      <w:r w:rsidR="004D05E6">
        <w:rPr>
          <w:rFonts w:ascii="Verdana" w:hAnsi="Verdana"/>
          <w:sz w:val="20"/>
        </w:rPr>
        <w:t xml:space="preserve"> </w:t>
      </w:r>
    </w:p>
    <w:p w14:paraId="10B42922" w14:textId="77777777" w:rsidR="00EF75BA" w:rsidRPr="00D73AF3" w:rsidRDefault="00EF75BA" w:rsidP="004A7287">
      <w:pPr>
        <w:spacing w:after="0"/>
        <w:ind w:right="1440"/>
        <w:jc w:val="both"/>
        <w:rPr>
          <w:rFonts w:ascii="Verdana" w:hAnsi="Verdana"/>
          <w:sz w:val="20"/>
          <w:lang w:val="es-MX"/>
        </w:rPr>
      </w:pPr>
    </w:p>
    <w:p w14:paraId="6A9AAB21" w14:textId="4111DDF6" w:rsidR="00EF75BA" w:rsidRPr="00D73AF3" w:rsidRDefault="00EF75BA" w:rsidP="004A7287">
      <w:pPr>
        <w:numPr>
          <w:ilvl w:val="0"/>
          <w:numId w:val="7"/>
        </w:numPr>
        <w:spacing w:after="0" w:line="240" w:lineRule="auto"/>
        <w:ind w:left="0" w:right="1440" w:hanging="11"/>
        <w:jc w:val="both"/>
        <w:rPr>
          <w:rFonts w:ascii="Verdana" w:hAnsi="Verdana"/>
          <w:sz w:val="20"/>
          <w:lang w:val="es-MX"/>
        </w:rPr>
      </w:pPr>
      <w:r w:rsidRPr="00D73AF3">
        <w:rPr>
          <w:rFonts w:ascii="Verdana" w:hAnsi="Verdana"/>
          <w:sz w:val="20"/>
          <w:lang w:val="es-CL"/>
        </w:rPr>
        <w:t>Incorporar en el próximo Informe Anual de la Corte Interamericana de Derechos Humanos lo decidido en la presente Resolución con el fin de</w:t>
      </w:r>
      <w:r w:rsidRPr="00D73AF3">
        <w:rPr>
          <w:rFonts w:ascii="Verdana" w:hAnsi="Verdana"/>
          <w:b/>
          <w:sz w:val="20"/>
          <w:lang w:val="es-CL"/>
        </w:rPr>
        <w:t xml:space="preserve"> </w:t>
      </w:r>
      <w:r w:rsidRPr="00D73AF3">
        <w:rPr>
          <w:rFonts w:ascii="Verdana" w:hAnsi="Verdana"/>
          <w:sz w:val="20"/>
        </w:rPr>
        <w:t xml:space="preserve">informar a la Asamblea General de la Organización de los Estados Americanos, en aplicación del artículo 65 de la Convención Americana sobre Derechos Humanos, sobre el incumplimiento por parte del Estado de Venezuela de sus obligaciones señaladas en los puntos resolutivos </w:t>
      </w:r>
      <w:r w:rsidR="00850284">
        <w:rPr>
          <w:rFonts w:ascii="Verdana" w:hAnsi="Verdana"/>
          <w:sz w:val="20"/>
        </w:rPr>
        <w:t xml:space="preserve">1 y 2 </w:t>
      </w:r>
      <w:r w:rsidRPr="00D73AF3">
        <w:rPr>
          <w:rFonts w:ascii="Verdana" w:hAnsi="Verdana"/>
          <w:sz w:val="20"/>
        </w:rPr>
        <w:t xml:space="preserve">de la presente Resolución. </w:t>
      </w:r>
    </w:p>
    <w:p w14:paraId="4AA41084" w14:textId="77777777" w:rsidR="00EF75BA" w:rsidRPr="00D73AF3" w:rsidRDefault="00EF75BA" w:rsidP="004A7287">
      <w:pPr>
        <w:spacing w:after="0"/>
        <w:ind w:right="1440"/>
        <w:jc w:val="both"/>
        <w:rPr>
          <w:rFonts w:ascii="Verdana" w:hAnsi="Verdana"/>
          <w:sz w:val="20"/>
          <w:lang w:val="es-MX"/>
        </w:rPr>
      </w:pPr>
    </w:p>
    <w:p w14:paraId="4B41AF79" w14:textId="2EC3DB9E" w:rsidR="00C82CD2" w:rsidRPr="009A7456" w:rsidRDefault="00EF75BA" w:rsidP="00C82CD2">
      <w:pPr>
        <w:numPr>
          <w:ilvl w:val="0"/>
          <w:numId w:val="7"/>
        </w:numPr>
        <w:spacing w:after="0" w:line="240" w:lineRule="auto"/>
        <w:ind w:left="0" w:right="1440" w:hanging="11"/>
        <w:jc w:val="both"/>
        <w:rPr>
          <w:rFonts w:ascii="Verdana" w:hAnsi="Verdana"/>
          <w:sz w:val="20"/>
          <w:lang w:val="es-MX"/>
        </w:rPr>
      </w:pPr>
      <w:r w:rsidRPr="00D73AF3">
        <w:rPr>
          <w:rFonts w:ascii="Verdana" w:hAnsi="Verdana"/>
          <w:sz w:val="20"/>
        </w:rPr>
        <w:t>Disponer que la Secretaría de la Corte notifique la presente Resolución al Estado, a los representantes de la víctima y a la Comisión Inte</w:t>
      </w:r>
      <w:r w:rsidR="00850284">
        <w:rPr>
          <w:rFonts w:ascii="Verdana" w:hAnsi="Verdana"/>
          <w:sz w:val="20"/>
        </w:rPr>
        <w:t>ramericana de Derechos Humanos.</w:t>
      </w:r>
      <w:bookmarkStart w:id="1" w:name="_GoBack"/>
      <w:bookmarkEnd w:id="1"/>
    </w:p>
    <w:p w14:paraId="31F58C1A" w14:textId="77777777" w:rsidR="00C82CD2" w:rsidRDefault="00C82CD2" w:rsidP="00C82CD2">
      <w:pPr>
        <w:spacing w:after="0" w:line="240" w:lineRule="auto"/>
        <w:jc w:val="center"/>
        <w:rPr>
          <w:rFonts w:ascii="Verdana" w:eastAsia="Times" w:hAnsi="Verdana" w:cs="Times New Roman"/>
          <w:sz w:val="20"/>
          <w:szCs w:val="20"/>
          <w:lang w:val="es-ES"/>
        </w:rPr>
      </w:pPr>
    </w:p>
    <w:p w14:paraId="340C7E70" w14:textId="77777777" w:rsidR="00C82CD2" w:rsidRDefault="00C82CD2" w:rsidP="00C82CD2">
      <w:pPr>
        <w:spacing w:after="0" w:line="240" w:lineRule="auto"/>
        <w:jc w:val="center"/>
        <w:rPr>
          <w:rFonts w:ascii="Verdana" w:eastAsia="Times" w:hAnsi="Verdana" w:cs="Times New Roman"/>
          <w:sz w:val="20"/>
          <w:szCs w:val="20"/>
          <w:lang w:val="es-ES"/>
        </w:rPr>
      </w:pPr>
    </w:p>
    <w:p w14:paraId="5E5B62FB" w14:textId="77777777" w:rsidR="00C82CD2" w:rsidRDefault="00C82CD2" w:rsidP="00C82CD2">
      <w:pPr>
        <w:spacing w:after="0" w:line="240" w:lineRule="auto"/>
        <w:jc w:val="center"/>
        <w:rPr>
          <w:rFonts w:ascii="Verdana" w:eastAsia="Times" w:hAnsi="Verdana" w:cs="Times New Roman"/>
          <w:sz w:val="20"/>
          <w:szCs w:val="20"/>
          <w:lang w:val="es-ES"/>
        </w:rPr>
      </w:pPr>
    </w:p>
    <w:p w14:paraId="72F11E48" w14:textId="77777777" w:rsidR="00C82CD2" w:rsidRDefault="00C82CD2" w:rsidP="00C82CD2">
      <w:pPr>
        <w:spacing w:after="0" w:line="240" w:lineRule="auto"/>
        <w:jc w:val="both"/>
        <w:rPr>
          <w:rFonts w:ascii="Verdana" w:eastAsia="Times" w:hAnsi="Verdana" w:cs="Times New Roman"/>
          <w:sz w:val="20"/>
          <w:szCs w:val="20"/>
        </w:rPr>
      </w:pPr>
    </w:p>
    <w:p w14:paraId="2723ADF6" w14:textId="77777777" w:rsidR="00C82CD2" w:rsidRPr="002C0A2B" w:rsidRDefault="00C82CD2" w:rsidP="00C82CD2">
      <w:pPr>
        <w:spacing w:after="0" w:line="240" w:lineRule="auto"/>
        <w:jc w:val="both"/>
        <w:rPr>
          <w:rFonts w:ascii="Verdana" w:eastAsia="Times" w:hAnsi="Verdana" w:cs="Times New Roman"/>
          <w:sz w:val="20"/>
          <w:szCs w:val="20"/>
        </w:rPr>
      </w:pPr>
    </w:p>
    <w:p w14:paraId="1ED58F4F" w14:textId="77777777" w:rsidR="00C82CD2" w:rsidRPr="002C0A2B" w:rsidRDefault="00C82CD2" w:rsidP="00C82CD2">
      <w:pPr>
        <w:spacing w:after="0" w:line="240" w:lineRule="auto"/>
        <w:jc w:val="center"/>
        <w:rPr>
          <w:rFonts w:ascii="Verdana" w:eastAsia="Times" w:hAnsi="Verdana" w:cs="Times New Roman"/>
          <w:sz w:val="20"/>
          <w:szCs w:val="20"/>
          <w:lang w:val="es-ES"/>
        </w:rPr>
      </w:pPr>
      <w:r w:rsidRPr="002C0A2B">
        <w:rPr>
          <w:rFonts w:ascii="Verdana" w:eastAsia="Times" w:hAnsi="Verdana" w:cs="Times New Roman"/>
          <w:sz w:val="20"/>
          <w:szCs w:val="20"/>
          <w:lang w:val="es-ES"/>
        </w:rPr>
        <w:t>Humberto Antonio Sierra Porto</w:t>
      </w:r>
    </w:p>
    <w:p w14:paraId="01E7947B" w14:textId="77777777" w:rsidR="00C82CD2" w:rsidRPr="002C0A2B" w:rsidRDefault="00C82CD2" w:rsidP="00C82CD2">
      <w:pPr>
        <w:spacing w:after="0" w:line="240" w:lineRule="auto"/>
        <w:jc w:val="center"/>
        <w:rPr>
          <w:rFonts w:ascii="Verdana" w:eastAsia="Times" w:hAnsi="Verdana" w:cs="Times New Roman"/>
          <w:sz w:val="20"/>
          <w:szCs w:val="20"/>
          <w:lang w:val="es-ES"/>
        </w:rPr>
      </w:pPr>
      <w:r w:rsidRPr="002C0A2B">
        <w:rPr>
          <w:rFonts w:ascii="Verdana" w:eastAsia="Times" w:hAnsi="Verdana" w:cs="Times New Roman"/>
          <w:sz w:val="20"/>
          <w:szCs w:val="20"/>
          <w:lang w:val="es-ES"/>
        </w:rPr>
        <w:t xml:space="preserve">Presidente </w:t>
      </w:r>
    </w:p>
    <w:p w14:paraId="2C37F0CD" w14:textId="77777777" w:rsidR="00C82CD2" w:rsidRDefault="00C82CD2" w:rsidP="00C82CD2">
      <w:pPr>
        <w:spacing w:after="0" w:line="240" w:lineRule="auto"/>
        <w:jc w:val="both"/>
        <w:rPr>
          <w:rFonts w:ascii="Verdana" w:eastAsia="Times" w:hAnsi="Verdana" w:cs="Times New Roman"/>
          <w:sz w:val="20"/>
          <w:szCs w:val="20"/>
          <w:lang w:val="es-ES"/>
        </w:rPr>
      </w:pPr>
    </w:p>
    <w:p w14:paraId="791DB234" w14:textId="77777777" w:rsidR="00C82CD2" w:rsidRPr="002C0A2B" w:rsidRDefault="00C82CD2" w:rsidP="00C82CD2">
      <w:pPr>
        <w:spacing w:after="0" w:line="240" w:lineRule="auto"/>
        <w:jc w:val="both"/>
        <w:rPr>
          <w:rFonts w:ascii="Verdana" w:eastAsia="Times" w:hAnsi="Verdana" w:cs="Times New Roman"/>
          <w:sz w:val="20"/>
          <w:szCs w:val="20"/>
          <w:lang w:val="es-ES"/>
        </w:rPr>
      </w:pPr>
    </w:p>
    <w:p w14:paraId="034A5B8C" w14:textId="77777777" w:rsidR="00C82CD2" w:rsidRPr="002C0A2B" w:rsidRDefault="00C82CD2" w:rsidP="00C82CD2">
      <w:pPr>
        <w:spacing w:after="0" w:line="240" w:lineRule="auto"/>
        <w:jc w:val="both"/>
        <w:rPr>
          <w:rFonts w:ascii="Verdana" w:eastAsia="Times" w:hAnsi="Verdana" w:cs="Times New Roman"/>
          <w:sz w:val="20"/>
          <w:szCs w:val="20"/>
          <w:lang w:val="es-ES"/>
        </w:rPr>
      </w:pPr>
    </w:p>
    <w:p w14:paraId="56A6B77D" w14:textId="77777777" w:rsidR="00C82CD2" w:rsidRDefault="00C82CD2" w:rsidP="00C82CD2">
      <w:pPr>
        <w:spacing w:after="0" w:line="240" w:lineRule="auto"/>
        <w:jc w:val="both"/>
        <w:rPr>
          <w:rFonts w:ascii="Verdana" w:eastAsia="Times" w:hAnsi="Verdana" w:cs="Times New Roman"/>
          <w:sz w:val="20"/>
          <w:szCs w:val="20"/>
          <w:lang w:val="es-ES"/>
        </w:rPr>
      </w:pPr>
    </w:p>
    <w:p w14:paraId="54DA2801" w14:textId="77777777" w:rsidR="00C82CD2" w:rsidRPr="002C0A2B" w:rsidRDefault="00C82CD2" w:rsidP="00C82CD2">
      <w:pPr>
        <w:spacing w:after="0" w:line="240" w:lineRule="auto"/>
        <w:jc w:val="both"/>
        <w:rPr>
          <w:rFonts w:ascii="Verdana" w:eastAsia="Times" w:hAnsi="Verdana" w:cs="Times New Roman"/>
          <w:sz w:val="20"/>
          <w:szCs w:val="20"/>
          <w:lang w:val="es-ES"/>
        </w:rPr>
      </w:pPr>
    </w:p>
    <w:p w14:paraId="503D86EE" w14:textId="77777777" w:rsidR="00C82CD2" w:rsidRDefault="00C82CD2" w:rsidP="00C82CD2">
      <w:pPr>
        <w:spacing w:after="0" w:line="240" w:lineRule="auto"/>
        <w:jc w:val="both"/>
        <w:rPr>
          <w:rFonts w:ascii="Verdana" w:eastAsia="Times" w:hAnsi="Verdana" w:cs="Times New Roman"/>
          <w:sz w:val="20"/>
          <w:szCs w:val="20"/>
          <w:lang w:val="es-ES"/>
        </w:rPr>
      </w:pPr>
      <w:r>
        <w:rPr>
          <w:rFonts w:ascii="Verdana" w:eastAsia="Times" w:hAnsi="Verdana" w:cs="Times New Roman"/>
          <w:sz w:val="20"/>
          <w:szCs w:val="20"/>
          <w:lang w:val="es-ES"/>
        </w:rPr>
        <w:t>Roberto F. Caldas</w:t>
      </w:r>
      <w:r>
        <w:rPr>
          <w:rFonts w:ascii="Verdana" w:eastAsia="Times" w:hAnsi="Verdana" w:cs="Times New Roman"/>
          <w:sz w:val="20"/>
          <w:szCs w:val="20"/>
          <w:lang w:val="es-ES"/>
        </w:rPr>
        <w:tab/>
      </w:r>
      <w:r>
        <w:rPr>
          <w:rFonts w:ascii="Verdana" w:eastAsia="Times" w:hAnsi="Verdana" w:cs="Times New Roman"/>
          <w:sz w:val="20"/>
          <w:szCs w:val="20"/>
          <w:lang w:val="es-ES"/>
        </w:rPr>
        <w:tab/>
      </w:r>
      <w:r>
        <w:rPr>
          <w:rFonts w:ascii="Verdana" w:eastAsia="Times" w:hAnsi="Verdana" w:cs="Times New Roman"/>
          <w:sz w:val="20"/>
          <w:szCs w:val="20"/>
          <w:lang w:val="es-ES"/>
        </w:rPr>
        <w:tab/>
      </w:r>
      <w:r>
        <w:rPr>
          <w:rFonts w:ascii="Verdana" w:eastAsia="Times" w:hAnsi="Verdana" w:cs="Times New Roman"/>
          <w:sz w:val="20"/>
          <w:szCs w:val="20"/>
          <w:lang w:val="es-ES"/>
        </w:rPr>
        <w:tab/>
      </w:r>
      <w:r>
        <w:rPr>
          <w:rFonts w:ascii="Verdana" w:eastAsia="Times" w:hAnsi="Verdana" w:cs="Times New Roman"/>
          <w:sz w:val="20"/>
          <w:szCs w:val="20"/>
          <w:lang w:val="es-ES"/>
        </w:rPr>
        <w:tab/>
      </w:r>
      <w:r>
        <w:rPr>
          <w:rFonts w:ascii="Verdana" w:eastAsia="Times" w:hAnsi="Verdana" w:cs="Times New Roman"/>
          <w:sz w:val="20"/>
          <w:szCs w:val="20"/>
          <w:lang w:val="es-ES"/>
        </w:rPr>
        <w:tab/>
      </w:r>
      <w:r w:rsidRPr="002C0A2B">
        <w:rPr>
          <w:rFonts w:ascii="Verdana" w:eastAsia="Times" w:hAnsi="Verdana" w:cs="Times New Roman"/>
          <w:sz w:val="20"/>
          <w:szCs w:val="20"/>
          <w:lang w:val="es-ES"/>
        </w:rPr>
        <w:t>Manuel E. Ventura Robles</w:t>
      </w:r>
    </w:p>
    <w:p w14:paraId="636E26C2" w14:textId="77777777" w:rsidR="00C82CD2" w:rsidRDefault="00C82CD2" w:rsidP="00C82CD2">
      <w:pPr>
        <w:spacing w:after="0" w:line="240" w:lineRule="auto"/>
        <w:jc w:val="both"/>
        <w:rPr>
          <w:rFonts w:ascii="Verdana" w:eastAsia="Times" w:hAnsi="Verdana" w:cs="Times New Roman"/>
          <w:sz w:val="20"/>
          <w:szCs w:val="20"/>
          <w:lang w:val="es-ES"/>
        </w:rPr>
      </w:pPr>
    </w:p>
    <w:p w14:paraId="13D1D990" w14:textId="77777777" w:rsidR="00C82CD2" w:rsidRDefault="00C82CD2" w:rsidP="00C82CD2">
      <w:pPr>
        <w:spacing w:after="0" w:line="240" w:lineRule="auto"/>
        <w:jc w:val="both"/>
        <w:rPr>
          <w:rFonts w:ascii="Verdana" w:eastAsia="Times" w:hAnsi="Verdana" w:cs="Times New Roman"/>
          <w:sz w:val="20"/>
          <w:szCs w:val="20"/>
          <w:lang w:val="es-ES"/>
        </w:rPr>
      </w:pPr>
    </w:p>
    <w:p w14:paraId="7494312A" w14:textId="77777777" w:rsidR="00C82CD2" w:rsidRDefault="00C82CD2" w:rsidP="00C82CD2">
      <w:pPr>
        <w:spacing w:after="0" w:line="240" w:lineRule="auto"/>
        <w:jc w:val="both"/>
        <w:rPr>
          <w:rFonts w:ascii="Verdana" w:eastAsia="Times" w:hAnsi="Verdana" w:cs="Times New Roman"/>
          <w:sz w:val="20"/>
          <w:szCs w:val="20"/>
          <w:lang w:val="es-ES"/>
        </w:rPr>
      </w:pPr>
    </w:p>
    <w:p w14:paraId="742F1FE0" w14:textId="77777777" w:rsidR="00C82CD2" w:rsidRDefault="00C82CD2" w:rsidP="00C82CD2">
      <w:pPr>
        <w:spacing w:after="0" w:line="240" w:lineRule="auto"/>
        <w:jc w:val="both"/>
        <w:rPr>
          <w:rFonts w:ascii="Verdana" w:eastAsia="Times" w:hAnsi="Verdana" w:cs="Times New Roman"/>
          <w:sz w:val="20"/>
          <w:szCs w:val="20"/>
          <w:lang w:val="es-ES"/>
        </w:rPr>
      </w:pPr>
    </w:p>
    <w:p w14:paraId="4EE6CBBC" w14:textId="77777777" w:rsidR="00C82CD2" w:rsidRDefault="00C82CD2" w:rsidP="00C82CD2">
      <w:pPr>
        <w:spacing w:after="0" w:line="240" w:lineRule="auto"/>
        <w:jc w:val="both"/>
        <w:rPr>
          <w:rFonts w:ascii="Verdana" w:eastAsia="Times" w:hAnsi="Verdana" w:cs="Times New Roman"/>
          <w:sz w:val="20"/>
          <w:szCs w:val="20"/>
          <w:lang w:val="es-ES"/>
        </w:rPr>
      </w:pPr>
    </w:p>
    <w:p w14:paraId="0722D2C7" w14:textId="77777777" w:rsidR="00C82CD2" w:rsidRDefault="00C82CD2" w:rsidP="00C82CD2">
      <w:pPr>
        <w:spacing w:after="0" w:line="240" w:lineRule="auto"/>
        <w:jc w:val="both"/>
        <w:rPr>
          <w:rFonts w:ascii="Verdana" w:eastAsia="Times" w:hAnsi="Verdana" w:cs="Times New Roman"/>
          <w:sz w:val="20"/>
          <w:szCs w:val="20"/>
          <w:lang w:val="es-ES"/>
        </w:rPr>
      </w:pPr>
      <w:r>
        <w:rPr>
          <w:rFonts w:ascii="Verdana" w:eastAsia="Times" w:hAnsi="Verdana" w:cs="Times New Roman"/>
          <w:sz w:val="20"/>
          <w:szCs w:val="20"/>
          <w:lang w:val="es-ES"/>
        </w:rPr>
        <w:t>Diego García-</w:t>
      </w:r>
      <w:r w:rsidRPr="002C0A2B">
        <w:rPr>
          <w:rFonts w:ascii="Verdana" w:eastAsia="Times" w:hAnsi="Verdana" w:cs="Times New Roman"/>
          <w:sz w:val="20"/>
          <w:szCs w:val="20"/>
          <w:lang w:val="es-ES"/>
        </w:rPr>
        <w:t>Sayán</w:t>
      </w:r>
      <w:r w:rsidRPr="005068C2">
        <w:rPr>
          <w:rFonts w:ascii="Verdana" w:eastAsia="Times" w:hAnsi="Verdana" w:cs="Times New Roman"/>
          <w:sz w:val="20"/>
          <w:szCs w:val="20"/>
          <w:lang w:val="es-ES"/>
        </w:rPr>
        <w:t xml:space="preserve"> </w:t>
      </w:r>
      <w:r>
        <w:rPr>
          <w:rFonts w:ascii="Verdana" w:eastAsia="Times" w:hAnsi="Verdana" w:cs="Times New Roman"/>
          <w:sz w:val="20"/>
          <w:szCs w:val="20"/>
          <w:lang w:val="es-ES"/>
        </w:rPr>
        <w:tab/>
      </w:r>
      <w:r>
        <w:rPr>
          <w:rFonts w:ascii="Verdana" w:eastAsia="Times" w:hAnsi="Verdana" w:cs="Times New Roman"/>
          <w:sz w:val="20"/>
          <w:szCs w:val="20"/>
          <w:lang w:val="es-ES"/>
        </w:rPr>
        <w:tab/>
      </w:r>
      <w:r>
        <w:rPr>
          <w:rFonts w:ascii="Verdana" w:eastAsia="Times" w:hAnsi="Verdana" w:cs="Times New Roman"/>
          <w:sz w:val="20"/>
          <w:szCs w:val="20"/>
          <w:lang w:val="es-ES"/>
        </w:rPr>
        <w:tab/>
      </w:r>
      <w:r>
        <w:rPr>
          <w:rFonts w:ascii="Verdana" w:eastAsia="Times" w:hAnsi="Verdana" w:cs="Times New Roman"/>
          <w:sz w:val="20"/>
          <w:szCs w:val="20"/>
          <w:lang w:val="es-ES"/>
        </w:rPr>
        <w:tab/>
      </w:r>
      <w:r>
        <w:rPr>
          <w:rFonts w:ascii="Verdana" w:eastAsia="Times" w:hAnsi="Verdana" w:cs="Times New Roman"/>
          <w:sz w:val="20"/>
          <w:szCs w:val="20"/>
          <w:lang w:val="es-ES"/>
        </w:rPr>
        <w:tab/>
      </w:r>
      <w:r>
        <w:rPr>
          <w:rFonts w:ascii="Verdana" w:eastAsia="Times" w:hAnsi="Verdana" w:cs="Times New Roman"/>
          <w:sz w:val="20"/>
          <w:szCs w:val="20"/>
          <w:lang w:val="es-ES"/>
        </w:rPr>
        <w:tab/>
      </w:r>
      <w:r w:rsidRPr="002C0A2B">
        <w:rPr>
          <w:rFonts w:ascii="Verdana" w:eastAsia="Times" w:hAnsi="Verdana" w:cs="Times New Roman"/>
          <w:sz w:val="20"/>
          <w:szCs w:val="20"/>
          <w:lang w:val="es-ES"/>
        </w:rPr>
        <w:t xml:space="preserve">Alberto Pérez </w:t>
      </w:r>
      <w:proofErr w:type="spellStart"/>
      <w:r w:rsidRPr="002C0A2B">
        <w:rPr>
          <w:rFonts w:ascii="Verdana" w:eastAsia="Times" w:hAnsi="Verdana" w:cs="Times New Roman"/>
          <w:sz w:val="20"/>
          <w:szCs w:val="20"/>
          <w:lang w:val="es-ES"/>
        </w:rPr>
        <w:t>Pérez</w:t>
      </w:r>
      <w:proofErr w:type="spellEnd"/>
      <w:r w:rsidRPr="00512D32">
        <w:rPr>
          <w:rFonts w:ascii="Verdana" w:eastAsia="Times" w:hAnsi="Verdana" w:cs="Times New Roman"/>
          <w:sz w:val="20"/>
          <w:szCs w:val="20"/>
          <w:lang w:val="es-ES"/>
        </w:rPr>
        <w:t xml:space="preserve"> </w:t>
      </w:r>
      <w:r>
        <w:rPr>
          <w:rFonts w:ascii="Verdana" w:eastAsia="Times" w:hAnsi="Verdana" w:cs="Times New Roman"/>
          <w:sz w:val="20"/>
          <w:szCs w:val="20"/>
          <w:lang w:val="es-ES"/>
        </w:rPr>
        <w:tab/>
      </w:r>
    </w:p>
    <w:p w14:paraId="5DFCC9D9" w14:textId="77777777" w:rsidR="00C82CD2" w:rsidRDefault="00C82CD2" w:rsidP="00C82CD2">
      <w:pPr>
        <w:spacing w:after="0" w:line="240" w:lineRule="auto"/>
        <w:jc w:val="both"/>
        <w:rPr>
          <w:rFonts w:ascii="Verdana" w:eastAsia="Times" w:hAnsi="Verdana" w:cs="Times New Roman"/>
          <w:sz w:val="20"/>
          <w:szCs w:val="20"/>
          <w:lang w:val="es-ES"/>
        </w:rPr>
      </w:pPr>
    </w:p>
    <w:p w14:paraId="45D87474" w14:textId="77777777" w:rsidR="00C82CD2" w:rsidRDefault="00C82CD2" w:rsidP="00C82CD2">
      <w:pPr>
        <w:spacing w:after="0" w:line="240" w:lineRule="auto"/>
        <w:jc w:val="both"/>
        <w:rPr>
          <w:rFonts w:ascii="Verdana" w:eastAsia="Times" w:hAnsi="Verdana" w:cs="Times New Roman"/>
          <w:sz w:val="20"/>
          <w:szCs w:val="20"/>
          <w:lang w:val="es-ES"/>
        </w:rPr>
      </w:pPr>
    </w:p>
    <w:p w14:paraId="1BF87231" w14:textId="77777777" w:rsidR="00C82CD2" w:rsidRDefault="00C82CD2" w:rsidP="00C82CD2">
      <w:pPr>
        <w:spacing w:after="0" w:line="240" w:lineRule="auto"/>
        <w:jc w:val="both"/>
        <w:rPr>
          <w:rFonts w:ascii="Verdana" w:eastAsia="Times" w:hAnsi="Verdana" w:cs="Times New Roman"/>
          <w:sz w:val="20"/>
          <w:szCs w:val="20"/>
          <w:lang w:val="es-ES"/>
        </w:rPr>
      </w:pPr>
    </w:p>
    <w:p w14:paraId="2541726E" w14:textId="77777777" w:rsidR="00C82CD2" w:rsidRDefault="00C82CD2" w:rsidP="00C82CD2">
      <w:pPr>
        <w:spacing w:after="0" w:line="240" w:lineRule="auto"/>
        <w:jc w:val="both"/>
        <w:rPr>
          <w:rFonts w:ascii="Verdana" w:eastAsia="Times" w:hAnsi="Verdana" w:cs="Times New Roman"/>
          <w:sz w:val="20"/>
          <w:szCs w:val="20"/>
          <w:lang w:val="es-ES"/>
        </w:rPr>
      </w:pPr>
    </w:p>
    <w:p w14:paraId="5ACFBB61" w14:textId="77777777" w:rsidR="00C82CD2" w:rsidRPr="002C0A2B" w:rsidRDefault="00C82CD2" w:rsidP="00C82CD2">
      <w:pPr>
        <w:spacing w:after="0" w:line="240" w:lineRule="auto"/>
        <w:jc w:val="both"/>
        <w:rPr>
          <w:rFonts w:ascii="Verdana" w:eastAsia="Times" w:hAnsi="Verdana" w:cs="Times New Roman"/>
          <w:sz w:val="20"/>
          <w:szCs w:val="20"/>
          <w:lang w:val="es-ES"/>
        </w:rPr>
      </w:pPr>
    </w:p>
    <w:p w14:paraId="6E5454C6" w14:textId="77777777" w:rsidR="00C82CD2" w:rsidRPr="002C0A2B" w:rsidRDefault="00C82CD2" w:rsidP="00C82CD2">
      <w:pPr>
        <w:spacing w:after="0" w:line="240" w:lineRule="auto"/>
        <w:jc w:val="both"/>
        <w:rPr>
          <w:rFonts w:ascii="Verdana" w:eastAsia="Times" w:hAnsi="Verdana" w:cs="Times New Roman"/>
          <w:sz w:val="20"/>
          <w:szCs w:val="20"/>
          <w:lang w:val="es-ES"/>
        </w:rPr>
      </w:pPr>
      <w:r w:rsidRPr="002C0A2B">
        <w:rPr>
          <w:rFonts w:ascii="Verdana" w:eastAsia="Times" w:hAnsi="Verdana" w:cs="Times New Roman"/>
          <w:sz w:val="20"/>
          <w:szCs w:val="20"/>
          <w:lang w:val="es-ES"/>
        </w:rPr>
        <w:t xml:space="preserve">Eduardo Vio Grossi                                              </w:t>
      </w:r>
      <w:r>
        <w:rPr>
          <w:rFonts w:ascii="Verdana" w:eastAsia="Times" w:hAnsi="Verdana" w:cs="Times New Roman"/>
          <w:sz w:val="20"/>
          <w:szCs w:val="20"/>
          <w:lang w:val="es-ES"/>
        </w:rPr>
        <w:t xml:space="preserve">         </w:t>
      </w:r>
      <w:r w:rsidRPr="002C0A2B">
        <w:rPr>
          <w:rFonts w:ascii="Verdana" w:eastAsia="Times" w:hAnsi="Verdana" w:cs="Times New Roman"/>
          <w:sz w:val="20"/>
          <w:szCs w:val="20"/>
          <w:lang w:val="es-ES"/>
        </w:rPr>
        <w:t>Eduardo Ferrer Mac-</w:t>
      </w:r>
      <w:proofErr w:type="spellStart"/>
      <w:r w:rsidRPr="002C0A2B">
        <w:rPr>
          <w:rFonts w:ascii="Verdana" w:eastAsia="Times" w:hAnsi="Verdana" w:cs="Times New Roman"/>
          <w:sz w:val="20"/>
          <w:szCs w:val="20"/>
          <w:lang w:val="es-ES"/>
        </w:rPr>
        <w:t>Gregor</w:t>
      </w:r>
      <w:proofErr w:type="spellEnd"/>
      <w:r w:rsidRPr="002C0A2B">
        <w:rPr>
          <w:rFonts w:ascii="Verdana" w:eastAsia="Times" w:hAnsi="Verdana" w:cs="Times New Roman"/>
          <w:sz w:val="20"/>
          <w:szCs w:val="20"/>
          <w:lang w:val="es-ES"/>
        </w:rPr>
        <w:t xml:space="preserve"> </w:t>
      </w:r>
      <w:proofErr w:type="spellStart"/>
      <w:r w:rsidRPr="002C0A2B">
        <w:rPr>
          <w:rFonts w:ascii="Verdana" w:eastAsia="Times" w:hAnsi="Verdana" w:cs="Times New Roman"/>
          <w:sz w:val="20"/>
          <w:szCs w:val="20"/>
          <w:lang w:val="es-ES"/>
        </w:rPr>
        <w:t>Poisot</w:t>
      </w:r>
      <w:proofErr w:type="spellEnd"/>
    </w:p>
    <w:p w14:paraId="34451648" w14:textId="77777777" w:rsidR="00C82CD2" w:rsidRDefault="00C82CD2" w:rsidP="00C82CD2">
      <w:pPr>
        <w:spacing w:after="0" w:line="240" w:lineRule="auto"/>
        <w:jc w:val="both"/>
        <w:rPr>
          <w:rFonts w:ascii="Verdana" w:eastAsia="Times" w:hAnsi="Verdana" w:cs="Times New Roman"/>
          <w:sz w:val="20"/>
          <w:szCs w:val="20"/>
          <w:lang w:val="es-ES"/>
        </w:rPr>
      </w:pPr>
    </w:p>
    <w:p w14:paraId="5974A6A4" w14:textId="77777777" w:rsidR="00C82CD2" w:rsidRDefault="00C82CD2" w:rsidP="00C82CD2">
      <w:pPr>
        <w:spacing w:after="0" w:line="240" w:lineRule="auto"/>
        <w:jc w:val="both"/>
        <w:rPr>
          <w:rFonts w:ascii="Verdana" w:eastAsia="Times" w:hAnsi="Verdana" w:cs="Times New Roman"/>
          <w:sz w:val="20"/>
          <w:szCs w:val="20"/>
          <w:lang w:val="es-ES"/>
        </w:rPr>
      </w:pPr>
    </w:p>
    <w:p w14:paraId="6B29BD4A" w14:textId="77777777" w:rsidR="00C82CD2" w:rsidRDefault="00C82CD2" w:rsidP="00C82CD2">
      <w:pPr>
        <w:spacing w:after="0" w:line="240" w:lineRule="auto"/>
        <w:jc w:val="both"/>
        <w:rPr>
          <w:rFonts w:ascii="Verdana" w:eastAsia="Times" w:hAnsi="Verdana" w:cs="Times New Roman"/>
          <w:sz w:val="20"/>
          <w:szCs w:val="20"/>
          <w:lang w:val="es-ES"/>
        </w:rPr>
      </w:pPr>
    </w:p>
    <w:p w14:paraId="3B4FA64F" w14:textId="77777777" w:rsidR="00C82CD2" w:rsidRDefault="00C82CD2" w:rsidP="00C82CD2">
      <w:pPr>
        <w:spacing w:after="0" w:line="240" w:lineRule="auto"/>
        <w:jc w:val="both"/>
        <w:rPr>
          <w:rFonts w:ascii="Verdana" w:eastAsia="Times" w:hAnsi="Verdana" w:cs="Times New Roman"/>
          <w:sz w:val="20"/>
          <w:szCs w:val="20"/>
          <w:lang w:val="es-ES"/>
        </w:rPr>
      </w:pPr>
    </w:p>
    <w:p w14:paraId="79AC0A39" w14:textId="77777777" w:rsidR="00C82CD2" w:rsidRDefault="00C82CD2" w:rsidP="00C82CD2">
      <w:pPr>
        <w:spacing w:after="0" w:line="240" w:lineRule="auto"/>
        <w:rPr>
          <w:rFonts w:ascii="Verdana" w:eastAsia="Times" w:hAnsi="Verdana" w:cs="Times New Roman"/>
          <w:sz w:val="20"/>
          <w:szCs w:val="20"/>
          <w:lang w:val="es-ES"/>
        </w:rPr>
      </w:pPr>
    </w:p>
    <w:p w14:paraId="581131A1" w14:textId="77777777" w:rsidR="00C82CD2" w:rsidRDefault="00C82CD2" w:rsidP="00C82CD2">
      <w:pPr>
        <w:spacing w:after="0" w:line="240" w:lineRule="auto"/>
        <w:jc w:val="center"/>
        <w:rPr>
          <w:rFonts w:ascii="Verdana" w:eastAsia="Times" w:hAnsi="Verdana" w:cs="Times New Roman"/>
          <w:sz w:val="20"/>
          <w:szCs w:val="20"/>
          <w:lang w:val="es-ES"/>
        </w:rPr>
      </w:pPr>
    </w:p>
    <w:p w14:paraId="26A9D02C" w14:textId="77777777" w:rsidR="00C82CD2" w:rsidRPr="002C0A2B" w:rsidRDefault="00C82CD2" w:rsidP="00C82CD2">
      <w:pPr>
        <w:spacing w:after="0" w:line="240" w:lineRule="auto"/>
        <w:jc w:val="center"/>
        <w:rPr>
          <w:rFonts w:ascii="Verdana" w:eastAsia="Times" w:hAnsi="Verdana" w:cs="Times New Roman"/>
          <w:sz w:val="20"/>
          <w:szCs w:val="20"/>
          <w:lang w:val="es-ES"/>
        </w:rPr>
      </w:pPr>
      <w:r w:rsidRPr="002C0A2B">
        <w:rPr>
          <w:rFonts w:ascii="Verdana" w:eastAsia="Times" w:hAnsi="Verdana" w:cs="Times New Roman"/>
          <w:sz w:val="20"/>
          <w:szCs w:val="20"/>
          <w:lang w:val="es-ES"/>
        </w:rPr>
        <w:t>Pablo Saavedra Alessandri</w:t>
      </w:r>
    </w:p>
    <w:p w14:paraId="5BA3E3ED" w14:textId="77777777" w:rsidR="00C82CD2" w:rsidRPr="002C0A2B" w:rsidRDefault="00C82CD2" w:rsidP="00C82CD2">
      <w:pPr>
        <w:spacing w:after="0" w:line="240" w:lineRule="auto"/>
        <w:jc w:val="center"/>
        <w:rPr>
          <w:rFonts w:ascii="Verdana" w:eastAsia="Times" w:hAnsi="Verdana" w:cs="Times New Roman"/>
          <w:sz w:val="20"/>
          <w:szCs w:val="20"/>
          <w:lang w:val="es-ES"/>
        </w:rPr>
      </w:pPr>
      <w:r w:rsidRPr="002C0A2B">
        <w:rPr>
          <w:rFonts w:ascii="Verdana" w:eastAsia="Times" w:hAnsi="Verdana" w:cs="Times New Roman"/>
          <w:sz w:val="20"/>
          <w:szCs w:val="20"/>
          <w:lang w:val="es-ES"/>
        </w:rPr>
        <w:t>Secretario</w:t>
      </w:r>
    </w:p>
    <w:p w14:paraId="396BE0ED" w14:textId="77777777" w:rsidR="00C82CD2" w:rsidRPr="002C0A2B" w:rsidRDefault="00C82CD2" w:rsidP="00C82CD2">
      <w:pPr>
        <w:spacing w:after="0" w:line="240" w:lineRule="auto"/>
        <w:rPr>
          <w:rFonts w:ascii="Verdana" w:eastAsia="Times" w:hAnsi="Verdana" w:cs="Times New Roman"/>
          <w:sz w:val="20"/>
          <w:szCs w:val="20"/>
          <w:lang w:val="es-ES"/>
        </w:rPr>
      </w:pPr>
    </w:p>
    <w:p w14:paraId="7AA0B82A" w14:textId="77777777" w:rsidR="00C82CD2" w:rsidRPr="002C0A2B" w:rsidRDefault="00C82CD2" w:rsidP="00C82CD2">
      <w:pPr>
        <w:spacing w:after="0" w:line="240" w:lineRule="auto"/>
        <w:jc w:val="both"/>
        <w:rPr>
          <w:rFonts w:ascii="Verdana" w:eastAsia="Times" w:hAnsi="Verdana" w:cs="Times New Roman"/>
          <w:sz w:val="20"/>
          <w:szCs w:val="20"/>
          <w:lang w:val="es-ES"/>
        </w:rPr>
      </w:pPr>
    </w:p>
    <w:p w14:paraId="02C61BD2" w14:textId="77777777" w:rsidR="00C82CD2" w:rsidRPr="002C0A2B" w:rsidRDefault="00C82CD2" w:rsidP="00C82CD2">
      <w:pPr>
        <w:spacing w:after="0" w:line="240" w:lineRule="auto"/>
        <w:jc w:val="both"/>
        <w:rPr>
          <w:rFonts w:ascii="Verdana" w:eastAsia="Times" w:hAnsi="Verdana" w:cs="Times New Roman"/>
          <w:sz w:val="20"/>
          <w:szCs w:val="20"/>
          <w:lang w:val="es-ES"/>
        </w:rPr>
      </w:pPr>
      <w:r w:rsidRPr="002C0A2B">
        <w:rPr>
          <w:rFonts w:ascii="Verdana" w:eastAsia="Times" w:hAnsi="Verdana" w:cs="Times New Roman"/>
          <w:sz w:val="20"/>
          <w:szCs w:val="20"/>
          <w:lang w:val="es-ES"/>
        </w:rPr>
        <w:t>Comuníquese y ejecútese,</w:t>
      </w:r>
    </w:p>
    <w:p w14:paraId="052604CF" w14:textId="77777777" w:rsidR="00C82CD2" w:rsidRPr="002C0A2B" w:rsidRDefault="00C82CD2" w:rsidP="00C82CD2">
      <w:pPr>
        <w:spacing w:after="0" w:line="240" w:lineRule="auto"/>
        <w:jc w:val="both"/>
        <w:rPr>
          <w:rFonts w:ascii="Verdana" w:eastAsia="Times" w:hAnsi="Verdana" w:cs="Times New Roman"/>
          <w:sz w:val="20"/>
          <w:szCs w:val="20"/>
          <w:lang w:val="es-ES"/>
        </w:rPr>
      </w:pPr>
    </w:p>
    <w:p w14:paraId="1E93318D" w14:textId="77777777" w:rsidR="00C82CD2" w:rsidRPr="002C0A2B" w:rsidRDefault="00C82CD2" w:rsidP="00C82CD2">
      <w:pPr>
        <w:spacing w:after="0" w:line="240" w:lineRule="auto"/>
        <w:jc w:val="both"/>
        <w:rPr>
          <w:rFonts w:ascii="Verdana" w:eastAsia="Times" w:hAnsi="Verdana" w:cs="Times New Roman"/>
          <w:sz w:val="20"/>
          <w:szCs w:val="20"/>
          <w:lang w:val="es-ES"/>
        </w:rPr>
      </w:pPr>
    </w:p>
    <w:p w14:paraId="0FE0A91D" w14:textId="77777777" w:rsidR="00C82CD2" w:rsidRPr="002C0A2B" w:rsidRDefault="00C82CD2" w:rsidP="00C82CD2">
      <w:pPr>
        <w:spacing w:after="0" w:line="240" w:lineRule="auto"/>
        <w:jc w:val="both"/>
        <w:rPr>
          <w:rFonts w:ascii="Verdana" w:eastAsia="Times" w:hAnsi="Verdana" w:cs="Times New Roman"/>
          <w:sz w:val="20"/>
          <w:szCs w:val="20"/>
          <w:lang w:val="es-ES"/>
        </w:rPr>
      </w:pPr>
    </w:p>
    <w:p w14:paraId="38C486E4" w14:textId="77777777" w:rsidR="00C82CD2" w:rsidRPr="002C0A2B" w:rsidRDefault="00C82CD2" w:rsidP="00C82CD2">
      <w:pPr>
        <w:spacing w:after="0" w:line="240" w:lineRule="auto"/>
        <w:jc w:val="both"/>
        <w:rPr>
          <w:rFonts w:ascii="Verdana" w:eastAsia="Times" w:hAnsi="Verdana" w:cs="Times New Roman"/>
          <w:sz w:val="20"/>
          <w:szCs w:val="20"/>
        </w:rPr>
      </w:pPr>
    </w:p>
    <w:p w14:paraId="6677ABFF" w14:textId="77777777" w:rsidR="00C82CD2" w:rsidRPr="002C0A2B" w:rsidRDefault="00C82CD2" w:rsidP="00C82CD2">
      <w:pPr>
        <w:spacing w:after="0" w:line="240" w:lineRule="auto"/>
        <w:ind w:left="5040"/>
        <w:rPr>
          <w:rFonts w:ascii="Verdana" w:eastAsia="Times" w:hAnsi="Verdana" w:cs="Times New Roman"/>
          <w:sz w:val="20"/>
          <w:szCs w:val="20"/>
          <w:lang w:val="es-ES"/>
        </w:rPr>
      </w:pPr>
      <w:r w:rsidRPr="002C0A2B">
        <w:rPr>
          <w:rFonts w:ascii="Verdana" w:eastAsia="Times" w:hAnsi="Verdana" w:cs="Times New Roman"/>
          <w:sz w:val="20"/>
          <w:szCs w:val="20"/>
          <w:lang w:val="es-ES"/>
        </w:rPr>
        <w:t xml:space="preserve">       Humberto Antonio Sierra Porto</w:t>
      </w:r>
      <w:r w:rsidRPr="002C0A2B">
        <w:rPr>
          <w:rFonts w:ascii="Verdana" w:eastAsia="Times" w:hAnsi="Verdana" w:cs="Times New Roman"/>
          <w:sz w:val="20"/>
          <w:szCs w:val="20"/>
          <w:lang w:val="es-ES"/>
        </w:rPr>
        <w:tab/>
      </w:r>
    </w:p>
    <w:p w14:paraId="180E474E" w14:textId="77777777" w:rsidR="00C82CD2" w:rsidRPr="002C0A2B" w:rsidRDefault="00C82CD2" w:rsidP="00C82CD2">
      <w:pPr>
        <w:spacing w:after="0" w:line="240" w:lineRule="auto"/>
        <w:ind w:left="5760"/>
        <w:rPr>
          <w:rFonts w:ascii="Verdana" w:eastAsia="Times" w:hAnsi="Verdana" w:cs="Times New Roman"/>
          <w:sz w:val="20"/>
          <w:szCs w:val="20"/>
          <w:lang w:val="es-ES"/>
        </w:rPr>
      </w:pPr>
      <w:r>
        <w:rPr>
          <w:rFonts w:ascii="Verdana" w:eastAsia="Times" w:hAnsi="Verdana" w:cs="Times New Roman"/>
          <w:sz w:val="20"/>
          <w:szCs w:val="20"/>
          <w:lang w:val="es-ES"/>
        </w:rPr>
        <w:t xml:space="preserve">          </w:t>
      </w:r>
      <w:r w:rsidRPr="002C0A2B">
        <w:rPr>
          <w:rFonts w:ascii="Verdana" w:eastAsia="Times" w:hAnsi="Verdana" w:cs="Times New Roman"/>
          <w:sz w:val="20"/>
          <w:szCs w:val="20"/>
          <w:lang w:val="es-ES"/>
        </w:rPr>
        <w:t>Presidente</w:t>
      </w:r>
    </w:p>
    <w:p w14:paraId="76D243DD" w14:textId="77777777" w:rsidR="00C82CD2" w:rsidRPr="002C0A2B" w:rsidRDefault="00C82CD2" w:rsidP="00C82CD2">
      <w:pPr>
        <w:spacing w:after="0" w:line="240" w:lineRule="auto"/>
        <w:jc w:val="both"/>
        <w:rPr>
          <w:rFonts w:ascii="Verdana" w:eastAsia="Times" w:hAnsi="Verdana" w:cs="Times New Roman"/>
          <w:sz w:val="20"/>
          <w:szCs w:val="20"/>
          <w:lang w:val="es-ES"/>
        </w:rPr>
      </w:pPr>
    </w:p>
    <w:p w14:paraId="7B826EE4" w14:textId="77777777" w:rsidR="00C82CD2" w:rsidRPr="002C0A2B" w:rsidRDefault="00C82CD2" w:rsidP="00C82CD2">
      <w:pPr>
        <w:spacing w:after="0" w:line="240" w:lineRule="auto"/>
        <w:jc w:val="both"/>
        <w:rPr>
          <w:rFonts w:ascii="Verdana" w:eastAsia="Times" w:hAnsi="Verdana" w:cs="Times New Roman"/>
          <w:sz w:val="20"/>
          <w:szCs w:val="20"/>
          <w:lang w:val="es-ES"/>
        </w:rPr>
      </w:pPr>
    </w:p>
    <w:p w14:paraId="55E51989" w14:textId="77777777" w:rsidR="00C82CD2" w:rsidRPr="002C0A2B" w:rsidRDefault="00C82CD2" w:rsidP="00C82CD2">
      <w:pPr>
        <w:spacing w:after="0" w:line="240" w:lineRule="auto"/>
        <w:jc w:val="both"/>
        <w:rPr>
          <w:rFonts w:ascii="Verdana" w:eastAsia="Times" w:hAnsi="Verdana" w:cs="Times New Roman"/>
          <w:sz w:val="20"/>
          <w:szCs w:val="20"/>
          <w:lang w:val="es-ES"/>
        </w:rPr>
      </w:pPr>
    </w:p>
    <w:p w14:paraId="51118E96" w14:textId="77777777" w:rsidR="00C82CD2" w:rsidRPr="002C0A2B" w:rsidRDefault="00C82CD2" w:rsidP="00C82CD2">
      <w:pPr>
        <w:spacing w:after="0" w:line="240" w:lineRule="auto"/>
        <w:jc w:val="both"/>
        <w:rPr>
          <w:rFonts w:ascii="Verdana" w:eastAsia="Times" w:hAnsi="Verdana" w:cs="Times New Roman"/>
          <w:sz w:val="20"/>
          <w:szCs w:val="20"/>
          <w:lang w:val="es-ES"/>
        </w:rPr>
      </w:pPr>
    </w:p>
    <w:p w14:paraId="2997E6F6" w14:textId="77777777" w:rsidR="00C82CD2" w:rsidRPr="002C0A2B" w:rsidRDefault="00C82CD2" w:rsidP="00C82CD2">
      <w:pPr>
        <w:spacing w:after="0" w:line="240" w:lineRule="auto"/>
        <w:jc w:val="both"/>
        <w:rPr>
          <w:rFonts w:ascii="Verdana" w:eastAsia="Times" w:hAnsi="Verdana" w:cs="Times New Roman"/>
          <w:sz w:val="20"/>
          <w:szCs w:val="20"/>
          <w:lang w:val="es-ES"/>
        </w:rPr>
      </w:pPr>
      <w:r w:rsidRPr="002C0A2B">
        <w:rPr>
          <w:rFonts w:ascii="Verdana" w:eastAsia="Times" w:hAnsi="Verdana" w:cs="Times New Roman"/>
          <w:sz w:val="20"/>
          <w:szCs w:val="20"/>
          <w:lang w:val="es-ES"/>
        </w:rPr>
        <w:t>Pablo Saavedra Alessandri</w:t>
      </w:r>
    </w:p>
    <w:p w14:paraId="4384365F" w14:textId="77777777" w:rsidR="00C82CD2" w:rsidRPr="005068C2" w:rsidRDefault="00C82CD2" w:rsidP="00C82CD2">
      <w:pPr>
        <w:spacing w:after="0" w:line="240" w:lineRule="auto"/>
        <w:rPr>
          <w:rFonts w:ascii="Verdana" w:eastAsia="Times" w:hAnsi="Verdana" w:cs="Times New Roman"/>
          <w:sz w:val="20"/>
          <w:szCs w:val="20"/>
        </w:rPr>
      </w:pPr>
      <w:r w:rsidRPr="002C0A2B">
        <w:rPr>
          <w:rFonts w:ascii="Verdana" w:eastAsia="Times" w:hAnsi="Verdana" w:cs="Times New Roman"/>
          <w:sz w:val="20"/>
          <w:szCs w:val="20"/>
          <w:lang w:val="es-ES"/>
        </w:rPr>
        <w:tab/>
      </w:r>
      <w:r w:rsidRPr="002C0A2B">
        <w:rPr>
          <w:rFonts w:ascii="Verdana" w:eastAsia="Times" w:hAnsi="Verdana" w:cs="Times New Roman"/>
          <w:sz w:val="20"/>
          <w:szCs w:val="20"/>
        </w:rPr>
        <w:t>Secretario</w:t>
      </w:r>
    </w:p>
    <w:p w14:paraId="4226AD88" w14:textId="77777777" w:rsidR="00C82CD2" w:rsidRPr="005068C2" w:rsidRDefault="00C82CD2" w:rsidP="00C82CD2">
      <w:pPr>
        <w:spacing w:after="0" w:line="240" w:lineRule="auto"/>
        <w:rPr>
          <w:rFonts w:ascii="Verdana" w:eastAsia="Times" w:hAnsi="Verdana" w:cs="Times New Roman"/>
          <w:sz w:val="20"/>
          <w:szCs w:val="20"/>
        </w:rPr>
      </w:pPr>
    </w:p>
    <w:p w14:paraId="13DB2F9D" w14:textId="77777777" w:rsidR="00C82CD2" w:rsidRPr="00D73AF3" w:rsidRDefault="00C82CD2" w:rsidP="00C82CD2">
      <w:pPr>
        <w:spacing w:after="0" w:line="240" w:lineRule="auto"/>
        <w:ind w:right="1440"/>
        <w:jc w:val="both"/>
        <w:rPr>
          <w:rFonts w:ascii="Verdana" w:hAnsi="Verdana"/>
          <w:sz w:val="20"/>
          <w:lang w:val="es-MX"/>
        </w:rPr>
      </w:pPr>
    </w:p>
    <w:sectPr w:rsidR="00C82CD2" w:rsidRPr="00D73AF3" w:rsidSect="00C82CD2">
      <w:headerReference w:type="default" r:id="rId9"/>
      <w:footerReference w:type="default" r:id="rId10"/>
      <w:pgSz w:w="12240" w:h="15840"/>
      <w:pgMar w:top="1440" w:right="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F76E7" w14:textId="77777777" w:rsidR="00601062" w:rsidRDefault="00601062" w:rsidP="0052428B">
      <w:pPr>
        <w:spacing w:after="0" w:line="240" w:lineRule="auto"/>
      </w:pPr>
      <w:r>
        <w:separator/>
      </w:r>
    </w:p>
  </w:endnote>
  <w:endnote w:type="continuationSeparator" w:id="0">
    <w:p w14:paraId="0B35C739" w14:textId="77777777" w:rsidR="00601062" w:rsidRDefault="00601062" w:rsidP="0052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283957054"/>
      <w:docPartObj>
        <w:docPartGallery w:val="Page Numbers (Bottom of Page)"/>
        <w:docPartUnique/>
      </w:docPartObj>
    </w:sdtPr>
    <w:sdtEndPr/>
    <w:sdtContent>
      <w:p w14:paraId="0DD83336" w14:textId="77777777" w:rsidR="006D5D7A" w:rsidRPr="00806489" w:rsidRDefault="006D5D7A" w:rsidP="00806489">
        <w:pPr>
          <w:pStyle w:val="Footer"/>
          <w:ind w:right="1444"/>
          <w:jc w:val="center"/>
          <w:rPr>
            <w:rFonts w:ascii="Verdana" w:hAnsi="Verdana"/>
            <w:sz w:val="20"/>
            <w:szCs w:val="20"/>
          </w:rPr>
        </w:pPr>
        <w:r w:rsidRPr="00907ADF">
          <w:rPr>
            <w:rFonts w:ascii="Verdana" w:hAnsi="Verdana"/>
            <w:sz w:val="20"/>
            <w:szCs w:val="20"/>
          </w:rPr>
          <w:t>-</w:t>
        </w:r>
        <w:r w:rsidRPr="00907ADF">
          <w:rPr>
            <w:rFonts w:ascii="Verdana" w:hAnsi="Verdana"/>
            <w:sz w:val="20"/>
            <w:szCs w:val="20"/>
          </w:rPr>
          <w:fldChar w:fldCharType="begin"/>
        </w:r>
        <w:r w:rsidRPr="00907ADF">
          <w:rPr>
            <w:rFonts w:ascii="Verdana" w:hAnsi="Verdana"/>
            <w:sz w:val="20"/>
            <w:szCs w:val="20"/>
          </w:rPr>
          <w:instrText xml:space="preserve"> PAGE   \* MERGEFORMAT </w:instrText>
        </w:r>
        <w:r w:rsidRPr="00907ADF">
          <w:rPr>
            <w:rFonts w:ascii="Verdana" w:hAnsi="Verdana"/>
            <w:sz w:val="20"/>
            <w:szCs w:val="20"/>
          </w:rPr>
          <w:fldChar w:fldCharType="separate"/>
        </w:r>
        <w:r w:rsidR="009A7456">
          <w:rPr>
            <w:rFonts w:ascii="Verdana" w:hAnsi="Verdana"/>
            <w:noProof/>
            <w:sz w:val="20"/>
            <w:szCs w:val="20"/>
          </w:rPr>
          <w:t>2</w:t>
        </w:r>
        <w:r w:rsidRPr="00907ADF">
          <w:rPr>
            <w:rFonts w:ascii="Verdana" w:hAnsi="Verdana"/>
            <w:sz w:val="20"/>
            <w:szCs w:val="20"/>
          </w:rPr>
          <w:fldChar w:fldCharType="end"/>
        </w:r>
        <w:r w:rsidRPr="00907ADF">
          <w:rPr>
            <w:rFonts w:ascii="Verdana" w:hAnsi="Verdana"/>
            <w:sz w:val="20"/>
            <w:szCs w:val="20"/>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CBE41" w14:textId="77777777" w:rsidR="00601062" w:rsidRDefault="00601062" w:rsidP="0052428B">
      <w:pPr>
        <w:spacing w:after="0" w:line="240" w:lineRule="auto"/>
      </w:pPr>
      <w:r>
        <w:separator/>
      </w:r>
    </w:p>
  </w:footnote>
  <w:footnote w:type="continuationSeparator" w:id="0">
    <w:p w14:paraId="106AE082" w14:textId="77777777" w:rsidR="00601062" w:rsidRDefault="00601062" w:rsidP="0052428B">
      <w:pPr>
        <w:spacing w:after="0" w:line="240" w:lineRule="auto"/>
      </w:pPr>
      <w:r>
        <w:continuationSeparator/>
      </w:r>
    </w:p>
  </w:footnote>
  <w:footnote w:id="1">
    <w:p w14:paraId="1E4DDBB6" w14:textId="2D66A23D" w:rsidR="006D5D7A" w:rsidRPr="002D2339" w:rsidRDefault="006D5D7A" w:rsidP="00CD3CE2">
      <w:pPr>
        <w:spacing w:after="0" w:line="240" w:lineRule="auto"/>
        <w:ind w:right="1440"/>
        <w:jc w:val="both"/>
        <w:rPr>
          <w:rFonts w:ascii="Verdana" w:eastAsia="Times New Roman" w:hAnsi="Verdana" w:cs="Times New Roman"/>
          <w:color w:val="000000"/>
          <w:sz w:val="16"/>
          <w:szCs w:val="16"/>
        </w:rPr>
      </w:pPr>
      <w:r w:rsidRPr="002D2339">
        <w:rPr>
          <w:rStyle w:val="FootnoteReference"/>
          <w:rFonts w:ascii="Verdana" w:hAnsi="Verdana"/>
          <w:sz w:val="16"/>
          <w:szCs w:val="16"/>
        </w:rPr>
        <w:footnoteRef/>
      </w:r>
      <w:r w:rsidRPr="002D2339">
        <w:rPr>
          <w:rFonts w:ascii="Verdana" w:hAnsi="Verdana"/>
          <w:sz w:val="16"/>
          <w:szCs w:val="16"/>
        </w:rPr>
        <w:t xml:space="preserve"> </w:t>
      </w:r>
      <w:r w:rsidRPr="002D2339">
        <w:rPr>
          <w:rFonts w:ascii="Verdana" w:hAnsi="Verdana"/>
          <w:sz w:val="16"/>
          <w:szCs w:val="16"/>
        </w:rPr>
        <w:tab/>
      </w:r>
      <w:r w:rsidRPr="002D2339">
        <w:rPr>
          <w:rFonts w:ascii="Verdana" w:hAnsi="Verdana"/>
          <w:i/>
          <w:sz w:val="16"/>
          <w:szCs w:val="16"/>
        </w:rPr>
        <w:t>Cfr.</w:t>
      </w:r>
      <w:r w:rsidRPr="002D2339">
        <w:rPr>
          <w:rFonts w:ascii="Verdana" w:hAnsi="Verdana"/>
          <w:sz w:val="16"/>
          <w:szCs w:val="16"/>
        </w:rPr>
        <w:t xml:space="preserve"> </w:t>
      </w:r>
      <w:r w:rsidRPr="002D2339">
        <w:rPr>
          <w:rFonts w:ascii="Verdana" w:eastAsia="Times New Roman" w:hAnsi="Verdana" w:cs="Times New Roman"/>
          <w:bCs/>
          <w:i/>
          <w:color w:val="000000"/>
          <w:sz w:val="16"/>
          <w:szCs w:val="16"/>
        </w:rPr>
        <w:t>Caso</w:t>
      </w:r>
      <w:r w:rsidRPr="002D2339">
        <w:rPr>
          <w:rFonts w:ascii="Verdana" w:eastAsia="Times New Roman" w:hAnsi="Verdana" w:cs="Times New Roman"/>
          <w:bCs/>
          <w:color w:val="000000"/>
          <w:sz w:val="16"/>
          <w:szCs w:val="16"/>
        </w:rPr>
        <w:t xml:space="preserve"> </w:t>
      </w:r>
      <w:r w:rsidRPr="002D2339">
        <w:rPr>
          <w:rFonts w:ascii="Verdana" w:eastAsia="Times New Roman" w:hAnsi="Verdana" w:cs="Times New Roman"/>
          <w:bCs/>
          <w:i/>
          <w:color w:val="000000"/>
          <w:sz w:val="16"/>
          <w:szCs w:val="16"/>
        </w:rPr>
        <w:t>López Mendoza Vs. Venezuela. Fondo Reparaciones y Costas</w:t>
      </w:r>
      <w:r w:rsidRPr="002D2339">
        <w:rPr>
          <w:rFonts w:ascii="Verdana" w:eastAsia="Times New Roman" w:hAnsi="Verdana" w:cs="Times New Roman"/>
          <w:bCs/>
          <w:color w:val="000000"/>
          <w:sz w:val="16"/>
          <w:szCs w:val="16"/>
        </w:rPr>
        <w:t>. Sentencia de 1 de septiembre de 2011 Serie C No. 233.</w:t>
      </w:r>
      <w:r w:rsidR="00C73D5B">
        <w:rPr>
          <w:rFonts w:ascii="Verdana" w:eastAsia="Times New Roman" w:hAnsi="Verdana" w:cs="Times New Roman"/>
          <w:bCs/>
          <w:color w:val="000000"/>
          <w:sz w:val="16"/>
          <w:szCs w:val="16"/>
        </w:rPr>
        <w:t xml:space="preserve"> El texto íntegro de la Sentencia se encuentra disponible en: </w:t>
      </w:r>
      <w:hyperlink r:id="rId1" w:history="1">
        <w:r w:rsidR="00C73D5B" w:rsidRPr="00FD52F2">
          <w:rPr>
            <w:rStyle w:val="Hyperlink"/>
            <w:rFonts w:ascii="Verdana" w:eastAsia="Times New Roman" w:hAnsi="Verdana" w:cs="Times New Roman"/>
            <w:bCs/>
            <w:sz w:val="16"/>
            <w:szCs w:val="16"/>
          </w:rPr>
          <w:t>http://corteidh.or.cr/docs/casos/articulos/seriec_233_esp.pdf</w:t>
        </w:r>
      </w:hyperlink>
      <w:r w:rsidR="00C73D5B">
        <w:rPr>
          <w:rFonts w:ascii="Verdana" w:eastAsia="Times New Roman" w:hAnsi="Verdana" w:cs="Times New Roman"/>
          <w:bCs/>
          <w:color w:val="000000"/>
          <w:sz w:val="16"/>
          <w:szCs w:val="16"/>
        </w:rPr>
        <w:t xml:space="preserve">. La Sentencia fue notificada el </w:t>
      </w:r>
      <w:r w:rsidR="006A5EE7">
        <w:rPr>
          <w:rFonts w:ascii="Verdana" w:eastAsia="Times New Roman" w:hAnsi="Verdana" w:cs="Times New Roman"/>
          <w:bCs/>
          <w:color w:val="000000"/>
          <w:sz w:val="16"/>
          <w:szCs w:val="16"/>
        </w:rPr>
        <w:t>16</w:t>
      </w:r>
      <w:r w:rsidR="00C73D5B">
        <w:rPr>
          <w:rFonts w:ascii="Verdana" w:eastAsia="Times New Roman" w:hAnsi="Verdana" w:cs="Times New Roman"/>
          <w:bCs/>
          <w:color w:val="000000"/>
          <w:sz w:val="16"/>
          <w:szCs w:val="16"/>
        </w:rPr>
        <w:t xml:space="preserve"> de</w:t>
      </w:r>
      <w:r w:rsidR="006A5EE7">
        <w:rPr>
          <w:rFonts w:ascii="Verdana" w:eastAsia="Times New Roman" w:hAnsi="Verdana" w:cs="Times New Roman"/>
          <w:bCs/>
          <w:color w:val="000000"/>
          <w:sz w:val="16"/>
          <w:szCs w:val="16"/>
        </w:rPr>
        <w:t xml:space="preserve"> septiembre</w:t>
      </w:r>
      <w:r w:rsidR="00C73D5B">
        <w:rPr>
          <w:rFonts w:ascii="Verdana" w:eastAsia="Times New Roman" w:hAnsi="Verdana" w:cs="Times New Roman"/>
          <w:bCs/>
          <w:color w:val="000000"/>
          <w:sz w:val="16"/>
          <w:szCs w:val="16"/>
        </w:rPr>
        <w:t xml:space="preserve"> de </w:t>
      </w:r>
      <w:r w:rsidR="006A5EE7">
        <w:rPr>
          <w:rFonts w:ascii="Verdana" w:eastAsia="Times New Roman" w:hAnsi="Verdana" w:cs="Times New Roman"/>
          <w:bCs/>
          <w:color w:val="000000"/>
          <w:sz w:val="16"/>
          <w:szCs w:val="16"/>
        </w:rPr>
        <w:t>2011.</w:t>
      </w:r>
      <w:r w:rsidR="00C73D5B">
        <w:rPr>
          <w:rFonts w:ascii="Verdana" w:eastAsia="Times New Roman" w:hAnsi="Verdana" w:cs="Times New Roman"/>
          <w:bCs/>
          <w:color w:val="000000"/>
          <w:sz w:val="16"/>
          <w:szCs w:val="16"/>
        </w:rPr>
        <w:t xml:space="preserve"> </w:t>
      </w:r>
    </w:p>
  </w:footnote>
  <w:footnote w:id="2">
    <w:p w14:paraId="15B09B64" w14:textId="77777777" w:rsidR="006D5D7A" w:rsidRPr="002D2339" w:rsidRDefault="006D5D7A" w:rsidP="00CD3CE2">
      <w:pPr>
        <w:pStyle w:val="FootnoteText"/>
        <w:ind w:right="1440"/>
        <w:jc w:val="both"/>
        <w:rPr>
          <w:rFonts w:ascii="Verdana" w:hAnsi="Verdana"/>
          <w:sz w:val="16"/>
          <w:szCs w:val="16"/>
        </w:rPr>
      </w:pPr>
      <w:r w:rsidRPr="002D2339">
        <w:rPr>
          <w:rFonts w:ascii="Verdana" w:hAnsi="Verdana"/>
          <w:sz w:val="16"/>
          <w:szCs w:val="16"/>
          <w:vertAlign w:val="superscript"/>
        </w:rPr>
        <w:footnoteRef/>
      </w:r>
      <w:r w:rsidRPr="002D2339">
        <w:rPr>
          <w:rFonts w:ascii="Verdana" w:hAnsi="Verdana"/>
          <w:sz w:val="16"/>
          <w:szCs w:val="16"/>
        </w:rPr>
        <w:t xml:space="preserve"> </w:t>
      </w:r>
      <w:r w:rsidRPr="002D2339">
        <w:rPr>
          <w:rFonts w:ascii="Verdana" w:hAnsi="Verdana"/>
          <w:sz w:val="16"/>
          <w:szCs w:val="16"/>
        </w:rPr>
        <w:tab/>
        <w:t xml:space="preserve">Los representantes de la víctima son Enrique J. Sánchez Falcón y José Antonio </w:t>
      </w:r>
      <w:proofErr w:type="spellStart"/>
      <w:r w:rsidRPr="002D2339">
        <w:rPr>
          <w:rFonts w:ascii="Verdana" w:hAnsi="Verdana"/>
          <w:sz w:val="16"/>
          <w:szCs w:val="16"/>
        </w:rPr>
        <w:t>Maes</w:t>
      </w:r>
      <w:proofErr w:type="spellEnd"/>
      <w:r w:rsidRPr="002D2339">
        <w:rPr>
          <w:rFonts w:ascii="Verdana" w:hAnsi="Verdana"/>
          <w:sz w:val="16"/>
          <w:szCs w:val="16"/>
        </w:rPr>
        <w:t xml:space="preserve"> Aponte.</w:t>
      </w:r>
    </w:p>
  </w:footnote>
  <w:footnote w:id="3">
    <w:p w14:paraId="1E5B8160" w14:textId="77777777" w:rsidR="006D5D7A" w:rsidRPr="002D2339" w:rsidRDefault="006D5D7A" w:rsidP="00CD3CE2">
      <w:pPr>
        <w:pStyle w:val="FootnoteText"/>
        <w:ind w:right="1440"/>
        <w:jc w:val="both"/>
        <w:rPr>
          <w:rFonts w:ascii="Verdana" w:hAnsi="Verdana"/>
          <w:sz w:val="16"/>
          <w:szCs w:val="16"/>
        </w:rPr>
      </w:pPr>
      <w:r w:rsidRPr="002D2339">
        <w:rPr>
          <w:rStyle w:val="FootnoteReference"/>
          <w:rFonts w:ascii="Verdana" w:hAnsi="Verdana"/>
          <w:sz w:val="16"/>
          <w:szCs w:val="16"/>
        </w:rPr>
        <w:footnoteRef/>
      </w:r>
      <w:r w:rsidRPr="002D2339">
        <w:rPr>
          <w:rFonts w:ascii="Verdana" w:hAnsi="Verdana"/>
          <w:sz w:val="16"/>
          <w:szCs w:val="16"/>
        </w:rPr>
        <w:t xml:space="preserve"> </w:t>
      </w:r>
      <w:r w:rsidRPr="002D2339">
        <w:rPr>
          <w:rFonts w:ascii="Verdana" w:hAnsi="Verdana"/>
          <w:sz w:val="16"/>
          <w:szCs w:val="16"/>
        </w:rPr>
        <w:tab/>
        <w:t>En las mencionadas notas de Secretaría se concedieron dos nuevos plazos al Estado para que presentara el informe requerido en la Sentencia (15 de octubre de 2012 y 30 de mayo de 2013) y se le indicó que en el mismo debía remitir las mencionadas observaciones al escrito de los representantes.</w:t>
      </w:r>
    </w:p>
  </w:footnote>
  <w:footnote w:id="4">
    <w:p w14:paraId="5C176137" w14:textId="72B3B9EA" w:rsidR="006D5D7A" w:rsidRPr="006C5CFD" w:rsidRDefault="006D5D7A" w:rsidP="00CD3CE2">
      <w:pPr>
        <w:pStyle w:val="FootnoteText"/>
        <w:ind w:right="1440"/>
        <w:jc w:val="both"/>
        <w:rPr>
          <w:rFonts w:ascii="Verdana" w:hAnsi="Verdana"/>
          <w:sz w:val="16"/>
          <w:szCs w:val="16"/>
          <w:lang w:val="es-CR"/>
        </w:rPr>
      </w:pPr>
      <w:r w:rsidRPr="002D2339">
        <w:rPr>
          <w:rStyle w:val="FootnoteReference"/>
          <w:rFonts w:ascii="Verdana" w:hAnsi="Verdana"/>
          <w:sz w:val="16"/>
          <w:szCs w:val="16"/>
        </w:rPr>
        <w:footnoteRef/>
      </w:r>
      <w:r w:rsidRPr="002D2339">
        <w:rPr>
          <w:rFonts w:ascii="Verdana" w:hAnsi="Verdana"/>
          <w:sz w:val="16"/>
          <w:szCs w:val="16"/>
          <w:lang w:val="es-CR"/>
        </w:rPr>
        <w:t xml:space="preserve"> </w:t>
      </w:r>
      <w:r w:rsidRPr="002D2339">
        <w:rPr>
          <w:rFonts w:ascii="Verdana" w:hAnsi="Verdana"/>
          <w:sz w:val="16"/>
          <w:szCs w:val="16"/>
          <w:lang w:val="es-CR"/>
        </w:rPr>
        <w:tab/>
        <w:t xml:space="preserve">Facultad que además </w:t>
      </w:r>
      <w:r w:rsidRPr="002D2339">
        <w:rPr>
          <w:rFonts w:ascii="Verdana" w:hAnsi="Verdana"/>
          <w:sz w:val="16"/>
          <w:szCs w:val="16"/>
          <w:lang w:val="es-ES"/>
        </w:rPr>
        <w:t xml:space="preserve">se desprende de lo dispuesto en los artículos 33, 62.1, 62.3, 65 y 68.1 de la </w:t>
      </w:r>
      <w:r w:rsidRPr="006C5CFD">
        <w:rPr>
          <w:rFonts w:ascii="Verdana" w:hAnsi="Verdana"/>
          <w:sz w:val="16"/>
          <w:szCs w:val="16"/>
          <w:lang w:val="es-ES"/>
        </w:rPr>
        <w:t xml:space="preserve">Convención Americana y </w:t>
      </w:r>
      <w:r w:rsidRPr="006C5CFD">
        <w:rPr>
          <w:rFonts w:ascii="Verdana" w:hAnsi="Verdana"/>
          <w:sz w:val="16"/>
          <w:szCs w:val="16"/>
          <w:lang w:val="es-CR"/>
        </w:rPr>
        <w:t>30 de su Estatuto y se encuentra regulada en el artículo 69 de su Reglamento.</w:t>
      </w:r>
    </w:p>
  </w:footnote>
  <w:footnote w:id="5">
    <w:p w14:paraId="03E9F616" w14:textId="0E2EBDD8" w:rsidR="006D5D7A" w:rsidRPr="00E03FBD" w:rsidRDefault="006D5D7A" w:rsidP="006C5CFD">
      <w:pPr>
        <w:pStyle w:val="FootnoteText"/>
        <w:ind w:right="1444"/>
        <w:jc w:val="both"/>
        <w:rPr>
          <w:rFonts w:ascii="Verdana" w:hAnsi="Verdana"/>
          <w:sz w:val="16"/>
          <w:szCs w:val="16"/>
        </w:rPr>
      </w:pPr>
      <w:r w:rsidRPr="00E03FBD">
        <w:rPr>
          <w:rStyle w:val="FootnoteReference"/>
          <w:rFonts w:ascii="Verdana" w:hAnsi="Verdana"/>
          <w:sz w:val="16"/>
          <w:szCs w:val="16"/>
        </w:rPr>
        <w:footnoteRef/>
      </w:r>
      <w:r w:rsidRPr="00E03FBD">
        <w:rPr>
          <w:rFonts w:ascii="Verdana" w:hAnsi="Verdana"/>
          <w:sz w:val="16"/>
          <w:szCs w:val="16"/>
        </w:rPr>
        <w:t xml:space="preserve"> </w:t>
      </w:r>
      <w:r w:rsidRPr="00E03FBD">
        <w:rPr>
          <w:rFonts w:ascii="Verdana" w:hAnsi="Verdana"/>
          <w:sz w:val="16"/>
          <w:szCs w:val="16"/>
        </w:rPr>
        <w:tab/>
      </w:r>
      <w:r w:rsidR="00D466E4" w:rsidRPr="00E03FBD">
        <w:rPr>
          <w:rFonts w:ascii="Verdana" w:hAnsi="Verdana"/>
          <w:sz w:val="16"/>
          <w:szCs w:val="16"/>
        </w:rPr>
        <w:t xml:space="preserve">La Corte dispuso que </w:t>
      </w:r>
      <w:r w:rsidR="00D466E4" w:rsidRPr="00E03FBD">
        <w:rPr>
          <w:rFonts w:ascii="Verdana" w:hAnsi="Verdana"/>
          <w:sz w:val="16"/>
          <w:szCs w:val="16"/>
          <w:lang w:val="es-MX"/>
        </w:rPr>
        <w:t>e</w:t>
      </w:r>
      <w:r w:rsidRPr="00E03FBD">
        <w:rPr>
          <w:rFonts w:ascii="Verdana" w:hAnsi="Verdana"/>
          <w:sz w:val="16"/>
          <w:szCs w:val="16"/>
          <w:lang w:val="es-MX"/>
        </w:rPr>
        <w:t xml:space="preserve">l Estado </w:t>
      </w:r>
      <w:r w:rsidR="00E03FBD" w:rsidRPr="00E03FBD">
        <w:rPr>
          <w:rFonts w:ascii="Verdana" w:hAnsi="Verdana"/>
          <w:sz w:val="16"/>
          <w:szCs w:val="16"/>
          <w:lang w:val="es-MX"/>
        </w:rPr>
        <w:t xml:space="preserve">“a través de los órganos competentes, y particularmente del Consejo Nacional Electoral (CNE), </w:t>
      </w:r>
      <w:r w:rsidR="00E03FBD" w:rsidRPr="0027245E">
        <w:rPr>
          <w:rFonts w:ascii="Verdana" w:hAnsi="Verdana"/>
          <w:sz w:val="16"/>
          <w:szCs w:val="16"/>
          <w:lang w:val="es-MX"/>
        </w:rPr>
        <w:t xml:space="preserve">debe </w:t>
      </w:r>
      <w:r w:rsidRPr="0027245E">
        <w:rPr>
          <w:rFonts w:ascii="Verdana" w:hAnsi="Verdana"/>
          <w:sz w:val="16"/>
          <w:szCs w:val="16"/>
          <w:lang w:val="es-MX"/>
        </w:rPr>
        <w:t xml:space="preserve">asegurar que las sanciones de inhabilitación no </w:t>
      </w:r>
      <w:r w:rsidR="00E03FBD" w:rsidRPr="0027245E">
        <w:rPr>
          <w:rFonts w:ascii="Verdana" w:hAnsi="Verdana"/>
          <w:sz w:val="16"/>
          <w:szCs w:val="16"/>
          <w:lang w:val="es-MX"/>
        </w:rPr>
        <w:t xml:space="preserve">constituyan </w:t>
      </w:r>
      <w:r w:rsidRPr="0027245E">
        <w:rPr>
          <w:rFonts w:ascii="Verdana" w:hAnsi="Verdana"/>
          <w:sz w:val="16"/>
          <w:szCs w:val="16"/>
          <w:lang w:val="es-MX"/>
        </w:rPr>
        <w:t xml:space="preserve">un impedimento para la postulación del señor López Mendoza en el evento de que deseara inscribirse como candidato en procesos electorales </w:t>
      </w:r>
      <w:r w:rsidR="00E03FBD" w:rsidRPr="009852CC">
        <w:rPr>
          <w:rFonts w:ascii="Verdana" w:hAnsi="Verdana"/>
          <w:sz w:val="16"/>
          <w:szCs w:val="16"/>
          <w:lang w:val="es-MX"/>
        </w:rPr>
        <w:t xml:space="preserve">a celebrarse con posterioridad a la emisión de la […] Sentencia”, </w:t>
      </w:r>
      <w:r w:rsidRPr="009852CC">
        <w:rPr>
          <w:rFonts w:ascii="Verdana" w:hAnsi="Verdana"/>
          <w:sz w:val="16"/>
          <w:szCs w:val="16"/>
          <w:lang w:val="es-MX"/>
        </w:rPr>
        <w:t xml:space="preserve">y </w:t>
      </w:r>
      <w:r w:rsidR="00E03FBD" w:rsidRPr="009852CC">
        <w:rPr>
          <w:rFonts w:ascii="Verdana" w:hAnsi="Verdana"/>
          <w:sz w:val="16"/>
          <w:szCs w:val="16"/>
          <w:lang w:val="es-MX"/>
        </w:rPr>
        <w:t xml:space="preserve">que “debe </w:t>
      </w:r>
      <w:r w:rsidRPr="009852CC">
        <w:rPr>
          <w:rFonts w:ascii="Verdana" w:hAnsi="Verdana"/>
          <w:sz w:val="16"/>
          <w:szCs w:val="16"/>
          <w:lang w:val="es-MX"/>
        </w:rPr>
        <w:t xml:space="preserve">dejar sin efecto las Resoluciones </w:t>
      </w:r>
      <w:r w:rsidR="00E03FBD" w:rsidRPr="00FB269A">
        <w:rPr>
          <w:rFonts w:ascii="Verdana" w:hAnsi="Verdana"/>
          <w:sz w:val="16"/>
          <w:szCs w:val="16"/>
          <w:lang w:val="es-MX"/>
        </w:rPr>
        <w:t xml:space="preserve">[administrativas] </w:t>
      </w:r>
      <w:r w:rsidRPr="00F57BB1">
        <w:rPr>
          <w:rFonts w:ascii="Verdana" w:hAnsi="Verdana"/>
          <w:sz w:val="16"/>
          <w:szCs w:val="16"/>
          <w:lang w:val="es-MX"/>
        </w:rPr>
        <w:t>Nos. 01-00-000206 de 2</w:t>
      </w:r>
      <w:r w:rsidRPr="008544D8">
        <w:rPr>
          <w:rFonts w:ascii="Verdana" w:hAnsi="Verdana"/>
          <w:sz w:val="16"/>
          <w:szCs w:val="16"/>
          <w:lang w:val="es-MX"/>
        </w:rPr>
        <w:t>4 de agosto de 2005 y 01-00-000235 de 26 de septiembre de 2005 emitidas por el Contralor General de la República</w:t>
      </w:r>
      <w:r w:rsidR="00E03FBD" w:rsidRPr="00726E70">
        <w:rPr>
          <w:rFonts w:ascii="Verdana" w:hAnsi="Verdana"/>
          <w:sz w:val="16"/>
          <w:szCs w:val="16"/>
          <w:lang w:val="es-MX"/>
        </w:rPr>
        <w:t>” mediante las cuales se impuso al señor L</w:t>
      </w:r>
      <w:r w:rsidR="00E03FBD" w:rsidRPr="001F76AA">
        <w:rPr>
          <w:rFonts w:ascii="Verdana" w:hAnsi="Verdana"/>
          <w:sz w:val="16"/>
          <w:szCs w:val="16"/>
          <w:lang w:val="es-MX"/>
        </w:rPr>
        <w:t xml:space="preserve">ópez </w:t>
      </w:r>
      <w:r w:rsidR="00E03FBD" w:rsidRPr="00E03FBD">
        <w:rPr>
          <w:rFonts w:ascii="Verdana" w:hAnsi="Verdana" w:cs="Arial"/>
          <w:sz w:val="16"/>
          <w:szCs w:val="16"/>
        </w:rPr>
        <w:t>sanciones de inhabilitación para el ejercicio de funciones públicas</w:t>
      </w:r>
      <w:r w:rsidRPr="00E03FBD">
        <w:rPr>
          <w:rFonts w:ascii="Verdana" w:hAnsi="Verdana"/>
          <w:sz w:val="16"/>
          <w:szCs w:val="16"/>
          <w:lang w:val="es-MX"/>
        </w:rPr>
        <w:t>.</w:t>
      </w:r>
      <w:r w:rsidR="00E03FBD">
        <w:rPr>
          <w:rFonts w:ascii="Verdana" w:hAnsi="Verdana"/>
          <w:sz w:val="16"/>
          <w:szCs w:val="16"/>
          <w:lang w:val="es-MX"/>
        </w:rPr>
        <w:t xml:space="preserve"> </w:t>
      </w:r>
      <w:r w:rsidR="00E03FBD" w:rsidRPr="002D2339">
        <w:rPr>
          <w:rFonts w:ascii="Verdana" w:hAnsi="Verdana"/>
          <w:i/>
          <w:sz w:val="16"/>
          <w:szCs w:val="16"/>
        </w:rPr>
        <w:t>Cfr.</w:t>
      </w:r>
      <w:r w:rsidR="00E03FBD" w:rsidRPr="002D2339">
        <w:rPr>
          <w:rFonts w:ascii="Verdana" w:hAnsi="Verdana"/>
          <w:sz w:val="16"/>
          <w:szCs w:val="16"/>
        </w:rPr>
        <w:t xml:space="preserve"> </w:t>
      </w:r>
      <w:r w:rsidR="00E03FBD" w:rsidRPr="002D2339">
        <w:rPr>
          <w:rFonts w:ascii="Verdana" w:eastAsia="Times New Roman" w:hAnsi="Verdana"/>
          <w:bCs/>
          <w:i/>
          <w:color w:val="000000"/>
          <w:sz w:val="16"/>
          <w:szCs w:val="16"/>
        </w:rPr>
        <w:t>Caso</w:t>
      </w:r>
      <w:r w:rsidR="00E03FBD" w:rsidRPr="002D2339">
        <w:rPr>
          <w:rFonts w:ascii="Verdana" w:eastAsia="Times New Roman" w:hAnsi="Verdana"/>
          <w:bCs/>
          <w:color w:val="000000"/>
          <w:sz w:val="16"/>
          <w:szCs w:val="16"/>
        </w:rPr>
        <w:t xml:space="preserve"> </w:t>
      </w:r>
      <w:r w:rsidR="00E03FBD" w:rsidRPr="002D2339">
        <w:rPr>
          <w:rFonts w:ascii="Verdana" w:eastAsia="Times New Roman" w:hAnsi="Verdana"/>
          <w:bCs/>
          <w:i/>
          <w:color w:val="000000"/>
          <w:sz w:val="16"/>
          <w:szCs w:val="16"/>
        </w:rPr>
        <w:t>López Mendoza</w:t>
      </w:r>
      <w:r w:rsidR="00E03FBD">
        <w:rPr>
          <w:rFonts w:ascii="Verdana" w:eastAsia="Times New Roman" w:hAnsi="Verdana"/>
          <w:bCs/>
          <w:i/>
          <w:color w:val="000000"/>
          <w:sz w:val="16"/>
          <w:szCs w:val="16"/>
        </w:rPr>
        <w:t xml:space="preserve">, supra, </w:t>
      </w:r>
      <w:r w:rsidR="00E03FBD">
        <w:rPr>
          <w:rFonts w:ascii="Verdana" w:eastAsia="Times New Roman" w:hAnsi="Verdana"/>
          <w:bCs/>
          <w:color w:val="000000"/>
          <w:sz w:val="16"/>
          <w:szCs w:val="16"/>
        </w:rPr>
        <w:t>puntos dispositivos segundo y tercero.</w:t>
      </w:r>
    </w:p>
  </w:footnote>
  <w:footnote w:id="6">
    <w:p w14:paraId="1872BF75" w14:textId="7C4249C5" w:rsidR="0027245E" w:rsidRPr="0027245E" w:rsidRDefault="0027245E">
      <w:pPr>
        <w:pStyle w:val="FootnoteText"/>
        <w:rPr>
          <w:rFonts w:ascii="Verdana" w:hAnsi="Verdana"/>
          <w:sz w:val="16"/>
          <w:szCs w:val="16"/>
        </w:rPr>
      </w:pPr>
      <w:r w:rsidRPr="0027245E">
        <w:rPr>
          <w:rStyle w:val="FootnoteReference"/>
          <w:rFonts w:ascii="Verdana" w:hAnsi="Verdana"/>
          <w:sz w:val="16"/>
          <w:szCs w:val="16"/>
        </w:rPr>
        <w:footnoteRef/>
      </w:r>
      <w:r w:rsidRPr="0027245E">
        <w:rPr>
          <w:rFonts w:ascii="Verdana" w:hAnsi="Verdana"/>
          <w:sz w:val="16"/>
          <w:szCs w:val="16"/>
        </w:rPr>
        <w:t xml:space="preserve"> </w:t>
      </w:r>
      <w:r w:rsidRPr="0027245E">
        <w:rPr>
          <w:rFonts w:ascii="Verdana" w:hAnsi="Verdana"/>
          <w:sz w:val="16"/>
          <w:szCs w:val="16"/>
        </w:rPr>
        <w:tab/>
      </w:r>
      <w:r w:rsidRPr="0027245E">
        <w:rPr>
          <w:rFonts w:ascii="Verdana" w:hAnsi="Verdana"/>
          <w:i/>
          <w:sz w:val="16"/>
          <w:szCs w:val="16"/>
        </w:rPr>
        <w:t>Cfr.</w:t>
      </w:r>
      <w:r w:rsidRPr="0027245E">
        <w:rPr>
          <w:rFonts w:ascii="Verdana" w:hAnsi="Verdana"/>
          <w:sz w:val="16"/>
          <w:szCs w:val="16"/>
        </w:rPr>
        <w:t xml:space="preserve"> </w:t>
      </w:r>
      <w:r w:rsidRPr="0027245E">
        <w:rPr>
          <w:rFonts w:ascii="Verdana" w:eastAsia="Times New Roman" w:hAnsi="Verdana"/>
          <w:bCs/>
          <w:i/>
          <w:color w:val="000000"/>
          <w:sz w:val="16"/>
          <w:szCs w:val="16"/>
        </w:rPr>
        <w:t>Caso</w:t>
      </w:r>
      <w:r w:rsidRPr="0027245E">
        <w:rPr>
          <w:rFonts w:ascii="Verdana" w:eastAsia="Times New Roman" w:hAnsi="Verdana"/>
          <w:bCs/>
          <w:color w:val="000000"/>
          <w:sz w:val="16"/>
          <w:szCs w:val="16"/>
        </w:rPr>
        <w:t xml:space="preserve"> </w:t>
      </w:r>
      <w:r w:rsidRPr="0027245E">
        <w:rPr>
          <w:rFonts w:ascii="Verdana" w:eastAsia="Times New Roman" w:hAnsi="Verdana"/>
          <w:bCs/>
          <w:i/>
          <w:color w:val="000000"/>
          <w:sz w:val="16"/>
          <w:szCs w:val="16"/>
        </w:rPr>
        <w:t xml:space="preserve">López Mendoza, supra, </w:t>
      </w:r>
      <w:r w:rsidRPr="0027245E">
        <w:rPr>
          <w:rFonts w:ascii="Verdana" w:eastAsia="Times New Roman" w:hAnsi="Verdana"/>
          <w:bCs/>
          <w:color w:val="000000"/>
          <w:sz w:val="16"/>
          <w:szCs w:val="16"/>
        </w:rPr>
        <w:t>punto dispositivo cuarto.</w:t>
      </w:r>
    </w:p>
  </w:footnote>
  <w:footnote w:id="7">
    <w:p w14:paraId="639AF5F5" w14:textId="11D86C59" w:rsidR="0027245E" w:rsidRPr="0027245E" w:rsidRDefault="0027245E">
      <w:pPr>
        <w:pStyle w:val="FootnoteText"/>
        <w:rPr>
          <w:rFonts w:ascii="Verdana" w:hAnsi="Verdana"/>
          <w:sz w:val="16"/>
          <w:szCs w:val="16"/>
        </w:rPr>
      </w:pPr>
      <w:r w:rsidRPr="0027245E">
        <w:rPr>
          <w:rStyle w:val="FootnoteReference"/>
          <w:rFonts w:ascii="Verdana" w:hAnsi="Verdana"/>
          <w:sz w:val="16"/>
          <w:szCs w:val="16"/>
        </w:rPr>
        <w:footnoteRef/>
      </w:r>
      <w:r w:rsidRPr="0027245E">
        <w:rPr>
          <w:rFonts w:ascii="Verdana" w:hAnsi="Verdana"/>
          <w:sz w:val="16"/>
          <w:szCs w:val="16"/>
        </w:rPr>
        <w:t xml:space="preserve"> </w:t>
      </w:r>
      <w:r w:rsidRPr="0027245E">
        <w:rPr>
          <w:rFonts w:ascii="Verdana" w:hAnsi="Verdana"/>
          <w:sz w:val="16"/>
          <w:szCs w:val="16"/>
        </w:rPr>
        <w:tab/>
      </w:r>
      <w:r w:rsidRPr="0027245E">
        <w:rPr>
          <w:rFonts w:ascii="Verdana" w:hAnsi="Verdana"/>
          <w:i/>
          <w:sz w:val="16"/>
          <w:szCs w:val="16"/>
        </w:rPr>
        <w:t>Cfr.</w:t>
      </w:r>
      <w:r w:rsidRPr="0027245E">
        <w:rPr>
          <w:rFonts w:ascii="Verdana" w:hAnsi="Verdana"/>
          <w:sz w:val="16"/>
          <w:szCs w:val="16"/>
        </w:rPr>
        <w:t xml:space="preserve"> </w:t>
      </w:r>
      <w:r w:rsidRPr="0027245E">
        <w:rPr>
          <w:rFonts w:ascii="Verdana" w:eastAsia="Times New Roman" w:hAnsi="Verdana"/>
          <w:bCs/>
          <w:i/>
          <w:color w:val="000000"/>
          <w:sz w:val="16"/>
          <w:szCs w:val="16"/>
        </w:rPr>
        <w:t>Caso</w:t>
      </w:r>
      <w:r w:rsidRPr="0027245E">
        <w:rPr>
          <w:rFonts w:ascii="Verdana" w:eastAsia="Times New Roman" w:hAnsi="Verdana"/>
          <w:bCs/>
          <w:color w:val="000000"/>
          <w:sz w:val="16"/>
          <w:szCs w:val="16"/>
        </w:rPr>
        <w:t xml:space="preserve"> </w:t>
      </w:r>
      <w:r w:rsidRPr="0027245E">
        <w:rPr>
          <w:rFonts w:ascii="Verdana" w:eastAsia="Times New Roman" w:hAnsi="Verdana"/>
          <w:bCs/>
          <w:i/>
          <w:color w:val="000000"/>
          <w:sz w:val="16"/>
          <w:szCs w:val="16"/>
        </w:rPr>
        <w:t xml:space="preserve">López Mendoza, supra, </w:t>
      </w:r>
      <w:r w:rsidRPr="0027245E">
        <w:rPr>
          <w:rFonts w:ascii="Verdana" w:eastAsia="Times New Roman" w:hAnsi="Verdana"/>
          <w:bCs/>
          <w:color w:val="000000"/>
          <w:sz w:val="16"/>
          <w:szCs w:val="16"/>
        </w:rPr>
        <w:t>punto dispositivo quinto.</w:t>
      </w:r>
    </w:p>
  </w:footnote>
  <w:footnote w:id="8">
    <w:p w14:paraId="6B4E2140" w14:textId="47680241" w:rsidR="009852CC" w:rsidRPr="009852CC" w:rsidRDefault="009852CC">
      <w:pPr>
        <w:pStyle w:val="FootnoteText"/>
        <w:rPr>
          <w:rFonts w:ascii="Verdana" w:hAnsi="Verdana"/>
          <w:sz w:val="16"/>
          <w:szCs w:val="16"/>
        </w:rPr>
      </w:pPr>
      <w:r w:rsidRPr="009852CC">
        <w:rPr>
          <w:rStyle w:val="FootnoteReference"/>
          <w:rFonts w:ascii="Verdana" w:hAnsi="Verdana"/>
          <w:sz w:val="16"/>
          <w:szCs w:val="16"/>
        </w:rPr>
        <w:footnoteRef/>
      </w:r>
      <w:r w:rsidRPr="009852CC">
        <w:rPr>
          <w:rFonts w:ascii="Verdana" w:hAnsi="Verdana"/>
          <w:sz w:val="16"/>
          <w:szCs w:val="16"/>
        </w:rPr>
        <w:t xml:space="preserve"> </w:t>
      </w:r>
      <w:r w:rsidRPr="009852CC">
        <w:rPr>
          <w:rFonts w:ascii="Verdana" w:hAnsi="Verdana"/>
          <w:sz w:val="16"/>
          <w:szCs w:val="16"/>
        </w:rPr>
        <w:tab/>
      </w:r>
      <w:r w:rsidRPr="009852CC">
        <w:rPr>
          <w:rFonts w:ascii="Verdana" w:hAnsi="Verdana"/>
          <w:i/>
          <w:sz w:val="16"/>
          <w:szCs w:val="16"/>
        </w:rPr>
        <w:t>Cfr.</w:t>
      </w:r>
      <w:r w:rsidRPr="009852CC">
        <w:rPr>
          <w:rFonts w:ascii="Verdana" w:hAnsi="Verdana"/>
          <w:sz w:val="16"/>
          <w:szCs w:val="16"/>
        </w:rPr>
        <w:t xml:space="preserve"> </w:t>
      </w:r>
      <w:r w:rsidRPr="009852CC">
        <w:rPr>
          <w:rFonts w:ascii="Verdana" w:eastAsia="Times New Roman" w:hAnsi="Verdana"/>
          <w:bCs/>
          <w:i/>
          <w:color w:val="000000"/>
          <w:sz w:val="16"/>
          <w:szCs w:val="16"/>
        </w:rPr>
        <w:t>Caso</w:t>
      </w:r>
      <w:r w:rsidRPr="009852CC">
        <w:rPr>
          <w:rFonts w:ascii="Verdana" w:eastAsia="Times New Roman" w:hAnsi="Verdana"/>
          <w:bCs/>
          <w:color w:val="000000"/>
          <w:sz w:val="16"/>
          <w:szCs w:val="16"/>
        </w:rPr>
        <w:t xml:space="preserve"> </w:t>
      </w:r>
      <w:r w:rsidRPr="009852CC">
        <w:rPr>
          <w:rFonts w:ascii="Verdana" w:eastAsia="Times New Roman" w:hAnsi="Verdana"/>
          <w:bCs/>
          <w:i/>
          <w:color w:val="000000"/>
          <w:sz w:val="16"/>
          <w:szCs w:val="16"/>
        </w:rPr>
        <w:t xml:space="preserve">López Mendoza, supra, </w:t>
      </w:r>
      <w:r w:rsidRPr="009852CC">
        <w:rPr>
          <w:rFonts w:ascii="Verdana" w:eastAsia="Times New Roman" w:hAnsi="Verdana"/>
          <w:bCs/>
          <w:color w:val="000000"/>
          <w:sz w:val="16"/>
          <w:szCs w:val="16"/>
        </w:rPr>
        <w:t>punto dispositivo sexto.</w:t>
      </w:r>
    </w:p>
  </w:footnote>
  <w:footnote w:id="9">
    <w:p w14:paraId="70D4C336" w14:textId="767938DD" w:rsidR="00FB269A" w:rsidRPr="003D2B83" w:rsidRDefault="00FB269A" w:rsidP="003D2B83">
      <w:pPr>
        <w:pStyle w:val="FootnoteText"/>
        <w:ind w:right="1444"/>
        <w:jc w:val="both"/>
        <w:rPr>
          <w:rFonts w:ascii="Verdana" w:hAnsi="Verdana"/>
          <w:sz w:val="16"/>
          <w:szCs w:val="16"/>
        </w:rPr>
      </w:pPr>
      <w:r w:rsidRPr="003D2B83">
        <w:rPr>
          <w:rStyle w:val="FootnoteReference"/>
          <w:rFonts w:ascii="Verdana" w:hAnsi="Verdana"/>
          <w:sz w:val="16"/>
          <w:szCs w:val="16"/>
        </w:rPr>
        <w:footnoteRef/>
      </w:r>
      <w:r w:rsidRPr="003D2B83">
        <w:rPr>
          <w:rFonts w:ascii="Verdana" w:hAnsi="Verdana"/>
          <w:sz w:val="16"/>
          <w:szCs w:val="16"/>
        </w:rPr>
        <w:t xml:space="preserve"> </w:t>
      </w:r>
      <w:r w:rsidRPr="003D2B83">
        <w:rPr>
          <w:rFonts w:ascii="Verdana" w:hAnsi="Verdana"/>
          <w:sz w:val="16"/>
          <w:szCs w:val="16"/>
        </w:rPr>
        <w:tab/>
      </w:r>
      <w:r w:rsidRPr="00FB269A">
        <w:rPr>
          <w:rFonts w:ascii="Verdana" w:hAnsi="Verdana"/>
          <w:i/>
          <w:sz w:val="16"/>
          <w:szCs w:val="16"/>
        </w:rPr>
        <w:t xml:space="preserve">Cfr. </w:t>
      </w:r>
      <w:r w:rsidRPr="00FB269A">
        <w:rPr>
          <w:rStyle w:val="Strong"/>
          <w:rFonts w:ascii="Verdana" w:hAnsi="Verdana"/>
          <w:b w:val="0"/>
          <w:i/>
          <w:color w:val="000000"/>
          <w:sz w:val="16"/>
          <w:szCs w:val="16"/>
          <w:shd w:val="clear" w:color="auto" w:fill="FFFFFF"/>
        </w:rPr>
        <w:t xml:space="preserve">Caso </w:t>
      </w:r>
      <w:proofErr w:type="spellStart"/>
      <w:r w:rsidRPr="00FB269A">
        <w:rPr>
          <w:rStyle w:val="Strong"/>
          <w:rFonts w:ascii="Verdana" w:hAnsi="Verdana"/>
          <w:b w:val="0"/>
          <w:i/>
          <w:color w:val="000000"/>
          <w:sz w:val="16"/>
          <w:szCs w:val="16"/>
          <w:shd w:val="clear" w:color="auto" w:fill="FFFFFF"/>
        </w:rPr>
        <w:t>Apitz</w:t>
      </w:r>
      <w:proofErr w:type="spellEnd"/>
      <w:r w:rsidRPr="00FB269A">
        <w:rPr>
          <w:rStyle w:val="Strong"/>
          <w:rFonts w:ascii="Verdana" w:hAnsi="Verdana"/>
          <w:b w:val="0"/>
          <w:i/>
          <w:color w:val="000000"/>
          <w:sz w:val="16"/>
          <w:szCs w:val="16"/>
          <w:shd w:val="clear" w:color="auto" w:fill="FFFFFF"/>
        </w:rPr>
        <w:t xml:space="preserve"> Barbera y otros (“Corte Primera de lo Contencioso Administrativo”) Vs. Venezuela. Supervisión Cumplimiento Sentencia</w:t>
      </w:r>
      <w:r w:rsidRPr="009E068E">
        <w:rPr>
          <w:rStyle w:val="Strong"/>
          <w:rFonts w:ascii="Verdana" w:hAnsi="Verdana"/>
          <w:b w:val="0"/>
          <w:i/>
          <w:color w:val="000000"/>
          <w:sz w:val="16"/>
          <w:szCs w:val="16"/>
          <w:shd w:val="clear" w:color="auto" w:fill="FFFFFF"/>
        </w:rPr>
        <w:t xml:space="preserve">. </w:t>
      </w:r>
      <w:r w:rsidR="009E068E" w:rsidRPr="003D2B83">
        <w:rPr>
          <w:rStyle w:val="Strong"/>
          <w:rFonts w:ascii="Verdana" w:hAnsi="Verdana"/>
          <w:b w:val="0"/>
          <w:color w:val="000000"/>
          <w:sz w:val="16"/>
          <w:szCs w:val="16"/>
          <w:shd w:val="clear" w:color="auto" w:fill="FFFFFF"/>
        </w:rPr>
        <w:t>Resolución de la Corte Interamericana de Derechos Humanos de 23 de noviembre de 2012</w:t>
      </w:r>
      <w:r w:rsidR="009E068E">
        <w:rPr>
          <w:rStyle w:val="Strong"/>
          <w:rFonts w:ascii="Verdana" w:hAnsi="Verdana"/>
          <w:b w:val="0"/>
          <w:color w:val="000000"/>
          <w:sz w:val="16"/>
          <w:szCs w:val="16"/>
          <w:shd w:val="clear" w:color="auto" w:fill="FFFFFF"/>
        </w:rPr>
        <w:t>.</w:t>
      </w:r>
    </w:p>
  </w:footnote>
  <w:footnote w:id="10">
    <w:p w14:paraId="387FF077" w14:textId="120C618C" w:rsidR="006D5D7A" w:rsidRPr="002323F5" w:rsidRDefault="006D5D7A" w:rsidP="00557942">
      <w:pPr>
        <w:pStyle w:val="NormalWeb"/>
        <w:spacing w:before="0" w:beforeAutospacing="0" w:after="0" w:afterAutospacing="0"/>
        <w:ind w:right="1444"/>
        <w:jc w:val="both"/>
        <w:rPr>
          <w:rFonts w:ascii="Verdana" w:eastAsiaTheme="minorEastAsia" w:hAnsi="Verdana"/>
          <w:sz w:val="16"/>
          <w:szCs w:val="16"/>
          <w:lang w:eastAsia="en-US"/>
        </w:rPr>
      </w:pPr>
      <w:r w:rsidRPr="004F582B">
        <w:rPr>
          <w:rStyle w:val="FootnoteReference"/>
          <w:rFonts w:ascii="Verdana" w:hAnsi="Verdana"/>
          <w:sz w:val="16"/>
          <w:szCs w:val="16"/>
        </w:rPr>
        <w:footnoteRef/>
      </w:r>
      <w:r w:rsidRPr="004F582B">
        <w:rPr>
          <w:rFonts w:ascii="Verdana" w:hAnsi="Verdana"/>
          <w:sz w:val="16"/>
          <w:szCs w:val="16"/>
        </w:rPr>
        <w:t xml:space="preserve"> </w:t>
      </w:r>
      <w:r w:rsidRPr="004F582B">
        <w:rPr>
          <w:rFonts w:ascii="Verdana" w:hAnsi="Verdana"/>
          <w:sz w:val="16"/>
          <w:szCs w:val="16"/>
        </w:rPr>
        <w:tab/>
      </w:r>
      <w:r w:rsidR="00557942" w:rsidRPr="003D2B83">
        <w:rPr>
          <w:rFonts w:ascii="Verdana" w:hAnsi="Verdana"/>
          <w:i/>
          <w:sz w:val="16"/>
          <w:szCs w:val="16"/>
        </w:rPr>
        <w:t>Cfr.</w:t>
      </w:r>
      <w:r w:rsidR="00557942">
        <w:rPr>
          <w:rFonts w:ascii="Verdana" w:hAnsi="Verdana"/>
          <w:sz w:val="16"/>
          <w:szCs w:val="16"/>
        </w:rPr>
        <w:t xml:space="preserve"> </w:t>
      </w:r>
      <w:r w:rsidRPr="004F582B">
        <w:rPr>
          <w:rFonts w:ascii="Verdana" w:hAnsi="Verdana"/>
          <w:sz w:val="16"/>
          <w:szCs w:val="16"/>
        </w:rPr>
        <w:t>Decisión de 5 de agosto de 2008 de la Sala Constitucional del Tribunal Supremo de Justicia de Venezuela. D</w:t>
      </w:r>
      <w:r w:rsidRPr="002323F5">
        <w:rPr>
          <w:rFonts w:ascii="Verdana" w:eastAsiaTheme="minorEastAsia" w:hAnsi="Verdana"/>
          <w:sz w:val="16"/>
          <w:szCs w:val="16"/>
          <w:lang w:eastAsia="en-US"/>
        </w:rPr>
        <w:t xml:space="preserve">icha Sala </w:t>
      </w:r>
      <w:proofErr w:type="spellStart"/>
      <w:r w:rsidRPr="002323F5">
        <w:rPr>
          <w:rFonts w:ascii="Verdana" w:eastAsiaTheme="minorEastAsia" w:hAnsi="Verdana"/>
          <w:sz w:val="16"/>
          <w:szCs w:val="16"/>
          <w:lang w:eastAsia="en-US"/>
        </w:rPr>
        <w:t>decidio</w:t>
      </w:r>
      <w:proofErr w:type="spellEnd"/>
      <w:r w:rsidRPr="002323F5">
        <w:rPr>
          <w:rFonts w:ascii="Verdana" w:eastAsiaTheme="minorEastAsia" w:hAnsi="Verdana"/>
          <w:sz w:val="16"/>
          <w:szCs w:val="16"/>
          <w:lang w:eastAsia="en-US"/>
        </w:rPr>
        <w:t>́ declarar “[i]</w:t>
      </w:r>
      <w:proofErr w:type="spellStart"/>
      <w:r w:rsidRPr="002323F5">
        <w:rPr>
          <w:rFonts w:ascii="Verdana" w:eastAsiaTheme="minorEastAsia" w:hAnsi="Verdana"/>
          <w:sz w:val="16"/>
          <w:szCs w:val="16"/>
          <w:lang w:eastAsia="en-US"/>
        </w:rPr>
        <w:t>nejecutable</w:t>
      </w:r>
      <w:proofErr w:type="spellEnd"/>
      <w:r w:rsidRPr="002323F5">
        <w:rPr>
          <w:rFonts w:ascii="Verdana" w:eastAsiaTheme="minorEastAsia" w:hAnsi="Verdana"/>
          <w:sz w:val="16"/>
          <w:szCs w:val="16"/>
          <w:lang w:eastAsia="en-US"/>
        </w:rPr>
        <w:t xml:space="preserve"> el fallo de la Corte Interamericana de Derechos Humanos, de fecha 5 de agosto de 2008, en el que se </w:t>
      </w:r>
      <w:proofErr w:type="spellStart"/>
      <w:r w:rsidRPr="002323F5">
        <w:rPr>
          <w:rFonts w:ascii="Verdana" w:eastAsiaTheme="minorEastAsia" w:hAnsi="Verdana"/>
          <w:sz w:val="16"/>
          <w:szCs w:val="16"/>
          <w:lang w:eastAsia="en-US"/>
        </w:rPr>
        <w:t>ordeno</w:t>
      </w:r>
      <w:proofErr w:type="spellEnd"/>
      <w:r w:rsidRPr="002323F5">
        <w:rPr>
          <w:rFonts w:ascii="Verdana" w:eastAsiaTheme="minorEastAsia" w:hAnsi="Verdana"/>
          <w:sz w:val="16"/>
          <w:szCs w:val="16"/>
          <w:lang w:eastAsia="en-US"/>
        </w:rPr>
        <w:t xml:space="preserve">́ la </w:t>
      </w:r>
      <w:proofErr w:type="spellStart"/>
      <w:r w:rsidRPr="002323F5">
        <w:rPr>
          <w:rFonts w:ascii="Verdana" w:eastAsiaTheme="minorEastAsia" w:hAnsi="Verdana"/>
          <w:sz w:val="16"/>
          <w:szCs w:val="16"/>
          <w:lang w:eastAsia="en-US"/>
        </w:rPr>
        <w:t>reincorporación</w:t>
      </w:r>
      <w:proofErr w:type="spellEnd"/>
      <w:r w:rsidRPr="002323F5">
        <w:rPr>
          <w:rFonts w:ascii="Verdana" w:eastAsiaTheme="minorEastAsia" w:hAnsi="Verdana"/>
          <w:sz w:val="16"/>
          <w:szCs w:val="16"/>
          <w:lang w:eastAsia="en-US"/>
        </w:rPr>
        <w:t xml:space="preserve"> en el cargo de los ex-magistrados de la Corte Primera de lo Contencioso Administrativo [...], se </w:t>
      </w:r>
      <w:proofErr w:type="spellStart"/>
      <w:r w:rsidRPr="002323F5">
        <w:rPr>
          <w:rFonts w:ascii="Verdana" w:eastAsiaTheme="minorEastAsia" w:hAnsi="Verdana"/>
          <w:sz w:val="16"/>
          <w:szCs w:val="16"/>
          <w:lang w:eastAsia="en-US"/>
        </w:rPr>
        <w:t>condeno</w:t>
      </w:r>
      <w:proofErr w:type="spellEnd"/>
      <w:r w:rsidRPr="002323F5">
        <w:rPr>
          <w:rFonts w:ascii="Verdana" w:eastAsiaTheme="minorEastAsia" w:hAnsi="Verdana"/>
          <w:sz w:val="16"/>
          <w:szCs w:val="16"/>
          <w:lang w:eastAsia="en-US"/>
        </w:rPr>
        <w:t xml:space="preserve">́ a la </w:t>
      </w:r>
      <w:proofErr w:type="spellStart"/>
      <w:r w:rsidRPr="002323F5">
        <w:rPr>
          <w:rFonts w:ascii="Verdana" w:eastAsiaTheme="minorEastAsia" w:hAnsi="Verdana"/>
          <w:sz w:val="16"/>
          <w:szCs w:val="16"/>
          <w:lang w:eastAsia="en-US"/>
        </w:rPr>
        <w:t>República</w:t>
      </w:r>
      <w:proofErr w:type="spellEnd"/>
      <w:r w:rsidRPr="002323F5">
        <w:rPr>
          <w:rFonts w:ascii="Verdana" w:eastAsiaTheme="minorEastAsia" w:hAnsi="Verdana"/>
          <w:sz w:val="16"/>
          <w:szCs w:val="16"/>
          <w:lang w:eastAsia="en-US"/>
        </w:rPr>
        <w:t xml:space="preserve"> Bolivariana de Venezuela el pago de cantidades de dinero y a las publicaciones referidas al sistema disciplinario de los jueces”.</w:t>
      </w:r>
    </w:p>
  </w:footnote>
  <w:footnote w:id="11">
    <w:p w14:paraId="418EA10D" w14:textId="522FC894" w:rsidR="006D5D7A" w:rsidRPr="00FB269A" w:rsidRDefault="006D5D7A" w:rsidP="003D2B83">
      <w:pPr>
        <w:pStyle w:val="FootnoteText"/>
        <w:ind w:right="1444"/>
        <w:jc w:val="both"/>
        <w:rPr>
          <w:rFonts w:ascii="Verdana" w:hAnsi="Verdana"/>
          <w:sz w:val="16"/>
          <w:szCs w:val="16"/>
        </w:rPr>
      </w:pPr>
      <w:r w:rsidRPr="00557942">
        <w:rPr>
          <w:rStyle w:val="FootnoteReference"/>
          <w:rFonts w:ascii="Verdana" w:hAnsi="Verdana"/>
          <w:sz w:val="16"/>
          <w:szCs w:val="16"/>
        </w:rPr>
        <w:footnoteRef/>
      </w:r>
      <w:r w:rsidRPr="00557942">
        <w:rPr>
          <w:rFonts w:ascii="Verdana" w:hAnsi="Verdana"/>
          <w:sz w:val="16"/>
          <w:szCs w:val="16"/>
        </w:rPr>
        <w:t xml:space="preserve"> </w:t>
      </w:r>
      <w:r w:rsidRPr="00557942">
        <w:rPr>
          <w:rFonts w:ascii="Verdana" w:hAnsi="Verdana"/>
          <w:sz w:val="16"/>
          <w:szCs w:val="16"/>
        </w:rPr>
        <w:tab/>
      </w:r>
      <w:r w:rsidRPr="00557942">
        <w:rPr>
          <w:rFonts w:ascii="Verdana" w:hAnsi="Verdana"/>
          <w:i/>
          <w:sz w:val="16"/>
          <w:szCs w:val="16"/>
        </w:rPr>
        <w:t>Cfr.</w:t>
      </w:r>
      <w:r w:rsidRPr="003D2B83">
        <w:rPr>
          <w:rFonts w:ascii="Verdana" w:hAnsi="Verdana"/>
          <w:i/>
          <w:sz w:val="16"/>
          <w:szCs w:val="16"/>
        </w:rPr>
        <w:t xml:space="preserve"> </w:t>
      </w:r>
      <w:r w:rsidR="00557942" w:rsidRPr="003D2B83">
        <w:rPr>
          <w:rStyle w:val="Strong"/>
          <w:rFonts w:ascii="Verdana" w:hAnsi="Verdana"/>
          <w:b w:val="0"/>
          <w:i/>
          <w:color w:val="000000"/>
          <w:sz w:val="16"/>
          <w:szCs w:val="16"/>
          <w:shd w:val="clear" w:color="auto" w:fill="FFFFFF"/>
        </w:rPr>
        <w:t xml:space="preserve">Caso </w:t>
      </w:r>
      <w:proofErr w:type="spellStart"/>
      <w:r w:rsidR="00557942" w:rsidRPr="003D2B83">
        <w:rPr>
          <w:rStyle w:val="Strong"/>
          <w:rFonts w:ascii="Verdana" w:hAnsi="Verdana"/>
          <w:b w:val="0"/>
          <w:i/>
          <w:color w:val="000000"/>
          <w:sz w:val="16"/>
          <w:szCs w:val="16"/>
          <w:shd w:val="clear" w:color="auto" w:fill="FFFFFF"/>
        </w:rPr>
        <w:t>Apitz</w:t>
      </w:r>
      <w:proofErr w:type="spellEnd"/>
      <w:r w:rsidR="00557942" w:rsidRPr="003D2B83">
        <w:rPr>
          <w:rStyle w:val="Strong"/>
          <w:rFonts w:ascii="Verdana" w:hAnsi="Verdana"/>
          <w:b w:val="0"/>
          <w:i/>
          <w:color w:val="000000"/>
          <w:sz w:val="16"/>
          <w:szCs w:val="16"/>
          <w:shd w:val="clear" w:color="auto" w:fill="FFFFFF"/>
        </w:rPr>
        <w:t xml:space="preserve"> Barbera y otros</w:t>
      </w:r>
      <w:r w:rsidR="00D80E65">
        <w:rPr>
          <w:rStyle w:val="Strong"/>
          <w:rFonts w:ascii="Verdana" w:hAnsi="Verdana"/>
          <w:b w:val="0"/>
          <w:i/>
          <w:color w:val="000000"/>
          <w:sz w:val="16"/>
          <w:szCs w:val="16"/>
          <w:shd w:val="clear" w:color="auto" w:fill="FFFFFF"/>
        </w:rPr>
        <w:t>,</w:t>
      </w:r>
      <w:r w:rsidR="00557942" w:rsidRPr="003D2B83">
        <w:rPr>
          <w:rStyle w:val="Strong"/>
          <w:rFonts w:ascii="Verdana" w:hAnsi="Verdana"/>
          <w:b w:val="0"/>
          <w:i/>
          <w:color w:val="000000"/>
          <w:sz w:val="16"/>
          <w:szCs w:val="16"/>
          <w:shd w:val="clear" w:color="auto" w:fill="FFFFFF"/>
        </w:rPr>
        <w:t xml:space="preserve"> </w:t>
      </w:r>
      <w:r w:rsidR="00FB269A">
        <w:rPr>
          <w:rStyle w:val="Strong"/>
          <w:rFonts w:ascii="Verdana" w:hAnsi="Verdana"/>
          <w:b w:val="0"/>
          <w:i/>
          <w:color w:val="000000"/>
          <w:sz w:val="16"/>
          <w:szCs w:val="16"/>
          <w:shd w:val="clear" w:color="auto" w:fill="FFFFFF"/>
        </w:rPr>
        <w:t>supra</w:t>
      </w:r>
      <w:r w:rsidR="00557942" w:rsidRPr="003D2B83">
        <w:rPr>
          <w:rStyle w:val="Strong"/>
          <w:rFonts w:ascii="Verdana" w:hAnsi="Verdana"/>
          <w:b w:val="0"/>
          <w:color w:val="000000"/>
          <w:sz w:val="16"/>
          <w:szCs w:val="16"/>
          <w:shd w:val="clear" w:color="auto" w:fill="FFFFFF"/>
        </w:rPr>
        <w:t xml:space="preserve">, </w:t>
      </w:r>
      <w:r w:rsidR="00557942" w:rsidRPr="00557942">
        <w:rPr>
          <w:rFonts w:ascii="Verdana" w:hAnsi="Verdana"/>
          <w:sz w:val="16"/>
          <w:szCs w:val="16"/>
        </w:rPr>
        <w:t>C</w:t>
      </w:r>
      <w:r w:rsidRPr="00557942">
        <w:rPr>
          <w:rFonts w:ascii="Verdana" w:hAnsi="Verdana"/>
          <w:sz w:val="16"/>
          <w:szCs w:val="16"/>
        </w:rPr>
        <w:t>onsiderando 15</w:t>
      </w:r>
      <w:r w:rsidR="00557942" w:rsidRPr="00D85432">
        <w:rPr>
          <w:rFonts w:ascii="Verdana" w:hAnsi="Verdana"/>
          <w:sz w:val="16"/>
          <w:szCs w:val="16"/>
        </w:rPr>
        <w:t>.</w:t>
      </w:r>
    </w:p>
  </w:footnote>
  <w:footnote w:id="12">
    <w:p w14:paraId="741B92CE" w14:textId="3158E15A" w:rsidR="00F57BB1" w:rsidRPr="003D2B83" w:rsidRDefault="00F57BB1" w:rsidP="003D2B83">
      <w:pPr>
        <w:pStyle w:val="FootnoteText"/>
        <w:ind w:right="1444"/>
        <w:rPr>
          <w:rFonts w:ascii="Verdana" w:hAnsi="Verdana"/>
          <w:sz w:val="16"/>
          <w:szCs w:val="16"/>
        </w:rPr>
      </w:pPr>
      <w:r w:rsidRPr="003D2B83">
        <w:rPr>
          <w:rStyle w:val="FootnoteReference"/>
          <w:rFonts w:ascii="Verdana" w:hAnsi="Verdana"/>
          <w:sz w:val="16"/>
          <w:szCs w:val="16"/>
        </w:rPr>
        <w:footnoteRef/>
      </w:r>
      <w:r w:rsidRPr="003D2B83">
        <w:rPr>
          <w:rFonts w:ascii="Verdana" w:hAnsi="Verdana"/>
          <w:sz w:val="16"/>
          <w:szCs w:val="16"/>
        </w:rPr>
        <w:t xml:space="preserve"> </w:t>
      </w:r>
      <w:r w:rsidRPr="003D2B83">
        <w:rPr>
          <w:rFonts w:ascii="Verdana" w:hAnsi="Verdana"/>
          <w:sz w:val="16"/>
          <w:szCs w:val="16"/>
        </w:rPr>
        <w:tab/>
      </w:r>
      <w:r w:rsidRPr="003D2B83">
        <w:rPr>
          <w:rFonts w:ascii="Verdana" w:hAnsi="Verdana"/>
          <w:i/>
          <w:sz w:val="16"/>
          <w:szCs w:val="16"/>
        </w:rPr>
        <w:t>Cfr.</w:t>
      </w:r>
      <w:r w:rsidRPr="003D2B83">
        <w:rPr>
          <w:rFonts w:ascii="Verdana" w:hAnsi="Verdana"/>
          <w:sz w:val="16"/>
          <w:szCs w:val="16"/>
        </w:rPr>
        <w:t xml:space="preserve"> Decisión de 17 de octubre de 2011 </w:t>
      </w:r>
      <w:r w:rsidRPr="00F57BB1">
        <w:rPr>
          <w:rFonts w:ascii="Verdana" w:hAnsi="Verdana"/>
          <w:sz w:val="16"/>
          <w:szCs w:val="16"/>
        </w:rPr>
        <w:t>de la Sala Constitucional del Tribunal Supremo de Justicia de Venezuela</w:t>
      </w:r>
      <w:r w:rsidR="00D80E65">
        <w:rPr>
          <w:rFonts w:ascii="Verdana" w:hAnsi="Verdana"/>
          <w:sz w:val="16"/>
          <w:szCs w:val="16"/>
        </w:rPr>
        <w:t>.</w:t>
      </w:r>
    </w:p>
  </w:footnote>
  <w:footnote w:id="13">
    <w:p w14:paraId="6C15E7B9" w14:textId="66B60B80" w:rsidR="006D5D7A" w:rsidRPr="00D80E65" w:rsidRDefault="006D5D7A" w:rsidP="00C54008">
      <w:pPr>
        <w:pStyle w:val="FootnoteText"/>
        <w:ind w:right="1440"/>
        <w:jc w:val="both"/>
        <w:rPr>
          <w:rFonts w:ascii="Verdana" w:hAnsi="Verdana"/>
          <w:sz w:val="16"/>
          <w:szCs w:val="16"/>
        </w:rPr>
      </w:pPr>
      <w:r w:rsidRPr="00D80E65">
        <w:rPr>
          <w:rStyle w:val="FootnoteReference"/>
          <w:rFonts w:ascii="Verdana" w:hAnsi="Verdana"/>
          <w:sz w:val="16"/>
          <w:szCs w:val="16"/>
        </w:rPr>
        <w:footnoteRef/>
      </w:r>
      <w:r w:rsidRPr="00D80E65">
        <w:rPr>
          <w:rFonts w:ascii="Verdana" w:hAnsi="Verdana"/>
          <w:sz w:val="16"/>
          <w:szCs w:val="16"/>
        </w:rPr>
        <w:t xml:space="preserve"> </w:t>
      </w:r>
      <w:r w:rsidRPr="00D80E65">
        <w:rPr>
          <w:rFonts w:ascii="Verdana" w:hAnsi="Verdana"/>
          <w:sz w:val="16"/>
          <w:szCs w:val="16"/>
        </w:rPr>
        <w:tab/>
      </w:r>
      <w:r w:rsidR="007F798C" w:rsidRPr="00D80E65">
        <w:rPr>
          <w:rFonts w:ascii="Verdana" w:hAnsi="Verdana"/>
          <w:i/>
          <w:sz w:val="16"/>
          <w:szCs w:val="16"/>
        </w:rPr>
        <w:t>Cfr.</w:t>
      </w:r>
      <w:r w:rsidR="007F798C" w:rsidRPr="00D80E65">
        <w:rPr>
          <w:rFonts w:ascii="Verdana" w:hAnsi="Verdana"/>
          <w:sz w:val="16"/>
          <w:szCs w:val="16"/>
        </w:rPr>
        <w:t xml:space="preserve"> </w:t>
      </w:r>
      <w:r w:rsidRPr="00D80E65">
        <w:rPr>
          <w:rStyle w:val="Strong"/>
          <w:rFonts w:ascii="Verdana" w:hAnsi="Verdana"/>
          <w:b w:val="0"/>
          <w:i/>
          <w:color w:val="000000"/>
          <w:sz w:val="16"/>
          <w:szCs w:val="16"/>
          <w:shd w:val="clear" w:color="auto" w:fill="FFFFFF"/>
        </w:rPr>
        <w:t xml:space="preserve">Caso </w:t>
      </w:r>
      <w:proofErr w:type="spellStart"/>
      <w:r w:rsidRPr="00D80E65">
        <w:rPr>
          <w:rStyle w:val="Strong"/>
          <w:rFonts w:ascii="Verdana" w:hAnsi="Verdana"/>
          <w:b w:val="0"/>
          <w:i/>
          <w:color w:val="000000"/>
          <w:sz w:val="16"/>
          <w:szCs w:val="16"/>
          <w:shd w:val="clear" w:color="auto" w:fill="FFFFFF"/>
        </w:rPr>
        <w:t>Apitz</w:t>
      </w:r>
      <w:proofErr w:type="spellEnd"/>
      <w:r w:rsidRPr="00D80E65">
        <w:rPr>
          <w:rStyle w:val="Strong"/>
          <w:rFonts w:ascii="Verdana" w:hAnsi="Verdana"/>
          <w:b w:val="0"/>
          <w:i/>
          <w:color w:val="000000"/>
          <w:sz w:val="16"/>
          <w:szCs w:val="16"/>
          <w:shd w:val="clear" w:color="auto" w:fill="FFFFFF"/>
        </w:rPr>
        <w:t xml:space="preserve"> Barbera y Otros</w:t>
      </w:r>
      <w:r w:rsidR="007F798C" w:rsidRPr="00D80E65">
        <w:rPr>
          <w:rStyle w:val="Strong"/>
          <w:rFonts w:ascii="Verdana" w:hAnsi="Verdana"/>
          <w:b w:val="0"/>
          <w:i/>
          <w:color w:val="000000"/>
          <w:sz w:val="16"/>
          <w:szCs w:val="16"/>
          <w:shd w:val="clear" w:color="auto" w:fill="FFFFFF"/>
        </w:rPr>
        <w:t>, supra</w:t>
      </w:r>
      <w:r w:rsidRPr="00D80E65">
        <w:rPr>
          <w:rStyle w:val="Strong"/>
          <w:rFonts w:ascii="Verdana" w:hAnsi="Verdana"/>
          <w:b w:val="0"/>
          <w:color w:val="000000"/>
          <w:sz w:val="16"/>
          <w:szCs w:val="16"/>
          <w:shd w:val="clear" w:color="auto" w:fill="FFFFFF"/>
        </w:rPr>
        <w:t>,</w:t>
      </w:r>
      <w:r w:rsidRPr="00D80E65">
        <w:rPr>
          <w:rFonts w:ascii="Verdana" w:hAnsi="Verdana"/>
          <w:b/>
          <w:sz w:val="16"/>
          <w:szCs w:val="16"/>
          <w:lang w:val="es-CR"/>
        </w:rPr>
        <w:t xml:space="preserve"> </w:t>
      </w:r>
      <w:r w:rsidRPr="00D80E65">
        <w:rPr>
          <w:rFonts w:ascii="Verdana" w:hAnsi="Verdana"/>
          <w:sz w:val="16"/>
          <w:szCs w:val="16"/>
          <w:lang w:val="es-CR"/>
        </w:rPr>
        <w:t>Considerando 39.</w:t>
      </w:r>
    </w:p>
  </w:footnote>
  <w:footnote w:id="14">
    <w:p w14:paraId="307356B1" w14:textId="2FA384AA" w:rsidR="00726E70" w:rsidRPr="00D80E65" w:rsidRDefault="00726E70">
      <w:pPr>
        <w:pStyle w:val="FootnoteText"/>
        <w:rPr>
          <w:rFonts w:ascii="Verdana" w:hAnsi="Verdana"/>
          <w:sz w:val="16"/>
          <w:szCs w:val="16"/>
        </w:rPr>
      </w:pPr>
      <w:r w:rsidRPr="00D80E65">
        <w:rPr>
          <w:rStyle w:val="FootnoteReference"/>
          <w:rFonts w:ascii="Verdana" w:hAnsi="Verdana"/>
          <w:sz w:val="16"/>
          <w:szCs w:val="16"/>
        </w:rPr>
        <w:footnoteRef/>
      </w:r>
      <w:r w:rsidRPr="00D80E65">
        <w:rPr>
          <w:rFonts w:ascii="Verdana" w:hAnsi="Verdana"/>
          <w:sz w:val="16"/>
          <w:szCs w:val="16"/>
        </w:rPr>
        <w:t xml:space="preserve"> </w:t>
      </w:r>
      <w:r w:rsidRPr="00D80E65">
        <w:rPr>
          <w:rFonts w:ascii="Verdana" w:hAnsi="Verdana"/>
          <w:sz w:val="16"/>
          <w:szCs w:val="16"/>
        </w:rPr>
        <w:tab/>
      </w:r>
      <w:r w:rsidRPr="00D80E65">
        <w:rPr>
          <w:rFonts w:ascii="Verdana" w:hAnsi="Verdana"/>
          <w:i/>
          <w:sz w:val="16"/>
          <w:szCs w:val="16"/>
          <w:lang w:val="es-CO"/>
        </w:rPr>
        <w:t>Cfr.</w:t>
      </w:r>
      <w:r w:rsidRPr="00D80E65">
        <w:rPr>
          <w:rFonts w:ascii="Verdana" w:hAnsi="Verdana"/>
          <w:sz w:val="16"/>
          <w:szCs w:val="16"/>
          <w:lang w:val="es-CO"/>
        </w:rPr>
        <w:t xml:space="preserve"> </w:t>
      </w:r>
      <w:r w:rsidRPr="00D80E65">
        <w:rPr>
          <w:rStyle w:val="Strong"/>
          <w:rFonts w:ascii="Verdana" w:hAnsi="Verdana"/>
          <w:b w:val="0"/>
          <w:i/>
          <w:color w:val="000000"/>
          <w:sz w:val="16"/>
          <w:szCs w:val="16"/>
          <w:shd w:val="clear" w:color="auto" w:fill="FFFFFF"/>
        </w:rPr>
        <w:t xml:space="preserve">Caso </w:t>
      </w:r>
      <w:proofErr w:type="spellStart"/>
      <w:r w:rsidRPr="00D80E65">
        <w:rPr>
          <w:rStyle w:val="Strong"/>
          <w:rFonts w:ascii="Verdana" w:hAnsi="Verdana"/>
          <w:b w:val="0"/>
          <w:i/>
          <w:color w:val="000000"/>
          <w:sz w:val="16"/>
          <w:szCs w:val="16"/>
          <w:shd w:val="clear" w:color="auto" w:fill="FFFFFF"/>
        </w:rPr>
        <w:t>Apitz</w:t>
      </w:r>
      <w:proofErr w:type="spellEnd"/>
      <w:r w:rsidRPr="00D80E65">
        <w:rPr>
          <w:rStyle w:val="Strong"/>
          <w:rFonts w:ascii="Verdana" w:hAnsi="Verdana"/>
          <w:b w:val="0"/>
          <w:i/>
          <w:color w:val="000000"/>
          <w:sz w:val="16"/>
          <w:szCs w:val="16"/>
          <w:shd w:val="clear" w:color="auto" w:fill="FFFFFF"/>
        </w:rPr>
        <w:t xml:space="preserve"> Barbera y Otros, supra,</w:t>
      </w:r>
      <w:r w:rsidRPr="00D80E65">
        <w:rPr>
          <w:rStyle w:val="Strong"/>
          <w:rFonts w:ascii="Verdana" w:hAnsi="Verdana"/>
          <w:b w:val="0"/>
          <w:color w:val="000000"/>
          <w:sz w:val="16"/>
          <w:szCs w:val="16"/>
          <w:shd w:val="clear" w:color="auto" w:fill="FFFFFF"/>
        </w:rPr>
        <w:t xml:space="preserve"> Considerando 26.</w:t>
      </w:r>
    </w:p>
  </w:footnote>
  <w:footnote w:id="15">
    <w:p w14:paraId="723784F6" w14:textId="23ECD774" w:rsidR="00726E70" w:rsidRPr="00D80E65" w:rsidRDefault="00726E70">
      <w:pPr>
        <w:pStyle w:val="FootnoteText"/>
        <w:rPr>
          <w:rFonts w:ascii="Verdana" w:hAnsi="Verdana"/>
          <w:sz w:val="16"/>
          <w:szCs w:val="16"/>
        </w:rPr>
      </w:pPr>
      <w:r w:rsidRPr="00D80E65">
        <w:rPr>
          <w:rStyle w:val="FootnoteReference"/>
          <w:rFonts w:ascii="Verdana" w:hAnsi="Verdana"/>
          <w:sz w:val="16"/>
          <w:szCs w:val="16"/>
        </w:rPr>
        <w:footnoteRef/>
      </w:r>
      <w:r w:rsidRPr="00D80E65">
        <w:rPr>
          <w:rFonts w:ascii="Verdana" w:hAnsi="Verdana"/>
          <w:sz w:val="16"/>
          <w:szCs w:val="16"/>
        </w:rPr>
        <w:t xml:space="preserve"> </w:t>
      </w:r>
      <w:r w:rsidRPr="00D80E65">
        <w:rPr>
          <w:rFonts w:ascii="Verdana" w:hAnsi="Verdana"/>
          <w:sz w:val="16"/>
          <w:szCs w:val="16"/>
        </w:rPr>
        <w:tab/>
      </w:r>
      <w:r w:rsidRPr="00D80E65">
        <w:rPr>
          <w:rFonts w:ascii="Verdana" w:hAnsi="Verdana"/>
          <w:i/>
          <w:sz w:val="16"/>
          <w:szCs w:val="16"/>
        </w:rPr>
        <w:t>Cfr.</w:t>
      </w:r>
      <w:r w:rsidRPr="00D80E65">
        <w:rPr>
          <w:rFonts w:ascii="Verdana" w:hAnsi="Verdana"/>
          <w:sz w:val="16"/>
          <w:szCs w:val="16"/>
        </w:rPr>
        <w:t xml:space="preserve"> </w:t>
      </w:r>
      <w:r w:rsidRPr="00D80E65">
        <w:rPr>
          <w:rStyle w:val="Strong"/>
          <w:rFonts w:ascii="Verdana" w:hAnsi="Verdana"/>
          <w:b w:val="0"/>
          <w:i/>
          <w:color w:val="000000"/>
          <w:sz w:val="16"/>
          <w:szCs w:val="16"/>
          <w:shd w:val="clear" w:color="auto" w:fill="FFFFFF"/>
        </w:rPr>
        <w:t xml:space="preserve">Caso </w:t>
      </w:r>
      <w:proofErr w:type="spellStart"/>
      <w:r w:rsidRPr="00D80E65">
        <w:rPr>
          <w:rStyle w:val="Strong"/>
          <w:rFonts w:ascii="Verdana" w:hAnsi="Verdana"/>
          <w:b w:val="0"/>
          <w:i/>
          <w:color w:val="000000"/>
          <w:sz w:val="16"/>
          <w:szCs w:val="16"/>
          <w:shd w:val="clear" w:color="auto" w:fill="FFFFFF"/>
        </w:rPr>
        <w:t>Apitz</w:t>
      </w:r>
      <w:proofErr w:type="spellEnd"/>
      <w:r w:rsidRPr="00D80E65">
        <w:rPr>
          <w:rStyle w:val="Strong"/>
          <w:rFonts w:ascii="Verdana" w:hAnsi="Verdana"/>
          <w:b w:val="0"/>
          <w:i/>
          <w:color w:val="000000"/>
          <w:sz w:val="16"/>
          <w:szCs w:val="16"/>
          <w:shd w:val="clear" w:color="auto" w:fill="FFFFFF"/>
        </w:rPr>
        <w:t xml:space="preserve"> Barbera y Otros, supra</w:t>
      </w:r>
      <w:r w:rsidRPr="00D80E65">
        <w:rPr>
          <w:rStyle w:val="Strong"/>
          <w:rFonts w:ascii="Verdana" w:hAnsi="Verdana"/>
          <w:b w:val="0"/>
          <w:color w:val="000000"/>
          <w:sz w:val="16"/>
          <w:szCs w:val="16"/>
          <w:shd w:val="clear" w:color="auto" w:fill="FFFFFF"/>
        </w:rPr>
        <w:t>,</w:t>
      </w:r>
      <w:r w:rsidRPr="00D80E65">
        <w:rPr>
          <w:rFonts w:ascii="Verdana" w:hAnsi="Verdana"/>
          <w:b/>
          <w:sz w:val="16"/>
          <w:szCs w:val="16"/>
          <w:lang w:val="es-CR"/>
        </w:rPr>
        <w:t xml:space="preserve"> </w:t>
      </w:r>
      <w:r w:rsidRPr="00D80E65">
        <w:rPr>
          <w:rFonts w:ascii="Verdana" w:hAnsi="Verdana"/>
          <w:sz w:val="16"/>
          <w:szCs w:val="16"/>
          <w:lang w:val="es-CR"/>
        </w:rPr>
        <w:t>Considerando 39.</w:t>
      </w:r>
    </w:p>
  </w:footnote>
  <w:footnote w:id="16">
    <w:p w14:paraId="6749F343" w14:textId="2F9926D6" w:rsidR="00726E70" w:rsidRPr="00D80E65" w:rsidRDefault="00726E70">
      <w:pPr>
        <w:pStyle w:val="FootnoteText"/>
        <w:rPr>
          <w:rFonts w:ascii="Verdana" w:hAnsi="Verdana"/>
        </w:rPr>
      </w:pPr>
      <w:r w:rsidRPr="00D80E65">
        <w:rPr>
          <w:rStyle w:val="FootnoteReference"/>
          <w:rFonts w:ascii="Verdana" w:hAnsi="Verdana"/>
          <w:sz w:val="16"/>
          <w:szCs w:val="16"/>
        </w:rPr>
        <w:footnoteRef/>
      </w:r>
      <w:r w:rsidRPr="00D80E65">
        <w:rPr>
          <w:rFonts w:ascii="Verdana" w:hAnsi="Verdana"/>
          <w:sz w:val="16"/>
          <w:szCs w:val="16"/>
        </w:rPr>
        <w:t xml:space="preserve"> </w:t>
      </w:r>
      <w:r w:rsidRPr="00D80E65">
        <w:rPr>
          <w:rFonts w:ascii="Verdana" w:hAnsi="Verdana"/>
          <w:sz w:val="16"/>
          <w:szCs w:val="16"/>
        </w:rPr>
        <w:tab/>
      </w:r>
      <w:r w:rsidRPr="00D80E65">
        <w:rPr>
          <w:rFonts w:ascii="Verdana" w:hAnsi="Verdana"/>
          <w:i/>
          <w:sz w:val="16"/>
          <w:szCs w:val="16"/>
        </w:rPr>
        <w:t>Cfr.</w:t>
      </w:r>
      <w:r w:rsidRPr="00D80E65">
        <w:rPr>
          <w:rFonts w:ascii="Verdana" w:hAnsi="Verdana"/>
          <w:sz w:val="16"/>
          <w:szCs w:val="16"/>
        </w:rPr>
        <w:t xml:space="preserve"> </w:t>
      </w:r>
      <w:r w:rsidRPr="00D80E65">
        <w:rPr>
          <w:rStyle w:val="Strong"/>
          <w:rFonts w:ascii="Verdana" w:hAnsi="Verdana"/>
          <w:b w:val="0"/>
          <w:i/>
          <w:color w:val="000000"/>
          <w:sz w:val="16"/>
          <w:szCs w:val="16"/>
          <w:shd w:val="clear" w:color="auto" w:fill="FFFFFF"/>
        </w:rPr>
        <w:t xml:space="preserve">Caso </w:t>
      </w:r>
      <w:proofErr w:type="spellStart"/>
      <w:r w:rsidRPr="00D80E65">
        <w:rPr>
          <w:rStyle w:val="Strong"/>
          <w:rFonts w:ascii="Verdana" w:hAnsi="Verdana"/>
          <w:b w:val="0"/>
          <w:i/>
          <w:color w:val="000000"/>
          <w:sz w:val="16"/>
          <w:szCs w:val="16"/>
          <w:shd w:val="clear" w:color="auto" w:fill="FFFFFF"/>
        </w:rPr>
        <w:t>Apitz</w:t>
      </w:r>
      <w:proofErr w:type="spellEnd"/>
      <w:r w:rsidRPr="00D80E65">
        <w:rPr>
          <w:rStyle w:val="Strong"/>
          <w:rFonts w:ascii="Verdana" w:hAnsi="Verdana"/>
          <w:b w:val="0"/>
          <w:i/>
          <w:color w:val="000000"/>
          <w:sz w:val="16"/>
          <w:szCs w:val="16"/>
          <w:shd w:val="clear" w:color="auto" w:fill="FFFFFF"/>
        </w:rPr>
        <w:t xml:space="preserve"> Barbera y Otros, supra</w:t>
      </w:r>
      <w:r w:rsidRPr="00D80E65">
        <w:rPr>
          <w:rStyle w:val="Strong"/>
          <w:rFonts w:ascii="Verdana" w:hAnsi="Verdana"/>
          <w:b w:val="0"/>
          <w:color w:val="000000"/>
          <w:sz w:val="16"/>
          <w:szCs w:val="16"/>
          <w:shd w:val="clear" w:color="auto" w:fill="FFFFFF"/>
        </w:rPr>
        <w:t>,</w:t>
      </w:r>
      <w:r w:rsidRPr="00D80E65">
        <w:rPr>
          <w:rFonts w:ascii="Verdana" w:hAnsi="Verdana"/>
          <w:b/>
          <w:sz w:val="16"/>
          <w:szCs w:val="16"/>
          <w:lang w:val="es-CR"/>
        </w:rPr>
        <w:t xml:space="preserve"> </w:t>
      </w:r>
      <w:r w:rsidRPr="00D80E65">
        <w:rPr>
          <w:rFonts w:ascii="Verdana" w:hAnsi="Verdana"/>
          <w:sz w:val="16"/>
          <w:szCs w:val="16"/>
          <w:lang w:val="es-CR"/>
        </w:rPr>
        <w:t>Considerando 39.</w:t>
      </w:r>
    </w:p>
  </w:footnote>
  <w:footnote w:id="17">
    <w:p w14:paraId="342EF5F6" w14:textId="1650EE6B" w:rsidR="00726E70" w:rsidRPr="00D80E65" w:rsidRDefault="00726E70" w:rsidP="003D2B83">
      <w:pPr>
        <w:pStyle w:val="FootnoteText"/>
        <w:ind w:right="1444"/>
        <w:jc w:val="both"/>
        <w:rPr>
          <w:rFonts w:ascii="Verdana" w:hAnsi="Verdana"/>
          <w:sz w:val="16"/>
          <w:szCs w:val="16"/>
        </w:rPr>
      </w:pPr>
      <w:r w:rsidRPr="00D80E65">
        <w:rPr>
          <w:rStyle w:val="FootnoteReference"/>
          <w:rFonts w:ascii="Verdana" w:hAnsi="Verdana"/>
          <w:sz w:val="16"/>
          <w:szCs w:val="16"/>
        </w:rPr>
        <w:footnoteRef/>
      </w:r>
      <w:r w:rsidRPr="00D80E65">
        <w:rPr>
          <w:rFonts w:ascii="Verdana" w:hAnsi="Verdana"/>
          <w:sz w:val="16"/>
          <w:szCs w:val="16"/>
        </w:rPr>
        <w:t xml:space="preserve"> </w:t>
      </w:r>
      <w:r w:rsidRPr="00D80E65">
        <w:rPr>
          <w:rFonts w:ascii="Verdana" w:hAnsi="Verdana"/>
          <w:sz w:val="16"/>
          <w:szCs w:val="16"/>
        </w:rPr>
        <w:tab/>
        <w:t xml:space="preserve">La Corte toma nota de la denuncia de la Convención Americana presentada por Venezuela, de conformidad con el artículo 78 de dicha Convención. </w:t>
      </w:r>
      <w:r w:rsidRPr="00D80E65">
        <w:rPr>
          <w:rFonts w:ascii="Verdana" w:hAnsi="Verdana"/>
          <w:i/>
          <w:sz w:val="16"/>
          <w:szCs w:val="16"/>
        </w:rPr>
        <w:t>Cfr.</w:t>
      </w:r>
      <w:r w:rsidRPr="00D80E65">
        <w:rPr>
          <w:rFonts w:ascii="Verdana" w:hAnsi="Verdana"/>
          <w:sz w:val="16"/>
          <w:szCs w:val="16"/>
        </w:rPr>
        <w:t xml:space="preserve"> Nota de la Secretaría General de la OEA No. OEA/2.2/81/12 de 11 de septiembre de 2012. Esta denuncia no tiene efectos sobre el presente caso.</w:t>
      </w:r>
    </w:p>
  </w:footnote>
  <w:footnote w:id="18">
    <w:p w14:paraId="1A9FA72D" w14:textId="77777777" w:rsidR="001C05D1" w:rsidRPr="00D80E65" w:rsidRDefault="001C05D1" w:rsidP="001C05D1">
      <w:pPr>
        <w:pStyle w:val="Sangradetindependiente"/>
        <w:tabs>
          <w:tab w:val="left" w:pos="567"/>
          <w:tab w:val="left" w:pos="8280"/>
        </w:tabs>
        <w:spacing w:afterLines="20" w:after="48"/>
        <w:ind w:right="1444"/>
        <w:rPr>
          <w:rFonts w:ascii="Verdana" w:hAnsi="Verdana"/>
          <w:sz w:val="16"/>
          <w:szCs w:val="16"/>
        </w:rPr>
      </w:pPr>
      <w:r w:rsidRPr="00D80E65">
        <w:rPr>
          <w:rStyle w:val="FootnoteReference"/>
          <w:rFonts w:ascii="Verdana" w:eastAsia="Times" w:hAnsi="Verdana"/>
          <w:sz w:val="16"/>
          <w:szCs w:val="16"/>
        </w:rPr>
        <w:footnoteRef/>
      </w:r>
      <w:r w:rsidRPr="00D80E65">
        <w:rPr>
          <w:rFonts w:ascii="Verdana" w:hAnsi="Verdana"/>
          <w:sz w:val="16"/>
          <w:szCs w:val="16"/>
        </w:rPr>
        <w:t xml:space="preserve"> </w:t>
      </w:r>
      <w:r w:rsidRPr="00D80E65">
        <w:rPr>
          <w:rFonts w:ascii="Verdana" w:hAnsi="Verdana"/>
          <w:sz w:val="16"/>
          <w:szCs w:val="16"/>
        </w:rPr>
        <w:tab/>
        <w:t xml:space="preserve"> “La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footnote>
  <w:footnote w:id="19">
    <w:p w14:paraId="79DD20CB" w14:textId="77777777" w:rsidR="001C05D1" w:rsidRPr="00D80E65" w:rsidRDefault="001C05D1" w:rsidP="001C05D1">
      <w:pPr>
        <w:pStyle w:val="FootnoteText"/>
        <w:tabs>
          <w:tab w:val="left" w:pos="567"/>
        </w:tabs>
        <w:ind w:right="1444"/>
        <w:jc w:val="both"/>
        <w:rPr>
          <w:rFonts w:ascii="Verdana" w:hAnsi="Verdana"/>
          <w:sz w:val="16"/>
          <w:szCs w:val="16"/>
        </w:rPr>
      </w:pPr>
      <w:r w:rsidRPr="00D80E65">
        <w:rPr>
          <w:rStyle w:val="FootnoteReference"/>
          <w:rFonts w:ascii="Verdana" w:hAnsi="Verdana"/>
          <w:sz w:val="16"/>
          <w:szCs w:val="16"/>
        </w:rPr>
        <w:footnoteRef/>
      </w:r>
      <w:r w:rsidRPr="00D80E65">
        <w:rPr>
          <w:rFonts w:ascii="Verdana" w:hAnsi="Verdana"/>
          <w:sz w:val="16"/>
          <w:szCs w:val="16"/>
        </w:rPr>
        <w:t xml:space="preserve"> </w:t>
      </w:r>
      <w:r w:rsidRPr="00D80E65">
        <w:rPr>
          <w:rFonts w:ascii="Verdana" w:hAnsi="Verdana"/>
          <w:sz w:val="16"/>
          <w:szCs w:val="16"/>
        </w:rPr>
        <w:tab/>
        <w:t>“</w:t>
      </w:r>
      <w:r w:rsidRPr="00D80E65">
        <w:rPr>
          <w:rFonts w:ascii="Verdana" w:hAnsi="Verdana"/>
          <w:color w:val="000000"/>
          <w:sz w:val="16"/>
          <w:szCs w:val="16"/>
          <w:lang w:val="es-CO"/>
        </w:rPr>
        <w:t>La Corte someterá a la Asamblea General de la OEA, en cada período ordinario de sesiones, un informe de su labor en el año anterior. Señalará los casos en que un Estado no haya dado cumplimiento a sus fallos. Podrá también someter a la Asamblea General de la OEA proposiciones o recomendaciones para el mejoramiento del sistema interamericano de derechos humanos, en lo relacionado con el trabajo de la Corte”.</w:t>
      </w:r>
    </w:p>
  </w:footnote>
  <w:footnote w:id="20">
    <w:p w14:paraId="416944E2" w14:textId="3EC72E36" w:rsidR="00D80E65" w:rsidRPr="00F01DB3" w:rsidRDefault="00D80E65">
      <w:pPr>
        <w:pStyle w:val="FootnoteText"/>
        <w:rPr>
          <w:rFonts w:ascii="Verdana" w:hAnsi="Verdana"/>
          <w:sz w:val="16"/>
          <w:szCs w:val="16"/>
        </w:rPr>
      </w:pPr>
      <w:r w:rsidRPr="00F01DB3">
        <w:rPr>
          <w:rStyle w:val="FootnoteReference"/>
          <w:rFonts w:ascii="Verdana" w:hAnsi="Verdana"/>
          <w:sz w:val="16"/>
          <w:szCs w:val="16"/>
        </w:rPr>
        <w:footnoteRef/>
      </w:r>
      <w:r w:rsidRPr="00F01DB3">
        <w:rPr>
          <w:rFonts w:ascii="Verdana" w:hAnsi="Verdana"/>
          <w:sz w:val="16"/>
          <w:szCs w:val="16"/>
        </w:rPr>
        <w:t xml:space="preserve"> </w:t>
      </w:r>
      <w:r w:rsidR="00F01DB3" w:rsidRPr="00F01DB3">
        <w:rPr>
          <w:rFonts w:ascii="Verdana" w:hAnsi="Verdana"/>
          <w:sz w:val="16"/>
          <w:szCs w:val="16"/>
        </w:rPr>
        <w:tab/>
      </w:r>
      <w:r w:rsidR="00F01DB3" w:rsidRPr="00F01DB3">
        <w:rPr>
          <w:rFonts w:ascii="Verdana" w:hAnsi="Verdana"/>
          <w:i/>
          <w:sz w:val="16"/>
          <w:szCs w:val="16"/>
        </w:rPr>
        <w:t>Cfr.</w:t>
      </w:r>
      <w:r w:rsidR="00F01DB3" w:rsidRPr="00F01DB3">
        <w:rPr>
          <w:rFonts w:ascii="Verdana" w:hAnsi="Verdana"/>
          <w:sz w:val="16"/>
          <w:szCs w:val="16"/>
        </w:rPr>
        <w:t xml:space="preserve"> </w:t>
      </w:r>
      <w:r w:rsidR="00F01DB3" w:rsidRPr="00F01DB3">
        <w:rPr>
          <w:rStyle w:val="Strong"/>
          <w:rFonts w:ascii="Verdana" w:hAnsi="Verdana"/>
          <w:b w:val="0"/>
          <w:i/>
          <w:color w:val="000000"/>
          <w:sz w:val="16"/>
          <w:szCs w:val="16"/>
          <w:shd w:val="clear" w:color="auto" w:fill="FFFFFF"/>
        </w:rPr>
        <w:t xml:space="preserve">Caso </w:t>
      </w:r>
      <w:proofErr w:type="spellStart"/>
      <w:r w:rsidR="00F01DB3" w:rsidRPr="00F01DB3">
        <w:rPr>
          <w:rStyle w:val="Strong"/>
          <w:rFonts w:ascii="Verdana" w:hAnsi="Verdana"/>
          <w:b w:val="0"/>
          <w:i/>
          <w:color w:val="000000"/>
          <w:sz w:val="16"/>
          <w:szCs w:val="16"/>
          <w:shd w:val="clear" w:color="auto" w:fill="FFFFFF"/>
        </w:rPr>
        <w:t>Apitz</w:t>
      </w:r>
      <w:proofErr w:type="spellEnd"/>
      <w:r w:rsidR="00F01DB3" w:rsidRPr="00F01DB3">
        <w:rPr>
          <w:rStyle w:val="Strong"/>
          <w:rFonts w:ascii="Verdana" w:hAnsi="Verdana"/>
          <w:b w:val="0"/>
          <w:i/>
          <w:color w:val="000000"/>
          <w:sz w:val="16"/>
          <w:szCs w:val="16"/>
          <w:shd w:val="clear" w:color="auto" w:fill="FFFFFF"/>
        </w:rPr>
        <w:t xml:space="preserve"> Barbera y Otros, supra</w:t>
      </w:r>
      <w:r w:rsidR="00F01DB3" w:rsidRPr="00F01DB3">
        <w:rPr>
          <w:rStyle w:val="Strong"/>
          <w:rFonts w:ascii="Verdana" w:hAnsi="Verdana"/>
          <w:b w:val="0"/>
          <w:color w:val="000000"/>
          <w:sz w:val="16"/>
          <w:szCs w:val="16"/>
          <w:shd w:val="clear" w:color="auto" w:fill="FFFFFF"/>
        </w:rPr>
        <w:t>, Considerando 45.</w:t>
      </w:r>
    </w:p>
  </w:footnote>
  <w:footnote w:id="21">
    <w:p w14:paraId="538493BA" w14:textId="2009A51F" w:rsidR="001C05D1" w:rsidRPr="009A72DC" w:rsidRDefault="001C05D1" w:rsidP="001C05D1">
      <w:pPr>
        <w:pStyle w:val="FootnoteText"/>
        <w:ind w:right="1444"/>
        <w:jc w:val="both"/>
        <w:rPr>
          <w:rFonts w:ascii="Verdana" w:hAnsi="Verdana"/>
          <w:sz w:val="16"/>
          <w:szCs w:val="16"/>
        </w:rPr>
      </w:pPr>
      <w:r w:rsidRPr="009A72DC">
        <w:rPr>
          <w:rStyle w:val="FootnoteReference"/>
          <w:rFonts w:ascii="Verdana" w:hAnsi="Verdana"/>
          <w:sz w:val="16"/>
          <w:szCs w:val="16"/>
        </w:rPr>
        <w:footnoteRef/>
      </w:r>
      <w:r w:rsidRPr="009A72DC">
        <w:rPr>
          <w:rFonts w:ascii="Verdana" w:hAnsi="Verdana"/>
          <w:sz w:val="16"/>
          <w:szCs w:val="16"/>
        </w:rPr>
        <w:t xml:space="preserve"> </w:t>
      </w:r>
      <w:r w:rsidRPr="009A72DC">
        <w:rPr>
          <w:rFonts w:ascii="Verdana" w:hAnsi="Verdana"/>
          <w:sz w:val="16"/>
          <w:szCs w:val="16"/>
        </w:rPr>
        <w:tab/>
      </w:r>
      <w:r w:rsidRPr="009A72DC">
        <w:rPr>
          <w:rFonts w:ascii="Verdana" w:hAnsi="Verdana"/>
          <w:i/>
          <w:sz w:val="16"/>
          <w:szCs w:val="16"/>
        </w:rPr>
        <w:t>Cfr.</w:t>
      </w:r>
      <w:r w:rsidRPr="009A72DC">
        <w:rPr>
          <w:rFonts w:ascii="Verdana" w:hAnsi="Verdana"/>
          <w:sz w:val="16"/>
          <w:szCs w:val="16"/>
        </w:rPr>
        <w:t xml:space="preserve"> </w:t>
      </w:r>
      <w:r w:rsidRPr="009A72DC">
        <w:rPr>
          <w:rStyle w:val="Strong"/>
          <w:rFonts w:ascii="Verdana" w:hAnsi="Verdana"/>
          <w:b w:val="0"/>
          <w:i/>
          <w:color w:val="000000"/>
          <w:sz w:val="16"/>
          <w:szCs w:val="16"/>
          <w:shd w:val="clear" w:color="auto" w:fill="FFFFFF"/>
        </w:rPr>
        <w:t xml:space="preserve">Caso </w:t>
      </w:r>
      <w:proofErr w:type="spellStart"/>
      <w:r w:rsidRPr="009A72DC">
        <w:rPr>
          <w:rStyle w:val="Strong"/>
          <w:rFonts w:ascii="Verdana" w:hAnsi="Verdana"/>
          <w:b w:val="0"/>
          <w:i/>
          <w:color w:val="000000"/>
          <w:sz w:val="16"/>
          <w:szCs w:val="16"/>
          <w:shd w:val="clear" w:color="auto" w:fill="FFFFFF"/>
        </w:rPr>
        <w:t>Apitz</w:t>
      </w:r>
      <w:proofErr w:type="spellEnd"/>
      <w:r w:rsidRPr="009A72DC">
        <w:rPr>
          <w:rStyle w:val="Strong"/>
          <w:rFonts w:ascii="Verdana" w:hAnsi="Verdana"/>
          <w:b w:val="0"/>
          <w:i/>
          <w:color w:val="000000"/>
          <w:sz w:val="16"/>
          <w:szCs w:val="16"/>
          <w:shd w:val="clear" w:color="auto" w:fill="FFFFFF"/>
        </w:rPr>
        <w:t xml:space="preserve"> Barbera y Otros</w:t>
      </w:r>
      <w:r w:rsidR="00472948">
        <w:rPr>
          <w:rStyle w:val="Strong"/>
          <w:rFonts w:ascii="Verdana" w:hAnsi="Verdana"/>
          <w:b w:val="0"/>
          <w:i/>
          <w:color w:val="000000"/>
          <w:sz w:val="16"/>
          <w:szCs w:val="16"/>
          <w:shd w:val="clear" w:color="auto" w:fill="FFFFFF"/>
        </w:rPr>
        <w:t>, supra</w:t>
      </w:r>
      <w:r w:rsidRPr="009A72DC">
        <w:rPr>
          <w:rStyle w:val="Strong"/>
          <w:rFonts w:ascii="Verdana" w:hAnsi="Verdana"/>
          <w:b w:val="0"/>
          <w:color w:val="000000"/>
          <w:sz w:val="16"/>
          <w:szCs w:val="16"/>
          <w:shd w:val="clear" w:color="auto" w:fill="FFFFFF"/>
        </w:rPr>
        <w:t xml:space="preserve">, Considerando </w:t>
      </w:r>
      <w:r w:rsidR="00472948">
        <w:rPr>
          <w:rStyle w:val="Strong"/>
          <w:rFonts w:ascii="Verdana" w:hAnsi="Verdana"/>
          <w:b w:val="0"/>
          <w:color w:val="000000"/>
          <w:sz w:val="16"/>
          <w:szCs w:val="16"/>
          <w:shd w:val="clear" w:color="auto" w:fill="FFFFFF"/>
        </w:rPr>
        <w:t>45</w:t>
      </w:r>
      <w:r w:rsidRPr="009A72DC">
        <w:rPr>
          <w:rStyle w:val="Strong"/>
          <w:rFonts w:ascii="Verdana" w:hAnsi="Verdana"/>
          <w:b w:val="0"/>
          <w:color w:val="000000"/>
          <w:sz w:val="16"/>
          <w:szCs w:val="16"/>
          <w:shd w:val="clear" w:color="auto" w:fill="FFFFFF"/>
        </w:rPr>
        <w:t>.</w:t>
      </w:r>
    </w:p>
  </w:footnote>
  <w:footnote w:id="22">
    <w:p w14:paraId="741BE604" w14:textId="7EBAD7EA" w:rsidR="00F90E89" w:rsidRPr="00F96411" w:rsidRDefault="00F90E89" w:rsidP="00F90E89">
      <w:pPr>
        <w:pStyle w:val="FootnoteText"/>
        <w:ind w:right="1444"/>
        <w:rPr>
          <w:rFonts w:ascii="Verdana" w:hAnsi="Verdana"/>
          <w:sz w:val="16"/>
          <w:szCs w:val="16"/>
          <w:lang w:val="es-CO"/>
        </w:rPr>
      </w:pPr>
      <w:r w:rsidRPr="00F96411">
        <w:rPr>
          <w:rStyle w:val="FootnoteReference"/>
          <w:rFonts w:ascii="Verdana" w:hAnsi="Verdana"/>
          <w:sz w:val="16"/>
          <w:szCs w:val="16"/>
        </w:rPr>
        <w:footnoteRef/>
      </w:r>
      <w:r w:rsidRPr="00F96411">
        <w:rPr>
          <w:rFonts w:ascii="Verdana" w:hAnsi="Verdana"/>
          <w:sz w:val="16"/>
          <w:szCs w:val="16"/>
        </w:rPr>
        <w:t xml:space="preserve"> </w:t>
      </w:r>
      <w:r w:rsidRPr="00F96411">
        <w:rPr>
          <w:rFonts w:ascii="Verdana" w:hAnsi="Verdana"/>
          <w:sz w:val="16"/>
          <w:szCs w:val="16"/>
        </w:rPr>
        <w:tab/>
      </w:r>
      <w:r w:rsidRPr="00F96411">
        <w:rPr>
          <w:rFonts w:ascii="Verdana" w:hAnsi="Verdana"/>
          <w:i/>
          <w:sz w:val="16"/>
          <w:szCs w:val="16"/>
          <w:lang w:val="es-ES"/>
        </w:rPr>
        <w:t>Cfr</w:t>
      </w:r>
      <w:r w:rsidRPr="00F96411">
        <w:rPr>
          <w:rFonts w:ascii="Verdana" w:hAnsi="Verdana"/>
          <w:sz w:val="16"/>
          <w:szCs w:val="16"/>
          <w:lang w:val="es-ES"/>
        </w:rPr>
        <w:t xml:space="preserve">. </w:t>
      </w:r>
      <w:r w:rsidRPr="00F96411">
        <w:rPr>
          <w:rFonts w:ascii="Verdana" w:hAnsi="Verdana"/>
          <w:i/>
          <w:sz w:val="16"/>
          <w:szCs w:val="16"/>
          <w:lang w:val="es-ES"/>
        </w:rPr>
        <w:t>Caso Baena Ricardo y otros Vs. Panamá</w:t>
      </w:r>
      <w:r w:rsidRPr="00F96411">
        <w:rPr>
          <w:rFonts w:ascii="Verdana" w:hAnsi="Verdana"/>
          <w:sz w:val="16"/>
          <w:szCs w:val="16"/>
          <w:lang w:val="es-ES"/>
        </w:rPr>
        <w:t xml:space="preserve">. </w:t>
      </w:r>
      <w:r w:rsidRPr="00F96411">
        <w:rPr>
          <w:rFonts w:ascii="Verdana" w:hAnsi="Verdana"/>
          <w:i/>
          <w:sz w:val="16"/>
          <w:szCs w:val="16"/>
          <w:lang w:val="es-ES"/>
        </w:rPr>
        <w:t>Competencia,</w:t>
      </w:r>
      <w:r w:rsidRPr="00F96411">
        <w:rPr>
          <w:rFonts w:ascii="Verdana" w:hAnsi="Verdana"/>
          <w:sz w:val="16"/>
          <w:szCs w:val="16"/>
          <w:lang w:val="es-ES"/>
        </w:rPr>
        <w:t xml:space="preserve"> </w:t>
      </w:r>
      <w:r w:rsidRPr="00F96411">
        <w:rPr>
          <w:rFonts w:ascii="Verdana" w:hAnsi="Verdana"/>
          <w:sz w:val="16"/>
          <w:szCs w:val="16"/>
        </w:rPr>
        <w:t xml:space="preserve">párr. 96, y </w:t>
      </w:r>
      <w:r w:rsidRPr="00F96411">
        <w:rPr>
          <w:rFonts w:ascii="Verdana" w:hAnsi="Verdana"/>
          <w:i/>
          <w:sz w:val="16"/>
          <w:szCs w:val="16"/>
        </w:rPr>
        <w:t>Cfr.</w:t>
      </w:r>
      <w:r w:rsidRPr="00F96411">
        <w:rPr>
          <w:rFonts w:ascii="Verdana" w:hAnsi="Verdana"/>
          <w:sz w:val="16"/>
          <w:szCs w:val="16"/>
        </w:rPr>
        <w:t xml:space="preserve"> </w:t>
      </w:r>
      <w:r w:rsidRPr="009A72DC">
        <w:rPr>
          <w:rStyle w:val="Strong"/>
          <w:rFonts w:ascii="Verdana" w:hAnsi="Verdana"/>
          <w:b w:val="0"/>
          <w:i/>
          <w:color w:val="000000"/>
          <w:sz w:val="16"/>
          <w:szCs w:val="16"/>
          <w:shd w:val="clear" w:color="auto" w:fill="FFFFFF"/>
        </w:rPr>
        <w:t xml:space="preserve">Caso </w:t>
      </w:r>
      <w:proofErr w:type="spellStart"/>
      <w:r w:rsidRPr="009A72DC">
        <w:rPr>
          <w:rStyle w:val="Strong"/>
          <w:rFonts w:ascii="Verdana" w:hAnsi="Verdana"/>
          <w:b w:val="0"/>
          <w:i/>
          <w:color w:val="000000"/>
          <w:sz w:val="16"/>
          <w:szCs w:val="16"/>
          <w:shd w:val="clear" w:color="auto" w:fill="FFFFFF"/>
        </w:rPr>
        <w:t>Apitz</w:t>
      </w:r>
      <w:proofErr w:type="spellEnd"/>
      <w:r w:rsidRPr="009A72DC">
        <w:rPr>
          <w:rStyle w:val="Strong"/>
          <w:rFonts w:ascii="Verdana" w:hAnsi="Verdana"/>
          <w:b w:val="0"/>
          <w:i/>
          <w:color w:val="000000"/>
          <w:sz w:val="16"/>
          <w:szCs w:val="16"/>
          <w:shd w:val="clear" w:color="auto" w:fill="FFFFFF"/>
        </w:rPr>
        <w:t xml:space="preserve"> Barbera y Otros,</w:t>
      </w:r>
      <w:r w:rsidRPr="00F96411">
        <w:rPr>
          <w:rStyle w:val="Strong"/>
          <w:rFonts w:ascii="Verdana" w:hAnsi="Verdana"/>
          <w:b w:val="0"/>
          <w:color w:val="000000"/>
          <w:sz w:val="16"/>
          <w:szCs w:val="16"/>
          <w:shd w:val="clear" w:color="auto" w:fill="FFFFFF"/>
        </w:rPr>
        <w:t xml:space="preserve"> </w:t>
      </w:r>
      <w:r w:rsidRPr="009A72DC">
        <w:rPr>
          <w:rStyle w:val="Strong"/>
          <w:rFonts w:ascii="Verdana" w:hAnsi="Verdana"/>
          <w:b w:val="0"/>
          <w:i/>
          <w:color w:val="000000"/>
          <w:sz w:val="16"/>
          <w:szCs w:val="16"/>
          <w:shd w:val="clear" w:color="auto" w:fill="FFFFFF"/>
        </w:rPr>
        <w:t>supra,</w:t>
      </w:r>
      <w:r w:rsidRPr="00F96411">
        <w:rPr>
          <w:rStyle w:val="Strong"/>
          <w:rFonts w:ascii="Verdana" w:hAnsi="Verdana"/>
          <w:b w:val="0"/>
          <w:color w:val="000000"/>
          <w:sz w:val="16"/>
          <w:szCs w:val="16"/>
          <w:shd w:val="clear" w:color="auto" w:fill="FFFFFF"/>
        </w:rPr>
        <w:t xml:space="preserve"> Considerando </w:t>
      </w:r>
      <w:r>
        <w:rPr>
          <w:rStyle w:val="Strong"/>
          <w:rFonts w:ascii="Verdana" w:hAnsi="Verdana"/>
          <w:b w:val="0"/>
          <w:color w:val="000000"/>
          <w:sz w:val="16"/>
          <w:szCs w:val="16"/>
          <w:shd w:val="clear" w:color="auto" w:fill="FFFFFF"/>
        </w:rPr>
        <w:t>46</w:t>
      </w:r>
      <w:r w:rsidRPr="00F96411">
        <w:rPr>
          <w:rStyle w:val="Strong"/>
          <w:rFonts w:ascii="Verdana" w:hAnsi="Verdana"/>
          <w:b w:val="0"/>
          <w:color w:val="000000"/>
          <w:sz w:val="16"/>
          <w:szCs w:val="16"/>
          <w:shd w:val="clear" w:color="auto" w:fill="FFFFFF"/>
        </w:rPr>
        <w:t>.</w:t>
      </w:r>
    </w:p>
  </w:footnote>
  <w:footnote w:id="23">
    <w:p w14:paraId="6D5412F9" w14:textId="794110ED" w:rsidR="00F90E89" w:rsidRPr="009A72DC" w:rsidRDefault="00F90E89" w:rsidP="00F90E89">
      <w:pPr>
        <w:pStyle w:val="FootnoteText"/>
        <w:ind w:right="1444"/>
        <w:rPr>
          <w:rFonts w:ascii="Verdana" w:hAnsi="Verdana"/>
          <w:sz w:val="16"/>
          <w:szCs w:val="16"/>
          <w:lang w:val="es-CO"/>
        </w:rPr>
      </w:pPr>
      <w:r w:rsidRPr="009A72DC">
        <w:rPr>
          <w:rStyle w:val="FootnoteReference"/>
          <w:rFonts w:ascii="Verdana" w:hAnsi="Verdana"/>
          <w:sz w:val="16"/>
          <w:szCs w:val="16"/>
        </w:rPr>
        <w:footnoteRef/>
      </w:r>
      <w:r w:rsidRPr="009A72DC">
        <w:rPr>
          <w:rFonts w:ascii="Verdana" w:hAnsi="Verdana"/>
          <w:sz w:val="16"/>
          <w:szCs w:val="16"/>
        </w:rPr>
        <w:t xml:space="preserve"> </w:t>
      </w:r>
      <w:r w:rsidRPr="009A72DC">
        <w:rPr>
          <w:rFonts w:ascii="Verdana" w:hAnsi="Verdana"/>
          <w:sz w:val="16"/>
          <w:szCs w:val="16"/>
        </w:rPr>
        <w:tab/>
      </w:r>
      <w:r w:rsidRPr="00F96411">
        <w:rPr>
          <w:rFonts w:ascii="Verdana" w:hAnsi="Verdana"/>
          <w:i/>
          <w:sz w:val="16"/>
          <w:szCs w:val="16"/>
        </w:rPr>
        <w:t>Cfr.</w:t>
      </w:r>
      <w:r w:rsidRPr="00F96411">
        <w:rPr>
          <w:rFonts w:ascii="Verdana" w:hAnsi="Verdana"/>
          <w:sz w:val="16"/>
          <w:szCs w:val="16"/>
        </w:rPr>
        <w:t xml:space="preserve"> </w:t>
      </w:r>
      <w:r w:rsidRPr="009A72DC">
        <w:rPr>
          <w:rStyle w:val="Strong"/>
          <w:rFonts w:ascii="Verdana" w:hAnsi="Verdana"/>
          <w:b w:val="0"/>
          <w:i/>
          <w:color w:val="000000"/>
          <w:sz w:val="16"/>
          <w:szCs w:val="16"/>
          <w:shd w:val="clear" w:color="auto" w:fill="FFFFFF"/>
        </w:rPr>
        <w:t xml:space="preserve">Caso </w:t>
      </w:r>
      <w:proofErr w:type="spellStart"/>
      <w:r w:rsidRPr="009A72DC">
        <w:rPr>
          <w:rStyle w:val="Strong"/>
          <w:rFonts w:ascii="Verdana" w:hAnsi="Verdana"/>
          <w:b w:val="0"/>
          <w:i/>
          <w:color w:val="000000"/>
          <w:sz w:val="16"/>
          <w:szCs w:val="16"/>
          <w:shd w:val="clear" w:color="auto" w:fill="FFFFFF"/>
        </w:rPr>
        <w:t>Apitz</w:t>
      </w:r>
      <w:proofErr w:type="spellEnd"/>
      <w:r w:rsidRPr="009A72DC">
        <w:rPr>
          <w:rStyle w:val="Strong"/>
          <w:rFonts w:ascii="Verdana" w:hAnsi="Verdana"/>
          <w:b w:val="0"/>
          <w:i/>
          <w:color w:val="000000"/>
          <w:sz w:val="16"/>
          <w:szCs w:val="16"/>
          <w:shd w:val="clear" w:color="auto" w:fill="FFFFFF"/>
        </w:rPr>
        <w:t xml:space="preserve"> Barbera y Otros, supra,</w:t>
      </w:r>
      <w:r w:rsidRPr="00F96411">
        <w:rPr>
          <w:rStyle w:val="Strong"/>
          <w:rFonts w:ascii="Verdana" w:hAnsi="Verdana"/>
          <w:b w:val="0"/>
          <w:color w:val="000000"/>
          <w:sz w:val="16"/>
          <w:szCs w:val="16"/>
          <w:shd w:val="clear" w:color="auto" w:fill="FFFFFF"/>
        </w:rPr>
        <w:t xml:space="preserve"> Considerando </w:t>
      </w:r>
      <w:r>
        <w:rPr>
          <w:rStyle w:val="Strong"/>
          <w:rFonts w:ascii="Verdana" w:hAnsi="Verdana"/>
          <w:b w:val="0"/>
          <w:color w:val="000000"/>
          <w:sz w:val="16"/>
          <w:szCs w:val="16"/>
          <w:shd w:val="clear" w:color="auto" w:fill="FFFFFF"/>
        </w:rPr>
        <w:t>46</w:t>
      </w:r>
      <w:r w:rsidRPr="00F96411">
        <w:rPr>
          <w:rStyle w:val="Strong"/>
          <w:rFonts w:ascii="Verdana" w:hAnsi="Verdana"/>
          <w:b w:val="0"/>
          <w:color w:val="000000"/>
          <w:sz w:val="16"/>
          <w:szCs w:val="16"/>
          <w:shd w:val="clear" w:color="auto" w:fill="FFFFFF"/>
        </w:rPr>
        <w:t>.</w:t>
      </w:r>
    </w:p>
  </w:footnote>
  <w:footnote w:id="24">
    <w:p w14:paraId="4D68CD79" w14:textId="54D501D4" w:rsidR="00F90E89" w:rsidRPr="009A72DC" w:rsidRDefault="00F90E89" w:rsidP="00F90E89">
      <w:pPr>
        <w:pStyle w:val="FootnoteText"/>
        <w:rPr>
          <w:rFonts w:ascii="Verdana" w:hAnsi="Verdana"/>
          <w:sz w:val="16"/>
          <w:szCs w:val="16"/>
        </w:rPr>
      </w:pPr>
      <w:r w:rsidRPr="009A72DC">
        <w:rPr>
          <w:rStyle w:val="FootnoteReference"/>
          <w:rFonts w:ascii="Verdana" w:hAnsi="Verdana"/>
          <w:sz w:val="16"/>
          <w:szCs w:val="16"/>
        </w:rPr>
        <w:footnoteRef/>
      </w:r>
      <w:r w:rsidRPr="009A72DC">
        <w:rPr>
          <w:rFonts w:ascii="Verdana" w:hAnsi="Verdana"/>
          <w:sz w:val="16"/>
          <w:szCs w:val="16"/>
        </w:rPr>
        <w:t xml:space="preserve"> </w:t>
      </w:r>
      <w:r w:rsidRPr="009A72DC">
        <w:rPr>
          <w:rFonts w:ascii="Verdana" w:hAnsi="Verdana"/>
          <w:sz w:val="16"/>
          <w:szCs w:val="16"/>
        </w:rPr>
        <w:tab/>
      </w:r>
      <w:r w:rsidRPr="00F96411">
        <w:rPr>
          <w:rFonts w:ascii="Verdana" w:hAnsi="Verdana"/>
          <w:i/>
          <w:sz w:val="16"/>
          <w:szCs w:val="16"/>
        </w:rPr>
        <w:t>Cfr.</w:t>
      </w:r>
      <w:r w:rsidRPr="00F96411">
        <w:rPr>
          <w:rFonts w:ascii="Verdana" w:hAnsi="Verdana"/>
          <w:sz w:val="16"/>
          <w:szCs w:val="16"/>
        </w:rPr>
        <w:t xml:space="preserve"> </w:t>
      </w:r>
      <w:r w:rsidRPr="00F96411">
        <w:rPr>
          <w:rStyle w:val="Strong"/>
          <w:rFonts w:ascii="Verdana" w:hAnsi="Verdana"/>
          <w:b w:val="0"/>
          <w:i/>
          <w:color w:val="000000"/>
          <w:sz w:val="16"/>
          <w:szCs w:val="16"/>
          <w:shd w:val="clear" w:color="auto" w:fill="FFFFFF"/>
        </w:rPr>
        <w:t xml:space="preserve">Caso </w:t>
      </w:r>
      <w:proofErr w:type="spellStart"/>
      <w:r w:rsidRPr="00F96411">
        <w:rPr>
          <w:rStyle w:val="Strong"/>
          <w:rFonts w:ascii="Verdana" w:hAnsi="Verdana"/>
          <w:b w:val="0"/>
          <w:i/>
          <w:color w:val="000000"/>
          <w:sz w:val="16"/>
          <w:szCs w:val="16"/>
          <w:shd w:val="clear" w:color="auto" w:fill="FFFFFF"/>
        </w:rPr>
        <w:t>Apitz</w:t>
      </w:r>
      <w:proofErr w:type="spellEnd"/>
      <w:r w:rsidRPr="00F96411">
        <w:rPr>
          <w:rStyle w:val="Strong"/>
          <w:rFonts w:ascii="Verdana" w:hAnsi="Verdana"/>
          <w:b w:val="0"/>
          <w:i/>
          <w:color w:val="000000"/>
          <w:sz w:val="16"/>
          <w:szCs w:val="16"/>
          <w:shd w:val="clear" w:color="auto" w:fill="FFFFFF"/>
        </w:rPr>
        <w:t xml:space="preserve"> Barbera y Otros, supra,</w:t>
      </w:r>
      <w:r w:rsidRPr="00F96411">
        <w:rPr>
          <w:rStyle w:val="Strong"/>
          <w:rFonts w:ascii="Verdana" w:hAnsi="Verdana"/>
          <w:b w:val="0"/>
          <w:color w:val="000000"/>
          <w:sz w:val="16"/>
          <w:szCs w:val="16"/>
          <w:shd w:val="clear" w:color="auto" w:fill="FFFFFF"/>
        </w:rPr>
        <w:t xml:space="preserve"> Considerando </w:t>
      </w:r>
      <w:r>
        <w:rPr>
          <w:rStyle w:val="Strong"/>
          <w:rFonts w:ascii="Verdana" w:hAnsi="Verdana"/>
          <w:b w:val="0"/>
          <w:color w:val="000000"/>
          <w:sz w:val="16"/>
          <w:szCs w:val="16"/>
          <w:shd w:val="clear" w:color="auto" w:fill="FFFFFF"/>
        </w:rPr>
        <w:t>46</w:t>
      </w:r>
      <w:r w:rsidRPr="00F96411">
        <w:rPr>
          <w:rStyle w:val="Strong"/>
          <w:rFonts w:ascii="Verdana" w:hAnsi="Verdana"/>
          <w:b w:val="0"/>
          <w:color w:val="000000"/>
          <w:sz w:val="16"/>
          <w:szCs w:val="16"/>
          <w:shd w:val="clear" w:color="auto" w:fill="FFFFFF"/>
        </w:rPr>
        <w:t>.</w:t>
      </w:r>
    </w:p>
  </w:footnote>
  <w:footnote w:id="25">
    <w:p w14:paraId="489F6DE7" w14:textId="0FC34DE5" w:rsidR="00F90E89" w:rsidRPr="00F96411" w:rsidRDefault="00F90E89" w:rsidP="00F90E89">
      <w:pPr>
        <w:pStyle w:val="FootnoteText"/>
      </w:pPr>
      <w:r w:rsidRPr="009A72DC">
        <w:rPr>
          <w:rStyle w:val="FootnoteReference"/>
          <w:rFonts w:ascii="Verdana" w:hAnsi="Verdana"/>
          <w:sz w:val="16"/>
          <w:szCs w:val="16"/>
        </w:rPr>
        <w:footnoteRef/>
      </w:r>
      <w:r w:rsidRPr="009A72DC">
        <w:rPr>
          <w:rFonts w:ascii="Verdana" w:hAnsi="Verdana"/>
          <w:sz w:val="16"/>
          <w:szCs w:val="16"/>
        </w:rPr>
        <w:t xml:space="preserve"> </w:t>
      </w:r>
      <w:r w:rsidRPr="009A72DC">
        <w:rPr>
          <w:rFonts w:ascii="Verdana" w:hAnsi="Verdana"/>
          <w:sz w:val="16"/>
          <w:szCs w:val="16"/>
        </w:rPr>
        <w:tab/>
      </w:r>
      <w:r w:rsidRPr="00F96411">
        <w:rPr>
          <w:rFonts w:ascii="Verdana" w:hAnsi="Verdana"/>
          <w:i/>
          <w:sz w:val="16"/>
          <w:szCs w:val="16"/>
        </w:rPr>
        <w:t>Cfr.</w:t>
      </w:r>
      <w:r w:rsidRPr="00F96411">
        <w:rPr>
          <w:rFonts w:ascii="Verdana" w:hAnsi="Verdana"/>
          <w:sz w:val="16"/>
          <w:szCs w:val="16"/>
        </w:rPr>
        <w:t xml:space="preserve"> </w:t>
      </w:r>
      <w:r w:rsidRPr="00F96411">
        <w:rPr>
          <w:rStyle w:val="Strong"/>
          <w:rFonts w:ascii="Verdana" w:hAnsi="Verdana"/>
          <w:b w:val="0"/>
          <w:i/>
          <w:color w:val="000000"/>
          <w:sz w:val="16"/>
          <w:szCs w:val="16"/>
          <w:shd w:val="clear" w:color="auto" w:fill="FFFFFF"/>
        </w:rPr>
        <w:t xml:space="preserve">Caso </w:t>
      </w:r>
      <w:proofErr w:type="spellStart"/>
      <w:r w:rsidRPr="00F96411">
        <w:rPr>
          <w:rStyle w:val="Strong"/>
          <w:rFonts w:ascii="Verdana" w:hAnsi="Verdana"/>
          <w:b w:val="0"/>
          <w:i/>
          <w:color w:val="000000"/>
          <w:sz w:val="16"/>
          <w:szCs w:val="16"/>
          <w:shd w:val="clear" w:color="auto" w:fill="FFFFFF"/>
        </w:rPr>
        <w:t>Apitz</w:t>
      </w:r>
      <w:proofErr w:type="spellEnd"/>
      <w:r w:rsidRPr="00F96411">
        <w:rPr>
          <w:rStyle w:val="Strong"/>
          <w:rFonts w:ascii="Verdana" w:hAnsi="Verdana"/>
          <w:b w:val="0"/>
          <w:i/>
          <w:color w:val="000000"/>
          <w:sz w:val="16"/>
          <w:szCs w:val="16"/>
          <w:shd w:val="clear" w:color="auto" w:fill="FFFFFF"/>
        </w:rPr>
        <w:t xml:space="preserve"> Barbera y Otros, supra,</w:t>
      </w:r>
      <w:r w:rsidRPr="00F96411">
        <w:rPr>
          <w:rStyle w:val="Strong"/>
          <w:rFonts w:ascii="Verdana" w:hAnsi="Verdana"/>
          <w:b w:val="0"/>
          <w:color w:val="000000"/>
          <w:sz w:val="16"/>
          <w:szCs w:val="16"/>
          <w:shd w:val="clear" w:color="auto" w:fill="FFFFFF"/>
        </w:rPr>
        <w:t xml:space="preserve"> Considerando </w:t>
      </w:r>
      <w:r>
        <w:rPr>
          <w:rStyle w:val="Strong"/>
          <w:rFonts w:ascii="Verdana" w:hAnsi="Verdana"/>
          <w:b w:val="0"/>
          <w:color w:val="000000"/>
          <w:sz w:val="16"/>
          <w:szCs w:val="16"/>
          <w:shd w:val="clear" w:color="auto" w:fill="FFFFFF"/>
        </w:rPr>
        <w:t>46</w:t>
      </w:r>
      <w:r w:rsidRPr="00F96411">
        <w:rPr>
          <w:rStyle w:val="Strong"/>
          <w:rFonts w:ascii="Verdana" w:hAnsi="Verdana"/>
          <w:b w:val="0"/>
          <w:color w:val="000000"/>
          <w:sz w:val="16"/>
          <w:szCs w:val="16"/>
          <w:shd w:val="clear" w:color="auto" w:fill="FFFFFF"/>
        </w:rPr>
        <w:t>.</w:t>
      </w:r>
    </w:p>
  </w:footnote>
  <w:footnote w:id="26">
    <w:p w14:paraId="57F9FC4B" w14:textId="26ACC414" w:rsidR="00F90E89" w:rsidRPr="003B1A28" w:rsidRDefault="00F90E89" w:rsidP="00F90E89">
      <w:pPr>
        <w:pStyle w:val="FootnoteText"/>
        <w:rPr>
          <w:rFonts w:ascii="Verdana" w:hAnsi="Verdana"/>
          <w:i/>
          <w:sz w:val="16"/>
          <w:szCs w:val="16"/>
        </w:rPr>
      </w:pPr>
      <w:r w:rsidRPr="00802B35">
        <w:rPr>
          <w:rStyle w:val="FootnoteReference"/>
          <w:rFonts w:ascii="Verdana" w:hAnsi="Verdana"/>
          <w:sz w:val="16"/>
          <w:szCs w:val="16"/>
        </w:rPr>
        <w:footnoteRef/>
      </w:r>
      <w:r w:rsidRPr="00802B35">
        <w:rPr>
          <w:rFonts w:ascii="Verdana" w:hAnsi="Verdana"/>
          <w:sz w:val="16"/>
          <w:szCs w:val="16"/>
        </w:rPr>
        <w:t xml:space="preserve"> </w:t>
      </w:r>
      <w:r w:rsidRPr="00802B35">
        <w:rPr>
          <w:rFonts w:ascii="Verdana" w:hAnsi="Verdana"/>
          <w:sz w:val="16"/>
          <w:szCs w:val="16"/>
        </w:rPr>
        <w:tab/>
      </w:r>
      <w:r w:rsidRPr="00F96411">
        <w:rPr>
          <w:rFonts w:ascii="Verdana" w:hAnsi="Verdana"/>
          <w:i/>
          <w:sz w:val="16"/>
          <w:szCs w:val="16"/>
        </w:rPr>
        <w:t>Cfr.</w:t>
      </w:r>
      <w:r w:rsidRPr="00F96411">
        <w:rPr>
          <w:rFonts w:ascii="Verdana" w:hAnsi="Verdana"/>
          <w:sz w:val="16"/>
          <w:szCs w:val="16"/>
        </w:rPr>
        <w:t xml:space="preserve"> </w:t>
      </w:r>
      <w:r w:rsidRPr="00F96411">
        <w:rPr>
          <w:rStyle w:val="Strong"/>
          <w:rFonts w:ascii="Verdana" w:hAnsi="Verdana"/>
          <w:b w:val="0"/>
          <w:i/>
          <w:color w:val="000000"/>
          <w:sz w:val="16"/>
          <w:szCs w:val="16"/>
          <w:shd w:val="clear" w:color="auto" w:fill="FFFFFF"/>
        </w:rPr>
        <w:t xml:space="preserve">Caso </w:t>
      </w:r>
      <w:proofErr w:type="spellStart"/>
      <w:r w:rsidRPr="00F96411">
        <w:rPr>
          <w:rStyle w:val="Strong"/>
          <w:rFonts w:ascii="Verdana" w:hAnsi="Verdana"/>
          <w:b w:val="0"/>
          <w:i/>
          <w:color w:val="000000"/>
          <w:sz w:val="16"/>
          <w:szCs w:val="16"/>
          <w:shd w:val="clear" w:color="auto" w:fill="FFFFFF"/>
        </w:rPr>
        <w:t>Apitz</w:t>
      </w:r>
      <w:proofErr w:type="spellEnd"/>
      <w:r w:rsidRPr="00F96411">
        <w:rPr>
          <w:rStyle w:val="Strong"/>
          <w:rFonts w:ascii="Verdana" w:hAnsi="Verdana"/>
          <w:b w:val="0"/>
          <w:i/>
          <w:color w:val="000000"/>
          <w:sz w:val="16"/>
          <w:szCs w:val="16"/>
          <w:shd w:val="clear" w:color="auto" w:fill="FFFFFF"/>
        </w:rPr>
        <w:t xml:space="preserve"> Barbera y Otros, supra,</w:t>
      </w:r>
      <w:r w:rsidRPr="00F96411">
        <w:rPr>
          <w:rStyle w:val="Strong"/>
          <w:rFonts w:ascii="Verdana" w:hAnsi="Verdana"/>
          <w:b w:val="0"/>
          <w:color w:val="000000"/>
          <w:sz w:val="16"/>
          <w:szCs w:val="16"/>
          <w:shd w:val="clear" w:color="auto" w:fill="FFFFFF"/>
        </w:rPr>
        <w:t xml:space="preserve"> Considerando </w:t>
      </w:r>
      <w:r>
        <w:rPr>
          <w:rStyle w:val="Strong"/>
          <w:rFonts w:ascii="Verdana" w:hAnsi="Verdana"/>
          <w:b w:val="0"/>
          <w:color w:val="000000"/>
          <w:sz w:val="16"/>
          <w:szCs w:val="16"/>
          <w:shd w:val="clear" w:color="auto" w:fill="FFFFFF"/>
        </w:rPr>
        <w:t>48</w:t>
      </w:r>
      <w:r w:rsidRPr="00F96411">
        <w:rPr>
          <w:rStyle w:val="Strong"/>
          <w:rFonts w:ascii="Verdana" w:hAnsi="Verdana"/>
          <w:b w:val="0"/>
          <w:color w:val="000000"/>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ACAB9" w14:textId="35FB2277" w:rsidR="006D5D7A" w:rsidRPr="00907ADF" w:rsidRDefault="006D5D7A" w:rsidP="006739ED">
    <w:pPr>
      <w:pStyle w:val="Header"/>
      <w:tabs>
        <w:tab w:val="left" w:pos="9923"/>
      </w:tabs>
      <w:ind w:right="1444"/>
      <w:jc w:val="right"/>
      <w:rPr>
        <w:rFonts w:ascii="Verdana" w:hAnsi="Verdana"/>
        <w:b/>
        <w:i/>
        <w:i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6D9"/>
    <w:multiLevelType w:val="hybridMultilevel"/>
    <w:tmpl w:val="E06C2D2A"/>
    <w:lvl w:ilvl="0" w:tplc="163ECF7C">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6397396"/>
    <w:multiLevelType w:val="hybridMultilevel"/>
    <w:tmpl w:val="17BC0FC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75A2AE6"/>
    <w:multiLevelType w:val="multilevel"/>
    <w:tmpl w:val="86806766"/>
    <w:lvl w:ilvl="0">
      <w:start w:val="1"/>
      <w:numFmt w:val="decimal"/>
      <w:lvlText w:val="%1."/>
      <w:lvlJc w:val="left"/>
      <w:pPr>
        <w:ind w:left="720" w:hanging="360"/>
      </w:pPr>
      <w:rPr>
        <w:rFonts w:hint="default"/>
      </w:rPr>
    </w:lvl>
    <w:lvl w:ilvl="1">
      <w:start w:val="2"/>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940" w:hanging="2160"/>
      </w:pPr>
      <w:rPr>
        <w:rFonts w:hint="default"/>
      </w:rPr>
    </w:lvl>
    <w:lvl w:ilvl="8">
      <w:start w:val="1"/>
      <w:numFmt w:val="decimal"/>
      <w:isLgl/>
      <w:lvlText w:val="%1.%2.%3.%4.%5.%6.%7.%8.%9."/>
      <w:lvlJc w:val="left"/>
      <w:pPr>
        <w:ind w:left="3000" w:hanging="2160"/>
      </w:pPr>
      <w:rPr>
        <w:rFonts w:hint="default"/>
      </w:rPr>
    </w:lvl>
  </w:abstractNum>
  <w:abstractNum w:abstractNumId="3">
    <w:nsid w:val="08D056DA"/>
    <w:multiLevelType w:val="hybridMultilevel"/>
    <w:tmpl w:val="8B34C6B4"/>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nsid w:val="121F6407"/>
    <w:multiLevelType w:val="hybridMultilevel"/>
    <w:tmpl w:val="EC88B9D6"/>
    <w:lvl w:ilvl="0" w:tplc="2AF2118E">
      <w:start w:val="1"/>
      <w:numFmt w:val="upperLetter"/>
      <w:lvlText w:val="%1)"/>
      <w:lvlJc w:val="left"/>
      <w:pPr>
        <w:ind w:left="144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nsid w:val="16933EC1"/>
    <w:multiLevelType w:val="hybridMultilevel"/>
    <w:tmpl w:val="8424FDEA"/>
    <w:lvl w:ilvl="0" w:tplc="463E055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E7EB4"/>
    <w:multiLevelType w:val="hybridMultilevel"/>
    <w:tmpl w:val="23561C6C"/>
    <w:lvl w:ilvl="0" w:tplc="87F2D4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0392D"/>
    <w:multiLevelType w:val="hybridMultilevel"/>
    <w:tmpl w:val="47C4B1BE"/>
    <w:lvl w:ilvl="0" w:tplc="44166D3C">
      <w:start w:val="1"/>
      <w:numFmt w:val="decimal"/>
      <w:lvlText w:val="%1."/>
      <w:lvlJc w:val="left"/>
      <w:pPr>
        <w:ind w:left="540" w:hanging="360"/>
      </w:pPr>
      <w:rPr>
        <w:rFonts w:ascii="Verdana" w:hAnsi="Verdana" w:hint="default"/>
        <w:b w:val="0"/>
        <w:i w:val="0"/>
        <w:color w:val="auto"/>
        <w:sz w:val="20"/>
        <w:szCs w:val="20"/>
        <w:lang w:val="es-ES"/>
      </w:rPr>
    </w:lvl>
    <w:lvl w:ilvl="1" w:tplc="140A0019">
      <w:start w:val="1"/>
      <w:numFmt w:val="lowerLetter"/>
      <w:lvlText w:val="%2."/>
      <w:lvlJc w:val="left"/>
      <w:pPr>
        <w:ind w:left="-7916" w:hanging="360"/>
      </w:pPr>
    </w:lvl>
    <w:lvl w:ilvl="2" w:tplc="140A001B">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8">
    <w:nsid w:val="256B24E0"/>
    <w:multiLevelType w:val="hybridMultilevel"/>
    <w:tmpl w:val="C1964B86"/>
    <w:lvl w:ilvl="0" w:tplc="D20EFACA">
      <w:start w:val="5"/>
      <w:numFmt w:val="upperLetter"/>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B67C5"/>
    <w:multiLevelType w:val="hybridMultilevel"/>
    <w:tmpl w:val="991EAD8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4A524C"/>
    <w:multiLevelType w:val="hybridMultilevel"/>
    <w:tmpl w:val="5F56C960"/>
    <w:lvl w:ilvl="0" w:tplc="DB028CCA">
      <w:start w:val="1"/>
      <w:numFmt w:val="decimal"/>
      <w:lvlText w:val="%1."/>
      <w:lvlJc w:val="left"/>
      <w:pPr>
        <w:ind w:left="360" w:hanging="360"/>
      </w:pPr>
      <w:rPr>
        <w:color w:val="auto"/>
        <w:sz w:val="20"/>
        <w:szCs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1">
    <w:nsid w:val="31FE1B26"/>
    <w:multiLevelType w:val="hybridMultilevel"/>
    <w:tmpl w:val="4E46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4F25FF"/>
    <w:multiLevelType w:val="hybridMultilevel"/>
    <w:tmpl w:val="EC204A16"/>
    <w:lvl w:ilvl="0" w:tplc="D6F2BA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B6D8D"/>
    <w:multiLevelType w:val="hybridMultilevel"/>
    <w:tmpl w:val="5B843B2A"/>
    <w:lvl w:ilvl="0" w:tplc="9926C9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176A19"/>
    <w:multiLevelType w:val="hybridMultilevel"/>
    <w:tmpl w:val="18503D08"/>
    <w:lvl w:ilvl="0" w:tplc="C6485BB2">
      <w:start w:val="1"/>
      <w:numFmt w:val="decimal"/>
      <w:lvlText w:val="%1."/>
      <w:lvlJc w:val="left"/>
      <w:pPr>
        <w:tabs>
          <w:tab w:val="num" w:pos="360"/>
        </w:tabs>
        <w:ind w:left="360" w:hanging="360"/>
      </w:pPr>
      <w:rPr>
        <w:b w:val="0"/>
        <w:sz w:val="20"/>
        <w:lang w:val="es-ES_tradnl"/>
      </w:rPr>
    </w:lvl>
    <w:lvl w:ilvl="1" w:tplc="00190409">
      <w:start w:val="1"/>
      <w:numFmt w:val="lowerLetter"/>
      <w:lvlText w:val="%2."/>
      <w:lvlJc w:val="left"/>
      <w:pPr>
        <w:tabs>
          <w:tab w:val="num" w:pos="-720"/>
        </w:tabs>
        <w:ind w:left="-720" w:hanging="360"/>
      </w:pPr>
    </w:lvl>
    <w:lvl w:ilvl="2" w:tplc="001B0409">
      <w:start w:val="1"/>
      <w:numFmt w:val="lowerRoman"/>
      <w:lvlText w:val="%3."/>
      <w:lvlJc w:val="right"/>
      <w:pPr>
        <w:tabs>
          <w:tab w:val="num" w:pos="0"/>
        </w:tabs>
        <w:ind w:left="0" w:hanging="180"/>
      </w:pPr>
    </w:lvl>
    <w:lvl w:ilvl="3" w:tplc="000F0409">
      <w:start w:val="1"/>
      <w:numFmt w:val="decimal"/>
      <w:lvlText w:val="%4."/>
      <w:lvlJc w:val="left"/>
      <w:pPr>
        <w:tabs>
          <w:tab w:val="num" w:pos="720"/>
        </w:tabs>
        <w:ind w:left="720" w:hanging="360"/>
      </w:pPr>
    </w:lvl>
    <w:lvl w:ilvl="4" w:tplc="00190409">
      <w:start w:val="1"/>
      <w:numFmt w:val="lowerLetter"/>
      <w:lvlText w:val="%5."/>
      <w:lvlJc w:val="left"/>
      <w:pPr>
        <w:tabs>
          <w:tab w:val="num" w:pos="1440"/>
        </w:tabs>
        <w:ind w:left="1440" w:hanging="360"/>
      </w:pPr>
    </w:lvl>
    <w:lvl w:ilvl="5" w:tplc="001B0409">
      <w:start w:val="1"/>
      <w:numFmt w:val="lowerRoman"/>
      <w:lvlText w:val="%6."/>
      <w:lvlJc w:val="right"/>
      <w:pPr>
        <w:tabs>
          <w:tab w:val="num" w:pos="2160"/>
        </w:tabs>
        <w:ind w:left="2160" w:hanging="180"/>
      </w:pPr>
    </w:lvl>
    <w:lvl w:ilvl="6" w:tplc="000F0409">
      <w:start w:val="1"/>
      <w:numFmt w:val="decimal"/>
      <w:lvlText w:val="%7."/>
      <w:lvlJc w:val="left"/>
      <w:pPr>
        <w:tabs>
          <w:tab w:val="num" w:pos="2880"/>
        </w:tabs>
        <w:ind w:left="2880" w:hanging="360"/>
      </w:pPr>
    </w:lvl>
    <w:lvl w:ilvl="7" w:tplc="00190409">
      <w:start w:val="1"/>
      <w:numFmt w:val="lowerLetter"/>
      <w:lvlText w:val="%8."/>
      <w:lvlJc w:val="left"/>
      <w:pPr>
        <w:tabs>
          <w:tab w:val="num" w:pos="3600"/>
        </w:tabs>
        <w:ind w:left="3600" w:hanging="360"/>
      </w:pPr>
    </w:lvl>
    <w:lvl w:ilvl="8" w:tplc="001B0409">
      <w:start w:val="1"/>
      <w:numFmt w:val="lowerRoman"/>
      <w:lvlText w:val="%9."/>
      <w:lvlJc w:val="right"/>
      <w:pPr>
        <w:tabs>
          <w:tab w:val="num" w:pos="4320"/>
        </w:tabs>
        <w:ind w:left="4320" w:hanging="180"/>
      </w:pPr>
    </w:lvl>
  </w:abstractNum>
  <w:abstractNum w:abstractNumId="15">
    <w:nsid w:val="3B311878"/>
    <w:multiLevelType w:val="hybridMultilevel"/>
    <w:tmpl w:val="12A80894"/>
    <w:lvl w:ilvl="0" w:tplc="15FE39DC">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323FBC"/>
    <w:multiLevelType w:val="hybridMultilevel"/>
    <w:tmpl w:val="0F688AE4"/>
    <w:lvl w:ilvl="0" w:tplc="22B031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A17CAE"/>
    <w:multiLevelType w:val="hybridMultilevel"/>
    <w:tmpl w:val="D7AA289E"/>
    <w:lvl w:ilvl="0" w:tplc="B67EA96E">
      <w:start w:val="1"/>
      <w:numFmt w:val="upperRoman"/>
      <w:pStyle w:val="Heading1"/>
      <w:lvlText w:val="%1."/>
      <w:lvlJc w:val="righ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45D35FAD"/>
    <w:multiLevelType w:val="hybridMultilevel"/>
    <w:tmpl w:val="697AC8B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470E275F"/>
    <w:multiLevelType w:val="hybridMultilevel"/>
    <w:tmpl w:val="54D842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517A7096"/>
    <w:multiLevelType w:val="hybridMultilevel"/>
    <w:tmpl w:val="CFA6BF52"/>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1">
    <w:nsid w:val="58980657"/>
    <w:multiLevelType w:val="hybridMultilevel"/>
    <w:tmpl w:val="B07AEDA2"/>
    <w:lvl w:ilvl="0" w:tplc="07D6DFD2">
      <w:start w:val="1"/>
      <w:numFmt w:val="upperLetter"/>
      <w:lvlText w:val="%1."/>
      <w:lvlJc w:val="left"/>
      <w:pPr>
        <w:ind w:left="720" w:hanging="360"/>
      </w:pPr>
      <w:rPr>
        <w:rFonts w:hint="default"/>
        <w:b/>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5E6A4F2C"/>
    <w:multiLevelType w:val="hybridMultilevel"/>
    <w:tmpl w:val="10B0A5D4"/>
    <w:lvl w:ilvl="0" w:tplc="9900014C">
      <w:start w:val="1"/>
      <w:numFmt w:val="decimal"/>
      <w:lvlText w:val="%1."/>
      <w:lvlJc w:val="left"/>
      <w:pPr>
        <w:ind w:left="1065" w:hanging="705"/>
      </w:pPr>
      <w:rPr>
        <w:rFonts w:hint="default"/>
        <w:b w:val="0"/>
        <w:i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B02257"/>
    <w:multiLevelType w:val="hybridMultilevel"/>
    <w:tmpl w:val="8AD485B8"/>
    <w:lvl w:ilvl="0" w:tplc="140A0017">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4">
    <w:nsid w:val="60DC284E"/>
    <w:multiLevelType w:val="hybridMultilevel"/>
    <w:tmpl w:val="89920CAE"/>
    <w:lvl w:ilvl="0" w:tplc="9900014C">
      <w:start w:val="1"/>
      <w:numFmt w:val="decimal"/>
      <w:lvlText w:val="%1."/>
      <w:lvlJc w:val="left"/>
      <w:pPr>
        <w:ind w:left="1065" w:hanging="705"/>
      </w:pPr>
      <w:rPr>
        <w:rFonts w:hint="default"/>
        <w:b w:val="0"/>
        <w:i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B2ADB"/>
    <w:multiLevelType w:val="hybridMultilevel"/>
    <w:tmpl w:val="E10ACB88"/>
    <w:lvl w:ilvl="0" w:tplc="72EC6478">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nsid w:val="63CE1069"/>
    <w:multiLevelType w:val="hybridMultilevel"/>
    <w:tmpl w:val="EB9673E6"/>
    <w:lvl w:ilvl="0" w:tplc="FF3AFD1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7">
    <w:nsid w:val="649856D1"/>
    <w:multiLevelType w:val="hybridMultilevel"/>
    <w:tmpl w:val="46385E82"/>
    <w:lvl w:ilvl="0" w:tplc="2DE4FE4C">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0E5633"/>
    <w:multiLevelType w:val="hybridMultilevel"/>
    <w:tmpl w:val="5B64775E"/>
    <w:lvl w:ilvl="0" w:tplc="A958223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B9340A"/>
    <w:multiLevelType w:val="multilevel"/>
    <w:tmpl w:val="29BC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C67F60"/>
    <w:multiLevelType w:val="hybridMultilevel"/>
    <w:tmpl w:val="F0D81B7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0C75B7"/>
    <w:multiLevelType w:val="hybridMultilevel"/>
    <w:tmpl w:val="85020A02"/>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4"/>
  </w:num>
  <w:num w:numId="2">
    <w:abstractNumId w:val="7"/>
  </w:num>
  <w:num w:numId="3">
    <w:abstractNumId w:val="17"/>
  </w:num>
  <w:num w:numId="4">
    <w:abstractNumId w:val="22"/>
  </w:num>
  <w:num w:numId="5">
    <w:abstractNumId w:val="12"/>
  </w:num>
  <w:num w:numId="6">
    <w:abstractNumId w:val="6"/>
  </w:num>
  <w:num w:numId="7">
    <w:abstractNumId w:val="2"/>
  </w:num>
  <w:num w:numId="8">
    <w:abstractNumId w:val="0"/>
  </w:num>
  <w:num w:numId="9">
    <w:abstractNumId w:val="19"/>
  </w:num>
  <w:num w:numId="10">
    <w:abstractNumId w:val="3"/>
  </w:num>
  <w:num w:numId="11">
    <w:abstractNumId w:val="21"/>
  </w:num>
  <w:num w:numId="12">
    <w:abstractNumId w:val="9"/>
  </w:num>
  <w:num w:numId="13">
    <w:abstractNumId w:val="30"/>
  </w:num>
  <w:num w:numId="14">
    <w:abstractNumId w:val="16"/>
  </w:num>
  <w:num w:numId="15">
    <w:abstractNumId w:val="15"/>
  </w:num>
  <w:num w:numId="16">
    <w:abstractNumId w:val="13"/>
  </w:num>
  <w:num w:numId="17">
    <w:abstractNumId w:val="5"/>
  </w:num>
  <w:num w:numId="18">
    <w:abstractNumId w:val="27"/>
  </w:num>
  <w:num w:numId="19">
    <w:abstractNumId w:val="8"/>
  </w:num>
  <w:num w:numId="20">
    <w:abstractNumId w:val="11"/>
  </w:num>
  <w:num w:numId="21">
    <w:abstractNumId w:val="2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6"/>
  </w:num>
  <w:num w:numId="26">
    <w:abstractNumId w:val="23"/>
  </w:num>
  <w:num w:numId="27">
    <w:abstractNumId w:val="20"/>
  </w:num>
  <w:num w:numId="28">
    <w:abstractNumId w:val="1"/>
  </w:num>
  <w:num w:numId="29">
    <w:abstractNumId w:val="31"/>
  </w:num>
  <w:num w:numId="30">
    <w:abstractNumId w:val="18"/>
  </w:num>
  <w:num w:numId="31">
    <w:abstractNumId w:val="29"/>
  </w:num>
  <w:num w:numId="3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8B"/>
    <w:rsid w:val="000016C3"/>
    <w:rsid w:val="00001D18"/>
    <w:rsid w:val="00004B91"/>
    <w:rsid w:val="00005DE0"/>
    <w:rsid w:val="00005E72"/>
    <w:rsid w:val="00007D4B"/>
    <w:rsid w:val="00010162"/>
    <w:rsid w:val="0001151C"/>
    <w:rsid w:val="00013A85"/>
    <w:rsid w:val="0001503F"/>
    <w:rsid w:val="000151DF"/>
    <w:rsid w:val="00015345"/>
    <w:rsid w:val="00016EA5"/>
    <w:rsid w:val="0001729A"/>
    <w:rsid w:val="00020ABC"/>
    <w:rsid w:val="00021BFF"/>
    <w:rsid w:val="000222BF"/>
    <w:rsid w:val="0002240C"/>
    <w:rsid w:val="00022856"/>
    <w:rsid w:val="00022A85"/>
    <w:rsid w:val="00022CD1"/>
    <w:rsid w:val="00022D86"/>
    <w:rsid w:val="00023B81"/>
    <w:rsid w:val="00024326"/>
    <w:rsid w:val="000246D5"/>
    <w:rsid w:val="00024A6C"/>
    <w:rsid w:val="00025041"/>
    <w:rsid w:val="00025FCA"/>
    <w:rsid w:val="000273BA"/>
    <w:rsid w:val="000273E2"/>
    <w:rsid w:val="0002795F"/>
    <w:rsid w:val="00030E31"/>
    <w:rsid w:val="00030FB8"/>
    <w:rsid w:val="00030FD6"/>
    <w:rsid w:val="0003178F"/>
    <w:rsid w:val="000323FD"/>
    <w:rsid w:val="00032438"/>
    <w:rsid w:val="000337BE"/>
    <w:rsid w:val="00034B99"/>
    <w:rsid w:val="0003671D"/>
    <w:rsid w:val="000374A8"/>
    <w:rsid w:val="00041A2A"/>
    <w:rsid w:val="000420CA"/>
    <w:rsid w:val="00042466"/>
    <w:rsid w:val="00042B5D"/>
    <w:rsid w:val="000439E5"/>
    <w:rsid w:val="00044832"/>
    <w:rsid w:val="000448FC"/>
    <w:rsid w:val="000458DD"/>
    <w:rsid w:val="00046FE7"/>
    <w:rsid w:val="000473DC"/>
    <w:rsid w:val="00047622"/>
    <w:rsid w:val="000507DE"/>
    <w:rsid w:val="000519A7"/>
    <w:rsid w:val="0005211D"/>
    <w:rsid w:val="00053130"/>
    <w:rsid w:val="000536D3"/>
    <w:rsid w:val="000541BB"/>
    <w:rsid w:val="00054C3A"/>
    <w:rsid w:val="00054C92"/>
    <w:rsid w:val="00054D2D"/>
    <w:rsid w:val="000552EC"/>
    <w:rsid w:val="00055452"/>
    <w:rsid w:val="000572FD"/>
    <w:rsid w:val="0005757C"/>
    <w:rsid w:val="0006170D"/>
    <w:rsid w:val="00061B28"/>
    <w:rsid w:val="00062500"/>
    <w:rsid w:val="0006358C"/>
    <w:rsid w:val="000636BE"/>
    <w:rsid w:val="00063B99"/>
    <w:rsid w:val="00065A08"/>
    <w:rsid w:val="000660A0"/>
    <w:rsid w:val="00066369"/>
    <w:rsid w:val="000664E9"/>
    <w:rsid w:val="00066726"/>
    <w:rsid w:val="000668C8"/>
    <w:rsid w:val="00066B51"/>
    <w:rsid w:val="00066EAC"/>
    <w:rsid w:val="0006766F"/>
    <w:rsid w:val="0006793C"/>
    <w:rsid w:val="00067F70"/>
    <w:rsid w:val="00071650"/>
    <w:rsid w:val="00072298"/>
    <w:rsid w:val="00075021"/>
    <w:rsid w:val="00075893"/>
    <w:rsid w:val="0007598C"/>
    <w:rsid w:val="00076263"/>
    <w:rsid w:val="00076C8A"/>
    <w:rsid w:val="0007758B"/>
    <w:rsid w:val="0008020F"/>
    <w:rsid w:val="00080EEB"/>
    <w:rsid w:val="00080F50"/>
    <w:rsid w:val="000814DF"/>
    <w:rsid w:val="00083525"/>
    <w:rsid w:val="00083A32"/>
    <w:rsid w:val="00083CFA"/>
    <w:rsid w:val="000849E1"/>
    <w:rsid w:val="00085E89"/>
    <w:rsid w:val="00086290"/>
    <w:rsid w:val="000866F7"/>
    <w:rsid w:val="00086FD6"/>
    <w:rsid w:val="00087B63"/>
    <w:rsid w:val="00087D31"/>
    <w:rsid w:val="00090848"/>
    <w:rsid w:val="00092655"/>
    <w:rsid w:val="00093107"/>
    <w:rsid w:val="00093807"/>
    <w:rsid w:val="00093ABA"/>
    <w:rsid w:val="00094685"/>
    <w:rsid w:val="00094A76"/>
    <w:rsid w:val="00095D5B"/>
    <w:rsid w:val="000961BF"/>
    <w:rsid w:val="000966B1"/>
    <w:rsid w:val="00096A84"/>
    <w:rsid w:val="00096E10"/>
    <w:rsid w:val="00097219"/>
    <w:rsid w:val="000973D3"/>
    <w:rsid w:val="000A0029"/>
    <w:rsid w:val="000A168E"/>
    <w:rsid w:val="000A19F9"/>
    <w:rsid w:val="000A1E44"/>
    <w:rsid w:val="000A2182"/>
    <w:rsid w:val="000A22F0"/>
    <w:rsid w:val="000A24C0"/>
    <w:rsid w:val="000A3A73"/>
    <w:rsid w:val="000A3DD6"/>
    <w:rsid w:val="000A429F"/>
    <w:rsid w:val="000A4BBC"/>
    <w:rsid w:val="000A565C"/>
    <w:rsid w:val="000A6382"/>
    <w:rsid w:val="000A6781"/>
    <w:rsid w:val="000A6B18"/>
    <w:rsid w:val="000A7D20"/>
    <w:rsid w:val="000B0069"/>
    <w:rsid w:val="000B026D"/>
    <w:rsid w:val="000B06F8"/>
    <w:rsid w:val="000B0727"/>
    <w:rsid w:val="000B1890"/>
    <w:rsid w:val="000B20F1"/>
    <w:rsid w:val="000B4126"/>
    <w:rsid w:val="000B41CB"/>
    <w:rsid w:val="000B508F"/>
    <w:rsid w:val="000B560C"/>
    <w:rsid w:val="000B562B"/>
    <w:rsid w:val="000B5CD2"/>
    <w:rsid w:val="000B5D9E"/>
    <w:rsid w:val="000B60C5"/>
    <w:rsid w:val="000B6D07"/>
    <w:rsid w:val="000B707C"/>
    <w:rsid w:val="000B7580"/>
    <w:rsid w:val="000C026C"/>
    <w:rsid w:val="000C1081"/>
    <w:rsid w:val="000C1576"/>
    <w:rsid w:val="000C1769"/>
    <w:rsid w:val="000C17B9"/>
    <w:rsid w:val="000C3463"/>
    <w:rsid w:val="000C3935"/>
    <w:rsid w:val="000C3985"/>
    <w:rsid w:val="000C4F7A"/>
    <w:rsid w:val="000C55EF"/>
    <w:rsid w:val="000C5E2B"/>
    <w:rsid w:val="000C64A1"/>
    <w:rsid w:val="000C6BF9"/>
    <w:rsid w:val="000C7F71"/>
    <w:rsid w:val="000D084E"/>
    <w:rsid w:val="000D19BB"/>
    <w:rsid w:val="000D20C8"/>
    <w:rsid w:val="000D2B58"/>
    <w:rsid w:val="000D2E48"/>
    <w:rsid w:val="000D374C"/>
    <w:rsid w:val="000D5EE5"/>
    <w:rsid w:val="000D5F11"/>
    <w:rsid w:val="000D69CB"/>
    <w:rsid w:val="000D7747"/>
    <w:rsid w:val="000E0282"/>
    <w:rsid w:val="000E03B4"/>
    <w:rsid w:val="000E04FA"/>
    <w:rsid w:val="000E06FF"/>
    <w:rsid w:val="000E0B5D"/>
    <w:rsid w:val="000E0E09"/>
    <w:rsid w:val="000E1113"/>
    <w:rsid w:val="000E14B7"/>
    <w:rsid w:val="000E1544"/>
    <w:rsid w:val="000E1577"/>
    <w:rsid w:val="000E1721"/>
    <w:rsid w:val="000E1C1B"/>
    <w:rsid w:val="000E1FD6"/>
    <w:rsid w:val="000E2D03"/>
    <w:rsid w:val="000E2D17"/>
    <w:rsid w:val="000E4277"/>
    <w:rsid w:val="000E59A2"/>
    <w:rsid w:val="000E5ACA"/>
    <w:rsid w:val="000E6262"/>
    <w:rsid w:val="000E71F6"/>
    <w:rsid w:val="000E7275"/>
    <w:rsid w:val="000E75EE"/>
    <w:rsid w:val="000F123C"/>
    <w:rsid w:val="000F21F4"/>
    <w:rsid w:val="000F36EB"/>
    <w:rsid w:val="000F4029"/>
    <w:rsid w:val="000F40F0"/>
    <w:rsid w:val="000F41E3"/>
    <w:rsid w:val="000F4957"/>
    <w:rsid w:val="000F53AE"/>
    <w:rsid w:val="000F57F4"/>
    <w:rsid w:val="000F5AE8"/>
    <w:rsid w:val="000F5ECD"/>
    <w:rsid w:val="000F62F1"/>
    <w:rsid w:val="000F6E72"/>
    <w:rsid w:val="000F7397"/>
    <w:rsid w:val="000F74EE"/>
    <w:rsid w:val="00100BBA"/>
    <w:rsid w:val="00100CA7"/>
    <w:rsid w:val="0010129D"/>
    <w:rsid w:val="001015F2"/>
    <w:rsid w:val="00101909"/>
    <w:rsid w:val="00102118"/>
    <w:rsid w:val="0010215B"/>
    <w:rsid w:val="00103EB3"/>
    <w:rsid w:val="0010501D"/>
    <w:rsid w:val="001061DD"/>
    <w:rsid w:val="001063F6"/>
    <w:rsid w:val="00107699"/>
    <w:rsid w:val="0011042A"/>
    <w:rsid w:val="001106B4"/>
    <w:rsid w:val="00110E3E"/>
    <w:rsid w:val="00110E40"/>
    <w:rsid w:val="00111F35"/>
    <w:rsid w:val="00112515"/>
    <w:rsid w:val="00112560"/>
    <w:rsid w:val="00112A2B"/>
    <w:rsid w:val="00112FBA"/>
    <w:rsid w:val="001132FA"/>
    <w:rsid w:val="001135E4"/>
    <w:rsid w:val="00113F78"/>
    <w:rsid w:val="0011433F"/>
    <w:rsid w:val="001204DC"/>
    <w:rsid w:val="00120781"/>
    <w:rsid w:val="00120901"/>
    <w:rsid w:val="00121113"/>
    <w:rsid w:val="001214C2"/>
    <w:rsid w:val="001224FC"/>
    <w:rsid w:val="0012304A"/>
    <w:rsid w:val="001242DE"/>
    <w:rsid w:val="00124C8B"/>
    <w:rsid w:val="00124FDF"/>
    <w:rsid w:val="001258A4"/>
    <w:rsid w:val="00126092"/>
    <w:rsid w:val="00127E07"/>
    <w:rsid w:val="00130044"/>
    <w:rsid w:val="001300C7"/>
    <w:rsid w:val="00131A4B"/>
    <w:rsid w:val="00131F13"/>
    <w:rsid w:val="00133069"/>
    <w:rsid w:val="00133D70"/>
    <w:rsid w:val="0013433F"/>
    <w:rsid w:val="00135DCE"/>
    <w:rsid w:val="001363EF"/>
    <w:rsid w:val="001365C0"/>
    <w:rsid w:val="00137E67"/>
    <w:rsid w:val="00137F95"/>
    <w:rsid w:val="00141250"/>
    <w:rsid w:val="001418EE"/>
    <w:rsid w:val="00141C34"/>
    <w:rsid w:val="00141D50"/>
    <w:rsid w:val="00142672"/>
    <w:rsid w:val="00142BAA"/>
    <w:rsid w:val="00142D0C"/>
    <w:rsid w:val="00142D37"/>
    <w:rsid w:val="00144012"/>
    <w:rsid w:val="001441FF"/>
    <w:rsid w:val="0014481F"/>
    <w:rsid w:val="00144ED0"/>
    <w:rsid w:val="00144ED7"/>
    <w:rsid w:val="0014594D"/>
    <w:rsid w:val="00145C00"/>
    <w:rsid w:val="0015001E"/>
    <w:rsid w:val="0015053A"/>
    <w:rsid w:val="00151419"/>
    <w:rsid w:val="0015290F"/>
    <w:rsid w:val="00152C64"/>
    <w:rsid w:val="00153BBA"/>
    <w:rsid w:val="00153DA1"/>
    <w:rsid w:val="00154833"/>
    <w:rsid w:val="00154C47"/>
    <w:rsid w:val="00154F96"/>
    <w:rsid w:val="00155135"/>
    <w:rsid w:val="0015540D"/>
    <w:rsid w:val="0015549C"/>
    <w:rsid w:val="00155623"/>
    <w:rsid w:val="00155FBF"/>
    <w:rsid w:val="00156872"/>
    <w:rsid w:val="001568BC"/>
    <w:rsid w:val="00156EA2"/>
    <w:rsid w:val="00161189"/>
    <w:rsid w:val="00161FB5"/>
    <w:rsid w:val="00162DFE"/>
    <w:rsid w:val="00162F25"/>
    <w:rsid w:val="00164180"/>
    <w:rsid w:val="00165408"/>
    <w:rsid w:val="00166020"/>
    <w:rsid w:val="001663B5"/>
    <w:rsid w:val="00166691"/>
    <w:rsid w:val="00166766"/>
    <w:rsid w:val="001669AD"/>
    <w:rsid w:val="00167174"/>
    <w:rsid w:val="00170332"/>
    <w:rsid w:val="0017118F"/>
    <w:rsid w:val="001714C1"/>
    <w:rsid w:val="00172400"/>
    <w:rsid w:val="001729D1"/>
    <w:rsid w:val="00172AD3"/>
    <w:rsid w:val="00173066"/>
    <w:rsid w:val="0017326F"/>
    <w:rsid w:val="001740B9"/>
    <w:rsid w:val="001741CB"/>
    <w:rsid w:val="00174E04"/>
    <w:rsid w:val="0017570A"/>
    <w:rsid w:val="00175853"/>
    <w:rsid w:val="001761AB"/>
    <w:rsid w:val="001802D2"/>
    <w:rsid w:val="0018042E"/>
    <w:rsid w:val="00180A38"/>
    <w:rsid w:val="00180AD8"/>
    <w:rsid w:val="001823E5"/>
    <w:rsid w:val="001823F1"/>
    <w:rsid w:val="001826B5"/>
    <w:rsid w:val="001835DD"/>
    <w:rsid w:val="00183F28"/>
    <w:rsid w:val="0018457F"/>
    <w:rsid w:val="00184D55"/>
    <w:rsid w:val="001861B0"/>
    <w:rsid w:val="0018620F"/>
    <w:rsid w:val="00186D69"/>
    <w:rsid w:val="00187039"/>
    <w:rsid w:val="0018776E"/>
    <w:rsid w:val="001912AD"/>
    <w:rsid w:val="0019284C"/>
    <w:rsid w:val="00192F06"/>
    <w:rsid w:val="0019360E"/>
    <w:rsid w:val="001946E6"/>
    <w:rsid w:val="00194E5F"/>
    <w:rsid w:val="00194EA2"/>
    <w:rsid w:val="00195914"/>
    <w:rsid w:val="00195CF2"/>
    <w:rsid w:val="00195ED3"/>
    <w:rsid w:val="00197443"/>
    <w:rsid w:val="00197553"/>
    <w:rsid w:val="001A0A0C"/>
    <w:rsid w:val="001A1B5F"/>
    <w:rsid w:val="001A219C"/>
    <w:rsid w:val="001A5D15"/>
    <w:rsid w:val="001A5D69"/>
    <w:rsid w:val="001A615C"/>
    <w:rsid w:val="001A6D9C"/>
    <w:rsid w:val="001A6DD7"/>
    <w:rsid w:val="001A747B"/>
    <w:rsid w:val="001A7752"/>
    <w:rsid w:val="001A7781"/>
    <w:rsid w:val="001A7796"/>
    <w:rsid w:val="001B0500"/>
    <w:rsid w:val="001B0D9F"/>
    <w:rsid w:val="001B15AC"/>
    <w:rsid w:val="001B1D58"/>
    <w:rsid w:val="001B2BD6"/>
    <w:rsid w:val="001B398E"/>
    <w:rsid w:val="001B3D72"/>
    <w:rsid w:val="001B4132"/>
    <w:rsid w:val="001B5C99"/>
    <w:rsid w:val="001B7668"/>
    <w:rsid w:val="001C04F9"/>
    <w:rsid w:val="001C05D1"/>
    <w:rsid w:val="001C06B6"/>
    <w:rsid w:val="001C10D7"/>
    <w:rsid w:val="001C1D82"/>
    <w:rsid w:val="001C2647"/>
    <w:rsid w:val="001C2959"/>
    <w:rsid w:val="001C2BF7"/>
    <w:rsid w:val="001C2F7F"/>
    <w:rsid w:val="001C46B1"/>
    <w:rsid w:val="001C59CE"/>
    <w:rsid w:val="001C5BE2"/>
    <w:rsid w:val="001C6BDE"/>
    <w:rsid w:val="001C6E88"/>
    <w:rsid w:val="001C7142"/>
    <w:rsid w:val="001C769E"/>
    <w:rsid w:val="001C76BE"/>
    <w:rsid w:val="001C7C19"/>
    <w:rsid w:val="001C7CBE"/>
    <w:rsid w:val="001D057A"/>
    <w:rsid w:val="001D0684"/>
    <w:rsid w:val="001D080A"/>
    <w:rsid w:val="001D143C"/>
    <w:rsid w:val="001D1A7E"/>
    <w:rsid w:val="001D21D1"/>
    <w:rsid w:val="001D239A"/>
    <w:rsid w:val="001D40B5"/>
    <w:rsid w:val="001D5F96"/>
    <w:rsid w:val="001D604E"/>
    <w:rsid w:val="001D62C5"/>
    <w:rsid w:val="001D6AAE"/>
    <w:rsid w:val="001D791A"/>
    <w:rsid w:val="001E007E"/>
    <w:rsid w:val="001E04B4"/>
    <w:rsid w:val="001E0CE7"/>
    <w:rsid w:val="001E100E"/>
    <w:rsid w:val="001E16B0"/>
    <w:rsid w:val="001E18A6"/>
    <w:rsid w:val="001E193E"/>
    <w:rsid w:val="001E1B4D"/>
    <w:rsid w:val="001E1F56"/>
    <w:rsid w:val="001E22C3"/>
    <w:rsid w:val="001E27DA"/>
    <w:rsid w:val="001E29F3"/>
    <w:rsid w:val="001E3395"/>
    <w:rsid w:val="001E3618"/>
    <w:rsid w:val="001E37A6"/>
    <w:rsid w:val="001E3D09"/>
    <w:rsid w:val="001E3EB7"/>
    <w:rsid w:val="001E4752"/>
    <w:rsid w:val="001E4F61"/>
    <w:rsid w:val="001E51E2"/>
    <w:rsid w:val="001E591E"/>
    <w:rsid w:val="001E5A27"/>
    <w:rsid w:val="001E6378"/>
    <w:rsid w:val="001E676F"/>
    <w:rsid w:val="001E7004"/>
    <w:rsid w:val="001E7B0D"/>
    <w:rsid w:val="001E7CFB"/>
    <w:rsid w:val="001F00FD"/>
    <w:rsid w:val="001F1668"/>
    <w:rsid w:val="001F19A2"/>
    <w:rsid w:val="001F2DD0"/>
    <w:rsid w:val="001F2E5C"/>
    <w:rsid w:val="001F3B5D"/>
    <w:rsid w:val="001F4225"/>
    <w:rsid w:val="001F4A49"/>
    <w:rsid w:val="001F52A6"/>
    <w:rsid w:val="001F5EF3"/>
    <w:rsid w:val="001F61E5"/>
    <w:rsid w:val="001F65D7"/>
    <w:rsid w:val="001F6B5F"/>
    <w:rsid w:val="001F76AA"/>
    <w:rsid w:val="0020116B"/>
    <w:rsid w:val="00202135"/>
    <w:rsid w:val="00202288"/>
    <w:rsid w:val="00202566"/>
    <w:rsid w:val="00202B01"/>
    <w:rsid w:val="00202B8F"/>
    <w:rsid w:val="00203610"/>
    <w:rsid w:val="00207738"/>
    <w:rsid w:val="00210EF0"/>
    <w:rsid w:val="00211063"/>
    <w:rsid w:val="0021168D"/>
    <w:rsid w:val="002120CB"/>
    <w:rsid w:val="00212438"/>
    <w:rsid w:val="00212A1C"/>
    <w:rsid w:val="00212D40"/>
    <w:rsid w:val="00212D9C"/>
    <w:rsid w:val="002135BD"/>
    <w:rsid w:val="00213F8A"/>
    <w:rsid w:val="002146B2"/>
    <w:rsid w:val="00215846"/>
    <w:rsid w:val="002160F5"/>
    <w:rsid w:val="002160FE"/>
    <w:rsid w:val="00216412"/>
    <w:rsid w:val="00216D8A"/>
    <w:rsid w:val="0021747F"/>
    <w:rsid w:val="00221431"/>
    <w:rsid w:val="002224BF"/>
    <w:rsid w:val="00222CFE"/>
    <w:rsid w:val="0022386F"/>
    <w:rsid w:val="002245E4"/>
    <w:rsid w:val="00224709"/>
    <w:rsid w:val="00225013"/>
    <w:rsid w:val="00225530"/>
    <w:rsid w:val="002256C6"/>
    <w:rsid w:val="00225FCC"/>
    <w:rsid w:val="00226058"/>
    <w:rsid w:val="002263C2"/>
    <w:rsid w:val="00226C38"/>
    <w:rsid w:val="002307CA"/>
    <w:rsid w:val="00230B75"/>
    <w:rsid w:val="00230FC3"/>
    <w:rsid w:val="00231DC9"/>
    <w:rsid w:val="002323F5"/>
    <w:rsid w:val="00233342"/>
    <w:rsid w:val="00233617"/>
    <w:rsid w:val="0023377A"/>
    <w:rsid w:val="00233AF2"/>
    <w:rsid w:val="00234269"/>
    <w:rsid w:val="00235016"/>
    <w:rsid w:val="00235FD5"/>
    <w:rsid w:val="00236204"/>
    <w:rsid w:val="0023627D"/>
    <w:rsid w:val="002402E2"/>
    <w:rsid w:val="002410CF"/>
    <w:rsid w:val="0024112B"/>
    <w:rsid w:val="00241E6C"/>
    <w:rsid w:val="00242F73"/>
    <w:rsid w:val="002434EE"/>
    <w:rsid w:val="0024373C"/>
    <w:rsid w:val="00243A6D"/>
    <w:rsid w:val="00244BE6"/>
    <w:rsid w:val="0024591C"/>
    <w:rsid w:val="0024593B"/>
    <w:rsid w:val="00245F9A"/>
    <w:rsid w:val="00246EDA"/>
    <w:rsid w:val="0024797D"/>
    <w:rsid w:val="002500BA"/>
    <w:rsid w:val="00250251"/>
    <w:rsid w:val="00251187"/>
    <w:rsid w:val="00252A9D"/>
    <w:rsid w:val="00253128"/>
    <w:rsid w:val="00255187"/>
    <w:rsid w:val="00255624"/>
    <w:rsid w:val="002566F0"/>
    <w:rsid w:val="0025759D"/>
    <w:rsid w:val="002600B3"/>
    <w:rsid w:val="002602ED"/>
    <w:rsid w:val="00260F54"/>
    <w:rsid w:val="00261D47"/>
    <w:rsid w:val="002624FD"/>
    <w:rsid w:val="00262B5D"/>
    <w:rsid w:val="00262CFA"/>
    <w:rsid w:val="00262D8D"/>
    <w:rsid w:val="00264AB4"/>
    <w:rsid w:val="00264C7C"/>
    <w:rsid w:val="00264F41"/>
    <w:rsid w:val="002655B9"/>
    <w:rsid w:val="00266065"/>
    <w:rsid w:val="0026691A"/>
    <w:rsid w:val="00266D80"/>
    <w:rsid w:val="00267F71"/>
    <w:rsid w:val="00270214"/>
    <w:rsid w:val="00270523"/>
    <w:rsid w:val="0027157E"/>
    <w:rsid w:val="0027245E"/>
    <w:rsid w:val="0027279F"/>
    <w:rsid w:val="00273030"/>
    <w:rsid w:val="00273A86"/>
    <w:rsid w:val="00273E29"/>
    <w:rsid w:val="0027466F"/>
    <w:rsid w:val="00274DAA"/>
    <w:rsid w:val="00275608"/>
    <w:rsid w:val="00276539"/>
    <w:rsid w:val="00276601"/>
    <w:rsid w:val="0028007F"/>
    <w:rsid w:val="002828C4"/>
    <w:rsid w:val="002831B2"/>
    <w:rsid w:val="00284094"/>
    <w:rsid w:val="00284434"/>
    <w:rsid w:val="00285BBC"/>
    <w:rsid w:val="00285D75"/>
    <w:rsid w:val="00285DAA"/>
    <w:rsid w:val="002863D4"/>
    <w:rsid w:val="00286CE9"/>
    <w:rsid w:val="00286EAD"/>
    <w:rsid w:val="00287C58"/>
    <w:rsid w:val="00290120"/>
    <w:rsid w:val="00292D54"/>
    <w:rsid w:val="0029472D"/>
    <w:rsid w:val="00294AD2"/>
    <w:rsid w:val="00294D4C"/>
    <w:rsid w:val="0029594D"/>
    <w:rsid w:val="00295CCA"/>
    <w:rsid w:val="00295D53"/>
    <w:rsid w:val="00295F88"/>
    <w:rsid w:val="00296181"/>
    <w:rsid w:val="00297491"/>
    <w:rsid w:val="0029792B"/>
    <w:rsid w:val="00297E7E"/>
    <w:rsid w:val="002A01B5"/>
    <w:rsid w:val="002A0358"/>
    <w:rsid w:val="002A288C"/>
    <w:rsid w:val="002A31CB"/>
    <w:rsid w:val="002A3320"/>
    <w:rsid w:val="002A3430"/>
    <w:rsid w:val="002A3FAA"/>
    <w:rsid w:val="002A4796"/>
    <w:rsid w:val="002A4B2F"/>
    <w:rsid w:val="002A4DD6"/>
    <w:rsid w:val="002A5A9E"/>
    <w:rsid w:val="002A6E15"/>
    <w:rsid w:val="002A78DE"/>
    <w:rsid w:val="002A795A"/>
    <w:rsid w:val="002A7DEE"/>
    <w:rsid w:val="002B0075"/>
    <w:rsid w:val="002B00A1"/>
    <w:rsid w:val="002B068C"/>
    <w:rsid w:val="002B0914"/>
    <w:rsid w:val="002B0F69"/>
    <w:rsid w:val="002B1587"/>
    <w:rsid w:val="002B1D3F"/>
    <w:rsid w:val="002B24D6"/>
    <w:rsid w:val="002B267C"/>
    <w:rsid w:val="002B3343"/>
    <w:rsid w:val="002B3F69"/>
    <w:rsid w:val="002B5441"/>
    <w:rsid w:val="002B6E44"/>
    <w:rsid w:val="002B7245"/>
    <w:rsid w:val="002C0176"/>
    <w:rsid w:val="002C0C85"/>
    <w:rsid w:val="002C1CC2"/>
    <w:rsid w:val="002C1EAC"/>
    <w:rsid w:val="002C295D"/>
    <w:rsid w:val="002C36BC"/>
    <w:rsid w:val="002C51A5"/>
    <w:rsid w:val="002C5DFC"/>
    <w:rsid w:val="002C67F0"/>
    <w:rsid w:val="002C6C6C"/>
    <w:rsid w:val="002C707E"/>
    <w:rsid w:val="002D0BCD"/>
    <w:rsid w:val="002D22A2"/>
    <w:rsid w:val="002D2339"/>
    <w:rsid w:val="002D2F79"/>
    <w:rsid w:val="002D3F27"/>
    <w:rsid w:val="002D40BA"/>
    <w:rsid w:val="002D40D2"/>
    <w:rsid w:val="002D4432"/>
    <w:rsid w:val="002D4A4B"/>
    <w:rsid w:val="002D5331"/>
    <w:rsid w:val="002D59B8"/>
    <w:rsid w:val="002D5A59"/>
    <w:rsid w:val="002D5D9D"/>
    <w:rsid w:val="002D7331"/>
    <w:rsid w:val="002E0B59"/>
    <w:rsid w:val="002E10BA"/>
    <w:rsid w:val="002E1181"/>
    <w:rsid w:val="002E11C9"/>
    <w:rsid w:val="002E134E"/>
    <w:rsid w:val="002E1413"/>
    <w:rsid w:val="002E1836"/>
    <w:rsid w:val="002E1A5B"/>
    <w:rsid w:val="002E2172"/>
    <w:rsid w:val="002E2978"/>
    <w:rsid w:val="002E2D99"/>
    <w:rsid w:val="002E33FC"/>
    <w:rsid w:val="002E38C2"/>
    <w:rsid w:val="002E3EA4"/>
    <w:rsid w:val="002E44A9"/>
    <w:rsid w:val="002E55EE"/>
    <w:rsid w:val="002E5A0F"/>
    <w:rsid w:val="002E5A12"/>
    <w:rsid w:val="002E5A8E"/>
    <w:rsid w:val="002E5D3D"/>
    <w:rsid w:val="002E68B9"/>
    <w:rsid w:val="002E6CC1"/>
    <w:rsid w:val="002E7188"/>
    <w:rsid w:val="002E7638"/>
    <w:rsid w:val="002E7D77"/>
    <w:rsid w:val="002F0031"/>
    <w:rsid w:val="002F02F8"/>
    <w:rsid w:val="002F14A6"/>
    <w:rsid w:val="002F19E5"/>
    <w:rsid w:val="002F21E1"/>
    <w:rsid w:val="002F22EB"/>
    <w:rsid w:val="002F2FDE"/>
    <w:rsid w:val="002F3DA1"/>
    <w:rsid w:val="002F463A"/>
    <w:rsid w:val="002F4CAF"/>
    <w:rsid w:val="002F5048"/>
    <w:rsid w:val="002F5269"/>
    <w:rsid w:val="002F5CA3"/>
    <w:rsid w:val="002F5DFC"/>
    <w:rsid w:val="002F6221"/>
    <w:rsid w:val="002F641F"/>
    <w:rsid w:val="002F6764"/>
    <w:rsid w:val="002F7284"/>
    <w:rsid w:val="002F7576"/>
    <w:rsid w:val="002F7CAF"/>
    <w:rsid w:val="00301E05"/>
    <w:rsid w:val="00301FD3"/>
    <w:rsid w:val="00302A43"/>
    <w:rsid w:val="0030334C"/>
    <w:rsid w:val="00303623"/>
    <w:rsid w:val="003038BE"/>
    <w:rsid w:val="00303E60"/>
    <w:rsid w:val="003048D9"/>
    <w:rsid w:val="00305B05"/>
    <w:rsid w:val="00305B6E"/>
    <w:rsid w:val="00306065"/>
    <w:rsid w:val="00306A78"/>
    <w:rsid w:val="00306F2D"/>
    <w:rsid w:val="00307B79"/>
    <w:rsid w:val="00310534"/>
    <w:rsid w:val="00310A4A"/>
    <w:rsid w:val="00310AFD"/>
    <w:rsid w:val="00310F3E"/>
    <w:rsid w:val="00312F48"/>
    <w:rsid w:val="003133BC"/>
    <w:rsid w:val="00313AD8"/>
    <w:rsid w:val="003143DA"/>
    <w:rsid w:val="00315482"/>
    <w:rsid w:val="00315ACB"/>
    <w:rsid w:val="003160A7"/>
    <w:rsid w:val="003167ED"/>
    <w:rsid w:val="00317079"/>
    <w:rsid w:val="003202C7"/>
    <w:rsid w:val="003209CA"/>
    <w:rsid w:val="00320E9C"/>
    <w:rsid w:val="00321351"/>
    <w:rsid w:val="00321669"/>
    <w:rsid w:val="003220EE"/>
    <w:rsid w:val="0032354D"/>
    <w:rsid w:val="00324978"/>
    <w:rsid w:val="00324C8F"/>
    <w:rsid w:val="0032658C"/>
    <w:rsid w:val="00326BCE"/>
    <w:rsid w:val="00327069"/>
    <w:rsid w:val="00327373"/>
    <w:rsid w:val="003279F4"/>
    <w:rsid w:val="00327C45"/>
    <w:rsid w:val="00330037"/>
    <w:rsid w:val="0033064A"/>
    <w:rsid w:val="00331281"/>
    <w:rsid w:val="003313FF"/>
    <w:rsid w:val="0033143F"/>
    <w:rsid w:val="0033178E"/>
    <w:rsid w:val="003323AE"/>
    <w:rsid w:val="003326A6"/>
    <w:rsid w:val="00334A73"/>
    <w:rsid w:val="00334F7A"/>
    <w:rsid w:val="00335ECC"/>
    <w:rsid w:val="00336CC0"/>
    <w:rsid w:val="0033717B"/>
    <w:rsid w:val="0033743B"/>
    <w:rsid w:val="00337C00"/>
    <w:rsid w:val="003411B7"/>
    <w:rsid w:val="00341619"/>
    <w:rsid w:val="00341D17"/>
    <w:rsid w:val="003420D6"/>
    <w:rsid w:val="003421ED"/>
    <w:rsid w:val="00342832"/>
    <w:rsid w:val="00342D0C"/>
    <w:rsid w:val="00342D89"/>
    <w:rsid w:val="0034397A"/>
    <w:rsid w:val="00344007"/>
    <w:rsid w:val="00344068"/>
    <w:rsid w:val="0034480A"/>
    <w:rsid w:val="00344DB0"/>
    <w:rsid w:val="003450F5"/>
    <w:rsid w:val="0034617D"/>
    <w:rsid w:val="00346B3F"/>
    <w:rsid w:val="003476B9"/>
    <w:rsid w:val="00347AA2"/>
    <w:rsid w:val="00350912"/>
    <w:rsid w:val="00350DF7"/>
    <w:rsid w:val="00351AFB"/>
    <w:rsid w:val="00351B24"/>
    <w:rsid w:val="00351FD1"/>
    <w:rsid w:val="00352C32"/>
    <w:rsid w:val="00353214"/>
    <w:rsid w:val="00353A9B"/>
    <w:rsid w:val="00353AF3"/>
    <w:rsid w:val="00353CDE"/>
    <w:rsid w:val="00353E61"/>
    <w:rsid w:val="00354C4D"/>
    <w:rsid w:val="003554E7"/>
    <w:rsid w:val="00355A57"/>
    <w:rsid w:val="00355C37"/>
    <w:rsid w:val="003562A0"/>
    <w:rsid w:val="00356C49"/>
    <w:rsid w:val="00356FF9"/>
    <w:rsid w:val="0036056F"/>
    <w:rsid w:val="00360B84"/>
    <w:rsid w:val="003616AE"/>
    <w:rsid w:val="00362E03"/>
    <w:rsid w:val="003633C4"/>
    <w:rsid w:val="003636BA"/>
    <w:rsid w:val="00364109"/>
    <w:rsid w:val="003649C6"/>
    <w:rsid w:val="00365796"/>
    <w:rsid w:val="003657F9"/>
    <w:rsid w:val="00366FDD"/>
    <w:rsid w:val="00367227"/>
    <w:rsid w:val="00367333"/>
    <w:rsid w:val="00370237"/>
    <w:rsid w:val="003716A7"/>
    <w:rsid w:val="00371E45"/>
    <w:rsid w:val="00372761"/>
    <w:rsid w:val="00373E44"/>
    <w:rsid w:val="0037474E"/>
    <w:rsid w:val="00374865"/>
    <w:rsid w:val="003752D3"/>
    <w:rsid w:val="00375561"/>
    <w:rsid w:val="00376015"/>
    <w:rsid w:val="003761D6"/>
    <w:rsid w:val="003763AB"/>
    <w:rsid w:val="00376A40"/>
    <w:rsid w:val="00377F59"/>
    <w:rsid w:val="00383762"/>
    <w:rsid w:val="003837BD"/>
    <w:rsid w:val="00383DF1"/>
    <w:rsid w:val="00383E9E"/>
    <w:rsid w:val="0038446E"/>
    <w:rsid w:val="00384D4A"/>
    <w:rsid w:val="00385AE6"/>
    <w:rsid w:val="00386721"/>
    <w:rsid w:val="00386BEB"/>
    <w:rsid w:val="00386C56"/>
    <w:rsid w:val="0038735F"/>
    <w:rsid w:val="00387615"/>
    <w:rsid w:val="00387CEF"/>
    <w:rsid w:val="00390109"/>
    <w:rsid w:val="0039100C"/>
    <w:rsid w:val="003914D5"/>
    <w:rsid w:val="00391547"/>
    <w:rsid w:val="00391610"/>
    <w:rsid w:val="00391F5A"/>
    <w:rsid w:val="00392247"/>
    <w:rsid w:val="00392326"/>
    <w:rsid w:val="00392762"/>
    <w:rsid w:val="0039326B"/>
    <w:rsid w:val="00393571"/>
    <w:rsid w:val="00393D2E"/>
    <w:rsid w:val="00393F99"/>
    <w:rsid w:val="00395674"/>
    <w:rsid w:val="00395D83"/>
    <w:rsid w:val="00396A97"/>
    <w:rsid w:val="00396B29"/>
    <w:rsid w:val="00396C27"/>
    <w:rsid w:val="003978C5"/>
    <w:rsid w:val="003A0762"/>
    <w:rsid w:val="003A0BD9"/>
    <w:rsid w:val="003A1B86"/>
    <w:rsid w:val="003A1E05"/>
    <w:rsid w:val="003A1FCF"/>
    <w:rsid w:val="003A232F"/>
    <w:rsid w:val="003A27C6"/>
    <w:rsid w:val="003A2984"/>
    <w:rsid w:val="003A33ED"/>
    <w:rsid w:val="003A386A"/>
    <w:rsid w:val="003A3A06"/>
    <w:rsid w:val="003A41A5"/>
    <w:rsid w:val="003A4D5E"/>
    <w:rsid w:val="003A51B7"/>
    <w:rsid w:val="003A531B"/>
    <w:rsid w:val="003A53E4"/>
    <w:rsid w:val="003A568D"/>
    <w:rsid w:val="003A56BC"/>
    <w:rsid w:val="003A5DF8"/>
    <w:rsid w:val="003A61D4"/>
    <w:rsid w:val="003A62F0"/>
    <w:rsid w:val="003A6370"/>
    <w:rsid w:val="003A6825"/>
    <w:rsid w:val="003A69C7"/>
    <w:rsid w:val="003A6A94"/>
    <w:rsid w:val="003A6AD5"/>
    <w:rsid w:val="003A763B"/>
    <w:rsid w:val="003A7C2E"/>
    <w:rsid w:val="003B0756"/>
    <w:rsid w:val="003B0976"/>
    <w:rsid w:val="003B0F27"/>
    <w:rsid w:val="003B1A0B"/>
    <w:rsid w:val="003B1D94"/>
    <w:rsid w:val="003B2074"/>
    <w:rsid w:val="003B2D6C"/>
    <w:rsid w:val="003B34A5"/>
    <w:rsid w:val="003B367B"/>
    <w:rsid w:val="003B3A70"/>
    <w:rsid w:val="003B3C6C"/>
    <w:rsid w:val="003B3EB0"/>
    <w:rsid w:val="003B4179"/>
    <w:rsid w:val="003B4F71"/>
    <w:rsid w:val="003B5B2E"/>
    <w:rsid w:val="003B6930"/>
    <w:rsid w:val="003B6B55"/>
    <w:rsid w:val="003B6DB5"/>
    <w:rsid w:val="003B74EE"/>
    <w:rsid w:val="003C009B"/>
    <w:rsid w:val="003C09B6"/>
    <w:rsid w:val="003C2EB1"/>
    <w:rsid w:val="003C48A7"/>
    <w:rsid w:val="003C5075"/>
    <w:rsid w:val="003C54BB"/>
    <w:rsid w:val="003C5E4C"/>
    <w:rsid w:val="003C62BD"/>
    <w:rsid w:val="003C63E1"/>
    <w:rsid w:val="003C6845"/>
    <w:rsid w:val="003C6EBA"/>
    <w:rsid w:val="003C7044"/>
    <w:rsid w:val="003C78FC"/>
    <w:rsid w:val="003D086C"/>
    <w:rsid w:val="003D097B"/>
    <w:rsid w:val="003D0B4B"/>
    <w:rsid w:val="003D0CC8"/>
    <w:rsid w:val="003D0DB6"/>
    <w:rsid w:val="003D2B83"/>
    <w:rsid w:val="003D416D"/>
    <w:rsid w:val="003D4290"/>
    <w:rsid w:val="003D5BFF"/>
    <w:rsid w:val="003D5C90"/>
    <w:rsid w:val="003D62B1"/>
    <w:rsid w:val="003D6A52"/>
    <w:rsid w:val="003D6C76"/>
    <w:rsid w:val="003D711C"/>
    <w:rsid w:val="003D7403"/>
    <w:rsid w:val="003E05DF"/>
    <w:rsid w:val="003E0634"/>
    <w:rsid w:val="003E1314"/>
    <w:rsid w:val="003E2482"/>
    <w:rsid w:val="003E3838"/>
    <w:rsid w:val="003E3E63"/>
    <w:rsid w:val="003E4210"/>
    <w:rsid w:val="003E5A70"/>
    <w:rsid w:val="003E6881"/>
    <w:rsid w:val="003E6B75"/>
    <w:rsid w:val="003E74FD"/>
    <w:rsid w:val="003F013F"/>
    <w:rsid w:val="003F03CE"/>
    <w:rsid w:val="003F09FE"/>
    <w:rsid w:val="003F0DEF"/>
    <w:rsid w:val="003F1231"/>
    <w:rsid w:val="003F18AE"/>
    <w:rsid w:val="003F21D4"/>
    <w:rsid w:val="003F2875"/>
    <w:rsid w:val="003F28D0"/>
    <w:rsid w:val="003F38BC"/>
    <w:rsid w:val="003F3EC6"/>
    <w:rsid w:val="003F4A08"/>
    <w:rsid w:val="003F504A"/>
    <w:rsid w:val="003F5328"/>
    <w:rsid w:val="003F58F2"/>
    <w:rsid w:val="003F74B2"/>
    <w:rsid w:val="003F75A6"/>
    <w:rsid w:val="004010C3"/>
    <w:rsid w:val="00402216"/>
    <w:rsid w:val="0040275B"/>
    <w:rsid w:val="00403A3B"/>
    <w:rsid w:val="00403F23"/>
    <w:rsid w:val="004049CC"/>
    <w:rsid w:val="00405F0A"/>
    <w:rsid w:val="0040664C"/>
    <w:rsid w:val="00406E26"/>
    <w:rsid w:val="004072E1"/>
    <w:rsid w:val="00407BA7"/>
    <w:rsid w:val="004118AB"/>
    <w:rsid w:val="00412182"/>
    <w:rsid w:val="00412F1A"/>
    <w:rsid w:val="00414B8C"/>
    <w:rsid w:val="00414C21"/>
    <w:rsid w:val="00414E75"/>
    <w:rsid w:val="00414F67"/>
    <w:rsid w:val="00415642"/>
    <w:rsid w:val="00415F85"/>
    <w:rsid w:val="00416095"/>
    <w:rsid w:val="0041621B"/>
    <w:rsid w:val="00416B89"/>
    <w:rsid w:val="0042011F"/>
    <w:rsid w:val="00420644"/>
    <w:rsid w:val="004209E3"/>
    <w:rsid w:val="00420D5C"/>
    <w:rsid w:val="00421047"/>
    <w:rsid w:val="004218FF"/>
    <w:rsid w:val="00421F42"/>
    <w:rsid w:val="0042248B"/>
    <w:rsid w:val="00422A30"/>
    <w:rsid w:val="0042325A"/>
    <w:rsid w:val="00424154"/>
    <w:rsid w:val="004249EC"/>
    <w:rsid w:val="004251F6"/>
    <w:rsid w:val="004253AE"/>
    <w:rsid w:val="00425C05"/>
    <w:rsid w:val="00426277"/>
    <w:rsid w:val="004269B6"/>
    <w:rsid w:val="00426CD9"/>
    <w:rsid w:val="00426F80"/>
    <w:rsid w:val="004276B4"/>
    <w:rsid w:val="00427C9C"/>
    <w:rsid w:val="00427DE0"/>
    <w:rsid w:val="004300E7"/>
    <w:rsid w:val="004308BB"/>
    <w:rsid w:val="0043130C"/>
    <w:rsid w:val="00431905"/>
    <w:rsid w:val="0043472E"/>
    <w:rsid w:val="004350D8"/>
    <w:rsid w:val="00435A46"/>
    <w:rsid w:val="00435C67"/>
    <w:rsid w:val="00435F1F"/>
    <w:rsid w:val="004404B0"/>
    <w:rsid w:val="00442088"/>
    <w:rsid w:val="004427D5"/>
    <w:rsid w:val="00443160"/>
    <w:rsid w:val="00444160"/>
    <w:rsid w:val="00444835"/>
    <w:rsid w:val="004459A3"/>
    <w:rsid w:val="0044653A"/>
    <w:rsid w:val="00447482"/>
    <w:rsid w:val="0045004D"/>
    <w:rsid w:val="004500BA"/>
    <w:rsid w:val="0045068D"/>
    <w:rsid w:val="00450FA6"/>
    <w:rsid w:val="00451B08"/>
    <w:rsid w:val="004522A6"/>
    <w:rsid w:val="0045235D"/>
    <w:rsid w:val="00452373"/>
    <w:rsid w:val="004527AF"/>
    <w:rsid w:val="00452A02"/>
    <w:rsid w:val="00452E95"/>
    <w:rsid w:val="00453940"/>
    <w:rsid w:val="00453961"/>
    <w:rsid w:val="00453B47"/>
    <w:rsid w:val="00454166"/>
    <w:rsid w:val="00454B3D"/>
    <w:rsid w:val="004564EE"/>
    <w:rsid w:val="00456A88"/>
    <w:rsid w:val="00456DEF"/>
    <w:rsid w:val="004602E9"/>
    <w:rsid w:val="00461CEB"/>
    <w:rsid w:val="0046233B"/>
    <w:rsid w:val="00462724"/>
    <w:rsid w:val="00462BB7"/>
    <w:rsid w:val="00463267"/>
    <w:rsid w:val="00463318"/>
    <w:rsid w:val="00463BF2"/>
    <w:rsid w:val="004647C4"/>
    <w:rsid w:val="004654C1"/>
    <w:rsid w:val="00465794"/>
    <w:rsid w:val="00466D87"/>
    <w:rsid w:val="004675C2"/>
    <w:rsid w:val="00467B73"/>
    <w:rsid w:val="00470053"/>
    <w:rsid w:val="004703E2"/>
    <w:rsid w:val="00471C68"/>
    <w:rsid w:val="0047262A"/>
    <w:rsid w:val="0047264A"/>
    <w:rsid w:val="00472948"/>
    <w:rsid w:val="00472F4D"/>
    <w:rsid w:val="00473946"/>
    <w:rsid w:val="00474011"/>
    <w:rsid w:val="00474686"/>
    <w:rsid w:val="00474A4A"/>
    <w:rsid w:val="00475243"/>
    <w:rsid w:val="00475A66"/>
    <w:rsid w:val="00475F06"/>
    <w:rsid w:val="0047721A"/>
    <w:rsid w:val="004774B6"/>
    <w:rsid w:val="004776CD"/>
    <w:rsid w:val="00480C0B"/>
    <w:rsid w:val="00481EB3"/>
    <w:rsid w:val="0048301A"/>
    <w:rsid w:val="00483349"/>
    <w:rsid w:val="00484682"/>
    <w:rsid w:val="00484685"/>
    <w:rsid w:val="00484D1C"/>
    <w:rsid w:val="00486DF0"/>
    <w:rsid w:val="00487FBB"/>
    <w:rsid w:val="004905B1"/>
    <w:rsid w:val="00490A69"/>
    <w:rsid w:val="00492549"/>
    <w:rsid w:val="00492876"/>
    <w:rsid w:val="00493635"/>
    <w:rsid w:val="00493D4B"/>
    <w:rsid w:val="00494191"/>
    <w:rsid w:val="00494BAC"/>
    <w:rsid w:val="004952E0"/>
    <w:rsid w:val="0049538B"/>
    <w:rsid w:val="0049619C"/>
    <w:rsid w:val="00497080"/>
    <w:rsid w:val="004A06D9"/>
    <w:rsid w:val="004A100F"/>
    <w:rsid w:val="004A10DF"/>
    <w:rsid w:val="004A2581"/>
    <w:rsid w:val="004A295B"/>
    <w:rsid w:val="004A2DA8"/>
    <w:rsid w:val="004A37BF"/>
    <w:rsid w:val="004A4151"/>
    <w:rsid w:val="004A4B2C"/>
    <w:rsid w:val="004A5321"/>
    <w:rsid w:val="004A5F74"/>
    <w:rsid w:val="004A6020"/>
    <w:rsid w:val="004A7287"/>
    <w:rsid w:val="004A74D4"/>
    <w:rsid w:val="004A759E"/>
    <w:rsid w:val="004B0EE7"/>
    <w:rsid w:val="004B12FF"/>
    <w:rsid w:val="004B1C51"/>
    <w:rsid w:val="004B1E8D"/>
    <w:rsid w:val="004B263B"/>
    <w:rsid w:val="004B276F"/>
    <w:rsid w:val="004B2B88"/>
    <w:rsid w:val="004B2D85"/>
    <w:rsid w:val="004B2E97"/>
    <w:rsid w:val="004B3398"/>
    <w:rsid w:val="004B3BA9"/>
    <w:rsid w:val="004B431B"/>
    <w:rsid w:val="004B4FDD"/>
    <w:rsid w:val="004B6C32"/>
    <w:rsid w:val="004B74D8"/>
    <w:rsid w:val="004B7716"/>
    <w:rsid w:val="004B7B76"/>
    <w:rsid w:val="004C011D"/>
    <w:rsid w:val="004C0487"/>
    <w:rsid w:val="004C0579"/>
    <w:rsid w:val="004C0B0D"/>
    <w:rsid w:val="004C0F48"/>
    <w:rsid w:val="004C1650"/>
    <w:rsid w:val="004C23EE"/>
    <w:rsid w:val="004C28F8"/>
    <w:rsid w:val="004C3019"/>
    <w:rsid w:val="004C3D4F"/>
    <w:rsid w:val="004C46DC"/>
    <w:rsid w:val="004C4B5E"/>
    <w:rsid w:val="004C5498"/>
    <w:rsid w:val="004C7270"/>
    <w:rsid w:val="004C7B28"/>
    <w:rsid w:val="004C7B98"/>
    <w:rsid w:val="004D05E6"/>
    <w:rsid w:val="004D2425"/>
    <w:rsid w:val="004D3244"/>
    <w:rsid w:val="004D33D2"/>
    <w:rsid w:val="004D3C7C"/>
    <w:rsid w:val="004D5923"/>
    <w:rsid w:val="004E06E2"/>
    <w:rsid w:val="004E0BB8"/>
    <w:rsid w:val="004E1AB1"/>
    <w:rsid w:val="004E1F93"/>
    <w:rsid w:val="004E22FF"/>
    <w:rsid w:val="004E238B"/>
    <w:rsid w:val="004E458D"/>
    <w:rsid w:val="004E4933"/>
    <w:rsid w:val="004E498C"/>
    <w:rsid w:val="004E4B09"/>
    <w:rsid w:val="004E639D"/>
    <w:rsid w:val="004E6863"/>
    <w:rsid w:val="004E7486"/>
    <w:rsid w:val="004E7671"/>
    <w:rsid w:val="004E7BA6"/>
    <w:rsid w:val="004F022F"/>
    <w:rsid w:val="004F02AC"/>
    <w:rsid w:val="004F0713"/>
    <w:rsid w:val="004F0DC6"/>
    <w:rsid w:val="004F1543"/>
    <w:rsid w:val="004F170A"/>
    <w:rsid w:val="004F2657"/>
    <w:rsid w:val="004F32FF"/>
    <w:rsid w:val="004F3B30"/>
    <w:rsid w:val="004F3B4D"/>
    <w:rsid w:val="004F3D3A"/>
    <w:rsid w:val="004F3E85"/>
    <w:rsid w:val="004F531D"/>
    <w:rsid w:val="004F5675"/>
    <w:rsid w:val="004F582B"/>
    <w:rsid w:val="004F5B21"/>
    <w:rsid w:val="004F6D17"/>
    <w:rsid w:val="004F6DA1"/>
    <w:rsid w:val="004F7B2E"/>
    <w:rsid w:val="00500A49"/>
    <w:rsid w:val="00502320"/>
    <w:rsid w:val="00503A29"/>
    <w:rsid w:val="00504977"/>
    <w:rsid w:val="00504C0D"/>
    <w:rsid w:val="00504D01"/>
    <w:rsid w:val="00504DAF"/>
    <w:rsid w:val="00505DB3"/>
    <w:rsid w:val="005062F7"/>
    <w:rsid w:val="005064A7"/>
    <w:rsid w:val="00506539"/>
    <w:rsid w:val="005068D8"/>
    <w:rsid w:val="00506ADA"/>
    <w:rsid w:val="0050737A"/>
    <w:rsid w:val="00507889"/>
    <w:rsid w:val="00507CDA"/>
    <w:rsid w:val="005100D4"/>
    <w:rsid w:val="005106D5"/>
    <w:rsid w:val="005111B3"/>
    <w:rsid w:val="0051139E"/>
    <w:rsid w:val="005119D5"/>
    <w:rsid w:val="00512810"/>
    <w:rsid w:val="00512BBD"/>
    <w:rsid w:val="00513CC0"/>
    <w:rsid w:val="00513DAA"/>
    <w:rsid w:val="00514316"/>
    <w:rsid w:val="0051534A"/>
    <w:rsid w:val="00515542"/>
    <w:rsid w:val="00515941"/>
    <w:rsid w:val="0051643A"/>
    <w:rsid w:val="005172D4"/>
    <w:rsid w:val="00517AA7"/>
    <w:rsid w:val="00520D24"/>
    <w:rsid w:val="0052116C"/>
    <w:rsid w:val="00521349"/>
    <w:rsid w:val="0052197F"/>
    <w:rsid w:val="00522034"/>
    <w:rsid w:val="00523080"/>
    <w:rsid w:val="005233A5"/>
    <w:rsid w:val="00523F93"/>
    <w:rsid w:val="0052428B"/>
    <w:rsid w:val="005246F7"/>
    <w:rsid w:val="00524C60"/>
    <w:rsid w:val="00524E40"/>
    <w:rsid w:val="005257B1"/>
    <w:rsid w:val="00525D4E"/>
    <w:rsid w:val="00525E4E"/>
    <w:rsid w:val="00526692"/>
    <w:rsid w:val="00527B9E"/>
    <w:rsid w:val="00530A0D"/>
    <w:rsid w:val="00531B22"/>
    <w:rsid w:val="00533D4E"/>
    <w:rsid w:val="005354BD"/>
    <w:rsid w:val="00535FF6"/>
    <w:rsid w:val="00536A57"/>
    <w:rsid w:val="00536C07"/>
    <w:rsid w:val="00536E9C"/>
    <w:rsid w:val="005376E8"/>
    <w:rsid w:val="005405CF"/>
    <w:rsid w:val="005415C5"/>
    <w:rsid w:val="0054263D"/>
    <w:rsid w:val="005438DB"/>
    <w:rsid w:val="0054539A"/>
    <w:rsid w:val="0054559D"/>
    <w:rsid w:val="00546398"/>
    <w:rsid w:val="0054685C"/>
    <w:rsid w:val="00547880"/>
    <w:rsid w:val="00547B55"/>
    <w:rsid w:val="00550BF7"/>
    <w:rsid w:val="005515BB"/>
    <w:rsid w:val="00552C24"/>
    <w:rsid w:val="00552F0E"/>
    <w:rsid w:val="00552F44"/>
    <w:rsid w:val="005539C1"/>
    <w:rsid w:val="00554053"/>
    <w:rsid w:val="00555973"/>
    <w:rsid w:val="00556FEC"/>
    <w:rsid w:val="005575A4"/>
    <w:rsid w:val="00557942"/>
    <w:rsid w:val="00557C30"/>
    <w:rsid w:val="00560BE5"/>
    <w:rsid w:val="00560D6D"/>
    <w:rsid w:val="00560FF4"/>
    <w:rsid w:val="00561F7D"/>
    <w:rsid w:val="00562618"/>
    <w:rsid w:val="00563909"/>
    <w:rsid w:val="00565FEF"/>
    <w:rsid w:val="00567733"/>
    <w:rsid w:val="0056782D"/>
    <w:rsid w:val="005700BF"/>
    <w:rsid w:val="00572A5C"/>
    <w:rsid w:val="00572DDF"/>
    <w:rsid w:val="00572EC5"/>
    <w:rsid w:val="005737D7"/>
    <w:rsid w:val="00574408"/>
    <w:rsid w:val="00574727"/>
    <w:rsid w:val="005748CD"/>
    <w:rsid w:val="005762FB"/>
    <w:rsid w:val="005764E2"/>
    <w:rsid w:val="0057700D"/>
    <w:rsid w:val="00577B19"/>
    <w:rsid w:val="00580E5A"/>
    <w:rsid w:val="0058141A"/>
    <w:rsid w:val="005814AB"/>
    <w:rsid w:val="00582ACA"/>
    <w:rsid w:val="00583960"/>
    <w:rsid w:val="00583A07"/>
    <w:rsid w:val="00584148"/>
    <w:rsid w:val="00584230"/>
    <w:rsid w:val="00584FA4"/>
    <w:rsid w:val="005856BA"/>
    <w:rsid w:val="005857F3"/>
    <w:rsid w:val="00585B00"/>
    <w:rsid w:val="00586005"/>
    <w:rsid w:val="00586E03"/>
    <w:rsid w:val="00587D0C"/>
    <w:rsid w:val="005902F7"/>
    <w:rsid w:val="00590C2A"/>
    <w:rsid w:val="00591742"/>
    <w:rsid w:val="00591BF0"/>
    <w:rsid w:val="00592EAB"/>
    <w:rsid w:val="00593652"/>
    <w:rsid w:val="00593EEC"/>
    <w:rsid w:val="00594A31"/>
    <w:rsid w:val="00594DA6"/>
    <w:rsid w:val="00594E3F"/>
    <w:rsid w:val="005979B7"/>
    <w:rsid w:val="00597D2A"/>
    <w:rsid w:val="00597DB2"/>
    <w:rsid w:val="005A00E2"/>
    <w:rsid w:val="005A0A27"/>
    <w:rsid w:val="005A0C94"/>
    <w:rsid w:val="005A126D"/>
    <w:rsid w:val="005A5AF5"/>
    <w:rsid w:val="005A5B45"/>
    <w:rsid w:val="005A6208"/>
    <w:rsid w:val="005A660B"/>
    <w:rsid w:val="005A6718"/>
    <w:rsid w:val="005A6931"/>
    <w:rsid w:val="005B14DB"/>
    <w:rsid w:val="005B2A93"/>
    <w:rsid w:val="005B38DA"/>
    <w:rsid w:val="005B483D"/>
    <w:rsid w:val="005B4BB9"/>
    <w:rsid w:val="005B4E6D"/>
    <w:rsid w:val="005B5229"/>
    <w:rsid w:val="005B552D"/>
    <w:rsid w:val="005B60C6"/>
    <w:rsid w:val="005B7DF3"/>
    <w:rsid w:val="005B7F3B"/>
    <w:rsid w:val="005C068F"/>
    <w:rsid w:val="005C086E"/>
    <w:rsid w:val="005C0FA4"/>
    <w:rsid w:val="005C1077"/>
    <w:rsid w:val="005C1785"/>
    <w:rsid w:val="005C295D"/>
    <w:rsid w:val="005C2B7F"/>
    <w:rsid w:val="005C2BFD"/>
    <w:rsid w:val="005C2CA5"/>
    <w:rsid w:val="005C32BF"/>
    <w:rsid w:val="005C3360"/>
    <w:rsid w:val="005C49A7"/>
    <w:rsid w:val="005C4EC0"/>
    <w:rsid w:val="005C69F3"/>
    <w:rsid w:val="005C6BAE"/>
    <w:rsid w:val="005C70C2"/>
    <w:rsid w:val="005C7463"/>
    <w:rsid w:val="005D024B"/>
    <w:rsid w:val="005D06DB"/>
    <w:rsid w:val="005D0A59"/>
    <w:rsid w:val="005D14B8"/>
    <w:rsid w:val="005D165B"/>
    <w:rsid w:val="005D18CE"/>
    <w:rsid w:val="005D1BAC"/>
    <w:rsid w:val="005D1C08"/>
    <w:rsid w:val="005D1F8F"/>
    <w:rsid w:val="005D2619"/>
    <w:rsid w:val="005D325A"/>
    <w:rsid w:val="005D5628"/>
    <w:rsid w:val="005D70F5"/>
    <w:rsid w:val="005D75B8"/>
    <w:rsid w:val="005D768C"/>
    <w:rsid w:val="005D7D63"/>
    <w:rsid w:val="005E0920"/>
    <w:rsid w:val="005E1E88"/>
    <w:rsid w:val="005E2070"/>
    <w:rsid w:val="005E20FB"/>
    <w:rsid w:val="005E246A"/>
    <w:rsid w:val="005E333C"/>
    <w:rsid w:val="005E5A03"/>
    <w:rsid w:val="005E6F46"/>
    <w:rsid w:val="005E7806"/>
    <w:rsid w:val="005F050F"/>
    <w:rsid w:val="005F10B2"/>
    <w:rsid w:val="005F118B"/>
    <w:rsid w:val="005F155D"/>
    <w:rsid w:val="005F1801"/>
    <w:rsid w:val="005F1F07"/>
    <w:rsid w:val="005F362E"/>
    <w:rsid w:val="005F4447"/>
    <w:rsid w:val="005F5905"/>
    <w:rsid w:val="005F710B"/>
    <w:rsid w:val="005F7E2F"/>
    <w:rsid w:val="00600B1C"/>
    <w:rsid w:val="00600EA4"/>
    <w:rsid w:val="00601062"/>
    <w:rsid w:val="006014A6"/>
    <w:rsid w:val="00601FB2"/>
    <w:rsid w:val="006020CA"/>
    <w:rsid w:val="00602C13"/>
    <w:rsid w:val="00602F8E"/>
    <w:rsid w:val="00603278"/>
    <w:rsid w:val="00603D40"/>
    <w:rsid w:val="006062FE"/>
    <w:rsid w:val="00610206"/>
    <w:rsid w:val="0061028C"/>
    <w:rsid w:val="00611000"/>
    <w:rsid w:val="0061106B"/>
    <w:rsid w:val="0061125A"/>
    <w:rsid w:val="00613435"/>
    <w:rsid w:val="00613C37"/>
    <w:rsid w:val="00614926"/>
    <w:rsid w:val="0061507C"/>
    <w:rsid w:val="0061676B"/>
    <w:rsid w:val="0061741F"/>
    <w:rsid w:val="00617932"/>
    <w:rsid w:val="00617BA7"/>
    <w:rsid w:val="006202BD"/>
    <w:rsid w:val="006214E8"/>
    <w:rsid w:val="0062279D"/>
    <w:rsid w:val="00622FD4"/>
    <w:rsid w:val="00623148"/>
    <w:rsid w:val="00623896"/>
    <w:rsid w:val="00623E67"/>
    <w:rsid w:val="00624A60"/>
    <w:rsid w:val="00625852"/>
    <w:rsid w:val="00625989"/>
    <w:rsid w:val="0062606F"/>
    <w:rsid w:val="00626175"/>
    <w:rsid w:val="00626433"/>
    <w:rsid w:val="00626505"/>
    <w:rsid w:val="006267D7"/>
    <w:rsid w:val="00626EF5"/>
    <w:rsid w:val="006277B6"/>
    <w:rsid w:val="00627B13"/>
    <w:rsid w:val="00627B4E"/>
    <w:rsid w:val="0063054C"/>
    <w:rsid w:val="0063119A"/>
    <w:rsid w:val="006312E8"/>
    <w:rsid w:val="00631975"/>
    <w:rsid w:val="006320EB"/>
    <w:rsid w:val="006323D7"/>
    <w:rsid w:val="00632434"/>
    <w:rsid w:val="00632FAB"/>
    <w:rsid w:val="00634B7F"/>
    <w:rsid w:val="00634BFB"/>
    <w:rsid w:val="006351AD"/>
    <w:rsid w:val="00635509"/>
    <w:rsid w:val="00635685"/>
    <w:rsid w:val="006363A3"/>
    <w:rsid w:val="006364E2"/>
    <w:rsid w:val="00637D40"/>
    <w:rsid w:val="00640479"/>
    <w:rsid w:val="006405A2"/>
    <w:rsid w:val="0064079C"/>
    <w:rsid w:val="00640D62"/>
    <w:rsid w:val="0064135F"/>
    <w:rsid w:val="00641467"/>
    <w:rsid w:val="006422AF"/>
    <w:rsid w:val="00642C8A"/>
    <w:rsid w:val="0064308D"/>
    <w:rsid w:val="006454C2"/>
    <w:rsid w:val="006457EE"/>
    <w:rsid w:val="00645D73"/>
    <w:rsid w:val="0064662D"/>
    <w:rsid w:val="00646A89"/>
    <w:rsid w:val="0064707D"/>
    <w:rsid w:val="00651C5B"/>
    <w:rsid w:val="00651E8E"/>
    <w:rsid w:val="00652E97"/>
    <w:rsid w:val="00653823"/>
    <w:rsid w:val="00653CF4"/>
    <w:rsid w:val="00655232"/>
    <w:rsid w:val="00657431"/>
    <w:rsid w:val="00657875"/>
    <w:rsid w:val="00657C3F"/>
    <w:rsid w:val="00660050"/>
    <w:rsid w:val="00660EE7"/>
    <w:rsid w:val="00661576"/>
    <w:rsid w:val="00661B1A"/>
    <w:rsid w:val="00662B29"/>
    <w:rsid w:val="00662B77"/>
    <w:rsid w:val="00662F8E"/>
    <w:rsid w:val="00663513"/>
    <w:rsid w:val="006640CF"/>
    <w:rsid w:val="00664F0E"/>
    <w:rsid w:val="006656C8"/>
    <w:rsid w:val="00665ADD"/>
    <w:rsid w:val="00666B7E"/>
    <w:rsid w:val="00666BFE"/>
    <w:rsid w:val="00666D12"/>
    <w:rsid w:val="00666F22"/>
    <w:rsid w:val="00666FC6"/>
    <w:rsid w:val="00666FF2"/>
    <w:rsid w:val="006678E8"/>
    <w:rsid w:val="006701FB"/>
    <w:rsid w:val="00670348"/>
    <w:rsid w:val="00671179"/>
    <w:rsid w:val="00671BA2"/>
    <w:rsid w:val="00671CF0"/>
    <w:rsid w:val="0067241E"/>
    <w:rsid w:val="0067289C"/>
    <w:rsid w:val="00673418"/>
    <w:rsid w:val="006739ED"/>
    <w:rsid w:val="0067432C"/>
    <w:rsid w:val="00674C3F"/>
    <w:rsid w:val="00675453"/>
    <w:rsid w:val="00675D06"/>
    <w:rsid w:val="0067608D"/>
    <w:rsid w:val="00676765"/>
    <w:rsid w:val="00676785"/>
    <w:rsid w:val="006778C1"/>
    <w:rsid w:val="00680237"/>
    <w:rsid w:val="00680512"/>
    <w:rsid w:val="00681311"/>
    <w:rsid w:val="006822CD"/>
    <w:rsid w:val="00683175"/>
    <w:rsid w:val="00683BF9"/>
    <w:rsid w:val="00683FAF"/>
    <w:rsid w:val="00684AE0"/>
    <w:rsid w:val="006851F1"/>
    <w:rsid w:val="006861A3"/>
    <w:rsid w:val="0068642D"/>
    <w:rsid w:val="0068663A"/>
    <w:rsid w:val="00687E1C"/>
    <w:rsid w:val="00691F16"/>
    <w:rsid w:val="00692541"/>
    <w:rsid w:val="006934B2"/>
    <w:rsid w:val="00693A07"/>
    <w:rsid w:val="00693BAD"/>
    <w:rsid w:val="006967BC"/>
    <w:rsid w:val="00696AC3"/>
    <w:rsid w:val="006A3CC9"/>
    <w:rsid w:val="006A5AAB"/>
    <w:rsid w:val="006A5D2C"/>
    <w:rsid w:val="006A5EE7"/>
    <w:rsid w:val="006A7C54"/>
    <w:rsid w:val="006B0F1D"/>
    <w:rsid w:val="006B13AF"/>
    <w:rsid w:val="006B20F7"/>
    <w:rsid w:val="006B24D2"/>
    <w:rsid w:val="006B352F"/>
    <w:rsid w:val="006B35C6"/>
    <w:rsid w:val="006B384B"/>
    <w:rsid w:val="006B3D29"/>
    <w:rsid w:val="006B4867"/>
    <w:rsid w:val="006B4908"/>
    <w:rsid w:val="006B73B2"/>
    <w:rsid w:val="006B780F"/>
    <w:rsid w:val="006B7D95"/>
    <w:rsid w:val="006B7FDC"/>
    <w:rsid w:val="006C1282"/>
    <w:rsid w:val="006C33A9"/>
    <w:rsid w:val="006C35F6"/>
    <w:rsid w:val="006C366F"/>
    <w:rsid w:val="006C3F33"/>
    <w:rsid w:val="006C4501"/>
    <w:rsid w:val="006C4543"/>
    <w:rsid w:val="006C4591"/>
    <w:rsid w:val="006C4C6A"/>
    <w:rsid w:val="006C586E"/>
    <w:rsid w:val="006C5CFD"/>
    <w:rsid w:val="006C608F"/>
    <w:rsid w:val="006C6432"/>
    <w:rsid w:val="006C6594"/>
    <w:rsid w:val="006C6D75"/>
    <w:rsid w:val="006C7CA9"/>
    <w:rsid w:val="006C7E86"/>
    <w:rsid w:val="006D15A4"/>
    <w:rsid w:val="006D16B5"/>
    <w:rsid w:val="006D2E2F"/>
    <w:rsid w:val="006D31EE"/>
    <w:rsid w:val="006D41E1"/>
    <w:rsid w:val="006D49BD"/>
    <w:rsid w:val="006D4AB4"/>
    <w:rsid w:val="006D5AF0"/>
    <w:rsid w:val="006D5D7A"/>
    <w:rsid w:val="006D5DBC"/>
    <w:rsid w:val="006D715B"/>
    <w:rsid w:val="006D72FD"/>
    <w:rsid w:val="006D7361"/>
    <w:rsid w:val="006D7565"/>
    <w:rsid w:val="006D7B49"/>
    <w:rsid w:val="006D7D46"/>
    <w:rsid w:val="006E060C"/>
    <w:rsid w:val="006E14BA"/>
    <w:rsid w:val="006E1786"/>
    <w:rsid w:val="006E1C83"/>
    <w:rsid w:val="006E2974"/>
    <w:rsid w:val="006E2984"/>
    <w:rsid w:val="006E2DD7"/>
    <w:rsid w:val="006E2F0D"/>
    <w:rsid w:val="006E2F5F"/>
    <w:rsid w:val="006E308C"/>
    <w:rsid w:val="006E355E"/>
    <w:rsid w:val="006E412F"/>
    <w:rsid w:val="006E433D"/>
    <w:rsid w:val="006E4E73"/>
    <w:rsid w:val="006E4E7D"/>
    <w:rsid w:val="006E6661"/>
    <w:rsid w:val="006E6929"/>
    <w:rsid w:val="006E74BE"/>
    <w:rsid w:val="006E7CBD"/>
    <w:rsid w:val="006F01F4"/>
    <w:rsid w:val="006F05E7"/>
    <w:rsid w:val="006F1B53"/>
    <w:rsid w:val="006F24BA"/>
    <w:rsid w:val="006F332E"/>
    <w:rsid w:val="006F4C23"/>
    <w:rsid w:val="006F53EA"/>
    <w:rsid w:val="006F5CF8"/>
    <w:rsid w:val="006F65DB"/>
    <w:rsid w:val="006F67DC"/>
    <w:rsid w:val="006F6919"/>
    <w:rsid w:val="006F6B96"/>
    <w:rsid w:val="006F772F"/>
    <w:rsid w:val="006F78FF"/>
    <w:rsid w:val="00700BE6"/>
    <w:rsid w:val="0070149B"/>
    <w:rsid w:val="0070199C"/>
    <w:rsid w:val="007049F7"/>
    <w:rsid w:val="00704E5D"/>
    <w:rsid w:val="00704EC2"/>
    <w:rsid w:val="0070584E"/>
    <w:rsid w:val="00707676"/>
    <w:rsid w:val="00710798"/>
    <w:rsid w:val="00710CBA"/>
    <w:rsid w:val="0071178F"/>
    <w:rsid w:val="00712643"/>
    <w:rsid w:val="00713502"/>
    <w:rsid w:val="00713BCD"/>
    <w:rsid w:val="0071433E"/>
    <w:rsid w:val="0071441C"/>
    <w:rsid w:val="00714BEB"/>
    <w:rsid w:val="00714D8B"/>
    <w:rsid w:val="007152D8"/>
    <w:rsid w:val="007153C7"/>
    <w:rsid w:val="00715E09"/>
    <w:rsid w:val="007165AE"/>
    <w:rsid w:val="00716CF1"/>
    <w:rsid w:val="007171B9"/>
    <w:rsid w:val="0071752D"/>
    <w:rsid w:val="00717700"/>
    <w:rsid w:val="007200C1"/>
    <w:rsid w:val="007204BE"/>
    <w:rsid w:val="00721C2F"/>
    <w:rsid w:val="00721E43"/>
    <w:rsid w:val="0072244F"/>
    <w:rsid w:val="00722B98"/>
    <w:rsid w:val="007230C3"/>
    <w:rsid w:val="00723AC8"/>
    <w:rsid w:val="00724754"/>
    <w:rsid w:val="007249A1"/>
    <w:rsid w:val="00724A3E"/>
    <w:rsid w:val="00725547"/>
    <w:rsid w:val="007255D2"/>
    <w:rsid w:val="00725942"/>
    <w:rsid w:val="00726D39"/>
    <w:rsid w:val="00726E70"/>
    <w:rsid w:val="00726FE5"/>
    <w:rsid w:val="00727E45"/>
    <w:rsid w:val="00731A7B"/>
    <w:rsid w:val="00731AAC"/>
    <w:rsid w:val="007326D8"/>
    <w:rsid w:val="00732A42"/>
    <w:rsid w:val="00732C06"/>
    <w:rsid w:val="00732E9E"/>
    <w:rsid w:val="00733018"/>
    <w:rsid w:val="00733993"/>
    <w:rsid w:val="00733E34"/>
    <w:rsid w:val="00733E79"/>
    <w:rsid w:val="00734E12"/>
    <w:rsid w:val="00734EA3"/>
    <w:rsid w:val="007351C1"/>
    <w:rsid w:val="00736DF4"/>
    <w:rsid w:val="00737E91"/>
    <w:rsid w:val="0074017E"/>
    <w:rsid w:val="00741616"/>
    <w:rsid w:val="00741E48"/>
    <w:rsid w:val="00741F16"/>
    <w:rsid w:val="00741FBB"/>
    <w:rsid w:val="00743076"/>
    <w:rsid w:val="00743C24"/>
    <w:rsid w:val="00744155"/>
    <w:rsid w:val="00744F0A"/>
    <w:rsid w:val="0074545E"/>
    <w:rsid w:val="0074618D"/>
    <w:rsid w:val="007510E6"/>
    <w:rsid w:val="00751F77"/>
    <w:rsid w:val="00753167"/>
    <w:rsid w:val="00753703"/>
    <w:rsid w:val="0075405D"/>
    <w:rsid w:val="0075436D"/>
    <w:rsid w:val="00754695"/>
    <w:rsid w:val="007547B5"/>
    <w:rsid w:val="007553B6"/>
    <w:rsid w:val="00755589"/>
    <w:rsid w:val="00755925"/>
    <w:rsid w:val="00756BDA"/>
    <w:rsid w:val="007574E5"/>
    <w:rsid w:val="00757A1A"/>
    <w:rsid w:val="00760424"/>
    <w:rsid w:val="00760BDE"/>
    <w:rsid w:val="0076110B"/>
    <w:rsid w:val="007629B2"/>
    <w:rsid w:val="00763362"/>
    <w:rsid w:val="0076338B"/>
    <w:rsid w:val="00764A49"/>
    <w:rsid w:val="00765299"/>
    <w:rsid w:val="007661C8"/>
    <w:rsid w:val="00766854"/>
    <w:rsid w:val="00767CFE"/>
    <w:rsid w:val="007709E1"/>
    <w:rsid w:val="007713E1"/>
    <w:rsid w:val="0077214F"/>
    <w:rsid w:val="0077280F"/>
    <w:rsid w:val="00772967"/>
    <w:rsid w:val="00772FA6"/>
    <w:rsid w:val="0077327F"/>
    <w:rsid w:val="007736DC"/>
    <w:rsid w:val="00774543"/>
    <w:rsid w:val="00774705"/>
    <w:rsid w:val="007748E5"/>
    <w:rsid w:val="00774E33"/>
    <w:rsid w:val="0077563F"/>
    <w:rsid w:val="00775742"/>
    <w:rsid w:val="007758C0"/>
    <w:rsid w:val="0077678E"/>
    <w:rsid w:val="007770FD"/>
    <w:rsid w:val="00777C7E"/>
    <w:rsid w:val="007808C6"/>
    <w:rsid w:val="00780A38"/>
    <w:rsid w:val="00781530"/>
    <w:rsid w:val="00782462"/>
    <w:rsid w:val="00782BAE"/>
    <w:rsid w:val="00783921"/>
    <w:rsid w:val="00784124"/>
    <w:rsid w:val="00784D13"/>
    <w:rsid w:val="00785B88"/>
    <w:rsid w:val="00785C6B"/>
    <w:rsid w:val="00785F3E"/>
    <w:rsid w:val="00786B29"/>
    <w:rsid w:val="00790544"/>
    <w:rsid w:val="007906B0"/>
    <w:rsid w:val="00791250"/>
    <w:rsid w:val="00791654"/>
    <w:rsid w:val="007919B5"/>
    <w:rsid w:val="00791A36"/>
    <w:rsid w:val="00792F9A"/>
    <w:rsid w:val="0079331F"/>
    <w:rsid w:val="007935BA"/>
    <w:rsid w:val="0079365E"/>
    <w:rsid w:val="00793849"/>
    <w:rsid w:val="00793AA1"/>
    <w:rsid w:val="00794161"/>
    <w:rsid w:val="007942B4"/>
    <w:rsid w:val="00796037"/>
    <w:rsid w:val="007961B8"/>
    <w:rsid w:val="0079671E"/>
    <w:rsid w:val="00797411"/>
    <w:rsid w:val="00797528"/>
    <w:rsid w:val="00797677"/>
    <w:rsid w:val="007A014D"/>
    <w:rsid w:val="007A01EF"/>
    <w:rsid w:val="007A0686"/>
    <w:rsid w:val="007A07F4"/>
    <w:rsid w:val="007A1135"/>
    <w:rsid w:val="007A2CB7"/>
    <w:rsid w:val="007A35CA"/>
    <w:rsid w:val="007A4F1C"/>
    <w:rsid w:val="007A5118"/>
    <w:rsid w:val="007A541E"/>
    <w:rsid w:val="007A5D57"/>
    <w:rsid w:val="007B00FC"/>
    <w:rsid w:val="007B034C"/>
    <w:rsid w:val="007B08EA"/>
    <w:rsid w:val="007B0DDE"/>
    <w:rsid w:val="007B1DE1"/>
    <w:rsid w:val="007B2107"/>
    <w:rsid w:val="007B2D47"/>
    <w:rsid w:val="007B3D6C"/>
    <w:rsid w:val="007B434E"/>
    <w:rsid w:val="007B6008"/>
    <w:rsid w:val="007B6115"/>
    <w:rsid w:val="007B6C6D"/>
    <w:rsid w:val="007B7395"/>
    <w:rsid w:val="007B7AE0"/>
    <w:rsid w:val="007C0522"/>
    <w:rsid w:val="007C0EFF"/>
    <w:rsid w:val="007C13D5"/>
    <w:rsid w:val="007C1633"/>
    <w:rsid w:val="007C1D17"/>
    <w:rsid w:val="007C26C8"/>
    <w:rsid w:val="007C3350"/>
    <w:rsid w:val="007C3E73"/>
    <w:rsid w:val="007C5EBC"/>
    <w:rsid w:val="007C6039"/>
    <w:rsid w:val="007C6EA9"/>
    <w:rsid w:val="007C7203"/>
    <w:rsid w:val="007C790D"/>
    <w:rsid w:val="007C791F"/>
    <w:rsid w:val="007D0D59"/>
    <w:rsid w:val="007D0FCA"/>
    <w:rsid w:val="007D1181"/>
    <w:rsid w:val="007D14B5"/>
    <w:rsid w:val="007D24FC"/>
    <w:rsid w:val="007D2E43"/>
    <w:rsid w:val="007D2ED9"/>
    <w:rsid w:val="007D3AEF"/>
    <w:rsid w:val="007D427F"/>
    <w:rsid w:val="007D432B"/>
    <w:rsid w:val="007D4EC5"/>
    <w:rsid w:val="007D5158"/>
    <w:rsid w:val="007D544F"/>
    <w:rsid w:val="007D64E2"/>
    <w:rsid w:val="007D7F65"/>
    <w:rsid w:val="007E03C5"/>
    <w:rsid w:val="007E04D8"/>
    <w:rsid w:val="007E1337"/>
    <w:rsid w:val="007E153E"/>
    <w:rsid w:val="007E3A46"/>
    <w:rsid w:val="007E45ED"/>
    <w:rsid w:val="007E494D"/>
    <w:rsid w:val="007E5035"/>
    <w:rsid w:val="007E5869"/>
    <w:rsid w:val="007E6C87"/>
    <w:rsid w:val="007E6D2D"/>
    <w:rsid w:val="007E74C2"/>
    <w:rsid w:val="007E76DC"/>
    <w:rsid w:val="007F04F7"/>
    <w:rsid w:val="007F066D"/>
    <w:rsid w:val="007F15C8"/>
    <w:rsid w:val="007F1D2A"/>
    <w:rsid w:val="007F2051"/>
    <w:rsid w:val="007F22FC"/>
    <w:rsid w:val="007F2A73"/>
    <w:rsid w:val="007F3310"/>
    <w:rsid w:val="007F347D"/>
    <w:rsid w:val="007F56AC"/>
    <w:rsid w:val="007F597C"/>
    <w:rsid w:val="007F7468"/>
    <w:rsid w:val="007F798C"/>
    <w:rsid w:val="007F7FAC"/>
    <w:rsid w:val="008002F0"/>
    <w:rsid w:val="00800C30"/>
    <w:rsid w:val="00800C69"/>
    <w:rsid w:val="00800D8B"/>
    <w:rsid w:val="0080123B"/>
    <w:rsid w:val="00801700"/>
    <w:rsid w:val="00802609"/>
    <w:rsid w:val="008028AA"/>
    <w:rsid w:val="008029B6"/>
    <w:rsid w:val="008048E3"/>
    <w:rsid w:val="008050C6"/>
    <w:rsid w:val="00805D0F"/>
    <w:rsid w:val="00806489"/>
    <w:rsid w:val="00806A46"/>
    <w:rsid w:val="00807110"/>
    <w:rsid w:val="008074C1"/>
    <w:rsid w:val="0081021D"/>
    <w:rsid w:val="00810454"/>
    <w:rsid w:val="0081079D"/>
    <w:rsid w:val="00810AAD"/>
    <w:rsid w:val="00810DC1"/>
    <w:rsid w:val="00810EE2"/>
    <w:rsid w:val="008111DC"/>
    <w:rsid w:val="008125D7"/>
    <w:rsid w:val="00812F9A"/>
    <w:rsid w:val="00814938"/>
    <w:rsid w:val="00814961"/>
    <w:rsid w:val="00814B47"/>
    <w:rsid w:val="008150F0"/>
    <w:rsid w:val="00815194"/>
    <w:rsid w:val="00815737"/>
    <w:rsid w:val="00815F60"/>
    <w:rsid w:val="008161F2"/>
    <w:rsid w:val="00817FE6"/>
    <w:rsid w:val="00817FFD"/>
    <w:rsid w:val="0082056B"/>
    <w:rsid w:val="00820BA6"/>
    <w:rsid w:val="00821237"/>
    <w:rsid w:val="00822C59"/>
    <w:rsid w:val="00822E96"/>
    <w:rsid w:val="008241C2"/>
    <w:rsid w:val="00824321"/>
    <w:rsid w:val="008258C1"/>
    <w:rsid w:val="00826076"/>
    <w:rsid w:val="00826966"/>
    <w:rsid w:val="00826F28"/>
    <w:rsid w:val="00827080"/>
    <w:rsid w:val="00831B23"/>
    <w:rsid w:val="00831D33"/>
    <w:rsid w:val="00832DA3"/>
    <w:rsid w:val="008348A1"/>
    <w:rsid w:val="00835A7D"/>
    <w:rsid w:val="008407C7"/>
    <w:rsid w:val="00841305"/>
    <w:rsid w:val="008416D3"/>
    <w:rsid w:val="00841CAE"/>
    <w:rsid w:val="00841F64"/>
    <w:rsid w:val="0084244D"/>
    <w:rsid w:val="00842485"/>
    <w:rsid w:val="008428BC"/>
    <w:rsid w:val="008429E3"/>
    <w:rsid w:val="00842AAC"/>
    <w:rsid w:val="00842CDD"/>
    <w:rsid w:val="0084327E"/>
    <w:rsid w:val="00843C69"/>
    <w:rsid w:val="00844216"/>
    <w:rsid w:val="00844D33"/>
    <w:rsid w:val="00844E2E"/>
    <w:rsid w:val="0084709B"/>
    <w:rsid w:val="0084741A"/>
    <w:rsid w:val="0084772F"/>
    <w:rsid w:val="00847F59"/>
    <w:rsid w:val="00850284"/>
    <w:rsid w:val="00851777"/>
    <w:rsid w:val="0085230C"/>
    <w:rsid w:val="00852AFF"/>
    <w:rsid w:val="008544D8"/>
    <w:rsid w:val="0085462D"/>
    <w:rsid w:val="008549B8"/>
    <w:rsid w:val="0085561A"/>
    <w:rsid w:val="008556D9"/>
    <w:rsid w:val="00855A45"/>
    <w:rsid w:val="00856165"/>
    <w:rsid w:val="008562FE"/>
    <w:rsid w:val="00856E3A"/>
    <w:rsid w:val="0085758B"/>
    <w:rsid w:val="0086042A"/>
    <w:rsid w:val="00860A14"/>
    <w:rsid w:val="00860E3D"/>
    <w:rsid w:val="0086186B"/>
    <w:rsid w:val="00861C43"/>
    <w:rsid w:val="008628D0"/>
    <w:rsid w:val="00862E57"/>
    <w:rsid w:val="00863372"/>
    <w:rsid w:val="00863536"/>
    <w:rsid w:val="008640E9"/>
    <w:rsid w:val="0086430C"/>
    <w:rsid w:val="00865716"/>
    <w:rsid w:val="0086592D"/>
    <w:rsid w:val="00865C62"/>
    <w:rsid w:val="00867209"/>
    <w:rsid w:val="0087014F"/>
    <w:rsid w:val="008704EE"/>
    <w:rsid w:val="00870EB5"/>
    <w:rsid w:val="00871765"/>
    <w:rsid w:val="00872740"/>
    <w:rsid w:val="00872FE1"/>
    <w:rsid w:val="00873010"/>
    <w:rsid w:val="00873099"/>
    <w:rsid w:val="0087422A"/>
    <w:rsid w:val="00874C01"/>
    <w:rsid w:val="00875081"/>
    <w:rsid w:val="00875EF6"/>
    <w:rsid w:val="0087605F"/>
    <w:rsid w:val="008760E6"/>
    <w:rsid w:val="008762D8"/>
    <w:rsid w:val="008766D9"/>
    <w:rsid w:val="00876A69"/>
    <w:rsid w:val="00876AC2"/>
    <w:rsid w:val="00877AD0"/>
    <w:rsid w:val="00877AEE"/>
    <w:rsid w:val="00877D86"/>
    <w:rsid w:val="008805B9"/>
    <w:rsid w:val="008806FD"/>
    <w:rsid w:val="00880813"/>
    <w:rsid w:val="00881A4C"/>
    <w:rsid w:val="0088288F"/>
    <w:rsid w:val="00882B0B"/>
    <w:rsid w:val="00883564"/>
    <w:rsid w:val="00883593"/>
    <w:rsid w:val="008836B7"/>
    <w:rsid w:val="00883A50"/>
    <w:rsid w:val="008841E8"/>
    <w:rsid w:val="00884EDF"/>
    <w:rsid w:val="00884FD9"/>
    <w:rsid w:val="00886231"/>
    <w:rsid w:val="008862D5"/>
    <w:rsid w:val="00887F49"/>
    <w:rsid w:val="00890496"/>
    <w:rsid w:val="00890501"/>
    <w:rsid w:val="00890733"/>
    <w:rsid w:val="0089099C"/>
    <w:rsid w:val="00890AFC"/>
    <w:rsid w:val="00891014"/>
    <w:rsid w:val="008912F4"/>
    <w:rsid w:val="00891409"/>
    <w:rsid w:val="00891606"/>
    <w:rsid w:val="008917BA"/>
    <w:rsid w:val="00891CBF"/>
    <w:rsid w:val="00893403"/>
    <w:rsid w:val="008939B9"/>
    <w:rsid w:val="00893A47"/>
    <w:rsid w:val="00894024"/>
    <w:rsid w:val="00894038"/>
    <w:rsid w:val="0089433F"/>
    <w:rsid w:val="008943CD"/>
    <w:rsid w:val="0089461C"/>
    <w:rsid w:val="00894D39"/>
    <w:rsid w:val="008957D6"/>
    <w:rsid w:val="00896293"/>
    <w:rsid w:val="00896A93"/>
    <w:rsid w:val="0089741B"/>
    <w:rsid w:val="00897C04"/>
    <w:rsid w:val="008A05CE"/>
    <w:rsid w:val="008A12F4"/>
    <w:rsid w:val="008A1650"/>
    <w:rsid w:val="008A2CA9"/>
    <w:rsid w:val="008A2DF4"/>
    <w:rsid w:val="008A38E0"/>
    <w:rsid w:val="008A41B9"/>
    <w:rsid w:val="008A4BCC"/>
    <w:rsid w:val="008A4F08"/>
    <w:rsid w:val="008A4F77"/>
    <w:rsid w:val="008A6229"/>
    <w:rsid w:val="008A69AC"/>
    <w:rsid w:val="008A7582"/>
    <w:rsid w:val="008A783C"/>
    <w:rsid w:val="008B1AAF"/>
    <w:rsid w:val="008B34FF"/>
    <w:rsid w:val="008B481F"/>
    <w:rsid w:val="008B4A1E"/>
    <w:rsid w:val="008B53A4"/>
    <w:rsid w:val="008B649D"/>
    <w:rsid w:val="008B6778"/>
    <w:rsid w:val="008B7207"/>
    <w:rsid w:val="008B7B09"/>
    <w:rsid w:val="008C07AA"/>
    <w:rsid w:val="008C2087"/>
    <w:rsid w:val="008C2EEA"/>
    <w:rsid w:val="008C3026"/>
    <w:rsid w:val="008C3781"/>
    <w:rsid w:val="008C41CF"/>
    <w:rsid w:val="008C5029"/>
    <w:rsid w:val="008C5422"/>
    <w:rsid w:val="008C5B7F"/>
    <w:rsid w:val="008C6024"/>
    <w:rsid w:val="008C6115"/>
    <w:rsid w:val="008C627B"/>
    <w:rsid w:val="008C62E2"/>
    <w:rsid w:val="008C638E"/>
    <w:rsid w:val="008C6727"/>
    <w:rsid w:val="008C730C"/>
    <w:rsid w:val="008D0DAA"/>
    <w:rsid w:val="008D234D"/>
    <w:rsid w:val="008D30B4"/>
    <w:rsid w:val="008D31AB"/>
    <w:rsid w:val="008D32E3"/>
    <w:rsid w:val="008D4037"/>
    <w:rsid w:val="008D41FC"/>
    <w:rsid w:val="008D4306"/>
    <w:rsid w:val="008D48B9"/>
    <w:rsid w:val="008D519E"/>
    <w:rsid w:val="008D58D1"/>
    <w:rsid w:val="008D6554"/>
    <w:rsid w:val="008D6C26"/>
    <w:rsid w:val="008D7A49"/>
    <w:rsid w:val="008D7DBA"/>
    <w:rsid w:val="008E0067"/>
    <w:rsid w:val="008E0D30"/>
    <w:rsid w:val="008E176C"/>
    <w:rsid w:val="008E17A0"/>
    <w:rsid w:val="008E1B87"/>
    <w:rsid w:val="008E20F9"/>
    <w:rsid w:val="008E23B4"/>
    <w:rsid w:val="008E2B1B"/>
    <w:rsid w:val="008E2EB1"/>
    <w:rsid w:val="008E3239"/>
    <w:rsid w:val="008E3249"/>
    <w:rsid w:val="008E3848"/>
    <w:rsid w:val="008E64A9"/>
    <w:rsid w:val="008E6F05"/>
    <w:rsid w:val="008E7022"/>
    <w:rsid w:val="008E7A26"/>
    <w:rsid w:val="008E7ADB"/>
    <w:rsid w:val="008E7B3C"/>
    <w:rsid w:val="008F0D03"/>
    <w:rsid w:val="008F11C5"/>
    <w:rsid w:val="008F139B"/>
    <w:rsid w:val="008F1C3E"/>
    <w:rsid w:val="008F2CAB"/>
    <w:rsid w:val="008F3341"/>
    <w:rsid w:val="008F41A0"/>
    <w:rsid w:val="008F5307"/>
    <w:rsid w:val="008F5369"/>
    <w:rsid w:val="008F613F"/>
    <w:rsid w:val="008F6924"/>
    <w:rsid w:val="008F728A"/>
    <w:rsid w:val="009006A7"/>
    <w:rsid w:val="00900AAB"/>
    <w:rsid w:val="00900DE8"/>
    <w:rsid w:val="00901ADF"/>
    <w:rsid w:val="00901BCD"/>
    <w:rsid w:val="00902DEC"/>
    <w:rsid w:val="009047B1"/>
    <w:rsid w:val="00904C2A"/>
    <w:rsid w:val="00904E47"/>
    <w:rsid w:val="00905943"/>
    <w:rsid w:val="00906090"/>
    <w:rsid w:val="00907ADF"/>
    <w:rsid w:val="009101FE"/>
    <w:rsid w:val="009105AE"/>
    <w:rsid w:val="00910B40"/>
    <w:rsid w:val="00911711"/>
    <w:rsid w:val="00912EA3"/>
    <w:rsid w:val="009131EE"/>
    <w:rsid w:val="00914248"/>
    <w:rsid w:val="0091481B"/>
    <w:rsid w:val="0091523C"/>
    <w:rsid w:val="009159F2"/>
    <w:rsid w:val="00915CED"/>
    <w:rsid w:val="009169F4"/>
    <w:rsid w:val="00916A11"/>
    <w:rsid w:val="00916E2E"/>
    <w:rsid w:val="0092081E"/>
    <w:rsid w:val="00920C22"/>
    <w:rsid w:val="00921576"/>
    <w:rsid w:val="00922B29"/>
    <w:rsid w:val="009237C3"/>
    <w:rsid w:val="00924B86"/>
    <w:rsid w:val="00924F1A"/>
    <w:rsid w:val="009251FB"/>
    <w:rsid w:val="0092633A"/>
    <w:rsid w:val="00926D15"/>
    <w:rsid w:val="00926F41"/>
    <w:rsid w:val="0092714F"/>
    <w:rsid w:val="0093087C"/>
    <w:rsid w:val="009310A0"/>
    <w:rsid w:val="00931E6E"/>
    <w:rsid w:val="00932197"/>
    <w:rsid w:val="0093237C"/>
    <w:rsid w:val="00932C34"/>
    <w:rsid w:val="00932C8F"/>
    <w:rsid w:val="0093313E"/>
    <w:rsid w:val="009334AE"/>
    <w:rsid w:val="00933D53"/>
    <w:rsid w:val="009342E1"/>
    <w:rsid w:val="009346B3"/>
    <w:rsid w:val="009348B2"/>
    <w:rsid w:val="00935206"/>
    <w:rsid w:val="009361BC"/>
    <w:rsid w:val="00936222"/>
    <w:rsid w:val="00936977"/>
    <w:rsid w:val="00936AB8"/>
    <w:rsid w:val="00936AF6"/>
    <w:rsid w:val="00936BD3"/>
    <w:rsid w:val="009377F5"/>
    <w:rsid w:val="0093785A"/>
    <w:rsid w:val="00937873"/>
    <w:rsid w:val="0094003A"/>
    <w:rsid w:val="00940959"/>
    <w:rsid w:val="00940BD4"/>
    <w:rsid w:val="00941FA9"/>
    <w:rsid w:val="00942DBF"/>
    <w:rsid w:val="009432EC"/>
    <w:rsid w:val="00943772"/>
    <w:rsid w:val="00943F59"/>
    <w:rsid w:val="00944059"/>
    <w:rsid w:val="00944E69"/>
    <w:rsid w:val="00944E8E"/>
    <w:rsid w:val="00945568"/>
    <w:rsid w:val="00945FF6"/>
    <w:rsid w:val="0094649A"/>
    <w:rsid w:val="0094662D"/>
    <w:rsid w:val="00950064"/>
    <w:rsid w:val="00950F04"/>
    <w:rsid w:val="0095114B"/>
    <w:rsid w:val="00951AA6"/>
    <w:rsid w:val="00952C36"/>
    <w:rsid w:val="00952D58"/>
    <w:rsid w:val="00953F54"/>
    <w:rsid w:val="00954867"/>
    <w:rsid w:val="009557BC"/>
    <w:rsid w:val="00955970"/>
    <w:rsid w:val="0095726F"/>
    <w:rsid w:val="0095757F"/>
    <w:rsid w:val="009575CF"/>
    <w:rsid w:val="00957761"/>
    <w:rsid w:val="0096058C"/>
    <w:rsid w:val="009605AA"/>
    <w:rsid w:val="00960730"/>
    <w:rsid w:val="00962B85"/>
    <w:rsid w:val="00962BF8"/>
    <w:rsid w:val="00963050"/>
    <w:rsid w:val="009630CE"/>
    <w:rsid w:val="00964858"/>
    <w:rsid w:val="00964BAA"/>
    <w:rsid w:val="00965A2A"/>
    <w:rsid w:val="009662DF"/>
    <w:rsid w:val="009674DB"/>
    <w:rsid w:val="0096772A"/>
    <w:rsid w:val="009677B3"/>
    <w:rsid w:val="009678CE"/>
    <w:rsid w:val="00967B44"/>
    <w:rsid w:val="009716C9"/>
    <w:rsid w:val="00971D57"/>
    <w:rsid w:val="00972838"/>
    <w:rsid w:val="00972F77"/>
    <w:rsid w:val="00973834"/>
    <w:rsid w:val="00973874"/>
    <w:rsid w:val="00973DB3"/>
    <w:rsid w:val="0097453E"/>
    <w:rsid w:val="009745DE"/>
    <w:rsid w:val="00974B2E"/>
    <w:rsid w:val="0097565D"/>
    <w:rsid w:val="00976987"/>
    <w:rsid w:val="009769EF"/>
    <w:rsid w:val="009804B5"/>
    <w:rsid w:val="00980A82"/>
    <w:rsid w:val="00980F60"/>
    <w:rsid w:val="00981B74"/>
    <w:rsid w:val="00982D37"/>
    <w:rsid w:val="009832E1"/>
    <w:rsid w:val="009837CA"/>
    <w:rsid w:val="00983852"/>
    <w:rsid w:val="00983E5B"/>
    <w:rsid w:val="00984821"/>
    <w:rsid w:val="009852CC"/>
    <w:rsid w:val="00985AB1"/>
    <w:rsid w:val="00986FB5"/>
    <w:rsid w:val="009874D3"/>
    <w:rsid w:val="0098776D"/>
    <w:rsid w:val="009879D3"/>
    <w:rsid w:val="009913AA"/>
    <w:rsid w:val="00991D65"/>
    <w:rsid w:val="0099312D"/>
    <w:rsid w:val="0099421E"/>
    <w:rsid w:val="009943EF"/>
    <w:rsid w:val="00994F2B"/>
    <w:rsid w:val="009953EF"/>
    <w:rsid w:val="009958CE"/>
    <w:rsid w:val="00995BFF"/>
    <w:rsid w:val="0099663D"/>
    <w:rsid w:val="00996BDB"/>
    <w:rsid w:val="00996C63"/>
    <w:rsid w:val="00996D2A"/>
    <w:rsid w:val="009A03D2"/>
    <w:rsid w:val="009A0A15"/>
    <w:rsid w:val="009A2A68"/>
    <w:rsid w:val="009A388B"/>
    <w:rsid w:val="009A472B"/>
    <w:rsid w:val="009A493E"/>
    <w:rsid w:val="009A7456"/>
    <w:rsid w:val="009A753C"/>
    <w:rsid w:val="009A76C9"/>
    <w:rsid w:val="009B029B"/>
    <w:rsid w:val="009B0383"/>
    <w:rsid w:val="009B0CBE"/>
    <w:rsid w:val="009B15C0"/>
    <w:rsid w:val="009B2AE8"/>
    <w:rsid w:val="009B2BA3"/>
    <w:rsid w:val="009B3062"/>
    <w:rsid w:val="009B47A5"/>
    <w:rsid w:val="009B54A1"/>
    <w:rsid w:val="009B6252"/>
    <w:rsid w:val="009B6569"/>
    <w:rsid w:val="009B6AFD"/>
    <w:rsid w:val="009B6DF5"/>
    <w:rsid w:val="009C08EF"/>
    <w:rsid w:val="009C099C"/>
    <w:rsid w:val="009C09D4"/>
    <w:rsid w:val="009C1442"/>
    <w:rsid w:val="009C2A8E"/>
    <w:rsid w:val="009C2DF9"/>
    <w:rsid w:val="009C3677"/>
    <w:rsid w:val="009C3DB6"/>
    <w:rsid w:val="009C4B0E"/>
    <w:rsid w:val="009C4CC6"/>
    <w:rsid w:val="009C4D33"/>
    <w:rsid w:val="009C59F9"/>
    <w:rsid w:val="009C658A"/>
    <w:rsid w:val="009C6A5F"/>
    <w:rsid w:val="009C7293"/>
    <w:rsid w:val="009D2015"/>
    <w:rsid w:val="009D28BC"/>
    <w:rsid w:val="009D33E6"/>
    <w:rsid w:val="009D54F9"/>
    <w:rsid w:val="009D5904"/>
    <w:rsid w:val="009D5BA5"/>
    <w:rsid w:val="009D7166"/>
    <w:rsid w:val="009D7947"/>
    <w:rsid w:val="009D7A81"/>
    <w:rsid w:val="009E0465"/>
    <w:rsid w:val="009E068E"/>
    <w:rsid w:val="009E17C8"/>
    <w:rsid w:val="009E2117"/>
    <w:rsid w:val="009E28C6"/>
    <w:rsid w:val="009E300F"/>
    <w:rsid w:val="009E3B3D"/>
    <w:rsid w:val="009E51EE"/>
    <w:rsid w:val="009E5753"/>
    <w:rsid w:val="009E5CBF"/>
    <w:rsid w:val="009E6BEC"/>
    <w:rsid w:val="009E7E9B"/>
    <w:rsid w:val="009F0450"/>
    <w:rsid w:val="009F0E67"/>
    <w:rsid w:val="009F1F27"/>
    <w:rsid w:val="009F299C"/>
    <w:rsid w:val="009F2DCC"/>
    <w:rsid w:val="009F385B"/>
    <w:rsid w:val="009F3937"/>
    <w:rsid w:val="009F42BD"/>
    <w:rsid w:val="009F432D"/>
    <w:rsid w:val="009F446F"/>
    <w:rsid w:val="009F5076"/>
    <w:rsid w:val="009F544D"/>
    <w:rsid w:val="009F54FB"/>
    <w:rsid w:val="009F6ED8"/>
    <w:rsid w:val="009F7689"/>
    <w:rsid w:val="00A003AB"/>
    <w:rsid w:val="00A004A2"/>
    <w:rsid w:val="00A019B3"/>
    <w:rsid w:val="00A02517"/>
    <w:rsid w:val="00A0270A"/>
    <w:rsid w:val="00A02B11"/>
    <w:rsid w:val="00A02EEB"/>
    <w:rsid w:val="00A03095"/>
    <w:rsid w:val="00A0335D"/>
    <w:rsid w:val="00A03573"/>
    <w:rsid w:val="00A035D0"/>
    <w:rsid w:val="00A03DC4"/>
    <w:rsid w:val="00A044C2"/>
    <w:rsid w:val="00A05803"/>
    <w:rsid w:val="00A0676C"/>
    <w:rsid w:val="00A06800"/>
    <w:rsid w:val="00A069CC"/>
    <w:rsid w:val="00A10929"/>
    <w:rsid w:val="00A10C1E"/>
    <w:rsid w:val="00A11547"/>
    <w:rsid w:val="00A11BA9"/>
    <w:rsid w:val="00A12157"/>
    <w:rsid w:val="00A12A36"/>
    <w:rsid w:val="00A12D6F"/>
    <w:rsid w:val="00A136BF"/>
    <w:rsid w:val="00A1399C"/>
    <w:rsid w:val="00A13C26"/>
    <w:rsid w:val="00A14252"/>
    <w:rsid w:val="00A145FC"/>
    <w:rsid w:val="00A14B08"/>
    <w:rsid w:val="00A150B9"/>
    <w:rsid w:val="00A16467"/>
    <w:rsid w:val="00A1648B"/>
    <w:rsid w:val="00A167DF"/>
    <w:rsid w:val="00A176B6"/>
    <w:rsid w:val="00A20355"/>
    <w:rsid w:val="00A2169D"/>
    <w:rsid w:val="00A21FD7"/>
    <w:rsid w:val="00A223DC"/>
    <w:rsid w:val="00A22C7C"/>
    <w:rsid w:val="00A2344F"/>
    <w:rsid w:val="00A24C9B"/>
    <w:rsid w:val="00A25807"/>
    <w:rsid w:val="00A262D2"/>
    <w:rsid w:val="00A26EB2"/>
    <w:rsid w:val="00A2706E"/>
    <w:rsid w:val="00A30046"/>
    <w:rsid w:val="00A303D1"/>
    <w:rsid w:val="00A33363"/>
    <w:rsid w:val="00A33625"/>
    <w:rsid w:val="00A34010"/>
    <w:rsid w:val="00A34C67"/>
    <w:rsid w:val="00A35A2D"/>
    <w:rsid w:val="00A364F0"/>
    <w:rsid w:val="00A36648"/>
    <w:rsid w:val="00A3720C"/>
    <w:rsid w:val="00A372F0"/>
    <w:rsid w:val="00A375C3"/>
    <w:rsid w:val="00A37700"/>
    <w:rsid w:val="00A37FA0"/>
    <w:rsid w:val="00A40F3A"/>
    <w:rsid w:val="00A41888"/>
    <w:rsid w:val="00A41BF0"/>
    <w:rsid w:val="00A4334E"/>
    <w:rsid w:val="00A43460"/>
    <w:rsid w:val="00A4356D"/>
    <w:rsid w:val="00A43779"/>
    <w:rsid w:val="00A43E9F"/>
    <w:rsid w:val="00A442B7"/>
    <w:rsid w:val="00A44A25"/>
    <w:rsid w:val="00A44F0E"/>
    <w:rsid w:val="00A4523A"/>
    <w:rsid w:val="00A454FB"/>
    <w:rsid w:val="00A45977"/>
    <w:rsid w:val="00A46826"/>
    <w:rsid w:val="00A46967"/>
    <w:rsid w:val="00A46A42"/>
    <w:rsid w:val="00A46C24"/>
    <w:rsid w:val="00A47C75"/>
    <w:rsid w:val="00A47DE2"/>
    <w:rsid w:val="00A47FB5"/>
    <w:rsid w:val="00A52039"/>
    <w:rsid w:val="00A5225D"/>
    <w:rsid w:val="00A5247B"/>
    <w:rsid w:val="00A52CAD"/>
    <w:rsid w:val="00A52E10"/>
    <w:rsid w:val="00A53232"/>
    <w:rsid w:val="00A53912"/>
    <w:rsid w:val="00A547FF"/>
    <w:rsid w:val="00A549C2"/>
    <w:rsid w:val="00A551AD"/>
    <w:rsid w:val="00A56376"/>
    <w:rsid w:val="00A576B3"/>
    <w:rsid w:val="00A577B6"/>
    <w:rsid w:val="00A57DBA"/>
    <w:rsid w:val="00A608E5"/>
    <w:rsid w:val="00A62039"/>
    <w:rsid w:val="00A647B3"/>
    <w:rsid w:val="00A651E6"/>
    <w:rsid w:val="00A656D5"/>
    <w:rsid w:val="00A65869"/>
    <w:rsid w:val="00A6596D"/>
    <w:rsid w:val="00A66268"/>
    <w:rsid w:val="00A6637C"/>
    <w:rsid w:val="00A668D1"/>
    <w:rsid w:val="00A66ADB"/>
    <w:rsid w:val="00A67252"/>
    <w:rsid w:val="00A67524"/>
    <w:rsid w:val="00A67AD3"/>
    <w:rsid w:val="00A70661"/>
    <w:rsid w:val="00A70ADF"/>
    <w:rsid w:val="00A70BDA"/>
    <w:rsid w:val="00A71902"/>
    <w:rsid w:val="00A7214A"/>
    <w:rsid w:val="00A73204"/>
    <w:rsid w:val="00A73AD3"/>
    <w:rsid w:val="00A73B32"/>
    <w:rsid w:val="00A747C3"/>
    <w:rsid w:val="00A748EA"/>
    <w:rsid w:val="00A76005"/>
    <w:rsid w:val="00A765DE"/>
    <w:rsid w:val="00A775B3"/>
    <w:rsid w:val="00A77C85"/>
    <w:rsid w:val="00A80DCE"/>
    <w:rsid w:val="00A80E5D"/>
    <w:rsid w:val="00A81357"/>
    <w:rsid w:val="00A825E4"/>
    <w:rsid w:val="00A828CF"/>
    <w:rsid w:val="00A829B3"/>
    <w:rsid w:val="00A82AA3"/>
    <w:rsid w:val="00A83D89"/>
    <w:rsid w:val="00A847C7"/>
    <w:rsid w:val="00A84E31"/>
    <w:rsid w:val="00A8547C"/>
    <w:rsid w:val="00A855E2"/>
    <w:rsid w:val="00A85D45"/>
    <w:rsid w:val="00A85EB8"/>
    <w:rsid w:val="00A8723E"/>
    <w:rsid w:val="00A873AA"/>
    <w:rsid w:val="00A87D15"/>
    <w:rsid w:val="00A9162A"/>
    <w:rsid w:val="00A919DC"/>
    <w:rsid w:val="00A92709"/>
    <w:rsid w:val="00A92D1B"/>
    <w:rsid w:val="00A92E48"/>
    <w:rsid w:val="00A93883"/>
    <w:rsid w:val="00A94DCB"/>
    <w:rsid w:val="00A9579F"/>
    <w:rsid w:val="00A964C2"/>
    <w:rsid w:val="00A97876"/>
    <w:rsid w:val="00AA0AB8"/>
    <w:rsid w:val="00AA116A"/>
    <w:rsid w:val="00AA12B3"/>
    <w:rsid w:val="00AA1C0F"/>
    <w:rsid w:val="00AA25D4"/>
    <w:rsid w:val="00AA2970"/>
    <w:rsid w:val="00AA41F3"/>
    <w:rsid w:val="00AA46D9"/>
    <w:rsid w:val="00AA4985"/>
    <w:rsid w:val="00AA5715"/>
    <w:rsid w:val="00AA57F6"/>
    <w:rsid w:val="00AA5BAD"/>
    <w:rsid w:val="00AA67A2"/>
    <w:rsid w:val="00AA69D4"/>
    <w:rsid w:val="00AA73C1"/>
    <w:rsid w:val="00AA7B82"/>
    <w:rsid w:val="00AB0057"/>
    <w:rsid w:val="00AB0D62"/>
    <w:rsid w:val="00AB0FFC"/>
    <w:rsid w:val="00AB1B42"/>
    <w:rsid w:val="00AB27C6"/>
    <w:rsid w:val="00AB2A48"/>
    <w:rsid w:val="00AB2BDE"/>
    <w:rsid w:val="00AB3141"/>
    <w:rsid w:val="00AB3A52"/>
    <w:rsid w:val="00AB3D9E"/>
    <w:rsid w:val="00AB4166"/>
    <w:rsid w:val="00AB4D93"/>
    <w:rsid w:val="00AB5CA1"/>
    <w:rsid w:val="00AB62E3"/>
    <w:rsid w:val="00AB71A4"/>
    <w:rsid w:val="00AB7E3A"/>
    <w:rsid w:val="00AC0307"/>
    <w:rsid w:val="00AC0488"/>
    <w:rsid w:val="00AC1480"/>
    <w:rsid w:val="00AC15BF"/>
    <w:rsid w:val="00AC17B6"/>
    <w:rsid w:val="00AC1B6C"/>
    <w:rsid w:val="00AC1C9D"/>
    <w:rsid w:val="00AC1E7B"/>
    <w:rsid w:val="00AC41C5"/>
    <w:rsid w:val="00AC505D"/>
    <w:rsid w:val="00AC5BDE"/>
    <w:rsid w:val="00AC6B67"/>
    <w:rsid w:val="00AC6E0A"/>
    <w:rsid w:val="00AC78A5"/>
    <w:rsid w:val="00AC7F7F"/>
    <w:rsid w:val="00AD0533"/>
    <w:rsid w:val="00AD0913"/>
    <w:rsid w:val="00AD17EF"/>
    <w:rsid w:val="00AD27DF"/>
    <w:rsid w:val="00AD2D95"/>
    <w:rsid w:val="00AD30B7"/>
    <w:rsid w:val="00AD3742"/>
    <w:rsid w:val="00AD3F7C"/>
    <w:rsid w:val="00AD428A"/>
    <w:rsid w:val="00AD4A03"/>
    <w:rsid w:val="00AD52F2"/>
    <w:rsid w:val="00AD5962"/>
    <w:rsid w:val="00AD7147"/>
    <w:rsid w:val="00AD73FD"/>
    <w:rsid w:val="00AE052F"/>
    <w:rsid w:val="00AE07B4"/>
    <w:rsid w:val="00AE0FAB"/>
    <w:rsid w:val="00AE1376"/>
    <w:rsid w:val="00AE16E6"/>
    <w:rsid w:val="00AE16FB"/>
    <w:rsid w:val="00AE2375"/>
    <w:rsid w:val="00AE3B2A"/>
    <w:rsid w:val="00AE493E"/>
    <w:rsid w:val="00AE63D7"/>
    <w:rsid w:val="00AE70BB"/>
    <w:rsid w:val="00AE715A"/>
    <w:rsid w:val="00AF034C"/>
    <w:rsid w:val="00AF1C93"/>
    <w:rsid w:val="00AF2354"/>
    <w:rsid w:val="00AF23B0"/>
    <w:rsid w:val="00AF504A"/>
    <w:rsid w:val="00AF51FA"/>
    <w:rsid w:val="00AF537F"/>
    <w:rsid w:val="00AF5512"/>
    <w:rsid w:val="00AF5531"/>
    <w:rsid w:val="00AF5682"/>
    <w:rsid w:val="00AF65FB"/>
    <w:rsid w:val="00AF6763"/>
    <w:rsid w:val="00AF6D02"/>
    <w:rsid w:val="00AF74FD"/>
    <w:rsid w:val="00AF77C0"/>
    <w:rsid w:val="00AF79E4"/>
    <w:rsid w:val="00B01728"/>
    <w:rsid w:val="00B01C63"/>
    <w:rsid w:val="00B0519C"/>
    <w:rsid w:val="00B057C2"/>
    <w:rsid w:val="00B05E11"/>
    <w:rsid w:val="00B06855"/>
    <w:rsid w:val="00B100B4"/>
    <w:rsid w:val="00B1019C"/>
    <w:rsid w:val="00B11831"/>
    <w:rsid w:val="00B11A54"/>
    <w:rsid w:val="00B12061"/>
    <w:rsid w:val="00B12EB0"/>
    <w:rsid w:val="00B13187"/>
    <w:rsid w:val="00B132A3"/>
    <w:rsid w:val="00B14059"/>
    <w:rsid w:val="00B14260"/>
    <w:rsid w:val="00B14410"/>
    <w:rsid w:val="00B1461A"/>
    <w:rsid w:val="00B1527B"/>
    <w:rsid w:val="00B1582D"/>
    <w:rsid w:val="00B168F3"/>
    <w:rsid w:val="00B16DC5"/>
    <w:rsid w:val="00B17121"/>
    <w:rsid w:val="00B17BAE"/>
    <w:rsid w:val="00B209D4"/>
    <w:rsid w:val="00B214BC"/>
    <w:rsid w:val="00B21BEF"/>
    <w:rsid w:val="00B21F12"/>
    <w:rsid w:val="00B22A2D"/>
    <w:rsid w:val="00B2487C"/>
    <w:rsid w:val="00B24D8B"/>
    <w:rsid w:val="00B25C08"/>
    <w:rsid w:val="00B263AA"/>
    <w:rsid w:val="00B26E1C"/>
    <w:rsid w:val="00B26EB5"/>
    <w:rsid w:val="00B30BF4"/>
    <w:rsid w:val="00B30F9D"/>
    <w:rsid w:val="00B314AA"/>
    <w:rsid w:val="00B33146"/>
    <w:rsid w:val="00B33878"/>
    <w:rsid w:val="00B33A56"/>
    <w:rsid w:val="00B33B78"/>
    <w:rsid w:val="00B368B6"/>
    <w:rsid w:val="00B373B4"/>
    <w:rsid w:val="00B40739"/>
    <w:rsid w:val="00B409C8"/>
    <w:rsid w:val="00B4115D"/>
    <w:rsid w:val="00B41218"/>
    <w:rsid w:val="00B43BBB"/>
    <w:rsid w:val="00B44327"/>
    <w:rsid w:val="00B44560"/>
    <w:rsid w:val="00B44DBF"/>
    <w:rsid w:val="00B458B1"/>
    <w:rsid w:val="00B45B2F"/>
    <w:rsid w:val="00B45F98"/>
    <w:rsid w:val="00B46623"/>
    <w:rsid w:val="00B46AAF"/>
    <w:rsid w:val="00B46B7C"/>
    <w:rsid w:val="00B47012"/>
    <w:rsid w:val="00B475A5"/>
    <w:rsid w:val="00B479E0"/>
    <w:rsid w:val="00B47CA6"/>
    <w:rsid w:val="00B5052A"/>
    <w:rsid w:val="00B5186B"/>
    <w:rsid w:val="00B5298F"/>
    <w:rsid w:val="00B52AC0"/>
    <w:rsid w:val="00B5427A"/>
    <w:rsid w:val="00B54430"/>
    <w:rsid w:val="00B555BA"/>
    <w:rsid w:val="00B56C8B"/>
    <w:rsid w:val="00B56D65"/>
    <w:rsid w:val="00B57710"/>
    <w:rsid w:val="00B602B6"/>
    <w:rsid w:val="00B60DFA"/>
    <w:rsid w:val="00B629FB"/>
    <w:rsid w:val="00B62C83"/>
    <w:rsid w:val="00B63600"/>
    <w:rsid w:val="00B64024"/>
    <w:rsid w:val="00B64702"/>
    <w:rsid w:val="00B653F8"/>
    <w:rsid w:val="00B663D1"/>
    <w:rsid w:val="00B666C9"/>
    <w:rsid w:val="00B6683E"/>
    <w:rsid w:val="00B67485"/>
    <w:rsid w:val="00B6770D"/>
    <w:rsid w:val="00B67921"/>
    <w:rsid w:val="00B67FB6"/>
    <w:rsid w:val="00B7000D"/>
    <w:rsid w:val="00B70713"/>
    <w:rsid w:val="00B70721"/>
    <w:rsid w:val="00B708D4"/>
    <w:rsid w:val="00B70ECD"/>
    <w:rsid w:val="00B710E0"/>
    <w:rsid w:val="00B71C46"/>
    <w:rsid w:val="00B722EC"/>
    <w:rsid w:val="00B7260A"/>
    <w:rsid w:val="00B72692"/>
    <w:rsid w:val="00B727AD"/>
    <w:rsid w:val="00B73201"/>
    <w:rsid w:val="00B73305"/>
    <w:rsid w:val="00B73CC0"/>
    <w:rsid w:val="00B7488E"/>
    <w:rsid w:val="00B749FC"/>
    <w:rsid w:val="00B75A3A"/>
    <w:rsid w:val="00B75AB1"/>
    <w:rsid w:val="00B75DEA"/>
    <w:rsid w:val="00B76DC5"/>
    <w:rsid w:val="00B77662"/>
    <w:rsid w:val="00B77871"/>
    <w:rsid w:val="00B77934"/>
    <w:rsid w:val="00B77C32"/>
    <w:rsid w:val="00B8082D"/>
    <w:rsid w:val="00B809DC"/>
    <w:rsid w:val="00B80B1F"/>
    <w:rsid w:val="00B8120E"/>
    <w:rsid w:val="00B812C2"/>
    <w:rsid w:val="00B81AEC"/>
    <w:rsid w:val="00B826A7"/>
    <w:rsid w:val="00B8340E"/>
    <w:rsid w:val="00B83E7C"/>
    <w:rsid w:val="00B84000"/>
    <w:rsid w:val="00B858C7"/>
    <w:rsid w:val="00B8615A"/>
    <w:rsid w:val="00B86755"/>
    <w:rsid w:val="00B903FA"/>
    <w:rsid w:val="00B909E9"/>
    <w:rsid w:val="00B90B00"/>
    <w:rsid w:val="00B90D58"/>
    <w:rsid w:val="00B91BE3"/>
    <w:rsid w:val="00B9201A"/>
    <w:rsid w:val="00B9229F"/>
    <w:rsid w:val="00B923C3"/>
    <w:rsid w:val="00B9270B"/>
    <w:rsid w:val="00B929D7"/>
    <w:rsid w:val="00B92AC3"/>
    <w:rsid w:val="00B93968"/>
    <w:rsid w:val="00B93B75"/>
    <w:rsid w:val="00B93E89"/>
    <w:rsid w:val="00B9412E"/>
    <w:rsid w:val="00B94F15"/>
    <w:rsid w:val="00B95819"/>
    <w:rsid w:val="00B95A1A"/>
    <w:rsid w:val="00B973A0"/>
    <w:rsid w:val="00B97754"/>
    <w:rsid w:val="00B97A31"/>
    <w:rsid w:val="00BA0BF0"/>
    <w:rsid w:val="00BA1173"/>
    <w:rsid w:val="00BA1558"/>
    <w:rsid w:val="00BA1CCA"/>
    <w:rsid w:val="00BA200B"/>
    <w:rsid w:val="00BA2A62"/>
    <w:rsid w:val="00BA2C90"/>
    <w:rsid w:val="00BA3484"/>
    <w:rsid w:val="00BA34F5"/>
    <w:rsid w:val="00BA398D"/>
    <w:rsid w:val="00BA4638"/>
    <w:rsid w:val="00BA50A8"/>
    <w:rsid w:val="00BA5C05"/>
    <w:rsid w:val="00BA6341"/>
    <w:rsid w:val="00BA65B7"/>
    <w:rsid w:val="00BA680E"/>
    <w:rsid w:val="00BA6DB4"/>
    <w:rsid w:val="00BA728D"/>
    <w:rsid w:val="00BA743A"/>
    <w:rsid w:val="00BA74F3"/>
    <w:rsid w:val="00BA7DAB"/>
    <w:rsid w:val="00BB0CD3"/>
    <w:rsid w:val="00BB0D28"/>
    <w:rsid w:val="00BB0D9E"/>
    <w:rsid w:val="00BB1F04"/>
    <w:rsid w:val="00BB2353"/>
    <w:rsid w:val="00BB2E53"/>
    <w:rsid w:val="00BB30C2"/>
    <w:rsid w:val="00BB41C4"/>
    <w:rsid w:val="00BB517A"/>
    <w:rsid w:val="00BB51F0"/>
    <w:rsid w:val="00BB5EE0"/>
    <w:rsid w:val="00BB636C"/>
    <w:rsid w:val="00BB65FB"/>
    <w:rsid w:val="00BB769E"/>
    <w:rsid w:val="00BC08BB"/>
    <w:rsid w:val="00BC0DDD"/>
    <w:rsid w:val="00BC0E32"/>
    <w:rsid w:val="00BC177F"/>
    <w:rsid w:val="00BC2078"/>
    <w:rsid w:val="00BC227D"/>
    <w:rsid w:val="00BC2380"/>
    <w:rsid w:val="00BC2D57"/>
    <w:rsid w:val="00BC315D"/>
    <w:rsid w:val="00BC3AE0"/>
    <w:rsid w:val="00BC3C5D"/>
    <w:rsid w:val="00BC3DA5"/>
    <w:rsid w:val="00BC3DB5"/>
    <w:rsid w:val="00BC52DB"/>
    <w:rsid w:val="00BC56B7"/>
    <w:rsid w:val="00BC64CC"/>
    <w:rsid w:val="00BC76A2"/>
    <w:rsid w:val="00BD07DC"/>
    <w:rsid w:val="00BD08F6"/>
    <w:rsid w:val="00BD0AA0"/>
    <w:rsid w:val="00BD14C8"/>
    <w:rsid w:val="00BD163C"/>
    <w:rsid w:val="00BD1763"/>
    <w:rsid w:val="00BD2352"/>
    <w:rsid w:val="00BD3A87"/>
    <w:rsid w:val="00BD4065"/>
    <w:rsid w:val="00BD4173"/>
    <w:rsid w:val="00BD4309"/>
    <w:rsid w:val="00BD46CE"/>
    <w:rsid w:val="00BD4DE0"/>
    <w:rsid w:val="00BD4E05"/>
    <w:rsid w:val="00BD662D"/>
    <w:rsid w:val="00BD6AC3"/>
    <w:rsid w:val="00BD7125"/>
    <w:rsid w:val="00BD753F"/>
    <w:rsid w:val="00BD7BE2"/>
    <w:rsid w:val="00BE1062"/>
    <w:rsid w:val="00BE1C87"/>
    <w:rsid w:val="00BE1DA7"/>
    <w:rsid w:val="00BE23AB"/>
    <w:rsid w:val="00BE23CA"/>
    <w:rsid w:val="00BE327E"/>
    <w:rsid w:val="00BE6563"/>
    <w:rsid w:val="00BE6B49"/>
    <w:rsid w:val="00BF008E"/>
    <w:rsid w:val="00BF00A3"/>
    <w:rsid w:val="00BF06AC"/>
    <w:rsid w:val="00BF0F49"/>
    <w:rsid w:val="00BF10F5"/>
    <w:rsid w:val="00BF243B"/>
    <w:rsid w:val="00BF245E"/>
    <w:rsid w:val="00BF3C9C"/>
    <w:rsid w:val="00BF43CD"/>
    <w:rsid w:val="00BF44B8"/>
    <w:rsid w:val="00BF4C9D"/>
    <w:rsid w:val="00BF6E4A"/>
    <w:rsid w:val="00BF6F79"/>
    <w:rsid w:val="00BF7C2C"/>
    <w:rsid w:val="00BF7D77"/>
    <w:rsid w:val="00C009A8"/>
    <w:rsid w:val="00C00AD0"/>
    <w:rsid w:val="00C0126F"/>
    <w:rsid w:val="00C02526"/>
    <w:rsid w:val="00C02A57"/>
    <w:rsid w:val="00C03EFD"/>
    <w:rsid w:val="00C043BF"/>
    <w:rsid w:val="00C04509"/>
    <w:rsid w:val="00C056D6"/>
    <w:rsid w:val="00C05FB5"/>
    <w:rsid w:val="00C063C1"/>
    <w:rsid w:val="00C063C6"/>
    <w:rsid w:val="00C063DE"/>
    <w:rsid w:val="00C06B39"/>
    <w:rsid w:val="00C06BE7"/>
    <w:rsid w:val="00C07030"/>
    <w:rsid w:val="00C07A27"/>
    <w:rsid w:val="00C103F4"/>
    <w:rsid w:val="00C10657"/>
    <w:rsid w:val="00C11241"/>
    <w:rsid w:val="00C11A64"/>
    <w:rsid w:val="00C12062"/>
    <w:rsid w:val="00C1248F"/>
    <w:rsid w:val="00C13471"/>
    <w:rsid w:val="00C13686"/>
    <w:rsid w:val="00C14630"/>
    <w:rsid w:val="00C14A05"/>
    <w:rsid w:val="00C14A9C"/>
    <w:rsid w:val="00C14CAA"/>
    <w:rsid w:val="00C156E7"/>
    <w:rsid w:val="00C16070"/>
    <w:rsid w:val="00C16F11"/>
    <w:rsid w:val="00C178B7"/>
    <w:rsid w:val="00C17C60"/>
    <w:rsid w:val="00C17D34"/>
    <w:rsid w:val="00C20759"/>
    <w:rsid w:val="00C20DAB"/>
    <w:rsid w:val="00C21083"/>
    <w:rsid w:val="00C229E6"/>
    <w:rsid w:val="00C2312A"/>
    <w:rsid w:val="00C23C3C"/>
    <w:rsid w:val="00C30514"/>
    <w:rsid w:val="00C31243"/>
    <w:rsid w:val="00C318F4"/>
    <w:rsid w:val="00C31CC4"/>
    <w:rsid w:val="00C32AE5"/>
    <w:rsid w:val="00C334E7"/>
    <w:rsid w:val="00C33EB2"/>
    <w:rsid w:val="00C345B3"/>
    <w:rsid w:val="00C359E9"/>
    <w:rsid w:val="00C366E1"/>
    <w:rsid w:val="00C379DB"/>
    <w:rsid w:val="00C37B44"/>
    <w:rsid w:val="00C40646"/>
    <w:rsid w:val="00C40A5A"/>
    <w:rsid w:val="00C40B21"/>
    <w:rsid w:val="00C40E10"/>
    <w:rsid w:val="00C41C58"/>
    <w:rsid w:val="00C42883"/>
    <w:rsid w:val="00C42FD9"/>
    <w:rsid w:val="00C4379D"/>
    <w:rsid w:val="00C44B70"/>
    <w:rsid w:val="00C44FA1"/>
    <w:rsid w:val="00C45684"/>
    <w:rsid w:val="00C45772"/>
    <w:rsid w:val="00C45DD7"/>
    <w:rsid w:val="00C50551"/>
    <w:rsid w:val="00C50C5A"/>
    <w:rsid w:val="00C51FBE"/>
    <w:rsid w:val="00C52231"/>
    <w:rsid w:val="00C52304"/>
    <w:rsid w:val="00C53035"/>
    <w:rsid w:val="00C54008"/>
    <w:rsid w:val="00C5472B"/>
    <w:rsid w:val="00C54F3C"/>
    <w:rsid w:val="00C558DF"/>
    <w:rsid w:val="00C56101"/>
    <w:rsid w:val="00C5656E"/>
    <w:rsid w:val="00C565CF"/>
    <w:rsid w:val="00C56F09"/>
    <w:rsid w:val="00C56F92"/>
    <w:rsid w:val="00C57A87"/>
    <w:rsid w:val="00C6017F"/>
    <w:rsid w:val="00C6094A"/>
    <w:rsid w:val="00C60DA3"/>
    <w:rsid w:val="00C61232"/>
    <w:rsid w:val="00C6146E"/>
    <w:rsid w:val="00C61BC9"/>
    <w:rsid w:val="00C62090"/>
    <w:rsid w:val="00C639C5"/>
    <w:rsid w:val="00C64248"/>
    <w:rsid w:val="00C64BD1"/>
    <w:rsid w:val="00C6515F"/>
    <w:rsid w:val="00C65999"/>
    <w:rsid w:val="00C66E12"/>
    <w:rsid w:val="00C67B3D"/>
    <w:rsid w:val="00C67BDD"/>
    <w:rsid w:val="00C7083B"/>
    <w:rsid w:val="00C70F42"/>
    <w:rsid w:val="00C7119C"/>
    <w:rsid w:val="00C72025"/>
    <w:rsid w:val="00C72B79"/>
    <w:rsid w:val="00C72BA1"/>
    <w:rsid w:val="00C72EE2"/>
    <w:rsid w:val="00C73D5B"/>
    <w:rsid w:val="00C73F10"/>
    <w:rsid w:val="00C75DB5"/>
    <w:rsid w:val="00C75EFB"/>
    <w:rsid w:val="00C77200"/>
    <w:rsid w:val="00C80020"/>
    <w:rsid w:val="00C801C5"/>
    <w:rsid w:val="00C80B58"/>
    <w:rsid w:val="00C80F2D"/>
    <w:rsid w:val="00C818D9"/>
    <w:rsid w:val="00C819DE"/>
    <w:rsid w:val="00C82A4F"/>
    <w:rsid w:val="00C82CD2"/>
    <w:rsid w:val="00C835FF"/>
    <w:rsid w:val="00C84683"/>
    <w:rsid w:val="00C846B7"/>
    <w:rsid w:val="00C85C5F"/>
    <w:rsid w:val="00C85DF5"/>
    <w:rsid w:val="00C86AA5"/>
    <w:rsid w:val="00C901BB"/>
    <w:rsid w:val="00C90289"/>
    <w:rsid w:val="00C907BB"/>
    <w:rsid w:val="00C90B5A"/>
    <w:rsid w:val="00C91820"/>
    <w:rsid w:val="00C91B8B"/>
    <w:rsid w:val="00C91D40"/>
    <w:rsid w:val="00C92244"/>
    <w:rsid w:val="00C92705"/>
    <w:rsid w:val="00C92F8E"/>
    <w:rsid w:val="00C93182"/>
    <w:rsid w:val="00C9319B"/>
    <w:rsid w:val="00C93496"/>
    <w:rsid w:val="00C94219"/>
    <w:rsid w:val="00C947F8"/>
    <w:rsid w:val="00C94C85"/>
    <w:rsid w:val="00C951EF"/>
    <w:rsid w:val="00C95EB2"/>
    <w:rsid w:val="00C9656D"/>
    <w:rsid w:val="00C97551"/>
    <w:rsid w:val="00C97764"/>
    <w:rsid w:val="00CA0919"/>
    <w:rsid w:val="00CA0BBD"/>
    <w:rsid w:val="00CA0D38"/>
    <w:rsid w:val="00CA2B38"/>
    <w:rsid w:val="00CA324E"/>
    <w:rsid w:val="00CA3B7C"/>
    <w:rsid w:val="00CA3BAE"/>
    <w:rsid w:val="00CA67DF"/>
    <w:rsid w:val="00CA7160"/>
    <w:rsid w:val="00CA783B"/>
    <w:rsid w:val="00CB00E8"/>
    <w:rsid w:val="00CB0652"/>
    <w:rsid w:val="00CB086C"/>
    <w:rsid w:val="00CB0B13"/>
    <w:rsid w:val="00CB12E6"/>
    <w:rsid w:val="00CB1E9E"/>
    <w:rsid w:val="00CB2012"/>
    <w:rsid w:val="00CB285C"/>
    <w:rsid w:val="00CB32AD"/>
    <w:rsid w:val="00CB42A6"/>
    <w:rsid w:val="00CB5010"/>
    <w:rsid w:val="00CB557E"/>
    <w:rsid w:val="00CB5CEE"/>
    <w:rsid w:val="00CB6506"/>
    <w:rsid w:val="00CB6A9D"/>
    <w:rsid w:val="00CB6DDA"/>
    <w:rsid w:val="00CB6F1A"/>
    <w:rsid w:val="00CB72CC"/>
    <w:rsid w:val="00CB7B3E"/>
    <w:rsid w:val="00CB7FC9"/>
    <w:rsid w:val="00CC0649"/>
    <w:rsid w:val="00CC1553"/>
    <w:rsid w:val="00CC2AFE"/>
    <w:rsid w:val="00CC34C1"/>
    <w:rsid w:val="00CC379D"/>
    <w:rsid w:val="00CC40BB"/>
    <w:rsid w:val="00CC4433"/>
    <w:rsid w:val="00CC4892"/>
    <w:rsid w:val="00CC5DA9"/>
    <w:rsid w:val="00CC5EEF"/>
    <w:rsid w:val="00CC70E5"/>
    <w:rsid w:val="00CC76C0"/>
    <w:rsid w:val="00CC7D91"/>
    <w:rsid w:val="00CD005D"/>
    <w:rsid w:val="00CD040D"/>
    <w:rsid w:val="00CD06C4"/>
    <w:rsid w:val="00CD0926"/>
    <w:rsid w:val="00CD0CCE"/>
    <w:rsid w:val="00CD1784"/>
    <w:rsid w:val="00CD1E29"/>
    <w:rsid w:val="00CD2ADD"/>
    <w:rsid w:val="00CD312F"/>
    <w:rsid w:val="00CD3CE2"/>
    <w:rsid w:val="00CD46A5"/>
    <w:rsid w:val="00CD475D"/>
    <w:rsid w:val="00CD4863"/>
    <w:rsid w:val="00CD4C41"/>
    <w:rsid w:val="00CD67C1"/>
    <w:rsid w:val="00CD6BEE"/>
    <w:rsid w:val="00CD74A2"/>
    <w:rsid w:val="00CD7CA5"/>
    <w:rsid w:val="00CE0F40"/>
    <w:rsid w:val="00CE1A0E"/>
    <w:rsid w:val="00CE254B"/>
    <w:rsid w:val="00CE30EA"/>
    <w:rsid w:val="00CE3A66"/>
    <w:rsid w:val="00CE4A91"/>
    <w:rsid w:val="00CE52B8"/>
    <w:rsid w:val="00CE59E2"/>
    <w:rsid w:val="00CE61BF"/>
    <w:rsid w:val="00CE6468"/>
    <w:rsid w:val="00CE6544"/>
    <w:rsid w:val="00CE6A44"/>
    <w:rsid w:val="00CE6CD9"/>
    <w:rsid w:val="00CF024D"/>
    <w:rsid w:val="00CF066D"/>
    <w:rsid w:val="00CF0CC3"/>
    <w:rsid w:val="00CF1294"/>
    <w:rsid w:val="00CF1353"/>
    <w:rsid w:val="00CF18D6"/>
    <w:rsid w:val="00CF3648"/>
    <w:rsid w:val="00CF4705"/>
    <w:rsid w:val="00CF4826"/>
    <w:rsid w:val="00CF5B92"/>
    <w:rsid w:val="00CF5D20"/>
    <w:rsid w:val="00CF6E8F"/>
    <w:rsid w:val="00CF794E"/>
    <w:rsid w:val="00D003FC"/>
    <w:rsid w:val="00D0084A"/>
    <w:rsid w:val="00D01027"/>
    <w:rsid w:val="00D025C3"/>
    <w:rsid w:val="00D02740"/>
    <w:rsid w:val="00D02885"/>
    <w:rsid w:val="00D02CAA"/>
    <w:rsid w:val="00D0334B"/>
    <w:rsid w:val="00D03EA7"/>
    <w:rsid w:val="00D03EFC"/>
    <w:rsid w:val="00D0504C"/>
    <w:rsid w:val="00D05929"/>
    <w:rsid w:val="00D05C9C"/>
    <w:rsid w:val="00D062A1"/>
    <w:rsid w:val="00D066D3"/>
    <w:rsid w:val="00D06BB9"/>
    <w:rsid w:val="00D0709D"/>
    <w:rsid w:val="00D105BF"/>
    <w:rsid w:val="00D10D45"/>
    <w:rsid w:val="00D1113F"/>
    <w:rsid w:val="00D12358"/>
    <w:rsid w:val="00D12A07"/>
    <w:rsid w:val="00D13691"/>
    <w:rsid w:val="00D13E7C"/>
    <w:rsid w:val="00D149F2"/>
    <w:rsid w:val="00D14A43"/>
    <w:rsid w:val="00D169E1"/>
    <w:rsid w:val="00D169EF"/>
    <w:rsid w:val="00D17C2A"/>
    <w:rsid w:val="00D202FB"/>
    <w:rsid w:val="00D20370"/>
    <w:rsid w:val="00D20A85"/>
    <w:rsid w:val="00D2225A"/>
    <w:rsid w:val="00D228BA"/>
    <w:rsid w:val="00D22D44"/>
    <w:rsid w:val="00D23ADC"/>
    <w:rsid w:val="00D23F72"/>
    <w:rsid w:val="00D2437F"/>
    <w:rsid w:val="00D256F5"/>
    <w:rsid w:val="00D25870"/>
    <w:rsid w:val="00D258AF"/>
    <w:rsid w:val="00D25906"/>
    <w:rsid w:val="00D25EE1"/>
    <w:rsid w:val="00D267B5"/>
    <w:rsid w:val="00D2773C"/>
    <w:rsid w:val="00D278A9"/>
    <w:rsid w:val="00D27EB0"/>
    <w:rsid w:val="00D313F9"/>
    <w:rsid w:val="00D314F6"/>
    <w:rsid w:val="00D31784"/>
    <w:rsid w:val="00D3179E"/>
    <w:rsid w:val="00D31AD1"/>
    <w:rsid w:val="00D321DB"/>
    <w:rsid w:val="00D32937"/>
    <w:rsid w:val="00D32BC9"/>
    <w:rsid w:val="00D32D1C"/>
    <w:rsid w:val="00D34B81"/>
    <w:rsid w:val="00D34C6B"/>
    <w:rsid w:val="00D35E2A"/>
    <w:rsid w:val="00D362B9"/>
    <w:rsid w:val="00D36677"/>
    <w:rsid w:val="00D367A5"/>
    <w:rsid w:val="00D367C1"/>
    <w:rsid w:val="00D37689"/>
    <w:rsid w:val="00D41780"/>
    <w:rsid w:val="00D41F2F"/>
    <w:rsid w:val="00D42377"/>
    <w:rsid w:val="00D424DB"/>
    <w:rsid w:val="00D43255"/>
    <w:rsid w:val="00D433BB"/>
    <w:rsid w:val="00D441A8"/>
    <w:rsid w:val="00D44448"/>
    <w:rsid w:val="00D4483B"/>
    <w:rsid w:val="00D44F47"/>
    <w:rsid w:val="00D45514"/>
    <w:rsid w:val="00D457A8"/>
    <w:rsid w:val="00D45F9C"/>
    <w:rsid w:val="00D45FF2"/>
    <w:rsid w:val="00D466E4"/>
    <w:rsid w:val="00D467D3"/>
    <w:rsid w:val="00D46A82"/>
    <w:rsid w:val="00D46BD4"/>
    <w:rsid w:val="00D46D08"/>
    <w:rsid w:val="00D46F64"/>
    <w:rsid w:val="00D5070C"/>
    <w:rsid w:val="00D521F4"/>
    <w:rsid w:val="00D528E9"/>
    <w:rsid w:val="00D52FA3"/>
    <w:rsid w:val="00D530C2"/>
    <w:rsid w:val="00D5423D"/>
    <w:rsid w:val="00D545E3"/>
    <w:rsid w:val="00D54E28"/>
    <w:rsid w:val="00D558C1"/>
    <w:rsid w:val="00D559A3"/>
    <w:rsid w:val="00D55CFE"/>
    <w:rsid w:val="00D57412"/>
    <w:rsid w:val="00D57DA0"/>
    <w:rsid w:val="00D60505"/>
    <w:rsid w:val="00D6056B"/>
    <w:rsid w:val="00D6264A"/>
    <w:rsid w:val="00D63503"/>
    <w:rsid w:val="00D63CBC"/>
    <w:rsid w:val="00D63D54"/>
    <w:rsid w:val="00D63DCF"/>
    <w:rsid w:val="00D643C8"/>
    <w:rsid w:val="00D64C19"/>
    <w:rsid w:val="00D65862"/>
    <w:rsid w:val="00D65CB3"/>
    <w:rsid w:val="00D65E0D"/>
    <w:rsid w:val="00D661FE"/>
    <w:rsid w:val="00D66261"/>
    <w:rsid w:val="00D66B69"/>
    <w:rsid w:val="00D671B1"/>
    <w:rsid w:val="00D67F98"/>
    <w:rsid w:val="00D702F8"/>
    <w:rsid w:val="00D709F1"/>
    <w:rsid w:val="00D71110"/>
    <w:rsid w:val="00D72E26"/>
    <w:rsid w:val="00D73AF3"/>
    <w:rsid w:val="00D74741"/>
    <w:rsid w:val="00D7480A"/>
    <w:rsid w:val="00D74E27"/>
    <w:rsid w:val="00D76DA0"/>
    <w:rsid w:val="00D76EFD"/>
    <w:rsid w:val="00D76F0F"/>
    <w:rsid w:val="00D77B82"/>
    <w:rsid w:val="00D80E53"/>
    <w:rsid w:val="00D80E65"/>
    <w:rsid w:val="00D81026"/>
    <w:rsid w:val="00D815C8"/>
    <w:rsid w:val="00D818F2"/>
    <w:rsid w:val="00D82F77"/>
    <w:rsid w:val="00D84240"/>
    <w:rsid w:val="00D8454A"/>
    <w:rsid w:val="00D8508A"/>
    <w:rsid w:val="00D85409"/>
    <w:rsid w:val="00D85432"/>
    <w:rsid w:val="00D85E12"/>
    <w:rsid w:val="00D86611"/>
    <w:rsid w:val="00D8739E"/>
    <w:rsid w:val="00D90487"/>
    <w:rsid w:val="00D9322E"/>
    <w:rsid w:val="00D93556"/>
    <w:rsid w:val="00D93C8A"/>
    <w:rsid w:val="00D93E8F"/>
    <w:rsid w:val="00D94028"/>
    <w:rsid w:val="00D94534"/>
    <w:rsid w:val="00D94C0D"/>
    <w:rsid w:val="00D95020"/>
    <w:rsid w:val="00D95FA1"/>
    <w:rsid w:val="00D9684A"/>
    <w:rsid w:val="00D96A27"/>
    <w:rsid w:val="00D9723D"/>
    <w:rsid w:val="00D97290"/>
    <w:rsid w:val="00D97F15"/>
    <w:rsid w:val="00DA10F7"/>
    <w:rsid w:val="00DA1F41"/>
    <w:rsid w:val="00DA1FB7"/>
    <w:rsid w:val="00DA27F6"/>
    <w:rsid w:val="00DA2900"/>
    <w:rsid w:val="00DA2C19"/>
    <w:rsid w:val="00DA2DDE"/>
    <w:rsid w:val="00DA469A"/>
    <w:rsid w:val="00DA5543"/>
    <w:rsid w:val="00DA62EE"/>
    <w:rsid w:val="00DA6339"/>
    <w:rsid w:val="00DA641C"/>
    <w:rsid w:val="00DA6A96"/>
    <w:rsid w:val="00DA7265"/>
    <w:rsid w:val="00DA73B9"/>
    <w:rsid w:val="00DA7D8D"/>
    <w:rsid w:val="00DB01E3"/>
    <w:rsid w:val="00DB0E8E"/>
    <w:rsid w:val="00DB0F3C"/>
    <w:rsid w:val="00DB1DE7"/>
    <w:rsid w:val="00DB3D18"/>
    <w:rsid w:val="00DB5438"/>
    <w:rsid w:val="00DB5631"/>
    <w:rsid w:val="00DB58A1"/>
    <w:rsid w:val="00DB71CC"/>
    <w:rsid w:val="00DB7C37"/>
    <w:rsid w:val="00DB7FB2"/>
    <w:rsid w:val="00DC110A"/>
    <w:rsid w:val="00DC2E5D"/>
    <w:rsid w:val="00DC3007"/>
    <w:rsid w:val="00DC3837"/>
    <w:rsid w:val="00DC3E05"/>
    <w:rsid w:val="00DC50BE"/>
    <w:rsid w:val="00DC698E"/>
    <w:rsid w:val="00DC6DBD"/>
    <w:rsid w:val="00DC78A2"/>
    <w:rsid w:val="00DC7B72"/>
    <w:rsid w:val="00DD0010"/>
    <w:rsid w:val="00DD0A6E"/>
    <w:rsid w:val="00DD10C2"/>
    <w:rsid w:val="00DD202A"/>
    <w:rsid w:val="00DD20EF"/>
    <w:rsid w:val="00DD26A1"/>
    <w:rsid w:val="00DD397C"/>
    <w:rsid w:val="00DD3BCF"/>
    <w:rsid w:val="00DD3D78"/>
    <w:rsid w:val="00DD54C1"/>
    <w:rsid w:val="00DD645A"/>
    <w:rsid w:val="00DD7BDA"/>
    <w:rsid w:val="00DE01FA"/>
    <w:rsid w:val="00DE0939"/>
    <w:rsid w:val="00DE0AA1"/>
    <w:rsid w:val="00DE1137"/>
    <w:rsid w:val="00DE1A14"/>
    <w:rsid w:val="00DE1D5D"/>
    <w:rsid w:val="00DE1E37"/>
    <w:rsid w:val="00DE25C9"/>
    <w:rsid w:val="00DE261B"/>
    <w:rsid w:val="00DE3505"/>
    <w:rsid w:val="00DE49AA"/>
    <w:rsid w:val="00DE5BCD"/>
    <w:rsid w:val="00DE5CA7"/>
    <w:rsid w:val="00DE6425"/>
    <w:rsid w:val="00DE6440"/>
    <w:rsid w:val="00DE6BB7"/>
    <w:rsid w:val="00DE7BC0"/>
    <w:rsid w:val="00DE7C31"/>
    <w:rsid w:val="00DF1048"/>
    <w:rsid w:val="00DF1144"/>
    <w:rsid w:val="00DF2BFB"/>
    <w:rsid w:val="00DF36A9"/>
    <w:rsid w:val="00DF4175"/>
    <w:rsid w:val="00DF4418"/>
    <w:rsid w:val="00DF5E12"/>
    <w:rsid w:val="00DF68BE"/>
    <w:rsid w:val="00DF6BAA"/>
    <w:rsid w:val="00DF7A51"/>
    <w:rsid w:val="00E001D9"/>
    <w:rsid w:val="00E00AFB"/>
    <w:rsid w:val="00E0192E"/>
    <w:rsid w:val="00E020ED"/>
    <w:rsid w:val="00E0224E"/>
    <w:rsid w:val="00E03FBD"/>
    <w:rsid w:val="00E04847"/>
    <w:rsid w:val="00E04C57"/>
    <w:rsid w:val="00E05B58"/>
    <w:rsid w:val="00E05F29"/>
    <w:rsid w:val="00E06A38"/>
    <w:rsid w:val="00E06B70"/>
    <w:rsid w:val="00E06FDC"/>
    <w:rsid w:val="00E07435"/>
    <w:rsid w:val="00E112DE"/>
    <w:rsid w:val="00E11915"/>
    <w:rsid w:val="00E124E8"/>
    <w:rsid w:val="00E141E7"/>
    <w:rsid w:val="00E1468B"/>
    <w:rsid w:val="00E14793"/>
    <w:rsid w:val="00E14B88"/>
    <w:rsid w:val="00E14DE0"/>
    <w:rsid w:val="00E154AC"/>
    <w:rsid w:val="00E15E98"/>
    <w:rsid w:val="00E15EA4"/>
    <w:rsid w:val="00E1608B"/>
    <w:rsid w:val="00E16562"/>
    <w:rsid w:val="00E16B9B"/>
    <w:rsid w:val="00E1777B"/>
    <w:rsid w:val="00E2040C"/>
    <w:rsid w:val="00E204AE"/>
    <w:rsid w:val="00E206DE"/>
    <w:rsid w:val="00E22E2C"/>
    <w:rsid w:val="00E22EB7"/>
    <w:rsid w:val="00E22F02"/>
    <w:rsid w:val="00E2325B"/>
    <w:rsid w:val="00E23636"/>
    <w:rsid w:val="00E237B3"/>
    <w:rsid w:val="00E23AF0"/>
    <w:rsid w:val="00E23BB8"/>
    <w:rsid w:val="00E25D00"/>
    <w:rsid w:val="00E25D6B"/>
    <w:rsid w:val="00E25D8D"/>
    <w:rsid w:val="00E26E4A"/>
    <w:rsid w:val="00E30A51"/>
    <w:rsid w:val="00E30BA2"/>
    <w:rsid w:val="00E30D6E"/>
    <w:rsid w:val="00E31DD8"/>
    <w:rsid w:val="00E32223"/>
    <w:rsid w:val="00E323D4"/>
    <w:rsid w:val="00E328B9"/>
    <w:rsid w:val="00E32DDC"/>
    <w:rsid w:val="00E33B00"/>
    <w:rsid w:val="00E355B1"/>
    <w:rsid w:val="00E35B3F"/>
    <w:rsid w:val="00E36B71"/>
    <w:rsid w:val="00E36CA4"/>
    <w:rsid w:val="00E36FF2"/>
    <w:rsid w:val="00E3707F"/>
    <w:rsid w:val="00E37202"/>
    <w:rsid w:val="00E37EF0"/>
    <w:rsid w:val="00E40969"/>
    <w:rsid w:val="00E40E95"/>
    <w:rsid w:val="00E415C0"/>
    <w:rsid w:val="00E41AD2"/>
    <w:rsid w:val="00E41AD8"/>
    <w:rsid w:val="00E41C36"/>
    <w:rsid w:val="00E41F2D"/>
    <w:rsid w:val="00E42437"/>
    <w:rsid w:val="00E43691"/>
    <w:rsid w:val="00E442EE"/>
    <w:rsid w:val="00E44A93"/>
    <w:rsid w:val="00E44B2A"/>
    <w:rsid w:val="00E45FF0"/>
    <w:rsid w:val="00E46614"/>
    <w:rsid w:val="00E50741"/>
    <w:rsid w:val="00E52483"/>
    <w:rsid w:val="00E52F3D"/>
    <w:rsid w:val="00E53B01"/>
    <w:rsid w:val="00E54B4C"/>
    <w:rsid w:val="00E54E24"/>
    <w:rsid w:val="00E552A5"/>
    <w:rsid w:val="00E5539A"/>
    <w:rsid w:val="00E55C04"/>
    <w:rsid w:val="00E55E77"/>
    <w:rsid w:val="00E5626E"/>
    <w:rsid w:val="00E56411"/>
    <w:rsid w:val="00E56CCE"/>
    <w:rsid w:val="00E57141"/>
    <w:rsid w:val="00E5728A"/>
    <w:rsid w:val="00E57ABD"/>
    <w:rsid w:val="00E60917"/>
    <w:rsid w:val="00E60CAD"/>
    <w:rsid w:val="00E63243"/>
    <w:rsid w:val="00E64EAE"/>
    <w:rsid w:val="00E65A4D"/>
    <w:rsid w:val="00E65B8C"/>
    <w:rsid w:val="00E67F2E"/>
    <w:rsid w:val="00E70762"/>
    <w:rsid w:val="00E70B3F"/>
    <w:rsid w:val="00E7184E"/>
    <w:rsid w:val="00E73EC9"/>
    <w:rsid w:val="00E74047"/>
    <w:rsid w:val="00E75B9D"/>
    <w:rsid w:val="00E760A0"/>
    <w:rsid w:val="00E767A8"/>
    <w:rsid w:val="00E76996"/>
    <w:rsid w:val="00E76FC0"/>
    <w:rsid w:val="00E775B2"/>
    <w:rsid w:val="00E80A88"/>
    <w:rsid w:val="00E81531"/>
    <w:rsid w:val="00E81EE6"/>
    <w:rsid w:val="00E81FEA"/>
    <w:rsid w:val="00E83332"/>
    <w:rsid w:val="00E83DEE"/>
    <w:rsid w:val="00E84310"/>
    <w:rsid w:val="00E867A5"/>
    <w:rsid w:val="00E86E09"/>
    <w:rsid w:val="00E87B2E"/>
    <w:rsid w:val="00E87C33"/>
    <w:rsid w:val="00E90155"/>
    <w:rsid w:val="00E905E4"/>
    <w:rsid w:val="00E906D7"/>
    <w:rsid w:val="00E90B9A"/>
    <w:rsid w:val="00E923F3"/>
    <w:rsid w:val="00E933AC"/>
    <w:rsid w:val="00E93760"/>
    <w:rsid w:val="00E939CE"/>
    <w:rsid w:val="00E93C9A"/>
    <w:rsid w:val="00E93FA1"/>
    <w:rsid w:val="00E95161"/>
    <w:rsid w:val="00E960C4"/>
    <w:rsid w:val="00E960CE"/>
    <w:rsid w:val="00E963CD"/>
    <w:rsid w:val="00E96D31"/>
    <w:rsid w:val="00E9727C"/>
    <w:rsid w:val="00E97576"/>
    <w:rsid w:val="00E979CB"/>
    <w:rsid w:val="00EA0A09"/>
    <w:rsid w:val="00EA0AFF"/>
    <w:rsid w:val="00EA0D98"/>
    <w:rsid w:val="00EA279C"/>
    <w:rsid w:val="00EA32F6"/>
    <w:rsid w:val="00EA3CC0"/>
    <w:rsid w:val="00EA5C9C"/>
    <w:rsid w:val="00EA5F55"/>
    <w:rsid w:val="00EA61E4"/>
    <w:rsid w:val="00EA6C2B"/>
    <w:rsid w:val="00EA7789"/>
    <w:rsid w:val="00EA7F84"/>
    <w:rsid w:val="00EB05D1"/>
    <w:rsid w:val="00EB108C"/>
    <w:rsid w:val="00EB16B5"/>
    <w:rsid w:val="00EB19B2"/>
    <w:rsid w:val="00EB1E4D"/>
    <w:rsid w:val="00EB2051"/>
    <w:rsid w:val="00EB2196"/>
    <w:rsid w:val="00EB22F5"/>
    <w:rsid w:val="00EB2838"/>
    <w:rsid w:val="00EB41EF"/>
    <w:rsid w:val="00EB4871"/>
    <w:rsid w:val="00EC15F9"/>
    <w:rsid w:val="00EC16EE"/>
    <w:rsid w:val="00EC1890"/>
    <w:rsid w:val="00EC1B25"/>
    <w:rsid w:val="00EC22A3"/>
    <w:rsid w:val="00EC4A64"/>
    <w:rsid w:val="00EC62D5"/>
    <w:rsid w:val="00EC680D"/>
    <w:rsid w:val="00EC7681"/>
    <w:rsid w:val="00EC7A3C"/>
    <w:rsid w:val="00ED031A"/>
    <w:rsid w:val="00ED0ADC"/>
    <w:rsid w:val="00ED0D86"/>
    <w:rsid w:val="00ED23D7"/>
    <w:rsid w:val="00ED2526"/>
    <w:rsid w:val="00ED27A6"/>
    <w:rsid w:val="00ED2B05"/>
    <w:rsid w:val="00ED3141"/>
    <w:rsid w:val="00ED3B57"/>
    <w:rsid w:val="00ED3FCF"/>
    <w:rsid w:val="00ED4346"/>
    <w:rsid w:val="00ED4FFC"/>
    <w:rsid w:val="00ED571C"/>
    <w:rsid w:val="00ED5BC2"/>
    <w:rsid w:val="00ED6047"/>
    <w:rsid w:val="00ED6A34"/>
    <w:rsid w:val="00ED7716"/>
    <w:rsid w:val="00ED78D6"/>
    <w:rsid w:val="00ED7D34"/>
    <w:rsid w:val="00ED7D4D"/>
    <w:rsid w:val="00ED7FF0"/>
    <w:rsid w:val="00EE09CE"/>
    <w:rsid w:val="00EE1EA8"/>
    <w:rsid w:val="00EE2054"/>
    <w:rsid w:val="00EE3321"/>
    <w:rsid w:val="00EE33D9"/>
    <w:rsid w:val="00EE37F8"/>
    <w:rsid w:val="00EE39E3"/>
    <w:rsid w:val="00EE415D"/>
    <w:rsid w:val="00EE55AC"/>
    <w:rsid w:val="00EE5EFB"/>
    <w:rsid w:val="00EE6153"/>
    <w:rsid w:val="00EE63AE"/>
    <w:rsid w:val="00EE6C44"/>
    <w:rsid w:val="00EE6D25"/>
    <w:rsid w:val="00EE6EBB"/>
    <w:rsid w:val="00EE7226"/>
    <w:rsid w:val="00EE75D7"/>
    <w:rsid w:val="00EE7A5A"/>
    <w:rsid w:val="00EE7BDD"/>
    <w:rsid w:val="00EE7D22"/>
    <w:rsid w:val="00EF0320"/>
    <w:rsid w:val="00EF0B86"/>
    <w:rsid w:val="00EF0F22"/>
    <w:rsid w:val="00EF1CED"/>
    <w:rsid w:val="00EF2A1A"/>
    <w:rsid w:val="00EF5105"/>
    <w:rsid w:val="00EF75BA"/>
    <w:rsid w:val="00EF7E08"/>
    <w:rsid w:val="00F00B16"/>
    <w:rsid w:val="00F00D13"/>
    <w:rsid w:val="00F01C93"/>
    <w:rsid w:val="00F01DB3"/>
    <w:rsid w:val="00F023A9"/>
    <w:rsid w:val="00F0296C"/>
    <w:rsid w:val="00F034F1"/>
    <w:rsid w:val="00F04568"/>
    <w:rsid w:val="00F04F5E"/>
    <w:rsid w:val="00F05C68"/>
    <w:rsid w:val="00F06095"/>
    <w:rsid w:val="00F06C5F"/>
    <w:rsid w:val="00F073D3"/>
    <w:rsid w:val="00F079BE"/>
    <w:rsid w:val="00F111A8"/>
    <w:rsid w:val="00F127B4"/>
    <w:rsid w:val="00F12969"/>
    <w:rsid w:val="00F12E27"/>
    <w:rsid w:val="00F133E1"/>
    <w:rsid w:val="00F136D7"/>
    <w:rsid w:val="00F13BB8"/>
    <w:rsid w:val="00F14E36"/>
    <w:rsid w:val="00F15ACD"/>
    <w:rsid w:val="00F15AFF"/>
    <w:rsid w:val="00F1653F"/>
    <w:rsid w:val="00F16A38"/>
    <w:rsid w:val="00F16DBD"/>
    <w:rsid w:val="00F17101"/>
    <w:rsid w:val="00F21910"/>
    <w:rsid w:val="00F21B6A"/>
    <w:rsid w:val="00F21E22"/>
    <w:rsid w:val="00F22474"/>
    <w:rsid w:val="00F22658"/>
    <w:rsid w:val="00F23202"/>
    <w:rsid w:val="00F23221"/>
    <w:rsid w:val="00F239FA"/>
    <w:rsid w:val="00F23CA1"/>
    <w:rsid w:val="00F2405E"/>
    <w:rsid w:val="00F250C7"/>
    <w:rsid w:val="00F254B2"/>
    <w:rsid w:val="00F2661C"/>
    <w:rsid w:val="00F2681A"/>
    <w:rsid w:val="00F30064"/>
    <w:rsid w:val="00F310FA"/>
    <w:rsid w:val="00F31613"/>
    <w:rsid w:val="00F3198D"/>
    <w:rsid w:val="00F31BF8"/>
    <w:rsid w:val="00F33ED3"/>
    <w:rsid w:val="00F37432"/>
    <w:rsid w:val="00F41066"/>
    <w:rsid w:val="00F41B25"/>
    <w:rsid w:val="00F42642"/>
    <w:rsid w:val="00F4329F"/>
    <w:rsid w:val="00F437EF"/>
    <w:rsid w:val="00F43AD5"/>
    <w:rsid w:val="00F43E3D"/>
    <w:rsid w:val="00F443AB"/>
    <w:rsid w:val="00F45055"/>
    <w:rsid w:val="00F453B0"/>
    <w:rsid w:val="00F4576C"/>
    <w:rsid w:val="00F4582D"/>
    <w:rsid w:val="00F458DC"/>
    <w:rsid w:val="00F45C89"/>
    <w:rsid w:val="00F45F98"/>
    <w:rsid w:val="00F463CB"/>
    <w:rsid w:val="00F4663C"/>
    <w:rsid w:val="00F471B1"/>
    <w:rsid w:val="00F47C4C"/>
    <w:rsid w:val="00F47C95"/>
    <w:rsid w:val="00F501F1"/>
    <w:rsid w:val="00F5195A"/>
    <w:rsid w:val="00F520CE"/>
    <w:rsid w:val="00F52C5C"/>
    <w:rsid w:val="00F52D14"/>
    <w:rsid w:val="00F538F3"/>
    <w:rsid w:val="00F54DBD"/>
    <w:rsid w:val="00F551A8"/>
    <w:rsid w:val="00F578D3"/>
    <w:rsid w:val="00F57BB1"/>
    <w:rsid w:val="00F60229"/>
    <w:rsid w:val="00F607CE"/>
    <w:rsid w:val="00F6099D"/>
    <w:rsid w:val="00F610E9"/>
    <w:rsid w:val="00F612D5"/>
    <w:rsid w:val="00F62110"/>
    <w:rsid w:val="00F62480"/>
    <w:rsid w:val="00F63B85"/>
    <w:rsid w:val="00F63C58"/>
    <w:rsid w:val="00F653BC"/>
    <w:rsid w:val="00F6658C"/>
    <w:rsid w:val="00F669E7"/>
    <w:rsid w:val="00F673F6"/>
    <w:rsid w:val="00F70004"/>
    <w:rsid w:val="00F7010F"/>
    <w:rsid w:val="00F7060C"/>
    <w:rsid w:val="00F71E08"/>
    <w:rsid w:val="00F72581"/>
    <w:rsid w:val="00F72AA7"/>
    <w:rsid w:val="00F7379A"/>
    <w:rsid w:val="00F743CC"/>
    <w:rsid w:val="00F74876"/>
    <w:rsid w:val="00F75273"/>
    <w:rsid w:val="00F75983"/>
    <w:rsid w:val="00F75FBB"/>
    <w:rsid w:val="00F77433"/>
    <w:rsid w:val="00F77FF4"/>
    <w:rsid w:val="00F80109"/>
    <w:rsid w:val="00F80294"/>
    <w:rsid w:val="00F812FD"/>
    <w:rsid w:val="00F81A01"/>
    <w:rsid w:val="00F81B0E"/>
    <w:rsid w:val="00F82579"/>
    <w:rsid w:val="00F84596"/>
    <w:rsid w:val="00F85873"/>
    <w:rsid w:val="00F87185"/>
    <w:rsid w:val="00F87659"/>
    <w:rsid w:val="00F87922"/>
    <w:rsid w:val="00F8798B"/>
    <w:rsid w:val="00F90E89"/>
    <w:rsid w:val="00F9117D"/>
    <w:rsid w:val="00F9120C"/>
    <w:rsid w:val="00F91EFD"/>
    <w:rsid w:val="00F9271E"/>
    <w:rsid w:val="00F9294A"/>
    <w:rsid w:val="00F938A4"/>
    <w:rsid w:val="00F93A39"/>
    <w:rsid w:val="00F94D74"/>
    <w:rsid w:val="00F95B63"/>
    <w:rsid w:val="00F96860"/>
    <w:rsid w:val="00F96AA3"/>
    <w:rsid w:val="00F972A2"/>
    <w:rsid w:val="00F973F1"/>
    <w:rsid w:val="00FA0045"/>
    <w:rsid w:val="00FA0A15"/>
    <w:rsid w:val="00FA0F7C"/>
    <w:rsid w:val="00FA1455"/>
    <w:rsid w:val="00FA2A4F"/>
    <w:rsid w:val="00FA3B47"/>
    <w:rsid w:val="00FA4457"/>
    <w:rsid w:val="00FA451C"/>
    <w:rsid w:val="00FA5CDC"/>
    <w:rsid w:val="00FA5E89"/>
    <w:rsid w:val="00FA6F88"/>
    <w:rsid w:val="00FA76F3"/>
    <w:rsid w:val="00FB0B18"/>
    <w:rsid w:val="00FB0C24"/>
    <w:rsid w:val="00FB0C8A"/>
    <w:rsid w:val="00FB1E24"/>
    <w:rsid w:val="00FB205D"/>
    <w:rsid w:val="00FB269A"/>
    <w:rsid w:val="00FB3203"/>
    <w:rsid w:val="00FB346E"/>
    <w:rsid w:val="00FB4B81"/>
    <w:rsid w:val="00FB6E6C"/>
    <w:rsid w:val="00FB6F46"/>
    <w:rsid w:val="00FB79CB"/>
    <w:rsid w:val="00FC03CA"/>
    <w:rsid w:val="00FC0A32"/>
    <w:rsid w:val="00FC1095"/>
    <w:rsid w:val="00FC11BC"/>
    <w:rsid w:val="00FC29BB"/>
    <w:rsid w:val="00FC2AA9"/>
    <w:rsid w:val="00FC3B64"/>
    <w:rsid w:val="00FC44D9"/>
    <w:rsid w:val="00FC482F"/>
    <w:rsid w:val="00FC4F84"/>
    <w:rsid w:val="00FC500B"/>
    <w:rsid w:val="00FC5E81"/>
    <w:rsid w:val="00FC6B43"/>
    <w:rsid w:val="00FC6ED4"/>
    <w:rsid w:val="00FC7659"/>
    <w:rsid w:val="00FD029E"/>
    <w:rsid w:val="00FD06F6"/>
    <w:rsid w:val="00FD0737"/>
    <w:rsid w:val="00FD14F6"/>
    <w:rsid w:val="00FD26A3"/>
    <w:rsid w:val="00FD3309"/>
    <w:rsid w:val="00FD3D5E"/>
    <w:rsid w:val="00FD3E45"/>
    <w:rsid w:val="00FD5659"/>
    <w:rsid w:val="00FD6BA9"/>
    <w:rsid w:val="00FD6C40"/>
    <w:rsid w:val="00FD6ED2"/>
    <w:rsid w:val="00FD6F50"/>
    <w:rsid w:val="00FD7DAD"/>
    <w:rsid w:val="00FE019D"/>
    <w:rsid w:val="00FE0E01"/>
    <w:rsid w:val="00FE1489"/>
    <w:rsid w:val="00FE1EAB"/>
    <w:rsid w:val="00FE24CF"/>
    <w:rsid w:val="00FE4681"/>
    <w:rsid w:val="00FE5B44"/>
    <w:rsid w:val="00FE61D9"/>
    <w:rsid w:val="00FE6B99"/>
    <w:rsid w:val="00FE76E2"/>
    <w:rsid w:val="00FE771A"/>
    <w:rsid w:val="00FF034F"/>
    <w:rsid w:val="00FF18D7"/>
    <w:rsid w:val="00FF1A7A"/>
    <w:rsid w:val="00FF2490"/>
    <w:rsid w:val="00FF27C5"/>
    <w:rsid w:val="00FF3893"/>
    <w:rsid w:val="00FF50AC"/>
    <w:rsid w:val="00FF653B"/>
    <w:rsid w:val="00FF6F96"/>
    <w:rsid w:val="00FF7032"/>
    <w:rsid w:val="00FF7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62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62279D"/>
    <w:pPr>
      <w:numPr>
        <w:numId w:val="3"/>
      </w:numPr>
      <w:spacing w:after="0" w:line="240" w:lineRule="auto"/>
      <w:ind w:right="1444"/>
      <w:jc w:val="both"/>
      <w:outlineLvl w:val="0"/>
    </w:pPr>
    <w:rPr>
      <w:rFonts w:ascii="Verdana" w:hAnsi="Verdana" w:cs="Verdana"/>
      <w:b/>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uiPriority w:val="99"/>
    <w:qFormat/>
    <w:rsid w:val="0052428B"/>
    <w:rPr>
      <w:vertAlign w:val="superscript"/>
    </w:rPr>
  </w:style>
  <w:style w:type="paragraph" w:styleId="NoSpacing">
    <w:name w:val="No Spacing"/>
    <w:uiPriority w:val="1"/>
    <w:qFormat/>
    <w:rsid w:val="0052428B"/>
    <w:pPr>
      <w:spacing w:after="0" w:line="240" w:lineRule="auto"/>
    </w:pPr>
  </w:style>
  <w:style w:type="paragraph" w:styleId="ListParagraph">
    <w:name w:val="List Paragraph"/>
    <w:aliases w:val="Footnote,Párrafo de lista1"/>
    <w:basedOn w:val="Normal"/>
    <w:link w:val="ListParagraphChar"/>
    <w:uiPriority w:val="34"/>
    <w:qFormat/>
    <w:rsid w:val="0052428B"/>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iPriority w:val="99"/>
    <w:qFormat/>
    <w:rsid w:val="0052428B"/>
    <w:pPr>
      <w:spacing w:after="0" w:line="240" w:lineRule="auto"/>
    </w:pPr>
    <w:rPr>
      <w:rFonts w:ascii="Times" w:eastAsia="Times" w:hAnsi="Times" w:cs="Times New Roman"/>
      <w:sz w:val="24"/>
      <w:szCs w:val="20"/>
      <w:lang w:val="es-ES_tradnl"/>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52428B"/>
    <w:rPr>
      <w:rFonts w:ascii="Times" w:eastAsia="Times" w:hAnsi="Times" w:cs="Times New Roman"/>
      <w:sz w:val="24"/>
      <w:szCs w:val="20"/>
      <w:lang w:val="es-ES_tradnl"/>
    </w:rPr>
  </w:style>
  <w:style w:type="character" w:customStyle="1" w:styleId="ListParagraphChar">
    <w:name w:val="List Paragraph Char"/>
    <w:aliases w:val="Footnote Char,Párrafo de lista1 Char"/>
    <w:link w:val="ListParagraph"/>
    <w:uiPriority w:val="34"/>
    <w:rsid w:val="0052428B"/>
  </w:style>
  <w:style w:type="paragraph" w:styleId="BalloonText">
    <w:name w:val="Balloon Text"/>
    <w:basedOn w:val="Normal"/>
    <w:link w:val="BalloonTextChar"/>
    <w:uiPriority w:val="99"/>
    <w:semiHidden/>
    <w:unhideWhenUsed/>
    <w:rsid w:val="00D4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83B"/>
    <w:rPr>
      <w:rFonts w:ascii="Tahoma" w:hAnsi="Tahoma" w:cs="Tahoma"/>
      <w:sz w:val="16"/>
      <w:szCs w:val="16"/>
    </w:rPr>
  </w:style>
  <w:style w:type="paragraph" w:styleId="DocumentMap">
    <w:name w:val="Document Map"/>
    <w:basedOn w:val="Normal"/>
    <w:link w:val="DocumentMapChar"/>
    <w:uiPriority w:val="99"/>
    <w:semiHidden/>
    <w:unhideWhenUsed/>
    <w:rsid w:val="006259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25989"/>
    <w:rPr>
      <w:rFonts w:ascii="Tahoma" w:hAnsi="Tahoma" w:cs="Tahoma"/>
      <w:sz w:val="16"/>
      <w:szCs w:val="16"/>
    </w:rPr>
  </w:style>
  <w:style w:type="character" w:styleId="CommentReference">
    <w:name w:val="annotation reference"/>
    <w:basedOn w:val="DefaultParagraphFont"/>
    <w:uiPriority w:val="99"/>
    <w:semiHidden/>
    <w:unhideWhenUsed/>
    <w:rsid w:val="009D5904"/>
    <w:rPr>
      <w:sz w:val="16"/>
      <w:szCs w:val="16"/>
    </w:rPr>
  </w:style>
  <w:style w:type="paragraph" w:styleId="CommentText">
    <w:name w:val="annotation text"/>
    <w:basedOn w:val="Normal"/>
    <w:link w:val="CommentTextChar"/>
    <w:uiPriority w:val="99"/>
    <w:semiHidden/>
    <w:unhideWhenUsed/>
    <w:rsid w:val="009D5904"/>
    <w:pPr>
      <w:spacing w:line="240" w:lineRule="auto"/>
    </w:pPr>
    <w:rPr>
      <w:sz w:val="20"/>
      <w:szCs w:val="20"/>
    </w:rPr>
  </w:style>
  <w:style w:type="character" w:customStyle="1" w:styleId="CommentTextChar">
    <w:name w:val="Comment Text Char"/>
    <w:basedOn w:val="DefaultParagraphFont"/>
    <w:link w:val="CommentText"/>
    <w:uiPriority w:val="99"/>
    <w:semiHidden/>
    <w:rsid w:val="009D5904"/>
    <w:rPr>
      <w:sz w:val="20"/>
      <w:szCs w:val="20"/>
    </w:rPr>
  </w:style>
  <w:style w:type="paragraph" w:styleId="CommentSubject">
    <w:name w:val="annotation subject"/>
    <w:basedOn w:val="CommentText"/>
    <w:next w:val="CommentText"/>
    <w:link w:val="CommentSubjectChar"/>
    <w:uiPriority w:val="99"/>
    <w:semiHidden/>
    <w:unhideWhenUsed/>
    <w:rsid w:val="009D5904"/>
    <w:rPr>
      <w:b/>
      <w:bCs/>
    </w:rPr>
  </w:style>
  <w:style w:type="character" w:customStyle="1" w:styleId="CommentSubjectChar">
    <w:name w:val="Comment Subject Char"/>
    <w:basedOn w:val="CommentTextChar"/>
    <w:link w:val="CommentSubject"/>
    <w:uiPriority w:val="99"/>
    <w:semiHidden/>
    <w:rsid w:val="009D5904"/>
    <w:rPr>
      <w:b/>
      <w:bCs/>
      <w:sz w:val="20"/>
      <w:szCs w:val="20"/>
    </w:rPr>
  </w:style>
  <w:style w:type="paragraph" w:styleId="Revision">
    <w:name w:val="Revision"/>
    <w:hidden/>
    <w:uiPriority w:val="99"/>
    <w:semiHidden/>
    <w:rsid w:val="009D5904"/>
    <w:pPr>
      <w:spacing w:after="0" w:line="240" w:lineRule="auto"/>
    </w:pPr>
  </w:style>
  <w:style w:type="paragraph" w:styleId="Header">
    <w:name w:val="header"/>
    <w:basedOn w:val="Normal"/>
    <w:link w:val="HeaderChar"/>
    <w:uiPriority w:val="99"/>
    <w:unhideWhenUsed/>
    <w:rsid w:val="00E112DE"/>
    <w:pPr>
      <w:tabs>
        <w:tab w:val="center" w:pos="4419"/>
        <w:tab w:val="right" w:pos="8838"/>
      </w:tabs>
      <w:spacing w:after="0" w:line="240" w:lineRule="auto"/>
    </w:pPr>
  </w:style>
  <w:style w:type="character" w:customStyle="1" w:styleId="HeaderChar">
    <w:name w:val="Header Char"/>
    <w:basedOn w:val="DefaultParagraphFont"/>
    <w:link w:val="Header"/>
    <w:uiPriority w:val="99"/>
    <w:rsid w:val="00E112DE"/>
  </w:style>
  <w:style w:type="paragraph" w:styleId="Footer">
    <w:name w:val="footer"/>
    <w:basedOn w:val="Normal"/>
    <w:link w:val="FooterChar"/>
    <w:uiPriority w:val="99"/>
    <w:unhideWhenUsed/>
    <w:rsid w:val="00E112DE"/>
    <w:pPr>
      <w:tabs>
        <w:tab w:val="center" w:pos="4419"/>
        <w:tab w:val="right" w:pos="8838"/>
      </w:tabs>
      <w:spacing w:after="0" w:line="240" w:lineRule="auto"/>
    </w:pPr>
  </w:style>
  <w:style w:type="character" w:customStyle="1" w:styleId="FooterChar">
    <w:name w:val="Footer Char"/>
    <w:basedOn w:val="DefaultParagraphFont"/>
    <w:link w:val="Footer"/>
    <w:uiPriority w:val="99"/>
    <w:rsid w:val="00E112DE"/>
  </w:style>
  <w:style w:type="character" w:styleId="Hyperlink">
    <w:name w:val="Hyperlink"/>
    <w:basedOn w:val="DefaultParagraphFont"/>
    <w:uiPriority w:val="99"/>
    <w:unhideWhenUsed/>
    <w:rsid w:val="00E25D8D"/>
    <w:rPr>
      <w:color w:val="0000FF" w:themeColor="hyperlink"/>
      <w:u w:val="single"/>
    </w:rPr>
  </w:style>
  <w:style w:type="paragraph" w:styleId="BodyText2">
    <w:name w:val="Body Text 2"/>
    <w:basedOn w:val="Normal"/>
    <w:link w:val="BodyText2Char"/>
    <w:rsid w:val="00653CF4"/>
    <w:pPr>
      <w:spacing w:after="0" w:line="240" w:lineRule="auto"/>
      <w:jc w:val="both"/>
    </w:pPr>
    <w:rPr>
      <w:rFonts w:ascii="Verdana" w:eastAsia="Times" w:hAnsi="Verdana" w:cs="Times New Roman"/>
      <w:sz w:val="20"/>
      <w:szCs w:val="20"/>
      <w:lang w:val="es-ES_tradnl"/>
    </w:rPr>
  </w:style>
  <w:style w:type="character" w:customStyle="1" w:styleId="BodyText2Char">
    <w:name w:val="Body Text 2 Char"/>
    <w:basedOn w:val="DefaultParagraphFont"/>
    <w:link w:val="BodyText2"/>
    <w:rsid w:val="00653CF4"/>
    <w:rPr>
      <w:rFonts w:ascii="Verdana" w:eastAsia="Times" w:hAnsi="Verdana" w:cs="Times New Roman"/>
      <w:sz w:val="20"/>
      <w:szCs w:val="20"/>
      <w:lang w:val="es-ES_tradnl"/>
    </w:rPr>
  </w:style>
  <w:style w:type="character" w:customStyle="1" w:styleId="Heading1Char">
    <w:name w:val="Heading 1 Char"/>
    <w:basedOn w:val="DefaultParagraphFont"/>
    <w:link w:val="Heading1"/>
    <w:uiPriority w:val="9"/>
    <w:rsid w:val="0062279D"/>
    <w:rPr>
      <w:rFonts w:ascii="Verdana" w:hAnsi="Verdana" w:cs="Verdana"/>
      <w:b/>
      <w:sz w:val="20"/>
      <w:szCs w:val="20"/>
      <w:lang w:val="es-ES"/>
    </w:rPr>
  </w:style>
  <w:style w:type="paragraph" w:styleId="TOCHeading">
    <w:name w:val="TOC Heading"/>
    <w:basedOn w:val="Heading1"/>
    <w:next w:val="Normal"/>
    <w:uiPriority w:val="39"/>
    <w:unhideWhenUsed/>
    <w:qFormat/>
    <w:rsid w:val="005D325A"/>
    <w:pPr>
      <w:outlineLvl w:val="9"/>
    </w:pPr>
  </w:style>
  <w:style w:type="paragraph" w:styleId="TOC1">
    <w:name w:val="toc 1"/>
    <w:basedOn w:val="Normal"/>
    <w:next w:val="Normal"/>
    <w:autoRedefine/>
    <w:uiPriority w:val="39"/>
    <w:unhideWhenUsed/>
    <w:rsid w:val="00507889"/>
    <w:pPr>
      <w:tabs>
        <w:tab w:val="left" w:pos="660"/>
        <w:tab w:val="right" w:leader="dot" w:pos="9350"/>
      </w:tabs>
      <w:spacing w:after="100"/>
      <w:ind w:right="1444"/>
      <w:jc w:val="both"/>
    </w:pPr>
    <w:rPr>
      <w:rFonts w:ascii="Verdana" w:hAnsi="Verdana"/>
      <w:b/>
      <w:noProof/>
      <w:sz w:val="20"/>
      <w:szCs w:val="20"/>
    </w:rPr>
  </w:style>
  <w:style w:type="character" w:styleId="LineNumber">
    <w:name w:val="line number"/>
    <w:basedOn w:val="DefaultParagraphFont"/>
    <w:uiPriority w:val="99"/>
    <w:semiHidden/>
    <w:unhideWhenUsed/>
    <w:rsid w:val="00D362B9"/>
  </w:style>
  <w:style w:type="character" w:styleId="Strong">
    <w:name w:val="Strong"/>
    <w:basedOn w:val="DefaultParagraphFont"/>
    <w:uiPriority w:val="22"/>
    <w:qFormat/>
    <w:rsid w:val="00C14CAA"/>
    <w:rPr>
      <w:b/>
      <w:bCs/>
    </w:rPr>
  </w:style>
  <w:style w:type="paragraph" w:styleId="BodyText">
    <w:name w:val="Body Text"/>
    <w:basedOn w:val="Normal"/>
    <w:link w:val="BodyTextChar"/>
    <w:uiPriority w:val="99"/>
    <w:semiHidden/>
    <w:unhideWhenUsed/>
    <w:rsid w:val="0015290F"/>
    <w:pPr>
      <w:spacing w:after="120"/>
    </w:pPr>
  </w:style>
  <w:style w:type="character" w:customStyle="1" w:styleId="BodyTextChar">
    <w:name w:val="Body Text Char"/>
    <w:basedOn w:val="DefaultParagraphFont"/>
    <w:link w:val="BodyText"/>
    <w:uiPriority w:val="99"/>
    <w:semiHidden/>
    <w:rsid w:val="0015290F"/>
  </w:style>
  <w:style w:type="paragraph" w:styleId="NormalWeb">
    <w:name w:val="Normal (Web)"/>
    <w:basedOn w:val="Normal"/>
    <w:uiPriority w:val="99"/>
    <w:unhideWhenUsed/>
    <w:rsid w:val="00B56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4630"/>
  </w:style>
  <w:style w:type="character" w:customStyle="1" w:styleId="PrrafodelistaCar1">
    <w:name w:val="Párrafo de lista Car1"/>
    <w:aliases w:val="Footnote Car1,Párrafo de lista1 Car1"/>
    <w:uiPriority w:val="34"/>
    <w:rsid w:val="00C17D34"/>
    <w:rPr>
      <w:lang w:val="es-CR"/>
    </w:rPr>
  </w:style>
  <w:style w:type="paragraph" w:customStyle="1" w:styleId="Sangradetindependiente">
    <w:name w:val="SangrÌa de t. independiente"/>
    <w:basedOn w:val="Normal"/>
    <w:rsid w:val="008549B8"/>
    <w:pPr>
      <w:spacing w:after="0" w:line="240" w:lineRule="auto"/>
      <w:ind w:right="12"/>
      <w:jc w:val="both"/>
    </w:pPr>
    <w:rPr>
      <w:rFonts w:ascii="Garamond" w:eastAsia="Times New Roman" w:hAnsi="Garamond" w:cs="Times New Roman"/>
      <w:sz w:val="20"/>
      <w:szCs w:val="20"/>
      <w:lang w:val="es-ES_tradnl" w:eastAsia="es-ES"/>
    </w:rPr>
  </w:style>
  <w:style w:type="character" w:customStyle="1" w:styleId="Cuadrculamedia1-nfasis2Car">
    <w:name w:val="Cuadrícula media 1 - Énfasis 2 Car"/>
    <w:link w:val="MediumGrid1-Accent2"/>
    <w:uiPriority w:val="34"/>
    <w:rsid w:val="008549B8"/>
    <w:rPr>
      <w:rFonts w:ascii="Garamond" w:eastAsia="Times" w:hAnsi="Garamond"/>
      <w:sz w:val="24"/>
      <w:lang w:val="es-ES_tradnl" w:eastAsia="en-US"/>
    </w:rPr>
  </w:style>
  <w:style w:type="table" w:styleId="MediumGrid1-Accent2">
    <w:name w:val="Medium Grid 1 Accent 2"/>
    <w:basedOn w:val="TableNormal"/>
    <w:link w:val="Cuadrculamedia1-nfasis2Car"/>
    <w:uiPriority w:val="34"/>
    <w:rsid w:val="008549B8"/>
    <w:pPr>
      <w:spacing w:after="0" w:line="240" w:lineRule="auto"/>
    </w:pPr>
    <w:rPr>
      <w:rFonts w:ascii="Garamond" w:eastAsia="Times" w:hAnsi="Garamond"/>
      <w:sz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6b621b36">
    <w:name w:val="s6b621b36"/>
    <w:basedOn w:val="DefaultParagraphFont"/>
    <w:rsid w:val="0074545E"/>
  </w:style>
  <w:style w:type="table" w:styleId="TableGrid">
    <w:name w:val="Table Grid"/>
    <w:basedOn w:val="TableNormal"/>
    <w:uiPriority w:val="59"/>
    <w:rsid w:val="00AE2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6E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62279D"/>
    <w:pPr>
      <w:numPr>
        <w:numId w:val="3"/>
      </w:numPr>
      <w:spacing w:after="0" w:line="240" w:lineRule="auto"/>
      <w:ind w:right="1444"/>
      <w:jc w:val="both"/>
      <w:outlineLvl w:val="0"/>
    </w:pPr>
    <w:rPr>
      <w:rFonts w:ascii="Verdana" w:hAnsi="Verdana" w:cs="Verdana"/>
      <w:b/>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uiPriority w:val="99"/>
    <w:qFormat/>
    <w:rsid w:val="0052428B"/>
    <w:rPr>
      <w:vertAlign w:val="superscript"/>
    </w:rPr>
  </w:style>
  <w:style w:type="paragraph" w:styleId="NoSpacing">
    <w:name w:val="No Spacing"/>
    <w:uiPriority w:val="1"/>
    <w:qFormat/>
    <w:rsid w:val="0052428B"/>
    <w:pPr>
      <w:spacing w:after="0" w:line="240" w:lineRule="auto"/>
    </w:pPr>
  </w:style>
  <w:style w:type="paragraph" w:styleId="ListParagraph">
    <w:name w:val="List Paragraph"/>
    <w:aliases w:val="Footnote,Párrafo de lista1"/>
    <w:basedOn w:val="Normal"/>
    <w:link w:val="ListParagraphChar"/>
    <w:uiPriority w:val="34"/>
    <w:qFormat/>
    <w:rsid w:val="0052428B"/>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iPriority w:val="99"/>
    <w:qFormat/>
    <w:rsid w:val="0052428B"/>
    <w:pPr>
      <w:spacing w:after="0" w:line="240" w:lineRule="auto"/>
    </w:pPr>
    <w:rPr>
      <w:rFonts w:ascii="Times" w:eastAsia="Times" w:hAnsi="Times" w:cs="Times New Roman"/>
      <w:sz w:val="24"/>
      <w:szCs w:val="20"/>
      <w:lang w:val="es-ES_tradnl"/>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52428B"/>
    <w:rPr>
      <w:rFonts w:ascii="Times" w:eastAsia="Times" w:hAnsi="Times" w:cs="Times New Roman"/>
      <w:sz w:val="24"/>
      <w:szCs w:val="20"/>
      <w:lang w:val="es-ES_tradnl"/>
    </w:rPr>
  </w:style>
  <w:style w:type="character" w:customStyle="1" w:styleId="ListParagraphChar">
    <w:name w:val="List Paragraph Char"/>
    <w:aliases w:val="Footnote Char,Párrafo de lista1 Char"/>
    <w:link w:val="ListParagraph"/>
    <w:uiPriority w:val="34"/>
    <w:rsid w:val="0052428B"/>
  </w:style>
  <w:style w:type="paragraph" w:styleId="BalloonText">
    <w:name w:val="Balloon Text"/>
    <w:basedOn w:val="Normal"/>
    <w:link w:val="BalloonTextChar"/>
    <w:uiPriority w:val="99"/>
    <w:semiHidden/>
    <w:unhideWhenUsed/>
    <w:rsid w:val="00D4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83B"/>
    <w:rPr>
      <w:rFonts w:ascii="Tahoma" w:hAnsi="Tahoma" w:cs="Tahoma"/>
      <w:sz w:val="16"/>
      <w:szCs w:val="16"/>
    </w:rPr>
  </w:style>
  <w:style w:type="paragraph" w:styleId="DocumentMap">
    <w:name w:val="Document Map"/>
    <w:basedOn w:val="Normal"/>
    <w:link w:val="DocumentMapChar"/>
    <w:uiPriority w:val="99"/>
    <w:semiHidden/>
    <w:unhideWhenUsed/>
    <w:rsid w:val="006259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25989"/>
    <w:rPr>
      <w:rFonts w:ascii="Tahoma" w:hAnsi="Tahoma" w:cs="Tahoma"/>
      <w:sz w:val="16"/>
      <w:szCs w:val="16"/>
    </w:rPr>
  </w:style>
  <w:style w:type="character" w:styleId="CommentReference">
    <w:name w:val="annotation reference"/>
    <w:basedOn w:val="DefaultParagraphFont"/>
    <w:uiPriority w:val="99"/>
    <w:semiHidden/>
    <w:unhideWhenUsed/>
    <w:rsid w:val="009D5904"/>
    <w:rPr>
      <w:sz w:val="16"/>
      <w:szCs w:val="16"/>
    </w:rPr>
  </w:style>
  <w:style w:type="paragraph" w:styleId="CommentText">
    <w:name w:val="annotation text"/>
    <w:basedOn w:val="Normal"/>
    <w:link w:val="CommentTextChar"/>
    <w:uiPriority w:val="99"/>
    <w:semiHidden/>
    <w:unhideWhenUsed/>
    <w:rsid w:val="009D5904"/>
    <w:pPr>
      <w:spacing w:line="240" w:lineRule="auto"/>
    </w:pPr>
    <w:rPr>
      <w:sz w:val="20"/>
      <w:szCs w:val="20"/>
    </w:rPr>
  </w:style>
  <w:style w:type="character" w:customStyle="1" w:styleId="CommentTextChar">
    <w:name w:val="Comment Text Char"/>
    <w:basedOn w:val="DefaultParagraphFont"/>
    <w:link w:val="CommentText"/>
    <w:uiPriority w:val="99"/>
    <w:semiHidden/>
    <w:rsid w:val="009D5904"/>
    <w:rPr>
      <w:sz w:val="20"/>
      <w:szCs w:val="20"/>
    </w:rPr>
  </w:style>
  <w:style w:type="paragraph" w:styleId="CommentSubject">
    <w:name w:val="annotation subject"/>
    <w:basedOn w:val="CommentText"/>
    <w:next w:val="CommentText"/>
    <w:link w:val="CommentSubjectChar"/>
    <w:uiPriority w:val="99"/>
    <w:semiHidden/>
    <w:unhideWhenUsed/>
    <w:rsid w:val="009D5904"/>
    <w:rPr>
      <w:b/>
      <w:bCs/>
    </w:rPr>
  </w:style>
  <w:style w:type="character" w:customStyle="1" w:styleId="CommentSubjectChar">
    <w:name w:val="Comment Subject Char"/>
    <w:basedOn w:val="CommentTextChar"/>
    <w:link w:val="CommentSubject"/>
    <w:uiPriority w:val="99"/>
    <w:semiHidden/>
    <w:rsid w:val="009D5904"/>
    <w:rPr>
      <w:b/>
      <w:bCs/>
      <w:sz w:val="20"/>
      <w:szCs w:val="20"/>
    </w:rPr>
  </w:style>
  <w:style w:type="paragraph" w:styleId="Revision">
    <w:name w:val="Revision"/>
    <w:hidden/>
    <w:uiPriority w:val="99"/>
    <w:semiHidden/>
    <w:rsid w:val="009D5904"/>
    <w:pPr>
      <w:spacing w:after="0" w:line="240" w:lineRule="auto"/>
    </w:pPr>
  </w:style>
  <w:style w:type="paragraph" w:styleId="Header">
    <w:name w:val="header"/>
    <w:basedOn w:val="Normal"/>
    <w:link w:val="HeaderChar"/>
    <w:uiPriority w:val="99"/>
    <w:unhideWhenUsed/>
    <w:rsid w:val="00E112DE"/>
    <w:pPr>
      <w:tabs>
        <w:tab w:val="center" w:pos="4419"/>
        <w:tab w:val="right" w:pos="8838"/>
      </w:tabs>
      <w:spacing w:after="0" w:line="240" w:lineRule="auto"/>
    </w:pPr>
  </w:style>
  <w:style w:type="character" w:customStyle="1" w:styleId="HeaderChar">
    <w:name w:val="Header Char"/>
    <w:basedOn w:val="DefaultParagraphFont"/>
    <w:link w:val="Header"/>
    <w:uiPriority w:val="99"/>
    <w:rsid w:val="00E112DE"/>
  </w:style>
  <w:style w:type="paragraph" w:styleId="Footer">
    <w:name w:val="footer"/>
    <w:basedOn w:val="Normal"/>
    <w:link w:val="FooterChar"/>
    <w:uiPriority w:val="99"/>
    <w:unhideWhenUsed/>
    <w:rsid w:val="00E112DE"/>
    <w:pPr>
      <w:tabs>
        <w:tab w:val="center" w:pos="4419"/>
        <w:tab w:val="right" w:pos="8838"/>
      </w:tabs>
      <w:spacing w:after="0" w:line="240" w:lineRule="auto"/>
    </w:pPr>
  </w:style>
  <w:style w:type="character" w:customStyle="1" w:styleId="FooterChar">
    <w:name w:val="Footer Char"/>
    <w:basedOn w:val="DefaultParagraphFont"/>
    <w:link w:val="Footer"/>
    <w:uiPriority w:val="99"/>
    <w:rsid w:val="00E112DE"/>
  </w:style>
  <w:style w:type="character" w:styleId="Hyperlink">
    <w:name w:val="Hyperlink"/>
    <w:basedOn w:val="DefaultParagraphFont"/>
    <w:uiPriority w:val="99"/>
    <w:unhideWhenUsed/>
    <w:rsid w:val="00E25D8D"/>
    <w:rPr>
      <w:color w:val="0000FF" w:themeColor="hyperlink"/>
      <w:u w:val="single"/>
    </w:rPr>
  </w:style>
  <w:style w:type="paragraph" w:styleId="BodyText2">
    <w:name w:val="Body Text 2"/>
    <w:basedOn w:val="Normal"/>
    <w:link w:val="BodyText2Char"/>
    <w:rsid w:val="00653CF4"/>
    <w:pPr>
      <w:spacing w:after="0" w:line="240" w:lineRule="auto"/>
      <w:jc w:val="both"/>
    </w:pPr>
    <w:rPr>
      <w:rFonts w:ascii="Verdana" w:eastAsia="Times" w:hAnsi="Verdana" w:cs="Times New Roman"/>
      <w:sz w:val="20"/>
      <w:szCs w:val="20"/>
      <w:lang w:val="es-ES_tradnl"/>
    </w:rPr>
  </w:style>
  <w:style w:type="character" w:customStyle="1" w:styleId="BodyText2Char">
    <w:name w:val="Body Text 2 Char"/>
    <w:basedOn w:val="DefaultParagraphFont"/>
    <w:link w:val="BodyText2"/>
    <w:rsid w:val="00653CF4"/>
    <w:rPr>
      <w:rFonts w:ascii="Verdana" w:eastAsia="Times" w:hAnsi="Verdana" w:cs="Times New Roman"/>
      <w:sz w:val="20"/>
      <w:szCs w:val="20"/>
      <w:lang w:val="es-ES_tradnl"/>
    </w:rPr>
  </w:style>
  <w:style w:type="character" w:customStyle="1" w:styleId="Heading1Char">
    <w:name w:val="Heading 1 Char"/>
    <w:basedOn w:val="DefaultParagraphFont"/>
    <w:link w:val="Heading1"/>
    <w:uiPriority w:val="9"/>
    <w:rsid w:val="0062279D"/>
    <w:rPr>
      <w:rFonts w:ascii="Verdana" w:hAnsi="Verdana" w:cs="Verdana"/>
      <w:b/>
      <w:sz w:val="20"/>
      <w:szCs w:val="20"/>
      <w:lang w:val="es-ES"/>
    </w:rPr>
  </w:style>
  <w:style w:type="paragraph" w:styleId="TOCHeading">
    <w:name w:val="TOC Heading"/>
    <w:basedOn w:val="Heading1"/>
    <w:next w:val="Normal"/>
    <w:uiPriority w:val="39"/>
    <w:unhideWhenUsed/>
    <w:qFormat/>
    <w:rsid w:val="005D325A"/>
    <w:pPr>
      <w:outlineLvl w:val="9"/>
    </w:pPr>
  </w:style>
  <w:style w:type="paragraph" w:styleId="TOC1">
    <w:name w:val="toc 1"/>
    <w:basedOn w:val="Normal"/>
    <w:next w:val="Normal"/>
    <w:autoRedefine/>
    <w:uiPriority w:val="39"/>
    <w:unhideWhenUsed/>
    <w:rsid w:val="00507889"/>
    <w:pPr>
      <w:tabs>
        <w:tab w:val="left" w:pos="660"/>
        <w:tab w:val="right" w:leader="dot" w:pos="9350"/>
      </w:tabs>
      <w:spacing w:after="100"/>
      <w:ind w:right="1444"/>
      <w:jc w:val="both"/>
    </w:pPr>
    <w:rPr>
      <w:rFonts w:ascii="Verdana" w:hAnsi="Verdana"/>
      <w:b/>
      <w:noProof/>
      <w:sz w:val="20"/>
      <w:szCs w:val="20"/>
    </w:rPr>
  </w:style>
  <w:style w:type="character" w:styleId="LineNumber">
    <w:name w:val="line number"/>
    <w:basedOn w:val="DefaultParagraphFont"/>
    <w:uiPriority w:val="99"/>
    <w:semiHidden/>
    <w:unhideWhenUsed/>
    <w:rsid w:val="00D362B9"/>
  </w:style>
  <w:style w:type="character" w:styleId="Strong">
    <w:name w:val="Strong"/>
    <w:basedOn w:val="DefaultParagraphFont"/>
    <w:uiPriority w:val="22"/>
    <w:qFormat/>
    <w:rsid w:val="00C14CAA"/>
    <w:rPr>
      <w:b/>
      <w:bCs/>
    </w:rPr>
  </w:style>
  <w:style w:type="paragraph" w:styleId="BodyText">
    <w:name w:val="Body Text"/>
    <w:basedOn w:val="Normal"/>
    <w:link w:val="BodyTextChar"/>
    <w:uiPriority w:val="99"/>
    <w:semiHidden/>
    <w:unhideWhenUsed/>
    <w:rsid w:val="0015290F"/>
    <w:pPr>
      <w:spacing w:after="120"/>
    </w:pPr>
  </w:style>
  <w:style w:type="character" w:customStyle="1" w:styleId="BodyTextChar">
    <w:name w:val="Body Text Char"/>
    <w:basedOn w:val="DefaultParagraphFont"/>
    <w:link w:val="BodyText"/>
    <w:uiPriority w:val="99"/>
    <w:semiHidden/>
    <w:rsid w:val="0015290F"/>
  </w:style>
  <w:style w:type="paragraph" w:styleId="NormalWeb">
    <w:name w:val="Normal (Web)"/>
    <w:basedOn w:val="Normal"/>
    <w:uiPriority w:val="99"/>
    <w:unhideWhenUsed/>
    <w:rsid w:val="00B56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4630"/>
  </w:style>
  <w:style w:type="character" w:customStyle="1" w:styleId="PrrafodelistaCar1">
    <w:name w:val="Párrafo de lista Car1"/>
    <w:aliases w:val="Footnote Car1,Párrafo de lista1 Car1"/>
    <w:uiPriority w:val="34"/>
    <w:rsid w:val="00C17D34"/>
    <w:rPr>
      <w:lang w:val="es-CR"/>
    </w:rPr>
  </w:style>
  <w:style w:type="paragraph" w:customStyle="1" w:styleId="Sangradetindependiente">
    <w:name w:val="SangrÌa de t. independiente"/>
    <w:basedOn w:val="Normal"/>
    <w:rsid w:val="008549B8"/>
    <w:pPr>
      <w:spacing w:after="0" w:line="240" w:lineRule="auto"/>
      <w:ind w:right="12"/>
      <w:jc w:val="both"/>
    </w:pPr>
    <w:rPr>
      <w:rFonts w:ascii="Garamond" w:eastAsia="Times New Roman" w:hAnsi="Garamond" w:cs="Times New Roman"/>
      <w:sz w:val="20"/>
      <w:szCs w:val="20"/>
      <w:lang w:val="es-ES_tradnl" w:eastAsia="es-ES"/>
    </w:rPr>
  </w:style>
  <w:style w:type="character" w:customStyle="1" w:styleId="Cuadrculamedia1-nfasis2Car">
    <w:name w:val="Cuadrícula media 1 - Énfasis 2 Car"/>
    <w:link w:val="MediumGrid1-Accent2"/>
    <w:uiPriority w:val="34"/>
    <w:rsid w:val="008549B8"/>
    <w:rPr>
      <w:rFonts w:ascii="Garamond" w:eastAsia="Times" w:hAnsi="Garamond"/>
      <w:sz w:val="24"/>
      <w:lang w:val="es-ES_tradnl" w:eastAsia="en-US"/>
    </w:rPr>
  </w:style>
  <w:style w:type="table" w:styleId="MediumGrid1-Accent2">
    <w:name w:val="Medium Grid 1 Accent 2"/>
    <w:basedOn w:val="TableNormal"/>
    <w:link w:val="Cuadrculamedia1-nfasis2Car"/>
    <w:uiPriority w:val="34"/>
    <w:rsid w:val="008549B8"/>
    <w:pPr>
      <w:spacing w:after="0" w:line="240" w:lineRule="auto"/>
    </w:pPr>
    <w:rPr>
      <w:rFonts w:ascii="Garamond" w:eastAsia="Times" w:hAnsi="Garamond"/>
      <w:sz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6b621b36">
    <w:name w:val="s6b621b36"/>
    <w:basedOn w:val="DefaultParagraphFont"/>
    <w:rsid w:val="0074545E"/>
  </w:style>
  <w:style w:type="table" w:styleId="TableGrid">
    <w:name w:val="Table Grid"/>
    <w:basedOn w:val="TableNormal"/>
    <w:uiPriority w:val="59"/>
    <w:rsid w:val="00AE2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6E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8561">
      <w:bodyDiv w:val="1"/>
      <w:marLeft w:val="0"/>
      <w:marRight w:val="0"/>
      <w:marTop w:val="0"/>
      <w:marBottom w:val="0"/>
      <w:divBdr>
        <w:top w:val="none" w:sz="0" w:space="0" w:color="auto"/>
        <w:left w:val="none" w:sz="0" w:space="0" w:color="auto"/>
        <w:bottom w:val="none" w:sz="0" w:space="0" w:color="auto"/>
        <w:right w:val="none" w:sz="0" w:space="0" w:color="auto"/>
      </w:divBdr>
    </w:div>
    <w:div w:id="334772806">
      <w:bodyDiv w:val="1"/>
      <w:marLeft w:val="0"/>
      <w:marRight w:val="0"/>
      <w:marTop w:val="0"/>
      <w:marBottom w:val="0"/>
      <w:divBdr>
        <w:top w:val="none" w:sz="0" w:space="0" w:color="auto"/>
        <w:left w:val="none" w:sz="0" w:space="0" w:color="auto"/>
        <w:bottom w:val="none" w:sz="0" w:space="0" w:color="auto"/>
        <w:right w:val="none" w:sz="0" w:space="0" w:color="auto"/>
      </w:divBdr>
    </w:div>
    <w:div w:id="401102982">
      <w:bodyDiv w:val="1"/>
      <w:marLeft w:val="0"/>
      <w:marRight w:val="0"/>
      <w:marTop w:val="0"/>
      <w:marBottom w:val="0"/>
      <w:divBdr>
        <w:top w:val="none" w:sz="0" w:space="0" w:color="auto"/>
        <w:left w:val="none" w:sz="0" w:space="0" w:color="auto"/>
        <w:bottom w:val="none" w:sz="0" w:space="0" w:color="auto"/>
        <w:right w:val="none" w:sz="0" w:space="0" w:color="auto"/>
      </w:divBdr>
    </w:div>
    <w:div w:id="509098772">
      <w:bodyDiv w:val="1"/>
      <w:marLeft w:val="0"/>
      <w:marRight w:val="0"/>
      <w:marTop w:val="0"/>
      <w:marBottom w:val="0"/>
      <w:divBdr>
        <w:top w:val="none" w:sz="0" w:space="0" w:color="auto"/>
        <w:left w:val="none" w:sz="0" w:space="0" w:color="auto"/>
        <w:bottom w:val="none" w:sz="0" w:space="0" w:color="auto"/>
        <w:right w:val="none" w:sz="0" w:space="0" w:color="auto"/>
      </w:divBdr>
    </w:div>
    <w:div w:id="621303439">
      <w:bodyDiv w:val="1"/>
      <w:marLeft w:val="0"/>
      <w:marRight w:val="0"/>
      <w:marTop w:val="0"/>
      <w:marBottom w:val="0"/>
      <w:divBdr>
        <w:top w:val="none" w:sz="0" w:space="0" w:color="auto"/>
        <w:left w:val="none" w:sz="0" w:space="0" w:color="auto"/>
        <w:bottom w:val="none" w:sz="0" w:space="0" w:color="auto"/>
        <w:right w:val="none" w:sz="0" w:space="0" w:color="auto"/>
      </w:divBdr>
    </w:div>
    <w:div w:id="922254401">
      <w:bodyDiv w:val="1"/>
      <w:marLeft w:val="0"/>
      <w:marRight w:val="0"/>
      <w:marTop w:val="0"/>
      <w:marBottom w:val="0"/>
      <w:divBdr>
        <w:top w:val="none" w:sz="0" w:space="0" w:color="auto"/>
        <w:left w:val="none" w:sz="0" w:space="0" w:color="auto"/>
        <w:bottom w:val="none" w:sz="0" w:space="0" w:color="auto"/>
        <w:right w:val="none" w:sz="0" w:space="0" w:color="auto"/>
      </w:divBdr>
      <w:divsChild>
        <w:div w:id="1018388311">
          <w:marLeft w:val="0"/>
          <w:marRight w:val="0"/>
          <w:marTop w:val="0"/>
          <w:marBottom w:val="0"/>
          <w:divBdr>
            <w:top w:val="none" w:sz="0" w:space="0" w:color="auto"/>
            <w:left w:val="none" w:sz="0" w:space="0" w:color="auto"/>
            <w:bottom w:val="none" w:sz="0" w:space="0" w:color="auto"/>
            <w:right w:val="none" w:sz="0" w:space="0" w:color="auto"/>
          </w:divBdr>
          <w:divsChild>
            <w:div w:id="1600023781">
              <w:marLeft w:val="0"/>
              <w:marRight w:val="0"/>
              <w:marTop w:val="0"/>
              <w:marBottom w:val="0"/>
              <w:divBdr>
                <w:top w:val="none" w:sz="0" w:space="0" w:color="auto"/>
                <w:left w:val="none" w:sz="0" w:space="0" w:color="auto"/>
                <w:bottom w:val="none" w:sz="0" w:space="0" w:color="auto"/>
                <w:right w:val="none" w:sz="0" w:space="0" w:color="auto"/>
              </w:divBdr>
              <w:divsChild>
                <w:div w:id="20977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02332">
      <w:bodyDiv w:val="1"/>
      <w:marLeft w:val="0"/>
      <w:marRight w:val="0"/>
      <w:marTop w:val="0"/>
      <w:marBottom w:val="0"/>
      <w:divBdr>
        <w:top w:val="none" w:sz="0" w:space="0" w:color="auto"/>
        <w:left w:val="none" w:sz="0" w:space="0" w:color="auto"/>
        <w:bottom w:val="none" w:sz="0" w:space="0" w:color="auto"/>
        <w:right w:val="none" w:sz="0" w:space="0" w:color="auto"/>
      </w:divBdr>
    </w:div>
    <w:div w:id="1219635279">
      <w:bodyDiv w:val="1"/>
      <w:marLeft w:val="0"/>
      <w:marRight w:val="0"/>
      <w:marTop w:val="0"/>
      <w:marBottom w:val="0"/>
      <w:divBdr>
        <w:top w:val="none" w:sz="0" w:space="0" w:color="auto"/>
        <w:left w:val="none" w:sz="0" w:space="0" w:color="auto"/>
        <w:bottom w:val="none" w:sz="0" w:space="0" w:color="auto"/>
        <w:right w:val="none" w:sz="0" w:space="0" w:color="auto"/>
      </w:divBdr>
      <w:divsChild>
        <w:div w:id="676737843">
          <w:marLeft w:val="0"/>
          <w:marRight w:val="0"/>
          <w:marTop w:val="0"/>
          <w:marBottom w:val="0"/>
          <w:divBdr>
            <w:top w:val="none" w:sz="0" w:space="0" w:color="auto"/>
            <w:left w:val="none" w:sz="0" w:space="0" w:color="auto"/>
            <w:bottom w:val="none" w:sz="0" w:space="0" w:color="auto"/>
            <w:right w:val="none" w:sz="0" w:space="0" w:color="auto"/>
          </w:divBdr>
          <w:divsChild>
            <w:div w:id="1677998428">
              <w:marLeft w:val="0"/>
              <w:marRight w:val="0"/>
              <w:marTop w:val="0"/>
              <w:marBottom w:val="0"/>
              <w:divBdr>
                <w:top w:val="none" w:sz="0" w:space="0" w:color="auto"/>
                <w:left w:val="none" w:sz="0" w:space="0" w:color="auto"/>
                <w:bottom w:val="none" w:sz="0" w:space="0" w:color="auto"/>
                <w:right w:val="none" w:sz="0" w:space="0" w:color="auto"/>
              </w:divBdr>
              <w:divsChild>
                <w:div w:id="12005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20569">
      <w:bodyDiv w:val="1"/>
      <w:marLeft w:val="0"/>
      <w:marRight w:val="0"/>
      <w:marTop w:val="0"/>
      <w:marBottom w:val="0"/>
      <w:divBdr>
        <w:top w:val="none" w:sz="0" w:space="0" w:color="auto"/>
        <w:left w:val="none" w:sz="0" w:space="0" w:color="auto"/>
        <w:bottom w:val="none" w:sz="0" w:space="0" w:color="auto"/>
        <w:right w:val="none" w:sz="0" w:space="0" w:color="auto"/>
      </w:divBdr>
    </w:div>
    <w:div w:id="1309550747">
      <w:bodyDiv w:val="1"/>
      <w:marLeft w:val="0"/>
      <w:marRight w:val="0"/>
      <w:marTop w:val="0"/>
      <w:marBottom w:val="0"/>
      <w:divBdr>
        <w:top w:val="none" w:sz="0" w:space="0" w:color="auto"/>
        <w:left w:val="none" w:sz="0" w:space="0" w:color="auto"/>
        <w:bottom w:val="none" w:sz="0" w:space="0" w:color="auto"/>
        <w:right w:val="none" w:sz="0" w:space="0" w:color="auto"/>
      </w:divBdr>
    </w:div>
    <w:div w:id="1428499957">
      <w:bodyDiv w:val="1"/>
      <w:marLeft w:val="0"/>
      <w:marRight w:val="0"/>
      <w:marTop w:val="0"/>
      <w:marBottom w:val="0"/>
      <w:divBdr>
        <w:top w:val="none" w:sz="0" w:space="0" w:color="auto"/>
        <w:left w:val="none" w:sz="0" w:space="0" w:color="auto"/>
        <w:bottom w:val="none" w:sz="0" w:space="0" w:color="auto"/>
        <w:right w:val="none" w:sz="0" w:space="0" w:color="auto"/>
      </w:divBdr>
    </w:div>
    <w:div w:id="1474055447">
      <w:bodyDiv w:val="1"/>
      <w:marLeft w:val="0"/>
      <w:marRight w:val="0"/>
      <w:marTop w:val="0"/>
      <w:marBottom w:val="0"/>
      <w:divBdr>
        <w:top w:val="none" w:sz="0" w:space="0" w:color="auto"/>
        <w:left w:val="none" w:sz="0" w:space="0" w:color="auto"/>
        <w:bottom w:val="none" w:sz="0" w:space="0" w:color="auto"/>
        <w:right w:val="none" w:sz="0" w:space="0" w:color="auto"/>
      </w:divBdr>
    </w:div>
    <w:div w:id="1531188702">
      <w:bodyDiv w:val="1"/>
      <w:marLeft w:val="0"/>
      <w:marRight w:val="0"/>
      <w:marTop w:val="0"/>
      <w:marBottom w:val="0"/>
      <w:divBdr>
        <w:top w:val="none" w:sz="0" w:space="0" w:color="auto"/>
        <w:left w:val="none" w:sz="0" w:space="0" w:color="auto"/>
        <w:bottom w:val="none" w:sz="0" w:space="0" w:color="auto"/>
        <w:right w:val="none" w:sz="0" w:space="0" w:color="auto"/>
      </w:divBdr>
    </w:div>
    <w:div w:id="1581787283">
      <w:bodyDiv w:val="1"/>
      <w:marLeft w:val="0"/>
      <w:marRight w:val="0"/>
      <w:marTop w:val="0"/>
      <w:marBottom w:val="0"/>
      <w:divBdr>
        <w:top w:val="none" w:sz="0" w:space="0" w:color="auto"/>
        <w:left w:val="none" w:sz="0" w:space="0" w:color="auto"/>
        <w:bottom w:val="none" w:sz="0" w:space="0" w:color="auto"/>
        <w:right w:val="none" w:sz="0" w:space="0" w:color="auto"/>
      </w:divBdr>
    </w:div>
    <w:div w:id="1655716101">
      <w:bodyDiv w:val="1"/>
      <w:marLeft w:val="0"/>
      <w:marRight w:val="0"/>
      <w:marTop w:val="0"/>
      <w:marBottom w:val="0"/>
      <w:divBdr>
        <w:top w:val="none" w:sz="0" w:space="0" w:color="auto"/>
        <w:left w:val="none" w:sz="0" w:space="0" w:color="auto"/>
        <w:bottom w:val="none" w:sz="0" w:space="0" w:color="auto"/>
        <w:right w:val="none" w:sz="0" w:space="0" w:color="auto"/>
      </w:divBdr>
      <w:divsChild>
        <w:div w:id="1629168124">
          <w:marLeft w:val="0"/>
          <w:marRight w:val="0"/>
          <w:marTop w:val="0"/>
          <w:marBottom w:val="0"/>
          <w:divBdr>
            <w:top w:val="none" w:sz="0" w:space="0" w:color="auto"/>
            <w:left w:val="none" w:sz="0" w:space="0" w:color="auto"/>
            <w:bottom w:val="none" w:sz="0" w:space="0" w:color="auto"/>
            <w:right w:val="none" w:sz="0" w:space="0" w:color="auto"/>
          </w:divBdr>
          <w:divsChild>
            <w:div w:id="1939680962">
              <w:marLeft w:val="0"/>
              <w:marRight w:val="0"/>
              <w:marTop w:val="0"/>
              <w:marBottom w:val="0"/>
              <w:divBdr>
                <w:top w:val="none" w:sz="0" w:space="0" w:color="auto"/>
                <w:left w:val="none" w:sz="0" w:space="0" w:color="auto"/>
                <w:bottom w:val="none" w:sz="0" w:space="0" w:color="auto"/>
                <w:right w:val="none" w:sz="0" w:space="0" w:color="auto"/>
              </w:divBdr>
              <w:divsChild>
                <w:div w:id="1309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5321">
      <w:bodyDiv w:val="1"/>
      <w:marLeft w:val="0"/>
      <w:marRight w:val="0"/>
      <w:marTop w:val="0"/>
      <w:marBottom w:val="0"/>
      <w:divBdr>
        <w:top w:val="none" w:sz="0" w:space="0" w:color="auto"/>
        <w:left w:val="none" w:sz="0" w:space="0" w:color="auto"/>
        <w:bottom w:val="none" w:sz="0" w:space="0" w:color="auto"/>
        <w:right w:val="none" w:sz="0" w:space="0" w:color="auto"/>
      </w:divBdr>
    </w:div>
    <w:div w:id="1962027453">
      <w:bodyDiv w:val="1"/>
      <w:marLeft w:val="0"/>
      <w:marRight w:val="0"/>
      <w:marTop w:val="0"/>
      <w:marBottom w:val="0"/>
      <w:divBdr>
        <w:top w:val="none" w:sz="0" w:space="0" w:color="auto"/>
        <w:left w:val="none" w:sz="0" w:space="0" w:color="auto"/>
        <w:bottom w:val="none" w:sz="0" w:space="0" w:color="auto"/>
        <w:right w:val="none" w:sz="0" w:space="0" w:color="auto"/>
      </w:divBdr>
      <w:divsChild>
        <w:div w:id="1341812360">
          <w:marLeft w:val="0"/>
          <w:marRight w:val="0"/>
          <w:marTop w:val="0"/>
          <w:marBottom w:val="0"/>
          <w:divBdr>
            <w:top w:val="none" w:sz="0" w:space="0" w:color="auto"/>
            <w:left w:val="none" w:sz="0" w:space="0" w:color="auto"/>
            <w:bottom w:val="none" w:sz="0" w:space="0" w:color="auto"/>
            <w:right w:val="none" w:sz="0" w:space="0" w:color="auto"/>
          </w:divBdr>
          <w:divsChild>
            <w:div w:id="183178243">
              <w:marLeft w:val="0"/>
              <w:marRight w:val="0"/>
              <w:marTop w:val="0"/>
              <w:marBottom w:val="0"/>
              <w:divBdr>
                <w:top w:val="none" w:sz="0" w:space="0" w:color="auto"/>
                <w:left w:val="none" w:sz="0" w:space="0" w:color="auto"/>
                <w:bottom w:val="none" w:sz="0" w:space="0" w:color="auto"/>
                <w:right w:val="none" w:sz="0" w:space="0" w:color="auto"/>
              </w:divBdr>
              <w:divsChild>
                <w:div w:id="8765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36927">
      <w:bodyDiv w:val="1"/>
      <w:marLeft w:val="0"/>
      <w:marRight w:val="0"/>
      <w:marTop w:val="0"/>
      <w:marBottom w:val="0"/>
      <w:divBdr>
        <w:top w:val="none" w:sz="0" w:space="0" w:color="auto"/>
        <w:left w:val="none" w:sz="0" w:space="0" w:color="auto"/>
        <w:bottom w:val="none" w:sz="0" w:space="0" w:color="auto"/>
        <w:right w:val="none" w:sz="0" w:space="0" w:color="auto"/>
      </w:divBdr>
    </w:div>
    <w:div w:id="21117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corteidh.or.cr/docs/casos/articulos/seriec_233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38992-675A-4CF4-8FAC-EFA003DE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3875</Words>
  <Characters>22088</Characters>
  <Application>Microsoft Office Word</Application>
  <DocSecurity>4</DocSecurity>
  <Lines>184</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Daniela Rodriguez</cp:lastModifiedBy>
  <cp:revision>2</cp:revision>
  <cp:lastPrinted>2015-11-09T16:39:00Z</cp:lastPrinted>
  <dcterms:created xsi:type="dcterms:W3CDTF">2015-12-19T01:14:00Z</dcterms:created>
  <dcterms:modified xsi:type="dcterms:W3CDTF">2015-12-19T01:14:00Z</dcterms:modified>
</cp:coreProperties>
</file>